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9523E">
      <w:pPr>
        <w:pStyle w:val="7"/>
        <w:spacing w:before="93"/>
        <w:rPr>
          <w:rFonts w:hint="default" w:ascii="Times New Roman" w:hAnsi="Times New Roman" w:eastAsia="方正小标宋简体" w:cs="Times New Roman"/>
          <w:kern w:val="2"/>
          <w:sz w:val="72"/>
          <w:szCs w:val="72"/>
        </w:rPr>
      </w:pPr>
      <w:bookmarkStart w:id="0" w:name="_Toc15377425"/>
      <w:bookmarkStart w:id="1" w:name="_Toc15396475"/>
      <w:bookmarkStart w:id="2" w:name="_Toc15378441"/>
      <w:bookmarkStart w:id="3" w:name="_Toc15396597"/>
      <w:bookmarkStart w:id="4" w:name="_Toc15377193"/>
      <w:bookmarkStart w:id="5" w:name="_Toc15306267"/>
    </w:p>
    <w:p w14:paraId="0FF4DA23">
      <w:pPr>
        <w:pStyle w:val="7"/>
        <w:spacing w:before="93"/>
        <w:rPr>
          <w:rFonts w:hint="default" w:ascii="Times New Roman" w:hAnsi="Times New Roman" w:eastAsia="方正小标宋简体" w:cs="Times New Roman"/>
          <w:kern w:val="2"/>
          <w:sz w:val="72"/>
          <w:szCs w:val="72"/>
        </w:rPr>
      </w:pPr>
    </w:p>
    <w:p w14:paraId="3F611A60">
      <w:pPr>
        <w:pStyle w:val="7"/>
        <w:spacing w:before="93"/>
        <w:rPr>
          <w:rFonts w:hint="default" w:ascii="Times New Roman" w:hAnsi="Times New Roman" w:eastAsia="方正小标宋简体" w:cs="Times New Roman"/>
          <w:kern w:val="2"/>
          <w:sz w:val="72"/>
          <w:szCs w:val="72"/>
        </w:rPr>
      </w:pPr>
    </w:p>
    <w:p w14:paraId="0B3DAE6B">
      <w:pPr>
        <w:pStyle w:val="7"/>
        <w:spacing w:before="93"/>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rPr>
        <w:t>2024年度州级部门（单位）决算</w:t>
      </w:r>
    </w:p>
    <w:p w14:paraId="5858F4AB">
      <w:pPr>
        <w:pStyle w:val="7"/>
        <w:spacing w:before="93"/>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rPr>
        <w:t>公开文字说明范本</w:t>
      </w:r>
    </w:p>
    <w:p w14:paraId="67AF2DFE">
      <w:pPr>
        <w:spacing w:line="600" w:lineRule="exact"/>
        <w:jc w:val="center"/>
        <w:outlineLvl w:val="0"/>
        <w:rPr>
          <w:rFonts w:hint="default" w:ascii="Times New Roman" w:hAnsi="Times New Roman" w:eastAsia="方正小标宋简体" w:cs="Times New Roman"/>
          <w:sz w:val="72"/>
          <w:szCs w:val="72"/>
        </w:rPr>
      </w:pPr>
    </w:p>
    <w:p w14:paraId="711A8B4C">
      <w:pPr>
        <w:pStyle w:val="22"/>
        <w:rPr>
          <w:rFonts w:hint="default" w:ascii="Times New Roman" w:hAnsi="Times New Roman" w:cs="Times New Roman"/>
        </w:rPr>
        <w:sectPr>
          <w:headerReference r:id="rId4" w:type="first"/>
          <w:footerReference r:id="rId6" w:type="first"/>
          <w:headerReference r:id="rId3" w:type="default"/>
          <w:footerReference r:id="rId5" w:type="default"/>
          <w:pgSz w:w="11906" w:h="16838"/>
          <w:pgMar w:top="1440" w:right="1800" w:bottom="1440" w:left="1800" w:header="851" w:footer="992" w:gutter="0"/>
          <w:pgNumType w:fmt="numberInDash" w:start="1"/>
          <w:cols w:space="425" w:num="1"/>
          <w:titlePg/>
          <w:docGrid w:type="lines" w:linePitch="312" w:charSpace="0"/>
        </w:sectPr>
      </w:pPr>
    </w:p>
    <w:p w14:paraId="4D2B47BA">
      <w:pPr>
        <w:pStyle w:val="7"/>
        <w:spacing w:before="93"/>
        <w:jc w:val="both"/>
        <w:rPr>
          <w:rFonts w:hint="default" w:ascii="Times New Roman" w:hAnsi="Times New Roman" w:eastAsia="方正小标宋简体" w:cs="Times New Roman"/>
          <w:kern w:val="2"/>
          <w:sz w:val="44"/>
          <w:szCs w:val="44"/>
        </w:rPr>
      </w:pPr>
    </w:p>
    <w:p w14:paraId="106B7653">
      <w:pPr>
        <w:pStyle w:val="7"/>
        <w:spacing w:before="93"/>
        <w:jc w:val="center"/>
        <w:rPr>
          <w:rFonts w:hint="default" w:ascii="Times New Roman" w:hAnsi="Times New Roman" w:eastAsia="方正小标宋简体" w:cs="Times New Roman"/>
          <w:kern w:val="2"/>
          <w:sz w:val="44"/>
          <w:szCs w:val="44"/>
        </w:rPr>
      </w:pPr>
    </w:p>
    <w:bookmarkEnd w:id="0"/>
    <w:bookmarkEnd w:id="1"/>
    <w:bookmarkEnd w:id="2"/>
    <w:bookmarkEnd w:id="3"/>
    <w:bookmarkEnd w:id="4"/>
    <w:p w14:paraId="0416F123">
      <w:pPr>
        <w:pStyle w:val="7"/>
        <w:spacing w:before="93"/>
        <w:jc w:val="center"/>
        <w:rPr>
          <w:rFonts w:hint="default" w:ascii="Times New Roman" w:hAnsi="Times New Roman" w:eastAsia="方正小标宋简体" w:cs="Times New Roman"/>
          <w:kern w:val="2"/>
          <w:sz w:val="44"/>
          <w:szCs w:val="44"/>
          <w:lang w:val="en-US" w:eastAsia="zh-CN"/>
        </w:rPr>
      </w:pPr>
      <w:bookmarkStart w:id="6" w:name="_Toc15377194"/>
      <w:bookmarkStart w:id="7" w:name="_Toc15396598"/>
      <w:bookmarkStart w:id="8" w:name="_Toc15377426"/>
      <w:bookmarkStart w:id="9" w:name="_Toc15378442"/>
      <w:bookmarkStart w:id="10" w:name="_Toc15396476"/>
      <w:r>
        <w:rPr>
          <w:rFonts w:hint="default" w:ascii="Times New Roman" w:hAnsi="Times New Roman" w:eastAsia="方正小标宋简体" w:cs="Times New Roman"/>
          <w:kern w:val="2"/>
          <w:sz w:val="44"/>
          <w:szCs w:val="44"/>
        </w:rPr>
        <w:t>2024年度</w:t>
      </w:r>
      <w:bookmarkEnd w:id="5"/>
      <w:bookmarkStart w:id="11" w:name="_Toc15306268"/>
      <w:r>
        <w:rPr>
          <w:rFonts w:hint="default" w:ascii="Times New Roman" w:hAnsi="Times New Roman" w:eastAsia="方正小标宋简体" w:cs="Times New Roman"/>
          <w:kern w:val="2"/>
          <w:sz w:val="44"/>
          <w:szCs w:val="44"/>
          <w:lang w:val="en-US" w:eastAsia="zh-CN"/>
        </w:rPr>
        <w:t>大熊猫国家公园阿坝管理分局</w:t>
      </w:r>
    </w:p>
    <w:p w14:paraId="47AEF975">
      <w:pPr>
        <w:pStyle w:val="7"/>
        <w:spacing w:before="93"/>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rPr>
        <w:t>部门决算</w:t>
      </w:r>
      <w:bookmarkEnd w:id="6"/>
      <w:bookmarkEnd w:id="7"/>
      <w:bookmarkEnd w:id="8"/>
      <w:bookmarkEnd w:id="9"/>
      <w:bookmarkEnd w:id="10"/>
      <w:bookmarkEnd w:id="11"/>
    </w:p>
    <w:p w14:paraId="202D6ADA">
      <w:pPr>
        <w:widowControl/>
        <w:jc w:val="center"/>
        <w:rPr>
          <w:rFonts w:hint="default" w:ascii="Times New Roman" w:hAnsi="Times New Roman" w:eastAsia="黑体" w:cs="Times New Roman"/>
          <w:sz w:val="48"/>
          <w:szCs w:val="48"/>
        </w:rPr>
        <w:sectPr>
          <w:footerReference r:id="rId8" w:type="first"/>
          <w:footerReference r:id="rId7" w:type="default"/>
          <w:pgSz w:w="11906" w:h="16838"/>
          <w:pgMar w:top="1440" w:right="1800" w:bottom="1440" w:left="1800" w:header="851" w:footer="992" w:gutter="0"/>
          <w:pgNumType w:fmt="numberInDash" w:start="1"/>
          <w:cols w:space="425" w:num="1"/>
          <w:titlePg/>
          <w:docGrid w:type="lines" w:linePitch="312" w:charSpace="0"/>
        </w:sectPr>
      </w:pPr>
    </w:p>
    <w:p w14:paraId="48525C46">
      <w:pPr>
        <w:widowControl/>
        <w:jc w:val="center"/>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14:paraId="3A675FA4">
      <w:pPr>
        <w:widowControl/>
        <w:jc w:val="center"/>
        <w:rPr>
          <w:rFonts w:hint="default" w:ascii="Times New Roman" w:hAnsi="Times New Roman" w:eastAsia="黑体" w:cs="Times New Roman"/>
          <w:sz w:val="28"/>
          <w:szCs w:val="28"/>
        </w:rPr>
      </w:pPr>
    </w:p>
    <w:p w14:paraId="3AB94423">
      <w:pPr>
        <w:pStyle w:val="14"/>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公开时间：2024年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日</w:t>
      </w:r>
    </w:p>
    <w:p w14:paraId="63C0BCB0">
      <w:pPr>
        <w:rPr>
          <w:rFonts w:hint="default" w:ascii="Times New Roman" w:hAnsi="Times New Roman" w:cs="Times New Roman"/>
        </w:rPr>
      </w:pPr>
    </w:p>
    <w:p w14:paraId="162A9EE7">
      <w:pPr>
        <w:pStyle w:val="14"/>
        <w:adjustRightInd w:val="0"/>
        <w:snapToGrid w:val="0"/>
        <w:spacing w:before="0" w:line="560" w:lineRule="exact"/>
        <w:jc w:val="left"/>
        <w:rPr>
          <w:rFonts w:hint="eastAsia" w:ascii="Times New Roman" w:hAnsi="Times New Roman" w:eastAsia="仿宋" w:cs="Times New Roman"/>
          <w:sz w:val="32"/>
          <w:szCs w:val="32"/>
          <w:lang w:eastAsia="zh-CN"/>
        </w:rPr>
      </w:pPr>
      <w:r>
        <w:rPr>
          <w:rFonts w:hint="default" w:ascii="Times New Roman" w:hAnsi="Times New Roman" w:eastAsia="黑体" w:cs="Times New Roman"/>
          <w:sz w:val="32"/>
          <w:szCs w:val="32"/>
        </w:rPr>
        <w:t>第一部分 部门概况</w:t>
      </w:r>
      <w:r>
        <w:rPr>
          <w:rFonts w:hint="default" w:ascii="Times New Roman" w:hAnsi="Times New Roman" w:cs="Times New Roman"/>
          <w:b w:val="0"/>
          <w:bCs/>
        </w:rPr>
        <w:tab/>
      </w:r>
      <w:r>
        <w:rPr>
          <w:rFonts w:hint="eastAsia" w:ascii="Times New Roman" w:hAnsi="Times New Roman" w:cs="Times New Roman"/>
          <w:b w:val="0"/>
          <w:bCs/>
          <w:lang w:val="en-US" w:eastAsia="zh-CN"/>
        </w:rPr>
        <w:t>..................... 5</w:t>
      </w:r>
    </w:p>
    <w:p w14:paraId="07155AE4">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一、部门职责</w:t>
      </w:r>
      <w:r>
        <w:rPr>
          <w:rFonts w:hint="eastAsia" w:ascii="Times New Roman" w:hAnsi="Times New Roman" w:eastAsia="仿宋_GB2312" w:cs="Times New Roman"/>
          <w:sz w:val="32"/>
          <w:szCs w:val="32"/>
          <w:lang w:val="en-US" w:eastAsia="zh-CN"/>
        </w:rPr>
        <w:t>.......................................................................5</w:t>
      </w:r>
    </w:p>
    <w:p w14:paraId="4FBD899C">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二、机构设置</w:t>
      </w:r>
      <w:r>
        <w:rPr>
          <w:rFonts w:hint="eastAsia" w:ascii="Times New Roman" w:hAnsi="Times New Roman" w:eastAsia="仿宋_GB2312" w:cs="Times New Roman"/>
          <w:sz w:val="32"/>
          <w:szCs w:val="32"/>
          <w:lang w:val="en-US" w:eastAsia="zh-CN"/>
        </w:rPr>
        <w:t>.......................................................................7</w:t>
      </w:r>
    </w:p>
    <w:p w14:paraId="5D6095BD">
      <w:pPr>
        <w:pStyle w:val="14"/>
        <w:adjustRightInd w:val="0"/>
        <w:snapToGrid w:val="0"/>
        <w:spacing w:before="0" w:line="56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第二部分 2024年度部门决算情况说明</w:t>
      </w:r>
      <w:r>
        <w:rPr>
          <w:rFonts w:hint="eastAsia" w:ascii="Times New Roman" w:hAnsi="Times New Roman" w:eastAsia="黑体" w:cs="Times New Roman"/>
          <w:sz w:val="32"/>
          <w:szCs w:val="32"/>
          <w:lang w:val="en-US" w:eastAsia="zh-CN"/>
        </w:rPr>
        <w:t>...................................8</w:t>
      </w:r>
    </w:p>
    <w:p w14:paraId="5155C649">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一、收入支出决算总体情况说明</w:t>
      </w:r>
      <w:r>
        <w:rPr>
          <w:rFonts w:hint="eastAsia" w:ascii="Times New Roman" w:hAnsi="Times New Roman" w:eastAsia="仿宋_GB2312" w:cs="Times New Roman"/>
          <w:sz w:val="32"/>
          <w:szCs w:val="32"/>
          <w:lang w:val="en-US" w:eastAsia="zh-CN"/>
        </w:rPr>
        <w:t>......................................8</w:t>
      </w:r>
    </w:p>
    <w:p w14:paraId="4FCE229F">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二、收入决算情况说明</w:t>
      </w:r>
      <w:r>
        <w:rPr>
          <w:rFonts w:hint="eastAsia" w:ascii="Times New Roman" w:hAnsi="Times New Roman" w:eastAsia="仿宋_GB2312" w:cs="Times New Roman"/>
          <w:sz w:val="32"/>
          <w:szCs w:val="32"/>
          <w:lang w:val="en-US" w:eastAsia="zh-CN"/>
        </w:rPr>
        <w:t>.......................................................8</w:t>
      </w:r>
    </w:p>
    <w:p w14:paraId="033A218A">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三、支出决算情况说明</w:t>
      </w:r>
      <w:r>
        <w:rPr>
          <w:rFonts w:hint="eastAsia" w:ascii="Times New Roman" w:hAnsi="Times New Roman" w:eastAsia="仿宋_GB2312" w:cs="Times New Roman"/>
          <w:sz w:val="32"/>
          <w:szCs w:val="32"/>
          <w:lang w:val="en-US" w:eastAsia="zh-CN"/>
        </w:rPr>
        <w:t>......................................................9</w:t>
      </w:r>
    </w:p>
    <w:p w14:paraId="2FE2F279">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四、财政拨款收入支出决算总体情况说明</w:t>
      </w:r>
      <w:r>
        <w:rPr>
          <w:rFonts w:hint="eastAsia" w:ascii="Times New Roman" w:hAnsi="Times New Roman" w:eastAsia="仿宋_GB2312" w:cs="Times New Roman"/>
          <w:sz w:val="32"/>
          <w:szCs w:val="32"/>
          <w:lang w:val="en-US" w:eastAsia="zh-CN"/>
        </w:rPr>
        <w:t>......................9</w:t>
      </w:r>
    </w:p>
    <w:p w14:paraId="05A94E15">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五、一般公共预算财政拨款支出决算情况说明</w:t>
      </w:r>
      <w:r>
        <w:rPr>
          <w:rFonts w:hint="eastAsia" w:ascii="Times New Roman" w:hAnsi="Times New Roman" w:eastAsia="仿宋_GB2312" w:cs="Times New Roman"/>
          <w:sz w:val="32"/>
          <w:szCs w:val="32"/>
          <w:lang w:val="en-US" w:eastAsia="zh-CN"/>
        </w:rPr>
        <w:t>.............10</w:t>
      </w:r>
    </w:p>
    <w:p w14:paraId="56D489FE">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六、一般公共预算财政拨款基本支出决算情况说明</w:t>
      </w:r>
      <w:r>
        <w:rPr>
          <w:rFonts w:hint="eastAsia" w:ascii="Times New Roman" w:hAnsi="Times New Roman" w:eastAsia="仿宋_GB2312" w:cs="Times New Roman"/>
          <w:sz w:val="32"/>
          <w:szCs w:val="32"/>
          <w:lang w:val="en-US" w:eastAsia="zh-CN"/>
        </w:rPr>
        <w:t>.....13</w:t>
      </w:r>
    </w:p>
    <w:p w14:paraId="5E00F471">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七、财政拨款“三公”经费支出决算情况说明</w:t>
      </w:r>
      <w:r>
        <w:rPr>
          <w:rFonts w:hint="eastAsia" w:ascii="Times New Roman" w:hAnsi="Times New Roman" w:eastAsia="仿宋_GB2312" w:cs="Times New Roman"/>
          <w:sz w:val="32"/>
          <w:szCs w:val="32"/>
          <w:lang w:val="en-US" w:eastAsia="zh-CN"/>
        </w:rPr>
        <w:t>..................13</w:t>
      </w:r>
    </w:p>
    <w:p w14:paraId="3B729C15">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八、政府性基金预算支出决算情况说明</w:t>
      </w:r>
      <w:r>
        <w:rPr>
          <w:rFonts w:hint="eastAsia" w:ascii="Times New Roman" w:hAnsi="Times New Roman" w:eastAsia="仿宋_GB2312" w:cs="Times New Roman"/>
          <w:sz w:val="32"/>
          <w:szCs w:val="32"/>
          <w:lang w:val="en-US" w:eastAsia="zh-CN"/>
        </w:rPr>
        <w:t>........................15</w:t>
      </w:r>
    </w:p>
    <w:p w14:paraId="1FFEFCFA">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九、国有资本经营预算支出决算情况说明</w:t>
      </w:r>
      <w:r>
        <w:rPr>
          <w:rFonts w:hint="eastAsia" w:ascii="Times New Roman" w:hAnsi="Times New Roman" w:eastAsia="仿宋_GB2312" w:cs="Times New Roman"/>
          <w:sz w:val="32"/>
          <w:szCs w:val="32"/>
          <w:lang w:val="en-US" w:eastAsia="zh-CN"/>
        </w:rPr>
        <w:t>.....................16</w:t>
      </w:r>
    </w:p>
    <w:p w14:paraId="23B50E32">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十、其他重要事项的情况说明</w:t>
      </w:r>
      <w:r>
        <w:rPr>
          <w:rFonts w:hint="eastAsia" w:ascii="Times New Roman" w:hAnsi="Times New Roman" w:eastAsia="仿宋_GB2312" w:cs="Times New Roman"/>
          <w:sz w:val="32"/>
          <w:szCs w:val="32"/>
          <w:lang w:val="en-US" w:eastAsia="zh-CN"/>
        </w:rPr>
        <w:t>.........................................16</w:t>
      </w:r>
    </w:p>
    <w:p w14:paraId="0D792C5F">
      <w:pPr>
        <w:pStyle w:val="14"/>
        <w:adjustRightInd w:val="0"/>
        <w:snapToGrid w:val="0"/>
        <w:spacing w:before="0" w:line="56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第三部分 名词解释</w:t>
      </w:r>
      <w:r>
        <w:rPr>
          <w:rFonts w:hint="eastAsia" w:ascii="Times New Roman" w:hAnsi="Times New Roman" w:eastAsia="黑体" w:cs="Times New Roman"/>
          <w:sz w:val="32"/>
          <w:szCs w:val="32"/>
          <w:lang w:val="en-US" w:eastAsia="zh-CN"/>
        </w:rPr>
        <w:t>.................................................................19</w:t>
      </w:r>
    </w:p>
    <w:p w14:paraId="5BA7B373">
      <w:pPr>
        <w:pStyle w:val="14"/>
        <w:adjustRightInd w:val="0"/>
        <w:snapToGrid w:val="0"/>
        <w:spacing w:before="0" w:line="56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第四部分 附件</w:t>
      </w:r>
      <w:r>
        <w:rPr>
          <w:rFonts w:hint="eastAsia" w:ascii="Times New Roman" w:hAnsi="Times New Roman" w:eastAsia="黑体" w:cs="Times New Roman"/>
          <w:sz w:val="32"/>
          <w:szCs w:val="32"/>
          <w:lang w:val="en-US" w:eastAsia="zh-CN"/>
        </w:rPr>
        <w:t>.........................................................................22</w:t>
      </w:r>
    </w:p>
    <w:p w14:paraId="0F0A60EC">
      <w:pPr>
        <w:pStyle w:val="14"/>
        <w:adjustRightInd w:val="0"/>
        <w:snapToGrid w:val="0"/>
        <w:spacing w:before="0" w:line="56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第五部分 附表</w:t>
      </w:r>
      <w:r>
        <w:rPr>
          <w:rFonts w:hint="eastAsia" w:ascii="Times New Roman" w:hAnsi="Times New Roman" w:eastAsia="黑体" w:cs="Times New Roman"/>
          <w:sz w:val="32"/>
          <w:szCs w:val="32"/>
          <w:lang w:val="en-US" w:eastAsia="zh-CN"/>
        </w:rPr>
        <w:t>.........................................................................39</w:t>
      </w:r>
    </w:p>
    <w:p w14:paraId="25B9FD90">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一、收入支出决算总表</w:t>
      </w:r>
      <w:r>
        <w:rPr>
          <w:rFonts w:hint="eastAsia" w:ascii="Times New Roman" w:hAnsi="Times New Roman" w:eastAsia="仿宋_GB2312" w:cs="Times New Roman"/>
          <w:sz w:val="32"/>
          <w:szCs w:val="32"/>
          <w:lang w:val="en-US" w:eastAsia="zh-CN"/>
        </w:rPr>
        <w:t>....................................................39</w:t>
      </w:r>
    </w:p>
    <w:p w14:paraId="6D72D4AC">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二、收入决算表</w:t>
      </w:r>
      <w:r>
        <w:rPr>
          <w:rFonts w:hint="eastAsia" w:ascii="Times New Roman" w:hAnsi="Times New Roman" w:eastAsia="仿宋_GB2312" w:cs="Times New Roman"/>
          <w:sz w:val="32"/>
          <w:szCs w:val="32"/>
          <w:lang w:val="en-US" w:eastAsia="zh-CN"/>
        </w:rPr>
        <w:t>.................................................................39</w:t>
      </w:r>
    </w:p>
    <w:p w14:paraId="7004AF0A">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三、支出决算表</w:t>
      </w:r>
      <w:r>
        <w:rPr>
          <w:rFonts w:hint="eastAsia" w:ascii="Times New Roman" w:hAnsi="Times New Roman" w:eastAsia="仿宋_GB2312" w:cs="Times New Roman"/>
          <w:sz w:val="32"/>
          <w:szCs w:val="32"/>
          <w:lang w:val="en-US" w:eastAsia="zh-CN"/>
        </w:rPr>
        <w:t>................................................................39</w:t>
      </w:r>
    </w:p>
    <w:p w14:paraId="171FD466">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sectPr>
          <w:footerReference r:id="rId10" w:type="first"/>
          <w:footerReference r:id="rId9" w:type="default"/>
          <w:pgSz w:w="11906" w:h="16838"/>
          <w:pgMar w:top="1440" w:right="1800" w:bottom="1440" w:left="1800" w:header="851" w:footer="992" w:gutter="0"/>
          <w:pgNumType w:fmt="numberInDash" w:start="1"/>
          <w:cols w:space="425" w:num="1"/>
          <w:docGrid w:type="lines" w:linePitch="312" w:charSpace="0"/>
        </w:sectPr>
      </w:pPr>
    </w:p>
    <w:p w14:paraId="694E3723">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四、财政拨款收入支出决算总表</w:t>
      </w:r>
      <w:r>
        <w:rPr>
          <w:rFonts w:hint="eastAsia" w:ascii="Times New Roman" w:hAnsi="Times New Roman" w:eastAsia="仿宋_GB2312" w:cs="Times New Roman"/>
          <w:sz w:val="32"/>
          <w:szCs w:val="32"/>
          <w:lang w:val="en-US" w:eastAsia="zh-CN"/>
        </w:rPr>
        <w:t>.....................................39</w:t>
      </w:r>
    </w:p>
    <w:p w14:paraId="77CDBED6">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五、财政拨款支出决算明细表</w:t>
      </w:r>
      <w:r>
        <w:rPr>
          <w:rFonts w:hint="eastAsia" w:ascii="Times New Roman" w:hAnsi="Times New Roman" w:eastAsia="仿宋_GB2312" w:cs="Times New Roman"/>
          <w:sz w:val="32"/>
          <w:szCs w:val="32"/>
          <w:lang w:val="en-US" w:eastAsia="zh-CN"/>
        </w:rPr>
        <w:t>.........................................39</w:t>
      </w:r>
    </w:p>
    <w:p w14:paraId="2DA8883A">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六、一般公共预算财政拨款支出决算表</w:t>
      </w:r>
      <w:r>
        <w:rPr>
          <w:rFonts w:hint="eastAsia" w:ascii="Times New Roman" w:hAnsi="Times New Roman" w:eastAsia="仿宋_GB2312" w:cs="Times New Roman"/>
          <w:sz w:val="32"/>
          <w:szCs w:val="32"/>
          <w:lang w:val="en-US" w:eastAsia="zh-CN"/>
        </w:rPr>
        <w:t>.........................39</w:t>
      </w:r>
    </w:p>
    <w:p w14:paraId="25B469D2">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七、一般公共预算财政拨款支出决算明细表</w:t>
      </w:r>
      <w:r>
        <w:rPr>
          <w:rFonts w:hint="eastAsia" w:ascii="Times New Roman" w:hAnsi="Times New Roman" w:eastAsia="仿宋_GB2312" w:cs="Times New Roman"/>
          <w:sz w:val="32"/>
          <w:szCs w:val="32"/>
          <w:lang w:val="en-US" w:eastAsia="zh-CN"/>
        </w:rPr>
        <w:t>.................39</w:t>
      </w:r>
    </w:p>
    <w:p w14:paraId="3BD6C084">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八、一般公共预算财政拨款基本支出决算明细表</w:t>
      </w:r>
      <w:r>
        <w:rPr>
          <w:rFonts w:hint="eastAsia" w:ascii="Times New Roman" w:hAnsi="Times New Roman" w:eastAsia="仿宋_GB2312" w:cs="Times New Roman"/>
          <w:sz w:val="32"/>
          <w:szCs w:val="32"/>
          <w:lang w:val="en-US" w:eastAsia="zh-CN"/>
        </w:rPr>
        <w:t>.........39</w:t>
      </w:r>
    </w:p>
    <w:p w14:paraId="524B9B3A">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九、一般公共预算财政拨款项目支出决算表</w:t>
      </w:r>
      <w:r>
        <w:rPr>
          <w:rFonts w:hint="eastAsia" w:ascii="Times New Roman" w:hAnsi="Times New Roman" w:eastAsia="仿宋_GB2312" w:cs="Times New Roman"/>
          <w:sz w:val="32"/>
          <w:szCs w:val="32"/>
          <w:lang w:val="en-US" w:eastAsia="zh-CN"/>
        </w:rPr>
        <w:t>.................39</w:t>
      </w:r>
    </w:p>
    <w:p w14:paraId="7477C8A1">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十、政府性基金预算财政拨款收入支出决算表</w:t>
      </w:r>
      <w:r>
        <w:rPr>
          <w:rFonts w:hint="eastAsia" w:ascii="Times New Roman" w:hAnsi="Times New Roman" w:eastAsia="仿宋_GB2312" w:cs="Times New Roman"/>
          <w:sz w:val="32"/>
          <w:szCs w:val="32"/>
          <w:lang w:val="en-US" w:eastAsia="zh-CN"/>
        </w:rPr>
        <w:t>............39</w:t>
      </w:r>
    </w:p>
    <w:p w14:paraId="7EEFC5DB">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十一、国有资本经营预算财政拨款收入支出决算表</w:t>
      </w:r>
      <w:r>
        <w:rPr>
          <w:rFonts w:hint="eastAsia" w:ascii="Times New Roman" w:hAnsi="Times New Roman" w:eastAsia="仿宋_GB2312" w:cs="Times New Roman"/>
          <w:sz w:val="32"/>
          <w:szCs w:val="32"/>
          <w:lang w:val="en-US" w:eastAsia="zh-CN"/>
        </w:rPr>
        <w:t>.....39</w:t>
      </w:r>
    </w:p>
    <w:p w14:paraId="70742367">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十二、国有资本经营预算财政拨款支出决算表</w:t>
      </w:r>
      <w:r>
        <w:rPr>
          <w:rFonts w:hint="eastAsia" w:ascii="Times New Roman" w:hAnsi="Times New Roman" w:eastAsia="仿宋_GB2312" w:cs="Times New Roman"/>
          <w:sz w:val="32"/>
          <w:szCs w:val="32"/>
          <w:lang w:val="en-US" w:eastAsia="zh-CN"/>
        </w:rPr>
        <w:t>.............39</w:t>
      </w:r>
    </w:p>
    <w:p w14:paraId="3B3F2705">
      <w:pPr>
        <w:pStyle w:val="16"/>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十三、财政拨款“三公”经费支出决算表</w:t>
      </w:r>
      <w:r>
        <w:rPr>
          <w:rFonts w:hint="eastAsia" w:ascii="Times New Roman" w:hAnsi="Times New Roman" w:eastAsia="仿宋_GB2312" w:cs="Times New Roman"/>
          <w:sz w:val="32"/>
          <w:szCs w:val="32"/>
          <w:lang w:val="en-US" w:eastAsia="zh-CN"/>
        </w:rPr>
        <w:t>..........................39</w:t>
      </w:r>
    </w:p>
    <w:p w14:paraId="5AD2E822">
      <w:pPr>
        <w:pStyle w:val="16"/>
        <w:adjustRightInd w:val="0"/>
        <w:snapToGrid w:val="0"/>
        <w:spacing w:line="560" w:lineRule="exact"/>
        <w:ind w:left="0" w:leftChars="0" w:firstLine="643" w:firstLineChars="200"/>
        <w:jc w:val="lef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（注：请部门根据实际注明页码）</w:t>
      </w:r>
    </w:p>
    <w:p w14:paraId="50298CF7">
      <w:pPr>
        <w:pStyle w:val="2"/>
        <w:jc w:val="center"/>
        <w:rPr>
          <w:rFonts w:hint="default" w:ascii="Times New Roman" w:hAnsi="Times New Roman" w:eastAsia="方正小标宋简体" w:cs="Times New Roman"/>
          <w:b w:val="0"/>
        </w:rPr>
        <w:sectPr>
          <w:footerReference r:id="rId11" w:type="default"/>
          <w:pgSz w:w="11906" w:h="16838"/>
          <w:pgMar w:top="1440" w:right="1800" w:bottom="1440" w:left="1800" w:header="851" w:footer="992" w:gutter="0"/>
          <w:pgNumType w:fmt="numberInDash" w:start="1"/>
          <w:cols w:space="425" w:num="1"/>
          <w:docGrid w:type="lines" w:linePitch="312" w:charSpace="0"/>
        </w:sectPr>
      </w:pPr>
      <w:bookmarkStart w:id="12" w:name="_Toc15377196"/>
      <w:bookmarkStart w:id="13" w:name="_Toc15396599"/>
    </w:p>
    <w:p w14:paraId="6E8BE59E">
      <w:pPr>
        <w:pStyle w:val="2"/>
        <w:jc w:val="center"/>
        <w:rPr>
          <w:rFonts w:hint="default" w:ascii="Times New Roman" w:hAnsi="Times New Roman" w:eastAsia="黑体" w:cs="Times New Roman"/>
          <w:sz w:val="32"/>
          <w:szCs w:val="32"/>
        </w:rPr>
      </w:pPr>
      <w:r>
        <w:rPr>
          <w:rFonts w:hint="default" w:ascii="Times New Roman" w:hAnsi="Times New Roman" w:eastAsia="方正小标宋简体" w:cs="Times New Roman"/>
          <w:b w:val="0"/>
        </w:rPr>
        <w:t xml:space="preserve">第一部分  </w:t>
      </w:r>
      <w:r>
        <w:rPr>
          <w:rStyle w:val="31"/>
          <w:rFonts w:hint="default" w:ascii="Times New Roman" w:hAnsi="Times New Roman" w:eastAsia="方正小标宋简体" w:cs="Times New Roman"/>
          <w:b w:val="0"/>
          <w:bCs w:val="0"/>
        </w:rPr>
        <w:t>部门概况</w:t>
      </w:r>
      <w:bookmarkEnd w:id="12"/>
      <w:bookmarkEnd w:id="13"/>
    </w:p>
    <w:p w14:paraId="77367542">
      <w:pPr>
        <w:pStyle w:val="3"/>
        <w:rPr>
          <w:rFonts w:hint="default" w:ascii="Times New Roman" w:hAnsi="Times New Roman" w:eastAsia="黑体" w:cs="Times New Roman"/>
          <w:b w:val="0"/>
        </w:rPr>
      </w:pPr>
      <w:bookmarkStart w:id="14" w:name="_Toc15396600"/>
      <w:bookmarkStart w:id="15" w:name="_Toc15377197"/>
      <w:r>
        <w:rPr>
          <w:rFonts w:hint="default" w:ascii="Times New Roman" w:hAnsi="Times New Roman" w:eastAsia="黑体" w:cs="Times New Roman"/>
          <w:b w:val="0"/>
        </w:rPr>
        <w:t>一、</w:t>
      </w:r>
      <w:bookmarkEnd w:id="14"/>
      <w:bookmarkEnd w:id="15"/>
      <w:r>
        <w:rPr>
          <w:rFonts w:hint="default" w:ascii="Times New Roman" w:hAnsi="Times New Roman" w:eastAsia="黑体" w:cs="Times New Roman"/>
          <w:b w:val="0"/>
        </w:rPr>
        <w:t>部门职责</w:t>
      </w:r>
    </w:p>
    <w:p w14:paraId="07D1000E">
      <w:pPr>
        <w:ind w:firstLine="800" w:firstLineChars="250"/>
        <w:rPr>
          <w:rFonts w:hint="default" w:ascii="Times New Roman" w:hAnsi="Times New Roman" w:eastAsia="仿宋_GB2312" w:cs="Times New Roman"/>
          <w:sz w:val="32"/>
          <w:szCs w:val="32"/>
        </w:rPr>
      </w:pPr>
      <w:bookmarkStart w:id="16" w:name="_Toc15377200"/>
      <w:bookmarkStart w:id="17" w:name="_Toc15396601"/>
      <w:r>
        <w:rPr>
          <w:rFonts w:hint="default" w:ascii="Times New Roman" w:hAnsi="Times New Roman" w:eastAsia="仿宋_GB2312" w:cs="Times New Roman"/>
          <w:sz w:val="32"/>
          <w:szCs w:val="32"/>
        </w:rPr>
        <w:t>根据阿委办发〔2020〕12号文件规定，我局主要职责是：具体承担辖区内大熊猫国家公园体制试点工作。负责以大熊猫为核心的生物多样性保护和资源环境综合执法；负责项目审查；组织实施特许经营和社会参与，建立社区可持续发展机制；配合地方政府落实国家公园内生产经营设施退出和生态移民搬迁工作；开展巡护监测、科学研究、生态体验和科普教育；组织实施生态工程、保护设施建设。完成省局交办的其他工作。</w:t>
      </w:r>
    </w:p>
    <w:p w14:paraId="04481A2A">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监督管理大熊猫国家公园阿坝园区野生动植物保护工作。开展阿坝园区野生动植物资源调查和资源状况评估，制定和落实野生动植物资源保护发展方案；监督管理阿坝园区陆生野生植物的采集、培植、经营利用；组织开展大熊猫保护、繁育、科研工作以及对外合作研究展示管理工作；开展陆生野生植物救护工作，开展野生动植物资源的保护与开发利用工作；开展陆生野生动物疫源疫病监测工作。</w:t>
      </w:r>
    </w:p>
    <w:p w14:paraId="748F84D6">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栖息地保护管理和相关规划。组织编制并组织实施大熊猫国家公园有关规划；负责大熊猫国家公园区划调整和保护地整合相关工作；组织开展大熊猫国家公园自然资源资产调查统计、监测评价；制定实施大熊猫国家公园自然生态保护计划和措施；组织实施大熊猫国家公园生态修复；负责规定权限内的项目审查。</w:t>
      </w:r>
    </w:p>
    <w:p w14:paraId="38622E0D">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大熊猫研究和科普宣教。组织开展国家公园大熊猫保护科学研究；组织开展大熊猫国家公园生物多样性和其他重要物种保护科学研究；承担大熊猫国家公园对外交流合作；组织开展大熊猫国家公园科学普及和自然教育活动；指导开展大熊猫国家公园游憩展示、生态体验和文化品牌建设。</w:t>
      </w:r>
    </w:p>
    <w:p w14:paraId="5FFC1F3C">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建立社区生态保护共建共管运行机制。监督管理大熊猫国家公园特许经营活动；组织实施大熊猫国家公园生态移民搬迁工作；开展大熊猫国家公园社会参与、生态公益岗位管理；开展大熊猫国家公园社区共建共管；加强大熊猫国家公园生态产业发展；开展大熊猫国家公园集体土地流转和生态效益补偿。</w:t>
      </w:r>
    </w:p>
    <w:p w14:paraId="7E3D44C4">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政策法规研究和执法监督。组织开展大熊猫国家公园重大问题调查研究；执行大熊猫国家公园栖息地保护管理重要政策和标准；执行大熊猫国家公园相关法规和规章；开展大熊猫国家公园资源环境综合执法；配合大熊猫国家公园生态环境保护督察检查；负责大熊猫国家公园资源环境综合执法队伍建设。</w:t>
      </w:r>
    </w:p>
    <w:p w14:paraId="710E3B3A">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各项建设和运行管理。组织编制并实施大熊猫国家公园基础设施建设规划；配合地方政府落实退出大熊猫国家公园生产经营设施；承担大熊猫国家公园管理、运营、公共服务等基础设施建设；承担大熊猫国家公园标识标志设置管理；负责大熊猫国家公园相关资产和设备管理；承担大熊猫国家公园数字化建设工作。</w:t>
      </w:r>
    </w:p>
    <w:p w14:paraId="020F2A88">
      <w:pPr>
        <w:pStyle w:val="17"/>
        <w:keepNext w:val="0"/>
        <w:keepLines w:val="0"/>
        <w:pageBreakBefore w:val="0"/>
        <w:shd w:val="clear" w:color="auto" w:fill="FFFFFF"/>
        <w:kinsoku/>
        <w:wordWrap/>
        <w:overflowPunct/>
        <w:topLinePunct w:val="0"/>
        <w:autoSpaceDE/>
        <w:autoSpaceDN/>
        <w:bidi w:val="0"/>
        <w:adjustRightInd/>
        <w:spacing w:before="0" w:beforeAutospacing="0" w:after="0" w:afterAutospacing="0" w:line="560" w:lineRule="exact"/>
        <w:ind w:firstLine="640" w:firstLineChars="200"/>
        <w:textAlignment w:val="auto"/>
        <w:rPr>
          <w:rStyle w:val="32"/>
          <w:rFonts w:hint="default" w:ascii="Times New Roman" w:hAnsi="Times New Roman" w:cs="Times New Roman"/>
          <w:b w:val="0"/>
          <w:bCs w:val="0"/>
        </w:rPr>
      </w:pPr>
      <w:r>
        <w:rPr>
          <w:rStyle w:val="32"/>
          <w:rFonts w:hint="default" w:ascii="Times New Roman" w:hAnsi="Times New Roman" w:eastAsia="黑体" w:cs="Times New Roman"/>
          <w:b w:val="0"/>
          <w:bCs w:val="0"/>
        </w:rPr>
        <w:t>二、机构设置</w:t>
      </w:r>
      <w:bookmarkEnd w:id="16"/>
      <w:bookmarkEnd w:id="17"/>
    </w:p>
    <w:p w14:paraId="6608527F">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下属二级预算单位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个，其中行政单位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个，参照公务员法管理的事业单位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个，其他事业单位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w:t>
      </w:r>
      <w:r>
        <w:rPr>
          <w:rFonts w:hint="default" w:ascii="Times New Roman" w:hAnsi="Times New Roman" w:eastAsia="仿宋_GB2312" w:cs="Times New Roman"/>
          <w:sz w:val="32"/>
          <w:szCs w:val="32"/>
          <w:lang w:eastAsia="zh-CN"/>
        </w:rPr>
        <w:t>。</w:t>
      </w:r>
    </w:p>
    <w:p w14:paraId="54F02169">
      <w:pPr>
        <w:spacing w:line="560" w:lineRule="exact"/>
        <w:ind w:firstLine="640" w:firstLineChars="200"/>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14:paraId="533D2F2E">
      <w:pPr>
        <w:pStyle w:val="2"/>
        <w:jc w:val="center"/>
        <w:rPr>
          <w:rFonts w:hint="default" w:ascii="Times New Roman" w:hAnsi="Times New Roman" w:eastAsia="方正小标宋简体" w:cs="Times New Roman"/>
          <w:b w:val="0"/>
        </w:rPr>
      </w:pPr>
      <w:bookmarkStart w:id="18" w:name="_Toc15377204"/>
      <w:bookmarkStart w:id="19" w:name="_Toc15396602"/>
      <w:r>
        <w:rPr>
          <w:rFonts w:hint="default" w:ascii="Times New Roman" w:hAnsi="Times New Roman" w:eastAsia="方正小标宋简体" w:cs="Times New Roman"/>
          <w:b w:val="0"/>
        </w:rPr>
        <w:t>第二部分  2024年度部门决算情况说明</w:t>
      </w:r>
      <w:bookmarkEnd w:id="18"/>
      <w:bookmarkEnd w:id="19"/>
    </w:p>
    <w:p w14:paraId="6B57631A">
      <w:pPr>
        <w:rPr>
          <w:rFonts w:hint="default" w:ascii="Times New Roman" w:hAnsi="Times New Roman" w:cs="Times New Roman"/>
        </w:rPr>
      </w:pPr>
    </w:p>
    <w:p w14:paraId="61C442B7">
      <w:pPr>
        <w:pStyle w:val="30"/>
        <w:spacing w:line="600" w:lineRule="exact"/>
        <w:ind w:firstLine="640"/>
        <w:outlineLvl w:val="1"/>
        <w:rPr>
          <w:rStyle w:val="32"/>
          <w:rFonts w:hint="default" w:ascii="Times New Roman" w:hAnsi="Times New Roman" w:eastAsia="黑体" w:cs="Times New Roman"/>
          <w:b w:val="0"/>
        </w:rPr>
      </w:pPr>
      <w:bookmarkStart w:id="20" w:name="_Toc15396603"/>
      <w:bookmarkStart w:id="21" w:name="_Toc15377205"/>
      <w:r>
        <w:rPr>
          <w:rFonts w:hint="default" w:ascii="Times New Roman" w:hAnsi="Times New Roman" w:eastAsia="黑体" w:cs="Times New Roman"/>
          <w:sz w:val="32"/>
          <w:szCs w:val="32"/>
        </w:rPr>
        <w:t>一、收</w:t>
      </w:r>
      <w:r>
        <w:rPr>
          <w:rStyle w:val="32"/>
          <w:rFonts w:hint="default" w:ascii="Times New Roman" w:hAnsi="Times New Roman" w:eastAsia="黑体" w:cs="Times New Roman"/>
          <w:b w:val="0"/>
        </w:rPr>
        <w:t>入支出决算总体情况说明</w:t>
      </w:r>
      <w:bookmarkEnd w:id="20"/>
      <w:bookmarkEnd w:id="21"/>
    </w:p>
    <w:p w14:paraId="1EFAC1ED">
      <w:pPr>
        <w:pStyle w:val="30"/>
        <w:spacing w:line="600" w:lineRule="exact"/>
        <w:ind w:firstLine="640"/>
        <w:jc w:val="left"/>
        <w:outlineLvl w:val="1"/>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2024年度收入、支出总计均为752.08万元。与2023年度相比，收入、支出总计各减少116.73万元，下降13.4%。主要变动原因是人员经费的减少和项目经费的减少。</w:t>
      </w:r>
    </w:p>
    <w:p w14:paraId="0E24F4E9">
      <w:pPr>
        <w:pStyle w:val="30"/>
        <w:spacing w:line="600" w:lineRule="exact"/>
        <w:ind w:firstLine="640"/>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（图1：收入、支出决算总计变动情况图）（柱状图）</w:t>
      </w:r>
    </w:p>
    <w:p w14:paraId="710455B3">
      <w:pPr>
        <w:pStyle w:val="30"/>
        <w:spacing w:line="600" w:lineRule="exact"/>
        <w:ind w:firstLine="640"/>
        <w:outlineLvl w:val="1"/>
        <w:rPr>
          <w:rFonts w:hint="default" w:ascii="Times New Roman" w:hAnsi="Times New Roman" w:eastAsia="仿宋_GB2312" w:cs="Times New Roman"/>
          <w:sz w:val="32"/>
          <w:szCs w:val="32"/>
        </w:rPr>
      </w:pPr>
      <w:r>
        <w:rPr>
          <w:rStyle w:val="20"/>
          <w:rFonts w:hint="default" w:ascii="Times New Roman" w:hAnsi="Times New Roman" w:eastAsia="仿宋_GB2312" w:cs="Times New Roman"/>
          <w:sz w:val="32"/>
          <w:szCs w:val="32"/>
        </w:rPr>
        <w:drawing>
          <wp:anchor distT="0" distB="0" distL="114300" distR="114300" simplePos="0" relativeHeight="251659264" behindDoc="0" locked="0" layoutInCell="1" allowOverlap="1">
            <wp:simplePos x="0" y="0"/>
            <wp:positionH relativeFrom="column">
              <wp:posOffset>1306830</wp:posOffset>
            </wp:positionH>
            <wp:positionV relativeFrom="paragraph">
              <wp:posOffset>24130</wp:posOffset>
            </wp:positionV>
            <wp:extent cx="2682240" cy="1905000"/>
            <wp:effectExtent l="0" t="0" r="0" b="0"/>
            <wp:wrapNone/>
            <wp:docPr id="5" name="图片 5" descr="173996656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39966564523"/>
                    <pic:cNvPicPr>
                      <a:picLocks noChangeAspect="1"/>
                    </pic:cNvPicPr>
                  </pic:nvPicPr>
                  <pic:blipFill>
                    <a:blip r:embed="rId14"/>
                    <a:stretch>
                      <a:fillRect/>
                    </a:stretch>
                  </pic:blipFill>
                  <pic:spPr>
                    <a:xfrm>
                      <a:off x="0" y="0"/>
                      <a:ext cx="2682240" cy="1905000"/>
                    </a:xfrm>
                    <a:prstGeom prst="rect">
                      <a:avLst/>
                    </a:prstGeom>
                    <a:noFill/>
                    <a:ln>
                      <a:noFill/>
                    </a:ln>
                  </pic:spPr>
                </pic:pic>
              </a:graphicData>
            </a:graphic>
          </wp:anchor>
        </w:drawing>
      </w:r>
    </w:p>
    <w:p w14:paraId="4A25153D">
      <w:pPr>
        <w:pStyle w:val="30"/>
        <w:spacing w:line="600" w:lineRule="exact"/>
        <w:ind w:firstLine="640"/>
        <w:outlineLvl w:val="1"/>
        <w:rPr>
          <w:rFonts w:hint="default" w:ascii="Times New Roman" w:hAnsi="Times New Roman" w:eastAsia="仿宋_GB2312" w:cs="Times New Roman"/>
          <w:sz w:val="32"/>
          <w:szCs w:val="32"/>
        </w:rPr>
      </w:pPr>
    </w:p>
    <w:p w14:paraId="4E52C700">
      <w:pPr>
        <w:ind w:firstLine="640" w:firstLineChars="200"/>
        <w:rPr>
          <w:rFonts w:hint="default" w:ascii="Times New Roman" w:hAnsi="Times New Roman" w:eastAsia="仿宋_GB2312" w:cs="Times New Roman"/>
          <w:sz w:val="32"/>
          <w:szCs w:val="32"/>
        </w:rPr>
      </w:pPr>
    </w:p>
    <w:p w14:paraId="4AFE41E8">
      <w:pPr>
        <w:ind w:firstLine="640" w:firstLineChars="200"/>
        <w:rPr>
          <w:rFonts w:hint="default" w:ascii="Times New Roman" w:hAnsi="Times New Roman" w:eastAsia="仿宋_GB2312" w:cs="Times New Roman"/>
          <w:sz w:val="32"/>
          <w:szCs w:val="32"/>
        </w:rPr>
      </w:pPr>
    </w:p>
    <w:p w14:paraId="0BECA24C">
      <w:pPr>
        <w:pStyle w:val="30"/>
        <w:spacing w:line="600" w:lineRule="exact"/>
        <w:ind w:firstLine="640"/>
        <w:outlineLvl w:val="1"/>
        <w:rPr>
          <w:rFonts w:hint="default" w:ascii="Times New Roman" w:hAnsi="Times New Roman" w:eastAsia="黑体" w:cs="Times New Roman"/>
          <w:sz w:val="32"/>
          <w:szCs w:val="32"/>
        </w:rPr>
      </w:pPr>
      <w:bookmarkStart w:id="22" w:name="_Toc15396604"/>
      <w:bookmarkStart w:id="23" w:name="_Toc15377206"/>
    </w:p>
    <w:p w14:paraId="07592078">
      <w:pPr>
        <w:pStyle w:val="30"/>
        <w:spacing w:line="600" w:lineRule="exact"/>
        <w:ind w:firstLine="640"/>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二、收入决算情况说明</w:t>
      </w:r>
      <w:bookmarkEnd w:id="22"/>
      <w:bookmarkEnd w:id="23"/>
    </w:p>
    <w:p w14:paraId="00EAB0F8">
      <w:pPr>
        <w:pStyle w:val="30"/>
        <w:spacing w:line="600" w:lineRule="exact"/>
        <w:ind w:firstLine="640"/>
        <w:jc w:val="left"/>
        <w:outlineLvl w:val="1"/>
        <w:rPr>
          <w:rFonts w:hint="default" w:ascii="Times New Roman" w:hAnsi="Times New Roman" w:eastAsia="仿宋_GB2312" w:cs="Times New Roman"/>
          <w:b/>
          <w:bCs/>
          <w:sz w:val="32"/>
          <w:szCs w:val="32"/>
        </w:rPr>
      </w:pPr>
      <w:r>
        <w:rPr>
          <w:rFonts w:hint="default" w:ascii="Times New Roman" w:hAnsi="Times New Roman" w:eastAsia="仿宋_GB2312" w:cs="Times New Roman"/>
          <w:kern w:val="2"/>
          <w:sz w:val="32"/>
          <w:szCs w:val="32"/>
          <w:lang w:val="en-US" w:eastAsia="zh-CN" w:bidi="ar-SA"/>
        </w:rPr>
        <w:t>2024年度本年收入合计752.08万元，其中：一般公共预算财政拨款收入752.08万元，占100%；政府性基金预算财政拨款收入0万元，占0%；国有资本经营预算财政拨款收入0万元，占0%；上级补助收入0万元，占0%；事业收入0万元，占0%；经营收入0万元，占0%；附属单位上缴收入0万元，占0%；其他收入0万元，占0%。</w:t>
      </w:r>
    </w:p>
    <w:p w14:paraId="47DA684E">
      <w:pPr>
        <w:ind w:firstLine="800" w:firstLineChars="25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（图2：收入决算结构图）（饼状图）</w:t>
      </w:r>
      <w:r>
        <w:rPr>
          <w:rFonts w:hint="default" w:ascii="Times New Roman" w:hAnsi="Times New Roman" w:cs="Times New Roman"/>
        </w:rPr>
        <w:drawing>
          <wp:inline distT="0" distB="0" distL="114300" distR="114300">
            <wp:extent cx="3183890" cy="2719070"/>
            <wp:effectExtent l="0" t="0" r="1270" b="889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5"/>
                    <a:stretch>
                      <a:fillRect/>
                    </a:stretch>
                  </pic:blipFill>
                  <pic:spPr>
                    <a:xfrm>
                      <a:off x="0" y="0"/>
                      <a:ext cx="3183890" cy="2719070"/>
                    </a:xfrm>
                    <a:prstGeom prst="rect">
                      <a:avLst/>
                    </a:prstGeom>
                    <a:noFill/>
                    <a:ln>
                      <a:noFill/>
                    </a:ln>
                  </pic:spPr>
                </pic:pic>
              </a:graphicData>
            </a:graphic>
          </wp:inline>
        </w:drawing>
      </w:r>
    </w:p>
    <w:p w14:paraId="7D954DA0">
      <w:pPr>
        <w:pStyle w:val="30"/>
        <w:spacing w:line="600" w:lineRule="exact"/>
        <w:ind w:left="0" w:leftChars="0" w:firstLine="640" w:firstLineChars="200"/>
        <w:outlineLvl w:val="1"/>
        <w:rPr>
          <w:rStyle w:val="32"/>
          <w:rFonts w:hint="default" w:ascii="Times New Roman" w:hAnsi="Times New Roman" w:eastAsia="黑体" w:cs="Times New Roman"/>
          <w:b w:val="0"/>
        </w:rPr>
      </w:pPr>
      <w:bookmarkStart w:id="24" w:name="_Toc15377207"/>
      <w:bookmarkStart w:id="25" w:name="_Toc15396605"/>
      <w:r>
        <w:rPr>
          <w:rFonts w:hint="default" w:ascii="Times New Roman" w:hAnsi="Times New Roman" w:eastAsia="黑体" w:cs="Times New Roman"/>
          <w:sz w:val="32"/>
          <w:szCs w:val="32"/>
        </w:rPr>
        <w:t>三、支</w:t>
      </w:r>
      <w:r>
        <w:rPr>
          <w:rStyle w:val="32"/>
          <w:rFonts w:hint="default" w:ascii="Times New Roman" w:hAnsi="Times New Roman" w:eastAsia="黑体" w:cs="Times New Roman"/>
          <w:b w:val="0"/>
        </w:rPr>
        <w:t>出决算情况说明</w:t>
      </w:r>
      <w:bookmarkEnd w:id="24"/>
      <w:bookmarkEnd w:id="25"/>
    </w:p>
    <w:p w14:paraId="5ADEC559">
      <w:pPr>
        <w:pStyle w:val="30"/>
        <w:spacing w:line="600" w:lineRule="exact"/>
        <w:ind w:firstLine="640"/>
        <w:jc w:val="left"/>
        <w:outlineLvl w:val="1"/>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2024年度本年支出合计752.08万元，其中：基本支出568.34万元，占76%；项目支出183.74万元，占24%；上缴上级支出0万元，占0%；经营支出0万元，占0%；对附属单位补助支出0万元，占0%。</w:t>
      </w:r>
    </w:p>
    <w:p w14:paraId="049F604B">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（图3：支出决算结构图）（饼状图）</w:t>
      </w:r>
    </w:p>
    <w:p w14:paraId="70A88AAD">
      <w:pPr>
        <w:pStyle w:val="5"/>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3451860" cy="2278380"/>
            <wp:effectExtent l="4445" t="5080" r="18415" b="1778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4075097">
      <w:pPr>
        <w:spacing w:line="600" w:lineRule="exact"/>
        <w:ind w:firstLine="640" w:firstLineChars="200"/>
        <w:outlineLvl w:val="1"/>
        <w:rPr>
          <w:rStyle w:val="32"/>
          <w:rFonts w:hint="default" w:ascii="Times New Roman" w:hAnsi="Times New Roman" w:eastAsia="黑体" w:cs="Times New Roman"/>
          <w:b w:val="0"/>
        </w:rPr>
      </w:pPr>
      <w:bookmarkStart w:id="26" w:name="_Toc15377208"/>
      <w:bookmarkStart w:id="27" w:name="_Toc15396606"/>
      <w:r>
        <w:rPr>
          <w:rFonts w:hint="default" w:ascii="Times New Roman" w:hAnsi="Times New Roman" w:eastAsia="黑体" w:cs="Times New Roman"/>
          <w:sz w:val="32"/>
          <w:szCs w:val="32"/>
        </w:rPr>
        <w:t>四、财</w:t>
      </w:r>
      <w:r>
        <w:rPr>
          <w:rStyle w:val="32"/>
          <w:rFonts w:hint="default" w:ascii="Times New Roman" w:hAnsi="Times New Roman" w:eastAsia="黑体" w:cs="Times New Roman"/>
          <w:b w:val="0"/>
        </w:rPr>
        <w:t>政拨款收入支出决算总体情况说明</w:t>
      </w:r>
      <w:bookmarkEnd w:id="26"/>
      <w:bookmarkEnd w:id="27"/>
    </w:p>
    <w:p w14:paraId="16A7A183">
      <w:pPr>
        <w:spacing w:line="600"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2024年度财政拨款收入、支出总计均为</w:t>
      </w:r>
      <w:r>
        <w:rPr>
          <w:rFonts w:hint="default" w:ascii="Times New Roman" w:hAnsi="Times New Roman" w:eastAsia="仿宋_GB2312" w:cs="Times New Roman"/>
          <w:sz w:val="32"/>
          <w:szCs w:val="32"/>
          <w:lang w:val="en-US" w:eastAsia="zh-CN"/>
        </w:rPr>
        <w:t>752.08</w:t>
      </w:r>
      <w:r>
        <w:rPr>
          <w:rFonts w:hint="default" w:ascii="Times New Roman" w:hAnsi="Times New Roman" w:eastAsia="仿宋_GB2312" w:cs="Times New Roman"/>
          <w:sz w:val="32"/>
          <w:szCs w:val="32"/>
        </w:rPr>
        <w:t>万元。与2023年度相比，财政拨款收入总计、支出总计各减少</w:t>
      </w:r>
      <w:r>
        <w:rPr>
          <w:rFonts w:hint="default" w:ascii="Times New Roman" w:hAnsi="Times New Roman" w:eastAsia="仿宋_GB2312" w:cs="Times New Roman"/>
          <w:sz w:val="32"/>
          <w:szCs w:val="32"/>
          <w:lang w:val="en-US" w:eastAsia="zh-CN"/>
        </w:rPr>
        <w:t>116.73</w:t>
      </w:r>
      <w:r>
        <w:rPr>
          <w:rFonts w:hint="default" w:ascii="Times New Roman" w:hAnsi="Times New Roman" w:eastAsia="仿宋_GB2312" w:cs="Times New Roman"/>
          <w:sz w:val="32"/>
          <w:szCs w:val="32"/>
        </w:rPr>
        <w:t>万元，下降</w:t>
      </w:r>
      <w:r>
        <w:rPr>
          <w:rFonts w:hint="default" w:ascii="Times New Roman" w:hAnsi="Times New Roman" w:eastAsia="仿宋_GB2312" w:cs="Times New Roman"/>
          <w:sz w:val="32"/>
          <w:szCs w:val="32"/>
          <w:lang w:val="en-US" w:eastAsia="zh-CN"/>
        </w:rPr>
        <w:t>13.4</w:t>
      </w:r>
      <w:r>
        <w:rPr>
          <w:rFonts w:hint="default" w:ascii="Times New Roman" w:hAnsi="Times New Roman" w:eastAsia="仿宋_GB2312" w:cs="Times New Roman"/>
          <w:sz w:val="32"/>
          <w:szCs w:val="32"/>
        </w:rPr>
        <w:t>%。主要变动原因是人员经费的</w:t>
      </w:r>
      <w:r>
        <w:rPr>
          <w:rFonts w:hint="default" w:ascii="Times New Roman" w:hAnsi="Times New Roman" w:eastAsia="仿宋_GB2312" w:cs="Times New Roman"/>
          <w:sz w:val="32"/>
          <w:szCs w:val="32"/>
          <w:lang w:val="en-US" w:eastAsia="zh-CN"/>
        </w:rPr>
        <w:t>减少和项目经费的减少。</w:t>
      </w:r>
    </w:p>
    <w:p w14:paraId="5840B9D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（图4：财政拨款收、支决算总计变动情况）（柱状图）</w:t>
      </w:r>
    </w:p>
    <w:p w14:paraId="086FA65A">
      <w:pPr>
        <w:pStyle w:val="5"/>
        <w:rPr>
          <w:rFonts w:hint="default" w:ascii="Times New Roman" w:hAnsi="Times New Roman" w:cs="Times New Roman"/>
        </w:rPr>
      </w:pPr>
      <w:r>
        <w:rPr>
          <w:rStyle w:val="20"/>
          <w:rFonts w:hint="default" w:ascii="Times New Roman" w:hAnsi="Times New Roman" w:eastAsia="仿宋_GB2312" w:cs="Times New Roman"/>
          <w:sz w:val="32"/>
          <w:szCs w:val="32"/>
        </w:rPr>
        <w:drawing>
          <wp:inline distT="0" distB="0" distL="114300" distR="114300">
            <wp:extent cx="2636520" cy="1836420"/>
            <wp:effectExtent l="0" t="0" r="0" b="7620"/>
            <wp:docPr id="7" name="图片 7" descr="173996644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39966445148"/>
                    <pic:cNvPicPr>
                      <a:picLocks noChangeAspect="1"/>
                    </pic:cNvPicPr>
                  </pic:nvPicPr>
                  <pic:blipFill>
                    <a:blip r:embed="rId17"/>
                    <a:stretch>
                      <a:fillRect/>
                    </a:stretch>
                  </pic:blipFill>
                  <pic:spPr>
                    <a:xfrm>
                      <a:off x="0" y="0"/>
                      <a:ext cx="2636520" cy="1836420"/>
                    </a:xfrm>
                    <a:prstGeom prst="rect">
                      <a:avLst/>
                    </a:prstGeom>
                    <a:noFill/>
                    <a:ln>
                      <a:noFill/>
                    </a:ln>
                  </pic:spPr>
                </pic:pic>
              </a:graphicData>
            </a:graphic>
          </wp:inline>
        </w:drawing>
      </w:r>
    </w:p>
    <w:p w14:paraId="588454DC">
      <w:pPr>
        <w:spacing w:line="600" w:lineRule="exact"/>
        <w:ind w:firstLine="640" w:firstLineChars="200"/>
        <w:outlineLvl w:val="1"/>
        <w:rPr>
          <w:rStyle w:val="32"/>
          <w:rFonts w:hint="default" w:ascii="Times New Roman" w:hAnsi="Times New Roman" w:eastAsia="黑体" w:cs="Times New Roman"/>
          <w:b w:val="0"/>
        </w:rPr>
      </w:pPr>
      <w:bookmarkStart w:id="28" w:name="_Toc15377209"/>
      <w:bookmarkStart w:id="29" w:name="_Toc15396607"/>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32"/>
          <w:rFonts w:hint="default" w:ascii="Times New Roman" w:hAnsi="Times New Roman" w:eastAsia="黑体" w:cs="Times New Roman"/>
          <w:b w:val="0"/>
        </w:rPr>
        <w:t>般公共预算财政拨款支出决算情况说明</w:t>
      </w:r>
      <w:bookmarkEnd w:id="28"/>
      <w:bookmarkEnd w:id="29"/>
    </w:p>
    <w:p w14:paraId="1F541FFE">
      <w:pPr>
        <w:spacing w:line="600" w:lineRule="exact"/>
        <w:ind w:firstLine="643" w:firstLineChars="200"/>
        <w:outlineLvl w:val="2"/>
        <w:rPr>
          <w:rFonts w:hint="default" w:ascii="Times New Roman" w:hAnsi="Times New Roman" w:eastAsia="楷体_GB2312" w:cs="Times New Roman"/>
          <w:b/>
          <w:sz w:val="32"/>
          <w:szCs w:val="32"/>
        </w:rPr>
      </w:pPr>
      <w:bookmarkStart w:id="30" w:name="_Toc15377210"/>
      <w:r>
        <w:rPr>
          <w:rFonts w:hint="default" w:ascii="Times New Roman" w:hAnsi="Times New Roman" w:eastAsia="楷体_GB2312" w:cs="Times New Roman"/>
          <w:b/>
          <w:sz w:val="32"/>
          <w:szCs w:val="32"/>
        </w:rPr>
        <w:t>（一）一般公共预算财政拨款支出决算总体情况</w:t>
      </w:r>
      <w:bookmarkEnd w:id="30"/>
    </w:p>
    <w:p w14:paraId="79C4B095">
      <w:pPr>
        <w:spacing w:line="600" w:lineRule="exact"/>
        <w:ind w:firstLine="64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2024年度一般公共预算财政拨款支出</w:t>
      </w:r>
      <w:r>
        <w:rPr>
          <w:rFonts w:hint="default" w:ascii="Times New Roman" w:hAnsi="Times New Roman" w:eastAsia="仿宋_GB2312" w:cs="Times New Roman"/>
          <w:sz w:val="32"/>
          <w:szCs w:val="32"/>
          <w:lang w:val="en-US" w:eastAsia="zh-CN"/>
        </w:rPr>
        <w:t>752.08</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%。与2023年度相比，一般公共预算财政拨款支出减少</w:t>
      </w:r>
      <w:r>
        <w:rPr>
          <w:rFonts w:hint="default" w:ascii="Times New Roman" w:hAnsi="Times New Roman" w:eastAsia="仿宋_GB2312" w:cs="Times New Roman"/>
          <w:sz w:val="32"/>
          <w:szCs w:val="32"/>
          <w:lang w:val="en-US" w:eastAsia="zh-CN"/>
        </w:rPr>
        <w:t>116.73</w:t>
      </w:r>
      <w:r>
        <w:rPr>
          <w:rFonts w:hint="default" w:ascii="Times New Roman" w:hAnsi="Times New Roman" w:eastAsia="仿宋_GB2312" w:cs="Times New Roman"/>
          <w:sz w:val="32"/>
          <w:szCs w:val="32"/>
        </w:rPr>
        <w:t>万元，下降</w:t>
      </w:r>
      <w:r>
        <w:rPr>
          <w:rFonts w:hint="default" w:ascii="Times New Roman" w:hAnsi="Times New Roman" w:eastAsia="仿宋_GB2312" w:cs="Times New Roman"/>
          <w:sz w:val="32"/>
          <w:szCs w:val="32"/>
          <w:lang w:val="en-US" w:eastAsia="zh-CN"/>
        </w:rPr>
        <w:t>13.4</w:t>
      </w:r>
      <w:r>
        <w:rPr>
          <w:rFonts w:hint="default" w:ascii="Times New Roman" w:hAnsi="Times New Roman" w:eastAsia="仿宋_GB2312" w:cs="Times New Roman"/>
          <w:sz w:val="32"/>
          <w:szCs w:val="32"/>
        </w:rPr>
        <w:t>%。主要变动原因是人员经费的</w:t>
      </w:r>
      <w:r>
        <w:rPr>
          <w:rFonts w:hint="default" w:ascii="Times New Roman" w:hAnsi="Times New Roman" w:eastAsia="仿宋_GB2312" w:cs="Times New Roman"/>
          <w:sz w:val="32"/>
          <w:szCs w:val="32"/>
          <w:lang w:val="en-US" w:eastAsia="zh-CN"/>
        </w:rPr>
        <w:t>减少和项目经费的减少。</w:t>
      </w:r>
    </w:p>
    <w:p w14:paraId="35886741">
      <w:pPr>
        <w:spacing w:line="600" w:lineRule="exact"/>
        <w:ind w:firstLine="640"/>
        <w:rPr>
          <w:rFonts w:hint="default" w:ascii="Times New Roman" w:hAnsi="Times New Roman" w:eastAsia="仿宋_GB2312" w:cs="Times New Roman"/>
          <w:sz w:val="32"/>
          <w:szCs w:val="32"/>
        </w:rPr>
      </w:pPr>
      <w:r>
        <w:rPr>
          <w:rFonts w:hint="default" w:ascii="Times New Roman" w:hAnsi="Times New Roman" w:cs="Times New Roman"/>
        </w:rPr>
        <w:drawing>
          <wp:anchor distT="0" distB="0" distL="114300" distR="114300" simplePos="0" relativeHeight="251660288" behindDoc="1" locked="0" layoutInCell="1" allowOverlap="1">
            <wp:simplePos x="0" y="0"/>
            <wp:positionH relativeFrom="column">
              <wp:posOffset>1195070</wp:posOffset>
            </wp:positionH>
            <wp:positionV relativeFrom="paragraph">
              <wp:posOffset>458470</wp:posOffset>
            </wp:positionV>
            <wp:extent cx="2794635" cy="1884045"/>
            <wp:effectExtent l="0" t="0" r="9525" b="5715"/>
            <wp:wrapNone/>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8"/>
                    <a:stretch>
                      <a:fillRect/>
                    </a:stretch>
                  </pic:blipFill>
                  <pic:spPr>
                    <a:xfrm>
                      <a:off x="0" y="0"/>
                      <a:ext cx="2794635" cy="1884045"/>
                    </a:xfrm>
                    <a:prstGeom prst="rect">
                      <a:avLst/>
                    </a:prstGeom>
                    <a:noFill/>
                    <a:ln>
                      <a:noFill/>
                    </a:ln>
                  </pic:spPr>
                </pic:pic>
              </a:graphicData>
            </a:graphic>
          </wp:anchor>
        </w:drawing>
      </w:r>
      <w:r>
        <w:rPr>
          <w:rFonts w:hint="default" w:ascii="Times New Roman" w:hAnsi="Times New Roman" w:eastAsia="仿宋_GB2312" w:cs="Times New Roman"/>
          <w:sz w:val="32"/>
          <w:szCs w:val="32"/>
        </w:rPr>
        <w:t>（图5：一般公共预算财政拨款支出决算变动情况）（柱状图）</w:t>
      </w:r>
    </w:p>
    <w:p w14:paraId="34FF90A1">
      <w:pPr>
        <w:spacing w:line="600" w:lineRule="exact"/>
        <w:ind w:firstLine="640"/>
        <w:rPr>
          <w:rFonts w:hint="default" w:ascii="Times New Roman" w:hAnsi="Times New Roman" w:eastAsia="仿宋_GB2312" w:cs="Times New Roman"/>
          <w:sz w:val="32"/>
          <w:szCs w:val="32"/>
        </w:rPr>
      </w:pPr>
    </w:p>
    <w:p w14:paraId="7962BD7E">
      <w:pPr>
        <w:spacing w:line="600" w:lineRule="exact"/>
        <w:ind w:firstLine="643" w:firstLineChars="200"/>
        <w:outlineLvl w:val="2"/>
        <w:rPr>
          <w:rFonts w:hint="default" w:ascii="Times New Roman" w:hAnsi="Times New Roman" w:eastAsia="楷体_GB2312" w:cs="Times New Roman"/>
          <w:b/>
          <w:sz w:val="32"/>
          <w:szCs w:val="32"/>
        </w:rPr>
      </w:pPr>
      <w:bookmarkStart w:id="31" w:name="_Toc15377211"/>
    </w:p>
    <w:p w14:paraId="730943CB">
      <w:pPr>
        <w:spacing w:line="600" w:lineRule="exact"/>
        <w:ind w:firstLine="643" w:firstLineChars="200"/>
        <w:outlineLvl w:val="2"/>
        <w:rPr>
          <w:rFonts w:hint="default" w:ascii="Times New Roman" w:hAnsi="Times New Roman" w:eastAsia="楷体_GB2312" w:cs="Times New Roman"/>
          <w:b/>
          <w:sz w:val="32"/>
          <w:szCs w:val="32"/>
        </w:rPr>
      </w:pPr>
    </w:p>
    <w:p w14:paraId="3A6AE261">
      <w:pPr>
        <w:spacing w:line="600" w:lineRule="exact"/>
        <w:ind w:firstLine="643" w:firstLineChars="200"/>
        <w:outlineLvl w:val="2"/>
        <w:rPr>
          <w:rFonts w:hint="default" w:ascii="Times New Roman" w:hAnsi="Times New Roman" w:eastAsia="楷体_GB2312" w:cs="Times New Roman"/>
          <w:b/>
          <w:sz w:val="32"/>
          <w:szCs w:val="32"/>
        </w:rPr>
      </w:pPr>
    </w:p>
    <w:p w14:paraId="69AEC7DB">
      <w:pPr>
        <w:spacing w:line="600" w:lineRule="exact"/>
        <w:ind w:firstLine="643" w:firstLineChars="200"/>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（二）一般公共预算财政拨款支出决算结构情况</w:t>
      </w:r>
      <w:bookmarkEnd w:id="31"/>
    </w:p>
    <w:p w14:paraId="75861877">
      <w:pPr>
        <w:spacing w:line="600" w:lineRule="exact"/>
        <w:ind w:firstLine="640"/>
        <w:rPr>
          <w:rFonts w:hint="default" w:ascii="Times New Roman" w:hAnsi="Times New Roman" w:cs="Times New Roman"/>
        </w:rPr>
      </w:pPr>
      <w:r>
        <w:rPr>
          <w:rFonts w:hint="default" w:ascii="Times New Roman" w:hAnsi="Times New Roman" w:eastAsia="仿宋_GB2312" w:cs="Times New Roman"/>
          <w:sz w:val="32"/>
          <w:szCs w:val="32"/>
        </w:rPr>
        <w:t>2024年度一般公共预算财政拨款支出</w:t>
      </w:r>
      <w:r>
        <w:rPr>
          <w:rFonts w:hint="default" w:ascii="Times New Roman" w:hAnsi="Times New Roman" w:eastAsia="仿宋_GB2312" w:cs="Times New Roman"/>
          <w:sz w:val="32"/>
          <w:szCs w:val="32"/>
          <w:lang w:val="en-US" w:eastAsia="zh-CN"/>
        </w:rPr>
        <w:t>752.08</w:t>
      </w:r>
      <w:r>
        <w:rPr>
          <w:rFonts w:hint="default" w:ascii="Times New Roman" w:hAnsi="Times New Roman" w:eastAsia="仿宋_GB2312" w:cs="Times New Roman"/>
          <w:sz w:val="32"/>
          <w:szCs w:val="32"/>
        </w:rPr>
        <w:t>万元，主要用于以下方面：社会保障和就业支出</w:t>
      </w:r>
      <w:r>
        <w:rPr>
          <w:rFonts w:hint="default" w:ascii="Times New Roman" w:hAnsi="Times New Roman" w:eastAsia="仿宋_GB2312" w:cs="Times New Roman"/>
          <w:sz w:val="32"/>
          <w:szCs w:val="32"/>
          <w:lang w:val="en-US" w:eastAsia="zh-CN"/>
        </w:rPr>
        <w:t>80.2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28.82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39.59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农林水支出419.73万元，占56%；节能环保支出183.74万元，占24%。</w:t>
      </w:r>
    </w:p>
    <w:p w14:paraId="213ACD41">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（图6：一般公共预算财政拨款支出决算结构）（饼状图）</w:t>
      </w:r>
    </w:p>
    <w:p w14:paraId="799B6E50">
      <w:pPr>
        <w:spacing w:line="600" w:lineRule="exact"/>
        <w:ind w:firstLine="640"/>
        <w:rPr>
          <w:rFonts w:hint="default" w:ascii="Times New Roman" w:hAnsi="Times New Roman" w:eastAsia="仿宋_GB2312" w:cs="Times New Roman"/>
          <w:sz w:val="32"/>
          <w:szCs w:val="32"/>
        </w:rPr>
      </w:pPr>
    </w:p>
    <w:p w14:paraId="1AAF8EBD">
      <w:pPr>
        <w:pStyle w:val="5"/>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295775" cy="2857500"/>
            <wp:effectExtent l="0" t="0" r="1905" b="762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9"/>
                    <a:stretch>
                      <a:fillRect/>
                    </a:stretch>
                  </pic:blipFill>
                  <pic:spPr>
                    <a:xfrm>
                      <a:off x="0" y="0"/>
                      <a:ext cx="4295775" cy="2857500"/>
                    </a:xfrm>
                    <a:prstGeom prst="rect">
                      <a:avLst/>
                    </a:prstGeom>
                    <a:noFill/>
                    <a:ln>
                      <a:noFill/>
                    </a:ln>
                  </pic:spPr>
                </pic:pic>
              </a:graphicData>
            </a:graphic>
          </wp:inline>
        </w:drawing>
      </w:r>
    </w:p>
    <w:p w14:paraId="3B2D45CC">
      <w:pPr>
        <w:rPr>
          <w:rFonts w:hint="default" w:ascii="Times New Roman" w:hAnsi="Times New Roman" w:eastAsia="仿宋_GB2312" w:cs="Times New Roman"/>
          <w:sz w:val="32"/>
          <w:szCs w:val="32"/>
        </w:rPr>
      </w:pPr>
    </w:p>
    <w:p w14:paraId="7E002835">
      <w:pPr>
        <w:pStyle w:val="5"/>
        <w:rPr>
          <w:rFonts w:hint="default" w:ascii="Times New Roman" w:hAnsi="Times New Roman" w:cs="Times New Roman"/>
        </w:rPr>
      </w:pPr>
    </w:p>
    <w:p w14:paraId="2933DF04">
      <w:pPr>
        <w:spacing w:line="600" w:lineRule="exact"/>
        <w:ind w:firstLine="643" w:firstLineChars="200"/>
        <w:outlineLvl w:val="2"/>
        <w:rPr>
          <w:rFonts w:hint="default" w:ascii="Times New Roman" w:hAnsi="Times New Roman" w:eastAsia="楷体_GB2312" w:cs="Times New Roman"/>
          <w:b/>
          <w:sz w:val="32"/>
          <w:szCs w:val="32"/>
        </w:rPr>
      </w:pPr>
      <w:bookmarkStart w:id="32" w:name="_Toc15377212"/>
      <w:r>
        <w:rPr>
          <w:rFonts w:hint="default" w:ascii="Times New Roman" w:hAnsi="Times New Roman" w:eastAsia="楷体_GB2312" w:cs="Times New Roman"/>
          <w:b/>
          <w:sz w:val="32"/>
          <w:szCs w:val="32"/>
        </w:rPr>
        <w:t>（三）一般公共预算财政拨款支出决算具体情况</w:t>
      </w:r>
      <w:bookmarkEnd w:id="32"/>
    </w:p>
    <w:p w14:paraId="4C90393F">
      <w:pPr>
        <w:spacing w:line="600" w:lineRule="exact"/>
        <w:ind w:firstLine="640"/>
        <w:rPr>
          <w:rFonts w:hint="default" w:ascii="Times New Roman" w:hAnsi="Times New Roman" w:eastAsia="仿宋_GB2312" w:cs="Times New Roman"/>
          <w:sz w:val="32"/>
          <w:szCs w:val="32"/>
        </w:rPr>
      </w:pPr>
      <w:bookmarkStart w:id="33" w:name="_Toc15377444"/>
      <w:bookmarkStart w:id="34" w:name="_Toc15377213"/>
      <w:bookmarkStart w:id="35" w:name="_Toc15378460"/>
      <w:r>
        <w:rPr>
          <w:rFonts w:hint="default" w:ascii="Times New Roman" w:hAnsi="Times New Roman" w:eastAsia="仿宋_GB2312" w:cs="Times New Roman"/>
          <w:sz w:val="32"/>
          <w:szCs w:val="32"/>
        </w:rPr>
        <w:t>2024年度一般公共预算财政拨款支出决算数为</w:t>
      </w:r>
      <w:r>
        <w:rPr>
          <w:rFonts w:hint="default" w:ascii="Times New Roman" w:hAnsi="Times New Roman" w:eastAsia="仿宋_GB2312" w:cs="Times New Roman"/>
          <w:sz w:val="32"/>
          <w:szCs w:val="32"/>
          <w:lang w:val="en-US" w:eastAsia="zh-CN"/>
        </w:rPr>
        <w:t>752.08</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33"/>
      <w:bookmarkEnd w:id="34"/>
      <w:bookmarkEnd w:id="35"/>
    </w:p>
    <w:p w14:paraId="2E6B7091">
      <w:pPr>
        <w:spacing w:line="600"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val="en-US" w:eastAsia="zh-CN"/>
        </w:rPr>
        <w:t>支出</w:t>
      </w:r>
      <w:r>
        <w:rPr>
          <w:rFonts w:hint="default" w:ascii="Times New Roman" w:hAnsi="Times New Roman" w:eastAsia="仿宋_GB2312" w:cs="Times New Roman"/>
          <w:sz w:val="32"/>
          <w:szCs w:val="32"/>
        </w:rPr>
        <w:t>（208类）行政事业单位养老支出（05款）机关事业单位基本养老保险缴费支出（05项）</w:t>
      </w:r>
      <w:r>
        <w:rPr>
          <w:rFonts w:hint="default" w:ascii="Times New Roman" w:hAnsi="Times New Roman" w:eastAsia="仿宋_GB2312" w:cs="Times New Roman"/>
          <w:sz w:val="32"/>
          <w:szCs w:val="32"/>
          <w:lang w:eastAsia="zh-CN"/>
        </w:rPr>
        <w:t>：</w:t>
      </w:r>
      <w:r>
        <w:rPr>
          <w:rStyle w:val="20"/>
          <w:rFonts w:hint="default" w:ascii="Times New Roman" w:hAnsi="Times New Roman" w:eastAsia="仿宋" w:cs="Times New Roman"/>
          <w:b w:val="0"/>
          <w:bCs/>
          <w:sz w:val="32"/>
          <w:szCs w:val="32"/>
        </w:rPr>
        <w:t>支出决算为</w:t>
      </w:r>
      <w:r>
        <w:rPr>
          <w:rStyle w:val="20"/>
          <w:rFonts w:hint="default" w:ascii="Times New Roman" w:hAnsi="Times New Roman" w:eastAsia="仿宋" w:cs="Times New Roman"/>
          <w:b w:val="0"/>
          <w:bCs/>
          <w:sz w:val="32"/>
          <w:szCs w:val="32"/>
          <w:lang w:val="en-US" w:eastAsia="zh-CN"/>
        </w:rPr>
        <w:t>47.89</w:t>
      </w:r>
      <w:r>
        <w:rPr>
          <w:rStyle w:val="20"/>
          <w:rFonts w:hint="default" w:ascii="Times New Roman" w:hAnsi="Times New Roman" w:eastAsia="仿宋" w:cs="Times New Roman"/>
          <w:b w:val="0"/>
          <w:bCs/>
          <w:sz w:val="32"/>
          <w:szCs w:val="32"/>
        </w:rPr>
        <w:t>万元，完成预算100%</w:t>
      </w:r>
      <w:r>
        <w:rPr>
          <w:rStyle w:val="20"/>
          <w:rFonts w:hint="default" w:ascii="Times New Roman" w:hAnsi="Times New Roman" w:eastAsia="仿宋" w:cs="Times New Roman"/>
          <w:b w:val="0"/>
          <w:bCs/>
          <w:sz w:val="32"/>
          <w:szCs w:val="32"/>
          <w:lang w:eastAsia="zh-CN"/>
        </w:rPr>
        <w:t>，</w:t>
      </w:r>
      <w:r>
        <w:rPr>
          <w:rFonts w:hint="default" w:ascii="Times New Roman" w:hAnsi="Times New Roman" w:eastAsia="仿宋_GB2312" w:cs="Times New Roman"/>
          <w:sz w:val="32"/>
          <w:szCs w:val="32"/>
          <w:lang w:val="en-US" w:eastAsia="zh-CN"/>
        </w:rPr>
        <w:t>决算数与预算数持平。</w:t>
      </w:r>
    </w:p>
    <w:p w14:paraId="27141AEC">
      <w:pPr>
        <w:pStyle w:val="7"/>
        <w:ind w:firstLine="60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lang w:val="en-US" w:eastAsia="zh-CN"/>
        </w:rPr>
        <w:t xml:space="preserve"> </w:t>
      </w:r>
      <w:r>
        <w:rPr>
          <w:rFonts w:hint="default" w:ascii="Times New Roman" w:hAnsi="Times New Roman" w:eastAsia="仿宋_GB2312" w:cs="Times New Roman"/>
          <w:kern w:val="2"/>
          <w:sz w:val="32"/>
          <w:szCs w:val="32"/>
          <w:lang w:val="en-US" w:eastAsia="zh-CN" w:bidi="ar-SA"/>
        </w:rPr>
        <w:t>2.社会保障和就业支出（208类）行政事业单位养老支出（05款）机关事业单位职业年金缴费支出（06项）：支出决算为23.95万元，结余0.31万元，完成预算98.7%，决算数小于预算数原因为人员减少。</w:t>
      </w:r>
    </w:p>
    <w:p w14:paraId="22D5338C">
      <w:pPr>
        <w:spacing w:line="600" w:lineRule="exact"/>
        <w:ind w:firstLine="64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3.社会保障和就业支出（208类）行政事业单位养老支出（05款）事业单位离退休（02项）：支出决算为8.36万元，完成预算100%，决算数与预算数持平。</w:t>
      </w:r>
    </w:p>
    <w:p w14:paraId="2510449B">
      <w:pPr>
        <w:pStyle w:val="7"/>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4.卫生健康支出（210类）行政事业单位医疗（11款）事业单位医疗保险（02项）:支出决算为24.13万元，结余0.85万元，完成预算96.6%，决算数小于预算数原因为人员减少。</w:t>
      </w:r>
    </w:p>
    <w:p w14:paraId="149B84C0">
      <w:pPr>
        <w:pStyle w:val="7"/>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5.卫生健康支出（210类）行政事业单位医疗（11款）其他行政事业单位医疗（99项）：支出决算为4.69万元，结余0.062万元，完成预算98.5%，决算数小于预算数原因为人员减少。</w:t>
      </w:r>
    </w:p>
    <w:p w14:paraId="4B41E4ED">
      <w:pPr>
        <w:pStyle w:val="7"/>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6.住房保障支出（221类）住房改革支出（02款）住房公积金（01项）:支出决算为39.58万元，结余1.41万元，完成预算96.6%，决算数小于预算数原因为人员减少。</w:t>
      </w:r>
    </w:p>
    <w:p w14:paraId="6E4C55C7">
      <w:pPr>
        <w:spacing w:line="600" w:lineRule="exact"/>
        <w:ind w:firstLine="64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7.农林水支出（213类）林业和草原（02款）事业机构（04项）：支出决算为419.72万元，完成预算100%，决算数与预算数持平。</w:t>
      </w:r>
    </w:p>
    <w:p w14:paraId="418922DB">
      <w:pPr>
        <w:spacing w:line="600" w:lineRule="exact"/>
        <w:ind w:firstLine="64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8.节能环保支出（211类）自然生态保护（04款）自然保护地（06项）：支出决算为183.74万元，完成预算100%，决算数与预算数持平。</w:t>
      </w:r>
    </w:p>
    <w:p w14:paraId="09FFB682">
      <w:pPr>
        <w:tabs>
          <w:tab w:val="right" w:pos="8306"/>
        </w:tabs>
        <w:spacing w:line="600" w:lineRule="exact"/>
        <w:ind w:firstLine="640"/>
        <w:outlineLvl w:val="1"/>
        <w:rPr>
          <w:rStyle w:val="32"/>
          <w:rFonts w:hint="default" w:ascii="Times New Roman" w:hAnsi="Times New Roman" w:cs="Times New Roman"/>
        </w:rPr>
      </w:pPr>
      <w:bookmarkStart w:id="36" w:name="_Toc15377214"/>
      <w:bookmarkStart w:id="37" w:name="_Toc15396608"/>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32"/>
          <w:rFonts w:hint="default" w:ascii="Times New Roman" w:hAnsi="Times New Roman" w:eastAsia="黑体" w:cs="Times New Roman"/>
          <w:b w:val="0"/>
        </w:rPr>
        <w:t>般公共预算财政拨款基本支出决算情况说明</w:t>
      </w:r>
      <w:bookmarkEnd w:id="36"/>
      <w:bookmarkEnd w:id="37"/>
      <w:r>
        <w:rPr>
          <w:rStyle w:val="32"/>
          <w:rFonts w:hint="default" w:ascii="Times New Roman" w:hAnsi="Times New Roman" w:eastAsia="黑体" w:cs="Times New Roman"/>
          <w:b w:val="0"/>
        </w:rPr>
        <w:tab/>
      </w:r>
    </w:p>
    <w:p w14:paraId="33CEB307">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2024年度一般公共预算财政拨款基本支出</w:t>
      </w:r>
      <w:r>
        <w:rPr>
          <w:rFonts w:hint="default" w:ascii="Times New Roman" w:hAnsi="Times New Roman" w:eastAsia="仿宋_GB2312" w:cs="Times New Roman"/>
          <w:sz w:val="32"/>
          <w:szCs w:val="32"/>
          <w:lang w:val="en-US" w:eastAsia="zh-CN"/>
        </w:rPr>
        <w:t>752.08</w:t>
      </w:r>
      <w:r>
        <w:rPr>
          <w:rFonts w:hint="default" w:ascii="Times New Roman" w:hAnsi="Times New Roman" w:eastAsia="仿宋_GB2312" w:cs="Times New Roman"/>
          <w:sz w:val="32"/>
          <w:szCs w:val="32"/>
        </w:rPr>
        <w:t>万元，其中：人员经费</w:t>
      </w:r>
      <w:r>
        <w:rPr>
          <w:rFonts w:hint="default" w:ascii="Times New Roman" w:hAnsi="Times New Roman" w:eastAsia="仿宋_GB2312" w:cs="Times New Roman"/>
          <w:sz w:val="32"/>
          <w:szCs w:val="32"/>
          <w:lang w:val="en-US" w:eastAsia="zh-CN"/>
        </w:rPr>
        <w:t>522.99</w:t>
      </w:r>
      <w:r>
        <w:rPr>
          <w:rFonts w:hint="default" w:ascii="Times New Roman" w:hAnsi="Times New Roman" w:eastAsia="仿宋_GB2312" w:cs="Times New Roman"/>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公用经费</w:t>
      </w:r>
      <w:r>
        <w:rPr>
          <w:rFonts w:hint="default" w:ascii="Times New Roman" w:hAnsi="Times New Roman" w:eastAsia="仿宋_GB2312" w:cs="Times New Roman"/>
          <w:sz w:val="32"/>
          <w:szCs w:val="32"/>
          <w:lang w:val="en-US" w:eastAsia="zh-CN"/>
        </w:rPr>
        <w:t>45.35</w:t>
      </w:r>
      <w:r>
        <w:rPr>
          <w:rFonts w:hint="default" w:ascii="Times New Roman" w:hAnsi="Times New Roman" w:eastAsia="仿宋_GB2312" w:cs="Times New Roman"/>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C82ECFB">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项目支出中基本建设类项目支出为0万元，支出要按照基本支出和项目支出分析具体构成及特点：</w:t>
      </w:r>
      <w:r>
        <w:rPr>
          <w:rStyle w:val="20"/>
          <w:rFonts w:hint="default" w:ascii="Times New Roman" w:hAnsi="Times New Roman" w:eastAsia="仿宋_GB2312" w:cs="Times New Roman"/>
          <w:sz w:val="32"/>
          <w:szCs w:val="32"/>
        </w:rPr>
        <w:t>本单位无建设类项目支出。</w:t>
      </w:r>
      <w:r>
        <w:rPr>
          <w:rFonts w:hint="default" w:ascii="Times New Roman" w:hAnsi="Times New Roman" w:eastAsia="仿宋_GB2312" w:cs="Times New Roman"/>
          <w:sz w:val="32"/>
          <w:szCs w:val="32"/>
        </w:rPr>
        <w:t>项目支出中非基本建设类项目支出为</w:t>
      </w:r>
      <w:r>
        <w:rPr>
          <w:rFonts w:hint="default" w:ascii="Times New Roman" w:hAnsi="Times New Roman" w:eastAsia="仿宋_GB2312" w:cs="Times New Roman"/>
          <w:sz w:val="32"/>
          <w:szCs w:val="32"/>
          <w:lang w:val="en-US" w:eastAsia="zh-CN"/>
        </w:rPr>
        <w:t>183.74</w:t>
      </w:r>
      <w:r>
        <w:rPr>
          <w:rFonts w:hint="default" w:ascii="Times New Roman" w:hAnsi="Times New Roman" w:eastAsia="仿宋_GB2312" w:cs="Times New Roman"/>
          <w:sz w:val="32"/>
          <w:szCs w:val="32"/>
        </w:rPr>
        <w:t>万元，主要包括：办公费、电费、</w:t>
      </w:r>
      <w:r>
        <w:rPr>
          <w:rFonts w:hint="default" w:ascii="Times New Roman" w:hAnsi="Times New Roman" w:eastAsia="仿宋_GB2312" w:cs="Times New Roman"/>
          <w:sz w:val="32"/>
          <w:szCs w:val="32"/>
          <w:lang w:val="en-US" w:eastAsia="zh-CN"/>
        </w:rPr>
        <w:t>劳务费</w:t>
      </w:r>
      <w:r>
        <w:rPr>
          <w:rFonts w:hint="default" w:ascii="Times New Roman" w:hAnsi="Times New Roman" w:eastAsia="仿宋_GB2312" w:cs="Times New Roman"/>
          <w:sz w:val="32"/>
          <w:szCs w:val="32"/>
        </w:rPr>
        <w:t>、租赁费、专用材料费、委托业务费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差旅费、其他交通费</w:t>
      </w:r>
      <w:r>
        <w:rPr>
          <w:rFonts w:hint="default" w:ascii="Times New Roman" w:hAnsi="Times New Roman" w:eastAsia="仿宋_GB2312" w:cs="Times New Roman"/>
          <w:sz w:val="32"/>
          <w:szCs w:val="32"/>
        </w:rPr>
        <w:t>等。</w:t>
      </w:r>
    </w:p>
    <w:p w14:paraId="475093D4">
      <w:pPr>
        <w:spacing w:line="600" w:lineRule="exact"/>
        <w:ind w:firstLine="640"/>
        <w:outlineLvl w:val="1"/>
        <w:rPr>
          <w:rStyle w:val="32"/>
          <w:rFonts w:hint="default" w:ascii="Times New Roman" w:hAnsi="Times New Roman" w:eastAsia="黑体" w:cs="Times New Roman"/>
          <w:b w:val="0"/>
        </w:rPr>
      </w:pPr>
      <w:bookmarkStart w:id="38" w:name="_Toc15396609"/>
      <w:bookmarkStart w:id="39" w:name="_Toc15377215"/>
      <w:r>
        <w:rPr>
          <w:rFonts w:hint="default" w:ascii="Times New Roman" w:hAnsi="Times New Roman" w:eastAsia="黑体" w:cs="Times New Roman"/>
          <w:sz w:val="32"/>
          <w:szCs w:val="32"/>
        </w:rPr>
        <w:t>七、</w:t>
      </w:r>
      <w:r>
        <w:rPr>
          <w:rStyle w:val="32"/>
          <w:rFonts w:hint="default" w:ascii="Times New Roman" w:hAnsi="Times New Roman" w:eastAsia="黑体" w:cs="Times New Roman"/>
          <w:b w:val="0"/>
        </w:rPr>
        <w:t>财政拨款</w:t>
      </w:r>
      <w:r>
        <w:rPr>
          <w:rStyle w:val="32"/>
          <w:rFonts w:hint="default" w:ascii="Times New Roman" w:hAnsi="Times New Roman" w:eastAsia="黑体" w:cs="Times New Roman"/>
        </w:rPr>
        <w:t>“</w:t>
      </w:r>
      <w:r>
        <w:rPr>
          <w:rStyle w:val="32"/>
          <w:rFonts w:hint="default" w:ascii="Times New Roman" w:hAnsi="Times New Roman" w:eastAsia="黑体" w:cs="Times New Roman"/>
          <w:b w:val="0"/>
        </w:rPr>
        <w:t>三公”经费支出决算情况说明</w:t>
      </w:r>
      <w:bookmarkEnd w:id="38"/>
      <w:bookmarkEnd w:id="39"/>
    </w:p>
    <w:p w14:paraId="55E32413">
      <w:pPr>
        <w:spacing w:line="600" w:lineRule="exact"/>
        <w:ind w:firstLine="643" w:firstLineChars="200"/>
        <w:outlineLvl w:val="2"/>
        <w:rPr>
          <w:rFonts w:hint="default" w:ascii="Times New Roman" w:hAnsi="Times New Roman" w:eastAsia="楷体_GB2312" w:cs="Times New Roman"/>
          <w:b/>
          <w:sz w:val="32"/>
          <w:szCs w:val="32"/>
        </w:rPr>
      </w:pPr>
      <w:bookmarkStart w:id="40" w:name="_Toc15377216"/>
      <w:r>
        <w:rPr>
          <w:rFonts w:hint="default" w:ascii="Times New Roman" w:hAnsi="Times New Roman" w:eastAsia="楷体_GB2312" w:cs="Times New Roman"/>
          <w:b/>
          <w:sz w:val="32"/>
          <w:szCs w:val="32"/>
        </w:rPr>
        <w:t>（一）“三公”经费财政拨款支出决算总体情况说明</w:t>
      </w:r>
      <w:bookmarkEnd w:id="40"/>
    </w:p>
    <w:p w14:paraId="38291826">
      <w:pPr>
        <w:spacing w:line="600" w:lineRule="exact"/>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2024年度“三公”经费财政拨款支出决算为</w:t>
      </w:r>
      <w:r>
        <w:rPr>
          <w:rFonts w:hint="default" w:ascii="Times New Roman" w:hAnsi="Times New Roman" w:eastAsia="仿宋_GB2312" w:cs="Times New Roman"/>
          <w:sz w:val="32"/>
          <w:szCs w:val="32"/>
          <w:lang w:val="en-US" w:eastAsia="zh-CN"/>
        </w:rPr>
        <w:t>17.4</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%，决算数与预算数持平</w:t>
      </w:r>
      <w:r>
        <w:rPr>
          <w:rFonts w:hint="default" w:ascii="Times New Roman" w:hAnsi="Times New Roman" w:eastAsia="仿宋_GB2312" w:cs="Times New Roman"/>
          <w:sz w:val="32"/>
          <w:szCs w:val="32"/>
          <w:lang w:eastAsia="zh-CN"/>
        </w:rPr>
        <w:t>。</w:t>
      </w:r>
    </w:p>
    <w:p w14:paraId="181B4920">
      <w:pPr>
        <w:spacing w:line="600" w:lineRule="exact"/>
        <w:ind w:firstLine="643" w:firstLineChars="200"/>
        <w:outlineLvl w:val="2"/>
        <w:rPr>
          <w:rFonts w:hint="default" w:ascii="Times New Roman" w:hAnsi="Times New Roman" w:eastAsia="楷体_GB2312" w:cs="Times New Roman"/>
          <w:b/>
          <w:sz w:val="32"/>
          <w:szCs w:val="32"/>
        </w:rPr>
      </w:pPr>
      <w:bookmarkStart w:id="41" w:name="_Toc15377217"/>
      <w:r>
        <w:rPr>
          <w:rFonts w:hint="default" w:ascii="Times New Roman" w:hAnsi="Times New Roman" w:eastAsia="楷体_GB2312" w:cs="Times New Roman"/>
          <w:b/>
          <w:sz w:val="32"/>
          <w:szCs w:val="32"/>
        </w:rPr>
        <w:t>（二）“三公”经费财政拨款支出决算具体情况说明</w:t>
      </w:r>
      <w:bookmarkEnd w:id="41"/>
    </w:p>
    <w:p w14:paraId="3582B8E9">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2024年度“三公”经费财政拨款支出决算中，因公出国（境）费支出决算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%；公务用车购置及运行维护费支出决算</w:t>
      </w:r>
      <w:r>
        <w:rPr>
          <w:rFonts w:hint="default" w:ascii="Times New Roman" w:hAnsi="Times New Roman" w:eastAsia="仿宋_GB2312" w:cs="Times New Roman"/>
          <w:sz w:val="32"/>
          <w:szCs w:val="32"/>
          <w:lang w:val="en-US" w:eastAsia="zh-CN"/>
        </w:rPr>
        <w:t>17.29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99.37</w:t>
      </w:r>
      <w:r>
        <w:rPr>
          <w:rFonts w:hint="default" w:ascii="Times New Roman" w:hAnsi="Times New Roman" w:eastAsia="仿宋_GB2312" w:cs="Times New Roman"/>
          <w:sz w:val="32"/>
          <w:szCs w:val="32"/>
        </w:rPr>
        <w:t>%；公务接待费支出决算</w:t>
      </w:r>
      <w:r>
        <w:rPr>
          <w:rFonts w:hint="default" w:ascii="Times New Roman" w:hAnsi="Times New Roman" w:eastAsia="仿宋_GB2312" w:cs="Times New Roman"/>
          <w:sz w:val="32"/>
          <w:szCs w:val="32"/>
          <w:lang w:val="en-US" w:eastAsia="zh-CN"/>
        </w:rPr>
        <w:t>0.11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0.63</w:t>
      </w:r>
      <w:r>
        <w:rPr>
          <w:rFonts w:hint="default" w:ascii="Times New Roman" w:hAnsi="Times New Roman" w:eastAsia="仿宋_GB2312" w:cs="Times New Roman"/>
          <w:sz w:val="32"/>
          <w:szCs w:val="32"/>
        </w:rPr>
        <w:t>%。具体情况如下：</w:t>
      </w:r>
    </w:p>
    <w:p w14:paraId="223354B5">
      <w:pPr>
        <w:pStyle w:val="5"/>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3333750" cy="1983740"/>
            <wp:effectExtent l="0" t="0" r="3810" b="1270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tretch>
                      <a:fillRect/>
                    </a:stretch>
                  </pic:blipFill>
                  <pic:spPr>
                    <a:xfrm>
                      <a:off x="0" y="0"/>
                      <a:ext cx="3333750" cy="1983740"/>
                    </a:xfrm>
                    <a:prstGeom prst="rect">
                      <a:avLst/>
                    </a:prstGeom>
                    <a:noFill/>
                    <a:ln>
                      <a:noFill/>
                    </a:ln>
                  </pic:spPr>
                </pic:pic>
              </a:graphicData>
            </a:graphic>
          </wp:inline>
        </w:drawing>
      </w:r>
    </w:p>
    <w:p w14:paraId="526A8CFB">
      <w:pPr>
        <w:spacing w:line="600" w:lineRule="exact"/>
        <w:ind w:firstLine="960" w:firstLineChars="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（图7：“三公”经费财政拨款支出结构）（饼状图）</w:t>
      </w:r>
    </w:p>
    <w:p w14:paraId="1E242049">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1.因公出国（境）经费支出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%。全年安排因公出国（境）团组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人。因公出国（境）支出决算比2023年增加/减少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万元，增长/下降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%。主要原因是……</w:t>
      </w:r>
    </w:p>
    <w:p w14:paraId="7BFE0ACA">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开支内容包括：……（团组名称、出访地点、取得成效等）</w:t>
      </w:r>
    </w:p>
    <w:p w14:paraId="7B5E1AE7">
      <w:pPr>
        <w:spacing w:line="600"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公务用车购置及运行维护费支出</w:t>
      </w:r>
      <w:r>
        <w:rPr>
          <w:rFonts w:hint="default" w:ascii="Times New Roman" w:hAnsi="Times New Roman" w:eastAsia="仿宋_GB2312" w:cs="Times New Roman"/>
          <w:sz w:val="32"/>
          <w:szCs w:val="32"/>
          <w:lang w:val="en-US" w:eastAsia="zh-CN"/>
        </w:rPr>
        <w:t>17.29</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%。公务用车购置及运行维护费支出决算比2023年度增加</w:t>
      </w:r>
      <w:r>
        <w:rPr>
          <w:rFonts w:hint="default" w:ascii="Times New Roman" w:hAnsi="Times New Roman" w:eastAsia="仿宋_GB2312" w:cs="Times New Roman"/>
          <w:sz w:val="32"/>
          <w:szCs w:val="32"/>
          <w:lang w:val="en-US" w:eastAsia="zh-CN"/>
        </w:rPr>
        <w:t>0.02</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0.12</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val="en-US" w:eastAsia="zh-CN"/>
        </w:rPr>
        <w:t>单位机构改革期</w:t>
      </w:r>
      <w:r>
        <w:rPr>
          <w:rFonts w:hint="default" w:ascii="Times New Roman" w:hAnsi="Times New Roman" w:eastAsia="仿宋_GB2312" w:cs="Times New Roman"/>
          <w:sz w:val="32"/>
          <w:szCs w:val="32"/>
        </w:rPr>
        <w:t>公务外出增加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到四个管理总站检查督导工作较多。</w:t>
      </w:r>
    </w:p>
    <w:p w14:paraId="2F80BDA2">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其中：公务用车购置支出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万元。全年按规定更新购置公务用车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辆，其中：轿车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辆、金额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万元，越野车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辆、金额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万元，载客汽车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辆、金额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万元，主要用于……。截至2024年12月31日，单位共有公务用车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辆，其中：轿车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辆、越野车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辆、载客汽车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p>
    <w:p w14:paraId="1ECD7BDF">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公务用车运行维护费支出</w:t>
      </w:r>
      <w:r>
        <w:rPr>
          <w:rFonts w:hint="default" w:ascii="Times New Roman" w:hAnsi="Times New Roman" w:eastAsia="仿宋_GB2312" w:cs="Times New Roman"/>
          <w:sz w:val="32"/>
          <w:szCs w:val="32"/>
          <w:lang w:val="en-US" w:eastAsia="zh-CN"/>
        </w:rPr>
        <w:t>17.29</w:t>
      </w:r>
      <w:r>
        <w:rPr>
          <w:rFonts w:hint="default" w:ascii="Times New Roman" w:hAnsi="Times New Roman" w:eastAsia="仿宋_GB2312" w:cs="Times New Roman"/>
          <w:sz w:val="32"/>
          <w:szCs w:val="32"/>
        </w:rPr>
        <w:t>万元。主要用于所需的公务用车燃料费、维修费、过路过桥费、保险费等支出。</w:t>
      </w:r>
    </w:p>
    <w:p w14:paraId="24D7788E">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3.公务接待费支出</w:t>
      </w:r>
      <w:r>
        <w:rPr>
          <w:rFonts w:hint="default" w:ascii="Times New Roman" w:hAnsi="Times New Roman" w:eastAsia="仿宋_GB2312" w:cs="Times New Roman"/>
          <w:sz w:val="32"/>
          <w:szCs w:val="32"/>
          <w:lang w:val="en-US" w:eastAsia="zh-CN"/>
        </w:rPr>
        <w:t>0.11</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%。公务接待费支出决算比2023年度增加</w:t>
      </w:r>
      <w:r>
        <w:rPr>
          <w:rFonts w:hint="default" w:ascii="Times New Roman" w:hAnsi="Times New Roman" w:eastAsia="仿宋_GB2312" w:cs="Times New Roman"/>
          <w:sz w:val="32"/>
          <w:szCs w:val="32"/>
          <w:lang w:val="en-US" w:eastAsia="zh-CN"/>
        </w:rPr>
        <w:t>0.014</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14.58</w:t>
      </w:r>
      <w:r>
        <w:rPr>
          <w:rFonts w:hint="default" w:ascii="Times New Roman" w:hAnsi="Times New Roman" w:eastAsia="仿宋_GB2312" w:cs="Times New Roman"/>
          <w:sz w:val="32"/>
          <w:szCs w:val="32"/>
        </w:rPr>
        <w:t>%。主要原因是本年公务接待</w:t>
      </w:r>
      <w:r>
        <w:rPr>
          <w:rFonts w:hint="default" w:ascii="Times New Roman" w:hAnsi="Times New Roman" w:eastAsia="仿宋_GB2312" w:cs="Times New Roman"/>
          <w:sz w:val="32"/>
          <w:szCs w:val="32"/>
          <w:lang w:val="en-US" w:eastAsia="zh-CN"/>
        </w:rPr>
        <w:t>人数较多</w:t>
      </w:r>
      <w:r>
        <w:rPr>
          <w:rFonts w:hint="default" w:ascii="Times New Roman" w:hAnsi="Times New Roman" w:eastAsia="仿宋_GB2312" w:cs="Times New Roman"/>
          <w:sz w:val="32"/>
          <w:szCs w:val="32"/>
        </w:rPr>
        <w:t>。其中：</w:t>
      </w:r>
    </w:p>
    <w:p w14:paraId="18623311">
      <w:pPr>
        <w:spacing w:line="600"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国内公务接待支出</w:t>
      </w:r>
      <w:r>
        <w:rPr>
          <w:rFonts w:hint="default" w:ascii="Times New Roman" w:hAnsi="Times New Roman" w:eastAsia="仿宋_GB2312" w:cs="Times New Roman"/>
          <w:sz w:val="32"/>
          <w:szCs w:val="32"/>
          <w:lang w:val="en-US" w:eastAsia="zh-CN"/>
        </w:rPr>
        <w:t>0.11</w:t>
      </w:r>
      <w:r>
        <w:rPr>
          <w:rFonts w:hint="default" w:ascii="Times New Roman" w:hAnsi="Times New Roman" w:eastAsia="仿宋_GB2312" w:cs="Times New Roman"/>
          <w:sz w:val="32"/>
          <w:szCs w:val="32"/>
        </w:rPr>
        <w:t>万元，主要用于执行公务</w:t>
      </w:r>
      <w:r>
        <w:rPr>
          <w:rFonts w:hint="default" w:ascii="Times New Roman" w:hAnsi="Times New Roman" w:eastAsia="仿宋_GB2312" w:cs="Times New Roman"/>
          <w:sz w:val="32"/>
          <w:szCs w:val="32"/>
          <w:lang w:val="en-US" w:eastAsia="zh-CN"/>
        </w:rPr>
        <w:t>接待费</w:t>
      </w:r>
      <w:r>
        <w:rPr>
          <w:rFonts w:hint="default" w:ascii="Times New Roman" w:hAnsi="Times New Roman" w:eastAsia="仿宋_GB2312" w:cs="Times New Roman"/>
          <w:sz w:val="32"/>
          <w:szCs w:val="32"/>
        </w:rPr>
        <w:t>。国内公务接待</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批次，</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人次（不包括陪同人员），共计支出</w:t>
      </w:r>
      <w:r>
        <w:rPr>
          <w:rFonts w:hint="default" w:ascii="Times New Roman" w:hAnsi="Times New Roman" w:eastAsia="仿宋_GB2312" w:cs="Times New Roman"/>
          <w:sz w:val="32"/>
          <w:szCs w:val="32"/>
          <w:lang w:val="en-US" w:eastAsia="zh-CN"/>
        </w:rPr>
        <w:t>0.11</w:t>
      </w:r>
      <w:r>
        <w:rPr>
          <w:rFonts w:hint="default" w:ascii="Times New Roman" w:hAnsi="Times New Roman" w:eastAsia="仿宋_GB2312" w:cs="Times New Roman"/>
          <w:sz w:val="32"/>
          <w:szCs w:val="32"/>
        </w:rPr>
        <w:t>万元，具体内容包括：</w:t>
      </w:r>
      <w:r>
        <w:rPr>
          <w:rFonts w:hint="default" w:ascii="Times New Roman" w:hAnsi="Times New Roman" w:eastAsia="仿宋_GB2312" w:cs="Times New Roman"/>
          <w:sz w:val="32"/>
          <w:szCs w:val="32"/>
          <w:lang w:val="en-US" w:eastAsia="zh-CN"/>
        </w:rPr>
        <w:t>省林业和草原局森林草原防火督导接待0.11万元。</w:t>
      </w:r>
    </w:p>
    <w:p w14:paraId="51D89C5D">
      <w:pPr>
        <w:spacing w:line="600" w:lineRule="exact"/>
        <w:ind w:firstLine="64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eastAsia="zh-CN"/>
        </w:rPr>
        <w:t>外事接待支出0万元，主要用于接待…（具体项目）。外事接待0批次，0人次（不包括陪同人员），共计支出0万元。</w:t>
      </w:r>
    </w:p>
    <w:p w14:paraId="47228CBE">
      <w:pPr>
        <w:spacing w:line="600" w:lineRule="exact"/>
        <w:ind w:firstLine="640"/>
        <w:outlineLvl w:val="1"/>
        <w:rPr>
          <w:rStyle w:val="32"/>
          <w:rFonts w:hint="default" w:ascii="Times New Roman" w:hAnsi="Times New Roman" w:eastAsia="黑体" w:cs="Times New Roman"/>
        </w:rPr>
      </w:pPr>
      <w:bookmarkStart w:id="42" w:name="_Toc15396610"/>
      <w:bookmarkStart w:id="43" w:name="_Toc15377218"/>
      <w:r>
        <w:rPr>
          <w:rFonts w:hint="default" w:ascii="Times New Roman" w:hAnsi="Times New Roman" w:eastAsia="黑体" w:cs="Times New Roman"/>
          <w:sz w:val="32"/>
          <w:szCs w:val="32"/>
        </w:rPr>
        <w:t>八、</w:t>
      </w:r>
      <w:r>
        <w:rPr>
          <w:rStyle w:val="32"/>
          <w:rFonts w:hint="default" w:ascii="Times New Roman" w:hAnsi="Times New Roman" w:eastAsia="黑体" w:cs="Times New Roman"/>
          <w:b w:val="0"/>
        </w:rPr>
        <w:t>政府性基金预算支出决算情况说明</w:t>
      </w:r>
      <w:bookmarkEnd w:id="42"/>
      <w:bookmarkEnd w:id="43"/>
    </w:p>
    <w:p w14:paraId="4183B670">
      <w:pPr>
        <w:spacing w:line="600" w:lineRule="exact"/>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2024年度政府性基金预算财政拨款支出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%。与2023年度相比，政府性基金预算财政拨款支出增加/减少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万元，增长/下降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b/>
          <w:bCs/>
          <w:sz w:val="32"/>
          <w:szCs w:val="32"/>
        </w:rPr>
        <w:t>（注：支出数与上年持平可以不写原因）</w:t>
      </w:r>
      <w:bookmarkStart w:id="44" w:name="_Toc15377219"/>
      <w:bookmarkStart w:id="45" w:name="_Toc15396611"/>
    </w:p>
    <w:p w14:paraId="4A9A739A">
      <w:pPr>
        <w:spacing w:line="600" w:lineRule="exact"/>
        <w:ind w:firstLine="640"/>
        <w:rPr>
          <w:rStyle w:val="32"/>
          <w:rFonts w:hint="default" w:ascii="Times New Roman" w:hAnsi="Times New Roman" w:eastAsia="黑体" w:cs="Times New Roman"/>
          <w:b w:val="0"/>
        </w:rPr>
      </w:pPr>
      <w:r>
        <w:rPr>
          <w:rStyle w:val="32"/>
          <w:rFonts w:hint="default" w:ascii="Times New Roman" w:hAnsi="Times New Roman" w:eastAsia="黑体" w:cs="Times New Roman"/>
          <w:b w:val="0"/>
        </w:rPr>
        <w:t>九、国有资本经营预算支出决算情况说明</w:t>
      </w:r>
      <w:bookmarkEnd w:id="44"/>
      <w:bookmarkEnd w:id="45"/>
    </w:p>
    <w:p w14:paraId="084816BA">
      <w:pPr>
        <w:spacing w:line="600" w:lineRule="exact"/>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2024年度国有资本经营预算财政拨款支出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%。与2023年度相比，国有资本经营预算财政拨款支出增加/减少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万元，增长/下降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b/>
          <w:bCs/>
          <w:sz w:val="32"/>
          <w:szCs w:val="32"/>
        </w:rPr>
        <w:t>（注：支出数与上年持平可以不写原因）</w:t>
      </w:r>
      <w:bookmarkStart w:id="46" w:name="_Toc15396612"/>
      <w:bookmarkStart w:id="47" w:name="_Toc15377221"/>
    </w:p>
    <w:p w14:paraId="2CA2FA4F">
      <w:pPr>
        <w:spacing w:line="600" w:lineRule="exact"/>
        <w:ind w:firstLine="640"/>
        <w:rPr>
          <w:rStyle w:val="32"/>
          <w:rFonts w:hint="default" w:ascii="Times New Roman" w:hAnsi="Times New Roman" w:eastAsia="黑体" w:cs="Times New Roman"/>
          <w:b w:val="0"/>
        </w:rPr>
      </w:pPr>
      <w:r>
        <w:rPr>
          <w:rStyle w:val="32"/>
          <w:rFonts w:hint="default" w:ascii="Times New Roman" w:hAnsi="Times New Roman" w:eastAsia="黑体" w:cs="Times New Roman"/>
          <w:b w:val="0"/>
        </w:rPr>
        <w:t>十、其他重要事项的情况说明</w:t>
      </w:r>
      <w:bookmarkEnd w:id="46"/>
      <w:bookmarkEnd w:id="47"/>
    </w:p>
    <w:p w14:paraId="2635AD73">
      <w:pPr>
        <w:spacing w:line="600" w:lineRule="exact"/>
        <w:ind w:firstLine="643" w:firstLineChars="200"/>
        <w:outlineLvl w:val="2"/>
        <w:rPr>
          <w:rFonts w:hint="default" w:ascii="Times New Roman" w:hAnsi="Times New Roman" w:eastAsia="楷体_GB2312" w:cs="Times New Roman"/>
          <w:b/>
          <w:sz w:val="32"/>
          <w:szCs w:val="32"/>
        </w:rPr>
      </w:pPr>
      <w:bookmarkStart w:id="48" w:name="_Toc15377222"/>
      <w:r>
        <w:rPr>
          <w:rFonts w:hint="default" w:ascii="Times New Roman" w:hAnsi="Times New Roman" w:eastAsia="楷体_GB2312" w:cs="Times New Roman"/>
          <w:b/>
          <w:sz w:val="32"/>
          <w:szCs w:val="32"/>
        </w:rPr>
        <w:t>（一）机关运行经费支出情况</w:t>
      </w:r>
      <w:bookmarkEnd w:id="48"/>
    </w:p>
    <w:p w14:paraId="59633510">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w:t>
      </w: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运行经费支出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万元，比2023年度增加/减少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万元，增长/下降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%（或与2023年度决算数持平）。主要原因是……</w:t>
      </w:r>
      <w:bookmarkStart w:id="49" w:name="_Toc15377223"/>
    </w:p>
    <w:p w14:paraId="55FA91AE">
      <w:pPr>
        <w:spacing w:line="600" w:lineRule="exact"/>
        <w:ind w:firstLine="64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（二）政府采购支出情况</w:t>
      </w:r>
      <w:bookmarkEnd w:id="49"/>
    </w:p>
    <w:p w14:paraId="5AE5ECDD">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w:t>
      </w: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采购支出总额</w:t>
      </w:r>
      <w:r>
        <w:rPr>
          <w:rFonts w:hint="default" w:ascii="Times New Roman" w:hAnsi="Times New Roman" w:eastAsia="仿宋_GB2312" w:cs="Times New Roman"/>
          <w:sz w:val="32"/>
          <w:szCs w:val="32"/>
          <w:lang w:val="en-US" w:eastAsia="zh-CN"/>
        </w:rPr>
        <w:t>40.5</w:t>
      </w:r>
      <w:r>
        <w:rPr>
          <w:rFonts w:hint="default" w:ascii="Times New Roman" w:hAnsi="Times New Roman" w:eastAsia="仿宋_GB2312" w:cs="Times New Roman"/>
          <w:sz w:val="32"/>
          <w:szCs w:val="32"/>
        </w:rPr>
        <w:t>万元，其中：政府采购货物支出</w:t>
      </w:r>
      <w:r>
        <w:rPr>
          <w:rFonts w:hint="default" w:ascii="Times New Roman" w:hAnsi="Times New Roman" w:eastAsia="仿宋_GB2312" w:cs="Times New Roman"/>
          <w:sz w:val="32"/>
          <w:szCs w:val="32"/>
          <w:lang w:val="en-US" w:eastAsia="zh-CN"/>
        </w:rPr>
        <w:t>39.98</w:t>
      </w:r>
      <w:r>
        <w:rPr>
          <w:rFonts w:hint="default" w:ascii="Times New Roman" w:hAnsi="Times New Roman" w:eastAsia="仿宋_GB2312" w:cs="Times New Roman"/>
          <w:sz w:val="32"/>
          <w:szCs w:val="32"/>
        </w:rPr>
        <w:t>万元、政府采购工程支出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万元、政府采购服务支出</w:t>
      </w:r>
      <w:r>
        <w:rPr>
          <w:rFonts w:hint="default" w:ascii="Times New Roman" w:hAnsi="Times New Roman" w:eastAsia="仿宋_GB2312" w:cs="Times New Roman"/>
          <w:sz w:val="32"/>
          <w:szCs w:val="32"/>
          <w:lang w:val="en-US" w:eastAsia="zh-CN"/>
        </w:rPr>
        <w:t>0.52</w:t>
      </w:r>
      <w:r>
        <w:rPr>
          <w:rFonts w:hint="default" w:ascii="Times New Roman" w:hAnsi="Times New Roman" w:eastAsia="仿宋_GB2312" w:cs="Times New Roman"/>
          <w:sz w:val="32"/>
          <w:szCs w:val="32"/>
        </w:rPr>
        <w:t>万元。主要用于</w:t>
      </w:r>
      <w:r>
        <w:rPr>
          <w:rFonts w:hint="default" w:ascii="Times New Roman" w:hAnsi="Times New Roman" w:eastAsia="仿宋_GB2312" w:cs="Times New Roman"/>
          <w:sz w:val="32"/>
          <w:szCs w:val="32"/>
          <w:lang w:val="en-US" w:eastAsia="zh-CN"/>
        </w:rPr>
        <w:t>公务车辆保险费</w:t>
      </w:r>
      <w:r>
        <w:rPr>
          <w:rFonts w:hint="default" w:ascii="Times New Roman" w:hAnsi="Times New Roman" w:eastAsia="仿宋_GB2312" w:cs="Times New Roman"/>
          <w:sz w:val="32"/>
          <w:szCs w:val="32"/>
        </w:rPr>
        <w:t>。授予中小企业合同金额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%，其中：授予小微企业合同金额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bookmarkStart w:id="50" w:name="_Toc15377224"/>
    </w:p>
    <w:p w14:paraId="45302635">
      <w:pPr>
        <w:spacing w:line="600" w:lineRule="exact"/>
        <w:ind w:firstLine="64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（三）国有资产占有使用情况</w:t>
      </w:r>
      <w:bookmarkEnd w:id="50"/>
    </w:p>
    <w:p w14:paraId="3AA45953">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截至2024年12月31日，</w:t>
      </w: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共有车辆</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辆，其中：负责人用车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辆、应急保障用车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辆，其他用车主要是用于</w:t>
      </w:r>
      <w:r>
        <w:rPr>
          <w:rFonts w:hint="default" w:ascii="Times New Roman" w:hAnsi="Times New Roman" w:eastAsia="仿宋_GB2312" w:cs="Times New Roman"/>
          <w:sz w:val="32"/>
          <w:szCs w:val="32"/>
          <w:lang w:val="en-US" w:eastAsia="zh-CN"/>
        </w:rPr>
        <w:t>园区内护林防火及</w:t>
      </w:r>
      <w:r>
        <w:rPr>
          <w:rFonts w:hint="default" w:ascii="Times New Roman" w:hAnsi="Times New Roman" w:eastAsia="仿宋_GB2312" w:cs="Times New Roman"/>
          <w:color w:val="000000"/>
          <w:sz w:val="32"/>
          <w:szCs w:val="32"/>
        </w:rPr>
        <w:t>项目检查督导</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。单价100万元（含）以上设备（不含车辆）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14:paraId="43666F02">
      <w:pPr>
        <w:spacing w:line="600" w:lineRule="exact"/>
        <w:ind w:firstLine="64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（四）预算绩效管理情况</w:t>
      </w:r>
    </w:p>
    <w:p w14:paraId="1CEAE84E">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w:t>
      </w: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在2024年度预算编制阶段，组织对</w:t>
      </w:r>
      <w:r>
        <w:rPr>
          <w:rFonts w:hint="default" w:ascii="Times New Roman" w:hAnsi="Times New Roman" w:eastAsia="仿宋_GB2312" w:cs="Times New Roman"/>
          <w:bCs/>
          <w:kern w:val="2"/>
          <w:sz w:val="32"/>
          <w:szCs w:val="32"/>
          <w:lang w:bidi="ar-SA"/>
        </w:rPr>
        <w:t>卧龙体制改革工作经费</w:t>
      </w:r>
      <w:r>
        <w:rPr>
          <w:rFonts w:hint="default" w:ascii="Times New Roman" w:hAnsi="Times New Roman" w:eastAsia="仿宋_GB2312" w:cs="Times New Roman"/>
          <w:sz w:val="32"/>
          <w:szCs w:val="32"/>
        </w:rPr>
        <w:t>等</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个项目开展了预算事前绩效评估，对</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个项目编制了绩效目标，预算执行过程中，选取</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个项目开展绩效监控。</w:t>
      </w:r>
    </w:p>
    <w:p w14:paraId="4818AB03">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组织对2024年度一般公共预算、政府性基金预算、国有资本经营预算、社会保险基金预算以及资本资产、债券资金等全面开展绩效自评，形成</w:t>
      </w: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部门整体（含部门预算项目）绩效自评报告、</w:t>
      </w: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专项预算项目绩效自评报告，其中，</w:t>
      </w: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部门整体（含部门预算项目）绩效自评得分为</w:t>
      </w:r>
      <w:r>
        <w:rPr>
          <w:rFonts w:hint="eastAsia" w:eastAsia="仿宋_GB2312" w:cs="Times New Roman"/>
          <w:sz w:val="32"/>
          <w:szCs w:val="32"/>
          <w:lang w:val="en-US" w:eastAsia="zh-CN"/>
        </w:rPr>
        <w:t>100</w:t>
      </w:r>
      <w:bookmarkStart w:id="71" w:name="_GoBack"/>
      <w:bookmarkEnd w:id="71"/>
      <w:r>
        <w:rPr>
          <w:rFonts w:hint="default" w:ascii="Times New Roman" w:hAnsi="Times New Roman" w:eastAsia="仿宋_GB2312" w:cs="Times New Roman"/>
          <w:sz w:val="32"/>
          <w:szCs w:val="32"/>
        </w:rPr>
        <w:t>分，绩效自评综述</w:t>
      </w:r>
      <w:r>
        <w:rPr>
          <w:rFonts w:hint="default" w:ascii="Times New Roman" w:hAnsi="Times New Roman" w:eastAsia="仿宋_GB2312" w:cs="Times New Roman"/>
          <w:color w:val="auto"/>
          <w:kern w:val="2"/>
          <w:sz w:val="32"/>
          <w:szCs w:val="32"/>
          <w:lang w:bidi="ar-SA"/>
        </w:rPr>
        <w:t>2024年度年初工作计划及重点工作目标管理符合州委、州政府总体经济和社会发展规划及职责，体现当年重点工作，资金投入相匹配。建立完善了内部控制制度和内部管理制度，并得到有效执行。预算执行情况良好，预算支出和决算支出情况相符。圆满完成州委州政府下达的2024年各项目标任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专项预算项目绩效自评得分为</w:t>
      </w:r>
      <w:r>
        <w:rPr>
          <w:rFonts w:hint="default" w:ascii="Times New Roman" w:hAnsi="Times New Roman" w:eastAsia="仿宋_GB2312" w:cs="Times New Roman"/>
          <w:sz w:val="32"/>
          <w:szCs w:val="32"/>
          <w:lang w:val="en-US" w:eastAsia="zh-CN"/>
        </w:rPr>
        <w:t>91</w:t>
      </w:r>
      <w:r>
        <w:rPr>
          <w:rFonts w:hint="default" w:ascii="Times New Roman" w:hAnsi="Times New Roman" w:eastAsia="仿宋_GB2312" w:cs="Times New Roman"/>
          <w:sz w:val="32"/>
          <w:szCs w:val="32"/>
        </w:rPr>
        <w:t>分，绩效自评综述</w:t>
      </w:r>
      <w:r>
        <w:rPr>
          <w:rFonts w:hint="default" w:ascii="Times New Roman" w:hAnsi="Times New Roman" w:eastAsia="仿宋_GB2312" w:cs="Times New Roman"/>
          <w:sz w:val="32"/>
          <w:szCs w:val="32"/>
          <w:lang w:val="en-US" w:eastAsia="zh-CN"/>
        </w:rPr>
        <w:t>从综合评价来看，项目立项依据充分，均设定了项目绩效目 标，资金配置科学合理，严格项目管理，按规定履行报批手续，制定了实施方案，细化任务并明确绩效目标，经局党组会议研究 同意后实施。涉及采购的严格按照政府采购相关程序执行，建设、验收等严格执行相关制度规定。整体情况良好</w:t>
      </w:r>
      <w:r>
        <w:rPr>
          <w:rFonts w:hint="default" w:ascii="Times New Roman" w:hAnsi="Times New Roman" w:eastAsia="仿宋_GB2312" w:cs="Times New Roman"/>
          <w:sz w:val="32"/>
          <w:szCs w:val="32"/>
        </w:rPr>
        <w:t>。绩效自评报告详见附件。</w:t>
      </w:r>
    </w:p>
    <w:p w14:paraId="58AFC040">
      <w:pPr>
        <w:spacing w:line="600" w:lineRule="exact"/>
        <w:ind w:firstLine="640"/>
        <w:rPr>
          <w:rFonts w:hint="default" w:ascii="Times New Roman" w:hAnsi="Times New Roman" w:eastAsia="仿宋_GB2312" w:cs="Times New Roman"/>
          <w:sz w:val="32"/>
          <w:szCs w:val="32"/>
        </w:rPr>
      </w:pPr>
    </w:p>
    <w:p w14:paraId="76665388">
      <w:pPr>
        <w:spacing w:line="600" w:lineRule="exact"/>
        <w:ind w:firstLine="640"/>
        <w:rPr>
          <w:rFonts w:hint="default" w:ascii="Times New Roman" w:hAnsi="Times New Roman" w:eastAsia="仿宋_GB2312" w:cs="Times New Roman"/>
          <w:sz w:val="32"/>
          <w:szCs w:val="32"/>
        </w:rPr>
      </w:pPr>
    </w:p>
    <w:p w14:paraId="18C030C5">
      <w:pPr>
        <w:spacing w:line="600" w:lineRule="exact"/>
        <w:ind w:firstLine="640"/>
        <w:rPr>
          <w:rFonts w:hint="default" w:ascii="Times New Roman" w:hAnsi="Times New Roman" w:eastAsia="仿宋_GB2312" w:cs="Times New Roman"/>
          <w:sz w:val="32"/>
          <w:szCs w:val="32"/>
        </w:rPr>
      </w:pPr>
    </w:p>
    <w:p w14:paraId="5E0F8C79">
      <w:pPr>
        <w:spacing w:line="600" w:lineRule="exact"/>
        <w:ind w:firstLine="640"/>
        <w:rPr>
          <w:rFonts w:hint="default" w:ascii="Times New Roman" w:hAnsi="Times New Roman" w:eastAsia="仿宋_GB2312" w:cs="Times New Roman"/>
          <w:sz w:val="32"/>
          <w:szCs w:val="32"/>
        </w:rPr>
      </w:pPr>
    </w:p>
    <w:p w14:paraId="11D780E4">
      <w:pPr>
        <w:spacing w:line="600" w:lineRule="exact"/>
        <w:ind w:firstLine="640"/>
        <w:rPr>
          <w:rFonts w:hint="default" w:ascii="Times New Roman" w:hAnsi="Times New Roman" w:eastAsia="仿宋_GB2312" w:cs="Times New Roman"/>
          <w:sz w:val="32"/>
          <w:szCs w:val="32"/>
        </w:rPr>
      </w:pPr>
    </w:p>
    <w:p w14:paraId="24F75037">
      <w:pPr>
        <w:spacing w:line="600" w:lineRule="exact"/>
        <w:ind w:firstLine="640"/>
        <w:rPr>
          <w:rFonts w:hint="default" w:ascii="Times New Roman" w:hAnsi="Times New Roman" w:eastAsia="仿宋_GB2312" w:cs="Times New Roman"/>
          <w:sz w:val="32"/>
          <w:szCs w:val="32"/>
        </w:rPr>
      </w:pPr>
    </w:p>
    <w:p w14:paraId="3482DD36">
      <w:pPr>
        <w:spacing w:line="600" w:lineRule="exact"/>
        <w:ind w:firstLine="640"/>
        <w:rPr>
          <w:rFonts w:hint="default" w:ascii="Times New Roman" w:hAnsi="Times New Roman" w:eastAsia="仿宋_GB2312" w:cs="Times New Roman"/>
          <w:sz w:val="32"/>
          <w:szCs w:val="32"/>
        </w:rPr>
      </w:pPr>
    </w:p>
    <w:p w14:paraId="6B8CE4C3">
      <w:pPr>
        <w:spacing w:line="600" w:lineRule="exact"/>
        <w:ind w:firstLine="640"/>
        <w:rPr>
          <w:rFonts w:hint="default" w:ascii="Times New Roman" w:hAnsi="Times New Roman" w:eastAsia="仿宋_GB2312" w:cs="Times New Roman"/>
          <w:sz w:val="32"/>
          <w:szCs w:val="32"/>
        </w:rPr>
      </w:pPr>
    </w:p>
    <w:p w14:paraId="578ABE84">
      <w:pPr>
        <w:spacing w:line="600" w:lineRule="exact"/>
        <w:ind w:firstLine="640"/>
        <w:rPr>
          <w:rFonts w:hint="default" w:ascii="Times New Roman" w:hAnsi="Times New Roman" w:eastAsia="仿宋_GB2312" w:cs="Times New Roman"/>
          <w:sz w:val="32"/>
          <w:szCs w:val="32"/>
        </w:rPr>
      </w:pPr>
    </w:p>
    <w:p w14:paraId="3EE12CAB">
      <w:pPr>
        <w:spacing w:line="600" w:lineRule="exact"/>
        <w:ind w:firstLine="640"/>
        <w:rPr>
          <w:rFonts w:hint="default" w:ascii="Times New Roman" w:hAnsi="Times New Roman" w:eastAsia="仿宋_GB2312" w:cs="Times New Roman"/>
          <w:sz w:val="32"/>
          <w:szCs w:val="32"/>
        </w:rPr>
      </w:pPr>
    </w:p>
    <w:p w14:paraId="4524E068">
      <w:pPr>
        <w:spacing w:line="600" w:lineRule="exact"/>
        <w:ind w:firstLine="640"/>
        <w:rPr>
          <w:rFonts w:hint="default" w:ascii="Times New Roman" w:hAnsi="Times New Roman" w:eastAsia="仿宋_GB2312" w:cs="Times New Roman"/>
          <w:sz w:val="32"/>
          <w:szCs w:val="32"/>
        </w:rPr>
      </w:pPr>
    </w:p>
    <w:p w14:paraId="7A88BD65">
      <w:pPr>
        <w:spacing w:line="600" w:lineRule="exact"/>
        <w:ind w:firstLine="640"/>
        <w:rPr>
          <w:rFonts w:hint="default" w:ascii="Times New Roman" w:hAnsi="Times New Roman" w:eastAsia="仿宋_GB2312" w:cs="Times New Roman"/>
          <w:sz w:val="32"/>
          <w:szCs w:val="32"/>
        </w:rPr>
      </w:pPr>
    </w:p>
    <w:p w14:paraId="3381FF72">
      <w:pPr>
        <w:spacing w:line="600" w:lineRule="exact"/>
        <w:ind w:firstLine="640"/>
        <w:rPr>
          <w:rFonts w:hint="default" w:ascii="Times New Roman" w:hAnsi="Times New Roman" w:eastAsia="仿宋_GB2312" w:cs="Times New Roman"/>
          <w:sz w:val="32"/>
          <w:szCs w:val="32"/>
        </w:rPr>
      </w:pPr>
    </w:p>
    <w:p w14:paraId="61987D7D">
      <w:pPr>
        <w:spacing w:line="600" w:lineRule="exact"/>
        <w:ind w:firstLine="640"/>
        <w:rPr>
          <w:rFonts w:hint="default" w:ascii="Times New Roman" w:hAnsi="Times New Roman" w:eastAsia="仿宋_GB2312" w:cs="Times New Roman"/>
          <w:sz w:val="32"/>
          <w:szCs w:val="32"/>
        </w:rPr>
      </w:pPr>
    </w:p>
    <w:p w14:paraId="5EBE1E4F">
      <w:pPr>
        <w:spacing w:line="600" w:lineRule="exact"/>
        <w:ind w:firstLine="640"/>
        <w:rPr>
          <w:rFonts w:hint="default" w:ascii="Times New Roman" w:hAnsi="Times New Roman" w:eastAsia="仿宋_GB2312" w:cs="Times New Roman"/>
          <w:sz w:val="32"/>
          <w:szCs w:val="32"/>
        </w:rPr>
      </w:pPr>
    </w:p>
    <w:p w14:paraId="3DB4E1AB">
      <w:pPr>
        <w:spacing w:line="600" w:lineRule="exact"/>
        <w:ind w:firstLine="640"/>
        <w:rPr>
          <w:rFonts w:hint="default" w:ascii="Times New Roman" w:hAnsi="Times New Roman" w:eastAsia="仿宋_GB2312" w:cs="Times New Roman"/>
          <w:sz w:val="32"/>
          <w:szCs w:val="32"/>
        </w:rPr>
      </w:pPr>
    </w:p>
    <w:p w14:paraId="5497C874">
      <w:pPr>
        <w:spacing w:line="600" w:lineRule="exact"/>
        <w:ind w:firstLine="640"/>
        <w:rPr>
          <w:rFonts w:hint="default" w:ascii="Times New Roman" w:hAnsi="Times New Roman" w:eastAsia="仿宋_GB2312" w:cs="Times New Roman"/>
          <w:sz w:val="32"/>
          <w:szCs w:val="32"/>
        </w:rPr>
      </w:pPr>
    </w:p>
    <w:p w14:paraId="3AF3DCB5">
      <w:pPr>
        <w:spacing w:line="600" w:lineRule="exact"/>
        <w:ind w:firstLine="640"/>
        <w:rPr>
          <w:rFonts w:hint="default" w:ascii="Times New Roman" w:hAnsi="Times New Roman" w:eastAsia="仿宋_GB2312" w:cs="Times New Roman"/>
          <w:sz w:val="32"/>
          <w:szCs w:val="32"/>
        </w:rPr>
      </w:pPr>
    </w:p>
    <w:p w14:paraId="31E8CC55">
      <w:pPr>
        <w:spacing w:line="600" w:lineRule="exact"/>
        <w:ind w:firstLine="640"/>
        <w:rPr>
          <w:rFonts w:hint="default" w:ascii="Times New Roman" w:hAnsi="Times New Roman" w:eastAsia="仿宋_GB2312" w:cs="Times New Roman"/>
          <w:sz w:val="32"/>
          <w:szCs w:val="32"/>
        </w:rPr>
      </w:pPr>
    </w:p>
    <w:p w14:paraId="265248F8">
      <w:pPr>
        <w:spacing w:line="600" w:lineRule="exact"/>
        <w:ind w:firstLine="640"/>
        <w:rPr>
          <w:rFonts w:hint="default" w:ascii="Times New Roman" w:hAnsi="Times New Roman" w:eastAsia="仿宋_GB2312" w:cs="Times New Roman"/>
          <w:sz w:val="32"/>
          <w:szCs w:val="32"/>
        </w:rPr>
      </w:pPr>
    </w:p>
    <w:p w14:paraId="677955BB">
      <w:pPr>
        <w:spacing w:line="600" w:lineRule="exact"/>
        <w:ind w:firstLine="640"/>
        <w:rPr>
          <w:rFonts w:hint="default" w:ascii="Times New Roman" w:hAnsi="Times New Roman" w:eastAsia="仿宋_GB2312" w:cs="Times New Roman"/>
          <w:sz w:val="32"/>
          <w:szCs w:val="32"/>
        </w:rPr>
      </w:pPr>
    </w:p>
    <w:p w14:paraId="4D9F259B">
      <w:pPr>
        <w:spacing w:line="600" w:lineRule="exact"/>
        <w:ind w:firstLine="640"/>
        <w:rPr>
          <w:rFonts w:hint="default" w:ascii="Times New Roman" w:hAnsi="Times New Roman" w:eastAsia="仿宋_GB2312" w:cs="Times New Roman"/>
          <w:sz w:val="32"/>
          <w:szCs w:val="32"/>
        </w:rPr>
      </w:pPr>
    </w:p>
    <w:p w14:paraId="6F45BA35">
      <w:pPr>
        <w:spacing w:line="600" w:lineRule="exact"/>
        <w:jc w:val="center"/>
        <w:outlineLvl w:val="0"/>
        <w:rPr>
          <w:rFonts w:hint="default" w:ascii="Times New Roman" w:hAnsi="Times New Roman" w:eastAsia="黑体" w:cs="Times New Roman"/>
          <w:sz w:val="44"/>
          <w:szCs w:val="44"/>
        </w:rPr>
      </w:pPr>
      <w:bookmarkStart w:id="51" w:name="_Toc15396613"/>
      <w:bookmarkStart w:id="52" w:name="_Toc15377225"/>
      <w:r>
        <w:rPr>
          <w:rFonts w:hint="default" w:ascii="Times New Roman" w:hAnsi="Times New Roman" w:eastAsia="黑体" w:cs="Times New Roman"/>
          <w:sz w:val="44"/>
          <w:szCs w:val="44"/>
        </w:rPr>
        <w:t>第三部分  名词解释</w:t>
      </w:r>
      <w:bookmarkEnd w:id="51"/>
      <w:bookmarkEnd w:id="52"/>
    </w:p>
    <w:p w14:paraId="46850336">
      <w:pPr>
        <w:spacing w:line="600" w:lineRule="exact"/>
        <w:jc w:val="left"/>
        <w:rPr>
          <w:rFonts w:hint="default" w:ascii="Times New Roman" w:hAnsi="Times New Roman" w:cs="Times New Roman"/>
          <w:b/>
          <w:sz w:val="44"/>
          <w:szCs w:val="44"/>
        </w:rPr>
      </w:pPr>
    </w:p>
    <w:p w14:paraId="4BAF05B5">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14:paraId="15B1841F">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2.年初结转和结余：指以前年度尚未完成、结转到本年按有关规定继续使用的资金。 </w:t>
      </w:r>
    </w:p>
    <w:p w14:paraId="11EFFEFA">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3.结余分配：指事业单位按照会计制度规定缴纳的所得税、提取的专用结余以及转入非财政拨款结余的金额等。</w:t>
      </w:r>
    </w:p>
    <w:p w14:paraId="66F012A0">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4.年末结转和结余：指单位按有关规定结转到下年或以后年度继续使用的资金。</w:t>
      </w:r>
    </w:p>
    <w:p w14:paraId="0B916CFA">
      <w:pPr>
        <w:spacing w:line="600" w:lineRule="exact"/>
        <w:ind w:firstLine="640" w:firstLineChars="200"/>
        <w:rPr>
          <w:rStyle w:val="20"/>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5.</w:t>
      </w:r>
      <w:r>
        <w:rPr>
          <w:rStyle w:val="20"/>
          <w:rFonts w:hint="default" w:ascii="Times New Roman" w:hAnsi="Times New Roman" w:eastAsia="仿宋_GB2312" w:cs="Times New Roman"/>
          <w:b w:val="0"/>
          <w:kern w:val="2"/>
          <w:sz w:val="32"/>
          <w:szCs w:val="32"/>
        </w:rPr>
        <w:t>社会保障和就业支出</w:t>
      </w:r>
      <w:r>
        <w:rPr>
          <w:rStyle w:val="20"/>
          <w:rFonts w:hint="default" w:ascii="Times New Roman" w:hAnsi="Times New Roman" w:eastAsia="仿宋_GB2312" w:cs="Times New Roman"/>
          <w:b w:val="0"/>
          <w:sz w:val="32"/>
          <w:szCs w:val="32"/>
        </w:rPr>
        <w:t>（208类）行政事业单位养老支出（05款）机关事业单位基本养老保险缴费支出（05项）: 指反映机关事业单位实施养老保险制度有单位缴纳的基本养老保险费支出。</w:t>
      </w:r>
    </w:p>
    <w:p w14:paraId="3321D6A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Style w:val="20"/>
          <w:rFonts w:hint="default" w:ascii="Times New Roman" w:hAnsi="Times New Roman" w:eastAsia="仿宋_GB2312" w:cs="Times New Roman"/>
          <w:b w:val="0"/>
          <w:sz w:val="32"/>
          <w:szCs w:val="32"/>
        </w:rPr>
        <w:t>社会保障和就业支出（208类）行政事业单位养老支出（05款）机关事业单位职业年金缴费支出（06项）: 指反映机关事业单位实施养老保险制度由单位实际缴纳的职业年金支出。</w:t>
      </w:r>
    </w:p>
    <w:p w14:paraId="7CAD7783">
      <w:pPr>
        <w:spacing w:line="600" w:lineRule="exact"/>
        <w:ind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kern w:val="2"/>
          <w:sz w:val="32"/>
          <w:szCs w:val="32"/>
          <w:lang w:val="en-US" w:eastAsia="zh-CN" w:bidi="ar-SA"/>
        </w:rPr>
        <w:t>社会保障和就业支出（208类）行政事业单位养老支出（05款）事业单位离退休（02项）：指反映事业单位开支的离退休经费。</w:t>
      </w:r>
    </w:p>
    <w:p w14:paraId="1A16D99A">
      <w:pPr>
        <w:spacing w:line="600" w:lineRule="exact"/>
        <w:ind w:firstLine="640" w:firstLineChars="200"/>
        <w:rPr>
          <w:rStyle w:val="20"/>
          <w:rFonts w:hint="default" w:ascii="Times New Roman" w:hAnsi="Times New Roman" w:eastAsia="仿宋_GB2312" w:cs="Times New Roman"/>
          <w:b w:val="0"/>
          <w:sz w:val="32"/>
          <w:szCs w:val="32"/>
          <w:lang w:val="en-US" w:eastAsia="zh-CN"/>
        </w:rPr>
      </w:pPr>
      <w:r>
        <w:rPr>
          <w:rStyle w:val="20"/>
          <w:rFonts w:hint="default" w:ascii="Times New Roman" w:hAnsi="Times New Roman" w:eastAsia="仿宋_GB2312" w:cs="Times New Roman"/>
          <w:b w:val="0"/>
          <w:sz w:val="32"/>
          <w:szCs w:val="32"/>
          <w:lang w:val="en-US" w:eastAsia="zh-CN"/>
        </w:rPr>
        <w:t>8.</w:t>
      </w:r>
      <w:r>
        <w:rPr>
          <w:rStyle w:val="20"/>
          <w:rFonts w:hint="default" w:ascii="Times New Roman" w:hAnsi="Times New Roman" w:eastAsia="仿宋_GB2312" w:cs="Times New Roman"/>
          <w:b w:val="0"/>
          <w:sz w:val="32"/>
          <w:szCs w:val="32"/>
        </w:rPr>
        <w:t>卫生健康支出（210类）行政事业单位医疗（11款）</w:t>
      </w:r>
      <w:r>
        <w:rPr>
          <w:rStyle w:val="20"/>
          <w:rFonts w:hint="default" w:ascii="Times New Roman" w:hAnsi="Times New Roman" w:eastAsia="仿宋_GB2312" w:cs="Times New Roman"/>
          <w:b w:val="0"/>
          <w:sz w:val="32"/>
          <w:szCs w:val="32"/>
          <w:lang w:val="en-US" w:eastAsia="zh-CN"/>
        </w:rPr>
        <w:t>事业</w:t>
      </w:r>
      <w:r>
        <w:rPr>
          <w:rStyle w:val="20"/>
          <w:rFonts w:hint="default" w:ascii="Times New Roman" w:hAnsi="Times New Roman" w:eastAsia="仿宋_GB2312" w:cs="Times New Roman"/>
          <w:b w:val="0"/>
          <w:sz w:val="32"/>
          <w:szCs w:val="32"/>
        </w:rPr>
        <w:t>单位医疗（0</w:t>
      </w:r>
      <w:r>
        <w:rPr>
          <w:rStyle w:val="20"/>
          <w:rFonts w:hint="default" w:ascii="Times New Roman" w:hAnsi="Times New Roman" w:eastAsia="仿宋_GB2312" w:cs="Times New Roman"/>
          <w:b w:val="0"/>
          <w:sz w:val="32"/>
          <w:szCs w:val="32"/>
          <w:lang w:val="en-US" w:eastAsia="zh-CN"/>
        </w:rPr>
        <w:t>2</w:t>
      </w:r>
      <w:r>
        <w:rPr>
          <w:rStyle w:val="20"/>
          <w:rFonts w:hint="default" w:ascii="Times New Roman" w:hAnsi="Times New Roman" w:eastAsia="仿宋_GB2312" w:cs="Times New Roman"/>
          <w:b w:val="0"/>
          <w:sz w:val="32"/>
          <w:szCs w:val="32"/>
        </w:rPr>
        <w:t>项）:指反映财政部门安排的</w:t>
      </w:r>
      <w:r>
        <w:rPr>
          <w:rStyle w:val="20"/>
          <w:rFonts w:hint="default" w:ascii="Times New Roman" w:hAnsi="Times New Roman" w:eastAsia="仿宋_GB2312" w:cs="Times New Roman"/>
          <w:b w:val="0"/>
          <w:sz w:val="32"/>
          <w:szCs w:val="32"/>
          <w:lang w:val="en-US" w:eastAsia="zh-CN"/>
        </w:rPr>
        <w:t>事业</w:t>
      </w:r>
      <w:r>
        <w:rPr>
          <w:rStyle w:val="20"/>
          <w:rFonts w:hint="default" w:ascii="Times New Roman" w:hAnsi="Times New Roman" w:eastAsia="仿宋_GB2312" w:cs="Times New Roman"/>
          <w:b w:val="0"/>
          <w:sz w:val="32"/>
          <w:szCs w:val="32"/>
        </w:rPr>
        <w:t>单位基本医疗</w:t>
      </w:r>
      <w:r>
        <w:rPr>
          <w:rStyle w:val="20"/>
          <w:rFonts w:hint="default" w:ascii="Times New Roman" w:hAnsi="Times New Roman" w:eastAsia="仿宋_GB2312" w:cs="Times New Roman"/>
          <w:b w:val="0"/>
          <w:sz w:val="32"/>
          <w:szCs w:val="32"/>
          <w:lang w:val="en-US" w:eastAsia="zh-CN"/>
        </w:rPr>
        <w:t>保险缴费经费，</w:t>
      </w:r>
      <w:r>
        <w:rPr>
          <w:rStyle w:val="20"/>
          <w:rFonts w:hint="default" w:ascii="Times New Roman" w:hAnsi="Times New Roman" w:eastAsia="仿宋_GB2312" w:cs="Times New Roman"/>
          <w:b w:val="0"/>
          <w:sz w:val="32"/>
          <w:szCs w:val="32"/>
        </w:rPr>
        <w:t>未参加医疗保险的</w:t>
      </w:r>
      <w:r>
        <w:rPr>
          <w:rStyle w:val="20"/>
          <w:rFonts w:hint="default" w:ascii="Times New Roman" w:hAnsi="Times New Roman" w:eastAsia="仿宋_GB2312" w:cs="Times New Roman"/>
          <w:b w:val="0"/>
          <w:sz w:val="32"/>
          <w:szCs w:val="32"/>
          <w:lang w:val="en-US" w:eastAsia="zh-CN"/>
        </w:rPr>
        <w:t>事业</w:t>
      </w:r>
      <w:r>
        <w:rPr>
          <w:rStyle w:val="20"/>
          <w:rFonts w:hint="default" w:ascii="Times New Roman" w:hAnsi="Times New Roman" w:eastAsia="仿宋_GB2312" w:cs="Times New Roman"/>
          <w:b w:val="0"/>
          <w:sz w:val="32"/>
          <w:szCs w:val="32"/>
        </w:rPr>
        <w:t>单位的公费医疗经费，按国家规定享受离休人员待遇的医疗经费。</w:t>
      </w:r>
    </w:p>
    <w:p w14:paraId="3A784201">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Style w:val="20"/>
          <w:rFonts w:hint="default" w:ascii="Times New Roman" w:hAnsi="Times New Roman" w:eastAsia="仿宋_GB2312" w:cs="Times New Roman"/>
          <w:b w:val="0"/>
          <w:sz w:val="32"/>
          <w:szCs w:val="32"/>
        </w:rPr>
        <w:t>卫生健康支出（210类）行政事业单位医疗（11款）</w:t>
      </w:r>
      <w:r>
        <w:rPr>
          <w:rFonts w:hint="default" w:ascii="Times New Roman" w:hAnsi="Times New Roman" w:eastAsia="仿宋_GB2312" w:cs="Times New Roman"/>
          <w:kern w:val="2"/>
          <w:sz w:val="32"/>
          <w:szCs w:val="32"/>
          <w:lang w:val="en-US" w:eastAsia="zh-CN" w:bidi="ar-SA"/>
        </w:rPr>
        <w:t>其他行政事业单位医疗</w:t>
      </w:r>
      <w:r>
        <w:rPr>
          <w:rStyle w:val="20"/>
          <w:rFonts w:hint="default" w:ascii="Times New Roman" w:hAnsi="Times New Roman" w:eastAsia="仿宋_GB2312" w:cs="Times New Roman"/>
          <w:b w:val="0"/>
          <w:sz w:val="32"/>
          <w:szCs w:val="32"/>
        </w:rPr>
        <w:t>（</w:t>
      </w:r>
      <w:r>
        <w:rPr>
          <w:rStyle w:val="20"/>
          <w:rFonts w:hint="default" w:ascii="Times New Roman" w:hAnsi="Times New Roman" w:eastAsia="仿宋_GB2312" w:cs="Times New Roman"/>
          <w:b w:val="0"/>
          <w:sz w:val="32"/>
          <w:szCs w:val="32"/>
          <w:lang w:val="en-US" w:eastAsia="zh-CN"/>
        </w:rPr>
        <w:t>99</w:t>
      </w:r>
      <w:r>
        <w:rPr>
          <w:rStyle w:val="20"/>
          <w:rFonts w:hint="default" w:ascii="Times New Roman" w:hAnsi="Times New Roman" w:eastAsia="仿宋_GB2312" w:cs="Times New Roman"/>
          <w:b w:val="0"/>
          <w:sz w:val="32"/>
          <w:szCs w:val="32"/>
        </w:rPr>
        <w:t>项）:指反映财政</w:t>
      </w:r>
      <w:r>
        <w:rPr>
          <w:rStyle w:val="20"/>
          <w:rFonts w:hint="default" w:ascii="Times New Roman" w:hAnsi="Times New Roman" w:eastAsia="仿宋_GB2312" w:cs="Times New Roman"/>
          <w:b w:val="0"/>
          <w:sz w:val="32"/>
          <w:szCs w:val="32"/>
          <w:lang w:val="en-US" w:eastAsia="zh-CN"/>
        </w:rPr>
        <w:t>对其他基本医疗保险基金的补助支出。</w:t>
      </w:r>
    </w:p>
    <w:p w14:paraId="7C377D6A">
      <w:pPr>
        <w:spacing w:line="600"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2"/>
          <w:sz w:val="32"/>
          <w:szCs w:val="32"/>
          <w:lang w:val="en-US" w:eastAsia="zh-CN" w:bidi="ar-SA"/>
        </w:rPr>
        <w:t>农林水支出（213类）林业和草原（02款）事业机构（04项）：指反映事业单位的基本支出，不包括行政单位（含实行公务员管理的事业单位）后勤服务中心等附属事业单位的支出。</w:t>
      </w:r>
    </w:p>
    <w:p w14:paraId="414A594E">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w:t>
      </w:r>
      <w:r>
        <w:rPr>
          <w:rStyle w:val="20"/>
          <w:rFonts w:hint="default" w:ascii="Times New Roman" w:hAnsi="Times New Roman" w:eastAsia="仿宋_GB2312" w:cs="Times New Roman"/>
          <w:b w:val="0"/>
          <w:sz w:val="32"/>
          <w:szCs w:val="32"/>
        </w:rPr>
        <w:t>住房保障支出（221类）住房改革支出（02款）住房公积金（01项）:指反映行政事业单位按人力资源和社会保障部、财政部规定的基本工资和津贴补贴以及规定比例为职工缴纳的住房公积金。</w:t>
      </w:r>
    </w:p>
    <w:p w14:paraId="4AE82719">
      <w:pPr>
        <w:spacing w:line="600" w:lineRule="exact"/>
        <w:ind w:firstLine="640"/>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SA"/>
        </w:rPr>
        <w:t>12.节能环保支出（211类）自然生态保护（04款）自然保护地（06项）：指反映用于国家公园、自然保护区、自然公园勘界、建设、调查、规划、监测、管护、生态保护补偿与修复、野生动植物保护、科研、保护设施设备运行维护、宣传及管理等方面支出。</w:t>
      </w:r>
    </w:p>
    <w:p w14:paraId="5E47AC61">
      <w:pPr>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基本支出：指为保障机构正常运转、完成日常工作任务而发生的人员支出和公用支出。</w:t>
      </w:r>
    </w:p>
    <w:p w14:paraId="411F5AE5">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 xml:space="preserve">项目支出：指在基本支出之外为完成特定行政任务和事业发展目标所发生的支出。 </w:t>
      </w:r>
    </w:p>
    <w:p w14:paraId="398FAB36">
      <w:pPr>
        <w:pStyle w:val="29"/>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596286A">
      <w:pPr>
        <w:spacing w:line="600" w:lineRule="exact"/>
        <w:jc w:val="center"/>
        <w:rPr>
          <w:rStyle w:val="31"/>
          <w:rFonts w:hint="default" w:ascii="Times New Roman" w:hAnsi="Times New Roman" w:eastAsia="黑体" w:cs="Times New Roman"/>
          <w:b w:val="0"/>
        </w:rPr>
      </w:pPr>
      <w:bookmarkStart w:id="53" w:name="_Toc15377226"/>
      <w:r>
        <w:rPr>
          <w:rFonts w:hint="default" w:ascii="Times New Roman" w:hAnsi="Times New Roman" w:eastAsia="仿宋_GB2312" w:cs="Times New Roman"/>
          <w:sz w:val="32"/>
          <w:szCs w:val="32"/>
        </w:rPr>
        <w:br w:type="page"/>
      </w:r>
      <w:bookmarkStart w:id="54" w:name="_Toc15396614"/>
      <w:r>
        <w:rPr>
          <w:rFonts w:hint="default" w:ascii="Times New Roman" w:hAnsi="Times New Roman" w:eastAsia="黑体" w:cs="Times New Roman"/>
          <w:sz w:val="44"/>
          <w:szCs w:val="44"/>
        </w:rPr>
        <w:t>第四部分  附件</w:t>
      </w:r>
      <w:bookmarkEnd w:id="54"/>
    </w:p>
    <w:p w14:paraId="7BA44CB3">
      <w:pPr>
        <w:spacing w:line="572" w:lineRule="exact"/>
        <w:jc w:val="left"/>
        <w:outlineLvl w:val="0"/>
        <w:rPr>
          <w:rFonts w:hint="default" w:ascii="Times New Roman" w:hAnsi="Times New Roman" w:eastAsia="黑体" w:cs="Times New Roman"/>
          <w:color w:val="FF0000"/>
          <w:sz w:val="32"/>
          <w:szCs w:val="32"/>
        </w:rPr>
      </w:pPr>
    </w:p>
    <w:p w14:paraId="66D3A627">
      <w:pPr>
        <w:spacing w:line="572" w:lineRule="exact"/>
        <w:jc w:val="left"/>
        <w:outlineLvl w:val="0"/>
        <w:rPr>
          <w:rFonts w:hint="default" w:ascii="Times New Roman" w:hAnsi="Times New Roman" w:eastAsia="黑体" w:cs="Times New Roman"/>
          <w:sz w:val="44"/>
          <w:szCs w:val="44"/>
        </w:rPr>
      </w:pPr>
      <w:r>
        <w:rPr>
          <w:rFonts w:hint="default" w:ascii="Times New Roman" w:hAnsi="Times New Roman" w:eastAsia="黑体" w:cs="Times New Roman"/>
          <w:sz w:val="32"/>
          <w:szCs w:val="32"/>
        </w:rPr>
        <w:t>附件1</w:t>
      </w:r>
    </w:p>
    <w:p w14:paraId="4BBC3729">
      <w:pPr>
        <w:pageBreakBefore w:val="0"/>
        <w:kinsoku/>
        <w:wordWrap/>
        <w:overflowPunct/>
        <w:topLinePunct w:val="0"/>
        <w:bidi w:val="0"/>
        <w:spacing w:line="576" w:lineRule="exact"/>
        <w:ind w:left="0" w:leftChars="0" w:right="0" w:firstLine="880" w:firstLineChars="200"/>
        <w:jc w:val="center"/>
        <w:textAlignment w:val="auto"/>
        <w:outlineLvl w:val="0"/>
        <w:rPr>
          <w:rFonts w:hint="eastAsia" w:ascii="Times New Roman" w:hAnsi="Times New Roman" w:eastAsia="方正小标宋简体" w:cs="Times New Roman"/>
          <w:b w:val="0"/>
          <w:bCs w:val="0"/>
          <w:kern w:val="44"/>
          <w:sz w:val="44"/>
          <w:szCs w:val="44"/>
          <w:lang w:val="en-US" w:eastAsia="zh-CN" w:bidi="ar-SA"/>
        </w:rPr>
      </w:pPr>
      <w:bookmarkStart w:id="55" w:name="_Toc1102352589"/>
      <w:r>
        <w:rPr>
          <w:rFonts w:hint="eastAsia" w:ascii="Times New Roman" w:hAnsi="Times New Roman" w:eastAsia="方正小标宋简体" w:cs="Times New Roman"/>
          <w:b w:val="0"/>
          <w:bCs w:val="0"/>
          <w:kern w:val="44"/>
          <w:sz w:val="44"/>
          <w:szCs w:val="44"/>
          <w:lang w:val="en-US" w:eastAsia="zh-CN" w:bidi="ar-SA"/>
        </w:rPr>
        <w:t>大熊猫国家公园阿坝管理分局</w:t>
      </w:r>
    </w:p>
    <w:p w14:paraId="3E5D851F">
      <w:pPr>
        <w:pageBreakBefore w:val="0"/>
        <w:kinsoku/>
        <w:wordWrap/>
        <w:overflowPunct/>
        <w:topLinePunct w:val="0"/>
        <w:bidi w:val="0"/>
        <w:spacing w:line="576" w:lineRule="exact"/>
        <w:ind w:left="0" w:leftChars="0" w:right="0" w:firstLine="880" w:firstLineChars="200"/>
        <w:jc w:val="center"/>
        <w:textAlignment w:val="auto"/>
        <w:outlineLvl w:val="0"/>
        <w:rPr>
          <w:rFonts w:hint="default" w:ascii="Times New Roman" w:hAnsi="Times New Roman" w:eastAsia="方正小标宋简体" w:cs="Times New Roman"/>
          <w:bCs/>
          <w:sz w:val="44"/>
          <w:szCs w:val="44"/>
          <w:shd w:val="clear" w:color="auto" w:fill="FFFFFF"/>
        </w:rPr>
      </w:pPr>
      <w:r>
        <w:rPr>
          <w:rFonts w:hint="default" w:ascii="Times New Roman" w:hAnsi="Times New Roman" w:eastAsia="方正小标宋简体" w:cs="Times New Roman"/>
          <w:b w:val="0"/>
          <w:bCs w:val="0"/>
          <w:kern w:val="44"/>
          <w:sz w:val="44"/>
          <w:szCs w:val="44"/>
          <w:lang w:val="en-US" w:eastAsia="zh-CN" w:bidi="ar-SA"/>
        </w:rPr>
        <w:t>202</w:t>
      </w:r>
      <w:r>
        <w:rPr>
          <w:rFonts w:hint="eastAsia" w:ascii="Times New Roman" w:hAnsi="Times New Roman" w:eastAsia="方正小标宋简体" w:cs="Times New Roman"/>
          <w:b w:val="0"/>
          <w:bCs w:val="0"/>
          <w:kern w:val="44"/>
          <w:sz w:val="44"/>
          <w:szCs w:val="44"/>
          <w:lang w:val="en-US" w:eastAsia="zh-CN" w:bidi="ar-SA"/>
        </w:rPr>
        <w:t>4</w:t>
      </w:r>
      <w:r>
        <w:rPr>
          <w:rFonts w:hint="default" w:ascii="Times New Roman" w:hAnsi="Times New Roman" w:eastAsia="方正小标宋简体" w:cs="Times New Roman"/>
          <w:b w:val="0"/>
          <w:bCs w:val="0"/>
          <w:kern w:val="44"/>
          <w:sz w:val="44"/>
          <w:szCs w:val="44"/>
          <w:lang w:val="en-US" w:eastAsia="zh-CN" w:bidi="ar-SA"/>
        </w:rPr>
        <w:t>年度部门预算绩效自评报告</w:t>
      </w:r>
      <w:bookmarkEnd w:id="55"/>
    </w:p>
    <w:p w14:paraId="7443D8C8">
      <w:pPr>
        <w:widowControl/>
        <w:spacing w:line="578" w:lineRule="exact"/>
        <w:contextualSpacing/>
        <w:jc w:val="center"/>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（报告范围包括机关和下属单位）</w:t>
      </w:r>
    </w:p>
    <w:p w14:paraId="73910544">
      <w:pPr>
        <w:widowControl/>
        <w:adjustRightInd w:val="0"/>
        <w:snapToGrid w:val="0"/>
        <w:spacing w:line="578" w:lineRule="exact"/>
        <w:ind w:firstLine="480" w:firstLineChars="200"/>
        <w:contextualSpacing/>
        <w:jc w:val="left"/>
        <w:rPr>
          <w:rFonts w:hint="default" w:ascii="Times New Roman" w:hAnsi="Times New Roman" w:eastAsia="黑体" w:cs="Times New Roman"/>
          <w:color w:val="000000"/>
          <w:kern w:val="0"/>
          <w:sz w:val="24"/>
          <w:szCs w:val="32"/>
          <w:shd w:val="clear" w:color="auto" w:fill="FFFFFF"/>
        </w:rPr>
      </w:pPr>
    </w:p>
    <w:p w14:paraId="29285466">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一、部门（单位）基本情况</w:t>
      </w:r>
    </w:p>
    <w:p w14:paraId="5C90742C">
      <w:pPr>
        <w:widowControl/>
        <w:adjustRightInd w:val="0"/>
        <w:snapToGrid w:val="0"/>
        <w:spacing w:line="578" w:lineRule="exact"/>
        <w:ind w:firstLine="643" w:firstLineChars="200"/>
        <w:contextualSpacing/>
        <w:jc w:val="left"/>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（一）机构组成。</w:t>
      </w:r>
    </w:p>
    <w:p w14:paraId="37CD8EE0">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四川省大熊猫国家公园管理机构设置实施方案》（省委厅〔2019〕2号）、《四川省大熊猫国家公园各管理分局运行机制意见》（川林发〔2019〕20号）、《中共四川省委机构编制委员会办公室关于大熊猫公家公园管理分局有关机构编制事项的批复》（川编办发〔2019〕161号）、《中共阿坝州委机构编制委员会关于大熊猫国家公园阿坝管理分局有关机构编制事项的批复》（阿编发〔2020〕12号）和《中共阿坝州委机构编制委员会关于调整大熊猫国家公园阿坝管理分局有关机构编制事项的通知》（阿编发〔2020〕36号），设立大熊猫国家公园阿坝管理分局。大熊猫国家公园阿坝管理分局为大熊猫国家公园四川省管理局的派出机构，实行四川省林业和草原局（大熊猫国家公园四川省管理局）与州人民政府双重领导，以州人民政府管理为主的管理体制。大熊猫国家公园阿坝管理分局按行政单位管理，人员按进入该单位前的身份进行管理，待中央和省明确政策后逐步规范。</w:t>
      </w:r>
    </w:p>
    <w:p w14:paraId="43A4261B">
      <w:pPr>
        <w:pStyle w:val="17"/>
        <w:keepNext w:val="0"/>
        <w:keepLines w:val="0"/>
        <w:pageBreakBefore w:val="0"/>
        <w:shd w:val="clear" w:color="auto" w:fill="FFFFFF"/>
        <w:kinsoku/>
        <w:wordWrap/>
        <w:overflowPunct/>
        <w:topLinePunct w:val="0"/>
        <w:autoSpaceDE/>
        <w:autoSpaceDN/>
        <w:bidi w:val="0"/>
        <w:adjustRightInd/>
        <w:spacing w:before="0" w:beforeAutospacing="0" w:after="0" w:afterAutospacing="0" w:line="560" w:lineRule="exact"/>
        <w:ind w:firstLine="643" w:firstLineChars="200"/>
        <w:textAlignment w:val="auto"/>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（二）机构职能。</w:t>
      </w:r>
    </w:p>
    <w:p w14:paraId="2D8ABB87">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阿委办发〔2020〕12号文件规定，我局主要职责是：具体承担辖区内大熊猫国家公园体制试点工作。负责以大熊猫为核心的生物多样性保护和资源环境综合执法；负责项目审查；组织实施特许经营和社会参与，建立社区可持续发展机制；配合地方政府落实国家公园内生产经营设施退出和生态移民搬迁工作；开展巡护监测、科学研究、生态体验和科普教育；组织实施生态工程、保护设施建设。完成省局交办的其他工作。</w:t>
      </w:r>
    </w:p>
    <w:p w14:paraId="3B14A88A">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负责监督管理大熊猫国家公园阿坝园区野生动植物保护工作。开展阿坝园区野生动植物资源调查和资源状况评估，制定和落实野生动植物资源保护发展方案；监督管理阿坝园区陆生野生植物的采集、培植、经营利用；组织开展大熊猫保护、繁育、科研工作以及对外合作研究展示管理工作；开展陆生野生植物救护工作，开展野生动植物资源的保护与开发利用工作；开展陆生野生动物疫源疫病监测工作。</w:t>
      </w:r>
    </w:p>
    <w:p w14:paraId="7AD6E608">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负责栖息地保护管理和相关规划。组织编制并组织实施大熊猫国家公园有关规划；负责大熊猫国家公园区划调整和保护地整合相关工作；组织开展大熊猫国家公园自然资源资产调查统计、监测评价；制定实施大熊猫国家公园自然生态保护计划和措施；组织实施大熊猫国家公园生态修复；负责规定权限内的项目审查。</w:t>
      </w:r>
    </w:p>
    <w:p w14:paraId="2ABD9FDA">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负责大熊猫研究和科普宣教。组织开展国家公园大熊猫保护科学研究；组织开展大熊猫国家公园生物多样性和其他重要物种保护科学研究；承担大熊猫国家公园对外交流合作；组织开展大熊猫国家公园科学普及和自然教育活动；指导开展大熊猫国家公园游憩展示、生态体验和文化品牌建设。</w:t>
      </w:r>
    </w:p>
    <w:p w14:paraId="33E6F1E9">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负责建立社区生态保护共建共管运行机制。监督管理大熊猫国家公园特许经营活动；组织实施大熊猫国家公园生态移民搬迁工作；开展大熊猫国家公园社会参与、生态公益岗位管理；开展大熊猫国家公园社区共建共管；加强大熊猫国家公园生态产业发展；开展大熊猫国家公园集体土地流转和生态效益补偿。</w:t>
      </w:r>
    </w:p>
    <w:p w14:paraId="1623607F">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负责政策法规研究和执法监督。组织开展大熊猫国家公园重大问题调查研究；执行大熊猫国家公园栖息地保护管理重要政策和标准；执行大熊猫国家公园相关法规和规章；开展大熊猫国家公园资源环境综合执法；配合大熊猫国家公园生态环境保护督察检查；负责大熊猫国家公园资源环境综合执法队伍建设。</w:t>
      </w:r>
    </w:p>
    <w:p w14:paraId="6920CE6E">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负责各项建设和运行管理。组织编制并实施大熊猫国家公园基础设施建设规划；配合地方政府落实退出大熊猫国家公园生产经营设施；承担大熊猫国家公园管理、运营、公共服务等基础设施建设；承担大熊猫国家公园标识标志设置管理；负责大熊猫国家公园相关资产和设备管理；承担大熊猫国家公园数字化建设工作。</w:t>
      </w:r>
    </w:p>
    <w:p w14:paraId="5BB69FD3">
      <w:pPr>
        <w:pStyle w:val="17"/>
        <w:keepNext w:val="0"/>
        <w:keepLines w:val="0"/>
        <w:pageBreakBefore w:val="0"/>
        <w:shd w:val="clear" w:color="auto" w:fill="FFFFFF"/>
        <w:kinsoku/>
        <w:wordWrap/>
        <w:overflowPunct/>
        <w:topLinePunct w:val="0"/>
        <w:autoSpaceDE/>
        <w:autoSpaceDN/>
        <w:bidi w:val="0"/>
        <w:adjustRightInd/>
        <w:spacing w:before="0" w:beforeAutospacing="0" w:after="0" w:afterAutospacing="0" w:line="560" w:lineRule="exact"/>
        <w:ind w:firstLine="643" w:firstLineChars="200"/>
        <w:textAlignment w:val="auto"/>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w:t>
      </w:r>
      <w:r>
        <w:rPr>
          <w:rFonts w:hint="default" w:ascii="Times New Roman" w:hAnsi="Times New Roman" w:eastAsia="楷体_GB2312" w:cs="Times New Roman"/>
          <w:b/>
          <w:bCs/>
          <w:color w:val="000000"/>
          <w:kern w:val="0"/>
          <w:sz w:val="32"/>
          <w:szCs w:val="32"/>
          <w:shd w:val="clear" w:color="auto" w:fill="FFFFFF"/>
          <w:lang w:val="en-US" w:eastAsia="zh-CN"/>
        </w:rPr>
        <w:t>三）</w:t>
      </w:r>
      <w:r>
        <w:rPr>
          <w:rFonts w:hint="default" w:ascii="Times New Roman" w:hAnsi="Times New Roman" w:eastAsia="楷体_GB2312" w:cs="Times New Roman"/>
          <w:b/>
          <w:bCs/>
          <w:color w:val="000000"/>
          <w:kern w:val="0"/>
          <w:sz w:val="32"/>
          <w:szCs w:val="32"/>
          <w:shd w:val="clear" w:color="auto" w:fill="FFFFFF"/>
          <w:lang w:val="zh-CN"/>
        </w:rPr>
        <w:t>人员概况。</w:t>
      </w:r>
    </w:p>
    <w:p w14:paraId="418E1B95">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截至2024年末，大熊猫国家公园阿坝管理分局，事业编制24名。核定管理岗位11人、专业技术岗位11人、工勤岗位2人，年末在编在岗人数20人，退休人员2人。</w:t>
      </w:r>
    </w:p>
    <w:p w14:paraId="7ED1CCC6">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二、部门资金收支情况</w:t>
      </w:r>
    </w:p>
    <w:p w14:paraId="0D368059">
      <w:pPr>
        <w:widowControl/>
        <w:adjustRightInd w:val="0"/>
        <w:snapToGrid w:val="0"/>
        <w:spacing w:line="578" w:lineRule="exact"/>
        <w:ind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（一）收入情况。</w:t>
      </w:r>
    </w:p>
    <w:p w14:paraId="2BE9944C">
      <w:pPr>
        <w:pStyle w:val="17"/>
        <w:keepNext w:val="0"/>
        <w:keepLines w:val="0"/>
        <w:pageBreakBefore w:val="0"/>
        <w:shd w:val="clear" w:color="auto" w:fill="FFFFFF"/>
        <w:kinsoku/>
        <w:wordWrap/>
        <w:overflowPunct/>
        <w:topLinePunct w:val="0"/>
        <w:autoSpaceDE/>
        <w:autoSpaceDN/>
        <w:bidi w:val="0"/>
        <w:adjustRightInd/>
        <w:spacing w:before="0" w:beforeAutospacing="0" w:after="0" w:afterAutospacing="0"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单位本年度收入的全年预算数为752.08万元，收入决算数为752.08万元，上年度收入的全年预算数为868.81万元，差异为116.73万元；主要原因为人员经费的减少，2024年调入1人，调出2人。本年度支出的全年预算数为752.08万元，上年度支出的全年预算数为868.81万元，差异为116.73万元；主要原因人员经费的减少和项目经费的减少。预算完成度为100.00%，上年度预算完成度为100.00%，无差异。</w:t>
      </w:r>
    </w:p>
    <w:p w14:paraId="741C6921">
      <w:pPr>
        <w:widowControl/>
        <w:numPr>
          <w:ilvl w:val="0"/>
          <w:numId w:val="1"/>
        </w:numPr>
        <w:adjustRightInd w:val="0"/>
        <w:snapToGrid w:val="0"/>
        <w:spacing w:line="578" w:lineRule="exact"/>
        <w:ind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支出情况。</w:t>
      </w:r>
    </w:p>
    <w:p w14:paraId="0C354000">
      <w:pPr>
        <w:pStyle w:val="17"/>
        <w:keepNext w:val="0"/>
        <w:keepLines w:val="0"/>
        <w:pageBreakBefore w:val="0"/>
        <w:shd w:val="clear" w:color="auto" w:fill="FFFFFF"/>
        <w:kinsoku/>
        <w:wordWrap/>
        <w:overflowPunct/>
        <w:topLinePunct w:val="0"/>
        <w:autoSpaceDE/>
        <w:autoSpaceDN/>
        <w:bidi w:val="0"/>
        <w:adjustRightInd/>
        <w:spacing w:before="0" w:beforeAutospacing="0" w:after="0" w:afterAutospacing="0" w:line="560" w:lineRule="exact"/>
        <w:ind w:firstLine="640" w:firstLineChars="200"/>
        <w:textAlignment w:val="auto"/>
        <w:rPr>
          <w:rFonts w:hint="default" w:ascii="Times New Roman" w:hAnsi="Times New Roman" w:cs="Times New Roman"/>
          <w:szCs w:val="32"/>
          <w:lang w:val="zh-CN"/>
        </w:rPr>
      </w:pPr>
      <w:r>
        <w:rPr>
          <w:rFonts w:hint="default" w:ascii="Times New Roman" w:hAnsi="Times New Roman" w:eastAsia="仿宋_GB2312" w:cs="Times New Roman"/>
          <w:kern w:val="2"/>
          <w:sz w:val="32"/>
          <w:szCs w:val="32"/>
          <w:lang w:val="en-US" w:eastAsia="zh-CN" w:bidi="ar-SA"/>
        </w:rPr>
        <w:t>2024年度总支出752.08万元，其中：基本支出为568.34万元，其中：人员经费支出：522.99万元，公用经费支出：45.35万元；项目支出为183.74万元。本年度支出全年预算数为752.08万元，支出决算数为752.08万元，预算完成度为100.00%，上年度预算完成度为100.00%，无差异。</w:t>
      </w:r>
    </w:p>
    <w:p w14:paraId="17F34060">
      <w:pPr>
        <w:widowControl/>
        <w:adjustRightInd w:val="0"/>
        <w:snapToGrid w:val="0"/>
        <w:spacing w:line="578" w:lineRule="exact"/>
        <w:ind w:firstLine="643" w:firstLineChars="200"/>
        <w:contextualSpacing/>
        <w:jc w:val="left"/>
        <w:rPr>
          <w:rFonts w:hint="default" w:ascii="Times New Roman" w:hAnsi="Times New Roman" w:eastAsia="仿宋_GB2312" w:cs="Times New Roman"/>
          <w:color w:val="000000"/>
          <w:kern w:val="0"/>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（三）结余分配和结转结余情况。</w:t>
      </w:r>
      <w:r>
        <w:rPr>
          <w:rFonts w:hint="default" w:ascii="Times New Roman" w:hAnsi="Times New Roman" w:eastAsia="仿宋_GB2312" w:cs="Times New Roman"/>
          <w:sz w:val="32"/>
          <w:szCs w:val="32"/>
          <w:lang w:val="en-US" w:eastAsia="zh-CN"/>
        </w:rPr>
        <w:t>大熊猫国家公园阿坝管理分局无</w:t>
      </w:r>
      <w:r>
        <w:rPr>
          <w:rFonts w:hint="default" w:ascii="Times New Roman" w:hAnsi="Times New Roman" w:eastAsia="仿宋_GB2312" w:cs="Times New Roman"/>
          <w:sz w:val="32"/>
          <w:szCs w:val="32"/>
        </w:rPr>
        <w:t>2024年决算报表结转结余情况。</w:t>
      </w:r>
    </w:p>
    <w:p w14:paraId="50E1BB25">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三、部门预算绩效分析</w:t>
      </w:r>
    </w:p>
    <w:p w14:paraId="25FC126F">
      <w:pPr>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zh-CN"/>
        </w:rPr>
        <w:t>（一）部门预算总体绩效分析。</w:t>
      </w:r>
      <w:r>
        <w:rPr>
          <w:rFonts w:hint="default" w:ascii="Times New Roman" w:hAnsi="Times New Roman" w:eastAsia="仿宋_GB2312" w:cs="Times New Roman"/>
          <w:sz w:val="32"/>
          <w:szCs w:val="32"/>
          <w:lang w:val="zh-CN"/>
        </w:rPr>
        <w:t>根据部门预算绩效评价指标体系“总体绩效”涉及二、三级指标进行逐项绩效分析并评分，依次包括履职效能、预算管理、财务管理、资产管理、采购管理等情况。</w:t>
      </w:r>
    </w:p>
    <w:p w14:paraId="15CAEC76">
      <w:pPr>
        <w:adjustRightInd w:val="0"/>
        <w:snapToGrid w:val="0"/>
        <w:spacing w:line="578" w:lineRule="exact"/>
        <w:ind w:firstLine="643" w:firstLineChars="200"/>
        <w:contextualSpacing/>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sz w:val="32"/>
          <w:szCs w:val="32"/>
          <w:lang w:val="zh-CN"/>
        </w:rPr>
        <w:t>履职效能</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kern w:val="2"/>
          <w:sz w:val="32"/>
          <w:szCs w:val="32"/>
          <w:lang w:val="en-US" w:eastAsia="zh-CN" w:bidi="ar-SA"/>
        </w:rPr>
        <w:t>采取多种形式，多渠道，大力宣传生态文明建设理念，普及大熊猫以及园区野生动植物和栖息地保护相关知识，相关保护法律法规等宣传。常态化开展管护、巡护监测工作，适时开展防火、反盗猎、违规采集、跨区巡护等专项行动，打击违法违规行为。项目绩效目标三级指标年初设定指标值为7条，社会效益指标公众对国家公园知晓度显著提高，围绕微信公众号、政府官方网站、主流电视媒体进行宣传，累计发表动态信息216条，入选央媒报道10条，省媒报道28条,地方媒体报道25条，学习强国报道16条，公众号发布推文129篇，制作宣传小视频8条。生态效益指标提升野生动植保护有成效，完成样线巡护监测128条、出动5755人次、发现大熊猫实体6次，痕迹58处，其它同域活动的野生动物痕迹2502次，监测到珍稀野生动物有大熊猫、金丝猴、羚牛60余种等动物痕迹，通过以上工作的开展，提高了大熊猫国家公园阿坝管理分局的知名度和公众的知晓度。</w:t>
      </w:r>
    </w:p>
    <w:p w14:paraId="083F2B00">
      <w:pPr>
        <w:keepNext w:val="0"/>
        <w:keepLines w:val="0"/>
        <w:pageBreakBefore w:val="0"/>
        <w:widowControl w:val="0"/>
        <w:suppressLineNumbers w:val="0"/>
        <w:suppressAutoHyphens w:val="0"/>
        <w:kinsoku/>
        <w:wordWrap/>
        <w:overflowPunct/>
        <w:topLinePunct w:val="0"/>
        <w:autoSpaceDE/>
        <w:autoSpaceDN/>
        <w:spacing w:line="560" w:lineRule="exact"/>
        <w:ind w:firstLine="643" w:firstLineChars="200"/>
        <w:rPr>
          <w:rFonts w:hint="default" w:ascii="Times New Roman" w:hAnsi="Times New Roman" w:eastAsia="仿宋_GB2312" w:cs="Times New Roman"/>
          <w:color w:val="auto"/>
          <w:kern w:val="2"/>
          <w:sz w:val="32"/>
          <w:szCs w:val="32"/>
          <w:lang w:bidi="ar-SA"/>
        </w:rPr>
      </w:pPr>
      <w:r>
        <w:rPr>
          <w:rFonts w:hint="default" w:ascii="Times New Roman" w:hAnsi="Times New Roman" w:eastAsia="仿宋_GB2312" w:cs="Times New Roman"/>
          <w:b/>
          <w:bCs/>
          <w:sz w:val="32"/>
          <w:szCs w:val="32"/>
          <w:lang w:val="zh-CN"/>
        </w:rPr>
        <w:t>预算管理</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color w:val="auto"/>
          <w:kern w:val="2"/>
          <w:sz w:val="32"/>
          <w:szCs w:val="32"/>
          <w:lang w:bidi="ar-SA"/>
        </w:rPr>
        <w:t>根据预算法及实施条例、《阿坝州财政局关于编制州级部门2024-2026年支出规划和2024年部门预算的通知》（阿州财预〔2023〕27号）要求，大熊猫国家公园阿坝管理分局编制了2024年部门预算，并设立部门绩效总体目标：以保护大熊猫为主要目的，实现自然资源科学保护和合理利用。我局严格按照财政部门预算编制通知明确的范围、标准等编制部门预算，不存在无预算、超预算、超标准、超范围列支人员经费、公用经费和项目经费等问题。并对整体目标进行了细化，且全部达标。实际部门整体绩效目标能够合理反映部门年度职责履行情况。</w:t>
      </w:r>
    </w:p>
    <w:p w14:paraId="6C2404D1">
      <w:pPr>
        <w:pStyle w:val="30"/>
        <w:adjustRightInd w:val="0"/>
        <w:snapToGrid w:val="0"/>
        <w:spacing w:line="578" w:lineRule="exact"/>
        <w:ind w:firstLine="627" w:firstLineChars="196"/>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2"/>
          <w:sz w:val="32"/>
          <w:szCs w:val="32"/>
          <w:lang w:bidi="ar-SA"/>
        </w:rPr>
        <w:t>2024年，全年预算数752.08万元，预算编制准确率为100%。</w:t>
      </w:r>
      <w:r>
        <w:rPr>
          <w:rFonts w:hint="default" w:ascii="Times New Roman" w:hAnsi="Times New Roman" w:eastAsia="仿宋_GB2312" w:cs="Times New Roman"/>
          <w:color w:val="auto"/>
          <w:kern w:val="0"/>
          <w:sz w:val="32"/>
          <w:szCs w:val="32"/>
          <w:lang w:bidi="ar-SA"/>
        </w:rPr>
        <w:t>支出执行进度，2024年下达分局预算指标金额为635.35万元（年中追加了绩效工资指标和中央、省级项目资金）。其中：人员经费463.47万元，公用经费70.87万元，项目类经费101万元， 2024年1-12月预算执行情况如下：</w:t>
      </w:r>
      <w:r>
        <w:rPr>
          <w:rFonts w:hint="default" w:ascii="Times New Roman" w:hAnsi="Times New Roman" w:eastAsia="仿宋_GB2312" w:cs="Times New Roman"/>
          <w:color w:val="auto"/>
          <w:kern w:val="0"/>
          <w:sz w:val="32"/>
          <w:szCs w:val="32"/>
          <w:lang w:val="en-US" w:eastAsia="zh-CN" w:bidi="ar-SA"/>
        </w:rPr>
        <w:t xml:space="preserve">   </w:t>
      </w:r>
    </w:p>
    <w:p w14:paraId="6416BDB2">
      <w:pPr>
        <w:pStyle w:val="30"/>
        <w:adjustRightInd w:val="0"/>
        <w:snapToGrid w:val="0"/>
        <w:spacing w:line="578" w:lineRule="exact"/>
        <w:ind w:firstLine="630" w:firstLineChars="196"/>
        <w:rPr>
          <w:rFonts w:hint="default" w:ascii="Times New Roman" w:hAnsi="Times New Roman" w:eastAsia="仿宋_GB2312" w:cs="Times New Roman"/>
          <w:color w:val="auto"/>
          <w:kern w:val="2"/>
          <w:sz w:val="32"/>
          <w:szCs w:val="32"/>
          <w:lang w:bidi="ar-SA"/>
        </w:rPr>
      </w:pPr>
      <w:r>
        <w:rPr>
          <w:rFonts w:hint="default" w:ascii="Times New Roman" w:hAnsi="Times New Roman" w:eastAsia="楷体_GB2312" w:cs="Times New Roman"/>
          <w:b/>
          <w:color w:val="auto"/>
          <w:kern w:val="2"/>
          <w:sz w:val="32"/>
          <w:szCs w:val="32"/>
          <w:lang w:bidi="ar-SA"/>
        </w:rPr>
        <w:t>（一）</w:t>
      </w:r>
      <w:r>
        <w:rPr>
          <w:rFonts w:hint="default" w:ascii="Times New Roman" w:hAnsi="Times New Roman" w:eastAsia="楷体" w:cs="Times New Roman"/>
          <w:b/>
          <w:color w:val="auto"/>
          <w:kern w:val="2"/>
          <w:sz w:val="32"/>
          <w:szCs w:val="32"/>
          <w:lang w:bidi="ar-SA"/>
        </w:rPr>
        <w:t>人员经费。</w:t>
      </w:r>
      <w:r>
        <w:rPr>
          <w:rFonts w:hint="default" w:ascii="Times New Roman" w:hAnsi="Times New Roman" w:eastAsia="仿宋_GB2312" w:cs="Times New Roman"/>
          <w:color w:val="auto"/>
          <w:kern w:val="2"/>
          <w:sz w:val="32"/>
          <w:szCs w:val="32"/>
          <w:lang w:bidi="ar-SA"/>
        </w:rPr>
        <w:t>2024年，财政局下达分局人员经费调整预算数为463.47万元，含工资性支出、单位缴费、聘用人员经费等，其中：</w:t>
      </w:r>
    </w:p>
    <w:p w14:paraId="1624BA9C">
      <w:pPr>
        <w:adjustRightInd w:val="0"/>
        <w:snapToGrid w:val="0"/>
        <w:spacing w:line="578" w:lineRule="exact"/>
        <w:ind w:firstLine="643" w:firstLineChars="200"/>
        <w:rPr>
          <w:rFonts w:hint="default" w:ascii="Times New Roman" w:hAnsi="Times New Roman" w:eastAsia="仿宋_GB2312" w:cs="Times New Roman"/>
          <w:color w:val="auto"/>
          <w:kern w:val="2"/>
          <w:sz w:val="32"/>
          <w:szCs w:val="32"/>
          <w:lang w:bidi="ar-SA"/>
        </w:rPr>
      </w:pPr>
      <w:r>
        <w:rPr>
          <w:rFonts w:hint="default" w:ascii="Times New Roman" w:hAnsi="Times New Roman" w:eastAsia="仿宋_GB2312" w:cs="Times New Roman"/>
          <w:b/>
          <w:bCs/>
          <w:color w:val="auto"/>
          <w:kern w:val="2"/>
          <w:sz w:val="32"/>
          <w:szCs w:val="32"/>
          <w:lang w:bidi="ar-SA"/>
        </w:rPr>
        <w:t>1.工资性支出</w:t>
      </w:r>
      <w:r>
        <w:rPr>
          <w:rFonts w:hint="default" w:ascii="Times New Roman" w:hAnsi="Times New Roman" w:eastAsia="仿宋_GB2312" w:cs="Times New Roman"/>
          <w:b/>
          <w:color w:val="auto"/>
          <w:kern w:val="2"/>
          <w:sz w:val="32"/>
          <w:szCs w:val="32"/>
          <w:lang w:bidi="ar-SA"/>
        </w:rPr>
        <w:t>。</w:t>
      </w:r>
      <w:r>
        <w:rPr>
          <w:rFonts w:hint="default" w:ascii="Times New Roman" w:hAnsi="Times New Roman" w:eastAsia="仿宋_GB2312" w:cs="Times New Roman"/>
          <w:color w:val="auto"/>
          <w:kern w:val="2"/>
          <w:sz w:val="32"/>
          <w:szCs w:val="32"/>
          <w:lang w:bidi="ar-SA"/>
        </w:rPr>
        <w:t>预算数298.19万元，已支付348.15万元，支付进度为100%。</w:t>
      </w:r>
    </w:p>
    <w:p w14:paraId="077DABC7">
      <w:pPr>
        <w:adjustRightInd w:val="0"/>
        <w:snapToGrid w:val="0"/>
        <w:spacing w:line="578" w:lineRule="exact"/>
        <w:ind w:firstLine="643" w:firstLineChars="200"/>
        <w:rPr>
          <w:rFonts w:hint="default" w:ascii="Times New Roman" w:hAnsi="Times New Roman" w:eastAsia="仿宋_GB2312" w:cs="Times New Roman"/>
          <w:color w:val="auto"/>
          <w:kern w:val="2"/>
          <w:sz w:val="32"/>
          <w:szCs w:val="32"/>
          <w:lang w:bidi="ar-SA"/>
        </w:rPr>
      </w:pPr>
      <w:r>
        <w:rPr>
          <w:rFonts w:hint="default" w:ascii="Times New Roman" w:hAnsi="Times New Roman" w:eastAsia="仿宋_GB2312" w:cs="Times New Roman"/>
          <w:b/>
          <w:color w:val="auto"/>
          <w:kern w:val="2"/>
          <w:sz w:val="32"/>
          <w:szCs w:val="32"/>
          <w:lang w:bidi="ar-SA"/>
        </w:rPr>
        <w:t>2.单位缴费支出。预算数</w:t>
      </w:r>
      <w:r>
        <w:rPr>
          <w:rFonts w:hint="default" w:ascii="Times New Roman" w:hAnsi="Times New Roman" w:eastAsia="仿宋_GB2312" w:cs="Times New Roman"/>
          <w:color w:val="auto"/>
          <w:kern w:val="2"/>
          <w:sz w:val="32"/>
          <w:szCs w:val="32"/>
          <w:lang w:bidi="ar-SA"/>
        </w:rPr>
        <w:t>153.22万元，已支付166.48万元，支付进度为100%。</w:t>
      </w:r>
    </w:p>
    <w:p w14:paraId="5D14BDDD">
      <w:pPr>
        <w:adjustRightInd w:val="0"/>
        <w:snapToGrid w:val="0"/>
        <w:spacing w:line="578" w:lineRule="exact"/>
        <w:ind w:firstLine="643" w:firstLineChars="200"/>
        <w:rPr>
          <w:rFonts w:hint="default" w:ascii="Times New Roman" w:hAnsi="Times New Roman" w:eastAsia="仿宋_GB2312" w:cs="Times New Roman"/>
          <w:color w:val="auto"/>
          <w:kern w:val="2"/>
          <w:sz w:val="32"/>
          <w:szCs w:val="32"/>
          <w:lang w:bidi="ar-SA"/>
        </w:rPr>
      </w:pPr>
      <w:r>
        <w:rPr>
          <w:rFonts w:hint="default" w:ascii="Times New Roman" w:hAnsi="Times New Roman" w:eastAsia="仿宋_GB2312" w:cs="Times New Roman"/>
          <w:b/>
          <w:color w:val="auto"/>
          <w:kern w:val="2"/>
          <w:sz w:val="32"/>
          <w:szCs w:val="32"/>
          <w:lang w:bidi="ar-SA"/>
        </w:rPr>
        <w:t>3.聘用人员经费。</w:t>
      </w:r>
      <w:r>
        <w:rPr>
          <w:rFonts w:hint="default" w:ascii="Times New Roman" w:hAnsi="Times New Roman" w:eastAsia="仿宋_GB2312" w:cs="Times New Roman"/>
          <w:color w:val="auto"/>
          <w:kern w:val="2"/>
          <w:sz w:val="32"/>
          <w:szCs w:val="32"/>
          <w:lang w:bidi="ar-SA"/>
        </w:rPr>
        <w:t>预算数12.06万元，已支付8.36万元，支付进度为100%。</w:t>
      </w:r>
    </w:p>
    <w:p w14:paraId="00D543A9">
      <w:pPr>
        <w:adjustRightInd w:val="0"/>
        <w:snapToGrid w:val="0"/>
        <w:spacing w:line="578" w:lineRule="exact"/>
        <w:ind w:firstLine="643" w:firstLineChars="200"/>
        <w:rPr>
          <w:rFonts w:hint="default" w:ascii="Times New Roman" w:hAnsi="Times New Roman" w:eastAsia="仿宋_GB2312" w:cs="Times New Roman"/>
          <w:kern w:val="2"/>
          <w:sz w:val="32"/>
          <w:szCs w:val="32"/>
          <w:lang w:bidi="ar-SA"/>
        </w:rPr>
      </w:pPr>
      <w:r>
        <w:rPr>
          <w:rFonts w:hint="default" w:ascii="Times New Roman" w:hAnsi="Times New Roman" w:eastAsia="楷体_GB2312" w:cs="Times New Roman"/>
          <w:b/>
          <w:kern w:val="2"/>
          <w:sz w:val="32"/>
          <w:szCs w:val="32"/>
        </w:rPr>
        <w:t>（二）公用经费。</w:t>
      </w:r>
      <w:r>
        <w:rPr>
          <w:rFonts w:hint="default" w:ascii="Times New Roman" w:hAnsi="Times New Roman" w:eastAsia="仿宋_GB2312" w:cs="Times New Roman"/>
          <w:kern w:val="2"/>
          <w:sz w:val="32"/>
          <w:szCs w:val="32"/>
          <w:lang w:bidi="ar-SA"/>
        </w:rPr>
        <w:t>2024年州财政局下达分局公用经费预算数为70.87万元，已支付45.35万元，支付进度为64%。</w:t>
      </w:r>
    </w:p>
    <w:p w14:paraId="28485722">
      <w:pPr>
        <w:adjustRightInd w:val="0"/>
        <w:snapToGrid w:val="0"/>
        <w:spacing w:line="578" w:lineRule="exact"/>
        <w:ind w:firstLine="630" w:firstLineChars="196"/>
        <w:rPr>
          <w:rFonts w:hint="default" w:ascii="Times New Roman" w:hAnsi="Times New Roman" w:eastAsia="仿宋_GB2312" w:cs="Times New Roman"/>
          <w:kern w:val="2"/>
          <w:sz w:val="32"/>
          <w:szCs w:val="32"/>
          <w:lang w:bidi="ar-SA"/>
        </w:rPr>
      </w:pPr>
      <w:r>
        <w:rPr>
          <w:rFonts w:hint="default" w:ascii="Times New Roman" w:hAnsi="Times New Roman" w:eastAsia="楷体_GB2312" w:cs="Times New Roman"/>
          <w:b/>
          <w:kern w:val="2"/>
          <w:sz w:val="32"/>
          <w:szCs w:val="32"/>
        </w:rPr>
        <w:t>（三）项目类经费</w:t>
      </w:r>
      <w:r>
        <w:rPr>
          <w:rFonts w:hint="default" w:ascii="Times New Roman" w:hAnsi="Times New Roman" w:eastAsia="仿宋_GB2312" w:cs="Times New Roman"/>
          <w:b/>
          <w:kern w:val="2"/>
          <w:sz w:val="32"/>
          <w:szCs w:val="32"/>
          <w:lang w:bidi="ar-SA"/>
        </w:rPr>
        <w:t>。</w:t>
      </w:r>
      <w:r>
        <w:rPr>
          <w:rFonts w:hint="default" w:ascii="Times New Roman" w:hAnsi="Times New Roman" w:eastAsia="仿宋_GB2312" w:cs="Times New Roman"/>
          <w:kern w:val="2"/>
          <w:sz w:val="32"/>
          <w:szCs w:val="32"/>
          <w:lang w:bidi="ar-SA"/>
        </w:rPr>
        <w:t>2024年，年初财政局下达我局的项目经费为101万元。</w:t>
      </w:r>
    </w:p>
    <w:p w14:paraId="099C3E90">
      <w:pPr>
        <w:ind w:firstLine="640" w:firstLineChars="200"/>
        <w:rPr>
          <w:rFonts w:hint="default" w:ascii="Times New Roman" w:hAnsi="Times New Roman" w:eastAsia="仿宋_GB2312" w:cs="Times New Roman"/>
          <w:color w:val="auto"/>
          <w:kern w:val="0"/>
          <w:sz w:val="32"/>
          <w:szCs w:val="32"/>
          <w:lang w:bidi="ar-SA"/>
        </w:rPr>
      </w:pPr>
      <w:r>
        <w:rPr>
          <w:rFonts w:hint="default" w:ascii="Times New Roman" w:hAnsi="Times New Roman" w:eastAsia="仿宋_GB2312" w:cs="Times New Roman"/>
          <w:kern w:val="2"/>
          <w:sz w:val="32"/>
          <w:szCs w:val="32"/>
        </w:rPr>
        <w:t>项目支出中基本建设类项目支出为0.00万元，支出要按照基本支出和项目支出分析具体构成及特点：</w:t>
      </w:r>
      <w:r>
        <w:rPr>
          <w:rStyle w:val="38"/>
          <w:rFonts w:hint="default" w:ascii="Times New Roman" w:hAnsi="Times New Roman" w:eastAsia="仿宋_GB2312" w:cs="Times New Roman"/>
          <w:sz w:val="32"/>
          <w:szCs w:val="32"/>
        </w:rPr>
        <w:t>本单位无建设类项目支出。</w:t>
      </w:r>
      <w:r>
        <w:rPr>
          <w:rFonts w:hint="default" w:ascii="Times New Roman" w:hAnsi="Times New Roman" w:eastAsia="仿宋_GB2312" w:cs="Times New Roman"/>
          <w:kern w:val="2"/>
          <w:sz w:val="32"/>
          <w:szCs w:val="32"/>
        </w:rPr>
        <w:t>项目支出中非基本建设类项目支出为183.74万元，主要包括：办公费、电费、劳务费、租赁费、专用材料费、委托业务费、差旅费、其他交通费等。</w:t>
      </w:r>
    </w:p>
    <w:p w14:paraId="58CFCDE7">
      <w:pPr>
        <w:keepNext w:val="0"/>
        <w:keepLines w:val="0"/>
        <w:pageBreakBefore w:val="0"/>
        <w:widowControl w:val="0"/>
        <w:suppressLineNumbers w:val="0"/>
        <w:suppressAutoHyphens w:val="0"/>
        <w:kinsoku/>
        <w:wordWrap/>
        <w:overflowPunct/>
        <w:topLinePunct w:val="0"/>
        <w:autoSpaceDE/>
        <w:autoSpaceDN/>
        <w:spacing w:line="560" w:lineRule="atLeast"/>
        <w:ind w:firstLine="643" w:firstLineChars="200"/>
        <w:rPr>
          <w:rFonts w:hint="default" w:ascii="Times New Roman" w:hAnsi="Times New Roman" w:eastAsia="仿宋_GB2312" w:cs="Times New Roman"/>
          <w:kern w:val="2"/>
          <w:sz w:val="32"/>
          <w:szCs w:val="32"/>
          <w:lang w:val="zh-CN" w:bidi="ar-SA"/>
        </w:rPr>
      </w:pPr>
      <w:r>
        <w:rPr>
          <w:rFonts w:hint="default" w:ascii="Times New Roman" w:hAnsi="Times New Roman" w:eastAsia="仿宋_GB2312" w:cs="Times New Roman"/>
          <w:b/>
          <w:bCs/>
          <w:sz w:val="32"/>
          <w:szCs w:val="32"/>
          <w:lang w:val="zh-CN"/>
        </w:rPr>
        <w:t>财务管理</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kern w:val="2"/>
          <w:sz w:val="32"/>
          <w:szCs w:val="32"/>
          <w:lang w:bidi="ar-SA"/>
        </w:rPr>
        <w:t>我单位严格执行《政府会计制度》和相关的法律法规，制定了单位各项支出项目的内控制度、岗位职责；财务岗位设置为专职会计1名、兼职出纳1名、财务机构负责人由办公室主任兼任，严格执行不相容岗位相分离制度。资金使用方面不存在超预算或无预算安排、虚列支出、超范围超标准使用经费、违规使用“三公”经费、滥发津补贴、报销不合规等情况，资金支付严格审批流程。</w:t>
      </w:r>
    </w:p>
    <w:p w14:paraId="51209043">
      <w:pPr>
        <w:keepNext w:val="0"/>
        <w:keepLines w:val="0"/>
        <w:pageBreakBefore w:val="0"/>
        <w:widowControl w:val="0"/>
        <w:suppressLineNumbers w:val="0"/>
        <w:suppressAutoHyphens w:val="0"/>
        <w:kinsoku/>
        <w:wordWrap/>
        <w:overflowPunct/>
        <w:topLinePunct w:val="0"/>
        <w:autoSpaceDE/>
        <w:autoSpaceDN/>
        <w:spacing w:line="560" w:lineRule="atLeast"/>
        <w:ind w:firstLine="643" w:firstLineChars="200"/>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b/>
          <w:bCs/>
          <w:sz w:val="32"/>
          <w:szCs w:val="32"/>
          <w:lang w:val="zh-CN"/>
        </w:rPr>
        <w:t>资产管理</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kern w:val="2"/>
          <w:sz w:val="32"/>
          <w:szCs w:val="32"/>
          <w:lang w:bidi="ar-SA"/>
        </w:rPr>
        <w:t>根据《行政单位国有资产管理暂行办法》（财政部令第35号）、《事业单位国有资产管理暂行办法》（财政部令第36号）和《行政事业单位国有资产报告制度》等有关规定对单位资产进行配置、使用等管理。我单位于2020年9月新成立，无办公用房，办公用房为租用马林局招待所，无经营性收入，目前我局主要的固定资产为2辆公务用车和必需的办公设备，无形资产为财务软件和办公软件。固定资产、无形资产都按规定入了资产系统，固定资产计提了折旧费用，无形资产进行了费用摊销。资产系统和核算系统做到了账账相符、账表相符、账实相符。</w:t>
      </w:r>
    </w:p>
    <w:p w14:paraId="1FE0497F">
      <w:pPr>
        <w:keepNext w:val="0"/>
        <w:keepLines w:val="0"/>
        <w:pageBreakBefore w:val="0"/>
        <w:widowControl w:val="0"/>
        <w:suppressLineNumbers w:val="0"/>
        <w:suppressAutoHyphens w:val="0"/>
        <w:kinsoku/>
        <w:wordWrap/>
        <w:overflowPunct/>
        <w:topLinePunct w:val="0"/>
        <w:autoSpaceDE/>
        <w:autoSpaceDN/>
        <w:spacing w:line="560" w:lineRule="atLeast"/>
        <w:ind w:firstLine="640" w:firstLineChars="200"/>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人均资产变化率：36%、资产利用率：100%</w:t>
      </w:r>
    </w:p>
    <w:p w14:paraId="7E4702A9">
      <w:pPr>
        <w:keepNext w:val="0"/>
        <w:keepLines w:val="0"/>
        <w:pageBreakBefore w:val="0"/>
        <w:widowControl w:val="0"/>
        <w:suppressLineNumbers w:val="0"/>
        <w:suppressAutoHyphens w:val="0"/>
        <w:kinsoku/>
        <w:wordWrap/>
        <w:overflowPunct/>
        <w:topLinePunct w:val="0"/>
        <w:autoSpaceDE/>
        <w:autoSpaceDN/>
        <w:spacing w:line="560" w:lineRule="atLeast"/>
        <w:ind w:firstLine="640" w:firstLineChars="200"/>
        <w:rPr>
          <w:rFonts w:hint="default" w:ascii="Times New Roman" w:hAnsi="Times New Roman" w:eastAsia="仿宋_GB2312" w:cs="Times New Roman"/>
          <w:color w:val="auto"/>
          <w:kern w:val="2"/>
          <w:sz w:val="32"/>
          <w:szCs w:val="32"/>
          <w:lang w:bidi="ar-SA"/>
        </w:rPr>
      </w:pPr>
      <w:r>
        <w:rPr>
          <w:rFonts w:hint="default" w:ascii="Times New Roman" w:hAnsi="Times New Roman" w:eastAsia="仿宋_GB2312" w:cs="Times New Roman"/>
          <w:kern w:val="2"/>
          <w:sz w:val="32"/>
          <w:szCs w:val="32"/>
          <w:lang w:bidi="ar-SA"/>
        </w:rPr>
        <w:t>资产盘活率：单位无闲置资产，故不存在资产盘活率</w:t>
      </w:r>
    </w:p>
    <w:p w14:paraId="7FFC60E0">
      <w:pPr>
        <w:keepNext w:val="0"/>
        <w:keepLines w:val="0"/>
        <w:pageBreakBefore w:val="0"/>
        <w:widowControl w:val="0"/>
        <w:suppressLineNumbers w:val="0"/>
        <w:suppressAutoHyphens w:val="0"/>
        <w:kinsoku/>
        <w:wordWrap/>
        <w:overflowPunct/>
        <w:topLinePunct w:val="0"/>
        <w:autoSpaceDE/>
        <w:autoSpaceDN/>
        <w:spacing w:line="560" w:lineRule="atLeast"/>
        <w:ind w:firstLine="643" w:firstLineChars="200"/>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b/>
          <w:bCs/>
          <w:sz w:val="32"/>
          <w:szCs w:val="32"/>
          <w:lang w:val="zh-CN"/>
        </w:rPr>
        <w:t>采购管理</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kern w:val="2"/>
          <w:sz w:val="32"/>
          <w:szCs w:val="32"/>
          <w:lang w:bidi="ar-SA"/>
        </w:rPr>
        <w:t>我单位严格按照法定采购方式和流程实施政府采购，保证了政府采购信息的真实性和合法性，不存在无预算采购和超预算采购的情况。</w:t>
      </w:r>
    </w:p>
    <w:p w14:paraId="02082AFA">
      <w:pPr>
        <w:keepNext w:val="0"/>
        <w:keepLines w:val="0"/>
        <w:pageBreakBefore w:val="0"/>
        <w:widowControl w:val="0"/>
        <w:numPr>
          <w:ilvl w:val="0"/>
          <w:numId w:val="1"/>
        </w:numPr>
        <w:suppressLineNumbers w:val="0"/>
        <w:suppressAutoHyphens w:val="0"/>
        <w:kinsoku/>
        <w:wordWrap/>
        <w:overflowPunct/>
        <w:topLinePunct w:val="0"/>
        <w:autoSpaceDE/>
        <w:autoSpaceDN/>
        <w:spacing w:line="560" w:lineRule="atLeast"/>
        <w:ind w:left="0" w:leftChars="0" w:firstLine="643" w:firstLineChars="200"/>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部门预算项目绩效分析。</w:t>
      </w:r>
    </w:p>
    <w:p w14:paraId="6A6D73CF">
      <w:pPr>
        <w:keepNext w:val="0"/>
        <w:keepLines w:val="0"/>
        <w:pageBreakBefore w:val="0"/>
        <w:widowControl w:val="0"/>
        <w:suppressLineNumbers w:val="0"/>
        <w:suppressAutoHyphens w:val="0"/>
        <w:kinsoku/>
        <w:wordWrap/>
        <w:overflowPunct/>
        <w:topLinePunct w:val="0"/>
        <w:autoSpaceDE/>
        <w:autoSpaceDN/>
        <w:spacing w:line="560" w:lineRule="atLeast"/>
        <w:ind w:firstLine="640" w:firstLineChars="200"/>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常年项目绩效分析。该类项目总数5个，分别为：卧龙体制改革工作经费、宣传教育、大熊猫国家公园保护保障工作经费、办公用房租赁费、聘请法律顾问，涉及预算总金额101万元，实际预算资金为183.74万元，主要用于办公费、电费、劳务费、租赁费、专用材料费、委托业务费、差旅费、其他交通费等，其中：预算结余率大于10%的项目共计1个。因体制改革原因部分项目经费未列支完，但各项目都达到年初设定的绩效目标。</w:t>
      </w:r>
    </w:p>
    <w:p w14:paraId="3390FC8B">
      <w:pPr>
        <w:keepNext w:val="0"/>
        <w:keepLines w:val="0"/>
        <w:pageBreakBefore w:val="0"/>
        <w:widowControl w:val="0"/>
        <w:suppressLineNumbers w:val="0"/>
        <w:suppressAutoHyphens w:val="0"/>
        <w:kinsoku/>
        <w:wordWrap/>
        <w:overflowPunct/>
        <w:topLinePunct w:val="0"/>
        <w:autoSpaceDE/>
        <w:autoSpaceDN/>
        <w:spacing w:line="560" w:lineRule="atLeast"/>
        <w:ind w:firstLine="640" w:firstLineChars="200"/>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阶段（一次性）项目绩效分析。该类项目总数1个，巡护终端采购项目，涉及预算总金额50万元，1—12月预算执行总体进度为79%，其中：预算结余率大于10%的项目共计1个。</w:t>
      </w:r>
    </w:p>
    <w:p w14:paraId="4E787471">
      <w:pPr>
        <w:tabs>
          <w:tab w:val="left" w:pos="700"/>
        </w:tabs>
        <w:adjustRightInd w:val="0"/>
        <w:snapToGrid w:val="0"/>
        <w:spacing w:line="560" w:lineRule="exact"/>
        <w:ind w:firstLine="643" w:firstLineChars="200"/>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b/>
          <w:kern w:val="2"/>
          <w:sz w:val="32"/>
          <w:szCs w:val="32"/>
          <w:lang w:bidi="ar-SA"/>
        </w:rPr>
        <w:t>巡护终端采购。预算数50万元。</w:t>
      </w:r>
      <w:r>
        <w:rPr>
          <w:rFonts w:hint="default" w:ascii="Times New Roman" w:hAnsi="Times New Roman" w:eastAsia="仿宋_GB2312" w:cs="Times New Roman"/>
          <w:kern w:val="2"/>
          <w:sz w:val="32"/>
          <w:szCs w:val="32"/>
          <w:lang w:bidi="ar-SA"/>
        </w:rPr>
        <w:t>因2023年两次流标，2023年底决算，结转到2024年执行</w:t>
      </w:r>
      <w:r>
        <w:rPr>
          <w:rFonts w:hint="default" w:ascii="Times New Roman" w:hAnsi="Times New Roman" w:eastAsia="仿宋_GB2312" w:cs="Times New Roman"/>
          <w:kern w:val="2"/>
          <w:sz w:val="32"/>
          <w:szCs w:val="32"/>
          <w:lang w:eastAsia="zh-CN" w:bidi="ar-SA"/>
        </w:rPr>
        <w:t>，</w:t>
      </w:r>
      <w:r>
        <w:rPr>
          <w:rFonts w:hint="default" w:ascii="Times New Roman" w:hAnsi="Times New Roman" w:eastAsia="仿宋_GB2312" w:cs="Times New Roman"/>
          <w:kern w:val="2"/>
          <w:sz w:val="32"/>
          <w:szCs w:val="32"/>
          <w:lang w:val="en-US" w:eastAsia="zh-CN" w:bidi="ar-SA"/>
        </w:rPr>
        <w:t>2024年9月已支付完成</w:t>
      </w:r>
      <w:r>
        <w:rPr>
          <w:rFonts w:hint="default" w:ascii="Times New Roman" w:hAnsi="Times New Roman" w:eastAsia="仿宋_GB2312" w:cs="Times New Roman"/>
          <w:kern w:val="2"/>
          <w:sz w:val="32"/>
          <w:szCs w:val="32"/>
          <w:lang w:bidi="ar-SA"/>
        </w:rPr>
        <w:t>。</w:t>
      </w:r>
    </w:p>
    <w:p w14:paraId="6B2DD2BC">
      <w:pPr>
        <w:adjustRightInd w:val="0"/>
        <w:snapToGrid w:val="0"/>
        <w:spacing w:line="520" w:lineRule="exact"/>
        <w:ind w:firstLine="643" w:firstLineChars="200"/>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b/>
          <w:bCs/>
          <w:color w:val="auto"/>
          <w:kern w:val="2"/>
          <w:sz w:val="32"/>
          <w:szCs w:val="32"/>
          <w:lang w:bidi="ar-SA"/>
        </w:rPr>
        <w:t>1.项目决策。</w:t>
      </w:r>
      <w:r>
        <w:rPr>
          <w:rFonts w:hint="default" w:ascii="Times New Roman" w:hAnsi="Times New Roman" w:eastAsia="仿宋_GB2312" w:cs="Times New Roman"/>
          <w:kern w:val="2"/>
          <w:sz w:val="32"/>
          <w:szCs w:val="32"/>
          <w:lang w:bidi="ar-SA"/>
        </w:rPr>
        <w:t>根据《大熊猫国家公园四川省管理局关于启用“遥感监测信息可视化管理系统”和“大熊猫国家公园网格化管理巡护系统”的通知》（川公园局函〔2022〕64 号）要求，为贯彻落实四川省人民政府关于加强我省大熊猫国家公园建设的意见，高效实现大熊猫国家公园人为活动、空间用途管制，科学推动巡护监测工作，切实加强自然生态系统原真性、完整性保护，大熊猫国家公园四川省管理局决定启用“遥感监测信息可视化管理系统”和“大熊猫国家公园网格化管理巡护系统”。为此，阿坝片区需采购一批巡护终端，以保障巡护管理工作顺利推进，确保巡护人员人身安全。大熊猫国家公园阿坝片区野外巡护终端采购项目资金来源为2023年省级财政林业草原生态保护恢复国家公园补助资金。</w:t>
      </w:r>
    </w:p>
    <w:p w14:paraId="4D7857C9">
      <w:pPr>
        <w:keepNext w:val="0"/>
        <w:keepLines w:val="0"/>
        <w:pageBreakBefore w:val="0"/>
        <w:widowControl w:val="0"/>
        <w:suppressLineNumbers w:val="0"/>
        <w:suppressAutoHyphens w:val="0"/>
        <w:kinsoku/>
        <w:wordWrap/>
        <w:overflowPunct/>
        <w:topLinePunct w:val="0"/>
        <w:autoSpaceDE/>
        <w:autoSpaceDN/>
        <w:spacing w:line="560" w:lineRule="atLeast"/>
        <w:ind w:firstLine="643" w:firstLineChars="200"/>
        <w:rPr>
          <w:rFonts w:hint="default" w:ascii="Times New Roman" w:hAnsi="Times New Roman" w:eastAsia="仿宋_GB2312" w:cs="Times New Roman"/>
          <w:color w:val="auto"/>
          <w:kern w:val="2"/>
          <w:sz w:val="32"/>
          <w:szCs w:val="32"/>
          <w:lang w:bidi="ar-SA"/>
        </w:rPr>
      </w:pPr>
      <w:r>
        <w:rPr>
          <w:rFonts w:hint="default" w:ascii="Times New Roman" w:hAnsi="Times New Roman" w:eastAsia="仿宋_GB2312" w:cs="Times New Roman"/>
          <w:b/>
          <w:bCs/>
          <w:color w:val="auto"/>
          <w:kern w:val="2"/>
          <w:sz w:val="32"/>
          <w:szCs w:val="32"/>
          <w:lang w:bidi="ar-SA"/>
        </w:rPr>
        <w:t>2.项目执行。</w:t>
      </w:r>
    </w:p>
    <w:p w14:paraId="2B199D4D">
      <w:pPr>
        <w:keepNext w:val="0"/>
        <w:keepLines w:val="0"/>
        <w:pageBreakBefore w:val="0"/>
        <w:widowControl/>
        <w:suppressLineNumbers w:val="0"/>
        <w:suppressAutoHyphens w:val="0"/>
        <w:kinsoku/>
        <w:wordWrap/>
        <w:overflowPunct/>
        <w:topLinePunct w:val="0"/>
        <w:autoSpaceDE/>
        <w:autoSpaceDN/>
        <w:adjustRightInd w:val="0"/>
        <w:snapToGrid w:val="0"/>
        <w:spacing w:line="578" w:lineRule="exact"/>
        <w:ind w:firstLine="640" w:firstLineChars="200"/>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2"/>
          <w:sz w:val="32"/>
          <w:szCs w:val="32"/>
          <w:lang w:bidi="ar-SA"/>
        </w:rPr>
        <w:t>根据项目建设内容，在四川省林草局（大熊猫国家公园四川省管理局）指导下，严格按照《阿坝州林业和草原建设项目管理办法》《大熊猫国家公园阿坝片区项目申报立项流程图》《大熊猫国家公园阿坝片区项目管理流程图》做好项目申报及管理工作。分局栖息地保护部根据年度工作安排编制《2023年度大熊猫国家公园阿坝管理分局巡护终端采购方案》，经局党组研究审议通过，对项目安全、保密、质量、管理、工期等方面特别做了强调及要求。采购已完成支付，完成了年初设定的数量指标。</w:t>
      </w:r>
    </w:p>
    <w:p w14:paraId="7004585F">
      <w:pPr>
        <w:keepNext w:val="0"/>
        <w:keepLines w:val="0"/>
        <w:pageBreakBefore w:val="0"/>
        <w:widowControl w:val="0"/>
        <w:suppressLineNumbers w:val="0"/>
        <w:suppressAutoHyphens w:val="0"/>
        <w:kinsoku/>
        <w:wordWrap/>
        <w:overflowPunct/>
        <w:topLinePunct w:val="0"/>
        <w:autoSpaceDE/>
        <w:autoSpaceDN/>
        <w:spacing w:line="560" w:lineRule="atLeast"/>
        <w:ind w:firstLine="643" w:firstLineChars="200"/>
        <w:rPr>
          <w:rFonts w:hint="default" w:ascii="Times New Roman" w:hAnsi="Times New Roman" w:eastAsia="仿宋_GB2312" w:cs="Times New Roman"/>
          <w:color w:val="auto"/>
          <w:kern w:val="2"/>
          <w:sz w:val="32"/>
          <w:szCs w:val="32"/>
          <w:lang w:bidi="ar-SA"/>
        </w:rPr>
      </w:pPr>
      <w:r>
        <w:rPr>
          <w:rFonts w:hint="default" w:ascii="Times New Roman" w:hAnsi="Times New Roman" w:eastAsia="仿宋_GB2312" w:cs="Times New Roman"/>
          <w:b/>
          <w:bCs/>
          <w:color w:val="auto"/>
          <w:kern w:val="2"/>
          <w:sz w:val="32"/>
          <w:szCs w:val="32"/>
          <w:lang w:bidi="ar-SA"/>
        </w:rPr>
        <w:t>3.目标实现。</w:t>
      </w:r>
    </w:p>
    <w:p w14:paraId="5C9F241A">
      <w:pPr>
        <w:keepNext w:val="0"/>
        <w:keepLines w:val="0"/>
        <w:pageBreakBefore w:val="0"/>
        <w:widowControl/>
        <w:suppressLineNumbers w:val="0"/>
        <w:suppressAutoHyphens w:val="0"/>
        <w:kinsoku/>
        <w:wordWrap/>
        <w:overflowPunct/>
        <w:topLinePunct w:val="0"/>
        <w:autoSpaceDE/>
        <w:autoSpaceDN/>
        <w:adjustRightInd w:val="0"/>
        <w:snapToGrid w:val="0"/>
        <w:spacing w:line="578" w:lineRule="exact"/>
        <w:ind w:firstLine="640" w:firstLineChars="200"/>
        <w:contextualSpacing/>
        <w:jc w:val="left"/>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本项目的主要任务是按要求采购卫星电话和野外巡护终端，安装巡护和图斑核查等APP，用于大熊猫国家公园汶川、茂县、松潘、九寨沟园区及大熊猫国家公园阿坝管理分局开展野外巡护监测以及图斑核查等工作，确保巡护管理工作顺利推进，巡护监测成果准确可靠，确保巡护人员人身安全。</w:t>
      </w:r>
    </w:p>
    <w:p w14:paraId="05DA8C9A">
      <w:pPr>
        <w:keepNext w:val="0"/>
        <w:keepLines w:val="0"/>
        <w:pageBreakBefore w:val="0"/>
        <w:widowControl/>
        <w:suppressLineNumbers w:val="0"/>
        <w:suppressAutoHyphens w:val="0"/>
        <w:kinsoku/>
        <w:wordWrap/>
        <w:overflowPunct/>
        <w:topLinePunct w:val="0"/>
        <w:autoSpaceDE/>
        <w:autoSpaceDN/>
        <w:adjustRightInd w:val="0"/>
        <w:snapToGrid w:val="0"/>
        <w:spacing w:line="578" w:lineRule="exact"/>
        <w:ind w:firstLine="640" w:firstLineChars="200"/>
        <w:contextualSpacing/>
        <w:jc w:val="left"/>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执行过程中，严格按照管理办法相关要求，在充分考虑卫星电话市场情况、合理应用基础数据、科学选取测算依据，分配结果公平合理。政策实施对象中不存在明显不合理的排他性规定。</w:t>
      </w:r>
    </w:p>
    <w:p w14:paraId="44601479">
      <w:pPr>
        <w:keepNext w:val="0"/>
        <w:keepLines w:val="0"/>
        <w:pageBreakBefore w:val="0"/>
        <w:widowControl/>
        <w:suppressLineNumbers w:val="0"/>
        <w:suppressAutoHyphens w:val="0"/>
        <w:kinsoku/>
        <w:wordWrap/>
        <w:overflowPunct/>
        <w:topLinePunct w:val="0"/>
        <w:autoSpaceDE/>
        <w:autoSpaceDN/>
        <w:adjustRightInd w:val="0"/>
        <w:snapToGrid w:val="0"/>
        <w:spacing w:line="578" w:lineRule="exact"/>
        <w:ind w:firstLine="640" w:firstLineChars="200"/>
        <w:contextualSpacing/>
        <w:jc w:val="left"/>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从综合评价来看，项目立项依据充分，均设定了项目绩效目标，资金配置科学合理，严格项目管理，按规定履行报批手续，制定了实施方案，细化任务并明确绩效目标，整体情况良好。</w:t>
      </w:r>
    </w:p>
    <w:p w14:paraId="66B2D13E">
      <w:pPr>
        <w:keepNext w:val="0"/>
        <w:keepLines w:val="0"/>
        <w:pageBreakBefore w:val="0"/>
        <w:widowControl/>
        <w:suppressLineNumbers w:val="0"/>
        <w:suppressAutoHyphens w:val="0"/>
        <w:kinsoku/>
        <w:wordWrap/>
        <w:overflowPunct/>
        <w:topLinePunct w:val="0"/>
        <w:autoSpaceDE/>
        <w:autoSpaceDN/>
        <w:adjustRightInd w:val="0"/>
        <w:snapToGrid w:val="0"/>
        <w:spacing w:line="578" w:lineRule="exact"/>
        <w:ind w:firstLine="640" w:firstLineChars="200"/>
        <w:contextualSpacing/>
        <w:jc w:val="left"/>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州级部门2024年度若涉及国有资本经营预算、社会保险基金预算的，应在部门预算绩效自评报告中对完成情况进行梳理阐述。国有资本经营预算绩效自评重点关注企业的运营质量、行业水平等情况；社会保险基金预算绩效自评重点关注基金可持续性、区域安全性等情况。</w:t>
      </w:r>
    </w:p>
    <w:p w14:paraId="7E362272">
      <w:pPr>
        <w:keepNext w:val="0"/>
        <w:keepLines w:val="0"/>
        <w:pageBreakBefore w:val="0"/>
        <w:widowControl/>
        <w:suppressLineNumbers w:val="0"/>
        <w:suppressAutoHyphens w:val="0"/>
        <w:kinsoku/>
        <w:wordWrap/>
        <w:overflowPunct/>
        <w:topLinePunct w:val="0"/>
        <w:autoSpaceDE/>
        <w:autoSpaceDN/>
        <w:adjustRightInd w:val="0"/>
        <w:snapToGrid w:val="0"/>
        <w:spacing w:line="578" w:lineRule="exact"/>
        <w:ind w:firstLine="640" w:firstLineChars="200"/>
        <w:contextualSpacing/>
        <w:jc w:val="left"/>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重点领域绩效分析。州级部门2024年度若涉及国有资本、行政事业性国有资产、债券资金、政府采购和政府购买服务等重点领域的，应在部门预算绩效自评报告中对完成情况进行梳理阐述。</w:t>
      </w:r>
    </w:p>
    <w:p w14:paraId="5AC9ADF1">
      <w:pPr>
        <w:keepNext w:val="0"/>
        <w:keepLines w:val="0"/>
        <w:pageBreakBefore w:val="0"/>
        <w:widowControl/>
        <w:suppressLineNumbers w:val="0"/>
        <w:suppressAutoHyphens w:val="0"/>
        <w:kinsoku/>
        <w:wordWrap/>
        <w:overflowPunct/>
        <w:topLinePunct w:val="0"/>
        <w:autoSpaceDE/>
        <w:autoSpaceDN/>
        <w:adjustRightInd w:val="0"/>
        <w:snapToGrid w:val="0"/>
        <w:spacing w:line="578" w:lineRule="exact"/>
        <w:ind w:firstLine="640" w:firstLineChars="200"/>
        <w:contextualSpacing/>
        <w:jc w:val="left"/>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我单位不涉及以上资金。</w:t>
      </w:r>
    </w:p>
    <w:p w14:paraId="0C859211">
      <w:pPr>
        <w:keepNext w:val="0"/>
        <w:keepLines w:val="0"/>
        <w:pageBreakBefore w:val="0"/>
        <w:widowControl/>
        <w:suppressLineNumbers w:val="0"/>
        <w:suppressAutoHyphens w:val="0"/>
        <w:kinsoku/>
        <w:wordWrap/>
        <w:overflowPunct/>
        <w:topLinePunct w:val="0"/>
        <w:autoSpaceDE/>
        <w:autoSpaceDN/>
        <w:adjustRightInd w:val="0"/>
        <w:snapToGrid w:val="0"/>
        <w:spacing w:line="578" w:lineRule="exact"/>
        <w:ind w:firstLine="643" w:firstLineChars="200"/>
        <w:contextualSpacing/>
        <w:jc w:val="left"/>
        <w:rPr>
          <w:rFonts w:hint="default" w:ascii="Times New Roman" w:hAnsi="Times New Roman" w:eastAsia="仿宋_GB2312" w:cs="Times New Roman"/>
          <w:kern w:val="2"/>
          <w:sz w:val="32"/>
          <w:szCs w:val="32"/>
          <w:lang w:bidi="ar-SA"/>
        </w:rPr>
      </w:pPr>
      <w:r>
        <w:rPr>
          <w:rFonts w:hint="default" w:ascii="Times New Roman" w:hAnsi="Times New Roman" w:eastAsia="楷体_GB2312" w:cs="Times New Roman"/>
          <w:b/>
          <w:bCs/>
          <w:color w:val="000000"/>
          <w:kern w:val="0"/>
          <w:sz w:val="32"/>
          <w:szCs w:val="32"/>
          <w:shd w:val="clear" w:color="auto" w:fill="FFFFFF"/>
          <w:lang w:val="zh-CN"/>
        </w:rPr>
        <w:t>绩效结果应用情况。</w:t>
      </w:r>
      <w:r>
        <w:rPr>
          <w:rFonts w:hint="default" w:ascii="Times New Roman" w:hAnsi="Times New Roman" w:eastAsia="仿宋_GB2312" w:cs="Times New Roman"/>
          <w:kern w:val="2"/>
          <w:sz w:val="32"/>
          <w:szCs w:val="32"/>
          <w:lang w:bidi="ar-SA"/>
        </w:rPr>
        <w:t>围绕内部应用情况、信息公开情况、整改反馈情况进行分析。</w:t>
      </w:r>
    </w:p>
    <w:p w14:paraId="3202628D">
      <w:pPr>
        <w:keepNext w:val="0"/>
        <w:keepLines w:val="0"/>
        <w:pageBreakBefore w:val="0"/>
        <w:widowControl/>
        <w:suppressLineNumbers w:val="0"/>
        <w:suppressAutoHyphens w:val="0"/>
        <w:kinsoku/>
        <w:wordWrap/>
        <w:overflowPunct/>
        <w:topLinePunct w:val="0"/>
        <w:autoSpaceDE/>
        <w:autoSpaceDN/>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bidi="ar"/>
        </w:rPr>
      </w:pPr>
      <w:r>
        <w:rPr>
          <w:rFonts w:hint="default" w:ascii="Times New Roman" w:hAnsi="Times New Roman" w:eastAsia="仿宋_GB2312" w:cs="Times New Roman"/>
          <w:kern w:val="2"/>
          <w:sz w:val="32"/>
          <w:szCs w:val="32"/>
          <w:lang w:bidi="ar-SA"/>
        </w:rPr>
        <w:t xml:space="preserve"> 2024年，州财政局对我局2023年整体支出进行了绩效评价，大熊猫国家公园阿坝管理分局2023部门整体支出绩效评价等级为“良”，以前年度绩效评价报告和自评表都在州政府网站进行了对外公开。</w:t>
      </w:r>
    </w:p>
    <w:p w14:paraId="42FA01F2">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四、评价结论及建议</w:t>
      </w:r>
    </w:p>
    <w:p w14:paraId="564338B5">
      <w:pPr>
        <w:keepNext w:val="0"/>
        <w:keepLines w:val="0"/>
        <w:pageBreakBefore w:val="0"/>
        <w:widowControl w:val="0"/>
        <w:suppressLineNumbers w:val="0"/>
        <w:suppressAutoHyphens w:val="0"/>
        <w:kinsoku/>
        <w:wordWrap/>
        <w:overflowPunct/>
        <w:topLinePunct w:val="0"/>
        <w:autoSpaceDE/>
        <w:autoSpaceDN/>
        <w:spacing w:line="560" w:lineRule="atLeast"/>
        <w:ind w:firstLine="643" w:firstLineChars="200"/>
        <w:rPr>
          <w:rFonts w:hint="default" w:ascii="Times New Roman" w:hAnsi="Times New Roman" w:eastAsia="仿宋_GB2312" w:cs="Times New Roman"/>
          <w:sz w:val="32"/>
          <w:szCs w:val="32"/>
          <w:lang w:bidi="ar"/>
        </w:rPr>
      </w:pPr>
      <w:r>
        <w:rPr>
          <w:rFonts w:hint="default" w:ascii="Times New Roman" w:hAnsi="Times New Roman" w:eastAsia="楷体_GB2312" w:cs="Times New Roman"/>
          <w:b/>
          <w:bCs/>
          <w:color w:val="000000"/>
          <w:kern w:val="0"/>
          <w:sz w:val="32"/>
          <w:szCs w:val="32"/>
          <w:shd w:val="clear" w:color="auto" w:fill="FFFFFF"/>
          <w:lang w:val="zh-CN"/>
        </w:rPr>
        <w:t>（一）评价结论。</w:t>
      </w:r>
      <w:r>
        <w:rPr>
          <w:rFonts w:hint="default" w:ascii="Times New Roman" w:hAnsi="Times New Roman" w:eastAsia="仿宋_GB2312" w:cs="Times New Roman"/>
          <w:kern w:val="2"/>
          <w:sz w:val="32"/>
          <w:szCs w:val="32"/>
          <w:lang w:bidi="ar-SA"/>
        </w:rPr>
        <w:t>2024年度年初工作计划及重点工作目标管理符合州委、州政府总体经济和社会发展规划及职责，体现当年重点工作，资金投入相匹配。建立完善了内部控制制度和内部管理制度，并得到有效执行。预算执行情况良好，预算支出和决算支出情况相符。圆满完成州委州政府下达的2024年各项目标任务。绩效自评得分</w:t>
      </w:r>
      <w:r>
        <w:rPr>
          <w:rFonts w:hint="eastAsia" w:eastAsia="仿宋_GB2312" w:cs="Times New Roman"/>
          <w:kern w:val="2"/>
          <w:sz w:val="32"/>
          <w:szCs w:val="32"/>
          <w:lang w:val="en-US" w:eastAsia="zh-CN" w:bidi="ar-SA"/>
        </w:rPr>
        <w:t>100</w:t>
      </w:r>
      <w:r>
        <w:rPr>
          <w:rFonts w:hint="default" w:ascii="Times New Roman" w:hAnsi="Times New Roman" w:eastAsia="仿宋_GB2312" w:cs="Times New Roman"/>
          <w:kern w:val="2"/>
          <w:sz w:val="32"/>
          <w:szCs w:val="32"/>
          <w:lang w:bidi="ar-SA"/>
        </w:rPr>
        <w:t>分。</w:t>
      </w:r>
    </w:p>
    <w:p w14:paraId="5E1208B0">
      <w:pPr>
        <w:pStyle w:val="17"/>
        <w:shd w:val="clear" w:color="auto" w:fill="FFFFFF"/>
        <w:spacing w:before="0" w:beforeAutospacing="0" w:after="0" w:afterAutospacing="0" w:line="560" w:lineRule="exact"/>
        <w:ind w:firstLine="643" w:firstLineChars="200"/>
        <w:rPr>
          <w:rFonts w:hint="default" w:ascii="Times New Roman" w:hAnsi="Times New Roman" w:eastAsia="仿宋_GB2312" w:cs="Times New Roman"/>
          <w:color w:val="auto"/>
          <w:kern w:val="0"/>
          <w:sz w:val="32"/>
          <w:szCs w:val="32"/>
          <w:lang w:bidi="ar-SA"/>
        </w:rPr>
      </w:pPr>
      <w:r>
        <w:rPr>
          <w:rFonts w:hint="default" w:ascii="Times New Roman" w:hAnsi="Times New Roman" w:eastAsia="楷体_GB2312" w:cs="Times New Roman"/>
          <w:b/>
          <w:bCs/>
          <w:color w:val="000000"/>
          <w:kern w:val="0"/>
          <w:sz w:val="32"/>
          <w:szCs w:val="32"/>
          <w:shd w:val="clear" w:color="auto" w:fill="FFFFFF"/>
          <w:lang w:val="zh-CN"/>
        </w:rPr>
        <w:t>（二）存在问题。</w:t>
      </w:r>
      <w:r>
        <w:rPr>
          <w:rFonts w:hint="default" w:ascii="Times New Roman" w:hAnsi="Times New Roman" w:eastAsia="仿宋_GB2312" w:cs="Times New Roman"/>
          <w:kern w:val="2"/>
          <w:sz w:val="32"/>
          <w:szCs w:val="32"/>
          <w:lang w:val="en-US" w:eastAsia="zh-CN" w:bidi="ar-SA"/>
        </w:rPr>
        <w:t>因单位目前还处在机构改革阶段，在整体支出的资金安排和使用上仍有不可预见性，在编制预算时还需进一步统筹考虑。上半年部分项目预算执行进度过缓。</w:t>
      </w:r>
    </w:p>
    <w:p w14:paraId="329EF9EB">
      <w:pPr>
        <w:keepNext w:val="0"/>
        <w:keepLines w:val="0"/>
        <w:pageBreakBefore w:val="0"/>
        <w:widowControl w:val="0"/>
        <w:suppressLineNumbers w:val="0"/>
        <w:tabs>
          <w:tab w:val="left" w:pos="0"/>
        </w:tabs>
        <w:suppressAutoHyphens w:val="0"/>
        <w:kinsoku/>
        <w:wordWrap/>
        <w:overflowPunct/>
        <w:topLinePunct w:val="0"/>
        <w:autoSpaceDE/>
        <w:autoSpaceDN/>
        <w:spacing w:line="560" w:lineRule="atLeast"/>
        <w:ind w:left="0" w:firstLine="964" w:firstLineChars="300"/>
        <w:rPr>
          <w:rFonts w:hint="default" w:ascii="Times New Roman" w:hAnsi="Times New Roman" w:eastAsia="仿宋_GB2312" w:cs="Times New Roman"/>
          <w:snapToGrid/>
          <w:color w:val="auto"/>
          <w:spacing w:val="0"/>
          <w:w w:val="100"/>
          <w:kern w:val="2"/>
          <w:position w:val="0"/>
          <w:sz w:val="32"/>
          <w:szCs w:val="32"/>
          <w:u w:val="none"/>
          <w:vertAlign w:val="baseline"/>
          <w:lang w:val="en-US" w:eastAsia="zh-CN" w:bidi="ar-SA"/>
        </w:rPr>
      </w:pPr>
      <w:r>
        <w:rPr>
          <w:rFonts w:hint="default" w:ascii="Times New Roman" w:hAnsi="Times New Roman" w:eastAsia="楷体_GB2312" w:cs="Times New Roman"/>
          <w:b/>
          <w:bCs/>
          <w:color w:val="000000"/>
          <w:kern w:val="0"/>
          <w:sz w:val="32"/>
          <w:szCs w:val="32"/>
          <w:shd w:val="clear" w:color="auto" w:fill="FFFFFF"/>
          <w:lang w:val="zh-CN"/>
        </w:rPr>
        <w:t>（三）改进建议。</w:t>
      </w:r>
      <w:bookmarkStart w:id="56" w:name="_Hlk110546638"/>
      <w:r>
        <w:rPr>
          <w:rFonts w:hint="default" w:ascii="Times New Roman" w:hAnsi="Times New Roman" w:cs="Times New Roman"/>
          <w:snapToGrid/>
          <w:color w:val="auto"/>
          <w:spacing w:val="0"/>
          <w:w w:val="100"/>
          <w:kern w:val="2"/>
          <w:position w:val="0"/>
          <w:sz w:val="32"/>
          <w:szCs w:val="32"/>
          <w:u w:val="none"/>
          <w:vertAlign w:val="baseline"/>
          <w:lang w:val="en-US" w:eastAsia="zh-CN" w:bidi="ar-SA"/>
        </w:rPr>
        <w:t>1.</w:t>
      </w:r>
      <w:r>
        <w:rPr>
          <w:rFonts w:hint="default" w:ascii="Times New Roman" w:hAnsi="Times New Roman" w:eastAsia="仿宋_GB2312" w:cs="Times New Roman"/>
          <w:snapToGrid/>
          <w:color w:val="auto"/>
          <w:spacing w:val="0"/>
          <w:w w:val="100"/>
          <w:kern w:val="2"/>
          <w:position w:val="0"/>
          <w:sz w:val="32"/>
          <w:szCs w:val="32"/>
          <w:u w:val="none"/>
          <w:vertAlign w:val="baseline"/>
          <w:lang w:val="en-US" w:eastAsia="zh-CN" w:bidi="ar-SA"/>
        </w:rPr>
        <w:t>进一步细化预算编制工作，认真做好预算的编制。进一步加强单位内部机构的预算管理意识，严格按照预算编制的相关制度和要求进行预算编制。预算编制前根据年度内单位可预见的工作任务，确定单位年度预算目标，细化预算指标，科学合理编制部门预算</w:t>
      </w:r>
      <w:r>
        <w:rPr>
          <w:rFonts w:hint="default" w:ascii="Times New Roman" w:hAnsi="Times New Roman" w:cs="Times New Roman"/>
          <w:snapToGrid/>
          <w:color w:val="auto"/>
          <w:spacing w:val="0"/>
          <w:w w:val="100"/>
          <w:kern w:val="2"/>
          <w:position w:val="0"/>
          <w:sz w:val="32"/>
          <w:szCs w:val="32"/>
          <w:u w:val="none"/>
          <w:vertAlign w:val="baseline"/>
          <w:lang w:val="en-US" w:eastAsia="zh-CN" w:bidi="ar-SA"/>
        </w:rPr>
        <w:t>。</w:t>
      </w:r>
    </w:p>
    <w:p w14:paraId="0FA5C46B">
      <w:pPr>
        <w:keepNext w:val="0"/>
        <w:keepLines w:val="0"/>
        <w:pageBreakBefore w:val="0"/>
        <w:widowControl w:val="0"/>
        <w:suppressLineNumbers w:val="0"/>
        <w:tabs>
          <w:tab w:val="left" w:pos="0"/>
        </w:tabs>
        <w:suppressAutoHyphens w:val="0"/>
        <w:kinsoku/>
        <w:wordWrap/>
        <w:overflowPunct/>
        <w:topLinePunct w:val="0"/>
        <w:autoSpaceDE/>
        <w:autoSpaceDN/>
        <w:spacing w:line="560" w:lineRule="atLeast"/>
        <w:ind w:left="0" w:firstLine="640" w:firstLineChars="200"/>
        <w:rPr>
          <w:rFonts w:hint="default" w:ascii="Times New Roman" w:hAnsi="Times New Roman" w:cs="Times New Roman"/>
          <w:snapToGrid/>
          <w:color w:val="auto"/>
          <w:spacing w:val="0"/>
          <w:w w:val="100"/>
          <w:kern w:val="2"/>
          <w:position w:val="0"/>
          <w:sz w:val="32"/>
          <w:szCs w:val="32"/>
          <w:u w:val="none"/>
          <w:vertAlign w:val="baseline"/>
          <w:lang w:val="en-US" w:eastAsia="zh-CN" w:bidi="ar-SA"/>
        </w:rPr>
      </w:pPr>
      <w:r>
        <w:rPr>
          <w:rFonts w:hint="default" w:ascii="Times New Roman" w:hAnsi="Times New Roman" w:cs="Times New Roman"/>
          <w:snapToGrid/>
          <w:color w:val="auto"/>
          <w:spacing w:val="0"/>
          <w:w w:val="100"/>
          <w:kern w:val="2"/>
          <w:position w:val="0"/>
          <w:sz w:val="32"/>
          <w:szCs w:val="32"/>
          <w:u w:val="none"/>
          <w:vertAlign w:val="baseline"/>
          <w:lang w:val="en-US" w:eastAsia="zh-CN" w:bidi="ar-SA"/>
        </w:rPr>
        <w:t>2.</w:t>
      </w:r>
      <w:r>
        <w:rPr>
          <w:rFonts w:hint="default" w:ascii="Times New Roman" w:hAnsi="Times New Roman" w:eastAsia="仿宋_GB2312" w:cs="Times New Roman"/>
          <w:snapToGrid/>
          <w:color w:val="auto"/>
          <w:spacing w:val="0"/>
          <w:w w:val="100"/>
          <w:kern w:val="2"/>
          <w:position w:val="0"/>
          <w:sz w:val="32"/>
          <w:szCs w:val="32"/>
          <w:u w:val="none"/>
          <w:vertAlign w:val="baseline"/>
          <w:lang w:val="en-US" w:eastAsia="zh-CN" w:bidi="ar-SA"/>
        </w:rPr>
        <w:t>进一步加强经费审核，规范会计核算。严格按照《会计法》、《行政单位会计制度》、《行政单位财务规则》等规定执行财务核算，并结合实际情况，完整、准确地披露相关信息，做到决算与预算相衔接</w:t>
      </w:r>
      <w:r>
        <w:rPr>
          <w:rFonts w:hint="default" w:ascii="Times New Roman" w:hAnsi="Times New Roman" w:cs="Times New Roman"/>
          <w:snapToGrid/>
          <w:color w:val="auto"/>
          <w:spacing w:val="0"/>
          <w:w w:val="100"/>
          <w:kern w:val="2"/>
          <w:position w:val="0"/>
          <w:sz w:val="32"/>
          <w:szCs w:val="32"/>
          <w:u w:val="none"/>
          <w:vertAlign w:val="baseline"/>
          <w:lang w:val="en-US" w:eastAsia="zh-CN" w:bidi="ar-SA"/>
        </w:rPr>
        <w:t>。</w:t>
      </w:r>
    </w:p>
    <w:p w14:paraId="301DD0D0">
      <w:pPr>
        <w:keepNext w:val="0"/>
        <w:keepLines w:val="0"/>
        <w:pageBreakBefore w:val="0"/>
        <w:widowControl w:val="0"/>
        <w:suppressLineNumbers w:val="0"/>
        <w:tabs>
          <w:tab w:val="left" w:pos="0"/>
        </w:tabs>
        <w:suppressAutoHyphens w:val="0"/>
        <w:kinsoku/>
        <w:wordWrap/>
        <w:overflowPunct/>
        <w:topLinePunct w:val="0"/>
        <w:autoSpaceDE/>
        <w:autoSpaceDN/>
        <w:spacing w:line="560" w:lineRule="atLeast"/>
        <w:ind w:left="0" w:firstLine="640" w:firstLineChars="200"/>
        <w:rPr>
          <w:rFonts w:hint="default" w:ascii="Times New Roman" w:hAnsi="Times New Roman" w:eastAsia="仿宋_GB2312" w:cs="Times New Roman"/>
          <w:snapToGrid/>
          <w:color w:val="auto"/>
          <w:spacing w:val="0"/>
          <w:w w:val="100"/>
          <w:kern w:val="2"/>
          <w:position w:val="0"/>
          <w:sz w:val="32"/>
          <w:szCs w:val="32"/>
          <w:u w:val="none"/>
          <w:vertAlign w:val="baseline"/>
          <w:lang w:val="en-US" w:eastAsia="zh-CN" w:bidi="ar-SA"/>
        </w:rPr>
      </w:pPr>
      <w:r>
        <w:rPr>
          <w:rFonts w:hint="default" w:ascii="Times New Roman" w:hAnsi="Times New Roman" w:cs="Times New Roman"/>
          <w:snapToGrid/>
          <w:color w:val="auto"/>
          <w:spacing w:val="0"/>
          <w:w w:val="100"/>
          <w:kern w:val="2"/>
          <w:position w:val="0"/>
          <w:sz w:val="32"/>
          <w:szCs w:val="32"/>
          <w:u w:val="none"/>
          <w:vertAlign w:val="baseline"/>
          <w:lang w:val="en-US" w:eastAsia="zh-CN" w:bidi="ar-SA"/>
        </w:rPr>
        <w:t>3.</w:t>
      </w:r>
      <w:r>
        <w:rPr>
          <w:rFonts w:hint="default" w:ascii="Times New Roman" w:hAnsi="Times New Roman" w:eastAsia="仿宋_GB2312" w:cs="Times New Roman"/>
          <w:snapToGrid/>
          <w:color w:val="auto"/>
          <w:spacing w:val="0"/>
          <w:w w:val="100"/>
          <w:kern w:val="2"/>
          <w:position w:val="0"/>
          <w:sz w:val="32"/>
          <w:szCs w:val="32"/>
          <w:u w:val="none"/>
          <w:vertAlign w:val="baseline"/>
          <w:lang w:val="en-US" w:eastAsia="zh-CN" w:bidi="ar-SA"/>
        </w:rPr>
        <w:t>进一步加强学习，提高绩效管理意识。组织相关人员认真学习《预算法》及全面预算绩效管理等相关法律、法规、制度，进一步加强财务管理，规范会计核算，提高绩效管理意识，开展项目事前绩效评估、过程绩效监控及事后绩效评价，重视项目实施效果统计分析，使绩效管理理念贯穿于预算管理全过程。</w:t>
      </w:r>
    </w:p>
    <w:bookmarkEnd w:id="56"/>
    <w:p w14:paraId="5B72C019">
      <w:pPr>
        <w:pStyle w:val="9"/>
        <w:spacing w:line="560" w:lineRule="exact"/>
        <w:ind w:left="0" w:leftChars="0" w:firstLine="640"/>
        <w:rPr>
          <w:rFonts w:hint="default" w:ascii="Times New Roman" w:hAnsi="Times New Roman" w:eastAsia="仿宋_GB2312" w:cs="Times New Roman"/>
          <w:sz w:val="32"/>
          <w:lang w:val="zh-CN" w:bidi="ar"/>
        </w:rPr>
      </w:pPr>
      <w:r>
        <w:rPr>
          <w:rFonts w:hint="default" w:ascii="Times New Roman" w:hAnsi="Times New Roman" w:eastAsia="仿宋_GB2312" w:cs="Times New Roman"/>
          <w:sz w:val="32"/>
          <w:lang w:val="zh-CN" w:bidi="ar"/>
        </w:rPr>
        <w:t>附表：</w:t>
      </w:r>
      <w:r>
        <w:rPr>
          <w:rFonts w:hint="default" w:ascii="Times New Roman" w:hAnsi="Times New Roman" w:eastAsia="仿宋_GB2312" w:cs="Times New Roman"/>
          <w:sz w:val="32"/>
          <w:lang w:bidi="ar"/>
        </w:rPr>
        <w:t>部门预算项目支出绩效自评表（2024年度）</w:t>
      </w:r>
    </w:p>
    <w:p w14:paraId="6FA3E27D">
      <w:pPr>
        <w:pStyle w:val="9"/>
        <w:spacing w:line="560" w:lineRule="exact"/>
        <w:ind w:left="0" w:leftChars="0" w:firstLine="0" w:firstLineChars="0"/>
        <w:rPr>
          <w:rFonts w:hint="default" w:ascii="Times New Roman" w:hAnsi="Times New Roman" w:cs="Times New Roman"/>
          <w:sz w:val="32"/>
          <w:highlight w:val="yellow"/>
          <w:lang w:val="zh-CN"/>
        </w:rPr>
      </w:pPr>
    </w:p>
    <w:p w14:paraId="3F495731">
      <w:pPr>
        <w:pStyle w:val="7"/>
        <w:spacing w:before="93"/>
        <w:rPr>
          <w:rFonts w:hint="default" w:ascii="Times New Roman" w:hAnsi="Times New Roman" w:cs="Times New Roman"/>
          <w:color w:val="FF0000"/>
          <w:sz w:val="32"/>
          <w:szCs w:val="32"/>
          <w:highlight w:val="yellow"/>
          <w:shd w:val="clear" w:color="auto" w:fill="FFFFFF"/>
          <w:lang w:val="zh-CN"/>
        </w:rPr>
      </w:pPr>
    </w:p>
    <w:p w14:paraId="0BF36035">
      <w:pPr>
        <w:rPr>
          <w:rFonts w:hint="default" w:ascii="Times New Roman" w:hAnsi="Times New Roman" w:eastAsia="黑体" w:cs="Times New Roman"/>
          <w:kern w:val="0"/>
          <w:sz w:val="32"/>
          <w:szCs w:val="32"/>
          <w:shd w:val="clear" w:color="auto" w:fill="FFFFFF"/>
          <w:lang w:val="zh-CN"/>
        </w:rPr>
      </w:pPr>
      <w:r>
        <w:rPr>
          <w:rFonts w:hint="default" w:ascii="Times New Roman" w:hAnsi="Times New Roman" w:eastAsia="黑体" w:cs="Times New Roman"/>
          <w:kern w:val="0"/>
          <w:sz w:val="32"/>
          <w:szCs w:val="32"/>
          <w:shd w:val="clear" w:color="auto" w:fill="FFFFFF"/>
          <w:lang w:val="zh-CN"/>
        </w:rPr>
        <w:br w:type="page"/>
      </w:r>
    </w:p>
    <w:p w14:paraId="478173F2">
      <w:pPr>
        <w:pStyle w:val="7"/>
        <w:spacing w:before="93"/>
        <w:rPr>
          <w:rFonts w:hint="default" w:ascii="Times New Roman" w:hAnsi="Times New Roman" w:eastAsia="黑体" w:cs="Times New Roman"/>
          <w:sz w:val="32"/>
          <w:szCs w:val="32"/>
        </w:rPr>
      </w:pPr>
      <w:r>
        <w:rPr>
          <w:rFonts w:hint="default" w:ascii="Times New Roman" w:hAnsi="Times New Roman" w:eastAsia="黑体" w:cs="Times New Roman"/>
          <w:sz w:val="32"/>
          <w:szCs w:val="32"/>
          <w:shd w:val="clear" w:color="auto" w:fill="FFFFFF"/>
          <w:lang w:val="zh-CN"/>
        </w:rPr>
        <w:t>附件</w:t>
      </w:r>
      <w:r>
        <w:rPr>
          <w:rFonts w:hint="default" w:ascii="Times New Roman" w:hAnsi="Times New Roman" w:eastAsia="黑体" w:cs="Times New Roman"/>
          <w:sz w:val="32"/>
          <w:szCs w:val="32"/>
          <w:shd w:val="clear" w:color="auto" w:fill="FFFFFF"/>
        </w:rPr>
        <w:t>2</w:t>
      </w:r>
    </w:p>
    <w:p w14:paraId="626B10AF">
      <w:pPr>
        <w:spacing w:before="185" w:line="181" w:lineRule="auto"/>
        <w:ind w:left="1660"/>
        <w:rPr>
          <w:rFonts w:hint="default" w:ascii="Times New Roman" w:hAnsi="Times New Roman" w:eastAsia="微软雅黑" w:cs="Times New Roman"/>
          <w:sz w:val="43"/>
          <w:szCs w:val="43"/>
        </w:rPr>
      </w:pPr>
      <w:r>
        <w:rPr>
          <w:rFonts w:hint="default" w:ascii="Times New Roman" w:hAnsi="Times New Roman" w:eastAsia="微软雅黑" w:cs="Times New Roman"/>
          <w:spacing w:val="9"/>
          <w:sz w:val="43"/>
          <w:szCs w:val="43"/>
        </w:rPr>
        <w:t>大熊猫国家公园阿坝管理分局</w:t>
      </w:r>
    </w:p>
    <w:p w14:paraId="545CCD38">
      <w:pPr>
        <w:spacing w:before="1" w:line="186" w:lineRule="auto"/>
        <w:ind w:left="2313"/>
        <w:rPr>
          <w:rFonts w:hint="default" w:ascii="Times New Roman" w:hAnsi="Times New Roman" w:cs="Times New Roman"/>
          <w:color w:val="auto"/>
          <w:kern w:val="2"/>
          <w:sz w:val="32"/>
          <w:szCs w:val="32"/>
        </w:rPr>
      </w:pPr>
      <w:r>
        <w:rPr>
          <w:rFonts w:hint="default" w:ascii="Times New Roman" w:hAnsi="Times New Roman" w:eastAsia="微软雅黑" w:cs="Times New Roman"/>
          <w:spacing w:val="9"/>
          <w:sz w:val="43"/>
          <w:szCs w:val="43"/>
        </w:rPr>
        <w:t>专项预算绩效评价报告</w:t>
      </w:r>
    </w:p>
    <w:p w14:paraId="0FA32EC9">
      <w:pPr>
        <w:adjustRightInd w:val="0"/>
        <w:snapToGrid w:val="0"/>
        <w:spacing w:line="578" w:lineRule="exact"/>
        <w:ind w:firstLine="640" w:firstLineChars="200"/>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zh-CN"/>
        </w:rPr>
        <w:t>项目概况</w:t>
      </w:r>
    </w:p>
    <w:p w14:paraId="79E0B220">
      <w:pPr>
        <w:pStyle w:val="7"/>
        <w:spacing w:before="178" w:line="321" w:lineRule="auto"/>
        <w:ind w:left="102" w:right="242" w:firstLine="632"/>
        <w:rPr>
          <w:rFonts w:hint="default" w:ascii="Times New Roman" w:hAnsi="Times New Roman" w:eastAsia="仿宋_GB2312" w:cs="Times New Roman"/>
          <w:kern w:val="2"/>
          <w:sz w:val="32"/>
          <w:szCs w:val="32"/>
          <w:lang w:val="en-US" w:eastAsia="zh-CN" w:bidi="ar"/>
        </w:rPr>
      </w:pPr>
      <w:r>
        <w:rPr>
          <w:rFonts w:hint="default" w:ascii="Times New Roman" w:hAnsi="Times New Roman" w:eastAsia="楷体_GB2312" w:cs="Times New Roman"/>
          <w:b/>
          <w:sz w:val="32"/>
          <w:szCs w:val="32"/>
          <w:lang w:val="zh-CN"/>
        </w:rPr>
        <w:t>（一）设立背景及基本情况。</w:t>
      </w:r>
      <w:r>
        <w:rPr>
          <w:rFonts w:hint="default" w:ascii="Times New Roman" w:hAnsi="Times New Roman" w:eastAsia="仿宋_GB2312" w:cs="Times New Roman"/>
          <w:kern w:val="2"/>
          <w:sz w:val="32"/>
          <w:szCs w:val="32"/>
          <w:lang w:val="en-US" w:eastAsia="zh-CN" w:bidi="ar"/>
        </w:rPr>
        <w:t>大熊猫国家公园阿坝片区涉及汶川县、茂县、松潘县、九寨沟县共</w:t>
      </w:r>
      <w:r>
        <w:rPr>
          <w:rFonts w:hint="default" w:ascii="Times New Roman" w:hAnsi="Times New Roman" w:cs="Times New Roman"/>
          <w:kern w:val="2"/>
          <w:sz w:val="32"/>
          <w:szCs w:val="32"/>
          <w:lang w:val="en-US" w:eastAsia="zh-CN" w:bidi="ar"/>
        </w:rPr>
        <w:t>14</w:t>
      </w:r>
      <w:r>
        <w:rPr>
          <w:rFonts w:hint="default" w:ascii="Times New Roman" w:hAnsi="Times New Roman" w:eastAsia="仿宋_GB2312" w:cs="Times New Roman"/>
          <w:kern w:val="2"/>
          <w:sz w:val="32"/>
          <w:szCs w:val="32"/>
          <w:lang w:val="en-US" w:eastAsia="zh-CN" w:bidi="ar"/>
        </w:rPr>
        <w:t>个保护地，总面积 59.64 万公顷</w:t>
      </w:r>
      <w:r>
        <w:rPr>
          <w:rFonts w:hint="default" w:ascii="Times New Roman" w:hAnsi="Times New Roman"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 xml:space="preserve">占全州栖息地面积93.6% </w:t>
      </w:r>
      <w:r>
        <w:rPr>
          <w:rFonts w:hint="default" w:ascii="Times New Roman" w:hAnsi="Times New Roman"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据第四次全国大熊猫调查，阿坝州境内有野生大熊猫348只，其中划入大熊猫国家公园范围</w:t>
      </w:r>
      <w:r>
        <w:rPr>
          <w:rFonts w:hint="default" w:ascii="Times New Roman" w:hAnsi="Times New Roman" w:cs="Times New Roman"/>
          <w:kern w:val="2"/>
          <w:sz w:val="32"/>
          <w:szCs w:val="32"/>
          <w:lang w:val="en-US" w:eastAsia="zh-CN" w:bidi="ar"/>
        </w:rPr>
        <w:t>内</w:t>
      </w:r>
      <w:r>
        <w:rPr>
          <w:rFonts w:hint="default" w:ascii="Times New Roman" w:hAnsi="Times New Roman" w:eastAsia="仿宋_GB2312" w:cs="Times New Roman"/>
          <w:kern w:val="2"/>
          <w:sz w:val="32"/>
          <w:szCs w:val="32"/>
          <w:lang w:val="en-US" w:eastAsia="zh-CN" w:bidi="ar"/>
        </w:rPr>
        <w:t xml:space="preserve">330余只，占全国野生大熊猫数量的17.7% </w:t>
      </w:r>
      <w:r>
        <w:rPr>
          <w:rFonts w:hint="default" w:ascii="Times New Roman" w:hAnsi="Times New Roman"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涉及4县24个乡镇。大熊猫国家公园阿坝管理分局是阿坝片区大熊猫国家公园的管理机构，各县管理总站是负责具体组织巡护监测等工作的基 层单位，成立以来对公园生态保护、社区发展、科研宣教、项目建设做了大量工作。</w:t>
      </w:r>
    </w:p>
    <w:p w14:paraId="57BC97DA">
      <w:pPr>
        <w:pStyle w:val="7"/>
        <w:spacing w:before="178" w:line="321" w:lineRule="auto"/>
        <w:ind w:left="102" w:right="242" w:firstLine="632"/>
        <w:rPr>
          <w:rFonts w:hint="default" w:ascii="Times New Roman" w:hAnsi="Times New Roman" w:eastAsia="仿宋_GB2312" w:cs="Times New Roman"/>
          <w:kern w:val="2"/>
          <w:sz w:val="32"/>
          <w:szCs w:val="32"/>
          <w:lang w:val="en-US" w:eastAsia="zh-CN" w:bidi="ar"/>
        </w:rPr>
      </w:pPr>
      <w:r>
        <w:rPr>
          <w:rFonts w:hint="default" w:ascii="Times New Roman" w:hAnsi="Times New Roman" w:eastAsia="楷体_GB2312" w:cs="Times New Roman"/>
          <w:b/>
          <w:sz w:val="32"/>
          <w:szCs w:val="32"/>
          <w:lang w:val="zh-CN"/>
        </w:rPr>
        <w:t>（二）</w:t>
      </w:r>
      <w:r>
        <w:rPr>
          <w:rFonts w:hint="default" w:ascii="Times New Roman" w:hAnsi="Times New Roman" w:eastAsia="楷体_GB2312" w:cs="Times New Roman"/>
          <w:b/>
          <w:sz w:val="32"/>
          <w:szCs w:val="32"/>
        </w:rPr>
        <w:t>实施目的及支持方向。</w:t>
      </w:r>
      <w:r>
        <w:rPr>
          <w:rFonts w:hint="default" w:ascii="Times New Roman" w:hAnsi="Times New Roman" w:eastAsia="仿宋_GB2312" w:cs="Times New Roman"/>
          <w:kern w:val="2"/>
          <w:sz w:val="32"/>
          <w:szCs w:val="32"/>
          <w:lang w:val="en-US" w:eastAsia="zh-CN" w:bidi="ar"/>
        </w:rPr>
        <w:t>大熊猫国家公园阿坝管理分局于 2019年挂牌，2021年正式成立。近年来，巡护监测等基础工作顺利推进，基层巡护队伍逐渐建立充实，样线巡护、日常巡护、红外相机监测的工作顺利开展。随着巡护监测等工作量逐年增加，现有巡护设备已经不能满足当前工作所需。经分局研究决定分批逐年添置卫星通讯设备以满足巡护工作质量和安全的需要。</w:t>
      </w:r>
    </w:p>
    <w:p w14:paraId="34D467B4">
      <w:pPr>
        <w:pStyle w:val="7"/>
        <w:spacing w:line="277" w:lineRule="auto"/>
        <w:ind w:left="28" w:right="38" w:firstLine="608"/>
        <w:rPr>
          <w:rFonts w:hint="default" w:ascii="Times New Roman" w:hAnsi="Times New Roman" w:eastAsia="仿宋_GB2312" w:cs="Times New Roman"/>
          <w:kern w:val="0"/>
          <w:sz w:val="32"/>
          <w:szCs w:val="32"/>
          <w:lang w:val="zh-CN"/>
        </w:rPr>
      </w:pPr>
      <w:r>
        <w:rPr>
          <w:rFonts w:hint="default" w:ascii="Times New Roman" w:hAnsi="Times New Roman" w:eastAsia="楷体_GB2312" w:cs="Times New Roman"/>
          <w:b/>
          <w:sz w:val="32"/>
          <w:szCs w:val="32"/>
          <w:lang w:val="zh-CN"/>
        </w:rPr>
        <w:t>（三）</w:t>
      </w:r>
      <w:r>
        <w:rPr>
          <w:rFonts w:hint="default" w:ascii="Times New Roman" w:hAnsi="Times New Roman" w:eastAsia="楷体_GB2312" w:cs="Times New Roman"/>
          <w:b/>
          <w:sz w:val="32"/>
          <w:szCs w:val="32"/>
        </w:rPr>
        <w:t>预算安排及分配管理</w:t>
      </w:r>
      <w:r>
        <w:rPr>
          <w:rFonts w:hint="default" w:ascii="Times New Roman" w:hAnsi="Times New Roman" w:eastAsia="楷体_GB2312" w:cs="Times New Roman"/>
          <w:b/>
          <w:sz w:val="32"/>
          <w:szCs w:val="32"/>
          <w:lang w:val="zh-CN"/>
        </w:rPr>
        <w:t>。</w:t>
      </w:r>
      <w:r>
        <w:rPr>
          <w:rFonts w:hint="default" w:ascii="Times New Roman" w:hAnsi="Times New Roman" w:cs="Times New Roman"/>
          <w:spacing w:val="4"/>
        </w:rPr>
        <w:t>通过市场调查</w:t>
      </w:r>
      <w:r>
        <w:rPr>
          <w:rFonts w:hint="default" w:ascii="Times New Roman" w:hAnsi="Times New Roman" w:cs="Times New Roman"/>
          <w:spacing w:val="3"/>
        </w:rPr>
        <w:t>和查询卫星电话</w:t>
      </w:r>
      <w:r>
        <w:rPr>
          <w:rFonts w:hint="default" w:ascii="Times New Roman" w:hAnsi="Times New Roman" w:cs="Times New Roman"/>
          <w:spacing w:val="6"/>
        </w:rPr>
        <w:t>官网价经综合测算不存在漏项。</w:t>
      </w:r>
    </w:p>
    <w:p w14:paraId="1E781909">
      <w:pPr>
        <w:pStyle w:val="7"/>
        <w:spacing w:before="143" w:line="305" w:lineRule="auto"/>
        <w:ind w:left="14" w:right="38" w:firstLine="621"/>
        <w:rPr>
          <w:rFonts w:hint="default" w:ascii="Times New Roman" w:hAnsi="Times New Roman" w:cs="Times New Roman"/>
          <w:spacing w:val="3"/>
        </w:rPr>
      </w:pPr>
      <w:r>
        <w:rPr>
          <w:rFonts w:hint="default" w:ascii="Times New Roman" w:hAnsi="Times New Roman" w:eastAsia="楷体_GB2312" w:cs="Times New Roman"/>
          <w:b/>
          <w:sz w:val="32"/>
          <w:szCs w:val="32"/>
          <w:lang w:val="zh-CN"/>
        </w:rPr>
        <w:t>（四）项目绩效目标设置。</w:t>
      </w:r>
      <w:r>
        <w:rPr>
          <w:rFonts w:hint="default" w:ascii="Times New Roman" w:hAnsi="Times New Roman" w:cs="Times New Roman"/>
          <w:spacing w:val="7"/>
        </w:rPr>
        <w:t>完成采购卫星电话</w:t>
      </w:r>
      <w:r>
        <w:rPr>
          <w:rFonts w:hint="default" w:ascii="Times New Roman" w:hAnsi="Times New Roman" w:cs="Times New Roman"/>
          <w:spacing w:val="-58"/>
        </w:rPr>
        <w:t xml:space="preserve"> </w:t>
      </w:r>
      <w:r>
        <w:rPr>
          <w:rFonts w:hint="default" w:ascii="Times New Roman" w:hAnsi="Times New Roman" w:eastAsia="Times New Roman" w:cs="Times New Roman"/>
          <w:spacing w:val="7"/>
        </w:rPr>
        <w:t>52</w:t>
      </w:r>
      <w:r>
        <w:rPr>
          <w:rFonts w:hint="default" w:ascii="Times New Roman" w:hAnsi="Times New Roman" w:cs="Times New Roman"/>
          <w:spacing w:val="7"/>
        </w:rPr>
        <w:t>台、车载</w:t>
      </w:r>
      <w:r>
        <w:rPr>
          <w:rFonts w:hint="default" w:ascii="Times New Roman" w:hAnsi="Times New Roman" w:cs="Times New Roman"/>
          <w:spacing w:val="10"/>
        </w:rPr>
        <w:t>天线</w:t>
      </w:r>
      <w:r>
        <w:rPr>
          <w:rFonts w:hint="default" w:ascii="Times New Roman" w:hAnsi="Times New Roman" w:cs="Times New Roman"/>
          <w:spacing w:val="-33"/>
        </w:rPr>
        <w:t xml:space="preserve"> </w:t>
      </w:r>
      <w:r>
        <w:rPr>
          <w:rFonts w:hint="default" w:ascii="Times New Roman" w:hAnsi="Times New Roman" w:eastAsia="Times New Roman" w:cs="Times New Roman"/>
          <w:spacing w:val="10"/>
        </w:rPr>
        <w:t>10</w:t>
      </w:r>
      <w:r>
        <w:rPr>
          <w:rFonts w:hint="default" w:ascii="Times New Roman" w:hAnsi="Times New Roman" w:cs="Times New Roman"/>
          <w:spacing w:val="10"/>
        </w:rPr>
        <w:t>个、</w:t>
      </w:r>
      <w:r>
        <w:rPr>
          <w:rFonts w:hint="default" w:ascii="Times New Roman" w:hAnsi="Times New Roman" w:eastAsia="Times New Roman" w:cs="Times New Roman"/>
          <w:spacing w:val="10"/>
        </w:rPr>
        <w:t>3</w:t>
      </w:r>
      <w:r>
        <w:rPr>
          <w:rFonts w:hint="default" w:ascii="Times New Roman" w:hAnsi="Times New Roman" w:cs="Times New Roman"/>
          <w:spacing w:val="10"/>
        </w:rPr>
        <w:t>年天通卫星服务费。采购完成后让公园生态保护</w:t>
      </w:r>
      <w:r>
        <w:rPr>
          <w:rFonts w:hint="default" w:ascii="Times New Roman" w:hAnsi="Times New Roman" w:cs="Times New Roman"/>
          <w:spacing w:val="3"/>
        </w:rPr>
        <w:t>能力提升。</w:t>
      </w:r>
    </w:p>
    <w:p w14:paraId="7E18D9A0">
      <w:pPr>
        <w:pStyle w:val="7"/>
        <w:spacing w:before="143" w:line="305" w:lineRule="auto"/>
        <w:ind w:left="14" w:right="38" w:firstLine="62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二、评价实施</w:t>
      </w:r>
    </w:p>
    <w:p w14:paraId="6E5D4F52">
      <w:pPr>
        <w:pStyle w:val="7"/>
        <w:spacing w:before="178" w:line="277" w:lineRule="auto"/>
        <w:ind w:left="23" w:right="38" w:firstLine="612"/>
        <w:outlineLvl w:val="0"/>
        <w:rPr>
          <w:rFonts w:hint="default" w:ascii="Times New Roman" w:hAnsi="Times New Roman" w:cs="Times New Roman"/>
          <w:spacing w:val="5"/>
        </w:rPr>
      </w:pPr>
      <w:r>
        <w:rPr>
          <w:rFonts w:hint="default" w:ascii="Times New Roman" w:hAnsi="Times New Roman" w:eastAsia="楷体_GB2312" w:cs="Times New Roman"/>
          <w:b/>
          <w:sz w:val="32"/>
          <w:szCs w:val="32"/>
          <w:lang w:val="zh-CN"/>
        </w:rPr>
        <w:t>（一）评价目的。</w:t>
      </w:r>
      <w:r>
        <w:rPr>
          <w:rFonts w:hint="default" w:ascii="Times New Roman" w:hAnsi="Times New Roman" w:cs="Times New Roman"/>
          <w:spacing w:val="4"/>
        </w:rPr>
        <w:t>全面评估项目的执行情况，确保项目顺利</w:t>
      </w:r>
      <w:r>
        <w:rPr>
          <w:rFonts w:hint="default" w:ascii="Times New Roman" w:hAnsi="Times New Roman" w:cs="Times New Roman"/>
          <w:spacing w:val="9"/>
        </w:rPr>
        <w:t xml:space="preserve"> </w:t>
      </w:r>
      <w:r>
        <w:rPr>
          <w:rFonts w:hint="default" w:ascii="Times New Roman" w:hAnsi="Times New Roman" w:cs="Times New Roman"/>
          <w:spacing w:val="5"/>
        </w:rPr>
        <w:t>完成并实现原定目标。通过自评，检查项目是</w:t>
      </w:r>
      <w:r>
        <w:rPr>
          <w:rFonts w:hint="default" w:ascii="Times New Roman" w:hAnsi="Times New Roman" w:cs="Times New Roman"/>
          <w:spacing w:val="4"/>
        </w:rPr>
        <w:t>否按照预期的目标</w:t>
      </w:r>
      <w:r>
        <w:rPr>
          <w:rFonts w:hint="default" w:ascii="Times New Roman" w:hAnsi="Times New Roman" w:cs="Times New Roman"/>
          <w:spacing w:val="5"/>
        </w:rPr>
        <w:t>和计划进行，资源的使用是否有效，及时发现问题和不足并调整</w:t>
      </w:r>
      <w:r>
        <w:rPr>
          <w:rFonts w:hint="default" w:ascii="Times New Roman" w:hAnsi="Times New Roman" w:cs="Times New Roman"/>
          <w:spacing w:val="2"/>
        </w:rPr>
        <w:t xml:space="preserve"> </w:t>
      </w:r>
      <w:r>
        <w:rPr>
          <w:rFonts w:hint="default" w:ascii="Times New Roman" w:hAnsi="Times New Roman" w:cs="Times New Roman"/>
          <w:spacing w:val="5"/>
        </w:rPr>
        <w:t>措施，提高执行效率和绩效水平确保项目能够按照预期目标顺利完成，同时提高组织的整体管理效率和效果，提高资金管理水平和使用效益。</w:t>
      </w:r>
    </w:p>
    <w:p w14:paraId="019060FD">
      <w:pPr>
        <w:pStyle w:val="7"/>
        <w:spacing w:before="6" w:line="310" w:lineRule="auto"/>
        <w:ind w:left="9" w:firstLine="626"/>
        <w:rPr>
          <w:rFonts w:hint="default" w:ascii="Times New Roman" w:hAnsi="Times New Roman" w:cs="Times New Roman"/>
          <w:spacing w:val="9"/>
          <w:lang w:eastAsia="zh-CN"/>
        </w:rPr>
      </w:pPr>
      <w:r>
        <w:rPr>
          <w:rFonts w:hint="default" w:ascii="Times New Roman" w:hAnsi="Times New Roman" w:eastAsia="楷体_GB2312" w:cs="Times New Roman"/>
          <w:b/>
          <w:sz w:val="32"/>
          <w:szCs w:val="32"/>
          <w:lang w:val="zh-CN"/>
        </w:rPr>
        <w:t>（二）预设问题及评价重点。</w:t>
      </w:r>
      <w:r>
        <w:rPr>
          <w:rFonts w:hint="default" w:ascii="Times New Roman" w:hAnsi="Times New Roman" w:cs="Times New Roman"/>
          <w:spacing w:val="4"/>
        </w:rPr>
        <w:t>项目资金目前</w:t>
      </w:r>
      <w:r>
        <w:rPr>
          <w:rFonts w:hint="default" w:ascii="Times New Roman" w:hAnsi="Times New Roman" w:cs="Times New Roman"/>
          <w:spacing w:val="3"/>
        </w:rPr>
        <w:t>在大熊猫国家公</w:t>
      </w:r>
      <w:r>
        <w:rPr>
          <w:rFonts w:hint="default" w:ascii="Times New Roman" w:hAnsi="Times New Roman" w:cs="Times New Roman"/>
        </w:rPr>
        <w:t xml:space="preserve"> </w:t>
      </w:r>
      <w:r>
        <w:rPr>
          <w:rFonts w:hint="default" w:ascii="Times New Roman" w:hAnsi="Times New Roman" w:cs="Times New Roman"/>
          <w:spacing w:val="6"/>
        </w:rPr>
        <w:t>园阿坝管理分局专门账户上，专款专用、单独建帐、单独核算，</w:t>
      </w:r>
      <w:r>
        <w:rPr>
          <w:rFonts w:hint="default" w:ascii="Times New Roman" w:hAnsi="Times New Roman" w:cs="Times New Roman"/>
          <w:spacing w:val="5"/>
        </w:rPr>
        <w:t>在资金使用中严格执行国家财务管理制度，编制专项报表，严格</w:t>
      </w:r>
      <w:r>
        <w:rPr>
          <w:rFonts w:hint="default" w:ascii="Times New Roman" w:hAnsi="Times New Roman" w:cs="Times New Roman"/>
          <w:spacing w:val="6"/>
        </w:rPr>
        <w:t>资金的审批和使用，资金使用规范，会计核算结果真实、准确，</w:t>
      </w:r>
      <w:r>
        <w:rPr>
          <w:rFonts w:hint="default" w:ascii="Times New Roman" w:hAnsi="Times New Roman" w:cs="Times New Roman"/>
          <w:spacing w:val="9"/>
        </w:rPr>
        <w:t>自评过程中未发现有截留、挤占或挪用项目资金的情况</w:t>
      </w:r>
      <w:r>
        <w:rPr>
          <w:rFonts w:hint="default" w:ascii="Times New Roman" w:hAnsi="Times New Roman" w:cs="Times New Roman"/>
          <w:spacing w:val="9"/>
          <w:lang w:eastAsia="zh-CN"/>
        </w:rPr>
        <w:t>。</w:t>
      </w:r>
    </w:p>
    <w:p w14:paraId="0A13C278">
      <w:pPr>
        <w:pStyle w:val="7"/>
        <w:spacing w:before="191" w:line="276" w:lineRule="auto"/>
        <w:ind w:left="15" w:right="40" w:firstLine="620"/>
        <w:rPr>
          <w:rFonts w:hint="default" w:ascii="Times New Roman" w:hAnsi="Times New Roman" w:cs="Times New Roman"/>
        </w:rPr>
      </w:pPr>
      <w:r>
        <w:rPr>
          <w:rFonts w:hint="default" w:ascii="Times New Roman" w:hAnsi="Times New Roman" w:eastAsia="楷体_GB2312" w:cs="Times New Roman"/>
          <w:b/>
          <w:sz w:val="32"/>
          <w:szCs w:val="32"/>
          <w:lang w:val="zh-CN"/>
        </w:rPr>
        <w:t>（三）评价选点。</w:t>
      </w:r>
      <w:r>
        <w:rPr>
          <w:rFonts w:hint="default" w:ascii="Times New Roman" w:hAnsi="Times New Roman" w:cs="Times New Roman"/>
          <w:spacing w:val="1"/>
        </w:rPr>
        <w:t>本项目</w:t>
      </w:r>
      <w:r>
        <w:rPr>
          <w:rFonts w:hint="default" w:ascii="Times New Roman" w:hAnsi="Times New Roman" w:cs="Times New Roman"/>
          <w:spacing w:val="-70"/>
        </w:rPr>
        <w:t xml:space="preserve"> </w:t>
      </w:r>
      <w:r>
        <w:rPr>
          <w:rFonts w:hint="default" w:ascii="Times New Roman" w:hAnsi="Times New Roman" w:cs="Times New Roman"/>
          <w:spacing w:val="1"/>
        </w:rPr>
        <w:t>目标相对单一，分局落实专人全程</w:t>
      </w:r>
      <w:r>
        <w:rPr>
          <w:rFonts w:hint="default" w:ascii="Times New Roman" w:hAnsi="Times New Roman" w:cs="Times New Roman"/>
        </w:rPr>
        <w:t xml:space="preserve"> </w:t>
      </w:r>
      <w:r>
        <w:rPr>
          <w:rFonts w:hint="default" w:ascii="Times New Roman" w:hAnsi="Times New Roman" w:cs="Times New Roman"/>
          <w:spacing w:val="8"/>
        </w:rPr>
        <w:t>开展采购工作，实时跟踪汇报项目建设进度。</w:t>
      </w:r>
    </w:p>
    <w:p w14:paraId="29B4F2B8">
      <w:pPr>
        <w:pStyle w:val="7"/>
        <w:spacing w:before="6" w:line="310" w:lineRule="auto"/>
        <w:ind w:left="9" w:firstLine="626"/>
        <w:rPr>
          <w:rFonts w:hint="default" w:ascii="Times New Roman" w:hAnsi="Times New Roman" w:eastAsia="楷体_GB2312" w:cs="Times New Roman"/>
          <w:b/>
          <w:sz w:val="32"/>
          <w:szCs w:val="32"/>
          <w:lang w:val="zh-CN"/>
        </w:rPr>
      </w:pPr>
    </w:p>
    <w:p w14:paraId="5EEB429F">
      <w:pPr>
        <w:spacing w:line="578" w:lineRule="exact"/>
        <w:ind w:firstLine="640"/>
        <w:rPr>
          <w:rFonts w:hint="default" w:ascii="Times New Roman" w:hAnsi="Times New Roman" w:eastAsia="仿宋_GB2312" w:cs="Times New Roman"/>
          <w:spacing w:val="8"/>
          <w:kern w:val="0"/>
          <w:sz w:val="30"/>
          <w:szCs w:val="24"/>
          <w:lang w:val="en-US" w:eastAsia="zh-CN" w:bidi="ar-SA"/>
        </w:rPr>
      </w:pPr>
      <w:r>
        <w:rPr>
          <w:rFonts w:hint="default" w:ascii="Times New Roman" w:hAnsi="Times New Roman" w:eastAsia="楷体_GB2312" w:cs="Times New Roman"/>
          <w:b/>
          <w:sz w:val="32"/>
          <w:szCs w:val="32"/>
          <w:lang w:val="zh-CN"/>
        </w:rPr>
        <w:t>（四）评价方法。</w:t>
      </w:r>
      <w:r>
        <w:rPr>
          <w:rFonts w:hint="default" w:ascii="Times New Roman" w:hAnsi="Times New Roman" w:eastAsia="仿宋_GB2312" w:cs="Times New Roman"/>
          <w:spacing w:val="8"/>
          <w:kern w:val="0"/>
          <w:sz w:val="30"/>
          <w:szCs w:val="24"/>
          <w:lang w:val="en-US" w:eastAsia="zh-CN" w:bidi="ar-SA"/>
        </w:rPr>
        <w:t>分局组织采购小组及验收小组，查阅项目，财务及管理等相关资料，对其审核分析。</w:t>
      </w:r>
    </w:p>
    <w:p w14:paraId="188842F1">
      <w:pPr>
        <w:spacing w:line="578" w:lineRule="exact"/>
        <w:ind w:firstLine="640"/>
        <w:rPr>
          <w:rFonts w:hint="default" w:ascii="Times New Roman" w:hAnsi="Times New Roman" w:eastAsia="仿宋_GB2312" w:cs="Times New Roman"/>
          <w:bCs/>
        </w:rPr>
      </w:pPr>
      <w:r>
        <w:rPr>
          <w:rFonts w:hint="default" w:ascii="Times New Roman" w:hAnsi="Times New Roman" w:eastAsia="楷体_GB2312" w:cs="Times New Roman"/>
          <w:b/>
          <w:sz w:val="32"/>
          <w:szCs w:val="32"/>
          <w:lang w:val="zh-CN"/>
        </w:rPr>
        <w:t>（五）评价组织。</w:t>
      </w:r>
      <w:r>
        <w:rPr>
          <w:rFonts w:hint="default" w:ascii="Times New Roman" w:hAnsi="Times New Roman" w:eastAsia="仿宋_GB2312" w:cs="Times New Roman"/>
          <w:spacing w:val="8"/>
          <w:kern w:val="0"/>
          <w:sz w:val="30"/>
          <w:szCs w:val="24"/>
          <w:lang w:val="en-US" w:eastAsia="zh-CN" w:bidi="ar-SA"/>
        </w:rPr>
        <w:t>根据财政绩效评价要求，由局办公室牵头，相关部室参与配合，绩效评价遵循科学规范原、公正公开原则，统一安排部署省级财政林业草原生态保护恢复（国家公园补助）资金项目管理，有序推进省级财政资金项目绩效评价工作。办公室（财务室）负责审核项目资金及凭证，建设管理部、法规督查部、栖息地保护部现场查看项目建设进度，查阅项目建设资料</w:t>
      </w:r>
      <w:r>
        <w:rPr>
          <w:rFonts w:hint="default" w:ascii="Times New Roman" w:hAnsi="Times New Roman" w:eastAsia="仿宋_GB2312" w:cs="Times New Roman"/>
          <w:kern w:val="0"/>
          <w:sz w:val="32"/>
          <w:szCs w:val="32"/>
          <w:lang w:val="zh-CN"/>
        </w:rPr>
        <w:t>。</w:t>
      </w:r>
    </w:p>
    <w:p w14:paraId="7C3296B0">
      <w:pPr>
        <w:adjustRightInd w:val="0"/>
        <w:snapToGrid w:val="0"/>
        <w:spacing w:line="578" w:lineRule="exact"/>
        <w:ind w:firstLine="640" w:firstLineChars="200"/>
        <w:rPr>
          <w:rFonts w:hint="default" w:ascii="Times New Roman" w:hAnsi="Times New Roman" w:cs="Times New Roman"/>
          <w:sz w:val="32"/>
          <w:szCs w:val="32"/>
          <w:lang w:val="zh-CN"/>
        </w:rPr>
      </w:pPr>
      <w:r>
        <w:rPr>
          <w:rFonts w:hint="default" w:ascii="Times New Roman" w:hAnsi="Times New Roman" w:eastAsia="黑体" w:cs="Times New Roman"/>
          <w:sz w:val="32"/>
          <w:szCs w:val="32"/>
        </w:rPr>
        <w:t>三、绩效分析</w:t>
      </w:r>
      <w:r>
        <w:rPr>
          <w:rFonts w:hint="default" w:ascii="Times New Roman" w:hAnsi="Times New Roman" w:cs="Times New Roman"/>
          <w:sz w:val="32"/>
          <w:szCs w:val="32"/>
          <w:lang w:val="zh-CN"/>
        </w:rPr>
        <w:tab/>
      </w:r>
    </w:p>
    <w:p w14:paraId="290BD1FC">
      <w:pPr>
        <w:spacing w:line="578" w:lineRule="exact"/>
        <w:ind w:firstLine="64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zh-CN"/>
        </w:rPr>
        <w:t>根据项目预算绩效评价指标体系通用指标、专用指标、个性指标涉及二、三级指标进行逐项绩效分析并评分</w:t>
      </w:r>
      <w:r>
        <w:rPr>
          <w:rFonts w:hint="default" w:ascii="Times New Roman" w:hAnsi="Times New Roman" w:eastAsia="仿宋_GB2312" w:cs="Times New Roman"/>
          <w:kern w:val="0"/>
          <w:sz w:val="32"/>
          <w:szCs w:val="32"/>
        </w:rPr>
        <w:t>。</w:t>
      </w:r>
    </w:p>
    <w:p w14:paraId="2A7FE50F">
      <w:pPr>
        <w:spacing w:line="578" w:lineRule="exact"/>
        <w:ind w:firstLine="64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lang w:val="zh-CN"/>
        </w:rPr>
        <w:t>（一）</w:t>
      </w:r>
      <w:r>
        <w:rPr>
          <w:rFonts w:hint="default" w:ascii="Times New Roman" w:hAnsi="Times New Roman" w:eastAsia="楷体_GB2312" w:cs="Times New Roman"/>
          <w:b/>
          <w:sz w:val="32"/>
          <w:szCs w:val="32"/>
        </w:rPr>
        <w:t>通用指标</w:t>
      </w:r>
      <w:r>
        <w:rPr>
          <w:rFonts w:hint="default" w:ascii="Times New Roman" w:hAnsi="Times New Roman" w:eastAsia="楷体_GB2312" w:cs="Times New Roman"/>
          <w:b/>
          <w:bCs/>
          <w:color w:val="000000"/>
          <w:kern w:val="0"/>
          <w:sz w:val="32"/>
          <w:szCs w:val="32"/>
          <w:shd w:val="clear" w:color="auto" w:fill="FFFFFF"/>
          <w:lang w:val="zh-CN"/>
        </w:rPr>
        <w:t>绩效分析。</w:t>
      </w:r>
    </w:p>
    <w:p w14:paraId="7D718F4C">
      <w:pPr>
        <w:pStyle w:val="7"/>
        <w:spacing w:before="185" w:line="315" w:lineRule="auto"/>
        <w:ind w:right="110" w:firstLine="655"/>
        <w:rPr>
          <w:rFonts w:hint="default" w:ascii="Times New Roman" w:hAnsi="Times New Roman" w:cs="Times New Roman"/>
          <w:spacing w:val="7"/>
          <w:lang w:val="zh-CN"/>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zh-CN"/>
        </w:rPr>
        <w:t>项目决策。</w:t>
      </w:r>
      <w:r>
        <w:rPr>
          <w:rFonts w:hint="default" w:ascii="Times New Roman" w:hAnsi="Times New Roman" w:cs="Times New Roman"/>
          <w:spacing w:val="7"/>
        </w:rPr>
        <w:t>大熊猫国家公园阿坝片区野外巡护终端采购项 目资金来源为2023年省级财政林业草原生态保护恢复国家公园补助资金。分局栖息地保护部根据年度工作安排编制《2023年度大熊猫国家公园阿坝管理分局巡护终端采购方案》，经局党组研究审议通过，对项目安全、保密、质量、管理、工期等方面特别做了强调及要求。</w:t>
      </w:r>
    </w:p>
    <w:p w14:paraId="234665CA">
      <w:pPr>
        <w:spacing w:line="578" w:lineRule="exact"/>
        <w:ind w:firstLine="640"/>
        <w:rPr>
          <w:rFonts w:hint="default" w:ascii="Times New Roman" w:hAnsi="Times New Roman" w:eastAsia="仿宋_GB2312" w:cs="Times New Roman"/>
          <w:spacing w:val="7"/>
          <w:kern w:val="0"/>
          <w:sz w:val="30"/>
          <w:szCs w:val="24"/>
          <w:lang w:val="en-US" w:eastAsia="zh-CN" w:bidi="ar-SA"/>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val="zh-CN"/>
        </w:rPr>
        <w:t>项目管理。</w:t>
      </w:r>
      <w:r>
        <w:rPr>
          <w:rFonts w:hint="default" w:ascii="Times New Roman" w:hAnsi="Times New Roman" w:eastAsia="仿宋_GB2312" w:cs="Times New Roman"/>
          <w:spacing w:val="7"/>
          <w:kern w:val="0"/>
          <w:sz w:val="30"/>
          <w:szCs w:val="24"/>
          <w:lang w:val="en-US" w:eastAsia="zh-CN" w:bidi="ar-SA"/>
        </w:rPr>
        <w:t>严格按照《阿坝州林业和草原建设项目管理办 法》《大熊猫国家公园阿坝片区项目申报立项流程图》《大熊猫国 家公园阿坝片区项目管理流程图》做好项目申报及管理工作。项目总投资50万元，已完成支付。</w:t>
      </w:r>
    </w:p>
    <w:p w14:paraId="2A9A9D62">
      <w:pPr>
        <w:spacing w:line="578" w:lineRule="exact"/>
        <w:ind w:firstLine="640"/>
        <w:rPr>
          <w:rFonts w:hint="default" w:ascii="Times New Roman" w:hAnsi="Times New Roman" w:eastAsia="仿宋_GB2312" w:cs="Times New Roman"/>
          <w:spacing w:val="7"/>
          <w:kern w:val="0"/>
          <w:sz w:val="30"/>
          <w:szCs w:val="24"/>
          <w:lang w:val="zh-CN" w:eastAsia="zh-CN" w:bidi="ar-SA"/>
        </w:rPr>
      </w:pPr>
      <w:r>
        <w:rPr>
          <w:rFonts w:hint="default" w:ascii="Times New Roman" w:hAnsi="Times New Roman" w:eastAsia="仿宋_GB2312" w:cs="Times New Roman"/>
          <w:kern w:val="0"/>
          <w:sz w:val="32"/>
          <w:szCs w:val="32"/>
        </w:rPr>
        <w:t>3.项目实施。</w:t>
      </w:r>
      <w:r>
        <w:rPr>
          <w:rFonts w:hint="default" w:ascii="Times New Roman" w:hAnsi="Times New Roman" w:eastAsia="仿宋_GB2312" w:cs="Times New Roman"/>
          <w:spacing w:val="7"/>
          <w:kern w:val="0"/>
          <w:sz w:val="30"/>
          <w:szCs w:val="24"/>
          <w:lang w:val="en-US" w:eastAsia="zh-CN" w:bidi="ar-SA"/>
        </w:rPr>
        <w:t>招标代理公司于2024年6月3日在四川省政府采购网发布公告，2024年6月7日10：00（北京时间）组织响应采购的18家公司在成都市高新区吉泰五路香年广场T3写字楼 44楼开标中心开标。四川青骄科技有限责任公司以399880元（大写：叁拾玖万玖仟捌佰捌拾元整）低价中标。6月25日，招标代理公司收到四川青矜之志科技有限公司质疑，我局立即暂停后续合同签订，责令招标代理公司立即调查相关投诉内容并答复</w:t>
      </w:r>
      <w:r>
        <w:rPr>
          <w:rFonts w:hint="default" w:ascii="Times New Roman" w:hAnsi="Times New Roman" w:eastAsia="仿宋_GB2312" w:cs="Times New Roman"/>
          <w:spacing w:val="7"/>
          <w:kern w:val="0"/>
          <w:sz w:val="30"/>
          <w:szCs w:val="24"/>
          <w:lang w:val="zh-CN" w:eastAsia="zh-CN" w:bidi="ar-SA"/>
        </w:rPr>
        <w:t>。</w:t>
      </w:r>
    </w:p>
    <w:p w14:paraId="218383A8">
      <w:pPr>
        <w:spacing w:line="578" w:lineRule="exact"/>
        <w:ind w:firstLine="640"/>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rPr>
        <w:t>4.项目结果。</w:t>
      </w:r>
      <w:r>
        <w:rPr>
          <w:rFonts w:hint="default" w:ascii="Times New Roman" w:hAnsi="Times New Roman" w:eastAsia="仿宋_GB2312" w:cs="Times New Roman"/>
          <w:spacing w:val="7"/>
          <w:kern w:val="0"/>
          <w:sz w:val="30"/>
          <w:szCs w:val="24"/>
          <w:lang w:val="en-US" w:eastAsia="zh-CN" w:bidi="ar-SA"/>
        </w:rPr>
        <w:t>项目已按照程序于2024年9月实施完成</w:t>
      </w:r>
      <w:r>
        <w:rPr>
          <w:rFonts w:hint="default" w:ascii="Times New Roman" w:hAnsi="Times New Roman" w:eastAsia="仿宋_GB2312" w:cs="Times New Roman"/>
          <w:spacing w:val="7"/>
          <w:kern w:val="0"/>
          <w:sz w:val="30"/>
          <w:szCs w:val="24"/>
          <w:lang w:val="zh-CN" w:eastAsia="zh-CN" w:bidi="ar-SA"/>
        </w:rPr>
        <w:t>。</w:t>
      </w:r>
    </w:p>
    <w:p w14:paraId="78AA4143">
      <w:pPr>
        <w:pStyle w:val="7"/>
        <w:spacing w:before="187" w:line="305" w:lineRule="auto"/>
        <w:ind w:left="3" w:right="43" w:firstLine="634"/>
        <w:rPr>
          <w:rFonts w:hint="default" w:ascii="Times New Roman" w:hAnsi="Times New Roman" w:cs="Times New Roman"/>
          <w:spacing w:val="8"/>
        </w:rPr>
      </w:pPr>
      <w:r>
        <w:rPr>
          <w:rFonts w:hint="default" w:ascii="Times New Roman" w:hAnsi="Times New Roman" w:eastAsia="楷体_GB2312" w:cs="Times New Roman"/>
          <w:b/>
          <w:sz w:val="32"/>
          <w:szCs w:val="32"/>
          <w:lang w:val="zh-CN"/>
        </w:rPr>
        <w:t>（二）</w:t>
      </w:r>
      <w:r>
        <w:rPr>
          <w:rFonts w:hint="default" w:ascii="Times New Roman" w:hAnsi="Times New Roman" w:eastAsia="楷体_GB2312" w:cs="Times New Roman"/>
          <w:b/>
          <w:sz w:val="32"/>
          <w:szCs w:val="32"/>
        </w:rPr>
        <w:t>专用指标</w:t>
      </w:r>
      <w:r>
        <w:rPr>
          <w:rFonts w:hint="default" w:ascii="Times New Roman" w:hAnsi="Times New Roman" w:eastAsia="楷体_GB2312" w:cs="Times New Roman"/>
          <w:b/>
          <w:bCs/>
          <w:color w:val="000000"/>
          <w:kern w:val="0"/>
          <w:sz w:val="32"/>
          <w:szCs w:val="32"/>
          <w:shd w:val="clear" w:color="auto" w:fill="FFFFFF"/>
          <w:lang w:val="zh-CN"/>
        </w:rPr>
        <w:t>绩效分析。</w:t>
      </w:r>
      <w:r>
        <w:rPr>
          <w:rFonts w:hint="default" w:ascii="Times New Roman" w:hAnsi="Times New Roman" w:cs="Times New Roman"/>
          <w:spacing w:val="4"/>
        </w:rPr>
        <w:t>执行过程中，严格</w:t>
      </w:r>
      <w:r>
        <w:rPr>
          <w:rFonts w:hint="default" w:ascii="Times New Roman" w:hAnsi="Times New Roman" w:cs="Times New Roman"/>
          <w:spacing w:val="3"/>
        </w:rPr>
        <w:t>按照管理办法</w:t>
      </w:r>
      <w:r>
        <w:rPr>
          <w:rFonts w:hint="default" w:ascii="Times New Roman" w:hAnsi="Times New Roman" w:cs="Times New Roman"/>
        </w:rPr>
        <w:t xml:space="preserve"> </w:t>
      </w:r>
      <w:r>
        <w:rPr>
          <w:rFonts w:hint="default" w:ascii="Times New Roman" w:hAnsi="Times New Roman" w:cs="Times New Roman"/>
          <w:spacing w:val="7"/>
        </w:rPr>
        <w:t>相关要求，在充分考虑卫星电话市场情况、合理应用基础数据、</w:t>
      </w:r>
      <w:r>
        <w:rPr>
          <w:rFonts w:hint="default" w:ascii="Times New Roman" w:hAnsi="Times New Roman" w:cs="Times New Roman"/>
          <w:spacing w:val="5"/>
        </w:rPr>
        <w:t>科学选取测算依据，分配结果公平合理。政策实施对象中不存在</w:t>
      </w:r>
      <w:r>
        <w:rPr>
          <w:rFonts w:hint="default" w:ascii="Times New Roman" w:hAnsi="Times New Roman" w:cs="Times New Roman"/>
          <w:spacing w:val="8"/>
        </w:rPr>
        <w:t>明显不合理的排他性规定。</w:t>
      </w:r>
    </w:p>
    <w:p w14:paraId="6272E2C2">
      <w:pPr>
        <w:spacing w:line="578" w:lineRule="exact"/>
        <w:ind w:firstLine="640"/>
        <w:rPr>
          <w:rFonts w:hint="default" w:ascii="Times New Roman" w:hAnsi="Times New Roman" w:eastAsia="仿宋_GB2312" w:cs="Times New Roman"/>
          <w:spacing w:val="7"/>
          <w:kern w:val="0"/>
          <w:sz w:val="30"/>
          <w:szCs w:val="24"/>
          <w:lang w:val="en-US" w:eastAsia="zh-CN" w:bidi="ar-SA"/>
        </w:rPr>
      </w:pPr>
      <w:r>
        <w:rPr>
          <w:rFonts w:hint="default" w:ascii="Times New Roman" w:hAnsi="Times New Roman" w:eastAsia="楷体_GB2312" w:cs="Times New Roman"/>
          <w:b/>
          <w:sz w:val="32"/>
          <w:szCs w:val="32"/>
          <w:lang w:val="zh-CN"/>
        </w:rPr>
        <w:t>（三）</w:t>
      </w:r>
      <w:r>
        <w:rPr>
          <w:rFonts w:hint="default" w:ascii="Times New Roman" w:hAnsi="Times New Roman" w:eastAsia="楷体_GB2312" w:cs="Times New Roman"/>
          <w:b/>
          <w:sz w:val="32"/>
          <w:szCs w:val="32"/>
        </w:rPr>
        <w:t>个性指标</w:t>
      </w:r>
      <w:r>
        <w:rPr>
          <w:rFonts w:hint="default" w:ascii="Times New Roman" w:hAnsi="Times New Roman" w:eastAsia="楷体_GB2312" w:cs="Times New Roman"/>
          <w:b/>
          <w:bCs/>
          <w:color w:val="000000"/>
          <w:kern w:val="0"/>
          <w:sz w:val="32"/>
          <w:szCs w:val="32"/>
          <w:shd w:val="clear" w:color="auto" w:fill="FFFFFF"/>
          <w:lang w:val="zh-CN"/>
        </w:rPr>
        <w:t>绩效分析。</w:t>
      </w:r>
      <w:r>
        <w:rPr>
          <w:rFonts w:hint="default" w:ascii="Times New Roman" w:hAnsi="Times New Roman" w:eastAsia="仿宋_GB2312" w:cs="Times New Roman"/>
          <w:spacing w:val="7"/>
          <w:kern w:val="0"/>
          <w:sz w:val="30"/>
          <w:szCs w:val="24"/>
          <w:lang w:val="en-US" w:eastAsia="zh-CN" w:bidi="ar-SA"/>
        </w:rPr>
        <w:t>2024年9月底完成项目建设， 保障阿坝片区巡护人员安全。</w:t>
      </w:r>
    </w:p>
    <w:p w14:paraId="1172FA7F">
      <w:pPr>
        <w:spacing w:line="578" w:lineRule="exact"/>
        <w:ind w:firstLine="64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四、评价结论</w:t>
      </w:r>
    </w:p>
    <w:p w14:paraId="42510B41">
      <w:pPr>
        <w:spacing w:line="578" w:lineRule="exact"/>
        <w:ind w:firstLine="640"/>
        <w:rPr>
          <w:rFonts w:hint="default" w:ascii="Times New Roman" w:hAnsi="Times New Roman" w:eastAsia="仿宋_GB2312" w:cs="Times New Roman"/>
          <w:spacing w:val="7"/>
          <w:kern w:val="0"/>
          <w:sz w:val="30"/>
          <w:szCs w:val="24"/>
          <w:lang w:val="en-US" w:eastAsia="zh-CN" w:bidi="ar-SA"/>
        </w:rPr>
      </w:pPr>
      <w:r>
        <w:rPr>
          <w:rFonts w:hint="default" w:ascii="Times New Roman" w:hAnsi="Times New Roman" w:eastAsia="仿宋_GB2312" w:cs="Times New Roman"/>
          <w:spacing w:val="7"/>
          <w:kern w:val="0"/>
          <w:sz w:val="30"/>
          <w:szCs w:val="24"/>
          <w:lang w:val="en-US" w:eastAsia="zh-CN" w:bidi="ar-SA"/>
        </w:rPr>
        <w:t>从综合评价来看，项目立项依据充分，均设定了项目绩效目标，资金配置科学合理，严格项目管理，按规定履行报批手续，制定了实施方案，细化任务并明确绩效目标，经局党组会议研究 同意后实施。涉及采购的严格按照政府采购相关程序执行，建设、验收等严格执行相关制度规定。整体情况良好。</w:t>
      </w:r>
    </w:p>
    <w:p w14:paraId="09C04850">
      <w:pPr>
        <w:spacing w:line="578" w:lineRule="exact"/>
        <w:ind w:firstLine="64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五、存在主要问题</w:t>
      </w:r>
    </w:p>
    <w:p w14:paraId="3017D37D">
      <w:pPr>
        <w:spacing w:line="578" w:lineRule="exact"/>
        <w:ind w:firstLine="640"/>
        <w:rPr>
          <w:rFonts w:hint="default" w:ascii="Times New Roman" w:hAnsi="Times New Roman" w:eastAsia="仿宋_GB2312" w:cs="Times New Roman"/>
          <w:spacing w:val="7"/>
          <w:kern w:val="0"/>
          <w:sz w:val="30"/>
          <w:szCs w:val="24"/>
          <w:lang w:val="en-US" w:eastAsia="zh-CN" w:bidi="ar-SA"/>
        </w:rPr>
      </w:pPr>
      <w:r>
        <w:rPr>
          <w:rFonts w:hint="default" w:ascii="Times New Roman" w:hAnsi="Times New Roman" w:eastAsia="仿宋_GB2312" w:cs="Times New Roman"/>
          <w:spacing w:val="7"/>
          <w:kern w:val="0"/>
          <w:sz w:val="30"/>
          <w:szCs w:val="24"/>
          <w:lang w:val="en-US" w:eastAsia="zh-CN" w:bidi="ar-SA"/>
        </w:rPr>
        <w:t>该资金于2023年8月下达，资金到位时间有所滞后，加之两次流标，导致后续相关工作无法及时开展。</w:t>
      </w:r>
    </w:p>
    <w:p w14:paraId="46823B19">
      <w:pPr>
        <w:spacing w:line="578" w:lineRule="exact"/>
        <w:ind w:firstLine="640"/>
        <w:rPr>
          <w:rFonts w:hint="default" w:ascii="Times New Roman" w:hAnsi="Times New Roman" w:eastAsia="黑体" w:cs="Times New Roman"/>
          <w:kern w:val="0"/>
          <w:sz w:val="32"/>
          <w:szCs w:val="32"/>
          <w:lang w:val="zh-CN"/>
        </w:rPr>
      </w:pPr>
      <w:r>
        <w:rPr>
          <w:rFonts w:hint="default" w:ascii="Times New Roman" w:hAnsi="Times New Roman" w:eastAsia="黑体" w:cs="Times New Roman"/>
          <w:kern w:val="0"/>
          <w:sz w:val="32"/>
          <w:szCs w:val="32"/>
          <w:lang w:val="zh-CN"/>
        </w:rPr>
        <w:t>六、改进建议</w:t>
      </w:r>
    </w:p>
    <w:p w14:paraId="7A3DE6B8">
      <w:pPr>
        <w:spacing w:line="578" w:lineRule="exact"/>
        <w:ind w:firstLine="640"/>
        <w:rPr>
          <w:rFonts w:hint="default" w:ascii="Times New Roman" w:hAnsi="Times New Roman" w:eastAsia="仿宋_GB2312" w:cs="Times New Roman"/>
          <w:kern w:val="0"/>
          <w:sz w:val="32"/>
          <w:szCs w:val="32"/>
        </w:rPr>
      </w:pPr>
      <w:r>
        <w:rPr>
          <w:rFonts w:hint="default" w:ascii="Times New Roman" w:hAnsi="Times New Roman" w:eastAsia="仿宋_GB2312" w:cs="Times New Roman"/>
          <w:spacing w:val="7"/>
          <w:kern w:val="0"/>
          <w:sz w:val="30"/>
          <w:szCs w:val="24"/>
          <w:lang w:val="en-US" w:eastAsia="zh-CN" w:bidi="ar-SA"/>
        </w:rPr>
        <w:t>严格按照文件要求，保证建设资金正常使用。</w:t>
      </w:r>
    </w:p>
    <w:p w14:paraId="4237FA01">
      <w:pPr>
        <w:spacing w:line="578" w:lineRule="exact"/>
        <w:ind w:firstLine="640"/>
        <w:rPr>
          <w:rFonts w:hint="default" w:ascii="Times New Roman" w:hAnsi="Times New Roman" w:eastAsia="仿宋_GB2312" w:cs="Times New Roman"/>
          <w:kern w:val="0"/>
          <w:sz w:val="32"/>
          <w:szCs w:val="32"/>
        </w:rPr>
      </w:pPr>
    </w:p>
    <w:p w14:paraId="661ABCB3">
      <w:pPr>
        <w:spacing w:line="578" w:lineRule="exact"/>
        <w:ind w:firstLine="640"/>
        <w:rPr>
          <w:rFonts w:hint="default" w:ascii="Times New Roman" w:hAnsi="Times New Roman" w:eastAsia="仿宋_GB2312" w:cs="Times New Roman"/>
          <w:kern w:val="0"/>
          <w:sz w:val="32"/>
          <w:szCs w:val="32"/>
        </w:rPr>
      </w:pPr>
      <w:bookmarkStart w:id="57" w:name="_Toc15396618"/>
      <w:r>
        <w:rPr>
          <w:rFonts w:hint="default" w:ascii="Times New Roman" w:hAnsi="Times New Roman" w:eastAsia="仿宋_GB2312" w:cs="Times New Roman"/>
          <w:kern w:val="0"/>
          <w:sz w:val="32"/>
          <w:szCs w:val="32"/>
        </w:rPr>
        <w:br w:type="page"/>
      </w:r>
    </w:p>
    <w:p w14:paraId="7BE27C7C">
      <w:pPr>
        <w:widowControl/>
        <w:jc w:val="center"/>
        <w:rPr>
          <w:rFonts w:hint="default" w:ascii="Times New Roman" w:hAnsi="Times New Roman" w:eastAsia="仿宋" w:cs="Times New Roman"/>
        </w:rPr>
      </w:pPr>
      <w:r>
        <w:rPr>
          <w:rFonts w:hint="default" w:ascii="Times New Roman" w:hAnsi="Times New Roman" w:eastAsia="黑体" w:cs="Times New Roman"/>
          <w:sz w:val="44"/>
          <w:szCs w:val="44"/>
        </w:rPr>
        <w:t>第</w:t>
      </w:r>
      <w:r>
        <w:rPr>
          <w:rStyle w:val="31"/>
          <w:rFonts w:hint="default" w:ascii="Times New Roman" w:hAnsi="Times New Roman" w:eastAsia="黑体" w:cs="Times New Roman"/>
          <w:b w:val="0"/>
        </w:rPr>
        <w:t>五部分 附表</w:t>
      </w:r>
      <w:bookmarkEnd w:id="53"/>
      <w:bookmarkEnd w:id="57"/>
      <w:bookmarkStart w:id="58" w:name="_Toc15396619"/>
    </w:p>
    <w:p w14:paraId="227BAD2B">
      <w:pPr>
        <w:pStyle w:val="16"/>
        <w:adjustRightInd w:val="0"/>
        <w:snapToGrid w:val="0"/>
        <w:spacing w:line="560" w:lineRule="exact"/>
        <w:jc w:val="left"/>
        <w:rPr>
          <w:rFonts w:hint="default" w:ascii="Times New Roman" w:hAnsi="Times New Roman" w:eastAsia="仿宋_GB2312" w:cs="Times New Roman"/>
          <w:sz w:val="32"/>
          <w:szCs w:val="32"/>
        </w:rPr>
      </w:pPr>
    </w:p>
    <w:p w14:paraId="09ED9CFC">
      <w:pPr>
        <w:pStyle w:val="16"/>
        <w:adjustRightInd w:val="0"/>
        <w:snapToGrid w:val="0"/>
        <w:spacing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bookmarkEnd w:id="58"/>
    </w:p>
    <w:p w14:paraId="5254CF88">
      <w:pPr>
        <w:pStyle w:val="16"/>
        <w:adjustRightInd w:val="0"/>
        <w:snapToGrid w:val="0"/>
        <w:spacing w:line="560" w:lineRule="exact"/>
        <w:jc w:val="left"/>
        <w:rPr>
          <w:rFonts w:hint="default" w:ascii="Times New Roman" w:hAnsi="Times New Roman" w:eastAsia="仿宋_GB2312" w:cs="Times New Roman"/>
          <w:sz w:val="32"/>
          <w:szCs w:val="32"/>
        </w:rPr>
      </w:pPr>
      <w:bookmarkStart w:id="59" w:name="_Toc15396620"/>
      <w:r>
        <w:rPr>
          <w:rFonts w:hint="default" w:ascii="Times New Roman" w:hAnsi="Times New Roman" w:eastAsia="仿宋_GB2312" w:cs="Times New Roman"/>
          <w:sz w:val="32"/>
          <w:szCs w:val="32"/>
        </w:rPr>
        <w:t>二、收入决算表</w:t>
      </w:r>
      <w:bookmarkEnd w:id="59"/>
    </w:p>
    <w:p w14:paraId="2F5F2926">
      <w:pPr>
        <w:pStyle w:val="16"/>
        <w:adjustRightInd w:val="0"/>
        <w:snapToGrid w:val="0"/>
        <w:spacing w:line="560" w:lineRule="exact"/>
        <w:jc w:val="left"/>
        <w:rPr>
          <w:rFonts w:hint="default" w:ascii="Times New Roman" w:hAnsi="Times New Roman" w:eastAsia="仿宋_GB2312" w:cs="Times New Roman"/>
          <w:sz w:val="32"/>
          <w:szCs w:val="32"/>
        </w:rPr>
      </w:pPr>
      <w:bookmarkStart w:id="60" w:name="_Toc15396621"/>
      <w:r>
        <w:rPr>
          <w:rFonts w:hint="default" w:ascii="Times New Roman" w:hAnsi="Times New Roman" w:eastAsia="仿宋_GB2312" w:cs="Times New Roman"/>
          <w:sz w:val="32"/>
          <w:szCs w:val="32"/>
        </w:rPr>
        <w:t>三、支出决算表</w:t>
      </w:r>
      <w:bookmarkEnd w:id="60"/>
    </w:p>
    <w:p w14:paraId="6246EB0A">
      <w:pPr>
        <w:pStyle w:val="16"/>
        <w:adjustRightInd w:val="0"/>
        <w:snapToGrid w:val="0"/>
        <w:spacing w:line="560" w:lineRule="exact"/>
        <w:jc w:val="left"/>
        <w:rPr>
          <w:rFonts w:hint="default" w:ascii="Times New Roman" w:hAnsi="Times New Roman" w:eastAsia="仿宋_GB2312" w:cs="Times New Roman"/>
          <w:sz w:val="32"/>
          <w:szCs w:val="32"/>
        </w:rPr>
      </w:pPr>
      <w:bookmarkStart w:id="61" w:name="_Toc15396622"/>
      <w:r>
        <w:rPr>
          <w:rFonts w:hint="default" w:ascii="Times New Roman" w:hAnsi="Times New Roman" w:eastAsia="仿宋_GB2312" w:cs="Times New Roman"/>
          <w:sz w:val="32"/>
          <w:szCs w:val="32"/>
        </w:rPr>
        <w:t>四、财政拨款收入支出决算总表</w:t>
      </w:r>
      <w:bookmarkEnd w:id="61"/>
    </w:p>
    <w:p w14:paraId="6BAEB6DE">
      <w:pPr>
        <w:pStyle w:val="16"/>
        <w:adjustRightInd w:val="0"/>
        <w:snapToGrid w:val="0"/>
        <w:spacing w:line="560" w:lineRule="exact"/>
        <w:jc w:val="left"/>
        <w:rPr>
          <w:rFonts w:hint="default" w:ascii="Times New Roman" w:hAnsi="Times New Roman" w:eastAsia="仿宋_GB2312" w:cs="Times New Roman"/>
          <w:sz w:val="32"/>
          <w:szCs w:val="32"/>
        </w:rPr>
      </w:pPr>
      <w:bookmarkStart w:id="62" w:name="_Toc15396623"/>
      <w:r>
        <w:rPr>
          <w:rFonts w:hint="default" w:ascii="Times New Roman" w:hAnsi="Times New Roman" w:eastAsia="仿宋_GB2312" w:cs="Times New Roman"/>
          <w:sz w:val="32"/>
          <w:szCs w:val="32"/>
        </w:rPr>
        <w:t>五、财政拨款支出决算明细表</w:t>
      </w:r>
      <w:bookmarkEnd w:id="62"/>
      <w:bookmarkStart w:id="63" w:name="_Toc15396624"/>
    </w:p>
    <w:p w14:paraId="3D2920E5">
      <w:pPr>
        <w:pStyle w:val="16"/>
        <w:adjustRightInd w:val="0"/>
        <w:snapToGrid w:val="0"/>
        <w:spacing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bookmarkEnd w:id="63"/>
    </w:p>
    <w:p w14:paraId="240F08B6">
      <w:pPr>
        <w:pStyle w:val="16"/>
        <w:adjustRightInd w:val="0"/>
        <w:snapToGrid w:val="0"/>
        <w:spacing w:line="560" w:lineRule="exact"/>
        <w:jc w:val="left"/>
        <w:rPr>
          <w:rFonts w:hint="default" w:ascii="Times New Roman" w:hAnsi="Times New Roman" w:eastAsia="仿宋_GB2312" w:cs="Times New Roman"/>
          <w:sz w:val="32"/>
          <w:szCs w:val="32"/>
        </w:rPr>
      </w:pPr>
      <w:bookmarkStart w:id="64" w:name="_Toc15396625"/>
      <w:r>
        <w:rPr>
          <w:rFonts w:hint="default" w:ascii="Times New Roman" w:hAnsi="Times New Roman" w:eastAsia="仿宋_GB2312" w:cs="Times New Roman"/>
          <w:sz w:val="32"/>
          <w:szCs w:val="32"/>
        </w:rPr>
        <w:t>七、一般公共预算财政拨款支出决算明细表</w:t>
      </w:r>
      <w:bookmarkEnd w:id="64"/>
    </w:p>
    <w:p w14:paraId="2CA8AE20">
      <w:pPr>
        <w:pStyle w:val="16"/>
        <w:adjustRightInd w:val="0"/>
        <w:snapToGrid w:val="0"/>
        <w:spacing w:line="560" w:lineRule="exact"/>
        <w:jc w:val="left"/>
        <w:rPr>
          <w:rFonts w:hint="default" w:ascii="Times New Roman" w:hAnsi="Times New Roman" w:eastAsia="仿宋_GB2312" w:cs="Times New Roman"/>
          <w:sz w:val="32"/>
          <w:szCs w:val="32"/>
        </w:rPr>
      </w:pPr>
      <w:bookmarkStart w:id="65" w:name="_Toc15396626"/>
      <w:r>
        <w:rPr>
          <w:rFonts w:hint="default" w:ascii="Times New Roman" w:hAnsi="Times New Roman" w:eastAsia="仿宋_GB2312" w:cs="Times New Roman"/>
          <w:sz w:val="32"/>
          <w:szCs w:val="32"/>
        </w:rPr>
        <w:t>八、一般公共预算财政拨款基本支出决算表</w:t>
      </w:r>
      <w:bookmarkEnd w:id="65"/>
    </w:p>
    <w:p w14:paraId="1021E5EC">
      <w:pPr>
        <w:pStyle w:val="16"/>
        <w:adjustRightInd w:val="0"/>
        <w:snapToGrid w:val="0"/>
        <w:spacing w:line="560" w:lineRule="exact"/>
        <w:jc w:val="left"/>
        <w:rPr>
          <w:rFonts w:hint="default" w:ascii="Times New Roman" w:hAnsi="Times New Roman" w:eastAsia="仿宋_GB2312" w:cs="Times New Roman"/>
          <w:sz w:val="32"/>
          <w:szCs w:val="32"/>
        </w:rPr>
      </w:pPr>
      <w:bookmarkStart w:id="66" w:name="_Toc15396627"/>
      <w:r>
        <w:rPr>
          <w:rFonts w:hint="default" w:ascii="Times New Roman" w:hAnsi="Times New Roman" w:eastAsia="仿宋_GB2312" w:cs="Times New Roman"/>
          <w:sz w:val="32"/>
          <w:szCs w:val="32"/>
        </w:rPr>
        <w:t>九、一般公共预算财政拨款项目支出决算表</w:t>
      </w:r>
      <w:bookmarkEnd w:id="66"/>
    </w:p>
    <w:p w14:paraId="07043E00">
      <w:pPr>
        <w:pStyle w:val="16"/>
        <w:adjustRightInd w:val="0"/>
        <w:snapToGrid w:val="0"/>
        <w:spacing w:line="560" w:lineRule="exact"/>
        <w:jc w:val="left"/>
        <w:rPr>
          <w:rFonts w:hint="default" w:ascii="Times New Roman" w:hAnsi="Times New Roman" w:eastAsia="仿宋_GB2312" w:cs="Times New Roman"/>
          <w:sz w:val="32"/>
          <w:szCs w:val="32"/>
        </w:rPr>
      </w:pPr>
      <w:bookmarkStart w:id="67" w:name="_Toc15396628"/>
      <w:r>
        <w:rPr>
          <w:rFonts w:hint="default" w:ascii="Times New Roman" w:hAnsi="Times New Roman" w:eastAsia="仿宋_GB2312" w:cs="Times New Roman"/>
          <w:sz w:val="32"/>
          <w:szCs w:val="32"/>
        </w:rPr>
        <w:t>十、</w:t>
      </w:r>
      <w:bookmarkEnd w:id="67"/>
      <w:r>
        <w:rPr>
          <w:rFonts w:hint="default" w:ascii="Times New Roman" w:hAnsi="Times New Roman" w:eastAsia="仿宋_GB2312" w:cs="Times New Roman"/>
          <w:sz w:val="32"/>
          <w:szCs w:val="32"/>
        </w:rPr>
        <w:t>政府性基金预算财政拨款收入支出决算表</w:t>
      </w:r>
    </w:p>
    <w:p w14:paraId="7B15E922">
      <w:pPr>
        <w:pStyle w:val="16"/>
        <w:adjustRightInd w:val="0"/>
        <w:snapToGrid w:val="0"/>
        <w:spacing w:line="560" w:lineRule="exact"/>
        <w:jc w:val="left"/>
        <w:rPr>
          <w:rFonts w:hint="default" w:ascii="Times New Roman" w:hAnsi="Times New Roman" w:eastAsia="仿宋_GB2312" w:cs="Times New Roman"/>
          <w:sz w:val="32"/>
          <w:szCs w:val="32"/>
        </w:rPr>
      </w:pPr>
      <w:bookmarkStart w:id="68" w:name="_Toc15396629"/>
      <w:r>
        <w:rPr>
          <w:rFonts w:hint="default" w:ascii="Times New Roman" w:hAnsi="Times New Roman" w:eastAsia="仿宋_GB2312" w:cs="Times New Roman"/>
          <w:sz w:val="32"/>
          <w:szCs w:val="32"/>
        </w:rPr>
        <w:t>十一、</w:t>
      </w:r>
      <w:bookmarkEnd w:id="68"/>
      <w:r>
        <w:rPr>
          <w:rFonts w:hint="default" w:ascii="Times New Roman" w:hAnsi="Times New Roman" w:eastAsia="仿宋_GB2312" w:cs="Times New Roman"/>
          <w:sz w:val="32"/>
          <w:szCs w:val="32"/>
        </w:rPr>
        <w:t>国有资本经营预算财政拨款收入支出决算表</w:t>
      </w:r>
    </w:p>
    <w:p w14:paraId="0F22F1B4">
      <w:pPr>
        <w:pStyle w:val="16"/>
        <w:adjustRightInd w:val="0"/>
        <w:snapToGrid w:val="0"/>
        <w:spacing w:line="560" w:lineRule="exact"/>
        <w:jc w:val="left"/>
        <w:rPr>
          <w:rFonts w:hint="default" w:ascii="Times New Roman" w:hAnsi="Times New Roman" w:eastAsia="仿宋_GB2312" w:cs="Times New Roman"/>
          <w:sz w:val="32"/>
          <w:szCs w:val="32"/>
        </w:rPr>
      </w:pPr>
      <w:bookmarkStart w:id="69" w:name="_Toc15396630"/>
      <w:r>
        <w:rPr>
          <w:rFonts w:hint="default" w:ascii="Times New Roman" w:hAnsi="Times New Roman" w:eastAsia="仿宋_GB2312" w:cs="Times New Roman"/>
          <w:sz w:val="32"/>
          <w:szCs w:val="32"/>
        </w:rPr>
        <w:t>十二、</w:t>
      </w:r>
      <w:bookmarkEnd w:id="69"/>
      <w:r>
        <w:rPr>
          <w:rFonts w:hint="default" w:ascii="Times New Roman" w:hAnsi="Times New Roman" w:eastAsia="仿宋_GB2312" w:cs="Times New Roman"/>
          <w:sz w:val="32"/>
          <w:szCs w:val="32"/>
        </w:rPr>
        <w:t>国有资本经营预算财政拨款支出决算表</w:t>
      </w:r>
    </w:p>
    <w:p w14:paraId="3D830803">
      <w:pPr>
        <w:pStyle w:val="16"/>
        <w:adjustRightInd w:val="0"/>
        <w:snapToGrid w:val="0"/>
        <w:spacing w:line="560" w:lineRule="exact"/>
        <w:jc w:val="left"/>
        <w:rPr>
          <w:rFonts w:hint="default" w:ascii="Times New Roman" w:hAnsi="Times New Roman" w:eastAsia="仿宋_GB2312" w:cs="Times New Roman"/>
          <w:sz w:val="32"/>
          <w:szCs w:val="32"/>
        </w:rPr>
      </w:pPr>
      <w:bookmarkStart w:id="70" w:name="_Toc15396631"/>
      <w:r>
        <w:rPr>
          <w:rFonts w:hint="default" w:ascii="Times New Roman" w:hAnsi="Times New Roman" w:eastAsia="仿宋_GB2312" w:cs="Times New Roman"/>
          <w:sz w:val="32"/>
          <w:szCs w:val="32"/>
        </w:rPr>
        <w:t>十三、</w:t>
      </w:r>
      <w:bookmarkEnd w:id="70"/>
      <w:r>
        <w:rPr>
          <w:rFonts w:hint="default" w:ascii="Times New Roman" w:hAnsi="Times New Roman" w:eastAsia="仿宋_GB2312" w:cs="Times New Roman"/>
          <w:sz w:val="32"/>
          <w:szCs w:val="32"/>
        </w:rPr>
        <w:t>财政拨款“三公”经费支出决算表</w:t>
      </w:r>
    </w:p>
    <w:p w14:paraId="46D5F740">
      <w:pPr>
        <w:rPr>
          <w:rFonts w:hint="default" w:ascii="Times New Roman" w:hAnsi="Times New Roman" w:cs="Times New Roman"/>
        </w:rPr>
      </w:pPr>
    </w:p>
    <w:sectPr>
      <w:footerReference r:id="rId12" w:type="default"/>
      <w:pgSz w:w="11906" w:h="16838"/>
      <w:pgMar w:top="1440" w:right="1800" w:bottom="1440" w:left="1800" w:header="851" w:footer="992" w:gutter="0"/>
      <w:pgNumType w:fmt="numberInDash" w:start="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方正舒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37E0E">
    <w:pPr>
      <w:pStyle w:val="12"/>
      <w:jc w:val="center"/>
    </w:pPr>
  </w:p>
  <w:p w14:paraId="036783CE">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22B23">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94825">
    <w:pPr>
      <w:pStyle w:val="12"/>
      <w:jc w:val="center"/>
    </w:pPr>
  </w:p>
  <w:p w14:paraId="1C1DB241">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71BF7">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88437">
    <w:pPr>
      <w:pStyle w:val="12"/>
      <w:jc w:val="center"/>
    </w:pPr>
  </w:p>
  <w:p w14:paraId="161D1AE8">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D4FAA">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3DE98">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1F3DE98">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A1794">
    <w:pPr>
      <w:pStyle w:val="12"/>
      <w:jc w:val="center"/>
    </w:pPr>
  </w:p>
  <w:p w14:paraId="0A5848D2">
    <w:pPr>
      <w:pStyle w:val="1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7BBE0">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C8E55">
                          <w:pPr>
                            <w:pStyle w:val="12"/>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DBC8E55">
                    <w:pPr>
                      <w:pStyle w:val="12"/>
                    </w:pPr>
                    <w:r>
                      <w:fldChar w:fldCharType="begin"/>
                    </w:r>
                    <w:r>
                      <w:instrText xml:space="preserve"> PAGE  \* MERGEFORMAT </w:instrText>
                    </w:r>
                    <w:r>
                      <w:fldChar w:fldCharType="separate"/>
                    </w:r>
                    <w:r>
                      <w:t>- 2 -</w:t>
                    </w:r>
                    <w:r>
                      <w:fldChar w:fldCharType="end"/>
                    </w:r>
                  </w:p>
                </w:txbxContent>
              </v:textbox>
            </v:shape>
          </w:pict>
        </mc:Fallback>
      </mc:AlternateContent>
    </w:r>
  </w:p>
  <w:p w14:paraId="4092D019">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44DE">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A78F9">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F9BE47"/>
    <w:multiLevelType w:val="singleLevel"/>
    <w:tmpl w:val="7EF9BE4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E03DE"/>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A71F8D"/>
    <w:rsid w:val="02607182"/>
    <w:rsid w:val="027D309B"/>
    <w:rsid w:val="02FEBE30"/>
    <w:rsid w:val="04916F1E"/>
    <w:rsid w:val="05222CCB"/>
    <w:rsid w:val="061E35DE"/>
    <w:rsid w:val="066E0107"/>
    <w:rsid w:val="069C6C8A"/>
    <w:rsid w:val="074A373A"/>
    <w:rsid w:val="07996F6E"/>
    <w:rsid w:val="07DFD8BA"/>
    <w:rsid w:val="09867E8F"/>
    <w:rsid w:val="0A2032A3"/>
    <w:rsid w:val="0BBD2B20"/>
    <w:rsid w:val="0CA8290A"/>
    <w:rsid w:val="0D35B1ED"/>
    <w:rsid w:val="0E254B6B"/>
    <w:rsid w:val="0E8A7DA7"/>
    <w:rsid w:val="0F98263C"/>
    <w:rsid w:val="101860EC"/>
    <w:rsid w:val="101F47CC"/>
    <w:rsid w:val="10C055FF"/>
    <w:rsid w:val="111302DD"/>
    <w:rsid w:val="11694EBD"/>
    <w:rsid w:val="11772AA4"/>
    <w:rsid w:val="118107EC"/>
    <w:rsid w:val="12E24EE2"/>
    <w:rsid w:val="13D50BC4"/>
    <w:rsid w:val="14B17F78"/>
    <w:rsid w:val="165E0673"/>
    <w:rsid w:val="16B831D5"/>
    <w:rsid w:val="16BB723D"/>
    <w:rsid w:val="17E50567"/>
    <w:rsid w:val="186504BB"/>
    <w:rsid w:val="19616C4A"/>
    <w:rsid w:val="19A445FC"/>
    <w:rsid w:val="19F142E2"/>
    <w:rsid w:val="1AA44EB0"/>
    <w:rsid w:val="1BE8440E"/>
    <w:rsid w:val="1CC6347C"/>
    <w:rsid w:val="1CCF1FD8"/>
    <w:rsid w:val="1D155CEE"/>
    <w:rsid w:val="1D1638FE"/>
    <w:rsid w:val="1E2F362A"/>
    <w:rsid w:val="1E312DEB"/>
    <w:rsid w:val="1E740ACF"/>
    <w:rsid w:val="1EA00F90"/>
    <w:rsid w:val="1FF35744"/>
    <w:rsid w:val="1FF6BC77"/>
    <w:rsid w:val="21836B0E"/>
    <w:rsid w:val="2186353C"/>
    <w:rsid w:val="22D327D6"/>
    <w:rsid w:val="23860B96"/>
    <w:rsid w:val="23F71A7C"/>
    <w:rsid w:val="240371BF"/>
    <w:rsid w:val="244F3473"/>
    <w:rsid w:val="247031FC"/>
    <w:rsid w:val="24C97D99"/>
    <w:rsid w:val="24D51B31"/>
    <w:rsid w:val="25001B3E"/>
    <w:rsid w:val="256764F3"/>
    <w:rsid w:val="25A718F0"/>
    <w:rsid w:val="25AE25AA"/>
    <w:rsid w:val="25BB59F6"/>
    <w:rsid w:val="260F557C"/>
    <w:rsid w:val="267C3185"/>
    <w:rsid w:val="26970054"/>
    <w:rsid w:val="272337B7"/>
    <w:rsid w:val="272969D8"/>
    <w:rsid w:val="281408E2"/>
    <w:rsid w:val="29AE2CAD"/>
    <w:rsid w:val="29FD04D3"/>
    <w:rsid w:val="2A37428B"/>
    <w:rsid w:val="2BFF7BC6"/>
    <w:rsid w:val="2C8A61B5"/>
    <w:rsid w:val="2CA64AB8"/>
    <w:rsid w:val="2DF04E50"/>
    <w:rsid w:val="2E19750B"/>
    <w:rsid w:val="2E586DFA"/>
    <w:rsid w:val="2F040D46"/>
    <w:rsid w:val="2F2E5527"/>
    <w:rsid w:val="2F6B035B"/>
    <w:rsid w:val="2FAE5751"/>
    <w:rsid w:val="2FB1A395"/>
    <w:rsid w:val="2FD9A7D8"/>
    <w:rsid w:val="2FDBF714"/>
    <w:rsid w:val="30322A74"/>
    <w:rsid w:val="303F0836"/>
    <w:rsid w:val="30AB6865"/>
    <w:rsid w:val="313703D4"/>
    <w:rsid w:val="315076E8"/>
    <w:rsid w:val="319F7F4E"/>
    <w:rsid w:val="31EC5690"/>
    <w:rsid w:val="32BD1EF1"/>
    <w:rsid w:val="3304709D"/>
    <w:rsid w:val="33A773CB"/>
    <w:rsid w:val="349D6851"/>
    <w:rsid w:val="35C673C5"/>
    <w:rsid w:val="35E6413B"/>
    <w:rsid w:val="35EA167F"/>
    <w:rsid w:val="36AA5135"/>
    <w:rsid w:val="36BE0DA7"/>
    <w:rsid w:val="36E55D90"/>
    <w:rsid w:val="37165258"/>
    <w:rsid w:val="374B6019"/>
    <w:rsid w:val="376B6AA6"/>
    <w:rsid w:val="376D39B2"/>
    <w:rsid w:val="378717A2"/>
    <w:rsid w:val="37CD3DF3"/>
    <w:rsid w:val="37E16F03"/>
    <w:rsid w:val="37F53A3B"/>
    <w:rsid w:val="389B6C89"/>
    <w:rsid w:val="38D469F0"/>
    <w:rsid w:val="3905533F"/>
    <w:rsid w:val="39627CCD"/>
    <w:rsid w:val="39793CDB"/>
    <w:rsid w:val="397BAF1F"/>
    <w:rsid w:val="3A3A4286"/>
    <w:rsid w:val="3A5062CC"/>
    <w:rsid w:val="3A940645"/>
    <w:rsid w:val="3AB79AF3"/>
    <w:rsid w:val="3AE834C0"/>
    <w:rsid w:val="3B7EF35A"/>
    <w:rsid w:val="3B9FDB6C"/>
    <w:rsid w:val="3BF5BC2F"/>
    <w:rsid w:val="3CEBA265"/>
    <w:rsid w:val="3D98207C"/>
    <w:rsid w:val="3DEE7CF3"/>
    <w:rsid w:val="3E740A63"/>
    <w:rsid w:val="3E78745D"/>
    <w:rsid w:val="3EE17838"/>
    <w:rsid w:val="3F06266E"/>
    <w:rsid w:val="3F4809DD"/>
    <w:rsid w:val="3F55381A"/>
    <w:rsid w:val="3F7F7599"/>
    <w:rsid w:val="3FF4CAE0"/>
    <w:rsid w:val="3FF7B227"/>
    <w:rsid w:val="407A0CA2"/>
    <w:rsid w:val="413019CD"/>
    <w:rsid w:val="42CD2946"/>
    <w:rsid w:val="43650DB7"/>
    <w:rsid w:val="43E20674"/>
    <w:rsid w:val="44AA4E36"/>
    <w:rsid w:val="44E268DA"/>
    <w:rsid w:val="450D13D7"/>
    <w:rsid w:val="453F41AD"/>
    <w:rsid w:val="45506656"/>
    <w:rsid w:val="45A176CC"/>
    <w:rsid w:val="45A755F8"/>
    <w:rsid w:val="460849BF"/>
    <w:rsid w:val="486A6C7A"/>
    <w:rsid w:val="4A427C6F"/>
    <w:rsid w:val="4A627F82"/>
    <w:rsid w:val="4B0E749A"/>
    <w:rsid w:val="4B2477C4"/>
    <w:rsid w:val="4B4F25DA"/>
    <w:rsid w:val="4BE068DB"/>
    <w:rsid w:val="4C7D29CB"/>
    <w:rsid w:val="4D3A278D"/>
    <w:rsid w:val="4D577224"/>
    <w:rsid w:val="4DBF1CEB"/>
    <w:rsid w:val="4DF0007C"/>
    <w:rsid w:val="4E235B10"/>
    <w:rsid w:val="4EAB630A"/>
    <w:rsid w:val="4ECE2238"/>
    <w:rsid w:val="4F833267"/>
    <w:rsid w:val="4FAA2460"/>
    <w:rsid w:val="4FE9BD67"/>
    <w:rsid w:val="4FFB052F"/>
    <w:rsid w:val="50566671"/>
    <w:rsid w:val="537E6D0A"/>
    <w:rsid w:val="53F74C96"/>
    <w:rsid w:val="55170BA8"/>
    <w:rsid w:val="553218C9"/>
    <w:rsid w:val="55533774"/>
    <w:rsid w:val="567E1AA5"/>
    <w:rsid w:val="56E47B74"/>
    <w:rsid w:val="57175D52"/>
    <w:rsid w:val="57BD3DD4"/>
    <w:rsid w:val="57E51DF9"/>
    <w:rsid w:val="58BF445B"/>
    <w:rsid w:val="59464DA9"/>
    <w:rsid w:val="5A675822"/>
    <w:rsid w:val="5AC62645"/>
    <w:rsid w:val="5AF92295"/>
    <w:rsid w:val="5B250254"/>
    <w:rsid w:val="5BDD79E6"/>
    <w:rsid w:val="5BF561CA"/>
    <w:rsid w:val="5BFF5DFC"/>
    <w:rsid w:val="5CD71FC4"/>
    <w:rsid w:val="5D1F11B5"/>
    <w:rsid w:val="5D695134"/>
    <w:rsid w:val="5DAE1B18"/>
    <w:rsid w:val="5DE7D9E5"/>
    <w:rsid w:val="5EAB6F80"/>
    <w:rsid w:val="5ECEC941"/>
    <w:rsid w:val="5F6077C6"/>
    <w:rsid w:val="5FBF9FF3"/>
    <w:rsid w:val="5FCD4E2C"/>
    <w:rsid w:val="5FEF394A"/>
    <w:rsid w:val="5FF67715"/>
    <w:rsid w:val="62BF3928"/>
    <w:rsid w:val="63307637"/>
    <w:rsid w:val="63B3701E"/>
    <w:rsid w:val="63CC2272"/>
    <w:rsid w:val="647F5392"/>
    <w:rsid w:val="65E66580"/>
    <w:rsid w:val="664B1D71"/>
    <w:rsid w:val="664B4E8E"/>
    <w:rsid w:val="67277B67"/>
    <w:rsid w:val="67AA3209"/>
    <w:rsid w:val="698D0931"/>
    <w:rsid w:val="6A7FE5F3"/>
    <w:rsid w:val="6AD74AC4"/>
    <w:rsid w:val="6B053271"/>
    <w:rsid w:val="6BAA5CEE"/>
    <w:rsid w:val="6BDD78B3"/>
    <w:rsid w:val="6C161FFD"/>
    <w:rsid w:val="6C4A05C8"/>
    <w:rsid w:val="6C5B7090"/>
    <w:rsid w:val="6C8742B8"/>
    <w:rsid w:val="6DBF5E93"/>
    <w:rsid w:val="6DCF2934"/>
    <w:rsid w:val="6DFF077E"/>
    <w:rsid w:val="6E714EF0"/>
    <w:rsid w:val="6E7E3605"/>
    <w:rsid w:val="6E7FDCC7"/>
    <w:rsid w:val="6ED6A62E"/>
    <w:rsid w:val="6EE00B15"/>
    <w:rsid w:val="6EE46D24"/>
    <w:rsid w:val="6F3E041D"/>
    <w:rsid w:val="6F6FB3EB"/>
    <w:rsid w:val="6F8731EA"/>
    <w:rsid w:val="6FAE4CAB"/>
    <w:rsid w:val="6FCE6052"/>
    <w:rsid w:val="6FD57C00"/>
    <w:rsid w:val="6FEFFFD8"/>
    <w:rsid w:val="6FF5CC65"/>
    <w:rsid w:val="6FFB47EC"/>
    <w:rsid w:val="6FFF034A"/>
    <w:rsid w:val="702002DD"/>
    <w:rsid w:val="70484440"/>
    <w:rsid w:val="70833B8D"/>
    <w:rsid w:val="712A28F1"/>
    <w:rsid w:val="715C0E4B"/>
    <w:rsid w:val="71992E7C"/>
    <w:rsid w:val="72233669"/>
    <w:rsid w:val="7234104C"/>
    <w:rsid w:val="72734D90"/>
    <w:rsid w:val="73160E6D"/>
    <w:rsid w:val="732D1673"/>
    <w:rsid w:val="7332FE48"/>
    <w:rsid w:val="73844F65"/>
    <w:rsid w:val="73AB61DA"/>
    <w:rsid w:val="73AD73D5"/>
    <w:rsid w:val="73B6EB34"/>
    <w:rsid w:val="73FA497D"/>
    <w:rsid w:val="744731E5"/>
    <w:rsid w:val="74BBD01D"/>
    <w:rsid w:val="74DE3360"/>
    <w:rsid w:val="74ED5379"/>
    <w:rsid w:val="74F02777"/>
    <w:rsid w:val="75BD50E9"/>
    <w:rsid w:val="75DEEEC2"/>
    <w:rsid w:val="75E32345"/>
    <w:rsid w:val="76E3355F"/>
    <w:rsid w:val="76FF5125"/>
    <w:rsid w:val="776F6FFA"/>
    <w:rsid w:val="7783749C"/>
    <w:rsid w:val="778769C8"/>
    <w:rsid w:val="77A75DCA"/>
    <w:rsid w:val="77DC22F5"/>
    <w:rsid w:val="783E271A"/>
    <w:rsid w:val="78616DE9"/>
    <w:rsid w:val="78E875D7"/>
    <w:rsid w:val="79086DAD"/>
    <w:rsid w:val="79CB3B5E"/>
    <w:rsid w:val="79D7FD79"/>
    <w:rsid w:val="79EE5BA4"/>
    <w:rsid w:val="7A894339"/>
    <w:rsid w:val="7AD284E8"/>
    <w:rsid w:val="7AFF7572"/>
    <w:rsid w:val="7B335EA6"/>
    <w:rsid w:val="7B6C7DFB"/>
    <w:rsid w:val="7B8737DF"/>
    <w:rsid w:val="7BBFBED0"/>
    <w:rsid w:val="7BC3E394"/>
    <w:rsid w:val="7C1F3737"/>
    <w:rsid w:val="7CBFC87B"/>
    <w:rsid w:val="7CFE0F48"/>
    <w:rsid w:val="7D272ABC"/>
    <w:rsid w:val="7D7EC23E"/>
    <w:rsid w:val="7E4A0B8E"/>
    <w:rsid w:val="7E8ADEBF"/>
    <w:rsid w:val="7E9E05E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2F70"/>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index 5"/>
    <w:basedOn w:val="1"/>
    <w:next w:val="1"/>
    <w:qFormat/>
    <w:uiPriority w:val="0"/>
    <w:pPr>
      <w:widowControl w:val="0"/>
      <w:ind w:left="1680"/>
      <w:jc w:val="both"/>
    </w:pPr>
    <w:rPr>
      <w:rFonts w:ascii="Calibri" w:hAnsi="Calibri"/>
      <w:kern w:val="2"/>
      <w:sz w:val="21"/>
      <w:lang w:val="en-US" w:eastAsia="zh-CN" w:bidi="ar-SA"/>
    </w:rPr>
  </w:style>
  <w:style w:type="paragraph" w:styleId="6">
    <w:name w:val="index 6"/>
    <w:basedOn w:val="1"/>
    <w:next w:val="1"/>
    <w:qFormat/>
    <w:uiPriority w:val="0"/>
    <w:pPr>
      <w:ind w:left="2100"/>
    </w:pPr>
  </w:style>
  <w:style w:type="paragraph" w:styleId="7">
    <w:name w:val="Body Text"/>
    <w:basedOn w:val="1"/>
    <w:link w:val="28"/>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4"/>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unhideWhenUsed/>
    <w:qFormat/>
    <w:uiPriority w:val="99"/>
    <w:pPr>
      <w:spacing w:before="100" w:beforeAutospacing="1" w:after="100" w:afterAutospacing="1"/>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字符"/>
    <w:link w:val="13"/>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字符"/>
    <w:link w:val="12"/>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字符"/>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next w:val="6"/>
    <w:qFormat/>
    <w:uiPriority w:val="34"/>
    <w:pPr>
      <w:ind w:firstLine="420" w:firstLineChars="200"/>
    </w:pPr>
  </w:style>
  <w:style w:type="character" w:customStyle="1" w:styleId="31">
    <w:name w:val="标题 1 字符"/>
    <w:basedOn w:val="19"/>
    <w:link w:val="2"/>
    <w:qFormat/>
    <w:uiPriority w:val="9"/>
    <w:rPr>
      <w:rFonts w:ascii="Times New Roman" w:hAnsi="Times New Roman"/>
      <w:b/>
      <w:bCs/>
      <w:kern w:val="44"/>
      <w:sz w:val="44"/>
      <w:szCs w:val="44"/>
    </w:rPr>
  </w:style>
  <w:style w:type="character" w:customStyle="1" w:styleId="32">
    <w:name w:val="标题 2 字符"/>
    <w:basedOn w:val="19"/>
    <w:link w:val="3"/>
    <w:qFormat/>
    <w:uiPriority w:val="9"/>
    <w:rPr>
      <w:rFonts w:asciiTheme="majorHAnsi" w:hAnsiTheme="majorHAnsi" w:eastAsiaTheme="majorEastAsia" w:cstheme="majorBidi"/>
      <w:b/>
      <w:bCs/>
      <w:kern w:val="2"/>
      <w:sz w:val="32"/>
      <w:szCs w:val="32"/>
    </w:rPr>
  </w:style>
  <w:style w:type="paragraph" w:customStyle="1" w:styleId="3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19"/>
    <w:link w:val="11"/>
    <w:semiHidden/>
    <w:qFormat/>
    <w:uiPriority w:val="99"/>
    <w:rPr>
      <w:rFonts w:ascii="Times New Roman" w:hAnsi="Times New Roman"/>
      <w:kern w:val="2"/>
      <w:sz w:val="18"/>
      <w:szCs w:val="18"/>
    </w:rPr>
  </w:style>
  <w:style w:type="character" w:customStyle="1" w:styleId="35">
    <w:name w:val="标题 3 字符"/>
    <w:basedOn w:val="19"/>
    <w:link w:val="4"/>
    <w:qFormat/>
    <w:uiPriority w:val="9"/>
    <w:rPr>
      <w:rFonts w:ascii="Times New Roman" w:hAnsi="Times New Roman"/>
      <w:b/>
      <w:bCs/>
      <w:kern w:val="2"/>
      <w:sz w:val="32"/>
      <w:szCs w:val="32"/>
    </w:rPr>
  </w:style>
  <w:style w:type="paragraph" w:customStyle="1" w:styleId="36">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character" w:customStyle="1" w:styleId="38">
    <w:name w:val="15"/>
    <w:qFormat/>
    <w:uiPriority w:val="0"/>
    <w:rPr>
      <w:rFonts w:ascii="Times New Roman" w:hAnsi="Times New Roman"/>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chart" Target="charts/chart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30;&#21153;\&#20915;&#31639;\2024&#24180;&#20915;&#31639;\2024&#24180;&#37096;&#38376;&#20915;&#31639;(&#22823;&#29066;&#29483;&#22269;&#23478;&#20844;&#22253;&#38463;&#22365;&#31649;&#29702;&#20998;&#23616;&#65289;\&#37096;&#38376;&#20915;&#31639;&#26609;&#29366;&#22270;&#12289;&#39292;&#29366;&#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407249466951"/>
          <c:y val="0.0630914826498423"/>
        </c:manualLayout>
      </c:layout>
      <c:overlay val="0"/>
      <c:txPr>
        <a:bodyPr rot="0" spcFirstLastPara="0" vertOverflow="ellipsis" vert="horz" wrap="square" anchor="ctr" anchorCtr="1"/>
        <a:lstStyle/>
        <a:p>
          <a:pPr>
            <a:defRPr lang="zh-CN" sz="900" b="1" i="0" u="none" strike="noStrike" kern="1200" baseline="0">
              <a:solidFill>
                <a:schemeClr val="tx1"/>
              </a:solidFill>
              <a:latin typeface="宋体" panose="02010600030101010101" charset="-122"/>
              <a:ea typeface="宋体" panose="02010600030101010101" charset="-122"/>
              <a:cs typeface="+mn-cs"/>
            </a:defRPr>
          </a:pPr>
        </a:p>
      </c:txPr>
    </c:title>
    <c:autoTitleDeleted val="0"/>
    <c:plotArea>
      <c:layout/>
      <c:pieChart>
        <c:varyColors val="1"/>
        <c:ser>
          <c:idx val="0"/>
          <c:order val="0"/>
          <c:tx>
            <c:strRef>
              <c:f>[部门决算柱状图、饼状图.xlsx]支出结构分析!$B$1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[部门决算柱状图、饼状图.xlsx]支出结构分析!$A$2:$A$6</c:f>
              <c:strCache>
                <c:ptCount val="5"/>
                <c:pt idx="0">
                  <c:v>基本支出</c:v>
                </c:pt>
                <c:pt idx="1">
                  <c:v>项目支出</c:v>
                </c:pt>
                <c:pt idx="2">
                  <c:v>上缴上级支出</c:v>
                </c:pt>
                <c:pt idx="3">
                  <c:v>经营支出</c:v>
                </c:pt>
                <c:pt idx="4">
                  <c:v>对附属单位补助支出</c:v>
                </c:pt>
              </c:strCache>
            </c:strRef>
          </c:cat>
          <c:val>
            <c:numRef>
              <c:f>[部门决算柱状图、饼状图.xlsx]支出结构分析!$B$2:$B$6</c:f>
              <c:numCache>
                <c:formatCode>General</c:formatCode>
                <c:ptCount val="5"/>
                <c:pt idx="0">
                  <c:v>568.34</c:v>
                </c:pt>
                <c:pt idx="1">
                  <c:v>183.74</c:v>
                </c:pt>
                <c:pt idx="2">
                  <c:v>0</c:v>
                </c:pt>
                <c:pt idx="3">
                  <c:v>0</c:v>
                </c:pt>
                <c:pt idx="4">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a737974f-47af-4a6a-972d-303ab655becb}"/>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2165</Words>
  <Characters>3376</Characters>
  <Lines>60</Lines>
  <Paragraphs>17</Paragraphs>
  <TotalTime>14</TotalTime>
  <ScaleCrop>false</ScaleCrop>
  <LinksUpToDate>false</LinksUpToDate>
  <CharactersWithSpaces>3387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花红易衰</cp:lastModifiedBy>
  <cp:lastPrinted>2025-09-05T10:02:00Z</cp:lastPrinted>
  <dcterms:modified xsi:type="dcterms:W3CDTF">2025-09-09T01:05:30Z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46B441846CBD4726B4EA08E326E85CED_13</vt:lpwstr>
  </property>
  <property fmtid="{D5CDD505-2E9C-101B-9397-08002B2CF9AE}" pid="4" name="KSOTemplateDocerSaveRecord">
    <vt:lpwstr>eyJoZGlkIjoiOGUxMjc5MjYzMDQzZjQ3YjY1MjJkZmYwMWJhNDdkY2EiLCJ1c2VySWQiOiI0MzMxNDkwMDYifQ==</vt:lpwstr>
  </property>
</Properties>
</file>