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BB9B7D">
      <w:pPr>
        <w:pStyle w:val="13"/>
        <w:keepNext w:val="0"/>
        <w:keepLines w:val="0"/>
        <w:pageBreakBefore w:val="0"/>
        <w:widowControl w:val="0"/>
        <w:kinsoku/>
        <w:wordWrap/>
        <w:overflowPunct/>
        <w:topLinePunct w:val="0"/>
        <w:autoSpaceDE/>
        <w:autoSpaceDN/>
        <w:bidi w:val="0"/>
        <w:spacing w:line="578" w:lineRule="exact"/>
        <w:ind w:left="0" w:leftChars="0"/>
        <w:jc w:val="both"/>
        <w:textAlignment w:val="auto"/>
        <w:rPr>
          <w:rFonts w:hint="eastAsia" w:ascii="方正小标宋简体" w:hAnsi="方正小标宋简体" w:eastAsia="方正小标宋简体" w:cs="方正小标宋简体"/>
          <w:color w:val="auto"/>
          <w:kern w:val="2"/>
          <w:sz w:val="44"/>
          <w:szCs w:val="44"/>
          <w:highlight w:val="none"/>
          <w:lang w:val="en-US" w:eastAsia="zh-CN"/>
        </w:rPr>
      </w:pPr>
    </w:p>
    <w:p w14:paraId="43026540">
      <w:pPr>
        <w:pStyle w:val="13"/>
        <w:spacing w:line="600" w:lineRule="exact"/>
        <w:jc w:val="center"/>
        <w:rPr>
          <w:rFonts w:hint="eastAsia" w:ascii="方正小标宋简体" w:eastAsia="方正小标宋简体"/>
          <w:sz w:val="44"/>
          <w:szCs w:val="44"/>
        </w:rPr>
      </w:pPr>
      <w:r>
        <w:rPr>
          <w:rFonts w:ascii="方正小标宋简体" w:eastAsia="方正小标宋简体"/>
          <w:sz w:val="44"/>
          <w:szCs w:val="44"/>
        </w:rPr>
        <w:t>大熊猫国家公园阿坝管理分局</w:t>
      </w:r>
    </w:p>
    <w:p w14:paraId="3F4768CA">
      <w:pPr>
        <w:pStyle w:val="13"/>
        <w:keepNext w:val="0"/>
        <w:keepLines w:val="0"/>
        <w:pageBreakBefore w:val="0"/>
        <w:widowControl w:val="0"/>
        <w:kinsoku/>
        <w:wordWrap/>
        <w:overflowPunct/>
        <w:topLinePunct w:val="0"/>
        <w:autoSpaceDE/>
        <w:autoSpaceDN/>
        <w:bidi w:val="0"/>
        <w:spacing w:line="578" w:lineRule="exact"/>
        <w:ind w:left="0" w:leftChars="0"/>
        <w:jc w:val="center"/>
        <w:textAlignment w:val="auto"/>
        <w:rPr>
          <w:rFonts w:hint="eastAsia"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eastAsia="方正小标宋简体"/>
          <w:sz w:val="44"/>
          <w:szCs w:val="44"/>
          <w:lang w:val="en-US" w:eastAsia="zh-CN"/>
        </w:rPr>
        <w:t>法律顾问服务</w:t>
      </w:r>
      <w:r>
        <w:rPr>
          <w:rFonts w:hint="eastAsia" w:ascii="方正小标宋简体" w:hAnsi="方正小标宋简体" w:eastAsia="方正小标宋简体" w:cs="方正小标宋简体"/>
          <w:color w:val="auto"/>
          <w:kern w:val="2"/>
          <w:sz w:val="44"/>
          <w:szCs w:val="44"/>
          <w:highlight w:val="none"/>
          <w:lang w:val="en-US" w:eastAsia="zh-CN"/>
        </w:rPr>
        <w:t>预算项目绩效评价报告</w:t>
      </w:r>
    </w:p>
    <w:p w14:paraId="0B1A5E87">
      <w:pPr>
        <w:pStyle w:val="13"/>
        <w:keepNext w:val="0"/>
        <w:keepLines w:val="0"/>
        <w:pageBreakBefore w:val="0"/>
        <w:widowControl w:val="0"/>
        <w:kinsoku/>
        <w:wordWrap/>
        <w:overflowPunct/>
        <w:topLinePunct w:val="0"/>
        <w:autoSpaceDE/>
        <w:autoSpaceDN/>
        <w:bidi w:val="0"/>
        <w:spacing w:line="578" w:lineRule="exact"/>
        <w:ind w:left="0" w:leftChars="0" w:firstLine="640"/>
        <w:jc w:val="center"/>
        <w:textAlignment w:val="auto"/>
        <w:rPr>
          <w:rFonts w:ascii="宋体" w:hAnsi="宋体"/>
          <w:color w:val="auto"/>
          <w:kern w:val="2"/>
          <w:sz w:val="32"/>
          <w:szCs w:val="32"/>
          <w:highlight w:val="none"/>
        </w:rPr>
      </w:pPr>
    </w:p>
    <w:p w14:paraId="4FFBB6BB">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rPr>
          <w:rFonts w:ascii="黑体" w:hAnsi="宋体" w:eastAsia="黑体"/>
          <w:highlight w:val="none"/>
          <w:lang w:val="zh-CN"/>
        </w:rPr>
      </w:pPr>
      <w:r>
        <w:rPr>
          <w:rFonts w:hint="eastAsia" w:ascii="黑体" w:hAnsi="宋体" w:eastAsia="黑体"/>
          <w:highlight w:val="none"/>
        </w:rPr>
        <w:t>一、</w:t>
      </w:r>
      <w:r>
        <w:rPr>
          <w:rFonts w:hint="eastAsia" w:ascii="黑体" w:hAnsi="宋体" w:eastAsia="黑体"/>
          <w:highlight w:val="none"/>
          <w:lang w:val="zh-CN"/>
        </w:rPr>
        <w:t>项目概况</w:t>
      </w:r>
    </w:p>
    <w:p w14:paraId="40CAAA34">
      <w:pPr>
        <w:spacing w:line="360" w:lineRule="auto"/>
        <w:ind w:firstLine="643" w:firstLineChars="200"/>
        <w:rPr>
          <w:rFonts w:hint="default" w:ascii="仿宋_GB2312" w:hAnsi="仿宋_GB2312" w:eastAsia="仿宋_GB2312" w:cs="仿宋_GB2312"/>
          <w:i w:val="0"/>
          <w:iCs w:val="0"/>
          <w:caps w:val="0"/>
          <w:color w:val="191919"/>
          <w:spacing w:val="0"/>
          <w:kern w:val="0"/>
          <w:sz w:val="32"/>
          <w:szCs w:val="32"/>
          <w:shd w:val="clear" w:color="auto" w:fill="FFFFFF"/>
          <w:lang w:val="en-US" w:eastAsia="zh-CN" w:bidi="ar"/>
        </w:rPr>
      </w:pPr>
      <w:r>
        <w:rPr>
          <w:rFonts w:hint="eastAsia" w:ascii="楷体_GB2312" w:hAnsi="宋体" w:eastAsia="楷体_GB2312"/>
          <w:b/>
          <w:color w:val="auto"/>
          <w:sz w:val="32"/>
          <w:szCs w:val="32"/>
          <w:highlight w:val="none"/>
          <w:u w:val="none"/>
          <w:lang w:val="zh-CN"/>
        </w:rPr>
        <w:t>（一）设立背景及基本情况。</w:t>
      </w:r>
      <w:r>
        <w:rPr>
          <w:rFonts w:hint="eastAsia" w:ascii="仿宋_GB2312" w:hAnsi="仿宋_GB2312" w:eastAsia="仿宋_GB2312" w:cs="仿宋_GB2312"/>
          <w:i w:val="0"/>
          <w:iCs w:val="0"/>
          <w:caps w:val="0"/>
          <w:color w:val="191919"/>
          <w:spacing w:val="0"/>
          <w:kern w:val="0"/>
          <w:sz w:val="32"/>
          <w:szCs w:val="32"/>
          <w:shd w:val="clear" w:color="auto" w:fill="FFFFFF"/>
          <w:lang w:val="en-US" w:eastAsia="zh-CN" w:bidi="ar"/>
        </w:rPr>
        <w:t>聘请法律顾问是贯彻落实习近平法治思想和落实省委省政府全年依法行政、依法办事的安排部署的重要举措，可以有效防止在工作中的法律纠纷，有效防范在工作中的纠纷，可以带来良好的经济效益，维护社会的安全稳定，带来良好的社会效益，通过法律顾问为大熊猫国家国家公园建设保驾护航，可以为生态环境保护提供良好的环境，具有明显的生态效益，助力可持续发展。综上聘请法律顾问具有</w:t>
      </w:r>
      <w:r>
        <w:rPr>
          <w:rFonts w:hint="eastAsia" w:ascii="仿宋_GB2312" w:hAnsi="宋体" w:eastAsia="仿宋_GB2312"/>
          <w:sz w:val="32"/>
          <w:szCs w:val="32"/>
          <w:lang w:eastAsia="zh-CN"/>
        </w:rPr>
        <w:t>明显的经济、社会、可持续性效益，</w:t>
      </w:r>
      <w:r>
        <w:rPr>
          <w:rFonts w:hint="eastAsia" w:ascii="仿宋_GB2312" w:hAnsi="宋体" w:eastAsia="仿宋_GB2312"/>
          <w:sz w:val="32"/>
          <w:szCs w:val="32"/>
          <w:lang w:val="en-US" w:eastAsia="zh-CN"/>
        </w:rPr>
        <w:t>聘请法律顾问是必要的。</w:t>
      </w:r>
    </w:p>
    <w:p w14:paraId="3083CA61">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eastAsia" w:ascii="仿宋_GB2312" w:hAnsi="仿宋_GB2312" w:eastAsia="仿宋_GB2312" w:cs="仿宋_GB2312"/>
          <w:color w:val="auto"/>
          <w:kern w:val="0"/>
          <w:sz w:val="32"/>
          <w:szCs w:val="32"/>
          <w:highlight w:val="none"/>
          <w:u w:val="none"/>
          <w:shd w:val="clear" w:color="auto" w:fill="FFFFFF"/>
          <w:lang w:val="en-US" w:eastAsia="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r>
        <w:rPr>
          <w:rFonts w:hint="eastAsia" w:ascii="仿宋_GB2312" w:hAnsi="仿宋_GB2312" w:eastAsia="仿宋_GB2312" w:cs="仿宋_GB2312"/>
          <w:color w:val="auto"/>
          <w:kern w:val="0"/>
          <w:sz w:val="32"/>
          <w:szCs w:val="32"/>
          <w:highlight w:val="none"/>
          <w:u w:val="none"/>
          <w:shd w:val="clear" w:color="auto" w:fill="FFFFFF"/>
          <w:lang w:val="en-US" w:eastAsia="zh-CN"/>
        </w:rPr>
        <w:t>为单位提供相关法律咨询服务和帮助，在单位法律问题上提供意见和建议，草拟、审查法律事务文书，代理参加诉讼、调解或仲裁活动，维护单位的合法权益。</w:t>
      </w:r>
    </w:p>
    <w:p w14:paraId="7A0FC867">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3" w:firstLineChars="200"/>
        <w:contextualSpacing/>
        <w:jc w:val="left"/>
        <w:textAlignment w:val="auto"/>
        <w:rPr>
          <w:rFonts w:hint="eastAsia" w:ascii="仿宋_GB2312" w:hAnsi="仿宋_GB2312" w:cs="仿宋_GB2312"/>
          <w:color w:val="auto"/>
          <w:kern w:val="0"/>
          <w:sz w:val="32"/>
          <w:szCs w:val="32"/>
          <w:highlight w:val="none"/>
          <w:u w:val="none"/>
          <w:shd w:val="clear" w:color="auto" w:fill="FFFFFF"/>
          <w:lang w:val="zh-CN"/>
        </w:rPr>
      </w:pPr>
      <w:r>
        <w:rPr>
          <w:rFonts w:hint="eastAsia"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r>
        <w:rPr>
          <w:rFonts w:hint="eastAsia" w:eastAsia="仿宋_GB2312"/>
          <w:sz w:val="32"/>
          <w:szCs w:val="32"/>
        </w:rPr>
        <w:t>聘请法律顾问费属于特定目标类里的部门项目，</w:t>
      </w:r>
      <w:r>
        <w:rPr>
          <w:rFonts w:hint="eastAsia" w:eastAsia="仿宋_GB2312"/>
          <w:sz w:val="32"/>
          <w:szCs w:val="32"/>
          <w:lang w:val="en-US" w:eastAsia="zh-CN"/>
        </w:rPr>
        <w:t>结合分局工作量，本预算通过2022年度工作开展情况</w:t>
      </w:r>
      <w:r>
        <w:rPr>
          <w:rFonts w:hint="eastAsia"/>
          <w:sz w:val="32"/>
          <w:szCs w:val="32"/>
          <w:lang w:val="en-US" w:eastAsia="zh-CN"/>
        </w:rPr>
        <w:t>核定</w:t>
      </w:r>
      <w:r>
        <w:rPr>
          <w:rFonts w:hint="eastAsia" w:eastAsia="仿宋_GB2312"/>
          <w:sz w:val="32"/>
          <w:szCs w:val="32"/>
          <w:lang w:val="en-US" w:eastAsia="zh-CN"/>
        </w:rPr>
        <w:t>202</w:t>
      </w:r>
      <w:r>
        <w:rPr>
          <w:rFonts w:hint="eastAsia"/>
          <w:sz w:val="32"/>
          <w:szCs w:val="32"/>
          <w:lang w:val="en-US" w:eastAsia="zh-CN"/>
        </w:rPr>
        <w:t>3</w:t>
      </w:r>
      <w:r>
        <w:rPr>
          <w:rFonts w:hint="eastAsia" w:eastAsia="仿宋_GB2312"/>
          <w:sz w:val="32"/>
          <w:szCs w:val="32"/>
          <w:lang w:val="en-US" w:eastAsia="zh-CN"/>
        </w:rPr>
        <w:t>年法律顾问预算</w:t>
      </w:r>
      <w:r>
        <w:rPr>
          <w:rFonts w:hint="eastAsia"/>
          <w:sz w:val="32"/>
          <w:szCs w:val="32"/>
          <w:lang w:val="en-US" w:eastAsia="zh-CN"/>
        </w:rPr>
        <w:t>金额</w:t>
      </w:r>
      <w:r>
        <w:rPr>
          <w:rFonts w:hint="eastAsia" w:eastAsia="仿宋_GB2312"/>
          <w:sz w:val="32"/>
          <w:szCs w:val="32"/>
          <w:lang w:val="en-US" w:eastAsia="zh-CN"/>
        </w:rPr>
        <w:t>为1万元。</w:t>
      </w:r>
    </w:p>
    <w:p w14:paraId="44A1D733">
      <w:pPr>
        <w:keepNext w:val="0"/>
        <w:keepLines w:val="0"/>
        <w:pageBreakBefore w:val="0"/>
        <w:kinsoku/>
        <w:wordWrap/>
        <w:overflowPunct/>
        <w:topLinePunct w:val="0"/>
        <w:autoSpaceDE/>
        <w:autoSpaceDN/>
        <w:bidi w:val="0"/>
        <w:adjustRightInd w:val="0"/>
        <w:snapToGrid w:val="0"/>
        <w:spacing w:line="578" w:lineRule="exact"/>
        <w:ind w:left="0" w:leftChars="0" w:firstLine="643" w:firstLineChars="200"/>
        <w:textAlignment w:val="auto"/>
        <w:rPr>
          <w:rFonts w:hint="default" w:ascii="仿宋_GB2312" w:hAnsi="仿宋_GB2312" w:cs="仿宋_GB2312"/>
          <w:color w:val="auto"/>
          <w:kern w:val="0"/>
          <w:sz w:val="32"/>
          <w:szCs w:val="32"/>
          <w:highlight w:val="none"/>
          <w:u w:val="none"/>
          <w:shd w:val="clear" w:color="auto" w:fill="FFFFFF"/>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r>
        <w:rPr>
          <w:rFonts w:hint="eastAsia" w:eastAsia="仿宋_GB2312"/>
          <w:sz w:val="32"/>
          <w:szCs w:val="32"/>
          <w:lang w:val="en-US" w:eastAsia="zh-CN"/>
        </w:rPr>
        <w:t>本项目共设置了一级指标4个、二级指标7个、三级指标7个绩效考核目标，</w:t>
      </w:r>
      <w:r>
        <w:rPr>
          <w:rFonts w:hint="eastAsia" w:ascii="仿宋_GB2312" w:hAnsi="宋体" w:eastAsia="仿宋_GB2312"/>
          <w:sz w:val="32"/>
          <w:szCs w:val="32"/>
          <w:lang w:eastAsia="zh-CN"/>
        </w:rPr>
        <w:t>评估内容包括绩效目标和绩效指标</w:t>
      </w:r>
      <w:r>
        <w:rPr>
          <w:rFonts w:hint="eastAsia" w:ascii="仿宋_GB2312" w:hAnsi="宋体" w:eastAsia="仿宋_GB2312"/>
          <w:sz w:val="32"/>
          <w:szCs w:val="32"/>
          <w:lang w:val="en-US" w:eastAsia="zh-CN"/>
        </w:rPr>
        <w:t>可</w:t>
      </w:r>
      <w:r>
        <w:rPr>
          <w:rFonts w:hint="eastAsia" w:ascii="仿宋_GB2312" w:hAnsi="宋体" w:eastAsia="仿宋_GB2312"/>
          <w:sz w:val="32"/>
          <w:szCs w:val="32"/>
          <w:lang w:eastAsia="zh-CN"/>
        </w:rPr>
        <w:t>量化可考核，</w:t>
      </w:r>
      <w:r>
        <w:rPr>
          <w:rFonts w:hint="eastAsia" w:ascii="仿宋_GB2312" w:hAnsi="宋体" w:eastAsia="仿宋_GB2312"/>
          <w:sz w:val="32"/>
          <w:szCs w:val="32"/>
          <w:lang w:val="en-US" w:eastAsia="zh-CN"/>
        </w:rPr>
        <w:t>与项目</w:t>
      </w:r>
      <w:r>
        <w:rPr>
          <w:rFonts w:hint="eastAsia" w:ascii="仿宋_GB2312" w:hAnsi="宋体" w:eastAsia="仿宋_GB2312"/>
          <w:sz w:val="32"/>
          <w:szCs w:val="32"/>
          <w:lang w:eastAsia="zh-CN"/>
        </w:rPr>
        <w:t>相匹配，</w:t>
      </w:r>
      <w:r>
        <w:rPr>
          <w:rFonts w:hint="eastAsia" w:ascii="仿宋_GB2312" w:hAnsi="宋体" w:eastAsia="仿宋_GB2312"/>
          <w:sz w:val="32"/>
          <w:szCs w:val="32"/>
          <w:lang w:val="en-US" w:eastAsia="zh-CN"/>
        </w:rPr>
        <w:t>能</w:t>
      </w:r>
      <w:r>
        <w:rPr>
          <w:rFonts w:hint="eastAsia" w:ascii="仿宋_GB2312" w:hAnsi="宋体" w:eastAsia="仿宋_GB2312"/>
          <w:sz w:val="32"/>
          <w:szCs w:val="32"/>
          <w:lang w:eastAsia="zh-CN"/>
        </w:rPr>
        <w:t>全面完整</w:t>
      </w:r>
      <w:r>
        <w:rPr>
          <w:rFonts w:hint="eastAsia" w:ascii="仿宋_GB2312" w:hAnsi="宋体" w:eastAsia="仿宋_GB2312"/>
          <w:sz w:val="32"/>
          <w:szCs w:val="32"/>
          <w:lang w:val="en-US" w:eastAsia="zh-CN"/>
        </w:rPr>
        <w:t>对项目进行评价</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与分局</w:t>
      </w:r>
      <w:r>
        <w:rPr>
          <w:rFonts w:hint="eastAsia" w:ascii="仿宋_GB2312" w:hAnsi="宋体" w:eastAsia="仿宋_GB2312"/>
          <w:sz w:val="32"/>
          <w:szCs w:val="32"/>
          <w:lang w:eastAsia="zh-CN"/>
        </w:rPr>
        <w:t>长期规划目标、年度工作目标相一致。</w:t>
      </w:r>
    </w:p>
    <w:p w14:paraId="2F09DD6A">
      <w:pPr>
        <w:keepNext w:val="0"/>
        <w:keepLines w:val="0"/>
        <w:pageBreakBefore w:val="0"/>
        <w:widowControl w:val="0"/>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highlight w:val="none"/>
          <w:lang w:eastAsia="zh-CN"/>
        </w:rPr>
      </w:pPr>
      <w:r>
        <w:rPr>
          <w:rFonts w:hint="eastAsia" w:ascii="黑体" w:hAnsi="宋体" w:eastAsia="黑体"/>
          <w:highlight w:val="none"/>
        </w:rPr>
        <w:t>二、</w:t>
      </w:r>
      <w:r>
        <w:rPr>
          <w:rFonts w:hint="eastAsia" w:ascii="黑体" w:hAnsi="宋体" w:eastAsia="黑体"/>
          <w:highlight w:val="none"/>
          <w:lang w:eastAsia="zh-CN"/>
        </w:rPr>
        <w:t>评价实施</w:t>
      </w:r>
    </w:p>
    <w:p w14:paraId="463C25BF">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eastAsia="仿宋_GB2312" w:cs="Times New Roman"/>
          <w:szCs w:val="32"/>
        </w:rPr>
      </w:pPr>
      <w:r>
        <w:rPr>
          <w:rFonts w:hint="eastAsia" w:ascii="楷体_GB2312" w:hAnsi="宋体" w:eastAsia="楷体_GB2312"/>
          <w:b/>
          <w:color w:val="auto"/>
          <w:sz w:val="32"/>
          <w:szCs w:val="32"/>
          <w:highlight w:val="none"/>
          <w:u w:val="none"/>
          <w:lang w:val="zh-CN"/>
        </w:rPr>
        <w:t>（一）评价目的。</w:t>
      </w:r>
      <w:r>
        <w:rPr>
          <w:rFonts w:eastAsia="仿宋_GB2312" w:cs="Times New Roman"/>
          <w:szCs w:val="32"/>
        </w:rPr>
        <w:t>通过</w:t>
      </w:r>
      <w:r>
        <w:rPr>
          <w:rFonts w:hint="eastAsia" w:cs="Times New Roman"/>
          <w:szCs w:val="32"/>
          <w:lang w:eastAsia="zh-CN"/>
        </w:rPr>
        <w:t>项目</w:t>
      </w:r>
      <w:r>
        <w:rPr>
          <w:rFonts w:hint="eastAsia" w:eastAsia="仿宋_GB2312" w:cs="Times New Roman"/>
          <w:szCs w:val="32"/>
        </w:rPr>
        <w:t>绩效</w:t>
      </w:r>
      <w:r>
        <w:rPr>
          <w:rFonts w:hint="eastAsia" w:cs="Times New Roman"/>
          <w:szCs w:val="32"/>
          <w:lang w:eastAsia="zh-CN"/>
        </w:rPr>
        <w:t>自评，</w:t>
      </w:r>
      <w:r>
        <w:rPr>
          <w:rFonts w:hint="eastAsia" w:cs="Times New Roman"/>
          <w:szCs w:val="32"/>
          <w:lang w:val="en-US" w:eastAsia="zh-CN"/>
        </w:rPr>
        <w:t>提高资金的使用效率，提高法律服务机构服务质量，实现</w:t>
      </w:r>
      <w:r>
        <w:rPr>
          <w:rFonts w:hint="eastAsia" w:ascii="仿宋_GB2312" w:hAnsi="仿宋_GB2312" w:eastAsia="仿宋_GB2312" w:cs="仿宋_GB2312"/>
          <w:i w:val="0"/>
          <w:iCs w:val="0"/>
          <w:caps w:val="0"/>
          <w:color w:val="191919"/>
          <w:spacing w:val="0"/>
          <w:kern w:val="0"/>
          <w:sz w:val="32"/>
          <w:szCs w:val="32"/>
          <w:shd w:val="clear" w:color="auto" w:fill="FFFFFF"/>
          <w:lang w:val="en-US" w:eastAsia="zh-CN" w:bidi="ar"/>
        </w:rPr>
        <w:t>依法行政、依法办事</w:t>
      </w:r>
      <w:r>
        <w:rPr>
          <w:rFonts w:hint="eastAsia" w:ascii="仿宋_GB2312" w:hAnsi="仿宋_GB2312" w:cs="仿宋_GB2312"/>
          <w:i w:val="0"/>
          <w:iCs w:val="0"/>
          <w:caps w:val="0"/>
          <w:color w:val="191919"/>
          <w:spacing w:val="0"/>
          <w:kern w:val="0"/>
          <w:sz w:val="32"/>
          <w:szCs w:val="32"/>
          <w:shd w:val="clear" w:color="auto" w:fill="FFFFFF"/>
          <w:lang w:val="en-US" w:eastAsia="zh-CN" w:bidi="ar"/>
        </w:rPr>
        <w:t>，</w:t>
      </w:r>
      <w:r>
        <w:rPr>
          <w:rFonts w:hint="eastAsia" w:ascii="仿宋_GB2312" w:hAnsi="仿宋_GB2312" w:eastAsia="仿宋_GB2312" w:cs="仿宋_GB2312"/>
          <w:i w:val="0"/>
          <w:iCs w:val="0"/>
          <w:caps w:val="0"/>
          <w:color w:val="191919"/>
          <w:spacing w:val="0"/>
          <w:kern w:val="0"/>
          <w:sz w:val="32"/>
          <w:szCs w:val="32"/>
          <w:shd w:val="clear" w:color="auto" w:fill="FFFFFF"/>
          <w:lang w:val="en-US" w:eastAsia="zh-CN" w:bidi="ar"/>
        </w:rPr>
        <w:t>有效防止在工作中的法律纠纷，有效防范在工作中的纠纷</w:t>
      </w:r>
      <w:r>
        <w:rPr>
          <w:rFonts w:hint="eastAsia" w:ascii="仿宋_GB2312" w:hAnsi="仿宋_GB2312" w:cs="仿宋_GB2312"/>
          <w:i w:val="0"/>
          <w:iCs w:val="0"/>
          <w:caps w:val="0"/>
          <w:color w:val="191919"/>
          <w:spacing w:val="0"/>
          <w:kern w:val="0"/>
          <w:sz w:val="32"/>
          <w:szCs w:val="32"/>
          <w:shd w:val="clear" w:color="auto" w:fill="FFFFFF"/>
          <w:lang w:val="en-US" w:eastAsia="zh-CN" w:bidi="ar"/>
        </w:rPr>
        <w:t>，有效的为单位各项工作开展提供法律支持</w:t>
      </w:r>
      <w:r>
        <w:rPr>
          <w:rFonts w:hint="eastAsia" w:cs="Times New Roman"/>
          <w:szCs w:val="32"/>
          <w:lang w:eastAsia="zh-CN"/>
        </w:rPr>
        <w:t>。</w:t>
      </w:r>
    </w:p>
    <w:p w14:paraId="762E97DF">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default" w:cs="Times New Roman"/>
          <w:szCs w:val="32"/>
          <w:lang w:val="en-US" w:eastAsia="zh-CN"/>
        </w:rPr>
      </w:pPr>
      <w:r>
        <w:rPr>
          <w:rFonts w:hint="eastAsia" w:ascii="楷体_GB2312" w:hAnsi="宋体" w:eastAsia="楷体_GB2312"/>
          <w:b/>
          <w:color w:val="auto"/>
          <w:sz w:val="32"/>
          <w:szCs w:val="32"/>
          <w:highlight w:val="none"/>
          <w:u w:val="none"/>
          <w:lang w:val="zh-CN"/>
        </w:rPr>
        <w:t>（二）预设问题及评价重点。</w:t>
      </w:r>
      <w:r>
        <w:rPr>
          <w:rFonts w:hint="eastAsia" w:ascii="Times New Roman" w:hAnsi="Times New Roman" w:cs="Times New Roman"/>
          <w:szCs w:val="32"/>
          <w:lang w:val="en-US" w:eastAsia="zh-CN"/>
        </w:rPr>
        <w:t>法律顾问服务已按照服务合同支付上海中联（成都）律师事务所服务费</w:t>
      </w:r>
      <w:r>
        <w:rPr>
          <w:rFonts w:hint="eastAsia" w:cs="Times New Roman"/>
          <w:szCs w:val="32"/>
          <w:lang w:val="en-US" w:eastAsia="zh-CN"/>
        </w:rPr>
        <w:t>0.99万</w:t>
      </w:r>
      <w:r>
        <w:rPr>
          <w:rFonts w:hint="eastAsia" w:ascii="Times New Roman" w:hAnsi="Times New Roman" w:cs="Times New Roman"/>
          <w:szCs w:val="32"/>
          <w:lang w:val="en-US" w:eastAsia="zh-CN"/>
        </w:rPr>
        <w:t>元，支付比例达预算的</w:t>
      </w:r>
      <w:r>
        <w:rPr>
          <w:rFonts w:hint="eastAsia" w:cs="Times New Roman"/>
          <w:szCs w:val="32"/>
          <w:lang w:val="en-US" w:eastAsia="zh-CN"/>
        </w:rPr>
        <w:t>99.5</w:t>
      </w:r>
      <w:r>
        <w:rPr>
          <w:rFonts w:hint="eastAsia" w:ascii="Times New Roman" w:hAnsi="Times New Roman" w:cs="Times New Roman"/>
          <w:szCs w:val="32"/>
          <w:lang w:val="en-US" w:eastAsia="zh-CN"/>
        </w:rPr>
        <w:t>%。</w:t>
      </w:r>
      <w:r>
        <w:rPr>
          <w:rFonts w:hint="eastAsia" w:cs="Times New Roman"/>
          <w:szCs w:val="32"/>
          <w:lang w:val="en-US" w:eastAsia="zh-CN"/>
        </w:rPr>
        <w:t>2023年，按时保质保量为分局提供了8次法律咨询服务</w:t>
      </w:r>
      <w:r>
        <w:rPr>
          <w:rFonts w:hint="eastAsia" w:eastAsia="仿宋_GB2312" w:cs="Times New Roman"/>
          <w:szCs w:val="32"/>
          <w:lang w:eastAsia="zh-CN"/>
        </w:rPr>
        <w:t>。</w:t>
      </w:r>
      <w:r>
        <w:rPr>
          <w:rFonts w:hint="eastAsia" w:cs="Times New Roman"/>
          <w:szCs w:val="32"/>
          <w:lang w:val="en-US" w:eastAsia="zh-CN"/>
        </w:rPr>
        <w:t>达到了项目预期的绩效。</w:t>
      </w:r>
    </w:p>
    <w:p w14:paraId="25518835">
      <w:pPr>
        <w:keepNext w:val="0"/>
        <w:keepLines w:val="0"/>
        <w:pageBreakBefore w:val="0"/>
        <w:widowControl w:val="0"/>
        <w:kinsoku/>
        <w:wordWrap/>
        <w:overflowPunct/>
        <w:topLinePunct w:val="0"/>
        <w:autoSpaceDE/>
        <w:autoSpaceDN/>
        <w:bidi w:val="0"/>
        <w:adjustRightInd w:val="0"/>
        <w:snapToGrid w:val="0"/>
        <w:spacing w:line="578" w:lineRule="exact"/>
        <w:ind w:left="0" w:leftChars="0" w:firstLine="643" w:firstLineChars="200"/>
        <w:textAlignment w:val="auto"/>
        <w:outlineLvl w:val="9"/>
        <w:rPr>
          <w:rFonts w:hint="eastAsia" w:cs="Times New Roman"/>
          <w:szCs w:val="32"/>
          <w:lang w:val="zh-CN" w:eastAsia="zh-CN"/>
        </w:rPr>
      </w:pPr>
      <w:r>
        <w:rPr>
          <w:rFonts w:hint="eastAsia" w:ascii="楷体_GB2312" w:hAnsi="宋体" w:eastAsia="楷体_GB2312"/>
          <w:b/>
          <w:color w:val="auto"/>
          <w:sz w:val="32"/>
          <w:szCs w:val="32"/>
          <w:highlight w:val="none"/>
          <w:u w:val="none"/>
          <w:lang w:val="zh-CN"/>
        </w:rPr>
        <w:t>（三）评价选点。</w:t>
      </w:r>
      <w:r>
        <w:rPr>
          <w:rFonts w:hint="eastAsia" w:cs="Times New Roman"/>
          <w:szCs w:val="32"/>
          <w:lang w:val="en-US" w:eastAsia="zh-CN"/>
        </w:rPr>
        <w:t>无</w:t>
      </w:r>
      <w:r>
        <w:rPr>
          <w:rFonts w:hint="eastAsia" w:cs="Times New Roman"/>
          <w:szCs w:val="32"/>
          <w:lang w:val="zh-CN" w:eastAsia="zh-CN"/>
        </w:rPr>
        <w:t>。</w:t>
      </w:r>
    </w:p>
    <w:p w14:paraId="0BC96D38">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eastAsia="仿宋_GB2312" w:cs="Times New Roman"/>
          <w:szCs w:val="32"/>
          <w:lang w:eastAsia="zh-CN"/>
        </w:rPr>
      </w:pPr>
      <w:r>
        <w:rPr>
          <w:rFonts w:hint="eastAsia" w:ascii="楷体_GB2312" w:hAnsi="宋体" w:eastAsia="楷体_GB2312"/>
          <w:b/>
          <w:color w:val="auto"/>
          <w:sz w:val="32"/>
          <w:szCs w:val="32"/>
          <w:highlight w:val="none"/>
          <w:u w:val="none"/>
          <w:lang w:val="zh-CN"/>
        </w:rPr>
        <w:t>（四）评价方法。</w:t>
      </w:r>
      <w:r>
        <w:rPr>
          <w:rFonts w:eastAsia="仿宋_GB2312" w:cs="Times New Roman"/>
          <w:szCs w:val="32"/>
        </w:rPr>
        <w:t>单位自评法</w:t>
      </w:r>
      <w:r>
        <w:rPr>
          <w:rFonts w:hint="eastAsia" w:cs="Times New Roman"/>
          <w:szCs w:val="32"/>
          <w:lang w:eastAsia="zh-CN"/>
        </w:rPr>
        <w:t>。</w:t>
      </w:r>
    </w:p>
    <w:p w14:paraId="779FE2E3">
      <w:pPr>
        <w:keepNext w:val="0"/>
        <w:keepLines w:val="0"/>
        <w:pageBreakBefore w:val="0"/>
        <w:widowControl w:val="0"/>
        <w:kinsoku/>
        <w:wordWrap/>
        <w:overflowPunct/>
        <w:topLinePunct w:val="0"/>
        <w:autoSpaceDE/>
        <w:autoSpaceDN/>
        <w:bidi w:val="0"/>
        <w:spacing w:line="560" w:lineRule="exact"/>
        <w:ind w:firstLine="640"/>
        <w:textAlignment w:val="auto"/>
        <w:outlineLvl w:val="9"/>
        <w:rPr>
          <w:rFonts w:hint="eastAsia" w:eastAsia="仿宋_GB2312" w:cs="Times New Roman"/>
          <w:bCs/>
          <w:lang w:eastAsia="zh-CN"/>
        </w:rPr>
      </w:pPr>
      <w:r>
        <w:rPr>
          <w:rFonts w:hint="eastAsia" w:ascii="楷体_GB2312" w:hAnsi="宋体" w:eastAsia="楷体_GB2312"/>
          <w:b/>
          <w:color w:val="auto"/>
          <w:sz w:val="32"/>
          <w:szCs w:val="32"/>
          <w:highlight w:val="none"/>
          <w:u w:val="none"/>
          <w:lang w:val="zh-CN"/>
        </w:rPr>
        <w:t>（五）评价组织。</w:t>
      </w:r>
      <w:r>
        <w:rPr>
          <w:rFonts w:hint="eastAsia" w:ascii="仿宋_GB2312" w:cs="仿宋_GB2312"/>
          <w:color w:val="000000"/>
          <w:lang w:bidi="ar-SA"/>
        </w:rPr>
        <w:t>根据财政绩效评价要求，由局办公室牵头，相关部室参与配合，绩效评价遵循科学规范原、公正公开原则，统一安排部署省级财政林业草原生态保护恢复（国家公园补助）资金项目管理，有序推进省级财政资金项目绩效评价工作。办公室（财务室）负责审核项目资金及凭证，建设管理部、法规督查部、栖息地保护部现场查看项目建设进度，查阅项目建设资料。</w:t>
      </w:r>
    </w:p>
    <w:p w14:paraId="5446FF63">
      <w:pPr>
        <w:keepNext w:val="0"/>
        <w:keepLines w:val="0"/>
        <w:pageBreakBefore w:val="0"/>
        <w:kinsoku/>
        <w:wordWrap/>
        <w:overflowPunct/>
        <w:topLinePunct w:val="0"/>
        <w:autoSpaceDE/>
        <w:autoSpaceDN/>
        <w:bidi w:val="0"/>
        <w:adjustRightInd w:val="0"/>
        <w:snapToGrid w:val="0"/>
        <w:spacing w:line="578" w:lineRule="exact"/>
        <w:ind w:firstLine="640" w:firstLineChars="200"/>
        <w:textAlignment w:val="auto"/>
        <w:rPr>
          <w:rFonts w:ascii="仿宋_GB2312" w:hAnsi="宋体"/>
          <w:color w:val="auto"/>
          <w:sz w:val="32"/>
          <w:szCs w:val="32"/>
          <w:highlight w:val="none"/>
          <w:u w:val="none"/>
          <w:lang w:val="zh-CN"/>
        </w:rPr>
      </w:pPr>
      <w:r>
        <w:rPr>
          <w:rFonts w:hint="eastAsia" w:ascii="黑体" w:hAnsi="宋体" w:eastAsia="黑体"/>
          <w:color w:val="auto"/>
          <w:sz w:val="32"/>
          <w:szCs w:val="32"/>
          <w:highlight w:val="none"/>
          <w:u w:val="none"/>
        </w:rPr>
        <w:t>三、</w:t>
      </w:r>
      <w:r>
        <w:rPr>
          <w:rFonts w:hint="eastAsia" w:ascii="黑体" w:hAnsi="宋体" w:eastAsia="黑体"/>
          <w:color w:val="auto"/>
          <w:sz w:val="32"/>
          <w:szCs w:val="32"/>
          <w:highlight w:val="none"/>
          <w:u w:val="none"/>
          <w:lang w:eastAsia="zh-CN"/>
        </w:rPr>
        <w:t>绩效分析</w:t>
      </w:r>
      <w:r>
        <w:rPr>
          <w:rFonts w:hint="eastAsia" w:ascii="仿宋_GB2312" w:hAnsi="宋体"/>
          <w:color w:val="auto"/>
          <w:sz w:val="32"/>
          <w:szCs w:val="32"/>
          <w:highlight w:val="none"/>
          <w:u w:val="none"/>
          <w:lang w:val="zh-CN"/>
        </w:rPr>
        <w:tab/>
      </w:r>
    </w:p>
    <w:p w14:paraId="7AA9592E">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p>
    <w:p w14:paraId="01511B03">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sz w:val="32"/>
          <w:szCs w:val="32"/>
          <w:lang w:val="en-US" w:eastAsia="zh-CN"/>
        </w:rPr>
      </w:pPr>
      <w:r>
        <w:rPr>
          <w:rFonts w:hint="eastAsia" w:ascii="楷体_GB2312" w:hAnsi="楷体_GB2312" w:eastAsia="楷体_GB2312" w:cs="楷体_GB2312"/>
          <w:color w:val="auto"/>
          <w:szCs w:val="32"/>
          <w:lang w:val="en-US" w:eastAsia="zh-CN"/>
        </w:rPr>
        <w:t>1.</w:t>
      </w:r>
      <w:r>
        <w:rPr>
          <w:rFonts w:hint="eastAsia" w:ascii="楷体_GB2312" w:hAnsi="楷体_GB2312" w:eastAsia="楷体_GB2312" w:cs="楷体_GB2312"/>
          <w:color w:val="auto"/>
          <w:szCs w:val="32"/>
          <w:lang w:eastAsia="zh-CN"/>
        </w:rPr>
        <w:t>项目决策。</w:t>
      </w:r>
      <w:r>
        <w:rPr>
          <w:rFonts w:hint="eastAsia" w:cs="Times New Roman"/>
          <w:color w:val="auto"/>
          <w:szCs w:val="32"/>
          <w:lang w:val="en-US" w:eastAsia="zh-CN"/>
        </w:rPr>
        <w:t>该项目根据全面依法治州工作安排，以及</w:t>
      </w:r>
      <w:r>
        <w:rPr>
          <w:rFonts w:hint="eastAsia" w:eastAsia="仿宋_GB2312"/>
          <w:sz w:val="32"/>
          <w:szCs w:val="32"/>
          <w:lang w:val="en-US" w:eastAsia="zh-CN"/>
        </w:rPr>
        <w:t>通过2022年度工作开展</w:t>
      </w:r>
      <w:r>
        <w:rPr>
          <w:rFonts w:hint="eastAsia"/>
          <w:sz w:val="32"/>
          <w:szCs w:val="32"/>
          <w:lang w:val="en-US" w:eastAsia="zh-CN"/>
        </w:rPr>
        <w:t>情况，及工作实际进行项目的申报，项目通过分局党组会研究并报州财政局预算审核批准后确定实施</w:t>
      </w:r>
    </w:p>
    <w:p w14:paraId="313FB6FF">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cs="Times New Roman"/>
          <w:color w:val="auto"/>
          <w:szCs w:val="32"/>
          <w:lang w:eastAsia="zh-CN"/>
        </w:rPr>
      </w:pPr>
      <w:r>
        <w:rPr>
          <w:rFonts w:hint="eastAsia" w:ascii="楷体_GB2312" w:hAnsi="楷体_GB2312" w:eastAsia="楷体_GB2312" w:cs="楷体_GB2312"/>
          <w:color w:val="auto"/>
          <w:szCs w:val="32"/>
          <w:lang w:val="en-US" w:eastAsia="zh-CN"/>
        </w:rPr>
        <w:t>2.</w:t>
      </w:r>
      <w:r>
        <w:rPr>
          <w:rFonts w:hint="eastAsia" w:ascii="楷体_GB2312" w:hAnsi="楷体_GB2312" w:eastAsia="楷体_GB2312" w:cs="楷体_GB2312"/>
          <w:color w:val="auto"/>
          <w:szCs w:val="32"/>
          <w:lang w:eastAsia="zh-CN"/>
        </w:rPr>
        <w:t>项目管理。</w:t>
      </w:r>
      <w:r>
        <w:rPr>
          <w:rFonts w:hint="eastAsia" w:cs="Times New Roman"/>
          <w:color w:val="auto"/>
          <w:szCs w:val="32"/>
          <w:lang w:val="en-US" w:eastAsia="zh-CN"/>
        </w:rPr>
        <w:t>本项目严格按照《大熊猫国家公园阿坝管理分局内控制度（实行）》明确的预算、政府采购、合同管理制度，组织开展项目的组织实施</w:t>
      </w:r>
      <w:r>
        <w:rPr>
          <w:rFonts w:hint="eastAsia" w:ascii="Times New Roman" w:hAnsi="Times New Roman" w:cs="Times New Roman"/>
          <w:color w:val="auto"/>
          <w:szCs w:val="32"/>
          <w:lang w:eastAsia="zh-CN"/>
        </w:rPr>
        <w:t>。</w:t>
      </w:r>
    </w:p>
    <w:p w14:paraId="0C2F58AF">
      <w:pPr>
        <w:keepNext w:val="0"/>
        <w:keepLines w:val="0"/>
        <w:pageBreakBefore w:val="0"/>
        <w:widowControl w:val="0"/>
        <w:kinsoku/>
        <w:wordWrap/>
        <w:overflowPunct/>
        <w:topLinePunct w:val="0"/>
        <w:autoSpaceDE/>
        <w:autoSpaceDN/>
        <w:bidi w:val="0"/>
        <w:adjustRightInd/>
        <w:snapToGrid/>
        <w:spacing w:line="578" w:lineRule="exact"/>
        <w:ind w:left="640" w:leftChars="200" w:firstLine="0" w:firstLineChars="0"/>
        <w:textAlignment w:val="auto"/>
        <w:outlineLvl w:val="9"/>
        <w:rPr>
          <w:rFonts w:hint="eastAsia"/>
          <w:sz w:val="32"/>
          <w:szCs w:val="32"/>
          <w:lang w:val="en-US" w:eastAsia="zh-CN"/>
        </w:rPr>
      </w:pPr>
      <w:r>
        <w:rPr>
          <w:rFonts w:hint="eastAsia" w:ascii="楷体_GB2312" w:hAnsi="楷体_GB2312" w:eastAsia="楷体_GB2312" w:cs="楷体_GB2312"/>
          <w:color w:val="auto"/>
          <w:szCs w:val="32"/>
          <w:lang w:val="en-US" w:eastAsia="zh-CN"/>
        </w:rPr>
        <w:t>3.项目实施。2023年共下达</w:t>
      </w:r>
      <w:r>
        <w:rPr>
          <w:rFonts w:hint="eastAsia" w:eastAsia="仿宋_GB2312"/>
          <w:sz w:val="32"/>
          <w:szCs w:val="32"/>
          <w:lang w:val="en-US" w:eastAsia="zh-CN"/>
        </w:rPr>
        <w:t>法律顾问预算为1万元。</w:t>
      </w:r>
      <w:r>
        <w:rPr>
          <w:rFonts w:hint="eastAsia"/>
          <w:sz w:val="32"/>
          <w:szCs w:val="32"/>
          <w:lang w:val="en-US" w:eastAsia="zh-CN"/>
        </w:rPr>
        <w:t>按照</w:t>
      </w:r>
    </w:p>
    <w:p w14:paraId="6E17A2A4">
      <w:pPr>
        <w:keepNext w:val="0"/>
        <w:keepLines w:val="0"/>
        <w:pageBreakBefore w:val="0"/>
        <w:widowControl w:val="0"/>
        <w:kinsoku/>
        <w:wordWrap/>
        <w:overflowPunct/>
        <w:topLinePunct w:val="0"/>
        <w:autoSpaceDE/>
        <w:autoSpaceDN/>
        <w:bidi w:val="0"/>
        <w:adjustRightInd/>
        <w:snapToGrid/>
        <w:spacing w:line="578" w:lineRule="exact"/>
        <w:textAlignment w:val="auto"/>
        <w:outlineLvl w:val="9"/>
        <w:rPr>
          <w:rFonts w:hint="eastAsia" w:ascii="Times New Roman" w:hAnsi="Times New Roman" w:cs="Times New Roman"/>
          <w:color w:val="auto"/>
          <w:szCs w:val="32"/>
          <w:lang w:eastAsia="zh-CN"/>
        </w:rPr>
      </w:pPr>
      <w:r>
        <w:rPr>
          <w:rFonts w:hint="eastAsia"/>
          <w:sz w:val="32"/>
          <w:szCs w:val="32"/>
          <w:lang w:val="en-US" w:eastAsia="zh-CN"/>
        </w:rPr>
        <w:t>2023年采购确定继续由</w:t>
      </w:r>
      <w:r>
        <w:rPr>
          <w:rFonts w:hint="eastAsia" w:ascii="Times New Roman" w:hAnsi="Times New Roman" w:cs="Times New Roman"/>
          <w:szCs w:val="32"/>
          <w:lang w:val="en-US" w:eastAsia="zh-CN"/>
        </w:rPr>
        <w:t>上海中联（成都）律师事务所</w:t>
      </w:r>
      <w:r>
        <w:rPr>
          <w:rFonts w:hint="eastAsia" w:cs="Times New Roman"/>
          <w:szCs w:val="32"/>
          <w:lang w:val="en-US" w:eastAsia="zh-CN"/>
        </w:rPr>
        <w:t>为分局提供法律服务活动，</w:t>
      </w:r>
      <w:r>
        <w:rPr>
          <w:rFonts w:hint="eastAsia" w:ascii="Times New Roman" w:hAnsi="Times New Roman" w:cs="Times New Roman"/>
          <w:szCs w:val="32"/>
          <w:lang w:val="en-US" w:eastAsia="zh-CN"/>
        </w:rPr>
        <w:t>法律顾问服务已按照服务合同支付上海中联（成都）律师事务所服务费</w:t>
      </w:r>
      <w:r>
        <w:rPr>
          <w:rFonts w:hint="eastAsia" w:cs="Times New Roman"/>
          <w:szCs w:val="32"/>
          <w:lang w:val="en-US" w:eastAsia="zh-CN"/>
        </w:rPr>
        <w:t>0.95万</w:t>
      </w:r>
      <w:r>
        <w:rPr>
          <w:rFonts w:hint="eastAsia" w:ascii="Times New Roman" w:hAnsi="Times New Roman" w:cs="Times New Roman"/>
          <w:szCs w:val="32"/>
          <w:lang w:val="en-US" w:eastAsia="zh-CN"/>
        </w:rPr>
        <w:t>元，支付比例达预算的</w:t>
      </w:r>
      <w:r>
        <w:rPr>
          <w:rFonts w:hint="eastAsia" w:cs="Times New Roman"/>
          <w:szCs w:val="32"/>
          <w:lang w:val="en-US" w:eastAsia="zh-CN"/>
        </w:rPr>
        <w:t>99.5</w:t>
      </w:r>
      <w:r>
        <w:rPr>
          <w:rFonts w:hint="eastAsia" w:ascii="Times New Roman" w:hAnsi="Times New Roman" w:cs="Times New Roman"/>
          <w:szCs w:val="32"/>
          <w:lang w:val="en-US" w:eastAsia="zh-CN"/>
        </w:rPr>
        <w:t>%。</w:t>
      </w:r>
    </w:p>
    <w:p w14:paraId="627654F7">
      <w:pPr>
        <w:keepNext w:val="0"/>
        <w:keepLines w:val="0"/>
        <w:pageBreakBefore w:val="0"/>
        <w:widowControl w:val="0"/>
        <w:numPr>
          <w:ilvl w:val="0"/>
          <w:numId w:val="1"/>
        </w:numPr>
        <w:kinsoku/>
        <w:wordWrap/>
        <w:overflowPunct/>
        <w:topLinePunct w:val="0"/>
        <w:autoSpaceDE/>
        <w:autoSpaceDN/>
        <w:bidi w:val="0"/>
        <w:adjustRightInd/>
        <w:snapToGrid/>
        <w:spacing w:line="578" w:lineRule="exact"/>
        <w:ind w:left="640" w:leftChars="200" w:firstLine="0" w:firstLineChars="0"/>
        <w:textAlignment w:val="auto"/>
        <w:outlineLvl w:val="9"/>
        <w:rPr>
          <w:rFonts w:hint="eastAsia" w:ascii="Times New Roman" w:hAnsi="Times New Roman" w:cs="Times New Roman"/>
          <w:color w:val="auto"/>
          <w:szCs w:val="32"/>
          <w:lang w:eastAsia="zh-CN"/>
        </w:rPr>
      </w:pPr>
      <w:r>
        <w:rPr>
          <w:rFonts w:hint="eastAsia" w:ascii="楷体_GB2312" w:hAnsi="楷体_GB2312" w:eastAsia="楷体_GB2312" w:cs="楷体_GB2312"/>
          <w:color w:val="auto"/>
          <w:szCs w:val="32"/>
          <w:lang w:val="en-US" w:eastAsia="zh-CN"/>
        </w:rPr>
        <w:t>项目结果。</w:t>
      </w:r>
      <w:r>
        <w:rPr>
          <w:rFonts w:hint="eastAsia" w:eastAsia="仿宋_GB2312"/>
          <w:sz w:val="32"/>
          <w:szCs w:val="32"/>
          <w:lang w:val="en-US" w:eastAsia="zh-CN"/>
        </w:rPr>
        <w:t>设置了一级指标4个、二级指标7个、三级</w:t>
      </w:r>
    </w:p>
    <w:p w14:paraId="40A45A53">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9"/>
        <w:rPr>
          <w:rFonts w:hint="eastAsia" w:cs="Times New Roman"/>
          <w:color w:val="auto"/>
          <w:szCs w:val="32"/>
          <w:lang w:val="en-US" w:eastAsia="zh-CN"/>
        </w:rPr>
      </w:pPr>
      <w:r>
        <w:rPr>
          <w:rFonts w:hint="eastAsia" w:eastAsia="仿宋_GB2312"/>
          <w:sz w:val="32"/>
          <w:szCs w:val="32"/>
          <w:lang w:val="en-US" w:eastAsia="zh-CN"/>
        </w:rPr>
        <w:t>指标7个绩效考核目标</w:t>
      </w:r>
      <w:r>
        <w:rPr>
          <w:rFonts w:hint="eastAsia"/>
          <w:sz w:val="32"/>
          <w:szCs w:val="32"/>
          <w:lang w:val="en-US" w:eastAsia="zh-CN"/>
        </w:rPr>
        <w:t>。本项目设置的2023年及时保质保量提供合格的法律咨询服务次数为8次，全年已为分局提供8次以上法律服务，完成率达</w:t>
      </w:r>
      <w:r>
        <w:rPr>
          <w:rFonts w:hint="eastAsia" w:cs="Times New Roman"/>
          <w:color w:val="auto"/>
          <w:szCs w:val="32"/>
          <w:lang w:val="en-US" w:eastAsia="zh-CN"/>
        </w:rPr>
        <w:t>100%。</w:t>
      </w:r>
    </w:p>
    <w:p w14:paraId="669C7C9C">
      <w:pPr>
        <w:keepNext w:val="0"/>
        <w:keepLines w:val="0"/>
        <w:pageBreakBefore w:val="0"/>
        <w:widowControl w:val="0"/>
        <w:kinsoku/>
        <w:wordWrap/>
        <w:overflowPunct/>
        <w:topLinePunct w:val="0"/>
        <w:autoSpaceDE/>
        <w:autoSpaceDN/>
        <w:bidi w:val="0"/>
        <w:adjustRightInd/>
        <w:snapToGrid/>
        <w:spacing w:line="578" w:lineRule="exact"/>
        <w:ind w:left="0" w:leftChars="0" w:firstLine="643" w:firstLineChars="200"/>
        <w:textAlignment w:val="auto"/>
        <w:outlineLvl w:val="9"/>
        <w:rPr>
          <w:rFonts w:hint="default" w:cs="Times New Roman"/>
          <w:color w:val="auto"/>
          <w:szCs w:val="32"/>
          <w:lang w:val="en-US" w:eastAsia="zh-CN"/>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Cs w:val="32"/>
          <w:highlight w:val="none"/>
          <w:shd w:val="clear" w:color="auto" w:fill="FFFFFF"/>
          <w:lang w:val="zh-CN"/>
        </w:rPr>
        <w:t>绩效分析。</w:t>
      </w:r>
      <w:r>
        <w:rPr>
          <w:rFonts w:hint="default" w:cs="Times New Roman"/>
          <w:color w:val="auto"/>
          <w:szCs w:val="32"/>
          <w:lang w:val="zh-CN" w:eastAsia="zh-CN"/>
        </w:rPr>
        <w:t>对法规规章起草工作及相关立法征求意见提出建议，对规范性文件、重大决策的合法性进行审查，开展行政处罚、行政强制、行政许可等行政决定进行法律审查，开展对外签订的合同、协议等进行法律审查，协助处理信息公开、信访投诉及其他涉法事务，协助开展法治教育培训等。</w:t>
      </w:r>
      <w:r>
        <w:rPr>
          <w:rFonts w:hint="eastAsia" w:ascii="仿宋_GB2312" w:hAnsi="Times New Roman" w:eastAsia="仿宋_GB2312" w:cs="仿宋_GB2312"/>
          <w:b w:val="0"/>
          <w:bCs w:val="0"/>
          <w:caps w:val="0"/>
          <w:color w:val="auto"/>
          <w:kern w:val="2"/>
          <w:sz w:val="32"/>
          <w:szCs w:val="32"/>
          <w:vertAlign w:val="baseline"/>
          <w:lang w:val="en-US" w:eastAsia="zh-CN" w:bidi="ar"/>
        </w:rPr>
        <w:t>法律顾问服务单位要及时、准确的为分局提供法律咨询服务，切实做到依法行政、依法办事</w:t>
      </w:r>
      <w:r>
        <w:rPr>
          <w:rFonts w:hint="eastAsia" w:ascii="仿宋_GB2312" w:cs="仿宋_GB2312"/>
          <w:b w:val="0"/>
          <w:bCs w:val="0"/>
          <w:caps w:val="0"/>
          <w:color w:val="auto"/>
          <w:kern w:val="2"/>
          <w:sz w:val="32"/>
          <w:szCs w:val="32"/>
          <w:vertAlign w:val="baseline"/>
          <w:lang w:val="en-US" w:eastAsia="zh-CN" w:bidi="ar"/>
        </w:rPr>
        <w:t>，</w:t>
      </w:r>
      <w:r>
        <w:rPr>
          <w:rFonts w:hint="default" w:cs="Times New Roman"/>
          <w:color w:val="auto"/>
          <w:szCs w:val="32"/>
          <w:lang w:val="zh-CN" w:eastAsia="zh-CN"/>
        </w:rPr>
        <w:t>避免因法律问题产生的经济损失</w:t>
      </w:r>
      <w:r>
        <w:rPr>
          <w:rFonts w:hint="eastAsia" w:cs="Times New Roman"/>
          <w:color w:val="auto"/>
          <w:szCs w:val="32"/>
          <w:lang w:val="zh-CN" w:eastAsia="zh-CN"/>
        </w:rPr>
        <w:t>，</w:t>
      </w:r>
      <w:r>
        <w:rPr>
          <w:rFonts w:hint="eastAsia" w:cs="Times New Roman"/>
          <w:color w:val="auto"/>
          <w:szCs w:val="32"/>
          <w:lang w:val="en-US" w:eastAsia="zh-CN"/>
        </w:rPr>
        <w:t>确保单位的正常运转。</w:t>
      </w:r>
    </w:p>
    <w:p w14:paraId="74093AD2">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200"/>
        <w:textAlignment w:val="auto"/>
        <w:outlineLvl w:val="9"/>
        <w:rPr>
          <w:rFonts w:hint="eastAsia" w:ascii="Times New Roman" w:hAnsi="Times New Roman" w:cs="Times New Roman"/>
          <w:color w:val="auto"/>
          <w:szCs w:val="32"/>
          <w:lang w:eastAsia="zh-CN"/>
        </w:rPr>
      </w:pPr>
      <w:r>
        <w:rPr>
          <w:rFonts w:hint="eastAsia" w:ascii="楷体_GB2312" w:hAnsi="宋体" w:eastAsia="楷体_GB2312" w:cs="Times New Roman"/>
          <w:b/>
          <w:color w:val="auto"/>
          <w:sz w:val="32"/>
          <w:szCs w:val="32"/>
          <w:highlight w:val="none"/>
          <w:u w:val="none"/>
          <w:lang w:val="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Cs w:val="32"/>
          <w:highlight w:val="none"/>
          <w:shd w:val="clear" w:color="auto" w:fill="FFFFFF"/>
          <w:lang w:val="zh-CN"/>
        </w:rPr>
        <w:t>绩效分析。</w:t>
      </w:r>
      <w:r>
        <w:rPr>
          <w:rFonts w:hint="eastAsia" w:cs="Times New Roman"/>
          <w:color w:val="auto"/>
          <w:szCs w:val="32"/>
          <w:lang w:val="en-US" w:eastAsia="zh-CN"/>
        </w:rPr>
        <w:t>预计到年底，能按照</w:t>
      </w:r>
      <w:r>
        <w:rPr>
          <w:rFonts w:hint="eastAsia" w:eastAsia="仿宋_GB2312"/>
          <w:sz w:val="32"/>
          <w:szCs w:val="32"/>
          <w:lang w:val="en-US" w:eastAsia="zh-CN"/>
        </w:rPr>
        <w:t>设置了</w:t>
      </w:r>
    </w:p>
    <w:p w14:paraId="12FE9534">
      <w:pPr>
        <w:keepNext w:val="0"/>
        <w:keepLines w:val="0"/>
        <w:pageBreakBefore w:val="0"/>
        <w:widowControl w:val="0"/>
        <w:numPr>
          <w:ilvl w:val="0"/>
          <w:numId w:val="0"/>
        </w:numPr>
        <w:kinsoku/>
        <w:wordWrap/>
        <w:overflowPunct/>
        <w:topLinePunct w:val="0"/>
        <w:autoSpaceDE/>
        <w:autoSpaceDN/>
        <w:bidi w:val="0"/>
        <w:adjustRightInd/>
        <w:snapToGrid/>
        <w:spacing w:line="578" w:lineRule="exact"/>
        <w:textAlignment w:val="auto"/>
        <w:outlineLvl w:val="9"/>
        <w:rPr>
          <w:rFonts w:hint="default" w:cs="Times New Roman"/>
          <w:color w:val="auto"/>
          <w:szCs w:val="32"/>
          <w:lang w:val="en-US" w:eastAsia="zh-CN"/>
        </w:rPr>
      </w:pPr>
      <w:r>
        <w:rPr>
          <w:rFonts w:hint="eastAsia" w:eastAsia="仿宋_GB2312"/>
          <w:sz w:val="32"/>
          <w:szCs w:val="32"/>
          <w:lang w:val="en-US" w:eastAsia="zh-CN"/>
        </w:rPr>
        <w:t>一级指标4个、二级指标7个、三级指标7个绩效考核目标</w:t>
      </w:r>
      <w:r>
        <w:rPr>
          <w:rFonts w:hint="eastAsia"/>
          <w:sz w:val="32"/>
          <w:szCs w:val="32"/>
          <w:lang w:val="en-US" w:eastAsia="zh-CN"/>
        </w:rPr>
        <w:t>完成所有服务内容。</w:t>
      </w:r>
    </w:p>
    <w:p w14:paraId="3861207D">
      <w:pPr>
        <w:pStyle w:val="3"/>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黑体" w:hAnsi="宋体" w:eastAsia="黑体"/>
          <w:color w:val="auto"/>
          <w:sz w:val="32"/>
          <w:szCs w:val="32"/>
          <w:highlight w:val="none"/>
          <w:u w:val="none"/>
        </w:rPr>
      </w:pPr>
      <w:r>
        <w:rPr>
          <w:rFonts w:hint="eastAsia" w:ascii="黑体" w:hAnsi="宋体" w:eastAsia="黑体"/>
          <w:color w:val="auto"/>
          <w:sz w:val="32"/>
          <w:szCs w:val="32"/>
          <w:highlight w:val="none"/>
          <w:u w:val="none"/>
          <w:lang w:eastAsia="zh-CN"/>
        </w:rPr>
        <w:t>四</w:t>
      </w:r>
      <w:r>
        <w:rPr>
          <w:rFonts w:hint="eastAsia" w:ascii="黑体" w:hAnsi="宋体" w:eastAsia="黑体"/>
          <w:color w:val="auto"/>
          <w:sz w:val="32"/>
          <w:szCs w:val="32"/>
          <w:highlight w:val="none"/>
          <w:u w:val="none"/>
        </w:rPr>
        <w:t>、评价结论</w:t>
      </w:r>
    </w:p>
    <w:p w14:paraId="4870FFDC">
      <w:pPr>
        <w:pStyle w:val="3"/>
        <w:keepNext w:val="0"/>
        <w:keepLines w:val="0"/>
        <w:pageBreakBefore w:val="0"/>
        <w:widowControl/>
        <w:kinsoku/>
        <w:wordWrap/>
        <w:overflowPunct/>
        <w:topLinePunct w:val="0"/>
        <w:autoSpaceDE/>
        <w:autoSpaceDN/>
        <w:bidi w:val="0"/>
        <w:adjustRightInd/>
        <w:spacing w:line="560" w:lineRule="exact"/>
        <w:ind w:left="0" w:firstLine="640" w:firstLineChars="200"/>
        <w:jc w:val="both"/>
        <w:textAlignment w:val="auto"/>
        <w:rPr>
          <w:rFonts w:hint="eastAsia" w:ascii="仿宋_GB2312" w:eastAsia="仿宋_GB2312" w:cs="仿宋_GB2312"/>
          <w:sz w:val="32"/>
          <w:szCs w:val="32"/>
          <w:highlight w:val="none"/>
          <w:lang w:val="zh-CN" w:eastAsia="zh-CN" w:bidi="ar-SA"/>
        </w:rPr>
      </w:pPr>
      <w:r>
        <w:rPr>
          <w:rFonts w:hint="eastAsia" w:ascii="仿宋_GB2312" w:eastAsia="仿宋_GB2312" w:cs="仿宋_GB2312"/>
          <w:sz w:val="32"/>
          <w:szCs w:val="32"/>
          <w:lang w:val="zh-CN" w:eastAsia="zh-CN" w:bidi="ar-SA"/>
        </w:rPr>
        <w:t>从综合评价来看，项目立项依据充分，均设定了项目绩效目标，资金配置科学合理，严格项目管理，采购的严格按照政府采购相关程序执行，</w:t>
      </w:r>
      <w:r>
        <w:rPr>
          <w:rFonts w:hint="eastAsia" w:ascii="仿宋_GB2312" w:eastAsia="仿宋_GB2312" w:cs="仿宋_GB2312"/>
          <w:sz w:val="32"/>
          <w:szCs w:val="32"/>
          <w:lang w:val="en-US" w:eastAsia="zh-CN" w:bidi="ar-SA"/>
        </w:rPr>
        <w:t>项目的实施达到了预期的效果</w:t>
      </w:r>
      <w:r>
        <w:rPr>
          <w:rFonts w:hint="eastAsia" w:ascii="仿宋_GB2312" w:eastAsia="仿宋_GB2312" w:cs="仿宋_GB2312"/>
          <w:sz w:val="32"/>
          <w:szCs w:val="32"/>
          <w:lang w:val="zh-CN" w:eastAsia="zh-CN" w:bidi="ar-SA"/>
        </w:rPr>
        <w:t>。整体情况良好。</w:t>
      </w:r>
    </w:p>
    <w:p w14:paraId="15F0B5B1">
      <w:pPr>
        <w:pStyle w:val="3"/>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黑体" w:hAnsi="宋体" w:eastAsia="黑体" w:cs="Times New Roman"/>
          <w:color w:val="auto"/>
          <w:sz w:val="32"/>
          <w:szCs w:val="32"/>
          <w:highlight w:val="none"/>
          <w:u w:val="none"/>
          <w:lang w:eastAsia="zh-CN"/>
        </w:rPr>
      </w:pPr>
      <w:r>
        <w:rPr>
          <w:rFonts w:hint="eastAsia" w:ascii="黑体" w:hAnsi="宋体" w:cs="Times New Roman"/>
          <w:color w:val="auto"/>
          <w:sz w:val="32"/>
          <w:szCs w:val="32"/>
          <w:highlight w:val="none"/>
          <w:u w:val="none"/>
          <w:lang w:eastAsia="zh-CN"/>
        </w:rPr>
        <w:t>五、</w:t>
      </w:r>
      <w:r>
        <w:rPr>
          <w:rFonts w:hint="eastAsia" w:ascii="黑体" w:hAnsi="宋体" w:eastAsia="黑体" w:cs="Times New Roman"/>
          <w:color w:val="auto"/>
          <w:sz w:val="32"/>
          <w:szCs w:val="32"/>
          <w:highlight w:val="none"/>
          <w:u w:val="none"/>
          <w:lang w:eastAsia="zh-CN"/>
        </w:rPr>
        <w:t>存在主要问题</w:t>
      </w:r>
    </w:p>
    <w:p w14:paraId="5DFD32AB">
      <w:pPr>
        <w:pStyle w:val="3"/>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黑体" w:hAnsi="黑体" w:cs="黑体"/>
          <w:b w:val="0"/>
          <w:bCs w:val="0"/>
          <w:kern w:val="2"/>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无。</w:t>
      </w:r>
    </w:p>
    <w:p w14:paraId="3E7F93ED">
      <w:pPr>
        <w:pStyle w:val="3"/>
        <w:pageBreakBefore w:val="0"/>
        <w:numPr>
          <w:ilvl w:val="0"/>
          <w:numId w:val="0"/>
        </w:numPr>
        <w:kinsoku/>
        <w:wordWrap/>
        <w:overflowPunct/>
        <w:topLinePunct w:val="0"/>
        <w:autoSpaceDE/>
        <w:autoSpaceDN/>
        <w:bidi w:val="0"/>
        <w:adjustRightInd/>
        <w:spacing w:line="600" w:lineRule="exact"/>
        <w:ind w:firstLine="640" w:firstLineChars="200"/>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14:paraId="1514E358">
      <w:pPr>
        <w:tabs>
          <w:tab w:val="left" w:pos="1911"/>
        </w:tabs>
        <w:jc w:val="left"/>
        <w:rPr>
          <w:rFonts w:hint="eastAsia" w:ascii="仿宋_GB2312" w:hAnsi="仿宋_GB2312" w:eastAsia="仿宋_GB2312" w:cs="仿宋_GB2312"/>
          <w:b w:val="0"/>
          <w:bCs w:val="0"/>
          <w:kern w:val="0"/>
          <w:position w:val="0"/>
          <w:sz w:val="32"/>
          <w:szCs w:val="32"/>
          <w:highlight w:val="none"/>
          <w:lang w:val="en" w:eastAsia="zh-CN" w:bidi="ar-SA"/>
        </w:rPr>
      </w:pPr>
      <w:r>
        <w:rPr>
          <w:rFonts w:hint="eastAsia" w:ascii="仿宋_GB2312" w:hAnsi="仿宋_GB2312" w:eastAsia="仿宋_GB2312" w:cs="仿宋_GB2312"/>
          <w:color w:val="auto"/>
          <w:kern w:val="0"/>
          <w:sz w:val="32"/>
          <w:szCs w:val="32"/>
          <w:highlight w:val="none"/>
          <w:u w:val="none"/>
          <w:shd w:val="clear" w:color="auto" w:fill="FFFFFF"/>
          <w:lang w:val="zh-CN" w:eastAsia="zh-CN"/>
        </w:rPr>
        <w:t xml:space="preserve"> </w:t>
      </w:r>
      <w:r>
        <w:rPr>
          <w:rFonts w:hint="eastAsia" w:ascii="仿宋_GB2312" w:hAnsi="仿宋_GB2312" w:cs="仿宋_GB2312"/>
          <w:b w:val="0"/>
          <w:bCs w:val="0"/>
          <w:kern w:val="0"/>
          <w:position w:val="0"/>
          <w:sz w:val="32"/>
          <w:szCs w:val="32"/>
          <w:highlight w:val="none"/>
          <w:lang w:val="en-US" w:eastAsia="zh-CN" w:bidi="ar-SA"/>
        </w:rPr>
        <w:t xml:space="preserve">   </w:t>
      </w:r>
      <w:bookmarkStart w:id="0" w:name="_Hlk110546638"/>
      <w:r>
        <w:rPr>
          <w:rFonts w:hint="eastAsia" w:ascii="仿宋_GB2312" w:hAnsi="仿宋_GB2312" w:cs="仿宋_GB2312"/>
          <w:b w:val="0"/>
          <w:bCs w:val="0"/>
          <w:kern w:val="0"/>
          <w:position w:val="0"/>
          <w:sz w:val="32"/>
          <w:szCs w:val="32"/>
          <w:highlight w:val="none"/>
          <w:lang w:val="en-US" w:eastAsia="zh-CN" w:bidi="ar-SA"/>
        </w:rPr>
        <w:t>无。</w:t>
      </w:r>
    </w:p>
    <w:bookmarkEnd w:id="0"/>
    <w:p w14:paraId="0A15232B">
      <w:pPr>
        <w:keepNext w:val="0"/>
        <w:keepLines w:val="0"/>
        <w:pageBreakBefore w:val="0"/>
        <w:kinsoku/>
        <w:wordWrap/>
        <w:overflowPunct/>
        <w:topLinePunct w:val="0"/>
        <w:autoSpaceDE/>
        <w:autoSpaceDN/>
        <w:bidi w:val="0"/>
        <w:adjustRightInd/>
        <w:snapToGrid w:val="0"/>
        <w:spacing w:line="578" w:lineRule="exact"/>
        <w:ind w:left="0" w:leftChars="0" w:firstLine="640" w:firstLineChars="200"/>
        <w:textAlignment w:val="auto"/>
        <w:outlineLvl w:val="9"/>
        <w:rPr>
          <w:rFonts w:hint="eastAsia" w:ascii="Times New Roman" w:hAnsi="Times New Roman" w:cs="Times New Roman"/>
          <w:color w:val="000000"/>
          <w:kern w:val="0"/>
          <w:szCs w:val="32"/>
          <w:highlight w:val="none"/>
          <w:shd w:val="clear" w:color="auto" w:fill="FFFFFF"/>
          <w:lang w:val="zh-CN" w:eastAsia="zh-CN"/>
        </w:rPr>
      </w:pPr>
    </w:p>
    <w:p w14:paraId="28BFF696">
      <w:pPr>
        <w:pStyle w:val="8"/>
        <w:keepNext w:val="0"/>
        <w:keepLines w:val="0"/>
        <w:pageBreakBefore w:val="0"/>
        <w:kinsoku/>
        <w:wordWrap/>
        <w:overflowPunct/>
        <w:topLinePunct w:val="0"/>
        <w:autoSpaceDE/>
        <w:autoSpaceDN/>
        <w:bidi w:val="0"/>
        <w:spacing w:after="0" w:line="578" w:lineRule="exact"/>
        <w:ind w:left="0" w:leftChars="0"/>
        <w:rPr>
          <w:rFonts w:hint="default" w:ascii="黑体" w:hAnsi="黑体" w:eastAsia="黑体" w:cs="黑体"/>
          <w:sz w:val="24"/>
          <w:szCs w:val="24"/>
          <w:highlight w:val="none"/>
          <w:lang w:val="en-US" w:eastAsia="zh-CN"/>
        </w:rPr>
      </w:pPr>
      <w:bookmarkStart w:id="1" w:name="_GoBack"/>
      <w:bookmarkEnd w:id="1"/>
    </w:p>
    <w:sectPr>
      <w:footerReference r:id="rId3" w:type="default"/>
      <w:pgSz w:w="11906" w:h="16838"/>
      <w:pgMar w:top="2098" w:right="1474" w:bottom="1984" w:left="1588"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
    <w:altName w:val="华文中宋"/>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8515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227E8">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5227E8">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68088D"/>
    <w:multiLevelType w:val="singleLevel"/>
    <w:tmpl w:val="7068088D"/>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wMjBiMDE0NDAzMDYwOGJjM2NjMzIxY2I3MmFjYzYifQ=="/>
  </w:docVars>
  <w:rsids>
    <w:rsidRoot w:val="771D4D51"/>
    <w:rsid w:val="1440048D"/>
    <w:rsid w:val="1543585A"/>
    <w:rsid w:val="170D14F5"/>
    <w:rsid w:val="196952BD"/>
    <w:rsid w:val="1C25106F"/>
    <w:rsid w:val="1CFD8DF6"/>
    <w:rsid w:val="1FFF9AD9"/>
    <w:rsid w:val="22AD555F"/>
    <w:rsid w:val="23122038"/>
    <w:rsid w:val="25306A6A"/>
    <w:rsid w:val="26CF2DB3"/>
    <w:rsid w:val="293C2719"/>
    <w:rsid w:val="294D4266"/>
    <w:rsid w:val="29E84D31"/>
    <w:rsid w:val="29FC676B"/>
    <w:rsid w:val="2AF86ED7"/>
    <w:rsid w:val="2AFDF212"/>
    <w:rsid w:val="2B385C88"/>
    <w:rsid w:val="2B6BF484"/>
    <w:rsid w:val="2FFF7DE7"/>
    <w:rsid w:val="30693CE0"/>
    <w:rsid w:val="312A7626"/>
    <w:rsid w:val="31511475"/>
    <w:rsid w:val="33F748AD"/>
    <w:rsid w:val="35874596"/>
    <w:rsid w:val="35F2A362"/>
    <w:rsid w:val="364D5946"/>
    <w:rsid w:val="36CE05E3"/>
    <w:rsid w:val="36EA2AC9"/>
    <w:rsid w:val="371A51D2"/>
    <w:rsid w:val="373BBD0C"/>
    <w:rsid w:val="39BFEDBA"/>
    <w:rsid w:val="39DBABD8"/>
    <w:rsid w:val="39E863EC"/>
    <w:rsid w:val="3AED12ED"/>
    <w:rsid w:val="3AFF6A5D"/>
    <w:rsid w:val="3BDD34D2"/>
    <w:rsid w:val="3BDDFF97"/>
    <w:rsid w:val="3BFFD43B"/>
    <w:rsid w:val="3C7BD5C9"/>
    <w:rsid w:val="3FBF9251"/>
    <w:rsid w:val="3FED766E"/>
    <w:rsid w:val="3FFEEAD9"/>
    <w:rsid w:val="3FFFE931"/>
    <w:rsid w:val="457F07F2"/>
    <w:rsid w:val="4BB5041C"/>
    <w:rsid w:val="4CC6FDBD"/>
    <w:rsid w:val="4CFB1FCE"/>
    <w:rsid w:val="4E07F45D"/>
    <w:rsid w:val="4FF59AF5"/>
    <w:rsid w:val="503D00E8"/>
    <w:rsid w:val="55FE10A2"/>
    <w:rsid w:val="56EF6619"/>
    <w:rsid w:val="57AF1E73"/>
    <w:rsid w:val="587F07D6"/>
    <w:rsid w:val="5A1223DE"/>
    <w:rsid w:val="5AB21C33"/>
    <w:rsid w:val="5B778EC0"/>
    <w:rsid w:val="5BFD93EC"/>
    <w:rsid w:val="5CBA8FF2"/>
    <w:rsid w:val="5D5F7E21"/>
    <w:rsid w:val="5F5B35E4"/>
    <w:rsid w:val="609FA7B0"/>
    <w:rsid w:val="63C61305"/>
    <w:rsid w:val="69FCE5E7"/>
    <w:rsid w:val="6BCDA9CC"/>
    <w:rsid w:val="6D9F2765"/>
    <w:rsid w:val="6DB508E5"/>
    <w:rsid w:val="6DDFA6BD"/>
    <w:rsid w:val="6E767ACE"/>
    <w:rsid w:val="6E781687"/>
    <w:rsid w:val="6EEE3ED1"/>
    <w:rsid w:val="6EFFED40"/>
    <w:rsid w:val="6F1B2166"/>
    <w:rsid w:val="6F5FC1DE"/>
    <w:rsid w:val="6FB3E1FD"/>
    <w:rsid w:val="6FD768E4"/>
    <w:rsid w:val="6FF341F1"/>
    <w:rsid w:val="6FFEBD86"/>
    <w:rsid w:val="73FF1F09"/>
    <w:rsid w:val="73FF684B"/>
    <w:rsid w:val="74A708C5"/>
    <w:rsid w:val="76DFCB7D"/>
    <w:rsid w:val="771D4D51"/>
    <w:rsid w:val="7735A28E"/>
    <w:rsid w:val="77778F6D"/>
    <w:rsid w:val="77ABFD6B"/>
    <w:rsid w:val="77B7A121"/>
    <w:rsid w:val="77C748BA"/>
    <w:rsid w:val="77DD24F1"/>
    <w:rsid w:val="77F10335"/>
    <w:rsid w:val="77F7E860"/>
    <w:rsid w:val="77FB8D34"/>
    <w:rsid w:val="797D0128"/>
    <w:rsid w:val="79EDB415"/>
    <w:rsid w:val="7ABBCDAB"/>
    <w:rsid w:val="7AFCAD25"/>
    <w:rsid w:val="7AFEB9B4"/>
    <w:rsid w:val="7B5E0C37"/>
    <w:rsid w:val="7B63F034"/>
    <w:rsid w:val="7B735637"/>
    <w:rsid w:val="7B7DE504"/>
    <w:rsid w:val="7BFEC4F8"/>
    <w:rsid w:val="7DA14F75"/>
    <w:rsid w:val="7DB57A61"/>
    <w:rsid w:val="7DC7DC1F"/>
    <w:rsid w:val="7DF95E12"/>
    <w:rsid w:val="7DFDF40F"/>
    <w:rsid w:val="7DFF9BC7"/>
    <w:rsid w:val="7EB645E3"/>
    <w:rsid w:val="7EB6B7AB"/>
    <w:rsid w:val="7EDEF702"/>
    <w:rsid w:val="7EFD6908"/>
    <w:rsid w:val="7EFF8787"/>
    <w:rsid w:val="7F121255"/>
    <w:rsid w:val="7F1C270D"/>
    <w:rsid w:val="7F5F4807"/>
    <w:rsid w:val="7F722518"/>
    <w:rsid w:val="7F7CF90E"/>
    <w:rsid w:val="7F9E3557"/>
    <w:rsid w:val="7FBF2857"/>
    <w:rsid w:val="7FD3B1BB"/>
    <w:rsid w:val="7FE7031F"/>
    <w:rsid w:val="7FEC5D3B"/>
    <w:rsid w:val="7FEF37E2"/>
    <w:rsid w:val="7FF70813"/>
    <w:rsid w:val="7FF7B584"/>
    <w:rsid w:val="7FFDFB4B"/>
    <w:rsid w:val="7FFF1910"/>
    <w:rsid w:val="7FFF8C1D"/>
    <w:rsid w:val="7FFF92F0"/>
    <w:rsid w:val="7FFFF07C"/>
    <w:rsid w:val="9BF3195D"/>
    <w:rsid w:val="A5DB4128"/>
    <w:rsid w:val="A6E375DB"/>
    <w:rsid w:val="A6EFA809"/>
    <w:rsid w:val="A6F7CC0B"/>
    <w:rsid w:val="AABFBDFA"/>
    <w:rsid w:val="AF7DE88E"/>
    <w:rsid w:val="AFED1DC0"/>
    <w:rsid w:val="AFFBB299"/>
    <w:rsid w:val="B3ECA4C8"/>
    <w:rsid w:val="B4D7E8EA"/>
    <w:rsid w:val="B4EF3795"/>
    <w:rsid w:val="B5E79B51"/>
    <w:rsid w:val="B6E7F02A"/>
    <w:rsid w:val="B797ED78"/>
    <w:rsid w:val="BB75119C"/>
    <w:rsid w:val="BBD3B774"/>
    <w:rsid w:val="BBDF02B2"/>
    <w:rsid w:val="BCFB0575"/>
    <w:rsid w:val="BE5EC634"/>
    <w:rsid w:val="BEC77393"/>
    <w:rsid w:val="BEFECBAE"/>
    <w:rsid w:val="BF2F7DA9"/>
    <w:rsid w:val="BF7F7592"/>
    <w:rsid w:val="BFB71281"/>
    <w:rsid w:val="BFBDF2DF"/>
    <w:rsid w:val="BFE4DD88"/>
    <w:rsid w:val="BFF9117D"/>
    <w:rsid w:val="BFFF6947"/>
    <w:rsid w:val="C8FDA203"/>
    <w:rsid w:val="CEF79301"/>
    <w:rsid w:val="CEFBB93B"/>
    <w:rsid w:val="CF7C6158"/>
    <w:rsid w:val="CF9D4E98"/>
    <w:rsid w:val="CFBFEC5E"/>
    <w:rsid w:val="D65BF816"/>
    <w:rsid w:val="D73F10CF"/>
    <w:rsid w:val="D977C3BB"/>
    <w:rsid w:val="D977C9A6"/>
    <w:rsid w:val="D9FF310B"/>
    <w:rsid w:val="DBF57698"/>
    <w:rsid w:val="DBFFAB54"/>
    <w:rsid w:val="DDFF5069"/>
    <w:rsid w:val="DECF83A1"/>
    <w:rsid w:val="DEEBD176"/>
    <w:rsid w:val="DEED29CB"/>
    <w:rsid w:val="DEFF6025"/>
    <w:rsid w:val="DF4E686F"/>
    <w:rsid w:val="DF7F78BD"/>
    <w:rsid w:val="DFDFC0CD"/>
    <w:rsid w:val="DFF7F21C"/>
    <w:rsid w:val="DFFE4986"/>
    <w:rsid w:val="E3F74AB8"/>
    <w:rsid w:val="E5FD7CF6"/>
    <w:rsid w:val="E7FE6222"/>
    <w:rsid w:val="E9BB2A12"/>
    <w:rsid w:val="EDDF69E1"/>
    <w:rsid w:val="EDF76BB3"/>
    <w:rsid w:val="EEF68640"/>
    <w:rsid w:val="EFF41AC0"/>
    <w:rsid w:val="EFF76D95"/>
    <w:rsid w:val="EFFF2C87"/>
    <w:rsid w:val="EFFFA435"/>
    <w:rsid w:val="F1DF82E1"/>
    <w:rsid w:val="F1F64F55"/>
    <w:rsid w:val="F2E22473"/>
    <w:rsid w:val="F35D14F0"/>
    <w:rsid w:val="F3F4C349"/>
    <w:rsid w:val="F3F64609"/>
    <w:rsid w:val="F4E96614"/>
    <w:rsid w:val="F4F54B3B"/>
    <w:rsid w:val="F58EBBB0"/>
    <w:rsid w:val="F5CBD2AD"/>
    <w:rsid w:val="F6F3FBF3"/>
    <w:rsid w:val="F6FE0D0F"/>
    <w:rsid w:val="F9B8FDC3"/>
    <w:rsid w:val="F9BF4E89"/>
    <w:rsid w:val="FA79E738"/>
    <w:rsid w:val="FAD729CA"/>
    <w:rsid w:val="FB1B5977"/>
    <w:rsid w:val="FBF62448"/>
    <w:rsid w:val="FBF76486"/>
    <w:rsid w:val="FBFF7DC7"/>
    <w:rsid w:val="FC37AF17"/>
    <w:rsid w:val="FCDE5A6F"/>
    <w:rsid w:val="FCFE5638"/>
    <w:rsid w:val="FCFF1FE1"/>
    <w:rsid w:val="FD7C7175"/>
    <w:rsid w:val="FDD7319B"/>
    <w:rsid w:val="FDDE4FF7"/>
    <w:rsid w:val="FDF8F696"/>
    <w:rsid w:val="FE7B38A4"/>
    <w:rsid w:val="FE7EBDAF"/>
    <w:rsid w:val="FEAF5424"/>
    <w:rsid w:val="FECB8DB0"/>
    <w:rsid w:val="FECF948F"/>
    <w:rsid w:val="FEDCE487"/>
    <w:rsid w:val="FEED62B0"/>
    <w:rsid w:val="FEEFF60E"/>
    <w:rsid w:val="FEFD6F73"/>
    <w:rsid w:val="FF0F1500"/>
    <w:rsid w:val="FF5995C2"/>
    <w:rsid w:val="FF6B552C"/>
    <w:rsid w:val="FF6F74D4"/>
    <w:rsid w:val="FFBB4B28"/>
    <w:rsid w:val="FFCFE300"/>
    <w:rsid w:val="FFD58A98"/>
    <w:rsid w:val="FFDD382A"/>
    <w:rsid w:val="FFDFD60A"/>
    <w:rsid w:val="FFE6F78D"/>
    <w:rsid w:val="FFEBBD1A"/>
    <w:rsid w:val="FFEF3B9A"/>
    <w:rsid w:val="FFF171B6"/>
    <w:rsid w:val="FFF33D76"/>
    <w:rsid w:val="FFF3C5BB"/>
    <w:rsid w:val="FFFA984C"/>
    <w:rsid w:val="FFFB4651"/>
    <w:rsid w:val="FFFD90B9"/>
    <w:rsid w:val="FFFF2620"/>
    <w:rsid w:val="FFFF5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3">
    <w:name w:val="Body Text"/>
    <w:basedOn w:val="1"/>
    <w:qFormat/>
    <w:uiPriority w:val="99"/>
    <w:pPr>
      <w:widowControl/>
      <w:tabs>
        <w:tab w:val="left" w:pos="2160"/>
      </w:tabs>
      <w:spacing w:line="480" w:lineRule="auto"/>
      <w:jc w:val="left"/>
    </w:pPr>
    <w:rPr>
      <w:rFonts w:ascii="楷体_GB2312" w:eastAsia="黑体"/>
      <w:kern w:val="0"/>
      <w:position w:val="3"/>
      <w:sz w:val="20"/>
      <w:szCs w:val="20"/>
      <w:lang w:eastAsia="en-US"/>
    </w:rPr>
  </w:style>
  <w:style w:type="paragraph" w:styleId="4">
    <w:name w:val="Body Text Indent"/>
    <w:basedOn w:val="1"/>
    <w:qFormat/>
    <w:uiPriority w:val="0"/>
    <w:pPr>
      <w:spacing w:after="120"/>
      <w:ind w:leftChars="200"/>
    </w:pPr>
    <w:rPr>
      <w:rFonts w:ascii="仿宋_GB2312"/>
      <w:szCs w:val="32"/>
    </w:rPr>
  </w:style>
  <w:style w:type="paragraph" w:styleId="5">
    <w:name w:val="footer"/>
    <w:basedOn w:val="1"/>
    <w:unhideWhenUsed/>
    <w:qFormat/>
    <w:uiPriority w:val="99"/>
    <w:pPr>
      <w:tabs>
        <w:tab w:val="center" w:pos="4153"/>
        <w:tab w:val="right" w:pos="8306"/>
      </w:tabs>
      <w:snapToGrid w:val="0"/>
      <w:jc w:val="left"/>
    </w:pPr>
    <w:rPr>
      <w:sz w:val="18"/>
      <w:szCs w:val="18"/>
      <w:lang w:val="zh-CN" w:eastAsia="zh-CN"/>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styleId="7">
    <w:name w:val="table of figures"/>
    <w:next w:val="1"/>
    <w:qFormat/>
    <w:uiPriority w:val="0"/>
    <w:pPr>
      <w:widowControl w:val="0"/>
      <w:spacing w:before="100" w:beforeAutospacing="1" w:after="100" w:afterAutospacing="1"/>
      <w:ind w:left="400" w:leftChars="200" w:hanging="200" w:hangingChars="200"/>
      <w:jc w:val="both"/>
    </w:pPr>
    <w:rPr>
      <w:rFonts w:ascii="Calibri" w:hAnsi="Calibri" w:eastAsia="宋体" w:cs="宋体"/>
      <w:kern w:val="0"/>
      <w:sz w:val="20"/>
      <w:szCs w:val="21"/>
      <w:lang w:val="en-US" w:eastAsia="zh-CN" w:bidi="ar-SA"/>
    </w:rPr>
  </w:style>
  <w:style w:type="paragraph" w:styleId="8">
    <w:name w:val="Body Text First Indent 2"/>
    <w:basedOn w:val="4"/>
    <w:unhideWhenUsed/>
    <w:qFormat/>
    <w:uiPriority w:val="99"/>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paragraph" w:customStyle="1" w:styleId="13">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1643</Words>
  <Characters>1684</Characters>
  <Lines>0</Lines>
  <Paragraphs>0</Paragraphs>
  <TotalTime>8</TotalTime>
  <ScaleCrop>false</ScaleCrop>
  <LinksUpToDate>false</LinksUpToDate>
  <CharactersWithSpaces>1689</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2020-07-12T08:13:00Z</dcterms:created>
  <dc:creator>Administrator</dc:creator>
  <cp:lastModifiedBy>Lenovo</cp:lastModifiedBy>
  <cp:lastPrinted>2016-02-13T11:32:00Z</cp:lastPrinted>
  <dcterms:modified xsi:type="dcterms:W3CDTF">2024-09-18T03:29:55Z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E673CDE95C8E43B5A5762EFCAB6863CB_13</vt:lpwstr>
  </property>
</Properties>
</file>