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5D4B0C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8" w:lineRule="exact"/>
        <w:ind w:left="0"/>
        <w:jc w:val="both"/>
        <w:textAlignment w:val="auto"/>
        <w:rPr>
          <w:rFonts w:hint="eastAsia" w:ascii="方正小标宋简体" w:eastAsia="方正小标宋简体" w:cs="方正小标宋简体"/>
          <w:color w:val="auto"/>
          <w:kern w:val="2"/>
          <w:sz w:val="44"/>
          <w:szCs w:val="44"/>
          <w:highlight w:val="none"/>
          <w:lang w:val="en-US" w:eastAsia="zh-CN"/>
        </w:rPr>
      </w:pPr>
    </w:p>
    <w:p w14:paraId="26B1855B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8" w:lineRule="exact"/>
        <w:ind w:left="0"/>
        <w:jc w:val="center"/>
        <w:textAlignment w:val="auto"/>
        <w:rPr>
          <w:rFonts w:hint="eastAsia" w:ascii="方正小标宋简体" w:eastAsia="方正小标宋简体" w:cs="方正小标宋简体"/>
          <w:color w:val="auto"/>
          <w:kern w:val="2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大熊猫国家公园阿坝管理分局</w:t>
      </w:r>
      <w:bookmarkStart w:id="1" w:name="_GoBack"/>
      <w:bookmarkEnd w:id="1"/>
      <w:r>
        <w:rPr>
          <w:rFonts w:ascii="方正小标宋简体" w:eastAsia="方正小标宋简体"/>
          <w:sz w:val="44"/>
          <w:szCs w:val="44"/>
        </w:rPr>
        <w:t>宣传品采购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预算</w:t>
      </w:r>
      <w:r>
        <w:rPr>
          <w:rFonts w:hint="eastAsia" w:ascii="方正小标宋简体" w:eastAsia="方正小标宋简体" w:cs="方正小标宋简体"/>
          <w:color w:val="auto"/>
          <w:kern w:val="2"/>
          <w:sz w:val="44"/>
          <w:szCs w:val="44"/>
          <w:highlight w:val="none"/>
          <w:lang w:val="en-US" w:eastAsia="zh-CN"/>
        </w:rPr>
        <w:t>项目绩效评价报告</w:t>
      </w:r>
    </w:p>
    <w:p w14:paraId="531B0F2A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8" w:lineRule="exact"/>
        <w:ind w:left="0" w:firstLine="640"/>
        <w:jc w:val="center"/>
        <w:textAlignment w:val="auto"/>
        <w:rPr>
          <w:rFonts w:ascii="宋体"/>
          <w:color w:val="auto"/>
          <w:kern w:val="2"/>
          <w:sz w:val="32"/>
          <w:szCs w:val="32"/>
          <w:highlight w:val="none"/>
        </w:rPr>
      </w:pPr>
    </w:p>
    <w:p w14:paraId="085451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8" w:lineRule="exact"/>
        <w:ind w:firstLine="640" w:firstLineChars="200"/>
        <w:textAlignment w:val="auto"/>
        <w:rPr>
          <w:rFonts w:ascii="黑体" w:eastAsia="黑体"/>
          <w:highlight w:val="none"/>
          <w:lang w:val="zh-CN"/>
        </w:rPr>
      </w:pPr>
      <w:r>
        <w:rPr>
          <w:rFonts w:hint="eastAsia" w:ascii="黑体" w:eastAsia="黑体"/>
          <w:highlight w:val="none"/>
        </w:rPr>
        <w:t>一、</w:t>
      </w:r>
      <w:r>
        <w:rPr>
          <w:rFonts w:hint="eastAsia" w:ascii="黑体" w:eastAsia="黑体"/>
          <w:highlight w:val="none"/>
          <w:lang w:val="zh-CN"/>
        </w:rPr>
        <w:t>项目概况</w:t>
      </w:r>
    </w:p>
    <w:p w14:paraId="01DE635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adjustRightInd w:val="0"/>
        <w:snapToGrid w:val="0"/>
        <w:spacing w:line="578" w:lineRule="exact"/>
        <w:ind w:left="0" w:firstLine="643" w:firstLineChars="200"/>
        <w:contextualSpacing/>
        <w:jc w:val="left"/>
        <w:rPr>
          <w:rFonts w:hint="eastAsia" w:ascii="仿宋_GB2312" w:eastAsia="仿宋_GB2312" w:cs="仿宋_GB2312"/>
          <w:b w:val="0"/>
          <w:sz w:val="32"/>
          <w:szCs w:val="32"/>
        </w:rPr>
      </w:pPr>
      <w:r>
        <w:rPr>
          <w:rFonts w:hint="eastAsia" w:ascii="楷体_GB2312" w:eastAsia="楷体_GB2312"/>
          <w:b/>
          <w:color w:val="auto"/>
          <w:sz w:val="32"/>
          <w:szCs w:val="32"/>
          <w:highlight w:val="none"/>
          <w:u w:val="none"/>
          <w:lang w:val="zh-CN"/>
        </w:rPr>
        <w:t>（一）设立背景及基本情况。</w:t>
      </w:r>
      <w:r>
        <w:rPr>
          <w:rFonts w:hint="eastAsia" w:ascii="仿宋_GB2312" w:eastAsia="仿宋_GB2312" w:cs="仿宋_GB2312"/>
          <w:color w:val="auto"/>
          <w:kern w:val="2"/>
          <w:sz w:val="32"/>
          <w:szCs w:val="32"/>
          <w:vertAlign w:val="baseline"/>
          <w:lang w:val="en-US" w:eastAsia="zh-CN" w:bidi="ar-SA"/>
        </w:rPr>
        <w:t>为切实建设好大熊猫国家公园，</w:t>
      </w:r>
      <w:r>
        <w:rPr>
          <w:rFonts w:hint="eastAsia" w:ascii="仿宋_GB2312" w:eastAsia="仿宋_GB2312" w:cs="仿宋_GB2312"/>
          <w:sz w:val="32"/>
          <w:szCs w:val="32"/>
          <w:lang w:val="en-US" w:eastAsia="zh-CN" w:bidi="ar-SA"/>
        </w:rPr>
        <w:t>推广《四川省大熊猫国家公园管理条例》，</w:t>
      </w:r>
      <w:r>
        <w:rPr>
          <w:rFonts w:hint="eastAsia" w:ascii="仿宋_GB2312" w:eastAsia="仿宋_GB2312" w:cs="仿宋_GB2312"/>
          <w:color w:val="auto"/>
          <w:kern w:val="2"/>
          <w:sz w:val="32"/>
          <w:szCs w:val="32"/>
          <w:vertAlign w:val="baseline"/>
          <w:lang w:val="en-US" w:eastAsia="zh-CN" w:bidi="ar-SA"/>
        </w:rPr>
        <w:t>筑牢大熊猫国家公园生态安全屏障，增强大熊猫国家公园阿坝片区公众野生动植物保护以及森林草原</w:t>
      </w:r>
      <w:r>
        <w:rPr>
          <w:rFonts w:hint="eastAsia" w:ascii="仿宋_GB2312" w:cs="仿宋_GB2312"/>
        </w:rPr>
        <w:t>防火意识</w:t>
      </w:r>
      <w:r>
        <w:rPr>
          <w:rFonts w:hint="eastAsia" w:ascii="仿宋_GB2312" w:cs="仿宋_GB2312"/>
          <w:highlight w:val="none"/>
        </w:rPr>
        <w:t>。</w:t>
      </w:r>
      <w:r>
        <w:rPr>
          <w:rFonts w:hint="eastAsia" w:ascii="仿宋_GB2312" w:eastAsia="仿宋_GB2312" w:cs="仿宋_GB2312"/>
          <w:b w:val="0"/>
          <w:sz w:val="32"/>
          <w:szCs w:val="32"/>
        </w:rPr>
        <w:t>按照采购资金管理办法，严格执行财务管理制度，财务处理及时，会计核算规范。采购环保布袋2000个、雨伞1700把、保温水杯200个、罩衣4000件，印制宣传折页8000册、成效图集50本</w:t>
      </w:r>
      <w:r>
        <w:rPr>
          <w:rFonts w:ascii="仿宋_GB2312" w:eastAsia="仿宋_GB2312" w:cs="仿宋_GB2312"/>
          <w:b w:val="0"/>
          <w:sz w:val="32"/>
          <w:szCs w:val="32"/>
        </w:rPr>
        <w:t>。</w:t>
      </w:r>
    </w:p>
    <w:p w14:paraId="0BB512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8" w:lineRule="exact"/>
        <w:ind w:left="0" w:firstLine="643" w:firstLineChars="200"/>
        <w:textAlignment w:val="auto"/>
        <w:rPr>
          <w:rFonts w:ascii="楷体_GB2312" w:eastAsia="楷体_GB2312"/>
          <w:b/>
          <w:color w:val="auto"/>
          <w:sz w:val="32"/>
          <w:szCs w:val="32"/>
          <w:highlight w:val="none"/>
          <w:u w:val="none"/>
          <w:lang w:val="zh-CN"/>
        </w:rPr>
      </w:pPr>
      <w:r>
        <w:rPr>
          <w:rFonts w:hint="eastAsia" w:ascii="楷体_GB2312" w:eastAsia="楷体_GB2312"/>
          <w:b/>
          <w:color w:val="auto"/>
          <w:sz w:val="32"/>
          <w:szCs w:val="32"/>
          <w:highlight w:val="none"/>
          <w:u w:val="none"/>
          <w:lang w:val="zh-CN"/>
        </w:rPr>
        <w:t>（</w:t>
      </w:r>
      <w:r>
        <w:rPr>
          <w:rFonts w:hint="eastAsia" w:ascii="楷体_GB2312" w:eastAsia="楷体_GB2312" w:cs="Times New Roman"/>
          <w:b/>
          <w:color w:val="auto"/>
          <w:sz w:val="32"/>
          <w:szCs w:val="32"/>
          <w:highlight w:val="none"/>
          <w:u w:val="none"/>
          <w:lang w:val="zh-CN"/>
        </w:rPr>
        <w:t>二）</w:t>
      </w:r>
      <w:r>
        <w:rPr>
          <w:rFonts w:ascii="楷体_GB2312" w:eastAsia="楷体_GB2312" w:cs="Times New Roman"/>
          <w:b/>
          <w:color w:val="auto"/>
          <w:sz w:val="32"/>
          <w:szCs w:val="32"/>
          <w:highlight w:val="none"/>
          <w:u w:val="none"/>
          <w:lang w:val="en-US" w:eastAsia="zh-CN"/>
        </w:rPr>
        <w:t>实施目的及支持方向</w:t>
      </w:r>
      <w:r>
        <w:rPr>
          <w:rFonts w:hint="eastAsia" w:ascii="楷体_GB2312" w:eastAsia="楷体_GB2312" w:cs="Times New Roman"/>
          <w:b/>
          <w:color w:val="auto"/>
          <w:sz w:val="32"/>
          <w:szCs w:val="32"/>
          <w:highlight w:val="none"/>
          <w:u w:val="none"/>
          <w:lang w:val="en-US" w:eastAsia="zh-CN"/>
        </w:rPr>
        <w:t>。</w:t>
      </w:r>
      <w:r>
        <w:rPr>
          <w:rFonts w:hint="eastAsia" w:ascii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 w:eastAsia="zh-CN" w:bidi="ar-SA"/>
        </w:rPr>
        <w:t>项目实施目的</w:t>
      </w:r>
      <w:r>
        <w:rPr>
          <w:rFonts w:hint="eastAsia" w:ascii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 w:bidi="ar-SA"/>
        </w:rPr>
        <w:t>是</w:t>
      </w:r>
      <w:r>
        <w:rPr>
          <w:rFonts w:hint="eastAsia" w:ascii="仿宋_GB2312" w:eastAsia="仿宋_GB2312" w:cs="仿宋_GB2312"/>
          <w:color w:val="auto"/>
          <w:kern w:val="2"/>
          <w:sz w:val="32"/>
          <w:szCs w:val="32"/>
          <w:vertAlign w:val="baseline"/>
          <w:lang w:val="en-US" w:eastAsia="zh-CN" w:bidi="ar-SA"/>
        </w:rPr>
        <w:t>通过</w:t>
      </w:r>
      <w:r>
        <w:rPr>
          <w:rFonts w:hint="eastAsia" w:ascii="仿宋_GB2312" w:eastAsia="仿宋_GB2312" w:cs="仿宋_GB2312"/>
          <w:sz w:val="32"/>
          <w:szCs w:val="32"/>
          <w:lang w:val="en-US" w:eastAsia="zh-CN" w:bidi="ar-SA"/>
        </w:rPr>
        <w:t>推广《四川省大熊猫国家公园管理条例》、</w:t>
      </w:r>
      <w:r>
        <w:rPr>
          <w:rFonts w:hint="eastAsia" w:ascii="仿宋_GB2312" w:eastAsia="仿宋_GB2312" w:cs="仿宋_GB2312"/>
          <w:color w:val="auto"/>
          <w:kern w:val="2"/>
          <w:sz w:val="32"/>
          <w:szCs w:val="32"/>
          <w:vertAlign w:val="baseline"/>
          <w:lang w:val="en-US" w:eastAsia="zh-CN" w:bidi="ar-SA"/>
        </w:rPr>
        <w:t>开展野生动植物保护和森林草原防火的宣传教育，让野生动植物保护和防火知识入脑入心，做到人人都知晓“什么能做，什么不能做”，切实增强群众主动参与野生动植物保护和防火的思想自觉、行动自觉，不断树牢公众“ 生态保护第一、国家代表性、全民公益性”</w:t>
      </w:r>
      <w:r>
        <w:rPr>
          <w:rFonts w:hint="eastAsia" w:ascii="仿宋_GB2312" w:eastAsia="仿宋_GB2312" w:cs="仿宋_GB2312"/>
          <w:sz w:val="32"/>
          <w:szCs w:val="32"/>
          <w:lang w:bidi="ar-SA"/>
        </w:rPr>
        <w:t>的国家公园理念，践行“绿水青山就是金山银山”的生态文明理念，擦亮“熊猫家园·净土阿坝”金字招牌，高质量推进国家公园建设。</w:t>
      </w:r>
    </w:p>
    <w:p w14:paraId="101ECAC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adjustRightInd w:val="0"/>
        <w:snapToGrid w:val="0"/>
        <w:spacing w:line="578" w:lineRule="exact"/>
        <w:ind w:left="0" w:firstLine="643" w:firstLineChars="200"/>
        <w:contextualSpacing/>
        <w:jc w:val="left"/>
        <w:rPr>
          <w:rFonts w:hint="eastAsia" w:ascii="仿宋_GB2312" w:cs="仿宋_GB2312"/>
          <w:kern w:val="0"/>
          <w:shd w:val="clear" w:color="auto" w:fill="FFFFFF"/>
          <w:lang w:val="zh-CN"/>
        </w:rPr>
      </w:pPr>
      <w:r>
        <w:rPr>
          <w:rFonts w:hint="eastAsia" w:ascii="楷体_GB2312" w:eastAsia="楷体_GB2312" w:cs="Times New Roman"/>
          <w:b/>
          <w:color w:val="auto"/>
          <w:sz w:val="32"/>
          <w:szCs w:val="32"/>
          <w:highlight w:val="none"/>
          <w:u w:val="none"/>
          <w:lang w:val="zh-CN" w:eastAsia="zh-CN"/>
        </w:rPr>
        <w:t>（三）</w:t>
      </w:r>
      <w:r>
        <w:rPr>
          <w:rFonts w:ascii="楷体_GB2312" w:eastAsia="楷体_GB2312" w:cs="Times New Roman"/>
          <w:b/>
          <w:color w:val="auto"/>
          <w:sz w:val="32"/>
          <w:szCs w:val="32"/>
          <w:highlight w:val="none"/>
          <w:u w:val="none"/>
          <w:lang w:val="en-US" w:eastAsia="zh-CN"/>
        </w:rPr>
        <w:t>预算安排及分配管理</w:t>
      </w:r>
      <w:r>
        <w:rPr>
          <w:rFonts w:hint="eastAsia" w:ascii="楷体_GB2312" w:eastAsia="楷体_GB2312" w:cs="Times New Roman"/>
          <w:b/>
          <w:color w:val="auto"/>
          <w:sz w:val="32"/>
          <w:szCs w:val="32"/>
          <w:highlight w:val="none"/>
          <w:u w:val="none"/>
          <w:lang w:val="zh-CN" w:eastAsia="zh-CN"/>
        </w:rPr>
        <w:t>。</w:t>
      </w:r>
      <w:r>
        <w:rPr>
          <w:rFonts w:ascii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 w:eastAsia="zh-CN"/>
        </w:rPr>
        <w:t>按照采购内容，制定采购方案，明确具体经办人员，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 w:bidi="ar-SA"/>
        </w:rPr>
        <w:t>形成</w:t>
      </w:r>
      <w:r>
        <w:rPr>
          <w:rFonts w:ascii="仿宋_GB2312" w:eastAsia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 w:bidi="ar-SA"/>
        </w:rPr>
        <w:t>采购</w:t>
      </w: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 w:bidi="ar-SA"/>
        </w:rPr>
        <w:t>概算，</w:t>
      </w:r>
      <w:r>
        <w:rPr>
          <w:rFonts w:ascii="仿宋_GB2312" w:eastAsia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 w:bidi="ar-SA"/>
        </w:rPr>
        <w:t>依法依规完成采购工作</w:t>
      </w:r>
      <w:r>
        <w:rPr>
          <w:rFonts w:hint="eastAsia" w:ascii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/>
        </w:rPr>
        <w:t>。</w:t>
      </w:r>
    </w:p>
    <w:p w14:paraId="22C60D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8" w:lineRule="exact"/>
        <w:ind w:left="0" w:firstLine="643" w:firstLineChars="200"/>
        <w:textAlignment w:val="auto"/>
        <w:rPr>
          <w:rFonts w:ascii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 w:eastAsia="zh-CN"/>
        </w:rPr>
      </w:pPr>
      <w:r>
        <w:rPr>
          <w:rFonts w:hint="eastAsia" w:ascii="楷体_GB2312" w:eastAsia="楷体_GB2312" w:cs="Times New Roman"/>
          <w:b/>
          <w:color w:val="auto"/>
          <w:sz w:val="32"/>
          <w:szCs w:val="32"/>
          <w:highlight w:val="none"/>
          <w:u w:val="none"/>
          <w:lang w:val="zh-CN" w:eastAsia="zh-CN"/>
        </w:rPr>
        <w:t>（四）项目绩效目标设置。</w:t>
      </w:r>
      <w:r>
        <w:rPr>
          <w:rFonts w:hint="eastAsia" w:ascii="仿宋_GB2312" w:eastAsia="仿宋_GB2312"/>
          <w:sz w:val="32"/>
          <w:szCs w:val="32"/>
        </w:rPr>
        <w:t>落实专人</w:t>
      </w:r>
      <w:r>
        <w:rPr>
          <w:rFonts w:hint="eastAsia" w:ascii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 w:bidi="ar-SA"/>
        </w:rPr>
        <w:t>根据项目实施进度情况开展</w:t>
      </w:r>
      <w:r>
        <w:rPr>
          <w:rFonts w:hint="eastAsia" w:ascii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 w:eastAsia="zh-CN" w:bidi="ar-SA"/>
        </w:rPr>
        <w:t>项目自评工作。</w:t>
      </w:r>
    </w:p>
    <w:p w14:paraId="60D975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8" w:lineRule="exact"/>
        <w:ind w:firstLine="640" w:firstLineChars="200"/>
        <w:textAlignment w:val="auto"/>
        <w:outlineLvl w:val="9"/>
        <w:rPr>
          <w:rFonts w:hint="eastAsia" w:ascii="黑体" w:eastAsia="黑体"/>
          <w:highlight w:val="none"/>
          <w:lang w:eastAsia="zh-CN"/>
        </w:rPr>
      </w:pPr>
      <w:r>
        <w:rPr>
          <w:rFonts w:hint="eastAsia" w:ascii="黑体" w:eastAsia="黑体"/>
          <w:highlight w:val="none"/>
        </w:rPr>
        <w:t>二、</w:t>
      </w:r>
      <w:r>
        <w:rPr>
          <w:rFonts w:hint="eastAsia" w:ascii="黑体" w:eastAsia="黑体"/>
          <w:highlight w:val="none"/>
          <w:lang w:eastAsia="zh-CN"/>
        </w:rPr>
        <w:t>评价实施</w:t>
      </w:r>
    </w:p>
    <w:p w14:paraId="1A1D812E">
      <w:pPr>
        <w:spacing w:line="560" w:lineRule="exact"/>
        <w:ind w:firstLine="643" w:firstLineChars="200"/>
        <w:outlineLvl w:val="0"/>
        <w:rPr>
          <w:rFonts w:hint="eastAsia" w:ascii="仿宋_GB2312"/>
        </w:rPr>
      </w:pPr>
      <w:r>
        <w:rPr>
          <w:rFonts w:hint="eastAsia" w:ascii="楷体_GB2312" w:eastAsia="楷体_GB2312"/>
          <w:b/>
          <w:color w:val="auto"/>
          <w:sz w:val="32"/>
          <w:szCs w:val="32"/>
          <w:highlight w:val="none"/>
          <w:u w:val="none"/>
          <w:lang w:val="zh-CN"/>
        </w:rPr>
        <w:t>（一）评价目的。</w:t>
      </w:r>
      <w:r>
        <w:rPr>
          <w:rFonts w:hint="eastAsia" w:ascii="仿宋_GB2312" w:eastAsia="仿宋_GB2312"/>
          <w:sz w:val="32"/>
          <w:szCs w:val="32"/>
        </w:rPr>
        <w:t>全面评估项目的执行情况，确保项目顺利完成并实现原定目标。通过自评，检查项目是否按照预期的目标和计划进行，资源的使用是否有效，及时发现问题和不足并调整措施，‌提高执行效率和绩效水平确保项目能够按照预期目标顺利完成，同时提高组织的整体管理效率和效果，提高资金管理水平和使用效益。</w:t>
      </w:r>
    </w:p>
    <w:p w14:paraId="7C5BDA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8" w:lineRule="exact"/>
        <w:ind w:left="0" w:firstLine="643" w:firstLineChars="200"/>
        <w:textAlignment w:val="auto"/>
        <w:outlineLvl w:val="9"/>
        <w:rPr>
          <w:rFonts w:hint="eastAsia" w:cs="Times New Roman"/>
          <w:szCs w:val="32"/>
          <w:lang w:eastAsia="zh-CN"/>
        </w:rPr>
      </w:pPr>
      <w:r>
        <w:rPr>
          <w:rFonts w:hint="eastAsia" w:ascii="楷体_GB2312" w:eastAsia="楷体_GB2312"/>
          <w:b/>
          <w:color w:val="auto"/>
          <w:sz w:val="32"/>
          <w:szCs w:val="32"/>
          <w:highlight w:val="none"/>
          <w:u w:val="none"/>
          <w:lang w:val="zh-CN"/>
        </w:rPr>
        <w:t>（二）预设问题及评价重点。</w:t>
      </w:r>
      <w:r>
        <w:rPr>
          <w:rFonts w:hint="eastAsia" w:ascii="仿宋_GB2312" w:eastAsia="仿宋_GB2312"/>
          <w:sz w:val="32"/>
          <w:szCs w:val="32"/>
        </w:rPr>
        <w:t>项目资金目前在大熊猫国家公园阿坝管理分局专门账户上，专款专用、单独建帐、单独核算，在资金使用中严格执行国家财务管理制度，编制专项报表，严格资金的审批和使用，</w:t>
      </w:r>
      <w:r>
        <w:rPr>
          <w:rFonts w:hint="eastAsia" w:ascii="仿宋_GB2312" w:eastAsia="仿宋_GB2312" w:cs="仿宋_GB2312"/>
          <w:sz w:val="32"/>
          <w:szCs w:val="32"/>
          <w:lang w:bidi="ar-SA"/>
        </w:rPr>
        <w:t>资金使用规范，会计核算结果真实、准确，自评过程中未发现有截留、挤占或挪用项目资金的情况。</w:t>
      </w:r>
    </w:p>
    <w:p w14:paraId="0BC739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8" w:lineRule="exact"/>
        <w:ind w:firstLine="643" w:firstLineChars="200"/>
        <w:rPr>
          <w:rFonts w:hint="eastAsia" w:cs="Times New Roman"/>
          <w:szCs w:val="32"/>
          <w:lang w:val="zh-CN" w:eastAsia="zh-CN"/>
        </w:rPr>
      </w:pPr>
      <w:r>
        <w:rPr>
          <w:rFonts w:hint="eastAsia" w:ascii="楷体_GB2312" w:eastAsia="楷体_GB2312"/>
          <w:b/>
          <w:color w:val="auto"/>
          <w:sz w:val="32"/>
          <w:szCs w:val="32"/>
          <w:highlight w:val="none"/>
          <w:u w:val="none"/>
          <w:lang w:val="zh-CN"/>
        </w:rPr>
        <w:t>（三）评价选点。</w:t>
      </w:r>
      <w:r>
        <w:rPr>
          <w:rFonts w:hint="eastAsia" w:ascii="仿宋_GB2312" w:eastAsia="仿宋_GB2312" w:cs="仿宋_GB2312"/>
          <w:bCs/>
          <w:color w:val="auto"/>
          <w:sz w:val="32"/>
          <w:szCs w:val="32"/>
          <w:highlight w:val="none"/>
          <w:u w:val="none"/>
          <w:lang w:val="en-US" w:eastAsia="zh-CN" w:bidi="ar-SA"/>
        </w:rPr>
        <w:t>本</w:t>
      </w:r>
      <w:r>
        <w:rPr>
          <w:rFonts w:hint="eastAsia" w:ascii="仿宋_GB2312" w:eastAsia="仿宋_GB2312" w:cs="仿宋_GB2312"/>
          <w:bCs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 w:eastAsia="zh-CN" w:bidi="ar-SA"/>
        </w:rPr>
        <w:t>项</w:t>
      </w:r>
      <w:r>
        <w:rPr>
          <w:rFonts w:hint="eastAsia" w:ascii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 w:eastAsia="zh-CN" w:bidi="ar-SA"/>
        </w:rPr>
        <w:t>目</w:t>
      </w:r>
      <w:r>
        <w:rPr>
          <w:rFonts w:hint="eastAsia" w:ascii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 w:bidi="ar-SA"/>
        </w:rPr>
        <w:t>目标相对单一，落实专人全程参与</w:t>
      </w:r>
      <w:r>
        <w:rPr>
          <w:rFonts w:ascii="仿宋_GB2312" w:cs="仿宋_GB2312"/>
          <w:shd w:val="clear" w:color="auto" w:fill="FFFFFF"/>
        </w:rPr>
        <w:t>宣传品采购、监督、验收</w:t>
      </w:r>
      <w:r>
        <w:rPr>
          <w:rFonts w:hint="eastAsia" w:ascii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 w:bidi="ar-SA"/>
        </w:rPr>
        <w:t>，实时跟踪汇报项目建设进度。</w:t>
      </w:r>
    </w:p>
    <w:p w14:paraId="0A124E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8" w:lineRule="exact"/>
        <w:ind w:firstLine="640"/>
        <w:textAlignment w:val="auto"/>
        <w:outlineLvl w:val="9"/>
        <w:rPr>
          <w:rFonts w:hint="eastAsia" w:eastAsia="仿宋_GB2312" w:cs="Times New Roman"/>
          <w:szCs w:val="32"/>
          <w:lang w:eastAsia="zh-CN"/>
        </w:rPr>
      </w:pPr>
      <w:r>
        <w:rPr>
          <w:rFonts w:hint="eastAsia" w:ascii="楷体_GB2312" w:eastAsia="楷体_GB2312"/>
          <w:b/>
          <w:color w:val="auto"/>
          <w:sz w:val="32"/>
          <w:szCs w:val="32"/>
          <w:highlight w:val="none"/>
          <w:u w:val="none"/>
          <w:lang w:val="zh-CN"/>
        </w:rPr>
        <w:t>（四）评价方法。</w:t>
      </w:r>
      <w:r>
        <w:rPr>
          <w:rFonts w:hint="eastAsia" w:ascii="仿宋_GB2312" w:eastAsia="仿宋_GB2312"/>
          <w:sz w:val="32"/>
          <w:szCs w:val="32"/>
        </w:rPr>
        <w:t>组织人员到现场查看项目实施情况，查阅项目财务及管理等相关资料，对其审核分析。</w:t>
      </w:r>
    </w:p>
    <w:p w14:paraId="721AFE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8" w:lineRule="exact"/>
        <w:ind w:firstLine="640"/>
        <w:textAlignment w:val="auto"/>
        <w:outlineLvl w:val="9"/>
        <w:rPr>
          <w:rFonts w:hint="eastAsia" w:eastAsia="仿宋_GB2312" w:cs="Times New Roman"/>
          <w:bCs/>
          <w:lang w:eastAsia="zh-CN"/>
        </w:rPr>
      </w:pPr>
      <w:r>
        <w:rPr>
          <w:rFonts w:hint="eastAsia" w:ascii="楷体_GB2312" w:eastAsia="楷体_GB2312"/>
          <w:b/>
          <w:color w:val="auto"/>
          <w:sz w:val="32"/>
          <w:szCs w:val="32"/>
          <w:highlight w:val="none"/>
          <w:u w:val="none"/>
          <w:lang w:val="zh-CN"/>
        </w:rPr>
        <w:t>（五）评价组织。</w:t>
      </w:r>
      <w:r>
        <w:rPr>
          <w:rFonts w:hint="eastAsia" w:ascii="仿宋_GB2312" w:eastAsia="仿宋_GB2312" w:cs="仿宋_GB2312"/>
          <w:color w:val="000000"/>
          <w:sz w:val="32"/>
          <w:szCs w:val="32"/>
          <w:lang w:bidi="ar-SA"/>
        </w:rPr>
        <w:t>根据财政绩效评价要求，由局办公室牵头，相关部室参与配合，绩效评价遵循科学规范原、公正公开原则，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按照政府采购相关法规和分局内控制度要求，成立采购工作小组，负责采购方案编制、财政备案并按备案的采购方式组织采购。成立验收小组，负责货物验收。成立监督小组负责对采购工作全过程进行监督。</w:t>
      </w:r>
      <w:r>
        <w:rPr>
          <w:rFonts w:ascii="仿宋_GB2312" w:eastAsia="仿宋_GB2312" w:cs="仿宋_GB2312"/>
          <w:color w:val="000000"/>
          <w:sz w:val="32"/>
          <w:szCs w:val="32"/>
          <w:lang w:bidi="ar-SA"/>
        </w:rPr>
        <w:t>有序开展采购工作</w:t>
      </w:r>
      <w:r>
        <w:rPr>
          <w:rFonts w:hint="eastAsia" w:ascii="仿宋_GB2312" w:eastAsia="仿宋_GB2312" w:cs="仿宋_GB2312"/>
          <w:color w:val="000000"/>
          <w:sz w:val="32"/>
          <w:szCs w:val="32"/>
          <w:lang w:bidi="ar-SA"/>
        </w:rPr>
        <w:t>。办公室（财务室）负责审核项目资金及凭证，建设管理部、法规督查部、栖息地保护部</w:t>
      </w:r>
      <w:r>
        <w:rPr>
          <w:rFonts w:ascii="仿宋_GB2312" w:eastAsia="仿宋_GB2312" w:cs="仿宋_GB2312"/>
          <w:color w:val="000000"/>
          <w:sz w:val="32"/>
          <w:szCs w:val="32"/>
          <w:lang w:bidi="ar-SA"/>
        </w:rPr>
        <w:t>负责</w:t>
      </w:r>
      <w:r>
        <w:rPr>
          <w:rFonts w:hint="eastAsia" w:ascii="仿宋_GB2312" w:eastAsia="仿宋_GB2312" w:cs="仿宋_GB2312"/>
          <w:color w:val="000000"/>
          <w:sz w:val="32"/>
          <w:szCs w:val="32"/>
          <w:lang w:bidi="ar-SA"/>
        </w:rPr>
        <w:t>查看进度，查阅资料。</w:t>
      </w:r>
    </w:p>
    <w:p w14:paraId="530A1E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8" w:lineRule="exact"/>
        <w:ind w:firstLine="640" w:firstLineChars="200"/>
        <w:textAlignment w:val="auto"/>
        <w:rPr>
          <w:rFonts w:ascii="仿宋_GB2312"/>
          <w:color w:val="auto"/>
          <w:sz w:val="32"/>
          <w:szCs w:val="32"/>
          <w:highlight w:val="none"/>
          <w:u w:val="none"/>
          <w:lang w:val="zh-CN"/>
        </w:rPr>
      </w:pPr>
      <w:r>
        <w:rPr>
          <w:rFonts w:hint="eastAsia" w:ascii="黑体" w:eastAsia="黑体"/>
          <w:color w:val="auto"/>
          <w:sz w:val="32"/>
          <w:szCs w:val="32"/>
          <w:highlight w:val="none"/>
          <w:u w:val="none"/>
        </w:rPr>
        <w:t>三、</w:t>
      </w:r>
      <w:r>
        <w:rPr>
          <w:rFonts w:hint="eastAsia" w:ascii="黑体" w:eastAsia="黑体"/>
          <w:color w:val="auto"/>
          <w:sz w:val="32"/>
          <w:szCs w:val="32"/>
          <w:highlight w:val="none"/>
          <w:u w:val="none"/>
          <w:lang w:eastAsia="zh-CN"/>
        </w:rPr>
        <w:t>绩效分析</w:t>
      </w:r>
      <w:r>
        <w:rPr>
          <w:rFonts w:hint="eastAsia" w:ascii="仿宋_GB2312"/>
          <w:color w:val="auto"/>
          <w:sz w:val="32"/>
          <w:szCs w:val="32"/>
          <w:highlight w:val="none"/>
          <w:u w:val="none"/>
          <w:lang w:val="zh-CN"/>
        </w:rPr>
        <w:tab/>
      </w:r>
    </w:p>
    <w:p w14:paraId="783899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8" w:lineRule="exact"/>
        <w:ind w:firstLine="640"/>
        <w:textAlignment w:val="auto"/>
        <w:outlineLvl w:val="9"/>
        <w:rPr>
          <w:rFonts w:hint="eastAsia" w:eastAsia="仿宋_GB2312" w:cs="Times New Roman"/>
          <w:szCs w:val="32"/>
          <w:lang w:val="en-US" w:eastAsia="zh-CN"/>
        </w:rPr>
      </w:pPr>
      <w:r>
        <w:rPr>
          <w:rFonts w:eastAsia="仿宋_GB2312" w:cs="Times New Roman"/>
          <w:szCs w:val="32"/>
          <w:lang w:val="zh-CN" w:eastAsia="zh-CN"/>
        </w:rPr>
        <w:t>根据</w:t>
      </w:r>
      <w:r>
        <w:rPr>
          <w:rFonts w:hint="eastAsia" w:eastAsia="仿宋_GB2312" w:cs="Times New Roman"/>
          <w:szCs w:val="32"/>
          <w:lang w:val="zh-CN" w:eastAsia="zh-CN"/>
        </w:rPr>
        <w:t>项目</w:t>
      </w:r>
      <w:r>
        <w:rPr>
          <w:rFonts w:eastAsia="仿宋_GB2312" w:cs="Times New Roman"/>
          <w:szCs w:val="32"/>
          <w:lang w:val="zh-CN" w:eastAsia="zh-CN"/>
        </w:rPr>
        <w:t>预算绩效评价指标体系“</w:t>
      </w:r>
      <w:r>
        <w:rPr>
          <w:rFonts w:hint="eastAsia" w:eastAsia="仿宋_GB2312" w:cs="Times New Roman"/>
          <w:szCs w:val="32"/>
          <w:lang w:val="zh-CN" w:eastAsia="zh-CN"/>
        </w:rPr>
        <w:t>通用指标</w:t>
      </w:r>
      <w:r>
        <w:rPr>
          <w:rFonts w:eastAsia="仿宋_GB2312" w:cs="Times New Roman"/>
          <w:szCs w:val="32"/>
          <w:lang w:val="zh-CN" w:eastAsia="zh-CN"/>
        </w:rPr>
        <w:t>”</w:t>
      </w:r>
      <w:r>
        <w:rPr>
          <w:rFonts w:hint="eastAsia" w:eastAsia="仿宋_GB2312" w:cs="Times New Roman"/>
          <w:szCs w:val="32"/>
          <w:lang w:val="zh-CN" w:eastAsia="zh-CN"/>
        </w:rPr>
        <w:t>“专用指标”“个性指标”</w:t>
      </w:r>
      <w:r>
        <w:rPr>
          <w:rFonts w:eastAsia="仿宋_GB2312" w:cs="Times New Roman"/>
          <w:szCs w:val="32"/>
          <w:lang w:val="zh-CN" w:eastAsia="zh-CN"/>
        </w:rPr>
        <w:t>涉及</w:t>
      </w:r>
      <w:r>
        <w:rPr>
          <w:rFonts w:hint="eastAsia" w:eastAsia="仿宋_GB2312" w:cs="Times New Roman"/>
          <w:szCs w:val="32"/>
          <w:lang w:val="zh-CN" w:eastAsia="zh-CN"/>
        </w:rPr>
        <w:t>二、三级</w:t>
      </w:r>
      <w:r>
        <w:rPr>
          <w:rFonts w:eastAsia="仿宋_GB2312" w:cs="Times New Roman"/>
          <w:szCs w:val="32"/>
          <w:lang w:val="zh-CN" w:eastAsia="zh-CN"/>
        </w:rPr>
        <w:t>指标进行</w:t>
      </w:r>
      <w:r>
        <w:rPr>
          <w:rFonts w:hint="eastAsia" w:eastAsia="仿宋_GB2312" w:cs="Times New Roman"/>
          <w:szCs w:val="32"/>
          <w:lang w:val="zh-CN" w:eastAsia="zh-CN"/>
        </w:rPr>
        <w:t>逐项</w:t>
      </w:r>
      <w:r>
        <w:rPr>
          <w:rFonts w:eastAsia="仿宋_GB2312" w:cs="Times New Roman"/>
          <w:szCs w:val="32"/>
          <w:lang w:val="zh-CN" w:eastAsia="zh-CN"/>
        </w:rPr>
        <w:t>绩效分析</w:t>
      </w:r>
      <w:r>
        <w:rPr>
          <w:rFonts w:hint="eastAsia" w:eastAsia="仿宋_GB2312" w:cs="Times New Roman"/>
          <w:szCs w:val="32"/>
          <w:lang w:val="zh-CN" w:eastAsia="zh-CN"/>
        </w:rPr>
        <w:t>并评分</w:t>
      </w:r>
      <w:r>
        <w:rPr>
          <w:rFonts w:hint="eastAsia" w:cs="Times New Roman"/>
          <w:szCs w:val="32"/>
          <w:lang w:val="en-US" w:eastAsia="zh-CN"/>
        </w:rPr>
        <w:t>。</w:t>
      </w:r>
    </w:p>
    <w:p w14:paraId="4873BE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/>
        <w:textAlignment w:val="auto"/>
        <w:outlineLvl w:val="9"/>
        <w:rPr>
          <w:rFonts w:hint="eastAsia" w:ascii="楷体_GB2312" w:eastAsia="楷体_GB2312" w:cs="Times New Roman"/>
          <w:b/>
          <w:color w:val="auto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楷体_GB2312" w:eastAsia="楷体_GB2312" w:cs="Times New Roman"/>
          <w:b/>
          <w:color w:val="auto"/>
          <w:sz w:val="32"/>
          <w:szCs w:val="32"/>
          <w:highlight w:val="none"/>
          <w:u w:val="none"/>
          <w:lang w:val="zh-CN"/>
        </w:rPr>
        <w:t>（一）</w:t>
      </w:r>
      <w:r>
        <w:rPr>
          <w:rFonts w:hint="eastAsia" w:ascii="楷体_GB2312" w:eastAsia="楷体_GB2312" w:cs="Times New Roman"/>
          <w:b/>
          <w:color w:val="auto"/>
          <w:sz w:val="32"/>
          <w:szCs w:val="32"/>
          <w:highlight w:val="none"/>
          <w:u w:val="none"/>
          <w:lang w:val="en-US" w:eastAsia="zh-CN"/>
        </w:rPr>
        <w:t>通用指标</w:t>
      </w:r>
      <w:r>
        <w:rPr>
          <w:rFonts w:ascii="Times New Roman" w:hAnsi="Times New Roman" w:eastAsia="楷体_GB2312" w:cs="Times New Roman"/>
          <w:b/>
          <w:bCs/>
          <w:color w:val="000000"/>
          <w:kern w:val="0"/>
          <w:szCs w:val="32"/>
          <w:highlight w:val="none"/>
          <w:shd w:val="clear" w:color="auto" w:fill="FFFFFF"/>
          <w:lang w:val="zh-CN"/>
        </w:rPr>
        <w:t>绩效分析。</w:t>
      </w:r>
    </w:p>
    <w:p w14:paraId="14093F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spacing w:line="560" w:lineRule="exact"/>
        <w:ind w:firstLine="640"/>
        <w:rPr>
          <w:rFonts w:hint="eastAsia" w:ascii="仿宋_GB2312"/>
          <w:lang w:val="zh-CN"/>
        </w:rPr>
      </w:pPr>
      <w:r>
        <w:rPr>
          <w:rFonts w:hint="eastAsia" w:ascii="楷体_GB2312" w:eastAsia="楷体_GB2312" w:cs="楷体_GB2312"/>
          <w:color w:val="auto"/>
          <w:szCs w:val="32"/>
          <w:lang w:val="en-US" w:eastAsia="zh-CN"/>
        </w:rPr>
        <w:t>1.</w:t>
      </w:r>
      <w:r>
        <w:rPr>
          <w:rFonts w:hint="eastAsia" w:ascii="楷体_GB2312" w:eastAsia="楷体_GB2312" w:cs="楷体_GB2312"/>
          <w:color w:val="auto"/>
          <w:szCs w:val="32"/>
          <w:lang w:eastAsia="zh-CN"/>
        </w:rPr>
        <w:t>项目</w:t>
      </w:r>
      <w:r>
        <w:rPr>
          <w:rFonts w:hint="eastAsia" w:ascii="楷体_GB2312" w:eastAsia="楷体_GB2312" w:cs="楷体_GB2312"/>
        </w:rPr>
        <w:t>决策。</w:t>
      </w:r>
      <w:r>
        <w:rPr>
          <w:rFonts w:hint="eastAsia" w:ascii="仿宋_GB2312" w:cs="宋体"/>
          <w:shd w:val="clear" w:color="auto" w:fill="auto"/>
          <w:lang w:eastAsia="zh-CN"/>
        </w:rPr>
        <w:t>制定采购方案，</w:t>
      </w:r>
      <w:r>
        <w:rPr>
          <w:rFonts w:hint="eastAsia" w:ascii="仿宋_GB2312" w:cs="宋体"/>
          <w:shd w:val="clear" w:color="auto" w:fill="auto"/>
          <w:lang w:val="en-US" w:eastAsia="zh-CN"/>
        </w:rPr>
        <w:t>通过询价采购方式进行采购，</w:t>
      </w:r>
      <w:r>
        <w:rPr>
          <w:rFonts w:hint="eastAsia" w:ascii="仿宋_GB2312" w:eastAsia="仿宋_GB2312" w:cs="仿宋_GB2312"/>
          <w:b w:val="0"/>
          <w:bCs w:val="0"/>
          <w:caps w:val="0"/>
          <w:smallCaps w:val="0"/>
          <w:color w:val="auto"/>
          <w:kern w:val="2"/>
          <w:sz w:val="32"/>
          <w:szCs w:val="32"/>
          <w:vertAlign w:val="baseline"/>
          <w:lang w:val="en-US" w:eastAsia="zh-CN"/>
        </w:rPr>
        <w:t>印制</w:t>
      </w:r>
      <w:r>
        <w:rPr>
          <w:rFonts w:hint="eastAsia" w:ascii="仿宋_GB2312" w:cs="仿宋_GB2312"/>
          <w:b w:val="0"/>
          <w:bCs w:val="0"/>
          <w:caps w:val="0"/>
          <w:smallCaps w:val="0"/>
          <w:color w:val="auto"/>
          <w:kern w:val="2"/>
          <w:sz w:val="32"/>
          <w:szCs w:val="32"/>
          <w:vertAlign w:val="baseline"/>
          <w:lang w:val="en-US" w:eastAsia="zh-CN"/>
        </w:rPr>
        <w:t>了中国国家公园和</w:t>
      </w:r>
      <w:r>
        <w:rPr>
          <w:rFonts w:hint="eastAsia" w:ascii="仿宋_GB2312" w:eastAsia="仿宋_GB2312" w:cs="仿宋_GB2312"/>
          <w:b w:val="0"/>
          <w:bCs w:val="0"/>
          <w:caps w:val="0"/>
          <w:smallCaps w:val="0"/>
          <w:color w:val="auto"/>
          <w:kern w:val="2"/>
          <w:sz w:val="32"/>
          <w:szCs w:val="32"/>
          <w:vertAlign w:val="baseline"/>
          <w:lang w:val="en-US" w:eastAsia="zh-CN"/>
        </w:rPr>
        <w:t>大熊猫国家公园logo、野生动植物保护和森林草原防灭火宣传标语</w:t>
      </w:r>
      <w:r>
        <w:rPr>
          <w:rFonts w:ascii="仿宋_GB2312" w:eastAsia="仿宋_GB2312" w:cs="仿宋_GB2312"/>
          <w:b w:val="0"/>
          <w:bCs w:val="0"/>
          <w:caps w:val="0"/>
          <w:smallCaps w:val="0"/>
          <w:color w:val="auto"/>
          <w:kern w:val="2"/>
          <w:sz w:val="32"/>
          <w:szCs w:val="32"/>
          <w:vertAlign w:val="baseline"/>
          <w:lang w:val="en-US" w:eastAsia="zh-CN"/>
        </w:rPr>
        <w:t>等</w:t>
      </w:r>
      <w:r>
        <w:rPr>
          <w:rFonts w:hint="eastAsia" w:ascii="仿宋_GB2312" w:eastAsia="仿宋_GB2312" w:cs="仿宋_GB2312"/>
          <w:b w:val="0"/>
          <w:bCs w:val="0"/>
          <w:caps w:val="0"/>
          <w:smallCaps w:val="0"/>
          <w:color w:val="auto"/>
          <w:kern w:val="2"/>
          <w:sz w:val="32"/>
          <w:szCs w:val="32"/>
          <w:vertAlign w:val="baseline"/>
          <w:lang w:val="en-US" w:eastAsia="zh-CN"/>
        </w:rPr>
        <w:t>。</w:t>
      </w:r>
      <w:r>
        <w:rPr>
          <w:rFonts w:hint="eastAsia" w:ascii="仿宋_GB2312" w:cs="宋体"/>
          <w:shd w:val="clear" w:color="auto" w:fill="auto"/>
        </w:rPr>
        <w:t>经费来源为2023年大</w:t>
      </w:r>
      <w:r>
        <w:rPr>
          <w:rFonts w:hint="eastAsia" w:ascii="仿宋_GB2312" w:cs="宋体"/>
          <w:shd w:val="clear" w:color="auto" w:fill="auto"/>
          <w:lang w:val="en-US" w:eastAsia="zh-CN"/>
        </w:rPr>
        <w:t>熊猫国家</w:t>
      </w:r>
      <w:r>
        <w:rPr>
          <w:rFonts w:hint="eastAsia" w:ascii="仿宋_GB2312" w:eastAsia="仿宋_GB2312" w:cs="宋体"/>
          <w:sz w:val="32"/>
          <w:szCs w:val="32"/>
          <w:shd w:val="clear" w:color="auto" w:fill="auto"/>
          <w:lang w:val="en-US" w:eastAsia="zh-CN" w:bidi="ar-SA"/>
        </w:rPr>
        <w:t>公园阿坝管理分局宣传教育经费。</w:t>
      </w:r>
      <w:r>
        <w:rPr>
          <w:rFonts w:hint="eastAsia" w:ascii="仿宋_GB2312" w:eastAsia="仿宋_GB2312"/>
          <w:sz w:val="32"/>
          <w:szCs w:val="32"/>
        </w:rPr>
        <w:t>资金投向严格按照</w:t>
      </w:r>
      <w:r>
        <w:rPr>
          <w:rFonts w:hint="eastAsia" w:ascii="仿宋_GB2312"/>
          <w:sz w:val="32"/>
          <w:szCs w:val="32"/>
          <w:lang w:val="en-US" w:eastAsia="zh-CN"/>
        </w:rPr>
        <w:t>政府采购及分局内控制度</w:t>
      </w:r>
      <w:r>
        <w:rPr>
          <w:rFonts w:hint="eastAsia" w:ascii="仿宋_GB2312" w:eastAsia="仿宋_GB2312"/>
          <w:sz w:val="32"/>
          <w:szCs w:val="32"/>
        </w:rPr>
        <w:t>相关规定及政策要求执行。</w:t>
      </w:r>
    </w:p>
    <w:p w14:paraId="648C7D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/>
        <w:textAlignment w:val="auto"/>
        <w:outlineLvl w:val="9"/>
        <w:rPr>
          <w:rFonts w:hint="eastAsia" w:ascii="Times New Roman" w:hAnsi="Times New Roman" w:cs="Times New Roman"/>
          <w:color w:val="auto"/>
          <w:szCs w:val="32"/>
          <w:lang w:eastAsia="zh-CN"/>
        </w:rPr>
      </w:pPr>
      <w:r>
        <w:rPr>
          <w:rFonts w:hint="eastAsia" w:ascii="楷体_GB2312" w:eastAsia="楷体_GB2312" w:cs="楷体_GB2312"/>
          <w:color w:val="auto"/>
          <w:szCs w:val="32"/>
          <w:lang w:val="en-US" w:eastAsia="zh-CN"/>
        </w:rPr>
        <w:t>2.</w:t>
      </w:r>
      <w:r>
        <w:rPr>
          <w:rFonts w:hint="eastAsia" w:ascii="楷体_GB2312" w:eastAsia="楷体_GB2312" w:cs="楷体_GB2312"/>
          <w:color w:val="auto"/>
          <w:szCs w:val="32"/>
          <w:lang w:eastAsia="zh-CN"/>
        </w:rPr>
        <w:t>项目管理。</w:t>
      </w:r>
      <w:r>
        <w:rPr>
          <w:rFonts w:ascii="仿宋_GB2312"/>
          <w:lang w:val="zh-CN"/>
        </w:rPr>
        <w:t>按</w:t>
      </w:r>
      <w:r>
        <w:rPr>
          <w:rFonts w:hint="eastAsia" w:ascii="仿宋_GB2312"/>
          <w:lang w:val="zh-CN"/>
        </w:rPr>
        <w:t>照</w:t>
      </w:r>
      <w:r>
        <w:rPr>
          <w:rFonts w:ascii="仿宋_GB2312"/>
          <w:lang w:val="zh-CN"/>
        </w:rPr>
        <w:t>采购资金</w:t>
      </w:r>
      <w:r>
        <w:rPr>
          <w:rFonts w:hint="eastAsia" w:ascii="仿宋_GB2312"/>
          <w:lang w:val="zh-CN"/>
        </w:rPr>
        <w:t>管理办法，严格执行财务管理制度</w:t>
      </w:r>
      <w:r>
        <w:rPr>
          <w:rFonts w:ascii="仿宋_GB2312"/>
          <w:lang w:val="zh-CN"/>
        </w:rPr>
        <w:t>，</w:t>
      </w:r>
      <w:r>
        <w:rPr>
          <w:rFonts w:hint="eastAsia" w:ascii="仿宋_GB2312"/>
          <w:lang w:val="zh-CN"/>
        </w:rPr>
        <w:t>财务处理及时</w:t>
      </w:r>
      <w:r>
        <w:rPr>
          <w:rFonts w:ascii="仿宋_GB2312"/>
          <w:lang w:val="zh-CN"/>
        </w:rPr>
        <w:t>，</w:t>
      </w:r>
      <w:r>
        <w:rPr>
          <w:rFonts w:hint="eastAsia" w:ascii="仿宋_GB2312"/>
          <w:lang w:val="zh-CN"/>
        </w:rPr>
        <w:t>会计核算规范。</w:t>
      </w:r>
    </w:p>
    <w:p w14:paraId="1C3486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outlineLvl w:val="9"/>
        <w:rPr>
          <w:rFonts w:ascii="Times New Roman" w:hAnsi="Times New Roman" w:cs="Times New Roman"/>
          <w:color w:val="auto"/>
          <w:szCs w:val="32"/>
          <w:lang w:eastAsia="zh-CN"/>
        </w:rPr>
      </w:pPr>
      <w:r>
        <w:rPr>
          <w:rFonts w:hint="eastAsia" w:ascii="楷体_GB2312" w:eastAsia="楷体_GB2312" w:cs="楷体_GB2312"/>
          <w:color w:val="auto"/>
          <w:szCs w:val="32"/>
          <w:lang w:val="en-US" w:eastAsia="zh-CN"/>
        </w:rPr>
        <w:t>3.项目实施。</w:t>
      </w:r>
      <w:r>
        <w:rPr>
          <w:rFonts w:hint="eastAsia" w:ascii="仿宋_GB2312" w:cs="仿宋_GB2312"/>
          <w:color w:val="000000"/>
          <w:highlight w:val="none"/>
          <w:shd w:val="clear" w:color="auto" w:fill="FFFFFF"/>
          <w:lang w:val="zh-CN" w:eastAsia="zh-CN" w:bidi="ar-SA"/>
        </w:rPr>
        <w:t>严格依法依规有序推进</w:t>
      </w:r>
      <w:r>
        <w:rPr>
          <w:rFonts w:ascii="仿宋_GB2312" w:cs="仿宋_GB2312"/>
          <w:color w:val="000000"/>
          <w:highlight w:val="none"/>
          <w:shd w:val="clear" w:color="auto" w:fill="FFFFFF"/>
          <w:lang w:val="zh-CN" w:eastAsia="zh-CN" w:bidi="ar-SA"/>
        </w:rPr>
        <w:t>采购工作</w:t>
      </w:r>
      <w:r>
        <w:rPr>
          <w:rFonts w:hint="eastAsia" w:ascii="仿宋_GB2312" w:cs="仿宋_GB2312"/>
          <w:color w:val="000000"/>
          <w:highlight w:val="none"/>
          <w:shd w:val="clear" w:color="auto" w:fill="FFFFFF"/>
          <w:lang w:val="zh-CN" w:eastAsia="zh-CN" w:bidi="ar-SA"/>
        </w:rPr>
        <w:t>，根据</w:t>
      </w:r>
      <w:r>
        <w:rPr>
          <w:rFonts w:ascii="仿宋_GB2312" w:cs="仿宋_GB2312"/>
          <w:color w:val="000000"/>
          <w:highlight w:val="none"/>
          <w:shd w:val="clear" w:color="auto" w:fill="FFFFFF"/>
          <w:lang w:val="zh-CN" w:eastAsia="zh-CN" w:bidi="ar-SA"/>
        </w:rPr>
        <w:t>采购</w:t>
      </w:r>
      <w:r>
        <w:rPr>
          <w:rFonts w:hint="eastAsia" w:ascii="仿宋_GB2312" w:cs="仿宋_GB2312"/>
          <w:color w:val="000000"/>
          <w:highlight w:val="none"/>
          <w:shd w:val="clear" w:color="auto" w:fill="FFFFFF"/>
          <w:lang w:val="zh-CN" w:eastAsia="zh-CN" w:bidi="ar-SA"/>
        </w:rPr>
        <w:t>进度及时支付资金。</w:t>
      </w:r>
    </w:p>
    <w:p w14:paraId="3FCF75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textAlignment w:val="auto"/>
        <w:outlineLvl w:val="9"/>
        <w:rPr>
          <w:rFonts w:hint="eastAsia" w:ascii="Times New Roman" w:hAnsi="Times New Roman" w:cs="Times New Roman"/>
          <w:color w:val="auto"/>
          <w:szCs w:val="32"/>
          <w:lang w:eastAsia="zh-CN"/>
        </w:rPr>
      </w:pPr>
      <w:r>
        <w:rPr>
          <w:rFonts w:hint="eastAsia" w:ascii="楷体_GB2312" w:eastAsia="楷体_GB2312" w:cs="楷体_GB2312"/>
          <w:color w:val="auto"/>
          <w:szCs w:val="32"/>
          <w:lang w:val="en-US" w:eastAsia="zh-CN"/>
        </w:rPr>
        <w:t>4.项目结果。</w:t>
      </w:r>
      <w:r>
        <w:rPr>
          <w:rFonts w:ascii="仿宋_GB2312" w:cs="仿宋_GB2312"/>
        </w:rPr>
        <w:t>采购项目资金已于2023年12月前完成支付，宣传用品已分发汶川、茂县、松潘、九寨沟管理总站进行宣传使用。</w:t>
      </w:r>
    </w:p>
    <w:p w14:paraId="4EC41A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78" w:lineRule="exact"/>
        <w:ind w:firstLine="643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楷体_GB2312" w:eastAsia="楷体_GB2312" w:cs="Times New Roman"/>
          <w:b/>
          <w:color w:val="auto"/>
          <w:sz w:val="32"/>
          <w:szCs w:val="32"/>
          <w:highlight w:val="none"/>
          <w:u w:val="none"/>
          <w:lang w:val="zh-CN"/>
        </w:rPr>
        <w:t>（二）</w:t>
      </w:r>
      <w:r>
        <w:rPr>
          <w:rFonts w:hint="eastAsia" w:ascii="楷体_GB2312" w:eastAsia="楷体_GB2312" w:cs="Times New Roman"/>
          <w:b/>
          <w:color w:val="auto"/>
          <w:sz w:val="32"/>
          <w:szCs w:val="32"/>
          <w:highlight w:val="none"/>
          <w:u w:val="none"/>
          <w:lang w:val="en-US" w:eastAsia="zh-CN"/>
        </w:rPr>
        <w:t>专用指标</w:t>
      </w:r>
      <w:r>
        <w:rPr>
          <w:rFonts w:ascii="Times New Roman" w:hAnsi="Times New Roman" w:eastAsia="楷体_GB2312" w:cs="Times New Roman"/>
          <w:b/>
          <w:bCs/>
          <w:color w:val="000000"/>
          <w:kern w:val="0"/>
          <w:szCs w:val="32"/>
          <w:highlight w:val="none"/>
          <w:shd w:val="clear" w:color="auto" w:fill="FFFFFF"/>
          <w:lang w:val="zh-CN"/>
        </w:rPr>
        <w:t>绩效分析。</w:t>
      </w:r>
      <w:r>
        <w:rPr>
          <w:rFonts w:hint="eastAsia" w:ascii="仿宋_GB2312" w:eastAsia="仿宋_GB2312"/>
          <w:sz w:val="32"/>
          <w:szCs w:val="32"/>
        </w:rPr>
        <w:t>执行过程中，严格按照管理办法相关要求，</w:t>
      </w:r>
      <w:r>
        <w:rPr>
          <w:rFonts w:hint="eastAsia" w:ascii="仿宋_GB2312" w:eastAsia="仿宋_GB2312" w:cs="仿宋_GB2312"/>
          <w:b w:val="0"/>
          <w:bCs w:val="0"/>
          <w:caps w:val="0"/>
          <w:smallCaps w:val="0"/>
          <w:color w:val="auto"/>
          <w:kern w:val="2"/>
          <w:sz w:val="32"/>
          <w:szCs w:val="32"/>
          <w:vertAlign w:val="baseline"/>
          <w:lang w:val="en-US" w:eastAsia="zh-CN"/>
        </w:rPr>
        <w:t>宣传品印制</w:t>
      </w:r>
      <w:r>
        <w:rPr>
          <w:rFonts w:ascii="仿宋_GB2312" w:eastAsia="仿宋_GB2312" w:cs="仿宋_GB2312"/>
          <w:b w:val="0"/>
          <w:bCs w:val="0"/>
          <w:caps w:val="0"/>
          <w:smallCaps w:val="0"/>
          <w:color w:val="auto"/>
          <w:kern w:val="2"/>
          <w:sz w:val="32"/>
          <w:szCs w:val="32"/>
          <w:vertAlign w:val="baseline"/>
          <w:lang w:val="en-US" w:eastAsia="zh-CN"/>
        </w:rPr>
        <w:t>了</w:t>
      </w:r>
      <w:r>
        <w:rPr>
          <w:rFonts w:hint="eastAsia" w:ascii="仿宋_GB2312" w:cs="仿宋_GB2312"/>
          <w:b w:val="0"/>
          <w:bCs w:val="0"/>
          <w:caps w:val="0"/>
          <w:smallCaps w:val="0"/>
          <w:color w:val="auto"/>
          <w:kern w:val="2"/>
          <w:sz w:val="32"/>
          <w:szCs w:val="32"/>
          <w:vertAlign w:val="baseline"/>
          <w:lang w:val="en-US" w:eastAsia="zh-CN"/>
        </w:rPr>
        <w:t>中国国家公园和</w:t>
      </w:r>
      <w:r>
        <w:rPr>
          <w:rFonts w:hint="eastAsia" w:ascii="仿宋_GB2312" w:eastAsia="仿宋_GB2312" w:cs="仿宋_GB2312"/>
          <w:b w:val="0"/>
          <w:bCs w:val="0"/>
          <w:caps w:val="0"/>
          <w:smallCaps w:val="0"/>
          <w:color w:val="auto"/>
          <w:kern w:val="2"/>
          <w:sz w:val="32"/>
          <w:szCs w:val="32"/>
          <w:vertAlign w:val="baseline"/>
          <w:lang w:val="en-US" w:eastAsia="zh-CN"/>
        </w:rPr>
        <w:t>大熊猫国家公园logo、野生动植物保护和森林草原防灭火宣传标语</w:t>
      </w:r>
      <w:r>
        <w:rPr>
          <w:rFonts w:ascii="仿宋_GB2312" w:eastAsia="仿宋_GB2312" w:cs="仿宋_GB2312"/>
          <w:b w:val="0"/>
          <w:bCs w:val="0"/>
          <w:caps w:val="0"/>
          <w:smallCaps w:val="0"/>
          <w:color w:val="auto"/>
          <w:kern w:val="2"/>
          <w:sz w:val="32"/>
          <w:szCs w:val="32"/>
          <w:vertAlign w:val="baseline"/>
          <w:lang w:val="en-US" w:eastAsia="zh-CN"/>
        </w:rPr>
        <w:t>等</w:t>
      </w:r>
      <w:r>
        <w:rPr>
          <w:rFonts w:hint="eastAsia" w:ascii="仿宋_GB2312" w:eastAsia="仿宋_GB2312" w:cs="仿宋_GB2312"/>
          <w:b w:val="0"/>
          <w:bCs w:val="0"/>
          <w:caps w:val="0"/>
          <w:smallCaps w:val="0"/>
          <w:color w:val="auto"/>
          <w:kern w:val="2"/>
          <w:sz w:val="32"/>
          <w:szCs w:val="32"/>
          <w:vertAlign w:val="baseline"/>
          <w:lang w:val="en-US" w:eastAsia="zh-CN"/>
        </w:rPr>
        <w:t>。通过开展宣传教育，切实增强群众主动参与野生动植物保护和防火的思想自觉、行动自觉</w:t>
      </w:r>
      <w:r>
        <w:rPr>
          <w:rFonts w:ascii="仿宋_GB2312" w:eastAsia="仿宋_GB2312" w:cs="仿宋_GB2312"/>
          <w:b w:val="0"/>
          <w:bCs w:val="0"/>
          <w:caps w:val="0"/>
          <w:smallCaps w:val="0"/>
          <w:color w:val="auto"/>
          <w:kern w:val="2"/>
          <w:sz w:val="32"/>
          <w:szCs w:val="32"/>
          <w:vertAlign w:val="baseline"/>
          <w:lang w:val="en-US" w:eastAsia="zh-CN"/>
        </w:rPr>
        <w:t>。</w:t>
      </w:r>
      <w:r>
        <w:rPr>
          <w:rFonts w:hint="eastAsia" w:ascii="仿宋_GB2312" w:eastAsia="仿宋_GB2312"/>
          <w:sz w:val="32"/>
          <w:szCs w:val="32"/>
        </w:rPr>
        <w:t>政策实施对象中不存在明显不合理的排他性规定，政策实施后相关受益群体的整体满意调查良好，满意度100%。</w:t>
      </w:r>
    </w:p>
    <w:p w14:paraId="76E9A3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78" w:lineRule="exact"/>
        <w:ind w:firstLine="643" w:firstLineChars="200"/>
        <w:rPr>
          <w:rFonts w:hint="eastAsia" w:cs="Times New Roman"/>
          <w:color w:val="auto"/>
          <w:szCs w:val="32"/>
          <w:lang w:val="en-US" w:eastAsia="zh-CN"/>
        </w:rPr>
      </w:pPr>
      <w:r>
        <w:rPr>
          <w:rFonts w:hint="eastAsia" w:ascii="楷体_GB2312" w:eastAsia="楷体_GB2312" w:cs="Times New Roman"/>
          <w:b/>
          <w:color w:val="auto"/>
          <w:sz w:val="32"/>
          <w:szCs w:val="32"/>
          <w:highlight w:val="none"/>
          <w:u w:val="none"/>
          <w:lang w:val="zh-CN"/>
        </w:rPr>
        <w:t>（三）</w:t>
      </w:r>
      <w:r>
        <w:rPr>
          <w:rFonts w:hint="eastAsia" w:ascii="楷体_GB2312" w:eastAsia="楷体_GB2312" w:cs="Times New Roman"/>
          <w:b/>
          <w:color w:val="auto"/>
          <w:sz w:val="32"/>
          <w:szCs w:val="32"/>
          <w:highlight w:val="none"/>
          <w:u w:val="none"/>
          <w:lang w:val="en-US" w:eastAsia="zh-CN"/>
        </w:rPr>
        <w:t>个性指标</w:t>
      </w:r>
      <w:r>
        <w:rPr>
          <w:rFonts w:ascii="Times New Roman" w:hAnsi="Times New Roman" w:eastAsia="楷体_GB2312" w:cs="Times New Roman"/>
          <w:b/>
          <w:bCs/>
          <w:color w:val="000000"/>
          <w:kern w:val="0"/>
          <w:szCs w:val="32"/>
          <w:highlight w:val="none"/>
          <w:shd w:val="clear" w:color="auto" w:fill="FFFFFF"/>
          <w:lang w:val="zh-CN"/>
        </w:rPr>
        <w:t>绩效分析。</w:t>
      </w:r>
      <w:r>
        <w:rPr>
          <w:rFonts w:ascii="仿宋_GB2312" w:eastAsia="仿宋_GB2312" w:cs="仿宋_GB2312"/>
          <w:b w:val="0"/>
          <w:bCs w:val="0"/>
          <w:caps w:val="0"/>
          <w:smallCaps w:val="0"/>
          <w:color w:val="auto"/>
          <w:kern w:val="2"/>
          <w:sz w:val="32"/>
          <w:szCs w:val="32"/>
          <w:vertAlign w:val="baseline"/>
          <w:lang w:val="en-US" w:eastAsia="zh-CN"/>
        </w:rPr>
        <w:t>采购</w:t>
      </w:r>
      <w:r>
        <w:rPr>
          <w:lang w:bidi="ar-SA"/>
        </w:rPr>
        <w:t>环保布袋2000个</w:t>
      </w:r>
      <w:r>
        <w:rPr>
          <w:rFonts w:hint="eastAsia" w:ascii="仿宋_GB2312" w:eastAsia="仿宋_GB2312" w:cs="仿宋_GB2312"/>
          <w:b w:val="0"/>
          <w:bCs w:val="0"/>
          <w:caps w:val="0"/>
          <w:smallCaps w:val="0"/>
          <w:color w:val="auto"/>
          <w:kern w:val="2"/>
          <w:sz w:val="32"/>
          <w:szCs w:val="32"/>
          <w:vertAlign w:val="baseline"/>
          <w:lang w:val="en-US" w:eastAsia="zh-CN"/>
        </w:rPr>
        <w:t>、</w:t>
      </w:r>
      <w:r>
        <w:rPr>
          <w:rFonts w:ascii="仿宋_GB2312" w:eastAsia="仿宋_GB2312" w:cs="仿宋_GB2312"/>
          <w:b w:val="0"/>
          <w:bCs w:val="0"/>
          <w:caps w:val="0"/>
          <w:smallCaps w:val="0"/>
          <w:color w:val="auto"/>
          <w:kern w:val="2"/>
          <w:sz w:val="32"/>
          <w:szCs w:val="32"/>
          <w:vertAlign w:val="baseline"/>
          <w:lang w:val="en-US" w:eastAsia="zh-CN"/>
        </w:rPr>
        <w:t>雨伞1700把、保温水杯200个、罩衣4000件，印制宣传折页8000册、成效图集50本，共计</w:t>
      </w:r>
      <w:r>
        <w:rPr>
          <w:rFonts w:ascii="仿宋_GB2312"/>
          <w:lang w:val="zh-CN"/>
        </w:rPr>
        <w:t>14.41</w:t>
      </w:r>
      <w:r>
        <w:rPr>
          <w:rFonts w:hint="eastAsia" w:ascii="仿宋_GB2312"/>
          <w:lang w:val="zh-CN"/>
        </w:rPr>
        <w:t>万元</w:t>
      </w:r>
      <w:r>
        <w:rPr>
          <w:rFonts w:ascii="仿宋_GB2312" w:cs="仿宋_GB2312"/>
        </w:rPr>
        <w:t>。采购项目资金已于2023年12月前完成支付。</w:t>
      </w:r>
    </w:p>
    <w:p w14:paraId="58FE57C3">
      <w:pPr>
        <w:pStyle w:val="6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firstLine="640" w:firstLineChars="200"/>
        <w:textAlignment w:val="auto"/>
        <w:rPr>
          <w:rFonts w:hint="eastAsia" w:ascii="黑体" w:eastAsia="黑体"/>
          <w:color w:val="auto"/>
          <w:sz w:val="32"/>
          <w:szCs w:val="32"/>
          <w:highlight w:val="none"/>
          <w:u w:val="none"/>
        </w:rPr>
      </w:pPr>
      <w:r>
        <w:rPr>
          <w:rFonts w:hint="eastAsia" w:ascii="黑体" w:eastAsia="黑体"/>
          <w:color w:val="auto"/>
          <w:sz w:val="32"/>
          <w:szCs w:val="32"/>
          <w:highlight w:val="none"/>
          <w:u w:val="none"/>
          <w:lang w:eastAsia="zh-CN"/>
        </w:rPr>
        <w:t>四</w:t>
      </w:r>
      <w:r>
        <w:rPr>
          <w:rFonts w:hint="eastAsia" w:ascii="黑体" w:eastAsia="黑体"/>
          <w:color w:val="auto"/>
          <w:sz w:val="32"/>
          <w:szCs w:val="32"/>
          <w:highlight w:val="none"/>
          <w:u w:val="none"/>
        </w:rPr>
        <w:t>、评价结论</w:t>
      </w:r>
    </w:p>
    <w:p w14:paraId="207E1162">
      <w:pPr>
        <w:spacing w:line="560" w:lineRule="exact"/>
        <w:ind w:firstLine="640" w:firstLineChars="200"/>
        <w:rPr>
          <w:rFonts w:hint="eastAsia" w:ascii="仿宋_GB2312" w:eastAsia="仿宋_GB2312" w:cs="仿宋_GB2312"/>
          <w:sz w:val="32"/>
          <w:szCs w:val="32"/>
          <w:lang w:val="zh-CN" w:eastAsia="zh-CN" w:bidi="ar-SA"/>
        </w:rPr>
      </w:pPr>
      <w:r>
        <w:rPr>
          <w:rFonts w:hint="eastAsia" w:ascii="仿宋_GB2312" w:eastAsia="仿宋_GB2312" w:cs="仿宋_GB2312"/>
          <w:sz w:val="32"/>
          <w:szCs w:val="32"/>
          <w:lang w:val="zh-CN" w:eastAsia="zh-CN" w:bidi="ar-SA"/>
        </w:rPr>
        <w:t>从综合评价来看，项目立项依据充分，均设定了项目绩效目标，资金配置科学合理，严格项目</w:t>
      </w:r>
      <w:r>
        <w:rPr>
          <w:rFonts w:hint="eastAsia" w:ascii="仿宋_GB2312" w:cs="仿宋_GB2312"/>
          <w:sz w:val="32"/>
          <w:szCs w:val="32"/>
          <w:lang w:val="en-US" w:eastAsia="zh-CN" w:bidi="ar-SA"/>
        </w:rPr>
        <w:t>采购</w:t>
      </w:r>
      <w:r>
        <w:rPr>
          <w:rFonts w:hint="eastAsia" w:ascii="仿宋_GB2312" w:eastAsia="仿宋_GB2312" w:cs="仿宋_GB2312"/>
          <w:sz w:val="32"/>
          <w:szCs w:val="32"/>
          <w:lang w:val="zh-CN" w:eastAsia="zh-CN" w:bidi="ar-SA"/>
        </w:rPr>
        <w:t>管理，按规定履行报批手续，制定了实施方案，细化任务并明确绩效目标。涉及采购的严格按照政府采购相关程序执行，建设、验收等严格执行相关制度规定。整体情况良好。</w:t>
      </w:r>
    </w:p>
    <w:p w14:paraId="6E46FA8A">
      <w:pPr>
        <w:pStyle w:val="6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firstLine="640" w:firstLineChars="200"/>
        <w:textAlignment w:val="auto"/>
        <w:rPr>
          <w:rFonts w:hint="eastAsia" w:ascii="黑体" w:eastAsia="黑体" w:cs="Times New Roman"/>
          <w:color w:val="auto"/>
          <w:sz w:val="32"/>
          <w:szCs w:val="32"/>
          <w:highlight w:val="none"/>
          <w:u w:val="none"/>
          <w:lang w:eastAsia="zh-CN"/>
        </w:rPr>
      </w:pPr>
      <w:r>
        <w:rPr>
          <w:rFonts w:hint="eastAsia" w:ascii="黑体" w:cs="Times New Roman"/>
          <w:color w:val="auto"/>
          <w:sz w:val="32"/>
          <w:szCs w:val="32"/>
          <w:highlight w:val="none"/>
          <w:u w:val="none"/>
          <w:lang w:eastAsia="zh-CN"/>
        </w:rPr>
        <w:t>五、</w:t>
      </w:r>
      <w:r>
        <w:rPr>
          <w:rFonts w:hint="eastAsia" w:ascii="黑体" w:eastAsia="黑体" w:cs="Times New Roman"/>
          <w:color w:val="auto"/>
          <w:sz w:val="32"/>
          <w:szCs w:val="32"/>
          <w:highlight w:val="none"/>
          <w:u w:val="none"/>
          <w:lang w:eastAsia="zh-CN"/>
        </w:rPr>
        <w:t>存在主要问题</w:t>
      </w:r>
    </w:p>
    <w:p w14:paraId="735BC9E8">
      <w:pPr>
        <w:pStyle w:val="6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firstLine="640" w:firstLineChars="200"/>
        <w:textAlignment w:val="auto"/>
        <w:rPr>
          <w:rFonts w:hint="eastAsia" w:ascii="黑体" w:cs="黑体"/>
          <w:b w:val="0"/>
          <w:bCs w:val="0"/>
          <w:kern w:val="2"/>
          <w:position w:val="0"/>
          <w:sz w:val="32"/>
          <w:szCs w:val="32"/>
          <w:highlight w:val="none"/>
          <w:lang w:val="en-US" w:eastAsia="zh-CN" w:bidi="ar-SA"/>
        </w:rPr>
      </w:pPr>
      <w:r>
        <w:rPr>
          <w:rFonts w:ascii="仿宋_GB2312" w:eastAsia="仿宋_GB2312" w:cs="仿宋_GB2312"/>
          <w:b w:val="0"/>
          <w:bCs w:val="0"/>
          <w:kern w:val="0"/>
          <w:position w:val="0"/>
          <w:sz w:val="32"/>
          <w:szCs w:val="32"/>
          <w:highlight w:val="none"/>
          <w:lang w:val="en-US" w:eastAsia="zh-CN" w:bidi="ar-SA"/>
        </w:rPr>
        <w:t>无</w:t>
      </w:r>
      <w:r>
        <w:rPr>
          <w:rFonts w:hint="eastAsia" w:ascii="仿宋_GB2312" w:eastAsia="仿宋_GB2312" w:cs="仿宋_GB2312"/>
          <w:b w:val="0"/>
          <w:bCs w:val="0"/>
          <w:kern w:val="0"/>
          <w:position w:val="0"/>
          <w:sz w:val="32"/>
          <w:szCs w:val="32"/>
          <w:highlight w:val="none"/>
          <w:lang w:val="en-US" w:eastAsia="zh-CN" w:bidi="ar-SA"/>
        </w:rPr>
        <w:t>。</w:t>
      </w:r>
    </w:p>
    <w:p w14:paraId="3F55832D">
      <w:pPr>
        <w:pStyle w:val="6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firstLine="640" w:firstLineChars="200"/>
        <w:textAlignment w:val="auto"/>
        <w:rPr>
          <w:rFonts w:hint="eastAsia" w:ascii="黑体" w:eastAsia="黑体" w:cs="Times New Roman"/>
          <w:color w:val="auto"/>
          <w:kern w:val="0"/>
          <w:position w:val="3"/>
          <w:sz w:val="32"/>
          <w:szCs w:val="32"/>
          <w:highlight w:val="none"/>
          <w:u w:val="none"/>
          <w:lang w:val="zh-CN" w:eastAsia="zh-CN" w:bidi="ar-SA"/>
        </w:rPr>
      </w:pPr>
      <w:r>
        <w:rPr>
          <w:rFonts w:hint="eastAsia" w:ascii="黑体" w:eastAsia="黑体" w:cs="Times New Roman"/>
          <w:color w:val="auto"/>
          <w:kern w:val="0"/>
          <w:position w:val="3"/>
          <w:sz w:val="32"/>
          <w:szCs w:val="32"/>
          <w:highlight w:val="none"/>
          <w:u w:val="none"/>
          <w:lang w:val="zh-CN" w:eastAsia="zh-CN" w:bidi="ar-SA"/>
        </w:rPr>
        <w:t>六、改进建议</w:t>
      </w:r>
    </w:p>
    <w:p w14:paraId="6A230B95">
      <w:pPr>
        <w:tabs>
          <w:tab w:val="left" w:pos="1911"/>
        </w:tabs>
        <w:jc w:val="left"/>
        <w:rPr>
          <w:rFonts w:hint="eastAsia" w:ascii="仿宋_GB2312" w:eastAsia="仿宋_GB2312" w:cs="仿宋_GB2312"/>
          <w:b w:val="0"/>
          <w:bCs w:val="0"/>
          <w:kern w:val="0"/>
          <w:position w:val="0"/>
          <w:sz w:val="32"/>
          <w:szCs w:val="32"/>
          <w:highlight w:val="none"/>
          <w:lang w:eastAsia="zh-CN" w:bidi="ar-SA"/>
        </w:rPr>
      </w:pP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 w:eastAsia="zh-CN"/>
        </w:rPr>
        <w:t xml:space="preserve"> </w:t>
      </w:r>
      <w:r>
        <w:rPr>
          <w:rFonts w:hint="eastAsia" w:ascii="仿宋_GB2312" w:cs="仿宋_GB2312"/>
          <w:b w:val="0"/>
          <w:bCs w:val="0"/>
          <w:kern w:val="0"/>
          <w:position w:val="0"/>
          <w:sz w:val="32"/>
          <w:szCs w:val="32"/>
          <w:highlight w:val="none"/>
          <w:lang w:val="en-US" w:eastAsia="zh-CN" w:bidi="ar-SA"/>
        </w:rPr>
        <w:t xml:space="preserve">   </w:t>
      </w:r>
      <w:bookmarkStart w:id="0" w:name="_Hlk110546638"/>
      <w:r>
        <w:rPr>
          <w:rFonts w:ascii="仿宋_GB2312" w:eastAsia="仿宋_GB2312" w:cs="仿宋_GB2312"/>
          <w:b w:val="0"/>
          <w:bCs w:val="0"/>
          <w:kern w:val="0"/>
          <w:position w:val="0"/>
          <w:sz w:val="32"/>
          <w:szCs w:val="32"/>
          <w:highlight w:val="none"/>
          <w:lang w:val="en-US" w:eastAsia="zh-CN" w:bidi="ar-SA"/>
        </w:rPr>
        <w:t>无</w:t>
      </w:r>
      <w:r>
        <w:rPr>
          <w:rFonts w:hint="eastAsia" w:ascii="仿宋_GB2312" w:cs="仿宋_GB2312"/>
          <w:b w:val="0"/>
          <w:bCs w:val="0"/>
          <w:kern w:val="0"/>
          <w:position w:val="0"/>
          <w:sz w:val="32"/>
          <w:szCs w:val="32"/>
          <w:highlight w:val="none"/>
          <w:lang w:val="en-US" w:eastAsia="zh-CN" w:bidi="ar-SA"/>
        </w:rPr>
        <w:t>。</w:t>
      </w:r>
    </w:p>
    <w:bookmarkEnd w:id="0"/>
    <w:p w14:paraId="7E62A8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ind w:left="0" w:firstLine="640" w:firstLineChars="200"/>
        <w:textAlignment w:val="auto"/>
        <w:outlineLvl w:val="9"/>
        <w:rPr>
          <w:rFonts w:hint="eastAsia" w:ascii="Times New Roman" w:hAnsi="Times New Roman" w:cs="Times New Roman"/>
          <w:color w:val="000000"/>
          <w:kern w:val="0"/>
          <w:szCs w:val="32"/>
          <w:highlight w:val="none"/>
          <w:shd w:val="clear" w:color="auto" w:fill="FFFFFF"/>
          <w:lang w:val="zh-CN" w:eastAsia="zh-CN"/>
        </w:rPr>
      </w:pPr>
    </w:p>
    <w:p w14:paraId="25E1E0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ind w:left="0" w:firstLine="640" w:firstLineChars="200"/>
        <w:textAlignment w:val="auto"/>
        <w:outlineLvl w:val="9"/>
        <w:rPr>
          <w:rFonts w:ascii="Times New Roman" w:hAnsi="Times New Roman" w:cs="Times New Roman"/>
          <w:color w:val="000000"/>
          <w:kern w:val="0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Times New Roman" w:hAnsi="Times New Roman" w:cs="Times New Roman"/>
          <w:color w:val="000000"/>
          <w:kern w:val="0"/>
          <w:szCs w:val="32"/>
          <w:highlight w:val="none"/>
          <w:shd w:val="clear" w:color="auto" w:fill="FFFFFF"/>
          <w:lang w:val="en-US" w:eastAsia="zh-CN"/>
        </w:rPr>
        <w:t>附表：</w:t>
      </w:r>
      <w:r>
        <w:rPr>
          <w:rFonts w:hint="eastAsia" w:cs="Times New Roman"/>
          <w:color w:val="000000"/>
          <w:kern w:val="0"/>
          <w:szCs w:val="32"/>
          <w:highlight w:val="none"/>
          <w:shd w:val="clear" w:color="auto" w:fill="FFFFFF"/>
          <w:lang w:val="en-US" w:eastAsia="zh-CN"/>
        </w:rPr>
        <w:t>部门</w:t>
      </w:r>
      <w:r>
        <w:rPr>
          <w:rFonts w:hint="eastAsia" w:ascii="Times New Roman" w:hAnsi="Times New Roman" w:cs="Times New Roman"/>
          <w:color w:val="000000"/>
          <w:kern w:val="0"/>
          <w:szCs w:val="32"/>
          <w:highlight w:val="none"/>
          <w:shd w:val="clear" w:color="auto" w:fill="FFFFFF"/>
          <w:lang w:val="en-US" w:eastAsia="zh-CN"/>
        </w:rPr>
        <w:t>预算项目绩效目标完成情况自评表</w:t>
      </w:r>
    </w:p>
    <w:p w14:paraId="45F836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ind w:left="0" w:firstLine="640" w:firstLineChars="200"/>
        <w:textAlignment w:val="auto"/>
        <w:outlineLvl w:val="9"/>
        <w:rPr>
          <w:rFonts w:hint="eastAsia" w:ascii="Times New Roman" w:hAnsi="Times New Roman" w:cs="Times New Roman"/>
          <w:color w:val="000000"/>
          <w:kern w:val="0"/>
          <w:szCs w:val="32"/>
          <w:highlight w:val="none"/>
          <w:shd w:val="clear" w:color="auto" w:fill="FFFFFF"/>
          <w:lang w:val="zh-CN" w:eastAsia="zh-CN"/>
        </w:rPr>
      </w:pPr>
      <w:r>
        <w:rPr>
          <w:rFonts w:hint="eastAsia" w:ascii="Times New Roman" w:hAnsi="Times New Roman" w:cs="Times New Roman"/>
          <w:color w:val="000000"/>
          <w:kern w:val="0"/>
          <w:szCs w:val="32"/>
          <w:highlight w:val="none"/>
          <w:shd w:val="clear" w:color="auto" w:fill="FFFFFF"/>
          <w:lang w:val="zh-CN" w:eastAsia="zh-CN"/>
        </w:rPr>
        <w:br w:type="page"/>
      </w:r>
    </w:p>
    <w:p w14:paraId="4AF6E13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8" w:lineRule="exact"/>
        <w:contextualSpacing/>
        <w:jc w:val="left"/>
        <w:textAlignment w:val="auto"/>
        <w:rPr>
          <w:rFonts w:hint="eastAsia" w:ascii="黑体" w:eastAsia="黑体" w:cs="黑体"/>
          <w:b w:val="0"/>
          <w:bCs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 w:eastAsia="zh-CN"/>
        </w:rPr>
      </w:pPr>
      <w:r>
        <w:rPr>
          <w:rFonts w:hint="eastAsia" w:ascii="黑体" w:eastAsia="黑体" w:cs="黑体"/>
          <w:b w:val="0"/>
          <w:bCs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 w:eastAsia="zh-CN"/>
        </w:rPr>
        <w:t>附表</w:t>
      </w:r>
      <w:r>
        <w:rPr>
          <w:rFonts w:hint="eastAsia" w:ascii="黑体" w:eastAsia="黑体" w:cs="黑体"/>
          <w:b w:val="0"/>
          <w:bCs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  <w:t>1</w:t>
      </w:r>
    </w:p>
    <w:p w14:paraId="243824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8" w:lineRule="exact"/>
        <w:ind w:left="0"/>
        <w:jc w:val="center"/>
        <w:textAlignment w:val="auto"/>
        <w:rPr>
          <w:rFonts w:hint="eastAsia" w:ascii="方正小标宋_GBK" w:eastAsia="方正小标宋_GBK" w:cs="方正小标宋_GBK"/>
          <w:b w:val="0"/>
          <w:bCs w:val="0"/>
          <w:color w:val="auto"/>
          <w:sz w:val="40"/>
          <w:szCs w:val="40"/>
          <w:highlight w:val="none"/>
          <w:u w:val="none"/>
          <w:lang w:val="en-US" w:eastAsia="zh-CN"/>
        </w:rPr>
      </w:pPr>
      <w:r>
        <w:rPr>
          <w:rFonts w:hint="eastAsia" w:ascii="方正小标宋_GBK" w:eastAsia="方正小标宋_GBK" w:cs="方正小标宋_GBK"/>
          <w:b w:val="0"/>
          <w:bCs w:val="0"/>
          <w:color w:val="auto"/>
          <w:sz w:val="40"/>
          <w:szCs w:val="40"/>
          <w:highlight w:val="none"/>
          <w:u w:val="none"/>
          <w:lang w:val="en-US" w:eastAsia="zh-CN"/>
        </w:rPr>
        <w:t>项目资金分配涉及所有点位自评得分情况表</w:t>
      </w:r>
    </w:p>
    <w:tbl>
      <w:tblPr>
        <w:tblStyle w:val="12"/>
        <w:tblW w:w="8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3"/>
        <w:gridCol w:w="3843"/>
        <w:gridCol w:w="2861"/>
        <w:gridCol w:w="993"/>
      </w:tblGrid>
      <w:tr w14:paraId="6607D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0863E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outlineLvl w:val="9"/>
              <w:rPr>
                <w:rFonts w:hint="eastAsia" w:ascii="黑体" w:eastAsia="黑体" w:cs="黑体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黑体" w:eastAsia="黑体" w:cs="黑体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3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D7708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outlineLvl w:val="9"/>
              <w:rPr>
                <w:rFonts w:hint="eastAsia" w:ascii="黑体" w:eastAsia="黑体" w:cs="黑体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黑体" w:eastAsia="黑体" w:cs="黑体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项目资金末端分配点位</w:t>
            </w: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454D0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outlineLvl w:val="9"/>
              <w:rPr>
                <w:rFonts w:hint="eastAsia" w:ascii="黑体" w:eastAsia="黑体" w:cs="黑体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黑体" w:eastAsia="黑体" w:cs="黑体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自评得分（百分制）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11B1B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outlineLvl w:val="9"/>
              <w:rPr>
                <w:rFonts w:hint="eastAsia" w:ascii="黑体" w:eastAsia="黑体" w:cs="黑体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黑体" w:eastAsia="黑体" w:cs="黑体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67988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3E513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outlineLvl w:val="9"/>
              <w:rPr>
                <w:rFonts w:hint="eastAsia" w:asci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3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C5260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textAlignment w:val="auto"/>
              <w:outlineLvl w:val="9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6879C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textAlignment w:val="auto"/>
              <w:outlineLvl w:val="9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A6899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textAlignment w:val="auto"/>
              <w:outlineLvl w:val="9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4EF62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B0D74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outlineLvl w:val="9"/>
              <w:rPr>
                <w:rFonts w:hint="eastAsia" w:asci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2</w:t>
            </w:r>
          </w:p>
        </w:tc>
        <w:tc>
          <w:tcPr>
            <w:tcW w:w="3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94CFD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textAlignment w:val="auto"/>
              <w:outlineLvl w:val="9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68906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textAlignment w:val="auto"/>
              <w:outlineLvl w:val="9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32D62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textAlignment w:val="auto"/>
              <w:outlineLvl w:val="9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00127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CE088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outlineLvl w:val="9"/>
              <w:rPr>
                <w:rFonts w:hint="eastAsia" w:asci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3</w:t>
            </w:r>
          </w:p>
        </w:tc>
        <w:tc>
          <w:tcPr>
            <w:tcW w:w="3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40FD4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textAlignment w:val="auto"/>
              <w:outlineLvl w:val="9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9E2FD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textAlignment w:val="auto"/>
              <w:outlineLvl w:val="9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5590D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textAlignment w:val="auto"/>
              <w:outlineLvl w:val="9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554E7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BDEE7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outlineLvl w:val="9"/>
              <w:rPr>
                <w:rFonts w:hint="eastAsia" w:asci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4</w:t>
            </w:r>
          </w:p>
        </w:tc>
        <w:tc>
          <w:tcPr>
            <w:tcW w:w="3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FCD03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textAlignment w:val="auto"/>
              <w:outlineLvl w:val="9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95D3E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textAlignment w:val="auto"/>
              <w:outlineLvl w:val="9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46EC7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textAlignment w:val="auto"/>
              <w:outlineLvl w:val="9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211E8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3CE76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outlineLvl w:val="9"/>
              <w:rPr>
                <w:rFonts w:hint="eastAsia" w:asci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5</w:t>
            </w:r>
          </w:p>
        </w:tc>
        <w:tc>
          <w:tcPr>
            <w:tcW w:w="3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6E7EA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textAlignment w:val="auto"/>
              <w:outlineLvl w:val="9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2E198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textAlignment w:val="auto"/>
              <w:outlineLvl w:val="9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60E89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textAlignment w:val="auto"/>
              <w:outlineLvl w:val="9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1C948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F0FBC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outlineLvl w:val="9"/>
              <w:rPr>
                <w:rFonts w:hint="eastAsia" w:asci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6</w:t>
            </w:r>
          </w:p>
        </w:tc>
        <w:tc>
          <w:tcPr>
            <w:tcW w:w="3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14B3B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textAlignment w:val="auto"/>
              <w:outlineLvl w:val="9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80110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textAlignment w:val="auto"/>
              <w:outlineLvl w:val="9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573E8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textAlignment w:val="auto"/>
              <w:outlineLvl w:val="9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0AE54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0AC99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outlineLvl w:val="9"/>
              <w:rPr>
                <w:rFonts w:hint="eastAsia" w:asci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7</w:t>
            </w:r>
          </w:p>
        </w:tc>
        <w:tc>
          <w:tcPr>
            <w:tcW w:w="3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BC9BF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textAlignment w:val="auto"/>
              <w:outlineLvl w:val="9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69248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textAlignment w:val="auto"/>
              <w:outlineLvl w:val="9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09A32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textAlignment w:val="auto"/>
              <w:outlineLvl w:val="9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76BFC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5DAE5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outlineLvl w:val="9"/>
              <w:rPr>
                <w:rFonts w:hint="eastAsia" w:asci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8</w:t>
            </w:r>
          </w:p>
        </w:tc>
        <w:tc>
          <w:tcPr>
            <w:tcW w:w="3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05B5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textAlignment w:val="auto"/>
              <w:outlineLvl w:val="9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83C30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textAlignment w:val="auto"/>
              <w:outlineLvl w:val="9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54450D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textAlignment w:val="auto"/>
              <w:outlineLvl w:val="9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23D9C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835F2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auto"/>
              <w:outlineLvl w:val="9"/>
              <w:rPr>
                <w:rFonts w:hint="eastAsia" w:ascii="宋体" w:eastAsia="宋体" w:cs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eastAsia="宋体" w:cs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……</w:t>
            </w:r>
          </w:p>
        </w:tc>
        <w:tc>
          <w:tcPr>
            <w:tcW w:w="3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04EBD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textAlignment w:val="auto"/>
              <w:outlineLvl w:val="9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2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13AB2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textAlignment w:val="auto"/>
              <w:outlineLvl w:val="9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4F017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textAlignment w:val="auto"/>
              <w:outlineLvl w:val="9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</w:tbl>
    <w:p w14:paraId="3702B5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0"/>
        <w:jc w:val="left"/>
        <w:textAlignment w:val="auto"/>
        <w:rPr>
          <w:rFonts w:hint="eastAsia" w:ascii="宋体" w:eastAsia="宋体" w:cs="宋体"/>
          <w:b w:val="0"/>
          <w:bCs w:val="0"/>
          <w:color w:val="auto"/>
          <w:sz w:val="21"/>
          <w:szCs w:val="21"/>
          <w:highlight w:val="none"/>
          <w:u w:val="none"/>
          <w:vertAlign w:val="baseline"/>
          <w:lang w:val="en-US" w:eastAsia="zh-CN"/>
        </w:rPr>
      </w:pPr>
      <w:r>
        <w:rPr>
          <w:rFonts w:hint="eastAsia" w:ascii="宋体" w:eastAsia="宋体" w:cs="宋体"/>
          <w:b w:val="0"/>
          <w:bCs w:val="0"/>
          <w:color w:val="auto"/>
          <w:sz w:val="21"/>
          <w:szCs w:val="21"/>
          <w:highlight w:val="none"/>
          <w:u w:val="none"/>
          <w:vertAlign w:val="baseline"/>
          <w:lang w:val="en-US" w:eastAsia="zh-CN"/>
        </w:rPr>
        <w:t>备注：1.项目资金末端分配点位包括州本级、县（市）、州级部门下属单位及一次性单位等。</w:t>
      </w:r>
    </w:p>
    <w:p w14:paraId="02545B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630" w:firstLineChars="300"/>
        <w:jc w:val="left"/>
        <w:textAlignment w:val="auto"/>
        <w:rPr>
          <w:rFonts w:hint="eastAsia" w:ascii="宋体" w:eastAsia="宋体" w:cs="宋体"/>
          <w:b w:val="0"/>
          <w:bCs w:val="0"/>
          <w:color w:val="auto"/>
          <w:sz w:val="21"/>
          <w:szCs w:val="21"/>
          <w:highlight w:val="none"/>
          <w:u w:val="none"/>
          <w:vertAlign w:val="baseline"/>
          <w:lang w:val="en-US" w:eastAsia="zh-CN"/>
        </w:rPr>
      </w:pPr>
      <w:r>
        <w:rPr>
          <w:rFonts w:hint="eastAsia" w:ascii="宋体" w:eastAsia="宋体" w:cs="宋体"/>
          <w:b w:val="0"/>
          <w:bCs w:val="0"/>
          <w:color w:val="auto"/>
          <w:sz w:val="21"/>
          <w:szCs w:val="21"/>
          <w:highlight w:val="none"/>
          <w:u w:val="none"/>
          <w:vertAlign w:val="baseline"/>
          <w:lang w:val="en-US" w:eastAsia="zh-CN"/>
        </w:rPr>
        <w:t>2.自评得分（百分制）从高到低划分为优、良、中、差四个档次，各个档次数量占比分别为20%、20%、55%、5%，且不同档次间得分分值应体现差异化，同档次得分分值相同的比例不超过该档次总数量的10%。</w:t>
      </w:r>
    </w:p>
    <w:p w14:paraId="051F3923">
      <w:pPr>
        <w:rPr>
          <w:rFonts w:hint="eastAsia" w:ascii="Times New Roman" w:hAnsi="Times New Roman" w:eastAsia="仿宋_GB2312" w:cs="Times New Roman"/>
          <w:kern w:val="2"/>
          <w:sz w:val="32"/>
          <w:szCs w:val="24"/>
          <w:highlight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24"/>
          <w:highlight w:val="none"/>
          <w:lang w:val="en-US" w:eastAsia="zh-CN" w:bidi="ar-SA"/>
        </w:rPr>
        <w:br w:type="page"/>
      </w:r>
    </w:p>
    <w:p w14:paraId="2F688DE4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 w:line="578" w:lineRule="exact"/>
        <w:ind w:left="0" w:leftChars="0" w:firstLine="0" w:firstLineChars="0"/>
        <w:rPr>
          <w:rFonts w:ascii="Times New Roman" w:hAnsi="Times New Roman" w:eastAsia="黑体" w:cs="Times New Roman"/>
          <w:kern w:val="2"/>
          <w:sz w:val="32"/>
          <w:szCs w:val="24"/>
          <w:highlight w:val="none"/>
          <w:lang w:val="en-US" w:eastAsia="zh-CN" w:bidi="ar-SA"/>
        </w:rPr>
      </w:pPr>
      <w:r>
        <w:rPr>
          <w:rFonts w:ascii="Times New Roman" w:hAnsi="Times New Roman" w:eastAsia="黑体" w:cs="Times New Roman"/>
          <w:kern w:val="2"/>
          <w:sz w:val="32"/>
          <w:szCs w:val="24"/>
          <w:highlight w:val="none"/>
          <w:lang w:val="en-US" w:eastAsia="zh-CN" w:bidi="ar-SA"/>
        </w:rPr>
        <w:t>附表2</w:t>
      </w:r>
    </w:p>
    <w:tbl>
      <w:tblPr>
        <w:tblStyle w:val="12"/>
        <w:tblW w:w="1023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52"/>
        <w:gridCol w:w="1081"/>
        <w:gridCol w:w="1250"/>
        <w:gridCol w:w="1312"/>
        <w:gridCol w:w="1127"/>
        <w:gridCol w:w="971"/>
        <w:gridCol w:w="1061"/>
        <w:gridCol w:w="938"/>
        <w:gridCol w:w="1841"/>
      </w:tblGrid>
      <w:tr w14:paraId="7ABB0A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atLeast"/>
          <w:jc w:val="center"/>
        </w:trPr>
        <w:tc>
          <w:tcPr>
            <w:tcW w:w="1023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7E78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/>
              <w:jc w:val="center"/>
              <w:textAlignment w:val="center"/>
              <w:rPr>
                <w:rFonts w:ascii="黑体" w:eastAsia="黑体" w:cs="黑体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方正小标宋简体" w:eastAsia="方正小标宋简体" w:cs="方正小标宋简体"/>
                <w:i w:val="0"/>
                <w:color w:val="000000"/>
                <w:kern w:val="0"/>
                <w:sz w:val="40"/>
                <w:szCs w:val="40"/>
                <w:u w:val="none"/>
                <w:lang w:val="en-US" w:eastAsia="zh-CN"/>
              </w:rPr>
              <w:t>专项预算项目绩效目标完成情况自评表</w:t>
            </w:r>
          </w:p>
        </w:tc>
      </w:tr>
      <w:tr w14:paraId="584145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2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FEF2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left"/>
              <w:textAlignment w:val="center"/>
              <w:rPr>
                <w:rFonts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项目名称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74B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770185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2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9DD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left"/>
              <w:textAlignment w:val="center"/>
              <w:rPr>
                <w:rFonts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预算单位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C75E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6E5D8A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2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A2D1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left"/>
              <w:textAlignment w:val="center"/>
              <w:rPr>
                <w:rFonts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项目类型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CE7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left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23A77C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FAE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center"/>
              <w:rPr>
                <w:rFonts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项目 概况</w:t>
            </w:r>
          </w:p>
        </w:tc>
        <w:tc>
          <w:tcPr>
            <w:tcW w:w="36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D92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left"/>
              <w:textAlignment w:val="center"/>
              <w:rPr>
                <w:rFonts w:asci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asci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中长期规划（名称、文号，仅指</w:t>
            </w:r>
          </w:p>
          <w:p w14:paraId="309CC5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left"/>
              <w:textAlignment w:val="center"/>
              <w:rPr>
                <w:rFonts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常年项目）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F51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left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2DC2DA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2C244"/>
        </w:tc>
        <w:tc>
          <w:tcPr>
            <w:tcW w:w="36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A4B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left"/>
              <w:textAlignment w:val="center"/>
              <w:rPr>
                <w:rFonts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资金管理办法（名称、文号）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0180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left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5E5468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F4212"/>
        </w:tc>
        <w:tc>
          <w:tcPr>
            <w:tcW w:w="36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C56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left"/>
              <w:textAlignment w:val="center"/>
              <w:rPr>
                <w:rFonts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绩效分配方式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983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left"/>
              <w:textAlignment w:val="center"/>
              <w:rPr>
                <w:rFonts w:ascii="Wingdings 2" w:hAnsi="Wingdings 2" w:eastAsia="Wingdings 2" w:cs="Wingdings 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Wingdings 2" w:hAnsi="Wingdings 2" w:eastAsia="Wingdings 2" w:cs="Wingdings 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£</w:t>
            </w:r>
            <w:r>
              <w:rPr>
                <w:rFonts w:asci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因素法</w:t>
            </w:r>
          </w:p>
        </w:tc>
        <w:tc>
          <w:tcPr>
            <w:tcW w:w="20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DC1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center"/>
              <w:rPr>
                <w:rFonts w:ascii="Wingdings 2" w:hAnsi="Wingdings 2" w:eastAsia="Wingdings 2" w:cs="Wingdings 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Wingdings 2" w:hAnsi="Wingdings 2" w:eastAsia="Wingdings 2" w:cs="Wingdings 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£项目法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C88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center"/>
              <w:rPr>
                <w:rFonts w:ascii="Wingdings 2" w:hAnsi="Wingdings 2" w:eastAsia="Wingdings 2" w:cs="Wingdings 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Wingdings 2" w:hAnsi="Wingdings 2" w:eastAsia="Wingdings 2" w:cs="Wingdings 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£</w:t>
            </w:r>
            <w:r>
              <w:rPr>
                <w:rFonts w:asci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据实据效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5C5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center"/>
              <w:rPr>
                <w:rFonts w:ascii="Wingdings 2" w:hAnsi="Wingdings 2" w:eastAsia="Wingdings 2" w:cs="Wingdings 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Wingdings 2" w:hAnsi="Wingdings 2" w:eastAsia="Wingdings 2" w:cs="Wingdings 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£</w:t>
            </w:r>
            <w:r>
              <w:rPr>
                <w:rFonts w:asci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因素法与项目法相结合</w:t>
            </w:r>
          </w:p>
        </w:tc>
      </w:tr>
      <w:tr w14:paraId="1D503C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36344"/>
        </w:tc>
        <w:tc>
          <w:tcPr>
            <w:tcW w:w="36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C8D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left"/>
              <w:textAlignment w:val="center"/>
              <w:rPr>
                <w:rFonts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立项依据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CE3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left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06DA6B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F89A4"/>
        </w:tc>
        <w:tc>
          <w:tcPr>
            <w:tcW w:w="36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1E3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left"/>
              <w:textAlignment w:val="center"/>
              <w:rPr>
                <w:rFonts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使用范围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21AA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left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4860C3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BA912"/>
        </w:tc>
        <w:tc>
          <w:tcPr>
            <w:tcW w:w="36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2D1A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left"/>
              <w:textAlignment w:val="center"/>
              <w:rPr>
                <w:rFonts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申报（补助）条件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948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left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26E759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36BF8"/>
        </w:tc>
        <w:tc>
          <w:tcPr>
            <w:tcW w:w="36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29F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left"/>
              <w:textAlignment w:val="center"/>
              <w:rPr>
                <w:rFonts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项目起止年限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D9E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03B9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73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C624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center"/>
              <w:rPr>
                <w:rFonts w:asci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asci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项目资金</w:t>
            </w:r>
          </w:p>
          <w:p w14:paraId="556544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center"/>
              <w:rPr>
                <w:rFonts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（万元）</w:t>
            </w:r>
          </w:p>
        </w:tc>
        <w:tc>
          <w:tcPr>
            <w:tcW w:w="25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66A0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left"/>
              <w:textAlignment w:val="center"/>
              <w:rPr>
                <w:rFonts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 xml:space="preserve">  年度资金总额：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B9C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right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2AD065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73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19078"/>
        </w:tc>
        <w:tc>
          <w:tcPr>
            <w:tcW w:w="25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CAF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left"/>
              <w:textAlignment w:val="center"/>
              <w:rPr>
                <w:rFonts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 xml:space="preserve">     </w:t>
            </w:r>
            <w:r>
              <w:rPr>
                <w:rFonts w:hint="eastAsia" w:asci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 xml:space="preserve"> </w:t>
            </w:r>
            <w:r>
              <w:rPr>
                <w:rFonts w:asci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其中：财政拨款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B22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right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5A03CC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73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D39DC"/>
        </w:tc>
        <w:tc>
          <w:tcPr>
            <w:tcW w:w="25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09C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left"/>
              <w:textAlignment w:val="center"/>
              <w:rPr>
                <w:rFonts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 xml:space="preserve">            其他资金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35D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right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40D0F3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4BC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center"/>
              <w:rPr>
                <w:rFonts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总体 目标</w:t>
            </w:r>
          </w:p>
        </w:tc>
        <w:tc>
          <w:tcPr>
            <w:tcW w:w="958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20D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center"/>
              <w:rPr>
                <w:rFonts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年度目标</w:t>
            </w:r>
          </w:p>
        </w:tc>
      </w:tr>
      <w:tr w14:paraId="347BF8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E0EC3"/>
        </w:tc>
        <w:tc>
          <w:tcPr>
            <w:tcW w:w="958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6EB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3BB205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5F379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center"/>
              <w:rPr>
                <w:rFonts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绩效 指标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36D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center"/>
              <w:rPr>
                <w:rFonts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一级指标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9128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center"/>
              <w:rPr>
                <w:rFonts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二级指标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DCA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center"/>
              <w:rPr>
                <w:rFonts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三级指标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F05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center"/>
              <w:rPr>
                <w:rFonts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指标性质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9B1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center"/>
              <w:rPr>
                <w:rFonts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指标值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5D9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center"/>
              <w:rPr>
                <w:rFonts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度量单位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AF2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center"/>
              <w:rPr>
                <w:rFonts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权重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EAD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center"/>
              <w:rPr>
                <w:rFonts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实际完成指标值</w:t>
            </w:r>
          </w:p>
        </w:tc>
      </w:tr>
      <w:tr w14:paraId="1E95B9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7E123AA"/>
        </w:tc>
        <w:tc>
          <w:tcPr>
            <w:tcW w:w="10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1BF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center"/>
              <w:rPr>
                <w:rFonts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产出指标</w:t>
            </w: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6A2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center"/>
              <w:rPr>
                <w:rFonts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数量指标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956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2754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B68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3AA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DF7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612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2C1F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581EC5F"/>
        </w:tc>
        <w:tc>
          <w:tcPr>
            <w:tcW w:w="10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3A18D"/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0C8FD"/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4943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478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06BC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F1AC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D68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09A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8204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4C9B24C"/>
        </w:tc>
        <w:tc>
          <w:tcPr>
            <w:tcW w:w="10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1B0561"/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3D4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center"/>
              <w:rPr>
                <w:rFonts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质量指标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880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BF8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24BF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F92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496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9F4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406E45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82DBFF5"/>
        </w:tc>
        <w:tc>
          <w:tcPr>
            <w:tcW w:w="10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CB63D7"/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4C25F"/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5002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D46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788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544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6D1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48A1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3B65FF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42F9018"/>
        </w:tc>
        <w:tc>
          <w:tcPr>
            <w:tcW w:w="10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BB9D0"/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6568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center"/>
              <w:rPr>
                <w:rFonts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时效指标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27B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E18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39E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1FE6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CBA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C0FA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4C5220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36B7F47"/>
        </w:tc>
        <w:tc>
          <w:tcPr>
            <w:tcW w:w="10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97E75"/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574D0D"/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693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19F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B19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AA8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32B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A63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152406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95CFA4E"/>
        </w:tc>
        <w:tc>
          <w:tcPr>
            <w:tcW w:w="10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E9DB9"/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292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center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......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B1C0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6BE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A95F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B8D9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C9FB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12E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4ADFE0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752F240"/>
        </w:tc>
        <w:tc>
          <w:tcPr>
            <w:tcW w:w="10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6A7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center"/>
              <w:rPr>
                <w:rFonts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效益指标</w:t>
            </w: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319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center"/>
              <w:rPr>
                <w:rFonts w:asci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asci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经济效益</w:t>
            </w:r>
          </w:p>
          <w:p w14:paraId="22BF89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center"/>
              <w:rPr>
                <w:rFonts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指标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2F23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641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498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489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DF8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555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13EAEB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64E01C8"/>
        </w:tc>
        <w:tc>
          <w:tcPr>
            <w:tcW w:w="10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1F42B"/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D59E1"/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BBDF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5ED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701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769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AD1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F7B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EBB0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05AD938"/>
        </w:tc>
        <w:tc>
          <w:tcPr>
            <w:tcW w:w="10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33E74E"/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0012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center"/>
              <w:rPr>
                <w:rFonts w:asci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asci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社会效益</w:t>
            </w:r>
          </w:p>
          <w:p w14:paraId="625E7D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center"/>
              <w:rPr>
                <w:rFonts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指标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517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6ED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C06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CC5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295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3B2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0EDB93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3140E75"/>
        </w:tc>
        <w:tc>
          <w:tcPr>
            <w:tcW w:w="10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EC0CC"/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FA306"/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B0A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298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95AF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9B2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A57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F9C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4F9614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D2E90E4"/>
        </w:tc>
        <w:tc>
          <w:tcPr>
            <w:tcW w:w="10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62F63"/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C31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center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......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BEB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939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2343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0355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B74C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A22E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7C32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4A928EC"/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698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center"/>
              <w:rPr>
                <w:rFonts w:asci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asci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满意度</w:t>
            </w:r>
          </w:p>
          <w:p w14:paraId="63F96D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center"/>
              <w:rPr>
                <w:rFonts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指标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A96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center"/>
              <w:rPr>
                <w:rFonts w:asci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asci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服务对象</w:t>
            </w:r>
          </w:p>
          <w:p w14:paraId="409AEA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center"/>
              <w:rPr>
                <w:rFonts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满意度指标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1F0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846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24B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2F9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701B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8FB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65A75C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2F1395F"/>
        </w:tc>
        <w:tc>
          <w:tcPr>
            <w:tcW w:w="10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68C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center"/>
              <w:rPr>
                <w:rFonts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成本指标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6FA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center"/>
              <w:rPr>
                <w:rFonts w:asci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asci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经济成本</w:t>
            </w:r>
          </w:p>
          <w:p w14:paraId="336BC9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center"/>
              <w:rPr>
                <w:rFonts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指标</w:t>
            </w:r>
          </w:p>
        </w:tc>
        <w:tc>
          <w:tcPr>
            <w:tcW w:w="131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C31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DEA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289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1DC1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140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48FB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57B6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73B26CD"/>
        </w:tc>
        <w:tc>
          <w:tcPr>
            <w:tcW w:w="10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1BB453"/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AF60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textAlignment w:val="center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......</w:t>
            </w:r>
          </w:p>
        </w:tc>
        <w:tc>
          <w:tcPr>
            <w:tcW w:w="131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372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C315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E056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D0C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334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874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/>
              <w:jc w:val="center"/>
              <w:rPr>
                <w:rFonts w:hint="eastAsia" w:asci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42DF7793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after="0" w:line="578" w:lineRule="exact"/>
        <w:ind w:left="0" w:leftChars="0"/>
        <w:rPr>
          <w:rFonts w:ascii="黑体" w:eastAsia="黑体" w:cs="黑体"/>
          <w:sz w:val="24"/>
          <w:szCs w:val="24"/>
          <w:highlight w:val="none"/>
          <w:lang w:val="en-US" w:eastAsia="zh-CN"/>
        </w:rPr>
      </w:pPr>
    </w:p>
    <w:sectPr>
      <w:footerReference r:id="rId3" w:type="default"/>
      <w:pgSz w:w="11906" w:h="16838"/>
      <w:pgMar w:top="1440" w:right="1797" w:bottom="1440" w:left="1797" w:header="851" w:footer="992" w:gutter="0"/>
      <w:pgNumType w:fmt="numberInDash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华文中宋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EF9314">
    <w:pPr>
      <w:pStyle w:val="8"/>
    </w:pPr>
    <w:r>
      <w:rPr>
        <w:sz w:val="18"/>
      </w:rPr>
      <mc:AlternateContent>
        <mc:Choice Requires="wps">
          <w:drawing>
            <wp:anchor distT="0" distB="0" distL="113665" distR="113665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444500" cy="23050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4499" cy="230251"/>
                      </a:xfrm>
                      <a:prstGeom prst="rect">
                        <a:avLst/>
                      </a:prstGeom>
                      <a:noFill/>
                      <a:ln w="6350" cap="flat" cmpd="sng">
                        <a:noFill/>
                        <a:prstDash val="solid"/>
                        <a:round/>
                      </a:ln>
                    </wps:spPr>
                    <wps:txbx>
                      <w:txbxContent>
                        <w:p w14:paraId="19330422">
                          <w:pPr>
                            <w:pStyle w:val="8"/>
                            <w:rPr>
                              <w:rFonts w:hint="eastAsia" w:asci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8.15pt;width:35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z256p9YAAAADAQAADwAAAAAAAAABACAAAAAiAAAAZHJzL2Rv&#10;d25yZXYueG1sUEsBAhQAFAAAAAgAh07iQMql5b4DAgAA9AMAAA4AAAAAAAAAAQAgAAAAJQEAAGRy&#10;cy9lMm9Eb2MueG1sUEsFBgAAAAAGAAYAWQEAAJoFAAAAAA==&#10;">
              <v:fill on="f" focussize="0,0"/>
              <v:stroke on="f" weight="0.5pt" joinstyle="round"/>
              <v:imagedata o:title=""/>
              <o:lock v:ext="edit" aspectratio="f"/>
              <v:textbox inset="0mm,0mm,0mm,0mm" style="mso-fit-shape-to-text:t;">
                <w:txbxContent>
                  <w:p w14:paraId="19330422">
                    <w:pPr>
                      <w:pStyle w:val="8"/>
                      <w:rPr>
                        <w:rFonts w:hint="eastAsia" w:asci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readOnly" w:enforcement="0"/>
  <w:defaultTabStop w:val="420"/>
  <w:drawingGridHorizontalSpacing w:val="1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</w:compat>
  <w:docVars>
    <w:docVar w:name="commondata" w:val="eyJoZGlkIjoiODkwMjBiMDE0NDAzMDYwOGJjM2NjMzIxY2I3MmFjYzYifQ=="/>
  </w:docVars>
  <w:rsids>
    <w:rsidRoot w:val="00000000"/>
    <w:rsid w:val="0FD36AEC"/>
    <w:rsid w:val="1CCA5772"/>
    <w:rsid w:val="24030E99"/>
    <w:rsid w:val="282D0CAC"/>
    <w:rsid w:val="2A620AA7"/>
    <w:rsid w:val="35D66BBD"/>
    <w:rsid w:val="535D2CE5"/>
    <w:rsid w:val="5DC44DF4"/>
    <w:rsid w:val="67D619EE"/>
    <w:rsid w:val="6FD5219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5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3">
    <w:name w:val="Default Paragraph Font"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next w:val="1"/>
    <w:qFormat/>
    <w:uiPriority w:val="0"/>
    <w:pPr>
      <w:keepNext/>
      <w:keepLines/>
      <w:widowControl w:val="0"/>
      <w:spacing w:before="280" w:after="156" w:line="377" w:lineRule="auto"/>
      <w:jc w:val="left"/>
      <w:outlineLvl w:val="4"/>
    </w:pPr>
    <w:rPr>
      <w:rFonts w:ascii="Arial" w:hAnsi="Arial" w:eastAsia="黑体" w:cs="Times New Roman"/>
      <w:b/>
      <w:kern w:val="2"/>
      <w:sz w:val="24"/>
      <w:szCs w:val="28"/>
      <w:lang w:val="en-US" w:eastAsia="zh-CN" w:bidi="ar-SA"/>
    </w:rPr>
  </w:style>
  <w:style w:type="paragraph" w:styleId="6">
    <w:name w:val="Body Text"/>
    <w:basedOn w:val="1"/>
    <w:qFormat/>
    <w:uiPriority w:val="0"/>
    <w:pPr>
      <w:widowControl/>
      <w:tabs>
        <w:tab w:val="left" w:pos="2160"/>
      </w:tabs>
      <w:spacing w:line="480" w:lineRule="auto"/>
      <w:jc w:val="left"/>
    </w:pPr>
    <w:rPr>
      <w:rFonts w:ascii="楷体_GB2312" w:hAnsi="楷体_GB2312" w:eastAsia="黑体"/>
      <w:kern w:val="0"/>
      <w:position w:val="3"/>
      <w:sz w:val="20"/>
      <w:szCs w:val="20"/>
    </w:rPr>
  </w:style>
  <w:style w:type="paragraph" w:styleId="7">
    <w:name w:val="Body Text Indent"/>
    <w:basedOn w:val="1"/>
    <w:qFormat/>
    <w:uiPriority w:val="0"/>
    <w:pPr>
      <w:spacing w:after="120"/>
      <w:ind w:left="200" w:leftChars="200"/>
    </w:pPr>
    <w:rPr>
      <w:rFonts w:ascii="仿宋_GB2312"/>
      <w:szCs w:val="32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 w:eastAsia="zh-CN"/>
    </w:rPr>
  </w:style>
  <w:style w:type="paragraph" w:styleId="9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 w:eastAsia="zh-CN"/>
    </w:rPr>
  </w:style>
  <w:style w:type="paragraph" w:styleId="10">
    <w:name w:val="toc 1"/>
    <w:basedOn w:val="1"/>
    <w:next w:val="1"/>
    <w:uiPriority w:val="0"/>
  </w:style>
  <w:style w:type="paragraph" w:styleId="11">
    <w:name w:val="Body Text First Indent 2"/>
    <w:basedOn w:val="7"/>
    <w:qFormat/>
    <w:uiPriority w:val="0"/>
    <w:pPr>
      <w:ind w:firstLine="200" w:firstLineChars="200"/>
    </w:pPr>
  </w:style>
  <w:style w:type="paragraph" w:customStyle="1" w:styleId="14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Pages>6</Pages>
  <Words>2250</Words>
  <Characters>2334</Characters>
  <Lines>1</Lines>
  <Paragraphs>0</Paragraphs>
  <TotalTime>0</TotalTime>
  <ScaleCrop>false</ScaleCrop>
  <LinksUpToDate>false</LinksUpToDate>
  <CharactersWithSpaces>2363</CharactersWithSpaces>
  <Application>WPS Office_12.1.0.18240_F1E327BC-269C-435d-A152-05C5408002CA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2020-07-12T08:13:00Z</dcterms:created>
  <dc:creator>Administrator</dc:creator>
  <cp:lastModifiedBy>Lenovo</cp:lastModifiedBy>
  <cp:lastPrinted>2016-02-13T11:32:00Z</cp:lastPrinted>
  <dcterms:modified xsi:type="dcterms:W3CDTF">2024-09-18T03:33:29Z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FD65ACE9ECD42879F7879466AF52A2C4</vt:lpwstr>
  </property>
</Properties>
</file>