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0760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/>
        <w:jc w:val="both"/>
        <w:textAlignment w:val="auto"/>
        <w:rPr>
          <w:rFonts w:hint="eastAsia" w:asci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</w:pPr>
    </w:p>
    <w:p w14:paraId="35D7E00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/>
        <w:jc w:val="center"/>
        <w:textAlignment w:val="auto"/>
        <w:rPr>
          <w:rFonts w:hint="eastAsia" w:ascii="方正小标宋简体" w:eastAsia="方正小标宋简体" w:cs="方正小标宋简体"/>
          <w:color w:val="auto"/>
          <w:kern w:val="2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color w:val="auto"/>
          <w:kern w:val="2"/>
          <w:sz w:val="44"/>
          <w:szCs w:val="44"/>
          <w:lang w:val="en-US" w:eastAsia="zh-CN"/>
        </w:rPr>
        <w:t>大熊猫国家公园阿坝管理分局</w:t>
      </w:r>
    </w:p>
    <w:p w14:paraId="2678F16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/>
        <w:jc w:val="center"/>
        <w:textAlignment w:val="auto"/>
        <w:rPr>
          <w:rFonts w:hint="eastAsia" w:asci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</w:pPr>
      <w:r>
        <w:rPr>
          <w:rFonts w:ascii="方正小标宋简体" w:eastAsia="方正小标宋简体" w:cs="方正小标宋简体"/>
          <w:color w:val="auto"/>
          <w:kern w:val="2"/>
          <w:sz w:val="44"/>
          <w:szCs w:val="44"/>
          <w:lang w:val="en-US" w:eastAsia="zh-CN"/>
        </w:rPr>
        <w:t>卧龙体制改革工作经费预算项目绩效评价报告</w:t>
      </w:r>
    </w:p>
    <w:p w14:paraId="461A640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firstLine="640"/>
        <w:jc w:val="center"/>
        <w:textAlignment w:val="auto"/>
        <w:rPr>
          <w:rFonts w:ascii="宋体"/>
          <w:color w:val="auto"/>
          <w:kern w:val="2"/>
          <w:sz w:val="32"/>
          <w:szCs w:val="32"/>
          <w:highlight w:val="none"/>
        </w:rPr>
      </w:pPr>
    </w:p>
    <w:p w14:paraId="2E77B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黑体" w:eastAsia="黑体"/>
          <w:highlight w:val="none"/>
          <w:lang w:val="zh-CN"/>
        </w:rPr>
      </w:pPr>
      <w:r>
        <w:rPr>
          <w:rFonts w:hint="eastAsia" w:ascii="黑体" w:eastAsia="黑体"/>
          <w:highlight w:val="none"/>
        </w:rPr>
        <w:t>一、</w:t>
      </w:r>
      <w:r>
        <w:rPr>
          <w:rFonts w:hint="eastAsia" w:ascii="黑体" w:eastAsia="黑体"/>
          <w:highlight w:val="none"/>
          <w:lang w:val="zh-CN"/>
        </w:rPr>
        <w:t>项目概况</w:t>
      </w:r>
    </w:p>
    <w:p w14:paraId="54E01C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firstLine="643" w:firstLineChars="200"/>
        <w:contextualSpacing/>
        <w:jc w:val="left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项目设立原因及背景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是加快理顺卧龙管理体制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项目立项、资金申报的依据</w:t>
      </w:r>
      <w:r>
        <w:rPr>
          <w:rFonts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是大熊猫国家公园体制改革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，项目主要内容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是</w:t>
      </w:r>
      <w:r>
        <w:rPr>
          <w:rFonts w:ascii="仿宋_GB2312" w:cs="仿宋_GB2312"/>
          <w:color w:val="auto"/>
          <w:kern w:val="0"/>
          <w:sz w:val="32"/>
          <w:szCs w:val="32"/>
          <w:u w:val="none"/>
          <w:shd w:val="clear" w:color="auto" w:fill="FFFFFF"/>
          <w:lang w:val="zh-CN"/>
        </w:rPr>
        <w:t>预算费用30万元，主要用于公车运行维护费、差旅费、办公费支出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。</w:t>
      </w:r>
    </w:p>
    <w:p w14:paraId="12DE7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firstLine="643" w:firstLineChars="200"/>
        <w:textAlignment w:val="auto"/>
        <w:rPr>
          <w:rFonts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二）</w:t>
      </w:r>
      <w:r>
        <w:rPr>
          <w:rFonts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实施目的及支持方向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严格按照财经纪律和分局内控制度执行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，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项目实施目的和主要工作任务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是有序推进卧龙体制改革工作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，项目支持方向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是用于卧龙体制改革的一切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事务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。</w:t>
      </w:r>
    </w:p>
    <w:p w14:paraId="36418D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firstLine="643" w:firstLineChars="200"/>
        <w:contextualSpacing/>
        <w:jc w:val="left"/>
        <w:textAlignment w:val="auto"/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（三）</w:t>
      </w:r>
      <w:r>
        <w:rPr>
          <w:rFonts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。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按照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2022年度预算及具体工作开展情况，来核定2023年预算数，用于支付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推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进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卧龙管理体制改革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事务实际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产生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的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费用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。</w:t>
      </w:r>
    </w:p>
    <w:p w14:paraId="162AD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 w:val="0"/>
        <w:snapToGrid w:val="0"/>
        <w:spacing w:line="560" w:lineRule="exact"/>
        <w:ind w:left="0" w:firstLine="643" w:firstLineChars="200"/>
        <w:rPr>
          <w:rFonts w:hint="eastAsia" w:ascii="仿宋_GB2312" w:eastAsia="仿宋_GB2312" w:cs="仿宋_GB2312"/>
          <w:color w:val="FF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（四）项目绩效目标设置。</w:t>
      </w:r>
      <w:r>
        <w:rPr>
          <w:rFonts w:hint="eastAsia" w:ascii="仿宋_GB2312" w:eastAsia="仿宋_GB2312" w:cs="仿宋_GB2312"/>
          <w:bCs/>
          <w:color w:val="auto"/>
          <w:sz w:val="32"/>
          <w:szCs w:val="32"/>
          <w:highlight w:val="none"/>
          <w:u w:val="none"/>
          <w:lang w:val="en-US" w:eastAsia="zh-CN" w:bidi="ar-SA"/>
        </w:rPr>
        <w:t>本</w:t>
      </w: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 w:bidi="ar-SA"/>
        </w:rPr>
        <w:t>项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 w:bidi="ar-SA"/>
        </w:rPr>
        <w:t>目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的主要任务是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完成卧龙体制改革工作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 w:bidi="ar-SA"/>
        </w:rPr>
        <w:t>，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目标相对单一。针对项目特点，设置了通用指标、专用指标和三项个性指标，按照国家、省、州相关文件规定推进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改革工作</w:t>
      </w:r>
      <w:r>
        <w:rPr>
          <w:rFonts w:hint="eastAsia" w:ascii="仿宋_GB2312" w:eastAsia="仿宋_GB2312" w:cs="华文仿宋"/>
          <w:sz w:val="32"/>
          <w:szCs w:val="32"/>
          <w:lang w:bidi="ar-SA"/>
        </w:rPr>
        <w:t>。</w:t>
      </w:r>
    </w:p>
    <w:p w14:paraId="53450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outlineLvl w:val="9"/>
        <w:rPr>
          <w:rFonts w:hint="eastAsia" w:ascii="黑体" w:eastAsia="黑体"/>
          <w:highlight w:val="none"/>
          <w:lang w:eastAsia="zh-CN"/>
        </w:rPr>
      </w:pPr>
      <w:r>
        <w:rPr>
          <w:rFonts w:hint="eastAsia" w:ascii="黑体" w:eastAsia="黑体"/>
          <w:highlight w:val="none"/>
        </w:rPr>
        <w:t>二、</w:t>
      </w:r>
      <w:r>
        <w:rPr>
          <w:rFonts w:hint="eastAsia" w:ascii="黑体" w:eastAsia="黑体"/>
          <w:highlight w:val="none"/>
          <w:lang w:eastAsia="zh-CN"/>
        </w:rPr>
        <w:t>评价实施</w:t>
      </w:r>
    </w:p>
    <w:p w14:paraId="700C9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eastAsia="仿宋_GB2312" w:cs="Times New Roman"/>
          <w:szCs w:val="32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（一）评价目的。</w:t>
      </w:r>
      <w:r>
        <w:rPr>
          <w:rFonts w:hint="eastAsia" w:ascii="仿宋_GB2312" w:eastAsia="仿宋_GB2312"/>
          <w:sz w:val="32"/>
          <w:szCs w:val="32"/>
        </w:rPr>
        <w:t>全面评估项目的执行情况，确保项目顺利完成并实现原定目标。通过自评，检查项目是否按照预期的目标和计划进行，资源的使用是否有效，及时发现问题和不足并调整措施，‌提高执行效率和绩效水平确保项目能够按照预期目标顺利完成，同时提高</w:t>
      </w:r>
      <w:r>
        <w:rPr>
          <w:rFonts w:hint="eastAsia" w:ascii="仿宋_GB2312"/>
          <w:sz w:val="32"/>
          <w:szCs w:val="32"/>
          <w:lang w:val="en-US"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的整体管理效率和效果，提高资金管理水平和使用效益。</w:t>
      </w:r>
    </w:p>
    <w:p w14:paraId="42810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 w:val="0"/>
        <w:snapToGrid w:val="0"/>
        <w:spacing w:line="578" w:lineRule="exact"/>
        <w:ind w:left="0" w:firstLine="643" w:firstLineChars="200"/>
        <w:rPr>
          <w:rFonts w:hint="default" w:ascii="楷体_GB2312" w:eastAsia="仿宋_GB2312"/>
          <w:b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（二）预设问题及评价重点。</w:t>
      </w:r>
      <w:r>
        <w:rPr>
          <w:rFonts w:hint="eastAsia" w:ascii="仿宋_GB2312" w:eastAsia="仿宋_GB2312"/>
          <w:sz w:val="32"/>
          <w:szCs w:val="32"/>
        </w:rPr>
        <w:t>在资金使用中严格执行国家财务管理制度，编制专项报表，严格资金的审批和使用，</w:t>
      </w:r>
      <w:r>
        <w:rPr>
          <w:rFonts w:hint="eastAsia" w:ascii="仿宋_GB2312" w:eastAsia="仿宋_GB2312" w:cs="仿宋_GB2312"/>
          <w:sz w:val="32"/>
          <w:szCs w:val="32"/>
          <w:lang w:bidi="ar-SA"/>
        </w:rPr>
        <w:t>资金使用规范，会计核算结果真实、准确，自评过程中未发现有截留、挤占或挪用项目资金的情况。</w:t>
      </w:r>
      <w:r>
        <w:rPr>
          <w:rFonts w:hint="eastAsia" w:ascii="仿宋_GB2312" w:cs="仿宋_GB2312"/>
          <w:sz w:val="32"/>
          <w:szCs w:val="32"/>
          <w:lang w:val="en-US" w:eastAsia="zh-CN" w:bidi="ar-SA"/>
        </w:rPr>
        <w:t>因体制改革推进较慢，2023年11月财政三项清理时收回项目预算执行过缓资金15万元，实际支付资金12.06万元。</w:t>
      </w:r>
    </w:p>
    <w:p w14:paraId="5C20D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firstLine="643" w:firstLineChars="200"/>
        <w:textAlignment w:val="auto"/>
        <w:outlineLvl w:val="9"/>
        <w:rPr>
          <w:rFonts w:hint="eastAsia" w:cs="Times New Roman"/>
          <w:szCs w:val="32"/>
          <w:lang w:val="zh-CN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（三）评价选点。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落实专人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对卧龙体制改革支出费用进行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自评</w:t>
      </w:r>
      <w:r>
        <w:rPr>
          <w:rFonts w:hint="eastAsia" w:cs="Times New Roman"/>
          <w:szCs w:val="32"/>
          <w:lang w:val="zh-CN" w:eastAsia="zh-CN"/>
        </w:rPr>
        <w:t>。</w:t>
      </w:r>
    </w:p>
    <w:p w14:paraId="40521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（四）评价方法。</w:t>
      </w:r>
      <w:r>
        <w:rPr>
          <w:rFonts w:hint="eastAsia" w:ascii="仿宋_GB2312"/>
          <w:sz w:val="32"/>
          <w:szCs w:val="32"/>
          <w:lang w:val="en-US" w:eastAsia="zh-CN"/>
        </w:rPr>
        <w:t>单位自评法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9F62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line="560" w:lineRule="exact"/>
        <w:ind w:firstLine="640"/>
        <w:rPr>
          <w:rFonts w:hint="eastAsia" w:ascii="仿宋_GB2312" w:eastAsia="仿宋_GB2312"/>
          <w:lang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（五）评价组织。</w:t>
      </w:r>
      <w:r>
        <w:rPr>
          <w:rFonts w:hint="eastAsia" w:ascii="仿宋_GB2312" w:eastAsia="仿宋_GB2312" w:cs="仿宋_GB2312"/>
          <w:color w:val="000000"/>
          <w:sz w:val="32"/>
          <w:szCs w:val="32"/>
          <w:lang w:bidi="ar-SA"/>
        </w:rPr>
        <w:t>根据财政绩效评价要求，由</w:t>
      </w:r>
      <w:r>
        <w:rPr>
          <w:rFonts w:ascii="仿宋_GB2312" w:eastAsia="仿宋_GB2312" w:cs="仿宋_GB2312"/>
          <w:color w:val="000000"/>
          <w:sz w:val="32"/>
          <w:szCs w:val="32"/>
          <w:lang w:bidi="ar-SA"/>
        </w:rPr>
        <w:t>分</w:t>
      </w:r>
      <w:r>
        <w:rPr>
          <w:rFonts w:hint="eastAsia" w:ascii="仿宋_GB2312" w:eastAsia="仿宋_GB2312" w:cs="仿宋_GB2312"/>
          <w:color w:val="000000"/>
          <w:sz w:val="32"/>
          <w:szCs w:val="32"/>
          <w:lang w:bidi="ar-SA"/>
        </w:rPr>
        <w:t>局办公室牵头，相关部室参与配合，绩效评价遵循科学规范、公正公开原则，办公室（财务室）负责审核项目资金</w:t>
      </w:r>
      <w:r>
        <w:rPr>
          <w:rFonts w:hint="eastAsia" w:ascii="仿宋_GB2312" w:cs="仿宋_GB2312"/>
          <w:color w:val="000000"/>
          <w:sz w:val="32"/>
          <w:szCs w:val="32"/>
          <w:lang w:val="en-US" w:eastAsia="zh-CN" w:bidi="ar-SA"/>
        </w:rPr>
        <w:t>支付情况及原始凭证</w:t>
      </w:r>
      <w:r>
        <w:rPr>
          <w:rFonts w:hint="eastAsia" w:ascii="仿宋_GB2312" w:cs="仿宋_GB2312"/>
          <w:color w:val="000000"/>
          <w:sz w:val="32"/>
          <w:szCs w:val="32"/>
          <w:lang w:eastAsia="zh-CN" w:bidi="ar-SA"/>
        </w:rPr>
        <w:t>。</w:t>
      </w:r>
    </w:p>
    <w:p w14:paraId="7EF9C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仿宋_GB2312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  <w:u w:val="none"/>
        </w:rPr>
        <w:t>三、</w:t>
      </w:r>
      <w:r>
        <w:rPr>
          <w:rFonts w:hint="eastAsia" w:ascii="黑体" w:eastAsia="黑体"/>
          <w:color w:val="auto"/>
          <w:sz w:val="32"/>
          <w:szCs w:val="32"/>
          <w:highlight w:val="none"/>
          <w:u w:val="none"/>
          <w:lang w:eastAsia="zh-CN"/>
        </w:rPr>
        <w:t>绩效分析</w:t>
      </w:r>
      <w:r>
        <w:rPr>
          <w:rFonts w:hint="eastAsia" w:ascii="仿宋_GB2312"/>
          <w:color w:val="auto"/>
          <w:sz w:val="32"/>
          <w:szCs w:val="32"/>
          <w:highlight w:val="none"/>
          <w:u w:val="none"/>
          <w:lang w:val="zh-CN"/>
        </w:rPr>
        <w:tab/>
      </w:r>
    </w:p>
    <w:p w14:paraId="78B25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通用指标</w:t>
      </w:r>
      <w:r>
        <w:rPr>
          <w:rFonts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 w14:paraId="319C3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line="560" w:lineRule="exact"/>
        <w:ind w:firstLine="640"/>
        <w:rPr>
          <w:rFonts w:hint="eastAsia" w:ascii="仿宋_GB2312" w:eastAsia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auto"/>
          <w:szCs w:val="32"/>
          <w:lang w:eastAsia="zh-CN"/>
        </w:rPr>
        <w:t>项目决策。</w:t>
      </w:r>
      <w:r>
        <w:rPr>
          <w:rFonts w:hint="eastAsia" w:ascii="仿宋_GB2312" w:eastAsia="仿宋_GB2312"/>
          <w:sz w:val="32"/>
          <w:szCs w:val="32"/>
        </w:rPr>
        <w:t>该项目资金由</w:t>
      </w:r>
      <w:r>
        <w:rPr>
          <w:rFonts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</w:rPr>
        <w:t>局党组研究，州财政局相关业务科室审核</w:t>
      </w:r>
      <w:r>
        <w:rPr>
          <w:rFonts w:hint="eastAsia" w:ascii="仿宋_GB2312"/>
          <w:sz w:val="32"/>
          <w:szCs w:val="32"/>
          <w:lang w:val="en-US" w:eastAsia="zh-CN"/>
        </w:rPr>
        <w:t>登记入库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 w14:paraId="3C713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Times New Roman" w:hAnsi="Times New Roman" w:cs="Times New Roman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auto"/>
          <w:szCs w:val="32"/>
          <w:lang w:eastAsia="zh-CN"/>
        </w:rPr>
        <w:t>项目管理。</w:t>
      </w:r>
      <w:r>
        <w:rPr>
          <w:rFonts w:hint="eastAsia" w:ascii="仿宋_GB2312" w:eastAsia="仿宋_GB2312"/>
          <w:sz w:val="32"/>
          <w:szCs w:val="32"/>
        </w:rPr>
        <w:t>严格按照</w:t>
      </w:r>
      <w:r>
        <w:rPr>
          <w:rFonts w:hint="eastAsia" w:ascii="仿宋_GB2312"/>
          <w:sz w:val="32"/>
          <w:szCs w:val="32"/>
          <w:lang w:val="en-US" w:eastAsia="zh-CN"/>
        </w:rPr>
        <w:t>年初预算进行部门项目支出，在支付过程中，能严格遵守各项规章制度。尤其在专项经费支出上，严格执行专项资金财务管理办法，专款专用，无截留、无挪用等现象，为规范财务制度，部门制定了内控制度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</w:p>
    <w:p w14:paraId="0D62B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  <w:lang w:val="en-US" w:eastAsia="zh-CN"/>
        </w:rPr>
        <w:t>3.项目实施。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严格依法依规有序推进</w:t>
      </w:r>
      <w:r>
        <w:rPr>
          <w:rFonts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改革工作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，根据</w:t>
      </w:r>
      <w:r>
        <w:rPr>
          <w:rFonts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工作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进度及时支付资金。</w:t>
      </w:r>
      <w:r>
        <w:rPr>
          <w:rFonts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由于卧龙体制改革工作由中央、省级部门统筹推进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，</w:t>
      </w:r>
      <w:r>
        <w:rPr>
          <w:rFonts w:hint="eastAsia" w:ascii="仿宋_GB2312" w:cs="仿宋_GB2312"/>
          <w:color w:val="000000"/>
          <w:shd w:val="clear" w:color="auto" w:fill="FFFFFF"/>
          <w:lang w:val="zh-CN" w:eastAsia="zh-CN" w:bidi="ar-SA"/>
        </w:rPr>
        <w:t>导致</w:t>
      </w:r>
      <w:r>
        <w:rPr>
          <w:rFonts w:ascii="仿宋_GB2312" w:cs="仿宋_GB2312"/>
          <w:color w:val="000000"/>
          <w:shd w:val="clear" w:color="auto" w:fill="FFFFFF"/>
          <w:lang w:val="zh-CN" w:eastAsia="zh-CN" w:bidi="ar-SA"/>
        </w:rPr>
        <w:t>改革推动缓慢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，</w:t>
      </w:r>
      <w:r>
        <w:rPr>
          <w:rFonts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资金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en-US" w:eastAsia="zh-CN" w:bidi="ar-SA"/>
        </w:rPr>
        <w:t>支付进度过缓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。</w:t>
      </w:r>
    </w:p>
    <w:p w14:paraId="597A2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outlineLvl w:val="9"/>
        <w:rPr>
          <w:rFonts w:hint="eastAsia" w:ascii="仿宋_GB2312" w:cs="仿宋_GB2312"/>
          <w:color w:val="000000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Cs w:val="32"/>
          <w:lang w:val="en-US" w:eastAsia="zh-CN"/>
        </w:rPr>
        <w:t>4.项目结果。</w:t>
      </w:r>
      <w:r>
        <w:rPr>
          <w:rFonts w:hint="eastAsia" w:ascii="仿宋_GB2312" w:eastAsia="楷体_GB2312" w:cs="仿宋_GB2312"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2023年涉及卧龙体制改革相关费用</w:t>
      </w:r>
      <w:r>
        <w:rPr>
          <w:rFonts w:ascii="仿宋_GB2312" w:cs="仿宋_GB2312"/>
          <w:color w:val="000000" w:themeColor="text1"/>
          <w:shd w:val="clear" w:color="auto" w:fill="FFFFFF"/>
          <w:lang w:val="zh-CN"/>
          <w14:textFill>
            <w14:solidFill>
              <w14:schemeClr w14:val="tx1"/>
            </w14:solidFill>
          </w14:textFill>
        </w:rPr>
        <w:t>支</w:t>
      </w:r>
      <w:r>
        <w:rPr>
          <w:rFonts w:ascii="仿宋_GB2312" w:cs="仿宋_GB2312"/>
          <w:color w:val="000000"/>
          <w:shd w:val="clear" w:color="auto" w:fill="FFFFFF"/>
          <w:lang w:val="zh-CN"/>
        </w:rPr>
        <w:t>出</w:t>
      </w:r>
      <w:r>
        <w:rPr>
          <w:rFonts w:hint="eastAsia" w:ascii="仿宋_GB2312" w:cs="仿宋_GB2312"/>
          <w:color w:val="000000"/>
          <w:shd w:val="clear" w:color="auto" w:fill="FFFFFF"/>
          <w:lang w:val="en-US" w:eastAsia="zh-CN"/>
        </w:rPr>
        <w:t>合计12.06万元，按规定合法合规完成支付</w:t>
      </w:r>
      <w:r>
        <w:rPr>
          <w:rFonts w:hint="eastAsia" w:ascii="仿宋_GB2312" w:cs="仿宋_GB2312"/>
          <w:color w:val="000000"/>
          <w:shd w:val="clear" w:color="auto" w:fill="FFFFFF"/>
          <w:lang w:val="zh-CN"/>
        </w:rPr>
        <w:t>。</w:t>
      </w:r>
    </w:p>
    <w:p w14:paraId="74748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eastAsia" w:ascii="楷体_GB2312" w:eastAsia="楷体_GB2312" w:cs="楷体_GB2312"/>
          <w:color w:val="auto"/>
          <w:szCs w:val="32"/>
          <w:lang w:val="zh-CN" w:eastAsia="zh-CN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专用指标</w:t>
      </w:r>
      <w:r>
        <w:rPr>
          <w:rFonts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ascii="仿宋_GB2312" w:eastAsia="仿宋_GB2312"/>
          <w:sz w:val="32"/>
          <w:szCs w:val="32"/>
        </w:rPr>
        <w:t>执行过程中，严格按照</w:t>
      </w:r>
      <w:r>
        <w:rPr>
          <w:rFonts w:ascii="仿宋_GB2312" w:eastAsia="仿宋_GB2312"/>
          <w:sz w:val="32"/>
          <w:szCs w:val="32"/>
        </w:rPr>
        <w:t>财经纪律及</w:t>
      </w:r>
      <w:r>
        <w:rPr>
          <w:rFonts w:hint="eastAsia" w:ascii="仿宋_GB2312" w:eastAsia="仿宋_GB2312"/>
          <w:sz w:val="32"/>
          <w:szCs w:val="32"/>
        </w:rPr>
        <w:t>相关要求</w:t>
      </w:r>
      <w:r>
        <w:rPr>
          <w:rFonts w:ascii="仿宋_GB2312" w:eastAsia="仿宋_GB2312"/>
          <w:sz w:val="32"/>
          <w:szCs w:val="32"/>
        </w:rPr>
        <w:t>执行</w:t>
      </w:r>
      <w:r>
        <w:rPr>
          <w:rFonts w:hint="eastAsia" w:ascii="仿宋_GB2312" w:eastAsia="仿宋_GB2312"/>
          <w:sz w:val="32"/>
          <w:szCs w:val="32"/>
        </w:rPr>
        <w:t>，政策实施对象中不存在明显不合理的排他性规定，政策实施后相关受益群体的整体满意调查良好，满意度100%。</w:t>
      </w:r>
    </w:p>
    <w:p w14:paraId="5C5DDB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outlineLvl w:val="9"/>
        <w:rPr>
          <w:rFonts w:hint="eastAsia" w:cs="Times New Roman"/>
          <w:color w:val="auto"/>
          <w:szCs w:val="32"/>
          <w:lang w:val="en-US" w:eastAsia="zh-CN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个性指标</w:t>
      </w:r>
      <w:r>
        <w:rPr>
          <w:rFonts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年底，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完成了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设置了的一级指标4个、二级指标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个、三级指标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个绩效目标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 w14:paraId="4FEED99A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eastAsia="黑体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eastAsia" w:ascii="黑体" w:eastAsia="黑体"/>
          <w:color w:val="auto"/>
          <w:sz w:val="32"/>
          <w:szCs w:val="32"/>
          <w:highlight w:val="none"/>
          <w:u w:val="none"/>
        </w:rPr>
        <w:t>、评价结论</w:t>
      </w:r>
    </w:p>
    <w:p w14:paraId="4C709162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cs="黑体"/>
          <w:b w:val="0"/>
          <w:bCs w:val="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 w:cs="仿宋_GB2312"/>
          <w:sz w:val="32"/>
          <w:szCs w:val="32"/>
          <w:lang w:val="zh-CN" w:eastAsia="zh-CN" w:bidi="ar-SA"/>
        </w:rPr>
        <w:t>从综合评价来看，项目立项依据充分，均设定了项目绩效目标，资金配置科学合理，严格项目管理，按规定履行报批手续，细化任务并明确绩效目标，经局党组会议研究同意后实施。整体情况良好。</w:t>
      </w:r>
    </w:p>
    <w:p w14:paraId="1588D6DE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eastAsia="黑体" w:cs="Times New Roman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cs="Times New Roman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hint="eastAsia" w:ascii="黑体" w:eastAsia="黑体" w:cs="Times New Roman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 w14:paraId="0C6C42DC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cs="黑体"/>
          <w:b w:val="0"/>
          <w:bCs w:val="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asci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无</w:t>
      </w:r>
      <w:r>
        <w:rPr>
          <w:rFonts w:hint="eastAsia" w:asci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。</w:t>
      </w:r>
    </w:p>
    <w:p w14:paraId="3E5F43C4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hint="eastAsia" w:ascii="黑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 w14:paraId="46BCE00E">
      <w:pPr>
        <w:tabs>
          <w:tab w:val="left" w:pos="1911"/>
        </w:tabs>
        <w:jc w:val="left"/>
        <w:rPr>
          <w:rFonts w:hint="eastAsia" w:asci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eastAsia="zh-CN" w:bidi="ar-SA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 xml:space="preserve"> </w:t>
      </w:r>
      <w:r>
        <w:rPr>
          <w:rFonts w:hint="eastAsia" w:asci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 xml:space="preserve"> </w:t>
      </w:r>
      <w:bookmarkStart w:id="0" w:name="_Hlk110546638"/>
      <w:r>
        <w:rPr>
          <w:rFonts w:asci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 xml:space="preserve">  无</w:t>
      </w:r>
      <w:r>
        <w:rPr>
          <w:rFonts w:hint="eastAsia" w:asci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。</w:t>
      </w:r>
    </w:p>
    <w:bookmarkEnd w:id="0"/>
    <w:p w14:paraId="2F83B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firstLine="640" w:firstLineChars="200"/>
        <w:textAlignment w:val="auto"/>
        <w:outlineLvl w:val="9"/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</w:pPr>
    </w:p>
    <w:p w14:paraId="6A0E6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firstLine="640" w:firstLineChars="200"/>
        <w:textAlignment w:val="auto"/>
        <w:outlineLvl w:val="9"/>
        <w:rPr>
          <w:rFonts w:ascii="黑体" w:eastAsia="黑体" w:cs="黑体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附表：预算项目绩效目标完成情况自评表</w:t>
      </w:r>
      <w:bookmarkStart w:id="1" w:name="_GoBack"/>
      <w:bookmarkEnd w:id="1"/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华文中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9C50D">
    <w:pPr>
      <w:pStyle w:val="8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4500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4499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886555D">
                          <w:pPr>
                            <w:pStyle w:val="8"/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8.15pt;width:3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256p9YAAAADAQAADwAAAAAAAAABACAAAAAiAAAAZHJzL2Rv&#10;d25yZXYueG1sUEsBAhQAFAAAAAgAh07iQMql5b4DAgAA9AMAAA4AAAAAAAAAAQAgAAAAJQEAAGRy&#10;cy9lMm9Eb2MueG1sUEsFBgAAAAAGAAYAWQEAAJo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1886555D">
                    <w:pPr>
                      <w:pStyle w:val="8"/>
                      <w:rPr>
                        <w:rFonts w:hint="eastAsia"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ODkwMjBiMDE0NDAzMDYwOGJjM2NjMzIxY2I3MmFjYzYifQ=="/>
  </w:docVars>
  <w:rsids>
    <w:rsidRoot w:val="00000000"/>
    <w:rsid w:val="05545E3D"/>
    <w:rsid w:val="05BA7B79"/>
    <w:rsid w:val="095A50EC"/>
    <w:rsid w:val="0A544CC8"/>
    <w:rsid w:val="0ADA2FC4"/>
    <w:rsid w:val="12F15A54"/>
    <w:rsid w:val="150754C1"/>
    <w:rsid w:val="16464112"/>
    <w:rsid w:val="16CD3058"/>
    <w:rsid w:val="17833069"/>
    <w:rsid w:val="1E960B39"/>
    <w:rsid w:val="2546140F"/>
    <w:rsid w:val="263E46FA"/>
    <w:rsid w:val="26D27249"/>
    <w:rsid w:val="2D650CD8"/>
    <w:rsid w:val="33C61EE3"/>
    <w:rsid w:val="359E4EC6"/>
    <w:rsid w:val="382D40F1"/>
    <w:rsid w:val="3A03179B"/>
    <w:rsid w:val="3A881CA1"/>
    <w:rsid w:val="3B985F13"/>
    <w:rsid w:val="43814080"/>
    <w:rsid w:val="462036D5"/>
    <w:rsid w:val="48477318"/>
    <w:rsid w:val="4944498D"/>
    <w:rsid w:val="4BBC79FC"/>
    <w:rsid w:val="4C0E50A9"/>
    <w:rsid w:val="508A5755"/>
    <w:rsid w:val="55727683"/>
    <w:rsid w:val="55911EF9"/>
    <w:rsid w:val="5CFA65D6"/>
    <w:rsid w:val="66474EA1"/>
    <w:rsid w:val="6BEE2F50"/>
    <w:rsid w:val="6E894B80"/>
    <w:rsid w:val="70710506"/>
    <w:rsid w:val="792275BE"/>
    <w:rsid w:val="7E8813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qFormat/>
    <w:uiPriority w:val="0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6">
    <w:name w:val="Body Text"/>
    <w:basedOn w:val="1"/>
    <w:qFormat/>
    <w:uiPriority w:val="0"/>
    <w:pPr>
      <w:widowControl/>
      <w:tabs>
        <w:tab w:val="left" w:pos="2160"/>
      </w:tabs>
      <w:spacing w:line="480" w:lineRule="auto"/>
      <w:jc w:val="left"/>
    </w:pPr>
    <w:rPr>
      <w:rFonts w:ascii="楷体_GB2312" w:hAnsi="楷体_GB2312" w:eastAsia="黑体"/>
      <w:kern w:val="0"/>
      <w:position w:val="3"/>
      <w:sz w:val="20"/>
      <w:szCs w:val="20"/>
    </w:rPr>
  </w:style>
  <w:style w:type="paragraph" w:styleId="7">
    <w:name w:val="Body Text Indent"/>
    <w:basedOn w:val="1"/>
    <w:qFormat/>
    <w:uiPriority w:val="0"/>
    <w:pPr>
      <w:spacing w:after="120"/>
      <w:ind w:left="200" w:leftChars="200"/>
    </w:pPr>
    <w:rPr>
      <w:rFonts w:ascii="仿宋_GB2312"/>
      <w:szCs w:val="32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10">
    <w:name w:val="toc 1"/>
    <w:next w:val="1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11">
    <w:name w:val="Body Text First Indent 2"/>
    <w:basedOn w:val="7"/>
    <w:qFormat/>
    <w:uiPriority w:val="0"/>
    <w:pPr>
      <w:ind w:firstLine="200" w:firstLineChars="200"/>
    </w:pPr>
  </w:style>
  <w:style w:type="paragraph" w:customStyle="1" w:styleId="14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1743</Words>
  <Characters>1799</Characters>
  <Lines>289</Lines>
  <Paragraphs>98</Paragraphs>
  <TotalTime>26</TotalTime>
  <ScaleCrop>false</ScaleCrop>
  <LinksUpToDate>false</LinksUpToDate>
  <CharactersWithSpaces>1827</CharactersWithSpaces>
  <Application>WPS Office_12.1.0.18240_F1E327BC-269C-435d-A152-05C5408002CA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2020-07-12T08:13:00Z</dcterms:created>
  <dc:creator>Administrator</dc:creator>
  <cp:lastModifiedBy>Lenovo</cp:lastModifiedBy>
  <cp:lastPrinted>2016-02-13T11:32:00Z</cp:lastPrinted>
  <dcterms:modified xsi:type="dcterms:W3CDTF">2024-09-18T03:31:54Z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FD65ACE9ECD42879F7879466AF52A2C4</vt:lpwstr>
  </property>
</Properties>
</file>