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4B2FC">
      <w:pPr>
        <w:keepNext w:val="0"/>
        <w:keepLines w:val="0"/>
        <w:pageBreakBefore w:val="0"/>
        <w:widowControl/>
        <w:kinsoku/>
        <w:wordWrap/>
        <w:overflowPunct/>
        <w:topLinePunct w:val="0"/>
        <w:autoSpaceDE/>
        <w:autoSpaceDN/>
        <w:bidi w:val="0"/>
        <w:spacing w:line="578" w:lineRule="exact"/>
        <w:contextualSpacing/>
        <w:jc w:val="both"/>
        <w:textAlignment w:val="auto"/>
        <w:outlineLvl w:val="9"/>
        <w:rPr>
          <w:rFonts w:hint="default" w:ascii="Times New Roman" w:hAnsi="Times New Roman" w:eastAsia="宋体" w:cs="Times New Roman"/>
          <w:b/>
          <w:sz w:val="44"/>
          <w:szCs w:val="44"/>
          <w:highlight w:val="none"/>
          <w:shd w:val="clear" w:color="auto" w:fill="FFFFFF"/>
        </w:rPr>
      </w:pPr>
    </w:p>
    <w:p w14:paraId="48DD60FC">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eastAsia" w:ascii="方正小标宋简体" w:hAnsi="方正小标宋简体" w:eastAsia="方正小标宋简体" w:cs="方正小标宋简体"/>
          <w:sz w:val="44"/>
          <w:szCs w:val="44"/>
          <w:highlight w:val="none"/>
          <w:shd w:val="clear" w:color="auto" w:fill="FFFFFF"/>
        </w:rPr>
      </w:pPr>
      <w:r>
        <w:rPr>
          <w:rFonts w:hint="eastAsia" w:ascii="方正小标宋简体" w:hAnsi="方正小标宋简体" w:eastAsia="方正小标宋简体" w:cs="方正小标宋简体"/>
          <w:b w:val="0"/>
          <w:bCs/>
          <w:sz w:val="44"/>
          <w:szCs w:val="44"/>
          <w:highlight w:val="none"/>
          <w:shd w:val="clear" w:color="auto" w:fill="FFFFFF"/>
          <w:lang w:val="en-US" w:eastAsia="zh-CN"/>
        </w:rPr>
        <w:t>大熊猫国家公园阿坝管理分局2023年部门</w:t>
      </w:r>
      <w:r>
        <w:rPr>
          <w:rFonts w:hint="eastAsia" w:ascii="方正小标宋简体" w:hAnsi="方正小标宋简体" w:eastAsia="方正小标宋简体" w:cs="方正小标宋简体"/>
          <w:b w:val="0"/>
          <w:bCs/>
          <w:sz w:val="44"/>
          <w:szCs w:val="44"/>
          <w:highlight w:val="none"/>
          <w:shd w:val="clear" w:color="auto" w:fill="FFFFFF"/>
          <w:lang w:eastAsia="zh-CN"/>
        </w:rPr>
        <w:t>预算</w:t>
      </w:r>
      <w:r>
        <w:rPr>
          <w:rFonts w:hint="eastAsia" w:ascii="方正小标宋简体" w:hAnsi="方正小标宋简体" w:eastAsia="方正小标宋简体" w:cs="方正小标宋简体"/>
          <w:b w:val="0"/>
          <w:bCs/>
          <w:sz w:val="44"/>
          <w:szCs w:val="44"/>
          <w:highlight w:val="none"/>
          <w:shd w:val="clear" w:color="auto" w:fill="FFFFFF"/>
        </w:rPr>
        <w:t>绩效</w:t>
      </w:r>
      <w:r>
        <w:rPr>
          <w:rFonts w:hint="eastAsia" w:ascii="方正小标宋简体" w:hAnsi="方正小标宋简体" w:eastAsia="方正小标宋简体" w:cs="方正小标宋简体"/>
          <w:b w:val="0"/>
          <w:bCs/>
          <w:sz w:val="44"/>
          <w:szCs w:val="44"/>
          <w:highlight w:val="none"/>
          <w:shd w:val="clear" w:color="auto" w:fill="FFFFFF"/>
          <w:lang w:eastAsia="zh-CN"/>
        </w:rPr>
        <w:t>评价</w:t>
      </w:r>
      <w:r>
        <w:rPr>
          <w:rFonts w:hint="eastAsia" w:ascii="方正小标宋简体" w:hAnsi="方正小标宋简体" w:eastAsia="方正小标宋简体" w:cs="方正小标宋简体"/>
          <w:b w:val="0"/>
          <w:bCs/>
          <w:sz w:val="44"/>
          <w:szCs w:val="44"/>
          <w:highlight w:val="none"/>
          <w:shd w:val="clear" w:color="auto" w:fill="FFFFFF"/>
        </w:rPr>
        <w:t>报告</w:t>
      </w:r>
    </w:p>
    <w:p w14:paraId="0BACF7AC">
      <w:pPr>
        <w:ind w:firstLine="640" w:firstLineChars="200"/>
        <w:rPr>
          <w:rFonts w:hint="default" w:ascii="仿宋_GB2312" w:eastAsia="仿宋_GB2312" w:cs="Arial"/>
          <w:color w:val="000000" w:themeColor="text1"/>
          <w:sz w:val="32"/>
          <w:szCs w:val="32"/>
          <w:lang w:val="en-US" w:eastAsia="zh-CN"/>
          <w14:textFill>
            <w14:solidFill>
              <w14:schemeClr w14:val="tx1"/>
            </w14:solidFill>
          </w14:textFill>
        </w:rPr>
      </w:pPr>
    </w:p>
    <w:p w14:paraId="1624D4D0">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lang w:val="en-US" w:eastAsia="zh-CN"/>
          <w14:textFill>
            <w14:solidFill>
              <w14:schemeClr w14:val="tx1"/>
            </w14:solidFill>
          </w14:textFill>
        </w:rPr>
        <w:t>州财政局：</w:t>
      </w:r>
    </w:p>
    <w:p w14:paraId="07FF4A06">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lang w:val="en-US" w:eastAsia="zh-CN"/>
          <w14:textFill>
            <w14:solidFill>
              <w14:schemeClr w14:val="tx1"/>
            </w14:solidFill>
          </w14:textFill>
        </w:rPr>
        <w:t>按照《阿坝州财政局关于开展2024年州级部门绩效自评工作的通知》（阿州财监绩〔2024〕19号）要求，现将我局2023年部门整体支出绩效自评情况报告如下：</w:t>
      </w:r>
    </w:p>
    <w:p w14:paraId="6D78404A">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zh-CN" w:eastAsia="zh-CN"/>
          <w14:textFill>
            <w14:solidFill>
              <w14:schemeClr w14:val="tx1"/>
            </w14:solidFill>
          </w14:textFill>
        </w:rPr>
        <w:t>一、部门（单位）基本情况</w:t>
      </w:r>
    </w:p>
    <w:p w14:paraId="08B17503">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default" w:ascii="仿宋_GB2312" w:eastAsia="仿宋_GB2312" w:cs="Arial"/>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zh-CN" w:eastAsia="zh-CN"/>
          <w14:textFill>
            <w14:solidFill>
              <w14:schemeClr w14:val="tx1"/>
            </w14:solidFill>
          </w14:textFill>
        </w:rPr>
        <w:t>（一）机构组成。</w:t>
      </w:r>
      <w:r>
        <w:rPr>
          <w:rFonts w:hint="eastAsia" w:ascii="仿宋_GB2312" w:eastAsia="仿宋_GB2312" w:cs="Arial"/>
          <w:color w:val="000000" w:themeColor="text1"/>
          <w:sz w:val="32"/>
          <w:szCs w:val="32"/>
          <w:lang w:val="en-US" w:eastAsia="zh-CN"/>
          <w14:textFill>
            <w14:solidFill>
              <w14:schemeClr w14:val="tx1"/>
            </w14:solidFill>
          </w14:textFill>
        </w:rPr>
        <w:t>大熊猫国家公园阿坝管理分局下设7个部室，办公室、野生动植物保护部、栖息地保护部、科研教育部、社区协调发展部、法规督查部、建设管理部。</w:t>
      </w:r>
    </w:p>
    <w:p w14:paraId="10D98D26">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zh-CN" w:eastAsia="zh-CN"/>
          <w14:textFill>
            <w14:solidFill>
              <w14:schemeClr w14:val="tx1"/>
            </w14:solidFill>
          </w14:textFill>
        </w:rPr>
        <w:t>（二）机构职能</w:t>
      </w:r>
      <w:r>
        <w:rPr>
          <w:rFonts w:hint="eastAsia" w:ascii="仿宋_GB2312" w:eastAsia="仿宋_GB2312" w:cs="Arial"/>
          <w:color w:val="000000" w:themeColor="text1"/>
          <w:sz w:val="32"/>
          <w:szCs w:val="32"/>
          <w:lang w:val="zh-CN" w:eastAsia="zh-CN"/>
          <w14:textFill>
            <w14:solidFill>
              <w14:schemeClr w14:val="tx1"/>
            </w14:solidFill>
          </w14:textFill>
        </w:rPr>
        <w:t>。</w:t>
      </w:r>
      <w:r>
        <w:rPr>
          <w:rFonts w:hint="eastAsia" w:ascii="仿宋_GB2312" w:eastAsia="仿宋_GB2312" w:cs="Arial"/>
          <w:color w:val="000000" w:themeColor="text1"/>
          <w:sz w:val="32"/>
          <w:szCs w:val="32"/>
          <w:lang w:val="en-US" w:eastAsia="zh-CN"/>
          <w14:textFill>
            <w14:solidFill>
              <w14:schemeClr w14:val="tx1"/>
            </w14:solidFill>
          </w14:textFill>
        </w:rPr>
        <w:t>根据阿委办发〔2020〕12号文件规定，我局主要职责是：具体承担辖区内大熊猫国家公园体制试点工作。负责以大熊猫为核心的生物多样性保护和资源环境综合执法；负责项目审查；组织实施特许经营和社会参与，建立社区可持续发展机制；配合地方政府落实国家公园内生产经营设施退出和生态移民搬迁工作；开展巡护监测、科学研究、生态体验和科普教育；组织实施生态工程、保护设施建设。完成省局交办的其他工作。</w:t>
      </w:r>
    </w:p>
    <w:p w14:paraId="65114200">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lang w:val="en-US" w:eastAsia="zh-CN"/>
          <w14:textFill>
            <w14:solidFill>
              <w14:schemeClr w14:val="tx1"/>
            </w14:solidFill>
          </w14:textFill>
        </w:rPr>
        <w:t>负责监督管理大熊猫国家公园阿坝园区野生动植物保护工作。开展阿坝园区野生动植物资源调查和资源状况评估，制定和落实野生动植物资源保护发展方案；监督管理阿坝园区陆生野生植物的采集、培植、经营利用；组织开展大熊猫保护、繁育、科研工作以及对外合作研究展示管理工作；开展陆生野生植物救护工作，开展野生动植物资源的保护与开发利用工作；开展陆生野生动物疫源疫病监测工作。</w:t>
      </w:r>
    </w:p>
    <w:p w14:paraId="3A731F9F">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lang w:val="en-US" w:eastAsia="zh-CN"/>
          <w14:textFill>
            <w14:solidFill>
              <w14:schemeClr w14:val="tx1"/>
            </w14:solidFill>
          </w14:textFill>
        </w:rPr>
        <w:t>负责栖息地保护管理和相关规划。组织编制并组织实施大熊猫国家公园有关规划；负责大熊猫国家公园区划调整和保护地整合相关工作；组织开展大熊猫国家公园自然资源资产调查统计、监测评价；制定实施大熊猫国家公园自然生态保护计划和措施；组织实施大熊猫国家公园生态修复；负责规定权限内的项目审查。</w:t>
      </w:r>
    </w:p>
    <w:p w14:paraId="47D62CE9">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lang w:val="en-US" w:eastAsia="zh-CN"/>
          <w14:textFill>
            <w14:solidFill>
              <w14:schemeClr w14:val="tx1"/>
            </w14:solidFill>
          </w14:textFill>
        </w:rPr>
        <w:t>负责大熊猫研究和科普宣教。组织开展国家公园大熊猫保护科学研究；组织开展大熊猫国家公园生物多样性和其他重要物种保护科学研究；承担大熊猫国家公园对外交流合作；组织开展大熊猫国家公园科学普及和自然教育活动；指导开展大熊猫国家公园游憩展示、生态体验和文化品牌建设。</w:t>
      </w:r>
    </w:p>
    <w:p w14:paraId="073EE9FA">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lang w:val="en-US" w:eastAsia="zh-CN"/>
          <w14:textFill>
            <w14:solidFill>
              <w14:schemeClr w14:val="tx1"/>
            </w14:solidFill>
          </w14:textFill>
        </w:rPr>
        <w:t>负责建立社区生态保护共建共管运行机制。监督管理大熊猫国家公园特许经营活动；组织实施大熊猫国家公园生态移民搬迁工作；开展大熊猫国家公园社会参与、生态公益岗位管理；开展大熊猫国家公园社区共建共管；加强大熊猫国家公园生态产业发展；开展大熊猫国家公园集体土地流转和生态效益补偿。</w:t>
      </w:r>
    </w:p>
    <w:p w14:paraId="5955E44E">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lang w:val="en-US" w:eastAsia="zh-CN"/>
          <w14:textFill>
            <w14:solidFill>
              <w14:schemeClr w14:val="tx1"/>
            </w14:solidFill>
          </w14:textFill>
        </w:rPr>
        <w:t>负责政策法规研究和执法监督。组织开展大熊猫国家公园重大问题调查研究；执行大熊猫国家公园栖息地保护管理重要政策和标准；执行大熊猫国家公园相关法规和规章；开展大熊猫国家公园资源环境综合执法；配合大熊猫国家公园生态环境保护督察检查；负责大熊猫国家公园资源环境综合执法队伍建设。</w:t>
      </w:r>
    </w:p>
    <w:p w14:paraId="0868EF97">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lang w:val="en-US" w:eastAsia="zh-CN"/>
          <w14:textFill>
            <w14:solidFill>
              <w14:schemeClr w14:val="tx1"/>
            </w14:solidFill>
          </w14:textFill>
        </w:rPr>
        <w:t>负责各项建设和运行管理。组织编制并实施大熊猫国家公园基础设施建设规划；配合地方政府落实退出大熊猫国家公园生产经营设施；承担大熊猫国家公园管理、运营、公共服务等基础设施建设；承担大熊猫国家公园标识标志设置管理；负责大熊猫国家公园相关资产和设备管理；承担大熊猫国家公园数字化建设工作。</w:t>
      </w:r>
    </w:p>
    <w:p w14:paraId="31C744E6">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zh-CN" w:eastAsia="zh-CN"/>
          <w14:textFill>
            <w14:solidFill>
              <w14:schemeClr w14:val="tx1"/>
            </w14:solidFill>
          </w14:textFill>
        </w:rPr>
        <w:t>（三）人员概况</w:t>
      </w:r>
      <w:r>
        <w:rPr>
          <w:rFonts w:hint="eastAsia" w:ascii="仿宋_GB2312" w:eastAsia="仿宋_GB2312" w:cs="Arial"/>
          <w:color w:val="000000" w:themeColor="text1"/>
          <w:sz w:val="32"/>
          <w:szCs w:val="32"/>
          <w:lang w:val="zh-CN" w:eastAsia="zh-CN"/>
          <w14:textFill>
            <w14:solidFill>
              <w14:schemeClr w14:val="tx1"/>
            </w14:solidFill>
          </w14:textFill>
        </w:rPr>
        <w:t>。</w:t>
      </w:r>
      <w:r>
        <w:rPr>
          <w:rFonts w:hint="default" w:ascii="仿宋_GB2312" w:eastAsia="仿宋_GB2312" w:cs="Arial"/>
          <w:color w:val="000000" w:themeColor="text1"/>
          <w:sz w:val="32"/>
          <w:szCs w:val="32"/>
          <w:lang w:val="en-US" w:eastAsia="zh-CN"/>
          <w14:textFill>
            <w14:solidFill>
              <w14:schemeClr w14:val="tx1"/>
            </w14:solidFill>
          </w14:textFill>
        </w:rPr>
        <w:t>截至202</w:t>
      </w:r>
      <w:r>
        <w:rPr>
          <w:rFonts w:hint="eastAsia" w:ascii="仿宋_GB2312" w:eastAsia="仿宋_GB2312" w:cs="Arial"/>
          <w:color w:val="000000" w:themeColor="text1"/>
          <w:sz w:val="32"/>
          <w:szCs w:val="32"/>
          <w:lang w:val="en-US" w:eastAsia="zh-CN"/>
          <w14:textFill>
            <w14:solidFill>
              <w14:schemeClr w14:val="tx1"/>
            </w14:solidFill>
          </w14:textFill>
        </w:rPr>
        <w:t>3</w:t>
      </w:r>
      <w:r>
        <w:rPr>
          <w:rFonts w:hint="default" w:ascii="仿宋_GB2312" w:eastAsia="仿宋_GB2312" w:cs="Arial"/>
          <w:color w:val="000000" w:themeColor="text1"/>
          <w:sz w:val="32"/>
          <w:szCs w:val="32"/>
          <w:lang w:val="en-US" w:eastAsia="zh-CN"/>
          <w14:textFill>
            <w14:solidFill>
              <w14:schemeClr w14:val="tx1"/>
            </w14:solidFill>
          </w14:textFill>
        </w:rPr>
        <w:t>年末，</w:t>
      </w:r>
      <w:r>
        <w:rPr>
          <w:rFonts w:hint="eastAsia" w:ascii="仿宋_GB2312" w:eastAsia="仿宋_GB2312" w:cs="Arial"/>
          <w:color w:val="000000" w:themeColor="text1"/>
          <w:sz w:val="32"/>
          <w:szCs w:val="32"/>
          <w:lang w:val="en-US" w:eastAsia="zh-CN"/>
          <w14:textFill>
            <w14:solidFill>
              <w14:schemeClr w14:val="tx1"/>
            </w14:solidFill>
          </w14:textFill>
        </w:rPr>
        <w:t>大熊猫国家公园阿坝管理分局，事业编制24名。核定管理岗位11人、工勤岗位2人、专业技术岗位11人，年中有2人退休，年末</w:t>
      </w:r>
      <w:r>
        <w:rPr>
          <w:rFonts w:hint="eastAsia" w:ascii="仿宋_GB2312" w:cs="Arial"/>
          <w:color w:val="000000" w:themeColor="text1"/>
          <w:sz w:val="32"/>
          <w:szCs w:val="32"/>
          <w:lang w:val="en-US" w:eastAsia="zh-CN"/>
          <w14:textFill>
            <w14:solidFill>
              <w14:schemeClr w14:val="tx1"/>
            </w14:solidFill>
          </w14:textFill>
        </w:rPr>
        <w:t>在编在岗</w:t>
      </w:r>
      <w:r>
        <w:rPr>
          <w:rFonts w:hint="eastAsia" w:ascii="仿宋_GB2312" w:eastAsia="仿宋_GB2312" w:cs="Arial"/>
          <w:color w:val="000000" w:themeColor="text1"/>
          <w:sz w:val="32"/>
          <w:szCs w:val="32"/>
          <w:lang w:val="en-US" w:eastAsia="zh-CN"/>
          <w14:textFill>
            <w14:solidFill>
              <w14:schemeClr w14:val="tx1"/>
            </w14:solidFill>
          </w14:textFill>
        </w:rPr>
        <w:t>人数21人。</w:t>
      </w:r>
    </w:p>
    <w:p w14:paraId="73914D96">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二、部门资金收支情况</w:t>
      </w:r>
    </w:p>
    <w:p w14:paraId="28D0BD79">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zh-CN" w:eastAsia="zh-CN"/>
          <w14:textFill>
            <w14:solidFill>
              <w14:schemeClr w14:val="tx1"/>
            </w14:solidFill>
          </w14:textFill>
        </w:rPr>
        <w:t>（一）收入情况。</w:t>
      </w:r>
    </w:p>
    <w:p w14:paraId="09E60883">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lang w:val="en-US" w:eastAsia="zh-CN"/>
          <w14:textFill>
            <w14:solidFill>
              <w14:schemeClr w14:val="tx1"/>
            </w14:solidFill>
          </w14:textFill>
        </w:rPr>
        <w:t>2023年年初预算收入总额714.58万元,2022年年初预算收</w:t>
      </w:r>
      <w:r>
        <w:rPr>
          <w:rFonts w:hint="eastAsia" w:ascii="仿宋_GB2312" w:eastAsia="仿宋_GB2312" w:cs="Arial"/>
          <w:color w:val="000000" w:themeColor="text1"/>
          <w:sz w:val="32"/>
          <w:szCs w:val="32"/>
          <w14:textFill>
            <w14:solidFill>
              <w14:schemeClr w14:val="tx1"/>
            </w14:solidFill>
          </w14:textFill>
        </w:rPr>
        <w:t>入</w:t>
      </w:r>
      <w:r>
        <w:rPr>
          <w:rFonts w:hint="eastAsia" w:ascii="仿宋_GB2312" w:eastAsia="仿宋_GB2312" w:cs="Arial"/>
          <w:color w:val="000000" w:themeColor="text1"/>
          <w:sz w:val="32"/>
          <w:szCs w:val="32"/>
          <w:lang w:val="en-US" w:eastAsia="zh-CN"/>
          <w14:textFill>
            <w14:solidFill>
              <w14:schemeClr w14:val="tx1"/>
            </w14:solidFill>
          </w14:textFill>
        </w:rPr>
        <w:t>总额662.45</w:t>
      </w:r>
      <w:r>
        <w:rPr>
          <w:rFonts w:hint="eastAsia" w:ascii="仿宋_GB2312" w:eastAsia="仿宋_GB2312" w:cs="Arial"/>
          <w:color w:val="000000" w:themeColor="text1"/>
          <w:sz w:val="32"/>
          <w:szCs w:val="32"/>
          <w14:textFill>
            <w14:solidFill>
              <w14:schemeClr w14:val="tx1"/>
            </w14:solidFill>
          </w14:textFill>
        </w:rPr>
        <w:t>万元，202</w:t>
      </w:r>
      <w:r>
        <w:rPr>
          <w:rFonts w:hint="eastAsia" w:ascii="仿宋_GB2312" w:eastAsia="仿宋_GB2312" w:cs="Arial"/>
          <w:color w:val="000000" w:themeColor="text1"/>
          <w:sz w:val="32"/>
          <w:szCs w:val="32"/>
          <w:lang w:val="en-US" w:eastAsia="zh-CN"/>
          <w14:textFill>
            <w14:solidFill>
              <w14:schemeClr w14:val="tx1"/>
            </w14:solidFill>
          </w14:textFill>
        </w:rPr>
        <w:t>3</w:t>
      </w:r>
      <w:r>
        <w:rPr>
          <w:rFonts w:hint="eastAsia" w:ascii="仿宋_GB2312" w:eastAsia="仿宋_GB2312" w:cs="Arial"/>
          <w:color w:val="000000" w:themeColor="text1"/>
          <w:sz w:val="32"/>
          <w:szCs w:val="32"/>
          <w14:textFill>
            <w14:solidFill>
              <w14:schemeClr w14:val="tx1"/>
            </w14:solidFill>
          </w14:textFill>
        </w:rPr>
        <w:t>年同比增长</w:t>
      </w:r>
      <w:r>
        <w:rPr>
          <w:rFonts w:hint="eastAsia" w:ascii="仿宋_GB2312" w:eastAsia="仿宋_GB2312" w:cs="Arial"/>
          <w:color w:val="000000" w:themeColor="text1"/>
          <w:sz w:val="32"/>
          <w:szCs w:val="32"/>
          <w:lang w:val="en-US" w:eastAsia="zh-CN"/>
          <w14:textFill>
            <w14:solidFill>
              <w14:schemeClr w14:val="tx1"/>
            </w14:solidFill>
          </w14:textFill>
        </w:rPr>
        <w:t>52.13</w:t>
      </w:r>
      <w:r>
        <w:rPr>
          <w:rFonts w:hint="eastAsia" w:ascii="仿宋_GB2312" w:eastAsia="仿宋_GB2312" w:cs="Arial"/>
          <w:color w:val="000000" w:themeColor="text1"/>
          <w:sz w:val="32"/>
          <w:szCs w:val="32"/>
          <w14:textFill>
            <w14:solidFill>
              <w14:schemeClr w14:val="tx1"/>
            </w14:solidFill>
          </w14:textFill>
        </w:rPr>
        <w:t>万元。</w:t>
      </w:r>
      <w:r>
        <w:rPr>
          <w:rFonts w:hint="eastAsia" w:ascii="仿宋_GB2312" w:eastAsia="仿宋_GB2312" w:cs="Arial"/>
          <w:color w:val="000000" w:themeColor="text1"/>
          <w:sz w:val="32"/>
          <w:szCs w:val="32"/>
          <w:lang w:val="en-US" w:eastAsia="zh-CN"/>
          <w14:textFill>
            <w14:solidFill>
              <w14:schemeClr w14:val="tx1"/>
            </w14:solidFill>
          </w14:textFill>
        </w:rPr>
        <w:t>增长原因为项目和人员经费的增加。2023年决算报表收入为868.81万元，2022年决算报表收入为693.79万元，2023年同比增长175.02万元，增长原因为2023年4月新增中央财政林业草原生态保护恢复资金--雪豹调查监测项目经费286万元，2023年已支付项目总资金的60%为197.35万元，2023年末剩余资金结转到2024年，剩余40%调查费于2024年10月完成支付。2023年8月新增省级财政林业草原生态保护恢复资金--巡护终端采购项目经费50万元，因两次流标无法完成采购流程，故结转到2024年继续实施该项目。</w:t>
      </w:r>
    </w:p>
    <w:p w14:paraId="5254B685">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zh-CN"/>
          <w14:textFill>
            <w14:solidFill>
              <w14:schemeClr w14:val="tx1"/>
            </w14:solidFill>
          </w14:textFill>
        </w:rPr>
        <w:t>（</w:t>
      </w: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二</w:t>
      </w:r>
      <w:r>
        <w:rPr>
          <w:rFonts w:hint="eastAsia" w:ascii="楷体_GB2312" w:hAnsi="楷体_GB2312" w:eastAsia="楷体_GB2312" w:cs="楷体_GB2312"/>
          <w:b/>
          <w:bCs/>
          <w:color w:val="000000" w:themeColor="text1"/>
          <w:sz w:val="32"/>
          <w:szCs w:val="32"/>
          <w:lang w:val="zh-CN"/>
          <w14:textFill>
            <w14:solidFill>
              <w14:schemeClr w14:val="tx1"/>
            </w14:solidFill>
          </w14:textFill>
        </w:rPr>
        <w:t>）支出情况。</w:t>
      </w:r>
    </w:p>
    <w:p w14:paraId="691126C0">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lang w:val="en-US" w:eastAsia="zh-CN"/>
          <w14:textFill>
            <w14:solidFill>
              <w14:schemeClr w14:val="tx1"/>
            </w14:solidFill>
          </w14:textFill>
        </w:rPr>
        <w:t xml:space="preserve"> </w:t>
      </w:r>
      <w:r>
        <w:rPr>
          <w:rFonts w:hint="eastAsia" w:ascii="仿宋_GB2312" w:eastAsia="仿宋_GB2312" w:cs="Arial"/>
          <w:color w:val="000000" w:themeColor="text1"/>
          <w:sz w:val="32"/>
          <w:szCs w:val="32"/>
          <w14:textFill>
            <w14:solidFill>
              <w14:schemeClr w14:val="tx1"/>
            </w14:solidFill>
          </w14:textFill>
        </w:rPr>
        <w:t>202</w:t>
      </w:r>
      <w:r>
        <w:rPr>
          <w:rFonts w:hint="eastAsia" w:ascii="仿宋_GB2312" w:eastAsia="仿宋_GB2312" w:cs="Arial"/>
          <w:color w:val="000000" w:themeColor="text1"/>
          <w:sz w:val="32"/>
          <w:szCs w:val="32"/>
          <w:lang w:val="en-US" w:eastAsia="zh-CN"/>
          <w14:textFill>
            <w14:solidFill>
              <w14:schemeClr w14:val="tx1"/>
            </w14:solidFill>
          </w14:textFill>
        </w:rPr>
        <w:t>3</w:t>
      </w:r>
      <w:r>
        <w:rPr>
          <w:rFonts w:hint="eastAsia" w:ascii="仿宋_GB2312" w:eastAsia="仿宋_GB2312" w:cs="Arial"/>
          <w:color w:val="000000" w:themeColor="text1"/>
          <w:sz w:val="32"/>
          <w:szCs w:val="32"/>
          <w14:textFill>
            <w14:solidFill>
              <w14:schemeClr w14:val="tx1"/>
            </w14:solidFill>
          </w14:textFill>
        </w:rPr>
        <w:t>年全年支出</w:t>
      </w:r>
      <w:r>
        <w:rPr>
          <w:rFonts w:hint="eastAsia" w:ascii="仿宋_GB2312" w:eastAsia="仿宋_GB2312" w:cs="Arial"/>
          <w:color w:val="000000" w:themeColor="text1"/>
          <w:sz w:val="32"/>
          <w:szCs w:val="32"/>
          <w:lang w:val="en-US" w:eastAsia="zh-CN"/>
          <w14:textFill>
            <w14:solidFill>
              <w14:schemeClr w14:val="tx1"/>
            </w14:solidFill>
          </w14:textFill>
        </w:rPr>
        <w:t>868.81</w:t>
      </w:r>
      <w:r>
        <w:rPr>
          <w:rFonts w:hint="eastAsia" w:ascii="仿宋_GB2312" w:eastAsia="仿宋_GB2312" w:cs="Arial"/>
          <w:color w:val="000000" w:themeColor="text1"/>
          <w:sz w:val="32"/>
          <w:szCs w:val="32"/>
          <w14:textFill>
            <w14:solidFill>
              <w14:schemeClr w14:val="tx1"/>
            </w14:solidFill>
          </w14:textFill>
        </w:rPr>
        <w:t>万元</w:t>
      </w:r>
      <w:r>
        <w:rPr>
          <w:rFonts w:hint="eastAsia" w:ascii="仿宋_GB2312" w:eastAsia="仿宋_GB2312" w:cs="Arial"/>
          <w:color w:val="000000" w:themeColor="text1"/>
          <w:sz w:val="32"/>
          <w:szCs w:val="32"/>
          <w:lang w:eastAsia="zh-CN"/>
          <w14:textFill>
            <w14:solidFill>
              <w14:schemeClr w14:val="tx1"/>
            </w14:solidFill>
          </w14:textFill>
        </w:rPr>
        <w:t>，</w:t>
      </w:r>
      <w:r>
        <w:rPr>
          <w:rFonts w:hint="eastAsia" w:ascii="仿宋_GB2312" w:eastAsia="仿宋_GB2312" w:cs="Arial"/>
          <w:color w:val="000000" w:themeColor="text1"/>
          <w:sz w:val="32"/>
          <w:szCs w:val="32"/>
          <w14:textFill>
            <w14:solidFill>
              <w14:schemeClr w14:val="tx1"/>
            </w14:solidFill>
          </w14:textFill>
        </w:rPr>
        <w:t>202</w:t>
      </w:r>
      <w:r>
        <w:rPr>
          <w:rFonts w:hint="eastAsia" w:ascii="仿宋_GB2312" w:eastAsia="仿宋_GB2312" w:cs="Arial"/>
          <w:color w:val="000000" w:themeColor="text1"/>
          <w:sz w:val="32"/>
          <w:szCs w:val="32"/>
          <w:lang w:val="en-US" w:eastAsia="zh-CN"/>
          <w14:textFill>
            <w14:solidFill>
              <w14:schemeClr w14:val="tx1"/>
            </w14:solidFill>
          </w14:textFill>
        </w:rPr>
        <w:t>2</w:t>
      </w:r>
      <w:r>
        <w:rPr>
          <w:rFonts w:hint="eastAsia" w:ascii="仿宋_GB2312" w:eastAsia="仿宋_GB2312" w:cs="Arial"/>
          <w:color w:val="000000" w:themeColor="text1"/>
          <w:sz w:val="32"/>
          <w:szCs w:val="32"/>
          <w14:textFill>
            <w14:solidFill>
              <w14:schemeClr w14:val="tx1"/>
            </w14:solidFill>
          </w14:textFill>
        </w:rPr>
        <w:t>年全年支出69</w:t>
      </w:r>
      <w:r>
        <w:rPr>
          <w:rFonts w:hint="eastAsia" w:ascii="仿宋_GB2312" w:eastAsia="仿宋_GB2312" w:cs="Arial"/>
          <w:color w:val="000000" w:themeColor="text1"/>
          <w:sz w:val="32"/>
          <w:szCs w:val="32"/>
          <w:lang w:val="en-US" w:eastAsia="zh-CN"/>
          <w14:textFill>
            <w14:solidFill>
              <w14:schemeClr w14:val="tx1"/>
            </w14:solidFill>
          </w14:textFill>
        </w:rPr>
        <w:t>3.79</w:t>
      </w:r>
      <w:r>
        <w:rPr>
          <w:rFonts w:hint="eastAsia" w:ascii="仿宋_GB2312" w:eastAsia="仿宋_GB2312" w:cs="Arial"/>
          <w:color w:val="000000" w:themeColor="text1"/>
          <w:sz w:val="32"/>
          <w:szCs w:val="32"/>
          <w14:textFill>
            <w14:solidFill>
              <w14:schemeClr w14:val="tx1"/>
            </w14:solidFill>
          </w14:textFill>
        </w:rPr>
        <w:t>万元，同比</w:t>
      </w:r>
      <w:r>
        <w:rPr>
          <w:rFonts w:hint="eastAsia" w:ascii="仿宋_GB2312" w:eastAsia="仿宋_GB2312" w:cs="Arial"/>
          <w:color w:val="000000" w:themeColor="text1"/>
          <w:sz w:val="32"/>
          <w:szCs w:val="32"/>
          <w:lang w:val="en-US" w:eastAsia="zh-CN"/>
          <w14:textFill>
            <w14:solidFill>
              <w14:schemeClr w14:val="tx1"/>
            </w14:solidFill>
          </w14:textFill>
        </w:rPr>
        <w:t>增加175.02</w:t>
      </w:r>
      <w:r>
        <w:rPr>
          <w:rFonts w:hint="eastAsia" w:ascii="仿宋_GB2312" w:eastAsia="仿宋_GB2312" w:cs="Arial"/>
          <w:color w:val="000000" w:themeColor="text1"/>
          <w:sz w:val="32"/>
          <w:szCs w:val="32"/>
          <w14:textFill>
            <w14:solidFill>
              <w14:schemeClr w14:val="tx1"/>
            </w14:solidFill>
          </w14:textFill>
        </w:rPr>
        <w:t>万元。主要原因是</w:t>
      </w:r>
      <w:r>
        <w:rPr>
          <w:rFonts w:hint="eastAsia" w:ascii="仿宋_GB2312" w:eastAsia="仿宋_GB2312" w:cs="Arial"/>
          <w:color w:val="000000" w:themeColor="text1"/>
          <w:sz w:val="32"/>
          <w:szCs w:val="32"/>
          <w:lang w:val="en-US" w:eastAsia="zh-CN"/>
          <w14:textFill>
            <w14:solidFill>
              <w14:schemeClr w14:val="tx1"/>
            </w14:solidFill>
          </w14:textFill>
        </w:rPr>
        <w:t>2023年4月新增了中央财政林业草原生态保护恢复资金--雪豹调查监测项目经费286万元；2023年8月新增省级财政林业草原生态保护恢复资金--巡护终端采购项目经费50万元，巡护终端采购项目经费50万元，因两次流标无法完成采购流程，故结转到2024年继续实施该项目。各项保险缴费基数的提高等。</w:t>
      </w:r>
    </w:p>
    <w:p w14:paraId="74FD392E">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Arial"/>
          <w:color w:val="000000" w:themeColor="text1"/>
          <w:sz w:val="32"/>
          <w:szCs w:val="32"/>
          <w14:textFill>
            <w14:solidFill>
              <w14:schemeClr w14:val="tx1"/>
            </w14:solidFill>
          </w14:textFill>
        </w:rPr>
      </w:pPr>
      <w:r>
        <w:rPr>
          <w:rFonts w:hint="eastAsia" w:ascii="仿宋_GB2312" w:eastAsia="仿宋_GB2312" w:cs="Arial"/>
          <w:color w:val="000000" w:themeColor="text1"/>
          <w:sz w:val="32"/>
          <w:szCs w:val="32"/>
          <w14:textFill>
            <w14:solidFill>
              <w14:schemeClr w14:val="tx1"/>
            </w14:solidFill>
          </w14:textFill>
        </w:rPr>
        <w:t>202</w:t>
      </w:r>
      <w:r>
        <w:rPr>
          <w:rFonts w:hint="eastAsia" w:ascii="仿宋_GB2312" w:eastAsia="仿宋_GB2312" w:cs="Arial"/>
          <w:color w:val="000000" w:themeColor="text1"/>
          <w:sz w:val="32"/>
          <w:szCs w:val="32"/>
          <w:lang w:val="en-US" w:eastAsia="zh-CN"/>
          <w14:textFill>
            <w14:solidFill>
              <w14:schemeClr w14:val="tx1"/>
            </w14:solidFill>
          </w14:textFill>
        </w:rPr>
        <w:t>3</w:t>
      </w:r>
      <w:r>
        <w:rPr>
          <w:rFonts w:hint="eastAsia" w:ascii="仿宋_GB2312" w:eastAsia="仿宋_GB2312" w:cs="Arial"/>
          <w:color w:val="000000" w:themeColor="text1"/>
          <w:sz w:val="32"/>
          <w:szCs w:val="32"/>
          <w14:textFill>
            <w14:solidFill>
              <w14:schemeClr w14:val="tx1"/>
            </w14:solidFill>
          </w14:textFill>
        </w:rPr>
        <w:t>年基本支出</w:t>
      </w:r>
      <w:r>
        <w:rPr>
          <w:rFonts w:hint="eastAsia" w:ascii="仿宋_GB2312" w:eastAsia="仿宋_GB2312" w:cs="Arial"/>
          <w:color w:val="000000" w:themeColor="text1"/>
          <w:sz w:val="32"/>
          <w:szCs w:val="32"/>
          <w:lang w:val="en-US" w:eastAsia="zh-CN"/>
          <w14:textFill>
            <w14:solidFill>
              <w14:schemeClr w14:val="tx1"/>
            </w14:solidFill>
          </w14:textFill>
        </w:rPr>
        <w:t>年初</w:t>
      </w:r>
      <w:r>
        <w:rPr>
          <w:rFonts w:hint="eastAsia" w:ascii="仿宋_GB2312" w:eastAsia="仿宋_GB2312" w:cs="Arial"/>
          <w:color w:val="000000" w:themeColor="text1"/>
          <w:sz w:val="32"/>
          <w:szCs w:val="32"/>
          <w14:textFill>
            <w14:solidFill>
              <w14:schemeClr w14:val="tx1"/>
            </w14:solidFill>
          </w14:textFill>
        </w:rPr>
        <w:t>预算数</w:t>
      </w:r>
      <w:r>
        <w:rPr>
          <w:rFonts w:hint="eastAsia" w:ascii="仿宋_GB2312" w:eastAsia="仿宋_GB2312" w:cs="Arial"/>
          <w:color w:val="000000" w:themeColor="text1"/>
          <w:sz w:val="32"/>
          <w:szCs w:val="32"/>
          <w:lang w:val="en-US" w:eastAsia="zh-CN"/>
          <w14:textFill>
            <w14:solidFill>
              <w14:schemeClr w14:val="tx1"/>
            </w14:solidFill>
          </w14:textFill>
        </w:rPr>
        <w:t>563.08</w:t>
      </w:r>
      <w:r>
        <w:rPr>
          <w:rFonts w:hint="eastAsia" w:ascii="仿宋_GB2312" w:eastAsia="仿宋_GB2312" w:cs="Arial"/>
          <w:color w:val="000000" w:themeColor="text1"/>
          <w:sz w:val="32"/>
          <w:szCs w:val="32"/>
          <w14:textFill>
            <w14:solidFill>
              <w14:schemeClr w14:val="tx1"/>
            </w14:solidFill>
          </w14:textFill>
        </w:rPr>
        <w:t>万元，其中：人员</w:t>
      </w:r>
      <w:r>
        <w:rPr>
          <w:rFonts w:hint="eastAsia" w:ascii="仿宋_GB2312" w:eastAsia="仿宋_GB2312" w:cs="Arial"/>
          <w:color w:val="000000" w:themeColor="text1"/>
          <w:sz w:val="32"/>
          <w:szCs w:val="32"/>
          <w:lang w:val="en-US" w:eastAsia="zh-CN"/>
          <w14:textFill>
            <w14:solidFill>
              <w14:schemeClr w14:val="tx1"/>
            </w14:solidFill>
          </w14:textFill>
        </w:rPr>
        <w:t>经费493.81</w:t>
      </w:r>
      <w:r>
        <w:rPr>
          <w:rFonts w:hint="eastAsia" w:ascii="仿宋_GB2312" w:eastAsia="仿宋_GB2312" w:cs="Arial"/>
          <w:color w:val="000000" w:themeColor="text1"/>
          <w:sz w:val="32"/>
          <w:szCs w:val="32"/>
          <w14:textFill>
            <w14:solidFill>
              <w14:schemeClr w14:val="tx1"/>
            </w14:solidFill>
          </w14:textFill>
        </w:rPr>
        <w:t>万元，公用</w:t>
      </w:r>
      <w:r>
        <w:rPr>
          <w:rFonts w:hint="eastAsia" w:ascii="仿宋_GB2312" w:eastAsia="仿宋_GB2312" w:cs="Arial"/>
          <w:color w:val="000000" w:themeColor="text1"/>
          <w:sz w:val="32"/>
          <w:szCs w:val="32"/>
          <w:lang w:val="en-US" w:eastAsia="zh-CN"/>
          <w14:textFill>
            <w14:solidFill>
              <w14:schemeClr w14:val="tx1"/>
            </w14:solidFill>
          </w14:textFill>
        </w:rPr>
        <w:t>经费69.27</w:t>
      </w:r>
      <w:r>
        <w:rPr>
          <w:rFonts w:hint="eastAsia" w:ascii="仿宋_GB2312" w:eastAsia="仿宋_GB2312" w:cs="Arial"/>
          <w:color w:val="000000" w:themeColor="text1"/>
          <w:sz w:val="32"/>
          <w:szCs w:val="32"/>
          <w14:textFill>
            <w14:solidFill>
              <w14:schemeClr w14:val="tx1"/>
            </w14:solidFill>
          </w14:textFill>
        </w:rPr>
        <w:t>万元</w:t>
      </w:r>
      <w:r>
        <w:rPr>
          <w:rFonts w:hint="eastAsia" w:ascii="仿宋_GB2312" w:eastAsia="仿宋_GB2312" w:cs="Arial"/>
          <w:color w:val="000000" w:themeColor="text1"/>
          <w:sz w:val="32"/>
          <w:szCs w:val="32"/>
          <w:lang w:eastAsia="zh-CN"/>
          <w14:textFill>
            <w14:solidFill>
              <w14:schemeClr w14:val="tx1"/>
            </w14:solidFill>
          </w14:textFill>
        </w:rPr>
        <w:t>；</w:t>
      </w:r>
      <w:r>
        <w:rPr>
          <w:rFonts w:hint="eastAsia" w:ascii="仿宋_GB2312" w:eastAsia="仿宋_GB2312" w:cs="Arial"/>
          <w:color w:val="000000" w:themeColor="text1"/>
          <w:sz w:val="32"/>
          <w:szCs w:val="32"/>
          <w14:textFill>
            <w14:solidFill>
              <w14:schemeClr w14:val="tx1"/>
            </w14:solidFill>
          </w14:textFill>
        </w:rPr>
        <w:t>项目支出</w:t>
      </w:r>
      <w:r>
        <w:rPr>
          <w:rFonts w:hint="eastAsia" w:ascii="仿宋_GB2312" w:eastAsia="仿宋_GB2312" w:cs="Arial"/>
          <w:color w:val="000000" w:themeColor="text1"/>
          <w:sz w:val="32"/>
          <w:szCs w:val="32"/>
          <w:lang w:val="en-US" w:eastAsia="zh-CN"/>
          <w14:textFill>
            <w14:solidFill>
              <w14:schemeClr w14:val="tx1"/>
            </w14:solidFill>
          </w14:textFill>
        </w:rPr>
        <w:t>年初</w:t>
      </w:r>
      <w:r>
        <w:rPr>
          <w:rFonts w:hint="eastAsia" w:ascii="仿宋_GB2312" w:eastAsia="仿宋_GB2312" w:cs="Arial"/>
          <w:color w:val="000000" w:themeColor="text1"/>
          <w:sz w:val="32"/>
          <w:szCs w:val="32"/>
          <w14:textFill>
            <w14:solidFill>
              <w14:schemeClr w14:val="tx1"/>
            </w14:solidFill>
          </w14:textFill>
        </w:rPr>
        <w:t>预算</w:t>
      </w:r>
      <w:r>
        <w:rPr>
          <w:rFonts w:hint="eastAsia" w:ascii="仿宋_GB2312" w:eastAsia="仿宋_GB2312" w:cs="Arial"/>
          <w:color w:val="000000" w:themeColor="text1"/>
          <w:sz w:val="32"/>
          <w:szCs w:val="32"/>
          <w:lang w:val="en-US" w:eastAsia="zh-CN"/>
          <w14:textFill>
            <w14:solidFill>
              <w14:schemeClr w14:val="tx1"/>
            </w14:solidFill>
          </w14:textFill>
        </w:rPr>
        <w:t>数151.5</w:t>
      </w:r>
      <w:r>
        <w:rPr>
          <w:rFonts w:hint="eastAsia" w:ascii="仿宋_GB2312" w:eastAsia="仿宋_GB2312" w:cs="Arial"/>
          <w:color w:val="000000" w:themeColor="text1"/>
          <w:sz w:val="32"/>
          <w:szCs w:val="32"/>
          <w14:textFill>
            <w14:solidFill>
              <w14:schemeClr w14:val="tx1"/>
            </w14:solidFill>
          </w14:textFill>
        </w:rPr>
        <w:t>万元</w:t>
      </w:r>
      <w:r>
        <w:rPr>
          <w:rFonts w:hint="eastAsia" w:ascii="仿宋_GB2312" w:eastAsia="仿宋_GB2312" w:cs="Arial"/>
          <w:color w:val="000000" w:themeColor="text1"/>
          <w:sz w:val="32"/>
          <w:szCs w:val="32"/>
          <w:lang w:eastAsia="zh-CN"/>
          <w14:textFill>
            <w14:solidFill>
              <w14:schemeClr w14:val="tx1"/>
            </w14:solidFill>
          </w14:textFill>
        </w:rPr>
        <w:t>。</w:t>
      </w:r>
    </w:p>
    <w:p w14:paraId="451FFF35">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14:textFill>
            <w14:solidFill>
              <w14:schemeClr w14:val="tx1"/>
            </w14:solidFill>
          </w14:textFill>
        </w:rPr>
        <w:t>202</w:t>
      </w:r>
      <w:r>
        <w:rPr>
          <w:rFonts w:hint="eastAsia" w:ascii="仿宋_GB2312" w:eastAsia="仿宋_GB2312" w:cs="Arial"/>
          <w:color w:val="000000" w:themeColor="text1"/>
          <w:sz w:val="32"/>
          <w:szCs w:val="32"/>
          <w:lang w:val="en-US" w:eastAsia="zh-CN"/>
          <w14:textFill>
            <w14:solidFill>
              <w14:schemeClr w14:val="tx1"/>
            </w14:solidFill>
          </w14:textFill>
        </w:rPr>
        <w:t>3</w:t>
      </w:r>
      <w:r>
        <w:rPr>
          <w:rFonts w:hint="eastAsia" w:ascii="仿宋_GB2312" w:eastAsia="仿宋_GB2312" w:cs="Arial"/>
          <w:color w:val="000000" w:themeColor="text1"/>
          <w:sz w:val="32"/>
          <w:szCs w:val="32"/>
          <w14:textFill>
            <w14:solidFill>
              <w14:schemeClr w14:val="tx1"/>
            </w14:solidFill>
          </w14:textFill>
        </w:rPr>
        <w:t>年基本支出</w:t>
      </w:r>
      <w:r>
        <w:rPr>
          <w:rFonts w:hint="eastAsia" w:ascii="仿宋_GB2312" w:eastAsia="仿宋_GB2312" w:cs="Arial"/>
          <w:color w:val="000000" w:themeColor="text1"/>
          <w:sz w:val="32"/>
          <w:szCs w:val="32"/>
          <w:lang w:val="en-US" w:eastAsia="zh-CN"/>
          <w14:textFill>
            <w14:solidFill>
              <w14:schemeClr w14:val="tx1"/>
            </w14:solidFill>
          </w14:textFill>
        </w:rPr>
        <w:t>全年</w:t>
      </w:r>
      <w:r>
        <w:rPr>
          <w:rFonts w:hint="eastAsia" w:ascii="仿宋_GB2312" w:eastAsia="仿宋_GB2312" w:cs="Arial"/>
          <w:color w:val="000000" w:themeColor="text1"/>
          <w:sz w:val="32"/>
          <w:szCs w:val="32"/>
          <w14:textFill>
            <w14:solidFill>
              <w14:schemeClr w14:val="tx1"/>
            </w14:solidFill>
          </w14:textFill>
        </w:rPr>
        <w:t>预算数</w:t>
      </w:r>
      <w:r>
        <w:rPr>
          <w:rFonts w:hint="eastAsia" w:ascii="仿宋_GB2312" w:eastAsia="仿宋_GB2312" w:cs="Arial"/>
          <w:color w:val="000000" w:themeColor="text1"/>
          <w:sz w:val="32"/>
          <w:szCs w:val="32"/>
          <w:lang w:val="en-US" w:eastAsia="zh-CN"/>
          <w14:textFill>
            <w14:solidFill>
              <w14:schemeClr w14:val="tx1"/>
            </w14:solidFill>
          </w14:textFill>
        </w:rPr>
        <w:t>及决算数560.16</w:t>
      </w:r>
      <w:r>
        <w:rPr>
          <w:rFonts w:hint="eastAsia" w:ascii="仿宋_GB2312" w:eastAsia="仿宋_GB2312" w:cs="Arial"/>
          <w:color w:val="000000" w:themeColor="text1"/>
          <w:sz w:val="32"/>
          <w:szCs w:val="32"/>
          <w14:textFill>
            <w14:solidFill>
              <w14:schemeClr w14:val="tx1"/>
            </w14:solidFill>
          </w14:textFill>
        </w:rPr>
        <w:t>万元，其中：人员</w:t>
      </w:r>
      <w:r>
        <w:rPr>
          <w:rFonts w:hint="eastAsia" w:ascii="仿宋_GB2312" w:eastAsia="仿宋_GB2312" w:cs="Arial"/>
          <w:color w:val="000000" w:themeColor="text1"/>
          <w:sz w:val="32"/>
          <w:szCs w:val="32"/>
          <w:lang w:val="en-US" w:eastAsia="zh-CN"/>
          <w14:textFill>
            <w14:solidFill>
              <w14:schemeClr w14:val="tx1"/>
            </w14:solidFill>
          </w14:textFill>
        </w:rPr>
        <w:t>经费516.27</w:t>
      </w:r>
      <w:r>
        <w:rPr>
          <w:rFonts w:hint="eastAsia" w:ascii="仿宋_GB2312" w:eastAsia="仿宋_GB2312" w:cs="Arial"/>
          <w:color w:val="000000" w:themeColor="text1"/>
          <w:sz w:val="32"/>
          <w:szCs w:val="32"/>
          <w14:textFill>
            <w14:solidFill>
              <w14:schemeClr w14:val="tx1"/>
            </w14:solidFill>
          </w14:textFill>
        </w:rPr>
        <w:t>万元，公用</w:t>
      </w:r>
      <w:r>
        <w:rPr>
          <w:rFonts w:hint="eastAsia" w:ascii="仿宋_GB2312" w:eastAsia="仿宋_GB2312" w:cs="Arial"/>
          <w:color w:val="000000" w:themeColor="text1"/>
          <w:sz w:val="32"/>
          <w:szCs w:val="32"/>
          <w:lang w:val="en-US" w:eastAsia="zh-CN"/>
          <w14:textFill>
            <w14:solidFill>
              <w14:schemeClr w14:val="tx1"/>
            </w14:solidFill>
          </w14:textFill>
        </w:rPr>
        <w:t>经费43.89</w:t>
      </w:r>
      <w:r>
        <w:rPr>
          <w:rFonts w:hint="eastAsia" w:ascii="仿宋_GB2312" w:eastAsia="仿宋_GB2312" w:cs="Arial"/>
          <w:color w:val="000000" w:themeColor="text1"/>
          <w:sz w:val="32"/>
          <w:szCs w:val="32"/>
          <w14:textFill>
            <w14:solidFill>
              <w14:schemeClr w14:val="tx1"/>
            </w14:solidFill>
          </w14:textFill>
        </w:rPr>
        <w:t>万元。项目支出</w:t>
      </w:r>
      <w:r>
        <w:rPr>
          <w:rFonts w:hint="eastAsia" w:ascii="仿宋_GB2312" w:eastAsia="仿宋_GB2312" w:cs="Arial"/>
          <w:color w:val="000000" w:themeColor="text1"/>
          <w:sz w:val="32"/>
          <w:szCs w:val="32"/>
          <w:lang w:val="en-US" w:eastAsia="zh-CN"/>
          <w14:textFill>
            <w14:solidFill>
              <w14:schemeClr w14:val="tx1"/>
            </w14:solidFill>
          </w14:textFill>
        </w:rPr>
        <w:t>全年</w:t>
      </w:r>
      <w:r>
        <w:rPr>
          <w:rFonts w:hint="eastAsia" w:ascii="仿宋_GB2312" w:eastAsia="仿宋_GB2312" w:cs="Arial"/>
          <w:color w:val="000000" w:themeColor="text1"/>
          <w:sz w:val="32"/>
          <w:szCs w:val="32"/>
          <w14:textFill>
            <w14:solidFill>
              <w14:schemeClr w14:val="tx1"/>
            </w14:solidFill>
          </w14:textFill>
        </w:rPr>
        <w:t>预算</w:t>
      </w:r>
      <w:r>
        <w:rPr>
          <w:rFonts w:hint="eastAsia" w:ascii="仿宋_GB2312" w:eastAsia="仿宋_GB2312" w:cs="Arial"/>
          <w:color w:val="000000" w:themeColor="text1"/>
          <w:sz w:val="32"/>
          <w:szCs w:val="32"/>
          <w:lang w:val="en-US" w:eastAsia="zh-CN"/>
          <w14:textFill>
            <w14:solidFill>
              <w14:schemeClr w14:val="tx1"/>
            </w14:solidFill>
          </w14:textFill>
        </w:rPr>
        <w:t>数及决算数308.64</w:t>
      </w:r>
      <w:r>
        <w:rPr>
          <w:rFonts w:hint="eastAsia" w:ascii="仿宋_GB2312" w:eastAsia="仿宋_GB2312" w:cs="Arial"/>
          <w:color w:val="000000" w:themeColor="text1"/>
          <w:sz w:val="32"/>
          <w:szCs w:val="32"/>
          <w14:textFill>
            <w14:solidFill>
              <w14:schemeClr w14:val="tx1"/>
            </w14:solidFill>
          </w14:textFill>
        </w:rPr>
        <w:t>万元</w:t>
      </w:r>
      <w:r>
        <w:rPr>
          <w:rFonts w:hint="eastAsia" w:ascii="仿宋_GB2312" w:eastAsia="仿宋_GB2312" w:cs="Arial"/>
          <w:color w:val="000000" w:themeColor="text1"/>
          <w:sz w:val="32"/>
          <w:szCs w:val="32"/>
          <w:lang w:eastAsia="zh-CN"/>
          <w14:textFill>
            <w14:solidFill>
              <w14:schemeClr w14:val="tx1"/>
            </w14:solidFill>
          </w14:textFill>
        </w:rPr>
        <w:t>。</w:t>
      </w:r>
      <w:r>
        <w:rPr>
          <w:rFonts w:hint="eastAsia" w:ascii="仿宋_GB2312" w:eastAsia="仿宋_GB2312" w:cs="Arial"/>
          <w:color w:val="000000" w:themeColor="text1"/>
          <w:sz w:val="32"/>
          <w:szCs w:val="32"/>
          <w14:textFill>
            <w14:solidFill>
              <w14:schemeClr w14:val="tx1"/>
            </w14:solidFill>
          </w14:textFill>
        </w:rPr>
        <w:t>包括202</w:t>
      </w:r>
      <w:r>
        <w:rPr>
          <w:rFonts w:hint="eastAsia" w:ascii="仿宋_GB2312" w:eastAsia="仿宋_GB2312" w:cs="Arial"/>
          <w:color w:val="000000" w:themeColor="text1"/>
          <w:sz w:val="32"/>
          <w:szCs w:val="32"/>
          <w:lang w:val="en-US" w:eastAsia="zh-CN"/>
          <w14:textFill>
            <w14:solidFill>
              <w14:schemeClr w14:val="tx1"/>
            </w14:solidFill>
          </w14:textFill>
        </w:rPr>
        <w:t>3</w:t>
      </w:r>
      <w:r>
        <w:rPr>
          <w:rFonts w:hint="eastAsia" w:ascii="仿宋_GB2312" w:eastAsia="仿宋_GB2312" w:cs="Arial"/>
          <w:color w:val="000000" w:themeColor="text1"/>
          <w:sz w:val="32"/>
          <w:szCs w:val="32"/>
          <w14:textFill>
            <w14:solidFill>
              <w14:schemeClr w14:val="tx1"/>
            </w14:solidFill>
          </w14:textFill>
        </w:rPr>
        <w:t>年宣传</w:t>
      </w:r>
      <w:r>
        <w:rPr>
          <w:rFonts w:hint="eastAsia" w:ascii="仿宋_GB2312" w:eastAsia="仿宋_GB2312" w:cs="Arial"/>
          <w:color w:val="000000" w:themeColor="text1"/>
          <w:sz w:val="32"/>
          <w:szCs w:val="32"/>
          <w:lang w:val="en-US" w:eastAsia="zh-CN"/>
          <w14:textFill>
            <w14:solidFill>
              <w14:schemeClr w14:val="tx1"/>
            </w14:solidFill>
          </w14:textFill>
        </w:rPr>
        <w:t>教育</w:t>
      </w:r>
      <w:r>
        <w:rPr>
          <w:rFonts w:hint="eastAsia" w:ascii="仿宋_GB2312" w:eastAsia="仿宋_GB2312" w:cs="Arial"/>
          <w:color w:val="000000" w:themeColor="text1"/>
          <w:sz w:val="32"/>
          <w:szCs w:val="32"/>
          <w14:textFill>
            <w14:solidFill>
              <w14:schemeClr w14:val="tx1"/>
            </w14:solidFill>
          </w14:textFill>
        </w:rPr>
        <w:t>、</w:t>
      </w:r>
      <w:r>
        <w:rPr>
          <w:rFonts w:hint="eastAsia" w:ascii="仿宋_GB2312" w:eastAsia="仿宋_GB2312" w:cs="Arial"/>
          <w:color w:val="000000" w:themeColor="text1"/>
          <w:sz w:val="32"/>
          <w:szCs w:val="32"/>
          <w:lang w:val="en-US" w:eastAsia="zh-CN"/>
          <w14:textFill>
            <w14:solidFill>
              <w14:schemeClr w14:val="tx1"/>
            </w14:solidFill>
          </w14:textFill>
        </w:rPr>
        <w:t>房屋租赁费</w:t>
      </w:r>
      <w:r>
        <w:rPr>
          <w:rFonts w:hint="eastAsia" w:ascii="仿宋_GB2312" w:eastAsia="仿宋_GB2312" w:cs="Arial"/>
          <w:color w:val="000000" w:themeColor="text1"/>
          <w:sz w:val="32"/>
          <w:szCs w:val="32"/>
          <w14:textFill>
            <w14:solidFill>
              <w14:schemeClr w14:val="tx1"/>
            </w14:solidFill>
          </w14:textFill>
        </w:rPr>
        <w:t>、</w:t>
      </w:r>
      <w:r>
        <w:rPr>
          <w:rFonts w:hint="eastAsia" w:ascii="仿宋_GB2312" w:eastAsia="仿宋_GB2312" w:cs="Arial"/>
          <w:color w:val="000000" w:themeColor="text1"/>
          <w:sz w:val="32"/>
          <w:szCs w:val="32"/>
          <w:lang w:val="en-US" w:eastAsia="zh-CN"/>
          <w14:textFill>
            <w14:solidFill>
              <w14:schemeClr w14:val="tx1"/>
            </w14:solidFill>
          </w14:textFill>
        </w:rPr>
        <w:t>聘请法律顾问、大熊猫保护保障工作经费、卧龙体制改革经费</w:t>
      </w:r>
      <w:r>
        <w:rPr>
          <w:rFonts w:hint="eastAsia" w:ascii="仿宋_GB2312" w:eastAsia="仿宋_GB2312" w:cs="Arial"/>
          <w:color w:val="000000" w:themeColor="text1"/>
          <w:sz w:val="32"/>
          <w:szCs w:val="32"/>
          <w14:textFill>
            <w14:solidFill>
              <w14:schemeClr w14:val="tx1"/>
            </w14:solidFill>
          </w14:textFill>
        </w:rPr>
        <w:t>等</w:t>
      </w:r>
      <w:r>
        <w:rPr>
          <w:rFonts w:hint="eastAsia" w:ascii="仿宋_GB2312" w:eastAsia="仿宋_GB2312" w:cs="Arial"/>
          <w:color w:val="000000" w:themeColor="text1"/>
          <w:sz w:val="32"/>
          <w:szCs w:val="32"/>
          <w:lang w:val="en-US" w:eastAsia="zh-CN"/>
          <w14:textFill>
            <w14:solidFill>
              <w14:schemeClr w14:val="tx1"/>
            </w14:solidFill>
          </w14:textFill>
        </w:rPr>
        <w:t>年初预算项目</w:t>
      </w:r>
      <w:r>
        <w:rPr>
          <w:rFonts w:hint="eastAsia" w:ascii="仿宋_GB2312" w:eastAsia="仿宋_GB2312" w:cs="Arial"/>
          <w:color w:val="000000" w:themeColor="text1"/>
          <w:sz w:val="32"/>
          <w:szCs w:val="32"/>
          <w14:textFill>
            <w14:solidFill>
              <w14:schemeClr w14:val="tx1"/>
            </w14:solidFill>
          </w14:textFill>
        </w:rPr>
        <w:t>。</w:t>
      </w:r>
      <w:r>
        <w:rPr>
          <w:rFonts w:hint="eastAsia" w:ascii="仿宋_GB2312" w:eastAsia="仿宋_GB2312" w:cs="Arial"/>
          <w:color w:val="000000" w:themeColor="text1"/>
          <w:sz w:val="32"/>
          <w:szCs w:val="32"/>
          <w:lang w:val="en-US" w:eastAsia="zh-CN"/>
          <w14:textFill>
            <w14:solidFill>
              <w14:schemeClr w14:val="tx1"/>
            </w14:solidFill>
          </w14:textFill>
        </w:rPr>
        <w:t>项目预算数和决算数差异较大原因为2023年4月新增中央财政林业草原生态保护恢复资金--雪豹调查监测项目经费286万元（2023年已支付项目资金60%，剩余40%于2024年10月支付）；2023年8月新增省级财政林业草原生态保护恢复资金--巡护终端采购项目经费50万元（因两次流标，结转到2024年继续实施）。</w:t>
      </w:r>
    </w:p>
    <w:p w14:paraId="6951F466">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14:textFill>
            <w14:solidFill>
              <w14:schemeClr w14:val="tx1"/>
            </w14:solidFill>
          </w14:textFill>
        </w:rPr>
        <w:t>“三公经费”情况：202</w:t>
      </w:r>
      <w:r>
        <w:rPr>
          <w:rFonts w:hint="eastAsia" w:ascii="仿宋_GB2312" w:eastAsia="仿宋_GB2312" w:cs="Arial"/>
          <w:color w:val="000000" w:themeColor="text1"/>
          <w:sz w:val="32"/>
          <w:szCs w:val="32"/>
          <w:lang w:val="en-US" w:eastAsia="zh-CN"/>
          <w14:textFill>
            <w14:solidFill>
              <w14:schemeClr w14:val="tx1"/>
            </w14:solidFill>
          </w14:textFill>
        </w:rPr>
        <w:t>2</w:t>
      </w:r>
      <w:r>
        <w:rPr>
          <w:rFonts w:hint="eastAsia" w:ascii="仿宋_GB2312" w:eastAsia="仿宋_GB2312" w:cs="Arial"/>
          <w:color w:val="000000" w:themeColor="text1"/>
          <w:sz w:val="32"/>
          <w:szCs w:val="32"/>
          <w14:textFill>
            <w14:solidFill>
              <w14:schemeClr w14:val="tx1"/>
            </w14:solidFill>
          </w14:textFill>
        </w:rPr>
        <w:t>年和202</w:t>
      </w:r>
      <w:r>
        <w:rPr>
          <w:rFonts w:hint="eastAsia" w:ascii="仿宋_GB2312" w:eastAsia="仿宋_GB2312" w:cs="Arial"/>
          <w:color w:val="000000" w:themeColor="text1"/>
          <w:sz w:val="32"/>
          <w:szCs w:val="32"/>
          <w:lang w:val="en-US" w:eastAsia="zh-CN"/>
          <w14:textFill>
            <w14:solidFill>
              <w14:schemeClr w14:val="tx1"/>
            </w14:solidFill>
          </w14:textFill>
        </w:rPr>
        <w:t>3</w:t>
      </w:r>
      <w:r>
        <w:rPr>
          <w:rFonts w:hint="eastAsia" w:ascii="仿宋_GB2312" w:eastAsia="仿宋_GB2312" w:cs="Arial"/>
          <w:color w:val="000000" w:themeColor="text1"/>
          <w:sz w:val="32"/>
          <w:szCs w:val="32"/>
          <w14:textFill>
            <w14:solidFill>
              <w14:schemeClr w14:val="tx1"/>
            </w14:solidFill>
          </w14:textFill>
        </w:rPr>
        <w:t>年我局都无公务出境</w:t>
      </w:r>
      <w:r>
        <w:rPr>
          <w:rFonts w:hint="eastAsia" w:ascii="仿宋_GB2312" w:eastAsia="仿宋_GB2312" w:cs="Arial"/>
          <w:color w:val="000000" w:themeColor="text1"/>
          <w:sz w:val="32"/>
          <w:szCs w:val="32"/>
          <w:lang w:val="en-US" w:eastAsia="zh-CN"/>
          <w14:textFill>
            <w14:solidFill>
              <w14:schemeClr w14:val="tx1"/>
            </w14:solidFill>
          </w14:textFill>
        </w:rPr>
        <w:t>支出</w:t>
      </w:r>
      <w:r>
        <w:rPr>
          <w:rFonts w:hint="eastAsia" w:ascii="仿宋_GB2312" w:eastAsia="仿宋_GB2312" w:cs="Arial"/>
          <w:color w:val="000000" w:themeColor="text1"/>
          <w:sz w:val="32"/>
          <w:szCs w:val="32"/>
          <w14:textFill>
            <w14:solidFill>
              <w14:schemeClr w14:val="tx1"/>
            </w14:solidFill>
          </w14:textFill>
        </w:rPr>
        <w:t>。</w:t>
      </w:r>
      <w:r>
        <w:rPr>
          <w:rFonts w:hint="eastAsia" w:ascii="仿宋_GB2312" w:eastAsia="仿宋_GB2312" w:cs="Arial"/>
          <w:color w:val="000000" w:themeColor="text1"/>
          <w:sz w:val="32"/>
          <w:szCs w:val="32"/>
          <w:lang w:val="en-US" w:eastAsia="zh-CN"/>
          <w14:textFill>
            <w14:solidFill>
              <w14:schemeClr w14:val="tx1"/>
            </w14:solidFill>
          </w14:textFill>
        </w:rPr>
        <w:t>2022年无</w:t>
      </w:r>
      <w:r>
        <w:rPr>
          <w:rFonts w:hint="eastAsia" w:ascii="仿宋_GB2312" w:eastAsia="仿宋_GB2312" w:cs="Arial"/>
          <w:color w:val="000000" w:themeColor="text1"/>
          <w:sz w:val="32"/>
          <w:szCs w:val="32"/>
          <w14:textFill>
            <w14:solidFill>
              <w14:schemeClr w14:val="tx1"/>
            </w14:solidFill>
          </w14:textFill>
        </w:rPr>
        <w:t>公务接待费支出，</w:t>
      </w:r>
      <w:r>
        <w:rPr>
          <w:rFonts w:hint="eastAsia" w:ascii="仿宋_GB2312" w:eastAsia="仿宋_GB2312" w:cs="Arial"/>
          <w:color w:val="000000" w:themeColor="text1"/>
          <w:sz w:val="32"/>
          <w:szCs w:val="32"/>
          <w:lang w:val="en-US" w:eastAsia="zh-CN"/>
          <w14:textFill>
            <w14:solidFill>
              <w14:schemeClr w14:val="tx1"/>
            </w14:solidFill>
          </w14:textFill>
        </w:rPr>
        <w:t>2023年公务接待费支出0.096万元，</w:t>
      </w:r>
      <w:r>
        <w:rPr>
          <w:rFonts w:hint="eastAsia" w:ascii="仿宋_GB2312" w:eastAsia="仿宋_GB2312" w:cs="Arial"/>
          <w:color w:val="000000" w:themeColor="text1"/>
          <w:sz w:val="32"/>
          <w:szCs w:val="32"/>
          <w14:textFill>
            <w14:solidFill>
              <w14:schemeClr w14:val="tx1"/>
            </w14:solidFill>
          </w14:textFill>
        </w:rPr>
        <w:t>较上年</w:t>
      </w:r>
      <w:r>
        <w:rPr>
          <w:rFonts w:hint="eastAsia" w:ascii="仿宋_GB2312" w:eastAsia="仿宋_GB2312" w:cs="Arial"/>
          <w:color w:val="000000" w:themeColor="text1"/>
          <w:sz w:val="32"/>
          <w:szCs w:val="32"/>
          <w:lang w:val="en-US" w:eastAsia="zh-CN"/>
          <w14:textFill>
            <w14:solidFill>
              <w14:schemeClr w14:val="tx1"/>
            </w14:solidFill>
          </w14:textFill>
        </w:rPr>
        <w:t>增长0.096</w:t>
      </w:r>
      <w:r>
        <w:rPr>
          <w:rFonts w:hint="eastAsia" w:ascii="仿宋_GB2312" w:eastAsia="仿宋_GB2312" w:cs="Arial"/>
          <w:color w:val="000000" w:themeColor="text1"/>
          <w:sz w:val="32"/>
          <w:szCs w:val="32"/>
          <w14:textFill>
            <w14:solidFill>
              <w14:schemeClr w14:val="tx1"/>
            </w14:solidFill>
          </w14:textFill>
        </w:rPr>
        <w:t>万元。</w:t>
      </w:r>
      <w:r>
        <w:rPr>
          <w:rFonts w:hint="eastAsia" w:ascii="仿宋_GB2312" w:eastAsia="仿宋_GB2312" w:cs="Arial"/>
          <w:color w:val="000000" w:themeColor="text1"/>
          <w:sz w:val="32"/>
          <w:szCs w:val="32"/>
          <w:lang w:val="en-US" w:eastAsia="zh-CN"/>
          <w14:textFill>
            <w14:solidFill>
              <w14:schemeClr w14:val="tx1"/>
            </w14:solidFill>
          </w14:textFill>
        </w:rPr>
        <w:t>2022年</w:t>
      </w:r>
      <w:r>
        <w:rPr>
          <w:rFonts w:hint="eastAsia" w:ascii="仿宋_GB2312" w:eastAsia="仿宋_GB2312" w:cs="Arial"/>
          <w:color w:val="000000" w:themeColor="text1"/>
          <w:sz w:val="32"/>
          <w:szCs w:val="32"/>
          <w14:textFill>
            <w14:solidFill>
              <w14:schemeClr w14:val="tx1"/>
            </w14:solidFill>
          </w14:textFill>
        </w:rPr>
        <w:t>公务用车购置及运行维护费</w:t>
      </w:r>
      <w:r>
        <w:rPr>
          <w:rFonts w:hint="eastAsia" w:ascii="仿宋_GB2312" w:eastAsia="仿宋_GB2312" w:cs="Arial"/>
          <w:color w:val="000000" w:themeColor="text1"/>
          <w:sz w:val="32"/>
          <w:szCs w:val="32"/>
          <w:lang w:val="en-US" w:eastAsia="zh-CN"/>
          <w14:textFill>
            <w14:solidFill>
              <w14:schemeClr w14:val="tx1"/>
            </w14:solidFill>
          </w14:textFill>
        </w:rPr>
        <w:t>15.44</w:t>
      </w:r>
      <w:r>
        <w:rPr>
          <w:rFonts w:hint="eastAsia" w:ascii="仿宋_GB2312" w:eastAsia="仿宋_GB2312" w:cs="Arial"/>
          <w:color w:val="000000" w:themeColor="text1"/>
          <w:sz w:val="32"/>
          <w:szCs w:val="32"/>
          <w14:textFill>
            <w14:solidFill>
              <w14:schemeClr w14:val="tx1"/>
            </w14:solidFill>
          </w14:textFill>
        </w:rPr>
        <w:t>万元，</w:t>
      </w:r>
      <w:r>
        <w:rPr>
          <w:rFonts w:hint="eastAsia" w:ascii="仿宋_GB2312" w:eastAsia="仿宋_GB2312" w:cs="Arial"/>
          <w:color w:val="000000" w:themeColor="text1"/>
          <w:sz w:val="32"/>
          <w:szCs w:val="32"/>
          <w:lang w:val="en-US" w:eastAsia="zh-CN"/>
          <w14:textFill>
            <w14:solidFill>
              <w14:schemeClr w14:val="tx1"/>
            </w14:solidFill>
          </w14:textFill>
        </w:rPr>
        <w:t>2023年</w:t>
      </w:r>
      <w:r>
        <w:rPr>
          <w:rFonts w:hint="eastAsia" w:ascii="仿宋_GB2312" w:eastAsia="仿宋_GB2312" w:cs="Arial"/>
          <w:color w:val="000000" w:themeColor="text1"/>
          <w:sz w:val="32"/>
          <w:szCs w:val="32"/>
          <w14:textFill>
            <w14:solidFill>
              <w14:schemeClr w14:val="tx1"/>
            </w14:solidFill>
          </w14:textFill>
        </w:rPr>
        <w:t>公务用车购置及运行维护费</w:t>
      </w:r>
      <w:r>
        <w:rPr>
          <w:rFonts w:hint="eastAsia" w:ascii="仿宋_GB2312" w:eastAsia="仿宋_GB2312" w:cs="Arial"/>
          <w:color w:val="000000" w:themeColor="text1"/>
          <w:sz w:val="32"/>
          <w:szCs w:val="32"/>
          <w:lang w:val="en-US" w:eastAsia="zh-CN"/>
          <w14:textFill>
            <w14:solidFill>
              <w14:schemeClr w14:val="tx1"/>
            </w14:solidFill>
          </w14:textFill>
        </w:rPr>
        <w:t>17.27万元，</w:t>
      </w:r>
      <w:r>
        <w:rPr>
          <w:rFonts w:hint="eastAsia" w:ascii="仿宋_GB2312" w:eastAsia="仿宋_GB2312" w:cs="Arial"/>
          <w:color w:val="000000" w:themeColor="text1"/>
          <w:sz w:val="32"/>
          <w:szCs w:val="32"/>
          <w14:textFill>
            <w14:solidFill>
              <w14:schemeClr w14:val="tx1"/>
            </w14:solidFill>
          </w14:textFill>
        </w:rPr>
        <w:t>同比上年度</w:t>
      </w:r>
      <w:r>
        <w:rPr>
          <w:rFonts w:hint="eastAsia" w:ascii="仿宋_GB2312" w:eastAsia="仿宋_GB2312" w:cs="Arial"/>
          <w:color w:val="000000" w:themeColor="text1"/>
          <w:sz w:val="32"/>
          <w:szCs w:val="32"/>
          <w:lang w:val="en-US" w:eastAsia="zh-CN"/>
          <w14:textFill>
            <w14:solidFill>
              <w14:schemeClr w14:val="tx1"/>
            </w14:solidFill>
          </w14:textFill>
        </w:rPr>
        <w:t>增长1.83</w:t>
      </w:r>
      <w:r>
        <w:rPr>
          <w:rFonts w:hint="eastAsia" w:ascii="仿宋_GB2312" w:eastAsia="仿宋_GB2312" w:cs="Arial"/>
          <w:color w:val="000000" w:themeColor="text1"/>
          <w:sz w:val="32"/>
          <w:szCs w:val="32"/>
          <w14:textFill>
            <w14:solidFill>
              <w14:schemeClr w14:val="tx1"/>
            </w14:solidFill>
          </w14:textFill>
        </w:rPr>
        <w:t>万元，</w:t>
      </w:r>
      <w:r>
        <w:rPr>
          <w:rFonts w:hint="eastAsia" w:ascii="仿宋_GB2312" w:eastAsia="仿宋_GB2312" w:cs="Arial"/>
          <w:color w:val="000000" w:themeColor="text1"/>
          <w:sz w:val="32"/>
          <w:szCs w:val="32"/>
          <w:lang w:val="en-US" w:eastAsia="zh-CN"/>
          <w14:textFill>
            <w14:solidFill>
              <w14:schemeClr w14:val="tx1"/>
            </w14:solidFill>
          </w14:textFill>
        </w:rPr>
        <w:t>原因为下四县管理总结检查督导工作较多，故增加公车运行费支出。</w:t>
      </w:r>
    </w:p>
    <w:p w14:paraId="1E5864CD">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仿宋_GB2312" w:eastAsia="仿宋_GB2312" w:cs="Arial"/>
          <w:color w:val="000000" w:themeColor="text1"/>
          <w:sz w:val="32"/>
          <w:szCs w:val="32"/>
          <w:lang w:val="zh-CN" w:eastAsia="zh-CN"/>
          <w14:textFill>
            <w14:solidFill>
              <w14:schemeClr w14:val="tx1"/>
            </w14:solidFill>
          </w14:textFill>
        </w:rPr>
      </w:pPr>
      <w:r>
        <w:rPr>
          <w:rFonts w:hint="default" w:ascii="仿宋_GB2312" w:eastAsia="仿宋_GB2312" w:cs="Arial"/>
          <w:color w:val="000000" w:themeColor="text1"/>
          <w:sz w:val="32"/>
          <w:szCs w:val="32"/>
          <w14:textFill>
            <w14:solidFill>
              <w14:schemeClr w14:val="tx1"/>
            </w14:solidFill>
          </w14:textFill>
        </w:rPr>
        <w:t>结余分配和结转结余情况</w:t>
      </w:r>
      <w:r>
        <w:rPr>
          <w:rFonts w:hint="eastAsia" w:ascii="仿宋_GB2312" w:eastAsia="仿宋_GB2312" w:cs="Arial"/>
          <w:color w:val="000000" w:themeColor="text1"/>
          <w:sz w:val="32"/>
          <w:szCs w:val="32"/>
          <w:lang w:eastAsia="zh-CN"/>
          <w14:textFill>
            <w14:solidFill>
              <w14:schemeClr w14:val="tx1"/>
            </w14:solidFill>
          </w14:textFill>
        </w:rPr>
        <w:t>。</w:t>
      </w:r>
      <w:r>
        <w:rPr>
          <w:rFonts w:hint="eastAsia" w:ascii="仿宋_GB2312" w:eastAsia="仿宋_GB2312" w:cs="Arial"/>
          <w:color w:val="000000" w:themeColor="text1"/>
          <w:sz w:val="32"/>
          <w:szCs w:val="32"/>
          <w:lang w:val="en-US" w:eastAsia="zh-CN"/>
          <w14:textFill>
            <w14:solidFill>
              <w14:schemeClr w14:val="tx1"/>
            </w14:solidFill>
          </w14:textFill>
        </w:rPr>
        <w:t>2023年决算报表</w:t>
      </w:r>
      <w:r>
        <w:rPr>
          <w:rFonts w:hint="default" w:ascii="仿宋_GB2312" w:eastAsia="仿宋_GB2312" w:cs="Arial"/>
          <w:color w:val="000000" w:themeColor="text1"/>
          <w:sz w:val="32"/>
          <w:szCs w:val="32"/>
          <w:lang w:val="en-US" w:eastAsia="zh-CN"/>
          <w14:textFill>
            <w14:solidFill>
              <w14:schemeClr w14:val="tx1"/>
            </w14:solidFill>
          </w14:textFill>
        </w:rPr>
        <w:t>结转结余</w:t>
      </w:r>
      <w:r>
        <w:rPr>
          <w:rFonts w:hint="eastAsia" w:ascii="仿宋_GB2312" w:eastAsia="仿宋_GB2312" w:cs="Arial"/>
          <w:color w:val="000000" w:themeColor="text1"/>
          <w:sz w:val="32"/>
          <w:szCs w:val="32"/>
          <w:lang w:val="en-US" w:eastAsia="zh-CN"/>
          <w14:textFill>
            <w14:solidFill>
              <w14:schemeClr w14:val="tx1"/>
            </w14:solidFill>
          </w14:textFill>
        </w:rPr>
        <w:t>情况</w:t>
      </w:r>
      <w:r>
        <w:rPr>
          <w:rFonts w:hint="eastAsia" w:ascii="仿宋_GB2312" w:cs="Arial"/>
          <w:color w:val="000000" w:themeColor="text1"/>
          <w:sz w:val="32"/>
          <w:szCs w:val="32"/>
          <w:lang w:val="en-US" w:eastAsia="zh-CN"/>
          <w14:textFill>
            <w14:solidFill>
              <w14:schemeClr w14:val="tx1"/>
            </w14:solidFill>
          </w14:textFill>
        </w:rPr>
        <w:t>，决算时无结转结余资金，11月财政三项清理时收回需在2024年继续实施项目资金和部分项目低效</w:t>
      </w:r>
      <w:bookmarkStart w:id="1" w:name="_GoBack"/>
      <w:bookmarkEnd w:id="1"/>
      <w:r>
        <w:rPr>
          <w:rFonts w:hint="eastAsia" w:ascii="仿宋_GB2312" w:cs="Arial"/>
          <w:color w:val="000000" w:themeColor="text1"/>
          <w:sz w:val="32"/>
          <w:szCs w:val="32"/>
          <w:lang w:val="en-US" w:eastAsia="zh-CN"/>
          <w14:textFill>
            <w14:solidFill>
              <w14:schemeClr w14:val="tx1"/>
            </w14:solidFill>
          </w14:textFill>
        </w:rPr>
        <w:t>资金</w:t>
      </w:r>
      <w:r>
        <w:rPr>
          <w:rFonts w:hint="default" w:ascii="仿宋_GB2312" w:eastAsia="仿宋_GB2312" w:cs="Arial"/>
          <w:color w:val="000000" w:themeColor="text1"/>
          <w:sz w:val="32"/>
          <w:szCs w:val="32"/>
          <w:lang w:val="en-US" w:eastAsia="zh-CN"/>
          <w14:textFill>
            <w14:solidFill>
              <w14:schemeClr w14:val="tx1"/>
            </w14:solidFill>
          </w14:textFill>
        </w:rPr>
        <w:t>。</w:t>
      </w:r>
    </w:p>
    <w:p w14:paraId="1872A5AF">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三、部门</w:t>
      </w:r>
      <w:r>
        <w:rPr>
          <w:rFonts w:hint="eastAsia" w:ascii="黑体" w:hAnsi="黑体" w:eastAsia="黑体" w:cs="黑体"/>
          <w:color w:val="000000" w:themeColor="text1"/>
          <w:sz w:val="32"/>
          <w:szCs w:val="32"/>
          <w:lang w:eastAsia="zh-CN"/>
          <w14:textFill>
            <w14:solidFill>
              <w14:schemeClr w14:val="tx1"/>
            </w14:solidFill>
          </w14:textFill>
        </w:rPr>
        <w:t>预算</w:t>
      </w:r>
      <w:r>
        <w:rPr>
          <w:rFonts w:hint="eastAsia" w:ascii="黑体" w:hAnsi="黑体" w:eastAsia="黑体" w:cs="黑体"/>
          <w:color w:val="000000" w:themeColor="text1"/>
          <w:sz w:val="32"/>
          <w:szCs w:val="32"/>
          <w14:textFill>
            <w14:solidFill>
              <w14:schemeClr w14:val="tx1"/>
            </w14:solidFill>
          </w14:textFill>
        </w:rPr>
        <w:t>绩效</w:t>
      </w:r>
      <w:r>
        <w:rPr>
          <w:rFonts w:hint="eastAsia" w:ascii="黑体" w:hAnsi="黑体" w:eastAsia="黑体" w:cs="黑体"/>
          <w:color w:val="000000" w:themeColor="text1"/>
          <w:sz w:val="32"/>
          <w:szCs w:val="32"/>
          <w:lang w:eastAsia="zh-CN"/>
          <w14:textFill>
            <w14:solidFill>
              <w14:schemeClr w14:val="tx1"/>
            </w14:solidFill>
          </w14:textFill>
        </w:rPr>
        <w:t>分析</w:t>
      </w:r>
    </w:p>
    <w:p w14:paraId="2CA9A853">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default" w:ascii="仿宋_GB2312" w:eastAsia="仿宋_GB2312" w:cs="Arial"/>
          <w:color w:val="000000" w:themeColor="text1"/>
          <w:sz w:val="32"/>
          <w:szCs w:val="32"/>
          <w:lang w:val="zh-CN"/>
          <w14:textFill>
            <w14:solidFill>
              <w14:schemeClr w14:val="tx1"/>
            </w14:solidFill>
          </w14:textFill>
        </w:rPr>
      </w:pPr>
      <w:r>
        <w:rPr>
          <w:rFonts w:hint="eastAsia" w:ascii="楷体_GB2312" w:hAnsi="楷体_GB2312" w:eastAsia="楷体_GB2312" w:cs="楷体_GB2312"/>
          <w:b/>
          <w:bCs/>
          <w:color w:val="000000" w:themeColor="text1"/>
          <w:sz w:val="32"/>
          <w:szCs w:val="32"/>
          <w:lang w:val="zh-CN"/>
          <w14:textFill>
            <w14:solidFill>
              <w14:schemeClr w14:val="tx1"/>
            </w14:solidFill>
          </w14:textFill>
        </w:rPr>
        <w:t>（一）部门预算总体绩效分析。</w:t>
      </w:r>
      <w:r>
        <w:rPr>
          <w:rFonts w:hint="default" w:ascii="仿宋_GB2312" w:eastAsia="仿宋_GB2312" w:cs="Arial"/>
          <w:color w:val="000000" w:themeColor="text1"/>
          <w:sz w:val="32"/>
          <w:szCs w:val="32"/>
          <w:lang w:val="zh-CN"/>
          <w14:textFill>
            <w14:solidFill>
              <w14:schemeClr w14:val="tx1"/>
            </w14:solidFill>
          </w14:textFill>
        </w:rPr>
        <w:t>根据部门预算绩效评价指标体系“总体绩效”涉及</w:t>
      </w:r>
      <w:r>
        <w:rPr>
          <w:rFonts w:hint="eastAsia" w:ascii="仿宋_GB2312" w:eastAsia="仿宋_GB2312" w:cs="Arial"/>
          <w:color w:val="000000" w:themeColor="text1"/>
          <w:sz w:val="32"/>
          <w:szCs w:val="32"/>
          <w:lang w:val="zh-CN"/>
          <w14:textFill>
            <w14:solidFill>
              <w14:schemeClr w14:val="tx1"/>
            </w14:solidFill>
          </w14:textFill>
        </w:rPr>
        <w:t>二、三级</w:t>
      </w:r>
      <w:r>
        <w:rPr>
          <w:rFonts w:hint="default" w:ascii="仿宋_GB2312" w:eastAsia="仿宋_GB2312" w:cs="Arial"/>
          <w:color w:val="000000" w:themeColor="text1"/>
          <w:sz w:val="32"/>
          <w:szCs w:val="32"/>
          <w:lang w:val="zh-CN"/>
          <w14:textFill>
            <w14:solidFill>
              <w14:schemeClr w14:val="tx1"/>
            </w14:solidFill>
          </w14:textFill>
        </w:rPr>
        <w:t>指标进行</w:t>
      </w:r>
      <w:r>
        <w:rPr>
          <w:rFonts w:hint="eastAsia" w:ascii="仿宋_GB2312" w:eastAsia="仿宋_GB2312" w:cs="Arial"/>
          <w:color w:val="000000" w:themeColor="text1"/>
          <w:sz w:val="32"/>
          <w:szCs w:val="32"/>
          <w:lang w:val="zh-CN"/>
          <w14:textFill>
            <w14:solidFill>
              <w14:schemeClr w14:val="tx1"/>
            </w14:solidFill>
          </w14:textFill>
        </w:rPr>
        <w:t>逐项</w:t>
      </w:r>
      <w:r>
        <w:rPr>
          <w:rFonts w:hint="default" w:ascii="仿宋_GB2312" w:eastAsia="仿宋_GB2312" w:cs="Arial"/>
          <w:color w:val="000000" w:themeColor="text1"/>
          <w:sz w:val="32"/>
          <w:szCs w:val="32"/>
          <w:lang w:val="zh-CN"/>
          <w14:textFill>
            <w14:solidFill>
              <w14:schemeClr w14:val="tx1"/>
            </w14:solidFill>
          </w14:textFill>
        </w:rPr>
        <w:t>绩效分析</w:t>
      </w:r>
      <w:r>
        <w:rPr>
          <w:rFonts w:hint="eastAsia" w:ascii="仿宋_GB2312" w:eastAsia="仿宋_GB2312" w:cs="Arial"/>
          <w:color w:val="000000" w:themeColor="text1"/>
          <w:sz w:val="32"/>
          <w:szCs w:val="32"/>
          <w:lang w:val="zh-CN"/>
          <w14:textFill>
            <w14:solidFill>
              <w14:schemeClr w14:val="tx1"/>
            </w14:solidFill>
          </w14:textFill>
        </w:rPr>
        <w:t>并评分</w:t>
      </w:r>
      <w:r>
        <w:rPr>
          <w:rFonts w:hint="default" w:ascii="仿宋_GB2312" w:eastAsia="仿宋_GB2312" w:cs="Arial"/>
          <w:color w:val="000000" w:themeColor="text1"/>
          <w:sz w:val="32"/>
          <w:szCs w:val="32"/>
          <w:lang w:val="zh-CN"/>
          <w14:textFill>
            <w14:solidFill>
              <w14:schemeClr w14:val="tx1"/>
            </w14:solidFill>
          </w14:textFill>
        </w:rPr>
        <w:t>，依次包括履职效能、预算管理、财务管理、资产管理、采购管理等情况。</w:t>
      </w:r>
    </w:p>
    <w:p w14:paraId="45422447">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eastAsia" w:ascii="仿宋_GB2312" w:eastAsia="仿宋_GB2312" w:cs="Arial"/>
          <w:color w:val="000000" w:themeColor="text1"/>
          <w:sz w:val="32"/>
          <w:szCs w:val="32"/>
          <w:lang w:val="zh-CN"/>
          <w14:textFill>
            <w14:solidFill>
              <w14:schemeClr w14:val="tx1"/>
            </w14:solidFill>
          </w14:textFill>
        </w:rPr>
      </w:pPr>
      <w:r>
        <w:rPr>
          <w:rFonts w:hint="eastAsia" w:ascii="仿宋_GB2312" w:eastAsia="仿宋_GB2312" w:cs="Arial"/>
          <w:b/>
          <w:bCs/>
          <w:color w:val="000000" w:themeColor="text1"/>
          <w:sz w:val="32"/>
          <w:szCs w:val="32"/>
          <w:lang w:val="en-US" w:eastAsia="zh-CN"/>
          <w14:textFill>
            <w14:solidFill>
              <w14:schemeClr w14:val="tx1"/>
            </w14:solidFill>
          </w14:textFill>
        </w:rPr>
        <w:t>1.</w:t>
      </w:r>
      <w:r>
        <w:rPr>
          <w:rFonts w:hint="eastAsia" w:ascii="仿宋_GB2312" w:eastAsia="仿宋_GB2312" w:cs="Arial"/>
          <w:b/>
          <w:bCs/>
          <w:color w:val="000000" w:themeColor="text1"/>
          <w:sz w:val="32"/>
          <w:szCs w:val="32"/>
          <w:lang w:val="zh-CN"/>
          <w14:textFill>
            <w14:solidFill>
              <w14:schemeClr w14:val="tx1"/>
            </w14:solidFill>
          </w14:textFill>
        </w:rPr>
        <w:t>履职效能。</w:t>
      </w:r>
    </w:p>
    <w:p w14:paraId="171B4D4E">
      <w:pPr>
        <w:adjustRightInd w:val="0"/>
        <w:snapToGrid w:val="0"/>
        <w:spacing w:line="600" w:lineRule="exact"/>
        <w:ind w:firstLine="720"/>
        <w:rPr>
          <w:rFonts w:hint="eastAsia" w:ascii="仿宋_GB2312" w:eastAsia="仿宋_GB2312" w:cs="Arial"/>
          <w:color w:val="000000" w:themeColor="text1"/>
          <w:sz w:val="32"/>
          <w:szCs w:val="32"/>
          <w:lang w:val="zh-CN"/>
          <w14:textFill>
            <w14:solidFill>
              <w14:schemeClr w14:val="tx1"/>
            </w14:solidFill>
          </w14:textFill>
        </w:rPr>
      </w:pPr>
      <w:r>
        <w:rPr>
          <w:rFonts w:hint="eastAsia" w:ascii="仿宋_GB2312" w:eastAsia="仿宋_GB2312" w:cs="Arial"/>
          <w:color w:val="000000" w:themeColor="text1"/>
          <w:sz w:val="32"/>
          <w:szCs w:val="32"/>
          <w:lang w:val="zh-CN"/>
          <w14:textFill>
            <w14:solidFill>
              <w14:schemeClr w14:val="tx1"/>
            </w14:solidFill>
          </w14:textFill>
        </w:rPr>
        <w:t>采取多种形式，多渠道，大力宣传生态文明建设理念，普及大熊猫以及园区野生动植物和栖息地保护相关知识，相关保护法律法规等宣传</w:t>
      </w:r>
      <w:r>
        <w:rPr>
          <w:rFonts w:hint="eastAsia" w:ascii="仿宋_GB2312" w:cs="Arial"/>
          <w:color w:val="000000" w:themeColor="text1"/>
          <w:sz w:val="32"/>
          <w:szCs w:val="32"/>
          <w:lang w:val="zh-CN"/>
          <w14:textFill>
            <w14:solidFill>
              <w14:schemeClr w14:val="tx1"/>
            </w14:solidFill>
          </w14:textFill>
        </w:rPr>
        <w:t>。</w:t>
      </w:r>
      <w:r>
        <w:t>常态化开展管护、巡护监测工作，适时开展防火、反盗猎、违规采集、跨区巡护等专项行动，打击违法违规行为。</w:t>
      </w:r>
      <w:r>
        <w:rPr>
          <w:rFonts w:hint="eastAsia" w:ascii="仿宋_GB2312" w:cs="Arial"/>
          <w:color w:val="000000" w:themeColor="text1"/>
          <w:sz w:val="32"/>
          <w:szCs w:val="32"/>
          <w:lang w:val="en-US" w:eastAsia="zh-CN"/>
          <w14:textFill>
            <w14:solidFill>
              <w14:schemeClr w14:val="tx1"/>
            </w14:solidFill>
          </w14:textFill>
        </w:rPr>
        <w:t>项目绩效目标三级指标</w:t>
      </w:r>
      <w:r>
        <w:rPr>
          <w:rFonts w:hint="eastAsia" w:ascii="仿宋_GB2312" w:eastAsia="仿宋_GB2312" w:cs="Arial"/>
          <w:color w:val="000000" w:themeColor="text1"/>
          <w:sz w:val="32"/>
          <w:szCs w:val="32"/>
          <w:lang w:val="en-US" w:eastAsia="zh-CN"/>
          <w14:textFill>
            <w14:solidFill>
              <w14:schemeClr w14:val="tx1"/>
            </w14:solidFill>
          </w14:textFill>
        </w:rPr>
        <w:t>宣传报道次数</w:t>
      </w:r>
      <w:r>
        <w:rPr>
          <w:rFonts w:hint="eastAsia" w:ascii="仿宋_GB2312" w:cs="Arial"/>
          <w:color w:val="000000" w:themeColor="text1"/>
          <w:sz w:val="32"/>
          <w:szCs w:val="32"/>
          <w:lang w:val="en-US" w:eastAsia="zh-CN"/>
          <w14:textFill>
            <w14:solidFill>
              <w14:schemeClr w14:val="tx1"/>
            </w14:solidFill>
          </w14:textFill>
        </w:rPr>
        <w:t>共</w:t>
      </w:r>
      <w:r>
        <w:rPr>
          <w:rFonts w:hint="eastAsia" w:ascii="仿宋_GB2312" w:eastAsia="仿宋_GB2312" w:cs="Arial"/>
          <w:color w:val="000000" w:themeColor="text1"/>
          <w:sz w:val="32"/>
          <w:szCs w:val="32"/>
          <w:lang w:val="en-US" w:eastAsia="zh-CN"/>
          <w14:textFill>
            <w14:solidFill>
              <w14:schemeClr w14:val="tx1"/>
            </w14:solidFill>
          </w14:textFill>
        </w:rPr>
        <w:t>8条，</w:t>
      </w:r>
      <w:r>
        <w:rPr>
          <w:rFonts w:hint="eastAsia" w:ascii="仿宋_GB2312" w:cs="Arial"/>
          <w:color w:val="000000" w:themeColor="text1"/>
          <w:sz w:val="32"/>
          <w:szCs w:val="32"/>
          <w:lang w:val="en-US" w:eastAsia="zh-CN"/>
          <w14:textFill>
            <w14:solidFill>
              <w14:schemeClr w14:val="tx1"/>
            </w14:solidFill>
          </w14:textFill>
        </w:rPr>
        <w:t>年初设定指标值为6条；宣传品制作方面，制作</w:t>
      </w:r>
      <w:r>
        <w:rPr>
          <w:lang w:bidi="ar-SA"/>
        </w:rPr>
        <w:t>环保布袋2000个</w:t>
      </w:r>
      <w:r>
        <w:rPr>
          <w:rFonts w:hint="eastAsia" w:ascii="仿宋_GB2312" w:eastAsia="仿宋_GB2312" w:cs="仿宋_GB2312"/>
          <w:b w:val="0"/>
          <w:bCs w:val="0"/>
          <w:caps w:val="0"/>
          <w:smallCaps w:val="0"/>
          <w:color w:val="auto"/>
          <w:kern w:val="2"/>
          <w:sz w:val="32"/>
          <w:szCs w:val="32"/>
          <w:vertAlign w:val="baseline"/>
          <w:lang w:val="en-US" w:eastAsia="zh-CN"/>
        </w:rPr>
        <w:t>、</w:t>
      </w:r>
      <w:r>
        <w:rPr>
          <w:rFonts w:ascii="仿宋_GB2312" w:eastAsia="仿宋_GB2312" w:cs="仿宋_GB2312"/>
          <w:b w:val="0"/>
          <w:bCs w:val="0"/>
          <w:caps w:val="0"/>
          <w:smallCaps w:val="0"/>
          <w:color w:val="auto"/>
          <w:kern w:val="2"/>
          <w:sz w:val="32"/>
          <w:szCs w:val="32"/>
          <w:vertAlign w:val="baseline"/>
          <w:lang w:val="en-US" w:eastAsia="zh-CN"/>
        </w:rPr>
        <w:t>雨伞1700把、保温水杯200个、罩衣4000件，印制宣传折页8000册、成效图集50本</w:t>
      </w:r>
      <w:r>
        <w:rPr>
          <w:rFonts w:ascii="仿宋_GB2312" w:cs="仿宋_GB2312"/>
        </w:rPr>
        <w:t>。</w:t>
      </w:r>
      <w:r>
        <w:rPr>
          <w:rFonts w:hint="eastAsia" w:ascii="仿宋_GB2312" w:cs="仿宋_GB2312"/>
          <w:b w:val="0"/>
          <w:bCs w:val="0"/>
          <w:caps w:val="0"/>
          <w:smallCaps w:val="0"/>
          <w:color w:val="auto"/>
          <w:kern w:val="2"/>
          <w:sz w:val="32"/>
          <w:szCs w:val="32"/>
          <w:vertAlign w:val="baseline"/>
          <w:lang w:val="en-US" w:eastAsia="zh-CN"/>
        </w:rPr>
        <w:t>社会效益指标公众对国家公园知晓度显著提高；生态效益指标促进人与自然和谐共生显著提高。全年</w:t>
      </w:r>
      <w:r>
        <w:t>开展“季度督导”“三防一安全”工作</w:t>
      </w:r>
      <w:r>
        <w:rPr>
          <w:rFonts w:hint="eastAsia"/>
          <w:lang w:val="en-US" w:eastAsia="zh-CN"/>
        </w:rPr>
        <w:t>次数大于年初设定目标15次，督导次数在25次以上。</w:t>
      </w:r>
      <w:r>
        <w:rPr>
          <w:rFonts w:hint="eastAsia" w:ascii="仿宋_GB2312" w:cs="Arial"/>
          <w:color w:val="000000" w:themeColor="text1"/>
          <w:sz w:val="32"/>
          <w:szCs w:val="32"/>
          <w:lang w:val="en-US" w:eastAsia="zh-CN"/>
          <w14:textFill>
            <w14:solidFill>
              <w14:schemeClr w14:val="tx1"/>
            </w14:solidFill>
          </w14:textFill>
        </w:rPr>
        <w:t>通过以上工作的开展，提高</w:t>
      </w:r>
      <w:r>
        <w:rPr>
          <w:rFonts w:hint="eastAsia" w:ascii="仿宋_GB2312" w:eastAsia="仿宋_GB2312" w:cs="Arial"/>
          <w:color w:val="000000" w:themeColor="text1"/>
          <w:sz w:val="32"/>
          <w:szCs w:val="32"/>
          <w:lang w:val="zh-CN"/>
          <w14:textFill>
            <w14:solidFill>
              <w14:schemeClr w14:val="tx1"/>
            </w14:solidFill>
          </w14:textFill>
        </w:rPr>
        <w:t>了</w:t>
      </w:r>
      <w:r>
        <w:rPr>
          <w:rFonts w:hint="eastAsia" w:ascii="仿宋_GB2312" w:eastAsia="仿宋_GB2312" w:cs="Arial"/>
          <w:color w:val="000000" w:themeColor="text1"/>
          <w:sz w:val="32"/>
          <w:szCs w:val="32"/>
          <w:lang w:val="en-US" w:eastAsia="zh-CN"/>
          <w14:textFill>
            <w14:solidFill>
              <w14:schemeClr w14:val="tx1"/>
            </w14:solidFill>
          </w14:textFill>
        </w:rPr>
        <w:t>大熊猫国家公园阿坝管理分局的</w:t>
      </w:r>
      <w:r>
        <w:rPr>
          <w:rFonts w:hint="eastAsia" w:ascii="仿宋_GB2312" w:eastAsia="仿宋_GB2312" w:cs="Arial"/>
          <w:color w:val="000000" w:themeColor="text1"/>
          <w:sz w:val="32"/>
          <w:szCs w:val="32"/>
          <w:lang w:val="zh-CN"/>
          <w14:textFill>
            <w14:solidFill>
              <w14:schemeClr w14:val="tx1"/>
            </w14:solidFill>
          </w14:textFill>
        </w:rPr>
        <w:t>知名度</w:t>
      </w:r>
      <w:r>
        <w:rPr>
          <w:rFonts w:hint="eastAsia" w:ascii="仿宋_GB2312" w:eastAsia="仿宋_GB2312" w:cs="Arial"/>
          <w:color w:val="000000" w:themeColor="text1"/>
          <w:sz w:val="32"/>
          <w:szCs w:val="32"/>
          <w:lang w:val="en-US" w:eastAsia="zh-CN"/>
          <w14:textFill>
            <w14:solidFill>
              <w14:schemeClr w14:val="tx1"/>
            </w14:solidFill>
          </w14:textFill>
        </w:rPr>
        <w:t>和公众</w:t>
      </w:r>
      <w:r>
        <w:rPr>
          <w:rFonts w:hint="eastAsia" w:ascii="仿宋_GB2312" w:cs="Arial"/>
          <w:color w:val="000000" w:themeColor="text1"/>
          <w:sz w:val="32"/>
          <w:szCs w:val="32"/>
          <w:lang w:val="en-US" w:eastAsia="zh-CN"/>
          <w14:textFill>
            <w14:solidFill>
              <w14:schemeClr w14:val="tx1"/>
            </w14:solidFill>
          </w14:textFill>
        </w:rPr>
        <w:t>的</w:t>
      </w:r>
      <w:r>
        <w:rPr>
          <w:rFonts w:hint="eastAsia" w:ascii="仿宋_GB2312" w:eastAsia="仿宋_GB2312" w:cs="Arial"/>
          <w:color w:val="000000" w:themeColor="text1"/>
          <w:sz w:val="32"/>
          <w:szCs w:val="32"/>
          <w:lang w:val="en-US" w:eastAsia="zh-CN"/>
          <w14:textFill>
            <w14:solidFill>
              <w14:schemeClr w14:val="tx1"/>
            </w14:solidFill>
          </w14:textFill>
        </w:rPr>
        <w:t>知晓度</w:t>
      </w:r>
      <w:r>
        <w:rPr>
          <w:rFonts w:hint="eastAsia" w:ascii="仿宋_GB2312" w:eastAsia="仿宋_GB2312" w:cs="Arial"/>
          <w:color w:val="000000" w:themeColor="text1"/>
          <w:sz w:val="32"/>
          <w:szCs w:val="32"/>
          <w:lang w:val="zh-CN"/>
          <w14:textFill>
            <w14:solidFill>
              <w14:schemeClr w14:val="tx1"/>
            </w14:solidFill>
          </w14:textFill>
        </w:rPr>
        <w:t>。</w:t>
      </w:r>
    </w:p>
    <w:p w14:paraId="60ADE2C6">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eastAsia" w:ascii="仿宋_GB2312" w:eastAsia="仿宋_GB2312" w:cs="Arial"/>
          <w:color w:val="000000" w:themeColor="text1"/>
          <w:sz w:val="32"/>
          <w:szCs w:val="32"/>
          <w:lang w:val="zh-CN"/>
          <w14:textFill>
            <w14:solidFill>
              <w14:schemeClr w14:val="tx1"/>
            </w14:solidFill>
          </w14:textFill>
        </w:rPr>
      </w:pPr>
      <w:r>
        <w:rPr>
          <w:rFonts w:hint="eastAsia" w:ascii="仿宋_GB2312" w:eastAsia="仿宋_GB2312" w:cs="Arial"/>
          <w:b/>
          <w:bCs/>
          <w:color w:val="000000" w:themeColor="text1"/>
          <w:sz w:val="32"/>
          <w:szCs w:val="32"/>
          <w:lang w:val="en-US" w:eastAsia="zh-CN"/>
          <w14:textFill>
            <w14:solidFill>
              <w14:schemeClr w14:val="tx1"/>
            </w14:solidFill>
          </w14:textFill>
        </w:rPr>
        <w:t>2.</w:t>
      </w:r>
      <w:r>
        <w:rPr>
          <w:rFonts w:hint="default" w:ascii="仿宋_GB2312" w:eastAsia="仿宋_GB2312" w:cs="Arial"/>
          <w:b/>
          <w:bCs/>
          <w:color w:val="000000" w:themeColor="text1"/>
          <w:sz w:val="32"/>
          <w:szCs w:val="32"/>
          <w:lang w:val="zh-CN"/>
          <w14:textFill>
            <w14:solidFill>
              <w14:schemeClr w14:val="tx1"/>
            </w14:solidFill>
          </w14:textFill>
        </w:rPr>
        <w:t>预算管理</w:t>
      </w:r>
      <w:r>
        <w:rPr>
          <w:rFonts w:hint="eastAsia" w:ascii="仿宋_GB2312" w:eastAsia="仿宋_GB2312" w:cs="Arial"/>
          <w:b/>
          <w:bCs/>
          <w:color w:val="000000" w:themeColor="text1"/>
          <w:sz w:val="32"/>
          <w:szCs w:val="32"/>
          <w:lang w:val="zh-CN"/>
          <w14:textFill>
            <w14:solidFill>
              <w14:schemeClr w14:val="tx1"/>
            </w14:solidFill>
          </w14:textFill>
        </w:rPr>
        <w:t>。</w:t>
      </w:r>
      <w:r>
        <w:rPr>
          <w:rFonts w:hint="eastAsia" w:ascii="仿宋_GB2312" w:eastAsia="仿宋_GB2312" w:cs="Arial"/>
          <w:color w:val="000000" w:themeColor="text1"/>
          <w:sz w:val="32"/>
          <w:szCs w:val="32"/>
          <w:lang w:val="zh-CN"/>
          <w14:textFill>
            <w14:solidFill>
              <w14:schemeClr w14:val="tx1"/>
            </w14:solidFill>
          </w14:textFill>
        </w:rPr>
        <w:t>围绕预算编制质量、单位收入统筹、支出执行进度、预算年终结余、严控一般性支出</w:t>
      </w:r>
      <w:r>
        <w:rPr>
          <w:rFonts w:hint="default" w:ascii="仿宋_GB2312" w:eastAsia="仿宋_GB2312" w:cs="Arial"/>
          <w:color w:val="000000" w:themeColor="text1"/>
          <w:sz w:val="32"/>
          <w:szCs w:val="32"/>
          <w:lang w:val="zh-CN"/>
          <w14:textFill>
            <w14:solidFill>
              <w14:schemeClr w14:val="tx1"/>
            </w14:solidFill>
          </w14:textFill>
        </w:rPr>
        <w:t>进行绩效分析</w:t>
      </w:r>
      <w:r>
        <w:rPr>
          <w:rFonts w:hint="eastAsia" w:ascii="仿宋_GB2312" w:eastAsia="仿宋_GB2312" w:cs="Arial"/>
          <w:color w:val="000000" w:themeColor="text1"/>
          <w:sz w:val="32"/>
          <w:szCs w:val="32"/>
          <w:lang w:val="zh-CN"/>
          <w14:textFill>
            <w14:solidFill>
              <w14:schemeClr w14:val="tx1"/>
            </w14:solidFill>
          </w14:textFill>
        </w:rPr>
        <w:t>。</w:t>
      </w:r>
    </w:p>
    <w:p w14:paraId="1322754F">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lang w:val="en-US" w:eastAsia="zh-CN"/>
          <w14:textFill>
            <w14:solidFill>
              <w14:schemeClr w14:val="tx1"/>
            </w14:solidFill>
          </w14:textFill>
        </w:rPr>
        <w:t>根据预算法及实施条例、</w:t>
      </w:r>
      <w:r>
        <w:rPr>
          <w:rFonts w:hint="eastAsia" w:ascii="仿宋_GB2312" w:eastAsia="仿宋_GB2312" w:cs="Arial"/>
          <w:color w:val="000000" w:themeColor="text1"/>
          <w:sz w:val="32"/>
          <w:szCs w:val="32"/>
          <w:lang w:eastAsia="zh-CN"/>
          <w14:textFill>
            <w14:solidFill>
              <w14:schemeClr w14:val="tx1"/>
            </w14:solidFill>
          </w14:textFill>
        </w:rPr>
        <w:t>《</w:t>
      </w:r>
      <w:r>
        <w:rPr>
          <w:rFonts w:hint="eastAsia" w:ascii="仿宋_GB2312" w:eastAsia="仿宋_GB2312" w:cs="Arial"/>
          <w:color w:val="000000" w:themeColor="text1"/>
          <w:sz w:val="32"/>
          <w:szCs w:val="32"/>
          <w:lang w:val="en-US" w:eastAsia="zh-CN"/>
          <w14:textFill>
            <w14:solidFill>
              <w14:schemeClr w14:val="tx1"/>
            </w14:solidFill>
          </w14:textFill>
        </w:rPr>
        <w:t>阿坝州财政局关于编制州级部门2023-2025年支出规划和2023年部门预算的通知</w:t>
      </w:r>
      <w:r>
        <w:rPr>
          <w:rFonts w:hint="eastAsia" w:ascii="仿宋_GB2312" w:eastAsia="仿宋_GB2312" w:cs="Arial"/>
          <w:color w:val="000000" w:themeColor="text1"/>
          <w:sz w:val="32"/>
          <w:szCs w:val="32"/>
          <w:lang w:eastAsia="zh-CN"/>
          <w14:textFill>
            <w14:solidFill>
              <w14:schemeClr w14:val="tx1"/>
            </w14:solidFill>
          </w14:textFill>
        </w:rPr>
        <w:t>》</w:t>
      </w:r>
      <w:r>
        <w:rPr>
          <w:rFonts w:hint="eastAsia" w:ascii="仿宋_GB2312" w:eastAsia="仿宋_GB2312" w:cs="Arial"/>
          <w:color w:val="000000" w:themeColor="text1"/>
          <w:sz w:val="32"/>
          <w:szCs w:val="32"/>
          <w14:textFill>
            <w14:solidFill>
              <w14:schemeClr w14:val="tx1"/>
            </w14:solidFill>
          </w14:textFill>
        </w:rPr>
        <w:t>（阿州财预〔202</w:t>
      </w:r>
      <w:r>
        <w:rPr>
          <w:rFonts w:hint="eastAsia" w:ascii="仿宋_GB2312" w:eastAsia="仿宋_GB2312" w:cs="Arial"/>
          <w:color w:val="000000" w:themeColor="text1"/>
          <w:sz w:val="32"/>
          <w:szCs w:val="32"/>
          <w:lang w:val="en-US" w:eastAsia="zh-CN"/>
          <w14:textFill>
            <w14:solidFill>
              <w14:schemeClr w14:val="tx1"/>
            </w14:solidFill>
          </w14:textFill>
        </w:rPr>
        <w:t>2</w:t>
      </w:r>
      <w:r>
        <w:rPr>
          <w:rFonts w:hint="eastAsia" w:ascii="仿宋_GB2312" w:eastAsia="仿宋_GB2312" w:cs="Arial"/>
          <w:color w:val="000000" w:themeColor="text1"/>
          <w:sz w:val="32"/>
          <w:szCs w:val="32"/>
          <w14:textFill>
            <w14:solidFill>
              <w14:schemeClr w14:val="tx1"/>
            </w14:solidFill>
          </w14:textFill>
        </w:rPr>
        <w:t>〕</w:t>
      </w:r>
      <w:r>
        <w:rPr>
          <w:rFonts w:hint="eastAsia" w:ascii="仿宋_GB2312" w:eastAsia="仿宋_GB2312" w:cs="Arial"/>
          <w:color w:val="000000" w:themeColor="text1"/>
          <w:sz w:val="32"/>
          <w:szCs w:val="32"/>
          <w:lang w:val="en-US" w:eastAsia="zh-CN"/>
          <w14:textFill>
            <w14:solidFill>
              <w14:schemeClr w14:val="tx1"/>
            </w14:solidFill>
          </w14:textFill>
        </w:rPr>
        <w:t>57</w:t>
      </w:r>
      <w:r>
        <w:rPr>
          <w:rFonts w:hint="eastAsia" w:ascii="仿宋_GB2312" w:eastAsia="仿宋_GB2312" w:cs="Arial"/>
          <w:color w:val="000000" w:themeColor="text1"/>
          <w:sz w:val="32"/>
          <w:szCs w:val="32"/>
          <w14:textFill>
            <w14:solidFill>
              <w14:schemeClr w14:val="tx1"/>
            </w14:solidFill>
          </w14:textFill>
        </w:rPr>
        <w:t>号）要求，大熊猫国家公园阿坝管理分局编制了202</w:t>
      </w:r>
      <w:r>
        <w:rPr>
          <w:rFonts w:hint="eastAsia" w:ascii="仿宋_GB2312" w:eastAsia="仿宋_GB2312" w:cs="Arial"/>
          <w:color w:val="000000" w:themeColor="text1"/>
          <w:sz w:val="32"/>
          <w:szCs w:val="32"/>
          <w:lang w:val="en-US" w:eastAsia="zh-CN"/>
          <w14:textFill>
            <w14:solidFill>
              <w14:schemeClr w14:val="tx1"/>
            </w14:solidFill>
          </w14:textFill>
        </w:rPr>
        <w:t>3</w:t>
      </w:r>
      <w:r>
        <w:rPr>
          <w:rFonts w:hint="eastAsia" w:ascii="仿宋_GB2312" w:eastAsia="仿宋_GB2312" w:cs="Arial"/>
          <w:color w:val="000000" w:themeColor="text1"/>
          <w:sz w:val="32"/>
          <w:szCs w:val="32"/>
          <w14:textFill>
            <w14:solidFill>
              <w14:schemeClr w14:val="tx1"/>
            </w14:solidFill>
          </w14:textFill>
        </w:rPr>
        <w:t>年部门预算，并设立部门绩效总体目标：以保护大熊猫为主要目</w:t>
      </w:r>
      <w:r>
        <w:rPr>
          <w:rFonts w:hint="eastAsia" w:ascii="仿宋_GB2312" w:eastAsia="仿宋_GB2312" w:cs="Arial"/>
          <w:color w:val="000000" w:themeColor="text1"/>
          <w:sz w:val="32"/>
          <w:szCs w:val="32"/>
          <w:lang w:val="en-US" w:eastAsia="zh-CN"/>
          <w14:textFill>
            <w14:solidFill>
              <w14:schemeClr w14:val="tx1"/>
            </w14:solidFill>
          </w14:textFill>
        </w:rPr>
        <w:t>的，实现自然资源科学保护和合理利用。我局严格按照财政部门预算编制通知明确的范围、标准等编制部门预算，不存在无预算、超预算、超标准、超范围列支人员经费、公用经费和项目经费等问题。并对整体目标进行了细化，且全部达标。实际部门整体绩效目标能够合理反映部门年度职责履行情况。</w:t>
      </w:r>
    </w:p>
    <w:p w14:paraId="3FEE6DCF">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lang w:val="en-US" w:eastAsia="zh-CN"/>
          <w14:textFill>
            <w14:solidFill>
              <w14:schemeClr w14:val="tx1"/>
            </w14:solidFill>
          </w14:textFill>
        </w:rPr>
        <w:t>2023年，全年预算数868.81万元，2023年11月财政三项清理调减卧龙体制改革工作经费15万元。预算数和决算数不存在差异。预算编制准确率为100%。</w:t>
      </w:r>
    </w:p>
    <w:p w14:paraId="463579DC">
      <w:pPr>
        <w:pStyle w:val="10"/>
        <w:widowControl w:val="0"/>
        <w:autoSpaceDN w:val="0"/>
        <w:spacing w:before="0" w:beforeAutospacing="0" w:after="0" w:afterAutospacing="0" w:line="578" w:lineRule="exact"/>
        <w:ind w:firstLine="640" w:firstLineChars="200"/>
        <w:jc w:val="both"/>
        <w:rPr>
          <w:rFonts w:ascii="仿宋_GB2312" w:eastAsia="仿宋_GB2312" w:cs="仿宋_GB2312"/>
          <w:color w:val="000000"/>
          <w:sz w:val="32"/>
          <w:szCs w:val="32"/>
        </w:rPr>
      </w:pPr>
      <w:r>
        <w:rPr>
          <w:rFonts w:hint="eastAsia" w:ascii="仿宋_GB2312" w:eastAsia="仿宋_GB2312" w:cs="Arial"/>
          <w:color w:val="000000" w:themeColor="text1"/>
          <w:sz w:val="32"/>
          <w:szCs w:val="32"/>
          <w:lang w:val="en-US" w:eastAsia="zh-CN"/>
          <w14:textFill>
            <w14:solidFill>
              <w14:schemeClr w14:val="tx1"/>
            </w14:solidFill>
          </w14:textFill>
        </w:rPr>
        <w:t>支出执行进度，</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年，下达分局预算指标金额为</w:t>
      </w:r>
      <w:r>
        <w:rPr>
          <w:rFonts w:hint="eastAsia" w:ascii="仿宋_GB2312" w:eastAsia="仿宋_GB2312"/>
          <w:color w:val="000000"/>
          <w:sz w:val="32"/>
          <w:szCs w:val="32"/>
          <w:lang w:val="en-US" w:eastAsia="zh-CN"/>
        </w:rPr>
        <w:t>714.59</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年中追加了绩效工资指标和中央、省级项目资金</w:t>
      </w:r>
      <w:r>
        <w:rPr>
          <w:rFonts w:hint="eastAsia" w:ascii="仿宋_GB2312" w:eastAsia="仿宋_GB2312"/>
          <w:color w:val="000000"/>
          <w:sz w:val="32"/>
          <w:szCs w:val="32"/>
          <w:lang w:eastAsia="zh-CN"/>
        </w:rPr>
        <w:t>）</w:t>
      </w:r>
      <w:r>
        <w:rPr>
          <w:rFonts w:hint="eastAsia" w:ascii="仿宋_GB2312" w:eastAsia="仿宋_GB2312"/>
          <w:color w:val="000000"/>
          <w:sz w:val="32"/>
          <w:szCs w:val="32"/>
        </w:rPr>
        <w:t>。其中：人员经费</w:t>
      </w:r>
      <w:r>
        <w:rPr>
          <w:rFonts w:hint="eastAsia" w:ascii="仿宋_GB2312" w:eastAsia="仿宋_GB2312"/>
          <w:color w:val="000000"/>
          <w:sz w:val="32"/>
          <w:szCs w:val="32"/>
          <w:lang w:val="en-US" w:eastAsia="zh-CN"/>
        </w:rPr>
        <w:t>493.81</w:t>
      </w:r>
      <w:r>
        <w:rPr>
          <w:rFonts w:hint="eastAsia" w:ascii="仿宋_GB2312" w:eastAsia="仿宋_GB2312"/>
          <w:color w:val="000000"/>
          <w:sz w:val="32"/>
          <w:szCs w:val="32"/>
        </w:rPr>
        <w:t>万元（年初预算数</w:t>
      </w:r>
      <w:r>
        <w:rPr>
          <w:rFonts w:hint="eastAsia" w:ascii="仿宋_GB2312" w:eastAsia="仿宋_GB2312"/>
          <w:color w:val="000000"/>
          <w:sz w:val="32"/>
          <w:szCs w:val="32"/>
          <w:lang w:val="en-US" w:eastAsia="zh-CN"/>
        </w:rPr>
        <w:t>493.81</w:t>
      </w:r>
      <w:r>
        <w:rPr>
          <w:rFonts w:hint="eastAsia" w:ascii="仿宋_GB2312" w:eastAsia="仿宋_GB2312"/>
          <w:color w:val="000000"/>
          <w:sz w:val="32"/>
          <w:szCs w:val="32"/>
        </w:rPr>
        <w:t>万元，</w:t>
      </w:r>
      <w:r>
        <w:rPr>
          <w:rFonts w:hint="eastAsia" w:ascii="仿宋_GB2312" w:eastAsia="仿宋_GB2312"/>
          <w:color w:val="000000"/>
          <w:sz w:val="32"/>
          <w:szCs w:val="32"/>
          <w:lang w:val="en-US" w:eastAsia="zh-CN"/>
        </w:rPr>
        <w:t>调艰边补贴后补差</w:t>
      </w:r>
      <w:r>
        <w:rPr>
          <w:rFonts w:hint="eastAsia" w:ascii="仿宋_GB2312" w:eastAsia="仿宋_GB2312"/>
          <w:color w:val="000000"/>
          <w:sz w:val="32"/>
          <w:szCs w:val="32"/>
        </w:rPr>
        <w:t>追加了</w:t>
      </w:r>
      <w:r>
        <w:rPr>
          <w:rFonts w:hint="eastAsia" w:ascii="仿宋_GB2312" w:eastAsia="仿宋_GB2312"/>
          <w:color w:val="000000"/>
          <w:sz w:val="32"/>
          <w:szCs w:val="32"/>
          <w:lang w:val="en-US" w:eastAsia="zh-CN"/>
        </w:rPr>
        <w:t>7.57</w:t>
      </w:r>
      <w:r>
        <w:rPr>
          <w:rFonts w:hint="eastAsia" w:ascii="仿宋_GB2312" w:eastAsia="仿宋_GB2312"/>
          <w:color w:val="000000"/>
          <w:sz w:val="32"/>
          <w:szCs w:val="32"/>
        </w:rPr>
        <w:t>万</w:t>
      </w:r>
      <w:r>
        <w:rPr>
          <w:rFonts w:hint="eastAsia" w:ascii="仿宋_GB2312" w:eastAsia="仿宋_GB2312"/>
          <w:color w:val="000000"/>
          <w:sz w:val="32"/>
          <w:szCs w:val="32"/>
          <w:lang w:val="en-US" w:eastAsia="zh-CN"/>
        </w:rPr>
        <w:t>万元、追加了13.82万元年度考核奖、追加了2名退休人员建房补贴2万元</w:t>
      </w:r>
      <w:r>
        <w:rPr>
          <w:rFonts w:hint="eastAsia" w:ascii="仿宋_GB2312" w:eastAsia="仿宋_GB2312"/>
          <w:color w:val="000000"/>
          <w:sz w:val="32"/>
          <w:szCs w:val="32"/>
        </w:rPr>
        <w:t>），公用经费</w:t>
      </w:r>
      <w:r>
        <w:rPr>
          <w:rFonts w:hint="eastAsia" w:ascii="仿宋_GB2312" w:eastAsia="仿宋_GB2312"/>
          <w:color w:val="000000"/>
          <w:sz w:val="32"/>
          <w:szCs w:val="32"/>
          <w:lang w:val="en-US" w:eastAsia="zh-CN"/>
        </w:rPr>
        <w:t>69.28</w:t>
      </w:r>
      <w:r>
        <w:rPr>
          <w:rFonts w:hint="eastAsia" w:ascii="仿宋_GB2312" w:eastAsia="仿宋_GB2312"/>
          <w:color w:val="000000"/>
          <w:sz w:val="32"/>
          <w:szCs w:val="32"/>
        </w:rPr>
        <w:t>万元，项目类经费</w:t>
      </w:r>
      <w:r>
        <w:rPr>
          <w:rFonts w:hint="eastAsia" w:ascii="仿宋_GB2312" w:eastAsia="仿宋_GB2312"/>
          <w:color w:val="000000"/>
          <w:sz w:val="32"/>
          <w:szCs w:val="32"/>
          <w:lang w:val="en-US" w:eastAsia="zh-CN"/>
        </w:rPr>
        <w:t>151.5</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 xml:space="preserve">2023年5月追加了雪豹监测项目286万元（中央资金），巡护终端采购项目50万元。 </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年1-</w:t>
      </w:r>
      <w:r>
        <w:rPr>
          <w:rFonts w:hint="eastAsia" w:ascii="仿宋_GB2312" w:eastAsia="仿宋_GB2312"/>
          <w:color w:val="000000"/>
          <w:sz w:val="32"/>
          <w:szCs w:val="32"/>
          <w:lang w:val="en-US" w:eastAsia="zh-CN"/>
        </w:rPr>
        <w:t>12</w:t>
      </w:r>
      <w:r>
        <w:rPr>
          <w:rFonts w:hint="eastAsia" w:ascii="仿宋_GB2312" w:eastAsia="仿宋_GB2312"/>
          <w:color w:val="000000"/>
          <w:sz w:val="32"/>
          <w:szCs w:val="32"/>
        </w:rPr>
        <w:t>月预算执行情况如下：</w:t>
      </w:r>
    </w:p>
    <w:p w14:paraId="576006F5">
      <w:pPr>
        <w:pStyle w:val="27"/>
        <w:adjustRightInd w:val="0"/>
        <w:snapToGrid w:val="0"/>
        <w:spacing w:line="560" w:lineRule="exact"/>
        <w:ind w:firstLine="630" w:firstLineChars="196"/>
        <w:rPr>
          <w:rFonts w:ascii="仿宋_GB2312" w:eastAsia="仿宋_GB2312"/>
          <w:color w:val="000000" w:themeColor="text1"/>
          <w:sz w:val="32"/>
          <w:szCs w:val="32"/>
          <w14:textFill>
            <w14:solidFill>
              <w14:schemeClr w14:val="tx1"/>
            </w14:solidFill>
          </w14:textFill>
        </w:rPr>
      </w:pPr>
      <w:r>
        <w:rPr>
          <w:rFonts w:hint="eastAsia" w:ascii="楷体" w:eastAsia="楷体"/>
          <w:b/>
          <w:color w:val="000000" w:themeColor="text1"/>
          <w:sz w:val="32"/>
          <w:szCs w:val="32"/>
          <w14:textFill>
            <w14:solidFill>
              <w14:schemeClr w14:val="tx1"/>
            </w14:solidFill>
          </w14:textFill>
        </w:rPr>
        <w:t>（一）人员经费。</w:t>
      </w:r>
      <w:r>
        <w:rPr>
          <w:rFonts w:hint="eastAsia" w:ascii="仿宋_GB2312" w:eastAsia="仿宋_GB2312"/>
          <w:color w:val="000000" w:themeColor="text1"/>
          <w:sz w:val="32"/>
          <w:szCs w:val="32"/>
          <w14:textFill>
            <w14:solidFill>
              <w14:schemeClr w14:val="tx1"/>
            </w14:solidFill>
          </w14:textFill>
        </w:rPr>
        <w:t>202</w:t>
      </w:r>
      <w:r>
        <w:rPr>
          <w:rFonts w:hint="eastAsia" w:ascii="仿宋_GB2312" w:eastAsia="仿宋_GB2312"/>
          <w:color w:val="000000" w:themeColor="text1"/>
          <w:sz w:val="32"/>
          <w:szCs w:val="32"/>
          <w:lang w:val="en-US" w:eastAsia="zh-CN"/>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年，财政局下达分局人员经费</w:t>
      </w:r>
      <w:r>
        <w:rPr>
          <w:rFonts w:hint="eastAsia" w:ascii="仿宋_GB2312" w:eastAsia="仿宋_GB2312"/>
          <w:color w:val="000000" w:themeColor="text1"/>
          <w:sz w:val="32"/>
          <w:szCs w:val="32"/>
          <w:lang w:val="en-US" w:eastAsia="zh-CN"/>
          <w14:textFill>
            <w14:solidFill>
              <w14:schemeClr w14:val="tx1"/>
            </w14:solidFill>
          </w14:textFill>
        </w:rPr>
        <w:t>调整</w:t>
      </w:r>
      <w:r>
        <w:rPr>
          <w:rFonts w:hint="eastAsia" w:ascii="仿宋_GB2312" w:eastAsia="仿宋_GB2312"/>
          <w:color w:val="000000" w:themeColor="text1"/>
          <w:sz w:val="32"/>
          <w:szCs w:val="32"/>
          <w14:textFill>
            <w14:solidFill>
              <w14:schemeClr w14:val="tx1"/>
            </w14:solidFill>
          </w14:textFill>
        </w:rPr>
        <w:t>预算数为</w:t>
      </w:r>
      <w:r>
        <w:rPr>
          <w:rFonts w:hint="eastAsia" w:ascii="仿宋_GB2312" w:eastAsia="仿宋_GB2312"/>
          <w:color w:val="000000" w:themeColor="text1"/>
          <w:sz w:val="32"/>
          <w:szCs w:val="32"/>
          <w:lang w:val="en-US" w:eastAsia="zh-CN"/>
          <w14:textFill>
            <w14:solidFill>
              <w14:schemeClr w14:val="tx1"/>
            </w14:solidFill>
          </w14:textFill>
        </w:rPr>
        <w:t>504.65</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color w:val="000000" w:themeColor="text1"/>
          <w:sz w:val="32"/>
          <w:szCs w:val="32"/>
          <w:lang w:val="en-US" w:eastAsia="zh-CN"/>
          <w14:textFill>
            <w14:solidFill>
              <w14:schemeClr w14:val="tx1"/>
            </w14:solidFill>
          </w14:textFill>
        </w:rPr>
        <w:t>含工资性支出、单位缴费、聘用人员经费等，</w:t>
      </w:r>
      <w:r>
        <w:rPr>
          <w:rFonts w:hint="eastAsia" w:ascii="仿宋_GB2312" w:eastAsia="仿宋_GB2312"/>
          <w:color w:val="000000" w:themeColor="text1"/>
          <w:sz w:val="32"/>
          <w:szCs w:val="32"/>
          <w14:textFill>
            <w14:solidFill>
              <w14:schemeClr w14:val="tx1"/>
            </w14:solidFill>
          </w14:textFill>
        </w:rPr>
        <w:t>其中：</w:t>
      </w:r>
    </w:p>
    <w:p w14:paraId="01C1C457">
      <w:pPr>
        <w:adjustRightInd w:val="0"/>
        <w:snapToGrid w:val="0"/>
        <w:spacing w:line="560" w:lineRule="exact"/>
        <w:ind w:firstLine="643"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14:textFill>
            <w14:solidFill>
              <w14:schemeClr w14:val="tx1"/>
            </w14:solidFill>
          </w14:textFill>
        </w:rPr>
        <w:t>1.工资性支出</w:t>
      </w:r>
      <w:r>
        <w:rPr>
          <w:rFonts w:hint="eastAsia" w:ascii="仿宋_GB2312" w:eastAsia="仿宋_GB2312"/>
          <w:b/>
          <w:color w:val="000000" w:themeColor="text1"/>
          <w:sz w:val="32"/>
          <w:szCs w:val="32"/>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预算数</w:t>
      </w:r>
      <w:r>
        <w:rPr>
          <w:rFonts w:hint="eastAsia" w:ascii="仿宋_GB2312"/>
          <w:color w:val="000000" w:themeColor="text1"/>
          <w:sz w:val="32"/>
          <w:szCs w:val="32"/>
          <w:lang w:val="en-US" w:eastAsia="zh-CN"/>
          <w14:textFill>
            <w14:solidFill>
              <w14:schemeClr w14:val="tx1"/>
            </w14:solidFill>
          </w14:textFill>
        </w:rPr>
        <w:t>357.95</w:t>
      </w:r>
      <w:r>
        <w:rPr>
          <w:rFonts w:hint="eastAsia" w:ascii="仿宋_GB2312" w:eastAsia="仿宋_GB2312"/>
          <w:color w:val="000000" w:themeColor="text1"/>
          <w:sz w:val="32"/>
          <w:szCs w:val="32"/>
          <w14:textFill>
            <w14:solidFill>
              <w14:schemeClr w14:val="tx1"/>
            </w14:solidFill>
          </w14:textFill>
        </w:rPr>
        <w:t>万元（追加</w:t>
      </w:r>
      <w:r>
        <w:rPr>
          <w:rFonts w:hint="eastAsia" w:ascii="仿宋_GB2312" w:eastAsia="仿宋_GB2312"/>
          <w:color w:val="000000" w:themeColor="text1"/>
          <w:sz w:val="32"/>
          <w:szCs w:val="32"/>
          <w:lang w:val="en-US" w:eastAsia="zh-CN"/>
          <w14:textFill>
            <w14:solidFill>
              <w14:schemeClr w14:val="tx1"/>
            </w14:solidFill>
          </w14:textFill>
        </w:rPr>
        <w:t>年度考核奖13.82</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color w:val="000000" w:themeColor="text1"/>
          <w:sz w:val="32"/>
          <w:szCs w:val="32"/>
          <w:lang w:val="en-US" w:eastAsia="zh-CN"/>
          <w14:textFill>
            <w14:solidFill>
              <w14:schemeClr w14:val="tx1"/>
            </w14:solidFill>
          </w14:textFill>
        </w:rPr>
        <w:t>调艰边补贴后补差</w:t>
      </w:r>
      <w:r>
        <w:rPr>
          <w:rFonts w:hint="eastAsia" w:ascii="仿宋_GB2312" w:eastAsia="仿宋_GB2312"/>
          <w:color w:val="000000" w:themeColor="text1"/>
          <w:sz w:val="32"/>
          <w:szCs w:val="32"/>
          <w14:textFill>
            <w14:solidFill>
              <w14:schemeClr w14:val="tx1"/>
            </w14:solidFill>
          </w14:textFill>
        </w:rPr>
        <w:t>追加了</w:t>
      </w:r>
      <w:r>
        <w:rPr>
          <w:rFonts w:hint="eastAsia" w:ascii="仿宋_GB2312" w:eastAsia="仿宋_GB2312"/>
          <w:color w:val="000000" w:themeColor="text1"/>
          <w:sz w:val="32"/>
          <w:szCs w:val="32"/>
          <w:lang w:val="en-US" w:eastAsia="zh-CN"/>
          <w14:textFill>
            <w14:solidFill>
              <w14:schemeClr w14:val="tx1"/>
            </w14:solidFill>
          </w14:textFill>
        </w:rPr>
        <w:t>7.57</w:t>
      </w:r>
      <w:r>
        <w:rPr>
          <w:rFonts w:hint="eastAsia" w:ascii="仿宋_GB2312" w:eastAsia="仿宋_GB2312"/>
          <w:color w:val="000000" w:themeColor="text1"/>
          <w:sz w:val="32"/>
          <w:szCs w:val="32"/>
          <w14:textFill>
            <w14:solidFill>
              <w14:schemeClr w14:val="tx1"/>
            </w14:solidFill>
          </w14:textFill>
        </w:rPr>
        <w:t>万</w:t>
      </w:r>
      <w:r>
        <w:rPr>
          <w:rFonts w:hint="eastAsia" w:ascii="仿宋_GB2312" w:eastAsia="仿宋_GB2312"/>
          <w:color w:val="000000" w:themeColor="text1"/>
          <w:sz w:val="32"/>
          <w:szCs w:val="32"/>
          <w:lang w:val="en-US" w:eastAsia="zh-CN"/>
          <w14:textFill>
            <w14:solidFill>
              <w14:schemeClr w14:val="tx1"/>
            </w14:solidFill>
          </w14:textFill>
        </w:rPr>
        <w:t>万元，追加了2名退休人员建房补贴2万元</w:t>
      </w:r>
      <w:r>
        <w:rPr>
          <w:rFonts w:hint="eastAsia" w:ascii="仿宋_GB2312" w:eastAsia="仿宋_GB2312"/>
          <w:color w:val="000000" w:themeColor="text1"/>
          <w:sz w:val="32"/>
          <w:szCs w:val="32"/>
          <w14:textFill>
            <w14:solidFill>
              <w14:schemeClr w14:val="tx1"/>
            </w14:solidFill>
          </w14:textFill>
        </w:rPr>
        <w:t>），已支付</w:t>
      </w:r>
      <w:r>
        <w:rPr>
          <w:rFonts w:hint="eastAsia" w:ascii="仿宋_GB2312"/>
          <w:color w:val="000000" w:themeColor="text1"/>
          <w:sz w:val="32"/>
          <w:szCs w:val="32"/>
          <w:lang w:val="en-US" w:eastAsia="zh-CN"/>
          <w14:textFill>
            <w14:solidFill>
              <w14:schemeClr w14:val="tx1"/>
            </w14:solidFill>
          </w14:textFill>
        </w:rPr>
        <w:t>357.95</w:t>
      </w:r>
      <w:r>
        <w:rPr>
          <w:rFonts w:hint="eastAsia" w:ascii="仿宋_GB2312" w:eastAsia="仿宋_GB2312"/>
          <w:color w:val="000000" w:themeColor="text1"/>
          <w:sz w:val="32"/>
          <w:szCs w:val="32"/>
          <w14:textFill>
            <w14:solidFill>
              <w14:schemeClr w14:val="tx1"/>
            </w14:solidFill>
          </w14:textFill>
        </w:rPr>
        <w:t>万元，支付进度为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eastAsia="仿宋_GB2312"/>
          <w:color w:val="000000" w:themeColor="text1"/>
          <w:sz w:val="32"/>
          <w:szCs w:val="32"/>
          <w14:textFill>
            <w14:solidFill>
              <w14:schemeClr w14:val="tx1"/>
            </w14:solidFill>
          </w14:textFill>
        </w:rPr>
        <w:t>%。</w:t>
      </w:r>
    </w:p>
    <w:p w14:paraId="2B31DEB6">
      <w:pPr>
        <w:adjustRightInd w:val="0"/>
        <w:snapToGrid w:val="0"/>
        <w:spacing w:line="560" w:lineRule="exact"/>
        <w:ind w:firstLine="643"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2.单位缴费支出。预算数</w:t>
      </w:r>
      <w:r>
        <w:rPr>
          <w:rFonts w:hint="eastAsia" w:ascii="仿宋_GB2312"/>
          <w:color w:val="000000" w:themeColor="text1"/>
          <w:sz w:val="32"/>
          <w:szCs w:val="32"/>
          <w:lang w:val="en-US" w:eastAsia="zh-CN"/>
          <w14:textFill>
            <w14:solidFill>
              <w14:schemeClr w14:val="tx1"/>
            </w14:solidFill>
          </w14:textFill>
        </w:rPr>
        <w:t>141.42</w:t>
      </w:r>
      <w:r>
        <w:rPr>
          <w:rFonts w:hint="eastAsia" w:ascii="仿宋_GB2312" w:eastAsia="仿宋_GB2312"/>
          <w:color w:val="000000" w:themeColor="text1"/>
          <w:sz w:val="32"/>
          <w:szCs w:val="32"/>
          <w14:textFill>
            <w14:solidFill>
              <w14:schemeClr w14:val="tx1"/>
            </w14:solidFill>
          </w14:textFill>
        </w:rPr>
        <w:t>万元，已支付</w:t>
      </w:r>
      <w:r>
        <w:rPr>
          <w:rFonts w:hint="eastAsia" w:ascii="仿宋_GB2312" w:eastAsia="仿宋_GB2312"/>
          <w:color w:val="000000" w:themeColor="text1"/>
          <w:sz w:val="32"/>
          <w:szCs w:val="32"/>
          <w:lang w:val="en-US" w:eastAsia="zh-CN"/>
          <w14:textFill>
            <w14:solidFill>
              <w14:schemeClr w14:val="tx1"/>
            </w14:solidFill>
          </w14:textFill>
        </w:rPr>
        <w:t>14</w:t>
      </w:r>
      <w:r>
        <w:rPr>
          <w:rFonts w:hint="eastAsia" w:ascii="仿宋_GB2312"/>
          <w:color w:val="000000" w:themeColor="text1"/>
          <w:sz w:val="32"/>
          <w:szCs w:val="32"/>
          <w:lang w:val="en-US" w:eastAsia="zh-CN"/>
          <w14:textFill>
            <w14:solidFill>
              <w14:schemeClr w14:val="tx1"/>
            </w14:solidFill>
          </w14:textFill>
        </w:rPr>
        <w:t>1.42</w:t>
      </w:r>
      <w:r>
        <w:rPr>
          <w:rFonts w:hint="eastAsia" w:ascii="仿宋_GB2312" w:eastAsia="仿宋_GB2312"/>
          <w:color w:val="000000" w:themeColor="text1"/>
          <w:sz w:val="32"/>
          <w:szCs w:val="32"/>
          <w14:textFill>
            <w14:solidFill>
              <w14:schemeClr w14:val="tx1"/>
            </w14:solidFill>
          </w14:textFill>
        </w:rPr>
        <w:t>万元，支付进度为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eastAsia="仿宋_GB2312"/>
          <w:color w:val="000000" w:themeColor="text1"/>
          <w:sz w:val="32"/>
          <w:szCs w:val="32"/>
          <w14:textFill>
            <w14:solidFill>
              <w14:schemeClr w14:val="tx1"/>
            </w14:solidFill>
          </w14:textFill>
        </w:rPr>
        <w:t>%。</w:t>
      </w:r>
    </w:p>
    <w:p w14:paraId="0BA82D46">
      <w:pPr>
        <w:adjustRightInd w:val="0"/>
        <w:snapToGrid w:val="0"/>
        <w:spacing w:line="560" w:lineRule="exact"/>
        <w:ind w:firstLine="643"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3.聘用人员经费。</w:t>
      </w:r>
      <w:r>
        <w:rPr>
          <w:rFonts w:hint="eastAsia" w:ascii="仿宋_GB2312" w:eastAsia="仿宋_GB2312"/>
          <w:color w:val="000000" w:themeColor="text1"/>
          <w:sz w:val="32"/>
          <w:szCs w:val="32"/>
          <w14:textFill>
            <w14:solidFill>
              <w14:schemeClr w14:val="tx1"/>
            </w14:solidFill>
          </w14:textFill>
        </w:rPr>
        <w:t>预算数</w:t>
      </w:r>
      <w:r>
        <w:rPr>
          <w:rFonts w:hint="eastAsia" w:ascii="仿宋_GB2312"/>
          <w:color w:val="000000" w:themeColor="text1"/>
          <w:sz w:val="32"/>
          <w:szCs w:val="32"/>
          <w:lang w:val="en-US" w:eastAsia="zh-CN"/>
          <w14:textFill>
            <w14:solidFill>
              <w14:schemeClr w14:val="tx1"/>
            </w14:solidFill>
          </w14:textFill>
        </w:rPr>
        <w:t>5.28</w:t>
      </w:r>
      <w:r>
        <w:rPr>
          <w:rFonts w:hint="eastAsia" w:ascii="仿宋_GB2312" w:eastAsia="仿宋_GB2312"/>
          <w:color w:val="000000" w:themeColor="text1"/>
          <w:sz w:val="32"/>
          <w:szCs w:val="32"/>
          <w14:textFill>
            <w14:solidFill>
              <w14:schemeClr w14:val="tx1"/>
            </w14:solidFill>
          </w14:textFill>
        </w:rPr>
        <w:t>万元，已支付</w:t>
      </w:r>
      <w:r>
        <w:rPr>
          <w:rFonts w:hint="eastAsia" w:ascii="仿宋_GB2312"/>
          <w:color w:val="000000" w:themeColor="text1"/>
          <w:sz w:val="32"/>
          <w:szCs w:val="32"/>
          <w:lang w:val="en-US" w:eastAsia="zh-CN"/>
          <w14:textFill>
            <w14:solidFill>
              <w14:schemeClr w14:val="tx1"/>
            </w14:solidFill>
          </w14:textFill>
        </w:rPr>
        <w:t>5.28</w:t>
      </w:r>
      <w:r>
        <w:rPr>
          <w:rFonts w:hint="eastAsia" w:ascii="仿宋_GB2312" w:eastAsia="仿宋_GB2312"/>
          <w:color w:val="000000" w:themeColor="text1"/>
          <w:sz w:val="32"/>
          <w:szCs w:val="32"/>
          <w14:textFill>
            <w14:solidFill>
              <w14:schemeClr w14:val="tx1"/>
            </w14:solidFill>
          </w14:textFill>
        </w:rPr>
        <w:t>万元，支付进度为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eastAsia="仿宋_GB2312"/>
          <w:color w:val="000000" w:themeColor="text1"/>
          <w:sz w:val="32"/>
          <w:szCs w:val="32"/>
          <w14:textFill>
            <w14:solidFill>
              <w14:schemeClr w14:val="tx1"/>
            </w14:solidFill>
          </w14:textFill>
        </w:rPr>
        <w:t>%。</w:t>
      </w:r>
    </w:p>
    <w:p w14:paraId="6A6AA24D">
      <w:pPr>
        <w:adjustRightInd w:val="0"/>
        <w:snapToGrid w:val="0"/>
        <w:spacing w:line="560" w:lineRule="exact"/>
        <w:ind w:firstLine="643" w:firstLineChars="200"/>
        <w:rPr>
          <w:rFonts w:hint="default" w:ascii="仿宋_GB2312" w:eastAsia="仿宋_GB2312"/>
          <w:sz w:val="32"/>
          <w:szCs w:val="32"/>
          <w:lang w:val="en-US" w:eastAsia="zh-CN"/>
        </w:rPr>
      </w:pPr>
      <w:r>
        <w:rPr>
          <w:rFonts w:hint="eastAsia" w:ascii="楷体_GB2312" w:hAnsi="楷体_GB2312" w:eastAsia="楷体_GB2312" w:cs="楷体_GB2312"/>
          <w:b/>
          <w:bCs w:val="0"/>
          <w:sz w:val="32"/>
          <w:szCs w:val="32"/>
        </w:rPr>
        <w:t>（二）公用经费。</w:t>
      </w:r>
      <w:r>
        <w:rPr>
          <w:rFonts w:hint="eastAsia" w:ascii="仿宋_GB2312" w:eastAsia="仿宋_GB2312"/>
          <w:sz w:val="32"/>
          <w:szCs w:val="32"/>
        </w:rPr>
        <w:t>202</w:t>
      </w:r>
      <w:r>
        <w:rPr>
          <w:rFonts w:hint="eastAsia" w:ascii="仿宋_GB2312"/>
          <w:sz w:val="32"/>
          <w:szCs w:val="32"/>
          <w:lang w:val="en-US" w:eastAsia="zh-CN"/>
        </w:rPr>
        <w:t>3</w:t>
      </w:r>
      <w:r>
        <w:rPr>
          <w:rFonts w:hint="eastAsia" w:ascii="仿宋_GB2312" w:eastAsia="仿宋_GB2312"/>
          <w:sz w:val="32"/>
          <w:szCs w:val="32"/>
        </w:rPr>
        <w:t>年州财政局下达分局公用经费预算数为</w:t>
      </w:r>
      <w:r>
        <w:rPr>
          <w:rFonts w:hint="eastAsia" w:ascii="仿宋_GB2312"/>
          <w:sz w:val="32"/>
          <w:szCs w:val="32"/>
          <w:lang w:val="en-US" w:eastAsia="zh-CN"/>
        </w:rPr>
        <w:t>70.43</w:t>
      </w:r>
      <w:r>
        <w:rPr>
          <w:rFonts w:hint="eastAsia" w:ascii="仿宋_GB2312" w:eastAsia="仿宋_GB2312"/>
          <w:sz w:val="32"/>
          <w:szCs w:val="32"/>
        </w:rPr>
        <w:t>万元</w:t>
      </w:r>
      <w:r>
        <w:rPr>
          <w:rFonts w:hint="eastAsia" w:ascii="仿宋_GB2312"/>
          <w:sz w:val="32"/>
          <w:szCs w:val="32"/>
          <w:lang w:eastAsia="zh-CN"/>
        </w:rPr>
        <w:t>，</w:t>
      </w:r>
      <w:r>
        <w:rPr>
          <w:rFonts w:hint="eastAsia" w:ascii="仿宋_GB2312"/>
          <w:sz w:val="32"/>
          <w:szCs w:val="32"/>
          <w:lang w:val="en-US" w:eastAsia="zh-CN"/>
        </w:rPr>
        <w:t>已支付55.5万元，支付进度为79%。</w:t>
      </w:r>
    </w:p>
    <w:p w14:paraId="133DDD60">
      <w:pPr>
        <w:adjustRightInd w:val="0"/>
        <w:snapToGrid w:val="0"/>
        <w:spacing w:line="560" w:lineRule="exact"/>
        <w:ind w:firstLine="630" w:firstLineChars="196"/>
        <w:rPr>
          <w:rFonts w:ascii="仿宋_GB2312" w:eastAsia="仿宋_GB2312"/>
          <w:b/>
          <w:sz w:val="32"/>
          <w:szCs w:val="32"/>
        </w:rPr>
      </w:pPr>
      <w:r>
        <w:rPr>
          <w:rFonts w:hint="eastAsia" w:ascii="楷体_GB2312" w:hAnsi="楷体_GB2312" w:eastAsia="楷体_GB2312" w:cs="楷体_GB2312"/>
          <w:b/>
          <w:bCs w:val="0"/>
          <w:sz w:val="32"/>
          <w:szCs w:val="32"/>
        </w:rPr>
        <w:t>（三）项目类经费</w:t>
      </w:r>
      <w:r>
        <w:rPr>
          <w:rFonts w:hint="eastAsia" w:ascii="仿宋_GB2312" w:eastAsia="仿宋_GB2312"/>
          <w:b/>
          <w:sz w:val="32"/>
          <w:szCs w:val="32"/>
        </w:rPr>
        <w:t>。</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sz w:val="32"/>
          <w:szCs w:val="32"/>
          <w:lang w:val="en-US" w:eastAsia="zh-CN"/>
        </w:rPr>
        <w:t>年初</w:t>
      </w:r>
      <w:r>
        <w:rPr>
          <w:rFonts w:hint="eastAsia" w:ascii="仿宋_GB2312" w:eastAsia="仿宋_GB2312"/>
          <w:sz w:val="32"/>
          <w:szCs w:val="32"/>
        </w:rPr>
        <w:t>财政局下达我局的项目经费为</w:t>
      </w:r>
      <w:r>
        <w:rPr>
          <w:rFonts w:hint="eastAsia" w:ascii="仿宋_GB2312"/>
          <w:sz w:val="32"/>
          <w:szCs w:val="32"/>
          <w:lang w:val="en-US" w:eastAsia="zh-CN"/>
        </w:rPr>
        <w:t>151.5</w:t>
      </w:r>
      <w:r>
        <w:rPr>
          <w:rFonts w:hint="eastAsia" w:ascii="仿宋_GB2312" w:eastAsia="仿宋_GB2312"/>
          <w:sz w:val="32"/>
          <w:szCs w:val="32"/>
        </w:rPr>
        <w:t>万元，其中：</w:t>
      </w:r>
    </w:p>
    <w:p w14:paraId="165945D9">
      <w:pPr>
        <w:adjustRightInd w:val="0"/>
        <w:snapToGrid w:val="0"/>
        <w:spacing w:line="560" w:lineRule="exact"/>
        <w:ind w:firstLine="630" w:firstLineChars="196"/>
        <w:rPr>
          <w:rFonts w:ascii="仿宋_GB2312" w:eastAsia="仿宋_GB2312"/>
          <w:b/>
          <w:sz w:val="32"/>
          <w:szCs w:val="32"/>
        </w:rPr>
      </w:pPr>
      <w:r>
        <w:rPr>
          <w:rFonts w:hint="eastAsia" w:ascii="仿宋_GB2312" w:eastAsia="仿宋_GB2312"/>
          <w:b/>
          <w:sz w:val="32"/>
          <w:szCs w:val="32"/>
        </w:rPr>
        <w:t>1.卧龙体制改革工作经费。</w:t>
      </w:r>
      <w:r>
        <w:rPr>
          <w:rFonts w:hint="eastAsia" w:ascii="仿宋_GB2312" w:eastAsia="仿宋_GB2312"/>
          <w:sz w:val="32"/>
          <w:szCs w:val="32"/>
        </w:rPr>
        <w:t>预算数30万元（差旅费15万元、办公费10万元、公务用车运行维护费5万元）</w:t>
      </w:r>
      <w:r>
        <w:rPr>
          <w:rFonts w:hint="eastAsia" w:ascii="仿宋_GB2312" w:eastAsia="仿宋_GB2312"/>
          <w:sz w:val="32"/>
          <w:szCs w:val="32"/>
          <w:lang w:val="en-US" w:eastAsia="zh-CN"/>
        </w:rPr>
        <w:t>因支付进度过缓，11月底</w:t>
      </w:r>
      <w:r>
        <w:rPr>
          <w:rFonts w:hint="eastAsia" w:ascii="仿宋_GB2312"/>
          <w:sz w:val="32"/>
          <w:szCs w:val="32"/>
          <w:lang w:val="en-US" w:eastAsia="zh-CN"/>
        </w:rPr>
        <w:t>三项清理</w:t>
      </w:r>
      <w:r>
        <w:rPr>
          <w:rFonts w:hint="eastAsia" w:ascii="仿宋_GB2312" w:eastAsia="仿宋_GB2312"/>
          <w:sz w:val="32"/>
          <w:szCs w:val="32"/>
          <w:lang w:val="en-US" w:eastAsia="zh-CN"/>
        </w:rPr>
        <w:t>财政收回差旅费指标7万元，办公费指标8万元，实际预算数为15万元，</w:t>
      </w:r>
      <w:r>
        <w:rPr>
          <w:rFonts w:hint="eastAsia" w:ascii="仿宋_GB2312" w:eastAsia="仿宋_GB2312"/>
          <w:sz w:val="32"/>
          <w:szCs w:val="32"/>
        </w:rPr>
        <w:t>已支付</w:t>
      </w:r>
      <w:r>
        <w:rPr>
          <w:rFonts w:hint="eastAsia" w:ascii="仿宋_GB2312"/>
          <w:sz w:val="32"/>
          <w:szCs w:val="32"/>
          <w:lang w:val="en-US" w:eastAsia="zh-CN"/>
        </w:rPr>
        <w:t>12.06</w:t>
      </w:r>
      <w:r>
        <w:rPr>
          <w:rFonts w:hint="eastAsia" w:ascii="仿宋_GB2312" w:eastAsia="仿宋_GB2312"/>
          <w:sz w:val="32"/>
          <w:szCs w:val="32"/>
        </w:rPr>
        <w:t>万元，支付进度为</w:t>
      </w:r>
      <w:r>
        <w:rPr>
          <w:rFonts w:hint="eastAsia" w:ascii="仿宋_GB2312"/>
          <w:sz w:val="32"/>
          <w:szCs w:val="32"/>
          <w:lang w:val="en-US" w:eastAsia="zh-CN"/>
        </w:rPr>
        <w:t>8</w:t>
      </w:r>
      <w:r>
        <w:rPr>
          <w:rFonts w:hint="eastAsia" w:ascii="仿宋_GB2312" w:eastAsia="仿宋_GB2312"/>
          <w:sz w:val="32"/>
          <w:szCs w:val="32"/>
          <w:lang w:val="en-US" w:eastAsia="zh-CN"/>
        </w:rPr>
        <w:t>0</w:t>
      </w:r>
      <w:r>
        <w:rPr>
          <w:rFonts w:hint="eastAsia" w:ascii="仿宋_GB2312"/>
          <w:sz w:val="32"/>
          <w:szCs w:val="32"/>
          <w:lang w:val="en-US" w:eastAsia="zh-CN"/>
        </w:rPr>
        <w:t>.4</w:t>
      </w:r>
      <w:r>
        <w:rPr>
          <w:rFonts w:hint="eastAsia" w:ascii="仿宋_GB2312" w:eastAsia="仿宋_GB2312"/>
          <w:sz w:val="32"/>
          <w:szCs w:val="32"/>
        </w:rPr>
        <w:t>%。</w:t>
      </w:r>
    </w:p>
    <w:p w14:paraId="679D9939">
      <w:pPr>
        <w:adjustRightInd w:val="0"/>
        <w:snapToGrid w:val="0"/>
        <w:spacing w:line="560" w:lineRule="exact"/>
        <w:ind w:firstLine="630" w:firstLineChars="196"/>
        <w:rPr>
          <w:rFonts w:ascii="仿宋_GB2312" w:eastAsia="仿宋_GB2312"/>
          <w:b/>
          <w:color w:val="000000"/>
          <w:sz w:val="32"/>
          <w:szCs w:val="32"/>
          <w:lang w:val="en-US" w:eastAsia="zh-CN"/>
        </w:rPr>
      </w:pPr>
      <w:r>
        <w:rPr>
          <w:rFonts w:hint="eastAsia" w:ascii="仿宋_GB2312" w:eastAsia="仿宋_GB2312"/>
          <w:b/>
          <w:color w:val="000000"/>
          <w:sz w:val="32"/>
          <w:szCs w:val="32"/>
        </w:rPr>
        <w:t>2.大熊猫国家公园阿坝片区规划。</w:t>
      </w:r>
      <w:r>
        <w:rPr>
          <w:rFonts w:hint="eastAsia" w:ascii="仿宋_GB2312" w:eastAsia="仿宋_GB2312"/>
          <w:color w:val="000000"/>
          <w:sz w:val="32"/>
          <w:szCs w:val="32"/>
        </w:rPr>
        <w:t>预算数</w:t>
      </w:r>
      <w:r>
        <w:rPr>
          <w:rFonts w:hint="eastAsia" w:ascii="仿宋_GB2312" w:eastAsia="仿宋_GB2312"/>
          <w:color w:val="000000"/>
          <w:sz w:val="32"/>
          <w:szCs w:val="32"/>
          <w:lang w:val="en-US" w:eastAsia="zh-CN"/>
        </w:rPr>
        <w:t>40.5</w:t>
      </w:r>
      <w:r>
        <w:rPr>
          <w:rFonts w:hint="eastAsia" w:ascii="仿宋_GB2312" w:eastAsia="仿宋_GB2312"/>
          <w:color w:val="000000"/>
          <w:sz w:val="32"/>
          <w:szCs w:val="32"/>
        </w:rPr>
        <w:t>万元，</w:t>
      </w:r>
      <w:r>
        <w:rPr>
          <w:rFonts w:hint="eastAsia" w:ascii="仿宋_GB2312" w:eastAsia="仿宋_GB2312"/>
          <w:color w:val="000000"/>
          <w:sz w:val="32"/>
          <w:szCs w:val="32"/>
          <w:lang w:val="en-US" w:eastAsia="zh-CN"/>
        </w:rPr>
        <w:t>已支付39.5万元，支付进度97.53%。</w:t>
      </w:r>
    </w:p>
    <w:p w14:paraId="5CA0BF96">
      <w:pPr>
        <w:adjustRightInd w:val="0"/>
        <w:snapToGrid w:val="0"/>
        <w:spacing w:line="560" w:lineRule="exact"/>
        <w:ind w:firstLine="643" w:firstLineChars="200"/>
        <w:rPr>
          <w:rFonts w:ascii="仿宋_GB2312" w:eastAsia="仿宋_GB2312"/>
          <w:b/>
          <w:sz w:val="32"/>
          <w:szCs w:val="32"/>
        </w:rPr>
      </w:pPr>
      <w:r>
        <w:rPr>
          <w:rFonts w:hint="eastAsia" w:ascii="仿宋_GB2312" w:eastAsia="仿宋_GB2312"/>
          <w:b/>
          <w:sz w:val="32"/>
          <w:szCs w:val="32"/>
        </w:rPr>
        <w:t>3.宣传教育。</w:t>
      </w:r>
      <w:r>
        <w:rPr>
          <w:rFonts w:hint="eastAsia" w:ascii="仿宋_GB2312" w:eastAsia="仿宋_GB2312"/>
          <w:sz w:val="32"/>
          <w:szCs w:val="32"/>
        </w:rPr>
        <w:t>预算数</w:t>
      </w:r>
      <w:r>
        <w:rPr>
          <w:rFonts w:hint="eastAsia" w:ascii="仿宋_GB2312" w:eastAsia="仿宋_GB2312"/>
          <w:sz w:val="32"/>
          <w:szCs w:val="32"/>
          <w:lang w:val="en-US" w:eastAsia="zh-CN"/>
        </w:rPr>
        <w:t>15</w:t>
      </w:r>
      <w:r>
        <w:rPr>
          <w:rFonts w:hint="eastAsia" w:ascii="仿宋_GB2312" w:eastAsia="仿宋_GB2312"/>
          <w:sz w:val="32"/>
          <w:szCs w:val="32"/>
        </w:rPr>
        <w:t>万元，已支付</w:t>
      </w:r>
      <w:r>
        <w:rPr>
          <w:rFonts w:hint="eastAsia" w:ascii="仿宋_GB2312" w:eastAsia="仿宋_GB2312"/>
          <w:sz w:val="32"/>
          <w:szCs w:val="32"/>
          <w:lang w:val="en-US" w:eastAsia="zh-CN"/>
        </w:rPr>
        <w:t>14.41</w:t>
      </w:r>
      <w:r>
        <w:rPr>
          <w:rFonts w:hint="eastAsia" w:ascii="仿宋_GB2312" w:eastAsia="仿宋_GB2312"/>
          <w:sz w:val="32"/>
          <w:szCs w:val="32"/>
        </w:rPr>
        <w:t>万元，支付进度为</w:t>
      </w:r>
      <w:r>
        <w:rPr>
          <w:rFonts w:hint="eastAsia" w:ascii="仿宋_GB2312" w:eastAsia="仿宋_GB2312"/>
          <w:sz w:val="32"/>
          <w:szCs w:val="32"/>
          <w:lang w:val="en-US" w:eastAsia="zh-CN"/>
        </w:rPr>
        <w:t>96.07</w:t>
      </w:r>
      <w:r>
        <w:rPr>
          <w:rFonts w:hint="eastAsia" w:ascii="仿宋_GB2312" w:eastAsia="仿宋_GB2312"/>
          <w:sz w:val="32"/>
          <w:szCs w:val="32"/>
        </w:rPr>
        <w:t>%。</w:t>
      </w:r>
    </w:p>
    <w:p w14:paraId="7A2AB6A7">
      <w:pPr>
        <w:tabs>
          <w:tab w:val="left" w:pos="700"/>
        </w:tabs>
        <w:adjustRightInd w:val="0"/>
        <w:snapToGrid w:val="0"/>
        <w:spacing w:line="560" w:lineRule="exact"/>
        <w:ind w:firstLine="643" w:firstLineChars="200"/>
        <w:rPr>
          <w:rFonts w:ascii="仿宋_GB2312" w:eastAsia="仿宋_GB2312"/>
          <w:sz w:val="32"/>
          <w:szCs w:val="32"/>
          <w:lang w:val="en-US" w:eastAsia="zh-CN"/>
        </w:rPr>
      </w:pPr>
      <w:r>
        <w:rPr>
          <w:rFonts w:hint="eastAsia" w:ascii="仿宋_GB2312" w:eastAsia="仿宋_GB2312"/>
          <w:b/>
          <w:sz w:val="32"/>
          <w:szCs w:val="32"/>
          <w:lang w:val="en-US" w:eastAsia="zh-CN"/>
        </w:rPr>
        <w:t>4</w:t>
      </w:r>
      <w:r>
        <w:rPr>
          <w:rFonts w:hint="eastAsia" w:ascii="仿宋_GB2312" w:eastAsia="仿宋_GB2312"/>
          <w:b/>
          <w:sz w:val="32"/>
          <w:szCs w:val="32"/>
        </w:rPr>
        <w:t>.大熊猫国家公园保护保障工作经费。</w:t>
      </w:r>
      <w:r>
        <w:rPr>
          <w:rFonts w:hint="eastAsia" w:ascii="仿宋_GB2312" w:eastAsia="仿宋_GB2312"/>
          <w:sz w:val="32"/>
          <w:szCs w:val="32"/>
        </w:rPr>
        <w:t>预算数</w:t>
      </w:r>
      <w:r>
        <w:rPr>
          <w:rFonts w:hint="eastAsia" w:ascii="仿宋_GB2312" w:eastAsia="仿宋_GB2312"/>
          <w:sz w:val="32"/>
          <w:szCs w:val="32"/>
          <w:lang w:val="en-US" w:eastAsia="zh-CN"/>
        </w:rPr>
        <w:t>50</w:t>
      </w:r>
      <w:r>
        <w:rPr>
          <w:rFonts w:hint="eastAsia" w:ascii="仿宋_GB2312" w:eastAsia="仿宋_GB2312"/>
          <w:sz w:val="32"/>
          <w:szCs w:val="32"/>
        </w:rPr>
        <w:t>万元，</w:t>
      </w:r>
      <w:r>
        <w:rPr>
          <w:rFonts w:hint="eastAsia" w:ascii="仿宋_GB2312" w:eastAsia="仿宋_GB2312"/>
          <w:sz w:val="32"/>
          <w:szCs w:val="32"/>
          <w:lang w:val="en-US" w:eastAsia="zh-CN"/>
        </w:rPr>
        <w:t>已支付</w:t>
      </w:r>
      <w:r>
        <w:rPr>
          <w:rFonts w:hint="eastAsia" w:ascii="仿宋_GB2312"/>
          <w:sz w:val="32"/>
          <w:szCs w:val="32"/>
          <w:lang w:val="en-US" w:eastAsia="zh-CN"/>
        </w:rPr>
        <w:t>30.62</w:t>
      </w:r>
      <w:r>
        <w:rPr>
          <w:rFonts w:hint="eastAsia" w:ascii="仿宋_GB2312" w:eastAsia="仿宋_GB2312"/>
          <w:sz w:val="32"/>
          <w:szCs w:val="32"/>
          <w:lang w:val="en-US" w:eastAsia="zh-CN"/>
        </w:rPr>
        <w:t>万元，支付进度为</w:t>
      </w:r>
      <w:r>
        <w:rPr>
          <w:rFonts w:hint="eastAsia" w:ascii="仿宋_GB2312"/>
          <w:sz w:val="32"/>
          <w:szCs w:val="32"/>
          <w:lang w:val="en-US" w:eastAsia="zh-CN"/>
        </w:rPr>
        <w:t>61.24</w:t>
      </w:r>
      <w:r>
        <w:rPr>
          <w:rFonts w:hint="eastAsia" w:ascii="仿宋_GB2312" w:eastAsia="仿宋_GB2312"/>
          <w:sz w:val="32"/>
          <w:szCs w:val="32"/>
          <w:lang w:val="en-US" w:eastAsia="zh-CN"/>
        </w:rPr>
        <w:t>%。</w:t>
      </w:r>
    </w:p>
    <w:p w14:paraId="2FF6A1F6">
      <w:pPr>
        <w:tabs>
          <w:tab w:val="left" w:pos="700"/>
        </w:tabs>
        <w:adjustRightInd w:val="0"/>
        <w:snapToGrid w:val="0"/>
        <w:spacing w:line="560" w:lineRule="exact"/>
        <w:ind w:firstLine="643" w:firstLineChars="200"/>
        <w:rPr>
          <w:rFonts w:ascii="仿宋_GB2312" w:eastAsia="仿宋_GB2312"/>
          <w:b/>
          <w:sz w:val="32"/>
          <w:szCs w:val="32"/>
        </w:rPr>
      </w:pPr>
      <w:r>
        <w:rPr>
          <w:rFonts w:hint="eastAsia" w:ascii="仿宋_GB2312" w:eastAsia="仿宋_GB2312"/>
          <w:b/>
          <w:sz w:val="32"/>
          <w:szCs w:val="32"/>
          <w:lang w:val="en-US" w:eastAsia="zh-CN"/>
        </w:rPr>
        <w:t>5</w:t>
      </w:r>
      <w:r>
        <w:rPr>
          <w:rFonts w:hint="eastAsia" w:ascii="仿宋_GB2312" w:eastAsia="仿宋_GB2312"/>
          <w:b/>
          <w:sz w:val="32"/>
          <w:szCs w:val="32"/>
        </w:rPr>
        <w:t>.办公用房租赁费。</w:t>
      </w:r>
      <w:r>
        <w:rPr>
          <w:rFonts w:hint="eastAsia" w:ascii="仿宋_GB2312" w:eastAsia="仿宋_GB2312"/>
          <w:sz w:val="32"/>
          <w:szCs w:val="32"/>
        </w:rPr>
        <w:t>预算数</w:t>
      </w:r>
      <w:r>
        <w:rPr>
          <w:rFonts w:hint="eastAsia" w:ascii="仿宋_GB2312" w:eastAsia="仿宋_GB2312"/>
          <w:sz w:val="32"/>
          <w:szCs w:val="32"/>
          <w:lang w:val="en-US" w:eastAsia="zh-CN"/>
        </w:rPr>
        <w:t>15</w:t>
      </w:r>
      <w:r>
        <w:rPr>
          <w:rFonts w:hint="eastAsia" w:ascii="仿宋_GB2312" w:eastAsia="仿宋_GB2312"/>
          <w:sz w:val="32"/>
          <w:szCs w:val="32"/>
        </w:rPr>
        <w:t>万元，已支付</w:t>
      </w:r>
      <w:r>
        <w:rPr>
          <w:rFonts w:hint="eastAsia" w:ascii="仿宋_GB2312" w:eastAsia="仿宋_GB2312"/>
          <w:sz w:val="32"/>
          <w:szCs w:val="32"/>
          <w:lang w:val="en-US" w:eastAsia="zh-CN"/>
        </w:rPr>
        <w:t>13.7</w:t>
      </w:r>
      <w:r>
        <w:rPr>
          <w:rFonts w:hint="eastAsia" w:ascii="仿宋_GB2312" w:eastAsia="仿宋_GB2312"/>
          <w:sz w:val="32"/>
          <w:szCs w:val="32"/>
        </w:rPr>
        <w:t>万元，支付进度为</w:t>
      </w:r>
      <w:r>
        <w:rPr>
          <w:rFonts w:hint="eastAsia" w:ascii="仿宋_GB2312" w:eastAsia="仿宋_GB2312"/>
          <w:sz w:val="32"/>
          <w:szCs w:val="32"/>
          <w:lang w:val="en-US" w:eastAsia="zh-CN"/>
        </w:rPr>
        <w:t>91.33</w:t>
      </w:r>
      <w:r>
        <w:rPr>
          <w:rFonts w:hint="eastAsia" w:ascii="仿宋_GB2312" w:eastAsia="仿宋_GB2312"/>
          <w:sz w:val="32"/>
          <w:szCs w:val="32"/>
        </w:rPr>
        <w:t>%。</w:t>
      </w:r>
    </w:p>
    <w:p w14:paraId="6D3A1B81">
      <w:pPr>
        <w:tabs>
          <w:tab w:val="left" w:pos="700"/>
        </w:tabs>
        <w:adjustRightInd w:val="0"/>
        <w:snapToGrid w:val="0"/>
        <w:spacing w:line="560" w:lineRule="exact"/>
        <w:ind w:firstLine="643" w:firstLineChars="200"/>
        <w:rPr>
          <w:rFonts w:hint="eastAsia" w:ascii="仿宋_GB2312" w:eastAsia="仿宋_GB2312"/>
          <w:color w:val="000000"/>
          <w:sz w:val="32"/>
          <w:szCs w:val="32"/>
        </w:rPr>
      </w:pPr>
      <w:r>
        <w:rPr>
          <w:rFonts w:hint="eastAsia" w:ascii="仿宋_GB2312" w:eastAsia="仿宋_GB2312"/>
          <w:b/>
          <w:sz w:val="32"/>
          <w:szCs w:val="32"/>
          <w:lang w:val="en-US" w:eastAsia="zh-CN"/>
        </w:rPr>
        <w:t>6</w:t>
      </w:r>
      <w:r>
        <w:rPr>
          <w:rFonts w:hint="eastAsia" w:ascii="仿宋_GB2312" w:eastAsia="仿宋_GB2312"/>
          <w:b/>
          <w:sz w:val="32"/>
          <w:szCs w:val="32"/>
        </w:rPr>
        <w:t>.聘请法律顾问。</w:t>
      </w:r>
      <w:r>
        <w:rPr>
          <w:rFonts w:hint="eastAsia" w:ascii="仿宋_GB2312" w:eastAsia="仿宋_GB2312"/>
          <w:sz w:val="32"/>
          <w:szCs w:val="32"/>
        </w:rPr>
        <w:t>预算数</w:t>
      </w:r>
      <w:r>
        <w:rPr>
          <w:rFonts w:hint="eastAsia" w:ascii="仿宋_GB2312" w:eastAsia="仿宋_GB2312"/>
          <w:sz w:val="32"/>
          <w:szCs w:val="32"/>
          <w:lang w:val="en-US" w:eastAsia="zh-CN"/>
        </w:rPr>
        <w:t>1</w:t>
      </w:r>
      <w:r>
        <w:rPr>
          <w:rFonts w:hint="eastAsia" w:ascii="仿宋_GB2312" w:eastAsia="仿宋_GB2312"/>
          <w:sz w:val="32"/>
          <w:szCs w:val="32"/>
        </w:rPr>
        <w:t>万元，现已支付1万元，</w:t>
      </w:r>
      <w:r>
        <w:rPr>
          <w:rFonts w:hint="eastAsia" w:ascii="仿宋_GB2312" w:eastAsia="仿宋_GB2312"/>
          <w:color w:val="000000"/>
          <w:sz w:val="32"/>
          <w:szCs w:val="32"/>
          <w:lang w:val="en-US" w:eastAsia="zh-CN"/>
        </w:rPr>
        <w:t>支付进度100%</w:t>
      </w:r>
      <w:r>
        <w:rPr>
          <w:rFonts w:hint="eastAsia" w:ascii="仿宋_GB2312" w:eastAsia="仿宋_GB2312"/>
          <w:color w:val="000000"/>
          <w:sz w:val="32"/>
          <w:szCs w:val="32"/>
        </w:rPr>
        <w:t>。</w:t>
      </w:r>
    </w:p>
    <w:p w14:paraId="5F84F4CA">
      <w:pPr>
        <w:tabs>
          <w:tab w:val="left" w:pos="700"/>
        </w:tabs>
        <w:adjustRightInd w:val="0"/>
        <w:snapToGrid w:val="0"/>
        <w:spacing w:line="560" w:lineRule="exact"/>
        <w:ind w:firstLine="643" w:firstLineChars="200"/>
        <w:rPr>
          <w:rFonts w:hint="eastAsia" w:ascii="仿宋_GB2312" w:eastAsia="仿宋_GB2312"/>
          <w:b w:val="0"/>
          <w:bCs/>
          <w:sz w:val="32"/>
          <w:szCs w:val="32"/>
          <w:lang w:val="en-US" w:eastAsia="zh-CN"/>
        </w:rPr>
      </w:pPr>
      <w:r>
        <w:rPr>
          <w:rFonts w:hint="eastAsia" w:ascii="仿宋_GB2312" w:eastAsia="仿宋_GB2312"/>
          <w:b/>
          <w:sz w:val="32"/>
          <w:szCs w:val="32"/>
          <w:lang w:val="en-US" w:eastAsia="zh-CN"/>
        </w:rPr>
        <w:t>7</w:t>
      </w:r>
      <w:r>
        <w:rPr>
          <w:rFonts w:hint="eastAsia" w:ascii="仿宋_GB2312" w:eastAsia="仿宋_GB2312"/>
          <w:b/>
          <w:sz w:val="32"/>
          <w:szCs w:val="32"/>
        </w:rPr>
        <w:t>.</w:t>
      </w:r>
      <w:r>
        <w:rPr>
          <w:rFonts w:hint="eastAsia" w:ascii="仿宋_GB2312" w:eastAsia="仿宋_GB2312"/>
          <w:b/>
          <w:sz w:val="32"/>
          <w:szCs w:val="32"/>
          <w:lang w:val="en-US" w:eastAsia="zh-CN"/>
        </w:rPr>
        <w:t>雪豹监测</w:t>
      </w:r>
      <w:r>
        <w:rPr>
          <w:rFonts w:hint="eastAsia" w:ascii="仿宋_GB2312" w:eastAsia="仿宋_GB2312"/>
          <w:b/>
          <w:sz w:val="32"/>
          <w:szCs w:val="32"/>
        </w:rPr>
        <w:t>。</w:t>
      </w:r>
      <w:r>
        <w:rPr>
          <w:rFonts w:hint="eastAsia" w:ascii="仿宋_GB2312" w:eastAsia="仿宋_GB2312"/>
          <w:b/>
          <w:sz w:val="32"/>
          <w:szCs w:val="32"/>
          <w:lang w:val="en-US" w:eastAsia="zh-CN"/>
        </w:rPr>
        <w:t>预算数286万元。</w:t>
      </w:r>
      <w:r>
        <w:rPr>
          <w:rFonts w:hint="eastAsia" w:ascii="仿宋_GB2312" w:eastAsia="仿宋_GB2312"/>
          <w:b w:val="0"/>
          <w:bCs/>
          <w:sz w:val="32"/>
          <w:szCs w:val="32"/>
          <w:lang w:val="en-US" w:eastAsia="zh-CN"/>
        </w:rPr>
        <w:t>已支付197.36万元，支付进度69%。按合同约定剩下40%调查服务费在2024年</w:t>
      </w:r>
      <w:r>
        <w:rPr>
          <w:rFonts w:hint="eastAsia" w:ascii="仿宋_GB2312"/>
          <w:b w:val="0"/>
          <w:bCs/>
          <w:sz w:val="32"/>
          <w:szCs w:val="32"/>
          <w:lang w:val="en-US" w:eastAsia="zh-CN"/>
        </w:rPr>
        <w:t>10</w:t>
      </w:r>
      <w:r>
        <w:rPr>
          <w:rFonts w:hint="eastAsia" w:ascii="仿宋_GB2312" w:eastAsia="仿宋_GB2312"/>
          <w:b w:val="0"/>
          <w:bCs/>
          <w:sz w:val="32"/>
          <w:szCs w:val="32"/>
          <w:lang w:val="en-US" w:eastAsia="zh-CN"/>
        </w:rPr>
        <w:t>月支付。</w:t>
      </w:r>
    </w:p>
    <w:p w14:paraId="5E828690">
      <w:pPr>
        <w:tabs>
          <w:tab w:val="left" w:pos="700"/>
        </w:tabs>
        <w:adjustRightInd w:val="0"/>
        <w:snapToGrid w:val="0"/>
        <w:spacing w:line="560" w:lineRule="exact"/>
        <w:ind w:firstLine="643" w:firstLineChars="200"/>
        <w:rPr>
          <w:rFonts w:ascii="仿宋_GB2312" w:eastAsia="仿宋_GB2312"/>
          <w:b w:val="0"/>
          <w:bCs/>
          <w:sz w:val="32"/>
          <w:szCs w:val="32"/>
          <w:lang w:val="en-US" w:eastAsia="zh-CN"/>
        </w:rPr>
      </w:pPr>
      <w:r>
        <w:rPr>
          <w:rFonts w:hint="eastAsia" w:ascii="仿宋_GB2312" w:eastAsia="仿宋_GB2312"/>
          <w:b/>
          <w:sz w:val="32"/>
          <w:szCs w:val="32"/>
          <w:lang w:val="en-US" w:eastAsia="zh-CN"/>
        </w:rPr>
        <w:t>8</w:t>
      </w:r>
      <w:r>
        <w:rPr>
          <w:rFonts w:hint="eastAsia" w:ascii="仿宋_GB2312" w:eastAsia="仿宋_GB2312"/>
          <w:b/>
          <w:sz w:val="32"/>
          <w:szCs w:val="32"/>
        </w:rPr>
        <w:t>.</w:t>
      </w:r>
      <w:r>
        <w:rPr>
          <w:rFonts w:hint="eastAsia" w:ascii="仿宋_GB2312" w:eastAsia="仿宋_GB2312"/>
          <w:b/>
          <w:sz w:val="32"/>
          <w:szCs w:val="32"/>
          <w:lang w:val="en-US" w:eastAsia="zh-CN"/>
        </w:rPr>
        <w:t>巡护终端采购</w:t>
      </w:r>
      <w:r>
        <w:rPr>
          <w:rFonts w:hint="eastAsia" w:ascii="仿宋_GB2312" w:eastAsia="仿宋_GB2312"/>
          <w:b/>
          <w:sz w:val="32"/>
          <w:szCs w:val="32"/>
        </w:rPr>
        <w:t>。</w:t>
      </w:r>
      <w:r>
        <w:rPr>
          <w:rFonts w:hint="eastAsia" w:ascii="仿宋_GB2312" w:eastAsia="仿宋_GB2312"/>
          <w:b/>
          <w:sz w:val="32"/>
          <w:szCs w:val="32"/>
          <w:lang w:val="en-US" w:eastAsia="zh-CN"/>
        </w:rPr>
        <w:t>预算数50万元。</w:t>
      </w:r>
      <w:r>
        <w:rPr>
          <w:rFonts w:hint="eastAsia" w:ascii="仿宋_GB2312" w:eastAsia="仿宋_GB2312"/>
          <w:b w:val="0"/>
          <w:bCs/>
          <w:sz w:val="32"/>
          <w:szCs w:val="32"/>
          <w:lang w:val="en-US" w:eastAsia="zh-CN"/>
        </w:rPr>
        <w:t>因两次流标，年底决算，结转到2024年执行。</w:t>
      </w:r>
    </w:p>
    <w:p w14:paraId="038BB862">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default" w:ascii="仿宋_GB2312" w:eastAsia="仿宋_GB2312" w:cs="Arial"/>
          <w:color w:val="000000" w:themeColor="text1"/>
          <w:sz w:val="32"/>
          <w:szCs w:val="32"/>
          <w:lang w:val="en-US" w:eastAsia="zh-CN"/>
          <w14:textFill>
            <w14:solidFill>
              <w14:schemeClr w14:val="tx1"/>
            </w14:solidFill>
          </w14:textFill>
        </w:rPr>
      </w:pPr>
      <w:r>
        <w:rPr>
          <w:rFonts w:hint="default" w:ascii="仿宋_GB2312" w:eastAsia="仿宋_GB2312" w:cs="Arial"/>
          <w:b/>
          <w:bCs/>
          <w:color w:val="000000" w:themeColor="text1"/>
          <w:sz w:val="32"/>
          <w:szCs w:val="32"/>
          <w:lang w:val="zh-CN" w:eastAsia="zh-CN"/>
          <w14:textFill>
            <w14:solidFill>
              <w14:schemeClr w14:val="tx1"/>
            </w14:solidFill>
          </w14:textFill>
        </w:rPr>
        <w:t>财务管理</w:t>
      </w:r>
      <w:r>
        <w:rPr>
          <w:rFonts w:hint="eastAsia" w:ascii="仿宋_GB2312" w:eastAsia="仿宋_GB2312" w:cs="Arial"/>
          <w:b/>
          <w:bCs/>
          <w:color w:val="000000" w:themeColor="text1"/>
          <w:sz w:val="32"/>
          <w:szCs w:val="32"/>
          <w:lang w:val="zh-CN" w:eastAsia="zh-CN"/>
          <w14:textFill>
            <w14:solidFill>
              <w14:schemeClr w14:val="tx1"/>
            </w14:solidFill>
          </w14:textFill>
        </w:rPr>
        <w:t>。</w:t>
      </w:r>
      <w:r>
        <w:rPr>
          <w:rFonts w:hint="eastAsia" w:ascii="仿宋_GB2312" w:cs="Arial"/>
          <w:color w:val="000000" w:themeColor="text1"/>
          <w:sz w:val="32"/>
          <w:szCs w:val="32"/>
          <w:lang w:val="en-US" w:eastAsia="zh-CN"/>
          <w14:textFill>
            <w14:solidFill>
              <w14:schemeClr w14:val="tx1"/>
            </w14:solidFill>
          </w14:textFill>
        </w:rPr>
        <w:t>我单位严格执行《政府会计制度》和相关的法律法规，制定了单位各项支出项目的内控制度、岗位职责；财务岗位设置为专职会计1名、兼职出纳1名、财务机构负责人由办公室主任兼任，严格执行不相容岗位相分离制度。资金使用方面不存在超预算或无预算安排、虚列支出、超范围超标准使用经费、违规使用“三公”经费、滥发津补贴、报销不合规等情况，资金支付严格审批流程。</w:t>
      </w:r>
    </w:p>
    <w:p w14:paraId="6A8E280D">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default" w:ascii="仿宋_GB2312" w:eastAsia="仿宋_GB2312" w:cs="Arial"/>
          <w:b/>
          <w:bCs/>
          <w:color w:val="000000" w:themeColor="text1"/>
          <w:sz w:val="32"/>
          <w:szCs w:val="32"/>
          <w:lang w:val="zh-CN" w:eastAsia="zh-CN"/>
          <w14:textFill>
            <w14:solidFill>
              <w14:schemeClr w14:val="tx1"/>
            </w14:solidFill>
          </w14:textFill>
        </w:rPr>
        <w:t>资产管理</w:t>
      </w:r>
      <w:r>
        <w:rPr>
          <w:rFonts w:hint="eastAsia" w:ascii="仿宋_GB2312" w:eastAsia="仿宋_GB2312" w:cs="Arial"/>
          <w:b/>
          <w:bCs/>
          <w:color w:val="000000" w:themeColor="text1"/>
          <w:sz w:val="32"/>
          <w:szCs w:val="32"/>
          <w:lang w:val="zh-CN" w:eastAsia="zh-CN"/>
          <w14:textFill>
            <w14:solidFill>
              <w14:schemeClr w14:val="tx1"/>
            </w14:solidFill>
          </w14:textFill>
        </w:rPr>
        <w:t>。</w:t>
      </w:r>
      <w:r>
        <w:rPr>
          <w:rFonts w:hint="eastAsia" w:ascii="仿宋_GB2312" w:hAnsi="仿宋_GB2312" w:eastAsia="仿宋_GB2312" w:cs="仿宋_GB2312"/>
          <w:b w:val="0"/>
          <w:i w:val="0"/>
          <w:sz w:val="32"/>
          <w:szCs w:val="32"/>
          <w:u w:val="none"/>
        </w:rPr>
        <w:t>根据《行政单位国有资产管理暂行办法》（财政部令第35号）、《事业单位国有资产管理暂行办法》（财政部令第36号）和《行政事业单位国有资产报告制度》等有关规定</w:t>
      </w:r>
      <w:r>
        <w:rPr>
          <w:rFonts w:hint="eastAsia" w:ascii="仿宋_GB2312" w:hAnsi="仿宋_GB2312" w:cs="仿宋_GB2312"/>
          <w:b w:val="0"/>
          <w:i w:val="0"/>
          <w:sz w:val="32"/>
          <w:szCs w:val="32"/>
          <w:u w:val="none"/>
          <w:lang w:val="en-US" w:eastAsia="zh-CN"/>
        </w:rPr>
        <w:t>对单位资产进行</w:t>
      </w:r>
      <w:r>
        <w:rPr>
          <w:rFonts w:hint="eastAsia" w:ascii="仿宋_GB2312" w:hAnsi="仿宋_GB2312" w:eastAsia="仿宋_GB2312" w:cs="仿宋_GB2312"/>
          <w:b w:val="0"/>
          <w:i w:val="0"/>
          <w:sz w:val="32"/>
          <w:szCs w:val="32"/>
          <w:u w:val="none"/>
        </w:rPr>
        <w:t>配置、使用</w:t>
      </w:r>
      <w:r>
        <w:rPr>
          <w:rFonts w:hint="eastAsia" w:ascii="仿宋_GB2312" w:hAnsi="仿宋_GB2312" w:cs="仿宋_GB2312"/>
          <w:b w:val="0"/>
          <w:i w:val="0"/>
          <w:sz w:val="32"/>
          <w:szCs w:val="32"/>
          <w:u w:val="none"/>
          <w:lang w:val="en-US" w:eastAsia="zh-CN"/>
        </w:rPr>
        <w:t>等管理。</w:t>
      </w:r>
      <w:r>
        <w:rPr>
          <w:rFonts w:hint="eastAsia" w:ascii="仿宋_GB2312" w:eastAsia="仿宋_GB2312" w:cs="Arial"/>
          <w:color w:val="000000" w:themeColor="text1"/>
          <w:sz w:val="32"/>
          <w:szCs w:val="32"/>
          <w:lang w:val="en-US" w:eastAsia="zh-CN"/>
          <w14:textFill>
            <w14:solidFill>
              <w14:schemeClr w14:val="tx1"/>
            </w14:solidFill>
          </w14:textFill>
        </w:rPr>
        <w:t>我单位于2020年9月新成立，无办公用房，办公用房为租用马林局招待所，无经营性收入，目前我局主要的固定资产为2辆公务用车和必需的办公设备，无形资产为财务软件和办公软件。固定资产、无形资产都按规定入了资产系统，固定资产计提了折旧费用，无形资产进行了费用摊销。资产系统和核算系统做到了账账相符、账表相符、账实相符。</w:t>
      </w:r>
    </w:p>
    <w:p w14:paraId="7D69F6C4">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仿宋_GB2312" w:cs="Arial"/>
          <w:color w:val="000000" w:themeColor="text1"/>
          <w:sz w:val="32"/>
          <w:szCs w:val="32"/>
          <w:lang w:val="en-US" w:eastAsia="zh-CN"/>
          <w14:textFill>
            <w14:solidFill>
              <w14:schemeClr w14:val="tx1"/>
            </w14:solidFill>
          </w14:textFill>
        </w:rPr>
      </w:pPr>
      <w:r>
        <w:rPr>
          <w:rFonts w:hint="eastAsia" w:ascii="仿宋_GB2312" w:cs="Arial"/>
          <w:color w:val="000000" w:themeColor="text1"/>
          <w:sz w:val="32"/>
          <w:szCs w:val="32"/>
          <w:lang w:val="en-US" w:eastAsia="zh-CN"/>
          <w14:textFill>
            <w14:solidFill>
              <w14:schemeClr w14:val="tx1"/>
            </w14:solidFill>
          </w14:textFill>
        </w:rPr>
        <w:t>人均资产变化率：35.86%、资产利用率：100%</w:t>
      </w:r>
    </w:p>
    <w:p w14:paraId="35C6FDAF">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仿宋_GB2312" w:cs="Arial"/>
          <w:color w:val="000000" w:themeColor="text1"/>
          <w:sz w:val="32"/>
          <w:szCs w:val="32"/>
          <w:lang w:val="en-US" w:eastAsia="zh-CN"/>
          <w14:textFill>
            <w14:solidFill>
              <w14:schemeClr w14:val="tx1"/>
            </w14:solidFill>
          </w14:textFill>
        </w:rPr>
      </w:pPr>
      <w:r>
        <w:rPr>
          <w:rFonts w:hint="eastAsia" w:ascii="仿宋_GB2312" w:cs="Arial"/>
          <w:color w:val="000000" w:themeColor="text1"/>
          <w:sz w:val="32"/>
          <w:szCs w:val="32"/>
          <w:lang w:val="en-US" w:eastAsia="zh-CN"/>
          <w14:textFill>
            <w14:solidFill>
              <w14:schemeClr w14:val="tx1"/>
            </w14:solidFill>
          </w14:textFill>
        </w:rPr>
        <w:t>资产盘活率：单位无闲置资产，故不存在资产盘活率。</w:t>
      </w:r>
    </w:p>
    <w:p w14:paraId="360CF82F">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3" w:firstLineChars="200"/>
        <w:textAlignment w:val="auto"/>
        <w:rPr>
          <w:rFonts w:hint="eastAsia" w:ascii="仿宋_GB2312"/>
          <w:sz w:val="32"/>
          <w:szCs w:val="32"/>
          <w:lang w:val="en-US" w:eastAsia="zh-CN"/>
        </w:rPr>
      </w:pPr>
      <w:r>
        <w:rPr>
          <w:rFonts w:hint="default" w:ascii="仿宋_GB2312" w:eastAsia="仿宋_GB2312" w:cs="Arial"/>
          <w:b/>
          <w:bCs/>
          <w:color w:val="000000" w:themeColor="text1"/>
          <w:sz w:val="32"/>
          <w:szCs w:val="32"/>
          <w:lang w:val="zh-CN" w:eastAsia="zh-CN"/>
          <w14:textFill>
            <w14:solidFill>
              <w14:schemeClr w14:val="tx1"/>
            </w14:solidFill>
          </w14:textFill>
        </w:rPr>
        <w:t>采购管理</w:t>
      </w:r>
      <w:r>
        <w:rPr>
          <w:rFonts w:hint="eastAsia" w:ascii="仿宋_GB2312" w:eastAsia="仿宋_GB2312" w:cs="Arial"/>
          <w:color w:val="000000" w:themeColor="text1"/>
          <w:sz w:val="32"/>
          <w:szCs w:val="32"/>
          <w:lang w:val="zh-CN" w:eastAsia="zh-CN"/>
          <w14:textFill>
            <w14:solidFill>
              <w14:schemeClr w14:val="tx1"/>
            </w14:solidFill>
          </w14:textFill>
        </w:rPr>
        <w:t>。</w:t>
      </w:r>
      <w:r>
        <w:rPr>
          <w:rFonts w:hint="eastAsia" w:ascii="仿宋_GB2312"/>
          <w:sz w:val="32"/>
          <w:szCs w:val="32"/>
          <w:lang w:val="en-US" w:eastAsia="zh-CN"/>
        </w:rPr>
        <w:t>我单位</w:t>
      </w:r>
      <w:r>
        <w:rPr>
          <w:rFonts w:hint="eastAsia" w:ascii="仿宋_GB2312" w:eastAsia="仿宋_GB2312"/>
          <w:sz w:val="32"/>
          <w:szCs w:val="32"/>
        </w:rPr>
        <w:t>严格按照法定采购方式和</w:t>
      </w:r>
      <w:r>
        <w:rPr>
          <w:rFonts w:hint="eastAsia" w:ascii="仿宋_GB2312"/>
          <w:sz w:val="32"/>
          <w:szCs w:val="32"/>
          <w:lang w:val="en-US" w:eastAsia="zh-CN"/>
        </w:rPr>
        <w:t>流程</w:t>
      </w:r>
      <w:r>
        <w:rPr>
          <w:rFonts w:hint="eastAsia" w:ascii="仿宋_GB2312" w:eastAsia="仿宋_GB2312"/>
          <w:sz w:val="32"/>
          <w:szCs w:val="32"/>
        </w:rPr>
        <w:t>实施</w:t>
      </w:r>
      <w:r>
        <w:rPr>
          <w:rFonts w:hint="eastAsia" w:ascii="仿宋_GB2312"/>
          <w:sz w:val="32"/>
          <w:szCs w:val="32"/>
          <w:lang w:val="en-US" w:eastAsia="zh-CN"/>
        </w:rPr>
        <w:t>政府</w:t>
      </w:r>
      <w:r>
        <w:rPr>
          <w:rFonts w:hint="eastAsia" w:ascii="仿宋_GB2312" w:eastAsia="仿宋_GB2312"/>
          <w:sz w:val="32"/>
          <w:szCs w:val="32"/>
        </w:rPr>
        <w:t>采购，保证了政府采购信息的真实性和合法性，不存在无预算采购和超预算采购的情况。</w:t>
      </w:r>
      <w:r>
        <w:rPr>
          <w:rFonts w:hint="eastAsia" w:ascii="仿宋_GB2312"/>
          <w:sz w:val="32"/>
          <w:szCs w:val="32"/>
          <w:lang w:val="en-US" w:eastAsia="zh-CN"/>
        </w:rPr>
        <w:t>2023年涉及采购项目为雪豹监测、巡护终端采购。采购中对中小企业未设定特殊限制条件。</w:t>
      </w:r>
    </w:p>
    <w:p w14:paraId="5093FF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sz w:val="32"/>
          <w:szCs w:val="32"/>
          <w:lang w:val="en-US" w:eastAsia="zh-CN"/>
        </w:rPr>
      </w:pPr>
      <w:r>
        <w:rPr>
          <w:rFonts w:hint="eastAsia" w:ascii="仿宋_GB2312"/>
          <w:sz w:val="32"/>
          <w:szCs w:val="32"/>
          <w:lang w:val="en-US" w:eastAsia="zh-CN"/>
        </w:rPr>
        <w:t>雪豹监测采购项目分为红外线相机采购和雪豹野生种群数量及栖息地调查，红外线相机采购已完成支付，完成了年初设定的数量指标，调查费用2023年支付了60%，剩余40%费用待调查报告出具后完成支付，预计在2024年10月份完成支付。</w:t>
      </w:r>
    </w:p>
    <w:p w14:paraId="14FAF8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sz w:val="32"/>
          <w:szCs w:val="32"/>
          <w:lang w:val="en-US" w:eastAsia="zh-CN"/>
        </w:rPr>
        <w:t>巡护终端采购项目由于资金下达滞后，于2023年8月下达，因在实施采购过程中两次流标，2023年无法完成采购费用结转到2024年继续实施采购。</w:t>
      </w:r>
    </w:p>
    <w:p w14:paraId="6D89DE2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cs="Arial"/>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zh-CN" w:eastAsia="zh-CN"/>
          <w14:textFill>
            <w14:solidFill>
              <w14:schemeClr w14:val="tx1"/>
            </w14:solidFill>
          </w14:textFill>
        </w:rPr>
        <w:t>（二）部门预算项目绩效分析。</w:t>
      </w:r>
      <w:r>
        <w:rPr>
          <w:rFonts w:hint="default" w:ascii="仿宋_GB2312" w:eastAsia="仿宋_GB2312" w:cs="Arial"/>
          <w:color w:val="000000" w:themeColor="text1"/>
          <w:sz w:val="32"/>
          <w:szCs w:val="32"/>
          <w:lang w:val="en-US" w:eastAsia="zh-CN"/>
          <w14:textFill>
            <w14:solidFill>
              <w14:schemeClr w14:val="tx1"/>
            </w14:solidFill>
          </w14:textFill>
        </w:rPr>
        <w:t>常年项目绩效分析。</w:t>
      </w:r>
      <w:r>
        <w:rPr>
          <w:rFonts w:hint="default" w:ascii="仿宋_GB2312" w:eastAsia="仿宋_GB2312" w:cs="Arial"/>
          <w:color w:val="000000" w:themeColor="text1"/>
          <w:sz w:val="32"/>
          <w:szCs w:val="32"/>
          <w:lang w:val="zh-CN" w:eastAsia="zh-CN"/>
          <w14:textFill>
            <w14:solidFill>
              <w14:schemeClr w14:val="tx1"/>
            </w14:solidFill>
          </w14:textFill>
        </w:rPr>
        <w:t>该类项目总数</w:t>
      </w:r>
      <w:r>
        <w:rPr>
          <w:rFonts w:hint="eastAsia" w:ascii="仿宋_GB2312" w:cs="Arial"/>
          <w:color w:val="000000" w:themeColor="text1"/>
          <w:sz w:val="32"/>
          <w:szCs w:val="32"/>
          <w:lang w:val="en-US" w:eastAsia="zh-CN"/>
          <w14:textFill>
            <w14:solidFill>
              <w14:schemeClr w14:val="tx1"/>
            </w14:solidFill>
          </w14:textFill>
        </w:rPr>
        <w:t>6</w:t>
      </w:r>
      <w:r>
        <w:rPr>
          <w:rFonts w:hint="default" w:ascii="仿宋_GB2312" w:eastAsia="仿宋_GB2312" w:cs="Arial"/>
          <w:color w:val="000000" w:themeColor="text1"/>
          <w:sz w:val="32"/>
          <w:szCs w:val="32"/>
          <w:lang w:val="zh-CN" w:eastAsia="zh-CN"/>
          <w14:textFill>
            <w14:solidFill>
              <w14:schemeClr w14:val="tx1"/>
            </w14:solidFill>
          </w14:textFill>
        </w:rPr>
        <w:t>个，</w:t>
      </w:r>
      <w:r>
        <w:rPr>
          <w:rFonts w:hint="eastAsia" w:ascii="仿宋_GB2312" w:cs="Arial"/>
          <w:color w:val="000000" w:themeColor="text1"/>
          <w:sz w:val="32"/>
          <w:szCs w:val="32"/>
          <w:lang w:val="en-US" w:eastAsia="zh-CN"/>
          <w14:textFill>
            <w14:solidFill>
              <w14:schemeClr w14:val="tx1"/>
            </w14:solidFill>
          </w14:textFill>
        </w:rPr>
        <w:t>分别为：</w:t>
      </w:r>
      <w:r>
        <w:rPr>
          <w:rFonts w:hint="eastAsia" w:ascii="仿宋_GB2312" w:eastAsia="仿宋_GB2312"/>
          <w:b w:val="0"/>
          <w:bCs/>
          <w:sz w:val="32"/>
          <w:szCs w:val="32"/>
        </w:rPr>
        <w:t>卧龙体制改革工作经费</w:t>
      </w:r>
      <w:r>
        <w:rPr>
          <w:rFonts w:hint="eastAsia" w:ascii="仿宋_GB2312"/>
          <w:b w:val="0"/>
          <w:bCs/>
          <w:sz w:val="32"/>
          <w:szCs w:val="32"/>
          <w:lang w:eastAsia="zh-CN"/>
        </w:rPr>
        <w:t>、</w:t>
      </w:r>
      <w:r>
        <w:rPr>
          <w:rFonts w:hint="eastAsia" w:ascii="仿宋_GB2312" w:eastAsia="仿宋_GB2312"/>
          <w:b w:val="0"/>
          <w:bCs/>
          <w:color w:val="000000"/>
          <w:sz w:val="32"/>
          <w:szCs w:val="32"/>
        </w:rPr>
        <w:t>大熊猫国家公园阿坝片区规划</w:t>
      </w:r>
      <w:r>
        <w:rPr>
          <w:rFonts w:hint="eastAsia" w:ascii="仿宋_GB2312"/>
          <w:b w:val="0"/>
          <w:bCs/>
          <w:color w:val="000000"/>
          <w:sz w:val="32"/>
          <w:szCs w:val="32"/>
          <w:lang w:eastAsia="zh-CN"/>
        </w:rPr>
        <w:t>、</w:t>
      </w:r>
      <w:r>
        <w:rPr>
          <w:rFonts w:hint="eastAsia" w:ascii="仿宋_GB2312" w:eastAsia="仿宋_GB2312"/>
          <w:b w:val="0"/>
          <w:bCs/>
          <w:sz w:val="32"/>
          <w:szCs w:val="32"/>
        </w:rPr>
        <w:t>宣传教育</w:t>
      </w:r>
      <w:r>
        <w:rPr>
          <w:rFonts w:hint="eastAsia" w:ascii="仿宋_GB2312"/>
          <w:b w:val="0"/>
          <w:bCs/>
          <w:sz w:val="32"/>
          <w:szCs w:val="32"/>
          <w:lang w:eastAsia="zh-CN"/>
        </w:rPr>
        <w:t>、</w:t>
      </w:r>
      <w:r>
        <w:rPr>
          <w:rFonts w:hint="eastAsia" w:ascii="仿宋_GB2312" w:eastAsia="仿宋_GB2312"/>
          <w:b w:val="0"/>
          <w:bCs/>
          <w:sz w:val="32"/>
          <w:szCs w:val="32"/>
        </w:rPr>
        <w:t>大熊猫国家公园保护保障工作经费</w:t>
      </w:r>
      <w:r>
        <w:rPr>
          <w:rFonts w:hint="eastAsia" w:ascii="仿宋_GB2312"/>
          <w:b w:val="0"/>
          <w:bCs/>
          <w:sz w:val="32"/>
          <w:szCs w:val="32"/>
          <w:lang w:eastAsia="zh-CN"/>
        </w:rPr>
        <w:t>、</w:t>
      </w:r>
      <w:r>
        <w:rPr>
          <w:rFonts w:hint="eastAsia" w:ascii="仿宋_GB2312" w:eastAsia="仿宋_GB2312"/>
          <w:b w:val="0"/>
          <w:bCs/>
          <w:sz w:val="32"/>
          <w:szCs w:val="32"/>
        </w:rPr>
        <w:t>办公用房租赁费</w:t>
      </w:r>
      <w:r>
        <w:rPr>
          <w:rFonts w:hint="eastAsia" w:ascii="仿宋_GB2312"/>
          <w:b w:val="0"/>
          <w:bCs/>
          <w:sz w:val="32"/>
          <w:szCs w:val="32"/>
          <w:lang w:eastAsia="zh-CN"/>
        </w:rPr>
        <w:t>、</w:t>
      </w:r>
      <w:r>
        <w:rPr>
          <w:rFonts w:hint="eastAsia" w:ascii="仿宋_GB2312" w:eastAsia="仿宋_GB2312"/>
          <w:b w:val="0"/>
          <w:bCs/>
          <w:sz w:val="32"/>
          <w:szCs w:val="32"/>
        </w:rPr>
        <w:t>聘请法律顾问</w:t>
      </w:r>
      <w:r>
        <w:rPr>
          <w:rFonts w:hint="eastAsia" w:ascii="仿宋_GB2312"/>
          <w:b w:val="0"/>
          <w:bCs/>
          <w:sz w:val="32"/>
          <w:szCs w:val="32"/>
          <w:lang w:eastAsia="zh-CN"/>
        </w:rPr>
        <w:t>，</w:t>
      </w:r>
      <w:r>
        <w:rPr>
          <w:rFonts w:hint="default" w:ascii="仿宋_GB2312" w:eastAsia="仿宋_GB2312" w:cs="Arial"/>
          <w:color w:val="000000" w:themeColor="text1"/>
          <w:sz w:val="32"/>
          <w:szCs w:val="32"/>
          <w:lang w:val="zh-CN" w:eastAsia="zh-CN"/>
          <w14:textFill>
            <w14:solidFill>
              <w14:schemeClr w14:val="tx1"/>
            </w14:solidFill>
          </w14:textFill>
        </w:rPr>
        <w:t>涉及预算总金额</w:t>
      </w:r>
      <w:r>
        <w:rPr>
          <w:rFonts w:hint="eastAsia" w:ascii="仿宋_GB2312" w:cs="Arial"/>
          <w:color w:val="000000" w:themeColor="text1"/>
          <w:sz w:val="32"/>
          <w:szCs w:val="32"/>
          <w:lang w:val="en-US" w:eastAsia="zh-CN"/>
          <w14:textFill>
            <w14:solidFill>
              <w14:schemeClr w14:val="tx1"/>
            </w14:solidFill>
          </w14:textFill>
        </w:rPr>
        <w:t>151.5</w:t>
      </w:r>
      <w:r>
        <w:rPr>
          <w:rFonts w:hint="default" w:ascii="仿宋_GB2312" w:eastAsia="仿宋_GB2312" w:cs="Arial"/>
          <w:color w:val="000000" w:themeColor="text1"/>
          <w:sz w:val="32"/>
          <w:szCs w:val="32"/>
          <w:lang w:val="zh-CN" w:eastAsia="zh-CN"/>
          <w14:textFill>
            <w14:solidFill>
              <w14:schemeClr w14:val="tx1"/>
            </w14:solidFill>
          </w14:textFill>
        </w:rPr>
        <w:t>万元</w:t>
      </w:r>
      <w:r>
        <w:rPr>
          <w:rFonts w:hint="eastAsia" w:ascii="仿宋_GB2312" w:cs="Arial"/>
          <w:color w:val="000000" w:themeColor="text1"/>
          <w:sz w:val="32"/>
          <w:szCs w:val="32"/>
          <w:lang w:val="zh-CN" w:eastAsia="zh-CN"/>
          <w14:textFill>
            <w14:solidFill>
              <w14:schemeClr w14:val="tx1"/>
            </w14:solidFill>
          </w14:textFill>
        </w:rPr>
        <w:t>（</w:t>
      </w:r>
      <w:r>
        <w:rPr>
          <w:rFonts w:hint="eastAsia" w:ascii="仿宋_GB2312" w:cs="Arial"/>
          <w:color w:val="000000" w:themeColor="text1"/>
          <w:sz w:val="32"/>
          <w:szCs w:val="32"/>
          <w:lang w:val="en-US" w:eastAsia="zh-CN"/>
          <w14:textFill>
            <w14:solidFill>
              <w14:schemeClr w14:val="tx1"/>
            </w14:solidFill>
          </w14:textFill>
        </w:rPr>
        <w:t>11月收回15万元</w:t>
      </w:r>
      <w:r>
        <w:rPr>
          <w:rFonts w:hint="eastAsia" w:ascii="仿宋_GB2312" w:cs="Arial"/>
          <w:color w:val="000000" w:themeColor="text1"/>
          <w:sz w:val="32"/>
          <w:szCs w:val="32"/>
          <w:lang w:val="zh-CN" w:eastAsia="zh-CN"/>
          <w14:textFill>
            <w14:solidFill>
              <w14:schemeClr w14:val="tx1"/>
            </w14:solidFill>
          </w14:textFill>
        </w:rPr>
        <w:t>）</w:t>
      </w:r>
      <w:r>
        <w:rPr>
          <w:rFonts w:hint="eastAsia" w:ascii="仿宋_GB2312" w:cs="Arial"/>
          <w:color w:val="000000" w:themeColor="text1"/>
          <w:sz w:val="32"/>
          <w:szCs w:val="32"/>
          <w:lang w:val="en-US" w:eastAsia="zh-CN"/>
          <w14:textFill>
            <w14:solidFill>
              <w14:schemeClr w14:val="tx1"/>
            </w14:solidFill>
          </w14:textFill>
        </w:rPr>
        <w:t>实际预算资金为136.5万元</w:t>
      </w:r>
      <w:r>
        <w:rPr>
          <w:rFonts w:hint="default" w:ascii="仿宋_GB2312" w:eastAsia="仿宋_GB2312" w:cs="Arial"/>
          <w:color w:val="000000" w:themeColor="text1"/>
          <w:sz w:val="32"/>
          <w:szCs w:val="32"/>
          <w:lang w:val="zh-CN" w:eastAsia="zh-CN"/>
          <w14:textFill>
            <w14:solidFill>
              <w14:schemeClr w14:val="tx1"/>
            </w14:solidFill>
          </w14:textFill>
        </w:rPr>
        <w:t>，1</w:t>
      </w:r>
      <w:r>
        <w:rPr>
          <w:rFonts w:hint="eastAsia" w:ascii="仿宋_GB2312" w:eastAsia="仿宋_GB2312" w:cs="Arial"/>
          <w:color w:val="000000" w:themeColor="text1"/>
          <w:sz w:val="32"/>
          <w:szCs w:val="32"/>
          <w:lang w:val="zh-CN" w:eastAsia="zh-CN"/>
          <w14:textFill>
            <w14:solidFill>
              <w14:schemeClr w14:val="tx1"/>
            </w14:solidFill>
          </w14:textFill>
        </w:rPr>
        <w:t>—</w:t>
      </w:r>
      <w:r>
        <w:rPr>
          <w:rFonts w:hint="default" w:ascii="仿宋_GB2312" w:eastAsia="仿宋_GB2312" w:cs="Arial"/>
          <w:color w:val="000000" w:themeColor="text1"/>
          <w:sz w:val="32"/>
          <w:szCs w:val="32"/>
          <w:lang w:val="zh-CN" w:eastAsia="zh-CN"/>
          <w14:textFill>
            <w14:solidFill>
              <w14:schemeClr w14:val="tx1"/>
            </w14:solidFill>
          </w14:textFill>
        </w:rPr>
        <w:t>1</w:t>
      </w:r>
      <w:r>
        <w:rPr>
          <w:rFonts w:hint="default" w:ascii="仿宋_GB2312" w:eastAsia="仿宋_GB2312" w:cs="Arial"/>
          <w:color w:val="000000" w:themeColor="text1"/>
          <w:sz w:val="32"/>
          <w:szCs w:val="32"/>
          <w:lang w:val="en-US" w:eastAsia="zh-CN"/>
          <w14:textFill>
            <w14:solidFill>
              <w14:schemeClr w14:val="tx1"/>
            </w14:solidFill>
          </w14:textFill>
        </w:rPr>
        <w:t>2</w:t>
      </w:r>
      <w:r>
        <w:rPr>
          <w:rFonts w:hint="default" w:ascii="仿宋_GB2312" w:eastAsia="仿宋_GB2312" w:cs="Arial"/>
          <w:color w:val="000000" w:themeColor="text1"/>
          <w:sz w:val="32"/>
          <w:szCs w:val="32"/>
          <w:lang w:val="zh-CN" w:eastAsia="zh-CN"/>
          <w14:textFill>
            <w14:solidFill>
              <w14:schemeClr w14:val="tx1"/>
            </w14:solidFill>
          </w14:textFill>
        </w:rPr>
        <w:t>月</w:t>
      </w:r>
      <w:r>
        <w:rPr>
          <w:rFonts w:hint="eastAsia" w:ascii="仿宋_GB2312" w:cs="Arial"/>
          <w:color w:val="000000" w:themeColor="text1"/>
          <w:sz w:val="32"/>
          <w:szCs w:val="32"/>
          <w:lang w:val="en-US" w:eastAsia="zh-CN"/>
          <w14:textFill>
            <w14:solidFill>
              <w14:schemeClr w14:val="tx1"/>
            </w14:solidFill>
          </w14:textFill>
        </w:rPr>
        <w:t>已支付111.29万元，</w:t>
      </w:r>
      <w:r>
        <w:rPr>
          <w:rFonts w:hint="default" w:ascii="仿宋_GB2312" w:eastAsia="仿宋_GB2312" w:cs="Arial"/>
          <w:color w:val="000000" w:themeColor="text1"/>
          <w:sz w:val="32"/>
          <w:szCs w:val="32"/>
          <w:lang w:val="zh-CN" w:eastAsia="zh-CN"/>
          <w14:textFill>
            <w14:solidFill>
              <w14:schemeClr w14:val="tx1"/>
            </w14:solidFill>
          </w14:textFill>
        </w:rPr>
        <w:t>预算执行总体进度为</w:t>
      </w:r>
      <w:r>
        <w:rPr>
          <w:rFonts w:hint="eastAsia" w:ascii="仿宋_GB2312" w:cs="Arial"/>
          <w:color w:val="000000" w:themeColor="text1"/>
          <w:sz w:val="32"/>
          <w:szCs w:val="32"/>
          <w:lang w:val="en-US" w:eastAsia="zh-CN"/>
          <w14:textFill>
            <w14:solidFill>
              <w14:schemeClr w14:val="tx1"/>
            </w14:solidFill>
          </w14:textFill>
        </w:rPr>
        <w:t>82</w:t>
      </w:r>
      <w:r>
        <w:rPr>
          <w:rFonts w:hint="default" w:ascii="仿宋_GB2312" w:eastAsia="仿宋_GB2312" w:cs="Arial"/>
          <w:color w:val="000000" w:themeColor="text1"/>
          <w:sz w:val="32"/>
          <w:szCs w:val="32"/>
          <w:lang w:val="zh-CN" w:eastAsia="zh-CN"/>
          <w14:textFill>
            <w14:solidFill>
              <w14:schemeClr w14:val="tx1"/>
            </w14:solidFill>
          </w14:textFill>
        </w:rPr>
        <w:t>%，其中：预算结余率大于</w:t>
      </w:r>
      <w:r>
        <w:rPr>
          <w:rFonts w:hint="default" w:ascii="仿宋_GB2312" w:eastAsia="仿宋_GB2312" w:cs="Arial"/>
          <w:color w:val="000000" w:themeColor="text1"/>
          <w:sz w:val="32"/>
          <w:szCs w:val="32"/>
          <w:lang w:val="en-US" w:eastAsia="zh-CN"/>
          <w14:textFill>
            <w14:solidFill>
              <w14:schemeClr w14:val="tx1"/>
            </w14:solidFill>
          </w14:textFill>
        </w:rPr>
        <w:t>10%</w:t>
      </w:r>
      <w:r>
        <w:rPr>
          <w:rFonts w:hint="default" w:ascii="仿宋_GB2312" w:eastAsia="仿宋_GB2312" w:cs="Arial"/>
          <w:color w:val="000000" w:themeColor="text1"/>
          <w:sz w:val="32"/>
          <w:szCs w:val="32"/>
          <w:lang w:val="zh-CN" w:eastAsia="zh-CN"/>
          <w14:textFill>
            <w14:solidFill>
              <w14:schemeClr w14:val="tx1"/>
            </w14:solidFill>
          </w14:textFill>
        </w:rPr>
        <w:t>的项目共计</w:t>
      </w:r>
      <w:r>
        <w:rPr>
          <w:rFonts w:hint="eastAsia" w:ascii="仿宋_GB2312" w:cs="Arial"/>
          <w:color w:val="000000" w:themeColor="text1"/>
          <w:sz w:val="32"/>
          <w:szCs w:val="32"/>
          <w:lang w:val="en-US" w:eastAsia="zh-CN"/>
          <w14:textFill>
            <w14:solidFill>
              <w14:schemeClr w14:val="tx1"/>
            </w14:solidFill>
          </w14:textFill>
        </w:rPr>
        <w:t>1</w:t>
      </w:r>
      <w:r>
        <w:rPr>
          <w:rFonts w:hint="default" w:ascii="仿宋_GB2312" w:eastAsia="仿宋_GB2312" w:cs="Arial"/>
          <w:color w:val="000000" w:themeColor="text1"/>
          <w:sz w:val="32"/>
          <w:szCs w:val="32"/>
          <w:lang w:val="zh-CN" w:eastAsia="zh-CN"/>
          <w14:textFill>
            <w14:solidFill>
              <w14:schemeClr w14:val="tx1"/>
            </w14:solidFill>
          </w14:textFill>
        </w:rPr>
        <w:t>个</w:t>
      </w:r>
      <w:r>
        <w:rPr>
          <w:rFonts w:hint="eastAsia" w:ascii="仿宋_GB2312" w:cs="Arial"/>
          <w:color w:val="000000" w:themeColor="text1"/>
          <w:sz w:val="32"/>
          <w:szCs w:val="32"/>
          <w:lang w:val="zh-CN" w:eastAsia="zh-CN"/>
          <w14:textFill>
            <w14:solidFill>
              <w14:schemeClr w14:val="tx1"/>
            </w14:solidFill>
          </w14:textFill>
        </w:rPr>
        <w:t>。</w:t>
      </w:r>
      <w:r>
        <w:rPr>
          <w:rFonts w:hint="eastAsia" w:ascii="仿宋_GB2312" w:cs="Arial"/>
          <w:color w:val="000000" w:themeColor="text1"/>
          <w:sz w:val="32"/>
          <w:szCs w:val="32"/>
          <w:lang w:val="en-US" w:eastAsia="zh-CN"/>
          <w14:textFill>
            <w14:solidFill>
              <w14:schemeClr w14:val="tx1"/>
            </w14:solidFill>
          </w14:textFill>
        </w:rPr>
        <w:t>因体制改革原因部分项目经费未列支完，但各项目都达到年初设定的绩效目标。</w:t>
      </w:r>
    </w:p>
    <w:p w14:paraId="73D17A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s="Arial"/>
          <w:color w:val="000000" w:themeColor="text1"/>
          <w:sz w:val="32"/>
          <w:szCs w:val="32"/>
          <w:lang w:val="zh-CN" w:eastAsia="zh-CN"/>
          <w14:textFill>
            <w14:solidFill>
              <w14:schemeClr w14:val="tx1"/>
            </w14:solidFill>
          </w14:textFill>
        </w:rPr>
      </w:pPr>
      <w:r>
        <w:rPr>
          <w:rFonts w:hint="default" w:ascii="仿宋_GB2312" w:eastAsia="仿宋_GB2312" w:cs="Arial"/>
          <w:color w:val="000000" w:themeColor="text1"/>
          <w:sz w:val="32"/>
          <w:szCs w:val="32"/>
          <w:lang w:val="en-US" w:eastAsia="zh-CN"/>
          <w14:textFill>
            <w14:solidFill>
              <w14:schemeClr w14:val="tx1"/>
            </w14:solidFill>
          </w14:textFill>
        </w:rPr>
        <w:t>阶段</w:t>
      </w:r>
      <w:r>
        <w:rPr>
          <w:rFonts w:hint="eastAsia" w:ascii="仿宋_GB2312" w:eastAsia="仿宋_GB2312" w:cs="Arial"/>
          <w:color w:val="000000" w:themeColor="text1"/>
          <w:sz w:val="32"/>
          <w:szCs w:val="32"/>
          <w:lang w:val="en-US" w:eastAsia="zh-CN"/>
          <w14:textFill>
            <w14:solidFill>
              <w14:schemeClr w14:val="tx1"/>
            </w14:solidFill>
          </w14:textFill>
        </w:rPr>
        <w:t>（</w:t>
      </w:r>
      <w:r>
        <w:rPr>
          <w:rFonts w:hint="default" w:ascii="仿宋_GB2312" w:eastAsia="仿宋_GB2312" w:cs="Arial"/>
          <w:color w:val="000000" w:themeColor="text1"/>
          <w:sz w:val="32"/>
          <w:szCs w:val="32"/>
          <w:lang w:val="en-US" w:eastAsia="zh-CN"/>
          <w14:textFill>
            <w14:solidFill>
              <w14:schemeClr w14:val="tx1"/>
            </w14:solidFill>
          </w14:textFill>
        </w:rPr>
        <w:t>一次性</w:t>
      </w:r>
      <w:r>
        <w:rPr>
          <w:rFonts w:hint="eastAsia" w:ascii="仿宋_GB2312" w:eastAsia="仿宋_GB2312" w:cs="Arial"/>
          <w:color w:val="000000" w:themeColor="text1"/>
          <w:sz w:val="32"/>
          <w:szCs w:val="32"/>
          <w:lang w:val="en-US" w:eastAsia="zh-CN"/>
          <w14:textFill>
            <w14:solidFill>
              <w14:schemeClr w14:val="tx1"/>
            </w14:solidFill>
          </w14:textFill>
        </w:rPr>
        <w:t>）</w:t>
      </w:r>
      <w:r>
        <w:rPr>
          <w:rFonts w:hint="default" w:ascii="仿宋_GB2312" w:eastAsia="仿宋_GB2312" w:cs="Arial"/>
          <w:color w:val="000000" w:themeColor="text1"/>
          <w:sz w:val="32"/>
          <w:szCs w:val="32"/>
          <w:lang w:val="en-US" w:eastAsia="zh-CN"/>
          <w14:textFill>
            <w14:solidFill>
              <w14:schemeClr w14:val="tx1"/>
            </w14:solidFill>
          </w14:textFill>
        </w:rPr>
        <w:t>项目绩效分析。</w:t>
      </w:r>
      <w:r>
        <w:rPr>
          <w:rFonts w:hint="default" w:ascii="仿宋_GB2312" w:eastAsia="仿宋_GB2312" w:cs="Arial"/>
          <w:color w:val="000000" w:themeColor="text1"/>
          <w:sz w:val="32"/>
          <w:szCs w:val="32"/>
          <w:lang w:val="zh-CN" w:eastAsia="zh-CN"/>
          <w14:textFill>
            <w14:solidFill>
              <w14:schemeClr w14:val="tx1"/>
            </w14:solidFill>
          </w14:textFill>
        </w:rPr>
        <w:t>该类项目总数</w:t>
      </w:r>
      <w:r>
        <w:rPr>
          <w:rFonts w:hint="eastAsia" w:ascii="仿宋_GB2312" w:eastAsia="仿宋_GB2312" w:cs="Arial"/>
          <w:color w:val="000000" w:themeColor="text1"/>
          <w:sz w:val="32"/>
          <w:szCs w:val="32"/>
          <w:lang w:val="en-US" w:eastAsia="zh-CN"/>
          <w14:textFill>
            <w14:solidFill>
              <w14:schemeClr w14:val="tx1"/>
            </w14:solidFill>
          </w14:textFill>
        </w:rPr>
        <w:t>2</w:t>
      </w:r>
      <w:r>
        <w:rPr>
          <w:rFonts w:hint="default" w:ascii="仿宋_GB2312" w:eastAsia="仿宋_GB2312" w:cs="Arial"/>
          <w:color w:val="000000" w:themeColor="text1"/>
          <w:sz w:val="32"/>
          <w:szCs w:val="32"/>
          <w:lang w:val="zh-CN" w:eastAsia="zh-CN"/>
          <w14:textFill>
            <w14:solidFill>
              <w14:schemeClr w14:val="tx1"/>
            </w14:solidFill>
          </w14:textFill>
        </w:rPr>
        <w:t>个，</w:t>
      </w:r>
      <w:r>
        <w:rPr>
          <w:rFonts w:hint="eastAsia" w:ascii="仿宋_GB2312" w:cs="Arial"/>
          <w:color w:val="000000" w:themeColor="text1"/>
          <w:sz w:val="32"/>
          <w:szCs w:val="32"/>
          <w:lang w:val="en-US" w:eastAsia="zh-CN"/>
          <w14:textFill>
            <w14:solidFill>
              <w14:schemeClr w14:val="tx1"/>
            </w14:solidFill>
          </w14:textFill>
        </w:rPr>
        <w:t>雪豹监测和巡护终端采购项目，</w:t>
      </w:r>
      <w:r>
        <w:rPr>
          <w:rFonts w:hint="default" w:ascii="仿宋_GB2312" w:eastAsia="仿宋_GB2312" w:cs="Arial"/>
          <w:color w:val="000000" w:themeColor="text1"/>
          <w:sz w:val="32"/>
          <w:szCs w:val="32"/>
          <w:lang w:val="zh-CN" w:eastAsia="zh-CN"/>
          <w14:textFill>
            <w14:solidFill>
              <w14:schemeClr w14:val="tx1"/>
            </w14:solidFill>
          </w14:textFill>
        </w:rPr>
        <w:t>涉及预算总金额</w:t>
      </w:r>
      <w:r>
        <w:rPr>
          <w:rFonts w:hint="eastAsia" w:ascii="仿宋_GB2312" w:eastAsia="仿宋_GB2312" w:cs="Arial"/>
          <w:color w:val="000000" w:themeColor="text1"/>
          <w:sz w:val="32"/>
          <w:szCs w:val="32"/>
          <w:lang w:val="en-US" w:eastAsia="zh-CN"/>
          <w14:textFill>
            <w14:solidFill>
              <w14:schemeClr w14:val="tx1"/>
            </w14:solidFill>
          </w14:textFill>
        </w:rPr>
        <w:t>336</w:t>
      </w:r>
      <w:r>
        <w:rPr>
          <w:rFonts w:hint="default" w:ascii="仿宋_GB2312" w:eastAsia="仿宋_GB2312" w:cs="Arial"/>
          <w:color w:val="000000" w:themeColor="text1"/>
          <w:sz w:val="32"/>
          <w:szCs w:val="32"/>
          <w:lang w:val="zh-CN" w:eastAsia="zh-CN"/>
          <w14:textFill>
            <w14:solidFill>
              <w14:schemeClr w14:val="tx1"/>
            </w14:solidFill>
          </w14:textFill>
        </w:rPr>
        <w:t>万元，1</w:t>
      </w:r>
      <w:r>
        <w:rPr>
          <w:rFonts w:hint="eastAsia" w:ascii="仿宋_GB2312" w:eastAsia="仿宋_GB2312" w:cs="Arial"/>
          <w:color w:val="000000" w:themeColor="text1"/>
          <w:sz w:val="32"/>
          <w:szCs w:val="32"/>
          <w:lang w:val="zh-CN" w:eastAsia="zh-CN"/>
          <w14:textFill>
            <w14:solidFill>
              <w14:schemeClr w14:val="tx1"/>
            </w14:solidFill>
          </w14:textFill>
        </w:rPr>
        <w:t>—</w:t>
      </w:r>
      <w:r>
        <w:rPr>
          <w:rFonts w:hint="default" w:ascii="仿宋_GB2312" w:eastAsia="仿宋_GB2312" w:cs="Arial"/>
          <w:color w:val="000000" w:themeColor="text1"/>
          <w:sz w:val="32"/>
          <w:szCs w:val="32"/>
          <w:lang w:val="zh-CN" w:eastAsia="zh-CN"/>
          <w14:textFill>
            <w14:solidFill>
              <w14:schemeClr w14:val="tx1"/>
            </w14:solidFill>
          </w14:textFill>
        </w:rPr>
        <w:t>1</w:t>
      </w:r>
      <w:r>
        <w:rPr>
          <w:rFonts w:hint="default" w:ascii="仿宋_GB2312" w:eastAsia="仿宋_GB2312" w:cs="Arial"/>
          <w:color w:val="000000" w:themeColor="text1"/>
          <w:sz w:val="32"/>
          <w:szCs w:val="32"/>
          <w:lang w:val="en-US" w:eastAsia="zh-CN"/>
          <w14:textFill>
            <w14:solidFill>
              <w14:schemeClr w14:val="tx1"/>
            </w14:solidFill>
          </w14:textFill>
        </w:rPr>
        <w:t>2</w:t>
      </w:r>
      <w:r>
        <w:rPr>
          <w:rFonts w:hint="default" w:ascii="仿宋_GB2312" w:eastAsia="仿宋_GB2312" w:cs="Arial"/>
          <w:color w:val="000000" w:themeColor="text1"/>
          <w:sz w:val="32"/>
          <w:szCs w:val="32"/>
          <w:lang w:val="zh-CN" w:eastAsia="zh-CN"/>
          <w14:textFill>
            <w14:solidFill>
              <w14:schemeClr w14:val="tx1"/>
            </w14:solidFill>
          </w14:textFill>
        </w:rPr>
        <w:t>月预算执行总体进度为</w:t>
      </w:r>
      <w:r>
        <w:rPr>
          <w:rFonts w:hint="eastAsia" w:ascii="仿宋_GB2312" w:cs="Arial"/>
          <w:color w:val="000000" w:themeColor="text1"/>
          <w:sz w:val="32"/>
          <w:szCs w:val="32"/>
          <w:lang w:val="en-US" w:eastAsia="zh-CN"/>
          <w14:textFill>
            <w14:solidFill>
              <w14:schemeClr w14:val="tx1"/>
            </w14:solidFill>
          </w14:textFill>
        </w:rPr>
        <w:t>73</w:t>
      </w:r>
      <w:r>
        <w:rPr>
          <w:rFonts w:hint="default" w:ascii="仿宋_GB2312" w:eastAsia="仿宋_GB2312" w:cs="Arial"/>
          <w:color w:val="000000" w:themeColor="text1"/>
          <w:sz w:val="32"/>
          <w:szCs w:val="32"/>
          <w:lang w:val="zh-CN" w:eastAsia="zh-CN"/>
          <w14:textFill>
            <w14:solidFill>
              <w14:schemeClr w14:val="tx1"/>
            </w14:solidFill>
          </w14:textFill>
        </w:rPr>
        <w:t>%，其中：预算结余率大于</w:t>
      </w:r>
      <w:r>
        <w:rPr>
          <w:rFonts w:hint="default" w:ascii="仿宋_GB2312" w:eastAsia="仿宋_GB2312" w:cs="Arial"/>
          <w:color w:val="000000" w:themeColor="text1"/>
          <w:sz w:val="32"/>
          <w:szCs w:val="32"/>
          <w:lang w:val="en-US" w:eastAsia="zh-CN"/>
          <w14:textFill>
            <w14:solidFill>
              <w14:schemeClr w14:val="tx1"/>
            </w14:solidFill>
          </w14:textFill>
        </w:rPr>
        <w:t>10%</w:t>
      </w:r>
      <w:r>
        <w:rPr>
          <w:rFonts w:hint="default" w:ascii="仿宋_GB2312" w:eastAsia="仿宋_GB2312" w:cs="Arial"/>
          <w:color w:val="000000" w:themeColor="text1"/>
          <w:sz w:val="32"/>
          <w:szCs w:val="32"/>
          <w:lang w:val="zh-CN" w:eastAsia="zh-CN"/>
          <w14:textFill>
            <w14:solidFill>
              <w14:schemeClr w14:val="tx1"/>
            </w14:solidFill>
          </w14:textFill>
        </w:rPr>
        <w:t>的项目共计</w:t>
      </w:r>
      <w:r>
        <w:rPr>
          <w:rFonts w:hint="eastAsia" w:ascii="仿宋_GB2312" w:eastAsia="仿宋_GB2312" w:cs="Arial"/>
          <w:color w:val="000000" w:themeColor="text1"/>
          <w:sz w:val="32"/>
          <w:szCs w:val="32"/>
          <w:lang w:val="en-US" w:eastAsia="zh-CN"/>
          <w14:textFill>
            <w14:solidFill>
              <w14:schemeClr w14:val="tx1"/>
            </w14:solidFill>
          </w14:textFill>
        </w:rPr>
        <w:t>1</w:t>
      </w:r>
      <w:r>
        <w:rPr>
          <w:rFonts w:hint="default" w:ascii="仿宋_GB2312" w:eastAsia="仿宋_GB2312" w:cs="Arial"/>
          <w:color w:val="000000" w:themeColor="text1"/>
          <w:sz w:val="32"/>
          <w:szCs w:val="32"/>
          <w:lang w:val="zh-CN" w:eastAsia="zh-CN"/>
          <w14:textFill>
            <w14:solidFill>
              <w14:schemeClr w14:val="tx1"/>
            </w14:solidFill>
          </w14:textFill>
        </w:rPr>
        <w:t>个。</w:t>
      </w:r>
    </w:p>
    <w:p w14:paraId="7C833D29">
      <w:pPr>
        <w:tabs>
          <w:tab w:val="left" w:pos="700"/>
        </w:tabs>
        <w:adjustRightInd w:val="0"/>
        <w:snapToGrid w:val="0"/>
        <w:spacing w:line="560" w:lineRule="exact"/>
        <w:ind w:firstLine="643" w:firstLineChars="200"/>
        <w:rPr>
          <w:rFonts w:hint="eastAsia" w:ascii="仿宋_GB2312" w:eastAsia="仿宋_GB2312"/>
          <w:b w:val="0"/>
          <w:bCs/>
          <w:sz w:val="32"/>
          <w:szCs w:val="32"/>
          <w:lang w:val="en-US" w:eastAsia="zh-CN"/>
        </w:rPr>
      </w:pPr>
      <w:r>
        <w:rPr>
          <w:rFonts w:hint="eastAsia" w:ascii="仿宋_GB2312" w:eastAsia="仿宋_GB2312"/>
          <w:b/>
          <w:sz w:val="32"/>
          <w:szCs w:val="32"/>
          <w:lang w:val="en-US" w:eastAsia="zh-CN"/>
        </w:rPr>
        <w:t>雪豹监测</w:t>
      </w:r>
      <w:r>
        <w:rPr>
          <w:rFonts w:hint="eastAsia" w:ascii="仿宋_GB2312" w:eastAsia="仿宋_GB2312"/>
          <w:b/>
          <w:sz w:val="32"/>
          <w:szCs w:val="32"/>
        </w:rPr>
        <w:t>。</w:t>
      </w:r>
      <w:r>
        <w:rPr>
          <w:rFonts w:hint="eastAsia" w:ascii="仿宋_GB2312" w:eastAsia="仿宋_GB2312"/>
          <w:b/>
          <w:sz w:val="32"/>
          <w:szCs w:val="32"/>
          <w:lang w:val="en-US" w:eastAsia="zh-CN"/>
        </w:rPr>
        <w:t>预算数286万元。</w:t>
      </w:r>
      <w:r>
        <w:rPr>
          <w:rFonts w:hint="eastAsia" w:ascii="仿宋_GB2312" w:eastAsia="仿宋_GB2312"/>
          <w:b w:val="0"/>
          <w:bCs/>
          <w:sz w:val="32"/>
          <w:szCs w:val="32"/>
          <w:lang w:val="en-US" w:eastAsia="zh-CN"/>
        </w:rPr>
        <w:t>已支付197.36万元，支付进度69%。按合同约定剩下40%调查服务费在2024年</w:t>
      </w:r>
      <w:r>
        <w:rPr>
          <w:rFonts w:hint="eastAsia" w:ascii="仿宋_GB2312"/>
          <w:b w:val="0"/>
          <w:bCs/>
          <w:sz w:val="32"/>
          <w:szCs w:val="32"/>
          <w:lang w:val="en-US" w:eastAsia="zh-CN"/>
        </w:rPr>
        <w:t>10</w:t>
      </w:r>
      <w:r>
        <w:rPr>
          <w:rFonts w:hint="eastAsia" w:ascii="仿宋_GB2312" w:eastAsia="仿宋_GB2312"/>
          <w:b w:val="0"/>
          <w:bCs/>
          <w:sz w:val="32"/>
          <w:szCs w:val="32"/>
          <w:lang w:val="en-US" w:eastAsia="zh-CN"/>
        </w:rPr>
        <w:t>月支付。</w:t>
      </w:r>
    </w:p>
    <w:p w14:paraId="5819D75C">
      <w:pPr>
        <w:tabs>
          <w:tab w:val="left" w:pos="700"/>
        </w:tabs>
        <w:adjustRightInd w:val="0"/>
        <w:snapToGrid w:val="0"/>
        <w:spacing w:line="560" w:lineRule="exact"/>
        <w:ind w:firstLine="643" w:firstLineChars="200"/>
        <w:rPr>
          <w:rFonts w:hint="default" w:ascii="仿宋_GB2312" w:eastAsia="仿宋_GB2312" w:cs="Arial"/>
          <w:color w:val="000000" w:themeColor="text1"/>
          <w:sz w:val="32"/>
          <w:szCs w:val="32"/>
          <w:lang w:val="zh-CN" w:eastAsia="zh-CN"/>
          <w14:textFill>
            <w14:solidFill>
              <w14:schemeClr w14:val="tx1"/>
            </w14:solidFill>
          </w14:textFill>
        </w:rPr>
      </w:pPr>
      <w:r>
        <w:rPr>
          <w:rFonts w:hint="eastAsia" w:ascii="仿宋_GB2312" w:eastAsia="仿宋_GB2312"/>
          <w:b/>
          <w:sz w:val="32"/>
          <w:szCs w:val="32"/>
          <w:lang w:val="en-US" w:eastAsia="zh-CN"/>
        </w:rPr>
        <w:t>巡护终端采购</w:t>
      </w:r>
      <w:r>
        <w:rPr>
          <w:rFonts w:hint="eastAsia" w:ascii="仿宋_GB2312" w:eastAsia="仿宋_GB2312"/>
          <w:b/>
          <w:sz w:val="32"/>
          <w:szCs w:val="32"/>
        </w:rPr>
        <w:t>。</w:t>
      </w:r>
      <w:r>
        <w:rPr>
          <w:rFonts w:hint="eastAsia" w:ascii="仿宋_GB2312" w:eastAsia="仿宋_GB2312"/>
          <w:b/>
          <w:sz w:val="32"/>
          <w:szCs w:val="32"/>
          <w:lang w:val="en-US" w:eastAsia="zh-CN"/>
        </w:rPr>
        <w:t>预算数50万元。</w:t>
      </w:r>
      <w:r>
        <w:rPr>
          <w:rFonts w:hint="eastAsia" w:ascii="仿宋_GB2312" w:eastAsia="仿宋_GB2312"/>
          <w:b w:val="0"/>
          <w:bCs/>
          <w:sz w:val="32"/>
          <w:szCs w:val="32"/>
          <w:lang w:val="en-US" w:eastAsia="zh-CN"/>
        </w:rPr>
        <w:t>因两次流标，年底决算，结转到2024年执行。</w:t>
      </w:r>
    </w:p>
    <w:p w14:paraId="6056C37D">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3" w:firstLineChars="200"/>
        <w:textAlignment w:val="auto"/>
        <w:rPr>
          <w:rFonts w:hint="eastAsia" w:ascii="仿宋_GB2312" w:eastAsia="仿宋_GB2312" w:cs="仿宋_GB2312"/>
          <w:sz w:val="32"/>
          <w:szCs w:val="32"/>
          <w:lang w:bidi="ar-SA"/>
        </w:rPr>
      </w:pPr>
      <w:r>
        <w:rPr>
          <w:rFonts w:hint="eastAsia" w:ascii="仿宋_GB2312" w:cs="Arial"/>
          <w:b/>
          <w:bCs/>
          <w:color w:val="000000" w:themeColor="text1"/>
          <w:sz w:val="32"/>
          <w:szCs w:val="32"/>
          <w:lang w:val="en-US" w:eastAsia="zh-CN"/>
          <w14:textFill>
            <w14:solidFill>
              <w14:schemeClr w14:val="tx1"/>
            </w14:solidFill>
          </w14:textFill>
        </w:rPr>
        <w:t>1.</w:t>
      </w:r>
      <w:r>
        <w:rPr>
          <w:rFonts w:hint="eastAsia" w:ascii="仿宋_GB2312" w:eastAsia="仿宋_GB2312" w:cs="Arial"/>
          <w:b/>
          <w:bCs/>
          <w:color w:val="000000" w:themeColor="text1"/>
          <w:sz w:val="32"/>
          <w:szCs w:val="32"/>
          <w:lang w:val="zh-CN" w:eastAsia="zh-CN"/>
          <w14:textFill>
            <w14:solidFill>
              <w14:schemeClr w14:val="tx1"/>
            </w14:solidFill>
          </w14:textFill>
        </w:rPr>
        <w:t>项目决策。</w:t>
      </w:r>
      <w:r>
        <w:rPr>
          <w:rFonts w:hint="eastAsia" w:ascii="仿宋_GB2312" w:eastAsia="仿宋_GB2312" w:cs="仿宋_GB2312"/>
          <w:sz w:val="32"/>
          <w:szCs w:val="32"/>
          <w:lang w:bidi="ar-SA"/>
        </w:rPr>
        <w:t>雪豹是我国被列入IUCN红色目录中的“易危”范围的一级保护物种，仅分布在亚洲12个国家的高山地区。中国是雪豹分布的核心区域，而四川又是我国野生雪豹的主要分布区之一。查清四川省野生雪豹种群数量、分布及栖息地情况，对于维护大熊猫国家公园生态系统的原真性、完整性和多样性具有重要意义。</w:t>
      </w:r>
    </w:p>
    <w:p w14:paraId="017B4F32">
      <w:pPr>
        <w:keepNext w:val="0"/>
        <w:keepLines w:val="0"/>
        <w:pageBreakBefore w:val="0"/>
        <w:widowControl w:val="0"/>
        <w:kinsoku/>
        <w:wordWrap/>
        <w:overflowPunct/>
        <w:topLinePunct w:val="0"/>
        <w:autoSpaceDE/>
        <w:autoSpaceDN/>
        <w:adjustRightInd/>
        <w:snapToGrid/>
        <w:spacing w:line="578" w:lineRule="exact"/>
        <w:ind w:firstLine="640" w:firstLineChars="200"/>
        <w:rPr>
          <w:rFonts w:hint="eastAsia" w:ascii="仿宋_GB2312" w:cs="仿宋_GB2312"/>
          <w:kern w:val="0"/>
          <w:shd w:val="clear" w:color="auto" w:fill="FFFFFF"/>
          <w:lang w:bidi="ar-SA"/>
        </w:rPr>
      </w:pPr>
      <w:r>
        <w:rPr>
          <w:rFonts w:hint="eastAsia" w:ascii="仿宋_GB2312" w:eastAsia="仿宋_GB2312" w:cs="仿宋_GB2312"/>
          <w:color w:val="auto"/>
          <w:kern w:val="0"/>
          <w:sz w:val="32"/>
          <w:szCs w:val="32"/>
          <w:highlight w:val="none"/>
          <w:u w:val="none"/>
          <w:shd w:val="clear" w:color="auto" w:fill="FFFFFF"/>
          <w:lang w:val="en-US" w:eastAsia="zh-CN" w:bidi="ar-SA"/>
        </w:rPr>
        <w:t>根据四川省林草局（大熊猫国家公园四川省管理局）统一安排部署，大熊猫国家公园管理机构承担大熊猫国家公园及周边紧邻地区的雪豹调查工作。为此大熊猫国家公园</w:t>
      </w:r>
      <w:r>
        <w:rPr>
          <w:rFonts w:hint="eastAsia" w:ascii="仿宋_GB2312" w:cs="仿宋_GB2312"/>
          <w:color w:val="auto"/>
          <w:kern w:val="0"/>
          <w:sz w:val="32"/>
          <w:szCs w:val="32"/>
          <w:highlight w:val="none"/>
          <w:u w:val="none"/>
          <w:shd w:val="clear" w:color="auto" w:fill="FFFFFF"/>
          <w:lang w:val="en-US" w:eastAsia="zh-CN" w:bidi="ar-SA"/>
        </w:rPr>
        <w:t>阿坝管理分局申报2023年度省级财政林草专项国家公园补助资金用于开展雪豹调查和购置所需设备。</w:t>
      </w:r>
    </w:p>
    <w:p w14:paraId="7DD46FE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cs="仿宋_GB2312"/>
          <w:color w:val="auto"/>
          <w:kern w:val="0"/>
          <w:sz w:val="32"/>
          <w:szCs w:val="32"/>
          <w:highlight w:val="none"/>
          <w:u w:val="none"/>
          <w:shd w:val="clear" w:color="auto" w:fill="FFFFFF"/>
          <w:lang w:val="en-US" w:eastAsia="zh-CN" w:bidi="ar-SA"/>
        </w:rPr>
      </w:pPr>
      <w:r>
        <w:rPr>
          <w:rFonts w:hint="eastAsia" w:ascii="仿宋_GB2312" w:cs="仿宋_GB2312"/>
          <w:color w:val="auto"/>
          <w:kern w:val="0"/>
          <w:sz w:val="32"/>
          <w:szCs w:val="32"/>
          <w:highlight w:val="none"/>
          <w:u w:val="none"/>
          <w:shd w:val="clear" w:color="auto" w:fill="FFFFFF"/>
          <w:lang w:val="en-US" w:eastAsia="zh-CN" w:bidi="ar-SA"/>
        </w:rPr>
        <w:t>项目主要内容包括购置调查所需的红外相机，通过访谈、样线调查的手段掌握大熊猫国家公园阿坝片区及毗邻地区雪豹分布、栖息地、食物资源以及主要干扰状况，形成调查报告，为大熊猫国家公园管理提决策供科学支撑。</w:t>
      </w:r>
    </w:p>
    <w:p w14:paraId="029E127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cs="仿宋_GB2312"/>
          <w:color w:val="auto"/>
          <w:kern w:val="0"/>
          <w:sz w:val="32"/>
          <w:szCs w:val="32"/>
          <w:highlight w:val="none"/>
          <w:u w:val="none"/>
          <w:shd w:val="clear" w:color="auto" w:fill="FFFFFF"/>
          <w:lang w:val="en-US" w:eastAsia="zh-CN" w:bidi="ar-SA"/>
        </w:rPr>
      </w:pPr>
      <w:r>
        <w:rPr>
          <w:rFonts w:hint="eastAsia" w:ascii="仿宋_GB2312" w:cs="仿宋_GB2312"/>
          <w:color w:val="auto"/>
          <w:kern w:val="0"/>
          <w:sz w:val="32"/>
          <w:szCs w:val="32"/>
          <w:highlight w:val="none"/>
          <w:u w:val="none"/>
          <w:shd w:val="clear" w:color="auto" w:fill="FFFFFF"/>
          <w:lang w:val="en-US" w:eastAsia="zh-CN" w:bidi="ar-SA"/>
        </w:rPr>
        <w:t>项目于资金下达前已入库，大熊猫国家公园阿坝管理分局作为项目业主，负责项目谋划和统筹推进。</w:t>
      </w:r>
    </w:p>
    <w:p w14:paraId="2355CD6C">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Chars="200"/>
        <w:textAlignment w:val="auto"/>
        <w:rPr>
          <w:rFonts w:hint="eastAsia" w:ascii="仿宋_GB2312" w:eastAsia="仿宋_GB2312" w:cs="Arial"/>
          <w:color w:val="000000" w:themeColor="text1"/>
          <w:sz w:val="32"/>
          <w:szCs w:val="32"/>
          <w:lang w:val="zh-CN" w:eastAsia="zh-CN"/>
          <w14:textFill>
            <w14:solidFill>
              <w14:schemeClr w14:val="tx1"/>
            </w14:solidFill>
          </w14:textFill>
        </w:rPr>
      </w:pPr>
      <w:r>
        <w:rPr>
          <w:rFonts w:hint="eastAsia" w:ascii="仿宋_GB2312" w:cs="Arial"/>
          <w:b/>
          <w:bCs/>
          <w:color w:val="000000" w:themeColor="text1"/>
          <w:sz w:val="32"/>
          <w:szCs w:val="32"/>
          <w:lang w:val="en-US" w:eastAsia="zh-CN"/>
          <w14:textFill>
            <w14:solidFill>
              <w14:schemeClr w14:val="tx1"/>
            </w14:solidFill>
          </w14:textFill>
        </w:rPr>
        <w:t>2.</w:t>
      </w:r>
      <w:r>
        <w:rPr>
          <w:rFonts w:hint="eastAsia" w:ascii="仿宋_GB2312" w:eastAsia="仿宋_GB2312" w:cs="Arial"/>
          <w:b/>
          <w:bCs/>
          <w:color w:val="000000" w:themeColor="text1"/>
          <w:sz w:val="32"/>
          <w:szCs w:val="32"/>
          <w:lang w:val="en-US" w:eastAsia="zh-CN"/>
          <w14:textFill>
            <w14:solidFill>
              <w14:schemeClr w14:val="tx1"/>
            </w14:solidFill>
          </w14:textFill>
        </w:rPr>
        <w:t>项目执行</w:t>
      </w:r>
      <w:r>
        <w:rPr>
          <w:rFonts w:hint="eastAsia" w:ascii="仿宋_GB2312" w:eastAsia="仿宋_GB2312" w:cs="Arial"/>
          <w:b/>
          <w:bCs/>
          <w:color w:val="000000" w:themeColor="text1"/>
          <w:sz w:val="32"/>
          <w:szCs w:val="32"/>
          <w:lang w:val="zh-CN" w:eastAsia="zh-CN"/>
          <w14:textFill>
            <w14:solidFill>
              <w14:schemeClr w14:val="tx1"/>
            </w14:solidFill>
          </w14:textFill>
        </w:rPr>
        <w:t>。</w:t>
      </w:r>
    </w:p>
    <w:p w14:paraId="61DE293E">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rPr>
          <w:rFonts w:hint="eastAsia" w:ascii="仿宋_GB2312" w:cs="仿宋_GB2312"/>
          <w:color w:val="auto"/>
          <w:kern w:val="0"/>
          <w:sz w:val="32"/>
          <w:szCs w:val="32"/>
          <w:highlight w:val="none"/>
          <w:u w:val="none"/>
          <w:shd w:val="clear" w:color="auto" w:fill="FFFFFF"/>
          <w:lang w:val="zh-CN" w:eastAsia="zh-CN" w:bidi="ar-SA"/>
        </w:rPr>
      </w:pPr>
      <w:r>
        <w:rPr>
          <w:rFonts w:hint="eastAsia" w:ascii="仿宋_GB2312" w:cs="仿宋_GB2312"/>
          <w:color w:val="auto"/>
          <w:kern w:val="0"/>
          <w:sz w:val="32"/>
          <w:szCs w:val="32"/>
          <w:highlight w:val="none"/>
          <w:u w:val="none"/>
          <w:shd w:val="clear" w:color="auto" w:fill="FFFFFF"/>
          <w:lang w:val="zh-CN" w:eastAsia="zh-CN" w:bidi="ar-SA"/>
        </w:rPr>
        <w:t>根据项目建设内容，在</w:t>
      </w:r>
      <w:r>
        <w:rPr>
          <w:rFonts w:hint="eastAsia" w:ascii="仿宋_GB2312" w:eastAsia="仿宋_GB2312" w:cs="仿宋_GB2312"/>
          <w:color w:val="auto"/>
          <w:kern w:val="0"/>
          <w:sz w:val="32"/>
          <w:szCs w:val="32"/>
          <w:highlight w:val="none"/>
          <w:u w:val="none"/>
          <w:shd w:val="clear" w:color="auto" w:fill="FFFFFF"/>
          <w:lang w:val="en-US" w:eastAsia="zh-CN" w:bidi="ar-SA"/>
        </w:rPr>
        <w:t>四川省林草局（大熊猫国家公园四川省管理局）指导下，逐一明确建设内容及单价进行合理测算，形成项目建设投资概算，经局党组研究同意足额分配资金。</w:t>
      </w:r>
      <w:r>
        <w:rPr>
          <w:rFonts w:hint="eastAsia" w:ascii="仿宋_GB2312"/>
          <w:sz w:val="32"/>
          <w:szCs w:val="32"/>
          <w:lang w:val="en-US" w:eastAsia="zh-CN"/>
        </w:rPr>
        <w:t>雪豹监测采购项目分为红外线相机采购和雪豹野生种群数量及栖息地调查，红外线相机采购已完成支付，完成了年初设定的数量指标；调查费用2023年支付了60%，剩余40%费用待调查报告出具后完成支付，预计在2024年10月份完成支付。</w:t>
      </w:r>
    </w:p>
    <w:p w14:paraId="4BF9A60E">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eastAsia" w:ascii="仿宋_GB2312" w:eastAsia="仿宋_GB2312" w:cs="Arial"/>
          <w:color w:val="000000" w:themeColor="text1"/>
          <w:sz w:val="32"/>
          <w:szCs w:val="32"/>
          <w:lang w:val="zh-CN" w:eastAsia="zh-CN"/>
          <w14:textFill>
            <w14:solidFill>
              <w14:schemeClr w14:val="tx1"/>
            </w14:solidFill>
          </w14:textFill>
        </w:rPr>
      </w:pPr>
      <w:r>
        <w:rPr>
          <w:rFonts w:hint="eastAsia" w:ascii="仿宋_GB2312" w:eastAsia="仿宋_GB2312" w:cs="Arial"/>
          <w:b/>
          <w:bCs/>
          <w:color w:val="000000" w:themeColor="text1"/>
          <w:sz w:val="32"/>
          <w:szCs w:val="32"/>
          <w:lang w:val="en-US" w:eastAsia="zh-CN"/>
          <w14:textFill>
            <w14:solidFill>
              <w14:schemeClr w14:val="tx1"/>
            </w14:solidFill>
          </w14:textFill>
        </w:rPr>
        <w:t>3.</w:t>
      </w:r>
      <w:r>
        <w:rPr>
          <w:rFonts w:hint="eastAsia" w:ascii="仿宋_GB2312" w:eastAsia="仿宋_GB2312" w:cs="Arial"/>
          <w:b/>
          <w:bCs/>
          <w:color w:val="000000" w:themeColor="text1"/>
          <w:sz w:val="32"/>
          <w:szCs w:val="32"/>
          <w:lang w:val="zh-CN" w:eastAsia="zh-CN"/>
          <w14:textFill>
            <w14:solidFill>
              <w14:schemeClr w14:val="tx1"/>
            </w14:solidFill>
          </w14:textFill>
        </w:rPr>
        <w:t>目标实现。</w:t>
      </w:r>
    </w:p>
    <w:p w14:paraId="3A7D06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cs="仿宋_GB2312"/>
          <w:bCs/>
          <w:color w:val="auto"/>
          <w:sz w:val="32"/>
          <w:szCs w:val="32"/>
          <w:highlight w:val="none"/>
          <w:u w:val="none"/>
          <w:lang w:val="en-US" w:eastAsia="zh-CN" w:bidi="ar-SA"/>
        </w:rPr>
        <w:t>本</w:t>
      </w:r>
      <w:r>
        <w:rPr>
          <w:rFonts w:hint="eastAsia" w:ascii="仿宋_GB2312" w:eastAsia="仿宋_GB2312" w:cs="仿宋_GB2312"/>
          <w:bCs/>
          <w:color w:val="auto"/>
          <w:kern w:val="0"/>
          <w:sz w:val="32"/>
          <w:szCs w:val="32"/>
          <w:highlight w:val="none"/>
          <w:u w:val="none"/>
          <w:shd w:val="clear" w:color="auto" w:fill="FFFFFF"/>
          <w:lang w:val="zh-CN" w:eastAsia="zh-CN" w:bidi="ar-SA"/>
        </w:rPr>
        <w:t>项</w:t>
      </w:r>
      <w:r>
        <w:rPr>
          <w:rFonts w:hint="eastAsia" w:ascii="仿宋_GB2312" w:cs="仿宋_GB2312"/>
          <w:color w:val="auto"/>
          <w:kern w:val="0"/>
          <w:sz w:val="32"/>
          <w:szCs w:val="32"/>
          <w:highlight w:val="none"/>
          <w:u w:val="none"/>
          <w:shd w:val="clear" w:color="auto" w:fill="FFFFFF"/>
          <w:lang w:val="zh-CN" w:eastAsia="zh-CN" w:bidi="ar-SA"/>
        </w:rPr>
        <w:t>目</w:t>
      </w:r>
      <w:r>
        <w:rPr>
          <w:rFonts w:hint="eastAsia" w:ascii="仿宋_GB2312" w:cs="仿宋_GB2312"/>
          <w:color w:val="auto"/>
          <w:kern w:val="0"/>
          <w:sz w:val="32"/>
          <w:szCs w:val="32"/>
          <w:highlight w:val="none"/>
          <w:u w:val="none"/>
          <w:shd w:val="clear" w:color="auto" w:fill="FFFFFF"/>
          <w:lang w:val="en-US" w:eastAsia="zh-CN" w:bidi="ar-SA"/>
        </w:rPr>
        <w:t>的主要任务是在调查区开展样线调查、红外相机监测以及雪豹等野生动物样本监测，并以此为依据形成雪豹调查报告</w:t>
      </w:r>
      <w:r>
        <w:rPr>
          <w:rFonts w:hint="eastAsia" w:ascii="仿宋_GB2312" w:cs="仿宋_GB2312"/>
          <w:color w:val="auto"/>
          <w:kern w:val="0"/>
          <w:sz w:val="32"/>
          <w:szCs w:val="32"/>
          <w:highlight w:val="none"/>
          <w:u w:val="none"/>
          <w:shd w:val="clear" w:color="auto" w:fill="FFFFFF"/>
          <w:lang w:val="zh-CN" w:eastAsia="zh-CN" w:bidi="ar-SA"/>
        </w:rPr>
        <w:t>，</w:t>
      </w:r>
      <w:r>
        <w:rPr>
          <w:rFonts w:hint="eastAsia" w:ascii="仿宋_GB2312" w:cs="仿宋_GB2312"/>
          <w:color w:val="auto"/>
          <w:kern w:val="0"/>
          <w:sz w:val="32"/>
          <w:szCs w:val="32"/>
          <w:highlight w:val="none"/>
          <w:u w:val="none"/>
          <w:shd w:val="clear" w:color="auto" w:fill="FFFFFF"/>
          <w:lang w:val="en-US" w:eastAsia="zh-CN" w:bidi="ar-SA"/>
        </w:rPr>
        <w:t>目标相对单一。针对项目特点，设置了通用指标、专用指标和三项个性指标，确保如期完成项目建设，</w:t>
      </w:r>
      <w:r>
        <w:rPr>
          <w:rFonts w:hint="eastAsia" w:ascii="仿宋_GB2312" w:eastAsia="仿宋_GB2312" w:cs="华文仿宋"/>
          <w:sz w:val="32"/>
          <w:szCs w:val="32"/>
          <w:lang w:bidi="ar-SA"/>
        </w:rPr>
        <w:t>国家公园内旗舰物种等得到有效保护。</w:t>
      </w:r>
      <w:r>
        <w:rPr>
          <w:rFonts w:hint="eastAsia" w:ascii="仿宋_GB2312"/>
          <w:sz w:val="32"/>
          <w:szCs w:val="32"/>
          <w:lang w:val="en-US" w:eastAsia="zh-CN"/>
        </w:rPr>
        <w:t>此项目撰写了自评报告、填报了项目自评表、绩效评价指标体系表。</w:t>
      </w:r>
    </w:p>
    <w:p w14:paraId="1B12CC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sz w:val="32"/>
          <w:szCs w:val="32"/>
          <w:lang w:val="en-US" w:eastAsia="zh-CN"/>
        </w:rPr>
        <w:t>巡护终端采购项目由于资金下达滞后，于2023年8月下达，因在实施采购过程中两次流标，2023年无法完成采购费用结转到2024年继续实施采购。此项目撰写了自评报告、填报了项目自评表、绩效评价指标体系表。</w:t>
      </w:r>
    </w:p>
    <w:p w14:paraId="7979C798">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lang w:val="en-US" w:eastAsia="zh-CN"/>
          <w14:textFill>
            <w14:solidFill>
              <w14:schemeClr w14:val="tx1"/>
            </w14:solidFill>
          </w14:textFill>
        </w:rPr>
        <w:t>州</w:t>
      </w:r>
      <w:r>
        <w:rPr>
          <w:rFonts w:hint="default" w:ascii="仿宋_GB2312" w:eastAsia="仿宋_GB2312" w:cs="Arial"/>
          <w:color w:val="000000" w:themeColor="text1"/>
          <w:sz w:val="32"/>
          <w:szCs w:val="32"/>
          <w:lang w:val="en-US" w:eastAsia="zh-CN"/>
          <w14:textFill>
            <w14:solidFill>
              <w14:schemeClr w14:val="tx1"/>
            </w14:solidFill>
          </w14:textFill>
        </w:rPr>
        <w:t>级部门</w:t>
      </w:r>
      <w:r>
        <w:rPr>
          <w:rFonts w:hint="eastAsia" w:ascii="仿宋_GB2312" w:eastAsia="仿宋_GB2312" w:cs="Arial"/>
          <w:color w:val="000000" w:themeColor="text1"/>
          <w:sz w:val="32"/>
          <w:szCs w:val="32"/>
          <w:lang w:val="en-US" w:eastAsia="zh-CN"/>
          <w14:textFill>
            <w14:solidFill>
              <w14:schemeClr w14:val="tx1"/>
            </w14:solidFill>
          </w14:textFill>
        </w:rPr>
        <w:t>2023年度</w:t>
      </w:r>
      <w:r>
        <w:rPr>
          <w:rFonts w:hint="default" w:ascii="仿宋_GB2312" w:eastAsia="仿宋_GB2312" w:cs="Arial"/>
          <w:color w:val="000000" w:themeColor="text1"/>
          <w:sz w:val="32"/>
          <w:szCs w:val="32"/>
          <w:lang w:val="en-US" w:eastAsia="zh-CN"/>
          <w14:textFill>
            <w14:solidFill>
              <w14:schemeClr w14:val="tx1"/>
            </w14:solidFill>
          </w14:textFill>
        </w:rPr>
        <w:t>若涉及国有资本经营预算、社会保险基金预算的，应在部门预算绩效自评报告中对完成情况进行梳理阐述。国有资本经营预算绩效自评</w:t>
      </w:r>
      <w:r>
        <w:rPr>
          <w:rFonts w:hint="eastAsia" w:ascii="仿宋_GB2312" w:eastAsia="仿宋_GB2312" w:cs="Arial"/>
          <w:color w:val="000000" w:themeColor="text1"/>
          <w:sz w:val="32"/>
          <w:szCs w:val="32"/>
          <w:lang w:val="en-US" w:eastAsia="zh-CN"/>
          <w14:textFill>
            <w14:solidFill>
              <w14:schemeClr w14:val="tx1"/>
            </w14:solidFill>
          </w14:textFill>
        </w:rPr>
        <w:t>重点</w:t>
      </w:r>
      <w:r>
        <w:rPr>
          <w:rFonts w:hint="default" w:ascii="仿宋_GB2312" w:eastAsia="仿宋_GB2312" w:cs="Arial"/>
          <w:color w:val="000000" w:themeColor="text1"/>
          <w:sz w:val="32"/>
          <w:szCs w:val="32"/>
          <w:lang w:val="en-US" w:eastAsia="zh-CN"/>
          <w14:textFill>
            <w14:solidFill>
              <w14:schemeClr w14:val="tx1"/>
            </w14:solidFill>
          </w14:textFill>
        </w:rPr>
        <w:t>关注企业的运营质量、行业水平等情况；社会保险基金预算绩效自评重点关注基金可持续性、区域安全性等情况。</w:t>
      </w:r>
    </w:p>
    <w:p w14:paraId="49E497D6">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default" w:ascii="仿宋_GB2312" w:eastAsia="仿宋_GB2312" w:cs="Arial"/>
          <w:color w:val="000000" w:themeColor="text1"/>
          <w:sz w:val="32"/>
          <w:szCs w:val="32"/>
          <w:lang w:val="zh-CN" w:eastAsia="zh-CN"/>
          <w14:textFill>
            <w14:solidFill>
              <w14:schemeClr w14:val="tx1"/>
            </w14:solidFill>
          </w14:textFill>
        </w:rPr>
        <w:t>重点领域绩效分析。</w:t>
      </w:r>
      <w:r>
        <w:rPr>
          <w:rFonts w:hint="eastAsia" w:ascii="仿宋_GB2312" w:eastAsia="仿宋_GB2312" w:cs="Arial"/>
          <w:color w:val="000000" w:themeColor="text1"/>
          <w:sz w:val="32"/>
          <w:szCs w:val="32"/>
          <w:lang w:val="en-US" w:eastAsia="zh-CN"/>
          <w14:textFill>
            <w14:solidFill>
              <w14:schemeClr w14:val="tx1"/>
            </w14:solidFill>
          </w14:textFill>
        </w:rPr>
        <w:t>州</w:t>
      </w:r>
      <w:r>
        <w:rPr>
          <w:rFonts w:hint="default" w:ascii="仿宋_GB2312" w:eastAsia="仿宋_GB2312" w:cs="Arial"/>
          <w:color w:val="000000" w:themeColor="text1"/>
          <w:sz w:val="32"/>
          <w:szCs w:val="32"/>
          <w:lang w:val="en-US" w:eastAsia="zh-CN"/>
          <w14:textFill>
            <w14:solidFill>
              <w14:schemeClr w14:val="tx1"/>
            </w14:solidFill>
          </w14:textFill>
        </w:rPr>
        <w:t>级部门</w:t>
      </w:r>
      <w:r>
        <w:rPr>
          <w:rFonts w:hint="eastAsia" w:ascii="仿宋_GB2312" w:eastAsia="仿宋_GB2312" w:cs="Arial"/>
          <w:color w:val="000000" w:themeColor="text1"/>
          <w:sz w:val="32"/>
          <w:szCs w:val="32"/>
          <w:lang w:val="en-US" w:eastAsia="zh-CN"/>
          <w14:textFill>
            <w14:solidFill>
              <w14:schemeClr w14:val="tx1"/>
            </w14:solidFill>
          </w14:textFill>
        </w:rPr>
        <w:t>2023年度</w:t>
      </w:r>
      <w:r>
        <w:rPr>
          <w:rFonts w:hint="default" w:ascii="仿宋_GB2312" w:eastAsia="仿宋_GB2312" w:cs="Arial"/>
          <w:color w:val="000000" w:themeColor="text1"/>
          <w:sz w:val="32"/>
          <w:szCs w:val="32"/>
          <w:lang w:val="en-US" w:eastAsia="zh-CN"/>
          <w14:textFill>
            <w14:solidFill>
              <w14:schemeClr w14:val="tx1"/>
            </w14:solidFill>
          </w14:textFill>
        </w:rPr>
        <w:t>若涉及国有资本、行政事业性国有资产、债券资金、政府采购和政府购买服务等重点领域的，应在部门预算绩效自评报告中对完成情况进行梳理阐述</w:t>
      </w:r>
      <w:r>
        <w:rPr>
          <w:rFonts w:hint="eastAsia" w:ascii="仿宋_GB2312" w:eastAsia="仿宋_GB2312" w:cs="Arial"/>
          <w:color w:val="000000" w:themeColor="text1"/>
          <w:sz w:val="32"/>
          <w:szCs w:val="32"/>
          <w:lang w:val="en-US" w:eastAsia="zh-CN"/>
          <w14:textFill>
            <w14:solidFill>
              <w14:schemeClr w14:val="tx1"/>
            </w14:solidFill>
          </w14:textFill>
        </w:rPr>
        <w:t>。</w:t>
      </w:r>
    </w:p>
    <w:p w14:paraId="5A8E872C">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lang w:val="en-US" w:eastAsia="zh-CN"/>
          <w14:textFill>
            <w14:solidFill>
              <w14:schemeClr w14:val="tx1"/>
            </w14:solidFill>
          </w14:textFill>
        </w:rPr>
        <w:t>我单位</w:t>
      </w:r>
      <w:r>
        <w:rPr>
          <w:rFonts w:hint="eastAsia" w:ascii="仿宋_GB2312" w:cs="Arial"/>
          <w:color w:val="000000" w:themeColor="text1"/>
          <w:sz w:val="32"/>
          <w:szCs w:val="32"/>
          <w:lang w:val="en-US" w:eastAsia="zh-CN"/>
          <w14:textFill>
            <w14:solidFill>
              <w14:schemeClr w14:val="tx1"/>
            </w14:solidFill>
          </w14:textFill>
        </w:rPr>
        <w:t>不涉及</w:t>
      </w:r>
      <w:r>
        <w:rPr>
          <w:rFonts w:hint="eastAsia" w:ascii="仿宋_GB2312" w:eastAsia="仿宋_GB2312" w:cs="Arial"/>
          <w:color w:val="000000" w:themeColor="text1"/>
          <w:sz w:val="32"/>
          <w:szCs w:val="32"/>
          <w:lang w:val="en-US" w:eastAsia="zh-CN"/>
          <w14:textFill>
            <w14:solidFill>
              <w14:schemeClr w14:val="tx1"/>
            </w14:solidFill>
          </w14:textFill>
        </w:rPr>
        <w:t>以上</w:t>
      </w:r>
      <w:r>
        <w:rPr>
          <w:rFonts w:hint="eastAsia" w:ascii="仿宋_GB2312" w:cs="Arial"/>
          <w:color w:val="000000" w:themeColor="text1"/>
          <w:sz w:val="32"/>
          <w:szCs w:val="32"/>
          <w:lang w:val="en-US" w:eastAsia="zh-CN"/>
          <w14:textFill>
            <w14:solidFill>
              <w14:schemeClr w14:val="tx1"/>
            </w14:solidFill>
          </w14:textFill>
        </w:rPr>
        <w:t>资金。</w:t>
      </w:r>
    </w:p>
    <w:p w14:paraId="449595F3">
      <w:pPr>
        <w:keepNext w:val="0"/>
        <w:keepLines w:val="0"/>
        <w:pageBreakBefore w:val="0"/>
        <w:widowControl w:val="0"/>
        <w:numPr>
          <w:ilvl w:val="0"/>
          <w:numId w:val="1"/>
        </w:numPr>
        <w:kinsoku/>
        <w:wordWrap/>
        <w:overflowPunct/>
        <w:topLinePunct w:val="0"/>
        <w:autoSpaceDE/>
        <w:autoSpaceDN/>
        <w:bidi w:val="0"/>
        <w:adjustRightInd/>
        <w:snapToGrid/>
        <w:spacing w:line="560" w:lineRule="atLeast"/>
        <w:ind w:firstLine="643"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zh-CN" w:eastAsia="zh-CN"/>
          <w14:textFill>
            <w14:solidFill>
              <w14:schemeClr w14:val="tx1"/>
            </w14:solidFill>
          </w14:textFill>
        </w:rPr>
        <w:t>绩效结果应用情况。</w:t>
      </w:r>
      <w:r>
        <w:rPr>
          <w:rFonts w:hint="eastAsia" w:ascii="仿宋_GB2312" w:eastAsia="仿宋_GB2312" w:cs="Arial"/>
          <w:color w:val="000000" w:themeColor="text1"/>
          <w:sz w:val="32"/>
          <w:szCs w:val="32"/>
          <w:lang w:val="zh-CN" w:eastAsia="zh-CN"/>
          <w14:textFill>
            <w14:solidFill>
              <w14:schemeClr w14:val="tx1"/>
            </w14:solidFill>
          </w14:textFill>
        </w:rPr>
        <w:t>围绕内部应用情况、</w:t>
      </w:r>
      <w:r>
        <w:rPr>
          <w:rFonts w:hint="default" w:ascii="仿宋_GB2312" w:eastAsia="仿宋_GB2312" w:cs="Arial"/>
          <w:color w:val="000000" w:themeColor="text1"/>
          <w:sz w:val="32"/>
          <w:szCs w:val="32"/>
          <w:lang w:val="zh-CN" w:eastAsia="zh-CN"/>
          <w14:textFill>
            <w14:solidFill>
              <w14:schemeClr w14:val="tx1"/>
            </w14:solidFill>
          </w14:textFill>
        </w:rPr>
        <w:t>信息公开情况</w:t>
      </w:r>
      <w:r>
        <w:rPr>
          <w:rFonts w:hint="eastAsia" w:ascii="仿宋_GB2312" w:eastAsia="仿宋_GB2312" w:cs="Arial"/>
          <w:color w:val="000000" w:themeColor="text1"/>
          <w:sz w:val="32"/>
          <w:szCs w:val="32"/>
          <w:lang w:val="zh-CN" w:eastAsia="zh-CN"/>
          <w14:textFill>
            <w14:solidFill>
              <w14:schemeClr w14:val="tx1"/>
            </w14:solidFill>
          </w14:textFill>
        </w:rPr>
        <w:t>、</w:t>
      </w:r>
      <w:r>
        <w:rPr>
          <w:rFonts w:hint="default" w:ascii="仿宋_GB2312" w:eastAsia="仿宋_GB2312" w:cs="Arial"/>
          <w:color w:val="000000" w:themeColor="text1"/>
          <w:sz w:val="32"/>
          <w:szCs w:val="32"/>
          <w:lang w:val="zh-CN" w:eastAsia="zh-CN"/>
          <w14:textFill>
            <w14:solidFill>
              <w14:schemeClr w14:val="tx1"/>
            </w14:solidFill>
          </w14:textFill>
        </w:rPr>
        <w:t>整改反馈情况</w:t>
      </w:r>
      <w:r>
        <w:rPr>
          <w:rFonts w:hint="eastAsia" w:ascii="仿宋_GB2312" w:eastAsia="仿宋_GB2312" w:cs="Arial"/>
          <w:color w:val="000000" w:themeColor="text1"/>
          <w:sz w:val="32"/>
          <w:szCs w:val="32"/>
          <w:lang w:val="zh-CN" w:eastAsia="zh-CN"/>
          <w14:textFill>
            <w14:solidFill>
              <w14:schemeClr w14:val="tx1"/>
            </w14:solidFill>
          </w14:textFill>
        </w:rPr>
        <w:t>进行分析。</w:t>
      </w:r>
    </w:p>
    <w:p w14:paraId="04EF1542">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default" w:ascii="仿宋_GB2312" w:eastAsia="仿宋_GB2312" w:cs="Arial"/>
          <w:color w:val="000000" w:themeColor="text1"/>
          <w:sz w:val="32"/>
          <w:szCs w:val="32"/>
          <w:lang w:val="en-US" w:eastAsia="zh-CN"/>
          <w14:textFill>
            <w14:solidFill>
              <w14:schemeClr w14:val="tx1"/>
            </w14:solidFill>
          </w14:textFill>
        </w:rPr>
      </w:pPr>
      <w:r>
        <w:rPr>
          <w:rFonts w:hint="eastAsia" w:ascii="仿宋_GB2312" w:cs="Arial"/>
          <w:color w:val="000000" w:themeColor="text1"/>
          <w:sz w:val="32"/>
          <w:szCs w:val="32"/>
          <w:lang w:val="en-US" w:eastAsia="zh-CN"/>
          <w14:textFill>
            <w14:solidFill>
              <w14:schemeClr w14:val="tx1"/>
            </w14:solidFill>
          </w14:textFill>
        </w:rPr>
        <w:t xml:space="preserve"> </w:t>
      </w:r>
      <w:r>
        <w:rPr>
          <w:rFonts w:hint="eastAsia" w:ascii="仿宋_GB2312" w:eastAsia="仿宋_GB2312" w:cs="Arial"/>
          <w:color w:val="000000" w:themeColor="text1"/>
          <w:sz w:val="32"/>
          <w:szCs w:val="32"/>
          <w:lang w:val="en-US" w:eastAsia="zh-CN"/>
          <w14:textFill>
            <w14:solidFill>
              <w14:schemeClr w14:val="tx1"/>
            </w14:solidFill>
          </w14:textFill>
        </w:rPr>
        <w:t>2023年，州财政局对我局2022年整体支出进行了绩效评价，大熊猫国家公园阿坝管理分局2022年部门整体支出绩效评价等级为“良”。2024年1月16日，州财政局下发了《关于对2023年州级重点绩效评价发现问题整改和做好结果应用的函》，指出我局存在的问题：一是预算管理不到位问题、二是绩效管理不到位问题、三是财务管理不到位问题、四是资产管理不到位问题。我局</w:t>
      </w:r>
      <w:r>
        <w:rPr>
          <w:rFonts w:hint="eastAsia" w:ascii="仿宋_GB2312" w:cs="Arial"/>
          <w:color w:val="000000" w:themeColor="text1"/>
          <w:sz w:val="32"/>
          <w:szCs w:val="32"/>
          <w:lang w:val="en-US" w:eastAsia="zh-CN"/>
          <w14:textFill>
            <w14:solidFill>
              <w14:schemeClr w14:val="tx1"/>
            </w14:solidFill>
          </w14:textFill>
        </w:rPr>
        <w:t>已</w:t>
      </w:r>
      <w:r>
        <w:rPr>
          <w:rFonts w:hint="eastAsia" w:ascii="仿宋_GB2312" w:eastAsia="仿宋_GB2312" w:cs="Arial"/>
          <w:color w:val="000000" w:themeColor="text1"/>
          <w:sz w:val="32"/>
          <w:szCs w:val="32"/>
          <w:lang w:val="en-US" w:eastAsia="zh-CN"/>
          <w14:textFill>
            <w14:solidFill>
              <w14:schemeClr w14:val="tx1"/>
            </w14:solidFill>
          </w14:textFill>
        </w:rPr>
        <w:t>按要求对绩效评价中提出的问题进行了整改，并按规定时间向州财政局报送了《大熊猫国家公园阿坝管理分局关于整改2023年州级部门整体支出绩效评价发现问题的报告》。</w:t>
      </w:r>
      <w:r>
        <w:rPr>
          <w:rFonts w:hint="eastAsia" w:ascii="仿宋_GB2312" w:cs="Arial"/>
          <w:color w:val="000000" w:themeColor="text1"/>
          <w:sz w:val="32"/>
          <w:szCs w:val="32"/>
          <w:lang w:val="en-US" w:eastAsia="zh-CN"/>
          <w14:textFill>
            <w14:solidFill>
              <w14:schemeClr w14:val="tx1"/>
            </w14:solidFill>
          </w14:textFill>
        </w:rPr>
        <w:t>在以后的工作中不再发生以上类似问题。以前年度绩效评价报告和自评表都在州政府网站进行了对外公开。</w:t>
      </w:r>
    </w:p>
    <w:p w14:paraId="3DB15648">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四、评价结论及建议</w:t>
      </w:r>
    </w:p>
    <w:p w14:paraId="215C85EC">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default" w:ascii="仿宋_GB2312" w:eastAsia="仿宋_GB2312" w:cs="Arial"/>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zh-CN" w:eastAsia="zh-CN"/>
          <w14:textFill>
            <w14:solidFill>
              <w14:schemeClr w14:val="tx1"/>
            </w14:solidFill>
          </w14:textFill>
        </w:rPr>
        <w:t>（一）评价结论。</w:t>
      </w:r>
      <w:r>
        <w:rPr>
          <w:rFonts w:hint="eastAsia" w:ascii="仿宋_GB2312" w:eastAsia="仿宋_GB2312" w:cs="Arial"/>
          <w:color w:val="000000" w:themeColor="text1"/>
          <w:sz w:val="32"/>
          <w:szCs w:val="32"/>
          <w14:textFill>
            <w14:solidFill>
              <w14:schemeClr w14:val="tx1"/>
            </w14:solidFill>
          </w14:textFill>
        </w:rPr>
        <w:t>202</w:t>
      </w:r>
      <w:r>
        <w:rPr>
          <w:rFonts w:hint="eastAsia" w:ascii="仿宋_GB2312" w:cs="Arial"/>
          <w:color w:val="000000" w:themeColor="text1"/>
          <w:sz w:val="32"/>
          <w:szCs w:val="32"/>
          <w:lang w:val="en-US" w:eastAsia="zh-CN"/>
          <w14:textFill>
            <w14:solidFill>
              <w14:schemeClr w14:val="tx1"/>
            </w14:solidFill>
          </w14:textFill>
        </w:rPr>
        <w:t>3</w:t>
      </w:r>
      <w:r>
        <w:rPr>
          <w:rFonts w:hint="eastAsia" w:ascii="仿宋_GB2312" w:eastAsia="仿宋_GB2312" w:cs="Arial"/>
          <w:color w:val="000000" w:themeColor="text1"/>
          <w:sz w:val="32"/>
          <w:szCs w:val="32"/>
          <w14:textFill>
            <w14:solidFill>
              <w14:schemeClr w14:val="tx1"/>
            </w14:solidFill>
          </w14:textFill>
        </w:rPr>
        <w:t>年度年初工作计划及重点工作目标管理符合州委、州政府总体经济和社会发展规划及职责，体现当年重点工作，资金投入相匹配。建立完善了内部控制制度和内部管理制度，并得到有效执行。预算执行情况良好，预算支出和决算支出情况相符。圆满完成州委州政府下达的</w:t>
      </w:r>
      <w:r>
        <w:rPr>
          <w:rFonts w:hint="eastAsia" w:ascii="仿宋_GB2312" w:eastAsia="仿宋_GB2312" w:cs="Arial"/>
          <w:color w:val="000000" w:themeColor="text1"/>
          <w:sz w:val="32"/>
          <w:szCs w:val="32"/>
          <w:lang w:val="en-US" w:eastAsia="zh-CN"/>
          <w14:textFill>
            <w14:solidFill>
              <w14:schemeClr w14:val="tx1"/>
            </w14:solidFill>
          </w14:textFill>
        </w:rPr>
        <w:t>202</w:t>
      </w:r>
      <w:r>
        <w:rPr>
          <w:rFonts w:hint="eastAsia" w:ascii="仿宋_GB2312" w:cs="Arial"/>
          <w:color w:val="000000" w:themeColor="text1"/>
          <w:sz w:val="32"/>
          <w:szCs w:val="32"/>
          <w:lang w:val="en-US" w:eastAsia="zh-CN"/>
          <w14:textFill>
            <w14:solidFill>
              <w14:schemeClr w14:val="tx1"/>
            </w14:solidFill>
          </w14:textFill>
        </w:rPr>
        <w:t>3</w:t>
      </w:r>
      <w:r>
        <w:rPr>
          <w:rFonts w:hint="eastAsia" w:ascii="仿宋_GB2312" w:eastAsia="仿宋_GB2312" w:cs="Arial"/>
          <w:color w:val="000000" w:themeColor="text1"/>
          <w:sz w:val="32"/>
          <w:szCs w:val="32"/>
          <w14:textFill>
            <w14:solidFill>
              <w14:schemeClr w14:val="tx1"/>
            </w14:solidFill>
          </w14:textFill>
        </w:rPr>
        <w:t>年各项目标任务。绩效自评得分</w:t>
      </w:r>
      <w:r>
        <w:rPr>
          <w:rFonts w:hint="eastAsia" w:ascii="仿宋_GB2312" w:cs="Arial"/>
          <w:color w:val="000000" w:themeColor="text1"/>
          <w:sz w:val="32"/>
          <w:szCs w:val="32"/>
          <w:lang w:val="en-US" w:eastAsia="zh-CN"/>
          <w14:textFill>
            <w14:solidFill>
              <w14:schemeClr w14:val="tx1"/>
            </w14:solidFill>
          </w14:textFill>
        </w:rPr>
        <w:t>98.1</w:t>
      </w:r>
      <w:r>
        <w:rPr>
          <w:rFonts w:hint="eastAsia" w:ascii="仿宋_GB2312" w:eastAsia="仿宋_GB2312" w:cs="Arial"/>
          <w:color w:val="000000" w:themeColor="text1"/>
          <w:sz w:val="32"/>
          <w:szCs w:val="32"/>
          <w14:textFill>
            <w14:solidFill>
              <w14:schemeClr w14:val="tx1"/>
            </w14:solidFill>
          </w14:textFill>
        </w:rPr>
        <w:t>分。</w:t>
      </w:r>
    </w:p>
    <w:p w14:paraId="6309C4FD">
      <w:pPr>
        <w:keepNext w:val="0"/>
        <w:keepLines w:val="0"/>
        <w:pageBreakBefore w:val="0"/>
        <w:widowControl w:val="0"/>
        <w:numPr>
          <w:ilvl w:val="0"/>
          <w:numId w:val="2"/>
        </w:numPr>
        <w:kinsoku/>
        <w:wordWrap/>
        <w:overflowPunct/>
        <w:topLinePunct w:val="0"/>
        <w:autoSpaceDE/>
        <w:autoSpaceDN/>
        <w:bidi w:val="0"/>
        <w:adjustRightInd/>
        <w:snapToGrid/>
        <w:spacing w:line="560" w:lineRule="atLeast"/>
        <w:ind w:firstLine="643"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zh-CN" w:eastAsia="zh-CN"/>
          <w14:textFill>
            <w14:solidFill>
              <w14:schemeClr w14:val="tx1"/>
            </w14:solidFill>
          </w14:textFill>
        </w:rPr>
        <w:t>存在问题。</w:t>
      </w:r>
      <w:r>
        <w:rPr>
          <w:rFonts w:hint="eastAsia" w:ascii="仿宋_GB2312" w:eastAsia="仿宋_GB2312" w:cs="Arial"/>
          <w:color w:val="000000" w:themeColor="text1"/>
          <w:sz w:val="32"/>
          <w:szCs w:val="32"/>
          <w:lang w:val="en-US" w:eastAsia="zh-CN"/>
          <w14:textFill>
            <w14:solidFill>
              <w14:schemeClr w14:val="tx1"/>
            </w14:solidFill>
          </w14:textFill>
        </w:rPr>
        <w:t>简要阐述部门预算绩效自评发现的主要问题。预算执行进度过缓。</w:t>
      </w:r>
    </w:p>
    <w:p w14:paraId="1B654809">
      <w:pPr>
        <w:pStyle w:val="10"/>
        <w:shd w:val="clear" w:color="auto" w:fill="FFFFFF"/>
        <w:spacing w:before="0" w:beforeAutospacing="0" w:after="0" w:afterAutospacing="0" w:line="560" w:lineRule="exact"/>
        <w:ind w:firstLine="640" w:firstLineChars="200"/>
        <w:rPr>
          <w:rFonts w:hint="default" w:ascii="仿宋_GB2312" w:eastAsia="仿宋_GB2312" w:cs="Arial"/>
          <w:color w:val="000000" w:themeColor="text1"/>
          <w:sz w:val="32"/>
          <w:szCs w:val="32"/>
          <w:lang w:val="en-US" w:eastAsia="zh-CN"/>
          <w14:textFill>
            <w14:solidFill>
              <w14:schemeClr w14:val="tx1"/>
            </w14:solidFill>
          </w14:textFill>
        </w:rPr>
      </w:pPr>
      <w:r>
        <w:rPr>
          <w:rFonts w:hint="eastAsia" w:ascii="仿宋_GB2312" w:eastAsia="仿宋_GB2312" w:cs="Arial"/>
          <w:color w:val="000000" w:themeColor="text1"/>
          <w:sz w:val="32"/>
          <w:szCs w:val="32"/>
          <w14:textFill>
            <w14:solidFill>
              <w14:schemeClr w14:val="tx1"/>
            </w14:solidFill>
          </w14:textFill>
        </w:rPr>
        <w:t>因单位目前还处在机构改革阶段，在整体支出的资金安排和使用上仍有不可预见性，在编制预算时还需进一步统筹考虑。</w:t>
      </w:r>
      <w:r>
        <w:rPr>
          <w:rFonts w:hint="eastAsia" w:ascii="仿宋_GB2312" w:eastAsia="仿宋_GB2312" w:cs="Arial"/>
          <w:color w:val="000000" w:themeColor="text1"/>
          <w:sz w:val="32"/>
          <w:szCs w:val="32"/>
          <w:lang w:val="en-US" w:eastAsia="zh-CN"/>
          <w14:textFill>
            <w14:solidFill>
              <w14:schemeClr w14:val="tx1"/>
            </w14:solidFill>
          </w14:textFill>
        </w:rPr>
        <w:t>上半年部分项目预算执行进度过缓。</w:t>
      </w:r>
    </w:p>
    <w:p w14:paraId="1BF6C8BA">
      <w:pPr>
        <w:keepNext w:val="0"/>
        <w:keepLines w:val="0"/>
        <w:pageBreakBefore w:val="0"/>
        <w:widowControl w:val="0"/>
        <w:numPr>
          <w:ilvl w:val="0"/>
          <w:numId w:val="2"/>
        </w:numPr>
        <w:kinsoku/>
        <w:wordWrap/>
        <w:overflowPunct/>
        <w:topLinePunct w:val="0"/>
        <w:autoSpaceDE/>
        <w:autoSpaceDN/>
        <w:bidi w:val="0"/>
        <w:adjustRightInd/>
        <w:snapToGrid/>
        <w:spacing w:line="560" w:lineRule="atLeast"/>
        <w:ind w:left="0" w:leftChars="0" w:firstLine="643" w:firstLineChars="200"/>
        <w:textAlignment w:val="auto"/>
        <w:rPr>
          <w:rFonts w:hint="eastAsia" w:ascii="仿宋_GB2312" w:eastAsia="仿宋_GB2312" w:cs="Arial"/>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zh-CN" w:eastAsia="zh-CN"/>
          <w14:textFill>
            <w14:solidFill>
              <w14:schemeClr w14:val="tx1"/>
            </w14:solidFill>
          </w14:textFill>
        </w:rPr>
        <w:t>改进建议</w:t>
      </w:r>
      <w:r>
        <w:rPr>
          <w:rFonts w:hint="default" w:ascii="仿宋_GB2312" w:eastAsia="仿宋_GB2312" w:cs="Arial"/>
          <w:color w:val="000000" w:themeColor="text1"/>
          <w:sz w:val="32"/>
          <w:szCs w:val="32"/>
          <w:lang w:val="zh-CN" w:eastAsia="zh-CN"/>
          <w14:textFill>
            <w14:solidFill>
              <w14:schemeClr w14:val="tx1"/>
            </w14:solidFill>
          </w14:textFill>
        </w:rPr>
        <w:t>。</w:t>
      </w:r>
      <w:r>
        <w:rPr>
          <w:rFonts w:hint="eastAsia" w:ascii="仿宋_GB2312" w:eastAsia="仿宋_GB2312" w:cs="Arial"/>
          <w:color w:val="000000" w:themeColor="text1"/>
          <w:sz w:val="32"/>
          <w:szCs w:val="32"/>
          <w:lang w:val="en-US" w:eastAsia="zh-CN"/>
          <w14:textFill>
            <w14:solidFill>
              <w14:schemeClr w14:val="tx1"/>
            </w14:solidFill>
          </w14:textFill>
        </w:rPr>
        <w:t>简要阐述</w:t>
      </w:r>
      <w:bookmarkStart w:id="0" w:name="_Hlk110546638"/>
      <w:r>
        <w:rPr>
          <w:rFonts w:hint="eastAsia" w:ascii="仿宋_GB2312" w:eastAsia="仿宋_GB2312" w:cs="Arial"/>
          <w:color w:val="000000" w:themeColor="text1"/>
          <w:sz w:val="32"/>
          <w:szCs w:val="32"/>
          <w:lang w:val="en" w:eastAsia="zh-CN"/>
          <w14:textFill>
            <w14:solidFill>
              <w14:schemeClr w14:val="tx1"/>
            </w14:solidFill>
          </w14:textFill>
        </w:rPr>
        <w:t>预算安排、完善政策、改进管理等方面的</w:t>
      </w:r>
      <w:r>
        <w:rPr>
          <w:rFonts w:hint="eastAsia" w:ascii="仿宋_GB2312" w:eastAsia="仿宋_GB2312" w:cs="Arial"/>
          <w:color w:val="000000" w:themeColor="text1"/>
          <w:sz w:val="32"/>
          <w:szCs w:val="32"/>
          <w:lang w:val="en-US" w:eastAsia="zh-CN"/>
          <w14:textFill>
            <w14:solidFill>
              <w14:schemeClr w14:val="tx1"/>
            </w14:solidFill>
          </w14:textFill>
        </w:rPr>
        <w:t>措施</w:t>
      </w:r>
      <w:r>
        <w:rPr>
          <w:rFonts w:hint="eastAsia" w:ascii="仿宋_GB2312" w:eastAsia="仿宋_GB2312" w:cs="Arial"/>
          <w:color w:val="000000" w:themeColor="text1"/>
          <w:sz w:val="32"/>
          <w:szCs w:val="32"/>
          <w:lang w:val="en" w:eastAsia="zh-CN"/>
          <w14:textFill>
            <w14:solidFill>
              <w14:schemeClr w14:val="tx1"/>
            </w14:solidFill>
          </w14:textFill>
        </w:rPr>
        <w:t>建议，其中</w:t>
      </w:r>
      <w:r>
        <w:rPr>
          <w:rFonts w:hint="eastAsia" w:ascii="仿宋_GB2312" w:eastAsia="仿宋_GB2312" w:cs="Arial"/>
          <w:color w:val="000000" w:themeColor="text1"/>
          <w:sz w:val="32"/>
          <w:szCs w:val="32"/>
          <w:lang w:val="en-US" w:eastAsia="zh-CN"/>
          <w14:textFill>
            <w14:solidFill>
              <w14:schemeClr w14:val="tx1"/>
            </w14:solidFill>
          </w14:textFill>
        </w:rPr>
        <w:t>必须对应评价发现的主要问题一一提出措施建议。</w:t>
      </w:r>
    </w:p>
    <w:p w14:paraId="75685C45">
      <w:pPr>
        <w:pStyle w:val="10"/>
        <w:shd w:val="clear" w:color="auto" w:fill="FFFFFF"/>
        <w:spacing w:before="0" w:beforeAutospacing="0" w:after="0" w:afterAutospacing="0" w:line="560" w:lineRule="exact"/>
        <w:ind w:firstLine="643" w:firstLineChars="200"/>
        <w:rPr>
          <w:rFonts w:ascii="仿宋_GB2312" w:eastAsia="仿宋_GB2312" w:cs="Arial"/>
          <w:color w:val="000000" w:themeColor="text1"/>
          <w:sz w:val="32"/>
          <w:szCs w:val="32"/>
          <w14:textFill>
            <w14:solidFill>
              <w14:schemeClr w14:val="tx1"/>
            </w14:solidFill>
          </w14:textFill>
        </w:rPr>
      </w:pPr>
      <w:r>
        <w:rPr>
          <w:rFonts w:hint="eastAsia" w:ascii="仿宋_GB2312" w:eastAsia="仿宋_GB2312" w:cs="Arial"/>
          <w:b/>
          <w:bCs/>
          <w:color w:val="000000" w:themeColor="text1"/>
          <w:sz w:val="32"/>
          <w:szCs w:val="32"/>
          <w14:textFill>
            <w14:solidFill>
              <w14:schemeClr w14:val="tx1"/>
            </w14:solidFill>
          </w14:textFill>
        </w:rPr>
        <w:t>1.进一步细化预算编制工作，认真做好预算的编制。</w:t>
      </w:r>
      <w:r>
        <w:rPr>
          <w:rFonts w:hint="eastAsia" w:ascii="仿宋_GB2312" w:eastAsia="仿宋_GB2312" w:cs="Arial"/>
          <w:color w:val="000000" w:themeColor="text1"/>
          <w:sz w:val="32"/>
          <w:szCs w:val="32"/>
          <w14:textFill>
            <w14:solidFill>
              <w14:schemeClr w14:val="tx1"/>
            </w14:solidFill>
          </w14:textFill>
        </w:rPr>
        <w:t>进一步加强单位内部机构的预算管理意识，严格按照预算编制的相关制度和要求进行预算编制。预算编制前根据年度内单位可预见的工作任务，确定单位年度预算目标，细化预算指标，科学合理编制部门预算。</w:t>
      </w:r>
    </w:p>
    <w:p w14:paraId="181B7FB5">
      <w:pPr>
        <w:pStyle w:val="10"/>
        <w:shd w:val="clear" w:color="auto" w:fill="FFFFFF"/>
        <w:spacing w:before="0" w:beforeAutospacing="0" w:after="0" w:afterAutospacing="0" w:line="560" w:lineRule="exact"/>
        <w:ind w:firstLine="643" w:firstLineChars="200"/>
        <w:rPr>
          <w:rFonts w:ascii="仿宋_GB2312" w:eastAsia="仿宋_GB2312" w:cs="Arial"/>
          <w:color w:val="000000" w:themeColor="text1"/>
          <w:sz w:val="32"/>
          <w:szCs w:val="32"/>
          <w14:textFill>
            <w14:solidFill>
              <w14:schemeClr w14:val="tx1"/>
            </w14:solidFill>
          </w14:textFill>
        </w:rPr>
      </w:pPr>
      <w:r>
        <w:rPr>
          <w:rFonts w:hint="eastAsia" w:ascii="仿宋_GB2312" w:eastAsia="仿宋_GB2312" w:cs="Arial"/>
          <w:b/>
          <w:bCs/>
          <w:color w:val="000000" w:themeColor="text1"/>
          <w:sz w:val="32"/>
          <w:szCs w:val="32"/>
          <w14:textFill>
            <w14:solidFill>
              <w14:schemeClr w14:val="tx1"/>
            </w14:solidFill>
          </w14:textFill>
        </w:rPr>
        <w:t>2.进一步加强经费审核和控制，规范会计核算。</w:t>
      </w:r>
      <w:r>
        <w:rPr>
          <w:rFonts w:hint="eastAsia" w:ascii="仿宋_GB2312" w:eastAsia="仿宋_GB2312" w:cs="Arial"/>
          <w:color w:val="000000" w:themeColor="text1"/>
          <w:sz w:val="32"/>
          <w:szCs w:val="32"/>
          <w14:textFill>
            <w14:solidFill>
              <w14:schemeClr w14:val="tx1"/>
            </w14:solidFill>
          </w14:textFill>
        </w:rPr>
        <w:t>严格按照《会计法》、《行政事业单位会计制度》、《行政单位财务规则》、《政府会计准则》等规定执行财务核算，并结合实际情况，完整、准确地披露相关信息，做到决算与预算相衔接。</w:t>
      </w:r>
    </w:p>
    <w:p w14:paraId="48D8E2DF">
      <w:pPr>
        <w:pStyle w:val="10"/>
        <w:shd w:val="clear" w:color="auto" w:fill="FFFFFF"/>
        <w:spacing w:before="0" w:beforeAutospacing="0" w:after="0" w:afterAutospacing="0" w:line="560" w:lineRule="exact"/>
        <w:ind w:firstLine="643" w:firstLineChars="200"/>
        <w:rPr>
          <w:rFonts w:ascii="仿宋_GB2312" w:eastAsia="仿宋_GB2312" w:cs="Arial"/>
          <w:color w:val="000000" w:themeColor="text1"/>
          <w:sz w:val="32"/>
          <w:szCs w:val="32"/>
          <w14:textFill>
            <w14:solidFill>
              <w14:schemeClr w14:val="tx1"/>
            </w14:solidFill>
          </w14:textFill>
        </w:rPr>
      </w:pPr>
      <w:r>
        <w:rPr>
          <w:rFonts w:hint="eastAsia" w:ascii="仿宋_GB2312" w:eastAsia="仿宋_GB2312" w:cs="Arial"/>
          <w:b/>
          <w:bCs/>
          <w:color w:val="000000" w:themeColor="text1"/>
          <w:sz w:val="32"/>
          <w:szCs w:val="32"/>
          <w14:textFill>
            <w14:solidFill>
              <w14:schemeClr w14:val="tx1"/>
            </w14:solidFill>
          </w14:textFill>
        </w:rPr>
        <w:t>3.进一步加强学习，提高绩效管理意识。</w:t>
      </w:r>
      <w:r>
        <w:rPr>
          <w:rFonts w:hint="eastAsia" w:ascii="仿宋_GB2312" w:eastAsia="仿宋_GB2312" w:cs="Arial"/>
          <w:color w:val="000000" w:themeColor="text1"/>
          <w:sz w:val="32"/>
          <w:szCs w:val="32"/>
          <w14:textFill>
            <w14:solidFill>
              <w14:schemeClr w14:val="tx1"/>
            </w14:solidFill>
          </w14:textFill>
        </w:rPr>
        <w:t>组织相关人员认真学习《预算法》及全面预算绩效管理等相关法律、法规、制度，进一步加强财务管理，</w:t>
      </w:r>
      <w:r>
        <w:rPr>
          <w:rFonts w:hint="eastAsia" w:ascii="仿宋_GB2312" w:eastAsia="仿宋_GB2312"/>
          <w:color w:val="000000" w:themeColor="text1"/>
          <w:sz w:val="32"/>
          <w:szCs w:val="32"/>
          <w14:textFill>
            <w14:solidFill>
              <w14:schemeClr w14:val="tx1"/>
            </w14:solidFill>
          </w14:textFill>
        </w:rPr>
        <w:t>增强财务人员的预算意识，坚持“先预算后支出、没有预算不支出”。预算编制前根据年度内单位可预见的工作任务，确定单位年度预算目标，细化预算指标，科学合理编制部门预算。</w:t>
      </w:r>
      <w:r>
        <w:rPr>
          <w:rFonts w:hint="eastAsia" w:ascii="仿宋_GB2312" w:eastAsia="仿宋_GB2312" w:cs="Arial"/>
          <w:color w:val="000000" w:themeColor="text1"/>
          <w:sz w:val="32"/>
          <w:szCs w:val="32"/>
          <w14:textFill>
            <w14:solidFill>
              <w14:schemeClr w14:val="tx1"/>
            </w14:solidFill>
          </w14:textFill>
        </w:rPr>
        <w:t>规范会计核算，提高绩效管理意识，开展项目事前绩效评估、过程绩效监控及事后绩效评价，重视项目实施效果统计分析，使绩效管理理念贯穿于预算管理全过程。</w:t>
      </w:r>
    </w:p>
    <w:p w14:paraId="348B4BB5">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Chars="200"/>
        <w:textAlignment w:val="auto"/>
        <w:rPr>
          <w:rFonts w:hint="eastAsia" w:ascii="仿宋_GB2312" w:eastAsia="仿宋_GB2312" w:cs="Arial"/>
          <w:color w:val="000000" w:themeColor="text1"/>
          <w:sz w:val="32"/>
          <w:szCs w:val="32"/>
          <w:lang w:val="en" w:eastAsia="zh-CN"/>
          <w14:textFill>
            <w14:solidFill>
              <w14:schemeClr w14:val="tx1"/>
            </w14:solidFill>
          </w14:textFill>
        </w:rPr>
      </w:pPr>
    </w:p>
    <w:bookmarkEnd w:id="0"/>
    <w:p w14:paraId="5CD98C54">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仿宋_GB2312" w:eastAsia="仿宋_GB2312" w:cs="Arial"/>
          <w:color w:val="000000" w:themeColor="text1"/>
          <w:sz w:val="32"/>
          <w:szCs w:val="32"/>
          <w:lang w:val="zh-CN" w:eastAsia="zh-CN"/>
          <w14:textFill>
            <w14:solidFill>
              <w14:schemeClr w14:val="tx1"/>
            </w14:solidFill>
          </w14:textFill>
        </w:rPr>
      </w:pPr>
    </w:p>
    <w:p w14:paraId="3796A4E9">
      <w:pPr>
        <w:keepNext w:val="0"/>
        <w:keepLines w:val="0"/>
        <w:pageBreakBefore w:val="0"/>
        <w:widowControl w:val="0"/>
        <w:kinsoku/>
        <w:wordWrap/>
        <w:overflowPunct/>
        <w:topLinePunct w:val="0"/>
        <w:autoSpaceDE/>
        <w:autoSpaceDN/>
        <w:bidi w:val="0"/>
        <w:adjustRightInd/>
        <w:snapToGrid/>
        <w:spacing w:line="560" w:lineRule="atLeast"/>
        <w:contextualSpacing/>
        <w:textAlignment w:val="auto"/>
        <w:outlineLvl w:val="9"/>
        <w:rPr>
          <w:rFonts w:hint="default" w:ascii="Times New Roman" w:hAnsi="Times New Roman" w:eastAsia="黑体" w:cs="Times New Roman"/>
          <w:szCs w:val="32"/>
          <w:highlight w:val="none"/>
          <w:lang w:val="en-US" w:eastAsia="zh-CN"/>
        </w:rPr>
      </w:pPr>
    </w:p>
    <w:p w14:paraId="50582974">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kern w:val="2"/>
          <w:sz w:val="32"/>
          <w:szCs w:val="24"/>
          <w:highlight w:val="none"/>
          <w:lang w:val="en-US" w:eastAsia="zh-CN" w:bidi="ar-SA"/>
        </w:rPr>
      </w:pPr>
      <w:r>
        <w:rPr>
          <w:rFonts w:hint="eastAsia" w:ascii="Times New Roman" w:hAnsi="Times New Roman" w:cs="Times New Roman"/>
          <w:color w:val="000000"/>
          <w:kern w:val="0"/>
          <w:szCs w:val="32"/>
          <w:highlight w:val="none"/>
          <w:shd w:val="clear" w:color="auto" w:fill="FFFFFF"/>
          <w:lang w:val="en-US" w:eastAsia="zh-CN"/>
        </w:rPr>
        <w:t>附表：</w:t>
      </w:r>
      <w:r>
        <w:rPr>
          <w:rFonts w:hint="default" w:ascii="Times New Roman" w:hAnsi="Times New Roman" w:cs="Times New Roman"/>
          <w:color w:val="000000"/>
          <w:kern w:val="0"/>
          <w:szCs w:val="32"/>
          <w:highlight w:val="none"/>
          <w:shd w:val="clear" w:color="auto" w:fill="FFFFFF"/>
          <w:lang w:val="en-US" w:eastAsia="zh-CN"/>
        </w:rPr>
        <w:t>部门整体支出绩效目标完成情况自评表</w:t>
      </w:r>
      <w:r>
        <w:rPr>
          <w:rFonts w:hint="default" w:ascii="Times New Roman" w:hAnsi="Times New Roman" w:cs="Times New Roman"/>
          <w:color w:val="000000"/>
          <w:kern w:val="0"/>
          <w:szCs w:val="32"/>
          <w:highlight w:val="none"/>
          <w:shd w:val="clear" w:color="auto" w:fill="FFFFFF"/>
          <w:lang w:val="en-US" w:eastAsia="zh-CN"/>
        </w:rPr>
        <w:br w:type="page"/>
      </w:r>
      <w:r>
        <w:rPr>
          <w:rFonts w:hint="eastAsia" w:ascii="黑体" w:hAnsi="黑体" w:eastAsia="黑体" w:cs="黑体"/>
          <w:kern w:val="2"/>
          <w:sz w:val="32"/>
          <w:szCs w:val="24"/>
          <w:highlight w:val="none"/>
          <w:lang w:val="en-US" w:eastAsia="zh-CN" w:bidi="ar-SA"/>
        </w:rPr>
        <w:t>附表</w:t>
      </w:r>
    </w:p>
    <w:tbl>
      <w:tblPr>
        <w:tblStyle w:val="12"/>
        <w:tblW w:w="92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41"/>
        <w:gridCol w:w="1173"/>
        <w:gridCol w:w="1114"/>
        <w:gridCol w:w="958"/>
        <w:gridCol w:w="1000"/>
        <w:gridCol w:w="1123"/>
        <w:gridCol w:w="922"/>
        <w:gridCol w:w="806"/>
        <w:gridCol w:w="983"/>
      </w:tblGrid>
      <w:tr w14:paraId="07CF2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3" w:hRule="exact"/>
          <w:jc w:val="center"/>
        </w:trPr>
        <w:tc>
          <w:tcPr>
            <w:tcW w:w="9220" w:type="dxa"/>
            <w:gridSpan w:val="9"/>
            <w:shd w:val="clear" w:color="auto" w:fill="auto"/>
            <w:vAlign w:val="center"/>
          </w:tcPr>
          <w:p w14:paraId="5A7623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center"/>
              <w:outlineLvl w:val="9"/>
              <w:rPr>
                <w:rFonts w:hint="default" w:ascii="Times New Roman" w:hAnsi="Times New Roman" w:eastAsia="黑体" w:cs="Times New Roman"/>
                <w:i w:val="0"/>
                <w:color w:val="000000"/>
                <w:sz w:val="28"/>
                <w:szCs w:val="28"/>
                <w:u w:val="none"/>
              </w:rPr>
            </w:pPr>
            <w:r>
              <w:rPr>
                <w:rFonts w:hint="default" w:ascii="Times New Roman" w:hAnsi="Times New Roman" w:eastAsia="方正小标宋简体" w:cs="Times New Roman"/>
                <w:i w:val="0"/>
                <w:color w:val="000000"/>
                <w:kern w:val="0"/>
                <w:sz w:val="44"/>
                <w:szCs w:val="44"/>
                <w:u w:val="none"/>
                <w:lang w:val="en-US" w:eastAsia="zh-CN" w:bidi="ar"/>
              </w:rPr>
              <w:t>部门整体支出绩效目标完成情况自评表</w:t>
            </w:r>
          </w:p>
        </w:tc>
      </w:tr>
      <w:tr w14:paraId="582FD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7" w:hRule="atLeast"/>
          <w:jc w:val="center"/>
        </w:trPr>
        <w:tc>
          <w:tcPr>
            <w:tcW w:w="9220" w:type="dxa"/>
            <w:gridSpan w:val="9"/>
            <w:shd w:val="clear" w:color="auto" w:fill="auto"/>
            <w:vAlign w:val="center"/>
          </w:tcPr>
          <w:p w14:paraId="40CDF3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default" w:ascii="Times New Roman" w:hAnsi="Times New Roman" w:eastAsia="宋体" w:cs="Times New Roman"/>
                <w:i w:val="0"/>
                <w:color w:val="000000"/>
                <w:sz w:val="28"/>
                <w:szCs w:val="28"/>
                <w:u w:val="none"/>
              </w:rPr>
            </w:pPr>
            <w:r>
              <w:rPr>
                <w:rFonts w:hint="default" w:ascii="Times New Roman" w:hAnsi="Times New Roman" w:eastAsia="宋体" w:cs="Times New Roman"/>
                <w:i w:val="0"/>
                <w:color w:val="000000"/>
                <w:kern w:val="0"/>
                <w:sz w:val="28"/>
                <w:szCs w:val="28"/>
                <w:u w:val="none"/>
                <w:lang w:val="en-US" w:eastAsia="zh-CN" w:bidi="ar"/>
              </w:rPr>
              <w:t>（2023年度）</w:t>
            </w:r>
          </w:p>
        </w:tc>
      </w:tr>
      <w:tr w14:paraId="0E262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7" w:hRule="atLeast"/>
          <w:jc w:val="center"/>
        </w:trPr>
        <w:tc>
          <w:tcPr>
            <w:tcW w:w="9220" w:type="dxa"/>
            <w:gridSpan w:val="9"/>
            <w:tcBorders>
              <w:bottom w:val="single" w:color="000000" w:sz="4" w:space="0"/>
            </w:tcBorders>
            <w:shd w:val="clear" w:color="auto" w:fill="auto"/>
            <w:vAlign w:val="center"/>
          </w:tcPr>
          <w:p w14:paraId="1F4D49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default" w:ascii="Times New Roman" w:hAnsi="Times New Roman" w:eastAsia="宋体" w:cs="Times New Roman"/>
                <w:i w:val="0"/>
                <w:color w:val="000000"/>
                <w:sz w:val="21"/>
                <w:szCs w:val="21"/>
                <w:u w:val="none"/>
              </w:rPr>
            </w:pPr>
            <w:r>
              <w:rPr>
                <w:rFonts w:hint="eastAsia" w:eastAsia="宋体" w:cs="Times New Roman"/>
                <w:i w:val="0"/>
                <w:color w:val="000000"/>
                <w:kern w:val="0"/>
                <w:sz w:val="18"/>
                <w:szCs w:val="18"/>
                <w:u w:val="none"/>
                <w:lang w:val="en-US" w:eastAsia="zh-CN" w:bidi="ar"/>
              </w:rPr>
              <w:t xml:space="preserve">                                                                                   </w:t>
            </w:r>
            <w:r>
              <w:rPr>
                <w:rFonts w:hint="default" w:ascii="Times New Roman" w:hAnsi="Times New Roman" w:eastAsia="宋体" w:cs="Times New Roman"/>
                <w:i w:val="0"/>
                <w:color w:val="000000"/>
                <w:kern w:val="0"/>
                <w:sz w:val="18"/>
                <w:szCs w:val="18"/>
                <w:u w:val="none"/>
                <w:lang w:val="en-US" w:eastAsia="zh-CN" w:bidi="ar"/>
              </w:rPr>
              <w:t>单位：万元</w:t>
            </w:r>
          </w:p>
        </w:tc>
      </w:tr>
      <w:tr w14:paraId="648BE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17" w:hRule="atLeast"/>
          <w:jc w:val="center"/>
        </w:trPr>
        <w:tc>
          <w:tcPr>
            <w:tcW w:w="34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FC26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部门名称</w:t>
            </w:r>
          </w:p>
        </w:tc>
        <w:tc>
          <w:tcPr>
            <w:tcW w:w="57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4EBF0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default" w:ascii="Times New Roman" w:hAnsi="Times New Roman" w:eastAsia="宋体" w:cs="Times New Roman"/>
                <w:i w:val="0"/>
                <w:color w:val="000000"/>
                <w:sz w:val="20"/>
                <w:szCs w:val="20"/>
                <w:u w:val="none"/>
                <w:lang w:val="en-US" w:eastAsia="zh-CN"/>
              </w:rPr>
            </w:pPr>
            <w:r>
              <w:rPr>
                <w:rFonts w:hint="eastAsia" w:eastAsia="宋体" w:cs="Times New Roman"/>
                <w:i w:val="0"/>
                <w:color w:val="000000"/>
                <w:sz w:val="20"/>
                <w:szCs w:val="20"/>
                <w:u w:val="none"/>
                <w:lang w:val="en-US" w:eastAsia="zh-CN"/>
              </w:rPr>
              <w:t>大熊猫国家公园阿坝管理分局</w:t>
            </w:r>
          </w:p>
        </w:tc>
      </w:tr>
      <w:tr w14:paraId="1A0B9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17" w:hRule="atLeast"/>
          <w:jc w:val="center"/>
        </w:trPr>
        <w:tc>
          <w:tcPr>
            <w:tcW w:w="11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DA51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年度部门整体支出预算</w:t>
            </w:r>
          </w:p>
        </w:tc>
        <w:tc>
          <w:tcPr>
            <w:tcW w:w="2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D381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资金总额</w:t>
            </w:r>
          </w:p>
        </w:tc>
        <w:tc>
          <w:tcPr>
            <w:tcW w:w="19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5E3E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财政拨款</w:t>
            </w:r>
          </w:p>
        </w:tc>
        <w:tc>
          <w:tcPr>
            <w:tcW w:w="38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7298C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其他资金</w:t>
            </w:r>
          </w:p>
        </w:tc>
      </w:tr>
      <w:tr w14:paraId="7EAD2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11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9D0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outlineLvl w:val="9"/>
              <w:rPr>
                <w:rFonts w:hint="default" w:ascii="Times New Roman" w:hAnsi="Times New Roman" w:eastAsia="宋体" w:cs="Times New Roman"/>
                <w:i w:val="0"/>
                <w:color w:val="000000"/>
                <w:sz w:val="18"/>
                <w:szCs w:val="18"/>
                <w:u w:val="none"/>
              </w:rPr>
            </w:pPr>
          </w:p>
        </w:tc>
        <w:tc>
          <w:tcPr>
            <w:tcW w:w="2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37A0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default" w:ascii="Times New Roman" w:hAnsi="Times New Roman" w:eastAsia="宋体" w:cs="Times New Roman"/>
                <w:i w:val="0"/>
                <w:color w:val="000000"/>
                <w:sz w:val="20"/>
                <w:szCs w:val="20"/>
                <w:u w:val="none"/>
                <w:lang w:val="en-US"/>
              </w:rPr>
            </w:pPr>
            <w:r>
              <w:rPr>
                <w:rFonts w:hint="eastAsia" w:eastAsia="宋体" w:cs="Times New Roman"/>
                <w:i w:val="0"/>
                <w:color w:val="000000"/>
                <w:kern w:val="0"/>
                <w:sz w:val="20"/>
                <w:szCs w:val="20"/>
                <w:u w:val="none"/>
                <w:lang w:val="en-US" w:eastAsia="zh-CN" w:bidi="ar"/>
              </w:rPr>
              <w:t>868.81</w:t>
            </w:r>
          </w:p>
        </w:tc>
        <w:tc>
          <w:tcPr>
            <w:tcW w:w="19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8E07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default" w:ascii="Times New Roman" w:hAnsi="Times New Roman" w:eastAsia="宋体" w:cs="Times New Roman"/>
                <w:i w:val="0"/>
                <w:color w:val="000000"/>
                <w:sz w:val="20"/>
                <w:szCs w:val="20"/>
                <w:u w:val="none"/>
                <w:lang w:val="en-US"/>
              </w:rPr>
            </w:pPr>
            <w:r>
              <w:rPr>
                <w:rFonts w:hint="eastAsia" w:eastAsia="宋体" w:cs="Times New Roman"/>
                <w:i w:val="0"/>
                <w:color w:val="000000"/>
                <w:kern w:val="0"/>
                <w:sz w:val="20"/>
                <w:szCs w:val="20"/>
                <w:u w:val="none"/>
                <w:lang w:val="en-US" w:eastAsia="zh-CN" w:bidi="ar"/>
              </w:rPr>
              <w:t>868.81</w:t>
            </w:r>
          </w:p>
        </w:tc>
        <w:tc>
          <w:tcPr>
            <w:tcW w:w="38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46317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eastAsia" w:ascii="Times New Roman" w:hAnsi="Times New Roman" w:eastAsia="宋体" w:cs="Times New Roman"/>
                <w:i w:val="0"/>
                <w:color w:val="000000"/>
                <w:sz w:val="20"/>
                <w:szCs w:val="20"/>
                <w:u w:val="none"/>
                <w:lang w:val="en-US" w:eastAsia="zh-CN"/>
              </w:rPr>
            </w:pPr>
            <w:r>
              <w:rPr>
                <w:rFonts w:hint="eastAsia" w:eastAsia="宋体" w:cs="Times New Roman"/>
                <w:i w:val="0"/>
                <w:color w:val="000000"/>
                <w:sz w:val="20"/>
                <w:szCs w:val="20"/>
                <w:u w:val="none"/>
                <w:lang w:val="en-US" w:eastAsia="zh-CN"/>
              </w:rPr>
              <w:t>0</w:t>
            </w:r>
          </w:p>
        </w:tc>
      </w:tr>
      <w:tr w14:paraId="5A824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79" w:hRule="atLeast"/>
          <w:jc w:val="center"/>
        </w:trPr>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421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年度总体</w:t>
            </w:r>
          </w:p>
          <w:p w14:paraId="279781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目标</w:t>
            </w:r>
          </w:p>
        </w:tc>
        <w:tc>
          <w:tcPr>
            <w:tcW w:w="807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827E3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i w:val="0"/>
                <w:color w:val="000000"/>
                <w:sz w:val="24"/>
                <w:szCs w:val="24"/>
                <w:u w:val="none"/>
              </w:rPr>
            </w:pPr>
            <w:r>
              <w:rPr>
                <w:rFonts w:hint="eastAsia" w:ascii="仿宋_GB2312" w:hAnsi="Times New Roman" w:eastAsia="仿宋_GB2312" w:cs="仿宋_GB2312"/>
                <w:kern w:val="2"/>
                <w:sz w:val="15"/>
                <w:szCs w:val="15"/>
                <w:lang w:val="en-US" w:eastAsia="zh-CN" w:bidi="ar"/>
              </w:rPr>
              <w:t>（一）强化规划引领。加快编制《大熊猫国家公园阿坝片区规划》，结合国土空间规划“三区三线”划定，科学划定边界范围和管控分区，明确管控方式和管控措施，依法依规留足发展空间。 （二）强化生态保护。常态化开展管护、巡护监测工作，适时开展防火、反盗猎、违规采集、跨区巡护等专项行动，打击违法违规行为。全力做好环境问题整改，加速推进阿坝片区小水电有序退出和矿业权巡查监管。 （三）实施生态修复。实施生态修复不断优化野生大熊猫生存环境。 （四）推动融合发展。立足品牌优势，推进“大熊猫国家公园+社区”“大熊猫国家公园+旅游”等业态融合发展。分批次在大熊猫国家公园开展入口集镇建设，同乡村振兴战略有机衔接，建立共建共管共享机制，促进人与自然和谐共生。 （五）强化安全生产。做好片区普法宣传工作，抓实抓细森林草原防灭火及安全生产，推进基础设施建设，提高应急处置水平。持续开展“季度督导”“三防一安全”工作，排查安全隐患，及时整改落实。</w:t>
            </w:r>
          </w:p>
        </w:tc>
      </w:tr>
      <w:tr w14:paraId="32C50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17" w:hRule="atLeast"/>
          <w:jc w:val="center"/>
        </w:trPr>
        <w:tc>
          <w:tcPr>
            <w:tcW w:w="1141" w:type="dxa"/>
            <w:vMerge w:val="restart"/>
            <w:tcBorders>
              <w:top w:val="single" w:color="000000" w:sz="4" w:space="0"/>
              <w:left w:val="single" w:color="000000" w:sz="4" w:space="0"/>
              <w:right w:val="single" w:color="000000" w:sz="4" w:space="0"/>
            </w:tcBorders>
            <w:shd w:val="clear" w:color="auto" w:fill="auto"/>
            <w:vAlign w:val="center"/>
          </w:tcPr>
          <w:p w14:paraId="0B47AA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年度主要</w:t>
            </w:r>
          </w:p>
          <w:p w14:paraId="539008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任务</w:t>
            </w:r>
          </w:p>
        </w:tc>
        <w:tc>
          <w:tcPr>
            <w:tcW w:w="2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4055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任务名称</w:t>
            </w:r>
          </w:p>
        </w:tc>
        <w:tc>
          <w:tcPr>
            <w:tcW w:w="57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78950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outlineLvl w:val="9"/>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主要内容</w:t>
            </w:r>
          </w:p>
        </w:tc>
      </w:tr>
      <w:tr w14:paraId="033F6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3" w:hRule="atLeast"/>
          <w:jc w:val="center"/>
        </w:trPr>
        <w:tc>
          <w:tcPr>
            <w:tcW w:w="1141" w:type="dxa"/>
            <w:vMerge w:val="continue"/>
            <w:tcBorders>
              <w:left w:val="single" w:color="000000" w:sz="4" w:space="0"/>
              <w:right w:val="single" w:color="000000" w:sz="4" w:space="0"/>
            </w:tcBorders>
            <w:shd w:val="clear" w:color="auto" w:fill="auto"/>
            <w:vAlign w:val="center"/>
          </w:tcPr>
          <w:p w14:paraId="67AC9C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outlineLvl w:val="9"/>
              <w:rPr>
                <w:rFonts w:hint="default" w:ascii="Times New Roman" w:hAnsi="Times New Roman" w:eastAsia="宋体" w:cs="Times New Roman"/>
                <w:i w:val="0"/>
                <w:color w:val="000000"/>
                <w:sz w:val="24"/>
                <w:szCs w:val="24"/>
                <w:u w:val="none"/>
              </w:rPr>
            </w:pPr>
          </w:p>
        </w:tc>
        <w:tc>
          <w:tcPr>
            <w:tcW w:w="2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130C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sz w:val="15"/>
                <w:szCs w:val="15"/>
                <w:u w:val="none"/>
              </w:rPr>
              <w:t>日常公用经费</w:t>
            </w:r>
          </w:p>
        </w:tc>
        <w:tc>
          <w:tcPr>
            <w:tcW w:w="57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C98C9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保障单位正常运转</w:t>
            </w:r>
          </w:p>
        </w:tc>
      </w:tr>
      <w:tr w14:paraId="20AD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1" w:hRule="atLeast"/>
          <w:jc w:val="center"/>
        </w:trPr>
        <w:tc>
          <w:tcPr>
            <w:tcW w:w="1141" w:type="dxa"/>
            <w:vMerge w:val="continue"/>
            <w:tcBorders>
              <w:left w:val="single" w:color="000000" w:sz="4" w:space="0"/>
              <w:right w:val="single" w:color="000000" w:sz="4" w:space="0"/>
            </w:tcBorders>
            <w:shd w:val="clear" w:color="auto" w:fill="auto"/>
            <w:vAlign w:val="center"/>
          </w:tcPr>
          <w:p w14:paraId="03CE34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outlineLvl w:val="9"/>
              <w:rPr>
                <w:rFonts w:hint="default" w:ascii="Times New Roman" w:hAnsi="Times New Roman" w:eastAsia="宋体" w:cs="Times New Roman"/>
                <w:i w:val="0"/>
                <w:color w:val="000000"/>
                <w:sz w:val="24"/>
                <w:szCs w:val="24"/>
                <w:u w:val="none"/>
              </w:rPr>
            </w:pPr>
          </w:p>
        </w:tc>
        <w:tc>
          <w:tcPr>
            <w:tcW w:w="2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B9E1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left"/>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sz w:val="15"/>
                <w:szCs w:val="15"/>
                <w:u w:val="none"/>
              </w:rPr>
              <w:t>特定目标类经费</w:t>
            </w:r>
          </w:p>
        </w:tc>
        <w:tc>
          <w:tcPr>
            <w:tcW w:w="57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09ED7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left"/>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sz w:val="15"/>
                <w:szCs w:val="15"/>
                <w:u w:val="none"/>
              </w:rPr>
              <w:t>保障单位正常运转及项目按时实施完成</w:t>
            </w:r>
          </w:p>
        </w:tc>
      </w:tr>
      <w:tr w14:paraId="1F3F0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52" w:hRule="atLeast"/>
          <w:jc w:val="center"/>
        </w:trPr>
        <w:tc>
          <w:tcPr>
            <w:tcW w:w="1141" w:type="dxa"/>
            <w:vMerge w:val="continue"/>
            <w:tcBorders>
              <w:left w:val="single" w:color="000000" w:sz="4" w:space="0"/>
              <w:bottom w:val="single" w:color="000000" w:sz="4" w:space="0"/>
              <w:right w:val="single" w:color="000000" w:sz="4" w:space="0"/>
            </w:tcBorders>
            <w:shd w:val="clear" w:color="auto" w:fill="auto"/>
            <w:vAlign w:val="center"/>
          </w:tcPr>
          <w:p w14:paraId="3ECF70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outlineLvl w:val="9"/>
              <w:rPr>
                <w:rFonts w:hint="default" w:ascii="Times New Roman" w:hAnsi="Times New Roman" w:eastAsia="宋体" w:cs="Times New Roman"/>
                <w:i w:val="0"/>
                <w:color w:val="000000"/>
                <w:sz w:val="24"/>
                <w:szCs w:val="24"/>
                <w:u w:val="none"/>
              </w:rPr>
            </w:pPr>
          </w:p>
        </w:tc>
        <w:tc>
          <w:tcPr>
            <w:tcW w:w="22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6FE4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left"/>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sz w:val="15"/>
                <w:szCs w:val="15"/>
                <w:u w:val="none"/>
              </w:rPr>
              <w:t>人员类经费</w:t>
            </w:r>
          </w:p>
        </w:tc>
        <w:tc>
          <w:tcPr>
            <w:tcW w:w="57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0211D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left"/>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sz w:val="15"/>
                <w:szCs w:val="15"/>
                <w:u w:val="none"/>
              </w:rPr>
              <w:t>保障人员工资发放、五险一金缴纳</w:t>
            </w:r>
          </w:p>
        </w:tc>
      </w:tr>
      <w:tr w14:paraId="101EA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2" w:hRule="atLeast"/>
          <w:jc w:val="center"/>
        </w:trPr>
        <w:tc>
          <w:tcPr>
            <w:tcW w:w="1141" w:type="dxa"/>
            <w:vMerge w:val="restart"/>
            <w:tcBorders>
              <w:top w:val="single" w:color="000000" w:sz="4" w:space="0"/>
              <w:left w:val="single" w:color="000000" w:sz="4" w:space="0"/>
              <w:right w:val="single" w:color="000000" w:sz="4" w:space="0"/>
            </w:tcBorders>
            <w:shd w:val="clear" w:color="auto" w:fill="auto"/>
            <w:vAlign w:val="center"/>
          </w:tcPr>
          <w:p w14:paraId="70F0A9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年度绩效</w:t>
            </w:r>
          </w:p>
          <w:p w14:paraId="582A08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18"/>
                <w:szCs w:val="18"/>
                <w:u w:val="none"/>
                <w:lang w:val="en-US" w:eastAsia="zh-CN" w:bidi="ar"/>
              </w:rPr>
              <w:t>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E5B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一级指标</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BA1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二级指标</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BE1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三级指标</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E70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kern w:val="0"/>
                <w:sz w:val="15"/>
                <w:szCs w:val="15"/>
                <w:u w:val="none"/>
                <w:lang w:val="en-US" w:eastAsia="zh-CN" w:bidi="ar"/>
              </w:rPr>
            </w:pPr>
            <w:r>
              <w:rPr>
                <w:rFonts w:hint="default" w:ascii="Times New Roman" w:hAnsi="Times New Roman" w:eastAsia="宋体" w:cs="Times New Roman"/>
                <w:i w:val="0"/>
                <w:color w:val="000000"/>
                <w:kern w:val="0"/>
                <w:sz w:val="15"/>
                <w:szCs w:val="15"/>
                <w:u w:val="none"/>
                <w:lang w:val="en-US" w:eastAsia="zh-CN" w:bidi="ar"/>
              </w:rPr>
              <w:t>绩效指标</w:t>
            </w:r>
          </w:p>
          <w:p w14:paraId="08AF41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性质</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7FB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绩效指标值</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789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绩效度量单位</w:t>
            </w:r>
          </w:p>
        </w:tc>
        <w:tc>
          <w:tcPr>
            <w:tcW w:w="806" w:type="dxa"/>
            <w:tcBorders>
              <w:top w:val="single" w:color="000000" w:sz="4" w:space="0"/>
              <w:left w:val="single" w:color="000000" w:sz="4" w:space="0"/>
              <w:bottom w:val="single" w:color="000000" w:sz="4" w:space="0"/>
            </w:tcBorders>
            <w:shd w:val="clear" w:color="auto" w:fill="auto"/>
            <w:vAlign w:val="center"/>
          </w:tcPr>
          <w:p w14:paraId="0F8768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权重</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655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kern w:val="0"/>
                <w:sz w:val="15"/>
                <w:szCs w:val="15"/>
                <w:u w:val="none"/>
                <w:lang w:val="en-US" w:eastAsia="zh-CN" w:bidi="ar"/>
              </w:rPr>
            </w:pPr>
            <w:r>
              <w:rPr>
                <w:rFonts w:hint="default" w:ascii="Times New Roman" w:hAnsi="Times New Roman" w:eastAsia="宋体" w:cs="Times New Roman"/>
                <w:i w:val="0"/>
                <w:color w:val="000000"/>
                <w:kern w:val="0"/>
                <w:sz w:val="15"/>
                <w:szCs w:val="15"/>
                <w:u w:val="none"/>
                <w:lang w:val="en-US" w:eastAsia="zh-CN" w:bidi="ar"/>
              </w:rPr>
              <w:t>实际完成</w:t>
            </w:r>
          </w:p>
          <w:p w14:paraId="49178F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指标值</w:t>
            </w:r>
          </w:p>
        </w:tc>
      </w:tr>
      <w:tr w14:paraId="6646D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86" w:hRule="atLeast"/>
          <w:jc w:val="center"/>
        </w:trPr>
        <w:tc>
          <w:tcPr>
            <w:tcW w:w="1141" w:type="dxa"/>
            <w:vMerge w:val="continue"/>
            <w:tcBorders>
              <w:left w:val="single" w:color="000000" w:sz="4" w:space="0"/>
              <w:right w:val="single" w:color="000000" w:sz="4" w:space="0"/>
            </w:tcBorders>
            <w:shd w:val="clear" w:color="auto" w:fill="auto"/>
            <w:vAlign w:val="center"/>
          </w:tcPr>
          <w:p w14:paraId="6DABC2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outlineLvl w:val="9"/>
              <w:rPr>
                <w:rFonts w:hint="default" w:ascii="Times New Roman" w:hAnsi="Times New Roman" w:eastAsia="宋体" w:cs="Times New Roman"/>
                <w:i w:val="0"/>
                <w:color w:val="000000"/>
                <w:sz w:val="24"/>
                <w:szCs w:val="24"/>
                <w:u w:val="none"/>
              </w:rPr>
            </w:pP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7B18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产出指标</w:t>
            </w:r>
          </w:p>
        </w:tc>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9F3B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数量指标</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7B0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10"/>
                <w:szCs w:val="10"/>
                <w:u w:val="none"/>
                <w:lang w:val="en-US" w:eastAsia="zh-CN" w:bidi="ar"/>
              </w:rPr>
              <w:t>指导、督导阿坝园区各管理总站做好各项工作</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A8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D8D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outlineLvl w:val="9"/>
              <w:rPr>
                <w:rFonts w:hint="default" w:ascii="Times New Roman" w:hAnsi="Times New Roman" w:eastAsia="宋体" w:cs="Times New Roman"/>
                <w:i w:val="0"/>
                <w:color w:val="000000"/>
                <w:sz w:val="21"/>
                <w:szCs w:val="21"/>
                <w:u w:val="none"/>
                <w:lang w:val="en-US"/>
              </w:rPr>
            </w:pPr>
            <w:r>
              <w:rPr>
                <w:rFonts w:hint="eastAsia" w:eastAsia="宋体" w:cs="Times New Roman"/>
                <w:i w:val="0"/>
                <w:color w:val="000000"/>
                <w:kern w:val="0"/>
                <w:sz w:val="21"/>
                <w:szCs w:val="21"/>
                <w:u w:val="none"/>
                <w:lang w:val="en-US" w:eastAsia="zh-CN" w:bidi="ar"/>
              </w:rPr>
              <w:t>15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FCE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outlineLvl w:val="9"/>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次/年</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B9B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outlineLvl w:val="9"/>
              <w:rPr>
                <w:rFonts w:hint="default" w:ascii="Times New Roman" w:hAnsi="Times New Roman" w:eastAsia="宋体" w:cs="Times New Roman"/>
                <w:i w:val="0"/>
                <w:color w:val="000000"/>
                <w:sz w:val="21"/>
                <w:szCs w:val="21"/>
                <w:u w:val="none"/>
              </w:rPr>
            </w:pPr>
            <w:r>
              <w:rPr>
                <w:rFonts w:hint="eastAsia" w:eastAsia="宋体" w:cs="Times New Roman"/>
                <w:i w:val="0"/>
                <w:color w:val="000000"/>
                <w:kern w:val="0"/>
                <w:sz w:val="21"/>
                <w:szCs w:val="21"/>
                <w:u w:val="none"/>
                <w:lang w:val="en-US" w:eastAsia="zh-CN" w:bidi="ar"/>
              </w:rPr>
              <w:t>5</w:t>
            </w:r>
            <w:r>
              <w:rPr>
                <w:rFonts w:hint="default" w:ascii="Times New Roman" w:hAnsi="Times New Roman" w:eastAsia="宋体" w:cs="Times New Roman"/>
                <w:i w:val="0"/>
                <w:color w:val="000000"/>
                <w:kern w:val="0"/>
                <w:sz w:val="21"/>
                <w:szCs w:val="21"/>
                <w:u w:val="none"/>
                <w:lang w:val="en-US" w:eastAsia="zh-CN" w:bidi="ar"/>
              </w:rPr>
              <w:t>%</w:t>
            </w:r>
          </w:p>
        </w:tc>
        <w:tc>
          <w:tcPr>
            <w:tcW w:w="983" w:type="dxa"/>
            <w:tcBorders>
              <w:left w:val="single" w:color="000000" w:sz="4" w:space="0"/>
              <w:bottom w:val="single" w:color="000000" w:sz="4" w:space="0"/>
              <w:right w:val="single" w:color="000000" w:sz="4" w:space="0"/>
            </w:tcBorders>
            <w:shd w:val="clear" w:color="auto" w:fill="auto"/>
            <w:vAlign w:val="center"/>
          </w:tcPr>
          <w:p w14:paraId="76EAB3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outlineLvl w:val="9"/>
              <w:rPr>
                <w:rFonts w:hint="default" w:ascii="Times New Roman" w:hAnsi="Times New Roman" w:eastAsia="宋体" w:cs="Times New Roman"/>
                <w:i w:val="0"/>
                <w:color w:val="000000"/>
                <w:sz w:val="21"/>
                <w:szCs w:val="21"/>
                <w:u w:val="none"/>
                <w:lang w:val="en-US"/>
              </w:rPr>
            </w:pPr>
            <w:r>
              <w:rPr>
                <w:rFonts w:hint="eastAsia" w:eastAsia="宋体" w:cs="Times New Roman"/>
                <w:i w:val="0"/>
                <w:color w:val="000000"/>
                <w:kern w:val="0"/>
                <w:sz w:val="20"/>
                <w:szCs w:val="20"/>
                <w:u w:val="none"/>
                <w:lang w:val="en-US" w:eastAsia="zh-CN" w:bidi="ar"/>
              </w:rPr>
              <w:t>25</w:t>
            </w:r>
          </w:p>
        </w:tc>
      </w:tr>
      <w:tr w14:paraId="2FE80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17" w:hRule="atLeast"/>
          <w:jc w:val="center"/>
        </w:trPr>
        <w:tc>
          <w:tcPr>
            <w:tcW w:w="1141" w:type="dxa"/>
            <w:vMerge w:val="continue"/>
            <w:tcBorders>
              <w:left w:val="single" w:color="000000" w:sz="4" w:space="0"/>
              <w:right w:val="single" w:color="000000" w:sz="4" w:space="0"/>
            </w:tcBorders>
            <w:shd w:val="clear" w:color="auto" w:fill="auto"/>
            <w:vAlign w:val="center"/>
          </w:tcPr>
          <w:p w14:paraId="721FDC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outlineLvl w:val="9"/>
              <w:rPr>
                <w:rFonts w:hint="default" w:ascii="Times New Roman" w:hAnsi="Times New Roman" w:eastAsia="宋体" w:cs="Times New Roman"/>
                <w:i w:val="0"/>
                <w:color w:val="000000"/>
                <w:sz w:val="24"/>
                <w:szCs w:val="24"/>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56F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outlineLvl w:val="9"/>
              <w:rPr>
                <w:rFonts w:hint="default" w:ascii="Times New Roman" w:hAnsi="Times New Roman" w:eastAsia="宋体" w:cs="Times New Roman"/>
                <w:i w:val="0"/>
                <w:color w:val="000000"/>
                <w:sz w:val="15"/>
                <w:szCs w:val="15"/>
                <w:u w:val="none"/>
              </w:rPr>
            </w:pPr>
          </w:p>
        </w:tc>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0B5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outlineLvl w:val="9"/>
              <w:rPr>
                <w:rFonts w:hint="default" w:ascii="Times New Roman" w:hAnsi="Times New Roman" w:eastAsia="宋体" w:cs="Times New Roman"/>
                <w:i w:val="0"/>
                <w:color w:val="000000"/>
                <w:sz w:val="15"/>
                <w:szCs w:val="15"/>
                <w:u w:val="none"/>
              </w:rPr>
            </w:pP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C4E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kern w:val="2"/>
                <w:sz w:val="24"/>
                <w:szCs w:val="24"/>
                <w:u w:val="none"/>
                <w:lang w:val="en-US" w:eastAsia="zh-CN" w:bidi="ar-SA"/>
              </w:rPr>
            </w:pPr>
            <w:r>
              <w:rPr>
                <w:rFonts w:hint="default" w:ascii="Times New Roman" w:hAnsi="Times New Roman" w:eastAsia="宋体" w:cs="Times New Roman"/>
                <w:i w:val="0"/>
                <w:color w:val="000000"/>
                <w:sz w:val="15"/>
                <w:szCs w:val="15"/>
                <w:u w:val="none"/>
              </w:rPr>
              <w:t>印制宣传品</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498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sz w:val="18"/>
                <w:szCs w:val="18"/>
                <w:u w:val="none"/>
              </w:rPr>
              <w:t>≤</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D6B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kern w:val="2"/>
                <w:sz w:val="15"/>
                <w:szCs w:val="15"/>
                <w:u w:val="none"/>
                <w:lang w:val="en-US" w:eastAsia="zh-CN" w:bidi="ar-SA"/>
              </w:rPr>
            </w:pPr>
            <w:r>
              <w:rPr>
                <w:rFonts w:hint="default" w:ascii="Times New Roman" w:hAnsi="Times New Roman" w:eastAsia="宋体" w:cs="Times New Roman"/>
                <w:i w:val="0"/>
                <w:color w:val="000000"/>
                <w:sz w:val="15"/>
                <w:szCs w:val="15"/>
                <w:u w:val="none"/>
              </w:rPr>
              <w:t>3000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2E5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kern w:val="2"/>
                <w:sz w:val="15"/>
                <w:szCs w:val="15"/>
                <w:u w:val="none"/>
                <w:lang w:val="en-US" w:eastAsia="zh-CN" w:bidi="ar-SA"/>
              </w:rPr>
            </w:pPr>
            <w:r>
              <w:rPr>
                <w:rFonts w:hint="default" w:ascii="Times New Roman" w:hAnsi="Times New Roman" w:eastAsia="宋体" w:cs="Times New Roman"/>
                <w:i w:val="0"/>
                <w:color w:val="000000"/>
                <w:sz w:val="15"/>
                <w:szCs w:val="15"/>
                <w:u w:val="none"/>
              </w:rPr>
              <w:t>册</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0C2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kern w:val="2"/>
                <w:sz w:val="21"/>
                <w:szCs w:val="21"/>
                <w:u w:val="none"/>
                <w:lang w:val="en-US" w:eastAsia="zh-CN" w:bidi="ar-SA"/>
              </w:rPr>
            </w:pPr>
            <w:r>
              <w:rPr>
                <w:rFonts w:hint="eastAsia" w:eastAsia="宋体" w:cs="Times New Roman"/>
                <w:i w:val="0"/>
                <w:color w:val="000000"/>
                <w:kern w:val="0"/>
                <w:sz w:val="21"/>
                <w:szCs w:val="21"/>
                <w:u w:val="none"/>
                <w:lang w:val="en-US" w:eastAsia="zh-CN" w:bidi="ar"/>
              </w:rPr>
              <w:t>5</w:t>
            </w:r>
            <w:r>
              <w:rPr>
                <w:rFonts w:hint="default" w:ascii="Times New Roman" w:hAnsi="Times New Roman" w:eastAsia="宋体" w:cs="Times New Roman"/>
                <w:i w:val="0"/>
                <w:color w:val="000000"/>
                <w:kern w:val="0"/>
                <w:sz w:val="21"/>
                <w:szCs w:val="21"/>
                <w:u w:val="none"/>
                <w:lang w:val="en-US" w:eastAsia="zh-CN" w:bidi="ar"/>
              </w:rPr>
              <w:t>%</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428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18"/>
                <w:szCs w:val="18"/>
                <w:u w:val="none"/>
                <w:lang w:val="en-US" w:eastAsia="zh-CN"/>
              </w:rPr>
            </w:pPr>
            <w:r>
              <w:rPr>
                <w:rFonts w:hint="eastAsia" w:eastAsia="宋体" w:cs="Times New Roman"/>
                <w:i w:val="0"/>
                <w:color w:val="000000"/>
                <w:sz w:val="18"/>
                <w:szCs w:val="18"/>
                <w:u w:val="none"/>
                <w:lang w:val="en-US" w:eastAsia="zh-CN"/>
              </w:rPr>
              <w:t>1.6</w:t>
            </w:r>
          </w:p>
        </w:tc>
      </w:tr>
      <w:tr w14:paraId="3E1BD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1" w:hRule="atLeast"/>
          <w:jc w:val="center"/>
        </w:trPr>
        <w:tc>
          <w:tcPr>
            <w:tcW w:w="1141" w:type="dxa"/>
            <w:vMerge w:val="continue"/>
            <w:tcBorders>
              <w:left w:val="single" w:color="000000" w:sz="4" w:space="0"/>
              <w:right w:val="single" w:color="000000" w:sz="4" w:space="0"/>
            </w:tcBorders>
            <w:shd w:val="clear" w:color="auto" w:fill="auto"/>
            <w:vAlign w:val="center"/>
          </w:tcPr>
          <w:p w14:paraId="4CE14D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outlineLvl w:val="9"/>
              <w:rPr>
                <w:rFonts w:hint="default" w:ascii="Times New Roman" w:hAnsi="Times New Roman" w:eastAsia="宋体" w:cs="Times New Roman"/>
                <w:i w:val="0"/>
                <w:color w:val="000000"/>
                <w:sz w:val="24"/>
                <w:szCs w:val="24"/>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4E1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outlineLvl w:val="9"/>
              <w:rPr>
                <w:rFonts w:hint="default" w:ascii="Times New Roman" w:hAnsi="Times New Roman" w:eastAsia="宋体" w:cs="Times New Roman"/>
                <w:i w:val="0"/>
                <w:color w:val="000000"/>
                <w:sz w:val="15"/>
                <w:szCs w:val="15"/>
                <w:u w:val="none"/>
              </w:rPr>
            </w:pP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F90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质量指标</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091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eastAsia" w:ascii="Times New Roman" w:hAnsi="Times New Roman" w:eastAsia="宋体" w:cs="Times New Roman"/>
                <w:i w:val="0"/>
                <w:color w:val="000000"/>
                <w:kern w:val="2"/>
                <w:sz w:val="24"/>
                <w:szCs w:val="24"/>
                <w:u w:val="none"/>
                <w:lang w:val="en-US" w:eastAsia="zh-CN" w:bidi="ar-SA"/>
              </w:rPr>
            </w:pPr>
            <w:r>
              <w:rPr>
                <w:rFonts w:hint="default" w:ascii="Times New Roman" w:hAnsi="Times New Roman" w:eastAsia="宋体" w:cs="Times New Roman"/>
                <w:i w:val="0"/>
                <w:color w:val="000000"/>
                <w:sz w:val="15"/>
                <w:szCs w:val="15"/>
                <w:u w:val="none"/>
              </w:rPr>
              <w:t>印制宣传品</w:t>
            </w:r>
            <w:r>
              <w:rPr>
                <w:rFonts w:hint="eastAsia" w:eastAsia="宋体" w:cs="Times New Roman"/>
                <w:i w:val="0"/>
                <w:color w:val="000000"/>
                <w:sz w:val="15"/>
                <w:szCs w:val="15"/>
                <w:u w:val="none"/>
                <w:lang w:val="en-US" w:eastAsia="zh-CN"/>
              </w:rPr>
              <w:t>合格率</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46B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kern w:val="2"/>
                <w:sz w:val="18"/>
                <w:szCs w:val="18"/>
                <w:u w:val="none"/>
                <w:lang w:val="en-US" w:eastAsia="zh-CN" w:bidi="ar-SA"/>
              </w:rPr>
            </w:pPr>
            <w:r>
              <w:rPr>
                <w:rFonts w:hint="eastAsia" w:eastAsia="宋体" w:cs="Times New Roman"/>
                <w:i w:val="0"/>
                <w:color w:val="000000"/>
                <w:kern w:val="2"/>
                <w:sz w:val="18"/>
                <w:szCs w:val="18"/>
                <w:u w:val="none"/>
                <w:lang w:val="en-US" w:eastAsia="zh-CN" w:bidi="ar-SA"/>
              </w:rPr>
              <w:t>=</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651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kern w:val="2"/>
                <w:sz w:val="15"/>
                <w:szCs w:val="15"/>
                <w:u w:val="none"/>
                <w:lang w:val="en-US" w:eastAsia="zh-CN" w:bidi="ar-SA"/>
              </w:rPr>
            </w:pPr>
            <w:r>
              <w:rPr>
                <w:rFonts w:hint="eastAsia" w:eastAsia="宋体" w:cs="Times New Roman"/>
                <w:i w:val="0"/>
                <w:color w:val="000000"/>
                <w:kern w:val="2"/>
                <w:sz w:val="15"/>
                <w:szCs w:val="15"/>
                <w:u w:val="none"/>
                <w:lang w:val="en-US" w:eastAsia="zh-CN" w:bidi="ar-SA"/>
              </w:rPr>
              <w:t>100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BD0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kern w:val="2"/>
                <w:sz w:val="15"/>
                <w:szCs w:val="15"/>
                <w:u w:val="none"/>
                <w:lang w:val="en-US" w:eastAsia="zh-CN" w:bidi="ar-SA"/>
              </w:rPr>
            </w:pPr>
          </w:p>
          <w:p w14:paraId="2E9889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kern w:val="2"/>
                <w:sz w:val="15"/>
                <w:szCs w:val="15"/>
                <w:u w:val="none"/>
                <w:lang w:val="en-US" w:eastAsia="zh-CN" w:bidi="ar-SA"/>
              </w:rPr>
            </w:pPr>
            <w:r>
              <w:rPr>
                <w:rFonts w:hint="eastAsia" w:eastAsia="宋体" w:cs="Times New Roman"/>
                <w:i w:val="0"/>
                <w:color w:val="000000"/>
                <w:kern w:val="2"/>
                <w:sz w:val="15"/>
                <w:szCs w:val="15"/>
                <w:u w:val="none"/>
                <w:lang w:val="en-US" w:eastAsia="zh-CN" w:bidi="ar-SA"/>
              </w:rPr>
              <w:t>%</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FD8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kern w:val="2"/>
                <w:sz w:val="21"/>
                <w:szCs w:val="21"/>
                <w:u w:val="none"/>
                <w:lang w:val="en-US" w:eastAsia="zh-CN" w:bidi="ar-SA"/>
              </w:rPr>
            </w:pPr>
            <w:r>
              <w:rPr>
                <w:rFonts w:hint="eastAsia" w:eastAsia="宋体" w:cs="Times New Roman"/>
                <w:i w:val="0"/>
                <w:color w:val="000000"/>
                <w:kern w:val="2"/>
                <w:sz w:val="21"/>
                <w:szCs w:val="21"/>
                <w:u w:val="none"/>
                <w:lang w:val="en-US" w:eastAsia="zh-CN" w:bidi="ar-SA"/>
              </w:rPr>
              <w:t>10</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F50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18"/>
                <w:szCs w:val="18"/>
                <w:u w:val="none"/>
                <w:lang w:val="en-US" w:eastAsia="zh-CN"/>
              </w:rPr>
            </w:pPr>
            <w:r>
              <w:rPr>
                <w:rFonts w:hint="eastAsia" w:eastAsia="宋体" w:cs="Times New Roman"/>
                <w:i w:val="0"/>
                <w:color w:val="000000"/>
                <w:sz w:val="18"/>
                <w:szCs w:val="18"/>
                <w:u w:val="none"/>
                <w:lang w:val="en-US" w:eastAsia="zh-CN"/>
              </w:rPr>
              <w:t>100%</w:t>
            </w:r>
          </w:p>
        </w:tc>
      </w:tr>
      <w:tr w14:paraId="3CCE5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4" w:hRule="atLeast"/>
          <w:jc w:val="center"/>
        </w:trPr>
        <w:tc>
          <w:tcPr>
            <w:tcW w:w="1141" w:type="dxa"/>
            <w:vMerge w:val="continue"/>
            <w:tcBorders>
              <w:left w:val="single" w:color="000000" w:sz="4" w:space="0"/>
              <w:right w:val="single" w:color="000000" w:sz="4" w:space="0"/>
            </w:tcBorders>
            <w:shd w:val="clear" w:color="auto" w:fill="auto"/>
            <w:vAlign w:val="center"/>
          </w:tcPr>
          <w:p w14:paraId="7AB405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outlineLvl w:val="9"/>
              <w:rPr>
                <w:rFonts w:hint="default" w:ascii="Times New Roman" w:hAnsi="Times New Roman" w:eastAsia="宋体" w:cs="Times New Roman"/>
                <w:i w:val="0"/>
                <w:color w:val="000000"/>
                <w:sz w:val="24"/>
                <w:szCs w:val="24"/>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668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outlineLvl w:val="9"/>
              <w:rPr>
                <w:rFonts w:hint="default" w:ascii="Times New Roman" w:hAnsi="Times New Roman" w:eastAsia="宋体" w:cs="Times New Roman"/>
                <w:i w:val="0"/>
                <w:color w:val="000000"/>
                <w:sz w:val="15"/>
                <w:szCs w:val="15"/>
                <w:u w:val="none"/>
              </w:rPr>
            </w:pP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C40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时效指标</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6A3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sz w:val="18"/>
                <w:szCs w:val="18"/>
                <w:u w:val="none"/>
              </w:rPr>
              <w:t>年内完成</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2CF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sz w:val="24"/>
                <w:szCs w:val="24"/>
                <w:u w:val="none"/>
              </w:rPr>
              <w:t>≤</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07F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15"/>
                <w:szCs w:val="15"/>
                <w:u w:val="none"/>
              </w:rPr>
              <w:t>714</w:t>
            </w:r>
            <w:r>
              <w:rPr>
                <w:rFonts w:hint="eastAsia" w:eastAsia="宋体" w:cs="Times New Roman"/>
                <w:i w:val="0"/>
                <w:color w:val="000000"/>
                <w:sz w:val="15"/>
                <w:szCs w:val="15"/>
                <w:u w:val="none"/>
                <w:lang w:val="en-US" w:eastAsia="zh-CN"/>
              </w:rPr>
              <w:t>.</w:t>
            </w:r>
            <w:r>
              <w:rPr>
                <w:rFonts w:hint="default" w:ascii="Times New Roman" w:hAnsi="Times New Roman" w:eastAsia="宋体" w:cs="Times New Roman"/>
                <w:i w:val="0"/>
                <w:color w:val="000000"/>
                <w:sz w:val="15"/>
                <w:szCs w:val="15"/>
                <w:u w:val="none"/>
              </w:rPr>
              <w:t>58</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7E8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1"/>
                <w:szCs w:val="21"/>
                <w:u w:val="none"/>
              </w:rPr>
            </w:pPr>
            <w:r>
              <w:rPr>
                <w:rFonts w:hint="eastAsia" w:eastAsia="宋体" w:cs="Times New Roman"/>
                <w:i w:val="0"/>
                <w:color w:val="000000"/>
                <w:sz w:val="11"/>
                <w:szCs w:val="11"/>
                <w:u w:val="none"/>
                <w:lang w:val="en-US" w:eastAsia="zh-CN"/>
              </w:rPr>
              <w:t>万</w:t>
            </w:r>
            <w:r>
              <w:rPr>
                <w:rFonts w:hint="default" w:ascii="Times New Roman" w:hAnsi="Times New Roman" w:eastAsia="宋体" w:cs="Times New Roman"/>
                <w:i w:val="0"/>
                <w:color w:val="000000"/>
                <w:sz w:val="11"/>
                <w:szCs w:val="11"/>
                <w:u w:val="none"/>
              </w:rPr>
              <w:t>元/年</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6D4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1"/>
                <w:szCs w:val="21"/>
                <w:u w:val="none"/>
              </w:rPr>
            </w:pPr>
            <w:r>
              <w:rPr>
                <w:rFonts w:hint="eastAsia" w:eastAsia="宋体" w:cs="Times New Roman"/>
                <w:i w:val="0"/>
                <w:color w:val="000000"/>
                <w:kern w:val="0"/>
                <w:sz w:val="21"/>
                <w:szCs w:val="21"/>
                <w:u w:val="none"/>
                <w:lang w:val="en-US" w:eastAsia="zh-CN" w:bidi="ar"/>
              </w:rPr>
              <w:t>10</w:t>
            </w:r>
            <w:r>
              <w:rPr>
                <w:rFonts w:hint="default" w:ascii="Times New Roman" w:hAnsi="Times New Roman" w:eastAsia="宋体" w:cs="Times New Roman"/>
                <w:i w:val="0"/>
                <w:color w:val="000000"/>
                <w:kern w:val="0"/>
                <w:sz w:val="21"/>
                <w:szCs w:val="21"/>
                <w:u w:val="none"/>
                <w:lang w:val="en-US" w:eastAsia="zh-CN" w:bidi="ar"/>
              </w:rPr>
              <w:t>%</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037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18"/>
                <w:szCs w:val="18"/>
                <w:u w:val="none"/>
                <w:lang w:val="en-US" w:eastAsia="zh-CN"/>
              </w:rPr>
            </w:pPr>
            <w:r>
              <w:rPr>
                <w:rFonts w:hint="eastAsia" w:eastAsia="宋体" w:cs="Times New Roman"/>
                <w:i w:val="0"/>
                <w:color w:val="000000"/>
                <w:sz w:val="18"/>
                <w:szCs w:val="18"/>
                <w:u w:val="none"/>
                <w:lang w:val="en-US" w:eastAsia="zh-CN"/>
              </w:rPr>
              <w:t>868.81</w:t>
            </w:r>
          </w:p>
        </w:tc>
      </w:tr>
      <w:tr w14:paraId="4636D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7" w:hRule="atLeast"/>
          <w:jc w:val="center"/>
        </w:trPr>
        <w:tc>
          <w:tcPr>
            <w:tcW w:w="1141" w:type="dxa"/>
            <w:vMerge w:val="continue"/>
            <w:tcBorders>
              <w:left w:val="single" w:color="000000" w:sz="4" w:space="0"/>
              <w:right w:val="single" w:color="000000" w:sz="4" w:space="0"/>
            </w:tcBorders>
            <w:shd w:val="clear" w:color="auto" w:fill="auto"/>
            <w:vAlign w:val="center"/>
          </w:tcPr>
          <w:p w14:paraId="0F0A58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outlineLvl w:val="9"/>
              <w:rPr>
                <w:rFonts w:hint="default" w:ascii="Times New Roman" w:hAnsi="Times New Roman" w:eastAsia="宋体" w:cs="Times New Roman"/>
                <w:i w:val="0"/>
                <w:color w:val="000000"/>
                <w:sz w:val="24"/>
                <w:szCs w:val="24"/>
                <w:u w:val="none"/>
              </w:rPr>
            </w:pP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B4DC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效益指标</w:t>
            </w:r>
          </w:p>
        </w:tc>
        <w:tc>
          <w:tcPr>
            <w:tcW w:w="1114" w:type="dxa"/>
            <w:tcBorders>
              <w:top w:val="single" w:color="000000" w:sz="4" w:space="0"/>
              <w:left w:val="single" w:color="000000" w:sz="4" w:space="0"/>
              <w:right w:val="single" w:color="000000" w:sz="4" w:space="0"/>
            </w:tcBorders>
            <w:shd w:val="clear" w:color="auto" w:fill="auto"/>
            <w:vAlign w:val="center"/>
          </w:tcPr>
          <w:p w14:paraId="088138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kern w:val="0"/>
                <w:sz w:val="15"/>
                <w:szCs w:val="15"/>
                <w:u w:val="none"/>
                <w:lang w:val="en-US" w:eastAsia="zh-CN" w:bidi="ar"/>
              </w:rPr>
            </w:pPr>
            <w:r>
              <w:rPr>
                <w:rFonts w:hint="default" w:ascii="Times New Roman" w:hAnsi="Times New Roman" w:eastAsia="宋体" w:cs="Times New Roman"/>
                <w:i w:val="0"/>
                <w:color w:val="000000"/>
                <w:kern w:val="0"/>
                <w:sz w:val="15"/>
                <w:szCs w:val="15"/>
                <w:u w:val="none"/>
                <w:lang w:val="en-US" w:eastAsia="zh-CN" w:bidi="ar"/>
              </w:rPr>
              <w:t>社会效益</w:t>
            </w:r>
          </w:p>
          <w:p w14:paraId="782649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979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sz w:val="15"/>
                <w:szCs w:val="15"/>
                <w:u w:val="none"/>
              </w:rPr>
              <w:t>提高公众知晓度</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B59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sz w:val="18"/>
                <w:szCs w:val="18"/>
                <w:u w:val="none"/>
              </w:rPr>
              <w:t>定性</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97A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sz w:val="18"/>
                <w:szCs w:val="18"/>
                <w:u w:val="none"/>
              </w:rPr>
              <w:t>明显</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B4C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46B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18"/>
                <w:szCs w:val="18"/>
                <w:u w:val="none"/>
              </w:rPr>
            </w:pPr>
            <w:r>
              <w:rPr>
                <w:rFonts w:hint="eastAsia" w:eastAsia="宋体" w:cs="Times New Roman"/>
                <w:i w:val="0"/>
                <w:color w:val="000000"/>
                <w:kern w:val="0"/>
                <w:sz w:val="18"/>
                <w:szCs w:val="18"/>
                <w:u w:val="none"/>
                <w:lang w:val="en-US" w:eastAsia="zh-CN" w:bidi="ar"/>
              </w:rPr>
              <w:t>10</w:t>
            </w:r>
            <w:r>
              <w:rPr>
                <w:rFonts w:hint="default" w:ascii="Times New Roman" w:hAnsi="Times New Roman" w:eastAsia="宋体" w:cs="Times New Roman"/>
                <w:i w:val="0"/>
                <w:color w:val="000000"/>
                <w:kern w:val="0"/>
                <w:sz w:val="18"/>
                <w:szCs w:val="18"/>
                <w:u w:val="none"/>
                <w:lang w:val="en-US" w:eastAsia="zh-CN" w:bidi="ar"/>
              </w:rPr>
              <w:t>%</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847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1"/>
                <w:szCs w:val="21"/>
                <w:u w:val="none"/>
                <w:lang w:val="en-US" w:eastAsia="zh-CN"/>
              </w:rPr>
            </w:pPr>
            <w:r>
              <w:rPr>
                <w:rFonts w:hint="eastAsia" w:eastAsia="宋体" w:cs="Times New Roman"/>
                <w:i w:val="0"/>
                <w:color w:val="000000"/>
                <w:sz w:val="21"/>
                <w:szCs w:val="21"/>
                <w:u w:val="none"/>
                <w:lang w:val="en-US" w:eastAsia="zh-CN"/>
              </w:rPr>
              <w:t>明显</w:t>
            </w:r>
          </w:p>
        </w:tc>
      </w:tr>
      <w:tr w14:paraId="66202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5" w:hRule="atLeast"/>
          <w:jc w:val="center"/>
        </w:trPr>
        <w:tc>
          <w:tcPr>
            <w:tcW w:w="1141" w:type="dxa"/>
            <w:vMerge w:val="continue"/>
            <w:tcBorders>
              <w:left w:val="single" w:color="000000" w:sz="4" w:space="0"/>
              <w:right w:val="single" w:color="000000" w:sz="4" w:space="0"/>
            </w:tcBorders>
            <w:shd w:val="clear" w:color="auto" w:fill="auto"/>
            <w:vAlign w:val="center"/>
          </w:tcPr>
          <w:p w14:paraId="697C6F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outlineLvl w:val="9"/>
              <w:rPr>
                <w:rFonts w:hint="default" w:ascii="Times New Roman" w:hAnsi="Times New Roman" w:eastAsia="宋体" w:cs="Times New Roman"/>
                <w:i w:val="0"/>
                <w:color w:val="000000"/>
                <w:sz w:val="24"/>
                <w:szCs w:val="24"/>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3F6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outlineLvl w:val="9"/>
              <w:rPr>
                <w:rFonts w:hint="default" w:ascii="Times New Roman" w:hAnsi="Times New Roman" w:eastAsia="宋体" w:cs="Times New Roman"/>
                <w:i w:val="0"/>
                <w:color w:val="000000"/>
                <w:sz w:val="15"/>
                <w:szCs w:val="15"/>
                <w:u w:val="none"/>
              </w:rPr>
            </w:pP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9DA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生态效益指标</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394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sz w:val="13"/>
                <w:szCs w:val="13"/>
                <w:u w:val="none"/>
              </w:rPr>
              <w:t>促进人与自然和谐共生</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3E6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rPr>
              <w:t>定性</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635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rPr>
              <w:t>显著提高</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3B6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0"/>
                <w:szCs w:val="20"/>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86B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0"/>
                <w:szCs w:val="20"/>
                <w:u w:val="none"/>
              </w:rPr>
            </w:pPr>
            <w:r>
              <w:rPr>
                <w:rFonts w:hint="eastAsia" w:eastAsia="宋体" w:cs="Times New Roman"/>
                <w:i w:val="0"/>
                <w:color w:val="000000"/>
                <w:kern w:val="0"/>
                <w:sz w:val="13"/>
                <w:szCs w:val="13"/>
                <w:u w:val="none"/>
                <w:lang w:val="en-US" w:eastAsia="zh-CN" w:bidi="ar"/>
              </w:rPr>
              <w:t>20</w:t>
            </w:r>
            <w:r>
              <w:rPr>
                <w:rFonts w:hint="default" w:ascii="Times New Roman" w:hAnsi="Times New Roman" w:eastAsia="宋体" w:cs="Times New Roman"/>
                <w:i w:val="0"/>
                <w:color w:val="000000"/>
                <w:kern w:val="0"/>
                <w:sz w:val="13"/>
                <w:szCs w:val="13"/>
                <w:u w:val="none"/>
                <w:lang w:val="en-US" w:eastAsia="zh-CN" w:bidi="ar"/>
              </w:rPr>
              <w:t>%</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939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eastAsia" w:ascii="Times New Roman" w:hAnsi="Times New Roman" w:eastAsia="宋体" w:cs="Times New Roman"/>
                <w:i w:val="0"/>
                <w:color w:val="000000"/>
                <w:sz w:val="16"/>
                <w:szCs w:val="16"/>
                <w:u w:val="none"/>
                <w:lang w:val="en-US" w:eastAsia="zh-CN"/>
              </w:rPr>
            </w:pPr>
            <w:r>
              <w:rPr>
                <w:rFonts w:hint="eastAsia" w:eastAsia="宋体" w:cs="Times New Roman"/>
                <w:i w:val="0"/>
                <w:color w:val="000000"/>
                <w:sz w:val="16"/>
                <w:szCs w:val="16"/>
                <w:u w:val="none"/>
                <w:lang w:val="en-US" w:eastAsia="zh-CN"/>
              </w:rPr>
              <w:t>显著提高</w:t>
            </w:r>
          </w:p>
        </w:tc>
      </w:tr>
      <w:tr w14:paraId="6B9FA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jc w:val="center"/>
        </w:trPr>
        <w:tc>
          <w:tcPr>
            <w:tcW w:w="1141" w:type="dxa"/>
            <w:vMerge w:val="continue"/>
            <w:tcBorders>
              <w:left w:val="single" w:color="000000" w:sz="4" w:space="0"/>
              <w:right w:val="single" w:color="000000" w:sz="4" w:space="0"/>
            </w:tcBorders>
            <w:shd w:val="clear" w:color="auto" w:fill="auto"/>
            <w:vAlign w:val="center"/>
          </w:tcPr>
          <w:p w14:paraId="3C0AFB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outlineLvl w:val="9"/>
              <w:rPr>
                <w:rFonts w:hint="default" w:ascii="Times New Roman" w:hAnsi="Times New Roman" w:eastAsia="宋体" w:cs="Times New Roman"/>
                <w:i w:val="0"/>
                <w:color w:val="000000"/>
                <w:sz w:val="24"/>
                <w:szCs w:val="24"/>
                <w:u w:val="none"/>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30E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满意度指标</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CD3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满意度指标</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84B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sz w:val="15"/>
                <w:szCs w:val="15"/>
                <w:u w:val="none"/>
              </w:rPr>
              <w:t>社区居民满意度</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91E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rPr>
              <w:t>定性</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C6F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rPr>
              <w:t>明显提高</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729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0"/>
                <w:szCs w:val="20"/>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E58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0"/>
                <w:szCs w:val="20"/>
                <w:u w:val="none"/>
              </w:rPr>
            </w:pPr>
            <w:r>
              <w:rPr>
                <w:rFonts w:hint="eastAsia" w:eastAsia="宋体" w:cs="Times New Roman"/>
                <w:i w:val="0"/>
                <w:color w:val="000000"/>
                <w:kern w:val="0"/>
                <w:sz w:val="13"/>
                <w:szCs w:val="13"/>
                <w:u w:val="none"/>
                <w:lang w:val="en-US" w:eastAsia="zh-CN" w:bidi="ar"/>
              </w:rPr>
              <w:t>10</w:t>
            </w:r>
            <w:r>
              <w:rPr>
                <w:rFonts w:hint="default" w:ascii="Times New Roman" w:hAnsi="Times New Roman" w:eastAsia="宋体" w:cs="Times New Roman"/>
                <w:i w:val="0"/>
                <w:color w:val="000000"/>
                <w:kern w:val="0"/>
                <w:sz w:val="13"/>
                <w:szCs w:val="13"/>
                <w:u w:val="none"/>
                <w:lang w:val="en-US" w:eastAsia="zh-CN" w:bidi="ar"/>
              </w:rPr>
              <w:t>%</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2D1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16"/>
                <w:szCs w:val="16"/>
                <w:u w:val="none"/>
                <w:lang w:val="en-US" w:eastAsia="zh-CN"/>
              </w:rPr>
            </w:pPr>
            <w:r>
              <w:rPr>
                <w:rFonts w:hint="eastAsia" w:eastAsia="宋体" w:cs="Times New Roman"/>
                <w:i w:val="0"/>
                <w:color w:val="000000"/>
                <w:sz w:val="16"/>
                <w:szCs w:val="16"/>
                <w:u w:val="none"/>
                <w:lang w:val="en-US" w:eastAsia="zh-CN"/>
              </w:rPr>
              <w:t>显著提高</w:t>
            </w:r>
          </w:p>
        </w:tc>
      </w:tr>
      <w:tr w14:paraId="3A451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7" w:hRule="atLeast"/>
          <w:jc w:val="center"/>
        </w:trPr>
        <w:tc>
          <w:tcPr>
            <w:tcW w:w="1141" w:type="dxa"/>
            <w:vMerge w:val="continue"/>
            <w:tcBorders>
              <w:left w:val="single" w:color="000000" w:sz="4" w:space="0"/>
              <w:bottom w:val="single" w:color="000000" w:sz="4" w:space="0"/>
              <w:right w:val="single" w:color="000000" w:sz="4" w:space="0"/>
            </w:tcBorders>
            <w:shd w:val="clear" w:color="auto" w:fill="auto"/>
            <w:vAlign w:val="center"/>
          </w:tcPr>
          <w:p w14:paraId="2D103A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outlineLvl w:val="9"/>
              <w:rPr>
                <w:rFonts w:hint="default" w:ascii="Times New Roman" w:hAnsi="Times New Roman" w:eastAsia="宋体" w:cs="Times New Roman"/>
                <w:i w:val="0"/>
                <w:color w:val="000000"/>
                <w:sz w:val="24"/>
                <w:szCs w:val="24"/>
                <w:u w:val="none"/>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11F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kern w:val="0"/>
                <w:sz w:val="15"/>
                <w:szCs w:val="15"/>
                <w:u w:val="none"/>
                <w:lang w:val="en-US" w:eastAsia="zh-CN" w:bidi="ar"/>
              </w:rPr>
            </w:pPr>
            <w:r>
              <w:rPr>
                <w:rFonts w:hint="default" w:ascii="Times New Roman" w:hAnsi="Times New Roman" w:eastAsia="宋体" w:cs="Times New Roman"/>
                <w:i w:val="0"/>
                <w:color w:val="000000"/>
                <w:kern w:val="0"/>
                <w:sz w:val="15"/>
                <w:szCs w:val="15"/>
                <w:u w:val="none"/>
                <w:lang w:val="en-US" w:eastAsia="zh-CN" w:bidi="ar"/>
              </w:rPr>
              <w:t>成本指标</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1A7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outlineLvl w:val="9"/>
              <w:rPr>
                <w:rFonts w:hint="default" w:ascii="Times New Roman" w:hAnsi="Times New Roman" w:eastAsia="宋体" w:cs="Times New Roman"/>
                <w:i w:val="0"/>
                <w:color w:val="000000"/>
                <w:kern w:val="0"/>
                <w:sz w:val="15"/>
                <w:szCs w:val="15"/>
                <w:u w:val="none"/>
                <w:lang w:val="en-US" w:eastAsia="zh-CN" w:bidi="ar"/>
              </w:rPr>
            </w:pPr>
            <w:r>
              <w:rPr>
                <w:rFonts w:hint="default" w:ascii="Times New Roman" w:hAnsi="Times New Roman" w:eastAsia="宋体" w:cs="Times New Roman"/>
                <w:i w:val="0"/>
                <w:color w:val="000000"/>
                <w:kern w:val="0"/>
                <w:sz w:val="15"/>
                <w:szCs w:val="15"/>
                <w:u w:val="none"/>
                <w:lang w:val="en-US" w:eastAsia="zh-CN" w:bidi="ar"/>
              </w:rPr>
              <w:t>经济成本指标</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989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sz w:val="15"/>
                <w:szCs w:val="15"/>
                <w:u w:val="none"/>
              </w:rPr>
              <w:t>项目总成本</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418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rPr>
              <w:t>≤</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646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rPr>
              <w:t>151</w:t>
            </w:r>
            <w:r>
              <w:rPr>
                <w:rFonts w:hint="eastAsia" w:eastAsia="宋体" w:cs="Times New Roman"/>
                <w:i w:val="0"/>
                <w:color w:val="000000"/>
                <w:sz w:val="20"/>
                <w:szCs w:val="20"/>
                <w:u w:val="none"/>
                <w:lang w:val="en-US" w:eastAsia="zh-CN"/>
              </w:rPr>
              <w:t>.</w:t>
            </w:r>
            <w:r>
              <w:rPr>
                <w:rFonts w:hint="default" w:ascii="Times New Roman" w:hAnsi="Times New Roman" w:eastAsia="宋体" w:cs="Times New Roman"/>
                <w:i w:val="0"/>
                <w:color w:val="000000"/>
                <w:sz w:val="20"/>
                <w:szCs w:val="20"/>
                <w:u w:val="none"/>
              </w:rPr>
              <w:t>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1D0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20"/>
                <w:szCs w:val="20"/>
                <w:u w:val="none"/>
              </w:rPr>
            </w:pPr>
            <w:r>
              <w:rPr>
                <w:rFonts w:hint="eastAsia" w:eastAsia="宋体" w:cs="Times New Roman"/>
                <w:i w:val="0"/>
                <w:color w:val="000000"/>
                <w:sz w:val="20"/>
                <w:szCs w:val="20"/>
                <w:u w:val="none"/>
                <w:lang w:val="en-US" w:eastAsia="zh-CN"/>
              </w:rPr>
              <w:t>万</w:t>
            </w:r>
            <w:r>
              <w:rPr>
                <w:rFonts w:hint="default" w:ascii="Times New Roman" w:hAnsi="Times New Roman" w:eastAsia="宋体" w:cs="Times New Roman"/>
                <w:i w:val="0"/>
                <w:color w:val="000000"/>
                <w:sz w:val="20"/>
                <w:szCs w:val="20"/>
                <w:u w:val="none"/>
              </w:rPr>
              <w:t>元/年</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8A6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eastAsia" w:eastAsia="宋体" w:cs="Times New Roman"/>
                <w:i w:val="0"/>
                <w:color w:val="000000"/>
                <w:kern w:val="0"/>
                <w:sz w:val="13"/>
                <w:szCs w:val="13"/>
                <w:u w:val="none"/>
                <w:lang w:val="en-US" w:eastAsia="zh-CN" w:bidi="ar"/>
              </w:rPr>
            </w:pPr>
            <w:r>
              <w:rPr>
                <w:rFonts w:hint="eastAsia" w:eastAsia="宋体" w:cs="Times New Roman"/>
                <w:i w:val="0"/>
                <w:color w:val="000000"/>
                <w:kern w:val="0"/>
                <w:sz w:val="13"/>
                <w:szCs w:val="13"/>
                <w:u w:val="none"/>
                <w:lang w:val="en-US" w:eastAsia="zh-CN" w:bidi="ar"/>
              </w:rPr>
              <w:t>20</w:t>
            </w:r>
            <w:r>
              <w:rPr>
                <w:rFonts w:hint="default" w:ascii="Times New Roman" w:hAnsi="Times New Roman" w:eastAsia="宋体" w:cs="Times New Roman"/>
                <w:i w:val="0"/>
                <w:color w:val="000000"/>
                <w:kern w:val="0"/>
                <w:sz w:val="13"/>
                <w:szCs w:val="13"/>
                <w:u w:val="none"/>
                <w:lang w:val="en-US" w:eastAsia="zh-CN" w:bidi="ar"/>
              </w:rPr>
              <w:t>%</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0EE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outlineLvl w:val="9"/>
              <w:rPr>
                <w:rFonts w:hint="default" w:ascii="Times New Roman" w:hAnsi="Times New Roman" w:eastAsia="宋体" w:cs="Times New Roman"/>
                <w:i w:val="0"/>
                <w:color w:val="000000"/>
                <w:sz w:val="16"/>
                <w:szCs w:val="16"/>
                <w:u w:val="none"/>
                <w:lang w:val="en-US" w:eastAsia="zh-CN"/>
              </w:rPr>
            </w:pPr>
            <w:r>
              <w:rPr>
                <w:rFonts w:hint="eastAsia" w:eastAsia="宋体" w:cs="Times New Roman"/>
                <w:i w:val="0"/>
                <w:color w:val="000000"/>
                <w:sz w:val="16"/>
                <w:szCs w:val="16"/>
                <w:u w:val="none"/>
                <w:lang w:val="en-US" w:eastAsia="zh-CN"/>
              </w:rPr>
              <w:t>308.64</w:t>
            </w:r>
          </w:p>
        </w:tc>
      </w:tr>
    </w:tbl>
    <w:p w14:paraId="3671A2E9">
      <w:pPr>
        <w:pStyle w:val="11"/>
        <w:keepNext w:val="0"/>
        <w:keepLines w:val="0"/>
        <w:pageBreakBefore w:val="0"/>
        <w:kinsoku/>
        <w:wordWrap/>
        <w:overflowPunct/>
        <w:topLinePunct w:val="0"/>
        <w:autoSpaceDE/>
        <w:autoSpaceDN/>
        <w:bidi w:val="0"/>
        <w:adjustRightInd/>
        <w:snapToGrid/>
        <w:spacing w:line="240" w:lineRule="exact"/>
        <w:ind w:left="0" w:leftChars="0" w:firstLine="0" w:firstLineChars="0"/>
        <w:rPr>
          <w:rFonts w:hint="default" w:ascii="Times New Roman" w:hAnsi="Times New Roman" w:eastAsia="黑体" w:cs="Times New Roman"/>
          <w:sz w:val="24"/>
          <w:szCs w:val="24"/>
          <w:highlight w:val="none"/>
          <w:lang w:val="en-US" w:eastAsia="zh-CN"/>
        </w:rPr>
      </w:pPr>
    </w:p>
    <w:sectPr>
      <w:headerReference r:id="rId3" w:type="default"/>
      <w:footerReference r:id="rId4" w:type="default"/>
      <w:pgSz w:w="11906" w:h="16838"/>
      <w:pgMar w:top="2098" w:right="1474" w:bottom="1984" w:left="1587" w:header="851" w:footer="992"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华文中宋"/>
    <w:panose1 w:val="00000000000000000000"/>
    <w:charset w:val="00"/>
    <w:family w:val="roman"/>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55B8A">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E0D8A7">
                          <w:pPr>
                            <w:pStyle w:val="7"/>
                            <w:ind w:right="451" w:rightChars="141"/>
                            <w:jc w:val="right"/>
                            <w:rPr>
                              <w:rFonts w:hint="eastAsia"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3 -</w:t>
                          </w:r>
                          <w:r>
                            <w:rPr>
                              <w:rFonts w:ascii="宋体" w:hAnsi="宋体"/>
                              <w:sz w:val="28"/>
                              <w:szCs w:val="28"/>
                            </w:rPr>
                            <w:fldChar w:fldCharType="end"/>
                          </w:r>
                        </w:p>
                        <w:p w14:paraId="77A30F65"/>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4E0D8A7">
                    <w:pPr>
                      <w:pStyle w:val="7"/>
                      <w:ind w:right="451" w:rightChars="141"/>
                      <w:jc w:val="right"/>
                      <w:rPr>
                        <w:rFonts w:hint="eastAsia"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3 -</w:t>
                    </w:r>
                    <w:r>
                      <w:rPr>
                        <w:rFonts w:ascii="宋体" w:hAnsi="宋体"/>
                        <w:sz w:val="28"/>
                        <w:szCs w:val="28"/>
                      </w:rPr>
                      <w:fldChar w:fldCharType="end"/>
                    </w:r>
                  </w:p>
                  <w:p w14:paraId="77A30F65"/>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E36D2">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8CE962"/>
    <w:multiLevelType w:val="singleLevel"/>
    <w:tmpl w:val="988CE962"/>
    <w:lvl w:ilvl="0" w:tentative="0">
      <w:start w:val="4"/>
      <w:numFmt w:val="chineseCounting"/>
      <w:suff w:val="nothing"/>
      <w:lvlText w:val="（%1）"/>
      <w:lvlJc w:val="left"/>
      <w:rPr>
        <w:rFonts w:hint="eastAsia"/>
      </w:rPr>
    </w:lvl>
  </w:abstractNum>
  <w:abstractNum w:abstractNumId="1">
    <w:nsid w:val="6F2C5AB5"/>
    <w:multiLevelType w:val="singleLevel"/>
    <w:tmpl w:val="6F2C5AB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60"/>
  <w:drawingGridVerticalSpacing w:val="43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3ZTVjODRkOTViNTA0MzZmNzhjZTQ2NTNmMTM4YWUifQ=="/>
  </w:docVars>
  <w:rsids>
    <w:rsidRoot w:val="00172A27"/>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42AB7"/>
    <w:rsid w:val="0055358D"/>
    <w:rsid w:val="005540C8"/>
    <w:rsid w:val="00555809"/>
    <w:rsid w:val="00562165"/>
    <w:rsid w:val="005756AF"/>
    <w:rsid w:val="00575A4A"/>
    <w:rsid w:val="00591B6F"/>
    <w:rsid w:val="005A1DAF"/>
    <w:rsid w:val="005C17C8"/>
    <w:rsid w:val="005C2098"/>
    <w:rsid w:val="005C2E6C"/>
    <w:rsid w:val="005D0CCF"/>
    <w:rsid w:val="005D1C01"/>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24552"/>
    <w:rsid w:val="00734305"/>
    <w:rsid w:val="007370E1"/>
    <w:rsid w:val="007732A1"/>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0993"/>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3559"/>
    <w:rsid w:val="00C05395"/>
    <w:rsid w:val="00C22AD7"/>
    <w:rsid w:val="00C272C1"/>
    <w:rsid w:val="00C32A68"/>
    <w:rsid w:val="00C34282"/>
    <w:rsid w:val="00C35350"/>
    <w:rsid w:val="00C3564B"/>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479B0"/>
    <w:rsid w:val="00D51791"/>
    <w:rsid w:val="00D5281E"/>
    <w:rsid w:val="00D61510"/>
    <w:rsid w:val="00D6531B"/>
    <w:rsid w:val="00D6612D"/>
    <w:rsid w:val="00D71AD9"/>
    <w:rsid w:val="00D73C02"/>
    <w:rsid w:val="00D872ED"/>
    <w:rsid w:val="00D913C6"/>
    <w:rsid w:val="00DA0236"/>
    <w:rsid w:val="00DA5D51"/>
    <w:rsid w:val="00DA5E29"/>
    <w:rsid w:val="00DA61CA"/>
    <w:rsid w:val="00DB66BB"/>
    <w:rsid w:val="00DB73AF"/>
    <w:rsid w:val="00DC2865"/>
    <w:rsid w:val="00DD0894"/>
    <w:rsid w:val="00DE1888"/>
    <w:rsid w:val="00DF1250"/>
    <w:rsid w:val="00DF6EF7"/>
    <w:rsid w:val="00E05454"/>
    <w:rsid w:val="00E074C3"/>
    <w:rsid w:val="00E23329"/>
    <w:rsid w:val="00E24D6D"/>
    <w:rsid w:val="00E341B2"/>
    <w:rsid w:val="00E42633"/>
    <w:rsid w:val="00E5699E"/>
    <w:rsid w:val="00E570E1"/>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1170C55"/>
    <w:rsid w:val="01227B00"/>
    <w:rsid w:val="01251FA1"/>
    <w:rsid w:val="012C2953"/>
    <w:rsid w:val="014153D9"/>
    <w:rsid w:val="016A347B"/>
    <w:rsid w:val="02055605"/>
    <w:rsid w:val="024C492F"/>
    <w:rsid w:val="0262781C"/>
    <w:rsid w:val="02777BFD"/>
    <w:rsid w:val="03092820"/>
    <w:rsid w:val="034A3564"/>
    <w:rsid w:val="03622591"/>
    <w:rsid w:val="0365214C"/>
    <w:rsid w:val="03F434D0"/>
    <w:rsid w:val="04397548"/>
    <w:rsid w:val="04777748"/>
    <w:rsid w:val="05002C59"/>
    <w:rsid w:val="050D2A9B"/>
    <w:rsid w:val="0523304B"/>
    <w:rsid w:val="05412745"/>
    <w:rsid w:val="055E32F7"/>
    <w:rsid w:val="05816FE5"/>
    <w:rsid w:val="05E266CE"/>
    <w:rsid w:val="061D286A"/>
    <w:rsid w:val="063522A9"/>
    <w:rsid w:val="065B15E4"/>
    <w:rsid w:val="067041BA"/>
    <w:rsid w:val="067B1C86"/>
    <w:rsid w:val="068723D9"/>
    <w:rsid w:val="068E10D5"/>
    <w:rsid w:val="06D03233"/>
    <w:rsid w:val="06F97078"/>
    <w:rsid w:val="0712411D"/>
    <w:rsid w:val="07153E89"/>
    <w:rsid w:val="07745C17"/>
    <w:rsid w:val="07BC12AD"/>
    <w:rsid w:val="081E2E69"/>
    <w:rsid w:val="0858402D"/>
    <w:rsid w:val="086C5D2B"/>
    <w:rsid w:val="08E6788B"/>
    <w:rsid w:val="08EC29C7"/>
    <w:rsid w:val="090C4E18"/>
    <w:rsid w:val="09252606"/>
    <w:rsid w:val="092C1016"/>
    <w:rsid w:val="09C13919"/>
    <w:rsid w:val="0A0F2E11"/>
    <w:rsid w:val="0A5B35D3"/>
    <w:rsid w:val="0AB17A25"/>
    <w:rsid w:val="0B2226D0"/>
    <w:rsid w:val="0B584344"/>
    <w:rsid w:val="0BB21CA6"/>
    <w:rsid w:val="0BC645EF"/>
    <w:rsid w:val="0BDC4F75"/>
    <w:rsid w:val="0C4A0131"/>
    <w:rsid w:val="0CB24D02"/>
    <w:rsid w:val="0CD10852"/>
    <w:rsid w:val="0D1C2B77"/>
    <w:rsid w:val="0D5930D8"/>
    <w:rsid w:val="0D7A67F4"/>
    <w:rsid w:val="0D9755F8"/>
    <w:rsid w:val="0DC14F03"/>
    <w:rsid w:val="0DC31556"/>
    <w:rsid w:val="0E0900AE"/>
    <w:rsid w:val="0E1F008E"/>
    <w:rsid w:val="0E5F43F8"/>
    <w:rsid w:val="0E6F20D1"/>
    <w:rsid w:val="0E77198B"/>
    <w:rsid w:val="0EAF4BC3"/>
    <w:rsid w:val="0EC71F0D"/>
    <w:rsid w:val="0ECA37AB"/>
    <w:rsid w:val="0ED73668"/>
    <w:rsid w:val="0EDC6429"/>
    <w:rsid w:val="0EE17858"/>
    <w:rsid w:val="0EF83E74"/>
    <w:rsid w:val="0F504E48"/>
    <w:rsid w:val="0F5B4FA9"/>
    <w:rsid w:val="0F931DEF"/>
    <w:rsid w:val="10303AE2"/>
    <w:rsid w:val="103143DF"/>
    <w:rsid w:val="10352EA6"/>
    <w:rsid w:val="10421E17"/>
    <w:rsid w:val="10D91A83"/>
    <w:rsid w:val="10DB3A4D"/>
    <w:rsid w:val="10EE37DA"/>
    <w:rsid w:val="110E3E23"/>
    <w:rsid w:val="114C66F9"/>
    <w:rsid w:val="11863E28"/>
    <w:rsid w:val="11A718C3"/>
    <w:rsid w:val="11BB562D"/>
    <w:rsid w:val="11C10E95"/>
    <w:rsid w:val="12241424"/>
    <w:rsid w:val="1244301C"/>
    <w:rsid w:val="12650510"/>
    <w:rsid w:val="12863E8D"/>
    <w:rsid w:val="12BD47E3"/>
    <w:rsid w:val="12DB5F87"/>
    <w:rsid w:val="133E02C4"/>
    <w:rsid w:val="134753CA"/>
    <w:rsid w:val="136A730B"/>
    <w:rsid w:val="13FD3CDB"/>
    <w:rsid w:val="144A3A81"/>
    <w:rsid w:val="144F0317"/>
    <w:rsid w:val="14720225"/>
    <w:rsid w:val="1494463F"/>
    <w:rsid w:val="14952165"/>
    <w:rsid w:val="14AF76CB"/>
    <w:rsid w:val="14D0319D"/>
    <w:rsid w:val="14E54E9B"/>
    <w:rsid w:val="15AA22AC"/>
    <w:rsid w:val="15B871BB"/>
    <w:rsid w:val="15D60C87"/>
    <w:rsid w:val="15E163F4"/>
    <w:rsid w:val="165F0C7D"/>
    <w:rsid w:val="16CE195E"/>
    <w:rsid w:val="17103D25"/>
    <w:rsid w:val="172A4DE7"/>
    <w:rsid w:val="17485BB5"/>
    <w:rsid w:val="178766DD"/>
    <w:rsid w:val="17CD1C16"/>
    <w:rsid w:val="188624F1"/>
    <w:rsid w:val="1902223E"/>
    <w:rsid w:val="19102702"/>
    <w:rsid w:val="19463ED2"/>
    <w:rsid w:val="19520625"/>
    <w:rsid w:val="19A81953"/>
    <w:rsid w:val="19F428E4"/>
    <w:rsid w:val="1A08488A"/>
    <w:rsid w:val="1A183913"/>
    <w:rsid w:val="1A3D6143"/>
    <w:rsid w:val="1A921D0D"/>
    <w:rsid w:val="1AB7638B"/>
    <w:rsid w:val="1ACC4C03"/>
    <w:rsid w:val="1B1B0D5D"/>
    <w:rsid w:val="1B4B5C73"/>
    <w:rsid w:val="1B886580"/>
    <w:rsid w:val="1B8C5F4B"/>
    <w:rsid w:val="1BD12287"/>
    <w:rsid w:val="1BD20B1C"/>
    <w:rsid w:val="1BDE0896"/>
    <w:rsid w:val="1C013801"/>
    <w:rsid w:val="1C0E2F29"/>
    <w:rsid w:val="1C1C0E2E"/>
    <w:rsid w:val="1C3861F8"/>
    <w:rsid w:val="1C3E1334"/>
    <w:rsid w:val="1C414C56"/>
    <w:rsid w:val="1C662D65"/>
    <w:rsid w:val="1CB97B08"/>
    <w:rsid w:val="1CC6395B"/>
    <w:rsid w:val="1CC932F4"/>
    <w:rsid w:val="1D0E3B30"/>
    <w:rsid w:val="1D271DC8"/>
    <w:rsid w:val="1DB20863"/>
    <w:rsid w:val="1DEF28E6"/>
    <w:rsid w:val="1DFD8D3B"/>
    <w:rsid w:val="1E384911"/>
    <w:rsid w:val="1E721CDA"/>
    <w:rsid w:val="1F1504DD"/>
    <w:rsid w:val="1F1F77CB"/>
    <w:rsid w:val="1F3C0F4E"/>
    <w:rsid w:val="1F884DA0"/>
    <w:rsid w:val="1FB79DC9"/>
    <w:rsid w:val="1FBFC3F2"/>
    <w:rsid w:val="1FFFE033"/>
    <w:rsid w:val="20684BD2"/>
    <w:rsid w:val="20B87907"/>
    <w:rsid w:val="20E26732"/>
    <w:rsid w:val="212A48AF"/>
    <w:rsid w:val="2142046C"/>
    <w:rsid w:val="214E201A"/>
    <w:rsid w:val="2161122A"/>
    <w:rsid w:val="21894E00"/>
    <w:rsid w:val="21CD1190"/>
    <w:rsid w:val="22327245"/>
    <w:rsid w:val="22521696"/>
    <w:rsid w:val="22BA5BB9"/>
    <w:rsid w:val="234B4A63"/>
    <w:rsid w:val="23575CD6"/>
    <w:rsid w:val="236900E2"/>
    <w:rsid w:val="23771478"/>
    <w:rsid w:val="24117ADA"/>
    <w:rsid w:val="2412732E"/>
    <w:rsid w:val="2437337B"/>
    <w:rsid w:val="24670F79"/>
    <w:rsid w:val="24747FE9"/>
    <w:rsid w:val="24B2466D"/>
    <w:rsid w:val="250D7AF6"/>
    <w:rsid w:val="2593624D"/>
    <w:rsid w:val="25C52972"/>
    <w:rsid w:val="25D573AE"/>
    <w:rsid w:val="25FA7D51"/>
    <w:rsid w:val="2604714B"/>
    <w:rsid w:val="2628108B"/>
    <w:rsid w:val="26695200"/>
    <w:rsid w:val="26A5092E"/>
    <w:rsid w:val="26DF3C46"/>
    <w:rsid w:val="26F1147D"/>
    <w:rsid w:val="26F23447"/>
    <w:rsid w:val="278A18D2"/>
    <w:rsid w:val="27B70919"/>
    <w:rsid w:val="27C22E19"/>
    <w:rsid w:val="27E83399"/>
    <w:rsid w:val="27F352A6"/>
    <w:rsid w:val="284E28FF"/>
    <w:rsid w:val="284F6DA3"/>
    <w:rsid w:val="28760EC1"/>
    <w:rsid w:val="2927433C"/>
    <w:rsid w:val="29325D7D"/>
    <w:rsid w:val="29387837"/>
    <w:rsid w:val="2970538A"/>
    <w:rsid w:val="29E96760"/>
    <w:rsid w:val="29F279E1"/>
    <w:rsid w:val="2A0C65CE"/>
    <w:rsid w:val="2A0E1057"/>
    <w:rsid w:val="2A621372"/>
    <w:rsid w:val="2A64274B"/>
    <w:rsid w:val="2A7E3F8D"/>
    <w:rsid w:val="2B3F4407"/>
    <w:rsid w:val="2B667F60"/>
    <w:rsid w:val="2B8A6344"/>
    <w:rsid w:val="2C1B0D4A"/>
    <w:rsid w:val="2C4F762E"/>
    <w:rsid w:val="2C9A6113"/>
    <w:rsid w:val="2CBC42DB"/>
    <w:rsid w:val="2CE81AE5"/>
    <w:rsid w:val="2D102FC3"/>
    <w:rsid w:val="2D4542D1"/>
    <w:rsid w:val="2D527252"/>
    <w:rsid w:val="2D796670"/>
    <w:rsid w:val="2DA37249"/>
    <w:rsid w:val="2DD9710F"/>
    <w:rsid w:val="2DDC1740"/>
    <w:rsid w:val="2DDF4725"/>
    <w:rsid w:val="2DF81343"/>
    <w:rsid w:val="2E1369CC"/>
    <w:rsid w:val="2E163EBF"/>
    <w:rsid w:val="2E1A575D"/>
    <w:rsid w:val="2E2C1A59"/>
    <w:rsid w:val="2E6A0790"/>
    <w:rsid w:val="2E8B665B"/>
    <w:rsid w:val="2E8E614B"/>
    <w:rsid w:val="2EAE55F2"/>
    <w:rsid w:val="2EBF4557"/>
    <w:rsid w:val="2EDF4302"/>
    <w:rsid w:val="2EFE1A04"/>
    <w:rsid w:val="2F503401"/>
    <w:rsid w:val="2FA21EAE"/>
    <w:rsid w:val="2FAA2B11"/>
    <w:rsid w:val="2FD22068"/>
    <w:rsid w:val="2FD55B5A"/>
    <w:rsid w:val="2FD91648"/>
    <w:rsid w:val="302C20AC"/>
    <w:rsid w:val="30C21D5E"/>
    <w:rsid w:val="30E3452C"/>
    <w:rsid w:val="310D15A9"/>
    <w:rsid w:val="311A098E"/>
    <w:rsid w:val="31466869"/>
    <w:rsid w:val="31DE2F46"/>
    <w:rsid w:val="322C5A5F"/>
    <w:rsid w:val="324F79A0"/>
    <w:rsid w:val="32927D13"/>
    <w:rsid w:val="32AC2D2D"/>
    <w:rsid w:val="32BB5035"/>
    <w:rsid w:val="32BF68D3"/>
    <w:rsid w:val="32D85BE7"/>
    <w:rsid w:val="32EC3440"/>
    <w:rsid w:val="330E1609"/>
    <w:rsid w:val="33100979"/>
    <w:rsid w:val="33340561"/>
    <w:rsid w:val="33364042"/>
    <w:rsid w:val="33457B43"/>
    <w:rsid w:val="336216F6"/>
    <w:rsid w:val="33727DEA"/>
    <w:rsid w:val="3438500F"/>
    <w:rsid w:val="34692F9B"/>
    <w:rsid w:val="34CB773E"/>
    <w:rsid w:val="352B46F4"/>
    <w:rsid w:val="355444E4"/>
    <w:rsid w:val="35650E4D"/>
    <w:rsid w:val="35BBF80F"/>
    <w:rsid w:val="361E7DB5"/>
    <w:rsid w:val="36590DED"/>
    <w:rsid w:val="366F23BE"/>
    <w:rsid w:val="36BD3FC1"/>
    <w:rsid w:val="373A29CC"/>
    <w:rsid w:val="373D070E"/>
    <w:rsid w:val="37445E11"/>
    <w:rsid w:val="3772660A"/>
    <w:rsid w:val="379A346B"/>
    <w:rsid w:val="37AB38CA"/>
    <w:rsid w:val="37D3697D"/>
    <w:rsid w:val="37FE39FA"/>
    <w:rsid w:val="38021D36"/>
    <w:rsid w:val="38482EC7"/>
    <w:rsid w:val="384C6E5B"/>
    <w:rsid w:val="38517C12"/>
    <w:rsid w:val="386C3059"/>
    <w:rsid w:val="388760E5"/>
    <w:rsid w:val="38E075A3"/>
    <w:rsid w:val="390037A2"/>
    <w:rsid w:val="390F1C37"/>
    <w:rsid w:val="3912432E"/>
    <w:rsid w:val="39882115"/>
    <w:rsid w:val="399C796E"/>
    <w:rsid w:val="39A36EB5"/>
    <w:rsid w:val="39A86313"/>
    <w:rsid w:val="39EC462B"/>
    <w:rsid w:val="3A0B4E4F"/>
    <w:rsid w:val="3A192D6D"/>
    <w:rsid w:val="3A6D49DB"/>
    <w:rsid w:val="3AB111F7"/>
    <w:rsid w:val="3AC802EF"/>
    <w:rsid w:val="3B111C96"/>
    <w:rsid w:val="3B3A743F"/>
    <w:rsid w:val="3B7010B2"/>
    <w:rsid w:val="3B736F08"/>
    <w:rsid w:val="3BAC0F6E"/>
    <w:rsid w:val="3BBD214A"/>
    <w:rsid w:val="3BE3D531"/>
    <w:rsid w:val="3C357C06"/>
    <w:rsid w:val="3C8D4BFA"/>
    <w:rsid w:val="3CE60F00"/>
    <w:rsid w:val="3D216AD8"/>
    <w:rsid w:val="3D251A29"/>
    <w:rsid w:val="3D346110"/>
    <w:rsid w:val="3D431A40"/>
    <w:rsid w:val="3D65451B"/>
    <w:rsid w:val="3D6D517E"/>
    <w:rsid w:val="3DA6700D"/>
    <w:rsid w:val="3E151A9D"/>
    <w:rsid w:val="3E3E4857"/>
    <w:rsid w:val="3E6E0626"/>
    <w:rsid w:val="3E852A9B"/>
    <w:rsid w:val="3EBF1A09"/>
    <w:rsid w:val="3EF20030"/>
    <w:rsid w:val="3EF773F5"/>
    <w:rsid w:val="3EFF3D6C"/>
    <w:rsid w:val="3EFF42CA"/>
    <w:rsid w:val="3F375A43"/>
    <w:rsid w:val="3F3E3276"/>
    <w:rsid w:val="3F621BB4"/>
    <w:rsid w:val="3F6FCA38"/>
    <w:rsid w:val="3F9B5FD2"/>
    <w:rsid w:val="3FAE784F"/>
    <w:rsid w:val="3FD5AF3D"/>
    <w:rsid w:val="3FDF2363"/>
    <w:rsid w:val="3FFED8BE"/>
    <w:rsid w:val="3FFF43BB"/>
    <w:rsid w:val="401B7113"/>
    <w:rsid w:val="401C0367"/>
    <w:rsid w:val="4050500F"/>
    <w:rsid w:val="407927B7"/>
    <w:rsid w:val="408465EB"/>
    <w:rsid w:val="408C08A4"/>
    <w:rsid w:val="40B462CB"/>
    <w:rsid w:val="40C96B6F"/>
    <w:rsid w:val="41410DFB"/>
    <w:rsid w:val="416A3A66"/>
    <w:rsid w:val="418D7E95"/>
    <w:rsid w:val="41994793"/>
    <w:rsid w:val="41A27AEC"/>
    <w:rsid w:val="41AA723B"/>
    <w:rsid w:val="41C37A62"/>
    <w:rsid w:val="421309EA"/>
    <w:rsid w:val="422C5607"/>
    <w:rsid w:val="42537038"/>
    <w:rsid w:val="429F402B"/>
    <w:rsid w:val="433DCF8E"/>
    <w:rsid w:val="43B21B3C"/>
    <w:rsid w:val="43DD12AF"/>
    <w:rsid w:val="43F16B09"/>
    <w:rsid w:val="44365B64"/>
    <w:rsid w:val="446B0669"/>
    <w:rsid w:val="447B7AE0"/>
    <w:rsid w:val="4484172B"/>
    <w:rsid w:val="44B57B36"/>
    <w:rsid w:val="45265FCA"/>
    <w:rsid w:val="453E3FCF"/>
    <w:rsid w:val="453E5321"/>
    <w:rsid w:val="45594025"/>
    <w:rsid w:val="457479F1"/>
    <w:rsid w:val="45D264C6"/>
    <w:rsid w:val="45D40490"/>
    <w:rsid w:val="45DA04CF"/>
    <w:rsid w:val="45FF973D"/>
    <w:rsid w:val="46064F4A"/>
    <w:rsid w:val="46841EB6"/>
    <w:rsid w:val="4694480F"/>
    <w:rsid w:val="46BA58D8"/>
    <w:rsid w:val="46D20FD0"/>
    <w:rsid w:val="47090F67"/>
    <w:rsid w:val="474358CD"/>
    <w:rsid w:val="47490A0A"/>
    <w:rsid w:val="47550EBA"/>
    <w:rsid w:val="47CA0CCF"/>
    <w:rsid w:val="47DB3DAD"/>
    <w:rsid w:val="47F70466"/>
    <w:rsid w:val="47FC5A7C"/>
    <w:rsid w:val="47FE5190"/>
    <w:rsid w:val="4814019B"/>
    <w:rsid w:val="4857617F"/>
    <w:rsid w:val="486755EB"/>
    <w:rsid w:val="48723AE3"/>
    <w:rsid w:val="48751C31"/>
    <w:rsid w:val="487F2935"/>
    <w:rsid w:val="48BF0222"/>
    <w:rsid w:val="48FF5824"/>
    <w:rsid w:val="49003E49"/>
    <w:rsid w:val="49180694"/>
    <w:rsid w:val="491C4628"/>
    <w:rsid w:val="496953F1"/>
    <w:rsid w:val="49975A5C"/>
    <w:rsid w:val="49B303BC"/>
    <w:rsid w:val="49CB3958"/>
    <w:rsid w:val="4A0C644A"/>
    <w:rsid w:val="4A3E0B36"/>
    <w:rsid w:val="4A8835F7"/>
    <w:rsid w:val="4AB64608"/>
    <w:rsid w:val="4AF33166"/>
    <w:rsid w:val="4B157580"/>
    <w:rsid w:val="4B3C4946"/>
    <w:rsid w:val="4BA17066"/>
    <w:rsid w:val="4BA83F51"/>
    <w:rsid w:val="4BBA3C84"/>
    <w:rsid w:val="4BC32B39"/>
    <w:rsid w:val="4BC954D6"/>
    <w:rsid w:val="4BF7E09D"/>
    <w:rsid w:val="4C0513A3"/>
    <w:rsid w:val="4C066EC9"/>
    <w:rsid w:val="4C14041B"/>
    <w:rsid w:val="4C35155C"/>
    <w:rsid w:val="4C757895"/>
    <w:rsid w:val="4C773CD7"/>
    <w:rsid w:val="4C9E35A6"/>
    <w:rsid w:val="4CC67DCA"/>
    <w:rsid w:val="4CC74B6F"/>
    <w:rsid w:val="4D0A5226"/>
    <w:rsid w:val="4D565121"/>
    <w:rsid w:val="4DB018EE"/>
    <w:rsid w:val="4DB72B71"/>
    <w:rsid w:val="4DDF5C24"/>
    <w:rsid w:val="4E01203E"/>
    <w:rsid w:val="4E0D09E3"/>
    <w:rsid w:val="4F2064F4"/>
    <w:rsid w:val="4F6C1739"/>
    <w:rsid w:val="4F806F93"/>
    <w:rsid w:val="4F907A24"/>
    <w:rsid w:val="4FC43323"/>
    <w:rsid w:val="4FF57980"/>
    <w:rsid w:val="4FFFFC3E"/>
    <w:rsid w:val="50632B3C"/>
    <w:rsid w:val="506D6934"/>
    <w:rsid w:val="50AF3FD6"/>
    <w:rsid w:val="50C3182D"/>
    <w:rsid w:val="50D2381E"/>
    <w:rsid w:val="50E37B7F"/>
    <w:rsid w:val="51114BFD"/>
    <w:rsid w:val="51143E36"/>
    <w:rsid w:val="515801C7"/>
    <w:rsid w:val="517E5F69"/>
    <w:rsid w:val="51890380"/>
    <w:rsid w:val="51934373"/>
    <w:rsid w:val="519A258E"/>
    <w:rsid w:val="51C94D42"/>
    <w:rsid w:val="51D35A9F"/>
    <w:rsid w:val="51E43809"/>
    <w:rsid w:val="51EC090F"/>
    <w:rsid w:val="52075749"/>
    <w:rsid w:val="52307856"/>
    <w:rsid w:val="52326C6A"/>
    <w:rsid w:val="524D13AE"/>
    <w:rsid w:val="5253098E"/>
    <w:rsid w:val="52546BE0"/>
    <w:rsid w:val="527728CF"/>
    <w:rsid w:val="52B551A5"/>
    <w:rsid w:val="52CA4E0C"/>
    <w:rsid w:val="52FC4B82"/>
    <w:rsid w:val="530C1269"/>
    <w:rsid w:val="53334A48"/>
    <w:rsid w:val="5334256E"/>
    <w:rsid w:val="535D7DB7"/>
    <w:rsid w:val="53762B86"/>
    <w:rsid w:val="53BB74FC"/>
    <w:rsid w:val="53E2646E"/>
    <w:rsid w:val="53F8359B"/>
    <w:rsid w:val="54316AAD"/>
    <w:rsid w:val="544762D1"/>
    <w:rsid w:val="54624EB9"/>
    <w:rsid w:val="548B2661"/>
    <w:rsid w:val="5495703C"/>
    <w:rsid w:val="549D5D5C"/>
    <w:rsid w:val="54A159E1"/>
    <w:rsid w:val="54AD082A"/>
    <w:rsid w:val="54FA3343"/>
    <w:rsid w:val="54FD7EBF"/>
    <w:rsid w:val="552C5BF2"/>
    <w:rsid w:val="552D6F21"/>
    <w:rsid w:val="556526F1"/>
    <w:rsid w:val="5588427C"/>
    <w:rsid w:val="559B68D4"/>
    <w:rsid w:val="55C73778"/>
    <w:rsid w:val="55EB123E"/>
    <w:rsid w:val="55FDDF92"/>
    <w:rsid w:val="55FFBC03"/>
    <w:rsid w:val="566954DC"/>
    <w:rsid w:val="56925F29"/>
    <w:rsid w:val="56CDA72E"/>
    <w:rsid w:val="576A2A02"/>
    <w:rsid w:val="576F5916"/>
    <w:rsid w:val="57723665"/>
    <w:rsid w:val="577FDAE2"/>
    <w:rsid w:val="579730CB"/>
    <w:rsid w:val="57C60ACB"/>
    <w:rsid w:val="57CF0AB7"/>
    <w:rsid w:val="57E95591"/>
    <w:rsid w:val="57FBE2C7"/>
    <w:rsid w:val="583F7EB4"/>
    <w:rsid w:val="58813B05"/>
    <w:rsid w:val="58892BEE"/>
    <w:rsid w:val="59245E67"/>
    <w:rsid w:val="59376914"/>
    <w:rsid w:val="596D0588"/>
    <w:rsid w:val="59820042"/>
    <w:rsid w:val="59884B9E"/>
    <w:rsid w:val="59927FEE"/>
    <w:rsid w:val="59AE4B1A"/>
    <w:rsid w:val="59C7389E"/>
    <w:rsid w:val="5A0233C6"/>
    <w:rsid w:val="5A0709DC"/>
    <w:rsid w:val="5A0802B0"/>
    <w:rsid w:val="5A6E45B7"/>
    <w:rsid w:val="5A7D0C9E"/>
    <w:rsid w:val="5AF96577"/>
    <w:rsid w:val="5B335734"/>
    <w:rsid w:val="5B647768"/>
    <w:rsid w:val="5B7F322F"/>
    <w:rsid w:val="5B9A4282"/>
    <w:rsid w:val="5BB53B67"/>
    <w:rsid w:val="5BCA3CDF"/>
    <w:rsid w:val="5BCAB023"/>
    <w:rsid w:val="5BE74621"/>
    <w:rsid w:val="5C084598"/>
    <w:rsid w:val="5C1B6032"/>
    <w:rsid w:val="5C2E2250"/>
    <w:rsid w:val="5C902F0B"/>
    <w:rsid w:val="5CB91FE6"/>
    <w:rsid w:val="5CDC6150"/>
    <w:rsid w:val="5CEB0141"/>
    <w:rsid w:val="5D5061F6"/>
    <w:rsid w:val="5D895BB0"/>
    <w:rsid w:val="5DA27BC8"/>
    <w:rsid w:val="5DBB5D65"/>
    <w:rsid w:val="5DDA9B94"/>
    <w:rsid w:val="5DEC4171"/>
    <w:rsid w:val="5E0C65C1"/>
    <w:rsid w:val="5E164CF0"/>
    <w:rsid w:val="5E4775F9"/>
    <w:rsid w:val="5E694E28"/>
    <w:rsid w:val="5E9D190F"/>
    <w:rsid w:val="5EAB810D"/>
    <w:rsid w:val="5EDD61AF"/>
    <w:rsid w:val="5EFF9DA6"/>
    <w:rsid w:val="5F147E07"/>
    <w:rsid w:val="5F23665C"/>
    <w:rsid w:val="5F660942"/>
    <w:rsid w:val="5F7751B9"/>
    <w:rsid w:val="5F8D54E0"/>
    <w:rsid w:val="5F903222"/>
    <w:rsid w:val="5F9F7232"/>
    <w:rsid w:val="5F9F9588"/>
    <w:rsid w:val="5FBD32D2"/>
    <w:rsid w:val="5FD21144"/>
    <w:rsid w:val="5FD450B0"/>
    <w:rsid w:val="5FEF60CD"/>
    <w:rsid w:val="5FF4555F"/>
    <w:rsid w:val="5FFB203D"/>
    <w:rsid w:val="5FFB8CF9"/>
    <w:rsid w:val="601E4C07"/>
    <w:rsid w:val="607275DF"/>
    <w:rsid w:val="611E6232"/>
    <w:rsid w:val="61395169"/>
    <w:rsid w:val="614610F4"/>
    <w:rsid w:val="615D0EE2"/>
    <w:rsid w:val="617701F5"/>
    <w:rsid w:val="61B802B7"/>
    <w:rsid w:val="61D4389A"/>
    <w:rsid w:val="621B3277"/>
    <w:rsid w:val="62285994"/>
    <w:rsid w:val="623600B0"/>
    <w:rsid w:val="62397BA1"/>
    <w:rsid w:val="629E5C56"/>
    <w:rsid w:val="62B2525D"/>
    <w:rsid w:val="62ED3CF1"/>
    <w:rsid w:val="633D7D75"/>
    <w:rsid w:val="63911074"/>
    <w:rsid w:val="6396497C"/>
    <w:rsid w:val="639E7BF4"/>
    <w:rsid w:val="63DBAF21"/>
    <w:rsid w:val="63E61674"/>
    <w:rsid w:val="641B2039"/>
    <w:rsid w:val="64207650"/>
    <w:rsid w:val="64384B33"/>
    <w:rsid w:val="64432611"/>
    <w:rsid w:val="645A795A"/>
    <w:rsid w:val="64B27796"/>
    <w:rsid w:val="64C51278"/>
    <w:rsid w:val="64DE67DD"/>
    <w:rsid w:val="6536645B"/>
    <w:rsid w:val="65701B8A"/>
    <w:rsid w:val="65C23A09"/>
    <w:rsid w:val="65D44C6E"/>
    <w:rsid w:val="66100492"/>
    <w:rsid w:val="66293A88"/>
    <w:rsid w:val="662D5327"/>
    <w:rsid w:val="6636451A"/>
    <w:rsid w:val="665705F5"/>
    <w:rsid w:val="6659304D"/>
    <w:rsid w:val="66BC4C81"/>
    <w:rsid w:val="66EB246B"/>
    <w:rsid w:val="6703077D"/>
    <w:rsid w:val="67184229"/>
    <w:rsid w:val="67193AFD"/>
    <w:rsid w:val="67404FA6"/>
    <w:rsid w:val="67550FD9"/>
    <w:rsid w:val="677544FE"/>
    <w:rsid w:val="67DE80AA"/>
    <w:rsid w:val="67F51E74"/>
    <w:rsid w:val="682E4AD4"/>
    <w:rsid w:val="68C31F72"/>
    <w:rsid w:val="690F51B7"/>
    <w:rsid w:val="6942304B"/>
    <w:rsid w:val="69690D6B"/>
    <w:rsid w:val="697E3B47"/>
    <w:rsid w:val="6985191D"/>
    <w:rsid w:val="69915558"/>
    <w:rsid w:val="69BD10B7"/>
    <w:rsid w:val="69BF132E"/>
    <w:rsid w:val="69C82745"/>
    <w:rsid w:val="6A097E59"/>
    <w:rsid w:val="6A380FA5"/>
    <w:rsid w:val="6A4946F9"/>
    <w:rsid w:val="6A595669"/>
    <w:rsid w:val="6AEC3382"/>
    <w:rsid w:val="6AED32D6"/>
    <w:rsid w:val="6AEF3147"/>
    <w:rsid w:val="6B142F59"/>
    <w:rsid w:val="6B182A49"/>
    <w:rsid w:val="6B3D425E"/>
    <w:rsid w:val="6B411D4B"/>
    <w:rsid w:val="6BC73B27"/>
    <w:rsid w:val="6BCA7826"/>
    <w:rsid w:val="6BD4493D"/>
    <w:rsid w:val="6BD97276"/>
    <w:rsid w:val="6BEC5C84"/>
    <w:rsid w:val="6BFEE5F3"/>
    <w:rsid w:val="6C083B1E"/>
    <w:rsid w:val="6C1B1754"/>
    <w:rsid w:val="6C240A1A"/>
    <w:rsid w:val="6C3255AE"/>
    <w:rsid w:val="6CAFF34E"/>
    <w:rsid w:val="6CC30793"/>
    <w:rsid w:val="6CC664D5"/>
    <w:rsid w:val="6CD676E9"/>
    <w:rsid w:val="6CFFCF4F"/>
    <w:rsid w:val="6D54588F"/>
    <w:rsid w:val="6D57712D"/>
    <w:rsid w:val="6DFFF8B6"/>
    <w:rsid w:val="6E336424"/>
    <w:rsid w:val="6E533D98"/>
    <w:rsid w:val="6E540CFB"/>
    <w:rsid w:val="6E860607"/>
    <w:rsid w:val="6E8E4DD0"/>
    <w:rsid w:val="6E99098A"/>
    <w:rsid w:val="6E9D788C"/>
    <w:rsid w:val="6E9FE641"/>
    <w:rsid w:val="6EB760D5"/>
    <w:rsid w:val="6EBF4F8A"/>
    <w:rsid w:val="6ECE251B"/>
    <w:rsid w:val="6EDA6F7E"/>
    <w:rsid w:val="6EEDE807"/>
    <w:rsid w:val="6EEE4BE4"/>
    <w:rsid w:val="6EF65E9C"/>
    <w:rsid w:val="6F3D9197"/>
    <w:rsid w:val="6F924D32"/>
    <w:rsid w:val="6FA83C70"/>
    <w:rsid w:val="6FAB3EC4"/>
    <w:rsid w:val="6FB6AF41"/>
    <w:rsid w:val="6FD894C8"/>
    <w:rsid w:val="6FE36A9E"/>
    <w:rsid w:val="6FEFB2D1"/>
    <w:rsid w:val="6FFF97E6"/>
    <w:rsid w:val="701F03D6"/>
    <w:rsid w:val="703D260A"/>
    <w:rsid w:val="707A560C"/>
    <w:rsid w:val="70A335AB"/>
    <w:rsid w:val="70C268AA"/>
    <w:rsid w:val="70C96594"/>
    <w:rsid w:val="71397E03"/>
    <w:rsid w:val="715C02CB"/>
    <w:rsid w:val="71956476"/>
    <w:rsid w:val="71B714C2"/>
    <w:rsid w:val="71C56D5B"/>
    <w:rsid w:val="71CF3736"/>
    <w:rsid w:val="71F02379"/>
    <w:rsid w:val="71F66F14"/>
    <w:rsid w:val="71FB5B08"/>
    <w:rsid w:val="72442376"/>
    <w:rsid w:val="725414D9"/>
    <w:rsid w:val="72691DDC"/>
    <w:rsid w:val="7281316B"/>
    <w:rsid w:val="729B5D0E"/>
    <w:rsid w:val="72B91201"/>
    <w:rsid w:val="735A1725"/>
    <w:rsid w:val="736600CA"/>
    <w:rsid w:val="73774085"/>
    <w:rsid w:val="73FB87D9"/>
    <w:rsid w:val="74566390"/>
    <w:rsid w:val="7459071E"/>
    <w:rsid w:val="746F1200"/>
    <w:rsid w:val="747E1443"/>
    <w:rsid w:val="74806F69"/>
    <w:rsid w:val="74D2128A"/>
    <w:rsid w:val="751B6EDF"/>
    <w:rsid w:val="75383CE8"/>
    <w:rsid w:val="753D640C"/>
    <w:rsid w:val="755F74C6"/>
    <w:rsid w:val="757C3BD5"/>
    <w:rsid w:val="758331B5"/>
    <w:rsid w:val="75EF0FBA"/>
    <w:rsid w:val="7607C293"/>
    <w:rsid w:val="760A5684"/>
    <w:rsid w:val="761C6CE6"/>
    <w:rsid w:val="766C59F7"/>
    <w:rsid w:val="76724FD8"/>
    <w:rsid w:val="7684252C"/>
    <w:rsid w:val="76A1458D"/>
    <w:rsid w:val="76D812DE"/>
    <w:rsid w:val="76DFA4E8"/>
    <w:rsid w:val="77474FBB"/>
    <w:rsid w:val="778720BD"/>
    <w:rsid w:val="779A2227"/>
    <w:rsid w:val="779C67B0"/>
    <w:rsid w:val="77A7D615"/>
    <w:rsid w:val="77B37656"/>
    <w:rsid w:val="77DC095A"/>
    <w:rsid w:val="77FF366A"/>
    <w:rsid w:val="77FF8C96"/>
    <w:rsid w:val="77FFA8F9"/>
    <w:rsid w:val="78232A2D"/>
    <w:rsid w:val="78236589"/>
    <w:rsid w:val="78414C61"/>
    <w:rsid w:val="78650950"/>
    <w:rsid w:val="78701ADF"/>
    <w:rsid w:val="78B57239"/>
    <w:rsid w:val="79230CF0"/>
    <w:rsid w:val="79566B90"/>
    <w:rsid w:val="79664892"/>
    <w:rsid w:val="79711576"/>
    <w:rsid w:val="797565C5"/>
    <w:rsid w:val="7976604B"/>
    <w:rsid w:val="797F0137"/>
    <w:rsid w:val="79865022"/>
    <w:rsid w:val="79BB59F9"/>
    <w:rsid w:val="79CE61CE"/>
    <w:rsid w:val="79F3BC78"/>
    <w:rsid w:val="79F75F20"/>
    <w:rsid w:val="7A1545F8"/>
    <w:rsid w:val="7A4D3D91"/>
    <w:rsid w:val="7A5B6CAA"/>
    <w:rsid w:val="7A675C3A"/>
    <w:rsid w:val="7A792DD8"/>
    <w:rsid w:val="7A9314AC"/>
    <w:rsid w:val="7ADD5362"/>
    <w:rsid w:val="7B3F680F"/>
    <w:rsid w:val="7B4F6850"/>
    <w:rsid w:val="7B533629"/>
    <w:rsid w:val="7B597573"/>
    <w:rsid w:val="7BABD5C4"/>
    <w:rsid w:val="7BB12055"/>
    <w:rsid w:val="7BB35E76"/>
    <w:rsid w:val="7BBFADBA"/>
    <w:rsid w:val="7BC609BA"/>
    <w:rsid w:val="7BFF492D"/>
    <w:rsid w:val="7C23124E"/>
    <w:rsid w:val="7C464F3C"/>
    <w:rsid w:val="7C4E5B9F"/>
    <w:rsid w:val="7C631402"/>
    <w:rsid w:val="7C745605"/>
    <w:rsid w:val="7C978C63"/>
    <w:rsid w:val="7C9A2630"/>
    <w:rsid w:val="7CA35AD0"/>
    <w:rsid w:val="7CDF8BC3"/>
    <w:rsid w:val="7CE704CD"/>
    <w:rsid w:val="7CEB72A5"/>
    <w:rsid w:val="7D18750B"/>
    <w:rsid w:val="7D311748"/>
    <w:rsid w:val="7D3954D9"/>
    <w:rsid w:val="7D6E474B"/>
    <w:rsid w:val="7D7635FF"/>
    <w:rsid w:val="7D7653AD"/>
    <w:rsid w:val="7DB5217A"/>
    <w:rsid w:val="7DDA3B8E"/>
    <w:rsid w:val="7DDFDC39"/>
    <w:rsid w:val="7E140770"/>
    <w:rsid w:val="7E5C0A47"/>
    <w:rsid w:val="7E5C6672"/>
    <w:rsid w:val="7E5D92FB"/>
    <w:rsid w:val="7E77762F"/>
    <w:rsid w:val="7EB75C7D"/>
    <w:rsid w:val="7ED44A81"/>
    <w:rsid w:val="7ED64D94"/>
    <w:rsid w:val="7EF51D64"/>
    <w:rsid w:val="7EFFF488"/>
    <w:rsid w:val="7F337441"/>
    <w:rsid w:val="7F574612"/>
    <w:rsid w:val="7F7F4920"/>
    <w:rsid w:val="7FB126CD"/>
    <w:rsid w:val="7FB7C299"/>
    <w:rsid w:val="7FB81CAD"/>
    <w:rsid w:val="7FBFFB92"/>
    <w:rsid w:val="7FCB5E84"/>
    <w:rsid w:val="7FD76ACB"/>
    <w:rsid w:val="7FD89DA2"/>
    <w:rsid w:val="7FDBD805"/>
    <w:rsid w:val="7FDEC14D"/>
    <w:rsid w:val="7FDF8B76"/>
    <w:rsid w:val="7FDFE693"/>
    <w:rsid w:val="7FEFB5DD"/>
    <w:rsid w:val="7FEFBBD9"/>
    <w:rsid w:val="7FFD6A57"/>
    <w:rsid w:val="7FFDA7EC"/>
    <w:rsid w:val="7FFDEA1E"/>
    <w:rsid w:val="7FFEC1F6"/>
    <w:rsid w:val="7FFF2F52"/>
    <w:rsid w:val="8F7B4EC8"/>
    <w:rsid w:val="8FBD4480"/>
    <w:rsid w:val="8FF7AE96"/>
    <w:rsid w:val="955F5184"/>
    <w:rsid w:val="9F6311D7"/>
    <w:rsid w:val="9FF54399"/>
    <w:rsid w:val="A46D76C1"/>
    <w:rsid w:val="A7FF43C2"/>
    <w:rsid w:val="ABF66286"/>
    <w:rsid w:val="AD9E3F04"/>
    <w:rsid w:val="ADA70464"/>
    <w:rsid w:val="AFE97CD3"/>
    <w:rsid w:val="B1BF5C63"/>
    <w:rsid w:val="B1FF3A18"/>
    <w:rsid w:val="B3CDF284"/>
    <w:rsid w:val="B3E8107B"/>
    <w:rsid w:val="B5F66F24"/>
    <w:rsid w:val="B7F5200A"/>
    <w:rsid w:val="BABDA1AA"/>
    <w:rsid w:val="BB1B4BF1"/>
    <w:rsid w:val="BBE5FE68"/>
    <w:rsid w:val="BBFEB9C1"/>
    <w:rsid w:val="BDF7406A"/>
    <w:rsid w:val="BE6FD8DB"/>
    <w:rsid w:val="BEEF57C2"/>
    <w:rsid w:val="BF6D5596"/>
    <w:rsid w:val="BFBEBB2C"/>
    <w:rsid w:val="BFC68935"/>
    <w:rsid w:val="BFDD0F1D"/>
    <w:rsid w:val="BFDDD096"/>
    <w:rsid w:val="C5B3F496"/>
    <w:rsid w:val="C96F3E49"/>
    <w:rsid w:val="CBBF14F3"/>
    <w:rsid w:val="CBE5DCF2"/>
    <w:rsid w:val="CCFCC735"/>
    <w:rsid w:val="CEEB8A74"/>
    <w:rsid w:val="D37FB642"/>
    <w:rsid w:val="D7F99798"/>
    <w:rsid w:val="D7FF400C"/>
    <w:rsid w:val="DBED1CD4"/>
    <w:rsid w:val="DBFBB328"/>
    <w:rsid w:val="DDD7453A"/>
    <w:rsid w:val="DE3E1FD7"/>
    <w:rsid w:val="DFBE1B79"/>
    <w:rsid w:val="DFCF1FEC"/>
    <w:rsid w:val="DFE75A3D"/>
    <w:rsid w:val="DFED2117"/>
    <w:rsid w:val="DFEF594B"/>
    <w:rsid w:val="DFF3F960"/>
    <w:rsid w:val="DFFE0D61"/>
    <w:rsid w:val="E35C4B3C"/>
    <w:rsid w:val="E3A781CA"/>
    <w:rsid w:val="E5DFAB50"/>
    <w:rsid w:val="E6FC647F"/>
    <w:rsid w:val="EBFBC8F1"/>
    <w:rsid w:val="EBFDF757"/>
    <w:rsid w:val="ED758B5D"/>
    <w:rsid w:val="ED76A08D"/>
    <w:rsid w:val="EDBDD81F"/>
    <w:rsid w:val="EDFDB542"/>
    <w:rsid w:val="EF0FCF96"/>
    <w:rsid w:val="EF95E20F"/>
    <w:rsid w:val="EFAF7DFF"/>
    <w:rsid w:val="EFAFB283"/>
    <w:rsid w:val="EFBDA38B"/>
    <w:rsid w:val="EFEE9A76"/>
    <w:rsid w:val="F1BF6FBC"/>
    <w:rsid w:val="F1F9A9B5"/>
    <w:rsid w:val="F3779FC2"/>
    <w:rsid w:val="F3D5C239"/>
    <w:rsid w:val="F3F37DF4"/>
    <w:rsid w:val="F3F96DE6"/>
    <w:rsid w:val="F3FBC54A"/>
    <w:rsid w:val="F47BB68A"/>
    <w:rsid w:val="F47F523E"/>
    <w:rsid w:val="F69FD6B0"/>
    <w:rsid w:val="F7E7F921"/>
    <w:rsid w:val="F7F7AC6A"/>
    <w:rsid w:val="F7FD93B9"/>
    <w:rsid w:val="FABF64A5"/>
    <w:rsid w:val="FABF7411"/>
    <w:rsid w:val="FBA53981"/>
    <w:rsid w:val="FBE4457E"/>
    <w:rsid w:val="FBFC558A"/>
    <w:rsid w:val="FBFF71AC"/>
    <w:rsid w:val="FBFFEA2B"/>
    <w:rsid w:val="FCCB27AA"/>
    <w:rsid w:val="FCFF8F4B"/>
    <w:rsid w:val="FD9595AD"/>
    <w:rsid w:val="FDF9DD9A"/>
    <w:rsid w:val="FDFF2821"/>
    <w:rsid w:val="FDFFA696"/>
    <w:rsid w:val="FE7FB02B"/>
    <w:rsid w:val="FEBD0232"/>
    <w:rsid w:val="FED5A77F"/>
    <w:rsid w:val="FEDFD193"/>
    <w:rsid w:val="FEE7097E"/>
    <w:rsid w:val="FEEF8230"/>
    <w:rsid w:val="FEF1F1BE"/>
    <w:rsid w:val="FEF99316"/>
    <w:rsid w:val="FEFB20CB"/>
    <w:rsid w:val="FEFD95B3"/>
    <w:rsid w:val="FEFE4E93"/>
    <w:rsid w:val="FEFFA483"/>
    <w:rsid w:val="FF29B32D"/>
    <w:rsid w:val="FF2E6944"/>
    <w:rsid w:val="FF5F9D52"/>
    <w:rsid w:val="FF7A0B6A"/>
    <w:rsid w:val="FF7B6DC2"/>
    <w:rsid w:val="FF7FFF75"/>
    <w:rsid w:val="FF921F59"/>
    <w:rsid w:val="FFBB1E09"/>
    <w:rsid w:val="FFBB6A0C"/>
    <w:rsid w:val="FFBD894B"/>
    <w:rsid w:val="FFBF33B3"/>
    <w:rsid w:val="FFD09362"/>
    <w:rsid w:val="FFD1DA08"/>
    <w:rsid w:val="FFD7DEDD"/>
    <w:rsid w:val="FFDE369F"/>
    <w:rsid w:val="FFEF98C9"/>
    <w:rsid w:val="FFEFCE62"/>
    <w:rsid w:val="FFF973B0"/>
    <w:rsid w:val="FFFB4F05"/>
    <w:rsid w:val="FFFEC8F5"/>
    <w:rsid w:val="FFFEF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cs="Times New Roman"/>
      <w:kern w:val="2"/>
      <w:sz w:val="21"/>
      <w:szCs w:val="22"/>
    </w:rPr>
    <w:tblPr>
      <w:tblCellMar>
        <w:top w:w="0" w:type="dxa"/>
        <w:left w:w="108" w:type="dxa"/>
        <w:bottom w:w="0" w:type="dxa"/>
        <w:right w:w="108" w:type="dxa"/>
      </w:tblCellMar>
    </w:tblPr>
  </w:style>
  <w:style w:type="paragraph" w:styleId="2">
    <w:name w:val="Normal Indent"/>
    <w:basedOn w:val="1"/>
    <w:next w:val="1"/>
    <w:qFormat/>
    <w:uiPriority w:val="0"/>
    <w:pPr>
      <w:spacing w:before="156" w:beforeLines="50" w:line="360" w:lineRule="auto"/>
      <w:ind w:firstLine="480" w:firstLineChars="200"/>
    </w:pPr>
    <w:rPr>
      <w:rFonts w:eastAsia="仿宋"/>
      <w:sz w:val="24"/>
      <w:szCs w:val="23"/>
      <w:lang w:eastAsia="ar-SA"/>
    </w:rPr>
  </w:style>
  <w:style w:type="paragraph" w:styleId="3">
    <w:name w:val="Document Map"/>
    <w:basedOn w:val="1"/>
    <w:link w:val="20"/>
    <w:qFormat/>
    <w:uiPriority w:val="0"/>
    <w:rPr>
      <w:rFonts w:ascii="宋体" w:eastAsia="宋体"/>
      <w:sz w:val="18"/>
      <w:szCs w:val="18"/>
    </w:rPr>
  </w:style>
  <w:style w:type="paragraph" w:styleId="4">
    <w:name w:val="Body Text"/>
    <w:basedOn w:val="1"/>
    <w:next w:val="1"/>
    <w:qFormat/>
    <w:uiPriority w:val="0"/>
    <w:pPr>
      <w:spacing w:after="120"/>
    </w:pPr>
  </w:style>
  <w:style w:type="paragraph" w:styleId="5">
    <w:name w:val="Body Text Indent"/>
    <w:basedOn w:val="1"/>
    <w:qFormat/>
    <w:uiPriority w:val="0"/>
    <w:pPr>
      <w:spacing w:after="120"/>
      <w:ind w:leftChars="200"/>
    </w:pPr>
    <w:rPr>
      <w:rFonts w:ascii="仿宋_GB2312"/>
      <w:szCs w:val="32"/>
    </w:rPr>
  </w:style>
  <w:style w:type="paragraph" w:styleId="6">
    <w:name w:val="Balloon Text"/>
    <w:basedOn w:val="1"/>
    <w:semiHidden/>
    <w:qFormat/>
    <w:uiPriority w:val="0"/>
    <w:rPr>
      <w:sz w:val="18"/>
      <w:szCs w:val="18"/>
    </w:rPr>
  </w:style>
  <w:style w:type="paragraph" w:styleId="7">
    <w:name w:val="footer"/>
    <w:basedOn w:val="1"/>
    <w:link w:val="22"/>
    <w:qFormat/>
    <w:uiPriority w:val="99"/>
    <w:pPr>
      <w:tabs>
        <w:tab w:val="center" w:pos="4153"/>
        <w:tab w:val="right" w:pos="8306"/>
      </w:tabs>
      <w:snapToGrid w:val="0"/>
      <w:jc w:val="left"/>
    </w:pPr>
    <w:rPr>
      <w:rFonts w:eastAsia="宋体"/>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9">
    <w:name w:val="toc 1"/>
    <w:basedOn w:val="1"/>
    <w:next w:val="1"/>
    <w:qFormat/>
    <w:uiPriority w:val="0"/>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11">
    <w:name w:val="Body Text First Indent 2"/>
    <w:basedOn w:val="5"/>
    <w:unhideWhenUsed/>
    <w:qFormat/>
    <w:uiPriority w:val="99"/>
    <w:pPr>
      <w:ind w:firstLine="42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22"/>
    <w:rPr>
      <w:b/>
      <w:bCs/>
    </w:rPr>
  </w:style>
  <w:style w:type="character" w:styleId="16">
    <w:name w:val="page number"/>
    <w:basedOn w:val="14"/>
    <w:qFormat/>
    <w:uiPriority w:val="0"/>
  </w:style>
  <w:style w:type="paragraph" w:customStyle="1" w:styleId="17">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customStyle="1" w:styleId="18">
    <w:name w:val="四号正文"/>
    <w:basedOn w:val="1"/>
    <w:link w:val="19"/>
    <w:qFormat/>
    <w:uiPriority w:val="0"/>
    <w:pPr>
      <w:spacing w:line="360" w:lineRule="auto"/>
    </w:pPr>
    <w:rPr>
      <w:rFonts w:ascii="??" w:hAnsi="??" w:eastAsia="宋体" w:cs="宋体"/>
      <w:color w:val="000000"/>
      <w:kern w:val="0"/>
      <w:sz w:val="28"/>
      <w:szCs w:val="21"/>
    </w:rPr>
  </w:style>
  <w:style w:type="character" w:customStyle="1" w:styleId="19">
    <w:name w:val="四号正文 Char"/>
    <w:basedOn w:val="14"/>
    <w:link w:val="18"/>
    <w:qFormat/>
    <w:uiPriority w:val="0"/>
    <w:rPr>
      <w:rFonts w:ascii="??" w:hAnsi="??" w:eastAsia="宋体" w:cs="宋体"/>
      <w:color w:val="000000"/>
      <w:sz w:val="28"/>
      <w:szCs w:val="21"/>
      <w:lang w:val="en-US" w:eastAsia="zh-CN" w:bidi="ar-SA"/>
    </w:rPr>
  </w:style>
  <w:style w:type="character" w:customStyle="1" w:styleId="20">
    <w:name w:val="文档结构图 Char"/>
    <w:basedOn w:val="14"/>
    <w:link w:val="3"/>
    <w:qFormat/>
    <w:uiPriority w:val="0"/>
    <w:rPr>
      <w:rFonts w:ascii="宋体"/>
      <w:kern w:val="2"/>
      <w:sz w:val="18"/>
      <w:szCs w:val="18"/>
    </w:rPr>
  </w:style>
  <w:style w:type="paragraph" w:customStyle="1" w:styleId="21">
    <w:name w:val="a"/>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22">
    <w:name w:val="页脚 Char"/>
    <w:basedOn w:val="14"/>
    <w:link w:val="7"/>
    <w:qFormat/>
    <w:uiPriority w:val="99"/>
    <w:rPr>
      <w:kern w:val="2"/>
      <w:sz w:val="18"/>
      <w:szCs w:val="18"/>
    </w:rPr>
  </w:style>
  <w:style w:type="character" w:customStyle="1" w:styleId="23">
    <w:name w:val="font31"/>
    <w:basedOn w:val="14"/>
    <w:qFormat/>
    <w:uiPriority w:val="0"/>
    <w:rPr>
      <w:rFonts w:hint="eastAsia" w:ascii="宋体" w:hAnsi="宋体" w:eastAsia="宋体" w:cs="宋体"/>
      <w:color w:val="000000"/>
      <w:sz w:val="24"/>
      <w:szCs w:val="24"/>
      <w:u w:val="none"/>
    </w:rPr>
  </w:style>
  <w:style w:type="character" w:customStyle="1" w:styleId="24">
    <w:name w:val="font51"/>
    <w:basedOn w:val="14"/>
    <w:qFormat/>
    <w:uiPriority w:val="0"/>
    <w:rPr>
      <w:rFonts w:hint="default" w:ascii="Wingdings 2" w:hAnsi="Wingdings 2" w:eastAsia="Wingdings 2" w:cs="Wingdings 2"/>
      <w:color w:val="000000"/>
      <w:sz w:val="18"/>
      <w:szCs w:val="18"/>
      <w:u w:val="none"/>
    </w:rPr>
  </w:style>
  <w:style w:type="character" w:customStyle="1" w:styleId="25">
    <w:name w:val="font01"/>
    <w:basedOn w:val="14"/>
    <w:qFormat/>
    <w:uiPriority w:val="0"/>
    <w:rPr>
      <w:rFonts w:ascii="宋体" w:hAnsi="宋体" w:eastAsia="宋体" w:cs="宋体"/>
      <w:color w:val="000000"/>
      <w:sz w:val="18"/>
      <w:szCs w:val="18"/>
      <w:u w:val="none"/>
    </w:rPr>
  </w:style>
  <w:style w:type="character" w:customStyle="1" w:styleId="26">
    <w:name w:val="font41"/>
    <w:basedOn w:val="14"/>
    <w:qFormat/>
    <w:uiPriority w:val="0"/>
    <w:rPr>
      <w:rFonts w:ascii="宋体" w:hAnsi="宋体" w:eastAsia="宋体" w:cs="宋体"/>
      <w:color w:val="000000"/>
      <w:sz w:val="18"/>
      <w:szCs w:val="18"/>
      <w:u w:val="none"/>
    </w:rPr>
  </w:style>
  <w:style w:type="paragraph" w:styleId="27">
    <w:name w:val="List Paragraph"/>
    <w:basedOn w:val="1"/>
    <w:qFormat/>
    <w:uiPriority w:val="0"/>
    <w:pPr>
      <w:widowControl w:val="0"/>
      <w:ind w:firstLine="200" w:firstLineChars="200"/>
      <w:jc w:val="both"/>
    </w:pPr>
    <w:rPr>
      <w:rFonts w:ascii="Calibri" w:hAnsi="Calibri" w:eastAsia="宋体" w:cs="Arial"/>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16</Pages>
  <Words>7780</Words>
  <Characters>8499</Characters>
  <Lines>2</Lines>
  <Paragraphs>1</Paragraphs>
  <TotalTime>221</TotalTime>
  <ScaleCrop>false</ScaleCrop>
  <LinksUpToDate>false</LinksUpToDate>
  <CharactersWithSpaces>8589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2019-05-28T19:06:00Z</dcterms:created>
  <dc:creator>陈萍</dc:creator>
  <cp:lastModifiedBy>Lenovo</cp:lastModifiedBy>
  <cp:lastPrinted>2016-02-15T08:25:00Z</cp:lastPrinted>
  <dcterms:modified xsi:type="dcterms:W3CDTF">2024-08-01T03:48:20Z</dcterms:modified>
  <dc:title>区域性就业培训基地建设项目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A51A36801428E9B041879466C62AECE8</vt:lpwstr>
  </property>
</Properties>
</file>