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大熊猫国家公园阿坝管理分局</w:t>
      </w:r>
    </w:p>
    <w:p>
      <w:pPr>
        <w:pStyle w:val="8"/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/>
        </w:rPr>
        <w:t>法律顾问服务</w:t>
      </w:r>
      <w:r>
        <w:rPr>
          <w:rFonts w:hint="eastAsia" w:ascii="方正小标宋简体" w:eastAsia="方正小标宋简体"/>
          <w:sz w:val="44"/>
          <w:szCs w:val="44"/>
        </w:rPr>
        <w:t>预算项目支出绩效</w:t>
      </w:r>
    </w:p>
    <w:p>
      <w:pPr>
        <w:pStyle w:val="8"/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自评报告</w:t>
      </w:r>
    </w:p>
    <w:p>
      <w:pPr>
        <w:pStyle w:val="8"/>
        <w:spacing w:line="600" w:lineRule="exact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eastAsia="黑体"/>
          <w:lang w:val="zh-CN"/>
        </w:rPr>
      </w:pPr>
      <w:r>
        <w:rPr>
          <w:rFonts w:hint="eastAsia" w:ascii="黑体" w:eastAsia="黑体"/>
        </w:rPr>
        <w:t>一、</w:t>
      </w:r>
      <w:r>
        <w:rPr>
          <w:rFonts w:hint="eastAsia" w:ascii="黑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仿宋_GB2312"/>
          <w:lang w:val="zh-CN"/>
        </w:rPr>
      </w:pPr>
      <w:r>
        <w:rPr>
          <w:rFonts w:hint="eastAsia" w:ascii="楷体_GB2312" w:eastAsia="楷体_GB2312"/>
          <w:b/>
          <w:lang w:val="zh-CN"/>
        </w:rPr>
        <w:t>（一）项目资金申报及批复情况。</w:t>
      </w:r>
      <w:r>
        <w:rPr>
          <w:rFonts w:hint="eastAsia" w:ascii="仿宋_GB2312"/>
          <w:lang w:val="zh-CN"/>
        </w:rPr>
        <w:t>大熊猫国家公园阿坝管理分局</w:t>
      </w:r>
      <w:r>
        <w:rPr>
          <w:rFonts w:hint="eastAsia" w:ascii="仿宋_GB2312"/>
          <w:color w:val="000000" w:themeColor="text1"/>
          <w:lang w:val="zh-CN"/>
        </w:rPr>
        <w:t>2021年单位法律顾问费支出为1万元，</w:t>
      </w:r>
      <w:r>
        <w:rPr>
          <w:rFonts w:hint="eastAsia" w:ascii="仿宋_GB2312"/>
          <w:lang w:val="zh-CN"/>
        </w:rPr>
        <w:t>2022年在</w:t>
      </w:r>
      <w:r>
        <w:rPr>
          <w:rFonts w:hint="eastAsia" w:ascii="仿宋_GB2312"/>
        </w:rPr>
        <w:t>州本级预算中</w:t>
      </w:r>
      <w:r>
        <w:rPr>
          <w:rFonts w:hint="eastAsia" w:ascii="仿宋_GB2312"/>
          <w:lang w:val="zh-CN"/>
        </w:rPr>
        <w:t>申请</w:t>
      </w:r>
      <w:r>
        <w:rPr>
          <w:rFonts w:hint="eastAsia" w:ascii="仿宋_GB2312"/>
        </w:rPr>
        <w:t>法律顾问预算</w:t>
      </w:r>
      <w:r>
        <w:rPr>
          <w:rFonts w:hint="eastAsia" w:ascii="仿宋_GB2312"/>
          <w:lang w:val="zh-CN"/>
        </w:rPr>
        <w:t>资金</w:t>
      </w:r>
      <w:r>
        <w:rPr>
          <w:rFonts w:hint="eastAsia" w:ascii="仿宋_GB2312"/>
        </w:rPr>
        <w:t>3</w:t>
      </w:r>
      <w:r>
        <w:rPr>
          <w:rFonts w:hint="eastAsia" w:ascii="仿宋_GB2312"/>
          <w:lang w:val="zh-CN"/>
        </w:rPr>
        <w:t>万元。</w:t>
      </w:r>
      <w:r>
        <w:rPr>
          <w:rFonts w:hint="eastAsia"/>
        </w:rPr>
        <w:t>经批复同意3万元用于</w:t>
      </w:r>
      <w:r>
        <w:rPr>
          <w:rFonts w:hint="eastAsia" w:ascii="仿宋_GB2312"/>
          <w:lang w:val="zh-CN"/>
        </w:rPr>
        <w:t>大熊猫国家公园阿坝管理分局</w:t>
      </w:r>
      <w:r>
        <w:rPr>
          <w:rFonts w:hint="eastAsia"/>
        </w:rPr>
        <w:t>聘请法律顾问费用</w:t>
      </w:r>
      <w:r>
        <w:rPr>
          <w:rFonts w:hint="eastAsia" w:ascii="仿宋_GB2312" w:cs="仿宋_GB2312"/>
        </w:rPr>
        <w:t>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楷体_GB2312" w:eastAsia="楷体_GB2312"/>
          <w:b/>
          <w:lang w:val="zh-CN"/>
        </w:rPr>
        <w:t>（二）项目绩效目标。</w:t>
      </w:r>
      <w:r>
        <w:rPr>
          <w:rFonts w:hint="eastAsia"/>
        </w:rPr>
        <w:t>聘请具备资质</w:t>
      </w:r>
      <w:r>
        <w:rPr>
          <w:rFonts w:hint="eastAsia" w:ascii="仿宋_GB2312" w:cs="仿宋_GB2312"/>
        </w:rPr>
        <w:t>法律顾问服务单位，为</w:t>
      </w:r>
      <w:r>
        <w:rPr>
          <w:rFonts w:hint="eastAsia" w:ascii="仿宋_GB2312"/>
          <w:lang w:val="zh-CN"/>
        </w:rPr>
        <w:t>大熊猫国家公园阿坝管理分局</w:t>
      </w:r>
      <w:r>
        <w:rPr>
          <w:rFonts w:hint="eastAsia" w:ascii="仿宋_GB2312" w:cs="仿宋_GB2312"/>
        </w:rPr>
        <w:t>提供法律咨询服务，切实做到依法行政、依法办事。</w:t>
      </w:r>
    </w:p>
    <w:p>
      <w:pPr>
        <w:spacing w:line="560" w:lineRule="exact"/>
        <w:ind w:firstLine="640" w:firstLineChars="200"/>
        <w:rPr>
          <w:rFonts w:ascii="仿宋_GB2312" w:cs="仿宋_GB2312"/>
        </w:rPr>
      </w:pPr>
      <w:r>
        <w:rPr>
          <w:rFonts w:hint="eastAsia" w:ascii="楷体_GB2312" w:eastAsia="楷体_GB2312"/>
          <w:b/>
          <w:lang w:val="zh-CN"/>
        </w:rPr>
        <w:t>（三）项目资金申报相符性。</w:t>
      </w:r>
      <w:r>
        <w:rPr>
          <w:rFonts w:hint="eastAsia" w:ascii="仿宋_GB2312" w:cs="仿宋_GB2312"/>
        </w:rPr>
        <w:t>延续由2021年泰和泰律师事务所为分局提供2022年法律咨询服务，法律顾问服务费</w:t>
      </w:r>
      <w:r>
        <w:rPr>
          <w:rFonts w:hint="eastAsia"/>
        </w:rPr>
        <w:t>1万</w:t>
      </w:r>
      <w:r>
        <w:rPr>
          <w:rFonts w:hint="eastAsia" w:ascii="仿宋_GB2312" w:cs="仿宋_GB2312"/>
        </w:rPr>
        <w:t>元</w:t>
      </w:r>
      <w:r>
        <w:rPr>
          <w:rFonts w:ascii="仿宋_GB2312" w:cs="仿宋_GB2312"/>
        </w:rPr>
        <w:t>，</w:t>
      </w:r>
      <w:r>
        <w:rPr>
          <w:rFonts w:hint="eastAsia" w:ascii="仿宋_GB2312" w:cs="仿宋_GB2312"/>
        </w:rPr>
        <w:t>较</w:t>
      </w:r>
      <w:r>
        <w:rPr>
          <w:rFonts w:hint="eastAsia" w:ascii="仿宋_GB2312"/>
          <w:lang w:val="zh-CN"/>
        </w:rPr>
        <w:t>项目资金申报</w:t>
      </w:r>
      <w:r>
        <w:rPr>
          <w:rFonts w:hint="eastAsia" w:ascii="仿宋_GB2312"/>
        </w:rPr>
        <w:t>节约2万元</w:t>
      </w:r>
      <w:r>
        <w:rPr>
          <w:rFonts w:hint="eastAsia" w:ascii="仿宋_GB2312"/>
          <w:lang w:val="zh-CN"/>
        </w:rPr>
        <w:t>，</w:t>
      </w:r>
      <w:r>
        <w:rPr>
          <w:rFonts w:ascii="仿宋_GB2312"/>
          <w:lang w:val="zh-CN"/>
        </w:rPr>
        <w:t>因单位处于机构改革存在不可预见性。</w:t>
      </w:r>
    </w:p>
    <w:p>
      <w:pPr>
        <w:adjustRightInd w:val="0"/>
        <w:snapToGrid w:val="0"/>
        <w:spacing w:line="600" w:lineRule="exact"/>
        <w:ind w:firstLine="720"/>
        <w:rPr>
          <w:rFonts w:ascii="黑体" w:eastAsia="黑体"/>
        </w:rPr>
      </w:pPr>
      <w:r>
        <w:rPr>
          <w:rFonts w:hint="eastAsia" w:ascii="黑体" w:eastAsia="黑体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hint="eastAsia" w:ascii="仿宋_GB2312"/>
          <w:lang w:val="zh-CN"/>
        </w:rPr>
        <w:tab/>
      </w:r>
      <w:r>
        <w:rPr>
          <w:rFonts w:hint="eastAsia" w:ascii="楷体_GB2312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/>
          <w:lang w:val="zh-CN"/>
        </w:rPr>
      </w:pPr>
      <w:r>
        <w:rPr>
          <w:rFonts w:hint="eastAsia" w:ascii="仿宋_GB2312"/>
          <w:lang w:val="zh-CN"/>
        </w:rPr>
        <w:t>1.计划及到位。资金计划</w:t>
      </w:r>
      <w:r>
        <w:rPr>
          <w:rFonts w:hint="eastAsia" w:ascii="仿宋_GB2312"/>
        </w:rPr>
        <w:t>3</w:t>
      </w:r>
      <w:r>
        <w:rPr>
          <w:rFonts w:hint="eastAsia" w:ascii="仿宋_GB2312"/>
          <w:lang w:val="zh-CN"/>
        </w:rPr>
        <w:t>万元，到位</w:t>
      </w:r>
      <w:r>
        <w:rPr>
          <w:rFonts w:hint="eastAsia" w:ascii="仿宋_GB2312"/>
        </w:rPr>
        <w:t>3</w:t>
      </w:r>
      <w:r>
        <w:rPr>
          <w:rFonts w:hint="eastAsia" w:ascii="仿宋_GB2312"/>
          <w:lang w:val="zh-CN"/>
        </w:rPr>
        <w:t>万元。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/>
          <w:lang w:val="zh-CN"/>
        </w:rPr>
      </w:pPr>
      <w:r>
        <w:rPr>
          <w:rFonts w:hint="eastAsia" w:ascii="仿宋_GB2312"/>
          <w:lang w:val="zh-CN"/>
        </w:rPr>
        <w:t>2.资金使用。支出</w:t>
      </w:r>
      <w:r>
        <w:rPr>
          <w:rFonts w:hint="eastAsia" w:ascii="仿宋_GB2312" w:cs="仿宋_GB2312"/>
        </w:rPr>
        <w:t>法律顾问服务费共计</w:t>
      </w:r>
      <w:r>
        <w:rPr>
          <w:rFonts w:hint="eastAsia"/>
        </w:rPr>
        <w:t>1万</w:t>
      </w:r>
      <w:r>
        <w:rPr>
          <w:rFonts w:hint="eastAsia" w:ascii="仿宋_GB2312" w:cs="仿宋_GB2312"/>
        </w:rPr>
        <w:t>元</w:t>
      </w:r>
      <w:r>
        <w:rPr>
          <w:rFonts w:hint="eastAsia" w:ascii="仿宋_GB2312"/>
          <w:lang w:val="zh-CN"/>
        </w:rPr>
        <w:t>。支付依据合规合法，资金支付与预算相符。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hint="eastAsia" w:ascii="楷体_GB2312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/>
          <w:lang w:val="zh-CN"/>
        </w:rPr>
      </w:pPr>
      <w:r>
        <w:rPr>
          <w:rFonts w:ascii="仿宋_GB2312"/>
          <w:lang w:val="zh-CN"/>
        </w:rPr>
        <w:t>按</w:t>
      </w:r>
      <w:r>
        <w:rPr>
          <w:rFonts w:hint="eastAsia" w:ascii="仿宋_GB2312"/>
          <w:lang w:val="zh-CN"/>
        </w:rPr>
        <w:t>照</w:t>
      </w:r>
      <w:r>
        <w:rPr>
          <w:rFonts w:ascii="仿宋_GB2312"/>
          <w:lang w:val="zh-CN"/>
        </w:rPr>
        <w:t>资金</w:t>
      </w:r>
      <w:r>
        <w:rPr>
          <w:rFonts w:hint="eastAsia" w:ascii="仿宋_GB2312"/>
          <w:lang w:val="zh-CN"/>
        </w:rPr>
        <w:t>管理办法，严格执行财务管理制度</w:t>
      </w:r>
      <w:r>
        <w:rPr>
          <w:rFonts w:ascii="仿宋_GB2312"/>
          <w:lang w:val="zh-CN"/>
        </w:rPr>
        <w:t>，</w:t>
      </w:r>
      <w:r>
        <w:rPr>
          <w:rFonts w:hint="eastAsia" w:ascii="仿宋_GB2312"/>
          <w:lang w:val="zh-CN"/>
        </w:rPr>
        <w:t>财务处理及时</w:t>
      </w:r>
      <w:r>
        <w:rPr>
          <w:rFonts w:ascii="仿宋_GB2312"/>
          <w:lang w:val="zh-CN"/>
        </w:rPr>
        <w:t>，</w:t>
      </w:r>
      <w:r>
        <w:rPr>
          <w:rFonts w:hint="eastAsia" w:ascii="仿宋_GB2312"/>
          <w:lang w:val="zh-CN"/>
        </w:rPr>
        <w:t>会计核算规范。</w:t>
      </w:r>
    </w:p>
    <w:p>
      <w:pPr>
        <w:spacing w:line="560" w:lineRule="exact"/>
        <w:ind w:firstLine="640" w:firstLineChars="200"/>
        <w:rPr>
          <w:rFonts w:hint="default" w:eastAsia="仿宋_GB2312"/>
          <w:lang w:val="en-US" w:eastAsia="zh-CN"/>
        </w:rPr>
      </w:pPr>
      <w:r>
        <w:rPr>
          <w:rFonts w:hint="eastAsia" w:ascii="楷体_GB2312" w:eastAsia="楷体_GB2312"/>
          <w:b/>
          <w:lang w:val="zh-CN"/>
        </w:rPr>
        <w:t>（三）项目组织实施情况。</w:t>
      </w:r>
      <w:r>
        <w:rPr>
          <w:rFonts w:hint="eastAsia"/>
        </w:rPr>
        <w:t>2022年法律顾问服务，同2021年</w:t>
      </w:r>
      <w:r>
        <w:rPr>
          <w:rFonts w:hint="eastAsia" w:ascii="仿宋_GB2312" w:cs="仿宋_GB2312"/>
        </w:rPr>
        <w:t>在法律服务内容、资金、律师等未发生变化，</w:t>
      </w:r>
      <w:r>
        <w:rPr>
          <w:rFonts w:hint="eastAsia"/>
        </w:rPr>
        <w:t>因此，2022年法律顾问服务仍由2021年</w:t>
      </w:r>
      <w:r>
        <w:rPr>
          <w:rFonts w:hint="eastAsia" w:ascii="仿宋_GB2312" w:cs="仿宋_GB2312"/>
        </w:rPr>
        <w:t>所聘请的泰和泰律师事务所为</w:t>
      </w:r>
      <w:r>
        <w:rPr>
          <w:rFonts w:hint="eastAsia" w:ascii="仿宋_GB2312"/>
          <w:lang w:val="zh-CN"/>
        </w:rPr>
        <w:t>大熊猫国家公园阿坝管理分局</w:t>
      </w:r>
      <w:r>
        <w:rPr>
          <w:rFonts w:hint="eastAsia" w:ascii="仿宋_GB2312"/>
        </w:rPr>
        <w:t>提供服务，服务费和2021年保持一致，服务费为1万元</w:t>
      </w:r>
      <w:r>
        <w:t>。</w:t>
      </w:r>
      <w:bookmarkStart w:id="0" w:name="_Hlk63434179"/>
      <w:r>
        <w:rPr>
          <w:rFonts w:hint="eastAsia"/>
          <w:lang w:val="en-US" w:eastAsia="zh-CN"/>
        </w:rPr>
        <w:t>因单位处于机构改革，2022年未改革，故剩余2万财政已收回</w:t>
      </w:r>
    </w:p>
    <w:bookmarkEnd w:id="0"/>
    <w:p>
      <w:pPr>
        <w:adjustRightInd w:val="0"/>
        <w:snapToGrid w:val="0"/>
        <w:spacing w:line="600" w:lineRule="exact"/>
        <w:ind w:firstLine="720"/>
        <w:rPr>
          <w:rFonts w:ascii="仿宋_GB2312"/>
          <w:lang w:val="zh-CN"/>
        </w:rPr>
      </w:pPr>
      <w:r>
        <w:rPr>
          <w:rFonts w:hint="eastAsia" w:ascii="黑体" w:eastAsia="黑体"/>
        </w:rPr>
        <w:t>三、项目绩效情况</w:t>
      </w:r>
      <w:r>
        <w:rPr>
          <w:rFonts w:hint="eastAsia" w:ascii="仿宋_GB2312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hint="eastAsia" w:ascii="楷体_GB2312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cs="仿宋_GB2312"/>
        </w:rPr>
      </w:pPr>
      <w:r>
        <w:rPr>
          <w:rFonts w:hint="eastAsia" w:ascii="仿宋_GB2312" w:cs="仿宋_GB2312"/>
        </w:rPr>
        <w:t>2022年泰和泰律师事务所为</w:t>
      </w:r>
      <w:r>
        <w:rPr>
          <w:rFonts w:hint="eastAsia" w:ascii="仿宋_GB2312"/>
          <w:lang w:val="zh-CN"/>
        </w:rPr>
        <w:t>大熊猫国家公园阿坝管理分局</w:t>
      </w:r>
      <w:r>
        <w:rPr>
          <w:rFonts w:hint="eastAsia" w:ascii="仿宋_GB2312"/>
        </w:rPr>
        <w:t>提供法律服务，服务费为1万元</w:t>
      </w:r>
      <w:r>
        <w:rPr>
          <w:rFonts w:ascii="仿宋_GB2312" w:cs="仿宋_GB2312"/>
        </w:rPr>
        <w:t>。</w:t>
      </w:r>
    </w:p>
    <w:p>
      <w:pPr>
        <w:autoSpaceDN w:val="0"/>
        <w:spacing w:line="578" w:lineRule="exact"/>
        <w:ind w:firstLine="640" w:firstLineChars="200"/>
        <w:rPr>
          <w:rFonts w:ascii="仿宋_GB2312" w:cs="仿宋_GB2312"/>
        </w:rPr>
      </w:pPr>
      <w:r>
        <w:rPr>
          <w:rFonts w:hint="eastAsia" w:ascii="楷体_GB2312" w:eastAsia="楷体_GB2312"/>
          <w:b/>
          <w:lang w:val="zh-CN"/>
        </w:rPr>
        <w:t>（二）项目效益情况。</w:t>
      </w:r>
      <w:r>
        <w:rPr>
          <w:rFonts w:hint="eastAsia" w:ascii="仿宋_GB2312" w:cs="仿宋_GB2312"/>
        </w:rPr>
        <w:t>泰和泰律师事务所为</w:t>
      </w:r>
      <w:r>
        <w:rPr>
          <w:rFonts w:hint="eastAsia" w:ascii="仿宋_GB2312"/>
          <w:lang w:val="zh-CN"/>
        </w:rPr>
        <w:t>大熊猫国家公园阿坝管理分局</w:t>
      </w:r>
      <w:r>
        <w:rPr>
          <w:rFonts w:hint="eastAsia" w:ascii="仿宋_GB2312" w:cs="仿宋_GB2312"/>
        </w:rPr>
        <w:t>及时、准确的为分局提供法律咨询服务，切实做到依法行政、依法办事。</w:t>
      </w:r>
    </w:p>
    <w:p>
      <w:pPr>
        <w:adjustRightInd w:val="0"/>
        <w:snapToGrid w:val="0"/>
        <w:spacing w:line="600" w:lineRule="exact"/>
        <w:ind w:firstLine="720"/>
        <w:rPr>
          <w:rFonts w:ascii="黑体" w:eastAsia="黑体"/>
          <w:lang w:val="zh-CN"/>
        </w:rPr>
      </w:pPr>
      <w:r>
        <w:rPr>
          <w:rFonts w:hint="eastAsia" w:ascii="黑体" w:eastAsia="黑体"/>
          <w:lang w:val="zh-CN"/>
        </w:rPr>
        <w:t>四、问题及建议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</w:pPr>
      <w:r>
        <w:rPr>
          <w:rFonts w:hint="eastAsia" w:ascii="楷体_GB2312" w:eastAsia="楷体_GB2312"/>
          <w:b/>
          <w:bCs/>
          <w:lang w:val="zh-CN"/>
        </w:rPr>
        <w:t>存在的</w:t>
      </w:r>
      <w:r>
        <w:rPr>
          <w:rFonts w:hint="eastAsia" w:ascii="楷体_GB2312" w:eastAsia="楷体_GB2312"/>
          <w:b/>
          <w:bCs/>
        </w:rPr>
        <w:t>问题。</w:t>
      </w:r>
      <w:r>
        <w:t>无。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ascii="黑体" w:eastAsia="黑体"/>
          <w:lang w:val="zh-CN"/>
        </w:rPr>
      </w:pPr>
      <w:r>
        <w:rPr>
          <w:rFonts w:hint="eastAsia" w:ascii="楷体_GB2312" w:eastAsia="楷体_GB2312"/>
          <w:b/>
          <w:bCs/>
        </w:rPr>
        <w:t>建议意见。</w:t>
      </w:r>
      <w:r>
        <w:t>无。</w:t>
      </w:r>
    </w:p>
    <w:p>
      <w:pPr>
        <w:spacing w:line="560" w:lineRule="exact"/>
        <w:ind w:firstLine="640" w:firstLineChars="200"/>
      </w:pPr>
    </w:p>
    <w:p>
      <w:pPr>
        <w:spacing w:line="560" w:lineRule="exact"/>
        <w:ind w:firstLine="1120" w:firstLineChars="350"/>
        <w:rPr>
          <w:rFonts w:hint="eastAsia"/>
        </w:rPr>
      </w:pPr>
      <w:r>
        <w:t>附件</w:t>
      </w:r>
      <w:r>
        <w:rPr>
          <w:rFonts w:hint="eastAsia"/>
        </w:rPr>
        <w:t>：2023年州级专项预算绩效评价指标体系</w:t>
      </w:r>
    </w:p>
    <w:p>
      <w:bookmarkStart w:id="1" w:name="_GoBack"/>
      <w:bookmarkEnd w:id="1"/>
    </w:p>
    <w:p/>
    <w:p>
      <w:pPr>
        <w:tabs>
          <w:tab w:val="left" w:pos="972"/>
        </w:tabs>
      </w:pPr>
      <w:r>
        <w:tab/>
      </w:r>
    </w:p>
    <w:p>
      <w:pPr>
        <w:sectPr>
          <w:pgSz w:w="11906" w:h="16838"/>
          <w:pgMar w:top="1440" w:right="1797" w:bottom="1440" w:left="1797" w:header="851" w:footer="992" w:gutter="0"/>
          <w:cols w:space="720" w:num="1"/>
          <w:docGrid w:type="linesAndChars" w:linePitch="312" w:charSpace="0"/>
        </w:sectPr>
      </w:pPr>
    </w:p>
    <w:p>
      <w:pPr>
        <w:pStyle w:val="2"/>
        <w:ind w:left="0" w:leftChars="0" w:firstLine="0" w:firstLineChars="0"/>
      </w:pPr>
      <w:r>
        <w:object>
          <v:shape id="_x0000_i1025" o:spt="75" type="#_x0000_t75" style="height:676.2pt;width:697.1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仿宋_GB2312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39D72B"/>
    <w:multiLevelType w:val="multilevel"/>
    <w:tmpl w:val="F039D72B"/>
    <w:lvl w:ilvl="0" w:tentative="0">
      <w:start w:val="1"/>
      <w:numFmt w:val="chineseCountingThousand"/>
      <w:lvlText w:val="（%1）"/>
      <w:legacy w:legacy="1" w:legacySpace="0" w:legacyIndent="967"/>
      <w:lvlJc w:val="left"/>
      <w:pPr>
        <w:ind w:left="1687" w:hanging="967"/>
      </w:pPr>
      <w:rPr>
        <w:rFonts w:hint="default" w:ascii="楷体_GB2312" w:hAnsi="楷体_GB2312" w:eastAsia="楷体_GB2312"/>
        <w:b/>
        <w:bCs/>
        <w:i w:val="0"/>
        <w:iCs w:val="0"/>
      </w:rPr>
    </w:lvl>
    <w:lvl w:ilvl="1" w:tentative="0">
      <w:start w:val="1"/>
      <w:numFmt w:val="lowerLetter"/>
      <w:lvlText w:val="%2)"/>
      <w:legacy w:legacy="1" w:legacySpace="0" w:legacyIndent="420"/>
      <w:lvlJc w:val="left"/>
      <w:pPr>
        <w:ind w:left="1560" w:hanging="420"/>
      </w:pPr>
    </w:lvl>
    <w:lvl w:ilvl="2" w:tentative="0">
      <w:start w:val="1"/>
      <w:numFmt w:val="lowerRoman"/>
      <w:lvlText w:val="%3."/>
      <w:legacy w:legacy="1" w:legacySpace="0" w:legacyIndent="420"/>
      <w:lvlJc w:val="right"/>
      <w:pPr>
        <w:ind w:left="1980" w:hanging="420"/>
      </w:pPr>
    </w:lvl>
    <w:lvl w:ilvl="3" w:tentative="0">
      <w:start w:val="1"/>
      <w:numFmt w:val="decimal"/>
      <w:lvlText w:val="%4."/>
      <w:legacy w:legacy="1" w:legacySpace="0" w:legacyIndent="420"/>
      <w:lvlJc w:val="left"/>
      <w:pPr>
        <w:ind w:left="2400" w:hanging="420"/>
      </w:pPr>
    </w:lvl>
    <w:lvl w:ilvl="4" w:tentative="0">
      <w:start w:val="1"/>
      <w:numFmt w:val="lowerLetter"/>
      <w:lvlText w:val="%5)"/>
      <w:legacy w:legacy="1" w:legacySpace="0" w:legacyIndent="420"/>
      <w:lvlJc w:val="left"/>
      <w:pPr>
        <w:ind w:left="2820" w:hanging="420"/>
      </w:pPr>
    </w:lvl>
    <w:lvl w:ilvl="5" w:tentative="0">
      <w:start w:val="1"/>
      <w:numFmt w:val="lowerRoman"/>
      <w:lvlText w:val="%6."/>
      <w:legacy w:legacy="1" w:legacySpace="0" w:legacyIndent="420"/>
      <w:lvlJc w:val="right"/>
      <w:pPr>
        <w:ind w:left="3240" w:hanging="420"/>
      </w:pPr>
    </w:lvl>
    <w:lvl w:ilvl="6" w:tentative="0">
      <w:start w:val="1"/>
      <w:numFmt w:val="decimal"/>
      <w:lvlText w:val="%7."/>
      <w:legacy w:legacy="1" w:legacySpace="0" w:legacyIndent="420"/>
      <w:lvlJc w:val="left"/>
      <w:pPr>
        <w:ind w:left="3660" w:hanging="420"/>
      </w:pPr>
    </w:lvl>
    <w:lvl w:ilvl="7" w:tentative="0">
      <w:start w:val="1"/>
      <w:numFmt w:val="lowerLetter"/>
      <w:lvlText w:val="%8)"/>
      <w:legacy w:legacy="1" w:legacySpace="0" w:legacyIndent="420"/>
      <w:lvlJc w:val="left"/>
      <w:pPr>
        <w:ind w:left="4080" w:hanging="420"/>
      </w:pPr>
    </w:lvl>
    <w:lvl w:ilvl="8" w:tentative="0">
      <w:start w:val="1"/>
      <w:numFmt w:val="lowerRoman"/>
      <w:lvlText w:val="%9."/>
      <w:legacy w:legacy="1" w:legacySpace="0" w:legacyIndent="420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dit="readOnly"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kwMjBiMDE0NDAzMDYwOGJjM2NjMzIxY2I3MmFjYzYifQ=="/>
  </w:docVars>
  <w:rsids>
    <w:rsidRoot w:val="00172A27"/>
    <w:rsid w:val="000621B5"/>
    <w:rsid w:val="000F4C58"/>
    <w:rsid w:val="00241998"/>
    <w:rsid w:val="0032083D"/>
    <w:rsid w:val="00325FEE"/>
    <w:rsid w:val="003A02E4"/>
    <w:rsid w:val="003B54CC"/>
    <w:rsid w:val="00432FCA"/>
    <w:rsid w:val="0043400B"/>
    <w:rsid w:val="004B3D15"/>
    <w:rsid w:val="00520651"/>
    <w:rsid w:val="00532E04"/>
    <w:rsid w:val="0087127A"/>
    <w:rsid w:val="009B0BD2"/>
    <w:rsid w:val="009D6C9D"/>
    <w:rsid w:val="00C62762"/>
    <w:rsid w:val="00C65E26"/>
    <w:rsid w:val="00CC7F0B"/>
    <w:rsid w:val="00D61453"/>
    <w:rsid w:val="00E10DFD"/>
    <w:rsid w:val="00E76C22"/>
    <w:rsid w:val="00F3118A"/>
    <w:rsid w:val="00FA3201"/>
    <w:rsid w:val="015213EE"/>
    <w:rsid w:val="0C13425E"/>
    <w:rsid w:val="101A18C6"/>
    <w:rsid w:val="18B04834"/>
    <w:rsid w:val="3F697E89"/>
    <w:rsid w:val="46F05F03"/>
    <w:rsid w:val="4C4D5BF8"/>
    <w:rsid w:val="697414BE"/>
    <w:rsid w:val="6C4D65C3"/>
    <w:rsid w:val="6C8724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next w:val="1"/>
    <w:qFormat/>
    <w:uiPriority w:val="0"/>
    <w:pPr>
      <w:widowControl w:val="0"/>
      <w:spacing w:before="100" w:beforeAutospacing="1" w:after="100" w:afterAutospacing="1"/>
      <w:ind w:left="400" w:leftChars="200" w:hanging="200" w:hangingChars="200"/>
      <w:jc w:val="both"/>
    </w:pPr>
    <w:rPr>
      <w:rFonts w:ascii="Calibri" w:hAnsi="Calibri" w:eastAsia="宋体" w:cs="宋体"/>
      <w:szCs w:val="21"/>
      <w:lang w:val="en-US" w:eastAsia="zh-CN" w:bidi="ar-SA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707</Words>
  <Characters>745</Characters>
  <Lines>5</Lines>
  <Paragraphs>1</Paragraphs>
  <TotalTime>1</TotalTime>
  <ScaleCrop>false</ScaleCrop>
  <LinksUpToDate>false</LinksUpToDate>
  <CharactersWithSpaces>748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Lenovo</cp:lastModifiedBy>
  <dcterms:modified xsi:type="dcterms:W3CDTF">2023-06-29T07:34:36Z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6ACB85C8F812424789A973DE21968637_13</vt:lpwstr>
  </property>
</Properties>
</file>