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600" w:lineRule="exact"/>
        <w:jc w:val="center"/>
        <w:rPr>
          <w:rFonts w:hint="eastAsia" w:ascii="方正小标宋简体" w:eastAsia="方正小标宋简体"/>
          <w:sz w:val="44"/>
          <w:szCs w:val="44"/>
        </w:rPr>
      </w:pPr>
      <w:r>
        <w:rPr>
          <w:rFonts w:ascii="方正小标宋简体" w:eastAsia="方正小标宋简体"/>
          <w:sz w:val="44"/>
          <w:szCs w:val="44"/>
        </w:rPr>
        <w:t>大熊猫国家公园阿坝管理分局</w:t>
      </w:r>
    </w:p>
    <w:p>
      <w:pPr>
        <w:pStyle w:val="7"/>
        <w:spacing w:line="600" w:lineRule="exact"/>
        <w:jc w:val="center"/>
        <w:rPr>
          <w:rFonts w:hint="eastAsia" w:ascii="方正小标宋简体" w:eastAsia="方正小标宋简体"/>
          <w:sz w:val="44"/>
          <w:szCs w:val="44"/>
        </w:rPr>
      </w:pPr>
      <w:r>
        <w:rPr>
          <w:rFonts w:ascii="方正小标宋简体" w:eastAsia="方正小标宋简体"/>
          <w:sz w:val="44"/>
          <w:szCs w:val="44"/>
        </w:rPr>
        <w:t>业务能力提升培训</w:t>
      </w:r>
      <w:r>
        <w:rPr>
          <w:rFonts w:hint="eastAsia" w:ascii="方正小标宋简体" w:eastAsia="方正小标宋简体"/>
          <w:sz w:val="44"/>
          <w:szCs w:val="44"/>
        </w:rPr>
        <w:t>项目支出绩效</w:t>
      </w:r>
    </w:p>
    <w:p>
      <w:pPr>
        <w:pStyle w:val="7"/>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自评报告</w:t>
      </w:r>
    </w:p>
    <w:p>
      <w:pPr>
        <w:pStyle w:val="7"/>
        <w:spacing w:line="600" w:lineRule="exact"/>
        <w:jc w:val="center"/>
        <w:rPr>
          <w:rFonts w:hint="eastAsia" w:ascii="宋体"/>
          <w:color w:val="auto"/>
          <w:kern w:val="2"/>
          <w:sz w:val="32"/>
          <w:szCs w:val="32"/>
        </w:rPr>
      </w:pPr>
    </w:p>
    <w:p>
      <w:pPr>
        <w:adjustRightInd w:val="0"/>
        <w:snapToGrid w:val="0"/>
        <w:spacing w:line="600" w:lineRule="exact"/>
        <w:ind w:firstLine="720"/>
        <w:rPr>
          <w:rFonts w:ascii="黑体" w:eastAsia="黑体"/>
          <w:lang w:val="zh-CN"/>
        </w:rPr>
      </w:pPr>
      <w:r>
        <w:rPr>
          <w:rFonts w:hint="eastAsia" w:ascii="黑体" w:eastAsia="黑体"/>
        </w:rPr>
        <w:t>一、</w:t>
      </w:r>
      <w:r>
        <w:rPr>
          <w:rFonts w:hint="eastAsia" w:ascii="黑体" w:eastAsia="黑体"/>
          <w:lang w:val="zh-CN"/>
        </w:rPr>
        <w:t>项目概况</w:t>
      </w:r>
    </w:p>
    <w:p>
      <w:pPr>
        <w:adjustRightInd w:val="0"/>
        <w:snapToGrid w:val="0"/>
        <w:spacing w:line="600" w:lineRule="exact"/>
        <w:ind w:firstLine="720"/>
        <w:rPr>
          <w:rFonts w:hint="eastAsia" w:ascii="仿宋_GB2312"/>
          <w:lang w:val="zh-CN"/>
        </w:rPr>
      </w:pPr>
      <w:r>
        <w:rPr>
          <w:rFonts w:hint="eastAsia" w:ascii="楷体_GB2312" w:eastAsia="楷体_GB2312"/>
          <w:b/>
          <w:lang w:val="zh-CN"/>
        </w:rPr>
        <w:t>（一）项目资金申报及批复情况。</w:t>
      </w:r>
      <w:r>
        <w:rPr>
          <w:rFonts w:hint="eastAsia" w:ascii="仿宋_GB2312"/>
          <w:lang w:val="zh-CN"/>
        </w:rPr>
        <w:t>年初预算数</w:t>
      </w:r>
      <w:r>
        <w:rPr>
          <w:rFonts w:hint="eastAsia" w:ascii="仿宋_GB2312"/>
          <w:lang w:val="en-US" w:eastAsia="zh-CN"/>
        </w:rPr>
        <w:t>15</w:t>
      </w:r>
      <w:r>
        <w:rPr>
          <w:rFonts w:hint="eastAsia" w:ascii="仿宋_GB2312"/>
          <w:lang w:val="zh-CN"/>
        </w:rPr>
        <w:t>万元。</w:t>
      </w:r>
    </w:p>
    <w:p>
      <w:pPr>
        <w:adjustRightInd w:val="0"/>
        <w:snapToGrid w:val="0"/>
        <w:spacing w:line="600" w:lineRule="exact"/>
        <w:ind w:firstLine="720"/>
        <w:rPr>
          <w:rFonts w:ascii="仿宋_GB2312"/>
          <w:lang w:val="zh-CN"/>
        </w:rPr>
      </w:pPr>
      <w:r>
        <w:rPr>
          <w:rFonts w:hint="eastAsia" w:ascii="楷体_GB2312" w:eastAsia="楷体_GB2312"/>
          <w:b/>
          <w:lang w:val="zh-CN"/>
        </w:rPr>
        <w:t>（二）项目绩效目标。</w:t>
      </w:r>
      <w:r>
        <w:rPr>
          <w:rFonts w:hint="eastAsia" w:ascii="仿宋_GB2312" w:eastAsia="仿宋_GB2312" w:cs="仿宋_GB2312"/>
          <w:sz w:val="32"/>
          <w:szCs w:val="32"/>
        </w:rPr>
        <w:t>培训人数49人</w:t>
      </w:r>
      <w:r>
        <w:rPr>
          <w:rFonts w:ascii="仿宋_GB2312" w:eastAsia="仿宋_GB2312" w:cs="仿宋_GB2312"/>
          <w:sz w:val="32"/>
          <w:szCs w:val="32"/>
        </w:rPr>
        <w:t>，培训</w:t>
      </w:r>
      <w:r>
        <w:rPr>
          <w:rFonts w:ascii="仿宋_GB2312" w:cs="仿宋_GB2312"/>
        </w:rPr>
        <w:t>7</w:t>
      </w:r>
      <w:r>
        <w:rPr>
          <w:rFonts w:hint="eastAsia" w:ascii="仿宋_GB2312" w:cs="仿宋_GB2312"/>
        </w:rPr>
        <w:t>天</w:t>
      </w:r>
      <w:r>
        <w:rPr>
          <w:rFonts w:ascii="仿宋_GB2312" w:cs="仿宋_GB2312"/>
        </w:rPr>
        <w:t>。</w:t>
      </w:r>
    </w:p>
    <w:p>
      <w:pPr>
        <w:spacing w:line="560" w:lineRule="exact"/>
        <w:ind w:firstLine="643" w:firstLineChars="200"/>
        <w:rPr>
          <w:rFonts w:ascii="仿宋_GB2312" w:cs="仿宋_GB2312"/>
        </w:rPr>
      </w:pPr>
      <w:r>
        <w:rPr>
          <w:rFonts w:hint="eastAsia" w:ascii="楷体_GB2312" w:eastAsia="楷体_GB2312"/>
          <w:b/>
          <w:lang w:val="zh-CN"/>
        </w:rPr>
        <w:t>（三）项目资金申报相符性。</w:t>
      </w:r>
      <w:r>
        <w:rPr>
          <w:rFonts w:hint="eastAsia" w:ascii="仿宋_GB2312" w:eastAsia="仿宋_GB2312" w:cs="仿宋_GB2312"/>
          <w:sz w:val="32"/>
          <w:szCs w:val="32"/>
        </w:rPr>
        <w:t>培训人数49人</w:t>
      </w:r>
      <w:r>
        <w:rPr>
          <w:rFonts w:ascii="仿宋_GB2312" w:eastAsia="仿宋_GB2312" w:cs="仿宋_GB2312"/>
          <w:sz w:val="32"/>
          <w:szCs w:val="32"/>
        </w:rPr>
        <w:t>，培训</w:t>
      </w:r>
      <w:r>
        <w:rPr>
          <w:rFonts w:ascii="仿宋_GB2312" w:cs="仿宋_GB2312"/>
        </w:rPr>
        <w:t>7</w:t>
      </w:r>
      <w:r>
        <w:rPr>
          <w:rFonts w:hint="eastAsia" w:ascii="仿宋_GB2312" w:cs="仿宋_GB2312"/>
        </w:rPr>
        <w:t>天</w:t>
      </w:r>
      <w:r>
        <w:rPr>
          <w:rFonts w:ascii="仿宋_GB2312" w:cs="仿宋_GB2312"/>
        </w:rPr>
        <w:t>，支付培训费用</w:t>
      </w:r>
      <w:r>
        <w:rPr>
          <w:rFonts w:hint="eastAsia" w:ascii="仿宋_GB2312" w:cs="仿宋_GB2312"/>
          <w:lang w:val="en-US" w:eastAsia="zh-CN"/>
        </w:rPr>
        <w:t>15</w:t>
      </w:r>
      <w:r>
        <w:rPr>
          <w:rFonts w:ascii="仿宋_GB2312" w:cs="仿宋_GB2312"/>
        </w:rPr>
        <w:t>万元，</w:t>
      </w:r>
      <w:r>
        <w:rPr>
          <w:rFonts w:hint="eastAsia" w:ascii="仿宋_GB2312" w:cs="仿宋_GB2312"/>
        </w:rPr>
        <w:t>与</w:t>
      </w:r>
      <w:r>
        <w:rPr>
          <w:rFonts w:hint="eastAsia" w:ascii="仿宋_GB2312"/>
          <w:lang w:val="zh-CN"/>
        </w:rPr>
        <w:t>项目资金申报相符</w:t>
      </w:r>
      <w:r>
        <w:rPr>
          <w:rFonts w:ascii="仿宋_GB2312"/>
          <w:lang w:val="zh-CN"/>
        </w:rPr>
        <w:t>。</w:t>
      </w:r>
    </w:p>
    <w:p>
      <w:pPr>
        <w:adjustRightInd w:val="0"/>
        <w:snapToGrid w:val="0"/>
        <w:spacing w:line="600" w:lineRule="exact"/>
        <w:ind w:firstLine="720"/>
        <w:rPr>
          <w:rFonts w:ascii="黑体" w:eastAsia="黑体"/>
        </w:rPr>
      </w:pPr>
      <w:r>
        <w:rPr>
          <w:rFonts w:hint="eastAsia" w:ascii="黑体" w:eastAsia="黑体"/>
        </w:rPr>
        <w:t>二、项目实施及管理情况</w:t>
      </w:r>
    </w:p>
    <w:p>
      <w:pPr>
        <w:adjustRightInd w:val="0"/>
        <w:snapToGrid w:val="0"/>
        <w:spacing w:line="600" w:lineRule="exact"/>
        <w:ind w:firstLine="720"/>
        <w:rPr>
          <w:rFonts w:ascii="楷体_GB2312" w:eastAsia="楷体_GB2312"/>
          <w:b/>
          <w:lang w:val="zh-CN"/>
        </w:rPr>
      </w:pPr>
      <w:r>
        <w:rPr>
          <w:rFonts w:hint="eastAsia" w:ascii="仿宋_GB2312"/>
          <w:lang w:val="zh-CN"/>
        </w:rPr>
        <w:tab/>
      </w:r>
      <w:r>
        <w:rPr>
          <w:rFonts w:hint="eastAsia" w:ascii="楷体_GB2312" w:eastAsia="楷体_GB2312"/>
          <w:b/>
          <w:lang w:val="zh-CN"/>
        </w:rPr>
        <w:t>（一）资金计划、到位及使用情况。</w:t>
      </w:r>
    </w:p>
    <w:p>
      <w:pPr>
        <w:adjustRightInd w:val="0"/>
        <w:snapToGrid w:val="0"/>
        <w:spacing w:line="600" w:lineRule="exact"/>
        <w:ind w:firstLine="720"/>
        <w:rPr>
          <w:rFonts w:ascii="仿宋_GB2312"/>
          <w:lang w:val="zh-CN"/>
        </w:rPr>
      </w:pPr>
      <w:r>
        <w:rPr>
          <w:rFonts w:hint="eastAsia" w:ascii="仿宋_GB2312"/>
          <w:lang w:val="zh-CN"/>
        </w:rPr>
        <w:t>1.计划及到位。资金计划</w:t>
      </w:r>
      <w:r>
        <w:rPr>
          <w:rFonts w:ascii="仿宋_GB2312"/>
          <w:lang w:val="zh-CN"/>
        </w:rPr>
        <w:t>1</w:t>
      </w:r>
      <w:r>
        <w:rPr>
          <w:rFonts w:hint="eastAsia" w:ascii="仿宋_GB2312"/>
          <w:lang w:val="en-US" w:eastAsia="zh-CN"/>
        </w:rPr>
        <w:t>5</w:t>
      </w:r>
      <w:r>
        <w:rPr>
          <w:rFonts w:hint="eastAsia" w:ascii="仿宋_GB2312"/>
          <w:lang w:val="zh-CN"/>
        </w:rPr>
        <w:t>万元，到位</w:t>
      </w:r>
      <w:r>
        <w:rPr>
          <w:rFonts w:hint="eastAsia" w:ascii="仿宋_GB2312"/>
          <w:lang w:val="en-US" w:eastAsia="zh-CN"/>
        </w:rPr>
        <w:t>15</w:t>
      </w:r>
      <w:r>
        <w:rPr>
          <w:rFonts w:hint="eastAsia" w:ascii="仿宋_GB2312"/>
          <w:lang w:val="zh-CN"/>
        </w:rPr>
        <w:t>万元。</w:t>
      </w:r>
    </w:p>
    <w:p>
      <w:pPr>
        <w:adjustRightInd w:val="0"/>
        <w:snapToGrid w:val="0"/>
        <w:spacing w:line="600" w:lineRule="exact"/>
        <w:ind w:firstLine="720"/>
        <w:rPr>
          <w:rFonts w:ascii="仿宋_GB2312" w:cs="仿宋_GB2312"/>
        </w:rPr>
      </w:pPr>
      <w:r>
        <w:rPr>
          <w:rFonts w:hint="eastAsia" w:ascii="仿宋_GB2312"/>
          <w:lang w:val="zh-CN"/>
        </w:rPr>
        <w:t>2.资金使用。</w:t>
      </w:r>
      <w:r>
        <w:rPr>
          <w:rFonts w:hint="eastAsia" w:ascii="仿宋_GB2312" w:eastAsia="仿宋_GB2312" w:cs="仿宋_GB2312"/>
          <w:sz w:val="32"/>
          <w:szCs w:val="32"/>
        </w:rPr>
        <w:t>培训费用（</w:t>
      </w:r>
      <w:r>
        <w:rPr>
          <w:rFonts w:hint="eastAsia" w:ascii="仿宋_GB2312" w:eastAsia="仿宋_GB2312" w:cs="仿宋_GB2312"/>
          <w:sz w:val="32"/>
          <w:szCs w:val="32"/>
          <w:lang w:val="en-US"/>
        </w:rPr>
        <w:t>含税）</w:t>
      </w:r>
      <w:r>
        <w:rPr>
          <w:rFonts w:hint="eastAsia" w:ascii="仿宋_GB2312" w:eastAsia="仿宋_GB2312" w:cs="仿宋_GB2312"/>
          <w:sz w:val="32"/>
          <w:szCs w:val="32"/>
        </w:rPr>
        <w:t>为人民币</w:t>
      </w:r>
      <w:r>
        <w:rPr>
          <w:rFonts w:hint="eastAsia" w:ascii="仿宋_GB2312" w:cs="仿宋_GB2312"/>
          <w:sz w:val="32"/>
          <w:szCs w:val="32"/>
          <w:lang w:val="en-US" w:eastAsia="zh-CN"/>
        </w:rPr>
        <w:t>15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lang w:val="zh-CN"/>
        </w:rPr>
        <w:t>支付依据合规合法，资金支付与预算相符。</w:t>
      </w:r>
    </w:p>
    <w:p>
      <w:pPr>
        <w:adjustRightInd w:val="0"/>
        <w:snapToGrid w:val="0"/>
        <w:spacing w:line="600" w:lineRule="exact"/>
        <w:ind w:firstLine="720"/>
        <w:rPr>
          <w:rFonts w:ascii="楷体_GB2312" w:eastAsia="楷体_GB2312"/>
          <w:b/>
          <w:lang w:val="zh-CN"/>
        </w:rPr>
      </w:pPr>
      <w:r>
        <w:rPr>
          <w:rFonts w:hint="eastAsia" w:ascii="楷体_GB2312" w:eastAsia="楷体_GB2312"/>
          <w:b/>
          <w:lang w:val="zh-CN"/>
        </w:rPr>
        <w:t>（二）项目财务管理情况。</w:t>
      </w:r>
    </w:p>
    <w:p>
      <w:pPr>
        <w:adjustRightInd w:val="0"/>
        <w:snapToGrid w:val="0"/>
        <w:spacing w:line="600" w:lineRule="exact"/>
        <w:ind w:firstLine="720"/>
        <w:rPr>
          <w:rFonts w:ascii="仿宋_GB2312"/>
          <w:lang w:val="zh-CN"/>
        </w:rPr>
      </w:pPr>
      <w:r>
        <w:rPr>
          <w:rFonts w:ascii="仿宋_GB2312" w:eastAsia="仿宋_GB2312"/>
          <w:sz w:val="32"/>
          <w:szCs w:val="32"/>
        </w:rPr>
        <w:t>参</w:t>
      </w:r>
      <w:r>
        <w:rPr>
          <w:rFonts w:hint="eastAsia" w:ascii="仿宋_GB2312" w:eastAsia="仿宋_GB2312"/>
          <w:sz w:val="32"/>
          <w:szCs w:val="32"/>
        </w:rPr>
        <w:t>照&lt;</w:t>
      </w:r>
      <w:r>
        <w:rPr>
          <w:rFonts w:hint="eastAsia" w:ascii="仿宋_GB2312" w:eastAsia="仿宋_GB2312" w:cs="宋体"/>
          <w:color w:val="2A2A2A"/>
          <w:kern w:val="0"/>
          <w:sz w:val="32"/>
          <w:szCs w:val="32"/>
          <w:lang w:bidi="ar-SA"/>
        </w:rPr>
        <w:t>四川省财政厅中共四川省委组织部四川省公务员局关于印发&lt;四川省省直机关培训费管理办法&gt;的通知》（川财行〔2017〕77号）文件，</w:t>
      </w:r>
      <w:r>
        <w:rPr>
          <w:rFonts w:ascii="仿宋_GB2312"/>
          <w:lang w:val="zh-CN"/>
        </w:rPr>
        <w:t>按</w:t>
      </w:r>
      <w:r>
        <w:rPr>
          <w:rFonts w:hint="eastAsia" w:ascii="仿宋_GB2312"/>
          <w:lang w:val="zh-CN"/>
        </w:rPr>
        <w:t>照</w:t>
      </w:r>
      <w:r>
        <w:rPr>
          <w:rFonts w:ascii="仿宋_GB2312"/>
          <w:lang w:val="zh-CN"/>
        </w:rPr>
        <w:t>培训相关</w:t>
      </w:r>
      <w:r>
        <w:rPr>
          <w:rFonts w:hint="eastAsia" w:ascii="仿宋_GB2312"/>
          <w:lang w:val="zh-CN"/>
        </w:rPr>
        <w:t>管理办法，严格执行财务管理制度</w:t>
      </w:r>
      <w:r>
        <w:rPr>
          <w:rFonts w:ascii="仿宋_GB2312"/>
          <w:lang w:val="zh-CN"/>
        </w:rPr>
        <w:t>，</w:t>
      </w:r>
      <w:r>
        <w:rPr>
          <w:rFonts w:hint="eastAsia" w:ascii="仿宋_GB2312"/>
          <w:lang w:val="zh-CN"/>
        </w:rPr>
        <w:t>财务处理及时</w:t>
      </w:r>
      <w:r>
        <w:rPr>
          <w:rFonts w:ascii="仿宋_GB2312"/>
          <w:lang w:val="zh-CN"/>
        </w:rPr>
        <w:t>，</w:t>
      </w:r>
      <w:r>
        <w:rPr>
          <w:rFonts w:hint="eastAsia" w:ascii="仿宋_GB2312"/>
          <w:lang w:val="zh-CN"/>
        </w:rPr>
        <w:t>会计核算规范。</w:t>
      </w:r>
    </w:p>
    <w:p>
      <w:pPr>
        <w:adjustRightInd w:val="0"/>
        <w:snapToGrid w:val="0"/>
        <w:spacing w:line="600" w:lineRule="exact"/>
        <w:ind w:firstLine="720"/>
        <w:rPr>
          <w:rFonts w:ascii="仿宋_GB2312" w:cs="仿宋_GB2312"/>
        </w:rPr>
      </w:pPr>
      <w:r>
        <w:rPr>
          <w:rFonts w:hint="eastAsia" w:ascii="楷体_GB2312" w:eastAsia="楷体_GB2312"/>
          <w:b/>
          <w:lang w:val="zh-CN"/>
        </w:rPr>
        <w:t>（三）项目组织实施情况。</w:t>
      </w:r>
      <w:r>
        <w:rPr>
          <w:rFonts w:ascii="仿宋_GB2312"/>
        </w:rPr>
        <w:t>2022年11月14日，经请示州政府，州政府分管领导陶钢副州长、李永亮常务副州长、罗振华州长均批示同意举办2022年业务能力提升培训班。</w:t>
      </w:r>
      <w:r>
        <w:rPr>
          <w:rFonts w:hint="eastAsia" w:ascii="仿宋_GB2312" w:cs="黑体"/>
          <w:bCs/>
          <w:snapToGrid w:val="0"/>
        </w:rPr>
        <w:t>大熊猫国家公园阿坝管理分局</w:t>
      </w:r>
      <w:r>
        <w:rPr>
          <w:rFonts w:ascii="仿宋_GB2312" w:cs="黑体"/>
          <w:bCs/>
          <w:snapToGrid w:val="0"/>
        </w:rPr>
        <w:t>与</w:t>
      </w:r>
      <w:r>
        <w:rPr>
          <w:rFonts w:hint="eastAsia" w:ascii="仿宋_GB2312" w:cs="仿宋_GB2312"/>
        </w:rPr>
        <w:t>成都理工大学</w:t>
      </w:r>
      <w:r>
        <w:rPr>
          <w:rFonts w:ascii="仿宋_GB2312" w:cs="仿宋_GB2312"/>
        </w:rPr>
        <w:t>（</w:t>
      </w:r>
      <w:r>
        <w:rPr>
          <w:rFonts w:hint="eastAsia" w:ascii="仿宋_GB2312"/>
        </w:rPr>
        <w:t>四川省国家公园研究中心</w:t>
      </w:r>
      <w:r>
        <w:rPr>
          <w:rFonts w:ascii="仿宋_GB2312" w:cs="仿宋_GB2312"/>
        </w:rPr>
        <w:t>）签订了</w:t>
      </w:r>
      <w:r>
        <w:rPr>
          <w:rFonts w:ascii="仿宋_GB2312" w:cs="黑体"/>
          <w:bCs/>
          <w:snapToGrid w:val="0"/>
        </w:rPr>
        <w:t>大熊猫国家公园阿坝管理分局</w:t>
      </w:r>
      <w:r>
        <w:rPr>
          <w:rFonts w:hint="eastAsia" w:ascii="仿宋_GB2312" w:cs="黑体"/>
          <w:bCs/>
          <w:snapToGrid w:val="0"/>
        </w:rPr>
        <w:t>2022年度业务能力提升培训</w:t>
      </w:r>
      <w:r>
        <w:rPr>
          <w:rFonts w:hint="eastAsia" w:ascii="仿宋_GB2312" w:cs="黑体"/>
          <w:bCs/>
        </w:rPr>
        <w:t>协议</w:t>
      </w:r>
      <w:r>
        <w:rPr>
          <w:rFonts w:ascii="仿宋_GB2312" w:cs="黑体"/>
          <w:bCs/>
        </w:rPr>
        <w:t>。</w:t>
      </w:r>
      <w:r>
        <w:rPr>
          <w:rFonts w:hint="eastAsia" w:ascii="仿宋_GB2312" w:cs="仿宋_GB2312"/>
        </w:rPr>
        <w:t>培训时间</w:t>
      </w:r>
      <w:r>
        <w:rPr>
          <w:rFonts w:ascii="仿宋_GB2312" w:cs="仿宋_GB2312"/>
        </w:rPr>
        <w:t>为</w:t>
      </w:r>
      <w:r>
        <w:rPr>
          <w:rFonts w:hint="eastAsia" w:ascii="仿宋_GB2312" w:cs="仿宋_GB2312"/>
        </w:rPr>
        <w:t>2022年11月20日-2</w:t>
      </w:r>
      <w:r>
        <w:rPr>
          <w:rFonts w:ascii="仿宋_GB2312" w:cs="仿宋_GB2312"/>
        </w:rPr>
        <w:t>6</w:t>
      </w:r>
      <w:r>
        <w:rPr>
          <w:rFonts w:hint="eastAsia" w:ascii="仿宋_GB2312" w:cs="仿宋_GB2312"/>
        </w:rPr>
        <w:t>日</w:t>
      </w:r>
      <w:r>
        <w:rPr>
          <w:rFonts w:ascii="仿宋_GB2312" w:cs="仿宋_GB2312"/>
        </w:rPr>
        <w:t>，共7</w:t>
      </w:r>
      <w:r>
        <w:rPr>
          <w:rFonts w:hint="eastAsia" w:ascii="仿宋_GB2312" w:cs="仿宋_GB2312"/>
        </w:rPr>
        <w:t>天。</w:t>
      </w:r>
      <w:r>
        <w:rPr>
          <w:rFonts w:ascii="仿宋_GB2312" w:eastAsia="仿宋_GB2312" w:cs="仿宋_GB2312"/>
          <w:sz w:val="32"/>
          <w:szCs w:val="32"/>
        </w:rPr>
        <w:t>培训</w:t>
      </w:r>
      <w:bookmarkStart w:id="0" w:name="_Hlk117711641"/>
      <w:r>
        <w:rPr>
          <w:rFonts w:ascii="仿宋_GB2312" w:eastAsia="仿宋_GB2312" w:cs="仿宋_GB2312"/>
          <w:sz w:val="32"/>
          <w:szCs w:val="32"/>
        </w:rPr>
        <w:t>对象为</w:t>
      </w:r>
      <w:r>
        <w:rPr>
          <w:rFonts w:hint="eastAsia" w:ascii="仿宋_GB2312" w:eastAsia="仿宋_GB2312" w:cs="宋体"/>
          <w:color w:val="000000"/>
          <w:kern w:val="0"/>
          <w:sz w:val="32"/>
          <w:szCs w:val="32"/>
          <w:lang w:bidi="ar-SA"/>
        </w:rPr>
        <w:t>大熊猫国家公园阿坝管理分局领导及从业人员，州委编办、州发改委、州财政局、州人设局、州林草局等单位相关科长</w:t>
      </w:r>
      <w:bookmarkEnd w:id="0"/>
      <w:r>
        <w:rPr>
          <w:rFonts w:hint="eastAsia" w:ascii="仿宋_GB2312" w:eastAsia="仿宋_GB2312" w:cs="宋体"/>
          <w:color w:val="000000"/>
          <w:kern w:val="0"/>
          <w:sz w:val="32"/>
          <w:szCs w:val="32"/>
          <w:lang w:bidi="ar-SA"/>
        </w:rPr>
        <w:t>，汶川、茂县、松潘、九寨沟县林草局分管领导及各管理总站从业人员，若尔盖国家公园创建专班成员等，共49人</w:t>
      </w:r>
      <w:r>
        <w:rPr>
          <w:rFonts w:ascii="仿宋_GB2312" w:eastAsia="仿宋_GB2312" w:cs="宋体"/>
          <w:color w:val="000000"/>
          <w:kern w:val="0"/>
          <w:sz w:val="32"/>
          <w:szCs w:val="32"/>
          <w:lang w:bidi="ar-SA"/>
        </w:rPr>
        <w:t>。培训地点为</w:t>
      </w:r>
      <w:r>
        <w:rPr>
          <w:rFonts w:hint="eastAsia" w:ascii="仿宋_GB2312" w:cs="仿宋_GB2312"/>
        </w:rPr>
        <w:t>成都理工大学</w:t>
      </w:r>
      <w:r>
        <w:rPr>
          <w:rFonts w:ascii="仿宋_GB2312" w:cs="仿宋_GB2312"/>
        </w:rPr>
        <w:t>。</w:t>
      </w:r>
    </w:p>
    <w:p>
      <w:pPr>
        <w:adjustRightInd w:val="0"/>
        <w:snapToGrid w:val="0"/>
        <w:spacing w:line="600" w:lineRule="exact"/>
        <w:ind w:left="0" w:firstLine="640" w:firstLineChars="200"/>
        <w:rPr>
          <w:rFonts w:ascii="仿宋_GB2312" w:cs="黑体"/>
          <w:bCs/>
          <w:snapToGrid w:val="0"/>
        </w:rPr>
      </w:pPr>
      <w:r>
        <w:rPr>
          <w:rFonts w:hint="eastAsia" w:ascii="仿宋_GB2312" w:cs="仿宋_GB2312"/>
        </w:rPr>
        <w:t>2022年11月20日-2</w:t>
      </w:r>
      <w:r>
        <w:rPr>
          <w:rFonts w:ascii="仿宋_GB2312" w:cs="仿宋_GB2312"/>
        </w:rPr>
        <w:t>6</w:t>
      </w:r>
      <w:r>
        <w:rPr>
          <w:rFonts w:hint="eastAsia" w:ascii="仿宋_GB2312" w:cs="仿宋_GB2312"/>
        </w:rPr>
        <w:t>日</w:t>
      </w:r>
      <w:r>
        <w:rPr>
          <w:rFonts w:ascii="仿宋_GB2312" w:cs="仿宋_GB2312"/>
        </w:rPr>
        <w:t>，</w:t>
      </w:r>
      <w:r>
        <w:rPr>
          <w:rFonts w:ascii="仿宋_GB2312" w:cs="黑体"/>
          <w:bCs/>
          <w:snapToGrid w:val="0"/>
        </w:rPr>
        <w:t>大熊猫国家公园阿坝管理分局</w:t>
      </w:r>
      <w:r>
        <w:rPr>
          <w:rFonts w:hint="eastAsia" w:ascii="仿宋_GB2312" w:cs="黑体"/>
          <w:bCs/>
          <w:snapToGrid w:val="0"/>
        </w:rPr>
        <w:t>2022年度业务能力提升培训</w:t>
      </w:r>
      <w:r>
        <w:rPr>
          <w:rFonts w:ascii="仿宋_GB2312" w:cs="黑体"/>
          <w:bCs/>
          <w:snapToGrid w:val="0"/>
        </w:rPr>
        <w:t>班在成都理工大熊猫完成了培训计划。</w:t>
      </w:r>
    </w:p>
    <w:p>
      <w:pPr>
        <w:adjustRightInd w:val="0"/>
        <w:snapToGrid w:val="0"/>
        <w:spacing w:line="600" w:lineRule="exact"/>
        <w:ind w:firstLine="720"/>
        <w:rPr>
          <w:rFonts w:ascii="仿宋_GB2312"/>
          <w:lang w:val="zh-CN"/>
        </w:rPr>
      </w:pPr>
      <w:r>
        <w:rPr>
          <w:rFonts w:hint="eastAsia" w:ascii="黑体" w:eastAsia="黑体"/>
        </w:rPr>
        <w:t>三、项目绩效情况</w:t>
      </w:r>
      <w:r>
        <w:rPr>
          <w:rFonts w:hint="eastAsia" w:ascii="仿宋_GB2312"/>
          <w:lang w:val="zh-CN"/>
        </w:rPr>
        <w:tab/>
      </w:r>
    </w:p>
    <w:p>
      <w:pPr>
        <w:adjustRightInd w:val="0"/>
        <w:snapToGrid w:val="0"/>
        <w:spacing w:line="600" w:lineRule="exact"/>
        <w:ind w:firstLine="720"/>
        <w:rPr>
          <w:rFonts w:ascii="楷体_GB2312" w:eastAsia="楷体_GB2312"/>
          <w:b/>
          <w:lang w:val="zh-CN"/>
        </w:rPr>
      </w:pPr>
      <w:r>
        <w:rPr>
          <w:rFonts w:hint="eastAsia" w:ascii="楷体_GB2312" w:eastAsia="楷体_GB2312"/>
          <w:b/>
          <w:lang w:val="zh-CN"/>
        </w:rPr>
        <w:t>（一）项目完成情况。</w:t>
      </w:r>
      <w:r>
        <w:rPr>
          <w:rFonts w:hint="eastAsia" w:ascii="仿宋_GB2312" w:cs="仿宋_GB2312"/>
        </w:rPr>
        <w:t>培训时间</w:t>
      </w:r>
      <w:r>
        <w:rPr>
          <w:rFonts w:ascii="仿宋_GB2312" w:cs="仿宋_GB2312"/>
        </w:rPr>
        <w:t>为</w:t>
      </w:r>
      <w:r>
        <w:rPr>
          <w:rFonts w:hint="eastAsia" w:ascii="仿宋_GB2312" w:cs="仿宋_GB2312"/>
        </w:rPr>
        <w:t>2022年11月20日-2</w:t>
      </w:r>
      <w:r>
        <w:rPr>
          <w:rFonts w:ascii="仿宋_GB2312" w:cs="仿宋_GB2312"/>
        </w:rPr>
        <w:t>6</w:t>
      </w:r>
      <w:r>
        <w:rPr>
          <w:rFonts w:hint="eastAsia" w:ascii="仿宋_GB2312" w:cs="仿宋_GB2312"/>
        </w:rPr>
        <w:t>日</w:t>
      </w:r>
      <w:r>
        <w:rPr>
          <w:rFonts w:ascii="仿宋_GB2312" w:cs="仿宋_GB2312"/>
        </w:rPr>
        <w:t>，共7</w:t>
      </w:r>
      <w:r>
        <w:rPr>
          <w:rFonts w:hint="eastAsia" w:ascii="仿宋_GB2312" w:cs="仿宋_GB2312"/>
        </w:rPr>
        <w:t>天</w:t>
      </w:r>
      <w:r>
        <w:rPr>
          <w:rFonts w:ascii="仿宋_GB2312" w:cs="仿宋_GB2312"/>
        </w:rPr>
        <w:t>，培训人数</w:t>
      </w:r>
      <w:r>
        <w:rPr>
          <w:rFonts w:hint="eastAsia" w:ascii="仿宋_GB2312" w:eastAsia="仿宋_GB2312" w:cs="宋体"/>
          <w:color w:val="000000"/>
          <w:kern w:val="0"/>
          <w:sz w:val="32"/>
          <w:szCs w:val="32"/>
          <w:lang w:bidi="ar-SA"/>
        </w:rPr>
        <w:t>共49人</w:t>
      </w:r>
      <w:r>
        <w:rPr>
          <w:rFonts w:ascii="仿宋_GB2312" w:eastAsia="仿宋_GB2312" w:cs="宋体"/>
          <w:color w:val="000000"/>
          <w:kern w:val="0"/>
          <w:sz w:val="32"/>
          <w:szCs w:val="32"/>
          <w:lang w:bidi="ar-SA"/>
        </w:rPr>
        <w:t>。支付培训费用</w:t>
      </w:r>
      <w:r>
        <w:rPr>
          <w:rFonts w:hint="eastAsia" w:ascii="仿宋_GB2312" w:cs="仿宋_GB2312"/>
          <w:sz w:val="32"/>
          <w:szCs w:val="32"/>
          <w:lang w:val="en-US" w:eastAsia="zh-CN"/>
        </w:rPr>
        <w:t>15</w:t>
      </w:r>
      <w:r>
        <w:rPr>
          <w:rFonts w:ascii="仿宋_GB2312" w:eastAsia="仿宋_GB2312" w:cs="仿宋_GB2312"/>
          <w:sz w:val="32"/>
          <w:szCs w:val="32"/>
        </w:rPr>
        <w:t>万元。</w:t>
      </w:r>
    </w:p>
    <w:p>
      <w:pPr>
        <w:widowControl/>
        <w:spacing w:line="620" w:lineRule="atLeast"/>
        <w:ind w:firstLine="643" w:firstLineChars="200"/>
        <w:jc w:val="left"/>
        <w:rPr>
          <w:rFonts w:hint="eastAsia" w:ascii="仿宋_GB2312"/>
        </w:rPr>
      </w:pPr>
      <w:r>
        <w:rPr>
          <w:rFonts w:hint="eastAsia" w:ascii="楷体_GB2312" w:eastAsia="楷体_GB2312"/>
          <w:b/>
          <w:lang w:val="zh-CN"/>
        </w:rPr>
        <w:t>（二）项目效益情况。</w:t>
      </w:r>
      <w:r>
        <w:rPr>
          <w:rFonts w:hint="eastAsia" w:ascii="仿宋_GB2312"/>
          <w:lang w:val="zh-CN"/>
        </w:rPr>
        <w:t>学习</w:t>
      </w:r>
      <w:r>
        <w:rPr>
          <w:rFonts w:hint="eastAsia" w:ascii="仿宋_GB2312"/>
          <w:sz w:val="32"/>
          <w:szCs w:val="32"/>
        </w:rPr>
        <w:t>解读了党的二十大精神、《四川省大熊猫国家公园管理办法》《四川省人民政府关于加强大熊猫国家公园四川片区建设的意见》等政策和法律法规，学习了动植物及栖息地保护专业知识、项目规划与管理等，有利于提高大熊猫国家公园阿坝片区管理效能和高水平做好生态保护工作。</w:t>
      </w:r>
    </w:p>
    <w:p>
      <w:pPr>
        <w:adjustRightInd w:val="0"/>
        <w:snapToGrid w:val="0"/>
        <w:spacing w:line="600" w:lineRule="exact"/>
        <w:ind w:firstLine="720"/>
        <w:rPr>
          <w:rFonts w:ascii="黑体" w:eastAsia="黑体"/>
          <w:lang w:val="zh-CN"/>
        </w:rPr>
      </w:pPr>
      <w:r>
        <w:rPr>
          <w:rFonts w:hint="eastAsia" w:ascii="黑体" w:eastAsia="黑体"/>
          <w:lang w:val="zh-CN"/>
        </w:rPr>
        <w:t>四、问题及建议</w:t>
      </w:r>
    </w:p>
    <w:p>
      <w:pPr>
        <w:numPr>
          <w:ilvl w:val="0"/>
          <w:numId w:val="1"/>
        </w:numPr>
        <w:adjustRightInd w:val="0"/>
        <w:snapToGrid w:val="0"/>
        <w:spacing w:line="600" w:lineRule="exact"/>
      </w:pPr>
      <w:r>
        <w:rPr>
          <w:rFonts w:hint="eastAsia" w:ascii="楷体_GB2312" w:eastAsia="楷体_GB2312"/>
          <w:b/>
          <w:bCs/>
          <w:lang w:val="zh-CN"/>
        </w:rPr>
        <w:t>存在的</w:t>
      </w:r>
      <w:r>
        <w:rPr>
          <w:rFonts w:hint="eastAsia" w:ascii="楷体_GB2312" w:eastAsia="楷体_GB2312"/>
          <w:b/>
          <w:bCs/>
        </w:rPr>
        <w:t>问题。</w:t>
      </w:r>
      <w:r>
        <w:t>无。</w:t>
      </w:r>
    </w:p>
    <w:p>
      <w:pPr>
        <w:numPr>
          <w:ilvl w:val="0"/>
          <w:numId w:val="1"/>
        </w:numPr>
        <w:adjustRightInd w:val="0"/>
        <w:snapToGrid w:val="0"/>
        <w:spacing w:line="600" w:lineRule="exact"/>
        <w:rPr>
          <w:rFonts w:ascii="黑体" w:eastAsia="黑体"/>
          <w:lang w:val="zh-CN"/>
        </w:rPr>
      </w:pPr>
      <w:r>
        <w:rPr>
          <w:rFonts w:hint="eastAsia" w:ascii="楷体_GB2312" w:eastAsia="楷体_GB2312"/>
          <w:b/>
          <w:bCs/>
        </w:rPr>
        <w:t>建议意见。</w:t>
      </w:r>
      <w:r>
        <w:t>无。</w:t>
      </w:r>
    </w:p>
    <w:p>
      <w:pPr>
        <w:spacing w:line="560" w:lineRule="exact"/>
        <w:ind w:firstLine="640" w:firstLineChars="200"/>
      </w:pPr>
    </w:p>
    <w:p>
      <w:pPr>
        <w:spacing w:line="560" w:lineRule="exact"/>
        <w:ind w:firstLine="1120" w:firstLineChars="350"/>
        <w:rPr>
          <w:rFonts w:hint="eastAsia"/>
        </w:rPr>
      </w:pPr>
      <w:r>
        <w:t>附件</w:t>
      </w:r>
      <w:r>
        <w:rPr>
          <w:rFonts w:hint="eastAsia"/>
        </w:rPr>
        <w:t>：2023年州级专项预算绩效评价指标体系</w:t>
      </w:r>
    </w:p>
    <w:p/>
    <w:p/>
    <w:p>
      <w:pPr>
        <w:tabs>
          <w:tab w:val="left" w:pos="972"/>
        </w:tabs>
      </w:pPr>
      <w:r>
        <w:tab/>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jc w:val="center"/>
        <w:rPr>
          <w:rFonts w:ascii="宋体" w:eastAsia="宋体" w:cs="宋体"/>
          <w:b/>
          <w:bCs/>
          <w:color w:val="000000"/>
          <w:kern w:val="0"/>
          <w:sz w:val="44"/>
          <w:szCs w:val="44"/>
        </w:rPr>
        <w:sectPr>
          <w:pgSz w:w="11906" w:h="16838"/>
          <w:pgMar w:top="1440" w:right="1800" w:bottom="1440" w:left="1800" w:header="851" w:footer="992" w:gutter="0"/>
          <w:cols w:space="720" w:num="1"/>
          <w:docGrid w:type="lines" w:linePitch="312" w:charSpace="0"/>
        </w:sectPr>
      </w:pPr>
    </w:p>
    <w:tbl>
      <w:tblPr>
        <w:tblStyle w:val="5"/>
        <w:tblW w:w="1417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9"/>
        <w:gridCol w:w="635"/>
        <w:gridCol w:w="578"/>
        <w:gridCol w:w="691"/>
        <w:gridCol w:w="437"/>
        <w:gridCol w:w="287"/>
        <w:gridCol w:w="300"/>
        <w:gridCol w:w="1971"/>
        <w:gridCol w:w="708"/>
        <w:gridCol w:w="425"/>
        <w:gridCol w:w="127"/>
        <w:gridCol w:w="15"/>
        <w:gridCol w:w="425"/>
        <w:gridCol w:w="142"/>
        <w:gridCol w:w="426"/>
        <w:gridCol w:w="99"/>
        <w:gridCol w:w="43"/>
        <w:gridCol w:w="425"/>
        <w:gridCol w:w="114"/>
        <w:gridCol w:w="27"/>
        <w:gridCol w:w="426"/>
        <w:gridCol w:w="248"/>
        <w:gridCol w:w="3580"/>
        <w:gridCol w:w="70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4177" w:type="dxa"/>
            <w:gridSpan w:val="25"/>
            <w:tcBorders>
              <w:top w:val="nil"/>
              <w:left w:val="nil"/>
              <w:bottom w:val="single" w:color="auto" w:sz="4" w:space="0"/>
              <w:right w:val="nil"/>
            </w:tcBorders>
            <w:shd w:val="clear" w:color="auto" w:fill="auto"/>
            <w:noWrap/>
            <w:vAlign w:val="center"/>
          </w:tcPr>
          <w:p>
            <w:pPr>
              <w:widowControl/>
              <w:jc w:val="center"/>
              <w:rPr>
                <w:rFonts w:ascii="宋体" w:eastAsia="宋体" w:cs="宋体"/>
                <w:b/>
                <w:bCs/>
                <w:color w:val="000000"/>
                <w:kern w:val="0"/>
                <w:sz w:val="28"/>
                <w:szCs w:val="44"/>
              </w:rPr>
            </w:pPr>
            <w:r>
              <w:rPr>
                <w:rFonts w:hint="eastAsia" w:ascii="宋体" w:eastAsia="宋体" w:cs="宋体"/>
                <w:b/>
                <w:bCs/>
                <w:color w:val="000000"/>
                <w:kern w:val="0"/>
                <w:sz w:val="28"/>
                <w:szCs w:val="44"/>
              </w:rPr>
              <w:t>2023年州级专项预算绩效评价指标体系</w:t>
            </w:r>
            <w:bookmarkStart w:id="1" w:name="_GoBack"/>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2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分值</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权重</w:t>
            </w:r>
          </w:p>
        </w:tc>
        <w:tc>
          <w:tcPr>
            <w:tcW w:w="2628" w:type="dxa"/>
            <w:gridSpan w:val="5"/>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分层分类指标</w:t>
            </w:r>
          </w:p>
        </w:tc>
        <w:tc>
          <w:tcPr>
            <w:tcW w:w="2271"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指标解释</w:t>
            </w:r>
          </w:p>
        </w:tc>
        <w:tc>
          <w:tcPr>
            <w:tcW w:w="3402" w:type="dxa"/>
            <w:gridSpan w:val="1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评分方法</w:t>
            </w:r>
          </w:p>
        </w:tc>
        <w:tc>
          <w:tcPr>
            <w:tcW w:w="3828"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评价要点及说明</w:t>
            </w:r>
          </w:p>
        </w:tc>
        <w:tc>
          <w:tcPr>
            <w:tcW w:w="70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指标分值</w:t>
            </w:r>
          </w:p>
        </w:tc>
        <w:tc>
          <w:tcPr>
            <w:tcW w:w="71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spacing w:line="200" w:lineRule="exact"/>
              <w:jc w:val="center"/>
              <w:rPr>
                <w:rFonts w:ascii="宋体" w:eastAsia="宋体" w:cs="宋体"/>
                <w:b/>
                <w:bCs/>
                <w:color w:val="000000"/>
                <w:kern w:val="0"/>
                <w:sz w:val="20"/>
                <w:szCs w:val="20"/>
              </w:rPr>
            </w:pPr>
            <w:r>
              <w:rPr>
                <w:rFonts w:hint="eastAsia" w:ascii="宋体" w:eastAsia="宋体" w:cs="宋体"/>
                <w:b/>
                <w:bCs/>
                <w:color w:val="000000"/>
                <w:kern w:val="0"/>
                <w:sz w:val="20"/>
                <w:szCs w:val="20"/>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2628" w:type="dxa"/>
            <w:gridSpan w:val="5"/>
            <w:vMerge w:val="continue"/>
            <w:tcBorders>
              <w:top w:val="single" w:color="auto" w:sz="4" w:space="0"/>
              <w:left w:val="single" w:color="auto" w:sz="4" w:space="0"/>
              <w:bottom w:val="single" w:color="auto" w:sz="4" w:space="0"/>
              <w:right w:val="single" w:color="auto" w:sz="4" w:space="0"/>
            </w:tcBorders>
            <w:noWrap/>
            <w:vAlign w:val="center"/>
          </w:tcPr>
          <w:p/>
        </w:tc>
        <w:tc>
          <w:tcPr>
            <w:tcW w:w="2271" w:type="dxa"/>
            <w:gridSpan w:val="2"/>
            <w:vMerge w:val="continue"/>
            <w:tcBorders>
              <w:top w:val="nil"/>
              <w:left w:val="single" w:color="auto" w:sz="4" w:space="0"/>
              <w:bottom w:val="single" w:color="000000" w:sz="4" w:space="0"/>
              <w:right w:val="single" w:color="auto" w:sz="4" w:space="0"/>
            </w:tcBorders>
            <w:noWrap/>
            <w:vAlign w:val="center"/>
          </w:tcPr>
          <w:p/>
        </w:tc>
        <w:tc>
          <w:tcPr>
            <w:tcW w:w="3402" w:type="dxa"/>
            <w:gridSpan w:val="13"/>
            <w:vMerge w:val="continue"/>
            <w:tcBorders>
              <w:top w:val="single" w:color="auto" w:sz="4" w:space="0"/>
              <w:left w:val="single" w:color="auto" w:sz="4" w:space="0"/>
              <w:bottom w:val="single" w:color="auto" w:sz="4" w:space="0"/>
              <w:right w:val="single" w:color="auto" w:sz="4" w:space="0"/>
            </w:tcBorders>
            <w:noWrap/>
            <w:vAlign w:val="center"/>
          </w:tcPr>
          <w:p/>
        </w:tc>
        <w:tc>
          <w:tcPr>
            <w:tcW w:w="3828" w:type="dxa"/>
            <w:gridSpan w:val="2"/>
            <w:vMerge w:val="continue"/>
            <w:tcBorders>
              <w:top w:val="nil"/>
              <w:left w:val="single" w:color="auto" w:sz="4" w:space="0"/>
              <w:bottom w:val="single" w:color="000000" w:sz="4" w:space="0"/>
              <w:right w:val="single" w:color="auto" w:sz="4" w:space="0"/>
            </w:tcBorders>
            <w:noWrap/>
            <w:vAlign w:val="center"/>
          </w:tcPr>
          <w:p/>
        </w:tc>
        <w:tc>
          <w:tcPr>
            <w:tcW w:w="709" w:type="dxa"/>
            <w:vMerge w:val="continue"/>
            <w:tcBorders>
              <w:top w:val="nil"/>
              <w:left w:val="single" w:color="auto" w:sz="4" w:space="0"/>
              <w:bottom w:val="single" w:color="000000" w:sz="4" w:space="0"/>
              <w:right w:val="single" w:color="auto" w:sz="4" w:space="0"/>
            </w:tcBorders>
            <w:noWrap/>
            <w:vAlign w:val="center"/>
          </w:tcPr>
          <w:p/>
        </w:tc>
        <w:tc>
          <w:tcPr>
            <w:tcW w:w="710" w:type="dxa"/>
            <w:vMerge w:val="continue"/>
            <w:tcBorders>
              <w:top w:val="nil"/>
              <w:left w:val="single" w:color="auto" w:sz="4" w:space="0"/>
              <w:bottom w:val="single" w:color="000000" w:sz="4" w:space="0"/>
              <w:right w:val="single" w:color="auto" w:sz="4" w:space="0"/>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分层指标</w:t>
            </w:r>
          </w:p>
        </w:tc>
        <w:tc>
          <w:tcPr>
            <w:tcW w:w="578"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适用</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范围</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一级</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指标</w:t>
            </w:r>
          </w:p>
        </w:tc>
        <w:tc>
          <w:tcPr>
            <w:tcW w:w="724" w:type="dxa"/>
            <w:gridSpan w:val="2"/>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8"/>
                <w:szCs w:val="24"/>
              </w:rPr>
            </w:pPr>
            <w:r>
              <w:rPr>
                <w:rFonts w:hint="eastAsia" w:ascii="宋体" w:eastAsia="宋体" w:cs="宋体"/>
                <w:b/>
                <w:bCs/>
                <w:color w:val="000000"/>
                <w:kern w:val="0"/>
                <w:sz w:val="18"/>
                <w:szCs w:val="24"/>
              </w:rPr>
              <w:t>二级</w:t>
            </w:r>
          </w:p>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指标</w:t>
            </w:r>
          </w:p>
        </w:tc>
        <w:tc>
          <w:tcPr>
            <w:tcW w:w="2271" w:type="dxa"/>
            <w:gridSpan w:val="2"/>
            <w:vMerge w:val="restart"/>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0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hint="eastAsia" w:ascii="宋体" w:eastAsia="宋体" w:cs="宋体"/>
                <w:b/>
                <w:bCs/>
                <w:color w:val="000000"/>
                <w:kern w:val="0"/>
                <w:sz w:val="16"/>
                <w:szCs w:val="24"/>
              </w:rPr>
            </w:pPr>
            <w:r>
              <w:rPr>
                <w:rFonts w:hint="eastAsia" w:ascii="宋体" w:eastAsia="宋体" w:cs="宋体"/>
                <w:b/>
                <w:bCs/>
                <w:color w:val="000000"/>
                <w:kern w:val="0"/>
                <w:sz w:val="16"/>
                <w:szCs w:val="24"/>
              </w:rPr>
              <w:t>方法</w:t>
            </w:r>
          </w:p>
          <w:p>
            <w:pPr>
              <w:widowControl/>
              <w:spacing w:line="180" w:lineRule="exact"/>
              <w:jc w:val="center"/>
              <w:rPr>
                <w:rFonts w:ascii="宋体" w:eastAsia="宋体" w:cs="宋体"/>
                <w:b/>
                <w:bCs/>
                <w:color w:val="000000"/>
                <w:kern w:val="0"/>
                <w:sz w:val="24"/>
                <w:szCs w:val="24"/>
              </w:rPr>
            </w:pPr>
            <w:r>
              <w:rPr>
                <w:rFonts w:hint="eastAsia" w:ascii="宋体" w:eastAsia="宋体" w:cs="宋体"/>
                <w:b/>
                <w:bCs/>
                <w:color w:val="000000"/>
                <w:kern w:val="0"/>
                <w:sz w:val="16"/>
                <w:szCs w:val="24"/>
              </w:rPr>
              <w:t>归类</w:t>
            </w:r>
          </w:p>
        </w:tc>
        <w:tc>
          <w:tcPr>
            <w:tcW w:w="2694"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计算公式</w:t>
            </w:r>
          </w:p>
        </w:tc>
        <w:tc>
          <w:tcPr>
            <w:tcW w:w="3828" w:type="dxa"/>
            <w:gridSpan w:val="2"/>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09"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10"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000000" w:sz="4" w:space="0"/>
              <w:right w:val="single" w:color="000000"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vMerge w:val="continue"/>
            <w:tcBorders>
              <w:top w:val="nil"/>
              <w:left w:val="single" w:color="auto" w:sz="4" w:space="0"/>
              <w:bottom w:val="single" w:color="auto" w:sz="4" w:space="0"/>
              <w:right w:val="single" w:color="auto" w:sz="4" w:space="0"/>
            </w:tcBorders>
            <w:noWrap/>
            <w:vAlign w:val="center"/>
          </w:tcPr>
          <w:p/>
        </w:tc>
        <w:tc>
          <w:tcPr>
            <w:tcW w:w="2271" w:type="dxa"/>
            <w:gridSpan w:val="2"/>
            <w:vMerge w:val="continue"/>
            <w:tcBorders>
              <w:top w:val="nil"/>
              <w:left w:val="single" w:color="auto" w:sz="4" w:space="0"/>
              <w:bottom w:val="single" w:color="000000" w:sz="4" w:space="0"/>
              <w:right w:val="single" w:color="auto" w:sz="4" w:space="0"/>
            </w:tcBorders>
            <w:noWrap/>
            <w:vAlign w:val="center"/>
          </w:tcPr>
          <w:p/>
        </w:tc>
        <w:tc>
          <w:tcPr>
            <w:tcW w:w="708" w:type="dxa"/>
            <w:vMerge w:val="continue"/>
            <w:tcBorders>
              <w:top w:val="nil"/>
              <w:left w:val="single" w:color="auto" w:sz="4" w:space="0"/>
              <w:bottom w:val="single" w:color="000000" w:sz="4" w:space="0"/>
              <w:right w:val="single" w:color="auto" w:sz="4" w:space="0"/>
            </w:tcBorders>
            <w:noWrap/>
            <w:vAlign w:val="center"/>
          </w:tcPr>
          <w:p/>
        </w:tc>
        <w:tc>
          <w:tcPr>
            <w:tcW w:w="425"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0.3</w:t>
            </w:r>
          </w:p>
        </w:tc>
        <w:tc>
          <w:tcPr>
            <w:tcW w:w="56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0.6</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0.8</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4"/>
              </w:rPr>
            </w:pPr>
            <w:r>
              <w:rPr>
                <w:rFonts w:hint="eastAsia" w:ascii="宋体" w:eastAsia="宋体" w:cs="宋体"/>
                <w:b/>
                <w:bCs/>
                <w:color w:val="000000"/>
                <w:kern w:val="0"/>
                <w:sz w:val="18"/>
                <w:szCs w:val="24"/>
              </w:rPr>
              <w:t>1</w:t>
            </w:r>
          </w:p>
        </w:tc>
        <w:tc>
          <w:tcPr>
            <w:tcW w:w="3828" w:type="dxa"/>
            <w:gridSpan w:val="2"/>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09"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c>
          <w:tcPr>
            <w:tcW w:w="710" w:type="dxa"/>
            <w:tcBorders>
              <w:top w:val="nil"/>
              <w:left w:val="single" w:color="auto" w:sz="4" w:space="0"/>
              <w:bottom w:val="single" w:color="000000" w:sz="4" w:space="0"/>
              <w:right w:val="single" w:color="auto" w:sz="4" w:space="0"/>
            </w:tcBorders>
            <w:noWrap/>
            <w:vAlign w:val="center"/>
          </w:tcPr>
          <w:p>
            <w:pPr>
              <w:widowControl/>
              <w:spacing w:line="180" w:lineRule="exact"/>
              <w:jc w:val="left"/>
              <w:rPr>
                <w:rFonts w:ascii="宋体" w:eastAsia="宋体" w:cs="宋体"/>
                <w:b/>
                <w:bCs/>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2"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3%</w:t>
            </w:r>
          </w:p>
        </w:tc>
        <w:tc>
          <w:tcPr>
            <w:tcW w:w="6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通用指标</w:t>
            </w:r>
          </w:p>
        </w:tc>
        <w:tc>
          <w:tcPr>
            <w:tcW w:w="57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所有专项项目</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项目决策</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程序</w:t>
            </w:r>
          </w:p>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严密</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6"/>
                <w:szCs w:val="18"/>
              </w:rPr>
            </w:pPr>
            <w:r>
              <w:rPr>
                <w:rFonts w:hint="eastAsia" w:ascii="宋体" w:eastAsia="宋体" w:cs="宋体"/>
                <w:color w:val="000000"/>
                <w:kern w:val="0"/>
                <w:sz w:val="16"/>
                <w:szCs w:val="18"/>
              </w:rPr>
              <w:t>项目设立是否经过严格评估论证，是否属于部门职责相符，是否属于公共财政支持范围，是否符合地方事权支出责任划分原则，是否与相关部门同类项目或部门内部相关项目重复</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级</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评</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法</w:t>
            </w:r>
          </w:p>
        </w:tc>
        <w:tc>
          <w:tcPr>
            <w:tcW w:w="425"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不完善</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较</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完</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善</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完善</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8"/>
                <w:szCs w:val="22"/>
              </w:rPr>
            </w:pPr>
            <w:r>
              <w:rPr>
                <w:rFonts w:hint="eastAsia" w:ascii="宋体" w:eastAsia="宋体" w:cs="宋体"/>
                <w:color w:val="000000"/>
                <w:kern w:val="0"/>
                <w:sz w:val="16"/>
                <w:szCs w:val="22"/>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3</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规划</w:t>
            </w:r>
          </w:p>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合理</w:t>
            </w:r>
          </w:p>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8"/>
                <w:szCs w:val="18"/>
              </w:rPr>
            </w:pPr>
            <w:r>
              <w:rPr>
                <w:rFonts w:hint="eastAsia" w:ascii="宋体" w:eastAsia="宋体" w:cs="宋体"/>
                <w:color w:val="000000"/>
                <w:kern w:val="0"/>
                <w:sz w:val="16"/>
                <w:szCs w:val="18"/>
              </w:rPr>
              <w:t>项目规划是否符合省委、省政府重大决策部署，是否与项目年度目标一致</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级</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评</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法</w:t>
            </w:r>
          </w:p>
          <w:p>
            <w:pPr>
              <w:widowControl/>
              <w:spacing w:line="180" w:lineRule="exact"/>
              <w:jc w:val="center"/>
              <w:rPr>
                <w:rFonts w:ascii="宋体" w:eastAsia="宋体" w:cs="宋体"/>
                <w:color w:val="000000"/>
                <w:kern w:val="0"/>
                <w:sz w:val="16"/>
                <w:szCs w:val="18"/>
              </w:rPr>
            </w:pPr>
          </w:p>
        </w:tc>
        <w:tc>
          <w:tcPr>
            <w:tcW w:w="425"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不合理</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较</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合</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理</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　</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合理</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22"/>
                <w:szCs w:val="22"/>
              </w:rPr>
            </w:pPr>
            <w:r>
              <w:rPr>
                <w:rFonts w:hint="eastAsia" w:ascii="宋体" w:eastAsia="宋体" w:cs="宋体"/>
                <w:color w:val="000000"/>
                <w:kern w:val="0"/>
                <w:sz w:val="16"/>
                <w:szCs w:val="22"/>
              </w:rPr>
              <w:t>主要查看项目设立依据是否充分，符合省委、省政府重大决策部署和宏观政策规划，项目年度绩效目标与中长期规划是否一致。样本评价中，规划是否与现实需求匹配，是否存在因规划不够合理导致项目效益欠佳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6"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4%</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制度</w:t>
            </w:r>
          </w:p>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完备</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6"/>
                <w:szCs w:val="18"/>
              </w:rPr>
              <w:t>项目指导意见、管理办法、申报指南、实施细则等管理制度是否完善，是否存在脱离实际、缺陷、漏洞导致执行偏离预期</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缺</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（错）项</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扣</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发现一处扣0.5分，直至扣完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22"/>
                <w:szCs w:val="22"/>
              </w:rPr>
            </w:pPr>
            <w:r>
              <w:rPr>
                <w:rFonts w:hint="eastAsia" w:ascii="宋体" w:eastAsia="宋体" w:cs="宋体"/>
                <w:color w:val="000000"/>
                <w:kern w:val="0"/>
                <w:sz w:val="16"/>
                <w:szCs w:val="22"/>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4</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8"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18"/>
                <w:szCs w:val="22"/>
              </w:rPr>
              <w:t>项目实施</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分配</w:t>
            </w:r>
          </w:p>
          <w:p>
            <w:pPr>
              <w:widowControl/>
              <w:spacing w:line="180" w:lineRule="exact"/>
              <w:jc w:val="center"/>
              <w:rPr>
                <w:rFonts w:hint="eastAsia" w:ascii="宋体" w:eastAsia="宋体" w:cs="宋体"/>
                <w:color w:val="000000"/>
                <w:kern w:val="0"/>
                <w:sz w:val="16"/>
                <w:szCs w:val="22"/>
              </w:rPr>
            </w:pPr>
            <w:r>
              <w:rPr>
                <w:rFonts w:hint="eastAsia" w:ascii="宋体" w:eastAsia="宋体" w:cs="宋体"/>
                <w:color w:val="000000"/>
                <w:kern w:val="0"/>
                <w:sz w:val="16"/>
                <w:szCs w:val="22"/>
              </w:rPr>
              <w:t>合理</w:t>
            </w:r>
          </w:p>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16"/>
                <w:szCs w:val="22"/>
              </w:rPr>
              <w:t>★</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rPr>
                <w:rFonts w:ascii="宋体" w:eastAsia="宋体" w:cs="宋体"/>
                <w:color w:val="000000"/>
                <w:kern w:val="0"/>
                <w:sz w:val="16"/>
                <w:szCs w:val="18"/>
              </w:rPr>
            </w:pPr>
            <w:r>
              <w:rPr>
                <w:rFonts w:hint="eastAsia" w:ascii="宋体" w:eastAsia="宋体" w:cs="宋体"/>
                <w:color w:val="000000"/>
                <w:kern w:val="0"/>
                <w:sz w:val="16"/>
                <w:szCs w:val="18"/>
              </w:rPr>
              <w:t>项目资金分配结果是否与规划计划一致；是否按规定及时分配专项预算资金</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是</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否</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评</w:t>
            </w:r>
          </w:p>
          <w:p>
            <w:pPr>
              <w:widowControl/>
              <w:spacing w:line="180" w:lineRule="exact"/>
              <w:jc w:val="center"/>
              <w:rPr>
                <w:rFonts w:hint="eastAsia" w:ascii="宋体" w:eastAsia="宋体" w:cs="宋体"/>
                <w:color w:val="000000"/>
                <w:kern w:val="0"/>
                <w:sz w:val="16"/>
                <w:szCs w:val="18"/>
              </w:rPr>
            </w:pPr>
            <w:r>
              <w:rPr>
                <w:rFonts w:hint="eastAsia" w:ascii="宋体" w:eastAsia="宋体" w:cs="宋体"/>
                <w:color w:val="000000"/>
                <w:kern w:val="0"/>
                <w:sz w:val="16"/>
                <w:szCs w:val="18"/>
              </w:rPr>
              <w:t>分</w:t>
            </w:r>
          </w:p>
          <w:p>
            <w:pPr>
              <w:widowControl/>
              <w:spacing w:line="180" w:lineRule="exact"/>
              <w:jc w:val="center"/>
              <w:rPr>
                <w:rFonts w:ascii="宋体" w:eastAsia="宋体" w:cs="宋体"/>
                <w:color w:val="000000"/>
                <w:kern w:val="0"/>
                <w:sz w:val="16"/>
                <w:szCs w:val="18"/>
              </w:rPr>
            </w:pPr>
            <w:r>
              <w:rPr>
                <w:rFonts w:hint="eastAsia" w:ascii="宋体" w:eastAsia="宋体" w:cs="宋体"/>
                <w:color w:val="000000"/>
                <w:kern w:val="0"/>
                <w:sz w:val="16"/>
                <w:szCs w:val="18"/>
              </w:rPr>
              <w:t>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否</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　</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　</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　</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是</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4%</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使用合规</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项目资金使用是否符合相关的财务管理制度规定</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缺（错）项扣分法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发现一处扣0.5分，直至扣完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4</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2%</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执行有效</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项目实施是否符合相关管理制度规定</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缺（错）项扣分法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发现一处扣0.5分，直至扣完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项目实施是否遵守相关法律法规；项目调整手续是否完备；项目合同、验收报告、技术鉴定等资料是否齐全并及时归档；项目实施的人员条件、场地设备、信息支撑等是否落实到位</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1"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完成结果</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预算完成★</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项目资金拨付到具体支持对象企业、项目（人）的情况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指标得分=（1-（结余结转率-0.1）/0.3）*指标分值</w:t>
            </w:r>
            <w:r>
              <w:rPr>
                <w:rFonts w:hint="eastAsia" w:ascii="宋体" w:eastAsia="宋体" w:cs="宋体"/>
                <w:color w:val="000000"/>
                <w:kern w:val="0"/>
                <w:sz w:val="18"/>
                <w:szCs w:val="18"/>
              </w:rPr>
              <w:br w:type="textWrapping"/>
            </w:r>
            <w:r>
              <w:rPr>
                <w:rFonts w:hint="eastAsia" w:ascii="宋体" w:eastAsia="宋体" w:cs="宋体"/>
                <w:color w:val="000000"/>
                <w:kern w:val="0"/>
                <w:sz w:val="18"/>
                <w:szCs w:val="18"/>
              </w:rPr>
              <w:t>结余结转率大于等于0.4，指标得0分；小于等于0.1，指标得满分                                                 指标得分=项目实际到位金额/承诺到位金额*100%*指标分值</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主要查看项目资金拨付到人到户、到项目、到企业与资金总量的对比，配套预算到位率，预算年度结余结转率（2018-2020），结余结转率=两年以上结余结转金额/省级财政资金预算数×100%</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目标完成★</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项目实施后是否完成预期目标</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5"/>
                <w:szCs w:val="15"/>
              </w:rPr>
            </w:pPr>
            <w:r>
              <w:rPr>
                <w:rFonts w:hint="eastAsia" w:ascii="宋体" w:eastAsia="宋体" w:cs="宋体"/>
                <w:color w:val="000000"/>
                <w:kern w:val="0"/>
                <w:sz w:val="15"/>
                <w:szCs w:val="15"/>
              </w:rPr>
              <w:t xml:space="preserve">指标得分=实际完成任务量/绩效目标设定任务量×100%*指标分值  </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主要查看项目实施后产出数量指标完成情况。以样本点资金量为权重，加权计算指标得分。当实际完成任务量/绩效目标设定任务量&gt;1时按1计算</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1"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5%</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完成及时</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项目实际完成时间与计划完成时间的比较，用以反映和考核项目产出实效目标的实现程度</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xml:space="preserve">指标得分=1-(实际完成时间-计划完成时间/计划完成时间)×100%*指标分值  </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主要查看项目实际计划完成时间情况，一般以天数、月数或年数为单位。当实际完成时间-计划完成时间小于等于0时得满分；实际完成时间超过计划完成时间1倍时得0分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22"/>
                <w:szCs w:val="22"/>
              </w:rPr>
            </w:pPr>
            <w:r>
              <w:rPr>
                <w:rFonts w:hint="eastAsia" w:ascii="宋体" w:eastAsia="宋体" w:cs="宋体"/>
                <w:b/>
                <w:bCs/>
                <w:color w:val="000000"/>
                <w:kern w:val="0"/>
                <w:sz w:val="22"/>
                <w:szCs w:val="22"/>
              </w:rPr>
              <w:t>2%</w:t>
            </w: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违规记录</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项目管理是否合规</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不合规</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3处及以上不合规</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2处不合规</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1处不合规</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合规</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根据审计监督、财政检查结果反映专项管理是否合规</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20%</w:t>
            </w:r>
          </w:p>
        </w:tc>
        <w:tc>
          <w:tcPr>
            <w:tcW w:w="63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共性指标</w:t>
            </w:r>
          </w:p>
        </w:tc>
        <w:tc>
          <w:tcPr>
            <w:tcW w:w="578"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民生保障</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项目效果</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区域均衡性</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项目资金分配体现的均衡公平情况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不均衡</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较均衡</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均衡</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按实际分配结果选择客观因素测算验证资金分配方法制定、分配要素设定、基础数据应用、测算依据选取等是否科学合理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continue"/>
            <w:tcBorders>
              <w:top w:val="nil"/>
              <w:left w:val="single" w:color="auto" w:sz="4" w:space="0"/>
              <w:bottom w:val="single" w:color="000000" w:sz="4" w:space="0"/>
              <w:right w:val="single" w:color="auto" w:sz="4" w:space="0"/>
            </w:tcBorders>
            <w:noWrap/>
            <w:vAlign w:val="center"/>
          </w:tcPr>
          <w:p/>
        </w:tc>
        <w:tc>
          <w:tcPr>
            <w:tcW w:w="578" w:type="dxa"/>
            <w:vMerge w:val="continue"/>
            <w:tcBorders>
              <w:top w:val="single" w:color="auto" w:sz="4" w:space="0"/>
              <w:left w:val="single" w:color="auto" w:sz="4" w:space="0"/>
              <w:bottom w:val="single" w:color="000000" w:sz="4" w:space="0"/>
              <w:right w:val="single" w:color="000000"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对象公平性★</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项目资金分配结果是否公平合理，是否充分考虑地域条件、经济条件等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不公平</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一般</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　</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8"/>
                <w:szCs w:val="18"/>
              </w:rPr>
            </w:pPr>
            <w:r>
              <w:rPr>
                <w:rFonts w:hint="eastAsia" w:ascii="宋体" w:eastAsia="宋体" w:cs="宋体"/>
                <w:color w:val="000000"/>
                <w:kern w:val="0"/>
                <w:sz w:val="18"/>
                <w:szCs w:val="18"/>
              </w:rPr>
              <w:t>公平</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主要查看项目资金分配和实施结果是否体现公平公正性，在支持</w:t>
            </w:r>
            <w:r>
              <w:rPr>
                <w:rFonts w:hint="eastAsia" w:ascii="宋体" w:eastAsia="宋体" w:cs="宋体"/>
                <w:b/>
                <w:bCs/>
                <w:color w:val="000000"/>
                <w:kern w:val="0"/>
                <w:sz w:val="16"/>
                <w:szCs w:val="16"/>
              </w:rPr>
              <w:t>范围、标准、程序</w:t>
            </w:r>
            <w:r>
              <w:rPr>
                <w:rFonts w:hint="eastAsia" w:ascii="宋体" w:eastAsia="宋体" w:cs="宋体"/>
                <w:color w:val="000000"/>
                <w:kern w:val="0"/>
                <w:sz w:val="16"/>
                <w:szCs w:val="16"/>
              </w:rPr>
              <w:t>上是否存在明显的排他性和歧视性规定，是否做到大多数和少数的协调统一，统筹兼顾。标黑因素存在一项不公平的按一般档次计算分值，存在两项因素不公平的得0分</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629" w:type="dxa"/>
            <w:vMerge w:val="continue"/>
            <w:tcBorders>
              <w:top w:val="nil"/>
              <w:left w:val="single" w:color="auto" w:sz="4" w:space="0"/>
              <w:bottom w:val="single" w:color="000000" w:sz="4" w:space="0"/>
              <w:right w:val="single" w:color="auto" w:sz="4" w:space="0"/>
            </w:tcBorders>
            <w:noWrap/>
            <w:vAlign w:val="center"/>
          </w:tcPr>
          <w:p/>
        </w:tc>
        <w:tc>
          <w:tcPr>
            <w:tcW w:w="635" w:type="dxa"/>
            <w:vMerge w:val="continue"/>
            <w:tcBorders>
              <w:top w:val="nil"/>
              <w:left w:val="single" w:color="auto" w:sz="4" w:space="0"/>
              <w:bottom w:val="single" w:color="000000" w:sz="4" w:space="0"/>
              <w:right w:val="single" w:color="auto" w:sz="4" w:space="0"/>
            </w:tcBorders>
            <w:noWrap/>
            <w:vAlign w:val="center"/>
          </w:tcPr>
          <w:p/>
        </w:tc>
        <w:tc>
          <w:tcPr>
            <w:tcW w:w="578" w:type="dxa"/>
            <w:vMerge w:val="continue"/>
            <w:tcBorders>
              <w:top w:val="single" w:color="auto" w:sz="4" w:space="0"/>
              <w:left w:val="single" w:color="auto" w:sz="4" w:space="0"/>
              <w:bottom w:val="single" w:color="000000" w:sz="4" w:space="0"/>
              <w:right w:val="single" w:color="000000"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社会满意度</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相关群体满意度调查情况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比率分值法</w:t>
            </w:r>
          </w:p>
        </w:tc>
        <w:tc>
          <w:tcPr>
            <w:tcW w:w="2694" w:type="dxa"/>
            <w:gridSpan w:val="1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按根据实际满意度与满意度标准值的比率计算指标得分</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主要调研政策和项目相关方在政策实施过程中的满意值，通过不满意情况汇总分析政策在顶层设计、制度构建、管理实施及成效各环节的情况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8</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5" w:hRule="atLeast"/>
        </w:trPr>
        <w:tc>
          <w:tcPr>
            <w:tcW w:w="62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30%</w:t>
            </w:r>
          </w:p>
        </w:tc>
        <w:tc>
          <w:tcPr>
            <w:tcW w:w="63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特性指标</w:t>
            </w:r>
          </w:p>
        </w:tc>
        <w:tc>
          <w:tcPr>
            <w:tcW w:w="57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基础设施（设备购置）项目</w:t>
            </w:r>
          </w:p>
        </w:tc>
        <w:tc>
          <w:tcPr>
            <w:tcW w:w="69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项目效果</w:t>
            </w:r>
          </w:p>
        </w:tc>
        <w:tc>
          <w:tcPr>
            <w:tcW w:w="72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功能性★</w:t>
            </w:r>
          </w:p>
        </w:tc>
        <w:tc>
          <w:tcPr>
            <w:tcW w:w="2271"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反映公共基础设施建设功能是否达到计划能力，建成后是否正常并良好运行，延续性是否达到预期</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比率分值法</w:t>
            </w:r>
          </w:p>
        </w:tc>
        <w:tc>
          <w:tcPr>
            <w:tcW w:w="2694" w:type="dxa"/>
            <w:gridSpan w:val="12"/>
            <w:tcBorders>
              <w:top w:val="single" w:color="auto" w:sz="4" w:space="0"/>
              <w:left w:val="nil"/>
              <w:bottom w:val="single" w:color="auto" w:sz="4" w:space="0"/>
              <w:right w:val="single" w:color="000000"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发现基础设施功能明显未实现预期的，发现一项扣1分，直至扣完</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主要查看建设项目是否实施方案实现预期功能，是否能够持续良好地运作，有效地维护，特别是公共设施类的项目，是否能有效满足人民群众的现实需要</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29" w:type="dxa"/>
            <w:vMerge w:val="continue"/>
            <w:tcBorders>
              <w:top w:val="nil"/>
              <w:left w:val="single" w:color="auto" w:sz="4" w:space="0"/>
              <w:bottom w:val="single" w:color="auto" w:sz="4" w:space="0"/>
              <w:right w:val="single" w:color="auto" w:sz="4" w:space="0"/>
            </w:tcBorders>
            <w:noWrap/>
            <w:vAlign w:val="center"/>
          </w:tcPr>
          <w:p/>
        </w:tc>
        <w:tc>
          <w:tcPr>
            <w:tcW w:w="635" w:type="dxa"/>
            <w:vMerge w:val="continue"/>
            <w:tcBorders>
              <w:top w:val="nil"/>
              <w:left w:val="single" w:color="auto" w:sz="4" w:space="0"/>
              <w:bottom w:val="single" w:color="auto" w:sz="4" w:space="0"/>
              <w:right w:val="single" w:color="auto" w:sz="4" w:space="0"/>
            </w:tcBorders>
            <w:noWrap/>
            <w:vAlign w:val="center"/>
          </w:tcPr>
          <w:p/>
        </w:tc>
        <w:tc>
          <w:tcPr>
            <w:tcW w:w="578" w:type="dxa"/>
            <w:vMerge w:val="continue"/>
            <w:tcBorders>
              <w:top w:val="single" w:color="auto" w:sz="4" w:space="0"/>
              <w:left w:val="single" w:color="auto" w:sz="4" w:space="0"/>
              <w:bottom w:val="single" w:color="auto" w:sz="4" w:space="0"/>
              <w:right w:val="single" w:color="auto" w:sz="4" w:space="0"/>
            </w:tcBorders>
            <w:noWrap/>
            <w:vAlign w:val="center"/>
          </w:tcPr>
          <w:p/>
        </w:tc>
        <w:tc>
          <w:tcPr>
            <w:tcW w:w="691" w:type="dxa"/>
            <w:vMerge w:val="continue"/>
            <w:tcBorders>
              <w:top w:val="nil"/>
              <w:left w:val="single" w:color="auto" w:sz="4" w:space="0"/>
              <w:bottom w:val="single" w:color="auto" w:sz="4" w:space="0"/>
              <w:right w:val="single" w:color="auto" w:sz="4" w:space="0"/>
            </w:tcBorders>
            <w:noWrap/>
            <w:vAlign w:val="center"/>
          </w:tcPr>
          <w:p/>
        </w:tc>
        <w:tc>
          <w:tcPr>
            <w:tcW w:w="724" w:type="dxa"/>
            <w:gridSpan w:val="2"/>
            <w:tcBorders>
              <w:top w:val="nil"/>
              <w:left w:val="nil"/>
              <w:bottom w:val="single" w:color="auto" w:sz="4" w:space="0"/>
              <w:right w:val="nil"/>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配套性★</w:t>
            </w:r>
          </w:p>
        </w:tc>
        <w:tc>
          <w:tcPr>
            <w:tcW w:w="227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项目建成后相关工程、点位是否相关协调，配套设施是否整体协调，是否全面衔接发挥整体效益</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分级评分法</w:t>
            </w:r>
          </w:p>
        </w:tc>
        <w:tc>
          <w:tcPr>
            <w:tcW w:w="552"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差</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较差</w:t>
            </w:r>
          </w:p>
        </w:tc>
        <w:tc>
          <w:tcPr>
            <w:tcW w:w="525"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一般</w:t>
            </w:r>
          </w:p>
        </w:tc>
        <w:tc>
          <w:tcPr>
            <w:tcW w:w="582"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较好</w:t>
            </w:r>
          </w:p>
        </w:tc>
        <w:tc>
          <w:tcPr>
            <w:tcW w:w="453"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好</w:t>
            </w:r>
          </w:p>
        </w:tc>
        <w:tc>
          <w:tcPr>
            <w:tcW w:w="3828"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重点查看区域内建设规划在空间分布、功能配套整合、土地利用等方面是否存在明显有违常理，不科学合理的情况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20</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9" w:type="dxa"/>
            <w:tcBorders>
              <w:top w:val="nil"/>
              <w:left w:val="single" w:color="auto" w:sz="4" w:space="0"/>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10%</w:t>
            </w:r>
          </w:p>
        </w:tc>
        <w:tc>
          <w:tcPr>
            <w:tcW w:w="121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个性指标</w:t>
            </w:r>
          </w:p>
        </w:tc>
        <w:tc>
          <w:tcPr>
            <w:tcW w:w="691"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b/>
                <w:bCs/>
                <w:color w:val="000000"/>
                <w:kern w:val="0"/>
                <w:sz w:val="18"/>
                <w:szCs w:val="22"/>
              </w:rPr>
            </w:pPr>
            <w:r>
              <w:rPr>
                <w:rFonts w:hint="eastAsia" w:ascii="宋体" w:eastAsia="宋体" w:cs="宋体"/>
                <w:b/>
                <w:bCs/>
                <w:color w:val="000000"/>
                <w:kern w:val="0"/>
                <w:sz w:val="18"/>
                <w:szCs w:val="22"/>
              </w:rPr>
              <w:t>设备购置</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16"/>
                <w:szCs w:val="22"/>
              </w:rPr>
            </w:pPr>
            <w:r>
              <w:rPr>
                <w:rFonts w:hint="eastAsia" w:ascii="宋体" w:eastAsia="宋体" w:cs="宋体"/>
                <w:color w:val="000000"/>
                <w:kern w:val="0"/>
                <w:sz w:val="16"/>
                <w:szCs w:val="22"/>
              </w:rPr>
              <w:t>社会效益</w:t>
            </w:r>
          </w:p>
        </w:tc>
        <w:tc>
          <w:tcPr>
            <w:tcW w:w="587" w:type="dxa"/>
            <w:gridSpan w:val="2"/>
            <w:tcBorders>
              <w:top w:val="nil"/>
              <w:left w:val="nil"/>
              <w:bottom w:val="single" w:color="auto" w:sz="4" w:space="0"/>
              <w:right w:val="nil"/>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运行状况</w:t>
            </w:r>
          </w:p>
        </w:tc>
        <w:tc>
          <w:tcPr>
            <w:tcW w:w="1971" w:type="dxa"/>
            <w:tcBorders>
              <w:top w:val="nil"/>
              <w:left w:val="single" w:color="auto" w:sz="4" w:space="0"/>
              <w:bottom w:val="nil"/>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8"/>
                <w:szCs w:val="18"/>
              </w:rPr>
            </w:pPr>
            <w:r>
              <w:rPr>
                <w:rFonts w:hint="eastAsia" w:ascii="宋体" w:eastAsia="宋体" w:cs="宋体"/>
                <w:color w:val="000000"/>
                <w:kern w:val="0"/>
                <w:sz w:val="18"/>
                <w:szCs w:val="18"/>
              </w:rPr>
              <w:t>购置的设备常态化运行情况</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分级评分法</w:t>
            </w:r>
          </w:p>
        </w:tc>
        <w:tc>
          <w:tcPr>
            <w:tcW w:w="567"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差</w:t>
            </w:r>
          </w:p>
        </w:tc>
        <w:tc>
          <w:tcPr>
            <w:tcW w:w="567"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较差</w:t>
            </w:r>
          </w:p>
        </w:tc>
        <w:tc>
          <w:tcPr>
            <w:tcW w:w="568"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一般</w:t>
            </w:r>
          </w:p>
        </w:tc>
        <w:tc>
          <w:tcPr>
            <w:tcW w:w="566" w:type="dxa"/>
            <w:gridSpan w:val="3"/>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较好</w:t>
            </w:r>
          </w:p>
        </w:tc>
        <w:tc>
          <w:tcPr>
            <w:tcW w:w="674" w:type="dxa"/>
            <w:gridSpan w:val="2"/>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好</w:t>
            </w:r>
          </w:p>
        </w:tc>
        <w:tc>
          <w:tcPr>
            <w:tcW w:w="3580" w:type="dxa"/>
            <w:tcBorders>
              <w:top w:val="nil"/>
              <w:left w:val="nil"/>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color w:val="000000"/>
                <w:kern w:val="0"/>
                <w:sz w:val="16"/>
                <w:szCs w:val="16"/>
              </w:rPr>
            </w:pPr>
            <w:r>
              <w:rPr>
                <w:rFonts w:hint="eastAsia" w:ascii="宋体" w:eastAsia="宋体" w:cs="宋体"/>
                <w:color w:val="000000"/>
                <w:kern w:val="0"/>
                <w:sz w:val="16"/>
                <w:szCs w:val="16"/>
              </w:rPr>
              <w:t>重点查看购置设备日常使用频率及正常运转情况</w:t>
            </w:r>
          </w:p>
        </w:tc>
        <w:tc>
          <w:tcPr>
            <w:tcW w:w="709"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c>
          <w:tcPr>
            <w:tcW w:w="710" w:type="dxa"/>
            <w:tcBorders>
              <w:top w:val="nil"/>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2758" w:type="dxa"/>
            <w:gridSpan w:val="2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180" w:lineRule="exact"/>
              <w:jc w:val="left"/>
              <w:rPr>
                <w:rFonts w:ascii="宋体" w:eastAsia="宋体" w:cs="宋体"/>
                <w:b/>
                <w:bCs/>
                <w:color w:val="000000"/>
                <w:kern w:val="0"/>
                <w:sz w:val="22"/>
                <w:szCs w:val="22"/>
              </w:rPr>
            </w:pPr>
            <w:r>
              <w:rPr>
                <w:rFonts w:hint="eastAsia" w:ascii="宋体" w:eastAsia="宋体" w:cs="宋体"/>
                <w:b/>
                <w:bCs/>
                <w:color w:val="000000"/>
                <w:kern w:val="0"/>
                <w:sz w:val="16"/>
                <w:szCs w:val="22"/>
              </w:rPr>
              <w:t>总分：</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100</w:t>
            </w:r>
          </w:p>
        </w:tc>
        <w:tc>
          <w:tcPr>
            <w:tcW w:w="710" w:type="dxa"/>
            <w:tcBorders>
              <w:top w:val="single" w:color="auto" w:sz="4" w:space="0"/>
              <w:left w:val="nil"/>
              <w:bottom w:val="single" w:color="auto" w:sz="4" w:space="0"/>
              <w:right w:val="single" w:color="auto" w:sz="4" w:space="0"/>
            </w:tcBorders>
            <w:shd w:val="clear" w:color="auto" w:fill="auto"/>
            <w:noWrap/>
            <w:vAlign w:val="center"/>
          </w:tcPr>
          <w:p>
            <w:pPr>
              <w:widowControl/>
              <w:spacing w:line="180" w:lineRule="exact"/>
              <w:jc w:val="center"/>
              <w:rPr>
                <w:rFonts w:ascii="宋体" w:eastAsia="宋体" w:cs="宋体"/>
                <w:color w:val="000000"/>
                <w:kern w:val="0"/>
                <w:sz w:val="22"/>
                <w:szCs w:val="22"/>
              </w:rPr>
            </w:pPr>
            <w:r>
              <w:rPr>
                <w:rFonts w:hint="eastAsia" w:ascii="宋体" w:eastAsia="宋体" w:cs="宋体"/>
                <w:color w:val="000000"/>
                <w:kern w:val="0"/>
                <w:sz w:val="22"/>
                <w:szCs w:val="22"/>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14177" w:type="dxa"/>
            <w:gridSpan w:val="25"/>
            <w:tcBorders>
              <w:top w:val="single" w:color="auto" w:sz="4" w:space="0"/>
              <w:left w:val="nil"/>
              <w:bottom w:val="nil"/>
              <w:right w:val="nil"/>
            </w:tcBorders>
            <w:shd w:val="clear" w:color="auto" w:fill="auto"/>
            <w:noWrap/>
            <w:vAlign w:val="center"/>
          </w:tcPr>
          <w:p>
            <w:pPr>
              <w:pStyle w:val="8"/>
              <w:widowControl/>
              <w:numPr>
                <w:ilvl w:val="0"/>
                <w:numId w:val="2"/>
              </w:numPr>
              <w:ind w:firstLineChars="0"/>
              <w:jc w:val="left"/>
              <w:rPr>
                <w:rFonts w:hint="eastAsia" w:ascii="宋体" w:eastAsia="宋体" w:cs="宋体"/>
                <w:color w:val="000000"/>
                <w:kern w:val="0"/>
                <w:sz w:val="15"/>
                <w:szCs w:val="15"/>
              </w:rPr>
            </w:pPr>
            <w:r>
              <w:rPr>
                <w:rFonts w:hint="eastAsia" w:ascii="宋体" w:eastAsia="宋体" w:cs="宋体"/>
                <w:b/>
                <w:bCs/>
                <w:color w:val="000000"/>
                <w:kern w:val="0"/>
                <w:sz w:val="15"/>
                <w:szCs w:val="15"/>
              </w:rPr>
              <w:t>评分方法归为六类：（1）是否评分法：</w:t>
            </w:r>
            <w:r>
              <w:rPr>
                <w:rFonts w:hint="eastAsia" w:ascii="宋体" w:eastAsia="宋体" w:cs="宋体"/>
                <w:color w:val="000000"/>
                <w:kern w:val="0"/>
                <w:sz w:val="15"/>
                <w:szCs w:val="15"/>
              </w:rPr>
              <w:t>适用于合规性等正反判断指标，正向满分，反向0分。</w:t>
            </w:r>
            <w:r>
              <w:rPr>
                <w:rFonts w:hint="eastAsia" w:ascii="宋体" w:eastAsia="宋体" w:cs="宋体"/>
                <w:b/>
                <w:bCs/>
                <w:color w:val="000000"/>
                <w:kern w:val="0"/>
                <w:sz w:val="15"/>
                <w:szCs w:val="15"/>
              </w:rPr>
              <w:t>（2）分级评分法：</w:t>
            </w:r>
            <w:r>
              <w:rPr>
                <w:rFonts w:hint="eastAsia" w:ascii="宋体" w:eastAsia="宋体" w:cs="宋体"/>
                <w:color w:val="000000"/>
                <w:kern w:val="0"/>
                <w:sz w:val="15"/>
                <w:szCs w:val="15"/>
              </w:rPr>
              <w:t>指标评分设置n级权重，指标得分按指标值所处区间的权重计算。</w:t>
            </w:r>
            <w:r>
              <w:rPr>
                <w:rFonts w:hint="eastAsia" w:ascii="宋体" w:eastAsia="宋体" w:cs="宋体"/>
                <w:b/>
                <w:bCs/>
                <w:color w:val="000000"/>
                <w:kern w:val="0"/>
                <w:sz w:val="15"/>
                <w:szCs w:val="15"/>
              </w:rPr>
              <w:t>（3）比率分值法：</w:t>
            </w:r>
            <w:r>
              <w:rPr>
                <w:rFonts w:hint="eastAsia" w:ascii="宋体" w:eastAsia="宋体" w:cs="宋体"/>
                <w:color w:val="000000"/>
                <w:kern w:val="0"/>
                <w:sz w:val="15"/>
                <w:szCs w:val="15"/>
              </w:rPr>
              <w:t>对存在连续性比率的指标，按比率乘以指标分值计算得分。</w:t>
            </w:r>
            <w:r>
              <w:rPr>
                <w:rFonts w:hint="eastAsia" w:ascii="宋体" w:eastAsia="宋体" w:cs="宋体"/>
                <w:b/>
                <w:bCs/>
                <w:color w:val="000000"/>
                <w:kern w:val="0"/>
                <w:sz w:val="15"/>
                <w:szCs w:val="15"/>
              </w:rPr>
              <w:t>（4）缺（错）项扣分法：</w:t>
            </w:r>
            <w:r>
              <w:rPr>
                <w:rFonts w:hint="eastAsia" w:ascii="宋体" w:eastAsia="宋体" w:cs="宋体"/>
                <w:color w:val="000000"/>
                <w:kern w:val="0"/>
                <w:sz w:val="15"/>
                <w:szCs w:val="15"/>
              </w:rPr>
              <w:t>按照要求所具备的事项计算，全部具备得满分，缺少一项扣X分。</w:t>
            </w:r>
            <w:r>
              <w:rPr>
                <w:rFonts w:hint="eastAsia" w:ascii="宋体" w:eastAsia="宋体" w:cs="宋体"/>
                <w:b/>
                <w:bCs/>
                <w:color w:val="000000"/>
                <w:kern w:val="0"/>
                <w:sz w:val="15"/>
                <w:szCs w:val="15"/>
              </w:rPr>
              <w:t>（5）满意值赋分法：</w:t>
            </w:r>
            <w:r>
              <w:rPr>
                <w:rFonts w:hint="eastAsia" w:ascii="宋体" w:eastAsia="宋体" w:cs="宋体"/>
                <w:color w:val="000000"/>
                <w:kern w:val="0"/>
                <w:sz w:val="15"/>
                <w:szCs w:val="15"/>
              </w:rPr>
              <w:t>设置一个满意值，指标值达到满意值得满分，未达到不得分或扣分。</w:t>
            </w:r>
            <w:r>
              <w:rPr>
                <w:rFonts w:hint="eastAsia" w:ascii="宋体" w:eastAsia="宋体" w:cs="宋体"/>
                <w:b/>
                <w:bCs/>
                <w:color w:val="000000"/>
                <w:kern w:val="0"/>
                <w:sz w:val="15"/>
                <w:szCs w:val="15"/>
              </w:rPr>
              <w:t>（6）按数累加法：</w:t>
            </w:r>
            <w:r>
              <w:rPr>
                <w:rFonts w:hint="eastAsia" w:ascii="宋体" w:eastAsia="宋体" w:cs="宋体"/>
                <w:color w:val="000000"/>
                <w:kern w:val="0"/>
                <w:sz w:val="15"/>
                <w:szCs w:val="15"/>
              </w:rPr>
              <w:t>若有必要用于加分项指标。</w:t>
            </w:r>
          </w:p>
          <w:p>
            <w:pPr>
              <w:widowControl/>
              <w:jc w:val="left"/>
              <w:rPr>
                <w:rFonts w:ascii="宋体" w:eastAsia="宋体" w:cs="宋体"/>
                <w:b/>
                <w:bCs/>
                <w:color w:val="000000"/>
                <w:kern w:val="0"/>
                <w:sz w:val="15"/>
                <w:szCs w:val="15"/>
              </w:rPr>
            </w:pPr>
            <w:r>
              <w:rPr>
                <w:rFonts w:hint="eastAsia" w:ascii="宋体" w:eastAsia="宋体" w:cs="宋体"/>
                <w:b/>
                <w:bCs/>
                <w:color w:val="000000"/>
                <w:kern w:val="0"/>
                <w:sz w:val="15"/>
                <w:szCs w:val="15"/>
              </w:rPr>
              <w:t>2、预算绩效指标标准：（1）定性指标标准：</w:t>
            </w:r>
            <w:r>
              <w:rPr>
                <w:rFonts w:hint="eastAsia" w:ascii="宋体" w:eastAsia="宋体" w:cs="宋体"/>
                <w:color w:val="000000"/>
                <w:kern w:val="0"/>
                <w:sz w:val="15"/>
                <w:szCs w:val="15"/>
              </w:rPr>
              <w:t>根据客观依据判断指标得分，一般采用是否评分法。</w:t>
            </w:r>
            <w:r>
              <w:rPr>
                <w:rFonts w:hint="eastAsia" w:ascii="宋体" w:eastAsia="宋体" w:cs="宋体"/>
                <w:b/>
                <w:bCs/>
                <w:color w:val="000000"/>
                <w:kern w:val="0"/>
                <w:sz w:val="15"/>
                <w:szCs w:val="15"/>
              </w:rPr>
              <w:t>（2）定量指标标准：</w:t>
            </w:r>
            <w:r>
              <w:rPr>
                <w:rFonts w:hint="eastAsia" w:ascii="宋体" w:eastAsia="宋体" w:cs="宋体"/>
                <w:color w:val="000000"/>
                <w:kern w:val="0"/>
                <w:sz w:val="15"/>
                <w:szCs w:val="15"/>
              </w:rPr>
              <w:t>（技术标准、管理标准、工作标准）：</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国家标准：</w:t>
            </w:r>
            <w:r>
              <w:rPr>
                <w:rFonts w:hint="eastAsia" w:ascii="宋体" w:eastAsia="宋体" w:cs="宋体"/>
                <w:color w:val="000000"/>
                <w:kern w:val="0"/>
                <w:sz w:val="15"/>
                <w:szCs w:val="15"/>
              </w:rPr>
              <w:t>国家质量技术监督总局与国家标准化管理委员会制定，全国范围内适用，其他各级别标准不得与其抵触。</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行业标准：</w:t>
            </w:r>
            <w:r>
              <w:rPr>
                <w:rFonts w:hint="eastAsia" w:ascii="宋体" w:eastAsia="宋体" w:cs="宋体"/>
                <w:color w:val="000000"/>
                <w:kern w:val="0"/>
                <w:sz w:val="15"/>
                <w:szCs w:val="15"/>
              </w:rPr>
              <w:t>国务院行政主管部门制定，行业标准用于特定行业。</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地方标准：</w:t>
            </w:r>
            <w:r>
              <w:rPr>
                <w:rFonts w:hint="eastAsia" w:ascii="宋体" w:eastAsia="宋体" w:cs="宋体"/>
                <w:color w:val="000000"/>
                <w:kern w:val="0"/>
                <w:sz w:val="15"/>
                <w:szCs w:val="15"/>
              </w:rPr>
              <w:t>在没有国家标准和行业标准的情况下，地方政府、省级主管部门、财政部门可根据历史数据、统计数据、调研数据等设定绩效标准，可根据四川的实际情况按经济片区分设标准。</w:t>
            </w:r>
            <w:r>
              <w:rPr>
                <w:rFonts w:hint="eastAsia" w:ascii="宋体" w:eastAsia="宋体" w:cs="宋体"/>
                <w:color w:val="000000"/>
                <w:kern w:val="0"/>
                <w:sz w:val="15"/>
                <w:szCs w:val="15"/>
              </w:rPr>
              <w:br w:type="textWrapping"/>
            </w:r>
            <w:r>
              <w:rPr>
                <w:rFonts w:hint="eastAsia" w:ascii="宋体" w:eastAsia="宋体" w:cs="宋体"/>
                <w:b/>
                <w:bCs/>
                <w:color w:val="000000"/>
                <w:kern w:val="0"/>
                <w:sz w:val="15"/>
                <w:szCs w:val="15"/>
              </w:rPr>
              <w:t>申报标准：</w:t>
            </w:r>
            <w:r>
              <w:rPr>
                <w:rFonts w:hint="eastAsia" w:ascii="宋体" w:eastAsia="宋体" w:cs="宋体"/>
                <w:color w:val="000000"/>
                <w:kern w:val="0"/>
                <w:sz w:val="15"/>
                <w:szCs w:val="15"/>
              </w:rPr>
              <w:t>对新实施的政策项目且相关基础数据匮乏的基础上，各方根据试点探索商定绩效标准，并在以后年度动态修订完善。</w:t>
            </w:r>
            <w:r>
              <w:rPr>
                <w:rFonts w:hint="eastAsia" w:ascii="宋体" w:eastAsia="宋体" w:cs="宋体"/>
                <w:color w:val="000000"/>
                <w:kern w:val="0"/>
                <w:sz w:val="15"/>
                <w:szCs w:val="15"/>
              </w:rPr>
              <w:br w:type="textWrapping"/>
            </w:r>
            <w:r>
              <w:rPr>
                <w:rFonts w:hint="eastAsia" w:ascii="宋体" w:eastAsia="宋体" w:cs="宋体"/>
                <w:color w:val="000000"/>
                <w:kern w:val="0"/>
                <w:sz w:val="15"/>
                <w:szCs w:val="15"/>
              </w:rPr>
              <w:t>3、★为核心指标，需要评价组重点关注深入分析。未涉及个性指标的项目，其分值权重按比例调整到其他效果指标。</w:t>
            </w:r>
          </w:p>
        </w:tc>
      </w:tr>
    </w:tbl>
    <w:p/>
    <w:sectPr>
      <w:pgSz w:w="16838" w:h="11906" w:orient="landscape"/>
      <w:pgMar w:top="1797" w:right="1440" w:bottom="1797"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Luxi Sans">
    <w:altName w:val="Segoe Print"/>
    <w:panose1 w:val="00000000000000000000"/>
    <w:charset w:val="00"/>
    <w:family w:val="auto"/>
    <w:pitch w:val="default"/>
    <w:sig w:usb0="00000000" w:usb1="00000000" w:usb2="00000000" w:usb3="00000000" w:csb0="00000000" w:csb1="00000000"/>
  </w:font>
  <w:font w:name="??">
    <w:altName w:val="仿宋_GB2312"/>
    <w:panose1 w:val="00000000000000000000"/>
    <w:charset w:val="00"/>
    <w:family w:val="roman"/>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39D72B"/>
    <w:multiLevelType w:val="multilevel"/>
    <w:tmpl w:val="F039D72B"/>
    <w:lvl w:ilvl="0" w:tentative="0">
      <w:start w:val="1"/>
      <w:numFmt w:val="chineseCountingThousand"/>
      <w:lvlText w:val="（%1）"/>
      <w:legacy w:legacy="1" w:legacySpace="0" w:legacyIndent="967"/>
      <w:lvlJc w:val="left"/>
      <w:pPr>
        <w:ind w:left="1687" w:hanging="967"/>
      </w:pPr>
      <w:rPr>
        <w:rFonts w:hint="default" w:ascii="楷体_GB2312" w:hAnsi="楷体_GB2312" w:eastAsia="楷体_GB2312"/>
        <w:b/>
        <w:bCs/>
        <w:i w:val="0"/>
        <w:iCs w:val="0"/>
      </w:rPr>
    </w:lvl>
    <w:lvl w:ilvl="1" w:tentative="0">
      <w:start w:val="1"/>
      <w:numFmt w:val="lowerLetter"/>
      <w:lvlText w:val="%2)"/>
      <w:legacy w:legacy="1" w:legacySpace="0" w:legacyIndent="420"/>
      <w:lvlJc w:val="left"/>
      <w:pPr>
        <w:ind w:left="1560" w:hanging="420"/>
      </w:pPr>
    </w:lvl>
    <w:lvl w:ilvl="2" w:tentative="0">
      <w:start w:val="1"/>
      <w:numFmt w:val="lowerRoman"/>
      <w:lvlText w:val="%3."/>
      <w:legacy w:legacy="1" w:legacySpace="0" w:legacyIndent="420"/>
      <w:lvlJc w:val="right"/>
      <w:pPr>
        <w:ind w:left="1980" w:hanging="420"/>
      </w:pPr>
    </w:lvl>
    <w:lvl w:ilvl="3" w:tentative="0">
      <w:start w:val="1"/>
      <w:numFmt w:val="decimal"/>
      <w:lvlText w:val="%4."/>
      <w:legacy w:legacy="1" w:legacySpace="0" w:legacyIndent="420"/>
      <w:lvlJc w:val="left"/>
      <w:pPr>
        <w:ind w:left="2400" w:hanging="420"/>
      </w:pPr>
    </w:lvl>
    <w:lvl w:ilvl="4" w:tentative="0">
      <w:start w:val="1"/>
      <w:numFmt w:val="lowerLetter"/>
      <w:lvlText w:val="%5)"/>
      <w:legacy w:legacy="1" w:legacySpace="0" w:legacyIndent="420"/>
      <w:lvlJc w:val="left"/>
      <w:pPr>
        <w:ind w:left="2820" w:hanging="420"/>
      </w:pPr>
    </w:lvl>
    <w:lvl w:ilvl="5" w:tentative="0">
      <w:start w:val="1"/>
      <w:numFmt w:val="lowerRoman"/>
      <w:lvlText w:val="%6."/>
      <w:legacy w:legacy="1" w:legacySpace="0" w:legacyIndent="420"/>
      <w:lvlJc w:val="right"/>
      <w:pPr>
        <w:ind w:left="3240" w:hanging="420"/>
      </w:pPr>
    </w:lvl>
    <w:lvl w:ilvl="6" w:tentative="0">
      <w:start w:val="1"/>
      <w:numFmt w:val="decimal"/>
      <w:lvlText w:val="%7."/>
      <w:legacy w:legacy="1" w:legacySpace="0" w:legacyIndent="420"/>
      <w:lvlJc w:val="left"/>
      <w:pPr>
        <w:ind w:left="3660" w:hanging="420"/>
      </w:pPr>
    </w:lvl>
    <w:lvl w:ilvl="7" w:tentative="0">
      <w:start w:val="1"/>
      <w:numFmt w:val="lowerLetter"/>
      <w:lvlText w:val="%8)"/>
      <w:legacy w:legacy="1" w:legacySpace="0" w:legacyIndent="420"/>
      <w:lvlJc w:val="left"/>
      <w:pPr>
        <w:ind w:left="4080" w:hanging="420"/>
      </w:pPr>
    </w:lvl>
    <w:lvl w:ilvl="8" w:tentative="0">
      <w:start w:val="1"/>
      <w:numFmt w:val="lowerRoman"/>
      <w:lvlText w:val="%9."/>
      <w:legacy w:legacy="1" w:legacySpace="0" w:legacyIndent="420"/>
      <w:lvlJc w:val="right"/>
      <w:pPr>
        <w:ind w:left="4500" w:hanging="420"/>
      </w:pPr>
    </w:lvl>
  </w:abstractNum>
  <w:abstractNum w:abstractNumId="1">
    <w:nsid w:val="1077636F"/>
    <w:multiLevelType w:val="multilevel"/>
    <w:tmpl w:val="1077636F"/>
    <w:lvl w:ilvl="0" w:tentative="0">
      <w:start w:val="1"/>
      <w:numFmt w:val="decimal"/>
      <w:lvlText w:val="%1、"/>
      <w:lvlJc w:val="left"/>
      <w:pPr>
        <w:tabs>
          <w:tab w:val="left" w:pos="0"/>
        </w:tabs>
        <w:ind w:left="360" w:hanging="360"/>
      </w:pPr>
      <w:rPr>
        <w:rFonts w:hint="default"/>
        <w:b/>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0"/>
  <w:defaultTabStop w:val="420"/>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ODkwMjBiMDE0NDAzMDYwOGJjM2NjMzIxY2I3MmFjYzYifQ=="/>
  </w:docVars>
  <w:rsids>
    <w:rsidRoot w:val="00000000"/>
    <w:rsid w:val="00B8107A"/>
    <w:rsid w:val="1CF01402"/>
    <w:rsid w:val="44A639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uiPriority w:val="0"/>
    <w:pPr>
      <w:keepNext/>
      <w:keepLines/>
      <w:widowControl w:val="0"/>
      <w:spacing w:before="340" w:after="330" w:line="578" w:lineRule="auto"/>
      <w:outlineLvl w:val="0"/>
    </w:pPr>
    <w:rPr>
      <w:b/>
      <w:bCs/>
      <w:kern w:val="44"/>
      <w:sz w:val="44"/>
    </w:rPr>
  </w:style>
  <w:style w:type="paragraph" w:styleId="3">
    <w:name w:val="heading 2"/>
    <w:basedOn w:val="1"/>
    <w:next w:val="1"/>
    <w:uiPriority w:val="0"/>
    <w:pPr>
      <w:keepNext/>
      <w:keepLines/>
      <w:widowControl w:val="0"/>
      <w:spacing w:before="260" w:after="260" w:line="415" w:lineRule="auto"/>
      <w:outlineLvl w:val="1"/>
    </w:pPr>
    <w:rPr>
      <w:rFonts w:ascii="Luxi Sans" w:hAnsi="Luxi Sans" w:eastAsia="黑体"/>
      <w:b/>
    </w:rPr>
  </w:style>
  <w:style w:type="paragraph" w:styleId="4">
    <w:name w:val="heading 3"/>
    <w:basedOn w:val="1"/>
    <w:next w:val="1"/>
    <w:uiPriority w:val="0"/>
    <w:pPr>
      <w:keepNext/>
      <w:keepLines/>
      <w:widowControl w:val="0"/>
      <w:spacing w:before="260" w:after="260" w:line="415" w:lineRule="auto"/>
      <w:outlineLvl w:val="2"/>
    </w:pPr>
    <w:rPr>
      <w:b/>
    </w:rPr>
  </w:style>
  <w:style w:type="character" w:default="1" w:styleId="6">
    <w:name w:val="Default Paragraph Font"/>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7">
    <w:name w:val="四号正文"/>
    <w:basedOn w:val="1"/>
    <w:uiPriority w:val="0"/>
    <w:pPr>
      <w:spacing w:line="360" w:lineRule="auto"/>
    </w:pPr>
    <w:rPr>
      <w:rFonts w:ascii="??" w:hAnsi="??" w:eastAsia="宋体"/>
      <w:color w:val="000000"/>
      <w:kern w:val="0"/>
      <w:sz w:val="28"/>
      <w:szCs w:val="21"/>
      <w:lang w:val="zh-CN"/>
    </w:rPr>
  </w:style>
  <w:style w:type="paragraph" w:styleId="8">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7</Pages>
  <Words>3888</Words>
  <Characters>4025</Characters>
  <Lines>486</Lines>
  <Paragraphs>237</Paragraphs>
  <TotalTime>167</TotalTime>
  <ScaleCrop>false</ScaleCrop>
  <LinksUpToDate>false</LinksUpToDate>
  <CharactersWithSpaces>4092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Lenovo</cp:lastModifiedBy>
  <dcterms:modified xsi:type="dcterms:W3CDTF">2023-06-29T07:35:45Z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C6D487B07E1A45E281D2D4A9662E212A_12</vt:lpwstr>
  </property>
</Properties>
</file>