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contextualSpacing/>
        <w:rPr>
          <w:rFonts w:ascii="宋体" w:eastAsia="宋体"/>
          <w:b/>
          <w:color w:val="000000" w:themeColor="text1"/>
          <w:sz w:val="44"/>
          <w:szCs w:val="44"/>
          <w:shd w:val="clear" w:color="auto" w:fill="FFFFFF"/>
        </w:rPr>
      </w:pPr>
    </w:p>
    <w:p>
      <w:pPr>
        <w:spacing w:line="560" w:lineRule="exact"/>
        <w:ind w:firstLine="1540" w:firstLineChars="350"/>
        <w:rPr>
          <w:rFonts w:ascii="方正小标宋简体" w:hAnsi="微软雅黑" w:eastAsia="方正小标宋简体" w:cs="Arial"/>
          <w:color w:val="000000" w:themeColor="text1"/>
          <w:sz w:val="44"/>
          <w:szCs w:val="44"/>
        </w:rPr>
      </w:pPr>
      <w:r>
        <w:rPr>
          <w:rFonts w:hint="eastAsia" w:ascii="方正小标宋简体" w:hAnsi="微软雅黑" w:eastAsia="方正小标宋简体" w:cs="Arial"/>
          <w:color w:val="000000" w:themeColor="text1"/>
          <w:sz w:val="44"/>
          <w:szCs w:val="44"/>
        </w:rPr>
        <w:t>大熊猫国家公园阿坝管理分局</w:t>
      </w:r>
    </w:p>
    <w:p>
      <w:pPr>
        <w:spacing w:line="560" w:lineRule="exact"/>
        <w:ind w:firstLine="440" w:firstLineChars="100"/>
        <w:rPr>
          <w:rFonts w:ascii="方正小标宋简体" w:eastAsia="方正小标宋简体"/>
          <w:color w:val="000000" w:themeColor="text1"/>
          <w:sz w:val="44"/>
          <w:szCs w:val="44"/>
        </w:rPr>
      </w:pPr>
      <w:r>
        <w:rPr>
          <w:rFonts w:hint="eastAsia" w:ascii="方正小标宋简体" w:hAnsi="微软雅黑" w:eastAsia="方正小标宋简体" w:cs="Arial"/>
          <w:color w:val="000000" w:themeColor="text1"/>
          <w:sz w:val="44"/>
          <w:szCs w:val="44"/>
        </w:rPr>
        <w:t>关于202</w:t>
      </w:r>
      <w:r>
        <w:rPr>
          <w:rFonts w:hint="eastAsia" w:ascii="方正小标宋简体" w:hAnsi="微软雅黑" w:eastAsia="方正小标宋简体" w:cs="Arial"/>
          <w:color w:val="000000" w:themeColor="text1"/>
          <w:sz w:val="44"/>
          <w:szCs w:val="44"/>
          <w:lang w:val="en-US" w:eastAsia="zh-CN"/>
        </w:rPr>
        <w:t>3</w:t>
      </w:r>
      <w:r>
        <w:rPr>
          <w:rFonts w:hint="eastAsia" w:ascii="方正小标宋简体" w:hAnsi="微软雅黑" w:eastAsia="方正小标宋简体" w:cs="Arial"/>
          <w:color w:val="000000" w:themeColor="text1"/>
          <w:sz w:val="44"/>
          <w:szCs w:val="44"/>
        </w:rPr>
        <w:t>年部门整体支出绩效自评的报告</w:t>
      </w:r>
    </w:p>
    <w:p>
      <w:pPr>
        <w:pStyle w:val="9"/>
        <w:shd w:val="clear" w:color="auto" w:fill="FFFFFF"/>
        <w:spacing w:before="0" w:beforeAutospacing="0" w:after="0" w:afterAutospacing="0" w:line="560" w:lineRule="exact"/>
        <w:ind w:firstLine="482"/>
        <w:rPr>
          <w:rFonts w:hint="eastAsia" w:ascii="仿宋_GB2312" w:eastAsia="仿宋_GB2312" w:cs="Arial"/>
          <w:color w:val="000000" w:themeColor="text1"/>
          <w:sz w:val="32"/>
          <w:szCs w:val="32"/>
        </w:rPr>
      </w:pPr>
    </w:p>
    <w:p>
      <w:pPr>
        <w:pStyle w:val="9"/>
        <w:shd w:val="clear" w:color="auto" w:fill="FFFFFF"/>
        <w:spacing w:before="0" w:beforeAutospacing="0" w:after="0" w:afterAutospacing="0" w:line="560" w:lineRule="exact"/>
        <w:rPr>
          <w:rFonts w:ascii="仿宋_GB2312" w:eastAsia="仿宋_GB2312" w:cs="Arial"/>
          <w:color w:val="000000" w:themeColor="text1"/>
          <w:sz w:val="32"/>
          <w:szCs w:val="32"/>
        </w:rPr>
      </w:pPr>
      <w:r>
        <w:rPr>
          <w:rFonts w:hint="eastAsia" w:ascii="仿宋_GB2312" w:eastAsia="仿宋_GB2312" w:cs="Arial"/>
          <w:color w:val="000000" w:themeColor="text1"/>
          <w:sz w:val="32"/>
          <w:szCs w:val="32"/>
        </w:rPr>
        <w:t>州财政局：</w:t>
      </w:r>
    </w:p>
    <w:p>
      <w:pPr>
        <w:pStyle w:val="9"/>
        <w:shd w:val="clear" w:color="auto" w:fill="FFFFFF"/>
        <w:spacing w:before="0" w:beforeAutospacing="0" w:after="0" w:afterAutospacing="0" w:line="560" w:lineRule="exact"/>
        <w:ind w:firstLine="640" w:firstLineChars="200"/>
        <w:rPr>
          <w:rFonts w:ascii="仿宋_GB2312" w:eastAsia="仿宋_GB2312" w:cs="Arial"/>
          <w:color w:val="000000" w:themeColor="text1"/>
          <w:sz w:val="32"/>
          <w:szCs w:val="32"/>
        </w:rPr>
      </w:pPr>
      <w:r>
        <w:rPr>
          <w:rFonts w:hint="eastAsia" w:ascii="仿宋_GB2312" w:eastAsia="仿宋_GB2312" w:cs="Arial"/>
          <w:color w:val="000000" w:themeColor="text1"/>
          <w:sz w:val="32"/>
          <w:szCs w:val="32"/>
        </w:rPr>
        <w:t>按照《阿坝州财政局关于开展202</w:t>
      </w:r>
      <w:r>
        <w:rPr>
          <w:rFonts w:hint="eastAsia" w:ascii="仿宋_GB2312" w:eastAsia="仿宋_GB2312" w:cs="Arial"/>
          <w:color w:val="000000" w:themeColor="text1"/>
          <w:sz w:val="32"/>
          <w:szCs w:val="32"/>
          <w:lang w:val="en-US" w:eastAsia="zh-CN"/>
        </w:rPr>
        <w:t>3</w:t>
      </w:r>
      <w:r>
        <w:rPr>
          <w:rFonts w:hint="eastAsia" w:ascii="仿宋_GB2312" w:eastAsia="仿宋_GB2312" w:cs="Arial"/>
          <w:color w:val="000000" w:themeColor="text1"/>
          <w:sz w:val="32"/>
          <w:szCs w:val="32"/>
        </w:rPr>
        <w:t>年</w:t>
      </w:r>
      <w:r>
        <w:rPr>
          <w:rFonts w:hint="eastAsia" w:ascii="仿宋_GB2312" w:eastAsia="仿宋_GB2312" w:cs="Arial"/>
          <w:color w:val="000000" w:themeColor="text1"/>
          <w:sz w:val="32"/>
          <w:szCs w:val="32"/>
          <w:lang w:val="en-US" w:eastAsia="zh-CN"/>
        </w:rPr>
        <w:t>财政重点</w:t>
      </w:r>
      <w:r>
        <w:rPr>
          <w:rFonts w:hint="eastAsia" w:ascii="仿宋_GB2312" w:eastAsia="仿宋_GB2312" w:cs="Arial"/>
          <w:color w:val="000000" w:themeColor="text1"/>
          <w:sz w:val="32"/>
          <w:szCs w:val="32"/>
        </w:rPr>
        <w:t>绩效评价工作的通知》（阿州财监绩〔202</w:t>
      </w:r>
      <w:r>
        <w:rPr>
          <w:rFonts w:hint="eastAsia" w:ascii="仿宋_GB2312" w:eastAsia="仿宋_GB2312" w:cs="Arial"/>
          <w:color w:val="000000" w:themeColor="text1"/>
          <w:sz w:val="32"/>
          <w:szCs w:val="32"/>
          <w:lang w:val="en-US" w:eastAsia="zh-CN"/>
        </w:rPr>
        <w:t>3</w:t>
      </w:r>
      <w:r>
        <w:rPr>
          <w:rFonts w:hint="eastAsia" w:ascii="仿宋_GB2312" w:eastAsia="仿宋_GB2312" w:cs="Arial"/>
          <w:color w:val="000000" w:themeColor="text1"/>
          <w:sz w:val="32"/>
          <w:szCs w:val="32"/>
        </w:rPr>
        <w:t>〕1</w:t>
      </w:r>
      <w:r>
        <w:rPr>
          <w:rFonts w:hint="eastAsia" w:ascii="仿宋_GB2312" w:eastAsia="仿宋_GB2312" w:cs="Arial"/>
          <w:color w:val="000000" w:themeColor="text1"/>
          <w:sz w:val="32"/>
          <w:szCs w:val="32"/>
          <w:lang w:val="en-US" w:eastAsia="zh-CN"/>
        </w:rPr>
        <w:t>7</w:t>
      </w:r>
      <w:r>
        <w:rPr>
          <w:rFonts w:hint="eastAsia" w:ascii="仿宋_GB2312" w:eastAsia="仿宋_GB2312" w:cs="Arial"/>
          <w:color w:val="000000" w:themeColor="text1"/>
          <w:sz w:val="32"/>
          <w:szCs w:val="32"/>
        </w:rPr>
        <w:t>号）要求，现将我局2022年部门整体支出绩效自评情况报告如下：</w:t>
      </w:r>
    </w:p>
    <w:p>
      <w:pPr>
        <w:widowControl/>
        <w:adjustRightInd w:val="0"/>
        <w:snapToGrid w:val="0"/>
        <w:spacing w:line="560" w:lineRule="exact"/>
        <w:ind w:firstLine="640" w:firstLineChars="200"/>
        <w:contextualSpacing/>
        <w:jc w:val="left"/>
        <w:rPr>
          <w:rFonts w:ascii="黑体" w:eastAsia="黑体" w:cs="宋体"/>
          <w:color w:val="000000" w:themeColor="text1"/>
          <w:kern w:val="0"/>
          <w:szCs w:val="32"/>
          <w:shd w:val="clear" w:color="auto" w:fill="FFFFFF"/>
          <w:lang w:val="zh-CN"/>
        </w:rPr>
      </w:pPr>
      <w:r>
        <w:rPr>
          <w:rFonts w:hint="eastAsia" w:ascii="黑体" w:eastAsia="黑体" w:cs="宋体"/>
          <w:color w:val="000000" w:themeColor="text1"/>
          <w:kern w:val="0"/>
          <w:szCs w:val="32"/>
          <w:shd w:val="clear" w:color="auto" w:fill="FFFFFF"/>
        </w:rPr>
        <w:t>一、</w:t>
      </w:r>
      <w:r>
        <w:rPr>
          <w:rFonts w:hint="eastAsia" w:ascii="黑体" w:eastAsia="黑体" w:cs="宋体"/>
          <w:color w:val="000000" w:themeColor="text1"/>
          <w:kern w:val="0"/>
          <w:szCs w:val="32"/>
          <w:shd w:val="clear" w:color="auto" w:fill="FFFFFF"/>
          <w:lang w:val="zh-CN"/>
        </w:rPr>
        <w:t>单位概况</w:t>
      </w:r>
    </w:p>
    <w:p>
      <w:pPr>
        <w:widowControl/>
        <w:adjustRightInd w:val="0"/>
        <w:snapToGrid w:val="0"/>
        <w:spacing w:line="560" w:lineRule="exact"/>
        <w:ind w:firstLine="643" w:firstLineChars="200"/>
        <w:contextualSpacing/>
        <w:jc w:val="left"/>
        <w:rPr>
          <w:rFonts w:hint="eastAsia" w:ascii="楷体_GB2312" w:hAnsi="楷体_GB2312" w:eastAsia="楷体_GB2312" w:cs="楷体_GB2312"/>
          <w:b/>
          <w:bCs/>
          <w:color w:val="000000" w:themeColor="text1"/>
          <w:kern w:val="0"/>
          <w:szCs w:val="32"/>
          <w:shd w:val="clear" w:color="auto" w:fill="FFFFFF"/>
          <w:lang w:val="zh-CN"/>
        </w:rPr>
      </w:pPr>
      <w:r>
        <w:rPr>
          <w:rFonts w:hint="eastAsia" w:ascii="楷体_GB2312" w:hAnsi="楷体_GB2312" w:eastAsia="楷体_GB2312" w:cs="楷体_GB2312"/>
          <w:b/>
          <w:bCs/>
          <w:color w:val="000000" w:themeColor="text1"/>
          <w:kern w:val="0"/>
          <w:szCs w:val="32"/>
          <w:shd w:val="clear" w:color="auto" w:fill="FFFFFF"/>
          <w:lang w:val="zh-CN"/>
        </w:rPr>
        <w:t>（一）机构组成</w:t>
      </w:r>
    </w:p>
    <w:p>
      <w:pPr>
        <w:spacing w:line="560" w:lineRule="exact"/>
        <w:ind w:firstLine="640" w:firstLineChars="200"/>
        <w:rPr>
          <w:rFonts w:ascii="仿宋_GB2312" w:cs="仿宋"/>
          <w:b/>
          <w:color w:val="000000" w:themeColor="text1"/>
          <w:szCs w:val="32"/>
        </w:rPr>
      </w:pPr>
      <w:r>
        <w:rPr>
          <w:rFonts w:hint="eastAsia" w:ascii="仿宋_GB2312" w:cs="仿宋"/>
          <w:color w:val="000000" w:themeColor="text1"/>
          <w:szCs w:val="32"/>
        </w:rPr>
        <w:t>我局下设</w:t>
      </w:r>
      <w:r>
        <w:rPr>
          <w:color w:val="000000" w:themeColor="text1"/>
          <w:szCs w:val="32"/>
        </w:rPr>
        <w:t>7个部</w:t>
      </w:r>
      <w:r>
        <w:rPr>
          <w:rFonts w:hint="eastAsia" w:ascii="仿宋_GB2312" w:cs="仿宋"/>
          <w:color w:val="000000" w:themeColor="text1"/>
          <w:szCs w:val="32"/>
        </w:rPr>
        <w:t>室，办公室、野生动植物保护部、栖息地保护部、科研教育部、社区协调发展部、法规督查部、建设管理部。</w:t>
      </w:r>
    </w:p>
    <w:p>
      <w:pPr>
        <w:widowControl/>
        <w:adjustRightInd w:val="0"/>
        <w:snapToGrid w:val="0"/>
        <w:spacing w:line="560" w:lineRule="exact"/>
        <w:ind w:firstLine="643" w:firstLineChars="200"/>
        <w:contextualSpacing/>
        <w:jc w:val="left"/>
        <w:rPr>
          <w:rFonts w:hint="eastAsia" w:ascii="楷体_GB2312" w:hAnsi="楷体_GB2312" w:eastAsia="楷体_GB2312" w:cs="楷体_GB2312"/>
          <w:b/>
          <w:bCs/>
          <w:color w:val="000000" w:themeColor="text1"/>
          <w:kern w:val="0"/>
          <w:szCs w:val="32"/>
          <w:shd w:val="clear" w:color="auto" w:fill="FFFFFF"/>
          <w:lang w:val="zh-CN"/>
        </w:rPr>
      </w:pPr>
      <w:r>
        <w:rPr>
          <w:rFonts w:hint="eastAsia" w:ascii="楷体_GB2312" w:hAnsi="楷体_GB2312" w:eastAsia="楷体_GB2312" w:cs="楷体_GB2312"/>
          <w:b/>
          <w:bCs/>
          <w:color w:val="000000" w:themeColor="text1"/>
          <w:kern w:val="0"/>
          <w:szCs w:val="32"/>
          <w:shd w:val="clear" w:color="auto" w:fill="FFFFFF"/>
          <w:lang w:val="zh-CN"/>
        </w:rPr>
        <w:t>（二）机构职能</w:t>
      </w:r>
    </w:p>
    <w:p>
      <w:pPr>
        <w:spacing w:line="560" w:lineRule="exact"/>
        <w:ind w:firstLine="627" w:firstLineChars="196"/>
        <w:rPr>
          <w:b/>
          <w:color w:val="000000" w:themeColor="text1"/>
          <w:szCs w:val="32"/>
        </w:rPr>
      </w:pPr>
      <w:r>
        <w:rPr>
          <w:rFonts w:hint="eastAsia" w:ascii="仿宋_GB2312" w:cs="仿宋"/>
          <w:color w:val="000000" w:themeColor="text1"/>
          <w:szCs w:val="32"/>
        </w:rPr>
        <w:t>根据阿委办</w:t>
      </w:r>
      <w:r>
        <w:rPr>
          <w:color w:val="000000" w:themeColor="text1"/>
          <w:szCs w:val="32"/>
        </w:rPr>
        <w:t>发〔2020〕12号文件规定，我局主要职责是：具体承担辖区内大熊猫国家公园体制试点工作。负责以大熊猫为核心的生物多样性保护和资源环境综合执法；负责项目审查；组织实施特许经营和社会参与，建立社区可持续发展机制；配合地方政府落实国家公园内生产经营设施退出和生态移民搬迁工作；开展巡护监测、科学研究、生态体验和科普教育；组织实施生态工程、保护设施建设。完成省局交办的其他工作。</w:t>
      </w:r>
    </w:p>
    <w:p>
      <w:pPr>
        <w:spacing w:line="560" w:lineRule="exact"/>
        <w:ind w:firstLine="640" w:firstLineChars="200"/>
        <w:rPr>
          <w:color w:val="000000" w:themeColor="text1"/>
          <w:szCs w:val="32"/>
        </w:rPr>
      </w:pPr>
      <w:r>
        <w:rPr>
          <w:rFonts w:hint="eastAsia"/>
          <w:color w:val="000000" w:themeColor="text1"/>
          <w:szCs w:val="32"/>
        </w:rPr>
        <w:t>负责</w:t>
      </w:r>
      <w:r>
        <w:rPr>
          <w:color w:val="000000" w:themeColor="text1"/>
          <w:szCs w:val="32"/>
        </w:rPr>
        <w:t>监督管理大熊猫国家公园阿坝园区野生动植物保护工作。开展阿坝园区野生动植物资源调查和资源状况评估，制定和落实野生动植物资源保护发展方案；监督管理阿坝园区陆生野生植物的采集、培植、经营利用；组织开展大熊猫保护、繁育、科研工作以及对外合作研究展示管理工作；开展陆生野生植物救护工作，开展野生动植物资源的保护与开发利用工作；开展陆生野生动物疫源疫病监测工作。</w:t>
      </w:r>
    </w:p>
    <w:p>
      <w:pPr>
        <w:spacing w:line="560" w:lineRule="exact"/>
        <w:ind w:firstLine="640" w:firstLineChars="200"/>
        <w:rPr>
          <w:color w:val="000000" w:themeColor="text1"/>
          <w:szCs w:val="32"/>
        </w:rPr>
      </w:pPr>
      <w:r>
        <w:rPr>
          <w:color w:val="000000" w:themeColor="text1"/>
          <w:szCs w:val="32"/>
        </w:rPr>
        <w:t>负责栖息地保护管理和相关规划。组织编制并组织实施大熊猫国家公园有关规划；负责大熊猫国家公园区划调整和保护地整合相关工作；组织开展大熊猫国家公园自然资源资产调查统计、监测评价；制定实施大熊猫国家公园自然生态保护计划和措施；组织实施大熊猫国家公园生态修复；负责规定权限内的项目审查。</w:t>
      </w:r>
    </w:p>
    <w:p>
      <w:pPr>
        <w:spacing w:line="560" w:lineRule="exact"/>
        <w:ind w:firstLine="640" w:firstLineChars="200"/>
        <w:rPr>
          <w:color w:val="000000" w:themeColor="text1"/>
          <w:szCs w:val="32"/>
        </w:rPr>
      </w:pPr>
      <w:r>
        <w:rPr>
          <w:color w:val="000000" w:themeColor="text1"/>
          <w:szCs w:val="32"/>
        </w:rPr>
        <w:t>负责大熊猫研究和科普宣教。组织开展国家公园大熊猫保护科学研究；组织开展大熊猫国家公园生物多样性和其他重要物种保护科学研究；承担大熊猫国家公园对外交流合作；组织开展大熊猫国家公园科学普及和自然教育活动；指导开展大熊猫国家公园游憩展示、生态体验和文化品牌建设。</w:t>
      </w:r>
    </w:p>
    <w:p>
      <w:pPr>
        <w:spacing w:line="560" w:lineRule="exact"/>
        <w:ind w:firstLine="640" w:firstLineChars="200"/>
        <w:rPr>
          <w:color w:val="000000" w:themeColor="text1"/>
          <w:szCs w:val="32"/>
        </w:rPr>
      </w:pPr>
      <w:r>
        <w:rPr>
          <w:color w:val="000000" w:themeColor="text1"/>
          <w:szCs w:val="32"/>
        </w:rPr>
        <w:t>负责建立社区生态保护共建共管运行机制。监督管理大熊猫国家公园特许经营活动；组织实施大熊猫国家公园生态移民搬迁工作；开展大熊猫国家公园社会参与、生态公益岗位管理；开展大熊猫国家公园社区共建共管；加强大熊猫国家公园生态产业发展；开展大熊猫国家公园集体土地流转和生态效益补偿。</w:t>
      </w:r>
    </w:p>
    <w:p>
      <w:pPr>
        <w:spacing w:line="560" w:lineRule="exact"/>
        <w:ind w:firstLine="640" w:firstLineChars="200"/>
        <w:rPr>
          <w:color w:val="000000" w:themeColor="text1"/>
          <w:szCs w:val="32"/>
        </w:rPr>
      </w:pPr>
      <w:r>
        <w:rPr>
          <w:color w:val="000000" w:themeColor="text1"/>
          <w:szCs w:val="32"/>
        </w:rPr>
        <w:t>负责政策法规研究和执法监督。组织开展大熊猫国家公园重大问题调查研究；执行大熊猫国家公园栖息地保护管理重要政策和标准；执行大熊猫国家公园相关法规和规章；开展大熊猫国家公园资源环境综合执法；配合大熊猫国家公园生态环境保护督察检查；负责大熊猫国家公园资源环境综合执法队伍建设。</w:t>
      </w:r>
    </w:p>
    <w:p>
      <w:pPr>
        <w:spacing w:line="560" w:lineRule="exact"/>
        <w:ind w:firstLine="640" w:firstLineChars="200"/>
        <w:rPr>
          <w:color w:val="000000" w:themeColor="text1"/>
          <w:szCs w:val="32"/>
        </w:rPr>
      </w:pPr>
      <w:r>
        <w:rPr>
          <w:color w:val="000000" w:themeColor="text1"/>
          <w:szCs w:val="32"/>
        </w:rPr>
        <w:t>负责各项建设和运行管理。组织编制并实施大熊猫国家公园基础设施建设规划；配合地方政府落实退出大熊猫国家公园生产经营设施；承担大熊猫国家公园管理、运营、公共服务等基础设施建设；承担大熊猫国家公园标识标志设置管理；负责大熊猫国家公园相关资产和设备管理；承担大熊猫国家公园数字化建设工作。</w:t>
      </w:r>
    </w:p>
    <w:p>
      <w:pPr>
        <w:widowControl/>
        <w:adjustRightInd w:val="0"/>
        <w:snapToGrid w:val="0"/>
        <w:spacing w:line="560" w:lineRule="exact"/>
        <w:ind w:firstLine="482" w:firstLineChars="150"/>
        <w:contextualSpacing/>
        <w:jc w:val="left"/>
        <w:rPr>
          <w:rFonts w:hint="eastAsia" w:ascii="楷体_GB2312" w:hAnsi="楷体_GB2312" w:eastAsia="楷体_GB2312" w:cs="楷体_GB2312"/>
          <w:b/>
          <w:bCs/>
          <w:color w:val="000000" w:themeColor="text1"/>
          <w:kern w:val="0"/>
          <w:szCs w:val="32"/>
          <w:shd w:val="clear" w:color="auto" w:fill="FFFFFF"/>
          <w:lang w:val="zh-CN"/>
        </w:rPr>
      </w:pPr>
      <w:r>
        <w:rPr>
          <w:rFonts w:hint="eastAsia" w:ascii="楷体_GB2312" w:hAnsi="楷体_GB2312" w:eastAsia="楷体_GB2312" w:cs="楷体_GB2312"/>
          <w:b/>
          <w:bCs/>
          <w:color w:val="000000" w:themeColor="text1"/>
          <w:kern w:val="0"/>
          <w:szCs w:val="32"/>
          <w:shd w:val="clear" w:color="auto" w:fill="FFFFFF"/>
          <w:lang w:val="zh-CN"/>
        </w:rPr>
        <w:t>（三）人员概况</w:t>
      </w:r>
    </w:p>
    <w:p>
      <w:pPr>
        <w:spacing w:line="560" w:lineRule="exact"/>
        <w:ind w:firstLine="640" w:firstLineChars="200"/>
        <w:rPr>
          <w:rFonts w:hint="eastAsia" w:ascii="仿宋_GB2312" w:hAnsi="仿宋_GB2312" w:eastAsia="仿宋_GB2312" w:cs="仿宋_GB2312"/>
          <w:color w:val="000000" w:themeColor="text1"/>
          <w:szCs w:val="32"/>
        </w:rPr>
      </w:pPr>
      <w:r>
        <w:rPr>
          <w:rFonts w:hint="eastAsia" w:ascii="仿宋_GB2312" w:hAnsi="仿宋_GB2312" w:eastAsia="仿宋_GB2312" w:cs="仿宋_GB2312"/>
          <w:color w:val="000000" w:themeColor="text1"/>
          <w:szCs w:val="32"/>
        </w:rPr>
        <w:t>根据中共阿坝州委机构编制委员会核准，事业编制24名。核定管理岗位11人、工勤岗位2人、专业技术岗位11人</w:t>
      </w:r>
      <w:r>
        <w:rPr>
          <w:rFonts w:hint="eastAsia" w:ascii="仿宋_GB2312" w:hAnsi="仿宋_GB2312" w:eastAsia="仿宋_GB2312" w:cs="仿宋_GB2312"/>
          <w:color w:val="000000" w:themeColor="text1"/>
          <w:szCs w:val="32"/>
          <w:lang w:eastAsia="zh-CN"/>
        </w:rPr>
        <w:t>，</w:t>
      </w:r>
      <w:r>
        <w:rPr>
          <w:rFonts w:hint="eastAsia" w:ascii="仿宋_GB2312" w:hAnsi="仿宋_GB2312" w:eastAsia="仿宋_GB2312" w:cs="仿宋_GB2312"/>
          <w:color w:val="000000" w:themeColor="text1"/>
          <w:szCs w:val="32"/>
          <w:lang w:val="en-US" w:eastAsia="zh-CN"/>
        </w:rPr>
        <w:t>年末在职人数23人</w:t>
      </w:r>
      <w:r>
        <w:rPr>
          <w:rFonts w:hint="eastAsia" w:ascii="仿宋_GB2312" w:hAnsi="仿宋_GB2312" w:eastAsia="仿宋_GB2312" w:cs="仿宋_GB2312"/>
          <w:color w:val="000000" w:themeColor="text1"/>
          <w:szCs w:val="32"/>
        </w:rPr>
        <w:t>。</w:t>
      </w:r>
    </w:p>
    <w:p>
      <w:pPr>
        <w:widowControl/>
        <w:adjustRightInd w:val="0"/>
        <w:snapToGrid w:val="0"/>
        <w:spacing w:line="560" w:lineRule="exact"/>
        <w:ind w:firstLine="640" w:firstLineChars="200"/>
        <w:contextualSpacing/>
        <w:jc w:val="left"/>
        <w:rPr>
          <w:rFonts w:ascii="黑体" w:eastAsia="黑体" w:cs="宋体"/>
          <w:color w:val="000000" w:themeColor="text1"/>
          <w:kern w:val="0"/>
          <w:szCs w:val="32"/>
          <w:shd w:val="clear" w:color="auto" w:fill="FFFFFF"/>
        </w:rPr>
      </w:pPr>
      <w:r>
        <w:rPr>
          <w:rFonts w:hint="eastAsia" w:ascii="黑体" w:eastAsia="黑体" w:cs="宋体"/>
          <w:color w:val="000000" w:themeColor="text1"/>
          <w:kern w:val="0"/>
          <w:szCs w:val="32"/>
          <w:shd w:val="clear" w:color="auto" w:fill="FFFFFF"/>
        </w:rPr>
        <w:t>二、部门财政资金收支情况</w:t>
      </w:r>
    </w:p>
    <w:p>
      <w:pPr>
        <w:widowControl/>
        <w:adjustRightInd w:val="0"/>
        <w:snapToGrid w:val="0"/>
        <w:spacing w:line="560" w:lineRule="exact"/>
        <w:ind w:firstLine="643" w:firstLineChars="200"/>
        <w:contextualSpacing/>
        <w:jc w:val="left"/>
        <w:rPr>
          <w:rFonts w:hint="eastAsia" w:ascii="楷体_GB2312" w:hAnsi="楷体_GB2312" w:eastAsia="楷体_GB2312" w:cs="楷体_GB2312"/>
          <w:b/>
          <w:bCs/>
          <w:color w:val="000000" w:themeColor="text1"/>
          <w:kern w:val="0"/>
          <w:szCs w:val="32"/>
          <w:shd w:val="clear" w:color="auto" w:fill="FFFFFF"/>
          <w:lang w:val="zh-CN"/>
        </w:rPr>
      </w:pPr>
      <w:r>
        <w:rPr>
          <w:rFonts w:hint="eastAsia" w:ascii="楷体_GB2312" w:hAnsi="楷体_GB2312" w:eastAsia="楷体_GB2312" w:cs="楷体_GB2312"/>
          <w:b/>
          <w:bCs/>
          <w:color w:val="000000" w:themeColor="text1"/>
          <w:kern w:val="0"/>
          <w:szCs w:val="32"/>
          <w:shd w:val="clear" w:color="auto" w:fill="FFFFFF"/>
          <w:lang w:val="zh-CN"/>
        </w:rPr>
        <w:t>（一）部门财政资金收入情况</w:t>
      </w:r>
    </w:p>
    <w:p>
      <w:pPr>
        <w:pStyle w:val="9"/>
        <w:shd w:val="clear" w:color="auto" w:fill="FFFFFF"/>
        <w:spacing w:before="0" w:beforeAutospacing="0" w:after="0" w:afterAutospacing="0" w:line="560" w:lineRule="exact"/>
        <w:ind w:firstLine="640" w:firstLineChars="200"/>
        <w:rPr>
          <w:rFonts w:ascii="仿宋_GB2312" w:eastAsia="仿宋_GB2312" w:cs="Arial"/>
          <w:color w:val="000000" w:themeColor="text1"/>
          <w:sz w:val="32"/>
          <w:szCs w:val="32"/>
        </w:rPr>
      </w:pPr>
      <w:r>
        <w:rPr>
          <w:rFonts w:hint="eastAsia" w:ascii="仿宋_GB2312" w:eastAsia="仿宋_GB2312" w:cs="Arial"/>
          <w:color w:val="000000" w:themeColor="text1"/>
          <w:sz w:val="32"/>
          <w:szCs w:val="32"/>
        </w:rPr>
        <w:t>202</w:t>
      </w:r>
      <w:r>
        <w:rPr>
          <w:rFonts w:hint="eastAsia" w:ascii="仿宋_GB2312" w:eastAsia="仿宋_GB2312" w:cs="Arial"/>
          <w:color w:val="000000" w:themeColor="text1"/>
          <w:sz w:val="32"/>
          <w:szCs w:val="32"/>
          <w:lang w:val="en-US" w:eastAsia="zh-CN"/>
        </w:rPr>
        <w:t>2</w:t>
      </w:r>
      <w:r>
        <w:rPr>
          <w:rFonts w:hint="eastAsia" w:ascii="仿宋_GB2312" w:eastAsia="仿宋_GB2312" w:cs="Arial"/>
          <w:color w:val="000000" w:themeColor="text1"/>
          <w:sz w:val="32"/>
          <w:szCs w:val="32"/>
        </w:rPr>
        <w:t>年部门财政拨款收入总数</w:t>
      </w:r>
      <w:r>
        <w:rPr>
          <w:rFonts w:hint="eastAsia" w:ascii="仿宋_GB2312" w:eastAsia="仿宋_GB2312"/>
          <w:sz w:val="32"/>
          <w:szCs w:val="32"/>
        </w:rPr>
        <w:t>693.79</w:t>
      </w:r>
      <w:r>
        <w:rPr>
          <w:rFonts w:hint="eastAsia" w:ascii="仿宋_GB2312" w:eastAsia="仿宋_GB2312" w:cs="Arial"/>
          <w:color w:val="000000" w:themeColor="text1"/>
          <w:sz w:val="32"/>
          <w:szCs w:val="32"/>
        </w:rPr>
        <w:t>万元,202</w:t>
      </w:r>
      <w:r>
        <w:rPr>
          <w:rFonts w:hint="eastAsia" w:ascii="仿宋_GB2312" w:eastAsia="仿宋_GB2312" w:cs="Arial"/>
          <w:color w:val="000000" w:themeColor="text1"/>
          <w:sz w:val="32"/>
          <w:szCs w:val="32"/>
          <w:lang w:val="en-US" w:eastAsia="zh-CN"/>
        </w:rPr>
        <w:t>1</w:t>
      </w:r>
      <w:r>
        <w:rPr>
          <w:rFonts w:hint="eastAsia" w:ascii="仿宋_GB2312" w:eastAsia="仿宋_GB2312" w:cs="Arial"/>
          <w:color w:val="000000" w:themeColor="text1"/>
          <w:sz w:val="32"/>
          <w:szCs w:val="32"/>
        </w:rPr>
        <w:t>年部门财政拨款收入总数</w:t>
      </w:r>
      <w:r>
        <w:rPr>
          <w:rFonts w:hint="eastAsia" w:ascii="仿宋_GB2312" w:eastAsia="仿宋_GB2312" w:cs="Arial"/>
          <w:color w:val="000000" w:themeColor="text1"/>
          <w:sz w:val="32"/>
          <w:szCs w:val="32"/>
          <w:lang w:val="en-US" w:eastAsia="zh-CN"/>
        </w:rPr>
        <w:t>558.88</w:t>
      </w:r>
      <w:r>
        <w:rPr>
          <w:rFonts w:hint="eastAsia" w:ascii="仿宋_GB2312" w:eastAsia="仿宋_GB2312" w:cs="Arial"/>
          <w:color w:val="000000" w:themeColor="text1"/>
          <w:sz w:val="32"/>
          <w:szCs w:val="32"/>
        </w:rPr>
        <w:t>万元，202</w:t>
      </w:r>
      <w:r>
        <w:rPr>
          <w:rFonts w:hint="eastAsia" w:ascii="仿宋_GB2312" w:eastAsia="仿宋_GB2312" w:cs="Arial"/>
          <w:color w:val="000000" w:themeColor="text1"/>
          <w:sz w:val="32"/>
          <w:szCs w:val="32"/>
          <w:lang w:val="en-US" w:eastAsia="zh-CN"/>
        </w:rPr>
        <w:t>2</w:t>
      </w:r>
      <w:r>
        <w:rPr>
          <w:rFonts w:hint="eastAsia" w:ascii="仿宋_GB2312" w:eastAsia="仿宋_GB2312" w:cs="Arial"/>
          <w:color w:val="000000" w:themeColor="text1"/>
          <w:sz w:val="32"/>
          <w:szCs w:val="32"/>
        </w:rPr>
        <w:t>年同比增长</w:t>
      </w:r>
      <w:r>
        <w:rPr>
          <w:rFonts w:hint="eastAsia" w:ascii="仿宋_GB2312" w:eastAsia="仿宋_GB2312" w:cs="Arial"/>
          <w:color w:val="000000" w:themeColor="text1"/>
          <w:sz w:val="32"/>
          <w:szCs w:val="32"/>
          <w:lang w:val="en-US" w:eastAsia="zh-CN"/>
        </w:rPr>
        <w:t>134.91</w:t>
      </w:r>
      <w:r>
        <w:rPr>
          <w:rFonts w:hint="eastAsia" w:ascii="仿宋_GB2312" w:eastAsia="仿宋_GB2312" w:cs="Arial"/>
          <w:color w:val="000000" w:themeColor="text1"/>
          <w:sz w:val="32"/>
          <w:szCs w:val="32"/>
        </w:rPr>
        <w:t>万元。</w:t>
      </w:r>
    </w:p>
    <w:p>
      <w:pPr>
        <w:widowControl/>
        <w:adjustRightInd w:val="0"/>
        <w:snapToGrid w:val="0"/>
        <w:spacing w:line="560" w:lineRule="exact"/>
        <w:ind w:firstLine="643" w:firstLineChars="200"/>
        <w:contextualSpacing/>
        <w:jc w:val="left"/>
        <w:rPr>
          <w:rFonts w:hint="eastAsia" w:ascii="楷体_GB2312" w:hAnsi="楷体_GB2312" w:eastAsia="楷体_GB2312" w:cs="楷体_GB2312"/>
          <w:b/>
          <w:bCs/>
          <w:color w:val="000000" w:themeColor="text1"/>
          <w:kern w:val="0"/>
          <w:szCs w:val="32"/>
          <w:shd w:val="clear" w:color="auto" w:fill="FFFFFF"/>
          <w:lang w:val="zh-CN"/>
        </w:rPr>
      </w:pPr>
      <w:r>
        <w:rPr>
          <w:rFonts w:hint="eastAsia" w:ascii="楷体_GB2312" w:hAnsi="楷体_GB2312" w:eastAsia="楷体_GB2312" w:cs="楷体_GB2312"/>
          <w:b/>
          <w:bCs/>
          <w:color w:val="000000" w:themeColor="text1"/>
          <w:kern w:val="0"/>
          <w:szCs w:val="32"/>
          <w:shd w:val="clear" w:color="auto" w:fill="FFFFFF"/>
          <w:lang w:val="zh-CN"/>
        </w:rPr>
        <w:t xml:space="preserve">（二）部门财政资金支出情况  </w:t>
      </w:r>
    </w:p>
    <w:p>
      <w:pPr>
        <w:spacing w:line="550" w:lineRule="exact"/>
        <w:ind w:firstLine="640" w:firstLineChars="200"/>
        <w:rPr>
          <w:rFonts w:hint="default" w:ascii="仿宋_GB2312" w:eastAsia="仿宋_GB2312"/>
          <w:color w:val="000000" w:themeColor="text1"/>
          <w:szCs w:val="32"/>
          <w:lang w:val="en-US" w:eastAsia="zh-CN"/>
        </w:rPr>
      </w:pPr>
      <w:r>
        <w:rPr>
          <w:rFonts w:hint="eastAsia" w:ascii="仿宋_GB2312" w:cs="Arial"/>
          <w:color w:val="000000" w:themeColor="text1"/>
          <w:szCs w:val="32"/>
        </w:rPr>
        <w:t>202</w:t>
      </w:r>
      <w:r>
        <w:rPr>
          <w:rFonts w:hint="eastAsia" w:ascii="仿宋_GB2312" w:cs="Arial"/>
          <w:color w:val="000000" w:themeColor="text1"/>
          <w:szCs w:val="32"/>
          <w:lang w:val="en-US" w:eastAsia="zh-CN"/>
        </w:rPr>
        <w:t>2</w:t>
      </w:r>
      <w:r>
        <w:rPr>
          <w:rFonts w:hint="eastAsia" w:ascii="仿宋_GB2312" w:cs="Arial"/>
          <w:color w:val="000000" w:themeColor="text1"/>
          <w:szCs w:val="32"/>
        </w:rPr>
        <w:t>年全年支出</w:t>
      </w:r>
      <w:r>
        <w:rPr>
          <w:rFonts w:hint="eastAsia" w:ascii="仿宋_GB2312" w:eastAsia="仿宋_GB2312"/>
          <w:sz w:val="32"/>
          <w:szCs w:val="32"/>
        </w:rPr>
        <w:t>693.79</w:t>
      </w:r>
      <w:r>
        <w:rPr>
          <w:rFonts w:hint="eastAsia" w:ascii="仿宋_GB2312" w:cs="Arial"/>
          <w:color w:val="000000" w:themeColor="text1"/>
          <w:szCs w:val="32"/>
        </w:rPr>
        <w:t>万元</w:t>
      </w:r>
      <w:r>
        <w:rPr>
          <w:rFonts w:hint="eastAsia" w:ascii="仿宋_GB2312" w:cs="Arial"/>
          <w:color w:val="000000" w:themeColor="text1"/>
          <w:szCs w:val="32"/>
          <w:lang w:eastAsia="zh-CN"/>
        </w:rPr>
        <w:t>，</w:t>
      </w:r>
      <w:r>
        <w:rPr>
          <w:rFonts w:hint="eastAsia" w:ascii="仿宋_GB2312" w:cs="Arial"/>
          <w:color w:val="000000" w:themeColor="text1"/>
          <w:szCs w:val="32"/>
        </w:rPr>
        <w:t>202</w:t>
      </w:r>
      <w:r>
        <w:rPr>
          <w:rFonts w:hint="eastAsia" w:ascii="仿宋_GB2312" w:cs="Arial"/>
          <w:color w:val="000000" w:themeColor="text1"/>
          <w:szCs w:val="32"/>
          <w:lang w:val="en-US" w:eastAsia="zh-CN"/>
        </w:rPr>
        <w:t>1</w:t>
      </w:r>
      <w:r>
        <w:rPr>
          <w:rFonts w:hint="eastAsia" w:ascii="仿宋_GB2312" w:cs="Arial"/>
          <w:color w:val="000000" w:themeColor="text1"/>
          <w:szCs w:val="32"/>
        </w:rPr>
        <w:t>年全年支出</w:t>
      </w:r>
      <w:r>
        <w:rPr>
          <w:rFonts w:hint="eastAsia" w:ascii="仿宋_GB2312" w:hAnsi="仿宋" w:eastAsia="仿宋_GB2312"/>
          <w:color w:val="000000"/>
          <w:sz w:val="32"/>
          <w:szCs w:val="32"/>
        </w:rPr>
        <w:t>697.72</w:t>
      </w:r>
      <w:r>
        <w:rPr>
          <w:rFonts w:hint="eastAsia" w:ascii="仿宋_GB2312" w:cs="Arial"/>
          <w:color w:val="000000" w:themeColor="text1"/>
          <w:szCs w:val="32"/>
        </w:rPr>
        <w:t>万元，同比</w:t>
      </w:r>
      <w:r>
        <w:rPr>
          <w:rFonts w:hint="eastAsia" w:ascii="仿宋_GB2312" w:cs="Arial"/>
          <w:color w:val="000000" w:themeColor="text1"/>
          <w:szCs w:val="32"/>
          <w:lang w:val="en-US" w:eastAsia="zh-CN"/>
        </w:rPr>
        <w:t>减少3.93</w:t>
      </w:r>
      <w:r>
        <w:rPr>
          <w:rFonts w:hint="eastAsia" w:ascii="仿宋_GB2312" w:cs="Arial"/>
          <w:color w:val="000000" w:themeColor="text1"/>
          <w:szCs w:val="32"/>
        </w:rPr>
        <w:t>万元。主要原因是</w:t>
      </w:r>
      <w:r>
        <w:rPr>
          <w:rFonts w:hint="eastAsia" w:ascii="仿宋_GB2312" w:cs="Arial"/>
          <w:color w:val="000000" w:themeColor="text1"/>
          <w:szCs w:val="32"/>
          <w:lang w:val="en-US" w:eastAsia="zh-CN"/>
        </w:rPr>
        <w:t>2021年有60万元公务用车采购支出，2022年虽无公务用车采购支出但激励性绩效进工资，各项保险缴费基数的提高，故增加了人员经费支出，各项费用相抵后2022年支出比2021年有所下降。</w:t>
      </w:r>
    </w:p>
    <w:p>
      <w:pPr>
        <w:pStyle w:val="9"/>
        <w:shd w:val="clear" w:color="auto" w:fill="FFFFFF"/>
        <w:spacing w:before="0" w:beforeAutospacing="0" w:after="0" w:afterAutospacing="0" w:line="560" w:lineRule="exact"/>
        <w:ind w:firstLine="640" w:firstLineChars="200"/>
        <w:rPr>
          <w:rFonts w:ascii="仿宋_GB2312" w:eastAsia="仿宋_GB2312" w:cs="Arial"/>
          <w:color w:val="000000" w:themeColor="text1"/>
          <w:sz w:val="32"/>
          <w:szCs w:val="32"/>
        </w:rPr>
      </w:pPr>
      <w:r>
        <w:rPr>
          <w:rFonts w:hint="eastAsia" w:ascii="仿宋_GB2312" w:eastAsia="仿宋_GB2312" w:cs="Arial"/>
          <w:color w:val="000000" w:themeColor="text1"/>
          <w:sz w:val="32"/>
          <w:szCs w:val="32"/>
        </w:rPr>
        <w:t>202</w:t>
      </w:r>
      <w:r>
        <w:rPr>
          <w:rFonts w:hint="eastAsia" w:ascii="仿宋_GB2312" w:eastAsia="仿宋_GB2312" w:cs="Arial"/>
          <w:color w:val="000000" w:themeColor="text1"/>
          <w:sz w:val="32"/>
          <w:szCs w:val="32"/>
          <w:lang w:val="en-US" w:eastAsia="zh-CN"/>
        </w:rPr>
        <w:t>2</w:t>
      </w:r>
      <w:r>
        <w:rPr>
          <w:rFonts w:hint="eastAsia" w:ascii="仿宋_GB2312" w:eastAsia="仿宋_GB2312" w:cs="Arial"/>
          <w:color w:val="000000" w:themeColor="text1"/>
          <w:sz w:val="32"/>
          <w:szCs w:val="32"/>
        </w:rPr>
        <w:t>年基本支出预算总数</w:t>
      </w:r>
      <w:r>
        <w:rPr>
          <w:rFonts w:hint="eastAsia" w:ascii="仿宋_GB2312" w:eastAsia="仿宋_GB2312" w:cs="Arial"/>
          <w:color w:val="000000" w:themeColor="text1"/>
          <w:sz w:val="32"/>
          <w:szCs w:val="32"/>
          <w:lang w:val="en-US" w:eastAsia="zh-CN"/>
        </w:rPr>
        <w:t>693.79</w:t>
      </w:r>
      <w:r>
        <w:rPr>
          <w:rFonts w:hint="eastAsia" w:ascii="仿宋_GB2312" w:eastAsia="仿宋_GB2312" w:cs="Arial"/>
          <w:color w:val="000000" w:themeColor="text1"/>
          <w:sz w:val="32"/>
          <w:szCs w:val="32"/>
        </w:rPr>
        <w:t>万元，其中：人员支出</w:t>
      </w:r>
      <w:r>
        <w:rPr>
          <w:rFonts w:hint="eastAsia" w:ascii="仿宋_GB2312" w:eastAsia="仿宋_GB2312" w:cs="Arial"/>
          <w:color w:val="000000" w:themeColor="text1"/>
          <w:sz w:val="32"/>
          <w:szCs w:val="32"/>
          <w:lang w:val="en-US" w:eastAsia="zh-CN"/>
        </w:rPr>
        <w:t>497.83</w:t>
      </w:r>
      <w:r>
        <w:rPr>
          <w:rFonts w:hint="eastAsia" w:ascii="仿宋_GB2312" w:eastAsia="仿宋_GB2312" w:cs="Arial"/>
          <w:color w:val="000000" w:themeColor="text1"/>
          <w:sz w:val="32"/>
          <w:szCs w:val="32"/>
        </w:rPr>
        <w:t>万元，公用支出</w:t>
      </w:r>
      <w:r>
        <w:rPr>
          <w:rFonts w:hint="eastAsia" w:ascii="仿宋_GB2312" w:eastAsia="仿宋_GB2312" w:cs="Arial"/>
          <w:color w:val="000000" w:themeColor="text1"/>
          <w:sz w:val="32"/>
          <w:szCs w:val="32"/>
          <w:lang w:val="en-US" w:eastAsia="zh-CN"/>
        </w:rPr>
        <w:t>151.2</w:t>
      </w:r>
      <w:r>
        <w:rPr>
          <w:rFonts w:hint="eastAsia" w:ascii="仿宋_GB2312" w:eastAsia="仿宋_GB2312" w:cs="Arial"/>
          <w:color w:val="000000" w:themeColor="text1"/>
          <w:sz w:val="32"/>
          <w:szCs w:val="32"/>
        </w:rPr>
        <w:t>万元。项目支出预算总额</w:t>
      </w:r>
      <w:r>
        <w:rPr>
          <w:rFonts w:hint="eastAsia" w:ascii="仿宋_GB2312" w:eastAsia="仿宋_GB2312" w:cs="Arial"/>
          <w:color w:val="000000" w:themeColor="text1"/>
          <w:sz w:val="32"/>
          <w:szCs w:val="32"/>
          <w:lang w:val="en-US" w:eastAsia="zh-CN"/>
        </w:rPr>
        <w:t>44.73</w:t>
      </w:r>
      <w:r>
        <w:rPr>
          <w:rFonts w:hint="eastAsia" w:ascii="仿宋_GB2312" w:eastAsia="仿宋_GB2312" w:cs="Arial"/>
          <w:color w:val="000000" w:themeColor="text1"/>
          <w:sz w:val="32"/>
          <w:szCs w:val="32"/>
        </w:rPr>
        <w:t>万元，包括202</w:t>
      </w:r>
      <w:r>
        <w:rPr>
          <w:rFonts w:hint="eastAsia" w:ascii="仿宋_GB2312" w:eastAsia="仿宋_GB2312" w:cs="Arial"/>
          <w:color w:val="000000" w:themeColor="text1"/>
          <w:sz w:val="32"/>
          <w:szCs w:val="32"/>
          <w:lang w:val="en-US" w:eastAsia="zh-CN"/>
        </w:rPr>
        <w:t>2</w:t>
      </w:r>
      <w:r>
        <w:rPr>
          <w:rFonts w:hint="eastAsia" w:ascii="仿宋_GB2312" w:eastAsia="仿宋_GB2312" w:cs="Arial"/>
          <w:color w:val="000000" w:themeColor="text1"/>
          <w:sz w:val="32"/>
          <w:szCs w:val="32"/>
        </w:rPr>
        <w:t>年业务能力提升培训、宣传片制作、</w:t>
      </w:r>
      <w:r>
        <w:rPr>
          <w:rFonts w:hint="eastAsia" w:ascii="仿宋_GB2312" w:eastAsia="仿宋_GB2312" w:cs="Arial"/>
          <w:color w:val="000000" w:themeColor="text1"/>
          <w:sz w:val="32"/>
          <w:szCs w:val="32"/>
          <w:lang w:val="en-US" w:eastAsia="zh-CN"/>
        </w:rPr>
        <w:t>房屋租赁费</w:t>
      </w:r>
      <w:r>
        <w:rPr>
          <w:rFonts w:hint="eastAsia" w:ascii="仿宋_GB2312" w:eastAsia="仿宋_GB2312" w:cs="Arial"/>
          <w:color w:val="000000" w:themeColor="text1"/>
          <w:sz w:val="32"/>
          <w:szCs w:val="32"/>
        </w:rPr>
        <w:t>、</w:t>
      </w:r>
      <w:r>
        <w:rPr>
          <w:rFonts w:hint="eastAsia" w:ascii="仿宋_GB2312" w:eastAsia="仿宋_GB2312" w:cs="Arial"/>
          <w:color w:val="000000" w:themeColor="text1"/>
          <w:sz w:val="32"/>
          <w:szCs w:val="32"/>
          <w:lang w:val="en-US" w:eastAsia="zh-CN"/>
        </w:rPr>
        <w:t>物管费、法律顾问</w:t>
      </w:r>
      <w:r>
        <w:rPr>
          <w:rFonts w:hint="eastAsia" w:ascii="仿宋_GB2312" w:eastAsia="仿宋_GB2312" w:cs="Arial"/>
          <w:color w:val="000000" w:themeColor="text1"/>
          <w:sz w:val="32"/>
          <w:szCs w:val="32"/>
        </w:rPr>
        <w:t>等。</w:t>
      </w:r>
    </w:p>
    <w:p>
      <w:pPr>
        <w:pStyle w:val="9"/>
        <w:shd w:val="clear" w:color="auto" w:fill="FFFFFF"/>
        <w:spacing w:before="0" w:beforeAutospacing="0" w:after="0" w:afterAutospacing="0" w:line="560" w:lineRule="exact"/>
        <w:ind w:firstLine="480"/>
        <w:rPr>
          <w:rFonts w:ascii="仿宋_GB2312" w:eastAsia="仿宋_GB2312"/>
          <w:bCs/>
          <w:color w:val="000000" w:themeColor="text1"/>
          <w:sz w:val="32"/>
          <w:szCs w:val="32"/>
        </w:rPr>
      </w:pPr>
      <w:r>
        <w:rPr>
          <w:rFonts w:hint="eastAsia" w:ascii="仿宋_GB2312" w:eastAsia="仿宋_GB2312" w:cs="Arial"/>
          <w:color w:val="000000" w:themeColor="text1"/>
          <w:sz w:val="32"/>
          <w:szCs w:val="32"/>
        </w:rPr>
        <w:t>“三公经费”情况：202</w:t>
      </w:r>
      <w:r>
        <w:rPr>
          <w:rFonts w:hint="eastAsia" w:ascii="仿宋_GB2312" w:eastAsia="仿宋_GB2312" w:cs="Arial"/>
          <w:color w:val="000000" w:themeColor="text1"/>
          <w:sz w:val="32"/>
          <w:szCs w:val="32"/>
          <w:lang w:val="en-US" w:eastAsia="zh-CN"/>
        </w:rPr>
        <w:t>1</w:t>
      </w:r>
      <w:r>
        <w:rPr>
          <w:rFonts w:hint="eastAsia" w:ascii="仿宋_GB2312" w:eastAsia="仿宋_GB2312" w:cs="Arial"/>
          <w:color w:val="000000" w:themeColor="text1"/>
          <w:sz w:val="32"/>
          <w:szCs w:val="32"/>
        </w:rPr>
        <w:t>年和202</w:t>
      </w:r>
      <w:r>
        <w:rPr>
          <w:rFonts w:hint="eastAsia" w:ascii="仿宋_GB2312" w:eastAsia="仿宋_GB2312" w:cs="Arial"/>
          <w:color w:val="000000" w:themeColor="text1"/>
          <w:sz w:val="32"/>
          <w:szCs w:val="32"/>
          <w:lang w:val="en-US" w:eastAsia="zh-CN"/>
        </w:rPr>
        <w:t>2</w:t>
      </w:r>
      <w:r>
        <w:rPr>
          <w:rFonts w:hint="eastAsia" w:ascii="仿宋_GB2312" w:eastAsia="仿宋_GB2312" w:cs="Arial"/>
          <w:color w:val="000000" w:themeColor="text1"/>
          <w:sz w:val="32"/>
          <w:szCs w:val="32"/>
        </w:rPr>
        <w:t>年我局都无公务出境人员。</w:t>
      </w:r>
      <w:r>
        <w:rPr>
          <w:rFonts w:hint="eastAsia" w:ascii="仿宋_GB2312" w:eastAsia="仿宋_GB2312" w:cs="Arial"/>
          <w:color w:val="000000" w:themeColor="text1"/>
          <w:sz w:val="32"/>
          <w:szCs w:val="32"/>
          <w:lang w:val="en-US" w:eastAsia="zh-CN"/>
        </w:rPr>
        <w:t>2022年无</w:t>
      </w:r>
      <w:r>
        <w:rPr>
          <w:rFonts w:hint="eastAsia" w:ascii="仿宋_GB2312" w:eastAsia="仿宋_GB2312" w:cs="Arial"/>
          <w:color w:val="000000" w:themeColor="text1"/>
          <w:sz w:val="32"/>
          <w:szCs w:val="32"/>
        </w:rPr>
        <w:t>公务接待费支出，较上年</w:t>
      </w:r>
      <w:r>
        <w:rPr>
          <w:rFonts w:hint="eastAsia" w:ascii="仿宋_GB2312" w:eastAsia="仿宋_GB2312" w:cs="Arial"/>
          <w:color w:val="000000" w:themeColor="text1"/>
          <w:sz w:val="32"/>
          <w:szCs w:val="32"/>
          <w:lang w:val="en-US" w:eastAsia="zh-CN"/>
        </w:rPr>
        <w:t>下降0.13</w:t>
      </w:r>
      <w:r>
        <w:rPr>
          <w:rFonts w:hint="eastAsia" w:ascii="仿宋_GB2312" w:eastAsia="仿宋_GB2312" w:cs="Arial"/>
          <w:color w:val="000000" w:themeColor="text1"/>
          <w:sz w:val="32"/>
          <w:szCs w:val="32"/>
        </w:rPr>
        <w:t>万元。</w:t>
      </w:r>
      <w:r>
        <w:rPr>
          <w:rStyle w:val="12"/>
          <w:rFonts w:hint="eastAsia" w:ascii="仿宋_GB2312" w:eastAsia="仿宋_GB2312"/>
          <w:b w:val="0"/>
          <w:color w:val="000000" w:themeColor="text1"/>
          <w:sz w:val="32"/>
          <w:szCs w:val="32"/>
          <w:lang w:val="en-US" w:eastAsia="zh-CN"/>
        </w:rPr>
        <w:t>2022年</w:t>
      </w:r>
      <w:r>
        <w:rPr>
          <w:rFonts w:hint="eastAsia" w:ascii="仿宋_GB2312" w:eastAsia="仿宋_GB2312"/>
          <w:color w:val="000000" w:themeColor="text1"/>
          <w:sz w:val="32"/>
          <w:szCs w:val="32"/>
        </w:rPr>
        <w:t>公务用车购置及运行维护费</w:t>
      </w:r>
      <w:r>
        <w:rPr>
          <w:rFonts w:hint="eastAsia" w:ascii="仿宋_GB2312" w:eastAsia="仿宋_GB2312"/>
          <w:color w:val="000000" w:themeColor="text1"/>
          <w:sz w:val="32"/>
          <w:szCs w:val="32"/>
          <w:lang w:val="en-US" w:eastAsia="zh-CN"/>
        </w:rPr>
        <w:t>15.44</w:t>
      </w:r>
      <w:r>
        <w:rPr>
          <w:rFonts w:hint="eastAsia" w:ascii="仿宋_GB2312" w:eastAsia="仿宋_GB2312"/>
          <w:color w:val="000000" w:themeColor="text1"/>
          <w:sz w:val="32"/>
          <w:szCs w:val="32"/>
        </w:rPr>
        <w:t>万元，同比上年度</w:t>
      </w:r>
      <w:r>
        <w:rPr>
          <w:rFonts w:hint="eastAsia" w:ascii="仿宋_GB2312" w:eastAsia="仿宋_GB2312"/>
          <w:color w:val="000000" w:themeColor="text1"/>
          <w:sz w:val="32"/>
          <w:szCs w:val="32"/>
          <w:lang w:val="en-US" w:eastAsia="zh-CN"/>
        </w:rPr>
        <w:t>减少117.18</w:t>
      </w:r>
      <w:r>
        <w:rPr>
          <w:rFonts w:hint="eastAsia" w:ascii="仿宋_GB2312" w:eastAsia="仿宋_GB2312"/>
          <w:color w:val="000000" w:themeColor="text1"/>
          <w:sz w:val="32"/>
          <w:szCs w:val="32"/>
        </w:rPr>
        <w:t>万元，</w:t>
      </w:r>
      <w:r>
        <w:rPr>
          <w:rStyle w:val="12"/>
          <w:rFonts w:hint="eastAsia" w:ascii="仿宋_GB2312" w:eastAsia="仿宋_GB2312"/>
          <w:b w:val="0"/>
          <w:color w:val="000000" w:themeColor="text1"/>
          <w:sz w:val="32"/>
          <w:szCs w:val="32"/>
        </w:rPr>
        <w:t>主要原因为2021年因工作需要新</w:t>
      </w:r>
      <w:r>
        <w:rPr>
          <w:rStyle w:val="12"/>
          <w:rFonts w:hint="eastAsia" w:ascii="仿宋_GB2312" w:eastAsia="仿宋_GB2312"/>
          <w:b w:val="0"/>
          <w:color w:val="000000" w:themeColor="text1"/>
          <w:sz w:val="32"/>
          <w:szCs w:val="32"/>
          <w:lang w:val="en-US" w:eastAsia="zh-CN"/>
        </w:rPr>
        <w:t>采购</w:t>
      </w:r>
      <w:r>
        <w:rPr>
          <w:rStyle w:val="12"/>
          <w:rFonts w:hint="eastAsia" w:ascii="仿宋_GB2312" w:eastAsia="仿宋_GB2312"/>
          <w:b w:val="0"/>
          <w:color w:val="000000" w:themeColor="text1"/>
          <w:sz w:val="32"/>
          <w:szCs w:val="32"/>
        </w:rPr>
        <w:t>了2辆公务用车共计支出117.4万元</w:t>
      </w:r>
      <w:r>
        <w:rPr>
          <w:rStyle w:val="12"/>
          <w:rFonts w:hint="eastAsia" w:ascii="仿宋_GB2312" w:eastAsia="仿宋_GB2312"/>
          <w:b w:val="0"/>
          <w:color w:val="000000" w:themeColor="text1"/>
          <w:sz w:val="32"/>
          <w:szCs w:val="32"/>
          <w:lang w:eastAsia="zh-CN"/>
        </w:rPr>
        <w:t>（</w:t>
      </w:r>
      <w:r>
        <w:rPr>
          <w:rStyle w:val="12"/>
          <w:rFonts w:hint="eastAsia" w:ascii="仿宋_GB2312" w:eastAsia="仿宋_GB2312"/>
          <w:b w:val="0"/>
          <w:color w:val="000000" w:themeColor="text1"/>
          <w:sz w:val="32"/>
          <w:szCs w:val="32"/>
          <w:lang w:val="en-US" w:eastAsia="zh-CN"/>
        </w:rPr>
        <w:t>含2020年财政返还60万元公务用车购置费</w:t>
      </w:r>
      <w:r>
        <w:rPr>
          <w:rStyle w:val="12"/>
          <w:rFonts w:hint="eastAsia" w:ascii="仿宋_GB2312" w:eastAsia="仿宋_GB2312"/>
          <w:b w:val="0"/>
          <w:color w:val="000000" w:themeColor="text1"/>
          <w:sz w:val="32"/>
          <w:szCs w:val="32"/>
          <w:lang w:eastAsia="zh-CN"/>
        </w:rPr>
        <w:t>）</w:t>
      </w:r>
      <w:r>
        <w:rPr>
          <w:rStyle w:val="12"/>
          <w:rFonts w:hint="eastAsia" w:ascii="仿宋_GB2312" w:eastAsia="仿宋_GB2312"/>
          <w:b w:val="0"/>
          <w:color w:val="000000" w:themeColor="text1"/>
          <w:sz w:val="32"/>
          <w:szCs w:val="32"/>
        </w:rPr>
        <w:t>，</w:t>
      </w:r>
      <w:r>
        <w:rPr>
          <w:rStyle w:val="12"/>
          <w:rFonts w:hint="eastAsia" w:ascii="仿宋_GB2312" w:eastAsia="仿宋_GB2312"/>
          <w:b w:val="0"/>
          <w:color w:val="000000" w:themeColor="text1"/>
          <w:sz w:val="32"/>
          <w:szCs w:val="32"/>
          <w:lang w:val="en-US" w:eastAsia="zh-CN"/>
        </w:rPr>
        <w:t>2022年无公务用车采购支出，</w:t>
      </w:r>
      <w:r>
        <w:rPr>
          <w:rStyle w:val="12"/>
          <w:rFonts w:hint="eastAsia" w:ascii="仿宋_GB2312" w:eastAsia="仿宋_GB2312"/>
          <w:b w:val="0"/>
          <w:color w:val="000000" w:themeColor="text1"/>
          <w:sz w:val="32"/>
          <w:szCs w:val="32"/>
        </w:rPr>
        <w:t>公务用车运行维护费</w:t>
      </w:r>
      <w:r>
        <w:rPr>
          <w:rStyle w:val="12"/>
          <w:rFonts w:hint="eastAsia" w:ascii="仿宋_GB2312" w:eastAsia="仿宋_GB2312"/>
          <w:b w:val="0"/>
          <w:color w:val="000000" w:themeColor="text1"/>
          <w:sz w:val="32"/>
          <w:szCs w:val="32"/>
          <w:lang w:val="en-US" w:eastAsia="zh-CN"/>
        </w:rPr>
        <w:t>增加了0.22万元，公务用车运行维护费增加原因为汶马高速的过路费</w:t>
      </w:r>
      <w:r>
        <w:rPr>
          <w:rFonts w:hint="eastAsia" w:ascii="仿宋_GB2312" w:eastAsia="仿宋_GB2312"/>
          <w:b/>
          <w:color w:val="000000" w:themeColor="text1"/>
          <w:sz w:val="32"/>
          <w:szCs w:val="32"/>
        </w:rPr>
        <w:t>。</w:t>
      </w:r>
    </w:p>
    <w:p>
      <w:pPr>
        <w:widowControl/>
        <w:adjustRightInd w:val="0"/>
        <w:snapToGrid w:val="0"/>
        <w:spacing w:line="560" w:lineRule="exact"/>
        <w:ind w:firstLine="640" w:firstLineChars="200"/>
        <w:contextualSpacing/>
        <w:jc w:val="left"/>
        <w:rPr>
          <w:rFonts w:ascii="黑体" w:eastAsia="黑体" w:cs="宋体"/>
          <w:color w:val="000000" w:themeColor="text1"/>
          <w:kern w:val="0"/>
          <w:szCs w:val="32"/>
          <w:shd w:val="clear" w:color="auto" w:fill="FFFFFF"/>
        </w:rPr>
      </w:pPr>
      <w:r>
        <w:rPr>
          <w:rFonts w:hint="eastAsia" w:ascii="黑体" w:eastAsia="黑体" w:cs="宋体"/>
          <w:color w:val="000000" w:themeColor="text1"/>
          <w:kern w:val="0"/>
          <w:szCs w:val="32"/>
          <w:shd w:val="clear" w:color="auto" w:fill="FFFFFF"/>
        </w:rPr>
        <w:t>三、部门整体预算绩效管理情况</w:t>
      </w:r>
    </w:p>
    <w:p>
      <w:pPr>
        <w:widowControl/>
        <w:adjustRightInd w:val="0"/>
        <w:snapToGrid w:val="0"/>
        <w:spacing w:line="560" w:lineRule="exact"/>
        <w:ind w:firstLine="643" w:firstLineChars="200"/>
        <w:contextualSpacing/>
        <w:jc w:val="left"/>
        <w:rPr>
          <w:rFonts w:hint="eastAsia" w:ascii="楷体_GB2312" w:hAnsi="楷体_GB2312" w:eastAsia="楷体_GB2312" w:cs="楷体_GB2312"/>
          <w:b/>
          <w:bCs/>
          <w:color w:val="000000" w:themeColor="text1"/>
          <w:kern w:val="0"/>
          <w:szCs w:val="32"/>
          <w:shd w:val="clear" w:color="auto" w:fill="FFFFFF"/>
          <w:lang w:val="zh-CN"/>
        </w:rPr>
      </w:pPr>
      <w:r>
        <w:rPr>
          <w:rFonts w:hint="eastAsia" w:ascii="楷体_GB2312" w:hAnsi="楷体_GB2312" w:eastAsia="楷体_GB2312" w:cs="楷体_GB2312"/>
          <w:b/>
          <w:bCs/>
          <w:color w:val="000000" w:themeColor="text1"/>
          <w:kern w:val="0"/>
          <w:szCs w:val="32"/>
          <w:shd w:val="clear" w:color="auto" w:fill="FFFFFF"/>
          <w:lang w:val="zh-CN"/>
        </w:rPr>
        <w:t>（一）部门预算管理</w:t>
      </w:r>
    </w:p>
    <w:p>
      <w:pPr>
        <w:pStyle w:val="9"/>
        <w:shd w:val="clear" w:color="auto" w:fill="FFFFFF"/>
        <w:spacing w:before="0" w:beforeAutospacing="0" w:after="0" w:afterAutospacing="0" w:line="560" w:lineRule="exact"/>
        <w:ind w:firstLine="640" w:firstLineChars="200"/>
        <w:rPr>
          <w:rFonts w:ascii="仿宋_GB2312" w:eastAsia="仿宋_GB2312" w:cs="Arial"/>
          <w:color w:val="000000" w:themeColor="text1"/>
          <w:sz w:val="32"/>
          <w:szCs w:val="32"/>
        </w:rPr>
      </w:pPr>
      <w:r>
        <w:rPr>
          <w:rFonts w:hint="eastAsia" w:ascii="仿宋_GB2312" w:eastAsia="仿宋_GB2312" w:cs="Arial"/>
          <w:color w:val="000000" w:themeColor="text1"/>
          <w:sz w:val="32"/>
          <w:szCs w:val="32"/>
        </w:rPr>
        <w:t>按照州财政局要求（阿州财预〔202</w:t>
      </w:r>
      <w:r>
        <w:rPr>
          <w:rFonts w:hint="eastAsia" w:ascii="仿宋_GB2312" w:eastAsia="仿宋_GB2312" w:cs="Arial"/>
          <w:color w:val="000000" w:themeColor="text1"/>
          <w:sz w:val="32"/>
          <w:szCs w:val="32"/>
          <w:lang w:val="en-US" w:eastAsia="zh-CN"/>
        </w:rPr>
        <w:t>1</w:t>
      </w:r>
      <w:r>
        <w:rPr>
          <w:rFonts w:hint="eastAsia" w:ascii="仿宋_GB2312" w:eastAsia="仿宋_GB2312" w:cs="Arial"/>
          <w:color w:val="000000" w:themeColor="text1"/>
          <w:sz w:val="32"/>
          <w:szCs w:val="32"/>
        </w:rPr>
        <w:t>〕</w:t>
      </w:r>
      <w:r>
        <w:rPr>
          <w:rFonts w:hint="eastAsia" w:ascii="仿宋_GB2312" w:eastAsia="仿宋_GB2312" w:cs="Arial"/>
          <w:color w:val="000000" w:themeColor="text1"/>
          <w:sz w:val="32"/>
          <w:szCs w:val="32"/>
          <w:lang w:val="en-US" w:eastAsia="zh-CN"/>
        </w:rPr>
        <w:t>43</w:t>
      </w:r>
      <w:r>
        <w:rPr>
          <w:rFonts w:hint="eastAsia" w:ascii="仿宋_GB2312" w:eastAsia="仿宋_GB2312" w:cs="Arial"/>
          <w:color w:val="000000" w:themeColor="text1"/>
          <w:sz w:val="32"/>
          <w:szCs w:val="32"/>
        </w:rPr>
        <w:t>号），大熊猫国家公园阿坝管理分局编制了202</w:t>
      </w:r>
      <w:r>
        <w:rPr>
          <w:rFonts w:hint="eastAsia" w:ascii="仿宋_GB2312" w:eastAsia="仿宋_GB2312" w:cs="Arial"/>
          <w:color w:val="000000" w:themeColor="text1"/>
          <w:sz w:val="32"/>
          <w:szCs w:val="32"/>
          <w:lang w:val="en-US" w:eastAsia="zh-CN"/>
        </w:rPr>
        <w:t>2</w:t>
      </w:r>
      <w:r>
        <w:rPr>
          <w:rFonts w:hint="eastAsia" w:ascii="仿宋_GB2312" w:eastAsia="仿宋_GB2312" w:cs="Arial"/>
          <w:color w:val="000000" w:themeColor="text1"/>
          <w:sz w:val="32"/>
          <w:szCs w:val="32"/>
        </w:rPr>
        <w:t>年部门预算，并设立部门绩效总体目标：以保护大熊猫为主要目的，实现自然资源科学保护和合理利用。并对整体目标进行了细化，且全部达标。实际部门整体绩效目标能够合理反映部门年度职责履行情况。</w:t>
      </w:r>
    </w:p>
    <w:p>
      <w:pPr>
        <w:pStyle w:val="9"/>
        <w:shd w:val="clear" w:color="auto" w:fill="FFFFFF"/>
        <w:spacing w:before="0" w:beforeAutospacing="0" w:after="0" w:afterAutospacing="0" w:line="560" w:lineRule="exact"/>
        <w:ind w:firstLine="627" w:firstLineChars="196"/>
        <w:rPr>
          <w:rFonts w:ascii="仿宋_GB2312" w:eastAsia="仿宋_GB2312"/>
          <w:b/>
          <w:color w:val="000000" w:themeColor="text1"/>
          <w:sz w:val="32"/>
          <w:szCs w:val="32"/>
        </w:rPr>
      </w:pPr>
      <w:r>
        <w:rPr>
          <w:rFonts w:hint="eastAsia" w:ascii="仿宋_GB2312" w:eastAsia="仿宋_GB2312" w:cs="Arial"/>
          <w:color w:val="000000" w:themeColor="text1"/>
          <w:sz w:val="32"/>
          <w:szCs w:val="32"/>
        </w:rPr>
        <w:t>202</w:t>
      </w:r>
      <w:r>
        <w:rPr>
          <w:rFonts w:hint="eastAsia" w:ascii="仿宋_GB2312" w:eastAsia="仿宋_GB2312" w:cs="Arial"/>
          <w:color w:val="000000" w:themeColor="text1"/>
          <w:sz w:val="32"/>
          <w:szCs w:val="32"/>
          <w:lang w:val="en-US" w:eastAsia="zh-CN"/>
        </w:rPr>
        <w:t>2</w:t>
      </w:r>
      <w:r>
        <w:rPr>
          <w:rFonts w:hint="eastAsia" w:ascii="仿宋_GB2312" w:eastAsia="仿宋_GB2312" w:cs="Arial"/>
          <w:color w:val="000000" w:themeColor="text1"/>
          <w:sz w:val="32"/>
          <w:szCs w:val="32"/>
        </w:rPr>
        <w:t>年，预算资金</w:t>
      </w:r>
      <w:r>
        <w:rPr>
          <w:rFonts w:hint="eastAsia" w:ascii="仿宋_GB2312" w:eastAsia="仿宋_GB2312" w:cs="Arial"/>
          <w:color w:val="000000" w:themeColor="text1"/>
          <w:sz w:val="32"/>
          <w:szCs w:val="32"/>
          <w:lang w:val="en-US" w:eastAsia="zh-CN"/>
        </w:rPr>
        <w:t>693.79</w:t>
      </w:r>
      <w:r>
        <w:rPr>
          <w:rFonts w:hint="eastAsia" w:ascii="仿宋_GB2312" w:eastAsia="仿宋_GB2312" w:cs="Arial"/>
          <w:color w:val="000000" w:themeColor="text1"/>
          <w:sz w:val="32"/>
          <w:szCs w:val="32"/>
        </w:rPr>
        <w:t>万元，202</w:t>
      </w:r>
      <w:r>
        <w:rPr>
          <w:rFonts w:hint="eastAsia" w:ascii="仿宋_GB2312" w:eastAsia="仿宋_GB2312" w:cs="Arial"/>
          <w:color w:val="000000" w:themeColor="text1"/>
          <w:sz w:val="32"/>
          <w:szCs w:val="32"/>
          <w:lang w:val="en-US" w:eastAsia="zh-CN"/>
        </w:rPr>
        <w:t>2</w:t>
      </w:r>
      <w:r>
        <w:rPr>
          <w:rFonts w:hint="eastAsia" w:ascii="仿宋_GB2312" w:eastAsia="仿宋_GB2312" w:cs="Arial"/>
          <w:color w:val="000000" w:themeColor="text1"/>
          <w:sz w:val="32"/>
          <w:szCs w:val="32"/>
        </w:rPr>
        <w:t>年</w:t>
      </w:r>
      <w:r>
        <w:rPr>
          <w:rFonts w:hint="eastAsia" w:ascii="仿宋_GB2312" w:eastAsia="仿宋_GB2312" w:cs="Arial"/>
          <w:color w:val="000000" w:themeColor="text1"/>
          <w:sz w:val="32"/>
          <w:szCs w:val="32"/>
          <w:lang w:val="en-US" w:eastAsia="zh-CN"/>
        </w:rPr>
        <w:t>6月份压减三公经费公务接待费0.24万元</w:t>
      </w:r>
      <w:r>
        <w:rPr>
          <w:rFonts w:hint="eastAsia" w:ascii="仿宋_GB2312" w:eastAsia="仿宋_GB2312" w:cs="Arial"/>
          <w:color w:val="000000" w:themeColor="text1"/>
          <w:sz w:val="32"/>
          <w:szCs w:val="32"/>
        </w:rPr>
        <w:t>指标。</w:t>
      </w:r>
      <w:r>
        <w:rPr>
          <w:rStyle w:val="12"/>
          <w:rFonts w:hint="eastAsia" w:ascii="仿宋_GB2312" w:eastAsia="仿宋_GB2312"/>
          <w:b w:val="0"/>
          <w:color w:val="000000" w:themeColor="text1"/>
          <w:sz w:val="32"/>
          <w:szCs w:val="32"/>
        </w:rPr>
        <w:t>预算数和决算数</w:t>
      </w:r>
      <w:r>
        <w:rPr>
          <w:rStyle w:val="12"/>
          <w:rFonts w:hint="eastAsia" w:ascii="仿宋_GB2312" w:eastAsia="仿宋_GB2312"/>
          <w:b w:val="0"/>
          <w:color w:val="000000" w:themeColor="text1"/>
          <w:sz w:val="32"/>
          <w:szCs w:val="32"/>
          <w:lang w:val="en-US" w:eastAsia="zh-CN"/>
        </w:rPr>
        <w:t>不</w:t>
      </w:r>
      <w:r>
        <w:rPr>
          <w:rStyle w:val="12"/>
          <w:rFonts w:hint="eastAsia" w:ascii="仿宋_GB2312" w:eastAsia="仿宋_GB2312"/>
          <w:b w:val="0"/>
          <w:color w:val="000000" w:themeColor="text1"/>
          <w:sz w:val="32"/>
          <w:szCs w:val="32"/>
        </w:rPr>
        <w:t>存在差异。</w:t>
      </w:r>
      <w:r>
        <w:rPr>
          <w:rFonts w:hint="eastAsia" w:ascii="仿宋_GB2312" w:eastAsia="仿宋_GB2312" w:cs="Arial"/>
          <w:color w:val="000000" w:themeColor="text1"/>
          <w:sz w:val="32"/>
          <w:szCs w:val="32"/>
        </w:rPr>
        <w:t>预算编制准确率为</w:t>
      </w:r>
      <w:r>
        <w:rPr>
          <w:rFonts w:hint="eastAsia" w:ascii="仿宋_GB2312" w:eastAsia="仿宋_GB2312" w:cs="Arial"/>
          <w:color w:val="000000" w:themeColor="text1"/>
          <w:sz w:val="32"/>
          <w:szCs w:val="32"/>
          <w:lang w:val="en-US" w:eastAsia="zh-CN"/>
        </w:rPr>
        <w:t>100</w:t>
      </w:r>
      <w:r>
        <w:rPr>
          <w:rFonts w:hint="eastAsia" w:ascii="仿宋_GB2312" w:eastAsia="仿宋_GB2312" w:cs="Arial"/>
          <w:color w:val="000000" w:themeColor="text1"/>
          <w:sz w:val="32"/>
          <w:szCs w:val="32"/>
        </w:rPr>
        <w:t>%。</w:t>
      </w:r>
    </w:p>
    <w:p>
      <w:pPr>
        <w:pStyle w:val="9"/>
        <w:shd w:val="clear" w:color="auto" w:fill="FFFFFF"/>
        <w:spacing w:before="0" w:beforeAutospacing="0" w:after="0" w:afterAutospacing="0" w:line="560" w:lineRule="exact"/>
        <w:ind w:firstLine="640" w:firstLineChars="200"/>
        <w:rPr>
          <w:rFonts w:hint="eastAsia" w:ascii="仿宋_GB2312" w:eastAsia="仿宋_GB2312" w:cs="Arial"/>
          <w:color w:val="000000" w:themeColor="text1"/>
          <w:sz w:val="32"/>
          <w:szCs w:val="32"/>
        </w:rPr>
      </w:pPr>
      <w:r>
        <w:rPr>
          <w:rFonts w:hint="eastAsia" w:ascii="仿宋_GB2312" w:eastAsia="仿宋_GB2312" w:cs="Arial"/>
          <w:color w:val="000000" w:themeColor="text1"/>
          <w:sz w:val="32"/>
          <w:szCs w:val="32"/>
        </w:rPr>
        <w:t>202</w:t>
      </w:r>
      <w:r>
        <w:rPr>
          <w:rFonts w:hint="eastAsia" w:ascii="仿宋_GB2312" w:eastAsia="仿宋_GB2312" w:cs="Arial"/>
          <w:color w:val="000000" w:themeColor="text1"/>
          <w:sz w:val="32"/>
          <w:szCs w:val="32"/>
          <w:lang w:val="en-US" w:eastAsia="zh-CN"/>
        </w:rPr>
        <w:t>2</w:t>
      </w:r>
      <w:r>
        <w:rPr>
          <w:rFonts w:hint="eastAsia" w:ascii="仿宋_GB2312" w:eastAsia="仿宋_GB2312" w:cs="Arial"/>
          <w:color w:val="000000" w:themeColor="text1"/>
          <w:sz w:val="32"/>
          <w:szCs w:val="32"/>
        </w:rPr>
        <w:t>年，州财政局对我局202</w:t>
      </w:r>
      <w:r>
        <w:rPr>
          <w:rFonts w:hint="eastAsia" w:ascii="仿宋_GB2312" w:eastAsia="仿宋_GB2312" w:cs="Arial"/>
          <w:color w:val="000000" w:themeColor="text1"/>
          <w:sz w:val="32"/>
          <w:szCs w:val="32"/>
          <w:lang w:val="en-US" w:eastAsia="zh-CN"/>
        </w:rPr>
        <w:t>1</w:t>
      </w:r>
      <w:r>
        <w:rPr>
          <w:rFonts w:hint="eastAsia" w:ascii="仿宋_GB2312" w:eastAsia="仿宋_GB2312" w:cs="Arial"/>
          <w:color w:val="000000" w:themeColor="text1"/>
          <w:sz w:val="32"/>
          <w:szCs w:val="32"/>
        </w:rPr>
        <w:t>年整体支出进行了绩效评价，大熊猫国家公园阿坝管理分局202</w:t>
      </w:r>
      <w:r>
        <w:rPr>
          <w:rFonts w:hint="eastAsia" w:ascii="仿宋_GB2312" w:eastAsia="仿宋_GB2312" w:cs="Arial"/>
          <w:color w:val="000000" w:themeColor="text1"/>
          <w:sz w:val="32"/>
          <w:szCs w:val="32"/>
          <w:lang w:val="en-US" w:eastAsia="zh-CN"/>
        </w:rPr>
        <w:t>1</w:t>
      </w:r>
      <w:r>
        <w:rPr>
          <w:rFonts w:hint="eastAsia" w:ascii="仿宋_GB2312" w:eastAsia="仿宋_GB2312" w:cs="Arial"/>
          <w:color w:val="000000" w:themeColor="text1"/>
          <w:sz w:val="32"/>
          <w:szCs w:val="32"/>
        </w:rPr>
        <w:t>年部门整体支出绩效评价得分为</w:t>
      </w:r>
      <w:r>
        <w:rPr>
          <w:rFonts w:hint="eastAsia" w:ascii="仿宋_GB2312" w:eastAsia="仿宋_GB2312" w:cs="Arial"/>
          <w:color w:val="000000" w:themeColor="text1"/>
          <w:sz w:val="32"/>
          <w:szCs w:val="32"/>
          <w:lang w:val="en-US" w:eastAsia="zh-CN"/>
        </w:rPr>
        <w:t>80.78</w:t>
      </w:r>
      <w:r>
        <w:rPr>
          <w:rFonts w:hint="eastAsia" w:ascii="仿宋_GB2312" w:eastAsia="仿宋_GB2312" w:cs="Arial"/>
          <w:color w:val="000000" w:themeColor="text1"/>
          <w:sz w:val="32"/>
          <w:szCs w:val="32"/>
        </w:rPr>
        <w:t>分。202</w:t>
      </w:r>
      <w:r>
        <w:rPr>
          <w:rFonts w:hint="eastAsia" w:ascii="仿宋_GB2312" w:eastAsia="仿宋_GB2312" w:cs="Arial"/>
          <w:color w:val="000000" w:themeColor="text1"/>
          <w:sz w:val="32"/>
          <w:szCs w:val="32"/>
          <w:lang w:val="en-US" w:eastAsia="zh-CN"/>
        </w:rPr>
        <w:t>3</w:t>
      </w:r>
      <w:r>
        <w:rPr>
          <w:rFonts w:hint="eastAsia" w:ascii="仿宋_GB2312" w:eastAsia="仿宋_GB2312" w:cs="Arial"/>
          <w:color w:val="000000" w:themeColor="text1"/>
          <w:sz w:val="32"/>
          <w:szCs w:val="32"/>
        </w:rPr>
        <w:t>年</w:t>
      </w:r>
      <w:r>
        <w:rPr>
          <w:rFonts w:hint="eastAsia" w:ascii="仿宋_GB2312" w:eastAsia="仿宋_GB2312" w:cs="Arial"/>
          <w:color w:val="000000" w:themeColor="text1"/>
          <w:sz w:val="32"/>
          <w:szCs w:val="32"/>
          <w:lang w:val="en-US" w:eastAsia="zh-CN"/>
        </w:rPr>
        <w:t>2</w:t>
      </w:r>
      <w:r>
        <w:rPr>
          <w:rFonts w:hint="eastAsia" w:ascii="仿宋_GB2312" w:eastAsia="仿宋_GB2312" w:cs="Arial"/>
          <w:color w:val="000000" w:themeColor="text1"/>
          <w:sz w:val="32"/>
          <w:szCs w:val="32"/>
        </w:rPr>
        <w:t>月</w:t>
      </w:r>
      <w:r>
        <w:rPr>
          <w:rFonts w:hint="eastAsia" w:ascii="仿宋_GB2312" w:eastAsia="仿宋_GB2312" w:cs="Arial"/>
          <w:color w:val="000000" w:themeColor="text1"/>
          <w:sz w:val="32"/>
          <w:szCs w:val="32"/>
          <w:lang w:val="en-US" w:eastAsia="zh-CN"/>
        </w:rPr>
        <w:t>21</w:t>
      </w:r>
      <w:r>
        <w:rPr>
          <w:rFonts w:hint="eastAsia" w:ascii="仿宋_GB2312" w:eastAsia="仿宋_GB2312" w:cs="Arial"/>
          <w:color w:val="000000" w:themeColor="text1"/>
          <w:sz w:val="32"/>
          <w:szCs w:val="32"/>
        </w:rPr>
        <w:t>日，州财政局下发了《阿坝州财政局关于对202</w:t>
      </w:r>
      <w:r>
        <w:rPr>
          <w:rFonts w:hint="eastAsia" w:ascii="仿宋_GB2312" w:eastAsia="仿宋_GB2312" w:cs="Arial"/>
          <w:color w:val="000000" w:themeColor="text1"/>
          <w:sz w:val="32"/>
          <w:szCs w:val="32"/>
          <w:lang w:val="en-US" w:eastAsia="zh-CN"/>
        </w:rPr>
        <w:t>2</w:t>
      </w:r>
      <w:r>
        <w:rPr>
          <w:rFonts w:hint="eastAsia" w:ascii="仿宋_GB2312" w:eastAsia="仿宋_GB2312" w:cs="Arial"/>
          <w:color w:val="000000" w:themeColor="text1"/>
          <w:sz w:val="32"/>
          <w:szCs w:val="32"/>
        </w:rPr>
        <w:t>年</w:t>
      </w:r>
      <w:r>
        <w:rPr>
          <w:rFonts w:hint="eastAsia" w:ascii="仿宋_GB2312" w:eastAsia="仿宋_GB2312" w:cs="Arial"/>
          <w:color w:val="000000" w:themeColor="text1"/>
          <w:sz w:val="32"/>
          <w:szCs w:val="32"/>
          <w:lang w:val="en-US" w:eastAsia="zh-CN"/>
        </w:rPr>
        <w:t>州级</w:t>
      </w:r>
      <w:r>
        <w:rPr>
          <w:rFonts w:hint="eastAsia" w:ascii="仿宋_GB2312" w:eastAsia="仿宋_GB2312" w:cs="Arial"/>
          <w:color w:val="000000" w:themeColor="text1"/>
          <w:sz w:val="32"/>
          <w:szCs w:val="32"/>
        </w:rPr>
        <w:t>部门整体支出绩效评价发现问题的整改通知》（阿州财监绩〔202</w:t>
      </w:r>
      <w:r>
        <w:rPr>
          <w:rFonts w:hint="eastAsia" w:ascii="仿宋_GB2312" w:eastAsia="仿宋_GB2312" w:cs="Arial"/>
          <w:color w:val="000000" w:themeColor="text1"/>
          <w:sz w:val="32"/>
          <w:szCs w:val="32"/>
          <w:lang w:val="en-US" w:eastAsia="zh-CN"/>
        </w:rPr>
        <w:t>3</w:t>
      </w:r>
      <w:r>
        <w:rPr>
          <w:rFonts w:hint="eastAsia" w:ascii="仿宋_GB2312" w:eastAsia="仿宋_GB2312" w:cs="Arial"/>
          <w:color w:val="000000" w:themeColor="text1"/>
          <w:sz w:val="32"/>
          <w:szCs w:val="32"/>
        </w:rPr>
        <w:t>〕</w:t>
      </w:r>
      <w:r>
        <w:rPr>
          <w:rFonts w:hint="eastAsia" w:ascii="仿宋_GB2312" w:eastAsia="仿宋_GB2312" w:cs="Arial"/>
          <w:color w:val="000000" w:themeColor="text1"/>
          <w:sz w:val="32"/>
          <w:szCs w:val="32"/>
          <w:lang w:val="en-US" w:eastAsia="zh-CN"/>
        </w:rPr>
        <w:t>4</w:t>
      </w:r>
      <w:r>
        <w:rPr>
          <w:rFonts w:hint="eastAsia" w:ascii="仿宋_GB2312" w:eastAsia="仿宋_GB2312" w:cs="Arial"/>
          <w:color w:val="000000" w:themeColor="text1"/>
          <w:sz w:val="32"/>
          <w:szCs w:val="32"/>
        </w:rPr>
        <w:t>号），指出我局存在的问题</w:t>
      </w:r>
      <w:r>
        <w:rPr>
          <w:rFonts w:hint="eastAsia" w:ascii="仿宋_GB2312" w:eastAsia="仿宋_GB2312" w:cs="Arial"/>
          <w:color w:val="000000" w:themeColor="text1"/>
          <w:sz w:val="32"/>
          <w:szCs w:val="32"/>
          <w:lang w:eastAsia="zh-CN"/>
        </w:rPr>
        <w:t>：</w:t>
      </w:r>
      <w:r>
        <w:rPr>
          <w:rFonts w:hint="eastAsia" w:ascii="仿宋_GB2312" w:eastAsia="仿宋_GB2312" w:cs="Arial"/>
          <w:b/>
          <w:bCs/>
          <w:color w:val="000000" w:themeColor="text1"/>
          <w:sz w:val="32"/>
          <w:szCs w:val="32"/>
          <w:lang w:val="en-US" w:eastAsia="zh-CN"/>
        </w:rPr>
        <w:t>一</w:t>
      </w:r>
      <w:r>
        <w:rPr>
          <w:rFonts w:hint="eastAsia" w:ascii="仿宋_GB2312" w:eastAsia="仿宋_GB2312" w:cs="Arial"/>
          <w:b/>
          <w:bCs/>
          <w:color w:val="000000" w:themeColor="text1"/>
          <w:sz w:val="32"/>
          <w:szCs w:val="32"/>
        </w:rPr>
        <w:t>是</w:t>
      </w:r>
      <w:r>
        <w:rPr>
          <w:rFonts w:hint="eastAsia" w:ascii="仿宋_GB2312" w:hAnsi="仿宋_GB2312" w:eastAsia="仿宋_GB2312" w:cs="仿宋_GB2312"/>
          <w:sz w:val="32"/>
          <w:szCs w:val="32"/>
        </w:rPr>
        <w:t>专项预算项目自评报告质量欠</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佳的问题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财务软件上设定的</w:t>
      </w:r>
      <w:r>
        <w:rPr>
          <w:rFonts w:hint="eastAsia" w:ascii="仿宋_GB2312" w:hAnsi="仿宋_GB2312" w:eastAsia="仿宋_GB2312" w:cs="仿宋_GB2312"/>
          <w:color w:val="000000"/>
          <w:sz w:val="32"/>
          <w:szCs w:val="32"/>
          <w:lang w:val="en-US" w:eastAsia="zh-CN"/>
        </w:rPr>
        <w:t>财务岗位未分离的问题、</w:t>
      </w:r>
      <w:r>
        <w:rPr>
          <w:rFonts w:hint="eastAsia" w:ascii="仿宋_GB2312" w:hAnsi="仿宋_GB2312" w:eastAsia="仿宋_GB2312" w:cs="仿宋_GB2312"/>
          <w:b/>
          <w:bCs/>
          <w:color w:val="000000"/>
          <w:sz w:val="32"/>
          <w:szCs w:val="32"/>
          <w:lang w:val="en-US" w:eastAsia="zh-CN"/>
        </w:rPr>
        <w:t>三是</w:t>
      </w:r>
      <w:r>
        <w:rPr>
          <w:rFonts w:hint="eastAsia" w:ascii="仿宋_GB2312" w:hAnsi="仿宋_GB2312" w:eastAsia="仿宋_GB2312" w:cs="仿宋_GB2312"/>
          <w:color w:val="000000"/>
          <w:sz w:val="32"/>
          <w:szCs w:val="32"/>
          <w:lang w:val="en-US" w:eastAsia="zh-CN"/>
        </w:rPr>
        <w:t>报销附件不齐的问题、</w:t>
      </w:r>
      <w:r>
        <w:rPr>
          <w:rFonts w:hint="eastAsia" w:ascii="仿宋_GB2312" w:hAnsi="仿宋_GB2312" w:eastAsia="仿宋_GB2312" w:cs="仿宋_GB2312"/>
          <w:b/>
          <w:bCs/>
          <w:color w:val="000000"/>
          <w:sz w:val="32"/>
          <w:szCs w:val="32"/>
          <w:lang w:val="en-US" w:eastAsia="zh-CN"/>
        </w:rPr>
        <w:t>四是</w:t>
      </w:r>
      <w:r>
        <w:rPr>
          <w:rFonts w:hint="eastAsia" w:ascii="仿宋_GB2312" w:hAnsi="仿宋_GB2312" w:eastAsia="仿宋_GB2312" w:cs="仿宋_GB2312"/>
          <w:sz w:val="32"/>
          <w:szCs w:val="32"/>
        </w:rPr>
        <w:t>多报销差旅费的问题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themeColor="text1"/>
          <w:sz w:val="32"/>
          <w:szCs w:val="32"/>
        </w:rPr>
        <w:t>要</w:t>
      </w:r>
      <w:r>
        <w:rPr>
          <w:rFonts w:hint="eastAsia" w:ascii="仿宋_GB2312" w:eastAsia="仿宋_GB2312" w:cs="Arial"/>
          <w:color w:val="000000" w:themeColor="text1"/>
          <w:sz w:val="32"/>
          <w:szCs w:val="32"/>
        </w:rPr>
        <w:t>求按时报整改落实情况。我局按要求对绩效评价中提出的问题进行了整改，并</w:t>
      </w:r>
      <w:r>
        <w:rPr>
          <w:rFonts w:hint="eastAsia" w:ascii="仿宋_GB2312" w:eastAsia="仿宋_GB2312" w:cs="Arial"/>
          <w:color w:val="000000" w:themeColor="text1"/>
          <w:sz w:val="32"/>
          <w:szCs w:val="32"/>
          <w:lang w:val="en-US" w:eastAsia="zh-CN"/>
        </w:rPr>
        <w:t>按规定时间</w:t>
      </w:r>
      <w:r>
        <w:rPr>
          <w:rFonts w:hint="eastAsia" w:ascii="仿宋_GB2312" w:eastAsia="仿宋_GB2312" w:cs="Arial"/>
          <w:color w:val="000000" w:themeColor="text1"/>
          <w:sz w:val="32"/>
          <w:szCs w:val="32"/>
        </w:rPr>
        <w:t>向州财政局报送了《大熊猫国家公园阿坝管理分局关于202</w:t>
      </w:r>
      <w:r>
        <w:rPr>
          <w:rFonts w:hint="eastAsia" w:ascii="仿宋_GB2312" w:eastAsia="仿宋_GB2312" w:cs="Arial"/>
          <w:color w:val="000000" w:themeColor="text1"/>
          <w:sz w:val="32"/>
          <w:szCs w:val="32"/>
          <w:lang w:val="en-US" w:eastAsia="zh-CN"/>
        </w:rPr>
        <w:t>2</w:t>
      </w:r>
      <w:r>
        <w:rPr>
          <w:rFonts w:hint="eastAsia" w:ascii="仿宋_GB2312" w:eastAsia="仿宋_GB2312" w:cs="Arial"/>
          <w:color w:val="000000" w:themeColor="text1"/>
          <w:sz w:val="32"/>
          <w:szCs w:val="32"/>
        </w:rPr>
        <w:t>年</w:t>
      </w:r>
      <w:r>
        <w:rPr>
          <w:rFonts w:hint="eastAsia" w:ascii="仿宋_GB2312" w:eastAsia="仿宋_GB2312" w:cs="Arial"/>
          <w:color w:val="000000" w:themeColor="text1"/>
          <w:sz w:val="32"/>
          <w:szCs w:val="32"/>
          <w:lang w:val="en-US" w:eastAsia="zh-CN"/>
        </w:rPr>
        <w:t>州级部门整体</w:t>
      </w:r>
      <w:r>
        <w:rPr>
          <w:rFonts w:hint="eastAsia" w:ascii="仿宋_GB2312" w:eastAsia="仿宋_GB2312" w:cs="Arial"/>
          <w:color w:val="000000" w:themeColor="text1"/>
          <w:sz w:val="32"/>
          <w:szCs w:val="32"/>
        </w:rPr>
        <w:t>支出绩效评价发现问题的整改情况报告》。</w:t>
      </w:r>
    </w:p>
    <w:p>
      <w:pPr>
        <w:pStyle w:val="9"/>
        <w:shd w:val="clear" w:color="auto" w:fill="FFFFFF"/>
        <w:spacing w:before="0" w:beforeAutospacing="0" w:after="0" w:afterAutospacing="0" w:line="560" w:lineRule="exact"/>
        <w:ind w:firstLine="643" w:firstLineChars="200"/>
        <w:rPr>
          <w:rFonts w:hint="eastAsia" w:ascii="楷体_GB2312" w:hAnsi="楷体_GB2312" w:eastAsia="楷体_GB2312" w:cs="楷体_GB2312"/>
          <w:b/>
          <w:bCs/>
          <w:color w:val="000000" w:themeColor="text1"/>
          <w:sz w:val="32"/>
          <w:szCs w:val="32"/>
          <w:lang w:val="en-US" w:eastAsia="zh-CN"/>
        </w:rPr>
      </w:pPr>
      <w:r>
        <w:rPr>
          <w:rFonts w:hint="eastAsia" w:ascii="楷体_GB2312" w:hAnsi="楷体_GB2312" w:eastAsia="楷体_GB2312" w:cs="楷体_GB2312"/>
          <w:b/>
          <w:bCs/>
          <w:color w:val="000000" w:themeColor="text1"/>
          <w:kern w:val="0"/>
          <w:sz w:val="32"/>
          <w:szCs w:val="32"/>
          <w:shd w:val="clear" w:color="auto" w:fill="FFFFFF"/>
          <w:lang w:val="zh-CN"/>
        </w:rPr>
        <w:t>（二）</w:t>
      </w:r>
      <w:r>
        <w:rPr>
          <w:rFonts w:hint="eastAsia" w:ascii="楷体_GB2312" w:hAnsi="楷体_GB2312" w:eastAsia="楷体_GB2312" w:cs="楷体_GB2312"/>
          <w:b/>
          <w:bCs/>
          <w:color w:val="000000" w:themeColor="text1"/>
          <w:sz w:val="32"/>
          <w:szCs w:val="32"/>
          <w:lang w:val="en-US" w:eastAsia="zh-CN"/>
        </w:rPr>
        <w:t>2022年度部门预算项目绩效目标实现情况</w:t>
      </w:r>
    </w:p>
    <w:p>
      <w:pPr>
        <w:pStyle w:val="9"/>
        <w:shd w:val="clear" w:color="auto" w:fill="FFFFFF"/>
        <w:spacing w:before="0" w:beforeAutospacing="0" w:after="0" w:afterAutospacing="0" w:line="560" w:lineRule="exact"/>
        <w:ind w:firstLine="640" w:firstLineChars="200"/>
        <w:rPr>
          <w:rFonts w:hint="eastAsia" w:ascii="仿宋_GB2312" w:eastAsia="仿宋_GB2312" w:cs="Arial"/>
          <w:color w:val="000000" w:themeColor="text1"/>
          <w:sz w:val="32"/>
          <w:szCs w:val="32"/>
          <w:lang w:val="en-US" w:eastAsia="zh-CN"/>
        </w:rPr>
      </w:pPr>
      <w:r>
        <w:rPr>
          <w:rFonts w:hint="eastAsia" w:ascii="仿宋_GB2312" w:eastAsia="仿宋_GB2312" w:cs="Arial"/>
          <w:color w:val="000000" w:themeColor="text1"/>
          <w:sz w:val="32"/>
          <w:szCs w:val="32"/>
          <w:lang w:val="en-US" w:eastAsia="zh-CN"/>
        </w:rPr>
        <w:t>通过对绩效自评的结果对比年初设定的绩效目标，我局绩效目标设定清晰准确，绩效指标全面完整，科学合理，达到了绩效目标设定要求。</w:t>
      </w:r>
    </w:p>
    <w:p>
      <w:pPr>
        <w:pStyle w:val="9"/>
        <w:shd w:val="clear" w:color="auto" w:fill="FFFFFF"/>
        <w:spacing w:before="0" w:beforeAutospacing="0" w:after="0" w:afterAutospacing="0" w:line="560" w:lineRule="exact"/>
        <w:ind w:firstLine="643" w:firstLineChars="200"/>
        <w:rPr>
          <w:rFonts w:hint="eastAsia" w:ascii="楷体_GB2312" w:hAnsi="楷体_GB2312" w:eastAsia="楷体_GB2312" w:cs="楷体_GB2312"/>
          <w:b/>
          <w:bCs/>
          <w:color w:val="000000" w:themeColor="text1"/>
          <w:sz w:val="32"/>
          <w:szCs w:val="32"/>
          <w:lang w:val="en-US" w:eastAsia="zh-CN"/>
        </w:rPr>
      </w:pPr>
      <w:r>
        <w:rPr>
          <w:rFonts w:hint="eastAsia" w:ascii="楷体_GB2312" w:hAnsi="楷体_GB2312" w:eastAsia="楷体_GB2312" w:cs="楷体_GB2312"/>
          <w:b/>
          <w:bCs/>
          <w:color w:val="000000" w:themeColor="text1"/>
          <w:sz w:val="32"/>
          <w:szCs w:val="32"/>
          <w:lang w:val="en-US" w:eastAsia="zh-CN"/>
        </w:rPr>
        <w:t>（三）实施资本资产自评情况</w:t>
      </w:r>
    </w:p>
    <w:p>
      <w:pPr>
        <w:pStyle w:val="9"/>
        <w:shd w:val="clear" w:color="auto" w:fill="FFFFFF"/>
        <w:spacing w:before="0" w:beforeAutospacing="0" w:after="0" w:afterAutospacing="0" w:line="560" w:lineRule="exact"/>
        <w:ind w:firstLine="640" w:firstLineChars="200"/>
        <w:rPr>
          <w:rFonts w:hint="default" w:ascii="仿宋_GB2312" w:eastAsia="仿宋_GB2312" w:cs="Arial"/>
          <w:color w:val="000000" w:themeColor="text1"/>
          <w:sz w:val="32"/>
          <w:szCs w:val="32"/>
          <w:lang w:val="en-US" w:eastAsia="zh-CN"/>
        </w:rPr>
      </w:pPr>
      <w:r>
        <w:rPr>
          <w:rFonts w:hint="eastAsia" w:ascii="仿宋_GB2312" w:eastAsia="仿宋_GB2312" w:cs="Arial"/>
          <w:color w:val="000000" w:themeColor="text1"/>
          <w:sz w:val="32"/>
          <w:szCs w:val="32"/>
          <w:lang w:val="en-US" w:eastAsia="zh-CN"/>
        </w:rPr>
        <w:t>我单位于2020年9月新成立，无办公用房，办公用房为租用马林局招待所，无经营性收入，目前我局主要的固定资产为2辆公务用车和必需的办公设备，无形资产为财务软件和办公软件。固定资产、无形资产都按规定入了资产系统，固定资产计提了折旧费用，无形资产进行了费用摊销。资产系统和核算系统做到了账账相符、账表相符、账实相符。</w:t>
      </w:r>
    </w:p>
    <w:p>
      <w:pPr>
        <w:widowControl/>
        <w:adjustRightInd w:val="0"/>
        <w:snapToGrid w:val="0"/>
        <w:spacing w:line="560" w:lineRule="exact"/>
        <w:ind w:firstLine="643" w:firstLineChars="200"/>
        <w:contextualSpacing/>
        <w:jc w:val="left"/>
        <w:rPr>
          <w:rFonts w:hint="eastAsia" w:ascii="楷体_GB2312" w:hAnsi="楷体_GB2312" w:eastAsia="楷体_GB2312" w:cs="楷体_GB2312"/>
          <w:b/>
          <w:bCs/>
          <w:color w:val="000000" w:themeColor="text1"/>
          <w:kern w:val="0"/>
          <w:szCs w:val="32"/>
          <w:shd w:val="clear" w:color="auto" w:fill="FFFFFF"/>
          <w:lang w:val="zh-CN"/>
        </w:rPr>
      </w:pPr>
      <w:r>
        <w:rPr>
          <w:rFonts w:hint="eastAsia" w:ascii="楷体_GB2312" w:hAnsi="楷体_GB2312" w:eastAsia="楷体_GB2312" w:cs="楷体_GB2312"/>
          <w:b/>
          <w:bCs/>
          <w:color w:val="000000" w:themeColor="text1"/>
          <w:kern w:val="0"/>
          <w:szCs w:val="32"/>
          <w:shd w:val="clear" w:color="auto" w:fill="FFFFFF"/>
          <w:lang w:val="zh-CN"/>
        </w:rPr>
        <w:t>（</w:t>
      </w:r>
      <w:r>
        <w:rPr>
          <w:rFonts w:hint="eastAsia" w:ascii="楷体_GB2312" w:hAnsi="楷体_GB2312" w:eastAsia="楷体_GB2312" w:cs="楷体_GB2312"/>
          <w:b/>
          <w:bCs/>
          <w:color w:val="000000" w:themeColor="text1"/>
          <w:kern w:val="0"/>
          <w:szCs w:val="32"/>
          <w:shd w:val="clear" w:color="auto" w:fill="FFFFFF"/>
          <w:lang w:val="en-US" w:eastAsia="zh-CN"/>
        </w:rPr>
        <w:t>四</w:t>
      </w:r>
      <w:r>
        <w:rPr>
          <w:rFonts w:hint="eastAsia" w:ascii="楷体_GB2312" w:hAnsi="楷体_GB2312" w:eastAsia="楷体_GB2312" w:cs="楷体_GB2312"/>
          <w:b/>
          <w:bCs/>
          <w:color w:val="000000" w:themeColor="text1"/>
          <w:kern w:val="0"/>
          <w:szCs w:val="32"/>
          <w:shd w:val="clear" w:color="auto" w:fill="FFFFFF"/>
          <w:lang w:val="zh-CN"/>
        </w:rPr>
        <w:t>）结果应用情况</w:t>
      </w:r>
    </w:p>
    <w:p>
      <w:pPr>
        <w:spacing w:line="550" w:lineRule="exact"/>
        <w:ind w:firstLine="640" w:firstLineChars="200"/>
        <w:rPr>
          <w:color w:val="000000" w:themeColor="text1"/>
          <w:szCs w:val="32"/>
        </w:rPr>
      </w:pPr>
      <w:r>
        <w:rPr>
          <w:color w:val="000000" w:themeColor="text1"/>
          <w:szCs w:val="32"/>
        </w:rPr>
        <w:t>从总体上看，我局严格按照相关规定使用项目资金，并自觉接受监察、审计、财政等部门的监督和指导。通过单位自评，未发现截留、挪用、贪污项目资金等违纪违规问题。自评结果对我局今后的项目管理，预算资金安排起到正向引导作用。绩效自评结果会根据相关文件要求及时公开，自觉接受各界监督。</w:t>
      </w:r>
    </w:p>
    <w:p>
      <w:pPr>
        <w:widowControl/>
        <w:adjustRightInd w:val="0"/>
        <w:snapToGrid w:val="0"/>
        <w:spacing w:line="560" w:lineRule="exact"/>
        <w:ind w:firstLine="640" w:firstLineChars="200"/>
        <w:contextualSpacing/>
        <w:jc w:val="left"/>
        <w:rPr>
          <w:rFonts w:ascii="黑体" w:eastAsia="黑体" w:cs="宋体"/>
          <w:color w:val="000000" w:themeColor="text1"/>
          <w:kern w:val="0"/>
          <w:szCs w:val="32"/>
          <w:shd w:val="clear" w:color="auto" w:fill="FFFFFF"/>
        </w:rPr>
      </w:pPr>
      <w:r>
        <w:rPr>
          <w:rFonts w:hint="eastAsia" w:ascii="黑体" w:eastAsia="黑体" w:cs="宋体"/>
          <w:color w:val="000000" w:themeColor="text1"/>
          <w:kern w:val="0"/>
          <w:szCs w:val="32"/>
          <w:shd w:val="clear" w:color="auto" w:fill="FFFFFF"/>
        </w:rPr>
        <w:t>四、评价结论及建议</w:t>
      </w:r>
    </w:p>
    <w:p>
      <w:pPr>
        <w:widowControl/>
        <w:adjustRightInd w:val="0"/>
        <w:snapToGrid w:val="0"/>
        <w:spacing w:line="560" w:lineRule="exact"/>
        <w:ind w:firstLine="643" w:firstLineChars="200"/>
        <w:contextualSpacing/>
        <w:jc w:val="left"/>
        <w:rPr>
          <w:rFonts w:hint="eastAsia" w:ascii="楷体_GB2312" w:hAnsi="楷体_GB2312" w:eastAsia="楷体_GB2312" w:cs="楷体_GB2312"/>
          <w:b/>
          <w:bCs/>
          <w:color w:val="000000" w:themeColor="text1"/>
          <w:kern w:val="0"/>
          <w:szCs w:val="32"/>
          <w:shd w:val="clear" w:color="auto" w:fill="FFFFFF"/>
          <w:lang w:val="zh-CN"/>
        </w:rPr>
      </w:pPr>
      <w:r>
        <w:rPr>
          <w:rFonts w:hint="eastAsia" w:ascii="楷体_GB2312" w:hAnsi="楷体_GB2312" w:eastAsia="楷体_GB2312" w:cs="楷体_GB2312"/>
          <w:b/>
          <w:bCs/>
          <w:color w:val="000000" w:themeColor="text1"/>
          <w:kern w:val="0"/>
          <w:szCs w:val="32"/>
          <w:shd w:val="clear" w:color="auto" w:fill="FFFFFF"/>
          <w:lang w:val="zh-CN"/>
        </w:rPr>
        <w:t>（一）评价结论</w:t>
      </w:r>
    </w:p>
    <w:p>
      <w:pPr>
        <w:pStyle w:val="9"/>
        <w:shd w:val="clear" w:color="auto" w:fill="FFFFFF"/>
        <w:spacing w:before="0" w:beforeAutospacing="0" w:after="0" w:afterAutospacing="0" w:line="560" w:lineRule="exact"/>
        <w:ind w:firstLine="640" w:firstLineChars="200"/>
        <w:rPr>
          <w:rFonts w:ascii="仿宋_GB2312" w:eastAsia="仿宋_GB2312" w:cs="Arial"/>
          <w:color w:val="000000" w:themeColor="text1"/>
          <w:sz w:val="32"/>
          <w:szCs w:val="32"/>
        </w:rPr>
      </w:pPr>
      <w:r>
        <w:rPr>
          <w:rFonts w:hint="eastAsia" w:ascii="仿宋_GB2312" w:eastAsia="仿宋_GB2312" w:cs="Arial"/>
          <w:color w:val="000000" w:themeColor="text1"/>
          <w:sz w:val="32"/>
          <w:szCs w:val="32"/>
        </w:rPr>
        <w:t>202</w:t>
      </w:r>
      <w:r>
        <w:rPr>
          <w:rFonts w:hint="eastAsia" w:ascii="仿宋_GB2312" w:eastAsia="仿宋_GB2312" w:cs="Arial"/>
          <w:color w:val="000000" w:themeColor="text1"/>
          <w:sz w:val="32"/>
          <w:szCs w:val="32"/>
          <w:lang w:val="en-US" w:eastAsia="zh-CN"/>
        </w:rPr>
        <w:t>2</w:t>
      </w:r>
      <w:r>
        <w:rPr>
          <w:rFonts w:hint="eastAsia" w:ascii="仿宋_GB2312" w:eastAsia="仿宋_GB2312" w:cs="Arial"/>
          <w:color w:val="000000" w:themeColor="text1"/>
          <w:sz w:val="32"/>
          <w:szCs w:val="32"/>
        </w:rPr>
        <w:t>年度年初工作计划及重点工作目标管理符合州委、州政府总体经济和社会发展规划及职责，体现当年重点工作，资金投入相匹配。建立完善了内部控制制度和内部管理制度，并得到有效执行。预算执行情况良好，预算支出和决算支出情况相符。圆满完成州委州政府下达的</w:t>
      </w:r>
      <w:r>
        <w:rPr>
          <w:rFonts w:hint="eastAsia" w:ascii="仿宋_GB2312" w:eastAsia="仿宋_GB2312" w:cs="Arial"/>
          <w:color w:val="000000" w:themeColor="text1"/>
          <w:sz w:val="32"/>
          <w:szCs w:val="32"/>
          <w:lang w:val="en-US" w:eastAsia="zh-CN"/>
        </w:rPr>
        <w:t>2022</w:t>
      </w:r>
      <w:r>
        <w:rPr>
          <w:rFonts w:hint="eastAsia" w:ascii="仿宋_GB2312" w:eastAsia="仿宋_GB2312" w:cs="Arial"/>
          <w:color w:val="000000" w:themeColor="text1"/>
          <w:sz w:val="32"/>
          <w:szCs w:val="32"/>
        </w:rPr>
        <w:t>年各项目标任务。绩效自评得分</w:t>
      </w:r>
      <w:r>
        <w:rPr>
          <w:rFonts w:hint="eastAsia" w:ascii="仿宋_GB2312" w:eastAsia="仿宋_GB2312" w:cs="Arial"/>
          <w:color w:val="000000" w:themeColor="text1"/>
          <w:sz w:val="32"/>
          <w:szCs w:val="32"/>
          <w:lang w:val="en-US" w:eastAsia="zh-CN"/>
        </w:rPr>
        <w:t>97.5</w:t>
      </w:r>
      <w:r>
        <w:rPr>
          <w:rFonts w:hint="eastAsia" w:ascii="仿宋_GB2312" w:eastAsia="仿宋_GB2312" w:cs="Arial"/>
          <w:color w:val="000000" w:themeColor="text1"/>
          <w:sz w:val="32"/>
          <w:szCs w:val="32"/>
        </w:rPr>
        <w:t>分。</w:t>
      </w:r>
    </w:p>
    <w:p>
      <w:pPr>
        <w:widowControl/>
        <w:adjustRightInd w:val="0"/>
        <w:snapToGrid w:val="0"/>
        <w:spacing w:line="560" w:lineRule="exact"/>
        <w:ind w:firstLine="643" w:firstLineChars="200"/>
        <w:contextualSpacing/>
        <w:jc w:val="left"/>
        <w:rPr>
          <w:rFonts w:hint="eastAsia" w:ascii="楷体_GB2312" w:hAnsi="楷体_GB2312" w:eastAsia="楷体_GB2312" w:cs="楷体_GB2312"/>
          <w:b/>
          <w:bCs/>
          <w:color w:val="000000" w:themeColor="text1"/>
          <w:kern w:val="0"/>
          <w:szCs w:val="32"/>
          <w:shd w:val="clear" w:color="auto" w:fill="FFFFFF"/>
          <w:lang w:val="zh-CN"/>
        </w:rPr>
      </w:pPr>
      <w:r>
        <w:rPr>
          <w:rFonts w:hint="eastAsia" w:ascii="楷体_GB2312" w:hAnsi="楷体_GB2312" w:eastAsia="楷体_GB2312" w:cs="楷体_GB2312"/>
          <w:b/>
          <w:bCs/>
          <w:color w:val="000000" w:themeColor="text1"/>
          <w:kern w:val="0"/>
          <w:szCs w:val="32"/>
          <w:shd w:val="clear" w:color="auto" w:fill="FFFFFF"/>
          <w:lang w:val="zh-CN"/>
        </w:rPr>
        <w:t>（二）存在问题</w:t>
      </w:r>
    </w:p>
    <w:p>
      <w:pPr>
        <w:pStyle w:val="9"/>
        <w:shd w:val="clear" w:color="auto" w:fill="FFFFFF"/>
        <w:spacing w:before="0" w:beforeAutospacing="0" w:after="0" w:afterAutospacing="0" w:line="560" w:lineRule="exact"/>
        <w:ind w:firstLine="640" w:firstLineChars="200"/>
        <w:rPr>
          <w:rFonts w:ascii="仿宋_GB2312" w:eastAsia="仿宋_GB2312" w:cs="Arial"/>
          <w:color w:val="FF0000"/>
          <w:sz w:val="32"/>
          <w:szCs w:val="32"/>
        </w:rPr>
      </w:pPr>
      <w:r>
        <w:rPr>
          <w:rFonts w:hint="eastAsia" w:ascii="仿宋_GB2312" w:eastAsia="仿宋_GB2312" w:cs="Arial"/>
          <w:color w:val="000000" w:themeColor="text1"/>
          <w:sz w:val="32"/>
          <w:szCs w:val="32"/>
        </w:rPr>
        <w:t>因单位目前还处在机构改革阶段，在整体支出的资金安排和使用上仍有不可预见性，在编制预算时还需进一步统筹考虑。不断完善内控制度，进一步强化制度执行力。</w:t>
      </w:r>
    </w:p>
    <w:p>
      <w:pPr>
        <w:widowControl/>
        <w:adjustRightInd w:val="0"/>
        <w:snapToGrid w:val="0"/>
        <w:spacing w:line="560" w:lineRule="exact"/>
        <w:ind w:firstLine="643" w:firstLineChars="200"/>
        <w:contextualSpacing/>
        <w:jc w:val="left"/>
        <w:rPr>
          <w:rFonts w:hint="eastAsia" w:ascii="楷体_GB2312" w:hAnsi="楷体_GB2312" w:eastAsia="楷体_GB2312" w:cs="楷体_GB2312"/>
          <w:b/>
          <w:bCs/>
          <w:color w:val="000000" w:themeColor="text1"/>
          <w:kern w:val="0"/>
          <w:szCs w:val="32"/>
          <w:shd w:val="clear" w:color="auto" w:fill="FFFFFF"/>
          <w:lang w:val="zh-CN"/>
        </w:rPr>
      </w:pPr>
      <w:r>
        <w:rPr>
          <w:rFonts w:hint="eastAsia" w:ascii="楷体_GB2312" w:hAnsi="楷体_GB2312" w:eastAsia="楷体_GB2312" w:cs="楷体_GB2312"/>
          <w:b/>
          <w:bCs/>
          <w:color w:val="000000" w:themeColor="text1"/>
          <w:kern w:val="0"/>
          <w:szCs w:val="32"/>
          <w:shd w:val="clear" w:color="auto" w:fill="FFFFFF"/>
          <w:lang w:val="zh-CN"/>
        </w:rPr>
        <w:t>（三）下一步工作</w:t>
      </w:r>
    </w:p>
    <w:p>
      <w:pPr>
        <w:pStyle w:val="9"/>
        <w:shd w:val="clear" w:color="auto" w:fill="FFFFFF"/>
        <w:spacing w:before="0" w:beforeAutospacing="0" w:after="0" w:afterAutospacing="0" w:line="560" w:lineRule="exact"/>
        <w:ind w:firstLine="643" w:firstLineChars="200"/>
        <w:rPr>
          <w:rFonts w:ascii="仿宋_GB2312" w:eastAsia="仿宋_GB2312" w:cs="Arial"/>
          <w:color w:val="000000" w:themeColor="text1"/>
          <w:sz w:val="32"/>
          <w:szCs w:val="32"/>
        </w:rPr>
      </w:pPr>
      <w:r>
        <w:rPr>
          <w:rFonts w:hint="eastAsia" w:ascii="仿宋_GB2312" w:eastAsia="仿宋_GB2312" w:cs="Arial"/>
          <w:b/>
          <w:bCs/>
          <w:color w:val="000000" w:themeColor="text1"/>
          <w:sz w:val="32"/>
          <w:szCs w:val="32"/>
        </w:rPr>
        <w:t>1.进一步细化预算编制工作，认真做好预算的编制。</w:t>
      </w:r>
      <w:r>
        <w:rPr>
          <w:rFonts w:hint="eastAsia" w:ascii="仿宋_GB2312" w:eastAsia="仿宋_GB2312" w:cs="Arial"/>
          <w:color w:val="000000" w:themeColor="text1"/>
          <w:sz w:val="32"/>
          <w:szCs w:val="32"/>
        </w:rPr>
        <w:t>进一步加强单位内部机构的预算管理意识，严格按照预算编制的相关制度和要求进行预算编制。预算编制前根据年度内单位可预见的工作任务，确定单位年度预算目标，细化预算指标，科学合理编制部门预算。</w:t>
      </w:r>
    </w:p>
    <w:p>
      <w:pPr>
        <w:pStyle w:val="9"/>
        <w:shd w:val="clear" w:color="auto" w:fill="FFFFFF"/>
        <w:spacing w:before="0" w:beforeAutospacing="0" w:after="0" w:afterAutospacing="0" w:line="560" w:lineRule="exact"/>
        <w:ind w:firstLine="643" w:firstLineChars="200"/>
        <w:rPr>
          <w:rFonts w:ascii="仿宋_GB2312" w:eastAsia="仿宋_GB2312" w:cs="Arial"/>
          <w:color w:val="000000" w:themeColor="text1"/>
          <w:sz w:val="32"/>
          <w:szCs w:val="32"/>
        </w:rPr>
      </w:pPr>
      <w:r>
        <w:rPr>
          <w:rFonts w:hint="eastAsia" w:ascii="仿宋_GB2312" w:eastAsia="仿宋_GB2312" w:cs="Arial"/>
          <w:b/>
          <w:bCs/>
          <w:color w:val="000000" w:themeColor="text1"/>
          <w:sz w:val="32"/>
          <w:szCs w:val="32"/>
        </w:rPr>
        <w:t>2.进一步加强经费审核和控制，规范会计核算。</w:t>
      </w:r>
      <w:r>
        <w:rPr>
          <w:rFonts w:hint="eastAsia" w:ascii="仿宋_GB2312" w:eastAsia="仿宋_GB2312" w:cs="Arial"/>
          <w:color w:val="000000" w:themeColor="text1"/>
          <w:sz w:val="32"/>
          <w:szCs w:val="32"/>
        </w:rPr>
        <w:t>严格按照《会计法》、《行政事业单位会计制度》、《行政单位财务规则》、《政府会计准则》等规定执行财务核算，并结合实际情况，完整、准确地披露相关信息，做到决算与预算相衔接。</w:t>
      </w:r>
    </w:p>
    <w:p>
      <w:pPr>
        <w:pStyle w:val="9"/>
        <w:shd w:val="clear" w:color="auto" w:fill="FFFFFF"/>
        <w:spacing w:before="0" w:beforeAutospacing="0" w:after="0" w:afterAutospacing="0" w:line="560" w:lineRule="exact"/>
        <w:ind w:firstLine="643" w:firstLineChars="200"/>
        <w:rPr>
          <w:rFonts w:ascii="仿宋_GB2312" w:eastAsia="仿宋_GB2312" w:cs="Arial"/>
          <w:color w:val="000000" w:themeColor="text1"/>
          <w:sz w:val="32"/>
          <w:szCs w:val="32"/>
        </w:rPr>
      </w:pPr>
      <w:r>
        <w:rPr>
          <w:rFonts w:hint="eastAsia" w:ascii="仿宋_GB2312" w:eastAsia="仿宋_GB2312" w:cs="Arial"/>
          <w:b/>
          <w:bCs/>
          <w:color w:val="000000" w:themeColor="text1"/>
          <w:sz w:val="32"/>
          <w:szCs w:val="32"/>
        </w:rPr>
        <w:t>3.进一步加强学习，提高绩效管理意识。</w:t>
      </w:r>
      <w:r>
        <w:rPr>
          <w:rFonts w:hint="eastAsia" w:ascii="仿宋_GB2312" w:eastAsia="仿宋_GB2312" w:cs="Arial"/>
          <w:color w:val="000000" w:themeColor="text1"/>
          <w:sz w:val="32"/>
          <w:szCs w:val="32"/>
        </w:rPr>
        <w:t>组织相关人员认真学习《预算法》及全面预算绩效管理等相关法律、法规、制度，进一步加强财务管理，</w:t>
      </w:r>
      <w:r>
        <w:rPr>
          <w:rFonts w:hint="eastAsia" w:ascii="仿宋_GB2312" w:eastAsia="仿宋_GB2312"/>
          <w:color w:val="000000" w:themeColor="text1"/>
          <w:sz w:val="32"/>
          <w:szCs w:val="32"/>
        </w:rPr>
        <w:t>增强财务人员的预算意识，坚持“先预算后支出、没有预算不支出”。预算编制前根据年度内单位可预见的工作任务，确定单位年度预算目标，细化预算指标，科学合理编制部门预算。</w:t>
      </w:r>
      <w:r>
        <w:rPr>
          <w:rFonts w:hint="eastAsia" w:ascii="仿宋_GB2312" w:eastAsia="仿宋_GB2312" w:cs="Arial"/>
          <w:color w:val="000000" w:themeColor="text1"/>
          <w:sz w:val="32"/>
          <w:szCs w:val="32"/>
        </w:rPr>
        <w:t>规范会计核算，提高绩效管理意识，开展项目事前绩效评估、过程绩效监控及事后绩效评价，重视项目实施效果统计分析，使绩效管理理念贯穿于预算管理全过程。</w:t>
      </w:r>
    </w:p>
    <w:p>
      <w:pPr>
        <w:spacing w:line="560" w:lineRule="exact"/>
        <w:ind w:firstLine="640" w:firstLineChars="200"/>
        <w:rPr>
          <w:rFonts w:hint="eastAsia" w:ascii="仿宋_GB2312" w:cs="宋体"/>
          <w:color w:val="000000" w:themeColor="text1"/>
          <w:szCs w:val="32"/>
        </w:rPr>
      </w:pPr>
      <w:r>
        <w:rPr>
          <w:rFonts w:ascii="仿宋_GB2312" w:cs="宋体"/>
          <w:color w:val="000000" w:themeColor="text1"/>
          <w:szCs w:val="32"/>
        </w:rPr>
        <w:t>特此报告</w:t>
      </w:r>
      <w:r>
        <w:rPr>
          <w:rFonts w:hint="eastAsia" w:ascii="仿宋_GB2312" w:cs="宋体"/>
          <w:color w:val="000000" w:themeColor="text1"/>
          <w:szCs w:val="32"/>
        </w:rPr>
        <w:t>。</w:t>
      </w:r>
    </w:p>
    <w:p>
      <w:pPr>
        <w:spacing w:line="560" w:lineRule="exact"/>
        <w:ind w:firstLine="640" w:firstLineChars="200"/>
        <w:rPr>
          <w:rFonts w:hint="eastAsia" w:ascii="仿宋_GB2312" w:cs="宋体"/>
          <w:color w:val="000000" w:themeColor="text1"/>
          <w:szCs w:val="32"/>
        </w:rPr>
      </w:pPr>
    </w:p>
    <w:p>
      <w:pPr>
        <w:tabs>
          <w:tab w:val="left" w:pos="2436"/>
        </w:tabs>
        <w:rPr>
          <w:rFonts w:ascii="仿宋_GB2312" w:cs="宋体"/>
          <w:szCs w:val="32"/>
        </w:rPr>
      </w:pPr>
      <w:bookmarkStart w:id="0" w:name="_GoBack"/>
      <w:bookmarkEnd w:id="0"/>
    </w:p>
    <w:sectPr>
      <w:headerReference r:id="rId3" w:type="default"/>
      <w:footerReference r:id="rId4" w:type="even"/>
      <w:pgSz w:w="11906" w:h="16838"/>
      <w:pgMar w:top="907" w:right="1361" w:bottom="851" w:left="1361" w:header="851" w:footer="992" w:gutter="0"/>
      <w:pgNumType w:fmt="numberInDash" w:start="12"/>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
    <w:altName w:val="仿宋_GB2312"/>
    <w:panose1 w:val="00000000000000000000"/>
    <w:charset w:val="00"/>
    <w:family w:val="roman"/>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8376762"/>
      <w:docPartList>
        <w:docPartGallery w:val="Quick Parts"/>
      </w:docPartList>
    </w:sdtPr>
    <w:sdtContent>
      <w:p>
        <w:pPr>
          <w:pStyle w:val="7"/>
        </w:pPr>
        <w:r>
          <w:rPr>
            <w:rFonts w:ascii="宋体"/>
            <w:sz w:val="28"/>
            <w:szCs w:val="28"/>
          </w:rPr>
          <w:fldChar w:fldCharType="begin"/>
        </w:r>
        <w:r>
          <w:rPr>
            <w:rFonts w:ascii="宋体"/>
            <w:sz w:val="28"/>
            <w:szCs w:val="28"/>
          </w:rPr>
          <w:instrText xml:space="preserve"> PAGE   \* MERGEFORMAT </w:instrText>
        </w:r>
        <w:r>
          <w:rPr>
            <w:rFonts w:ascii="宋体"/>
            <w:sz w:val="28"/>
            <w:szCs w:val="28"/>
          </w:rPr>
          <w:fldChar w:fldCharType="separate"/>
        </w:r>
        <w:r>
          <w:rPr>
            <w:rFonts w:ascii="宋体"/>
            <w:sz w:val="28"/>
            <w:szCs w:val="28"/>
            <w:lang w:val="zh-CN"/>
          </w:rPr>
          <w:t>-</w:t>
        </w:r>
        <w:r>
          <w:rPr>
            <w:rFonts w:ascii="宋体"/>
            <w:sz w:val="28"/>
            <w:szCs w:val="28"/>
          </w:rPr>
          <w:t xml:space="preserve"> 12 -</w:t>
        </w:r>
        <w:r>
          <w:rPr>
            <w:rFonts w:ascii="宋体"/>
            <w:sz w:val="28"/>
            <w:szCs w:val="28"/>
          </w:rPr>
          <w:fldChar w:fldCharType="end"/>
        </w:r>
      </w:p>
    </w:sdtContent>
  </w:sdt>
  <w:p>
    <w:pPr>
      <w:pStyle w:val="7"/>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0"/>
  <w:defaultTabStop w:val="420"/>
  <w:drawingGridHorizontalSpacing w:val="160"/>
  <w:drawingGridVerticalSpacing w:val="435"/>
  <w:displayHorizontalDrawingGridEvery w:val="0"/>
  <w:characterSpacingControl w:val="compressPunctuation"/>
  <w:compat>
    <w:spaceForUL/>
    <w:balanceSingleByteDoubleByteWidth/>
    <w:ulTrailSpace/>
    <w:doNotExpandShiftReturn/>
    <w:adjustLineHeightInTable/>
    <w:useFELayout/>
    <w:compatSetting w:name="compatibilityMode" w:uri="http://schemas.microsoft.com/office/word" w:val="12"/>
  </w:compat>
  <w:docVars>
    <w:docVar w:name="commondata" w:val="eyJoZGlkIjoiODkwMjBiMDE0NDAzMDYwOGJjM2NjMzIxY2I3MmFjYzYifQ=="/>
  </w:docVars>
  <w:rsids>
    <w:rsidRoot w:val="009940CD"/>
    <w:rsid w:val="00016008"/>
    <w:rsid w:val="00030A49"/>
    <w:rsid w:val="00035796"/>
    <w:rsid w:val="0003610B"/>
    <w:rsid w:val="00042052"/>
    <w:rsid w:val="000844EF"/>
    <w:rsid w:val="000A03D8"/>
    <w:rsid w:val="000D7848"/>
    <w:rsid w:val="00106F2F"/>
    <w:rsid w:val="001251FB"/>
    <w:rsid w:val="00130E4C"/>
    <w:rsid w:val="0014557F"/>
    <w:rsid w:val="00152C8F"/>
    <w:rsid w:val="0017733C"/>
    <w:rsid w:val="001808DA"/>
    <w:rsid w:val="001863E8"/>
    <w:rsid w:val="00194C14"/>
    <w:rsid w:val="001D1D26"/>
    <w:rsid w:val="001E063A"/>
    <w:rsid w:val="00202417"/>
    <w:rsid w:val="002121BA"/>
    <w:rsid w:val="002153E5"/>
    <w:rsid w:val="002168D2"/>
    <w:rsid w:val="0022019C"/>
    <w:rsid w:val="0022796E"/>
    <w:rsid w:val="00283B70"/>
    <w:rsid w:val="002C3257"/>
    <w:rsid w:val="002C45F3"/>
    <w:rsid w:val="00300603"/>
    <w:rsid w:val="00303E8E"/>
    <w:rsid w:val="003109DF"/>
    <w:rsid w:val="003240C4"/>
    <w:rsid w:val="003269BA"/>
    <w:rsid w:val="003545AC"/>
    <w:rsid w:val="0035604A"/>
    <w:rsid w:val="00360E3F"/>
    <w:rsid w:val="003922C0"/>
    <w:rsid w:val="003C1CB3"/>
    <w:rsid w:val="003D5855"/>
    <w:rsid w:val="003E40B5"/>
    <w:rsid w:val="003F7429"/>
    <w:rsid w:val="00415B62"/>
    <w:rsid w:val="00434EEF"/>
    <w:rsid w:val="00435269"/>
    <w:rsid w:val="004448ED"/>
    <w:rsid w:val="00493B69"/>
    <w:rsid w:val="004D1521"/>
    <w:rsid w:val="004D4353"/>
    <w:rsid w:val="004F3843"/>
    <w:rsid w:val="00514210"/>
    <w:rsid w:val="00536F44"/>
    <w:rsid w:val="005502FD"/>
    <w:rsid w:val="005564CF"/>
    <w:rsid w:val="005714B0"/>
    <w:rsid w:val="0057583E"/>
    <w:rsid w:val="00596E02"/>
    <w:rsid w:val="005B4487"/>
    <w:rsid w:val="005D40DF"/>
    <w:rsid w:val="005D6557"/>
    <w:rsid w:val="006476E7"/>
    <w:rsid w:val="006502C5"/>
    <w:rsid w:val="0069730A"/>
    <w:rsid w:val="006B0583"/>
    <w:rsid w:val="006B43BA"/>
    <w:rsid w:val="006F7A1A"/>
    <w:rsid w:val="00703B39"/>
    <w:rsid w:val="00737FF5"/>
    <w:rsid w:val="0075410D"/>
    <w:rsid w:val="00775313"/>
    <w:rsid w:val="007B32E0"/>
    <w:rsid w:val="007B38C0"/>
    <w:rsid w:val="007B6195"/>
    <w:rsid w:val="007B7CF5"/>
    <w:rsid w:val="00807BD0"/>
    <w:rsid w:val="00811EFC"/>
    <w:rsid w:val="00845E91"/>
    <w:rsid w:val="008801F2"/>
    <w:rsid w:val="008B5AD4"/>
    <w:rsid w:val="008C07F8"/>
    <w:rsid w:val="008C1F29"/>
    <w:rsid w:val="008F1EDD"/>
    <w:rsid w:val="00905AE4"/>
    <w:rsid w:val="00911786"/>
    <w:rsid w:val="00975EAE"/>
    <w:rsid w:val="0097625B"/>
    <w:rsid w:val="009940CD"/>
    <w:rsid w:val="009B0E65"/>
    <w:rsid w:val="009B2241"/>
    <w:rsid w:val="009E09CB"/>
    <w:rsid w:val="009F754A"/>
    <w:rsid w:val="00A1201A"/>
    <w:rsid w:val="00A232C5"/>
    <w:rsid w:val="00A44F7A"/>
    <w:rsid w:val="00A5247A"/>
    <w:rsid w:val="00A57EE5"/>
    <w:rsid w:val="00A6313E"/>
    <w:rsid w:val="00AA52DB"/>
    <w:rsid w:val="00AC13CA"/>
    <w:rsid w:val="00AD223B"/>
    <w:rsid w:val="00B0769B"/>
    <w:rsid w:val="00B12264"/>
    <w:rsid w:val="00B45E47"/>
    <w:rsid w:val="00BB3012"/>
    <w:rsid w:val="00BB48CB"/>
    <w:rsid w:val="00BD7E13"/>
    <w:rsid w:val="00BF03C5"/>
    <w:rsid w:val="00C2073E"/>
    <w:rsid w:val="00C45D75"/>
    <w:rsid w:val="00C468BE"/>
    <w:rsid w:val="00C63DEB"/>
    <w:rsid w:val="00C65A5A"/>
    <w:rsid w:val="00C75657"/>
    <w:rsid w:val="00C939C3"/>
    <w:rsid w:val="00CA1CC1"/>
    <w:rsid w:val="00CB0BF0"/>
    <w:rsid w:val="00CD7842"/>
    <w:rsid w:val="00D00146"/>
    <w:rsid w:val="00D12430"/>
    <w:rsid w:val="00D54FD7"/>
    <w:rsid w:val="00D92AB0"/>
    <w:rsid w:val="00E13F68"/>
    <w:rsid w:val="00E333F7"/>
    <w:rsid w:val="00E34565"/>
    <w:rsid w:val="00E6505D"/>
    <w:rsid w:val="00E67805"/>
    <w:rsid w:val="00E76433"/>
    <w:rsid w:val="00EA67D3"/>
    <w:rsid w:val="00EA7DA1"/>
    <w:rsid w:val="00EC3E2A"/>
    <w:rsid w:val="00EC4EA0"/>
    <w:rsid w:val="00F0120A"/>
    <w:rsid w:val="00F207A5"/>
    <w:rsid w:val="00F30759"/>
    <w:rsid w:val="00F33D3E"/>
    <w:rsid w:val="00F478BC"/>
    <w:rsid w:val="00F501F7"/>
    <w:rsid w:val="00F65AAD"/>
    <w:rsid w:val="00F71054"/>
    <w:rsid w:val="00FB5EF9"/>
    <w:rsid w:val="00FC30C0"/>
    <w:rsid w:val="00FD38AB"/>
    <w:rsid w:val="00FE21EB"/>
    <w:rsid w:val="00FE30B7"/>
    <w:rsid w:val="018F6A3E"/>
    <w:rsid w:val="02092C94"/>
    <w:rsid w:val="03411FB9"/>
    <w:rsid w:val="05047743"/>
    <w:rsid w:val="055806ED"/>
    <w:rsid w:val="09B37DC8"/>
    <w:rsid w:val="0B287541"/>
    <w:rsid w:val="0BDB11F5"/>
    <w:rsid w:val="0C5A2B94"/>
    <w:rsid w:val="0CA27F6D"/>
    <w:rsid w:val="0EC07A35"/>
    <w:rsid w:val="0F60736C"/>
    <w:rsid w:val="0FCD558A"/>
    <w:rsid w:val="0FD83CA6"/>
    <w:rsid w:val="10BE2E9B"/>
    <w:rsid w:val="12922832"/>
    <w:rsid w:val="12C549B5"/>
    <w:rsid w:val="13386F35"/>
    <w:rsid w:val="16B32D77"/>
    <w:rsid w:val="18972950"/>
    <w:rsid w:val="19147AD4"/>
    <w:rsid w:val="1D8316F5"/>
    <w:rsid w:val="1DE303E5"/>
    <w:rsid w:val="1E8D781F"/>
    <w:rsid w:val="1EF90DE8"/>
    <w:rsid w:val="1F3B377A"/>
    <w:rsid w:val="23E542C0"/>
    <w:rsid w:val="24982530"/>
    <w:rsid w:val="274548BD"/>
    <w:rsid w:val="28DE3C83"/>
    <w:rsid w:val="2BDB6BA0"/>
    <w:rsid w:val="2D9F4DA2"/>
    <w:rsid w:val="2E641D37"/>
    <w:rsid w:val="2F1D0C41"/>
    <w:rsid w:val="30C7305D"/>
    <w:rsid w:val="315471D8"/>
    <w:rsid w:val="32987720"/>
    <w:rsid w:val="37F66D6E"/>
    <w:rsid w:val="3AF050E0"/>
    <w:rsid w:val="3B1E3AAC"/>
    <w:rsid w:val="3CDC165C"/>
    <w:rsid w:val="403F1AA1"/>
    <w:rsid w:val="414D1B7B"/>
    <w:rsid w:val="42985CB7"/>
    <w:rsid w:val="43350C92"/>
    <w:rsid w:val="44554F19"/>
    <w:rsid w:val="445D1BB4"/>
    <w:rsid w:val="471C7DBF"/>
    <w:rsid w:val="49644F6E"/>
    <w:rsid w:val="49A14B2D"/>
    <w:rsid w:val="4B810772"/>
    <w:rsid w:val="4CF11E01"/>
    <w:rsid w:val="4D7F6F33"/>
    <w:rsid w:val="4D856BC4"/>
    <w:rsid w:val="4F0771E0"/>
    <w:rsid w:val="4F337FD5"/>
    <w:rsid w:val="4F6F4D85"/>
    <w:rsid w:val="534A700C"/>
    <w:rsid w:val="53C25DCC"/>
    <w:rsid w:val="5427219D"/>
    <w:rsid w:val="55832858"/>
    <w:rsid w:val="55B13259"/>
    <w:rsid w:val="56424FA2"/>
    <w:rsid w:val="56586573"/>
    <w:rsid w:val="57BE74C0"/>
    <w:rsid w:val="57E36310"/>
    <w:rsid w:val="599077D6"/>
    <w:rsid w:val="5AE42ACB"/>
    <w:rsid w:val="5AF50835"/>
    <w:rsid w:val="5B791466"/>
    <w:rsid w:val="5D7C0990"/>
    <w:rsid w:val="5DD46E27"/>
    <w:rsid w:val="5F4E5DF2"/>
    <w:rsid w:val="5F61293D"/>
    <w:rsid w:val="62436329"/>
    <w:rsid w:val="625A1946"/>
    <w:rsid w:val="63516704"/>
    <w:rsid w:val="643A375C"/>
    <w:rsid w:val="66F7CE5F"/>
    <w:rsid w:val="677A200D"/>
    <w:rsid w:val="68AA5354"/>
    <w:rsid w:val="69C10CE5"/>
    <w:rsid w:val="6A130CD7"/>
    <w:rsid w:val="6ABC4ECB"/>
    <w:rsid w:val="6AEA2BA5"/>
    <w:rsid w:val="6CF546C4"/>
    <w:rsid w:val="6E070521"/>
    <w:rsid w:val="6EA03121"/>
    <w:rsid w:val="70F35E68"/>
    <w:rsid w:val="72BE45FC"/>
    <w:rsid w:val="763149BF"/>
    <w:rsid w:val="783E3FAB"/>
    <w:rsid w:val="790E7D90"/>
    <w:rsid w:val="796B0FEC"/>
    <w:rsid w:val="7CD97B5E"/>
    <w:rsid w:val="7D165A29"/>
    <w:rsid w:val="7E5E2B7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rPr>
  </w:style>
  <w:style w:type="paragraph" w:styleId="4">
    <w:name w:val="heading 3"/>
    <w:basedOn w:val="1"/>
    <w:next w:val="1"/>
    <w:qFormat/>
    <w:uiPriority w:val="0"/>
    <w:pPr>
      <w:keepNext/>
      <w:keepLines/>
      <w:spacing w:before="260" w:after="260" w:line="415" w:lineRule="auto"/>
      <w:outlineLvl w:val="2"/>
    </w:pPr>
    <w:rPr>
      <w:b/>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Document Map"/>
    <w:basedOn w:val="1"/>
    <w:qFormat/>
    <w:uiPriority w:val="0"/>
    <w:rPr>
      <w:rFonts w:ascii="宋体" w:eastAsia="宋体"/>
      <w:sz w:val="18"/>
      <w:szCs w:val="18"/>
    </w:rPr>
  </w:style>
  <w:style w:type="paragraph" w:styleId="6">
    <w:name w:val="Balloon Text"/>
    <w:basedOn w:val="1"/>
    <w:qFormat/>
    <w:uiPriority w:val="0"/>
    <w:rPr>
      <w:sz w:val="18"/>
      <w:szCs w:val="18"/>
    </w:rPr>
  </w:style>
  <w:style w:type="paragraph" w:styleId="7">
    <w:name w:val="footer"/>
    <w:basedOn w:val="1"/>
    <w:qFormat/>
    <w:uiPriority w:val="0"/>
    <w:pPr>
      <w:tabs>
        <w:tab w:val="center" w:pos="4153"/>
        <w:tab w:val="right" w:pos="8306"/>
      </w:tabs>
      <w:snapToGrid w:val="0"/>
      <w:jc w:val="left"/>
    </w:pPr>
    <w:rPr>
      <w:rFonts w:eastAsia="宋体"/>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rFonts w:eastAsia="宋体"/>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12">
    <w:name w:val="Strong"/>
    <w:basedOn w:val="11"/>
    <w:qFormat/>
    <w:uiPriority w:val="22"/>
    <w:rPr>
      <w:b/>
      <w:bCs/>
    </w:rPr>
  </w:style>
  <w:style w:type="character" w:styleId="13">
    <w:name w:val="page number"/>
    <w:basedOn w:val="11"/>
    <w:qFormat/>
    <w:uiPriority w:val="0"/>
  </w:style>
  <w:style w:type="paragraph" w:customStyle="1" w:styleId="14">
    <w:name w:val="四号正文"/>
    <w:basedOn w:val="1"/>
    <w:qFormat/>
    <w:uiPriority w:val="0"/>
    <w:pPr>
      <w:spacing w:line="360" w:lineRule="auto"/>
    </w:pPr>
    <w:rPr>
      <w:rFonts w:ascii="??" w:hAnsi="??" w:eastAsia="宋体" w:cs="宋体"/>
      <w:color w:val="000000"/>
      <w:kern w:val="0"/>
      <w:sz w:val="28"/>
      <w:szCs w:val="21"/>
    </w:rPr>
  </w:style>
  <w:style w:type="paragraph" w:customStyle="1" w:styleId="15">
    <w:name w:val="a"/>
    <w:basedOn w:val="1"/>
    <w:qFormat/>
    <w:uiPriority w:val="0"/>
    <w:pPr>
      <w:widowControl/>
      <w:spacing w:before="100" w:beforeAutospacing="1" w:after="100" w:afterAutospacing="1"/>
      <w:jc w:val="left"/>
    </w:pPr>
    <w:rPr>
      <w:rFonts w:ascii="宋体" w:eastAsia="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PSZX</Company>
  <Pages>6</Pages>
  <Words>3298</Words>
  <Characters>3509</Characters>
  <Lines>26</Lines>
  <Paragraphs>7</Paragraphs>
  <TotalTime>48</TotalTime>
  <ScaleCrop>false</ScaleCrop>
  <LinksUpToDate>false</LinksUpToDate>
  <CharactersWithSpaces>3512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2019-05-14T11:06:00Z</dcterms:created>
  <dc:creator>陈萍</dc:creator>
  <cp:lastModifiedBy>Lenovo</cp:lastModifiedBy>
  <cp:lastPrinted>2021-03-22T14:51:00Z</cp:lastPrinted>
  <dcterms:modified xsi:type="dcterms:W3CDTF">2023-09-18T07:37:57Z</dcterms:modified>
  <dc:title>区域性就业培训基地建设项目</dc:title>
  <cp:revision>129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95005D0F9FC3408891063BE5C343202D_12</vt:lpwstr>
  </property>
</Properties>
</file>