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D8359F">
      <w:bookmarkStart w:id="0" w:name="_Toc15396597"/>
      <w:bookmarkStart w:id="1" w:name="_Toc15377193"/>
      <w:bookmarkStart w:id="2" w:name="_Toc15396475"/>
      <w:bookmarkStart w:id="3" w:name="_Toc15377425"/>
      <w:bookmarkStart w:id="4" w:name="_Toc15378441"/>
      <w:bookmarkStart w:id="5" w:name="_Toc15306267"/>
    </w:p>
    <w:p w14:paraId="278E0CCC">
      <w:pPr>
        <w:pStyle w:val="6"/>
        <w:spacing w:before="93"/>
        <w:jc w:val="center"/>
        <w:rPr>
          <w:rFonts w:ascii="Times New Roman" w:eastAsia="方正小标宋简体"/>
          <w:kern w:val="2"/>
          <w:sz w:val="44"/>
          <w:szCs w:val="44"/>
        </w:rPr>
      </w:pPr>
    </w:p>
    <w:p w14:paraId="0F8DC781">
      <w:pPr>
        <w:pStyle w:val="6"/>
        <w:spacing w:before="93"/>
        <w:jc w:val="center"/>
        <w:rPr>
          <w:rFonts w:ascii="Times New Roman" w:eastAsia="方正小标宋简体"/>
          <w:kern w:val="2"/>
          <w:sz w:val="44"/>
          <w:szCs w:val="44"/>
        </w:rPr>
      </w:pPr>
    </w:p>
    <w:p w14:paraId="4D2B47BA">
      <w:pPr>
        <w:pStyle w:val="6"/>
        <w:spacing w:before="93"/>
        <w:jc w:val="center"/>
        <w:rPr>
          <w:rFonts w:ascii="Times New Roman" w:eastAsia="方正小标宋简体"/>
          <w:kern w:val="2"/>
          <w:sz w:val="44"/>
          <w:szCs w:val="44"/>
        </w:rPr>
      </w:pPr>
    </w:p>
    <w:p w14:paraId="106B7653">
      <w:pPr>
        <w:pStyle w:val="6"/>
        <w:spacing w:before="93"/>
        <w:jc w:val="center"/>
        <w:rPr>
          <w:rFonts w:ascii="Times New Roman" w:eastAsia="方正小标宋简体"/>
          <w:kern w:val="2"/>
          <w:sz w:val="44"/>
          <w:szCs w:val="44"/>
        </w:rPr>
      </w:pPr>
    </w:p>
    <w:bookmarkEnd w:id="0"/>
    <w:bookmarkEnd w:id="1"/>
    <w:bookmarkEnd w:id="2"/>
    <w:bookmarkEnd w:id="3"/>
    <w:bookmarkEnd w:id="4"/>
    <w:p w14:paraId="10EADC75">
      <w:pPr>
        <w:pStyle w:val="6"/>
        <w:spacing w:before="93"/>
        <w:jc w:val="center"/>
        <w:rPr>
          <w:rFonts w:hint="eastAsia" w:ascii="Times New Roman" w:eastAsia="方正小标宋简体"/>
          <w:kern w:val="2"/>
          <w:sz w:val="44"/>
          <w:szCs w:val="44"/>
        </w:rPr>
      </w:pPr>
      <w:bookmarkStart w:id="6" w:name="_Toc15377194"/>
      <w:bookmarkStart w:id="7" w:name="_Toc15396598"/>
      <w:bookmarkStart w:id="8" w:name="_Toc15378442"/>
      <w:bookmarkStart w:id="9" w:name="_Toc15396476"/>
      <w:bookmarkStart w:id="10" w:name="_Toc15377426"/>
      <w:r>
        <w:rPr>
          <w:rFonts w:hint="eastAsia" w:ascii="Times New Roman" w:eastAsia="方正小标宋简体"/>
          <w:kern w:val="2"/>
          <w:sz w:val="44"/>
          <w:szCs w:val="44"/>
        </w:rPr>
        <w:t>2024年度</w:t>
      </w:r>
      <w:bookmarkEnd w:id="5"/>
      <w:bookmarkStart w:id="11" w:name="_Toc15306268"/>
      <w:r>
        <w:rPr>
          <w:rFonts w:hint="eastAsia" w:ascii="Times New Roman" w:eastAsia="方正小标宋简体"/>
          <w:kern w:val="2"/>
          <w:sz w:val="44"/>
          <w:szCs w:val="44"/>
        </w:rPr>
        <w:t>四川省龙日种畜场</w:t>
      </w:r>
    </w:p>
    <w:p w14:paraId="47AEF975">
      <w:pPr>
        <w:pStyle w:val="6"/>
        <w:spacing w:before="93"/>
        <w:jc w:val="center"/>
        <w:rPr>
          <w:rFonts w:hint="eastAsia" w:ascii="Times New Roman" w:eastAsia="方正小标宋简体"/>
          <w:kern w:val="2"/>
          <w:sz w:val="44"/>
          <w:szCs w:val="44"/>
          <w:lang w:val="en-US" w:eastAsia="zh-CN"/>
        </w:rPr>
      </w:pPr>
      <w:r>
        <w:rPr>
          <w:rFonts w:hint="eastAsia" w:ascii="Times New Roman" w:eastAsia="方正小标宋简体"/>
          <w:kern w:val="2"/>
          <w:sz w:val="44"/>
          <w:szCs w:val="44"/>
          <w:lang w:val="en-US" w:eastAsia="zh-CN"/>
        </w:rPr>
        <w:t>部门</w:t>
      </w:r>
      <w:r>
        <w:rPr>
          <w:rFonts w:hint="eastAsia" w:ascii="Times New Roman" w:eastAsia="方正小标宋简体"/>
          <w:kern w:val="2"/>
          <w:sz w:val="44"/>
          <w:szCs w:val="44"/>
        </w:rPr>
        <w:t>决算</w:t>
      </w:r>
      <w:bookmarkEnd w:id="6"/>
      <w:bookmarkEnd w:id="7"/>
      <w:bookmarkEnd w:id="8"/>
      <w:bookmarkEnd w:id="9"/>
      <w:bookmarkEnd w:id="10"/>
      <w:bookmarkEnd w:id="11"/>
      <w:r>
        <w:rPr>
          <w:rFonts w:hint="eastAsia" w:ascii="Times New Roman" w:eastAsia="方正小标宋简体"/>
          <w:kern w:val="2"/>
          <w:sz w:val="44"/>
          <w:szCs w:val="44"/>
          <w:lang w:val="en-US" w:eastAsia="zh-CN"/>
        </w:rPr>
        <w:t>公开</w:t>
      </w:r>
    </w:p>
    <w:p w14:paraId="43C479F1">
      <w:pPr>
        <w:widowControl/>
        <w:jc w:val="center"/>
        <w:rPr>
          <w:rFonts w:eastAsia="方正小标宋简体"/>
          <w:sz w:val="36"/>
          <w:szCs w:val="36"/>
        </w:rPr>
      </w:pPr>
    </w:p>
    <w:p w14:paraId="5500BBCC">
      <w:pPr>
        <w:widowControl/>
        <w:jc w:val="center"/>
        <w:rPr>
          <w:rFonts w:eastAsia="方正小标宋简体"/>
          <w:sz w:val="36"/>
          <w:szCs w:val="36"/>
        </w:rPr>
      </w:pPr>
    </w:p>
    <w:p w14:paraId="48525C46">
      <w:pPr>
        <w:widowControl/>
        <w:jc w:val="center"/>
        <w:rPr>
          <w:rFonts w:eastAsia="黑体"/>
          <w:sz w:val="48"/>
          <w:szCs w:val="48"/>
        </w:rPr>
      </w:pPr>
      <w:r>
        <w:rPr>
          <w:rFonts w:eastAsia="方正小标宋简体"/>
          <w:sz w:val="36"/>
          <w:szCs w:val="36"/>
        </w:rPr>
        <w:br w:type="page"/>
      </w:r>
      <w:r>
        <w:rPr>
          <w:rFonts w:hint="eastAsia" w:eastAsia="黑体"/>
          <w:sz w:val="48"/>
          <w:szCs w:val="48"/>
        </w:rPr>
        <w:t>目录</w:t>
      </w:r>
    </w:p>
    <w:p w14:paraId="3A675FA4">
      <w:pPr>
        <w:widowControl/>
        <w:jc w:val="center"/>
        <w:rPr>
          <w:rFonts w:eastAsia="黑体" w:cstheme="minorBidi"/>
          <w:sz w:val="28"/>
          <w:szCs w:val="28"/>
        </w:rPr>
      </w:pPr>
    </w:p>
    <w:p w14:paraId="3AB94423">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21</w:t>
      </w:r>
      <w:r>
        <w:rPr>
          <w:rFonts w:hint="eastAsia" w:ascii="Times New Roman" w:hAnsi="Times New Roman" w:eastAsia="仿宋_GB2312" w:cs="仿宋_GB2312"/>
          <w:sz w:val="32"/>
          <w:szCs w:val="32"/>
        </w:rPr>
        <w:t>日</w:t>
      </w:r>
    </w:p>
    <w:p w14:paraId="63C0BCB0"/>
    <w:sdt>
      <w:sdtPr>
        <w:rPr>
          <w:rFonts w:ascii="宋体" w:hAnsi="宋体" w:eastAsia="宋体" w:cs="Times New Roman"/>
          <w:kern w:val="2"/>
          <w:sz w:val="21"/>
          <w:szCs w:val="24"/>
          <w:lang w:val="en-US" w:eastAsia="zh-CN" w:bidi="ar-SA"/>
        </w:rPr>
        <w:id w:val="147477825"/>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34648FFC">
          <w:pPr>
            <w:spacing w:before="0" w:beforeLines="0" w:after="0" w:afterLines="0" w:line="240" w:lineRule="auto"/>
            <w:ind w:left="0" w:leftChars="0" w:right="0" w:rightChars="0" w:firstLine="0" w:firstLineChars="0"/>
            <w:jc w:val="center"/>
          </w:pPr>
        </w:p>
        <w:p w14:paraId="1B935E84">
          <w:pPr>
            <w:pStyle w:val="13"/>
            <w:tabs>
              <w:tab w:val="right" w:leader="dot" w:pos="8306"/>
              <w:tab w:val="clear" w:pos="8296"/>
            </w:tabs>
          </w:pPr>
          <w:r>
            <w:fldChar w:fldCharType="begin"/>
          </w:r>
          <w:r>
            <w:instrText xml:space="preserve">TOC \o "1-3" \h \u </w:instrText>
          </w:r>
          <w:r>
            <w:fldChar w:fldCharType="separate"/>
          </w:r>
          <w:r>
            <w:rPr>
              <w:rFonts w:hint="eastAsia" w:ascii="Times New Roman" w:hAnsi="Times New Roman" w:eastAsia="黑体" w:cs="黑体"/>
              <w:sz w:val="32"/>
              <w:szCs w:val="32"/>
            </w:rPr>
            <w:fldChar w:fldCharType="begin"/>
          </w:r>
          <w:r>
            <w:rPr>
              <w:rFonts w:hint="eastAsia" w:ascii="Times New Roman" w:hAnsi="Times New Roman" w:eastAsia="黑体" w:cs="黑体"/>
              <w:sz w:val="32"/>
              <w:szCs w:val="32"/>
            </w:rPr>
            <w:instrText xml:space="preserve"> HYPERLINK \l _Toc25255 </w:instrText>
          </w:r>
          <w:r>
            <w:rPr>
              <w:rFonts w:hint="eastAsia" w:ascii="Times New Roman" w:hAnsi="Times New Roman" w:eastAsia="黑体" w:cs="黑体"/>
              <w:sz w:val="32"/>
              <w:szCs w:val="32"/>
            </w:rPr>
            <w:fldChar w:fldCharType="separate"/>
          </w:r>
          <w:r>
            <w:rPr>
              <w:rFonts w:hint="eastAsia" w:ascii="Times New Roman" w:hAnsi="Times New Roman" w:eastAsia="黑体" w:cs="黑体"/>
              <w:sz w:val="32"/>
              <w:szCs w:val="32"/>
            </w:rPr>
            <w:t>第一部分  部门概况</w:t>
          </w:r>
          <w:r>
            <w:rPr>
              <w:rFonts w:hint="eastAsia" w:cs="Times New Roman"/>
            </w:rPr>
            <w:tab/>
          </w:r>
          <w:r>
            <w:rPr>
              <w:rFonts w:hint="eastAsia" w:cs="Times New Roman"/>
            </w:rPr>
            <w:fldChar w:fldCharType="begin"/>
          </w:r>
          <w:r>
            <w:rPr>
              <w:rFonts w:hint="eastAsia" w:cs="Times New Roman"/>
            </w:rPr>
            <w:instrText xml:space="preserve"> PAGEREF _Toc25255 \h </w:instrText>
          </w:r>
          <w:r>
            <w:rPr>
              <w:rFonts w:hint="eastAsia" w:cs="Times New Roman"/>
            </w:rPr>
            <w:fldChar w:fldCharType="separate"/>
          </w:r>
          <w:r>
            <w:rPr>
              <w:rFonts w:hint="eastAsia" w:cs="Times New Roman"/>
            </w:rPr>
            <w:t>- 1 -</w:t>
          </w:r>
          <w:r>
            <w:rPr>
              <w:rFonts w:hint="eastAsia" w:cs="Times New Roman"/>
            </w:rPr>
            <w:fldChar w:fldCharType="end"/>
          </w:r>
          <w:r>
            <w:rPr>
              <w:rFonts w:hint="eastAsia" w:ascii="Times New Roman" w:hAnsi="Times New Roman" w:eastAsia="黑体" w:cs="黑体"/>
              <w:sz w:val="32"/>
              <w:szCs w:val="32"/>
            </w:rPr>
            <w:fldChar w:fldCharType="end"/>
          </w:r>
        </w:p>
        <w:p w14:paraId="413D7CFF">
          <w:pPr>
            <w:pStyle w:val="13"/>
            <w:tabs>
              <w:tab w:val="right" w:leader="dot" w:pos="8306"/>
              <w:tab w:val="clear" w:pos="8296"/>
            </w:tabs>
          </w:pPr>
          <w:r>
            <w:fldChar w:fldCharType="begin"/>
          </w:r>
          <w:r>
            <w:instrText xml:space="preserve"> HYPERLINK \l _Toc16415 </w:instrText>
          </w:r>
          <w:r>
            <w:fldChar w:fldCharType="separate"/>
          </w:r>
          <w:r>
            <w:rPr>
              <w:rFonts w:hint="eastAsia" w:ascii="Times New Roman" w:hAnsi="Times New Roman" w:eastAsia="黑体"/>
            </w:rPr>
            <w:t>一、 部门职责</w:t>
          </w:r>
          <w:r>
            <w:tab/>
          </w:r>
          <w:r>
            <w:fldChar w:fldCharType="begin"/>
          </w:r>
          <w:r>
            <w:instrText xml:space="preserve"> PAGEREF _Toc16415 \h </w:instrText>
          </w:r>
          <w:r>
            <w:fldChar w:fldCharType="separate"/>
          </w:r>
          <w:r>
            <w:t>- 1 -</w:t>
          </w:r>
          <w:r>
            <w:fldChar w:fldCharType="end"/>
          </w:r>
          <w:r>
            <w:fldChar w:fldCharType="end"/>
          </w:r>
        </w:p>
        <w:p w14:paraId="0151CE24">
          <w:pPr>
            <w:pStyle w:val="13"/>
            <w:tabs>
              <w:tab w:val="right" w:leader="dot" w:pos="8306"/>
              <w:tab w:val="clear" w:pos="8296"/>
            </w:tabs>
          </w:pPr>
          <w:r>
            <w:fldChar w:fldCharType="begin"/>
          </w:r>
          <w:r>
            <w:instrText xml:space="preserve"> HYPERLINK \l _Toc16174 </w:instrText>
          </w:r>
          <w:r>
            <w:fldChar w:fldCharType="separate"/>
          </w:r>
          <w:r>
            <w:rPr>
              <w:rFonts w:hint="eastAsia" w:ascii="Times New Roman" w:hAnsi="Times New Roman" w:eastAsia="黑体"/>
            </w:rPr>
            <w:t>二、机</w:t>
          </w:r>
          <w:r>
            <w:rPr>
              <w:rFonts w:hint="eastAsia" w:ascii="Times New Roman" w:hAnsi="Times New Roman" w:eastAsia="黑体"/>
              <w:bCs w:val="0"/>
            </w:rPr>
            <w:t>构设置</w:t>
          </w:r>
          <w:r>
            <w:tab/>
          </w:r>
          <w:r>
            <w:fldChar w:fldCharType="begin"/>
          </w:r>
          <w:r>
            <w:instrText xml:space="preserve"> PAGEREF _Toc16174 \h </w:instrText>
          </w:r>
          <w:r>
            <w:fldChar w:fldCharType="separate"/>
          </w:r>
          <w:r>
            <w:t>- 1 -</w:t>
          </w:r>
          <w:r>
            <w:fldChar w:fldCharType="end"/>
          </w:r>
          <w:r>
            <w:fldChar w:fldCharType="end"/>
          </w:r>
        </w:p>
        <w:p w14:paraId="7F1CDD8A">
          <w:pPr>
            <w:pStyle w:val="13"/>
            <w:tabs>
              <w:tab w:val="right" w:leader="dot" w:pos="8306"/>
              <w:tab w:val="clear" w:pos="8296"/>
            </w:tabs>
          </w:pPr>
          <w:r>
            <w:fldChar w:fldCharType="begin"/>
          </w:r>
          <w:r>
            <w:instrText xml:space="preserve"> HYPERLINK \l _Toc714 </w:instrText>
          </w:r>
          <w:r>
            <w:fldChar w:fldCharType="separate"/>
          </w:r>
          <w:r>
            <w:rPr>
              <w:rFonts w:hint="eastAsia" w:ascii="Times New Roman" w:hAnsi="Times New Roman" w:eastAsia="黑体" w:cs="黑体"/>
              <w:sz w:val="32"/>
              <w:szCs w:val="32"/>
            </w:rPr>
            <w:t>第二部分  2024年度部门决算情况说明</w:t>
          </w:r>
          <w:r>
            <w:tab/>
          </w:r>
          <w:r>
            <w:fldChar w:fldCharType="begin"/>
          </w:r>
          <w:r>
            <w:instrText xml:space="preserve"> PAGEREF _Toc714 \h </w:instrText>
          </w:r>
          <w:r>
            <w:fldChar w:fldCharType="separate"/>
          </w:r>
          <w:r>
            <w:t>- 2 -</w:t>
          </w:r>
          <w:r>
            <w:fldChar w:fldCharType="end"/>
          </w:r>
          <w:r>
            <w:fldChar w:fldCharType="end"/>
          </w:r>
        </w:p>
        <w:p w14:paraId="18536031">
          <w:pPr>
            <w:pStyle w:val="13"/>
            <w:tabs>
              <w:tab w:val="right" w:leader="dot" w:pos="8306"/>
              <w:tab w:val="clear" w:pos="8296"/>
            </w:tabs>
          </w:pPr>
          <w:r>
            <w:fldChar w:fldCharType="begin"/>
          </w:r>
          <w:r>
            <w:instrText xml:space="preserve"> HYPERLINK \l _Toc8205 </w:instrText>
          </w:r>
          <w:r>
            <w:fldChar w:fldCharType="separate"/>
          </w:r>
          <w:r>
            <w:rPr>
              <w:rFonts w:hint="eastAsia" w:eastAsia="黑体"/>
              <w:szCs w:val="32"/>
            </w:rPr>
            <w:t>一、收</w:t>
          </w:r>
          <w:r>
            <w:rPr>
              <w:rFonts w:hint="eastAsia" w:ascii="Times New Roman" w:hAnsi="Times New Roman" w:eastAsia="黑体"/>
            </w:rPr>
            <w:t>入支出决算总体情况说明</w:t>
          </w:r>
          <w:r>
            <w:tab/>
          </w:r>
          <w:r>
            <w:fldChar w:fldCharType="begin"/>
          </w:r>
          <w:r>
            <w:instrText xml:space="preserve"> PAGEREF _Toc8205 \h </w:instrText>
          </w:r>
          <w:r>
            <w:fldChar w:fldCharType="separate"/>
          </w:r>
          <w:r>
            <w:t>- 2 -</w:t>
          </w:r>
          <w:r>
            <w:fldChar w:fldCharType="end"/>
          </w:r>
          <w:r>
            <w:fldChar w:fldCharType="end"/>
          </w:r>
        </w:p>
        <w:p w14:paraId="1CC2F65F">
          <w:pPr>
            <w:pStyle w:val="13"/>
            <w:tabs>
              <w:tab w:val="right" w:leader="dot" w:pos="8306"/>
              <w:tab w:val="clear" w:pos="8296"/>
            </w:tabs>
          </w:pPr>
          <w:r>
            <w:fldChar w:fldCharType="begin"/>
          </w:r>
          <w:r>
            <w:instrText xml:space="preserve"> HYPERLINK \l _Toc20651 </w:instrText>
          </w:r>
          <w:r>
            <w:fldChar w:fldCharType="separate"/>
          </w:r>
          <w:r>
            <w:rPr>
              <w:rFonts w:hint="eastAsia" w:eastAsia="黑体"/>
              <w:szCs w:val="32"/>
            </w:rPr>
            <w:t>二、收入决算情况说明</w:t>
          </w:r>
          <w:r>
            <w:tab/>
          </w:r>
          <w:r>
            <w:fldChar w:fldCharType="begin"/>
          </w:r>
          <w:r>
            <w:instrText xml:space="preserve"> PAGEREF _Toc20651 \h </w:instrText>
          </w:r>
          <w:r>
            <w:fldChar w:fldCharType="separate"/>
          </w:r>
          <w:r>
            <w:t>- 2 -</w:t>
          </w:r>
          <w:r>
            <w:fldChar w:fldCharType="end"/>
          </w:r>
          <w:r>
            <w:fldChar w:fldCharType="end"/>
          </w:r>
        </w:p>
        <w:p w14:paraId="1607FCEC">
          <w:pPr>
            <w:pStyle w:val="13"/>
            <w:tabs>
              <w:tab w:val="right" w:leader="dot" w:pos="8306"/>
              <w:tab w:val="clear" w:pos="8296"/>
            </w:tabs>
          </w:pPr>
          <w:r>
            <w:fldChar w:fldCharType="begin"/>
          </w:r>
          <w:r>
            <w:instrText xml:space="preserve"> HYPERLINK \l _Toc9102 </w:instrText>
          </w:r>
          <w:r>
            <w:fldChar w:fldCharType="separate"/>
          </w:r>
          <w:r>
            <w:rPr>
              <w:rFonts w:hint="eastAsia" w:eastAsia="黑体"/>
              <w:szCs w:val="32"/>
            </w:rPr>
            <w:t>三、支</w:t>
          </w:r>
          <w:r>
            <w:rPr>
              <w:rFonts w:hint="eastAsia" w:ascii="Times New Roman" w:hAnsi="Times New Roman" w:eastAsia="黑体"/>
            </w:rPr>
            <w:t>出决算情况说明</w:t>
          </w:r>
          <w:r>
            <w:tab/>
          </w:r>
          <w:r>
            <w:fldChar w:fldCharType="begin"/>
          </w:r>
          <w:r>
            <w:instrText xml:space="preserve"> PAGEREF _Toc9102 \h </w:instrText>
          </w:r>
          <w:r>
            <w:fldChar w:fldCharType="separate"/>
          </w:r>
          <w:r>
            <w:t>- 3 -</w:t>
          </w:r>
          <w:r>
            <w:fldChar w:fldCharType="end"/>
          </w:r>
          <w:r>
            <w:fldChar w:fldCharType="end"/>
          </w:r>
        </w:p>
        <w:p w14:paraId="2156B973">
          <w:pPr>
            <w:pStyle w:val="13"/>
            <w:tabs>
              <w:tab w:val="right" w:leader="dot" w:pos="8306"/>
              <w:tab w:val="clear" w:pos="8296"/>
            </w:tabs>
          </w:pPr>
          <w:r>
            <w:fldChar w:fldCharType="begin"/>
          </w:r>
          <w:r>
            <w:instrText xml:space="preserve"> HYPERLINK \l _Toc17121 </w:instrText>
          </w:r>
          <w:r>
            <w:fldChar w:fldCharType="separate"/>
          </w:r>
          <w:r>
            <w:rPr>
              <w:rFonts w:hint="eastAsia" w:eastAsia="黑体"/>
              <w:szCs w:val="32"/>
            </w:rPr>
            <w:t>四、财</w:t>
          </w:r>
          <w:r>
            <w:rPr>
              <w:rFonts w:hint="eastAsia" w:ascii="Times New Roman" w:hAnsi="Times New Roman" w:eastAsia="黑体"/>
            </w:rPr>
            <w:t>政拨款收入支出决算总体情况说明</w:t>
          </w:r>
          <w:r>
            <w:tab/>
          </w:r>
          <w:r>
            <w:fldChar w:fldCharType="begin"/>
          </w:r>
          <w:r>
            <w:instrText xml:space="preserve"> PAGEREF _Toc17121 \h </w:instrText>
          </w:r>
          <w:r>
            <w:fldChar w:fldCharType="separate"/>
          </w:r>
          <w:r>
            <w:t>- 3 -</w:t>
          </w:r>
          <w:r>
            <w:fldChar w:fldCharType="end"/>
          </w:r>
          <w:r>
            <w:fldChar w:fldCharType="end"/>
          </w:r>
        </w:p>
        <w:p w14:paraId="77130368">
          <w:pPr>
            <w:pStyle w:val="13"/>
            <w:tabs>
              <w:tab w:val="right" w:leader="dot" w:pos="8306"/>
              <w:tab w:val="clear" w:pos="8296"/>
            </w:tabs>
          </w:pPr>
          <w:r>
            <w:fldChar w:fldCharType="begin"/>
          </w:r>
          <w:r>
            <w:instrText xml:space="preserve"> HYPERLINK \l _Toc2659 </w:instrText>
          </w:r>
          <w:r>
            <w:fldChar w:fldCharType="separate"/>
          </w:r>
          <w:r>
            <w:rPr>
              <w:rFonts w:hint="eastAsia" w:eastAsia="黑体"/>
              <w:szCs w:val="32"/>
            </w:rPr>
            <w:t>五、一</w:t>
          </w:r>
          <w:r>
            <w:rPr>
              <w:rFonts w:hint="eastAsia" w:ascii="Times New Roman" w:hAnsi="Times New Roman" w:eastAsia="黑体"/>
            </w:rPr>
            <w:t>般公共预算财政拨款支出决算情况说明</w:t>
          </w:r>
          <w:r>
            <w:tab/>
          </w:r>
          <w:r>
            <w:fldChar w:fldCharType="begin"/>
          </w:r>
          <w:r>
            <w:instrText xml:space="preserve"> PAGEREF _Toc2659 \h </w:instrText>
          </w:r>
          <w:r>
            <w:fldChar w:fldCharType="separate"/>
          </w:r>
          <w:r>
            <w:t>- 4 -</w:t>
          </w:r>
          <w:r>
            <w:fldChar w:fldCharType="end"/>
          </w:r>
          <w:r>
            <w:fldChar w:fldCharType="end"/>
          </w:r>
        </w:p>
        <w:p w14:paraId="2B703976">
          <w:pPr>
            <w:pStyle w:val="13"/>
            <w:tabs>
              <w:tab w:val="right" w:leader="dot" w:pos="8306"/>
              <w:tab w:val="clear" w:pos="8296"/>
            </w:tabs>
          </w:pPr>
          <w:r>
            <w:fldChar w:fldCharType="begin"/>
          </w:r>
          <w:r>
            <w:instrText xml:space="preserve"> HYPERLINK \l _Toc15135 </w:instrText>
          </w:r>
          <w:r>
            <w:fldChar w:fldCharType="separate"/>
          </w:r>
          <w:r>
            <w:rPr>
              <w:rFonts w:hint="eastAsia" w:eastAsia="黑体"/>
              <w:szCs w:val="32"/>
            </w:rPr>
            <w:t>六、一</w:t>
          </w:r>
          <w:r>
            <w:rPr>
              <w:rFonts w:hint="eastAsia" w:ascii="Times New Roman" w:hAnsi="Times New Roman" w:eastAsia="黑体"/>
            </w:rPr>
            <w:t>般公共预算财政拨款基本支出决算情况说明</w:t>
          </w:r>
          <w:r>
            <w:tab/>
          </w:r>
          <w:r>
            <w:fldChar w:fldCharType="begin"/>
          </w:r>
          <w:r>
            <w:instrText xml:space="preserve"> PAGEREF _Toc15135 \h </w:instrText>
          </w:r>
          <w:r>
            <w:fldChar w:fldCharType="separate"/>
          </w:r>
          <w:r>
            <w:t>- 7 -</w:t>
          </w:r>
          <w:r>
            <w:fldChar w:fldCharType="end"/>
          </w:r>
          <w:r>
            <w:fldChar w:fldCharType="end"/>
          </w:r>
        </w:p>
        <w:p w14:paraId="19754F82">
          <w:pPr>
            <w:pStyle w:val="13"/>
            <w:tabs>
              <w:tab w:val="right" w:leader="dot" w:pos="8306"/>
              <w:tab w:val="clear" w:pos="8296"/>
            </w:tabs>
          </w:pPr>
          <w:r>
            <w:fldChar w:fldCharType="begin"/>
          </w:r>
          <w:r>
            <w:instrText xml:space="preserve"> HYPERLINK \l _Toc27668 </w:instrText>
          </w:r>
          <w:r>
            <w:fldChar w:fldCharType="separate"/>
          </w:r>
          <w:r>
            <w:rPr>
              <w:rFonts w:hint="eastAsia" w:eastAsia="黑体"/>
              <w:szCs w:val="32"/>
            </w:rPr>
            <w:t>七、</w:t>
          </w:r>
          <w:r>
            <w:rPr>
              <w:rFonts w:hint="eastAsia" w:ascii="Times New Roman" w:hAnsi="Times New Roman" w:eastAsia="黑体"/>
            </w:rPr>
            <w:t>财政拨款“三公”经费支出决算情况说明</w:t>
          </w:r>
          <w:r>
            <w:tab/>
          </w:r>
          <w:r>
            <w:fldChar w:fldCharType="begin"/>
          </w:r>
          <w:r>
            <w:instrText xml:space="preserve"> PAGEREF _Toc27668 \h </w:instrText>
          </w:r>
          <w:r>
            <w:fldChar w:fldCharType="separate"/>
          </w:r>
          <w:r>
            <w:t>- 7 -</w:t>
          </w:r>
          <w:r>
            <w:fldChar w:fldCharType="end"/>
          </w:r>
          <w:r>
            <w:fldChar w:fldCharType="end"/>
          </w:r>
        </w:p>
        <w:p w14:paraId="05428B56">
          <w:pPr>
            <w:pStyle w:val="13"/>
            <w:tabs>
              <w:tab w:val="right" w:leader="dot" w:pos="8306"/>
              <w:tab w:val="clear" w:pos="8296"/>
            </w:tabs>
          </w:pPr>
          <w:r>
            <w:fldChar w:fldCharType="begin"/>
          </w:r>
          <w:r>
            <w:instrText xml:space="preserve"> HYPERLINK \l _Toc17635 </w:instrText>
          </w:r>
          <w:r>
            <w:fldChar w:fldCharType="separate"/>
          </w:r>
          <w:r>
            <w:rPr>
              <w:rFonts w:hint="eastAsia" w:eastAsia="黑体"/>
              <w:szCs w:val="32"/>
            </w:rPr>
            <w:t>八、</w:t>
          </w:r>
          <w:r>
            <w:rPr>
              <w:rFonts w:hint="eastAsia" w:ascii="Times New Roman" w:hAnsi="Times New Roman" w:eastAsia="黑体"/>
            </w:rPr>
            <w:t>政府性基金预算支出决算情况说明</w:t>
          </w:r>
          <w:r>
            <w:tab/>
          </w:r>
          <w:r>
            <w:fldChar w:fldCharType="begin"/>
          </w:r>
          <w:r>
            <w:instrText xml:space="preserve"> PAGEREF _Toc17635 \h </w:instrText>
          </w:r>
          <w:r>
            <w:fldChar w:fldCharType="separate"/>
          </w:r>
          <w:r>
            <w:t>- 9 -</w:t>
          </w:r>
          <w:r>
            <w:fldChar w:fldCharType="end"/>
          </w:r>
          <w:r>
            <w:fldChar w:fldCharType="end"/>
          </w:r>
        </w:p>
        <w:p w14:paraId="00B68E99">
          <w:pPr>
            <w:pStyle w:val="13"/>
            <w:tabs>
              <w:tab w:val="right" w:leader="dot" w:pos="8306"/>
              <w:tab w:val="clear" w:pos="8296"/>
            </w:tabs>
          </w:pPr>
          <w:r>
            <w:fldChar w:fldCharType="begin"/>
          </w:r>
          <w:r>
            <w:instrText xml:space="preserve"> HYPERLINK \l _Toc6111 </w:instrText>
          </w:r>
          <w:r>
            <w:fldChar w:fldCharType="separate"/>
          </w:r>
          <w:r>
            <w:rPr>
              <w:rFonts w:hint="eastAsia" w:ascii="Times New Roman" w:hAnsi="Times New Roman" w:eastAsia="黑体"/>
            </w:rPr>
            <w:t>九、国有资本经营预算支出决算情况说明</w:t>
          </w:r>
          <w:r>
            <w:tab/>
          </w:r>
          <w:r>
            <w:fldChar w:fldCharType="begin"/>
          </w:r>
          <w:r>
            <w:instrText xml:space="preserve"> PAGEREF _Toc6111 \h </w:instrText>
          </w:r>
          <w:r>
            <w:fldChar w:fldCharType="separate"/>
          </w:r>
          <w:r>
            <w:t>- 9 -</w:t>
          </w:r>
          <w:r>
            <w:fldChar w:fldCharType="end"/>
          </w:r>
          <w:r>
            <w:fldChar w:fldCharType="end"/>
          </w:r>
        </w:p>
        <w:p w14:paraId="5FE47D50">
          <w:pPr>
            <w:pStyle w:val="13"/>
            <w:tabs>
              <w:tab w:val="right" w:leader="dot" w:pos="8306"/>
              <w:tab w:val="clear" w:pos="8296"/>
            </w:tabs>
          </w:pPr>
          <w:r>
            <w:fldChar w:fldCharType="begin"/>
          </w:r>
          <w:r>
            <w:instrText xml:space="preserve"> HYPERLINK \l _Toc25954 </w:instrText>
          </w:r>
          <w:r>
            <w:fldChar w:fldCharType="separate"/>
          </w:r>
          <w:r>
            <w:rPr>
              <w:rFonts w:hint="eastAsia" w:ascii="Times New Roman" w:hAnsi="Times New Roman" w:eastAsia="黑体"/>
            </w:rPr>
            <w:t>十、其他重要事项的情况说明</w:t>
          </w:r>
          <w:r>
            <w:tab/>
          </w:r>
          <w:r>
            <w:fldChar w:fldCharType="begin"/>
          </w:r>
          <w:r>
            <w:instrText xml:space="preserve"> PAGEREF _Toc25954 \h </w:instrText>
          </w:r>
          <w:r>
            <w:fldChar w:fldCharType="separate"/>
          </w:r>
          <w:r>
            <w:t>- 9 -</w:t>
          </w:r>
          <w:r>
            <w:fldChar w:fldCharType="end"/>
          </w:r>
          <w:r>
            <w:fldChar w:fldCharType="end"/>
          </w:r>
        </w:p>
        <w:p w14:paraId="46C0B7DC">
          <w:pPr>
            <w:pStyle w:val="13"/>
            <w:tabs>
              <w:tab w:val="right" w:leader="dot" w:pos="8306"/>
              <w:tab w:val="clear" w:pos="8296"/>
            </w:tabs>
          </w:pPr>
          <w:r>
            <w:fldChar w:fldCharType="begin"/>
          </w:r>
          <w:r>
            <w:instrText xml:space="preserve"> HYPERLINK \l _Toc19809 </w:instrText>
          </w:r>
          <w:r>
            <w:fldChar w:fldCharType="separate"/>
          </w:r>
          <w:r>
            <w:rPr>
              <w:rFonts w:hint="eastAsia" w:eastAsia="黑体"/>
              <w:szCs w:val="44"/>
            </w:rPr>
            <w:t>第三部分  名词解释</w:t>
          </w:r>
          <w:r>
            <w:tab/>
          </w:r>
          <w:r>
            <w:fldChar w:fldCharType="begin"/>
          </w:r>
          <w:r>
            <w:instrText xml:space="preserve"> PAGEREF _Toc19809 \h </w:instrText>
          </w:r>
          <w:r>
            <w:fldChar w:fldCharType="separate"/>
          </w:r>
          <w:r>
            <w:t>- 12 -</w:t>
          </w:r>
          <w:r>
            <w:fldChar w:fldCharType="end"/>
          </w:r>
          <w:r>
            <w:fldChar w:fldCharType="end"/>
          </w:r>
        </w:p>
        <w:p w14:paraId="7DFA2981">
          <w:pPr>
            <w:pStyle w:val="13"/>
            <w:tabs>
              <w:tab w:val="right" w:leader="dot" w:pos="8306"/>
              <w:tab w:val="clear" w:pos="8296"/>
            </w:tabs>
          </w:pPr>
          <w:r>
            <w:fldChar w:fldCharType="begin"/>
          </w:r>
          <w:r>
            <w:instrText xml:space="preserve"> HYPERLINK \l _Toc30720 </w:instrText>
          </w:r>
          <w:r>
            <w:fldChar w:fldCharType="separate"/>
          </w:r>
          <w:r>
            <w:rPr>
              <w:rFonts w:hint="eastAsia" w:eastAsia="黑体"/>
              <w:szCs w:val="44"/>
            </w:rPr>
            <w:t>第四部分  附件</w:t>
          </w:r>
          <w:r>
            <w:tab/>
          </w:r>
          <w:r>
            <w:fldChar w:fldCharType="begin"/>
          </w:r>
          <w:r>
            <w:instrText xml:space="preserve"> PAGEREF _Toc30720 \h </w:instrText>
          </w:r>
          <w:r>
            <w:fldChar w:fldCharType="separate"/>
          </w:r>
          <w:r>
            <w:t>- 16 -</w:t>
          </w:r>
          <w:r>
            <w:fldChar w:fldCharType="end"/>
          </w:r>
          <w:r>
            <w:fldChar w:fldCharType="end"/>
          </w:r>
        </w:p>
        <w:p w14:paraId="20BED28F">
          <w:pPr>
            <w:pStyle w:val="13"/>
            <w:tabs>
              <w:tab w:val="right" w:leader="dot" w:pos="8306"/>
              <w:tab w:val="clear" w:pos="8296"/>
            </w:tabs>
          </w:pPr>
          <w:r>
            <w:fldChar w:fldCharType="begin"/>
          </w:r>
          <w:r>
            <w:instrText xml:space="preserve"> HYPERLINK \l _Toc5060 </w:instrText>
          </w:r>
          <w:r>
            <w:fldChar w:fldCharType="separate"/>
          </w:r>
          <w:r>
            <w:rPr>
              <w:rFonts w:hint="eastAsia" w:eastAsia="黑体"/>
              <w:szCs w:val="44"/>
            </w:rPr>
            <w:t>第</w:t>
          </w:r>
          <w:r>
            <w:rPr>
              <w:rFonts w:hint="eastAsia" w:eastAsia="黑体"/>
            </w:rPr>
            <w:t>五部分 附表</w:t>
          </w:r>
          <w:r>
            <w:tab/>
          </w:r>
          <w:r>
            <w:fldChar w:fldCharType="begin"/>
          </w:r>
          <w:r>
            <w:instrText xml:space="preserve"> PAGEREF _Toc5060 \h </w:instrText>
          </w:r>
          <w:r>
            <w:fldChar w:fldCharType="separate"/>
          </w:r>
          <w:r>
            <w:t>- 60 -</w:t>
          </w:r>
          <w:r>
            <w:fldChar w:fldCharType="end"/>
          </w:r>
          <w:r>
            <w:fldChar w:fldCharType="end"/>
          </w:r>
        </w:p>
        <w:p w14:paraId="028B259B">
          <w:r>
            <w:fldChar w:fldCharType="end"/>
          </w:r>
        </w:p>
      </w:sdtContent>
    </w:sdt>
    <w:p w14:paraId="5320E549"/>
    <w:p w14:paraId="281D473A">
      <w:pPr>
        <w:pStyle w:val="3"/>
        <w:jc w:val="center"/>
        <w:rPr>
          <w:rFonts w:hint="eastAsia" w:eastAsia="方正小标宋简体" w:cs="方正小标宋简体"/>
          <w:b w:val="0"/>
        </w:rPr>
        <w:sectPr>
          <w:headerReference r:id="rId3" w:type="default"/>
          <w:pgSz w:w="11906" w:h="16838"/>
          <w:pgMar w:top="1440" w:right="1800" w:bottom="1440" w:left="1800" w:header="851" w:footer="992" w:gutter="0"/>
          <w:pgNumType w:fmt="numberInDash" w:start="1"/>
          <w:cols w:space="425" w:num="1"/>
          <w:titlePg/>
          <w:docGrid w:type="lines" w:linePitch="312" w:charSpace="0"/>
        </w:sectPr>
      </w:pPr>
      <w:bookmarkStart w:id="12" w:name="_Toc25255"/>
      <w:bookmarkStart w:id="13" w:name="_Toc15377196"/>
      <w:bookmarkStart w:id="14" w:name="_Toc15396599"/>
    </w:p>
    <w:p w14:paraId="7A0BB24A">
      <w:pPr>
        <w:pStyle w:val="3"/>
        <w:jc w:val="center"/>
        <w:rPr>
          <w:rStyle w:val="30"/>
          <w:rFonts w:eastAsia="方正小标宋简体" w:cs="方正小标宋简体"/>
          <w:b/>
          <w:bCs w:val="0"/>
        </w:rPr>
      </w:pPr>
      <w:r>
        <w:rPr>
          <w:rFonts w:hint="eastAsia" w:eastAsia="方正小标宋简体" w:cs="方正小标宋简体"/>
          <w:b w:val="0"/>
        </w:rPr>
        <w:t xml:space="preserve">第一部分  </w:t>
      </w:r>
      <w:r>
        <w:rPr>
          <w:rStyle w:val="30"/>
          <w:rFonts w:hint="eastAsia" w:eastAsia="方正小标宋简体" w:cs="方正小标宋简体"/>
          <w:b w:val="0"/>
          <w:bCs w:val="0"/>
        </w:rPr>
        <w:t>部门概况</w:t>
      </w:r>
      <w:bookmarkEnd w:id="12"/>
      <w:bookmarkEnd w:id="13"/>
      <w:bookmarkEnd w:id="14"/>
    </w:p>
    <w:p w14:paraId="6E8BE59E">
      <w:pPr>
        <w:widowControl/>
        <w:jc w:val="left"/>
        <w:rPr>
          <w:rFonts w:eastAsia="黑体"/>
          <w:sz w:val="32"/>
          <w:szCs w:val="32"/>
        </w:rPr>
      </w:pPr>
    </w:p>
    <w:p w14:paraId="77367542">
      <w:pPr>
        <w:pStyle w:val="4"/>
        <w:keepNext/>
        <w:keepLines/>
        <w:pageBreakBefore w:val="0"/>
        <w:widowControl w:val="0"/>
        <w:numPr>
          <w:ilvl w:val="0"/>
          <w:numId w:val="1"/>
        </w:numPr>
        <w:kinsoku/>
        <w:wordWrap/>
        <w:overflowPunct/>
        <w:topLinePunct w:val="0"/>
        <w:autoSpaceDE/>
        <w:autoSpaceDN/>
        <w:bidi w:val="0"/>
        <w:adjustRightInd/>
        <w:snapToGrid/>
        <w:spacing w:line="416" w:lineRule="auto"/>
        <w:ind w:firstLine="640" w:firstLineChars="200"/>
        <w:textAlignment w:val="auto"/>
        <w:outlineLvl w:val="0"/>
        <w:rPr>
          <w:rFonts w:hint="eastAsia" w:ascii="Times New Roman" w:hAnsi="Times New Roman" w:eastAsia="黑体"/>
          <w:b w:val="0"/>
        </w:rPr>
      </w:pPr>
      <w:bookmarkStart w:id="15" w:name="_Toc16415"/>
      <w:r>
        <w:rPr>
          <w:rFonts w:hint="eastAsia" w:ascii="Times New Roman" w:hAnsi="Times New Roman" w:eastAsia="黑体"/>
          <w:b w:val="0"/>
        </w:rPr>
        <w:t>部门职责</w:t>
      </w:r>
      <w:bookmarkEnd w:id="15"/>
    </w:p>
    <w:p w14:paraId="1AFE5DD9">
      <w:pPr>
        <w:pStyle w:val="6"/>
        <w:keepNext w:val="0"/>
        <w:keepLines w:val="0"/>
        <w:pageBreakBefore w:val="0"/>
        <w:widowControl w:val="0"/>
        <w:kinsoku/>
        <w:wordWrap/>
        <w:overflowPunct/>
        <w:topLinePunct w:val="0"/>
        <w:autoSpaceDE/>
        <w:autoSpaceDN/>
        <w:bidi w:val="0"/>
        <w:adjustRightInd w:val="0"/>
        <w:snapToGrid w:val="0"/>
        <w:spacing w:before="93"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场的主要职能是承担麦洼牦牛、藏系绵羊、河曲马等地方优良品种的保种、选育和推广以及标准化生产示范，为川西北高原发展畜牧业，保存并提供优良种质资源，推进牧区畜牧业可持续发展，辐射带动青藏高原牧区。我场为四川良种繁育体系的重要组成部分，一直承担着全国著名的牦牛地方优良品种—麦洼牦牛，全国三大著名粗毛羊品种之一的藏绵羊和全国著名的河曲马种质资源保存任务，为川西北牧区提供种畜，为畜牧业新技术的推广进行示范，为草地畜牧业科研、生产示范、培训、教学提供平台。</w:t>
      </w:r>
    </w:p>
    <w:p w14:paraId="020F2A88">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outlineLvl w:val="0"/>
        <w:rPr>
          <w:rStyle w:val="31"/>
          <w:rFonts w:ascii="Times New Roman" w:hAnsi="Times New Roman"/>
          <w:b w:val="0"/>
          <w:bCs w:val="0"/>
        </w:rPr>
      </w:pPr>
      <w:bookmarkStart w:id="16" w:name="_Toc16174"/>
      <w:bookmarkStart w:id="17" w:name="_Toc15396601"/>
      <w:bookmarkStart w:id="18" w:name="_Toc15377200"/>
      <w:r>
        <w:rPr>
          <w:rFonts w:hint="eastAsia" w:ascii="Times New Roman" w:hAnsi="Times New Roman" w:eastAsia="黑体"/>
          <w:b w:val="0"/>
        </w:rPr>
        <w:t>二、机</w:t>
      </w:r>
      <w:r>
        <w:rPr>
          <w:rStyle w:val="31"/>
          <w:rFonts w:hint="eastAsia" w:ascii="Times New Roman" w:hAnsi="Times New Roman" w:eastAsia="黑体"/>
          <w:b w:val="0"/>
          <w:bCs w:val="0"/>
        </w:rPr>
        <w:t>构设置</w:t>
      </w:r>
      <w:bookmarkEnd w:id="16"/>
      <w:bookmarkEnd w:id="17"/>
      <w:bookmarkEnd w:id="18"/>
    </w:p>
    <w:p w14:paraId="4034BCE2">
      <w:pPr>
        <w:pStyle w:val="6"/>
        <w:keepNext w:val="0"/>
        <w:keepLines w:val="0"/>
        <w:pageBreakBefore w:val="0"/>
        <w:widowControl w:val="0"/>
        <w:kinsoku/>
        <w:wordWrap/>
        <w:overflowPunct/>
        <w:topLinePunct w:val="0"/>
        <w:autoSpaceDE/>
        <w:autoSpaceDN/>
        <w:bidi w:val="0"/>
        <w:adjustRightInd w:val="0"/>
        <w:snapToGrid w:val="0"/>
        <w:spacing w:before="93"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本单位本年度纳入本套决算编制范围的独立编制机构数共1个，比上年增加0个；独立核算机构数共1个，比上年增加0个。</w:t>
      </w:r>
    </w:p>
    <w:p w14:paraId="295113B1">
      <w:pPr>
        <w:widowControl/>
        <w:jc w:val="left"/>
        <w:rPr>
          <w:rFonts w:eastAsia="仿宋"/>
          <w:kern w:val="0"/>
          <w:sz w:val="32"/>
          <w:szCs w:val="32"/>
        </w:rPr>
      </w:pPr>
      <w:r>
        <w:rPr>
          <w:rFonts w:eastAsia="仿宋"/>
          <w:sz w:val="32"/>
          <w:szCs w:val="32"/>
        </w:rPr>
        <w:br w:type="page"/>
      </w:r>
    </w:p>
    <w:p w14:paraId="533D2F2E">
      <w:pPr>
        <w:pStyle w:val="3"/>
        <w:jc w:val="center"/>
        <w:rPr>
          <w:rFonts w:eastAsia="方正小标宋简体" w:cs="方正小标宋简体"/>
          <w:b w:val="0"/>
        </w:rPr>
      </w:pPr>
      <w:bookmarkStart w:id="19" w:name="_Toc714"/>
      <w:bookmarkStart w:id="20" w:name="_Toc15396602"/>
      <w:bookmarkStart w:id="21" w:name="_Toc15377204"/>
      <w:r>
        <w:rPr>
          <w:rFonts w:hint="eastAsia" w:eastAsia="方正小标宋简体" w:cs="方正小标宋简体"/>
          <w:b w:val="0"/>
        </w:rPr>
        <w:t>第二部分  2024年度部门决算情况说明</w:t>
      </w:r>
      <w:bookmarkEnd w:id="19"/>
      <w:bookmarkEnd w:id="20"/>
      <w:bookmarkEnd w:id="21"/>
    </w:p>
    <w:p w14:paraId="6B57631A"/>
    <w:p w14:paraId="61C442B7">
      <w:pPr>
        <w:pStyle w:val="29"/>
        <w:spacing w:line="600" w:lineRule="exact"/>
        <w:ind w:firstLine="640" w:firstLineChars="200"/>
        <w:outlineLvl w:val="0"/>
        <w:rPr>
          <w:rStyle w:val="31"/>
          <w:rFonts w:ascii="Times New Roman" w:hAnsi="Times New Roman" w:eastAsia="黑体"/>
          <w:b w:val="0"/>
        </w:rPr>
      </w:pPr>
      <w:bookmarkStart w:id="22" w:name="_Toc8205"/>
      <w:bookmarkStart w:id="23" w:name="_Toc15377205"/>
      <w:bookmarkStart w:id="24" w:name="_Toc15396603"/>
      <w:r>
        <w:rPr>
          <w:rFonts w:hint="eastAsia" w:eastAsia="黑体"/>
          <w:sz w:val="32"/>
          <w:szCs w:val="32"/>
        </w:rPr>
        <w:t>一、收</w:t>
      </w:r>
      <w:r>
        <w:rPr>
          <w:rStyle w:val="31"/>
          <w:rFonts w:hint="eastAsia" w:ascii="Times New Roman" w:hAnsi="Times New Roman" w:eastAsia="黑体"/>
          <w:b w:val="0"/>
        </w:rPr>
        <w:t>入支出决算总体情况说明</w:t>
      </w:r>
      <w:bookmarkEnd w:id="22"/>
      <w:bookmarkEnd w:id="23"/>
      <w:bookmarkEnd w:id="24"/>
    </w:p>
    <w:p w14:paraId="6B020F35">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2024年度收入、支出总计均为</w:t>
      </w:r>
      <w:r>
        <w:rPr>
          <w:rFonts w:hint="eastAsia" w:eastAsia="仿宋_GB2312" w:cs="仿宋_GB2312"/>
          <w:sz w:val="32"/>
          <w:szCs w:val="32"/>
          <w:lang w:val="en-US" w:eastAsia="zh-CN"/>
        </w:rPr>
        <w:t>1645.9</w:t>
      </w:r>
      <w:r>
        <w:rPr>
          <w:rFonts w:hint="eastAsia" w:eastAsia="仿宋_GB2312" w:cs="仿宋_GB2312"/>
          <w:sz w:val="32"/>
          <w:szCs w:val="32"/>
        </w:rPr>
        <w:t>万元。与2023年度相比，收入、支出总计各</w:t>
      </w:r>
      <w:r>
        <w:rPr>
          <w:rFonts w:hint="eastAsia" w:eastAsia="仿宋_GB2312" w:cs="仿宋_GB2312"/>
          <w:sz w:val="32"/>
          <w:szCs w:val="32"/>
          <w:lang w:val="en-US" w:eastAsia="zh-CN"/>
        </w:rPr>
        <w:t>减少113</w:t>
      </w:r>
      <w:r>
        <w:rPr>
          <w:rFonts w:hint="eastAsia" w:eastAsia="仿宋_GB2312" w:cs="仿宋_GB2312"/>
          <w:sz w:val="32"/>
          <w:szCs w:val="32"/>
        </w:rPr>
        <w:t>万元，</w:t>
      </w:r>
      <w:r>
        <w:rPr>
          <w:rFonts w:hint="eastAsia" w:eastAsia="仿宋_GB2312" w:cs="仿宋_GB2312"/>
          <w:sz w:val="32"/>
          <w:szCs w:val="32"/>
          <w:lang w:val="en-US" w:eastAsia="zh-CN"/>
        </w:rPr>
        <w:t>下降6.4</w:t>
      </w:r>
      <w:r>
        <w:rPr>
          <w:rFonts w:hint="eastAsia" w:eastAsia="仿宋_GB2312" w:cs="仿宋_GB2312"/>
          <w:sz w:val="32"/>
          <w:szCs w:val="32"/>
        </w:rPr>
        <w:t>%。主要变动原因是人员减少，经费减少</w:t>
      </w:r>
      <w:r>
        <w:rPr>
          <w:rFonts w:hint="eastAsia" w:eastAsia="仿宋_GB2312" w:cs="仿宋_GB2312"/>
          <w:sz w:val="32"/>
          <w:szCs w:val="32"/>
          <w:lang w:eastAsia="zh-CN"/>
        </w:rPr>
        <w:t>。</w:t>
      </w:r>
    </w:p>
    <w:p w14:paraId="4E52C700">
      <w:pPr>
        <w:pStyle w:val="29"/>
        <w:spacing w:line="600" w:lineRule="exact"/>
        <w:ind w:firstLine="640"/>
        <w:jc w:val="center"/>
        <w:outlineLvl w:val="9"/>
        <w:rPr>
          <w:rFonts w:eastAsia="仿宋_GB2312" w:cs="仿宋_GB2312"/>
          <w:sz w:val="32"/>
          <w:szCs w:val="32"/>
        </w:rPr>
      </w:pPr>
      <w:r>
        <w:drawing>
          <wp:anchor distT="0" distB="0" distL="114300" distR="114300" simplePos="0" relativeHeight="251660288" behindDoc="0" locked="0" layoutInCell="1" allowOverlap="1">
            <wp:simplePos x="0" y="0"/>
            <wp:positionH relativeFrom="column">
              <wp:posOffset>81280</wp:posOffset>
            </wp:positionH>
            <wp:positionV relativeFrom="paragraph">
              <wp:posOffset>53975</wp:posOffset>
            </wp:positionV>
            <wp:extent cx="5012055" cy="2753360"/>
            <wp:effectExtent l="4445" t="4445" r="12700" b="10795"/>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eastAsia="仿宋_GB2312" w:cs="仿宋_GB2312"/>
          <w:sz w:val="32"/>
          <w:szCs w:val="32"/>
        </w:rPr>
        <w:t>（图1：收入、支出决算总计变动情况图）</w:t>
      </w:r>
    </w:p>
    <w:p w14:paraId="07592078">
      <w:pPr>
        <w:pStyle w:val="29"/>
        <w:spacing w:line="600" w:lineRule="exact"/>
        <w:ind w:firstLine="640" w:firstLineChars="200"/>
        <w:outlineLvl w:val="0"/>
        <w:rPr>
          <w:rFonts w:eastAsia="黑体"/>
          <w:sz w:val="32"/>
          <w:szCs w:val="32"/>
        </w:rPr>
      </w:pPr>
      <w:bookmarkStart w:id="25" w:name="_Toc20651"/>
      <w:bookmarkStart w:id="26" w:name="_Toc15396604"/>
      <w:bookmarkStart w:id="27" w:name="_Toc15377206"/>
      <w:r>
        <w:rPr>
          <w:rFonts w:hint="eastAsia" w:eastAsia="黑体"/>
          <w:sz w:val="32"/>
          <w:szCs w:val="32"/>
        </w:rPr>
        <w:t>二、收入决算情况说明</w:t>
      </w:r>
      <w:bookmarkEnd w:id="25"/>
      <w:bookmarkEnd w:id="26"/>
      <w:bookmarkEnd w:id="27"/>
    </w:p>
    <w:p w14:paraId="3F31BCBB">
      <w:pPr>
        <w:spacing w:line="600" w:lineRule="exact"/>
        <w:ind w:firstLine="640"/>
        <w:rPr>
          <w:rFonts w:hint="eastAsia" w:eastAsia="仿宋_GB2312" w:cs="仿宋_GB2312"/>
          <w:sz w:val="32"/>
          <w:szCs w:val="32"/>
        </w:rPr>
      </w:pPr>
      <w:r>
        <w:rPr>
          <w:rFonts w:hint="eastAsia" w:eastAsia="仿宋_GB2312" w:cs="仿宋_GB2312"/>
          <w:sz w:val="32"/>
          <w:szCs w:val="32"/>
        </w:rPr>
        <w:t>2024年度本年收入合计1645.9元，其中：一般公共预算财政拨款收入1570.26万元，占</w:t>
      </w:r>
      <w:r>
        <w:rPr>
          <w:rFonts w:hint="eastAsia" w:eastAsia="仿宋_GB2312" w:cs="仿宋_GB2312"/>
          <w:sz w:val="32"/>
          <w:szCs w:val="32"/>
          <w:lang w:val="en-US" w:eastAsia="zh-CN"/>
        </w:rPr>
        <w:t>95.4</w:t>
      </w:r>
      <w:r>
        <w:rPr>
          <w:rFonts w:hint="eastAsia" w:eastAsia="仿宋_GB2312" w:cs="仿宋_GB2312"/>
          <w:sz w:val="32"/>
          <w:szCs w:val="32"/>
        </w:rPr>
        <w:t>%；政府性基金预算财政拨款收入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%；国有资本经营预算财政拨款收入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%；上级补助收入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%；事业收入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%；经营收入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%；附属单位上缴收入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%；其他收入</w:t>
      </w:r>
      <w:r>
        <w:rPr>
          <w:rFonts w:hint="eastAsia" w:eastAsia="仿宋_GB2312" w:cs="仿宋_GB2312"/>
          <w:sz w:val="32"/>
          <w:szCs w:val="32"/>
          <w:lang w:val="en-US" w:eastAsia="zh-CN"/>
        </w:rPr>
        <w:t>75.65</w:t>
      </w:r>
      <w:r>
        <w:rPr>
          <w:rFonts w:hint="eastAsia" w:eastAsia="仿宋_GB2312" w:cs="仿宋_GB2312"/>
          <w:sz w:val="32"/>
          <w:szCs w:val="32"/>
        </w:rPr>
        <w:t>万元，占</w:t>
      </w:r>
      <w:r>
        <w:rPr>
          <w:rFonts w:hint="eastAsia" w:eastAsia="仿宋_GB2312" w:cs="仿宋_GB2312"/>
          <w:sz w:val="32"/>
          <w:szCs w:val="32"/>
          <w:lang w:val="en-US" w:eastAsia="zh-CN"/>
        </w:rPr>
        <w:t>4.6</w:t>
      </w:r>
      <w:r>
        <w:rPr>
          <w:rFonts w:hint="eastAsia" w:eastAsia="仿宋_GB2312" w:cs="仿宋_GB2312"/>
          <w:sz w:val="32"/>
          <w:szCs w:val="32"/>
        </w:rPr>
        <w:t>%。</w:t>
      </w:r>
    </w:p>
    <w:p w14:paraId="47DA684E">
      <w:pPr>
        <w:pStyle w:val="29"/>
        <w:spacing w:line="600" w:lineRule="exact"/>
        <w:ind w:firstLine="640"/>
        <w:jc w:val="center"/>
        <w:outlineLvl w:val="9"/>
        <w:rPr>
          <w:rFonts w:eastAsia="仿宋_GB2312" w:cs="仿宋_GB2312"/>
          <w:sz w:val="32"/>
          <w:szCs w:val="32"/>
        </w:rPr>
      </w:pPr>
      <w:r>
        <w:drawing>
          <wp:anchor distT="0" distB="0" distL="114300" distR="114300" simplePos="0" relativeHeight="251661312" behindDoc="0" locked="0" layoutInCell="1" allowOverlap="1">
            <wp:simplePos x="0" y="0"/>
            <wp:positionH relativeFrom="column">
              <wp:posOffset>140335</wp:posOffset>
            </wp:positionH>
            <wp:positionV relativeFrom="paragraph">
              <wp:posOffset>31750</wp:posOffset>
            </wp:positionV>
            <wp:extent cx="5273675" cy="2635250"/>
            <wp:effectExtent l="4445" t="4445" r="5080" b="14605"/>
            <wp:wrapSquare wrapText="bothSides"/>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eastAsia="仿宋_GB2312" w:cs="仿宋_GB2312"/>
          <w:sz w:val="32"/>
          <w:szCs w:val="32"/>
        </w:rPr>
        <w:t>（图2：收入决算结构图）</w:t>
      </w:r>
    </w:p>
    <w:p w14:paraId="7D954DA0">
      <w:pPr>
        <w:pStyle w:val="29"/>
        <w:spacing w:line="600" w:lineRule="exact"/>
        <w:ind w:firstLine="640" w:firstLineChars="200"/>
        <w:outlineLvl w:val="0"/>
        <w:rPr>
          <w:rStyle w:val="31"/>
          <w:rFonts w:ascii="Times New Roman" w:hAnsi="Times New Roman" w:eastAsia="黑体"/>
          <w:b w:val="0"/>
        </w:rPr>
      </w:pPr>
      <w:bookmarkStart w:id="28" w:name="_Toc9102"/>
      <w:bookmarkStart w:id="29" w:name="_Toc15396605"/>
      <w:bookmarkStart w:id="30" w:name="_Toc15377207"/>
      <w:r>
        <w:rPr>
          <w:rFonts w:hint="eastAsia" w:eastAsia="黑体"/>
          <w:sz w:val="32"/>
          <w:szCs w:val="32"/>
        </w:rPr>
        <w:t>三、支</w:t>
      </w:r>
      <w:r>
        <w:rPr>
          <w:rStyle w:val="31"/>
          <w:rFonts w:hint="eastAsia" w:ascii="Times New Roman" w:hAnsi="Times New Roman" w:eastAsia="黑体"/>
          <w:b w:val="0"/>
        </w:rPr>
        <w:t>出决算情况说明</w:t>
      </w:r>
      <w:bookmarkEnd w:id="28"/>
      <w:bookmarkEnd w:id="29"/>
      <w:bookmarkEnd w:id="30"/>
    </w:p>
    <w:p w14:paraId="5ADEC559">
      <w:pPr>
        <w:spacing w:line="600" w:lineRule="exact"/>
        <w:ind w:firstLine="640"/>
        <w:rPr>
          <w:rFonts w:eastAsia="仿宋_GB2312" w:cs="仿宋_GB2312"/>
          <w:sz w:val="32"/>
          <w:szCs w:val="32"/>
        </w:rPr>
      </w:pPr>
      <w:r>
        <w:rPr>
          <w:rFonts w:hint="eastAsia" w:eastAsia="仿宋_GB2312" w:cs="仿宋_GB2312"/>
          <w:sz w:val="32"/>
          <w:szCs w:val="32"/>
        </w:rPr>
        <w:t>2024年度本年支出合计1584.68万元，其中：基本支出</w:t>
      </w:r>
      <w:r>
        <w:rPr>
          <w:rFonts w:hint="eastAsia" w:eastAsia="仿宋_GB2312" w:cs="仿宋_GB2312"/>
          <w:sz w:val="32"/>
          <w:szCs w:val="32"/>
          <w:lang w:val="en-US" w:eastAsia="zh-CN"/>
        </w:rPr>
        <w:t>1429.34</w:t>
      </w:r>
      <w:r>
        <w:rPr>
          <w:rFonts w:hint="eastAsia" w:eastAsia="仿宋_GB2312" w:cs="仿宋_GB2312"/>
          <w:sz w:val="32"/>
          <w:szCs w:val="32"/>
        </w:rPr>
        <w:t>万元，占</w:t>
      </w:r>
      <w:r>
        <w:rPr>
          <w:rFonts w:hint="eastAsia" w:eastAsia="仿宋_GB2312" w:cs="仿宋_GB2312"/>
          <w:sz w:val="32"/>
          <w:szCs w:val="32"/>
          <w:lang w:val="en-US" w:eastAsia="zh-CN"/>
        </w:rPr>
        <w:t>90.2</w:t>
      </w:r>
      <w:r>
        <w:rPr>
          <w:rFonts w:hint="eastAsia" w:eastAsia="仿宋_GB2312" w:cs="仿宋_GB2312"/>
          <w:sz w:val="32"/>
          <w:szCs w:val="32"/>
        </w:rPr>
        <w:t>%；项目支出</w:t>
      </w:r>
      <w:r>
        <w:rPr>
          <w:rFonts w:hint="eastAsia" w:eastAsia="仿宋_GB2312" w:cs="仿宋_GB2312"/>
          <w:sz w:val="32"/>
          <w:szCs w:val="32"/>
          <w:lang w:val="en-US" w:eastAsia="zh-CN"/>
        </w:rPr>
        <w:t>155.34</w:t>
      </w:r>
      <w:r>
        <w:rPr>
          <w:rFonts w:hint="eastAsia" w:eastAsia="仿宋_GB2312" w:cs="仿宋_GB2312"/>
          <w:sz w:val="32"/>
          <w:szCs w:val="32"/>
        </w:rPr>
        <w:t>万元，占</w:t>
      </w:r>
      <w:r>
        <w:rPr>
          <w:rFonts w:hint="eastAsia" w:eastAsia="仿宋_GB2312" w:cs="仿宋_GB2312"/>
          <w:sz w:val="32"/>
          <w:szCs w:val="32"/>
          <w:lang w:val="en-US" w:eastAsia="zh-CN"/>
        </w:rPr>
        <w:t>9.8</w:t>
      </w:r>
      <w:r>
        <w:rPr>
          <w:rFonts w:hint="eastAsia" w:eastAsia="仿宋_GB2312" w:cs="仿宋_GB2312"/>
          <w:sz w:val="32"/>
          <w:szCs w:val="32"/>
        </w:rPr>
        <w:t>%；上缴上级支出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%；经营支出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%；对附属单位补助支出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w:t>
      </w:r>
    </w:p>
    <w:p w14:paraId="049F604B">
      <w:pPr>
        <w:ind w:firstLine="525" w:firstLineChars="250"/>
        <w:jc w:val="center"/>
        <w:rPr>
          <w:rFonts w:eastAsia="仿宋_GB2312" w:cs="仿宋_GB2312"/>
          <w:sz w:val="32"/>
          <w:szCs w:val="32"/>
        </w:rPr>
      </w:pPr>
      <w:r>
        <w:drawing>
          <wp:inline distT="0" distB="0" distL="114300" distR="114300">
            <wp:extent cx="4756150" cy="2667000"/>
            <wp:effectExtent l="4445" t="5080" r="14605" b="762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hint="eastAsia" w:eastAsia="仿宋_GB2312" w:cs="仿宋_GB2312"/>
          <w:sz w:val="32"/>
          <w:szCs w:val="32"/>
        </w:rPr>
        <w:t>（图3：支出决算结构图）</w:t>
      </w:r>
    </w:p>
    <w:p w14:paraId="54075097">
      <w:pPr>
        <w:spacing w:line="600" w:lineRule="exact"/>
        <w:ind w:firstLine="640" w:firstLineChars="200"/>
        <w:outlineLvl w:val="0"/>
        <w:rPr>
          <w:rStyle w:val="31"/>
          <w:rFonts w:ascii="Times New Roman" w:hAnsi="Times New Roman" w:eastAsia="黑体"/>
          <w:b w:val="0"/>
        </w:rPr>
      </w:pPr>
      <w:bookmarkStart w:id="31" w:name="_Toc15377208"/>
      <w:bookmarkStart w:id="32" w:name="_Toc15396606"/>
      <w:bookmarkStart w:id="33" w:name="_Toc17121"/>
      <w:r>
        <w:rPr>
          <w:rFonts w:hint="eastAsia" w:eastAsia="黑体"/>
          <w:sz w:val="32"/>
          <w:szCs w:val="32"/>
        </w:rPr>
        <w:t>四、财</w:t>
      </w:r>
      <w:r>
        <w:rPr>
          <w:rStyle w:val="31"/>
          <w:rFonts w:hint="eastAsia" w:ascii="Times New Roman" w:hAnsi="Times New Roman" w:eastAsia="黑体"/>
          <w:b w:val="0"/>
        </w:rPr>
        <w:t>政拨款收入支出决算总体情况说明</w:t>
      </w:r>
      <w:bookmarkEnd w:id="31"/>
      <w:bookmarkEnd w:id="32"/>
      <w:bookmarkEnd w:id="33"/>
    </w:p>
    <w:p w14:paraId="286B29A3">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2024年度财政拨款收入、支出总计均为1570.26万元。与2023年度相比，财政拨款收入总计、支出总计各</w:t>
      </w:r>
      <w:r>
        <w:rPr>
          <w:rFonts w:hint="eastAsia" w:eastAsia="仿宋_GB2312" w:cs="仿宋_GB2312"/>
          <w:sz w:val="32"/>
          <w:szCs w:val="32"/>
          <w:lang w:val="en-US" w:eastAsia="zh-CN"/>
        </w:rPr>
        <w:t>减少176.55</w:t>
      </w:r>
      <w:r>
        <w:rPr>
          <w:rFonts w:hint="eastAsia" w:eastAsia="仿宋_GB2312" w:cs="仿宋_GB2312"/>
          <w:sz w:val="32"/>
          <w:szCs w:val="32"/>
        </w:rPr>
        <w:t>万元，</w:t>
      </w:r>
      <w:r>
        <w:rPr>
          <w:rFonts w:hint="eastAsia" w:eastAsia="仿宋_GB2312" w:cs="仿宋_GB2312"/>
          <w:sz w:val="32"/>
          <w:szCs w:val="32"/>
          <w:lang w:val="en-US" w:eastAsia="zh-CN"/>
        </w:rPr>
        <w:t>下降10.1</w:t>
      </w:r>
      <w:r>
        <w:rPr>
          <w:rFonts w:hint="eastAsia" w:eastAsia="仿宋_GB2312" w:cs="仿宋_GB2312"/>
          <w:sz w:val="32"/>
          <w:szCs w:val="32"/>
        </w:rPr>
        <w:t>%。主要变动原因是人员减少，经费减少</w:t>
      </w:r>
      <w:r>
        <w:rPr>
          <w:rFonts w:hint="eastAsia" w:eastAsia="仿宋_GB2312" w:cs="仿宋_GB2312"/>
          <w:sz w:val="32"/>
          <w:szCs w:val="32"/>
          <w:lang w:eastAsia="zh-CN"/>
        </w:rPr>
        <w:t>。</w:t>
      </w:r>
    </w:p>
    <w:p w14:paraId="06823D1D">
      <w:pPr>
        <w:pStyle w:val="14"/>
        <w:rPr>
          <w:rFonts w:hint="eastAsia" w:eastAsia="仿宋_GB2312" w:cs="仿宋_GB2312"/>
          <w:sz w:val="32"/>
          <w:szCs w:val="32"/>
          <w:lang w:eastAsia="zh-CN"/>
        </w:rPr>
      </w:pPr>
      <w:r>
        <w:drawing>
          <wp:anchor distT="0" distB="0" distL="114300" distR="114300" simplePos="0" relativeHeight="251662336" behindDoc="0" locked="0" layoutInCell="1" allowOverlap="1">
            <wp:simplePos x="0" y="0"/>
            <wp:positionH relativeFrom="column">
              <wp:posOffset>240665</wp:posOffset>
            </wp:positionH>
            <wp:positionV relativeFrom="paragraph">
              <wp:posOffset>62230</wp:posOffset>
            </wp:positionV>
            <wp:extent cx="4653915" cy="2667000"/>
            <wp:effectExtent l="4445" t="4445" r="15240" b="8255"/>
            <wp:wrapSquare wrapText="bothSides"/>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03AE6CED">
      <w:pPr>
        <w:spacing w:line="600" w:lineRule="exact"/>
        <w:ind w:firstLine="640" w:firstLineChars="200"/>
        <w:jc w:val="center"/>
        <w:rPr>
          <w:rFonts w:hint="eastAsia" w:eastAsia="仿宋_GB2312" w:cs="仿宋_GB2312"/>
          <w:sz w:val="32"/>
          <w:szCs w:val="32"/>
        </w:rPr>
      </w:pPr>
    </w:p>
    <w:p w14:paraId="278A73B0">
      <w:pPr>
        <w:spacing w:line="600" w:lineRule="exact"/>
        <w:ind w:firstLine="640" w:firstLineChars="200"/>
        <w:jc w:val="center"/>
        <w:rPr>
          <w:rFonts w:hint="eastAsia" w:eastAsia="仿宋_GB2312" w:cs="仿宋_GB2312"/>
          <w:sz w:val="32"/>
          <w:szCs w:val="32"/>
        </w:rPr>
      </w:pPr>
    </w:p>
    <w:p w14:paraId="64562645">
      <w:pPr>
        <w:spacing w:line="600" w:lineRule="exact"/>
        <w:ind w:firstLine="640" w:firstLineChars="200"/>
        <w:jc w:val="center"/>
        <w:rPr>
          <w:rFonts w:hint="eastAsia" w:eastAsia="仿宋_GB2312" w:cs="仿宋_GB2312"/>
          <w:sz w:val="32"/>
          <w:szCs w:val="32"/>
        </w:rPr>
      </w:pPr>
    </w:p>
    <w:p w14:paraId="311219F5">
      <w:pPr>
        <w:spacing w:line="600" w:lineRule="exact"/>
        <w:ind w:firstLine="640" w:firstLineChars="200"/>
        <w:jc w:val="center"/>
        <w:rPr>
          <w:rFonts w:hint="eastAsia" w:eastAsia="仿宋_GB2312" w:cs="仿宋_GB2312"/>
          <w:sz w:val="32"/>
          <w:szCs w:val="32"/>
        </w:rPr>
      </w:pPr>
    </w:p>
    <w:p w14:paraId="31DB9830">
      <w:pPr>
        <w:spacing w:line="600" w:lineRule="exact"/>
        <w:ind w:firstLine="640" w:firstLineChars="200"/>
        <w:jc w:val="center"/>
        <w:rPr>
          <w:rFonts w:hint="eastAsia" w:eastAsia="仿宋_GB2312" w:cs="仿宋_GB2312"/>
          <w:sz w:val="32"/>
          <w:szCs w:val="32"/>
        </w:rPr>
      </w:pPr>
    </w:p>
    <w:p w14:paraId="5E24D8D9">
      <w:pPr>
        <w:spacing w:line="600" w:lineRule="exact"/>
        <w:ind w:firstLine="640" w:firstLineChars="200"/>
        <w:jc w:val="center"/>
        <w:rPr>
          <w:rFonts w:hint="eastAsia" w:eastAsia="仿宋_GB2312" w:cs="仿宋_GB2312"/>
          <w:sz w:val="32"/>
          <w:szCs w:val="32"/>
        </w:rPr>
      </w:pPr>
    </w:p>
    <w:p w14:paraId="5D871E23">
      <w:pPr>
        <w:spacing w:line="600" w:lineRule="exact"/>
        <w:ind w:firstLine="640" w:firstLineChars="200"/>
        <w:jc w:val="center"/>
        <w:rPr>
          <w:rFonts w:hint="eastAsia" w:eastAsia="仿宋_GB2312" w:cs="仿宋_GB2312"/>
          <w:sz w:val="32"/>
          <w:szCs w:val="32"/>
        </w:rPr>
      </w:pPr>
    </w:p>
    <w:p w14:paraId="5840B9D9">
      <w:pPr>
        <w:spacing w:line="600" w:lineRule="exact"/>
        <w:ind w:firstLine="640" w:firstLineChars="200"/>
        <w:jc w:val="center"/>
        <w:rPr>
          <w:rFonts w:eastAsia="仿宋_GB2312" w:cs="仿宋_GB2312"/>
          <w:sz w:val="32"/>
          <w:szCs w:val="32"/>
        </w:rPr>
      </w:pPr>
      <w:r>
        <w:rPr>
          <w:rFonts w:hint="eastAsia" w:eastAsia="仿宋_GB2312" w:cs="仿宋_GB2312"/>
          <w:sz w:val="32"/>
          <w:szCs w:val="32"/>
        </w:rPr>
        <w:t>（图4：财政拨款收、支决算总计变动情况）</w:t>
      </w:r>
    </w:p>
    <w:p w14:paraId="588454DC">
      <w:pPr>
        <w:spacing w:line="600" w:lineRule="exact"/>
        <w:ind w:firstLine="640" w:firstLineChars="200"/>
        <w:outlineLvl w:val="0"/>
        <w:rPr>
          <w:rStyle w:val="31"/>
          <w:rFonts w:ascii="Times New Roman" w:hAnsi="Times New Roman" w:eastAsia="黑体"/>
          <w:b w:val="0"/>
        </w:rPr>
      </w:pPr>
      <w:bookmarkStart w:id="34" w:name="_Toc15396607"/>
      <w:bookmarkStart w:id="35" w:name="_Toc2659"/>
      <w:bookmarkStart w:id="36" w:name="_Toc15377209"/>
      <w:r>
        <w:rPr>
          <w:rFonts w:hint="eastAsia" w:eastAsia="黑体"/>
          <w:sz w:val="32"/>
          <w:szCs w:val="32"/>
        </w:rPr>
        <w:t>五、</w:t>
      </w:r>
      <w:r>
        <w:rPr>
          <w:rFonts w:hint="eastAsia" w:eastAsia="黑体"/>
          <w:b/>
          <w:sz w:val="32"/>
          <w:szCs w:val="32"/>
        </w:rPr>
        <w:t>一</w:t>
      </w:r>
      <w:r>
        <w:rPr>
          <w:rStyle w:val="31"/>
          <w:rFonts w:hint="eastAsia" w:ascii="Times New Roman" w:hAnsi="Times New Roman" w:eastAsia="黑体"/>
          <w:b w:val="0"/>
        </w:rPr>
        <w:t>般公共预算财政拨款支出决算情况说明</w:t>
      </w:r>
      <w:bookmarkEnd w:id="34"/>
      <w:bookmarkEnd w:id="35"/>
      <w:bookmarkEnd w:id="36"/>
    </w:p>
    <w:p w14:paraId="1F541FFE">
      <w:pPr>
        <w:spacing w:line="600" w:lineRule="exact"/>
        <w:ind w:firstLine="643" w:firstLineChars="200"/>
        <w:outlineLvl w:val="9"/>
        <w:rPr>
          <w:rFonts w:eastAsia="楷体_GB2312" w:cs="楷体_GB2312"/>
          <w:b/>
          <w:sz w:val="32"/>
          <w:szCs w:val="32"/>
        </w:rPr>
      </w:pPr>
      <w:bookmarkStart w:id="37" w:name="_Toc15377210"/>
      <w:r>
        <w:rPr>
          <w:rFonts w:hint="eastAsia" w:eastAsia="楷体_GB2312" w:cs="楷体_GB2312"/>
          <w:b/>
          <w:sz w:val="32"/>
          <w:szCs w:val="32"/>
        </w:rPr>
        <w:t>（一）一般公共预算财政拨款支出决算总体情况</w:t>
      </w:r>
      <w:bookmarkEnd w:id="37"/>
    </w:p>
    <w:p w14:paraId="72A0EDF4">
      <w:pPr>
        <w:spacing w:line="600" w:lineRule="exact"/>
        <w:ind w:firstLine="640"/>
      </w:pPr>
      <w:r>
        <w:rPr>
          <w:rFonts w:hint="eastAsia" w:eastAsia="仿宋_GB2312" w:cs="仿宋_GB2312"/>
          <w:sz w:val="32"/>
          <w:szCs w:val="32"/>
        </w:rPr>
        <w:t>2024年度一般公共预算财政拨款支出1570.26万元，占本年支出合计的</w:t>
      </w:r>
      <w:r>
        <w:rPr>
          <w:rFonts w:hint="eastAsia" w:eastAsia="仿宋_GB2312" w:cs="仿宋_GB2312"/>
          <w:sz w:val="32"/>
          <w:szCs w:val="32"/>
          <w:lang w:val="en-US" w:eastAsia="zh-CN"/>
        </w:rPr>
        <w:t>99.1</w:t>
      </w:r>
      <w:r>
        <w:rPr>
          <w:rFonts w:hint="eastAsia" w:eastAsia="仿宋_GB2312" w:cs="仿宋_GB2312"/>
          <w:sz w:val="32"/>
          <w:szCs w:val="32"/>
        </w:rPr>
        <w:t>%。与2023年度相比，一般公共预算财政拨款支出</w:t>
      </w:r>
      <w:r>
        <w:rPr>
          <w:rFonts w:hint="eastAsia" w:eastAsia="仿宋_GB2312" w:cs="仿宋_GB2312"/>
          <w:sz w:val="32"/>
          <w:szCs w:val="32"/>
          <w:lang w:val="en-US" w:eastAsia="zh-CN"/>
        </w:rPr>
        <w:t>减少</w:t>
      </w:r>
      <w:r>
        <w:rPr>
          <w:rFonts w:hint="eastAsia" w:eastAsia="仿宋_GB2312" w:cs="仿宋_GB2312"/>
          <w:sz w:val="32"/>
          <w:szCs w:val="32"/>
        </w:rPr>
        <w:t>176.55万元，</w:t>
      </w:r>
      <w:r>
        <w:rPr>
          <w:rFonts w:hint="eastAsia" w:eastAsia="仿宋_GB2312" w:cs="仿宋_GB2312"/>
          <w:sz w:val="32"/>
          <w:szCs w:val="32"/>
          <w:lang w:val="en-US" w:eastAsia="zh-CN"/>
        </w:rPr>
        <w:t>下降10.1</w:t>
      </w:r>
      <w:r>
        <w:rPr>
          <w:rFonts w:hint="eastAsia" w:eastAsia="仿宋_GB2312" w:cs="仿宋_GB2312"/>
          <w:sz w:val="32"/>
          <w:szCs w:val="32"/>
        </w:rPr>
        <w:t>%。主要变动原因是人员减少，经费减少</w:t>
      </w:r>
      <w:r>
        <w:rPr>
          <w:rFonts w:hint="eastAsia" w:eastAsia="仿宋_GB2312" w:cs="仿宋_GB2312"/>
          <w:sz w:val="32"/>
          <w:szCs w:val="32"/>
          <w:lang w:eastAsia="zh-CN"/>
        </w:rPr>
        <w:t>。</w:t>
      </w:r>
    </w:p>
    <w:p w14:paraId="0AD24658">
      <w:pPr>
        <w:pStyle w:val="8"/>
        <w:jc w:val="center"/>
      </w:pPr>
      <w:r>
        <w:drawing>
          <wp:inline distT="0" distB="0" distL="114300" distR="114300">
            <wp:extent cx="4162425" cy="2844800"/>
            <wp:effectExtent l="4445" t="4445" r="11430" b="8255"/>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4FF90A1">
      <w:pPr>
        <w:spacing w:line="600" w:lineRule="exact"/>
        <w:ind w:firstLine="640"/>
        <w:jc w:val="center"/>
        <w:rPr>
          <w:rFonts w:eastAsia="仿宋_GB2312" w:cs="仿宋_GB2312"/>
          <w:sz w:val="32"/>
          <w:szCs w:val="32"/>
        </w:rPr>
      </w:pPr>
      <w:r>
        <w:rPr>
          <w:rFonts w:hint="eastAsia" w:eastAsia="仿宋_GB2312" w:cs="仿宋_GB2312"/>
          <w:sz w:val="32"/>
          <w:szCs w:val="32"/>
        </w:rPr>
        <w:t>（图5：一般公共预算财政拨款支出决算变动情况）</w:t>
      </w:r>
    </w:p>
    <w:p w14:paraId="69AEC7DB">
      <w:pPr>
        <w:spacing w:line="600" w:lineRule="exact"/>
        <w:ind w:firstLine="643" w:firstLineChars="200"/>
        <w:outlineLvl w:val="9"/>
        <w:rPr>
          <w:rFonts w:eastAsia="楷体_GB2312" w:cs="楷体_GB2312"/>
          <w:b/>
          <w:sz w:val="32"/>
          <w:szCs w:val="32"/>
        </w:rPr>
      </w:pPr>
      <w:bookmarkStart w:id="38" w:name="_Toc15377211"/>
      <w:r>
        <w:rPr>
          <w:rFonts w:hint="eastAsia" w:eastAsia="楷体_GB2312" w:cs="楷体_GB2312"/>
          <w:b/>
          <w:sz w:val="32"/>
          <w:szCs w:val="32"/>
        </w:rPr>
        <w:t>（二）一般公共预算财政拨款支出决算结构情况</w:t>
      </w:r>
      <w:bookmarkEnd w:id="38"/>
    </w:p>
    <w:p w14:paraId="6875AAFD">
      <w:pPr>
        <w:spacing w:line="600" w:lineRule="exact"/>
        <w:ind w:firstLine="640"/>
      </w:pPr>
      <w:r>
        <w:rPr>
          <w:rFonts w:hint="eastAsia" w:eastAsia="仿宋_GB2312" w:cs="仿宋_GB2312"/>
          <w:sz w:val="32"/>
          <w:szCs w:val="32"/>
        </w:rPr>
        <w:t>2024年度一般公共预算财政拨款支出1570.26万元，主要用于以下方面：科学技术支出17.26万元，占</w:t>
      </w:r>
      <w:r>
        <w:rPr>
          <w:rFonts w:hint="eastAsia" w:eastAsia="仿宋_GB2312" w:cs="仿宋_GB2312"/>
          <w:sz w:val="32"/>
          <w:szCs w:val="32"/>
          <w:lang w:val="en-US" w:eastAsia="zh-CN"/>
        </w:rPr>
        <w:t>1.1</w:t>
      </w:r>
      <w:r>
        <w:rPr>
          <w:rFonts w:hint="eastAsia" w:eastAsia="仿宋_GB2312" w:cs="仿宋_GB2312"/>
          <w:sz w:val="32"/>
          <w:szCs w:val="32"/>
        </w:rPr>
        <w:t>%；社会保障和就业支出140.59万元，占</w:t>
      </w:r>
      <w:r>
        <w:rPr>
          <w:rFonts w:hint="eastAsia" w:eastAsia="仿宋_GB2312" w:cs="仿宋_GB2312"/>
          <w:sz w:val="32"/>
          <w:szCs w:val="32"/>
          <w:lang w:val="en-US" w:eastAsia="zh-CN"/>
        </w:rPr>
        <w:t>9</w:t>
      </w:r>
      <w:r>
        <w:rPr>
          <w:rFonts w:hint="eastAsia" w:eastAsia="仿宋_GB2312" w:cs="仿宋_GB2312"/>
          <w:sz w:val="32"/>
          <w:szCs w:val="32"/>
        </w:rPr>
        <w:t>%；卫生健康支出70.5万元，占</w:t>
      </w:r>
      <w:r>
        <w:rPr>
          <w:rFonts w:hint="eastAsia" w:eastAsia="仿宋_GB2312" w:cs="仿宋_GB2312"/>
          <w:sz w:val="32"/>
          <w:szCs w:val="32"/>
          <w:lang w:val="en-US" w:eastAsia="zh-CN"/>
        </w:rPr>
        <w:t>4.5</w:t>
      </w:r>
      <w:r>
        <w:rPr>
          <w:rFonts w:hint="eastAsia" w:eastAsia="仿宋_GB2312" w:cs="仿宋_GB2312"/>
          <w:sz w:val="32"/>
          <w:szCs w:val="32"/>
        </w:rPr>
        <w:t>%；农林水支出1262.37</w:t>
      </w:r>
      <w:r>
        <w:rPr>
          <w:rFonts w:hint="eastAsia" w:eastAsia="仿宋_GB2312" w:cs="仿宋_GB2312"/>
          <w:sz w:val="32"/>
          <w:szCs w:val="32"/>
          <w:lang w:val="en-US" w:eastAsia="zh-CN"/>
        </w:rPr>
        <w:t>万元，占80.4%；</w:t>
      </w:r>
      <w:r>
        <w:rPr>
          <w:rFonts w:hint="eastAsia" w:eastAsia="仿宋_GB2312" w:cs="仿宋_GB2312"/>
          <w:sz w:val="32"/>
          <w:szCs w:val="32"/>
        </w:rPr>
        <w:t>住房保障支出79.53万元，占</w:t>
      </w:r>
      <w:r>
        <w:rPr>
          <w:rFonts w:hint="eastAsia" w:eastAsia="仿宋_GB2312" w:cs="仿宋_GB2312"/>
          <w:sz w:val="32"/>
          <w:szCs w:val="32"/>
          <w:lang w:val="en-US" w:eastAsia="zh-CN"/>
        </w:rPr>
        <w:t>5.1</w:t>
      </w:r>
      <w:r>
        <w:rPr>
          <w:rFonts w:hint="eastAsia" w:eastAsia="仿宋_GB2312" w:cs="仿宋_GB2312"/>
          <w:sz w:val="32"/>
          <w:szCs w:val="32"/>
        </w:rPr>
        <w:t>%</w:t>
      </w:r>
      <w:r>
        <w:rPr>
          <w:rFonts w:hint="eastAsia" w:eastAsia="仿宋_GB2312" w:cs="仿宋_GB2312"/>
          <w:sz w:val="32"/>
          <w:szCs w:val="32"/>
          <w:lang w:eastAsia="zh-CN"/>
        </w:rPr>
        <w:t>。</w:t>
      </w:r>
    </w:p>
    <w:p w14:paraId="42E5535D">
      <w:pPr>
        <w:pStyle w:val="8"/>
        <w:jc w:val="both"/>
        <w:rPr>
          <w:rFonts w:hint="eastAsia"/>
        </w:rPr>
      </w:pPr>
      <w:r>
        <w:drawing>
          <wp:inline distT="0" distB="0" distL="114300" distR="114300">
            <wp:extent cx="4824095" cy="2667000"/>
            <wp:effectExtent l="4445" t="5080" r="10160" b="7620"/>
            <wp:docPr id="11"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13ACD41">
      <w:pPr>
        <w:spacing w:line="600" w:lineRule="exact"/>
        <w:ind w:firstLine="640"/>
        <w:jc w:val="center"/>
        <w:rPr>
          <w:rFonts w:eastAsia="仿宋_GB2312" w:cs="仿宋_GB2312"/>
          <w:sz w:val="32"/>
          <w:szCs w:val="32"/>
        </w:rPr>
      </w:pPr>
      <w:r>
        <w:rPr>
          <w:rFonts w:hint="eastAsia" w:eastAsia="仿宋_GB2312" w:cs="仿宋_GB2312"/>
          <w:sz w:val="32"/>
          <w:szCs w:val="32"/>
        </w:rPr>
        <w:t>（图6：一般公共预算财政拨款支出决算结构）</w:t>
      </w:r>
    </w:p>
    <w:p w14:paraId="2933DF04">
      <w:pPr>
        <w:spacing w:line="600" w:lineRule="exact"/>
        <w:ind w:firstLine="643" w:firstLineChars="200"/>
        <w:outlineLvl w:val="9"/>
        <w:rPr>
          <w:rFonts w:eastAsia="楷体_GB2312" w:cs="楷体_GB2312"/>
          <w:b/>
          <w:sz w:val="32"/>
          <w:szCs w:val="32"/>
        </w:rPr>
      </w:pPr>
      <w:bookmarkStart w:id="39" w:name="_Toc15377212"/>
      <w:r>
        <w:rPr>
          <w:rFonts w:hint="eastAsia" w:eastAsia="楷体_GB2312" w:cs="楷体_GB2312"/>
          <w:b/>
          <w:sz w:val="32"/>
          <w:szCs w:val="32"/>
        </w:rPr>
        <w:t>（三）一般公共预算财政拨款支出决算具体情况</w:t>
      </w:r>
      <w:bookmarkEnd w:id="39"/>
    </w:p>
    <w:p w14:paraId="0C547C31">
      <w:pPr>
        <w:spacing w:line="600" w:lineRule="exact"/>
        <w:ind w:firstLine="640"/>
        <w:rPr>
          <w:rFonts w:eastAsia="仿宋_GB2312" w:cs="仿宋_GB2312"/>
          <w:sz w:val="32"/>
          <w:szCs w:val="32"/>
        </w:rPr>
      </w:pPr>
      <w:bookmarkStart w:id="40" w:name="_Toc15378460"/>
      <w:bookmarkStart w:id="41" w:name="_Toc15377444"/>
      <w:bookmarkStart w:id="42" w:name="_Toc15377213"/>
      <w:r>
        <w:rPr>
          <w:rFonts w:hint="eastAsia" w:eastAsia="仿宋_GB2312" w:cs="仿宋_GB2312"/>
          <w:sz w:val="32"/>
          <w:szCs w:val="32"/>
        </w:rPr>
        <w:t>2024年度一般公共预算财政拨款支出决算数为1570.26</w:t>
      </w:r>
      <w:r>
        <w:rPr>
          <w:rFonts w:hint="eastAsia" w:eastAsia="仿宋_GB2312" w:cs="仿宋_GB2312"/>
          <w:sz w:val="32"/>
          <w:szCs w:val="32"/>
          <w:lang w:val="en-US" w:eastAsia="zh-CN"/>
        </w:rPr>
        <w:t>万元</w:t>
      </w:r>
      <w:r>
        <w:rPr>
          <w:rFonts w:hint="eastAsia" w:ascii="仿宋_GB2312" w:hAnsi="仿宋_GB2312" w:eastAsia="仿宋_GB2312" w:cs="仿宋_GB2312"/>
          <w:sz w:val="32"/>
          <w:szCs w:val="32"/>
        </w:rPr>
        <w:t>，</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40"/>
      <w:bookmarkEnd w:id="41"/>
      <w:bookmarkEnd w:id="42"/>
    </w:p>
    <w:p w14:paraId="26B6BFA8">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lang w:val="en-US" w:eastAsia="zh-CN"/>
        </w:rPr>
      </w:pPr>
      <w:r>
        <w:rPr>
          <w:rFonts w:hint="eastAsia" w:eastAsia="仿宋_GB2312" w:cs="仿宋_GB2312"/>
          <w:sz w:val="32"/>
          <w:szCs w:val="32"/>
        </w:rPr>
        <w:t>科学技术支出（类）基础研究（款）专项基础科研（项）：支出决算为</w:t>
      </w:r>
      <w:r>
        <w:rPr>
          <w:rFonts w:hint="eastAsia" w:eastAsia="仿宋_GB2312" w:cs="仿宋_GB2312"/>
          <w:sz w:val="32"/>
          <w:szCs w:val="32"/>
          <w:lang w:val="en-US" w:eastAsia="zh-CN"/>
        </w:rPr>
        <w:t>13</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66D9FDB1">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科学技术支出（类）科技重大项目（款）重点研发计划（项）：支出决算为3.95万元，完成预算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41F18296">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科学技术支出（类）其他科学技术支出（款其他科学技术支出（项）：支出决算为0.31万元，完成预算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674745A0">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社会保障和就业（类）行政事业单位养老支出（款）机关事业单位基本养老保险缴费支出（项）：支出决算为93.72万元，完成预算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7469EBBA">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社会保障和就业（类）行政事业单位养老支出（款）机关事业单位职业年金缴费支出（项）：支出决算为46.87万元，完成预算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5FD76495">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卫生健康（类）行政事业单位医疗（款）事业单位医疗（项）：支出决算为70.5万元，完成预算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2E98FAA0">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农林水支出（类）农业农村（款）事业运行（项）：支出决算为1138.71万元，完成预算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296D87CF">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农林水支出（类）农业农村（款）农业生态资源保护（项）：支出决算为123.66万元，完成预算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0A755AEB">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住房保障支出（类）住房改革支出（款）购房补贴（项）：支出决算为</w:t>
      </w:r>
      <w:r>
        <w:rPr>
          <w:rFonts w:hint="eastAsia" w:eastAsia="仿宋_GB2312" w:cs="仿宋_GB2312"/>
          <w:sz w:val="32"/>
          <w:szCs w:val="32"/>
          <w:lang w:val="en-US" w:eastAsia="zh-CN"/>
        </w:rPr>
        <w:t>77.53</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7F96F2B7">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住房保障支出（类）住房改革支出（款）购房补贴（项）：支出决算为</w:t>
      </w:r>
      <w:r>
        <w:rPr>
          <w:rFonts w:hint="eastAsia" w:eastAsia="仿宋_GB2312" w:cs="仿宋_GB2312"/>
          <w:sz w:val="32"/>
          <w:szCs w:val="32"/>
          <w:lang w:val="en-US" w:eastAsia="zh-CN"/>
        </w:rPr>
        <w:t>2</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09FFB682">
      <w:pPr>
        <w:tabs>
          <w:tab w:val="right" w:pos="8306"/>
        </w:tabs>
        <w:spacing w:line="600" w:lineRule="exact"/>
        <w:ind w:firstLine="640" w:firstLineChars="0"/>
        <w:outlineLvl w:val="0"/>
        <w:rPr>
          <w:rStyle w:val="31"/>
          <w:rFonts w:ascii="Times New Roman" w:hAnsi="Times New Roman"/>
        </w:rPr>
      </w:pPr>
      <w:bookmarkStart w:id="43" w:name="_Toc15377214"/>
      <w:bookmarkStart w:id="44" w:name="_Toc15396608"/>
      <w:bookmarkStart w:id="45" w:name="_Toc15135"/>
      <w:r>
        <w:rPr>
          <w:rFonts w:hint="eastAsia" w:eastAsia="黑体"/>
          <w:sz w:val="32"/>
          <w:szCs w:val="32"/>
        </w:rPr>
        <w:t>六</w:t>
      </w:r>
      <w:r>
        <w:rPr>
          <w:rFonts w:hint="eastAsia" w:eastAsia="黑体"/>
          <w:b/>
          <w:sz w:val="32"/>
          <w:szCs w:val="32"/>
        </w:rPr>
        <w:t>、一</w:t>
      </w:r>
      <w:r>
        <w:rPr>
          <w:rStyle w:val="31"/>
          <w:rFonts w:hint="eastAsia" w:ascii="Times New Roman" w:hAnsi="Times New Roman" w:eastAsia="黑体"/>
          <w:b w:val="0"/>
        </w:rPr>
        <w:t>般公共预算财政拨款基本支出决算情况说明</w:t>
      </w:r>
      <w:bookmarkEnd w:id="43"/>
      <w:bookmarkEnd w:id="44"/>
      <w:bookmarkEnd w:id="45"/>
      <w:r>
        <w:rPr>
          <w:rStyle w:val="31"/>
          <w:rFonts w:ascii="Times New Roman" w:hAnsi="Times New Roman" w:eastAsia="黑体"/>
          <w:b w:val="0"/>
        </w:rPr>
        <w:tab/>
      </w:r>
    </w:p>
    <w:p w14:paraId="7A6B2C5F">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eastAsia="仿宋_GB2312" w:cs="仿宋_GB2312"/>
          <w:sz w:val="32"/>
          <w:szCs w:val="32"/>
          <w:lang w:val="en-US" w:eastAsia="zh-CN"/>
        </w:rPr>
        <w:t>1429.34</w:t>
      </w:r>
      <w:r>
        <w:rPr>
          <w:rFonts w:hint="eastAsia" w:ascii="仿宋_GB2312" w:hAnsi="仿宋_GB2312" w:eastAsia="仿宋_GB2312" w:cs="仿宋_GB2312"/>
          <w:sz w:val="32"/>
          <w:szCs w:val="32"/>
        </w:rPr>
        <w:t>万</w:t>
      </w:r>
      <w:r>
        <w:rPr>
          <w:rFonts w:hint="eastAsia" w:eastAsia="仿宋_GB2312" w:cs="仿宋_GB2312"/>
          <w:sz w:val="32"/>
          <w:szCs w:val="32"/>
        </w:rPr>
        <w:t>元，其中：</w:t>
      </w:r>
    </w:p>
    <w:p w14:paraId="33CEB307">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eastAsia="仿宋_GB2312" w:cs="仿宋_GB2312"/>
          <w:sz w:val="32"/>
          <w:szCs w:val="32"/>
          <w:lang w:val="en-US" w:eastAsia="zh-CN"/>
        </w:rPr>
        <w:t>1315.55</w:t>
      </w:r>
      <w:r>
        <w:rPr>
          <w:rFonts w:hint="eastAsia" w:ascii="仿宋_GB2312" w:hAnsi="仿宋_GB2312" w:eastAsia="仿宋_GB2312" w:cs="仿宋_GB2312"/>
          <w:sz w:val="32"/>
          <w:szCs w:val="32"/>
        </w:rPr>
        <w:t>万</w:t>
      </w:r>
      <w:r>
        <w:rPr>
          <w:rFonts w:hint="eastAsia" w:eastAsia="仿宋_GB2312" w:cs="仿宋_GB2312"/>
          <w:sz w:val="32"/>
          <w:szCs w:val="32"/>
        </w:rPr>
        <w:t>元，主要包括：基本工资、津贴补贴、奖金、</w:t>
      </w:r>
      <w:r>
        <w:rPr>
          <w:rFonts w:hint="eastAsia" w:eastAsia="仿宋_GB2312" w:cs="仿宋_GB2312"/>
          <w:sz w:val="32"/>
          <w:szCs w:val="32"/>
          <w:lang w:val="en-US" w:eastAsia="zh-CN"/>
        </w:rPr>
        <w:t>伙食补助费、绩效工资、</w:t>
      </w:r>
      <w:r>
        <w:rPr>
          <w:rFonts w:hint="eastAsia" w:eastAsia="仿宋_GB2312" w:cs="仿宋_GB2312"/>
          <w:sz w:val="32"/>
          <w:szCs w:val="32"/>
        </w:rPr>
        <w:t>机关事业单位基本养老保险缴费、职业年金缴费、职工基本医疗保险缴费</w:t>
      </w:r>
      <w:r>
        <w:rPr>
          <w:rFonts w:hint="eastAsia" w:eastAsia="仿宋_GB2312" w:cs="仿宋_GB2312"/>
          <w:sz w:val="32"/>
          <w:szCs w:val="32"/>
          <w:lang w:eastAsia="zh-CN"/>
        </w:rPr>
        <w:t>、</w:t>
      </w:r>
      <w:r>
        <w:rPr>
          <w:rFonts w:hint="eastAsia" w:eastAsia="仿宋_GB2312" w:cs="仿宋_GB2312"/>
          <w:sz w:val="32"/>
          <w:szCs w:val="32"/>
        </w:rPr>
        <w:t>其他社会保障缴费、住房公积金、其他工资福利支出、抚恤金、生活补助、奖励金。</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eastAsia="仿宋_GB2312" w:cs="仿宋_GB2312"/>
          <w:sz w:val="32"/>
          <w:szCs w:val="32"/>
          <w:lang w:val="en-US" w:eastAsia="zh-CN"/>
        </w:rPr>
        <w:t>113.79</w:t>
      </w:r>
      <w:r>
        <w:rPr>
          <w:rFonts w:hint="eastAsia" w:ascii="仿宋_GB2312" w:hAnsi="仿宋_GB2312" w:eastAsia="仿宋_GB2312" w:cs="仿宋_GB2312"/>
          <w:sz w:val="32"/>
          <w:szCs w:val="32"/>
        </w:rPr>
        <w:t>万</w:t>
      </w:r>
      <w:r>
        <w:rPr>
          <w:rFonts w:hint="eastAsia" w:eastAsia="仿宋_GB2312" w:cs="仿宋_GB2312"/>
          <w:sz w:val="32"/>
          <w:szCs w:val="32"/>
        </w:rPr>
        <w:t>元，主要包括：办公费、印刷费、手续费、水费、</w:t>
      </w:r>
      <w:r>
        <w:rPr>
          <w:rFonts w:hint="eastAsia" w:eastAsia="仿宋_GB2312" w:cs="仿宋_GB2312"/>
          <w:sz w:val="32"/>
          <w:szCs w:val="32"/>
          <w:lang w:val="en-US" w:eastAsia="zh-CN"/>
        </w:rPr>
        <w:t>电费、</w:t>
      </w:r>
      <w:r>
        <w:rPr>
          <w:rFonts w:hint="eastAsia" w:eastAsia="仿宋_GB2312" w:cs="仿宋_GB2312"/>
          <w:sz w:val="32"/>
          <w:szCs w:val="32"/>
        </w:rPr>
        <w:t>邮电费、差旅费、维修（护）费、培训费、公务接待费、</w:t>
      </w:r>
      <w:r>
        <w:rPr>
          <w:rFonts w:hint="eastAsia" w:eastAsia="仿宋_GB2312" w:cs="仿宋_GB2312"/>
          <w:sz w:val="32"/>
          <w:szCs w:val="32"/>
          <w:lang w:val="en-US" w:eastAsia="zh-CN"/>
        </w:rPr>
        <w:t>专用燃料费、</w:t>
      </w:r>
      <w:r>
        <w:rPr>
          <w:rFonts w:hint="eastAsia" w:eastAsia="仿宋_GB2312" w:cs="仿宋_GB2312"/>
          <w:sz w:val="32"/>
          <w:szCs w:val="32"/>
        </w:rPr>
        <w:t>委托业务费、福利费、公务用车运行维护费、其他商品和服务支出。</w:t>
      </w:r>
    </w:p>
    <w:p w14:paraId="475093D4">
      <w:pPr>
        <w:spacing w:line="600" w:lineRule="exact"/>
        <w:ind w:firstLine="640" w:firstLineChars="0"/>
        <w:outlineLvl w:val="0"/>
        <w:rPr>
          <w:rStyle w:val="31"/>
          <w:rFonts w:ascii="Times New Roman" w:hAnsi="Times New Roman" w:eastAsia="黑体"/>
          <w:b w:val="0"/>
        </w:rPr>
      </w:pPr>
      <w:bookmarkStart w:id="46" w:name="_Toc27668"/>
      <w:bookmarkStart w:id="47" w:name="_Toc15377215"/>
      <w:bookmarkStart w:id="48" w:name="_Toc15396609"/>
      <w:r>
        <w:rPr>
          <w:rFonts w:hint="eastAsia" w:eastAsia="黑体"/>
          <w:sz w:val="32"/>
          <w:szCs w:val="32"/>
        </w:rPr>
        <w:t>七、</w:t>
      </w:r>
      <w:r>
        <w:rPr>
          <w:rStyle w:val="31"/>
          <w:rFonts w:hint="eastAsia" w:ascii="Times New Roman" w:hAnsi="Times New Roman" w:eastAsia="黑体"/>
          <w:b w:val="0"/>
        </w:rPr>
        <w:t>财政拨款</w:t>
      </w:r>
      <w:r>
        <w:rPr>
          <w:rStyle w:val="31"/>
          <w:rFonts w:hint="eastAsia" w:ascii="Times New Roman" w:hAnsi="Times New Roman" w:eastAsia="黑体"/>
        </w:rPr>
        <w:t>“</w:t>
      </w:r>
      <w:r>
        <w:rPr>
          <w:rStyle w:val="31"/>
          <w:rFonts w:hint="eastAsia" w:ascii="Times New Roman" w:hAnsi="Times New Roman" w:eastAsia="黑体"/>
          <w:b w:val="0"/>
        </w:rPr>
        <w:t>三公”经费支出决算情况说明</w:t>
      </w:r>
      <w:bookmarkEnd w:id="46"/>
      <w:bookmarkEnd w:id="47"/>
      <w:bookmarkEnd w:id="48"/>
    </w:p>
    <w:p w14:paraId="55E32413">
      <w:pPr>
        <w:spacing w:line="600" w:lineRule="exact"/>
        <w:ind w:firstLine="643" w:firstLineChars="200"/>
        <w:outlineLvl w:val="9"/>
        <w:rPr>
          <w:rFonts w:eastAsia="楷体_GB2312" w:cs="楷体_GB2312"/>
          <w:b/>
          <w:sz w:val="32"/>
          <w:szCs w:val="32"/>
        </w:rPr>
      </w:pPr>
      <w:bookmarkStart w:id="49" w:name="_Toc15377216"/>
      <w:r>
        <w:rPr>
          <w:rFonts w:hint="eastAsia" w:eastAsia="楷体_GB2312" w:cs="楷体_GB2312"/>
          <w:b/>
          <w:sz w:val="32"/>
          <w:szCs w:val="32"/>
        </w:rPr>
        <w:t>（一）“三公”经费财政拨款支出决算总体情况说明</w:t>
      </w:r>
      <w:bookmarkEnd w:id="49"/>
    </w:p>
    <w:p w14:paraId="650FFC8B">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rPr>
        <w:t>2024年度“三公”经费财政拨款支出决算为</w:t>
      </w:r>
      <w:r>
        <w:rPr>
          <w:rFonts w:hint="eastAsia" w:eastAsia="仿宋_GB2312" w:cs="仿宋_GB2312"/>
          <w:sz w:val="32"/>
          <w:szCs w:val="32"/>
          <w:lang w:val="en-US" w:eastAsia="zh-CN"/>
        </w:rPr>
        <w:t>16.44</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%，较上年度</w:t>
      </w:r>
      <w:r>
        <w:rPr>
          <w:rFonts w:hint="eastAsia" w:eastAsia="仿宋_GB2312" w:cs="仿宋_GB2312"/>
          <w:sz w:val="32"/>
          <w:szCs w:val="32"/>
          <w:lang w:val="en-US" w:eastAsia="zh-CN"/>
        </w:rPr>
        <w:t>减少2.12</w:t>
      </w:r>
      <w:r>
        <w:rPr>
          <w:rFonts w:hint="eastAsia" w:eastAsia="仿宋_GB2312" w:cs="仿宋_GB2312"/>
          <w:sz w:val="32"/>
          <w:szCs w:val="32"/>
        </w:rPr>
        <w:t>万元，</w:t>
      </w:r>
      <w:r>
        <w:rPr>
          <w:rFonts w:hint="eastAsia" w:eastAsia="仿宋_GB2312" w:cs="仿宋_GB2312"/>
          <w:sz w:val="32"/>
          <w:szCs w:val="32"/>
          <w:lang w:val="en-US" w:eastAsia="zh-CN"/>
        </w:rPr>
        <w:t>下降11.4</w:t>
      </w:r>
      <w:r>
        <w:rPr>
          <w:rFonts w:hint="eastAsia" w:eastAsia="仿宋_GB2312" w:cs="仿宋_GB2312"/>
          <w:sz w:val="32"/>
          <w:szCs w:val="32"/>
        </w:rPr>
        <w:t>%。决算数与预算数持平</w:t>
      </w:r>
      <w:r>
        <w:rPr>
          <w:rFonts w:hint="eastAsia" w:eastAsia="仿宋_GB2312" w:cs="仿宋_GB2312"/>
          <w:sz w:val="32"/>
          <w:szCs w:val="32"/>
          <w:lang w:eastAsia="zh-CN"/>
        </w:rPr>
        <w:t>。</w:t>
      </w:r>
    </w:p>
    <w:p w14:paraId="181B4920">
      <w:pPr>
        <w:spacing w:line="600" w:lineRule="exact"/>
        <w:ind w:firstLine="643" w:firstLineChars="200"/>
        <w:outlineLvl w:val="9"/>
        <w:rPr>
          <w:rFonts w:eastAsia="楷体_GB2312" w:cs="楷体_GB2312"/>
          <w:b/>
          <w:sz w:val="32"/>
          <w:szCs w:val="32"/>
        </w:rPr>
      </w:pPr>
      <w:bookmarkStart w:id="50" w:name="_Toc15377217"/>
      <w:r>
        <w:rPr>
          <w:rFonts w:hint="eastAsia" w:eastAsia="楷体_GB2312" w:cs="楷体_GB2312"/>
          <w:b/>
          <w:sz w:val="32"/>
          <w:szCs w:val="32"/>
        </w:rPr>
        <w:t>（二）“三公”经费财政拨款支出决算具体情况说明</w:t>
      </w:r>
      <w:bookmarkEnd w:id="50"/>
    </w:p>
    <w:p w14:paraId="3582B8E9">
      <w:pPr>
        <w:spacing w:line="600" w:lineRule="exact"/>
        <w:ind w:firstLine="640"/>
        <w:rPr>
          <w:rFonts w:hint="eastAsia" w:eastAsia="仿宋_GB2312" w:cs="仿宋_GB2312"/>
          <w:sz w:val="32"/>
          <w:szCs w:val="32"/>
        </w:rPr>
      </w:pPr>
      <w:r>
        <w:rPr>
          <w:rFonts w:hint="eastAsia" w:eastAsia="仿宋_GB2312" w:cs="仿宋_GB2312"/>
          <w:sz w:val="32"/>
          <w:szCs w:val="32"/>
        </w:rPr>
        <w:t>2024年度“三公”经费财政拨款支出决算中，因公出国（境）费支出决算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%；公务用车购置及运行维护费支出决算</w:t>
      </w:r>
      <w:r>
        <w:rPr>
          <w:rFonts w:hint="eastAsia" w:eastAsia="仿宋_GB2312" w:cs="仿宋_GB2312"/>
          <w:sz w:val="32"/>
          <w:szCs w:val="32"/>
          <w:lang w:val="en-US" w:eastAsia="zh-CN"/>
        </w:rPr>
        <w:t>15.79</w:t>
      </w:r>
      <w:r>
        <w:rPr>
          <w:rFonts w:hint="eastAsia" w:eastAsia="仿宋_GB2312" w:cs="仿宋_GB2312"/>
          <w:sz w:val="32"/>
          <w:szCs w:val="32"/>
        </w:rPr>
        <w:t>万元，占</w:t>
      </w:r>
      <w:r>
        <w:rPr>
          <w:rFonts w:hint="eastAsia" w:eastAsia="仿宋_GB2312" w:cs="仿宋_GB2312"/>
          <w:sz w:val="32"/>
          <w:szCs w:val="32"/>
          <w:lang w:val="en-US" w:eastAsia="zh-CN"/>
        </w:rPr>
        <w:t>96</w:t>
      </w:r>
      <w:r>
        <w:rPr>
          <w:rFonts w:hint="eastAsia" w:eastAsia="仿宋_GB2312" w:cs="仿宋_GB2312"/>
          <w:sz w:val="32"/>
          <w:szCs w:val="32"/>
        </w:rPr>
        <w:t>%；公务接待费支出决算</w:t>
      </w:r>
      <w:r>
        <w:rPr>
          <w:rFonts w:hint="eastAsia" w:eastAsia="仿宋_GB2312" w:cs="仿宋_GB2312"/>
          <w:sz w:val="32"/>
          <w:szCs w:val="32"/>
          <w:lang w:val="en-US" w:eastAsia="zh-CN"/>
        </w:rPr>
        <w:t>0.65</w:t>
      </w:r>
      <w:r>
        <w:rPr>
          <w:rFonts w:hint="eastAsia" w:eastAsia="仿宋_GB2312" w:cs="仿宋_GB2312"/>
          <w:sz w:val="32"/>
          <w:szCs w:val="32"/>
        </w:rPr>
        <w:t>万元，占</w:t>
      </w:r>
      <w:r>
        <w:rPr>
          <w:rFonts w:hint="eastAsia" w:eastAsia="仿宋_GB2312" w:cs="仿宋_GB2312"/>
          <w:sz w:val="32"/>
          <w:szCs w:val="32"/>
          <w:lang w:val="en-US" w:eastAsia="zh-CN"/>
        </w:rPr>
        <w:t>4</w:t>
      </w:r>
      <w:r>
        <w:rPr>
          <w:rFonts w:hint="eastAsia" w:eastAsia="仿宋_GB2312" w:cs="仿宋_GB2312"/>
          <w:sz w:val="32"/>
          <w:szCs w:val="32"/>
        </w:rPr>
        <w:t>%。具体情况如下：</w:t>
      </w:r>
    </w:p>
    <w:p w14:paraId="7AE452C2">
      <w:pPr>
        <w:pStyle w:val="14"/>
        <w:rPr>
          <w:rFonts w:hint="eastAsia" w:eastAsia="仿宋_GB2312" w:cs="仿宋_GB2312"/>
          <w:sz w:val="32"/>
          <w:szCs w:val="32"/>
        </w:rPr>
      </w:pPr>
      <w:r>
        <w:drawing>
          <wp:inline distT="0" distB="0" distL="114300" distR="114300">
            <wp:extent cx="5240655" cy="2667000"/>
            <wp:effectExtent l="4445" t="4445" r="12700" b="8255"/>
            <wp:docPr id="12"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26A8CFB">
      <w:pPr>
        <w:spacing w:line="600" w:lineRule="exact"/>
        <w:ind w:firstLine="640"/>
        <w:jc w:val="center"/>
        <w:rPr>
          <w:rFonts w:eastAsia="仿宋_GB2312" w:cs="仿宋_GB2312"/>
          <w:sz w:val="32"/>
          <w:szCs w:val="32"/>
        </w:rPr>
      </w:pPr>
      <w:r>
        <w:rPr>
          <w:rFonts w:hint="eastAsia" w:eastAsia="仿宋_GB2312" w:cs="仿宋_GB2312"/>
          <w:sz w:val="32"/>
          <w:szCs w:val="32"/>
        </w:rPr>
        <w:t>（图7：“三公”经费财政拨款支出结构）</w:t>
      </w:r>
    </w:p>
    <w:p w14:paraId="13095D98">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w:t>
      </w:r>
      <w:r>
        <w:rPr>
          <w:rFonts w:hint="eastAsia" w:ascii="仿宋_GB2312" w:hAnsi="仿宋_GB2312" w:eastAsia="仿宋_GB2312" w:cs="仿宋_GB2312"/>
          <w:sz w:val="32"/>
          <w:szCs w:val="32"/>
          <w:lang w:val="en-US" w:eastAsia="zh-CN"/>
        </w:rPr>
        <w:t>0</w:t>
      </w:r>
      <w:r>
        <w:rPr>
          <w:rFonts w:hint="eastAsia" w:eastAsia="仿宋_GB2312" w:cs="仿宋_GB2312"/>
          <w:sz w:val="32"/>
          <w:szCs w:val="32"/>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w:t>
      </w:r>
      <w:r>
        <w:rPr>
          <w:rFonts w:hint="eastAsia" w:eastAsia="仿宋_GB2312" w:cs="仿宋_GB2312"/>
          <w:sz w:val="32"/>
          <w:szCs w:val="32"/>
        </w:rPr>
        <w:t>。</w:t>
      </w:r>
    </w:p>
    <w:p w14:paraId="46B9BD6F">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rPr>
        <w:t>15.79万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公务用车购置及运行维护费支出决算比2023年度</w:t>
      </w:r>
      <w:r>
        <w:rPr>
          <w:rFonts w:hint="eastAsia" w:eastAsia="仿宋_GB2312" w:cs="仿宋_GB2312"/>
          <w:sz w:val="32"/>
          <w:szCs w:val="32"/>
          <w:lang w:val="en-US" w:eastAsia="zh-CN"/>
        </w:rPr>
        <w:t>减少1.08</w:t>
      </w:r>
      <w:r>
        <w:rPr>
          <w:rFonts w:hint="eastAsia" w:eastAsia="仿宋_GB2312" w:cs="仿宋_GB2312"/>
          <w:sz w:val="32"/>
          <w:szCs w:val="32"/>
        </w:rPr>
        <w:t>万元，</w:t>
      </w:r>
      <w:r>
        <w:rPr>
          <w:rFonts w:hint="eastAsia" w:eastAsia="仿宋_GB2312" w:cs="仿宋_GB2312"/>
          <w:sz w:val="32"/>
          <w:szCs w:val="32"/>
          <w:lang w:val="en-US" w:eastAsia="zh-CN"/>
        </w:rPr>
        <w:t>下降6.4</w:t>
      </w:r>
      <w:r>
        <w:rPr>
          <w:rFonts w:hint="eastAsia" w:eastAsia="仿宋_GB2312" w:cs="仿宋_GB2312"/>
          <w:sz w:val="32"/>
          <w:szCs w:val="32"/>
        </w:rPr>
        <w:t>%。主要原因是厉行节约，减少开支</w:t>
      </w:r>
      <w:r>
        <w:rPr>
          <w:rFonts w:hint="eastAsia" w:eastAsia="仿宋_GB2312" w:cs="仿宋_GB2312"/>
          <w:sz w:val="32"/>
          <w:szCs w:val="32"/>
          <w:lang w:eastAsia="zh-CN"/>
        </w:rPr>
        <w:t>。</w:t>
      </w:r>
    </w:p>
    <w:p w14:paraId="2F80BDA2">
      <w:pPr>
        <w:spacing w:line="600" w:lineRule="exact"/>
        <w:ind w:firstLine="640"/>
        <w:rPr>
          <w:rFonts w:hint="eastAsia" w:eastAsia="仿宋_GB2312" w:cs="仿宋_GB2312"/>
          <w:sz w:val="32"/>
          <w:szCs w:val="32"/>
        </w:rPr>
      </w:pPr>
      <w:r>
        <w:rPr>
          <w:rFonts w:hint="eastAsia" w:eastAsia="仿宋_GB2312" w:cs="仿宋_GB2312"/>
          <w:sz w:val="32"/>
          <w:szCs w:val="32"/>
        </w:rPr>
        <w:t>其中：公务用车购置支出</w:t>
      </w:r>
      <w:r>
        <w:rPr>
          <w:rFonts w:hint="eastAsia" w:eastAsia="仿宋_GB2312" w:cs="仿宋_GB2312"/>
          <w:sz w:val="32"/>
          <w:szCs w:val="32"/>
          <w:lang w:val="en-US" w:eastAsia="zh-CN"/>
        </w:rPr>
        <w:t>0</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0</w:t>
      </w:r>
      <w:r>
        <w:rPr>
          <w:rFonts w:hint="eastAsia" w:eastAsia="仿宋_GB2312" w:cs="仿宋_GB2312"/>
          <w:sz w:val="32"/>
          <w:szCs w:val="32"/>
        </w:rPr>
        <w:t>辆。截至2024年12月31日，单位共有公务用车</w:t>
      </w:r>
      <w:r>
        <w:rPr>
          <w:rFonts w:hint="eastAsia" w:eastAsia="仿宋_GB2312" w:cs="仿宋_GB2312"/>
          <w:sz w:val="32"/>
          <w:szCs w:val="32"/>
          <w:lang w:val="en-US" w:eastAsia="zh-CN"/>
        </w:rPr>
        <w:t>3</w:t>
      </w:r>
      <w:r>
        <w:rPr>
          <w:rFonts w:hint="eastAsia" w:eastAsia="仿宋_GB2312" w:cs="仿宋_GB2312"/>
          <w:sz w:val="32"/>
          <w:szCs w:val="32"/>
        </w:rPr>
        <w:t>辆，其中</w:t>
      </w:r>
      <w:r>
        <w:rPr>
          <w:rFonts w:hint="eastAsia" w:eastAsia="仿宋_GB2312" w:cs="仿宋_GB2312"/>
          <w:sz w:val="32"/>
          <w:szCs w:val="32"/>
          <w:highlight w:val="none"/>
        </w:rPr>
        <w:t>：轿车</w:t>
      </w:r>
      <w:r>
        <w:rPr>
          <w:rFonts w:hint="eastAsia" w:eastAsia="仿宋_GB2312" w:cs="仿宋_GB2312"/>
          <w:sz w:val="32"/>
          <w:szCs w:val="32"/>
          <w:highlight w:val="none"/>
          <w:lang w:val="en-US" w:eastAsia="zh-CN"/>
        </w:rPr>
        <w:t>1</w:t>
      </w:r>
      <w:r>
        <w:rPr>
          <w:rFonts w:hint="eastAsia" w:eastAsia="仿宋_GB2312" w:cs="仿宋_GB2312"/>
          <w:sz w:val="32"/>
          <w:szCs w:val="32"/>
          <w:highlight w:val="none"/>
        </w:rPr>
        <w:t>辆、越野车</w:t>
      </w:r>
      <w:r>
        <w:rPr>
          <w:rFonts w:hint="eastAsia" w:eastAsia="仿宋_GB2312" w:cs="仿宋_GB2312"/>
          <w:sz w:val="32"/>
          <w:szCs w:val="32"/>
          <w:highlight w:val="none"/>
          <w:lang w:val="en-US" w:eastAsia="zh-CN"/>
        </w:rPr>
        <w:t>2</w:t>
      </w:r>
      <w:r>
        <w:rPr>
          <w:rFonts w:hint="eastAsia" w:eastAsia="仿宋_GB2312" w:cs="仿宋_GB2312"/>
          <w:sz w:val="32"/>
          <w:szCs w:val="32"/>
          <w:highlight w:val="none"/>
        </w:rPr>
        <w:t>辆</w:t>
      </w:r>
      <w:r>
        <w:rPr>
          <w:rFonts w:hint="eastAsia" w:eastAsia="仿宋_GB2312" w:cs="仿宋_GB2312"/>
          <w:sz w:val="32"/>
          <w:szCs w:val="32"/>
        </w:rPr>
        <w:t>。</w:t>
      </w:r>
    </w:p>
    <w:p w14:paraId="1ECD7BDF">
      <w:pPr>
        <w:spacing w:line="600" w:lineRule="exact"/>
        <w:ind w:firstLine="640"/>
        <w:rPr>
          <w:rFonts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w:t>
      </w:r>
      <w:r>
        <w:rPr>
          <w:rFonts w:hint="eastAsia" w:eastAsia="仿宋_GB2312" w:cs="仿宋_GB2312"/>
          <w:sz w:val="32"/>
          <w:szCs w:val="32"/>
          <w:lang w:val="en-US" w:eastAsia="zh-CN"/>
        </w:rPr>
        <w:t>15.79</w:t>
      </w:r>
      <w:r>
        <w:rPr>
          <w:rFonts w:hint="eastAsia" w:eastAsia="仿宋_GB2312" w:cs="仿宋_GB2312"/>
          <w:sz w:val="32"/>
          <w:szCs w:val="32"/>
        </w:rPr>
        <w:t>万元。主要用于</w:t>
      </w:r>
      <w:r>
        <w:rPr>
          <w:rFonts w:hint="eastAsia" w:eastAsia="仿宋_GB2312" w:cs="仿宋_GB2312"/>
          <w:sz w:val="32"/>
          <w:szCs w:val="32"/>
          <w:lang w:val="en-US" w:eastAsia="zh-CN"/>
        </w:rPr>
        <w:t>日常业务开展</w:t>
      </w:r>
      <w:r>
        <w:rPr>
          <w:rFonts w:hint="eastAsia" w:eastAsia="仿宋_GB2312" w:cs="仿宋_GB2312"/>
          <w:sz w:val="32"/>
          <w:szCs w:val="32"/>
        </w:rPr>
        <w:t>所需的公务用车燃料费、维修费、过路过桥费、保险费等支出。</w:t>
      </w:r>
    </w:p>
    <w:p w14:paraId="24D7788E">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lang w:val="en-US" w:eastAsia="zh-CN"/>
        </w:rPr>
        <w:t>0.65</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公务接待费支出决算比2023年度</w:t>
      </w:r>
      <w:r>
        <w:rPr>
          <w:rFonts w:hint="eastAsia" w:eastAsia="仿宋_GB2312" w:cs="仿宋_GB2312"/>
          <w:sz w:val="32"/>
          <w:szCs w:val="32"/>
          <w:lang w:val="en-US" w:eastAsia="zh-CN"/>
        </w:rPr>
        <w:t>减少1.04</w:t>
      </w:r>
      <w:r>
        <w:rPr>
          <w:rFonts w:hint="eastAsia" w:eastAsia="仿宋_GB2312" w:cs="仿宋_GB2312"/>
          <w:sz w:val="32"/>
          <w:szCs w:val="32"/>
        </w:rPr>
        <w:t>万元，下降</w:t>
      </w:r>
      <w:r>
        <w:rPr>
          <w:rFonts w:hint="eastAsia" w:eastAsia="仿宋_GB2312" w:cs="仿宋_GB2312"/>
          <w:sz w:val="32"/>
          <w:szCs w:val="32"/>
          <w:lang w:val="en-US" w:eastAsia="zh-CN"/>
        </w:rPr>
        <w:t>61.5</w:t>
      </w:r>
      <w:r>
        <w:rPr>
          <w:rFonts w:hint="eastAsia" w:eastAsia="仿宋_GB2312" w:cs="仿宋_GB2312"/>
          <w:sz w:val="32"/>
          <w:szCs w:val="32"/>
        </w:rPr>
        <w:t>%。主要原因是厉行节约，减少开支。其中：</w:t>
      </w:r>
    </w:p>
    <w:p w14:paraId="296FD5FD">
      <w:pPr>
        <w:spacing w:line="600" w:lineRule="exact"/>
        <w:ind w:firstLine="640"/>
        <w:rPr>
          <w:rFonts w:hint="eastAsia" w:eastAsia="仿宋_GB2312" w:cs="仿宋_GB2312"/>
          <w:sz w:val="32"/>
          <w:szCs w:val="32"/>
        </w:rPr>
      </w:pPr>
      <w:r>
        <w:rPr>
          <w:rFonts w:hint="eastAsia" w:eastAsia="仿宋_GB2312" w:cs="仿宋_GB2312"/>
          <w:sz w:val="32"/>
          <w:szCs w:val="32"/>
        </w:rPr>
        <w:t>国内公务接待支出</w:t>
      </w:r>
      <w:r>
        <w:rPr>
          <w:rFonts w:hint="eastAsia" w:eastAsia="仿宋_GB2312" w:cs="仿宋_GB2312"/>
          <w:sz w:val="32"/>
          <w:szCs w:val="32"/>
          <w:lang w:val="en-US" w:eastAsia="zh-CN"/>
        </w:rPr>
        <w:t>0.65</w:t>
      </w:r>
      <w:r>
        <w:rPr>
          <w:rFonts w:hint="eastAsia" w:eastAsia="仿宋_GB2312" w:cs="仿宋_GB2312"/>
          <w:sz w:val="32"/>
          <w:szCs w:val="32"/>
        </w:rPr>
        <w:t>万元，主要用于执行公务、开展业务活动开支的交通费、住宿费、用餐费等。国内公务接待</w:t>
      </w:r>
      <w:r>
        <w:rPr>
          <w:rFonts w:hint="eastAsia" w:eastAsia="仿宋_GB2312" w:cs="仿宋_GB2312"/>
          <w:sz w:val="32"/>
          <w:szCs w:val="32"/>
          <w:lang w:val="en-US" w:eastAsia="zh-CN"/>
        </w:rPr>
        <w:t>9</w:t>
      </w:r>
      <w:r>
        <w:rPr>
          <w:rFonts w:hint="eastAsia" w:eastAsia="仿宋_GB2312" w:cs="仿宋_GB2312"/>
          <w:sz w:val="32"/>
          <w:szCs w:val="32"/>
        </w:rPr>
        <w:t>批次，</w:t>
      </w:r>
      <w:r>
        <w:rPr>
          <w:rFonts w:hint="eastAsia" w:eastAsia="仿宋_GB2312" w:cs="仿宋_GB2312"/>
          <w:sz w:val="32"/>
          <w:szCs w:val="32"/>
          <w:lang w:val="en-US" w:eastAsia="zh-CN"/>
        </w:rPr>
        <w:t>66</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0.65</w:t>
      </w:r>
      <w:r>
        <w:rPr>
          <w:rFonts w:hint="eastAsia" w:eastAsia="仿宋_GB2312" w:cs="仿宋_GB2312"/>
          <w:sz w:val="32"/>
          <w:szCs w:val="32"/>
        </w:rPr>
        <w:t>万元，</w:t>
      </w:r>
      <w:r>
        <w:rPr>
          <w:rFonts w:hint="eastAsia" w:eastAsia="仿宋_GB2312" w:cs="仿宋_GB2312"/>
          <w:sz w:val="32"/>
          <w:szCs w:val="32"/>
          <w:highlight w:val="none"/>
        </w:rPr>
        <w:t>具体内容包括：州委考核组考核单位</w:t>
      </w:r>
      <w:r>
        <w:rPr>
          <w:rFonts w:hint="eastAsia" w:eastAsia="仿宋_GB2312" w:cs="仿宋_GB2312"/>
          <w:sz w:val="32"/>
          <w:szCs w:val="32"/>
          <w:highlight w:val="none"/>
          <w:lang w:val="en-US" w:eastAsia="zh-CN"/>
        </w:rPr>
        <w:t>0.1万元；成都航空职业技术学院智慧放牧物联网项目合作0.16万元</w:t>
      </w:r>
      <w:r>
        <w:rPr>
          <w:rFonts w:hint="eastAsia" w:eastAsia="仿宋_GB2312" w:cs="仿宋_GB2312"/>
          <w:sz w:val="32"/>
          <w:szCs w:val="32"/>
          <w:highlight w:val="none"/>
        </w:rPr>
        <w:t>等。</w:t>
      </w:r>
    </w:p>
    <w:p w14:paraId="2E2996EB">
      <w:pPr>
        <w:spacing w:line="600" w:lineRule="exact"/>
        <w:ind w:firstLine="640"/>
        <w:rPr>
          <w:rFonts w:hint="eastAsia" w:eastAsia="仿宋_GB2312" w:cs="仿宋_GB2312"/>
          <w:sz w:val="32"/>
          <w:szCs w:val="32"/>
        </w:rPr>
      </w:pPr>
      <w:r>
        <w:rPr>
          <w:rFonts w:hint="eastAsia" w:eastAsia="仿宋_GB2312" w:cs="仿宋_GB2312"/>
          <w:sz w:val="32"/>
          <w:szCs w:val="32"/>
        </w:rPr>
        <w:t>外事接待支出</w:t>
      </w:r>
      <w:r>
        <w:rPr>
          <w:rFonts w:hint="eastAsia" w:eastAsia="仿宋_GB2312" w:cs="仿宋_GB2312"/>
          <w:sz w:val="32"/>
          <w:szCs w:val="32"/>
          <w:lang w:val="en-US" w:eastAsia="zh-CN"/>
        </w:rPr>
        <w:t>0</w:t>
      </w:r>
      <w:r>
        <w:rPr>
          <w:rFonts w:hint="eastAsia" w:eastAsia="仿宋_GB2312" w:cs="仿宋_GB2312"/>
          <w:sz w:val="32"/>
          <w:szCs w:val="32"/>
        </w:rPr>
        <w:t>万元。</w:t>
      </w:r>
    </w:p>
    <w:p w14:paraId="47228CBE">
      <w:pPr>
        <w:spacing w:line="600" w:lineRule="exact"/>
        <w:ind w:firstLine="640" w:firstLineChars="0"/>
        <w:outlineLvl w:val="0"/>
        <w:rPr>
          <w:rStyle w:val="31"/>
          <w:rFonts w:ascii="Times New Roman" w:hAnsi="Times New Roman" w:eastAsia="黑体"/>
        </w:rPr>
      </w:pPr>
      <w:bookmarkStart w:id="51" w:name="_Toc17635"/>
      <w:bookmarkStart w:id="52" w:name="_Toc15396610"/>
      <w:bookmarkStart w:id="53" w:name="_Toc15377218"/>
      <w:r>
        <w:rPr>
          <w:rFonts w:hint="eastAsia" w:eastAsia="黑体"/>
          <w:sz w:val="32"/>
          <w:szCs w:val="32"/>
        </w:rPr>
        <w:t>八、</w:t>
      </w:r>
      <w:r>
        <w:rPr>
          <w:rStyle w:val="31"/>
          <w:rFonts w:hint="eastAsia" w:ascii="Times New Roman" w:hAnsi="Times New Roman" w:eastAsia="黑体"/>
          <w:b w:val="0"/>
        </w:rPr>
        <w:t>政府性基金预算支出决算情况说明</w:t>
      </w:r>
      <w:bookmarkEnd w:id="51"/>
      <w:bookmarkEnd w:id="52"/>
      <w:bookmarkEnd w:id="53"/>
    </w:p>
    <w:p w14:paraId="47801A45">
      <w:pPr>
        <w:spacing w:line="600" w:lineRule="exact"/>
        <w:ind w:firstLine="640"/>
        <w:rPr>
          <w:rFonts w:hint="eastAsia" w:eastAsia="仿宋_GB2312" w:cs="仿宋_GB2312"/>
          <w:sz w:val="32"/>
          <w:szCs w:val="32"/>
        </w:rPr>
      </w:pPr>
      <w:r>
        <w:rPr>
          <w:rFonts w:hint="eastAsia" w:eastAsia="仿宋_GB2312" w:cs="仿宋_GB2312"/>
          <w:sz w:val="32"/>
          <w:szCs w:val="32"/>
        </w:rPr>
        <w:t>2024年度政府性基金预算财政拨款支出</w:t>
      </w:r>
      <w:r>
        <w:rPr>
          <w:rFonts w:hint="eastAsia" w:eastAsia="仿宋_GB2312" w:cs="仿宋_GB2312"/>
          <w:sz w:val="32"/>
          <w:szCs w:val="32"/>
          <w:lang w:val="en-US" w:eastAsia="zh-CN"/>
        </w:rPr>
        <w:t>0</w:t>
      </w:r>
      <w:r>
        <w:rPr>
          <w:rFonts w:hint="eastAsia" w:eastAsia="仿宋_GB2312" w:cs="仿宋_GB2312"/>
          <w:sz w:val="32"/>
          <w:szCs w:val="32"/>
        </w:rPr>
        <w:t>万元。</w:t>
      </w:r>
      <w:bookmarkStart w:id="54" w:name="_Toc15377219"/>
      <w:bookmarkStart w:id="55" w:name="_Toc15396611"/>
      <w:r>
        <w:rPr>
          <w:rFonts w:hint="eastAsia" w:ascii="仿宋_GB2312" w:eastAsia="仿宋_GB2312"/>
          <w:sz w:val="32"/>
          <w:lang w:val="en-US" w:eastAsia="zh-CN"/>
        </w:rPr>
        <w:t>（单位属一级预算科研事业单位，不使用机关运行经费）</w:t>
      </w:r>
    </w:p>
    <w:p w14:paraId="4A9A739A">
      <w:pPr>
        <w:spacing w:line="600" w:lineRule="exact"/>
        <w:ind w:left="630" w:leftChars="0"/>
        <w:outlineLvl w:val="0"/>
        <w:rPr>
          <w:rStyle w:val="31"/>
          <w:rFonts w:ascii="Times New Roman" w:hAnsi="Times New Roman" w:eastAsia="黑体"/>
          <w:b w:val="0"/>
        </w:rPr>
      </w:pPr>
      <w:bookmarkStart w:id="56" w:name="_Toc6111"/>
      <w:r>
        <w:rPr>
          <w:rStyle w:val="31"/>
          <w:rFonts w:hint="eastAsia" w:ascii="Times New Roman" w:hAnsi="Times New Roman" w:eastAsia="黑体"/>
          <w:b w:val="0"/>
        </w:rPr>
        <w:t>九、国有资本经营预算支出决算情况说明</w:t>
      </w:r>
      <w:bookmarkEnd w:id="54"/>
      <w:bookmarkEnd w:id="55"/>
      <w:bookmarkEnd w:id="56"/>
    </w:p>
    <w:p w14:paraId="7AE95F82">
      <w:pPr>
        <w:spacing w:line="600" w:lineRule="exact"/>
        <w:ind w:firstLine="640"/>
        <w:rPr>
          <w:rFonts w:hint="eastAsia" w:eastAsia="仿宋_GB2312" w:cs="仿宋_GB2312"/>
          <w:sz w:val="32"/>
          <w:szCs w:val="32"/>
        </w:rPr>
      </w:pPr>
      <w:r>
        <w:rPr>
          <w:rFonts w:hint="eastAsia" w:eastAsia="仿宋_GB2312" w:cs="仿宋_GB2312"/>
          <w:sz w:val="32"/>
          <w:szCs w:val="32"/>
        </w:rPr>
        <w:t>2024年度国有资本经营预算财政拨款支出</w:t>
      </w:r>
      <w:r>
        <w:rPr>
          <w:rFonts w:hint="eastAsia" w:eastAsia="仿宋_GB2312" w:cs="仿宋_GB2312"/>
          <w:sz w:val="32"/>
          <w:szCs w:val="32"/>
          <w:lang w:val="en-US" w:eastAsia="zh-CN"/>
        </w:rPr>
        <w:t>0</w:t>
      </w:r>
      <w:r>
        <w:rPr>
          <w:rFonts w:hint="eastAsia" w:eastAsia="仿宋_GB2312" w:cs="仿宋_GB2312"/>
          <w:sz w:val="32"/>
          <w:szCs w:val="32"/>
        </w:rPr>
        <w:t>万元。</w:t>
      </w:r>
      <w:r>
        <w:rPr>
          <w:rFonts w:hint="eastAsia" w:ascii="仿宋_GB2312" w:eastAsia="仿宋_GB2312"/>
          <w:sz w:val="32"/>
          <w:lang w:val="en-US" w:eastAsia="zh-CN"/>
        </w:rPr>
        <w:t>（单位属一级预算科研事业单位，不使用国有资本经营预算）</w:t>
      </w:r>
    </w:p>
    <w:p w14:paraId="2CA2FA4F">
      <w:pPr>
        <w:spacing w:line="600" w:lineRule="exact"/>
        <w:ind w:left="630" w:leftChars="0"/>
        <w:outlineLvl w:val="0"/>
        <w:rPr>
          <w:rStyle w:val="31"/>
          <w:rFonts w:ascii="Times New Roman" w:hAnsi="Times New Roman" w:eastAsia="黑体"/>
          <w:b w:val="0"/>
        </w:rPr>
      </w:pPr>
      <w:bookmarkStart w:id="57" w:name="_Toc15396612"/>
      <w:bookmarkStart w:id="58" w:name="_Toc25954"/>
      <w:bookmarkStart w:id="59" w:name="_Toc15377221"/>
      <w:r>
        <w:rPr>
          <w:rStyle w:val="31"/>
          <w:rFonts w:hint="eastAsia" w:ascii="Times New Roman" w:hAnsi="Times New Roman" w:eastAsia="黑体"/>
          <w:b w:val="0"/>
        </w:rPr>
        <w:t>十、其他重要事项的情况说明</w:t>
      </w:r>
      <w:bookmarkEnd w:id="57"/>
      <w:bookmarkEnd w:id="58"/>
      <w:bookmarkEnd w:id="59"/>
    </w:p>
    <w:p w14:paraId="2635AD73">
      <w:pPr>
        <w:spacing w:line="600" w:lineRule="exact"/>
        <w:ind w:firstLine="640" w:firstLineChars="0"/>
        <w:outlineLvl w:val="9"/>
        <w:rPr>
          <w:rFonts w:eastAsia="楷体_GB2312" w:cs="楷体_GB2312"/>
          <w:b/>
          <w:sz w:val="32"/>
          <w:szCs w:val="32"/>
        </w:rPr>
      </w:pPr>
      <w:bookmarkStart w:id="60" w:name="_Toc15377222"/>
      <w:r>
        <w:rPr>
          <w:rFonts w:hint="eastAsia" w:eastAsia="楷体_GB2312" w:cs="楷体_GB2312"/>
          <w:b/>
          <w:sz w:val="32"/>
          <w:szCs w:val="32"/>
        </w:rPr>
        <w:t>（一）机关运行经费支出情况</w:t>
      </w:r>
      <w:bookmarkEnd w:id="60"/>
    </w:p>
    <w:p w14:paraId="7B010C1B">
      <w:pPr>
        <w:spacing w:line="600" w:lineRule="exact"/>
        <w:ind w:firstLine="640"/>
        <w:rPr>
          <w:rFonts w:hint="eastAsia" w:eastAsia="仿宋_GB2312" w:cs="仿宋_GB2312"/>
          <w:sz w:val="32"/>
          <w:szCs w:val="32"/>
        </w:rPr>
      </w:pPr>
      <w:r>
        <w:rPr>
          <w:rFonts w:hint="eastAsia" w:eastAsia="仿宋_GB2312" w:cs="仿宋_GB2312"/>
          <w:sz w:val="32"/>
          <w:szCs w:val="32"/>
        </w:rPr>
        <w:t>2024年度，四川省龙日种畜场机关运行经费支出</w:t>
      </w:r>
      <w:r>
        <w:rPr>
          <w:rFonts w:hint="eastAsia" w:eastAsia="仿宋_GB2312" w:cs="仿宋_GB2312"/>
          <w:sz w:val="32"/>
          <w:szCs w:val="32"/>
          <w:lang w:val="en-US" w:eastAsia="zh-CN"/>
        </w:rPr>
        <w:t>0</w:t>
      </w:r>
      <w:r>
        <w:rPr>
          <w:rFonts w:hint="eastAsia" w:eastAsia="仿宋_GB2312" w:cs="仿宋_GB2312"/>
          <w:sz w:val="32"/>
          <w:szCs w:val="32"/>
        </w:rPr>
        <w:t>万元，</w:t>
      </w:r>
      <w:r>
        <w:rPr>
          <w:rFonts w:hint="eastAsia" w:eastAsia="仿宋_GB2312" w:cs="仿宋_GB2312"/>
          <w:sz w:val="32"/>
          <w:szCs w:val="32"/>
          <w:lang w:val="en-US" w:eastAsia="zh-CN"/>
        </w:rPr>
        <w:t>与</w:t>
      </w:r>
      <w:r>
        <w:rPr>
          <w:rFonts w:hint="eastAsia" w:eastAsia="仿宋_GB2312" w:cs="仿宋_GB2312"/>
          <w:sz w:val="32"/>
          <w:szCs w:val="32"/>
        </w:rPr>
        <w:t>2023年度</w:t>
      </w:r>
      <w:r>
        <w:rPr>
          <w:rFonts w:hint="eastAsia" w:eastAsia="仿宋_GB2312" w:cs="仿宋_GB2312"/>
          <w:sz w:val="32"/>
          <w:szCs w:val="32"/>
          <w:lang w:val="en-US" w:eastAsia="zh-CN"/>
        </w:rPr>
        <w:t>一致</w:t>
      </w:r>
      <w:r>
        <w:rPr>
          <w:rFonts w:hint="eastAsia" w:eastAsia="仿宋_GB2312" w:cs="仿宋_GB2312"/>
          <w:sz w:val="32"/>
          <w:szCs w:val="32"/>
          <w:lang w:eastAsia="zh-CN"/>
        </w:rPr>
        <w:t>。</w:t>
      </w:r>
      <w:r>
        <w:rPr>
          <w:rFonts w:hint="eastAsia" w:ascii="仿宋_GB2312" w:eastAsia="仿宋_GB2312"/>
          <w:sz w:val="32"/>
          <w:lang w:val="en-US" w:eastAsia="zh-CN"/>
        </w:rPr>
        <w:t>（单位属一级预算科研事业单位，不使用机关运行经费）</w:t>
      </w:r>
    </w:p>
    <w:p w14:paraId="55FA91AE">
      <w:pPr>
        <w:spacing w:line="600" w:lineRule="exact"/>
        <w:ind w:firstLine="643" w:firstLineChars="200"/>
        <w:outlineLvl w:val="9"/>
        <w:rPr>
          <w:rFonts w:eastAsia="楷体_GB2312" w:cs="楷体_GB2312"/>
          <w:b/>
          <w:sz w:val="32"/>
          <w:szCs w:val="32"/>
        </w:rPr>
      </w:pPr>
      <w:bookmarkStart w:id="61" w:name="_Toc15377223"/>
      <w:r>
        <w:rPr>
          <w:rFonts w:hint="eastAsia" w:eastAsia="楷体_GB2312" w:cs="楷体_GB2312"/>
          <w:b/>
          <w:sz w:val="32"/>
          <w:szCs w:val="32"/>
        </w:rPr>
        <w:t>（二）政府采购支出情况</w:t>
      </w:r>
      <w:bookmarkEnd w:id="61"/>
    </w:p>
    <w:p w14:paraId="013F198C">
      <w:pPr>
        <w:spacing w:line="600" w:lineRule="exact"/>
        <w:ind w:firstLine="640"/>
        <w:rPr>
          <w:rFonts w:hint="eastAsia" w:eastAsia="仿宋_GB2312" w:cs="仿宋_GB2312"/>
          <w:sz w:val="32"/>
          <w:szCs w:val="32"/>
        </w:rPr>
      </w:pPr>
      <w:r>
        <w:rPr>
          <w:rFonts w:hint="eastAsia" w:eastAsia="仿宋_GB2312" w:cs="仿宋_GB2312"/>
          <w:sz w:val="32"/>
          <w:szCs w:val="32"/>
        </w:rPr>
        <w:t>2024年度，四川省龙日种畜场政府采购支出总额</w:t>
      </w:r>
      <w:r>
        <w:rPr>
          <w:rFonts w:hint="eastAsia" w:eastAsia="仿宋_GB2312" w:cs="仿宋_GB2312"/>
          <w:sz w:val="32"/>
          <w:szCs w:val="32"/>
          <w:lang w:val="en-US" w:eastAsia="zh-CN"/>
        </w:rPr>
        <w:t>44.76</w:t>
      </w:r>
      <w:r>
        <w:rPr>
          <w:rFonts w:hint="eastAsia" w:eastAsia="仿宋_GB2312" w:cs="仿宋_GB2312"/>
          <w:sz w:val="32"/>
          <w:szCs w:val="32"/>
        </w:rPr>
        <w:t>万元，其中：政府采购货物支出</w:t>
      </w:r>
      <w:r>
        <w:rPr>
          <w:rFonts w:hint="eastAsia" w:eastAsia="仿宋_GB2312" w:cs="仿宋_GB2312"/>
          <w:sz w:val="32"/>
          <w:szCs w:val="32"/>
          <w:lang w:val="en-US" w:eastAsia="zh-CN"/>
        </w:rPr>
        <w:t>44.76</w:t>
      </w:r>
      <w:r>
        <w:rPr>
          <w:rFonts w:hint="eastAsia" w:eastAsia="仿宋_GB2312" w:cs="仿宋_GB2312"/>
          <w:sz w:val="32"/>
          <w:szCs w:val="32"/>
        </w:rPr>
        <w:t>万元、政府采购工程支出</w:t>
      </w:r>
      <w:r>
        <w:rPr>
          <w:rFonts w:hint="eastAsia" w:eastAsia="仿宋_GB2312" w:cs="仿宋_GB2312"/>
          <w:sz w:val="32"/>
          <w:szCs w:val="32"/>
          <w:lang w:val="en-US" w:eastAsia="zh-CN"/>
        </w:rPr>
        <w:t>0</w:t>
      </w:r>
      <w:r>
        <w:rPr>
          <w:rFonts w:hint="eastAsia" w:eastAsia="仿宋_GB2312" w:cs="仿宋_GB2312"/>
          <w:sz w:val="32"/>
          <w:szCs w:val="32"/>
        </w:rPr>
        <w:t>万元、政府采购服务支出</w:t>
      </w:r>
      <w:r>
        <w:rPr>
          <w:rFonts w:hint="eastAsia" w:eastAsia="仿宋_GB2312" w:cs="仿宋_GB2312"/>
          <w:sz w:val="32"/>
          <w:szCs w:val="32"/>
          <w:lang w:val="en-US" w:eastAsia="zh-CN"/>
        </w:rPr>
        <w:t>0</w:t>
      </w:r>
      <w:r>
        <w:rPr>
          <w:rFonts w:hint="eastAsia" w:eastAsia="仿宋_GB2312" w:cs="仿宋_GB2312"/>
          <w:sz w:val="32"/>
          <w:szCs w:val="32"/>
        </w:rPr>
        <w:t>万元。主要用于</w:t>
      </w:r>
      <w:r>
        <w:rPr>
          <w:rFonts w:hint="eastAsia" w:eastAsia="仿宋_GB2312" w:cs="仿宋_GB2312"/>
          <w:sz w:val="32"/>
          <w:szCs w:val="32"/>
          <w:lang w:val="en-US" w:eastAsia="zh-CN"/>
        </w:rPr>
        <w:t>购买兽药、饲料等</w:t>
      </w:r>
      <w:r>
        <w:rPr>
          <w:rFonts w:hint="eastAsia" w:eastAsia="仿宋_GB2312" w:cs="仿宋_GB2312"/>
          <w:sz w:val="32"/>
          <w:szCs w:val="32"/>
        </w:rPr>
        <w:t>。授予中小企业合同金额</w:t>
      </w:r>
      <w:r>
        <w:rPr>
          <w:rFonts w:hint="eastAsia" w:eastAsia="仿宋_GB2312" w:cs="仿宋_GB2312"/>
          <w:sz w:val="32"/>
          <w:szCs w:val="32"/>
          <w:lang w:val="en-US" w:eastAsia="zh-CN"/>
        </w:rPr>
        <w:t>44.76</w:t>
      </w:r>
      <w:r>
        <w:rPr>
          <w:rFonts w:hint="eastAsia" w:eastAsia="仿宋_GB2312" w:cs="仿宋_GB2312"/>
          <w:sz w:val="32"/>
          <w:szCs w:val="32"/>
        </w:rPr>
        <w:t>万元，占政府采购支出总额的</w:t>
      </w:r>
      <w:r>
        <w:rPr>
          <w:rFonts w:hint="eastAsia" w:eastAsia="仿宋_GB2312" w:cs="仿宋_GB2312"/>
          <w:sz w:val="32"/>
          <w:szCs w:val="32"/>
          <w:lang w:val="en-US" w:eastAsia="zh-CN"/>
        </w:rPr>
        <w:t>100</w:t>
      </w:r>
      <w:r>
        <w:rPr>
          <w:rFonts w:hint="eastAsia" w:eastAsia="仿宋_GB2312" w:cs="仿宋_GB2312"/>
          <w:sz w:val="32"/>
          <w:szCs w:val="32"/>
        </w:rPr>
        <w:t>%，其中：授予小微企业合同金额</w:t>
      </w:r>
      <w:r>
        <w:rPr>
          <w:rFonts w:hint="eastAsia" w:eastAsia="仿宋_GB2312" w:cs="仿宋_GB2312"/>
          <w:sz w:val="32"/>
          <w:szCs w:val="32"/>
          <w:lang w:val="en-US" w:eastAsia="zh-CN"/>
        </w:rPr>
        <w:t>44.76</w:t>
      </w:r>
      <w:r>
        <w:rPr>
          <w:rFonts w:hint="eastAsia" w:eastAsia="仿宋_GB2312" w:cs="仿宋_GB2312"/>
          <w:sz w:val="32"/>
          <w:szCs w:val="32"/>
        </w:rPr>
        <w:t>万元，占政府采购支出总额的</w:t>
      </w:r>
      <w:r>
        <w:rPr>
          <w:rFonts w:hint="eastAsia" w:eastAsia="仿宋_GB2312" w:cs="仿宋_GB2312"/>
          <w:sz w:val="32"/>
          <w:szCs w:val="32"/>
          <w:lang w:val="en-US" w:eastAsia="zh-CN"/>
        </w:rPr>
        <w:t>100</w:t>
      </w:r>
      <w:r>
        <w:rPr>
          <w:rFonts w:hint="eastAsia" w:eastAsia="仿宋_GB2312" w:cs="仿宋_GB2312"/>
          <w:sz w:val="32"/>
          <w:szCs w:val="32"/>
        </w:rPr>
        <w:t>%。</w:t>
      </w:r>
    </w:p>
    <w:p w14:paraId="45302635">
      <w:pPr>
        <w:spacing w:line="600" w:lineRule="exact"/>
        <w:ind w:firstLine="643" w:firstLineChars="200"/>
        <w:outlineLvl w:val="9"/>
        <w:rPr>
          <w:rFonts w:eastAsia="楷体_GB2312" w:cs="楷体_GB2312"/>
          <w:b/>
          <w:sz w:val="32"/>
          <w:szCs w:val="32"/>
        </w:rPr>
      </w:pPr>
      <w:bookmarkStart w:id="62" w:name="_Toc15377224"/>
      <w:r>
        <w:rPr>
          <w:rFonts w:hint="eastAsia" w:eastAsia="楷体_GB2312" w:cs="楷体_GB2312"/>
          <w:b/>
          <w:sz w:val="32"/>
          <w:szCs w:val="32"/>
        </w:rPr>
        <w:t>（三）国有资产占有使用情况</w:t>
      </w:r>
      <w:bookmarkEnd w:id="62"/>
    </w:p>
    <w:p w14:paraId="30C5E6D8">
      <w:pPr>
        <w:spacing w:line="600" w:lineRule="exact"/>
        <w:ind w:firstLine="640"/>
        <w:rPr>
          <w:rFonts w:hint="eastAsia" w:eastAsia="仿宋_GB2312" w:cs="仿宋_GB2312"/>
          <w:sz w:val="32"/>
          <w:szCs w:val="32"/>
        </w:rPr>
      </w:pPr>
      <w:r>
        <w:rPr>
          <w:rFonts w:hint="eastAsia" w:eastAsia="仿宋_GB2312" w:cs="仿宋_GB2312"/>
          <w:sz w:val="32"/>
          <w:szCs w:val="32"/>
        </w:rPr>
        <w:t>截至2024年12月31日，四川省龙日种畜场共有车辆</w:t>
      </w:r>
      <w:r>
        <w:rPr>
          <w:rFonts w:hint="eastAsia" w:eastAsia="仿宋_GB2312" w:cs="仿宋_GB2312"/>
          <w:sz w:val="32"/>
          <w:szCs w:val="32"/>
          <w:lang w:val="en-US" w:eastAsia="zh-CN"/>
        </w:rPr>
        <w:t>2</w:t>
      </w:r>
      <w:r>
        <w:rPr>
          <w:rFonts w:hint="eastAsia" w:eastAsia="仿宋_GB2312" w:cs="仿宋_GB2312"/>
          <w:sz w:val="32"/>
          <w:szCs w:val="32"/>
        </w:rPr>
        <w:t>辆，其中：</w:t>
      </w:r>
      <w:r>
        <w:rPr>
          <w:rFonts w:hint="eastAsia" w:eastAsia="仿宋_GB2312" w:cs="仿宋_GB2312"/>
          <w:sz w:val="32"/>
          <w:szCs w:val="32"/>
          <w:lang w:val="en-US" w:eastAsia="zh-CN"/>
        </w:rPr>
        <w:t>其他用车2辆。</w:t>
      </w:r>
      <w:r>
        <w:rPr>
          <w:rFonts w:hint="eastAsia" w:eastAsia="仿宋_GB2312" w:cs="仿宋_GB2312"/>
          <w:sz w:val="32"/>
          <w:szCs w:val="32"/>
        </w:rPr>
        <w:t>单价100万元（含）以上设备（不含车辆）</w:t>
      </w:r>
      <w:r>
        <w:rPr>
          <w:rFonts w:hint="eastAsia" w:eastAsia="仿宋_GB2312" w:cs="仿宋_GB2312"/>
          <w:sz w:val="32"/>
          <w:szCs w:val="32"/>
          <w:lang w:val="en-US" w:eastAsia="zh-CN"/>
        </w:rPr>
        <w:t>0</w:t>
      </w:r>
      <w:r>
        <w:rPr>
          <w:rFonts w:hint="eastAsia" w:eastAsia="仿宋_GB2312" w:cs="仿宋_GB2312"/>
          <w:sz w:val="32"/>
          <w:szCs w:val="32"/>
        </w:rPr>
        <w:t>台（套）。</w:t>
      </w:r>
    </w:p>
    <w:p w14:paraId="43666F02">
      <w:pPr>
        <w:spacing w:line="600" w:lineRule="exact"/>
        <w:ind w:firstLine="643" w:firstLineChars="200"/>
        <w:outlineLvl w:val="9"/>
        <w:rPr>
          <w:rFonts w:eastAsia="楷体_GB2312" w:cs="楷体_GB2312"/>
          <w:b/>
          <w:sz w:val="32"/>
          <w:szCs w:val="32"/>
        </w:rPr>
      </w:pPr>
      <w:r>
        <w:rPr>
          <w:rFonts w:hint="eastAsia" w:eastAsia="楷体_GB2312" w:cs="楷体_GB2312"/>
          <w:b/>
          <w:sz w:val="32"/>
          <w:szCs w:val="32"/>
        </w:rPr>
        <w:t>（四）预算绩效管理情况</w:t>
      </w:r>
      <w:bookmarkStart w:id="85" w:name="_GoBack"/>
      <w:bookmarkEnd w:id="85"/>
    </w:p>
    <w:p w14:paraId="28B8861A">
      <w:pPr>
        <w:spacing w:line="600" w:lineRule="exact"/>
        <w:ind w:firstLine="640"/>
        <w:rPr>
          <w:rFonts w:hint="eastAsia" w:eastAsia="仿宋_GB2312" w:cs="仿宋_GB2312"/>
          <w:sz w:val="32"/>
          <w:szCs w:val="32"/>
        </w:rPr>
      </w:pPr>
      <w:r>
        <w:rPr>
          <w:rFonts w:hint="eastAsia" w:eastAsia="仿宋_GB2312" w:cs="仿宋_GB2312"/>
          <w:sz w:val="32"/>
          <w:szCs w:val="32"/>
        </w:rPr>
        <w:t>根据预算绩效管理要求，四川省龙日种畜场在2024年度预算编制阶段，组织对四川省龙日种畜场2024年原种场运行管理项目</w:t>
      </w:r>
      <w:r>
        <w:rPr>
          <w:rFonts w:hint="eastAsia" w:eastAsia="仿宋_GB2312" w:cs="仿宋_GB2312"/>
          <w:sz w:val="32"/>
          <w:szCs w:val="32"/>
          <w:lang w:eastAsia="zh-CN"/>
        </w:rPr>
        <w:t>、智慧放牧物联网系统与大规模牧群监管关键技术研究</w:t>
      </w:r>
      <w:r>
        <w:rPr>
          <w:rFonts w:hint="eastAsia" w:eastAsia="仿宋_GB2312" w:cs="仿宋_GB2312"/>
          <w:sz w:val="32"/>
          <w:szCs w:val="32"/>
        </w:rPr>
        <w:t>等</w:t>
      </w:r>
      <w:r>
        <w:rPr>
          <w:rFonts w:hint="eastAsia" w:eastAsia="仿宋_GB2312" w:cs="仿宋_GB2312"/>
          <w:sz w:val="32"/>
          <w:szCs w:val="32"/>
          <w:lang w:val="en-US" w:eastAsia="zh-CN"/>
        </w:rPr>
        <w:t>9</w:t>
      </w:r>
      <w:r>
        <w:rPr>
          <w:rFonts w:hint="eastAsia" w:eastAsia="仿宋_GB2312" w:cs="仿宋_GB2312"/>
          <w:sz w:val="32"/>
          <w:szCs w:val="32"/>
        </w:rPr>
        <w:t>个项目开展了预算事前绩效评估，对</w:t>
      </w:r>
      <w:r>
        <w:rPr>
          <w:rFonts w:hint="eastAsia" w:eastAsia="仿宋_GB2312" w:cs="仿宋_GB2312"/>
          <w:sz w:val="32"/>
          <w:szCs w:val="32"/>
          <w:lang w:val="en-US" w:eastAsia="zh-CN"/>
        </w:rPr>
        <w:t>9</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9</w:t>
      </w:r>
      <w:r>
        <w:rPr>
          <w:rFonts w:hint="eastAsia" w:eastAsia="仿宋_GB2312" w:cs="仿宋_GB2312"/>
          <w:sz w:val="32"/>
          <w:szCs w:val="32"/>
        </w:rPr>
        <w:t>个项目开展绩效监控。</w:t>
      </w:r>
    </w:p>
    <w:p w14:paraId="4818AB03">
      <w:pPr>
        <w:spacing w:line="600" w:lineRule="exact"/>
        <w:ind w:firstLine="640"/>
        <w:rPr>
          <w:rFonts w:hint="eastAsia" w:eastAsia="仿宋_GB2312" w:cs="仿宋_GB2312"/>
          <w:sz w:val="32"/>
          <w:szCs w:val="32"/>
        </w:rPr>
      </w:pPr>
      <w:r>
        <w:rPr>
          <w:rFonts w:hint="eastAsia" w:eastAsia="仿宋_GB2312" w:cs="仿宋_GB2312"/>
          <w:sz w:val="32"/>
          <w:szCs w:val="32"/>
        </w:rPr>
        <w:t>组织对2024年度一般公共预算、政府性基金预算、国有资本经营预算、社会保险基金预算以及资本资产、债券资金等全面开展绩效自评，形成四川省龙日种畜场部门整体（含部门预算项目）绩效自评报告、阿坝州牦牛寄生虫流行性调查及精准防控技术研究与示范推广项目</w:t>
      </w:r>
      <w:r>
        <w:rPr>
          <w:rFonts w:hint="eastAsia" w:eastAsia="仿宋_GB2312" w:cs="仿宋_GB2312"/>
          <w:sz w:val="32"/>
          <w:szCs w:val="32"/>
          <w:lang w:eastAsia="zh-CN"/>
        </w:rPr>
        <w:t>、四川省龙日种畜场麦洼牦牛产业转型升级技术集成创新与示范项目</w:t>
      </w:r>
      <w:r>
        <w:rPr>
          <w:rFonts w:hint="eastAsia" w:eastAsia="仿宋_GB2312" w:cs="仿宋_GB2312"/>
          <w:sz w:val="32"/>
          <w:szCs w:val="32"/>
        </w:rPr>
        <w:t>等专项预算项目绩效自评报告，其中，四川省龙日种畜场部门整体（含部门预算项目）绩效自评得分为</w:t>
      </w:r>
      <w:r>
        <w:rPr>
          <w:rFonts w:hint="eastAsia" w:eastAsia="仿宋_GB2312" w:cs="仿宋_GB2312"/>
          <w:sz w:val="32"/>
          <w:szCs w:val="32"/>
          <w:lang w:val="en-US" w:eastAsia="zh-CN"/>
        </w:rPr>
        <w:t>85.26</w:t>
      </w:r>
      <w:r>
        <w:rPr>
          <w:rFonts w:hint="eastAsia" w:eastAsia="仿宋_GB2312" w:cs="仿宋_GB2312"/>
          <w:sz w:val="32"/>
          <w:szCs w:val="32"/>
        </w:rPr>
        <w:t>分，绩效自评综述较好地完成了各项年度任务，部门预算支出使用效益达到预期；阿坝州牦牛寄生虫流行性调查及精准防控技术研究与示范推广项目专项预算项目绩效自评得分为</w:t>
      </w:r>
      <w:r>
        <w:rPr>
          <w:rFonts w:hint="eastAsia" w:eastAsia="仿宋_GB2312" w:cs="仿宋_GB2312"/>
          <w:sz w:val="32"/>
          <w:szCs w:val="32"/>
          <w:lang w:val="en-US" w:eastAsia="zh-CN"/>
        </w:rPr>
        <w:t>71</w:t>
      </w:r>
      <w:r>
        <w:rPr>
          <w:rFonts w:hint="eastAsia" w:eastAsia="仿宋_GB2312" w:cs="仿宋_GB2312"/>
          <w:sz w:val="32"/>
          <w:szCs w:val="32"/>
        </w:rPr>
        <w:t>分，绩效自评综述项目资金为2024年年底到达，项目实施起步落后，但正努力按照计划开展实施。绩效自评报告详见附件。</w:t>
      </w:r>
      <w:r>
        <w:rPr>
          <w:rFonts w:hint="eastAsia" w:eastAsia="仿宋_GB2312" w:cs="仿宋_GB2312"/>
          <w:sz w:val="32"/>
          <w:szCs w:val="32"/>
        </w:rPr>
        <w:br w:type="page"/>
      </w:r>
    </w:p>
    <w:p w14:paraId="6F45BA35">
      <w:pPr>
        <w:spacing w:line="600" w:lineRule="exact"/>
        <w:jc w:val="center"/>
        <w:outlineLvl w:val="0"/>
        <w:rPr>
          <w:rFonts w:eastAsia="黑体"/>
          <w:sz w:val="44"/>
          <w:szCs w:val="44"/>
        </w:rPr>
      </w:pPr>
      <w:bookmarkStart w:id="63" w:name="_Toc15377225"/>
      <w:bookmarkStart w:id="64" w:name="_Toc15396613"/>
      <w:bookmarkStart w:id="65" w:name="_Toc19809"/>
      <w:r>
        <w:rPr>
          <w:rFonts w:hint="eastAsia" w:eastAsia="黑体"/>
          <w:sz w:val="44"/>
          <w:szCs w:val="44"/>
        </w:rPr>
        <w:t>第三部分  名词解释</w:t>
      </w:r>
      <w:bookmarkEnd w:id="63"/>
      <w:bookmarkEnd w:id="64"/>
      <w:bookmarkEnd w:id="65"/>
    </w:p>
    <w:p w14:paraId="46850336">
      <w:pPr>
        <w:spacing w:line="600" w:lineRule="exact"/>
        <w:jc w:val="left"/>
        <w:rPr>
          <w:b/>
          <w:sz w:val="44"/>
          <w:szCs w:val="44"/>
        </w:rPr>
      </w:pPr>
    </w:p>
    <w:p w14:paraId="5901D837">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财政拨款收入：指单位从同级财政部门取得的财政预算资金。</w:t>
      </w:r>
    </w:p>
    <w:p w14:paraId="191A78AF">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事业收入：指事业单位开展专业业务活动及辅助活动取得的收入。</w:t>
      </w:r>
    </w:p>
    <w:p w14:paraId="4CD49CD4">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经营收入：指事业单位在专业业务活动及其辅助活动之外开展非独立核算经营活动取得的收入。</w:t>
      </w:r>
    </w:p>
    <w:p w14:paraId="1B1B5633">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 xml:space="preserve">其他收入：指单位取得的除上述收入以外的各项收入。 </w:t>
      </w:r>
    </w:p>
    <w:p w14:paraId="412BC16C">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 xml:space="preserve">使用非财政拨款结余（含专用结余）：指事业单位使用以前年度积累的非财政拨款结余弥补当年收支差额的金额。 </w:t>
      </w:r>
    </w:p>
    <w:p w14:paraId="6026B9F2">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 xml:space="preserve">年初结转和结余：指以前年度尚未完成、结转到本年按有关规定继续使用的资金。 </w:t>
      </w:r>
    </w:p>
    <w:p w14:paraId="1DC218D2">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结余分配：指事业单位按照会计制度规定缴纳的所得税、提取的专用结余以及转入非财政拨款结余的金额等。</w:t>
      </w:r>
    </w:p>
    <w:p w14:paraId="01B99133">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年末结转和结余：指单位按有关规定结转到下年或以后年度继续使用的资金。</w:t>
      </w:r>
    </w:p>
    <w:p w14:paraId="302503A6">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科学技术支出（类）基础研究（款）专项基础科研（项）：反映用于专项基础科研方面的支出。</w:t>
      </w:r>
    </w:p>
    <w:p w14:paraId="56F9C753">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科学技术支出（类）科技重大项目（款）重点研发计划（项）: 反映用于重点研发计划的有关经费支出。</w:t>
      </w:r>
    </w:p>
    <w:p w14:paraId="508D588E">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科学技术支出（类）其他科学技术支出（款）其他科学技术支出（项）:反映除以上各项以外用于科技方面的支出。</w:t>
      </w:r>
    </w:p>
    <w:p w14:paraId="2B786D23">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社会保障和就业支出（类）行政事业单位养老支出（款）机关事业单位基本养老保险缴费支出（项）：反映机关事业单位实施养老保险制度由单位缴纳的基本养老保险费支出。</w:t>
      </w:r>
    </w:p>
    <w:p w14:paraId="47FF84E6">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社会保障和就业支出（类）行政事业单位养老支出（款）机关事业单位职业年金缴费支出（项）：反映机关事业单位实施养老保险制度由单位实际缴纳的职业年金支出。</w:t>
      </w:r>
    </w:p>
    <w:p w14:paraId="75779812">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卫生健康支出（类）行政事业单位医疗（款）事业单位医疗（项）：反映财政部门安排的事业单位基本医疗保险缴费经费，未参加医疗保险的事业单位的公费医疗经费，按国家规定享受离休人员待遇的医疗经费。</w:t>
      </w:r>
    </w:p>
    <w:p w14:paraId="286EF62A">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农林水支出（类）农业农村（款）事业运行（项）：反映用于农业事业单位基本支出，事业单位设施、系统运行 与资产维护等方面的支出。</w:t>
      </w:r>
    </w:p>
    <w:p w14:paraId="3A1CD1A2">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农林水支出（类）农业农村（款）农业生态资源保护（项）：反映用于耕地质量保护、草原草场利用，渔业水域资源环境保护，农业品种改良提升，以及农业生物资源调研收集、鉴定评价、保存利用等方面的支出。</w:t>
      </w:r>
    </w:p>
    <w:p w14:paraId="467D1C38">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住房保障支出（类）住房改革支出（款）住房公积金（项）：反映行政事业单位按人力资源和社会保障部、财政部规定的 基本工资和津贴补贴以及规定比例为职工缴纳的住房公积金。</w:t>
      </w:r>
    </w:p>
    <w:p w14:paraId="29606728">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住房保障支出（类）住房改革支出（款）购房补贴（项）：反映按房改政策规定，行政事业单位向符合条件职工(含离退休人员)、军队(含武警)向转役复员离退休人员发放的用 于购买住房的补贴。</w:t>
      </w:r>
    </w:p>
    <w:p w14:paraId="38B351E5">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基本支出：指为保障机构正常运转、完成日常工作任务而发生的人员支出和公用支出。</w:t>
      </w:r>
    </w:p>
    <w:p w14:paraId="523E7E8D">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 xml:space="preserve">项目支出：指在基本支出之外为完成特定行政任务和事业发展目标所发生的支出。 </w:t>
      </w:r>
    </w:p>
    <w:p w14:paraId="67DD2B7D">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经营支出：指事业单位在专业业务活动及其辅助活动之外开展非独立核算经营活动发生的支出。</w:t>
      </w:r>
    </w:p>
    <w:p w14:paraId="6EEBD471">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95D00C2">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F340CB9">
      <w:pPr>
        <w:spacing w:line="600" w:lineRule="exact"/>
        <w:ind w:firstLine="640"/>
        <w:rPr>
          <w:rFonts w:eastAsia="仿宋_GB2312" w:cs="仿宋_GB2312"/>
          <w:b/>
          <w:bCs/>
          <w:sz w:val="32"/>
          <w:szCs w:val="32"/>
        </w:rPr>
      </w:pPr>
    </w:p>
    <w:p w14:paraId="0596286A">
      <w:pPr>
        <w:spacing w:line="600" w:lineRule="exact"/>
        <w:jc w:val="center"/>
        <w:outlineLvl w:val="0"/>
        <w:rPr>
          <w:rStyle w:val="30"/>
          <w:rFonts w:eastAsia="黑体"/>
          <w:b w:val="0"/>
        </w:rPr>
      </w:pPr>
      <w:bookmarkStart w:id="66" w:name="_Toc15377226"/>
      <w:r>
        <w:rPr>
          <w:rFonts w:hint="eastAsia" w:eastAsia="仿宋_GB2312" w:cs="仿宋_GB2312"/>
          <w:sz w:val="32"/>
          <w:szCs w:val="32"/>
        </w:rPr>
        <w:br w:type="page"/>
      </w:r>
      <w:bookmarkStart w:id="67" w:name="_Toc15396614"/>
      <w:bookmarkStart w:id="68" w:name="_Toc30720"/>
      <w:r>
        <w:rPr>
          <w:rFonts w:hint="eastAsia" w:eastAsia="黑体"/>
          <w:sz w:val="44"/>
          <w:szCs w:val="44"/>
        </w:rPr>
        <w:t>第四部分  附件</w:t>
      </w:r>
      <w:bookmarkEnd w:id="67"/>
      <w:bookmarkEnd w:id="68"/>
    </w:p>
    <w:p w14:paraId="7BA44CB3">
      <w:pPr>
        <w:spacing w:line="572" w:lineRule="exact"/>
        <w:jc w:val="left"/>
        <w:outlineLvl w:val="9"/>
        <w:rPr>
          <w:rFonts w:eastAsia="黑体" w:cs="黑体"/>
          <w:color w:val="FF0000"/>
          <w:sz w:val="32"/>
          <w:szCs w:val="32"/>
        </w:rPr>
      </w:pPr>
    </w:p>
    <w:p w14:paraId="66D3A627">
      <w:pPr>
        <w:spacing w:line="572" w:lineRule="exact"/>
        <w:jc w:val="left"/>
        <w:outlineLvl w:val="9"/>
        <w:rPr>
          <w:rFonts w:eastAsia="黑体" w:cs="方正小标宋简体"/>
          <w:sz w:val="44"/>
          <w:szCs w:val="44"/>
        </w:rPr>
      </w:pPr>
      <w:r>
        <w:rPr>
          <w:rFonts w:hint="eastAsia" w:eastAsia="黑体" w:cs="黑体"/>
          <w:sz w:val="32"/>
          <w:szCs w:val="32"/>
        </w:rPr>
        <w:t>附件1</w:t>
      </w:r>
    </w:p>
    <w:p w14:paraId="19AD568C">
      <w:pPr>
        <w:widowControl/>
        <w:spacing w:line="578" w:lineRule="exact"/>
        <w:contextualSpacing/>
        <w:jc w:val="center"/>
        <w:rPr>
          <w:rFonts w:eastAsia="方正小标宋简体"/>
          <w:bCs/>
          <w:sz w:val="44"/>
          <w:szCs w:val="44"/>
          <w:shd w:val="clear" w:color="auto" w:fill="FFFFFF"/>
        </w:rPr>
      </w:pPr>
    </w:p>
    <w:p w14:paraId="5F3D57BF">
      <w:pPr>
        <w:keepNext w:val="0"/>
        <w:keepLines w:val="0"/>
        <w:pageBreakBefore w:val="0"/>
        <w:widowControl/>
        <w:kinsoku/>
        <w:wordWrap/>
        <w:overflowPunct/>
        <w:topLinePunct w:val="0"/>
        <w:autoSpaceDE/>
        <w:autoSpaceDN/>
        <w:bidi w:val="0"/>
        <w:adjustRightInd/>
        <w:snapToGrid/>
        <w:spacing w:line="600" w:lineRule="exact"/>
        <w:ind w:firstLine="0" w:firstLineChars="0"/>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lang w:val="en-US" w:eastAsia="zh-CN"/>
        </w:rPr>
        <w:t>四川省龙日种畜场</w:t>
      </w:r>
      <w:r>
        <w:rPr>
          <w:rFonts w:hint="default" w:ascii="Times New Roman" w:hAnsi="Times New Roman" w:eastAsia="方正小标宋简体" w:cs="Times New Roman"/>
          <w:b w:val="0"/>
          <w:bCs/>
          <w:sz w:val="44"/>
          <w:szCs w:val="44"/>
          <w:highlight w:val="none"/>
          <w:shd w:val="clear" w:color="auto" w:fill="FFFFFF"/>
          <w:lang w:eastAsia="zh-CN"/>
        </w:rPr>
        <w:t>部</w:t>
      </w:r>
      <w:r>
        <w:rPr>
          <w:rFonts w:hint="default" w:ascii="Times New Roman" w:hAnsi="Times New Roman" w:eastAsia="方正小标宋简体" w:cs="Times New Roman"/>
          <w:b w:val="0"/>
          <w:bCs/>
          <w:sz w:val="44"/>
          <w:szCs w:val="44"/>
          <w:highlight w:val="none"/>
          <w:shd w:val="clear" w:color="auto" w:fill="FFFFFF"/>
        </w:rPr>
        <w:t>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14:paraId="7BE752FB">
      <w:pPr>
        <w:keepNext w:val="0"/>
        <w:keepLines w:val="0"/>
        <w:pageBreakBefore w:val="0"/>
        <w:widowControl/>
        <w:kinsoku/>
        <w:wordWrap/>
        <w:overflowPunct/>
        <w:topLinePunct w:val="0"/>
        <w:autoSpaceDE/>
        <w:autoSpaceDN/>
        <w:bidi w:val="0"/>
        <w:spacing w:line="600" w:lineRule="exact"/>
        <w:contextualSpacing/>
        <w:jc w:val="center"/>
        <w:textAlignment w:val="auto"/>
        <w:outlineLvl w:val="9"/>
        <w:rPr>
          <w:rFonts w:hint="default" w:ascii="Times New Roman" w:hAnsi="Times New Roman" w:cs="Times New Roman"/>
          <w:szCs w:val="32"/>
          <w:highlight w:val="none"/>
          <w:shd w:val="clear" w:color="auto" w:fill="FFFFFF"/>
        </w:rPr>
      </w:pPr>
    </w:p>
    <w:p w14:paraId="25ED173F">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eastAsia" w:ascii="Times New Roman" w:hAnsi="Times New Roman" w:eastAsia="黑体" w:cs="Times New Roman"/>
          <w:color w:val="auto"/>
          <w:sz w:val="32"/>
          <w:szCs w:val="32"/>
          <w:highlight w:val="none"/>
          <w:u w:val="none"/>
          <w:lang w:val="zh-CN"/>
        </w:rPr>
        <w:t>一、</w:t>
      </w:r>
      <w:r>
        <w:rPr>
          <w:rFonts w:hint="default" w:ascii="Times New Roman" w:hAnsi="Times New Roman" w:eastAsia="黑体" w:cs="Times New Roman"/>
          <w:color w:val="auto"/>
          <w:sz w:val="32"/>
          <w:szCs w:val="32"/>
          <w:highlight w:val="none"/>
          <w:u w:val="none"/>
          <w:lang w:val="zh-CN"/>
        </w:rPr>
        <w:t>部门（单位）基本情况</w:t>
      </w:r>
    </w:p>
    <w:p w14:paraId="55061361">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（一）</w:t>
      </w:r>
      <w:r>
        <w:rPr>
          <w:rFonts w:hint="default" w:ascii="Times New Roman" w:hAnsi="Times New Roman" w:eastAsia="楷体_GB2312" w:cs="Times New Roman"/>
          <w:b/>
          <w:bCs/>
          <w:color w:val="000000"/>
          <w:kern w:val="0"/>
          <w:sz w:val="32"/>
          <w:szCs w:val="32"/>
          <w:highlight w:val="none"/>
          <w:shd w:val="clear" w:color="auto" w:fill="FFFFFF"/>
          <w:lang w:val="zh-CN"/>
        </w:rPr>
        <w:t>机构组成</w:t>
      </w:r>
    </w:p>
    <w:p w14:paraId="00DF638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default" w:ascii="Times New Roman" w:hAnsi="Times New Roman" w:eastAsia="仿宋_GB2312" w:cs="Times New Roman"/>
          <w:caps/>
          <w:smallCaps w:val="0"/>
          <w:sz w:val="32"/>
          <w:highlight w:val="none"/>
          <w:lang w:val="en-US" w:eastAsia="zh-CN"/>
        </w:rPr>
        <w:t>四川省龙日种畜场属阿坝州人民政府管理，为阿坝州农业畜牧局所属正县级公益一类事业单位.内设10个机构：办公室、人事科、财务科、科技科、成果转化科、牦牛遗传资源科、藏绵羊遗传资源科、河曲马遗传资源科、草原生态资源科、实验培训中心。</w:t>
      </w:r>
    </w:p>
    <w:p w14:paraId="4704D8DD">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en-US" w:eastAsia="zh-CN"/>
        </w:rPr>
        <w:t>二）</w:t>
      </w:r>
      <w:r>
        <w:rPr>
          <w:rFonts w:hint="default" w:ascii="Times New Roman" w:hAnsi="Times New Roman" w:eastAsia="楷体_GB2312" w:cs="Times New Roman"/>
          <w:b/>
          <w:bCs/>
          <w:color w:val="000000"/>
          <w:kern w:val="0"/>
          <w:sz w:val="32"/>
          <w:szCs w:val="32"/>
          <w:highlight w:val="none"/>
          <w:shd w:val="clear" w:color="auto" w:fill="FFFFFF"/>
          <w:lang w:val="zh-CN"/>
        </w:rPr>
        <w:t>机构职能</w:t>
      </w:r>
    </w:p>
    <w:p w14:paraId="338B83DE">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我部门主要主要承担以下职责和功能：</w:t>
      </w:r>
    </w:p>
    <w:p w14:paraId="27759A6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1</w:t>
      </w:r>
      <w:r>
        <w:rPr>
          <w:rFonts w:hint="default" w:ascii="Times New Roman" w:hAnsi="Times New Roman" w:eastAsia="仿宋_GB2312" w:cs="Times New Roman"/>
          <w:caps/>
          <w:smallCaps w:val="0"/>
          <w:sz w:val="32"/>
          <w:highlight w:val="none"/>
          <w:lang w:val="en-US" w:eastAsia="zh-CN"/>
        </w:rPr>
        <w:t>．</w:t>
      </w:r>
      <w:r>
        <w:rPr>
          <w:rFonts w:hint="eastAsia" w:ascii="Times New Roman" w:hAnsi="Times New Roman" w:eastAsia="仿宋_GB2312" w:cs="Times New Roman"/>
          <w:caps/>
          <w:smallCaps w:val="0"/>
          <w:sz w:val="32"/>
          <w:highlight w:val="none"/>
          <w:lang w:val="en-US" w:eastAsia="zh-CN"/>
        </w:rPr>
        <w:t>种畜保护与选育：承担高原牧区牦牛，藏绵羊、河曲马的保护、品种选育工作，组建并形成了“麦洼牦牛原种群-扩繁群-生产群”三级繁育体系。</w:t>
      </w:r>
    </w:p>
    <w:p w14:paraId="5C4682C9">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default" w:ascii="Times New Roman" w:hAnsi="Times New Roman" w:eastAsia="仿宋_GB2312" w:cs="Times New Roman"/>
          <w:caps/>
          <w:smallCaps w:val="0"/>
          <w:sz w:val="32"/>
          <w:highlight w:val="none"/>
          <w:lang w:val="en-US" w:eastAsia="zh-CN"/>
        </w:rPr>
        <w:t>2．良种扩繁与推广：每年向牧区提供种牛300头左右，向青藏高原牧区提供牦牛、九龙牦牛优良种牛，提供优良改良种牛，促进当地畜牧业发展。</w:t>
      </w:r>
    </w:p>
    <w:p w14:paraId="52256542">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default" w:ascii="Times New Roman" w:hAnsi="Times New Roman" w:eastAsia="仿宋_GB2312" w:cs="Times New Roman"/>
          <w:caps/>
          <w:smallCaps w:val="0"/>
          <w:sz w:val="32"/>
          <w:highlight w:val="none"/>
          <w:lang w:val="en-US" w:eastAsia="zh-CN"/>
        </w:rPr>
        <w:t>3．产品供应向社会提供绿色奶、肉原料。</w:t>
      </w:r>
    </w:p>
    <w:p w14:paraId="012887C4">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default" w:ascii="Times New Roman" w:hAnsi="Times New Roman" w:eastAsia="仿宋_GB2312" w:cs="Times New Roman"/>
          <w:caps/>
          <w:smallCaps w:val="0"/>
          <w:sz w:val="32"/>
          <w:highlight w:val="none"/>
          <w:lang w:val="en-US" w:eastAsia="zh-CN"/>
        </w:rPr>
        <w:t>4．技术培训与服务：开展牦牛及改良牦牛标准化养殖及相关技术培训，为科研单位提供研究平台。</w:t>
      </w:r>
    </w:p>
    <w:p w14:paraId="46EF911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default" w:ascii="Times New Roman" w:hAnsi="Times New Roman" w:eastAsia="仿宋_GB2312" w:cs="Times New Roman"/>
          <w:caps/>
          <w:smallCaps w:val="0"/>
          <w:sz w:val="32"/>
          <w:highlight w:val="none"/>
          <w:lang w:val="en-US" w:eastAsia="zh-CN"/>
        </w:rPr>
        <w:t>5．旅游服务:利用自身优势，提供休息旅游场所，打造牦牛文化及大草原特色景观旅游胜地。</w:t>
      </w:r>
    </w:p>
    <w:p w14:paraId="7D3AD93C">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default" w:ascii="Times New Roman" w:hAnsi="Times New Roman" w:eastAsia="仿宋_GB2312" w:cs="Times New Roman"/>
          <w:caps/>
          <w:smallCaps w:val="0"/>
          <w:sz w:val="32"/>
          <w:highlight w:val="none"/>
          <w:lang w:val="en-US" w:eastAsia="zh-CN"/>
        </w:rPr>
        <w:t>6．生态保护与示范：以保护和改善黄河上游支流源头地区的生态环境,提高草地资源利用率，促进经济可持续发展为出发点，发挥青藏高原草原地畜牧业的生产示范作用。</w:t>
      </w:r>
    </w:p>
    <w:p w14:paraId="4A162F12">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p>
    <w:p w14:paraId="00847CE1">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default" w:ascii="Times New Roman" w:hAnsi="Times New Roman" w:eastAsia="仿宋_GB2312" w:cs="Times New Roman"/>
          <w:caps/>
          <w:smallCaps w:val="0"/>
          <w:sz w:val="32"/>
          <w:highlight w:val="none"/>
          <w:lang w:val="en-US" w:eastAsia="zh-CN"/>
        </w:rPr>
        <w:t>截至</w:t>
      </w:r>
      <w:r>
        <w:rPr>
          <w:rFonts w:hint="eastAsia" w:ascii="Times New Roman" w:hAnsi="Times New Roman" w:eastAsia="仿宋_GB2312" w:cs="Times New Roman"/>
          <w:caps/>
          <w:smallCaps w:val="0"/>
          <w:sz w:val="32"/>
          <w:highlight w:val="none"/>
          <w:lang w:val="en-US" w:eastAsia="zh-CN"/>
        </w:rPr>
        <w:t>2024年末</w:t>
      </w:r>
      <w:r>
        <w:rPr>
          <w:rFonts w:hint="default" w:ascii="Times New Roman" w:hAnsi="Times New Roman" w:eastAsia="仿宋_GB2312" w:cs="Times New Roman"/>
          <w:caps/>
          <w:smallCaps w:val="0"/>
          <w:sz w:val="32"/>
          <w:highlight w:val="none"/>
          <w:lang w:val="en-US" w:eastAsia="zh-CN"/>
        </w:rPr>
        <w:t>，</w:t>
      </w:r>
      <w:r>
        <w:rPr>
          <w:rFonts w:hint="eastAsia" w:ascii="Times New Roman" w:hAnsi="Times New Roman" w:eastAsia="仿宋_GB2312" w:cs="Times New Roman"/>
          <w:caps/>
          <w:smallCaps w:val="0"/>
          <w:sz w:val="32"/>
          <w:highlight w:val="none"/>
          <w:lang w:val="en-US" w:eastAsia="zh-CN"/>
        </w:rPr>
        <w:t>我部门全部在职职工57人，其中：行政人员40人，参公人员0人，非参公人员17人。</w:t>
      </w:r>
    </w:p>
    <w:p w14:paraId="191907A6">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二、</w:t>
      </w:r>
      <w:r>
        <w:rPr>
          <w:rFonts w:hint="default" w:ascii="Times New Roman" w:hAnsi="Times New Roman" w:eastAsia="黑体" w:cs="Times New Roman"/>
          <w:color w:val="auto"/>
          <w:sz w:val="32"/>
          <w:szCs w:val="32"/>
          <w:highlight w:val="none"/>
          <w:u w:val="none"/>
          <w:lang w:eastAsia="zh-CN"/>
        </w:rPr>
        <w:t>部门</w:t>
      </w:r>
      <w:r>
        <w:rPr>
          <w:rFonts w:hint="default" w:ascii="Times New Roman" w:hAnsi="Times New Roman" w:eastAsia="黑体" w:cs="Times New Roman"/>
          <w:color w:val="auto"/>
          <w:sz w:val="32"/>
          <w:szCs w:val="32"/>
          <w:highlight w:val="none"/>
          <w:u w:val="none"/>
        </w:rPr>
        <w:t>资金收支情况</w:t>
      </w:r>
    </w:p>
    <w:p w14:paraId="00FCF4E3">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p>
    <w:p w14:paraId="5A333F8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我部门2024</w:t>
      </w:r>
      <w:r>
        <w:rPr>
          <w:rFonts w:hint="default" w:ascii="Times New Roman" w:hAnsi="Times New Roman" w:eastAsia="仿宋_GB2312" w:cs="Times New Roman"/>
          <w:caps/>
          <w:smallCaps w:val="0"/>
          <w:sz w:val="32"/>
          <w:highlight w:val="none"/>
          <w:lang w:val="en-US" w:eastAsia="zh-CN"/>
        </w:rPr>
        <w:t>年年初收入预算数为</w:t>
      </w:r>
      <w:r>
        <w:rPr>
          <w:rFonts w:hint="eastAsia" w:ascii="Times New Roman" w:hAnsi="Times New Roman" w:eastAsia="仿宋_GB2312" w:cs="Times New Roman"/>
          <w:caps/>
          <w:smallCaps w:val="0"/>
          <w:sz w:val="32"/>
          <w:highlight w:val="none"/>
          <w:lang w:val="en-US" w:eastAsia="zh-CN"/>
        </w:rPr>
        <w:t>1,833.97</w:t>
      </w:r>
      <w:r>
        <w:rPr>
          <w:rFonts w:hint="default" w:ascii="Times New Roman" w:hAnsi="Times New Roman" w:eastAsia="仿宋_GB2312" w:cs="Times New Roman"/>
          <w:caps/>
          <w:smallCaps w:val="0"/>
          <w:sz w:val="32"/>
          <w:highlight w:val="none"/>
          <w:lang w:val="en-US" w:eastAsia="zh-CN"/>
        </w:rPr>
        <w:t>万元，</w:t>
      </w:r>
      <w:r>
        <w:rPr>
          <w:rFonts w:hint="eastAsia" w:ascii="Times New Roman" w:hAnsi="Times New Roman" w:eastAsia="仿宋_GB2312" w:cs="Times New Roman"/>
          <w:caps/>
          <w:smallCaps w:val="0"/>
          <w:sz w:val="32"/>
          <w:highlight w:val="none"/>
          <w:lang w:val="en-US" w:eastAsia="zh-CN"/>
        </w:rPr>
        <w:t>其中：</w:t>
      </w:r>
      <w:r>
        <w:rPr>
          <w:rFonts w:hint="default" w:ascii="Times New Roman" w:hAnsi="Times New Roman" w:eastAsia="仿宋_GB2312" w:cs="Times New Roman"/>
          <w:caps/>
          <w:smallCaps w:val="0"/>
          <w:sz w:val="32"/>
          <w:highlight w:val="none"/>
          <w:lang w:val="en-US" w:eastAsia="zh-CN"/>
        </w:rPr>
        <w:t>一般公共预算财政拨款收入</w:t>
      </w:r>
      <w:r>
        <w:rPr>
          <w:rFonts w:hint="eastAsia" w:ascii="Times New Roman" w:hAnsi="Times New Roman" w:eastAsia="仿宋_GB2312" w:cs="Times New Roman"/>
          <w:caps/>
          <w:smallCaps w:val="0"/>
          <w:sz w:val="32"/>
          <w:highlight w:val="none"/>
          <w:lang w:val="en-US" w:eastAsia="zh-CN"/>
        </w:rPr>
        <w:t>1,833.97万元，占总预算的100%；</w:t>
      </w:r>
    </w:p>
    <w:p w14:paraId="08DF0898">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我部门2024</w:t>
      </w:r>
      <w:r>
        <w:rPr>
          <w:rFonts w:hint="default" w:ascii="Times New Roman" w:hAnsi="Times New Roman" w:eastAsia="仿宋_GB2312" w:cs="Times New Roman"/>
          <w:caps/>
          <w:smallCaps w:val="0"/>
          <w:sz w:val="32"/>
          <w:highlight w:val="none"/>
          <w:lang w:val="en-US" w:eastAsia="zh-CN"/>
        </w:rPr>
        <w:t>年收入决算数为</w:t>
      </w:r>
      <w:r>
        <w:rPr>
          <w:rFonts w:hint="eastAsia" w:ascii="Times New Roman" w:hAnsi="Times New Roman" w:eastAsia="仿宋_GB2312" w:cs="Times New Roman"/>
          <w:caps/>
          <w:smallCaps w:val="0"/>
          <w:sz w:val="32"/>
          <w:highlight w:val="none"/>
          <w:lang w:val="en-US" w:eastAsia="zh-CN"/>
        </w:rPr>
        <w:t>1,570.26</w:t>
      </w:r>
      <w:r>
        <w:rPr>
          <w:rFonts w:hint="default" w:ascii="Times New Roman" w:hAnsi="Times New Roman" w:eastAsia="仿宋_GB2312" w:cs="Times New Roman"/>
          <w:caps/>
          <w:smallCaps w:val="0"/>
          <w:sz w:val="32"/>
          <w:highlight w:val="none"/>
          <w:lang w:val="en-US" w:eastAsia="zh-CN"/>
        </w:rPr>
        <w:t>万元，</w:t>
      </w:r>
      <w:r>
        <w:rPr>
          <w:rFonts w:hint="eastAsia" w:ascii="Times New Roman" w:hAnsi="Times New Roman" w:eastAsia="仿宋_GB2312" w:cs="Times New Roman"/>
          <w:caps/>
          <w:smallCaps w:val="0"/>
          <w:sz w:val="32"/>
          <w:highlight w:val="none"/>
          <w:lang w:val="en-US" w:eastAsia="zh-CN"/>
        </w:rPr>
        <w:t>其中：</w:t>
      </w:r>
      <w:r>
        <w:rPr>
          <w:rFonts w:hint="default" w:ascii="Times New Roman" w:hAnsi="Times New Roman" w:eastAsia="仿宋_GB2312" w:cs="Times New Roman"/>
          <w:caps/>
          <w:smallCaps w:val="0"/>
          <w:sz w:val="32"/>
          <w:highlight w:val="none"/>
          <w:lang w:val="en-US" w:eastAsia="zh-CN"/>
        </w:rPr>
        <w:t>一般公共预算财政拨款收入</w:t>
      </w:r>
      <w:r>
        <w:rPr>
          <w:rFonts w:hint="eastAsia" w:ascii="Times New Roman" w:hAnsi="Times New Roman" w:eastAsia="仿宋_GB2312" w:cs="Times New Roman"/>
          <w:caps/>
          <w:smallCaps w:val="0"/>
          <w:sz w:val="32"/>
          <w:highlight w:val="none"/>
          <w:lang w:val="en-US" w:eastAsia="zh-CN"/>
        </w:rPr>
        <w:t>1,570.26万元，占总决算的100%；其他收入75.65万元，占总决算的4.82%。</w:t>
      </w:r>
    </w:p>
    <w:p w14:paraId="1AC09524">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p>
    <w:p w14:paraId="2AD899A1">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我部门2024年年初支出预算数为1,833.97万元，其中：基本支出1,429.34万元，占支出总额的77.94%；项目支出216.56万元，占支出总额的11.81%。</w:t>
      </w:r>
    </w:p>
    <w:p w14:paraId="6054BE18">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我部门2024年支出决算数为1,570.26万元，其中：基本支出1,429.34万元，占支出总额的91.03%；项目支出216.56万元，占支出总额的13.79%。</w:t>
      </w:r>
    </w:p>
    <w:p w14:paraId="210F7C02">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楷体_GB2312" w:cs="Times New Roman"/>
          <w:b/>
          <w:sz w:val="32"/>
          <w:szCs w:val="32"/>
          <w:highlight w:val="none"/>
        </w:rPr>
        <w:t>结余分配和结转结余情况</w:t>
      </w:r>
    </w:p>
    <w:p w14:paraId="2799FC1A">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zh-CN" w:eastAsia="zh-CN"/>
        </w:rPr>
      </w:pPr>
      <w:r>
        <w:rPr>
          <w:rFonts w:hint="eastAsia" w:ascii="Times New Roman" w:hAnsi="Times New Roman" w:eastAsia="仿宋_GB2312" w:cs="Times New Roman"/>
          <w:caps/>
          <w:smallCaps w:val="0"/>
          <w:sz w:val="32"/>
          <w:highlight w:val="none"/>
          <w:lang w:val="en-US" w:eastAsia="zh-CN"/>
        </w:rPr>
        <w:t>我部门2024年决算报表无结转结余。</w:t>
      </w:r>
    </w:p>
    <w:p w14:paraId="04FE1C0C">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三、部门</w:t>
      </w:r>
      <w:r>
        <w:rPr>
          <w:rFonts w:hint="default" w:ascii="Times New Roman" w:hAnsi="Times New Roman" w:eastAsia="黑体" w:cs="Times New Roman"/>
          <w:color w:val="auto"/>
          <w:sz w:val="32"/>
          <w:szCs w:val="32"/>
          <w:highlight w:val="none"/>
          <w:u w:val="none"/>
          <w:lang w:eastAsia="zh-CN"/>
        </w:rPr>
        <w:t>预算</w:t>
      </w:r>
      <w:r>
        <w:rPr>
          <w:rFonts w:hint="default" w:ascii="Times New Roman" w:hAnsi="Times New Roman" w:eastAsia="黑体" w:cs="Times New Roman"/>
          <w:color w:val="auto"/>
          <w:sz w:val="32"/>
          <w:szCs w:val="32"/>
          <w:highlight w:val="none"/>
          <w:u w:val="none"/>
        </w:rPr>
        <w:t>绩效</w:t>
      </w:r>
      <w:r>
        <w:rPr>
          <w:rFonts w:hint="default" w:ascii="Times New Roman" w:hAnsi="Times New Roman" w:eastAsia="黑体" w:cs="Times New Roman"/>
          <w:color w:val="auto"/>
          <w:sz w:val="32"/>
          <w:szCs w:val="32"/>
          <w:highlight w:val="none"/>
          <w:u w:val="none"/>
          <w:lang w:eastAsia="zh-CN"/>
        </w:rPr>
        <w:t>分析</w:t>
      </w:r>
    </w:p>
    <w:p w14:paraId="44F9C299">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p>
    <w:p w14:paraId="6D3EF589">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zh-CN" w:eastAsia="zh-CN"/>
        </w:rPr>
      </w:pPr>
      <w:r>
        <w:rPr>
          <w:rFonts w:hint="default" w:ascii="Times New Roman" w:hAnsi="Times New Roman" w:eastAsia="仿宋_GB2312" w:cs="Times New Roman"/>
          <w:caps/>
          <w:smallCaps w:val="0"/>
          <w:sz w:val="32"/>
          <w:highlight w:val="none"/>
          <w:lang w:val="en-US" w:eastAsia="zh-CN"/>
        </w:rPr>
        <w:t>1</w:t>
      </w:r>
      <w:r>
        <w:rPr>
          <w:rFonts w:hint="eastAsia" w:ascii="Times New Roman" w:hAnsi="Times New Roman" w:eastAsia="仿宋_GB2312" w:cs="Times New Roman"/>
          <w:caps/>
          <w:smallCaps w:val="0"/>
          <w:sz w:val="32"/>
          <w:highlight w:val="none"/>
          <w:lang w:val="en-US" w:eastAsia="zh-CN"/>
        </w:rPr>
        <w:t>.</w:t>
      </w:r>
      <w:r>
        <w:rPr>
          <w:rFonts w:hint="eastAsia" w:ascii="Times New Roman" w:hAnsi="Times New Roman" w:eastAsia="仿宋_GB2312" w:cs="Times New Roman"/>
          <w:caps/>
          <w:smallCaps w:val="0"/>
          <w:sz w:val="32"/>
          <w:highlight w:val="none"/>
          <w:lang w:val="zh-CN" w:eastAsia="zh-CN"/>
        </w:rPr>
        <w:t>履职效能</w:t>
      </w:r>
    </w:p>
    <w:p w14:paraId="6CC12823">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为充分反映我部门2024年度部门职能履行成效，本次绩效自评根据无要求，结合部门职能职责和2024年度重点工作任务，选取了“</w:t>
      </w:r>
      <w:r>
        <w:rPr>
          <w:rFonts w:hint="default" w:ascii="Times New Roman" w:hAnsi="Times New Roman" w:eastAsia="仿宋_GB2312" w:cs="Times New Roman"/>
          <w:caps/>
          <w:smallCaps w:val="0"/>
          <w:sz w:val="32"/>
          <w:highlight w:val="none"/>
          <w:lang w:val="en-US" w:eastAsia="zh-CN"/>
        </w:rPr>
        <w:t>测定牲畜的数据合格率</w:t>
      </w:r>
      <w:r>
        <w:rPr>
          <w:rFonts w:hint="eastAsia" w:ascii="Times New Roman" w:hAnsi="Times New Roman" w:eastAsia="仿宋_GB2312" w:cs="Times New Roman"/>
          <w:caps/>
          <w:smallCaps w:val="0"/>
          <w:sz w:val="32"/>
          <w:highlight w:val="none"/>
          <w:lang w:val="en-US" w:eastAsia="zh-CN"/>
        </w:rPr>
        <w:t>、发放在职职工工资次数、</w:t>
      </w:r>
      <w:r>
        <w:rPr>
          <w:rFonts w:hint="default" w:ascii="Times New Roman" w:hAnsi="Times New Roman" w:eastAsia="仿宋_GB2312" w:cs="Times New Roman"/>
          <w:caps/>
          <w:smallCaps w:val="0"/>
          <w:sz w:val="32"/>
          <w:highlight w:val="none"/>
          <w:lang w:val="en-US" w:eastAsia="zh-CN"/>
        </w:rPr>
        <w:t>举行学习党员参加率</w:t>
      </w:r>
      <w:r>
        <w:rPr>
          <w:rFonts w:hint="eastAsia" w:ascii="Times New Roman" w:hAnsi="Times New Roman" w:eastAsia="仿宋_GB2312" w:cs="Times New Roman"/>
          <w:caps/>
          <w:smallCaps w:val="0"/>
          <w:sz w:val="32"/>
          <w:highlight w:val="none"/>
          <w:lang w:val="en-US" w:eastAsia="zh-CN"/>
        </w:rPr>
        <w:t>”3个绩效指标作为核心职能目标，各职能目标具体完成情况如下：</w:t>
      </w:r>
    </w:p>
    <w:p w14:paraId="35CCD75D">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（1）</w:t>
      </w:r>
      <w:r>
        <w:rPr>
          <w:rFonts w:hint="default" w:ascii="Times New Roman" w:hAnsi="Times New Roman" w:eastAsia="仿宋_GB2312" w:cs="Times New Roman"/>
          <w:caps/>
          <w:smallCaps w:val="0"/>
          <w:sz w:val="32"/>
          <w:highlight w:val="none"/>
          <w:lang w:val="en-US" w:eastAsia="zh-CN"/>
        </w:rPr>
        <w:t>测定牲畜的数据合格率</w:t>
      </w:r>
    </w:p>
    <w:p w14:paraId="550E64CB">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该绩效指标目标值为</w:t>
      </w:r>
      <w:r>
        <w:rPr>
          <w:rFonts w:hint="default" w:ascii="Times New Roman" w:hAnsi="Times New Roman" w:eastAsia="仿宋_GB2312" w:cs="Times New Roman"/>
          <w:caps/>
          <w:smallCaps w:val="0"/>
          <w:sz w:val="32"/>
          <w:highlight w:val="none"/>
          <w:lang w:val="en-US" w:eastAsia="zh-CN"/>
        </w:rPr>
        <w:t>测定牲畜的数据合格率</w:t>
      </w:r>
      <w:r>
        <w:rPr>
          <w:rFonts w:hint="eastAsia" w:ascii="Times New Roman" w:hAnsi="Times New Roman" w:eastAsia="仿宋_GB2312" w:cs="Times New Roman"/>
          <w:caps/>
          <w:smallCaps w:val="0"/>
          <w:sz w:val="32"/>
          <w:highlight w:val="none"/>
          <w:lang w:val="en-US" w:eastAsia="zh-CN"/>
        </w:rPr>
        <w:t>大于等于90%，实际完成值为90%。</w:t>
      </w:r>
    </w:p>
    <w:p w14:paraId="0A19AF46">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根据评分标准，该项指标不扣分，得5分。</w:t>
      </w:r>
    </w:p>
    <w:p w14:paraId="5B961C56">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（2）发放在职职工工资次数</w:t>
      </w:r>
    </w:p>
    <w:p w14:paraId="11368C6D">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该绩效指标目标值为发放在职职工工资次数12次，实际完成值为12次。</w:t>
      </w:r>
    </w:p>
    <w:p w14:paraId="5E2CCD3A">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根据评分标准，该项指标不扣分，得5分。</w:t>
      </w:r>
    </w:p>
    <w:p w14:paraId="64E4A97E">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举行学习党员参加率</w:t>
      </w:r>
    </w:p>
    <w:p w14:paraId="0A5D5884">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该绩效指标目标值为</w:t>
      </w:r>
      <w:r>
        <w:rPr>
          <w:rFonts w:hint="default" w:ascii="Times New Roman" w:hAnsi="Times New Roman" w:eastAsia="仿宋_GB2312" w:cs="Times New Roman"/>
          <w:caps/>
          <w:smallCaps w:val="0"/>
          <w:sz w:val="32"/>
          <w:highlight w:val="none"/>
          <w:lang w:val="en-US" w:eastAsia="zh-CN"/>
        </w:rPr>
        <w:t>举行学习党员参加率</w:t>
      </w:r>
      <w:r>
        <w:rPr>
          <w:rFonts w:hint="eastAsia" w:ascii="Times New Roman" w:hAnsi="Times New Roman" w:eastAsia="仿宋_GB2312" w:cs="Times New Roman"/>
          <w:caps/>
          <w:smallCaps w:val="0"/>
          <w:sz w:val="32"/>
          <w:highlight w:val="none"/>
          <w:lang w:val="en-US" w:eastAsia="zh-CN"/>
        </w:rPr>
        <w:t>大于等于80%，实际完成值为80%。</w:t>
      </w:r>
    </w:p>
    <w:p w14:paraId="7BC361C1">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根据评分标准，该项指标不扣分，得5分。</w:t>
      </w:r>
    </w:p>
    <w:p w14:paraId="7D0F1C4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综上，根据评分标准，我部门履职效能指标不扣分，得15分。</w:t>
      </w:r>
    </w:p>
    <w:p w14:paraId="1B9A4854">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zh-CN" w:eastAsia="zh-CN"/>
        </w:rPr>
      </w:pPr>
      <w:r>
        <w:rPr>
          <w:rFonts w:hint="default" w:ascii="Times New Roman" w:hAnsi="Times New Roman" w:eastAsia="仿宋_GB2312" w:cs="Times New Roman"/>
          <w:caps/>
          <w:smallCaps w:val="0"/>
          <w:sz w:val="32"/>
          <w:highlight w:val="none"/>
          <w:lang w:val="en-US" w:eastAsia="zh-CN"/>
        </w:rPr>
        <w:t>2</w:t>
      </w:r>
      <w:r>
        <w:rPr>
          <w:rFonts w:hint="eastAsia" w:ascii="Times New Roman" w:hAnsi="Times New Roman" w:eastAsia="仿宋_GB2312" w:cs="Times New Roman"/>
          <w:caps/>
          <w:smallCaps w:val="0"/>
          <w:sz w:val="32"/>
          <w:highlight w:val="none"/>
          <w:lang w:val="en-US" w:eastAsia="zh-CN"/>
        </w:rPr>
        <w:t>.</w:t>
      </w:r>
      <w:r>
        <w:rPr>
          <w:rFonts w:hint="default" w:ascii="Times New Roman" w:hAnsi="Times New Roman" w:eastAsia="仿宋_GB2312" w:cs="Times New Roman"/>
          <w:caps/>
          <w:smallCaps w:val="0"/>
          <w:sz w:val="32"/>
          <w:highlight w:val="none"/>
          <w:lang w:val="zh-CN" w:eastAsia="zh-CN"/>
        </w:rPr>
        <w:t>预算管理</w:t>
      </w:r>
    </w:p>
    <w:p w14:paraId="27A8B246">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zh-CN" w:eastAsia="zh-CN"/>
        </w:rPr>
      </w:pPr>
      <w:r>
        <w:rPr>
          <w:rFonts w:hint="eastAsia" w:ascii="Times New Roman" w:hAnsi="Times New Roman" w:eastAsia="仿宋_GB2312" w:cs="Times New Roman"/>
          <w:caps/>
          <w:smallCaps w:val="0"/>
          <w:sz w:val="32"/>
          <w:highlight w:val="none"/>
          <w:lang w:val="zh-CN" w:eastAsia="zh-CN"/>
        </w:rPr>
        <w:t>（</w:t>
      </w:r>
      <w:r>
        <w:rPr>
          <w:rFonts w:hint="default" w:ascii="Times New Roman" w:hAnsi="Times New Roman" w:eastAsia="仿宋_GB2312" w:cs="Times New Roman"/>
          <w:caps/>
          <w:smallCaps w:val="0"/>
          <w:sz w:val="32"/>
          <w:highlight w:val="none"/>
          <w:lang w:val="en-US" w:eastAsia="zh-CN"/>
        </w:rPr>
        <w:t>1</w:t>
      </w:r>
      <w:r>
        <w:rPr>
          <w:rFonts w:hint="eastAsia" w:ascii="Times New Roman" w:hAnsi="Times New Roman" w:eastAsia="仿宋_GB2312" w:cs="Times New Roman"/>
          <w:caps/>
          <w:smallCaps w:val="0"/>
          <w:sz w:val="32"/>
          <w:highlight w:val="none"/>
          <w:lang w:val="zh-CN" w:eastAsia="zh-CN"/>
        </w:rPr>
        <w:t>）预算编制质量</w:t>
      </w:r>
    </w:p>
    <w:p w14:paraId="1DFDD2B4">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2024年我部门严格按照相关要求编制年初部门预算，根据2024年度预算执行情况，部门预算偏离程度如下：</w:t>
      </w:r>
    </w:p>
    <w:p w14:paraId="4104091C">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default" w:ascii="Times New Roman" w:hAnsi="Times New Roman" w:eastAsia="仿宋_GB2312" w:cs="Times New Roman"/>
          <w:caps/>
          <w:smallCaps w:val="0"/>
          <w:sz w:val="32"/>
          <w:highlight w:val="none"/>
          <w:lang w:val="en-US" w:eastAsia="zh-CN"/>
        </w:rPr>
        <w:t>①</w:t>
      </w:r>
      <w:r>
        <w:rPr>
          <w:rFonts w:hint="eastAsia" w:ascii="Times New Roman" w:hAnsi="Times New Roman" w:eastAsia="仿宋_GB2312" w:cs="Times New Roman"/>
          <w:caps/>
          <w:smallCaps w:val="0"/>
          <w:sz w:val="32"/>
          <w:highlight w:val="none"/>
          <w:lang w:val="en-US" w:eastAsia="zh-CN"/>
        </w:rPr>
        <w:t>财政拨款预算偏离度=|预算执行数-年初预算数|÷年初预算数=|1,570.26-1,833.97|÷1,833.97×100%=14.38%。</w:t>
      </w:r>
    </w:p>
    <w:p w14:paraId="65F83ADB">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default" w:ascii="Times New Roman" w:hAnsi="Times New Roman" w:eastAsia="仿宋_GB2312" w:cs="Times New Roman"/>
          <w:caps/>
          <w:smallCaps w:val="0"/>
          <w:sz w:val="32"/>
          <w:highlight w:val="none"/>
          <w:lang w:val="en-US" w:eastAsia="zh-CN"/>
        </w:rPr>
        <w:t>②</w:t>
      </w:r>
      <w:r>
        <w:rPr>
          <w:rFonts w:hint="eastAsia" w:ascii="Times New Roman" w:hAnsi="Times New Roman" w:eastAsia="仿宋_GB2312" w:cs="Times New Roman"/>
          <w:caps/>
          <w:smallCaps w:val="0"/>
          <w:sz w:val="32"/>
          <w:highlight w:val="none"/>
          <w:lang w:val="en-US" w:eastAsia="zh-CN"/>
        </w:rPr>
        <w:t>资产配置预算偏离度=|预算执行数-年初预算数|÷年初预算数=|4,499.34-5,544.40|÷5,544.40×100%=0.19%。</w:t>
      </w:r>
    </w:p>
    <w:p w14:paraId="0CBE40EC">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default" w:ascii="Times New Roman" w:hAnsi="Times New Roman" w:eastAsia="仿宋_GB2312" w:cs="Times New Roman"/>
          <w:caps/>
          <w:smallCaps w:val="0"/>
          <w:sz w:val="32"/>
          <w:highlight w:val="none"/>
          <w:lang w:val="en-US" w:eastAsia="zh-CN"/>
        </w:rPr>
        <w:t>③</w:t>
      </w:r>
      <w:r>
        <w:rPr>
          <w:rFonts w:hint="eastAsia" w:ascii="Times New Roman" w:hAnsi="Times New Roman" w:eastAsia="仿宋_GB2312" w:cs="Times New Roman"/>
          <w:caps/>
          <w:smallCaps w:val="0"/>
          <w:sz w:val="32"/>
          <w:highlight w:val="none"/>
          <w:lang w:val="en-US" w:eastAsia="zh-CN"/>
        </w:rPr>
        <w:t>政府采购预算偏离度=|预算执行数-年初预算数|÷年初预算数=|44.76-38.56|÷38.56×100%=0.16%。</w:t>
      </w:r>
    </w:p>
    <w:p w14:paraId="4DF0DBAE">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综上，该项指标得分=（1-财政拨款预算偏离度）×100%×4+（1-资产配置预算偏离度）×100%×2+（1-政府采购预算偏离度）×100%×2=6.73。</w:t>
      </w:r>
    </w:p>
    <w:p w14:paraId="62002850">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default" w:ascii="Times New Roman" w:hAnsi="Times New Roman" w:eastAsia="仿宋_GB2312" w:cs="Times New Roman"/>
          <w:caps/>
          <w:smallCaps w:val="0"/>
          <w:sz w:val="32"/>
          <w:highlight w:val="none"/>
          <w:lang w:val="en-US" w:eastAsia="zh-CN"/>
        </w:rPr>
        <w:t>根据评分标准，该项指标扣1.27分，得6.73分。</w:t>
      </w:r>
    </w:p>
    <w:p w14:paraId="716EE25E">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w:t>
      </w:r>
      <w:r>
        <w:rPr>
          <w:rFonts w:hint="default" w:ascii="Times New Roman" w:hAnsi="Times New Roman" w:eastAsia="仿宋_GB2312" w:cs="Times New Roman"/>
          <w:caps/>
          <w:smallCaps w:val="0"/>
          <w:sz w:val="32"/>
          <w:highlight w:val="none"/>
          <w:lang w:val="en-US" w:eastAsia="zh-CN"/>
        </w:rPr>
        <w:t>2</w:t>
      </w:r>
      <w:r>
        <w:rPr>
          <w:rFonts w:hint="eastAsia" w:ascii="Times New Roman" w:hAnsi="Times New Roman" w:eastAsia="仿宋_GB2312" w:cs="Times New Roman"/>
          <w:caps/>
          <w:smallCaps w:val="0"/>
          <w:sz w:val="32"/>
          <w:highlight w:val="none"/>
          <w:lang w:val="en-US" w:eastAsia="zh-CN"/>
        </w:rPr>
        <w:t>）单位收入统筹</w:t>
      </w:r>
    </w:p>
    <w:p w14:paraId="64E353E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我部门属于财政全额拨款单位，无自有收入，故不涉及此项考核。</w:t>
      </w:r>
    </w:p>
    <w:p w14:paraId="6AF06724">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default" w:ascii="Times New Roman" w:hAnsi="Times New Roman" w:eastAsia="仿宋_GB2312" w:cs="Times New Roman"/>
          <w:caps/>
          <w:smallCaps w:val="0"/>
          <w:sz w:val="32"/>
          <w:highlight w:val="none"/>
          <w:lang w:val="en-US" w:eastAsia="zh-CN"/>
        </w:rPr>
        <w:t>根据评分标准，该项指标</w:t>
      </w:r>
      <w:r>
        <w:rPr>
          <w:rFonts w:hint="eastAsia" w:ascii="Times New Roman" w:hAnsi="Times New Roman" w:eastAsia="仿宋_GB2312" w:cs="Times New Roman"/>
          <w:caps/>
          <w:smallCaps w:val="0"/>
          <w:sz w:val="32"/>
          <w:highlight w:val="none"/>
          <w:lang w:val="en-US" w:eastAsia="zh-CN"/>
        </w:rPr>
        <w:t>不扣分，得4分。</w:t>
      </w:r>
    </w:p>
    <w:p w14:paraId="6F8F5B81">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w:t>
      </w:r>
      <w:r>
        <w:rPr>
          <w:rFonts w:hint="default" w:ascii="Times New Roman" w:hAnsi="Times New Roman" w:eastAsia="仿宋_GB2312" w:cs="Times New Roman"/>
          <w:caps/>
          <w:smallCaps w:val="0"/>
          <w:sz w:val="32"/>
          <w:highlight w:val="none"/>
          <w:lang w:val="en-US" w:eastAsia="zh-CN"/>
        </w:rPr>
        <w:t>3</w:t>
      </w:r>
      <w:r>
        <w:rPr>
          <w:rFonts w:hint="eastAsia" w:ascii="Times New Roman" w:hAnsi="Times New Roman" w:eastAsia="仿宋_GB2312" w:cs="Times New Roman"/>
          <w:caps/>
          <w:smallCaps w:val="0"/>
          <w:sz w:val="32"/>
          <w:highlight w:val="none"/>
          <w:lang w:val="en-US" w:eastAsia="zh-CN"/>
        </w:rPr>
        <w:t>）支出执行进度</w:t>
      </w:r>
    </w:p>
    <w:p w14:paraId="67BAF0AA">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2024年我部门全年预算数为1,833.97万元，</w:t>
      </w:r>
      <w:r>
        <w:rPr>
          <w:rFonts w:hint="default" w:ascii="Times New Roman" w:hAnsi="Times New Roman" w:eastAsia="仿宋_GB2312" w:cs="Times New Roman"/>
          <w:caps/>
          <w:smallCaps w:val="0"/>
          <w:sz w:val="32"/>
          <w:highlight w:val="none"/>
          <w:lang w:val="en-US" w:eastAsia="zh-CN"/>
        </w:rPr>
        <w:t>1</w:t>
      </w:r>
      <w:r>
        <w:rPr>
          <w:rFonts w:hint="eastAsia" w:ascii="Times New Roman" w:hAnsi="Times New Roman" w:eastAsia="仿宋_GB2312" w:cs="Times New Roman"/>
          <w:caps/>
          <w:smallCaps w:val="0"/>
          <w:sz w:val="32"/>
          <w:highlight w:val="none"/>
          <w:lang w:val="en-US" w:eastAsia="zh-CN"/>
        </w:rPr>
        <w:t>至</w:t>
      </w:r>
      <w:r>
        <w:rPr>
          <w:rFonts w:hint="default" w:ascii="Times New Roman" w:hAnsi="Times New Roman" w:eastAsia="仿宋_GB2312" w:cs="Times New Roman"/>
          <w:caps/>
          <w:smallCaps w:val="0"/>
          <w:sz w:val="32"/>
          <w:highlight w:val="none"/>
          <w:lang w:val="en-US" w:eastAsia="zh-CN"/>
        </w:rPr>
        <w:t>6</w:t>
      </w:r>
      <w:r>
        <w:rPr>
          <w:rFonts w:hint="eastAsia" w:ascii="Times New Roman" w:hAnsi="Times New Roman" w:eastAsia="仿宋_GB2312" w:cs="Times New Roman"/>
          <w:caps/>
          <w:smallCaps w:val="0"/>
          <w:sz w:val="32"/>
          <w:highlight w:val="none"/>
          <w:lang w:val="en-US" w:eastAsia="zh-CN"/>
        </w:rPr>
        <w:t>月预算执行数为865.61万元，支出预警金额为0.31万元，支出预警金额占比为0.00%，支出违规金额为0万元，支出违规金额占比为0%。</w:t>
      </w:r>
    </w:p>
    <w:p w14:paraId="3285395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default" w:ascii="Times New Roman" w:hAnsi="Times New Roman" w:eastAsia="仿宋_GB2312" w:cs="Times New Roman"/>
          <w:caps/>
          <w:smallCaps w:val="0"/>
          <w:sz w:val="32"/>
          <w:highlight w:val="none"/>
          <w:lang w:val="en-US" w:eastAsia="zh-CN"/>
        </w:rPr>
        <w:t>1</w:t>
      </w:r>
      <w:r>
        <w:rPr>
          <w:rFonts w:hint="eastAsia" w:ascii="Times New Roman" w:hAnsi="Times New Roman" w:eastAsia="仿宋_GB2312" w:cs="Times New Roman"/>
          <w:caps/>
          <w:smallCaps w:val="0"/>
          <w:sz w:val="32"/>
          <w:highlight w:val="none"/>
          <w:lang w:val="en-US" w:eastAsia="zh-CN"/>
        </w:rPr>
        <w:t>至</w:t>
      </w:r>
      <w:r>
        <w:rPr>
          <w:rFonts w:hint="default" w:ascii="Times New Roman" w:hAnsi="Times New Roman" w:eastAsia="仿宋_GB2312" w:cs="Times New Roman"/>
          <w:caps/>
          <w:smallCaps w:val="0"/>
          <w:sz w:val="32"/>
          <w:highlight w:val="none"/>
          <w:lang w:val="en-US" w:eastAsia="zh-CN"/>
        </w:rPr>
        <w:t>10</w:t>
      </w:r>
      <w:r>
        <w:rPr>
          <w:rFonts w:hint="eastAsia" w:ascii="Times New Roman" w:hAnsi="Times New Roman" w:eastAsia="仿宋_GB2312" w:cs="Times New Roman"/>
          <w:caps/>
          <w:smallCaps w:val="0"/>
          <w:sz w:val="32"/>
          <w:highlight w:val="none"/>
          <w:lang w:val="en-US" w:eastAsia="zh-CN"/>
        </w:rPr>
        <w:t>月预算执行数为1,248.49万元，支出预警金额为7.35万元，支出预警金额占比为0.01%，支出违规金额为0万元，支出违规金额占比为0%。</w:t>
      </w:r>
    </w:p>
    <w:p w14:paraId="6B0580CC">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该项得分为该项指标得分=（1至6月预算执行数÷（部门预算数×50%）×4）+（1-1至6月支出预警金额占比×0.8-1至6月支出违规金额占比×0.2）+（1至10月预算执行数÷（部门预算数×83.33%）×2）+（1-1至10月支出预警金额占比×0.8-1至10月支出违规金额占比×0.2）=(865.61÷1,833.97×50%×4)+(1 - 0.00×0.8 - 0×0.2) + (1,248.49÷1,833.97×83.33%×2) + (1 - 0.01×0.8 - 0×0.2)=5.02。</w:t>
      </w:r>
    </w:p>
    <w:p w14:paraId="053F98D8">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default" w:ascii="Times New Roman" w:hAnsi="Times New Roman" w:eastAsia="仿宋_GB2312" w:cs="Times New Roman"/>
          <w:caps/>
          <w:smallCaps w:val="0"/>
          <w:sz w:val="32"/>
          <w:highlight w:val="none"/>
          <w:lang w:val="en-US" w:eastAsia="zh-CN"/>
        </w:rPr>
        <w:t>根据评分标准，该项指标</w:t>
      </w:r>
      <w:r>
        <w:rPr>
          <w:rFonts w:hint="eastAsia" w:ascii="Times New Roman" w:hAnsi="Times New Roman" w:eastAsia="仿宋_GB2312" w:cs="Times New Roman"/>
          <w:caps/>
          <w:smallCaps w:val="0"/>
          <w:sz w:val="32"/>
          <w:highlight w:val="none"/>
          <w:lang w:val="en-US" w:eastAsia="zh-CN"/>
        </w:rPr>
        <w:t>扣0.98分，得5.02分。</w:t>
      </w:r>
    </w:p>
    <w:p w14:paraId="46830352">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w:t>
      </w:r>
      <w:r>
        <w:rPr>
          <w:rFonts w:hint="default" w:ascii="Times New Roman" w:hAnsi="Times New Roman" w:eastAsia="仿宋_GB2312" w:cs="Times New Roman"/>
          <w:caps/>
          <w:smallCaps w:val="0"/>
          <w:sz w:val="32"/>
          <w:highlight w:val="none"/>
          <w:lang w:val="en-US" w:eastAsia="zh-CN"/>
        </w:rPr>
        <w:t>4</w:t>
      </w:r>
      <w:r>
        <w:rPr>
          <w:rFonts w:hint="eastAsia" w:ascii="Times New Roman" w:hAnsi="Times New Roman" w:eastAsia="仿宋_GB2312" w:cs="Times New Roman"/>
          <w:caps/>
          <w:smallCaps w:val="0"/>
          <w:sz w:val="32"/>
          <w:highlight w:val="none"/>
          <w:lang w:val="en-US" w:eastAsia="zh-CN"/>
        </w:rPr>
        <w:t>）预算年终结余</w:t>
      </w:r>
    </w:p>
    <w:p w14:paraId="093CE153">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2024年我部门全年预算数为1,833.97万元，预算执行数为1,570.26万元，注销金额为0万元。结转结余金额为0万元</w:t>
      </w:r>
    </w:p>
    <w:p w14:paraId="2DADEC49">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default" w:ascii="Times New Roman" w:hAnsi="Times New Roman" w:eastAsia="仿宋_GB2312" w:cs="Times New Roman"/>
          <w:caps/>
          <w:smallCaps w:val="0"/>
          <w:sz w:val="32"/>
          <w:highlight w:val="none"/>
          <w:lang w:val="en-US" w:eastAsia="zh-CN"/>
        </w:rPr>
        <w:t>该项指标得分=（1-部门整体预算结余率）×100%×2</w:t>
      </w:r>
      <w:r>
        <w:rPr>
          <w:rFonts w:hint="eastAsia" w:ascii="Times New Roman" w:hAnsi="Times New Roman" w:eastAsia="仿宋_GB2312" w:cs="Times New Roman"/>
          <w:caps/>
          <w:smallCaps w:val="0"/>
          <w:sz w:val="32"/>
          <w:highlight w:val="none"/>
          <w:lang w:val="en-US" w:eastAsia="zh-CN"/>
        </w:rPr>
        <w:t>=</w:t>
      </w:r>
      <w:r>
        <w:rPr>
          <w:rFonts w:hint="default" w:ascii="Times New Roman" w:hAnsi="Times New Roman" w:eastAsia="仿宋_GB2312" w:cs="Times New Roman"/>
          <w:caps/>
          <w:smallCaps w:val="0"/>
          <w:sz w:val="32"/>
          <w:highlight w:val="none"/>
          <w:lang w:val="en-US" w:eastAsia="zh-CN"/>
        </w:rPr>
        <w:t>(1 - 0.00</w:t>
      </w:r>
      <w:r>
        <w:rPr>
          <w:rFonts w:hint="eastAsia" w:ascii="Times New Roman" w:hAnsi="Times New Roman" w:eastAsia="仿宋_GB2312" w:cs="Times New Roman"/>
          <w:caps/>
          <w:smallCaps w:val="0"/>
          <w:sz w:val="32"/>
          <w:highlight w:val="none"/>
          <w:lang w:val="en-US" w:eastAsia="zh-CN"/>
        </w:rPr>
        <w:t>)</w:t>
      </w:r>
      <w:r>
        <w:rPr>
          <w:rFonts w:hint="default" w:ascii="Times New Roman" w:hAnsi="Times New Roman" w:eastAsia="仿宋_GB2312" w:cs="Times New Roman"/>
          <w:caps/>
          <w:smallCaps w:val="0"/>
          <w:sz w:val="32"/>
          <w:highlight w:val="none"/>
          <w:lang w:val="en-US" w:eastAsia="zh-CN"/>
        </w:rPr>
        <w:t xml:space="preserve"> </w:t>
      </w:r>
      <w:r>
        <w:rPr>
          <w:rFonts w:hint="eastAsia" w:ascii="Times New Roman" w:hAnsi="Times New Roman" w:eastAsia="仿宋_GB2312" w:cs="Times New Roman"/>
          <w:caps/>
          <w:smallCaps w:val="0"/>
          <w:sz w:val="32"/>
          <w:highlight w:val="none"/>
          <w:lang w:val="en-US" w:eastAsia="zh-CN"/>
        </w:rPr>
        <w:t>*100%*</w:t>
      </w:r>
      <w:r>
        <w:rPr>
          <w:rFonts w:hint="default" w:ascii="Times New Roman" w:hAnsi="Times New Roman" w:eastAsia="仿宋_GB2312" w:cs="Times New Roman"/>
          <w:caps/>
          <w:smallCaps w:val="0"/>
          <w:sz w:val="32"/>
          <w:highlight w:val="none"/>
          <w:lang w:val="en-US" w:eastAsia="zh-CN"/>
        </w:rPr>
        <w:t xml:space="preserve"> </w:t>
      </w:r>
      <w:r>
        <w:rPr>
          <w:rFonts w:hint="eastAsia" w:ascii="Times New Roman" w:hAnsi="Times New Roman" w:eastAsia="仿宋_GB2312" w:cs="Times New Roman"/>
          <w:caps/>
          <w:smallCaps w:val="0"/>
          <w:sz w:val="32"/>
          <w:highlight w:val="none"/>
          <w:lang w:val="en-US" w:eastAsia="zh-CN"/>
        </w:rPr>
        <w:t>2</w:t>
      </w:r>
      <w:r>
        <w:rPr>
          <w:rFonts w:hint="default" w:ascii="Times New Roman" w:hAnsi="Times New Roman" w:eastAsia="仿宋_GB2312" w:cs="Times New Roman"/>
          <w:caps/>
          <w:smallCaps w:val="0"/>
          <w:sz w:val="32"/>
          <w:highlight w:val="none"/>
          <w:lang w:val="en-US" w:eastAsia="zh-CN"/>
        </w:rPr>
        <w:t>=</w:t>
      </w:r>
      <w:r>
        <w:rPr>
          <w:rFonts w:hint="eastAsia" w:ascii="Times New Roman" w:hAnsi="Times New Roman" w:eastAsia="仿宋_GB2312" w:cs="Times New Roman"/>
          <w:caps/>
          <w:smallCaps w:val="0"/>
          <w:sz w:val="32"/>
          <w:highlight w:val="none"/>
          <w:lang w:val="en-US" w:eastAsia="zh-CN"/>
        </w:rPr>
        <w:t>2</w:t>
      </w:r>
    </w:p>
    <w:p w14:paraId="57699628">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default" w:ascii="Times New Roman" w:hAnsi="Times New Roman" w:eastAsia="仿宋_GB2312" w:cs="Times New Roman"/>
          <w:caps/>
          <w:smallCaps w:val="0"/>
          <w:sz w:val="32"/>
          <w:highlight w:val="none"/>
          <w:lang w:val="en-US" w:eastAsia="zh-CN"/>
        </w:rPr>
        <w:t>根据评分标准，该项指标</w:t>
      </w:r>
      <w:r>
        <w:rPr>
          <w:rFonts w:hint="eastAsia" w:ascii="Times New Roman" w:hAnsi="Times New Roman" w:eastAsia="仿宋_GB2312" w:cs="Times New Roman"/>
          <w:caps/>
          <w:smallCaps w:val="0"/>
          <w:sz w:val="32"/>
          <w:highlight w:val="none"/>
          <w:lang w:val="en-US" w:eastAsia="zh-CN"/>
        </w:rPr>
        <w:t>不扣分，得2分。</w:t>
      </w:r>
    </w:p>
    <w:p w14:paraId="3637A9B8">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w:t>
      </w:r>
      <w:r>
        <w:rPr>
          <w:rFonts w:hint="default" w:ascii="Times New Roman" w:hAnsi="Times New Roman" w:eastAsia="仿宋_GB2312" w:cs="Times New Roman"/>
          <w:caps/>
          <w:smallCaps w:val="0"/>
          <w:sz w:val="32"/>
          <w:highlight w:val="none"/>
          <w:lang w:val="en-US" w:eastAsia="zh-CN"/>
        </w:rPr>
        <w:t>5</w:t>
      </w:r>
      <w:r>
        <w:rPr>
          <w:rFonts w:hint="eastAsia" w:ascii="Times New Roman" w:hAnsi="Times New Roman" w:eastAsia="仿宋_GB2312" w:cs="Times New Roman"/>
          <w:caps/>
          <w:smallCaps w:val="0"/>
          <w:sz w:val="32"/>
          <w:highlight w:val="none"/>
          <w:lang w:val="en-US" w:eastAsia="zh-CN"/>
        </w:rPr>
        <w:t>）严控一般性支出</w:t>
      </w:r>
    </w:p>
    <w:p w14:paraId="11C613B1">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我部门2024年度“三公”经费、会议、培训、差旅、办节办展、办公设备购置、信息网络及软件购置更新、课题经费等</w:t>
      </w:r>
      <w:r>
        <w:rPr>
          <w:rFonts w:hint="default" w:ascii="Times New Roman" w:hAnsi="Times New Roman" w:eastAsia="仿宋_GB2312" w:cs="Times New Roman"/>
          <w:caps/>
          <w:smallCaps w:val="0"/>
          <w:sz w:val="32"/>
          <w:highlight w:val="none"/>
          <w:lang w:val="en-US" w:eastAsia="zh-CN"/>
        </w:rPr>
        <w:t>8</w:t>
      </w:r>
      <w:r>
        <w:rPr>
          <w:rFonts w:hint="eastAsia" w:ascii="Times New Roman" w:hAnsi="Times New Roman" w:eastAsia="仿宋_GB2312" w:cs="Times New Roman"/>
          <w:caps/>
          <w:smallCaps w:val="0"/>
          <w:sz w:val="32"/>
          <w:highlight w:val="none"/>
          <w:lang w:val="en-US" w:eastAsia="zh-CN"/>
        </w:rPr>
        <w:t>项一般性支出情况详见下表</w:t>
      </w:r>
      <w:r>
        <w:rPr>
          <w:rFonts w:hint="default" w:ascii="Times New Roman" w:hAnsi="Times New Roman" w:eastAsia="仿宋_GB2312" w:cs="Times New Roman"/>
          <w:caps/>
          <w:smallCaps w:val="0"/>
          <w:sz w:val="32"/>
          <w:highlight w:val="none"/>
          <w:lang w:val="en-US" w:eastAsia="zh-CN"/>
        </w:rPr>
        <w:t>3</w:t>
      </w:r>
      <w:r>
        <w:rPr>
          <w:rFonts w:hint="eastAsia" w:ascii="Times New Roman" w:hAnsi="Times New Roman" w:eastAsia="仿宋_GB2312" w:cs="Times New Roman"/>
          <w:caps/>
          <w:smallCaps w:val="0"/>
          <w:sz w:val="32"/>
          <w:highlight w:val="none"/>
          <w:lang w:val="en-US" w:eastAsia="zh-CN"/>
        </w:rPr>
        <w:t>-</w:t>
      </w:r>
      <w:r>
        <w:rPr>
          <w:rFonts w:hint="default" w:ascii="Times New Roman" w:hAnsi="Times New Roman" w:eastAsia="仿宋_GB2312" w:cs="Times New Roman"/>
          <w:caps/>
          <w:smallCaps w:val="0"/>
          <w:sz w:val="32"/>
          <w:highlight w:val="none"/>
          <w:lang w:val="en-US" w:eastAsia="zh-CN"/>
        </w:rPr>
        <w:t>1</w:t>
      </w:r>
      <w:r>
        <w:rPr>
          <w:rFonts w:hint="eastAsia" w:ascii="Times New Roman" w:hAnsi="Times New Roman" w:eastAsia="仿宋_GB2312" w:cs="Times New Roman"/>
          <w:caps/>
          <w:smallCaps w:val="0"/>
          <w:sz w:val="32"/>
          <w:highlight w:val="none"/>
          <w:lang w:val="en-US" w:eastAsia="zh-CN"/>
        </w:rPr>
        <w:t>。</w:t>
      </w:r>
    </w:p>
    <w:p w14:paraId="4306C08C">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Times New Roman" w:hAnsi="Times New Roman"/>
          <w:b/>
          <w:bCs/>
          <w:highlight w:val="none"/>
          <w:lang w:val="en-US" w:eastAsia="zh-CN"/>
        </w:rPr>
      </w:pPr>
      <w:r>
        <w:rPr>
          <w:rFonts w:hint="eastAsia" w:ascii="Times New Roman" w:hAnsi="Times New Roman"/>
          <w:b/>
          <w:bCs/>
          <w:highlight w:val="none"/>
          <w:lang w:val="en-US" w:eastAsia="zh-CN"/>
        </w:rPr>
        <w:t>表</w:t>
      </w:r>
      <w:r>
        <w:rPr>
          <w:rFonts w:hint="default" w:ascii="Times New Roman" w:hAnsi="Times New Roman" w:cs="Times New Roman"/>
          <w:b/>
          <w:bCs/>
          <w:highlight w:val="none"/>
          <w:lang w:val="en-US" w:eastAsia="zh-CN"/>
        </w:rPr>
        <w:t>3</w:t>
      </w:r>
      <w:r>
        <w:rPr>
          <w:rFonts w:hint="eastAsia" w:ascii="Times New Roman" w:hAnsi="Times New Roman"/>
          <w:b/>
          <w:bCs/>
          <w:highlight w:val="none"/>
          <w:lang w:val="en-US" w:eastAsia="zh-CN"/>
        </w:rPr>
        <w:t>-</w:t>
      </w:r>
      <w:r>
        <w:rPr>
          <w:rFonts w:hint="default" w:ascii="Times New Roman" w:hAnsi="Times New Roman" w:cs="Times New Roman"/>
          <w:b/>
          <w:bCs/>
          <w:highlight w:val="none"/>
          <w:lang w:val="en-US" w:eastAsia="zh-CN"/>
        </w:rPr>
        <w:t>1</w:t>
      </w:r>
      <w:r>
        <w:rPr>
          <w:rFonts w:hint="eastAsia" w:ascii="Times New Roman" w:hAnsi="Times New Roman"/>
          <w:b/>
          <w:bCs/>
          <w:highlight w:val="none"/>
          <w:lang w:val="en-US" w:eastAsia="zh-CN"/>
        </w:rPr>
        <w:t xml:space="preserve"> </w:t>
      </w:r>
      <w:r>
        <w:rPr>
          <w:rFonts w:hint="eastAsia" w:ascii="Times New Roman" w:hAnsi="Times New Roman" w:cs="Times New Roman"/>
          <w:b/>
          <w:bCs/>
          <w:highlight w:val="none"/>
          <w:lang w:val="en-US" w:eastAsia="zh-CN"/>
        </w:rPr>
        <w:t>2024年</w:t>
      </w:r>
      <w:r>
        <w:rPr>
          <w:rFonts w:hint="eastAsia" w:ascii="Times New Roman" w:hAnsi="Times New Roman"/>
          <w:b/>
          <w:bCs/>
          <w:highlight w:val="none"/>
          <w:lang w:val="en-US" w:eastAsia="zh-CN"/>
        </w:rPr>
        <w:t>度一般性支出情况表</w:t>
      </w:r>
    </w:p>
    <w:p w14:paraId="68A4E482">
      <w:pPr>
        <w:pageBreakBefore w:val="0"/>
        <w:widowControl w:val="0"/>
        <w:kinsoku/>
        <w:wordWrap/>
        <w:overflowPunct/>
        <w:topLinePunct w:val="0"/>
        <w:autoSpaceDE/>
        <w:autoSpaceDN/>
        <w:bidi w:val="0"/>
        <w:adjustRightInd/>
        <w:snapToGrid/>
        <w:spacing w:line="600" w:lineRule="exact"/>
        <w:jc w:val="right"/>
        <w:textAlignment w:val="auto"/>
        <w:rPr>
          <w:rFonts w:hint="default" w:ascii="Times New Roman" w:hAnsi="Times New Roman"/>
          <w:highlight w:val="none"/>
          <w:lang w:val="en-US" w:eastAsia="zh-CN"/>
        </w:rPr>
      </w:pPr>
      <w:r>
        <w:rPr>
          <w:rFonts w:hint="eastAsia" w:ascii="Times New Roman" w:hAnsi="Times New Roman"/>
          <w:highlight w:val="none"/>
          <w:lang w:val="en-US" w:eastAsia="zh-CN"/>
        </w:rPr>
        <w:t>单位：万元</w:t>
      </w:r>
    </w:p>
    <w:tbl>
      <w:tblPr>
        <w:tblStyle w:val="17"/>
        <w:tblW w:w="490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4"/>
        <w:gridCol w:w="1445"/>
        <w:gridCol w:w="1745"/>
        <w:gridCol w:w="1641"/>
        <w:gridCol w:w="1442"/>
        <w:gridCol w:w="1455"/>
      </w:tblGrid>
      <w:tr w14:paraId="1B6D2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0A548F1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序号</w:t>
            </w:r>
          </w:p>
        </w:tc>
        <w:tc>
          <w:tcPr>
            <w:tcW w:w="864"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127A3AF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项目名称</w:t>
            </w:r>
          </w:p>
        </w:tc>
        <w:tc>
          <w:tcPr>
            <w:tcW w:w="1043"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0FB8CCC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eastAsia" w:ascii="Times New Roman" w:hAnsi="Times New Roman" w:cs="Times New Roman"/>
                <w:i w:val="0"/>
                <w:iCs w:val="0"/>
                <w:color w:val="000000"/>
                <w:kern w:val="0"/>
                <w:sz w:val="24"/>
                <w:szCs w:val="24"/>
                <w:highlight w:val="none"/>
                <w:u w:val="none"/>
                <w:lang w:val="en-US" w:eastAsia="zh-CN" w:bidi="ar"/>
              </w:rPr>
              <w:t>2023</w:t>
            </w:r>
            <w:r>
              <w:rPr>
                <w:rFonts w:hint="default" w:ascii="Times New Roman" w:hAnsi="Times New Roman" w:eastAsia="仿宋_GB2312" w:cs="Times New Roman"/>
                <w:i w:val="0"/>
                <w:iCs w:val="0"/>
                <w:color w:val="000000"/>
                <w:kern w:val="0"/>
                <w:sz w:val="24"/>
                <w:szCs w:val="24"/>
                <w:highlight w:val="none"/>
                <w:u w:val="none"/>
                <w:lang w:val="en-US" w:eastAsia="zh-CN" w:bidi="ar"/>
              </w:rPr>
              <w:t>年年初预算数</w:t>
            </w:r>
          </w:p>
        </w:tc>
        <w:tc>
          <w:tcPr>
            <w:tcW w:w="981"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4DB3784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eastAsia" w:ascii="Times New Roman" w:hAnsi="Times New Roman" w:cs="Times New Roman"/>
                <w:i w:val="0"/>
                <w:iCs w:val="0"/>
                <w:color w:val="000000"/>
                <w:kern w:val="0"/>
                <w:sz w:val="24"/>
                <w:szCs w:val="24"/>
                <w:highlight w:val="none"/>
                <w:u w:val="none"/>
                <w:lang w:val="en-US" w:eastAsia="zh-CN" w:bidi="ar"/>
              </w:rPr>
              <w:t>2024年</w:t>
            </w:r>
            <w:r>
              <w:rPr>
                <w:rFonts w:hint="default" w:ascii="Times New Roman" w:hAnsi="Times New Roman" w:eastAsia="仿宋_GB2312" w:cs="Times New Roman"/>
                <w:i w:val="0"/>
                <w:iCs w:val="0"/>
                <w:color w:val="000000"/>
                <w:kern w:val="0"/>
                <w:sz w:val="24"/>
                <w:szCs w:val="24"/>
                <w:highlight w:val="none"/>
                <w:u w:val="none"/>
                <w:lang w:val="en-US" w:eastAsia="zh-CN" w:bidi="ar"/>
              </w:rPr>
              <w:t>年初预算数</w:t>
            </w:r>
          </w:p>
        </w:tc>
        <w:tc>
          <w:tcPr>
            <w:tcW w:w="862"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521E54A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eastAsia" w:ascii="Times New Roman" w:hAnsi="Times New Roman" w:cs="Times New Roman"/>
                <w:i w:val="0"/>
                <w:iCs w:val="0"/>
                <w:color w:val="000000"/>
                <w:kern w:val="0"/>
                <w:sz w:val="24"/>
                <w:szCs w:val="24"/>
                <w:highlight w:val="none"/>
                <w:u w:val="none"/>
                <w:lang w:val="en-US" w:eastAsia="zh-CN" w:bidi="ar"/>
              </w:rPr>
              <w:t>2023</w:t>
            </w:r>
            <w:r>
              <w:rPr>
                <w:rFonts w:hint="default" w:ascii="Times New Roman" w:hAnsi="Times New Roman" w:eastAsia="仿宋_GB2312" w:cs="Times New Roman"/>
                <w:i w:val="0"/>
                <w:iCs w:val="0"/>
                <w:color w:val="000000"/>
                <w:kern w:val="0"/>
                <w:sz w:val="24"/>
                <w:szCs w:val="24"/>
                <w:highlight w:val="none"/>
                <w:u w:val="none"/>
                <w:lang w:val="en-US" w:eastAsia="zh-CN" w:bidi="ar"/>
              </w:rPr>
              <w:t>年预算执行数</w:t>
            </w:r>
          </w:p>
        </w:tc>
        <w:tc>
          <w:tcPr>
            <w:tcW w:w="869"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656FA2A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eastAsia" w:ascii="Times New Roman" w:hAnsi="Times New Roman" w:cs="Times New Roman"/>
                <w:i w:val="0"/>
                <w:iCs w:val="0"/>
                <w:color w:val="000000"/>
                <w:kern w:val="0"/>
                <w:sz w:val="24"/>
                <w:szCs w:val="24"/>
                <w:highlight w:val="none"/>
                <w:u w:val="none"/>
                <w:lang w:val="en-US" w:eastAsia="zh-CN" w:bidi="ar"/>
              </w:rPr>
              <w:t>2024年</w:t>
            </w:r>
            <w:r>
              <w:rPr>
                <w:rFonts w:hint="default" w:ascii="Times New Roman" w:hAnsi="Times New Roman" w:eastAsia="仿宋_GB2312" w:cs="Times New Roman"/>
                <w:i w:val="0"/>
                <w:iCs w:val="0"/>
                <w:color w:val="000000"/>
                <w:kern w:val="0"/>
                <w:sz w:val="24"/>
                <w:szCs w:val="24"/>
                <w:highlight w:val="none"/>
                <w:u w:val="none"/>
                <w:lang w:val="en-US" w:eastAsia="zh-CN" w:bidi="ar"/>
              </w:rPr>
              <w:t>预算执行数</w:t>
            </w:r>
          </w:p>
        </w:tc>
      </w:tr>
      <w:tr w14:paraId="6F42A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D0CF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1</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0738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eastAsia" w:ascii="Times New Roman" w:hAnsi="Times New Roman" w:cs="Times New Roman"/>
                <w:i w:val="0"/>
                <w:iCs w:val="0"/>
                <w:color w:val="000000"/>
                <w:kern w:val="0"/>
                <w:sz w:val="24"/>
                <w:szCs w:val="24"/>
                <w:highlight w:val="none"/>
                <w:u w:val="none"/>
                <w:lang w:val="en-US" w:eastAsia="zh-CN" w:bidi="ar"/>
              </w:rPr>
              <w:t>“</w:t>
            </w:r>
            <w:r>
              <w:rPr>
                <w:rFonts w:hint="default" w:ascii="Times New Roman" w:hAnsi="Times New Roman" w:eastAsia="仿宋_GB2312" w:cs="Times New Roman"/>
                <w:i w:val="0"/>
                <w:iCs w:val="0"/>
                <w:color w:val="000000"/>
                <w:kern w:val="0"/>
                <w:sz w:val="24"/>
                <w:szCs w:val="24"/>
                <w:highlight w:val="none"/>
                <w:u w:val="none"/>
                <w:lang w:val="en-US" w:eastAsia="zh-CN" w:bidi="ar"/>
              </w:rPr>
              <w:t>三公</w:t>
            </w:r>
            <w:r>
              <w:rPr>
                <w:rFonts w:hint="eastAsia" w:ascii="Times New Roman" w:hAnsi="Times New Roman" w:cs="Times New Roman"/>
                <w:i w:val="0"/>
                <w:iCs w:val="0"/>
                <w:color w:val="000000"/>
                <w:kern w:val="0"/>
                <w:sz w:val="24"/>
                <w:szCs w:val="24"/>
                <w:highlight w:val="none"/>
                <w:u w:val="none"/>
                <w:lang w:val="en-US" w:eastAsia="zh-CN" w:bidi="ar"/>
              </w:rPr>
              <w:t>”</w:t>
            </w:r>
            <w:r>
              <w:rPr>
                <w:rFonts w:hint="default" w:ascii="Times New Roman" w:hAnsi="Times New Roman" w:eastAsia="仿宋_GB2312" w:cs="Times New Roman"/>
                <w:i w:val="0"/>
                <w:iCs w:val="0"/>
                <w:color w:val="000000"/>
                <w:kern w:val="0"/>
                <w:sz w:val="24"/>
                <w:szCs w:val="24"/>
                <w:highlight w:val="none"/>
                <w:u w:val="none"/>
                <w:lang w:val="en-US" w:eastAsia="zh-CN" w:bidi="ar"/>
              </w:rPr>
              <w:t>经费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E91A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cs="Times New Roman"/>
                <w:i w:val="0"/>
                <w:iCs w:val="0"/>
                <w:color w:val="000000"/>
                <w:kern w:val="0"/>
                <w:sz w:val="24"/>
                <w:szCs w:val="24"/>
                <w:highlight w:val="none"/>
                <w:u w:val="none"/>
                <w:lang w:val="en-US" w:eastAsia="zh-CN" w:bidi="ar"/>
              </w:rPr>
            </w:pPr>
            <w:r>
              <w:rPr>
                <w:rFonts w:hint="eastAsia" w:ascii="Times New Roman" w:hAnsi="Times New Roman" w:cs="Times New Roman"/>
                <w:i w:val="0"/>
                <w:iCs w:val="0"/>
                <w:color w:val="000000"/>
                <w:kern w:val="0"/>
                <w:sz w:val="24"/>
                <w:szCs w:val="24"/>
                <w:highlight w:val="none"/>
                <w:u w:val="none"/>
                <w:lang w:val="en-US" w:eastAsia="zh-CN" w:bidi="ar"/>
              </w:rPr>
              <w:t>24.17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0A9A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cs="Times New Roman"/>
                <w:i w:val="0"/>
                <w:iCs w:val="0"/>
                <w:color w:val="000000"/>
                <w:kern w:val="0"/>
                <w:sz w:val="24"/>
                <w:szCs w:val="24"/>
                <w:highlight w:val="none"/>
                <w:u w:val="none"/>
                <w:lang w:val="en-US" w:eastAsia="zh-CN" w:bidi="ar"/>
              </w:rPr>
            </w:pPr>
            <w:r>
              <w:rPr>
                <w:rFonts w:hint="eastAsia" w:ascii="Times New Roman" w:hAnsi="Times New Roman" w:cs="Times New Roman"/>
                <w:i w:val="0"/>
                <w:iCs w:val="0"/>
                <w:color w:val="000000"/>
                <w:kern w:val="0"/>
                <w:sz w:val="24"/>
                <w:szCs w:val="24"/>
                <w:highlight w:val="none"/>
                <w:u w:val="none"/>
                <w:lang w:val="en-US" w:eastAsia="zh-CN" w:bidi="ar"/>
              </w:rPr>
              <w:t>24.08</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64EF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18.56</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5688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16.44</w:t>
            </w:r>
          </w:p>
        </w:tc>
      </w:tr>
      <w:tr w14:paraId="30255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45B0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2</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7E04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会议费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BC8F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EE52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E055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0.24</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7062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0</w:t>
            </w:r>
          </w:p>
        </w:tc>
      </w:tr>
      <w:tr w14:paraId="5ED83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CE0E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3</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62C7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培训费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A062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9.92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123D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13.40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1A69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2.87</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779B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0.86</w:t>
            </w:r>
          </w:p>
        </w:tc>
      </w:tr>
      <w:tr w14:paraId="064D6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176D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4</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1EB2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差旅费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FEF2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47.91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00B6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44.07</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8971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30.29</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B09B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34.92</w:t>
            </w:r>
          </w:p>
        </w:tc>
      </w:tr>
      <w:tr w14:paraId="46CBE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5171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5</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C5C2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办节办展</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3EDE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6942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45E8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0</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8E7F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0</w:t>
            </w:r>
          </w:p>
        </w:tc>
      </w:tr>
      <w:tr w14:paraId="062A3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4282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6</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521A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办公设备购置</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A930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ascii="Times New Roman" w:hAnsi="Times New Roman" w:cs="Times New Roman"/>
                <w:i w:val="0"/>
                <w:iCs w:val="0"/>
                <w:color w:val="000000"/>
                <w:kern w:val="0"/>
                <w:sz w:val="24"/>
                <w:szCs w:val="24"/>
                <w:highlight w:val="none"/>
                <w:u w:val="none"/>
                <w:lang w:val="en-US" w:eastAsia="zh-CN" w:bidi="ar"/>
              </w:rPr>
              <w:t>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80BC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ascii="Times New Roman" w:hAnsi="Times New Roman" w:cs="Times New Roman"/>
                <w:i w:val="0"/>
                <w:iCs w:val="0"/>
                <w:color w:val="000000"/>
                <w:kern w:val="0"/>
                <w:sz w:val="24"/>
                <w:szCs w:val="24"/>
                <w:highlight w:val="none"/>
                <w:u w:val="none"/>
                <w:lang w:val="en-US" w:eastAsia="zh-CN" w:bidi="ar"/>
              </w:rPr>
              <w:t>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6DC7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ascii="Times New Roman" w:hAnsi="Times New Roman" w:cs="Times New Roman"/>
                <w:i w:val="0"/>
                <w:iCs w:val="0"/>
                <w:color w:val="000000"/>
                <w:kern w:val="0"/>
                <w:sz w:val="24"/>
                <w:szCs w:val="24"/>
                <w:highlight w:val="none"/>
                <w:u w:val="none"/>
                <w:lang w:val="en-US" w:eastAsia="zh-CN" w:bidi="ar"/>
              </w:rPr>
              <w:t>0</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1431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ascii="Times New Roman" w:hAnsi="Times New Roman" w:cs="Times New Roman"/>
                <w:i w:val="0"/>
                <w:iCs w:val="0"/>
                <w:color w:val="000000"/>
                <w:kern w:val="0"/>
                <w:sz w:val="24"/>
                <w:szCs w:val="24"/>
                <w:highlight w:val="none"/>
                <w:u w:val="none"/>
                <w:lang w:val="en-US" w:eastAsia="zh-CN" w:bidi="ar"/>
              </w:rPr>
              <w:t>0</w:t>
            </w:r>
          </w:p>
        </w:tc>
      </w:tr>
      <w:tr w14:paraId="70083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26B5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7</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9788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信息网络及软件购置更新经费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791C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ascii="Times New Roman" w:hAnsi="Times New Roman" w:cs="Times New Roman"/>
                <w:i w:val="0"/>
                <w:iCs w:val="0"/>
                <w:color w:val="000000"/>
                <w:kern w:val="0"/>
                <w:sz w:val="24"/>
                <w:szCs w:val="24"/>
                <w:highlight w:val="none"/>
                <w:u w:val="none"/>
                <w:lang w:val="en-US" w:eastAsia="zh-CN" w:bidi="ar"/>
              </w:rPr>
              <w:t>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D646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ascii="Times New Roman" w:hAnsi="Times New Roman" w:cs="Times New Roman"/>
                <w:i w:val="0"/>
                <w:iCs w:val="0"/>
                <w:color w:val="000000"/>
                <w:kern w:val="0"/>
                <w:sz w:val="24"/>
                <w:szCs w:val="24"/>
                <w:highlight w:val="none"/>
                <w:u w:val="none"/>
                <w:lang w:val="en-US" w:eastAsia="zh-CN" w:bidi="ar"/>
              </w:rPr>
              <w:t>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91E8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ascii="Times New Roman" w:hAnsi="Times New Roman" w:cs="Times New Roman"/>
                <w:i w:val="0"/>
                <w:iCs w:val="0"/>
                <w:color w:val="000000"/>
                <w:kern w:val="0"/>
                <w:sz w:val="24"/>
                <w:szCs w:val="24"/>
                <w:highlight w:val="none"/>
                <w:u w:val="none"/>
                <w:lang w:val="en-US" w:eastAsia="zh-CN" w:bidi="ar"/>
              </w:rPr>
              <w:t>0</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CC13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ascii="Times New Roman" w:hAnsi="Times New Roman" w:cs="Times New Roman"/>
                <w:i w:val="0"/>
                <w:iCs w:val="0"/>
                <w:color w:val="000000"/>
                <w:kern w:val="0"/>
                <w:sz w:val="24"/>
                <w:szCs w:val="24"/>
                <w:highlight w:val="none"/>
                <w:u w:val="none"/>
                <w:lang w:val="en-US" w:eastAsia="zh-CN" w:bidi="ar"/>
              </w:rPr>
              <w:t>0</w:t>
            </w:r>
          </w:p>
        </w:tc>
      </w:tr>
      <w:tr w14:paraId="1EE8F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2F69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8</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2168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课题经费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7358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r>
              <w:rPr>
                <w:rFonts w:hint="eastAsia" w:ascii="Times New Roman" w:hAnsi="Times New Roman" w:cs="Times New Roman"/>
                <w:i w:val="0"/>
                <w:iCs w:val="0"/>
                <w:color w:val="auto"/>
                <w:kern w:val="0"/>
                <w:sz w:val="24"/>
                <w:szCs w:val="24"/>
                <w:highlight w:val="none"/>
                <w:u w:val="none"/>
                <w:lang w:val="en-US" w:eastAsia="zh-CN" w:bidi="ar"/>
              </w:rPr>
              <w:t>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B479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r>
              <w:rPr>
                <w:rFonts w:hint="eastAsia" w:ascii="Times New Roman" w:hAnsi="Times New Roman" w:cs="Times New Roman"/>
                <w:i w:val="0"/>
                <w:iCs w:val="0"/>
                <w:color w:val="auto"/>
                <w:kern w:val="0"/>
                <w:sz w:val="24"/>
                <w:szCs w:val="24"/>
                <w:highlight w:val="none"/>
                <w:u w:val="none"/>
                <w:lang w:val="en-US" w:eastAsia="zh-CN" w:bidi="ar"/>
              </w:rPr>
              <w:t>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23AB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r>
              <w:rPr>
                <w:rFonts w:hint="eastAsia" w:ascii="Times New Roman" w:hAnsi="Times New Roman" w:cs="Times New Roman"/>
                <w:i w:val="0"/>
                <w:iCs w:val="0"/>
                <w:color w:val="auto"/>
                <w:kern w:val="0"/>
                <w:sz w:val="24"/>
                <w:szCs w:val="24"/>
                <w:highlight w:val="none"/>
                <w:u w:val="none"/>
                <w:lang w:val="en-US" w:eastAsia="zh-CN" w:bidi="ar"/>
              </w:rPr>
              <w:t>0</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8506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r>
              <w:rPr>
                <w:rFonts w:hint="eastAsia" w:ascii="Times New Roman" w:hAnsi="Times New Roman" w:cs="Times New Roman"/>
                <w:i w:val="0"/>
                <w:iCs w:val="0"/>
                <w:color w:val="auto"/>
                <w:kern w:val="0"/>
                <w:sz w:val="24"/>
                <w:szCs w:val="24"/>
                <w:highlight w:val="none"/>
                <w:u w:val="none"/>
                <w:lang w:val="en-US" w:eastAsia="zh-CN" w:bidi="ar"/>
              </w:rPr>
              <w:t>0</w:t>
            </w:r>
          </w:p>
        </w:tc>
      </w:tr>
      <w:tr w14:paraId="519C3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1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F3F2A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bidi="ar"/>
              </w:rPr>
              <w:t>合计</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958F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cs="Times New Roman"/>
                <w:i w:val="0"/>
                <w:iCs w:val="0"/>
                <w:color w:val="auto"/>
                <w:kern w:val="0"/>
                <w:sz w:val="24"/>
                <w:szCs w:val="24"/>
                <w:highlight w:val="none"/>
                <w:u w:val="none"/>
                <w:lang w:val="en-US" w:eastAsia="zh-CN" w:bidi="ar"/>
              </w:rPr>
            </w:pPr>
            <w:r>
              <w:rPr>
                <w:rFonts w:hint="eastAsia" w:ascii="Times New Roman" w:hAnsi="Times New Roman" w:cs="Times New Roman"/>
                <w:i w:val="0"/>
                <w:iCs w:val="0"/>
                <w:color w:val="auto"/>
                <w:kern w:val="0"/>
                <w:sz w:val="24"/>
                <w:szCs w:val="24"/>
                <w:highlight w:val="none"/>
                <w:u w:val="none"/>
                <w:lang w:val="en-US" w:eastAsia="zh-CN" w:bidi="ar"/>
              </w:rPr>
              <w:t>82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EC45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cs="Times New Roman"/>
                <w:i w:val="0"/>
                <w:iCs w:val="0"/>
                <w:color w:val="auto"/>
                <w:kern w:val="0"/>
                <w:sz w:val="24"/>
                <w:szCs w:val="24"/>
                <w:highlight w:val="none"/>
                <w:u w:val="none"/>
                <w:lang w:val="en-US" w:eastAsia="zh-CN" w:bidi="ar"/>
              </w:rPr>
            </w:pPr>
            <w:r>
              <w:rPr>
                <w:rFonts w:hint="eastAsia" w:ascii="Times New Roman" w:hAnsi="Times New Roman" w:cs="Times New Roman"/>
                <w:i w:val="0"/>
                <w:iCs w:val="0"/>
                <w:color w:val="auto"/>
                <w:kern w:val="0"/>
                <w:sz w:val="24"/>
                <w:szCs w:val="24"/>
                <w:highlight w:val="none"/>
                <w:u w:val="none"/>
                <w:lang w:val="en-US" w:eastAsia="zh-CN" w:bidi="ar"/>
              </w:rPr>
              <w:t>81.55</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F0D3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r>
              <w:rPr>
                <w:rFonts w:hint="eastAsia" w:ascii="Times New Roman" w:hAnsi="Times New Roman" w:cs="Times New Roman"/>
                <w:i w:val="0"/>
                <w:iCs w:val="0"/>
                <w:color w:val="auto"/>
                <w:kern w:val="0"/>
                <w:sz w:val="24"/>
                <w:szCs w:val="24"/>
                <w:highlight w:val="none"/>
                <w:u w:val="none"/>
                <w:lang w:val="en-US" w:eastAsia="zh-CN" w:bidi="ar"/>
              </w:rPr>
              <w:t>51.96</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2E3D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r>
              <w:rPr>
                <w:rFonts w:hint="eastAsia" w:ascii="Times New Roman" w:hAnsi="Times New Roman" w:cs="Times New Roman"/>
                <w:i w:val="0"/>
                <w:iCs w:val="0"/>
                <w:color w:val="auto"/>
                <w:kern w:val="0"/>
                <w:sz w:val="24"/>
                <w:szCs w:val="24"/>
                <w:highlight w:val="none"/>
                <w:u w:val="none"/>
                <w:lang w:val="en-US" w:eastAsia="zh-CN" w:bidi="ar"/>
              </w:rPr>
              <w:t>52.22</w:t>
            </w:r>
          </w:p>
        </w:tc>
      </w:tr>
    </w:tbl>
    <w:p w14:paraId="1C633088">
      <w:pPr>
        <w:rPr>
          <w:rFonts w:hint="eastAsia" w:ascii="Times New Roman" w:hAnsi="Times New Roman"/>
          <w:highlight w:val="none"/>
          <w:lang w:val="en-US" w:eastAsia="zh-CN"/>
        </w:rPr>
      </w:pPr>
      <w:r>
        <w:rPr>
          <w:rFonts w:hint="eastAsia" w:ascii="Times New Roman" w:hAnsi="Times New Roman"/>
          <w:highlight w:val="none"/>
          <w:lang w:val="en-US" w:eastAsia="zh-CN"/>
        </w:rPr>
        <w:t>一般性支出财政拨款年初预算较上年减少，一般性支出财政拨款预算执行数较上年增加。</w:t>
      </w:r>
    </w:p>
    <w:p w14:paraId="2D86C155">
      <w:pPr>
        <w:rPr>
          <w:rFonts w:hint="default" w:ascii="Times New Roman" w:hAnsi="Times New Roman"/>
          <w:highlight w:val="none"/>
          <w:lang w:val="en-US" w:eastAsia="zh-CN"/>
        </w:rPr>
      </w:pPr>
      <w:r>
        <w:rPr>
          <w:rFonts w:hint="default" w:ascii="Times New Roman" w:hAnsi="Times New Roman"/>
          <w:highlight w:val="none"/>
          <w:lang w:val="en-US" w:eastAsia="zh-CN"/>
        </w:rPr>
        <w:t>根据评分标准，该项指标扣3.89分，得1.11分。</w:t>
      </w:r>
    </w:p>
    <w:p w14:paraId="30AD08A3">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outlineLvl w:val="9"/>
        <w:rPr>
          <w:rFonts w:hint="eastAsia" w:ascii="Times New Roman" w:hAnsi="Times New Roman" w:eastAsia="仿宋_GB2312" w:cs="Times New Roman"/>
          <w:caps/>
          <w:smallCaps w:val="0"/>
          <w:sz w:val="32"/>
          <w:highlight w:val="none"/>
          <w:lang w:val="zh-CN" w:eastAsia="zh-CN"/>
        </w:rPr>
      </w:pPr>
      <w:r>
        <w:rPr>
          <w:rFonts w:hint="default" w:ascii="Times New Roman" w:hAnsi="Times New Roman" w:eastAsia="仿宋_GB2312" w:cs="Times New Roman"/>
          <w:caps/>
          <w:smallCaps w:val="0"/>
          <w:sz w:val="32"/>
          <w:highlight w:val="none"/>
          <w:lang w:val="en-US" w:eastAsia="zh-CN"/>
        </w:rPr>
        <w:t>3</w:t>
      </w:r>
      <w:r>
        <w:rPr>
          <w:rFonts w:hint="eastAsia" w:ascii="Times New Roman" w:hAnsi="Times New Roman" w:eastAsia="仿宋_GB2312" w:cs="Times New Roman"/>
          <w:caps/>
          <w:smallCaps w:val="0"/>
          <w:sz w:val="32"/>
          <w:highlight w:val="none"/>
          <w:lang w:val="en-US" w:eastAsia="zh-CN"/>
        </w:rPr>
        <w:t>.</w:t>
      </w:r>
      <w:r>
        <w:rPr>
          <w:rFonts w:hint="default" w:ascii="Times New Roman" w:hAnsi="Times New Roman" w:eastAsia="仿宋_GB2312" w:cs="Times New Roman"/>
          <w:caps/>
          <w:smallCaps w:val="0"/>
          <w:sz w:val="32"/>
          <w:highlight w:val="none"/>
          <w:lang w:val="zh-CN" w:eastAsia="zh-CN"/>
        </w:rPr>
        <w:t>财务管理</w:t>
      </w:r>
    </w:p>
    <w:p w14:paraId="65A7C01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outlineLvl w:val="9"/>
        <w:rPr>
          <w:rFonts w:hint="eastAsia" w:ascii="Times New Roman" w:hAnsi="Times New Roman" w:eastAsia="仿宋_GB2312" w:cs="Times New Roman"/>
          <w:caps/>
          <w:smallCaps w:val="0"/>
          <w:sz w:val="32"/>
          <w:highlight w:val="none"/>
          <w:lang w:val="zh-CN" w:eastAsia="zh-CN"/>
        </w:rPr>
      </w:pPr>
      <w:r>
        <w:rPr>
          <w:rFonts w:hint="eastAsia" w:ascii="Times New Roman" w:hAnsi="Times New Roman" w:eastAsia="仿宋_GB2312" w:cs="Times New Roman"/>
          <w:caps/>
          <w:smallCaps w:val="0"/>
          <w:sz w:val="32"/>
          <w:highlight w:val="none"/>
          <w:lang w:val="zh-CN" w:eastAsia="zh-CN"/>
        </w:rPr>
        <w:t>（1）财务管理制度</w:t>
      </w:r>
    </w:p>
    <w:p w14:paraId="281C6696">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zh-CN" w:eastAsia="zh-CN"/>
        </w:rPr>
      </w:pPr>
      <w:r>
        <w:rPr>
          <w:rFonts w:hint="eastAsia" w:ascii="Times New Roman" w:hAnsi="Times New Roman" w:eastAsia="仿宋_GB2312" w:cs="Times New Roman"/>
          <w:caps/>
          <w:smallCaps w:val="0"/>
          <w:sz w:val="32"/>
          <w:highlight w:val="none"/>
          <w:lang w:val="zh-CN" w:eastAsia="zh-CN"/>
        </w:rPr>
        <w:t>为加强和规范我部门内部控制管理水平和风险防范能力，健全规范内部控制机制，加强廉政风险防控机制建设，我部门2024年在对预算、收支、政府采购、资产、建设项目、合同等各类经济业务活动流程梳理的基础上，依据《中华人民共和国会计法》《中华人民共和国预算法》《中华人民共和国政府采购法》《政府会计制度》《行政事业单位内部控制规范（试行）》《关于全面推进行政事业单位内部控制建设的指导意见》（财会〔2015〕24号）、《四川省财政厅关于印发〈四川省省级行政事业单位内部控制建设指引〉的通知》（川财会〔2019〕37号）等文件编制了《四川省龙日种畜场财务内部控制制度》，部门内部财务管理制度等制度机制建立健全，制度得到有效执行。</w:t>
      </w:r>
    </w:p>
    <w:p w14:paraId="015EB18C">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zh-CN" w:eastAsia="zh-CN"/>
        </w:rPr>
      </w:pPr>
      <w:r>
        <w:rPr>
          <w:rFonts w:hint="eastAsia" w:ascii="Times New Roman" w:hAnsi="Times New Roman" w:eastAsia="仿宋_GB2312" w:cs="Times New Roman"/>
          <w:caps/>
          <w:smallCaps w:val="0"/>
          <w:sz w:val="32"/>
          <w:highlight w:val="none"/>
          <w:lang w:val="zh-CN" w:eastAsia="zh-CN"/>
        </w:rPr>
        <w:t>根据评分标准，该项指标不扣分，得4分。</w:t>
      </w:r>
    </w:p>
    <w:p w14:paraId="7D6C29FC">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outlineLvl w:val="9"/>
        <w:rPr>
          <w:rFonts w:hint="eastAsia" w:ascii="Times New Roman" w:hAnsi="Times New Roman" w:eastAsia="仿宋_GB2312" w:cs="Times New Roman"/>
          <w:caps/>
          <w:smallCaps w:val="0"/>
          <w:sz w:val="32"/>
          <w:highlight w:val="none"/>
          <w:lang w:val="zh-CN" w:eastAsia="zh-CN"/>
        </w:rPr>
      </w:pPr>
      <w:r>
        <w:rPr>
          <w:rFonts w:hint="eastAsia" w:ascii="Times New Roman" w:hAnsi="Times New Roman" w:eastAsia="仿宋_GB2312" w:cs="Times New Roman"/>
          <w:caps/>
          <w:smallCaps w:val="0"/>
          <w:sz w:val="32"/>
          <w:highlight w:val="none"/>
          <w:lang w:val="zh-CN" w:eastAsia="zh-CN"/>
        </w:rPr>
        <w:t>（2）财务岗位设置</w:t>
      </w:r>
    </w:p>
    <w:p w14:paraId="69B3AEDE">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zh-CN" w:eastAsia="zh-CN"/>
        </w:rPr>
      </w:pPr>
      <w:r>
        <w:rPr>
          <w:rFonts w:hint="eastAsia" w:ascii="Times New Roman" w:hAnsi="Times New Roman" w:eastAsia="仿宋_GB2312" w:cs="Times New Roman"/>
          <w:caps/>
          <w:smallCaps w:val="0"/>
          <w:sz w:val="32"/>
          <w:highlight w:val="none"/>
          <w:lang w:val="zh-CN" w:eastAsia="zh-CN"/>
        </w:rPr>
        <w:t>我部门按照《中华人民共和国会计法》《中华人民共和国预算法》等相关法律，合理设置了单位财务岗位，明确了各岗位职责权限确保工作有序进行，同时，我部门制定的《四川省龙日种畜场财务内部控制制度》明确表示了财务收支统一核算管理，会计和出纳岗位分设，出纳人员不得兼管审核、会计档案保管，在财务实际设置过程中，做到了将会计与出纳、审核与执行等岗位分离，形成了相互制约、监督的机制，进而增强了财务数据的准确性，提升了内部控制效能，确保了财务工作的高效与透明。</w:t>
      </w:r>
    </w:p>
    <w:p w14:paraId="28D6E52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zh-CN" w:eastAsia="zh-CN"/>
        </w:rPr>
      </w:pPr>
      <w:r>
        <w:rPr>
          <w:rFonts w:hint="eastAsia" w:ascii="Times New Roman" w:hAnsi="Times New Roman" w:eastAsia="仿宋_GB2312" w:cs="Times New Roman"/>
          <w:caps/>
          <w:smallCaps w:val="0"/>
          <w:sz w:val="32"/>
          <w:highlight w:val="none"/>
          <w:lang w:val="zh-CN" w:eastAsia="zh-CN"/>
        </w:rPr>
        <w:t>根据评分标准，该项指标不扣分，得2分。</w:t>
      </w:r>
    </w:p>
    <w:p w14:paraId="5259CDD0">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outlineLvl w:val="9"/>
        <w:rPr>
          <w:rFonts w:hint="eastAsia" w:ascii="Times New Roman" w:hAnsi="Times New Roman" w:eastAsia="仿宋_GB2312" w:cs="Times New Roman"/>
          <w:caps/>
          <w:smallCaps w:val="0"/>
          <w:sz w:val="32"/>
          <w:highlight w:val="none"/>
          <w:lang w:val="zh-CN" w:eastAsia="zh-CN"/>
        </w:rPr>
      </w:pPr>
      <w:r>
        <w:rPr>
          <w:rFonts w:hint="eastAsia" w:ascii="Times New Roman" w:hAnsi="Times New Roman" w:eastAsia="仿宋_GB2312" w:cs="Times New Roman"/>
          <w:caps/>
          <w:smallCaps w:val="0"/>
          <w:sz w:val="32"/>
          <w:highlight w:val="none"/>
          <w:lang w:val="zh-CN" w:eastAsia="zh-CN"/>
        </w:rPr>
        <w:t>（3）资金使用规范</w:t>
      </w:r>
    </w:p>
    <w:p w14:paraId="4B68D8DE">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zh-CN" w:eastAsia="zh-CN"/>
        </w:rPr>
      </w:pPr>
      <w:r>
        <w:rPr>
          <w:rFonts w:hint="eastAsia" w:ascii="Times New Roman" w:hAnsi="Times New Roman" w:eastAsia="仿宋_GB2312" w:cs="Times New Roman"/>
          <w:caps/>
          <w:smallCaps w:val="0"/>
          <w:sz w:val="32"/>
          <w:highlight w:val="none"/>
          <w:lang w:val="zh-CN" w:eastAsia="zh-CN"/>
        </w:rPr>
        <w:t>我部门严格按照已制定的内部控制制度文件和国家财经法规要求使用资金，资金使用符合相关财务管理制度规定，资金的拨付有完整的审批程序和手续，对项目的重大开支进行了评估论证，资金使用符合部门预算批复的用途，不存在截留、挤占、挪用、虚列支出等情况。</w:t>
      </w:r>
    </w:p>
    <w:p w14:paraId="2FEFA7C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color w:val="auto"/>
          <w:highlight w:val="none"/>
          <w:lang w:val="zh-CN" w:eastAsia="zh-CN"/>
        </w:rPr>
      </w:pPr>
      <w:r>
        <w:rPr>
          <w:rFonts w:hint="eastAsia" w:ascii="Times New Roman" w:hAnsi="Times New Roman" w:eastAsia="仿宋_GB2312" w:cs="Times New Roman"/>
          <w:caps/>
          <w:smallCaps w:val="0"/>
          <w:sz w:val="32"/>
          <w:highlight w:val="none"/>
          <w:lang w:val="zh-CN" w:eastAsia="zh-CN"/>
        </w:rPr>
        <w:t>根据评分标准，该项指标不扣分，得4分。</w:t>
      </w:r>
    </w:p>
    <w:p w14:paraId="1B50331F">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outlineLvl w:val="9"/>
        <w:rPr>
          <w:rFonts w:hint="eastAsia" w:ascii="Times New Roman" w:hAnsi="Times New Roman" w:eastAsia="仿宋_GB2312" w:cs="Times New Roman"/>
          <w:caps/>
          <w:smallCaps w:val="0"/>
          <w:sz w:val="32"/>
          <w:highlight w:val="none"/>
          <w:lang w:val="zh-CN" w:eastAsia="zh-CN"/>
        </w:rPr>
      </w:pPr>
      <w:r>
        <w:rPr>
          <w:rFonts w:hint="eastAsia" w:ascii="Times New Roman" w:hAnsi="Times New Roman" w:eastAsia="仿宋_GB2312" w:cs="Times New Roman"/>
          <w:caps/>
          <w:smallCaps w:val="0"/>
          <w:sz w:val="32"/>
          <w:highlight w:val="none"/>
          <w:lang w:val="en-US" w:eastAsia="zh-CN"/>
        </w:rPr>
        <w:t>4.</w:t>
      </w:r>
      <w:r>
        <w:rPr>
          <w:rFonts w:hint="eastAsia" w:ascii="Times New Roman" w:hAnsi="Times New Roman" w:eastAsia="仿宋_GB2312" w:cs="Times New Roman"/>
          <w:caps/>
          <w:smallCaps w:val="0"/>
          <w:sz w:val="32"/>
          <w:highlight w:val="none"/>
          <w:lang w:val="zh-CN" w:eastAsia="zh-CN"/>
        </w:rPr>
        <w:t>资产管理</w:t>
      </w:r>
    </w:p>
    <w:p w14:paraId="37DD3AB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outlineLvl w:val="9"/>
        <w:rPr>
          <w:rFonts w:hint="eastAsia" w:ascii="Times New Roman" w:hAnsi="Times New Roman" w:eastAsia="仿宋_GB2312" w:cs="Times New Roman"/>
          <w:caps/>
          <w:smallCaps w:val="0"/>
          <w:sz w:val="32"/>
          <w:highlight w:val="none"/>
          <w:lang w:val="zh-CN" w:eastAsia="zh-CN"/>
        </w:rPr>
      </w:pPr>
      <w:r>
        <w:rPr>
          <w:rFonts w:hint="eastAsia" w:ascii="Times New Roman" w:hAnsi="Times New Roman" w:eastAsia="仿宋_GB2312" w:cs="Times New Roman"/>
          <w:caps/>
          <w:smallCaps w:val="0"/>
          <w:sz w:val="32"/>
          <w:highlight w:val="none"/>
          <w:lang w:val="zh-CN" w:eastAsia="zh-CN"/>
        </w:rPr>
        <w:t>（1）人均资产变化率</w:t>
      </w:r>
    </w:p>
    <w:p w14:paraId="3817A11A">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zh-CN" w:eastAsia="zh-CN"/>
        </w:rPr>
      </w:pPr>
      <w:r>
        <w:rPr>
          <w:rFonts w:hint="eastAsia" w:ascii="Times New Roman" w:hAnsi="Times New Roman" w:eastAsia="仿宋_GB2312" w:cs="Times New Roman"/>
          <w:caps/>
          <w:smallCaps w:val="0"/>
          <w:sz w:val="32"/>
          <w:highlight w:val="none"/>
          <w:lang w:val="zh-CN" w:eastAsia="zh-CN"/>
        </w:rPr>
        <w:t>我部门2023年末实有在编在职人数为41人，固定资产和无形资产期末账面值净值合计4,260.29万元；2024年末实有在职在编人数为57人，固定资产和无形资产净值合计4,071.68万元。人均占有资产及人均资产变化率计算公式分别为“（固定资产净值+无形资产净值)/在职人数、(当年人均资产-上年人均资产)/上年人均资产”。故我部门</w:t>
      </w:r>
      <w:r>
        <w:rPr>
          <w:rFonts w:hint="eastAsia" w:ascii="Times New Roman" w:hAnsi="Times New Roman" w:eastAsia="仿宋_GB2312" w:cs="Times New Roman"/>
          <w:caps/>
          <w:smallCaps w:val="0"/>
          <w:sz w:val="32"/>
          <w:highlight w:val="none"/>
          <w:lang w:val="en-US" w:eastAsia="zh-CN"/>
        </w:rPr>
        <w:t>2023</w:t>
      </w:r>
      <w:r>
        <w:rPr>
          <w:rFonts w:hint="eastAsia" w:ascii="Times New Roman" w:hAnsi="Times New Roman" w:eastAsia="仿宋_GB2312" w:cs="Times New Roman"/>
          <w:caps/>
          <w:smallCaps w:val="0"/>
          <w:sz w:val="32"/>
          <w:highlight w:val="none"/>
          <w:lang w:val="zh-CN" w:eastAsia="zh-CN"/>
        </w:rPr>
        <w:t>、2024年人均占有资产分别为103.91万元/人、71.43万元/人。</w:t>
      </w:r>
    </w:p>
    <w:p w14:paraId="2063C812">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zh-CN" w:eastAsia="zh-CN"/>
        </w:rPr>
      </w:pPr>
      <w:r>
        <w:rPr>
          <w:rFonts w:hint="eastAsia" w:ascii="Times New Roman" w:hAnsi="Times New Roman" w:eastAsia="仿宋_GB2312" w:cs="Times New Roman"/>
          <w:caps/>
          <w:smallCaps w:val="0"/>
          <w:sz w:val="32"/>
          <w:highlight w:val="none"/>
          <w:lang w:val="zh-CN" w:eastAsia="zh-CN"/>
        </w:rPr>
        <w:t>综上，2024年我部门人均资产变化率为-31.25%，小于0，小于州直行政事业单位人均资产变化率24.28%，小于州级财政收入增长率-30.50%。</w:t>
      </w:r>
    </w:p>
    <w:p w14:paraId="51268670">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zh-CN" w:eastAsia="zh-CN"/>
        </w:rPr>
        <w:t>根据评分标准，该项指标不扣分，得3分。</w:t>
      </w:r>
    </w:p>
    <w:p w14:paraId="1D889624">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outlineLvl w:val="9"/>
        <w:rPr>
          <w:rFonts w:hint="default"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w:t>
      </w:r>
      <w:r>
        <w:rPr>
          <w:rFonts w:hint="default" w:ascii="Times New Roman" w:hAnsi="Times New Roman" w:eastAsia="仿宋_GB2312" w:cs="Times New Roman"/>
          <w:caps/>
          <w:smallCaps w:val="0"/>
          <w:sz w:val="32"/>
          <w:highlight w:val="none"/>
          <w:lang w:val="en-US" w:eastAsia="zh-CN"/>
        </w:rPr>
        <w:t>2</w:t>
      </w:r>
      <w:r>
        <w:rPr>
          <w:rFonts w:hint="eastAsia" w:ascii="Times New Roman" w:hAnsi="Times New Roman" w:eastAsia="仿宋_GB2312" w:cs="Times New Roman"/>
          <w:caps/>
          <w:smallCaps w:val="0"/>
          <w:sz w:val="32"/>
          <w:highlight w:val="none"/>
          <w:lang w:val="en-US" w:eastAsia="zh-CN"/>
        </w:rPr>
        <w:t>）资产利用率</w:t>
      </w:r>
    </w:p>
    <w:p w14:paraId="5C52FC9F">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我部门2023年办公家具账面价值为135.69万元，超最低使用年限的办公家具账面价值为30.84万元，故办公家具超最低使用年限资产利用率=超最低使用年限的办公家具账面价值÷办公家具账面价值×100%=22.73%；2024年办公设备账面价值为669.71万元，超最低使用年限的办公设备账面价值为287.63万元，故办公设备超最低使用年限资产利用率=超最低使用年限的办公设备账面价值÷办公设备账面价值×100%=42.95%。</w:t>
      </w:r>
    </w:p>
    <w:p w14:paraId="4D7FE4C9">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综上，我部门在资产利用率方面，办公家具和用具超最低使用年限资产利用率大于州直行政事业单位平均值10.03%，办公设备超最低使用年限资产利用率大于0.8倍州直行政事业单位平均值38.29%小于州直行政事业单位平均值47.86%。</w:t>
      </w:r>
    </w:p>
    <w:p w14:paraId="3DFF44D4">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根据评分标准，该项指标扣0.60分，得2.40分。</w:t>
      </w:r>
    </w:p>
    <w:p w14:paraId="4C2C61D0">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outlineLvl w:val="9"/>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w:t>
      </w:r>
      <w:r>
        <w:rPr>
          <w:rFonts w:hint="default" w:ascii="Times New Roman" w:hAnsi="Times New Roman" w:eastAsia="仿宋_GB2312" w:cs="Times New Roman"/>
          <w:caps/>
          <w:smallCaps w:val="0"/>
          <w:sz w:val="32"/>
          <w:highlight w:val="none"/>
          <w:lang w:val="en-US" w:eastAsia="zh-CN"/>
        </w:rPr>
        <w:t>3</w:t>
      </w:r>
      <w:r>
        <w:rPr>
          <w:rFonts w:hint="eastAsia" w:ascii="Times New Roman" w:hAnsi="Times New Roman" w:eastAsia="仿宋_GB2312" w:cs="Times New Roman"/>
          <w:caps/>
          <w:smallCaps w:val="0"/>
          <w:sz w:val="32"/>
          <w:highlight w:val="none"/>
          <w:lang w:val="en-US" w:eastAsia="zh-CN"/>
        </w:rPr>
        <w:t>）资产盘活率</w:t>
      </w:r>
    </w:p>
    <w:p w14:paraId="463E4232">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我部门</w:t>
      </w:r>
      <w:r>
        <w:rPr>
          <w:rFonts w:hint="default" w:ascii="Times New Roman" w:hAnsi="Times New Roman" w:eastAsia="仿宋_GB2312" w:cs="Times New Roman"/>
          <w:caps/>
          <w:smallCaps w:val="0"/>
          <w:sz w:val="32"/>
          <w:highlight w:val="none"/>
          <w:lang w:val="en-US" w:eastAsia="zh-CN"/>
        </w:rPr>
        <w:t>2023年、2024年均无闲置资产。自评年度</w:t>
      </w:r>
      <w:r>
        <w:rPr>
          <w:rFonts w:hint="eastAsia" w:ascii="Times New Roman" w:hAnsi="Times New Roman" w:eastAsia="仿宋_GB2312" w:cs="Times New Roman"/>
          <w:caps/>
          <w:smallCaps w:val="0"/>
          <w:sz w:val="32"/>
          <w:highlight w:val="none"/>
          <w:lang w:val="en-US" w:eastAsia="zh-CN"/>
        </w:rPr>
        <w:t>我部门</w:t>
      </w:r>
      <w:r>
        <w:rPr>
          <w:rFonts w:hint="default" w:ascii="Times New Roman" w:hAnsi="Times New Roman" w:eastAsia="仿宋_GB2312" w:cs="Times New Roman"/>
          <w:caps/>
          <w:smallCaps w:val="0"/>
          <w:sz w:val="32"/>
          <w:highlight w:val="none"/>
          <w:lang w:val="en-US" w:eastAsia="zh-CN"/>
        </w:rPr>
        <w:t>部门闲置资产占比变化率</w:t>
      </w:r>
      <w:r>
        <w:rPr>
          <w:rFonts w:hint="eastAsia" w:ascii="Times New Roman" w:hAnsi="Times New Roman" w:eastAsia="仿宋_GB2312" w:cs="Times New Roman"/>
          <w:caps/>
          <w:smallCaps w:val="0"/>
          <w:sz w:val="32"/>
          <w:highlight w:val="none"/>
          <w:lang w:val="en-US" w:eastAsia="zh-CN"/>
        </w:rPr>
        <w:t>为</w:t>
      </w:r>
      <w:r>
        <w:rPr>
          <w:rFonts w:hint="default" w:ascii="Times New Roman" w:hAnsi="Times New Roman" w:eastAsia="仿宋_GB2312" w:cs="Times New Roman"/>
          <w:caps/>
          <w:smallCaps w:val="0"/>
          <w:sz w:val="32"/>
          <w:highlight w:val="none"/>
          <w:lang w:val="en-US" w:eastAsia="zh-CN"/>
        </w:rPr>
        <w:t>0%。</w:t>
      </w:r>
    </w:p>
    <w:p w14:paraId="455C2CC1">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根据评分标准，该项指标不扣分，得3分。</w:t>
      </w:r>
    </w:p>
    <w:p w14:paraId="1AABF7DB">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outlineLvl w:val="9"/>
        <w:rPr>
          <w:rFonts w:hint="eastAsia" w:ascii="Times New Roman" w:hAnsi="Times New Roman" w:eastAsia="仿宋_GB2312" w:cs="Times New Roman"/>
          <w:caps/>
          <w:smallCaps w:val="0"/>
          <w:sz w:val="32"/>
          <w:highlight w:val="none"/>
          <w:lang w:val="zh-CN" w:eastAsia="zh-CN"/>
        </w:rPr>
      </w:pPr>
      <w:r>
        <w:rPr>
          <w:rFonts w:hint="default" w:ascii="Times New Roman" w:hAnsi="Times New Roman" w:eastAsia="仿宋_GB2312" w:cs="Times New Roman"/>
          <w:caps/>
          <w:smallCaps w:val="0"/>
          <w:sz w:val="32"/>
          <w:highlight w:val="none"/>
          <w:lang w:val="en-US" w:eastAsia="zh-CN"/>
        </w:rPr>
        <w:t>5</w:t>
      </w:r>
      <w:r>
        <w:rPr>
          <w:rFonts w:hint="eastAsia" w:ascii="Times New Roman" w:hAnsi="Times New Roman" w:eastAsia="仿宋_GB2312" w:cs="Times New Roman"/>
          <w:caps/>
          <w:smallCaps w:val="0"/>
          <w:sz w:val="32"/>
          <w:highlight w:val="none"/>
          <w:lang w:val="en-US" w:eastAsia="zh-CN"/>
        </w:rPr>
        <w:t>.</w:t>
      </w:r>
      <w:r>
        <w:rPr>
          <w:rFonts w:hint="default" w:ascii="Times New Roman" w:hAnsi="Times New Roman" w:eastAsia="仿宋_GB2312" w:cs="Times New Roman"/>
          <w:caps/>
          <w:smallCaps w:val="0"/>
          <w:sz w:val="32"/>
          <w:highlight w:val="none"/>
          <w:lang w:val="zh-CN" w:eastAsia="zh-CN"/>
        </w:rPr>
        <w:t>采购管理</w:t>
      </w:r>
    </w:p>
    <w:p w14:paraId="562B300D">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outlineLvl w:val="9"/>
        <w:rPr>
          <w:rFonts w:hint="eastAsia" w:ascii="Times New Roman" w:hAnsi="Times New Roman" w:eastAsia="仿宋_GB2312" w:cs="Times New Roman"/>
          <w:caps/>
          <w:smallCaps w:val="0"/>
          <w:sz w:val="32"/>
          <w:highlight w:val="none"/>
          <w:lang w:val="zh-CN" w:eastAsia="zh-CN"/>
        </w:rPr>
      </w:pPr>
      <w:r>
        <w:rPr>
          <w:rFonts w:hint="eastAsia" w:ascii="Times New Roman" w:hAnsi="Times New Roman" w:eastAsia="仿宋_GB2312" w:cs="Times New Roman"/>
          <w:caps/>
          <w:smallCaps w:val="0"/>
          <w:sz w:val="32"/>
          <w:highlight w:val="none"/>
          <w:lang w:val="zh-CN" w:eastAsia="zh-CN"/>
        </w:rPr>
        <w:t>（</w:t>
      </w:r>
      <w:r>
        <w:rPr>
          <w:rFonts w:hint="default" w:ascii="Times New Roman" w:hAnsi="Times New Roman" w:eastAsia="仿宋_GB2312" w:cs="Times New Roman"/>
          <w:caps/>
          <w:smallCaps w:val="0"/>
          <w:sz w:val="32"/>
          <w:highlight w:val="none"/>
          <w:lang w:val="en-US" w:eastAsia="zh-CN"/>
        </w:rPr>
        <w:t>1</w:t>
      </w:r>
      <w:r>
        <w:rPr>
          <w:rFonts w:hint="eastAsia" w:ascii="Times New Roman" w:hAnsi="Times New Roman" w:eastAsia="仿宋_GB2312" w:cs="Times New Roman"/>
          <w:caps/>
          <w:smallCaps w:val="0"/>
          <w:sz w:val="32"/>
          <w:highlight w:val="none"/>
          <w:lang w:val="zh-CN" w:eastAsia="zh-CN"/>
        </w:rPr>
        <w:t>）支持中小企业发展</w:t>
      </w:r>
    </w:p>
    <w:p w14:paraId="481C1CAB">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我部门严格执行政府采购促进中小企业发展相关管理办法，对适宜由中小企业提供的采购项目和采购包，预留了采购份额专门面向中小企业采购，并在采购预算中单独列示。2024年，我部门采购预算为44.76万元，政府采购授予中小企业合同金额为44.76万元。</w:t>
      </w:r>
    </w:p>
    <w:p w14:paraId="2FA513B1">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根据评分标准，该项指标不扣分，得3分。</w:t>
      </w:r>
    </w:p>
    <w:p w14:paraId="64209123">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outlineLvl w:val="9"/>
        <w:rPr>
          <w:rFonts w:hint="default"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w:t>
      </w:r>
      <w:r>
        <w:rPr>
          <w:rFonts w:hint="default" w:ascii="Times New Roman" w:hAnsi="Times New Roman" w:eastAsia="仿宋_GB2312" w:cs="Times New Roman"/>
          <w:caps/>
          <w:smallCaps w:val="0"/>
          <w:sz w:val="32"/>
          <w:highlight w:val="none"/>
          <w:lang w:val="en-US" w:eastAsia="zh-CN"/>
        </w:rPr>
        <w:t>2</w:t>
      </w:r>
      <w:r>
        <w:rPr>
          <w:rFonts w:hint="eastAsia" w:ascii="Times New Roman" w:hAnsi="Times New Roman" w:eastAsia="仿宋_GB2312" w:cs="Times New Roman"/>
          <w:caps/>
          <w:smallCaps w:val="0"/>
          <w:sz w:val="32"/>
          <w:highlight w:val="none"/>
          <w:lang w:val="en-US" w:eastAsia="zh-CN"/>
        </w:rPr>
        <w:t>）采购执行率</w:t>
      </w:r>
    </w:p>
    <w:p w14:paraId="1D6FF826">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我部门2024年度的政府采购总预算数为44.76万元，当年政府采购预算执行数为44.76万元，已完成采购项目节约金额为0万元，故我部门采购执行方面采购执行率为1.00。</w:t>
      </w:r>
    </w:p>
    <w:p w14:paraId="019833FD">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zh-CN" w:eastAsia="zh-CN"/>
        </w:rPr>
      </w:pPr>
      <w:r>
        <w:rPr>
          <w:rFonts w:hint="eastAsia" w:ascii="Times New Roman" w:hAnsi="Times New Roman" w:eastAsia="仿宋_GB2312" w:cs="Times New Roman"/>
          <w:caps/>
          <w:smallCaps w:val="0"/>
          <w:sz w:val="32"/>
          <w:highlight w:val="none"/>
          <w:lang w:val="en-US" w:eastAsia="zh-CN"/>
        </w:rPr>
        <w:t>根据评分标准，该项指标不扣分，得3分。</w:t>
      </w:r>
    </w:p>
    <w:p w14:paraId="2215A50D">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p>
    <w:p w14:paraId="16FE09EA">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default" w:ascii="Times New Roman" w:hAnsi="Times New Roman" w:eastAsia="仿宋_GB2312" w:cs="Times New Roman"/>
          <w:caps/>
          <w:smallCaps w:val="0"/>
          <w:sz w:val="32"/>
          <w:highlight w:val="none"/>
          <w:lang w:val="en-US" w:eastAsia="zh-CN"/>
        </w:rPr>
        <w:t>常年项目绩效分析。</w:t>
      </w:r>
      <w:r>
        <w:rPr>
          <w:rFonts w:hint="default" w:ascii="Times New Roman" w:hAnsi="Times New Roman" w:eastAsia="仿宋_GB2312" w:cs="Times New Roman"/>
          <w:caps/>
          <w:smallCaps w:val="0"/>
          <w:sz w:val="32"/>
          <w:highlight w:val="none"/>
          <w:lang w:val="zh-CN" w:eastAsia="zh-CN"/>
        </w:rPr>
        <w:t>该类项目总数</w:t>
      </w:r>
      <w:r>
        <w:rPr>
          <w:rFonts w:hint="eastAsia" w:ascii="Times New Roman" w:hAnsi="Times New Roman" w:eastAsia="仿宋_GB2312" w:cs="Times New Roman"/>
          <w:caps/>
          <w:smallCaps w:val="0"/>
          <w:sz w:val="32"/>
          <w:highlight w:val="none"/>
          <w:lang w:val="en-US" w:eastAsia="zh-CN"/>
        </w:rPr>
        <w:t>1</w:t>
      </w:r>
      <w:r>
        <w:rPr>
          <w:rFonts w:hint="default" w:ascii="Times New Roman" w:hAnsi="Times New Roman" w:eastAsia="仿宋_GB2312" w:cs="Times New Roman"/>
          <w:caps/>
          <w:smallCaps w:val="0"/>
          <w:sz w:val="32"/>
          <w:highlight w:val="none"/>
          <w:lang w:val="zh-CN" w:eastAsia="zh-CN"/>
        </w:rPr>
        <w:t>个，涉及预算总金额</w:t>
      </w:r>
      <w:r>
        <w:rPr>
          <w:rFonts w:hint="eastAsia" w:ascii="Times New Roman" w:hAnsi="Times New Roman" w:eastAsia="仿宋_GB2312" w:cs="Times New Roman"/>
          <w:caps/>
          <w:smallCaps w:val="0"/>
          <w:sz w:val="32"/>
          <w:highlight w:val="none"/>
          <w:lang w:val="en-US" w:eastAsia="zh-CN"/>
        </w:rPr>
        <w:t>120</w:t>
      </w:r>
      <w:r>
        <w:rPr>
          <w:rFonts w:hint="default" w:ascii="Times New Roman" w:hAnsi="Times New Roman" w:eastAsia="仿宋_GB2312" w:cs="Times New Roman"/>
          <w:caps/>
          <w:smallCaps w:val="0"/>
          <w:sz w:val="32"/>
          <w:highlight w:val="none"/>
          <w:lang w:val="zh-CN" w:eastAsia="zh-CN"/>
        </w:rPr>
        <w:t>万元，1—1</w:t>
      </w:r>
      <w:r>
        <w:rPr>
          <w:rFonts w:hint="default" w:ascii="Times New Roman" w:hAnsi="Times New Roman" w:eastAsia="仿宋_GB2312" w:cs="Times New Roman"/>
          <w:caps/>
          <w:smallCaps w:val="0"/>
          <w:sz w:val="32"/>
          <w:highlight w:val="none"/>
          <w:lang w:val="en-US" w:eastAsia="zh-CN"/>
        </w:rPr>
        <w:t>2</w:t>
      </w:r>
      <w:r>
        <w:rPr>
          <w:rFonts w:hint="default" w:ascii="Times New Roman" w:hAnsi="Times New Roman" w:eastAsia="仿宋_GB2312" w:cs="Times New Roman"/>
          <w:caps/>
          <w:smallCaps w:val="0"/>
          <w:sz w:val="32"/>
          <w:highlight w:val="none"/>
          <w:lang w:val="zh-CN" w:eastAsia="zh-CN"/>
        </w:rPr>
        <w:t>月预算执行总体进度为</w:t>
      </w:r>
      <w:r>
        <w:rPr>
          <w:rFonts w:hint="eastAsia" w:ascii="Times New Roman" w:hAnsi="Times New Roman" w:eastAsia="仿宋_GB2312" w:cs="Times New Roman"/>
          <w:caps/>
          <w:smallCaps w:val="0"/>
          <w:sz w:val="32"/>
          <w:highlight w:val="none"/>
          <w:lang w:val="en-US" w:eastAsia="zh-CN"/>
        </w:rPr>
        <w:t>95.54%</w:t>
      </w:r>
      <w:r>
        <w:rPr>
          <w:rFonts w:hint="eastAsia" w:ascii="Times New Roman" w:hAnsi="Times New Roman" w:eastAsia="仿宋_GB2312" w:cs="Times New Roman"/>
          <w:caps/>
          <w:smallCaps w:val="0"/>
          <w:sz w:val="32"/>
          <w:highlight w:val="none"/>
          <w:lang w:val="zh-CN" w:eastAsia="zh-CN"/>
        </w:rPr>
        <w:t>，</w:t>
      </w:r>
      <w:r>
        <w:rPr>
          <w:rFonts w:hint="default" w:ascii="Times New Roman" w:hAnsi="Times New Roman" w:eastAsia="仿宋_GB2312" w:cs="Times New Roman"/>
          <w:caps/>
          <w:smallCaps w:val="0"/>
          <w:sz w:val="32"/>
          <w:highlight w:val="none"/>
          <w:lang w:val="zh-CN" w:eastAsia="zh-CN"/>
        </w:rPr>
        <w:t>其中：预算结余率大于</w:t>
      </w:r>
      <w:r>
        <w:rPr>
          <w:rFonts w:hint="default" w:ascii="Times New Roman" w:hAnsi="Times New Roman" w:eastAsia="仿宋_GB2312" w:cs="Times New Roman"/>
          <w:caps/>
          <w:smallCaps w:val="0"/>
          <w:sz w:val="32"/>
          <w:highlight w:val="none"/>
          <w:lang w:val="en-US" w:eastAsia="zh-CN"/>
        </w:rPr>
        <w:t>10%</w:t>
      </w:r>
      <w:r>
        <w:rPr>
          <w:rFonts w:hint="default" w:ascii="Times New Roman" w:hAnsi="Times New Roman" w:eastAsia="仿宋_GB2312" w:cs="Times New Roman"/>
          <w:caps/>
          <w:smallCaps w:val="0"/>
          <w:sz w:val="32"/>
          <w:highlight w:val="none"/>
          <w:lang w:val="zh-CN" w:eastAsia="zh-CN"/>
        </w:rPr>
        <w:t>的项目共计</w:t>
      </w:r>
      <w:r>
        <w:rPr>
          <w:rFonts w:hint="eastAsia" w:ascii="Times New Roman" w:hAnsi="Times New Roman" w:eastAsia="仿宋_GB2312" w:cs="Times New Roman"/>
          <w:caps/>
          <w:smallCaps w:val="0"/>
          <w:sz w:val="32"/>
          <w:highlight w:val="none"/>
          <w:lang w:val="en-US" w:eastAsia="zh-CN"/>
        </w:rPr>
        <w:t>1</w:t>
      </w:r>
      <w:r>
        <w:rPr>
          <w:rFonts w:hint="default" w:ascii="Times New Roman" w:hAnsi="Times New Roman" w:eastAsia="仿宋_GB2312" w:cs="Times New Roman"/>
          <w:caps/>
          <w:smallCaps w:val="0"/>
          <w:sz w:val="32"/>
          <w:highlight w:val="none"/>
          <w:lang w:val="zh-CN" w:eastAsia="zh-CN"/>
        </w:rPr>
        <w:t>个</w:t>
      </w:r>
      <w:r>
        <w:rPr>
          <w:rFonts w:hint="eastAsia" w:ascii="Times New Roman" w:hAnsi="Times New Roman" w:eastAsia="仿宋_GB2312" w:cs="Times New Roman"/>
          <w:caps/>
          <w:smallCaps w:val="0"/>
          <w:sz w:val="32"/>
          <w:highlight w:val="none"/>
          <w:lang w:val="zh-CN" w:eastAsia="zh-CN"/>
        </w:rPr>
        <w:t>。</w:t>
      </w:r>
    </w:p>
    <w:p w14:paraId="071B935C">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zh-CN" w:eastAsia="zh-CN"/>
        </w:rPr>
      </w:pPr>
      <w:r>
        <w:rPr>
          <w:rFonts w:hint="default" w:ascii="Times New Roman" w:hAnsi="Times New Roman" w:eastAsia="仿宋_GB2312" w:cs="Times New Roman"/>
          <w:caps/>
          <w:smallCaps w:val="0"/>
          <w:sz w:val="32"/>
          <w:highlight w:val="none"/>
          <w:lang w:val="en-US" w:eastAsia="zh-CN"/>
        </w:rPr>
        <w:t>阶段</w:t>
      </w:r>
      <w:r>
        <w:rPr>
          <w:rFonts w:hint="eastAsia" w:ascii="Times New Roman" w:hAnsi="Times New Roman" w:eastAsia="仿宋_GB2312" w:cs="Times New Roman"/>
          <w:caps/>
          <w:smallCaps w:val="0"/>
          <w:sz w:val="32"/>
          <w:highlight w:val="none"/>
          <w:lang w:val="en-US" w:eastAsia="zh-CN"/>
        </w:rPr>
        <w:t>（含</w:t>
      </w:r>
      <w:r>
        <w:rPr>
          <w:rFonts w:hint="default" w:ascii="Times New Roman" w:hAnsi="Times New Roman" w:eastAsia="仿宋_GB2312" w:cs="Times New Roman"/>
          <w:caps/>
          <w:smallCaps w:val="0"/>
          <w:sz w:val="32"/>
          <w:highlight w:val="none"/>
          <w:lang w:val="en-US" w:eastAsia="zh-CN"/>
        </w:rPr>
        <w:t>一次性</w:t>
      </w:r>
      <w:r>
        <w:rPr>
          <w:rFonts w:hint="eastAsia" w:ascii="Times New Roman" w:hAnsi="Times New Roman" w:eastAsia="仿宋_GB2312" w:cs="Times New Roman"/>
          <w:caps/>
          <w:smallCaps w:val="0"/>
          <w:sz w:val="32"/>
          <w:highlight w:val="none"/>
          <w:lang w:val="en-US" w:eastAsia="zh-CN"/>
        </w:rPr>
        <w:t>）</w:t>
      </w:r>
      <w:r>
        <w:rPr>
          <w:rFonts w:hint="default" w:ascii="Times New Roman" w:hAnsi="Times New Roman" w:eastAsia="仿宋_GB2312" w:cs="Times New Roman"/>
          <w:caps/>
          <w:smallCaps w:val="0"/>
          <w:sz w:val="32"/>
          <w:highlight w:val="none"/>
          <w:lang w:val="en-US" w:eastAsia="zh-CN"/>
        </w:rPr>
        <w:t>项目绩效分析。</w:t>
      </w:r>
      <w:r>
        <w:rPr>
          <w:rFonts w:hint="default" w:ascii="Times New Roman" w:hAnsi="Times New Roman" w:eastAsia="仿宋_GB2312" w:cs="Times New Roman"/>
          <w:caps/>
          <w:smallCaps w:val="0"/>
          <w:sz w:val="32"/>
          <w:highlight w:val="none"/>
          <w:lang w:val="zh-CN" w:eastAsia="zh-CN"/>
        </w:rPr>
        <w:t>该类项目总数</w:t>
      </w:r>
      <w:r>
        <w:rPr>
          <w:rFonts w:hint="eastAsia" w:ascii="Times New Roman" w:hAnsi="Times New Roman" w:eastAsia="仿宋_GB2312" w:cs="Times New Roman"/>
          <w:caps/>
          <w:smallCaps w:val="0"/>
          <w:sz w:val="32"/>
          <w:highlight w:val="none"/>
          <w:lang w:val="en-US" w:eastAsia="zh-CN"/>
        </w:rPr>
        <w:t>9</w:t>
      </w:r>
      <w:r>
        <w:rPr>
          <w:rFonts w:hint="default" w:ascii="Times New Roman" w:hAnsi="Times New Roman" w:eastAsia="仿宋_GB2312" w:cs="Times New Roman"/>
          <w:caps/>
          <w:smallCaps w:val="0"/>
          <w:sz w:val="32"/>
          <w:highlight w:val="none"/>
          <w:lang w:val="zh-CN" w:eastAsia="zh-CN"/>
        </w:rPr>
        <w:t>个，涉及预算总金额</w:t>
      </w:r>
      <w:r>
        <w:rPr>
          <w:rFonts w:hint="eastAsia" w:ascii="Times New Roman" w:hAnsi="Times New Roman" w:eastAsia="仿宋_GB2312" w:cs="Times New Roman"/>
          <w:caps/>
          <w:smallCaps w:val="0"/>
          <w:sz w:val="32"/>
          <w:highlight w:val="none"/>
          <w:lang w:val="en-US" w:eastAsia="zh-CN"/>
        </w:rPr>
        <w:t>1842.98</w:t>
      </w:r>
      <w:r>
        <w:rPr>
          <w:rFonts w:hint="default" w:ascii="Times New Roman" w:hAnsi="Times New Roman" w:eastAsia="仿宋_GB2312" w:cs="Times New Roman"/>
          <w:caps/>
          <w:smallCaps w:val="0"/>
          <w:sz w:val="32"/>
          <w:highlight w:val="none"/>
          <w:lang w:val="zh-CN" w:eastAsia="zh-CN"/>
        </w:rPr>
        <w:t>万元，1—1</w:t>
      </w:r>
      <w:r>
        <w:rPr>
          <w:rFonts w:hint="default" w:ascii="Times New Roman" w:hAnsi="Times New Roman" w:eastAsia="仿宋_GB2312" w:cs="Times New Roman"/>
          <w:caps/>
          <w:smallCaps w:val="0"/>
          <w:sz w:val="32"/>
          <w:highlight w:val="none"/>
          <w:lang w:val="en-US" w:eastAsia="zh-CN"/>
        </w:rPr>
        <w:t>2</w:t>
      </w:r>
      <w:r>
        <w:rPr>
          <w:rFonts w:hint="default" w:ascii="Times New Roman" w:hAnsi="Times New Roman" w:eastAsia="仿宋_GB2312" w:cs="Times New Roman"/>
          <w:caps/>
          <w:smallCaps w:val="0"/>
          <w:sz w:val="32"/>
          <w:highlight w:val="none"/>
          <w:lang w:val="zh-CN" w:eastAsia="zh-CN"/>
        </w:rPr>
        <w:t>月预算执行总体进度为</w:t>
      </w:r>
      <w:r>
        <w:rPr>
          <w:rFonts w:hint="eastAsia" w:ascii="Times New Roman" w:hAnsi="Times New Roman" w:eastAsia="仿宋_GB2312" w:cs="Times New Roman"/>
          <w:caps/>
          <w:smallCaps w:val="0"/>
          <w:sz w:val="32"/>
          <w:highlight w:val="none"/>
          <w:lang w:val="en-US" w:eastAsia="zh-CN"/>
        </w:rPr>
        <w:t>86.63</w:t>
      </w:r>
      <w:r>
        <w:rPr>
          <w:rFonts w:hint="default" w:ascii="Times New Roman" w:hAnsi="Times New Roman" w:eastAsia="仿宋_GB2312" w:cs="Times New Roman"/>
          <w:caps/>
          <w:smallCaps w:val="0"/>
          <w:sz w:val="32"/>
          <w:highlight w:val="none"/>
          <w:lang w:val="zh-CN" w:eastAsia="zh-CN"/>
        </w:rPr>
        <w:t>%</w:t>
      </w:r>
      <w:r>
        <w:rPr>
          <w:rFonts w:hint="eastAsia" w:ascii="Times New Roman" w:hAnsi="Times New Roman" w:eastAsia="仿宋_GB2312" w:cs="Times New Roman"/>
          <w:caps/>
          <w:smallCaps w:val="0"/>
          <w:sz w:val="32"/>
          <w:highlight w:val="none"/>
          <w:lang w:val="zh-CN" w:eastAsia="zh-CN"/>
        </w:rPr>
        <w:t>，</w:t>
      </w:r>
      <w:r>
        <w:rPr>
          <w:rFonts w:hint="eastAsia" w:ascii="Times New Roman" w:hAnsi="Times New Roman" w:eastAsia="仿宋_GB2312" w:cs="Times New Roman"/>
          <w:caps/>
          <w:smallCaps w:val="0"/>
          <w:sz w:val="32"/>
          <w:highlight w:val="none"/>
          <w:lang w:val="en-US" w:eastAsia="zh-CN"/>
        </w:rPr>
        <w:t>其中；</w:t>
      </w:r>
      <w:r>
        <w:rPr>
          <w:rFonts w:hint="default" w:ascii="Times New Roman" w:hAnsi="Times New Roman" w:eastAsia="仿宋_GB2312" w:cs="Times New Roman"/>
          <w:caps/>
          <w:smallCaps w:val="0"/>
          <w:sz w:val="32"/>
          <w:highlight w:val="none"/>
          <w:lang w:val="zh-CN" w:eastAsia="zh-CN"/>
        </w:rPr>
        <w:t>预算结余率大于</w:t>
      </w:r>
      <w:r>
        <w:rPr>
          <w:rFonts w:hint="default" w:ascii="Times New Roman" w:hAnsi="Times New Roman" w:eastAsia="仿宋_GB2312" w:cs="Times New Roman"/>
          <w:caps/>
          <w:smallCaps w:val="0"/>
          <w:sz w:val="32"/>
          <w:highlight w:val="none"/>
          <w:lang w:val="en-US" w:eastAsia="zh-CN"/>
        </w:rPr>
        <w:t>10%</w:t>
      </w:r>
      <w:r>
        <w:rPr>
          <w:rFonts w:hint="default" w:ascii="Times New Roman" w:hAnsi="Times New Roman" w:eastAsia="仿宋_GB2312" w:cs="Times New Roman"/>
          <w:caps/>
          <w:smallCaps w:val="0"/>
          <w:sz w:val="32"/>
          <w:highlight w:val="none"/>
          <w:lang w:val="zh-CN" w:eastAsia="zh-CN"/>
        </w:rPr>
        <w:t>的项目共计</w:t>
      </w:r>
      <w:r>
        <w:rPr>
          <w:rFonts w:hint="eastAsia" w:ascii="Times New Roman" w:hAnsi="Times New Roman" w:eastAsia="仿宋_GB2312" w:cs="Times New Roman"/>
          <w:caps/>
          <w:smallCaps w:val="0"/>
          <w:sz w:val="32"/>
          <w:highlight w:val="none"/>
          <w:lang w:val="en-US" w:eastAsia="zh-CN"/>
        </w:rPr>
        <w:t>6</w:t>
      </w:r>
      <w:r>
        <w:rPr>
          <w:rFonts w:hint="default" w:ascii="Times New Roman" w:hAnsi="Times New Roman" w:eastAsia="仿宋_GB2312" w:cs="Times New Roman"/>
          <w:caps/>
          <w:smallCaps w:val="0"/>
          <w:sz w:val="32"/>
          <w:highlight w:val="none"/>
          <w:lang w:val="zh-CN" w:eastAsia="zh-CN"/>
        </w:rPr>
        <w:t>个</w:t>
      </w:r>
      <w:r>
        <w:rPr>
          <w:rFonts w:hint="eastAsia" w:ascii="Times New Roman" w:hAnsi="Times New Roman" w:eastAsia="仿宋_GB2312" w:cs="Times New Roman"/>
          <w:caps/>
          <w:smallCaps w:val="0"/>
          <w:sz w:val="32"/>
          <w:highlight w:val="none"/>
          <w:lang w:val="zh-CN" w:eastAsia="zh-CN"/>
        </w:rPr>
        <w:t>。</w:t>
      </w:r>
    </w:p>
    <w:p w14:paraId="2756FC29">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outlineLvl w:val="9"/>
        <w:rPr>
          <w:rFonts w:hint="eastAsia" w:ascii="Times New Roman" w:hAnsi="Times New Roman" w:eastAsia="仿宋_GB2312" w:cs="Times New Roman"/>
          <w:caps/>
          <w:smallCaps w:val="0"/>
          <w:sz w:val="32"/>
          <w:highlight w:val="none"/>
          <w:lang w:val="zh-CN" w:eastAsia="zh-CN"/>
        </w:rPr>
      </w:pPr>
      <w:r>
        <w:rPr>
          <w:rFonts w:hint="default" w:ascii="Times New Roman" w:hAnsi="Times New Roman" w:eastAsia="仿宋_GB2312" w:cs="Times New Roman"/>
          <w:caps/>
          <w:smallCaps w:val="0"/>
          <w:sz w:val="32"/>
          <w:highlight w:val="none"/>
          <w:lang w:val="en-US" w:eastAsia="zh-CN"/>
        </w:rPr>
        <w:t>1</w:t>
      </w:r>
      <w:r>
        <w:rPr>
          <w:rFonts w:hint="eastAsia" w:ascii="Times New Roman" w:hAnsi="Times New Roman" w:eastAsia="仿宋_GB2312" w:cs="Times New Roman"/>
          <w:caps/>
          <w:smallCaps w:val="0"/>
          <w:sz w:val="32"/>
          <w:highlight w:val="none"/>
          <w:lang w:val="en-US" w:eastAsia="zh-CN"/>
        </w:rPr>
        <w:t>.</w:t>
      </w:r>
      <w:r>
        <w:rPr>
          <w:rFonts w:hint="eastAsia" w:ascii="Times New Roman" w:hAnsi="Times New Roman" w:eastAsia="仿宋_GB2312" w:cs="Times New Roman"/>
          <w:caps/>
          <w:smallCaps w:val="0"/>
          <w:sz w:val="32"/>
          <w:highlight w:val="none"/>
          <w:lang w:val="zh-CN" w:eastAsia="zh-CN"/>
        </w:rPr>
        <w:t>项目决策</w:t>
      </w:r>
    </w:p>
    <w:p w14:paraId="6B8CFE5C">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outlineLvl w:val="9"/>
        <w:rPr>
          <w:rFonts w:hint="eastAsia" w:ascii="Times New Roman" w:hAnsi="Times New Roman" w:eastAsia="仿宋_GB2312" w:cs="Times New Roman"/>
          <w:caps/>
          <w:smallCaps w:val="0"/>
          <w:sz w:val="32"/>
          <w:highlight w:val="none"/>
          <w:lang w:val="zh-CN" w:eastAsia="zh-CN"/>
        </w:rPr>
      </w:pPr>
      <w:r>
        <w:rPr>
          <w:rFonts w:hint="eastAsia" w:ascii="Times New Roman" w:hAnsi="Times New Roman" w:eastAsia="仿宋_GB2312" w:cs="Times New Roman"/>
          <w:caps/>
          <w:smallCaps w:val="0"/>
          <w:sz w:val="32"/>
          <w:highlight w:val="none"/>
          <w:lang w:val="zh-CN" w:eastAsia="zh-CN"/>
        </w:rPr>
        <w:t>（</w:t>
      </w:r>
      <w:r>
        <w:rPr>
          <w:rFonts w:hint="default" w:ascii="Times New Roman" w:hAnsi="Times New Roman" w:eastAsia="仿宋_GB2312" w:cs="Times New Roman"/>
          <w:caps/>
          <w:smallCaps w:val="0"/>
          <w:sz w:val="32"/>
          <w:highlight w:val="none"/>
          <w:lang w:val="en-US" w:eastAsia="zh-CN"/>
        </w:rPr>
        <w:t>1</w:t>
      </w:r>
      <w:r>
        <w:rPr>
          <w:rFonts w:hint="eastAsia" w:ascii="Times New Roman" w:hAnsi="Times New Roman" w:eastAsia="仿宋_GB2312" w:cs="Times New Roman"/>
          <w:caps/>
          <w:smallCaps w:val="0"/>
          <w:sz w:val="32"/>
          <w:highlight w:val="none"/>
          <w:lang w:val="zh-CN" w:eastAsia="zh-CN"/>
        </w:rPr>
        <w:t>）决策程序</w:t>
      </w:r>
    </w:p>
    <w:p w14:paraId="7A029ECB">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根据事前绩效评估相关要求，2024年我部门9个</w:t>
      </w:r>
      <w:r>
        <w:rPr>
          <w:rFonts w:hint="default" w:ascii="Times New Roman" w:hAnsi="Times New Roman" w:eastAsia="仿宋_GB2312" w:cs="Times New Roman"/>
          <w:caps/>
          <w:smallCaps w:val="0"/>
          <w:sz w:val="32"/>
          <w:highlight w:val="none"/>
          <w:lang w:val="en-US" w:eastAsia="zh-CN"/>
        </w:rPr>
        <w:t>预算阶段项目（含一次性项目）</w:t>
      </w:r>
      <w:r>
        <w:rPr>
          <w:rFonts w:hint="eastAsia" w:ascii="Times New Roman" w:hAnsi="Times New Roman" w:eastAsia="仿宋_GB2312" w:cs="Times New Roman"/>
          <w:caps/>
          <w:smallCaps w:val="0"/>
          <w:sz w:val="32"/>
          <w:highlight w:val="none"/>
          <w:lang w:val="en-US" w:eastAsia="zh-CN"/>
        </w:rPr>
        <w:t>均严格履行事前评估程序，项目立项依据充分，决策程序规范。</w:t>
      </w:r>
    </w:p>
    <w:p w14:paraId="27C75CAE">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default" w:ascii="Times New Roman" w:hAnsi="Times New Roman" w:eastAsia="仿宋_GB2312" w:cs="Times New Roman"/>
          <w:caps/>
          <w:smallCaps w:val="0"/>
          <w:sz w:val="32"/>
          <w:highlight w:val="none"/>
          <w:lang w:val="en-US" w:eastAsia="zh-CN"/>
        </w:rPr>
        <w:t>根据评分标准，该项指标不扣分，得4分</w:t>
      </w:r>
      <w:r>
        <w:rPr>
          <w:rFonts w:hint="eastAsia" w:ascii="Times New Roman" w:hAnsi="Times New Roman" w:eastAsia="仿宋_GB2312" w:cs="Times New Roman"/>
          <w:caps/>
          <w:smallCaps w:val="0"/>
          <w:sz w:val="32"/>
          <w:highlight w:val="none"/>
          <w:lang w:val="en-US" w:eastAsia="zh-CN"/>
        </w:rPr>
        <w:t>。</w:t>
      </w:r>
    </w:p>
    <w:p w14:paraId="46D568C0">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outlineLvl w:val="9"/>
        <w:rPr>
          <w:rFonts w:hint="default"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w:t>
      </w:r>
      <w:r>
        <w:rPr>
          <w:rFonts w:hint="default" w:ascii="Times New Roman" w:hAnsi="Times New Roman" w:eastAsia="仿宋_GB2312" w:cs="Times New Roman"/>
          <w:caps/>
          <w:smallCaps w:val="0"/>
          <w:sz w:val="32"/>
          <w:highlight w:val="none"/>
          <w:lang w:val="en-US" w:eastAsia="zh-CN"/>
        </w:rPr>
        <w:t>2</w:t>
      </w:r>
      <w:r>
        <w:rPr>
          <w:rFonts w:hint="eastAsia" w:ascii="Times New Roman" w:hAnsi="Times New Roman" w:eastAsia="仿宋_GB2312" w:cs="Times New Roman"/>
          <w:caps/>
          <w:smallCaps w:val="0"/>
          <w:sz w:val="32"/>
          <w:highlight w:val="none"/>
          <w:lang w:val="en-US" w:eastAsia="zh-CN"/>
        </w:rPr>
        <w:t>）目标设置</w:t>
      </w:r>
    </w:p>
    <w:p w14:paraId="26BEF681">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2024年我部门</w:t>
      </w:r>
      <w:r>
        <w:rPr>
          <w:rFonts w:hint="default" w:ascii="Times New Roman" w:hAnsi="Times New Roman" w:eastAsia="仿宋_GB2312" w:cs="Times New Roman"/>
          <w:caps/>
          <w:smallCaps w:val="0"/>
          <w:sz w:val="32"/>
          <w:highlight w:val="none"/>
          <w:lang w:val="zh-CN" w:eastAsia="zh-CN"/>
        </w:rPr>
        <w:t>开展绩效目标管理的</w:t>
      </w:r>
      <w:r>
        <w:rPr>
          <w:rFonts w:hint="eastAsia" w:ascii="Times New Roman" w:hAnsi="Times New Roman" w:eastAsia="仿宋_GB2312" w:cs="Times New Roman"/>
          <w:caps/>
          <w:smallCaps w:val="0"/>
          <w:sz w:val="32"/>
          <w:highlight w:val="none"/>
          <w:lang w:val="en-US" w:eastAsia="zh-CN"/>
        </w:rPr>
        <w:t>部门预算阶段项目（含一次性项目）共有9个</w:t>
      </w:r>
      <w:r>
        <w:rPr>
          <w:rFonts w:hint="eastAsia" w:ascii="Times New Roman" w:hAnsi="Times New Roman" w:eastAsia="仿宋_GB2312" w:cs="Times New Roman"/>
          <w:caps/>
          <w:smallCaps w:val="0"/>
          <w:sz w:val="32"/>
          <w:highlight w:val="none"/>
          <w:lang w:val="zh-CN" w:eastAsia="zh-CN"/>
        </w:rPr>
        <w:t>，</w:t>
      </w:r>
      <w:r>
        <w:rPr>
          <w:rFonts w:hint="eastAsia" w:ascii="Times New Roman" w:hAnsi="Times New Roman" w:eastAsia="仿宋_GB2312" w:cs="Times New Roman"/>
          <w:caps/>
          <w:smallCaps w:val="0"/>
          <w:sz w:val="32"/>
          <w:highlight w:val="none"/>
          <w:lang w:val="en-US" w:eastAsia="zh-CN"/>
        </w:rPr>
        <w:t>为充分发挥绩效目标引领作用，</w:t>
      </w:r>
      <w:r>
        <w:rPr>
          <w:rFonts w:hint="eastAsia" w:ascii="Times New Roman" w:hAnsi="Times New Roman" w:eastAsia="仿宋_GB2312" w:cs="Times New Roman"/>
          <w:caps/>
          <w:smallCaps w:val="0"/>
          <w:sz w:val="32"/>
          <w:highlight w:val="none"/>
          <w:lang w:val="zh-CN" w:eastAsia="zh-CN"/>
        </w:rPr>
        <w:t>我部门</w:t>
      </w:r>
      <w:r>
        <w:rPr>
          <w:rFonts w:hint="eastAsia" w:ascii="Times New Roman" w:hAnsi="Times New Roman" w:eastAsia="仿宋_GB2312" w:cs="Times New Roman"/>
          <w:caps/>
          <w:smallCaps w:val="0"/>
          <w:sz w:val="32"/>
          <w:highlight w:val="none"/>
          <w:lang w:val="en-US" w:eastAsia="zh-CN"/>
        </w:rPr>
        <w:t>贯彻落实《中共四川省委办公厅四川省人民政府办公厅关于深入实施预算绩效管理的通知》（川委厅〔</w:t>
      </w:r>
      <w:r>
        <w:rPr>
          <w:rFonts w:hint="default" w:ascii="Times New Roman" w:hAnsi="Times New Roman" w:eastAsia="仿宋_GB2312" w:cs="Times New Roman"/>
          <w:caps/>
          <w:smallCaps w:val="0"/>
          <w:sz w:val="32"/>
          <w:highlight w:val="none"/>
          <w:lang w:val="en-US" w:eastAsia="zh-CN"/>
        </w:rPr>
        <w:t>2021</w:t>
      </w:r>
      <w:r>
        <w:rPr>
          <w:rFonts w:hint="eastAsia" w:ascii="Times New Roman" w:hAnsi="Times New Roman" w:eastAsia="仿宋_GB2312" w:cs="Times New Roman"/>
          <w:caps/>
          <w:smallCaps w:val="0"/>
          <w:sz w:val="32"/>
          <w:highlight w:val="none"/>
          <w:lang w:val="en-US" w:eastAsia="zh-CN"/>
        </w:rPr>
        <w:t>〕</w:t>
      </w:r>
      <w:r>
        <w:rPr>
          <w:rFonts w:hint="default" w:ascii="Times New Roman" w:hAnsi="Times New Roman" w:eastAsia="仿宋_GB2312" w:cs="Times New Roman"/>
          <w:caps/>
          <w:smallCaps w:val="0"/>
          <w:sz w:val="32"/>
          <w:highlight w:val="none"/>
          <w:lang w:val="en-US" w:eastAsia="zh-CN"/>
        </w:rPr>
        <w:t>5</w:t>
      </w:r>
      <w:r>
        <w:rPr>
          <w:rFonts w:hint="eastAsia" w:ascii="Times New Roman" w:hAnsi="Times New Roman" w:eastAsia="仿宋_GB2312" w:cs="Times New Roman"/>
          <w:caps/>
          <w:smallCaps w:val="0"/>
          <w:sz w:val="32"/>
          <w:highlight w:val="none"/>
          <w:lang w:val="en-US" w:eastAsia="zh-CN"/>
        </w:rPr>
        <w:t>号）文件精神，9个项目均设置了相应的绩效目标表。</w:t>
      </w:r>
    </w:p>
    <w:p w14:paraId="28CBBA1C">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default" w:ascii="Times New Roman" w:hAnsi="Times New Roman" w:eastAsia="仿宋_GB2312" w:cs="Times New Roman"/>
          <w:caps/>
          <w:smallCaps w:val="0"/>
          <w:sz w:val="32"/>
          <w:highlight w:val="none"/>
          <w:lang w:val="en-US" w:eastAsia="zh-CN"/>
        </w:rPr>
        <w:t>根据评分标准，该项指标不扣分，得4分</w:t>
      </w:r>
      <w:r>
        <w:rPr>
          <w:rFonts w:hint="eastAsia" w:ascii="Times New Roman" w:hAnsi="Times New Roman" w:eastAsia="仿宋_GB2312" w:cs="Times New Roman"/>
          <w:caps/>
          <w:smallCaps w:val="0"/>
          <w:sz w:val="32"/>
          <w:highlight w:val="none"/>
          <w:lang w:val="en-US" w:eastAsia="zh-CN"/>
        </w:rPr>
        <w:t>。</w:t>
      </w:r>
    </w:p>
    <w:p w14:paraId="25F0EB7F">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outlineLvl w:val="9"/>
        <w:rPr>
          <w:rFonts w:hint="default"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w:t>
      </w:r>
      <w:r>
        <w:rPr>
          <w:rFonts w:hint="default" w:ascii="Times New Roman" w:hAnsi="Times New Roman" w:eastAsia="仿宋_GB2312" w:cs="Times New Roman"/>
          <w:caps/>
          <w:smallCaps w:val="0"/>
          <w:sz w:val="32"/>
          <w:highlight w:val="none"/>
          <w:lang w:val="en-US" w:eastAsia="zh-CN"/>
        </w:rPr>
        <w:t>3</w:t>
      </w:r>
      <w:r>
        <w:rPr>
          <w:rFonts w:hint="eastAsia" w:ascii="Times New Roman" w:hAnsi="Times New Roman" w:eastAsia="仿宋_GB2312" w:cs="Times New Roman"/>
          <w:caps/>
          <w:smallCaps w:val="0"/>
          <w:sz w:val="32"/>
          <w:highlight w:val="none"/>
          <w:lang w:val="en-US" w:eastAsia="zh-CN"/>
        </w:rPr>
        <w:t>）项目入库</w:t>
      </w:r>
    </w:p>
    <w:p w14:paraId="7B4E56CA">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zh-CN" w:eastAsia="zh-CN"/>
        </w:rPr>
        <w:t>2024年我部门需在</w:t>
      </w:r>
      <w:r>
        <w:rPr>
          <w:rFonts w:hint="eastAsia" w:ascii="Times New Roman" w:hAnsi="Times New Roman" w:eastAsia="仿宋_GB2312" w:cs="Times New Roman"/>
          <w:caps/>
          <w:smallCaps w:val="0"/>
          <w:sz w:val="32"/>
          <w:highlight w:val="none"/>
          <w:lang w:val="en-US" w:eastAsia="zh-CN"/>
        </w:rPr>
        <w:t>规定时间内进行入库的</w:t>
      </w:r>
      <w:r>
        <w:rPr>
          <w:rFonts w:hint="eastAsia" w:ascii="Times New Roman" w:hAnsi="Times New Roman" w:eastAsia="仿宋_GB2312" w:cs="Times New Roman"/>
          <w:caps/>
          <w:smallCaps w:val="0"/>
          <w:sz w:val="32"/>
          <w:highlight w:val="none"/>
          <w:lang w:val="zh-CN" w:eastAsia="zh-CN"/>
        </w:rPr>
        <w:t>项目共有</w:t>
      </w:r>
      <w:r>
        <w:rPr>
          <w:rFonts w:hint="eastAsia" w:ascii="Times New Roman" w:hAnsi="Times New Roman" w:eastAsia="仿宋_GB2312" w:cs="Times New Roman"/>
          <w:caps/>
          <w:smallCaps w:val="0"/>
          <w:sz w:val="32"/>
          <w:highlight w:val="none"/>
          <w:lang w:val="en-US" w:eastAsia="zh-CN"/>
        </w:rPr>
        <w:t>9</w:t>
      </w:r>
      <w:r>
        <w:rPr>
          <w:rFonts w:hint="eastAsia" w:ascii="Times New Roman" w:hAnsi="Times New Roman" w:eastAsia="仿宋_GB2312" w:cs="Times New Roman"/>
          <w:caps/>
          <w:smallCaps w:val="0"/>
          <w:sz w:val="32"/>
          <w:highlight w:val="none"/>
          <w:lang w:val="zh-CN" w:eastAsia="zh-CN"/>
        </w:rPr>
        <w:t>个，</w:t>
      </w:r>
      <w:r>
        <w:rPr>
          <w:rFonts w:hint="eastAsia" w:ascii="Times New Roman" w:hAnsi="Times New Roman" w:eastAsia="仿宋_GB2312" w:cs="Times New Roman"/>
          <w:caps/>
          <w:smallCaps w:val="0"/>
          <w:sz w:val="32"/>
          <w:highlight w:val="none"/>
          <w:lang w:val="en-US" w:eastAsia="zh-CN"/>
        </w:rPr>
        <w:t>均在规定时间内完成了项目入库。</w:t>
      </w:r>
    </w:p>
    <w:p w14:paraId="13B773AA">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default" w:ascii="Times New Roman" w:hAnsi="Times New Roman" w:eastAsia="仿宋_GB2312" w:cs="Times New Roman"/>
          <w:caps/>
          <w:smallCaps w:val="0"/>
          <w:sz w:val="32"/>
          <w:highlight w:val="none"/>
          <w:lang w:val="en-US" w:eastAsia="zh-CN"/>
        </w:rPr>
        <w:t>根据评分标准，该项指标不扣分，得4分</w:t>
      </w:r>
      <w:r>
        <w:rPr>
          <w:rFonts w:hint="eastAsia" w:ascii="Times New Roman" w:hAnsi="Times New Roman" w:eastAsia="仿宋_GB2312" w:cs="Times New Roman"/>
          <w:caps/>
          <w:smallCaps w:val="0"/>
          <w:sz w:val="32"/>
          <w:highlight w:val="none"/>
          <w:lang w:val="en-US" w:eastAsia="zh-CN"/>
        </w:rPr>
        <w:t>。</w:t>
      </w:r>
    </w:p>
    <w:p w14:paraId="13534352">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outlineLvl w:val="9"/>
        <w:rPr>
          <w:rFonts w:hint="eastAsia" w:ascii="Times New Roman" w:hAnsi="Times New Roman" w:eastAsia="仿宋_GB2312" w:cs="Times New Roman"/>
          <w:caps/>
          <w:smallCaps w:val="0"/>
          <w:sz w:val="32"/>
          <w:highlight w:val="none"/>
          <w:lang w:val="zh-CN" w:eastAsia="zh-CN"/>
        </w:rPr>
      </w:pPr>
      <w:r>
        <w:rPr>
          <w:rFonts w:hint="default" w:ascii="Times New Roman" w:hAnsi="Times New Roman" w:eastAsia="仿宋_GB2312" w:cs="Times New Roman"/>
          <w:caps/>
          <w:smallCaps w:val="0"/>
          <w:sz w:val="32"/>
          <w:highlight w:val="none"/>
          <w:lang w:val="en-US" w:eastAsia="zh-CN"/>
        </w:rPr>
        <w:t>2</w:t>
      </w:r>
      <w:r>
        <w:rPr>
          <w:rFonts w:hint="eastAsia" w:ascii="Times New Roman" w:hAnsi="Times New Roman" w:eastAsia="仿宋_GB2312" w:cs="Times New Roman"/>
          <w:caps/>
          <w:smallCaps w:val="0"/>
          <w:sz w:val="32"/>
          <w:highlight w:val="none"/>
          <w:lang w:val="en-US" w:eastAsia="zh-CN"/>
        </w:rPr>
        <w:t>.项目执行</w:t>
      </w:r>
    </w:p>
    <w:p w14:paraId="40006484">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outlineLvl w:val="9"/>
        <w:rPr>
          <w:rFonts w:hint="eastAsia" w:ascii="Times New Roman" w:hAnsi="Times New Roman" w:eastAsia="仿宋_GB2312" w:cs="Times New Roman"/>
          <w:caps/>
          <w:smallCaps w:val="0"/>
          <w:sz w:val="32"/>
          <w:highlight w:val="none"/>
          <w:lang w:val="zh-CN" w:eastAsia="zh-CN"/>
        </w:rPr>
      </w:pPr>
      <w:r>
        <w:rPr>
          <w:rFonts w:hint="eastAsia" w:ascii="Times New Roman" w:hAnsi="Times New Roman" w:eastAsia="仿宋_GB2312" w:cs="Times New Roman"/>
          <w:caps/>
          <w:smallCaps w:val="0"/>
          <w:sz w:val="32"/>
          <w:highlight w:val="none"/>
          <w:lang w:val="zh-CN" w:eastAsia="zh-CN"/>
        </w:rPr>
        <w:t>（</w:t>
      </w:r>
      <w:r>
        <w:rPr>
          <w:rFonts w:hint="default" w:ascii="Times New Roman" w:hAnsi="Times New Roman" w:eastAsia="仿宋_GB2312" w:cs="Times New Roman"/>
          <w:caps/>
          <w:smallCaps w:val="0"/>
          <w:sz w:val="32"/>
          <w:highlight w:val="none"/>
          <w:lang w:val="en-US" w:eastAsia="zh-CN"/>
        </w:rPr>
        <w:t>1</w:t>
      </w:r>
      <w:r>
        <w:rPr>
          <w:rFonts w:hint="eastAsia" w:ascii="Times New Roman" w:hAnsi="Times New Roman" w:eastAsia="仿宋_GB2312" w:cs="Times New Roman"/>
          <w:caps/>
          <w:smallCaps w:val="0"/>
          <w:sz w:val="32"/>
          <w:highlight w:val="none"/>
          <w:lang w:val="zh-CN" w:eastAsia="zh-CN"/>
        </w:rPr>
        <w:t>）执行同向</w:t>
      </w:r>
    </w:p>
    <w:p w14:paraId="13B0E98C">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我部门严格按照部门预算项目批复内容实施项目，项目资金使用符合预算批复用途，与项目总体绩效目标设置方向相符，没有相悖或不合理之处。</w:t>
      </w:r>
    </w:p>
    <w:p w14:paraId="761F85E1">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default" w:ascii="Times New Roman" w:hAnsi="Times New Roman" w:eastAsia="仿宋_GB2312" w:cs="Times New Roman"/>
          <w:caps/>
          <w:smallCaps w:val="0"/>
          <w:sz w:val="32"/>
          <w:highlight w:val="none"/>
          <w:lang w:val="en-US" w:eastAsia="zh-CN"/>
        </w:rPr>
        <w:t>根据评分标准，该项指标不扣分，得4分</w:t>
      </w:r>
      <w:r>
        <w:rPr>
          <w:rFonts w:hint="eastAsia" w:ascii="Times New Roman" w:hAnsi="Times New Roman" w:eastAsia="仿宋_GB2312" w:cs="Times New Roman"/>
          <w:caps/>
          <w:smallCaps w:val="0"/>
          <w:sz w:val="32"/>
          <w:highlight w:val="none"/>
          <w:lang w:val="en-US" w:eastAsia="zh-CN"/>
        </w:rPr>
        <w:t>。</w:t>
      </w:r>
    </w:p>
    <w:p w14:paraId="27B5CC28">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outlineLvl w:val="9"/>
        <w:rPr>
          <w:rFonts w:hint="eastAsia" w:ascii="Times New Roman" w:hAnsi="Times New Roman" w:eastAsia="仿宋_GB2312" w:cs="Times New Roman"/>
          <w:caps/>
          <w:smallCaps w:val="0"/>
          <w:sz w:val="32"/>
          <w:highlight w:val="none"/>
          <w:lang w:val="zh-CN" w:eastAsia="zh-CN"/>
        </w:rPr>
      </w:pPr>
      <w:r>
        <w:rPr>
          <w:rFonts w:hint="eastAsia" w:ascii="Times New Roman" w:hAnsi="Times New Roman" w:eastAsia="仿宋_GB2312" w:cs="Times New Roman"/>
          <w:caps/>
          <w:smallCaps w:val="0"/>
          <w:sz w:val="32"/>
          <w:highlight w:val="none"/>
          <w:lang w:val="zh-CN" w:eastAsia="zh-CN"/>
        </w:rPr>
        <w:t>（</w:t>
      </w:r>
      <w:r>
        <w:rPr>
          <w:rFonts w:hint="default" w:ascii="Times New Roman" w:hAnsi="Times New Roman" w:eastAsia="仿宋_GB2312" w:cs="Times New Roman"/>
          <w:caps/>
          <w:smallCaps w:val="0"/>
          <w:sz w:val="32"/>
          <w:highlight w:val="none"/>
          <w:lang w:val="en-US" w:eastAsia="zh-CN"/>
        </w:rPr>
        <w:t>2</w:t>
      </w:r>
      <w:r>
        <w:rPr>
          <w:rFonts w:hint="eastAsia" w:ascii="Times New Roman" w:hAnsi="Times New Roman" w:eastAsia="仿宋_GB2312" w:cs="Times New Roman"/>
          <w:caps/>
          <w:smallCaps w:val="0"/>
          <w:sz w:val="32"/>
          <w:highlight w:val="none"/>
          <w:lang w:val="zh-CN" w:eastAsia="zh-CN"/>
        </w:rPr>
        <w:t>）项目调整</w:t>
      </w:r>
    </w:p>
    <w:p w14:paraId="6707401E">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2024年我部门年初设置的部门项目预算较为合理，项目总体绩效目标设置较为科学合理，预算调整及时，与实际情况基本相符，不存在应采取但未采取收回预算、调整目标等处置措施的部门预算阶段项目，故不涉及收回预算、调整目标等处置措施。</w:t>
      </w:r>
    </w:p>
    <w:p w14:paraId="5DC8CB5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zh-CN" w:eastAsia="zh-CN"/>
        </w:rPr>
      </w:pPr>
      <w:r>
        <w:rPr>
          <w:rFonts w:hint="default" w:ascii="Times New Roman" w:hAnsi="Times New Roman" w:eastAsia="仿宋_GB2312" w:cs="Times New Roman"/>
          <w:caps/>
          <w:smallCaps w:val="0"/>
          <w:sz w:val="32"/>
          <w:highlight w:val="none"/>
          <w:lang w:val="en-US" w:eastAsia="zh-CN"/>
        </w:rPr>
        <w:t>根据评分标准，该项指标不扣分，得4分</w:t>
      </w:r>
      <w:r>
        <w:rPr>
          <w:rFonts w:hint="eastAsia" w:ascii="Times New Roman" w:hAnsi="Times New Roman" w:eastAsia="仿宋_GB2312" w:cs="Times New Roman"/>
          <w:caps/>
          <w:smallCaps w:val="0"/>
          <w:sz w:val="32"/>
          <w:highlight w:val="none"/>
          <w:lang w:val="en-US" w:eastAsia="zh-CN"/>
        </w:rPr>
        <w:t>。</w:t>
      </w:r>
    </w:p>
    <w:p w14:paraId="7DB078EE">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outlineLvl w:val="9"/>
        <w:rPr>
          <w:rFonts w:hint="eastAsia" w:ascii="Times New Roman" w:hAnsi="Times New Roman" w:eastAsia="仿宋_GB2312" w:cs="Times New Roman"/>
          <w:caps/>
          <w:smallCaps w:val="0"/>
          <w:sz w:val="32"/>
          <w:highlight w:val="none"/>
          <w:lang w:val="zh-CN" w:eastAsia="zh-CN"/>
        </w:rPr>
      </w:pPr>
      <w:r>
        <w:rPr>
          <w:rFonts w:hint="eastAsia" w:ascii="Times New Roman" w:hAnsi="Times New Roman" w:eastAsia="仿宋_GB2312" w:cs="Times New Roman"/>
          <w:caps/>
          <w:smallCaps w:val="0"/>
          <w:sz w:val="32"/>
          <w:highlight w:val="none"/>
          <w:lang w:val="zh-CN" w:eastAsia="zh-CN"/>
        </w:rPr>
        <w:t>（</w:t>
      </w:r>
      <w:r>
        <w:rPr>
          <w:rFonts w:hint="default" w:ascii="Times New Roman" w:hAnsi="Times New Roman" w:eastAsia="仿宋_GB2312" w:cs="Times New Roman"/>
          <w:caps/>
          <w:smallCaps w:val="0"/>
          <w:sz w:val="32"/>
          <w:highlight w:val="none"/>
          <w:lang w:val="en-US" w:eastAsia="zh-CN"/>
        </w:rPr>
        <w:t>3</w:t>
      </w:r>
      <w:r>
        <w:rPr>
          <w:rFonts w:hint="eastAsia" w:ascii="Times New Roman" w:hAnsi="Times New Roman" w:eastAsia="仿宋_GB2312" w:cs="Times New Roman"/>
          <w:caps/>
          <w:smallCaps w:val="0"/>
          <w:sz w:val="32"/>
          <w:highlight w:val="none"/>
          <w:lang w:val="zh-CN" w:eastAsia="zh-CN"/>
        </w:rPr>
        <w:t>）执行结果</w:t>
      </w:r>
    </w:p>
    <w:p w14:paraId="1D4B05F0">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zh-CN" w:eastAsia="zh-CN"/>
        </w:rPr>
      </w:pPr>
      <w:r>
        <w:rPr>
          <w:rFonts w:hint="eastAsia" w:ascii="Times New Roman" w:hAnsi="Times New Roman" w:eastAsia="仿宋_GB2312" w:cs="Times New Roman"/>
          <w:caps/>
          <w:smallCaps w:val="0"/>
          <w:sz w:val="32"/>
          <w:highlight w:val="none"/>
          <w:lang w:val="en-US" w:eastAsia="zh-CN"/>
        </w:rPr>
        <w:t>2024年我部门</w:t>
      </w:r>
      <w:r>
        <w:rPr>
          <w:rFonts w:hint="eastAsia" w:ascii="Times New Roman" w:hAnsi="Times New Roman" w:eastAsia="仿宋_GB2312" w:cs="Times New Roman"/>
          <w:caps/>
          <w:smallCaps w:val="0"/>
          <w:sz w:val="32"/>
          <w:highlight w:val="none"/>
          <w:lang w:val="zh-CN" w:eastAsia="zh-CN"/>
        </w:rPr>
        <w:t>常年项目</w:t>
      </w:r>
      <w:r>
        <w:rPr>
          <w:rFonts w:hint="eastAsia" w:ascii="Times New Roman" w:hAnsi="Times New Roman" w:eastAsia="仿宋_GB2312" w:cs="Times New Roman"/>
          <w:caps/>
          <w:smallCaps w:val="0"/>
          <w:sz w:val="32"/>
          <w:highlight w:val="none"/>
          <w:lang w:val="en-US" w:eastAsia="zh-CN"/>
        </w:rPr>
        <w:t>共计1</w:t>
      </w:r>
      <w:r>
        <w:rPr>
          <w:rFonts w:hint="eastAsia" w:ascii="Times New Roman" w:hAnsi="Times New Roman" w:eastAsia="仿宋_GB2312" w:cs="Times New Roman"/>
          <w:caps/>
          <w:smallCaps w:val="0"/>
          <w:sz w:val="32"/>
          <w:highlight w:val="none"/>
          <w:lang w:val="zh-CN" w:eastAsia="zh-CN"/>
        </w:rPr>
        <w:t>个，预算结余率</w:t>
      </w:r>
      <w:r>
        <w:rPr>
          <w:rFonts w:hint="eastAsia" w:ascii="Times New Roman" w:hAnsi="Times New Roman" w:eastAsia="仿宋_GB2312" w:cs="Times New Roman"/>
          <w:caps/>
          <w:smallCaps w:val="0"/>
          <w:sz w:val="32"/>
          <w:highlight w:val="none"/>
          <w:lang w:val="en-US" w:eastAsia="zh-CN"/>
        </w:rPr>
        <w:t>小</w:t>
      </w:r>
      <w:r>
        <w:rPr>
          <w:rFonts w:hint="eastAsia" w:ascii="Times New Roman" w:hAnsi="Times New Roman" w:eastAsia="仿宋_GB2312" w:cs="Times New Roman"/>
          <w:caps/>
          <w:smallCaps w:val="0"/>
          <w:sz w:val="32"/>
          <w:highlight w:val="none"/>
          <w:lang w:val="zh-CN" w:eastAsia="zh-CN"/>
        </w:rPr>
        <w:t>于</w:t>
      </w:r>
      <w:r>
        <w:rPr>
          <w:rFonts w:hint="default" w:ascii="Times New Roman" w:hAnsi="Times New Roman" w:eastAsia="仿宋_GB2312" w:cs="Times New Roman"/>
          <w:caps/>
          <w:smallCaps w:val="0"/>
          <w:sz w:val="32"/>
          <w:highlight w:val="none"/>
          <w:lang w:val="zh-CN" w:eastAsia="zh-CN"/>
        </w:rPr>
        <w:t>10</w:t>
      </w:r>
      <w:r>
        <w:rPr>
          <w:rFonts w:hint="eastAsia" w:ascii="Times New Roman" w:hAnsi="Times New Roman" w:eastAsia="仿宋_GB2312" w:cs="Times New Roman"/>
          <w:caps/>
          <w:smallCaps w:val="0"/>
          <w:sz w:val="32"/>
          <w:highlight w:val="none"/>
          <w:lang w:val="zh-CN" w:eastAsia="zh-CN"/>
        </w:rPr>
        <w:t>%</w:t>
      </w:r>
      <w:r>
        <w:rPr>
          <w:rFonts w:hint="eastAsia" w:ascii="Times New Roman" w:hAnsi="Times New Roman" w:eastAsia="仿宋_GB2312" w:cs="Times New Roman"/>
          <w:caps/>
          <w:smallCaps w:val="0"/>
          <w:sz w:val="32"/>
          <w:highlight w:val="none"/>
          <w:lang w:val="en-US" w:eastAsia="zh-CN"/>
        </w:rPr>
        <w:t>的常年项目数量为0个</w:t>
      </w:r>
      <w:r>
        <w:rPr>
          <w:rFonts w:hint="eastAsia" w:ascii="Times New Roman" w:hAnsi="Times New Roman" w:eastAsia="仿宋_GB2312" w:cs="Times New Roman"/>
          <w:caps/>
          <w:smallCaps w:val="0"/>
          <w:sz w:val="32"/>
          <w:highlight w:val="none"/>
          <w:lang w:val="zh-CN" w:eastAsia="zh-CN"/>
        </w:rPr>
        <w:t>；阶段（一次性）项目</w:t>
      </w:r>
      <w:r>
        <w:rPr>
          <w:rFonts w:hint="eastAsia" w:ascii="Times New Roman" w:hAnsi="Times New Roman" w:eastAsia="仿宋_GB2312" w:cs="Times New Roman"/>
          <w:caps/>
          <w:smallCaps w:val="0"/>
          <w:sz w:val="32"/>
          <w:highlight w:val="none"/>
          <w:lang w:val="en-US" w:eastAsia="zh-CN"/>
        </w:rPr>
        <w:t>共计9</w:t>
      </w:r>
      <w:r>
        <w:rPr>
          <w:rFonts w:hint="eastAsia" w:ascii="Times New Roman" w:hAnsi="Times New Roman" w:eastAsia="仿宋_GB2312" w:cs="Times New Roman"/>
          <w:caps/>
          <w:smallCaps w:val="0"/>
          <w:sz w:val="32"/>
          <w:highlight w:val="none"/>
          <w:lang w:val="zh-CN" w:eastAsia="zh-CN"/>
        </w:rPr>
        <w:t>个，</w:t>
      </w:r>
      <w:r>
        <w:rPr>
          <w:rFonts w:hint="eastAsia" w:ascii="Times New Roman" w:hAnsi="Times New Roman" w:eastAsia="仿宋_GB2312" w:cs="Times New Roman"/>
          <w:caps/>
          <w:smallCaps w:val="0"/>
          <w:sz w:val="32"/>
          <w:highlight w:val="none"/>
          <w:lang w:val="en-US" w:eastAsia="zh-CN"/>
        </w:rPr>
        <w:t>预算结余率小于10%的一次性项目和阶段项目数量为3个。</w:t>
      </w:r>
    </w:p>
    <w:p w14:paraId="5321902E">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zh-CN" w:eastAsia="zh-CN"/>
        </w:rPr>
      </w:pPr>
      <w:r>
        <w:rPr>
          <w:rFonts w:hint="default" w:ascii="Times New Roman" w:hAnsi="Times New Roman" w:eastAsia="仿宋_GB2312" w:cs="Times New Roman"/>
          <w:caps/>
          <w:smallCaps w:val="0"/>
          <w:sz w:val="32"/>
          <w:highlight w:val="none"/>
          <w:lang w:val="en-US" w:eastAsia="zh-CN"/>
        </w:rPr>
        <w:t>根据评分标准，该项指标扣3.33分，得0.67分</w:t>
      </w:r>
      <w:r>
        <w:rPr>
          <w:rFonts w:hint="eastAsia" w:ascii="Times New Roman" w:hAnsi="Times New Roman" w:eastAsia="仿宋_GB2312" w:cs="Times New Roman"/>
          <w:caps/>
          <w:smallCaps w:val="0"/>
          <w:sz w:val="32"/>
          <w:highlight w:val="none"/>
          <w:lang w:val="en-US" w:eastAsia="zh-CN"/>
        </w:rPr>
        <w:t>。</w:t>
      </w:r>
    </w:p>
    <w:p w14:paraId="465FAF2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outlineLvl w:val="9"/>
        <w:rPr>
          <w:rFonts w:hint="default" w:ascii="Times New Roman" w:hAnsi="Times New Roman" w:eastAsia="仿宋_GB2312" w:cs="Times New Roman"/>
          <w:caps/>
          <w:smallCaps w:val="0"/>
          <w:sz w:val="32"/>
          <w:highlight w:val="none"/>
          <w:lang w:val="en-US" w:eastAsia="zh-CN"/>
        </w:rPr>
      </w:pPr>
      <w:r>
        <w:rPr>
          <w:rFonts w:hint="default" w:ascii="Times New Roman" w:hAnsi="Times New Roman" w:eastAsia="仿宋_GB2312" w:cs="Times New Roman"/>
          <w:caps/>
          <w:smallCaps w:val="0"/>
          <w:sz w:val="32"/>
          <w:highlight w:val="none"/>
          <w:lang w:val="en-US" w:eastAsia="zh-CN"/>
        </w:rPr>
        <w:t>3</w:t>
      </w:r>
      <w:r>
        <w:rPr>
          <w:rFonts w:hint="eastAsia" w:ascii="Times New Roman" w:hAnsi="Times New Roman" w:eastAsia="仿宋_GB2312" w:cs="Times New Roman"/>
          <w:caps/>
          <w:smallCaps w:val="0"/>
          <w:sz w:val="32"/>
          <w:highlight w:val="none"/>
          <w:lang w:val="en-US" w:eastAsia="zh-CN"/>
        </w:rPr>
        <w:t>.</w:t>
      </w:r>
      <w:r>
        <w:rPr>
          <w:rFonts w:hint="eastAsia" w:ascii="Times New Roman" w:hAnsi="Times New Roman" w:eastAsia="仿宋_GB2312" w:cs="Times New Roman"/>
          <w:caps/>
          <w:smallCaps w:val="0"/>
          <w:sz w:val="32"/>
          <w:highlight w:val="none"/>
          <w:lang w:val="zh-CN" w:eastAsia="zh-CN"/>
        </w:rPr>
        <w:t>目标实现</w:t>
      </w:r>
    </w:p>
    <w:p w14:paraId="0D77087C">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outlineLvl w:val="9"/>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w:t>
      </w:r>
      <w:r>
        <w:rPr>
          <w:rFonts w:hint="default" w:ascii="Times New Roman" w:hAnsi="Times New Roman" w:eastAsia="仿宋_GB2312" w:cs="Times New Roman"/>
          <w:caps/>
          <w:smallCaps w:val="0"/>
          <w:sz w:val="32"/>
          <w:highlight w:val="none"/>
          <w:lang w:val="en-US" w:eastAsia="zh-CN"/>
        </w:rPr>
        <w:t>1</w:t>
      </w:r>
      <w:r>
        <w:rPr>
          <w:rFonts w:hint="eastAsia" w:ascii="Times New Roman" w:hAnsi="Times New Roman" w:eastAsia="仿宋_GB2312" w:cs="Times New Roman"/>
          <w:caps/>
          <w:smallCaps w:val="0"/>
          <w:sz w:val="32"/>
          <w:highlight w:val="none"/>
          <w:lang w:val="en-US" w:eastAsia="zh-CN"/>
        </w:rPr>
        <w:t>）目标完成</w:t>
      </w:r>
    </w:p>
    <w:p w14:paraId="353BB009">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2024年部门预算阶段项目（含一次性项目）共有10个，结合项目实施的实际情况，我部门所涉及的部门预算阶段项目（含一次性项目）各数量指标全部完成的数量为3个。</w:t>
      </w:r>
    </w:p>
    <w:p w14:paraId="214E1580">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default" w:ascii="Times New Roman" w:hAnsi="Times New Roman" w:eastAsia="仿宋_GB2312" w:cs="Times New Roman"/>
          <w:caps/>
          <w:smallCaps w:val="0"/>
          <w:sz w:val="32"/>
          <w:highlight w:val="none"/>
          <w:lang w:val="en-US" w:eastAsia="zh-CN"/>
        </w:rPr>
        <w:t>根据评分标准，该项指标扣2.67分，得1.33分</w:t>
      </w:r>
      <w:r>
        <w:rPr>
          <w:rFonts w:hint="eastAsia" w:ascii="Times New Roman" w:hAnsi="Times New Roman" w:eastAsia="仿宋_GB2312" w:cs="Times New Roman"/>
          <w:caps/>
          <w:smallCaps w:val="0"/>
          <w:sz w:val="32"/>
          <w:highlight w:val="none"/>
          <w:lang w:val="en-US" w:eastAsia="zh-CN"/>
        </w:rPr>
        <w:t>。</w:t>
      </w:r>
    </w:p>
    <w:p w14:paraId="3338851D">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outlineLvl w:val="9"/>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w:t>
      </w:r>
      <w:r>
        <w:rPr>
          <w:rFonts w:hint="default" w:ascii="Times New Roman" w:hAnsi="Times New Roman" w:eastAsia="仿宋_GB2312" w:cs="Times New Roman"/>
          <w:caps/>
          <w:smallCaps w:val="0"/>
          <w:sz w:val="32"/>
          <w:highlight w:val="none"/>
          <w:lang w:val="en-US" w:eastAsia="zh-CN"/>
        </w:rPr>
        <w:t>2</w:t>
      </w:r>
      <w:r>
        <w:rPr>
          <w:rFonts w:hint="eastAsia" w:ascii="Times New Roman" w:hAnsi="Times New Roman" w:eastAsia="仿宋_GB2312" w:cs="Times New Roman"/>
          <w:caps/>
          <w:smallCaps w:val="0"/>
          <w:sz w:val="32"/>
          <w:highlight w:val="none"/>
          <w:lang w:val="en-US" w:eastAsia="zh-CN"/>
        </w:rPr>
        <w:t>）目标偏离</w:t>
      </w:r>
    </w:p>
    <w:p w14:paraId="60027174">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2024年我部门部门预算项目（含</w:t>
      </w:r>
      <w:r>
        <w:rPr>
          <w:rFonts w:hint="default" w:ascii="Times New Roman" w:hAnsi="Times New Roman" w:eastAsia="仿宋_GB2312" w:cs="Times New Roman"/>
          <w:caps/>
          <w:smallCaps w:val="0"/>
          <w:sz w:val="32"/>
          <w:highlight w:val="none"/>
          <w:lang w:val="en-US" w:eastAsia="zh-CN"/>
        </w:rPr>
        <w:t>常年项目</w:t>
      </w:r>
      <w:r>
        <w:rPr>
          <w:rFonts w:hint="eastAsia" w:ascii="Times New Roman" w:hAnsi="Times New Roman" w:eastAsia="仿宋_GB2312" w:cs="Times New Roman"/>
          <w:caps/>
          <w:smallCaps w:val="0"/>
          <w:sz w:val="32"/>
          <w:highlight w:val="none"/>
          <w:lang w:val="en-US" w:eastAsia="zh-CN"/>
        </w:rPr>
        <w:t>和阶段项目及一次性项目）共有10个，各项目数量指标的完成值与设定预期指标值的偏离度在</w:t>
      </w:r>
      <w:r>
        <w:rPr>
          <w:rFonts w:hint="default" w:ascii="Times New Roman" w:hAnsi="Times New Roman" w:eastAsia="仿宋_GB2312" w:cs="Times New Roman"/>
          <w:caps/>
          <w:smallCaps w:val="0"/>
          <w:sz w:val="32"/>
          <w:highlight w:val="none"/>
          <w:lang w:val="en-US" w:eastAsia="zh-CN"/>
        </w:rPr>
        <w:t>30</w:t>
      </w:r>
      <w:r>
        <w:rPr>
          <w:rFonts w:hint="eastAsia" w:ascii="Times New Roman" w:hAnsi="Times New Roman" w:eastAsia="仿宋_GB2312" w:cs="Times New Roman"/>
          <w:caps/>
          <w:smallCaps w:val="0"/>
          <w:sz w:val="32"/>
          <w:highlight w:val="none"/>
          <w:lang w:val="en-US" w:eastAsia="zh-CN"/>
        </w:rPr>
        <w:t>%以内的个数为8个。</w:t>
      </w:r>
    </w:p>
    <w:p w14:paraId="26DF1D26">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default" w:ascii="Times New Roman" w:hAnsi="Times New Roman" w:eastAsia="仿宋_GB2312" w:cs="Times New Roman"/>
          <w:caps/>
          <w:smallCaps w:val="0"/>
          <w:sz w:val="32"/>
          <w:highlight w:val="none"/>
          <w:lang w:val="en-US" w:eastAsia="zh-CN"/>
        </w:rPr>
        <w:t>根据评分标准，该项指标不扣分，得4分</w:t>
      </w:r>
      <w:r>
        <w:rPr>
          <w:rFonts w:hint="eastAsia" w:ascii="Times New Roman" w:hAnsi="Times New Roman" w:eastAsia="仿宋_GB2312" w:cs="Times New Roman"/>
          <w:caps/>
          <w:smallCaps w:val="0"/>
          <w:sz w:val="32"/>
          <w:highlight w:val="none"/>
          <w:lang w:val="en-US" w:eastAsia="zh-CN"/>
        </w:rPr>
        <w:t>。</w:t>
      </w:r>
    </w:p>
    <w:p w14:paraId="645582A8">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outlineLvl w:val="9"/>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w:t>
      </w:r>
      <w:r>
        <w:rPr>
          <w:rFonts w:hint="default" w:ascii="Times New Roman" w:hAnsi="Times New Roman" w:eastAsia="仿宋_GB2312" w:cs="Times New Roman"/>
          <w:caps/>
          <w:smallCaps w:val="0"/>
          <w:sz w:val="32"/>
          <w:highlight w:val="none"/>
          <w:lang w:val="en-US" w:eastAsia="zh-CN"/>
        </w:rPr>
        <w:t>3</w:t>
      </w:r>
      <w:r>
        <w:rPr>
          <w:rFonts w:hint="eastAsia" w:ascii="Times New Roman" w:hAnsi="Times New Roman" w:eastAsia="仿宋_GB2312" w:cs="Times New Roman"/>
          <w:caps/>
          <w:smallCaps w:val="0"/>
          <w:sz w:val="32"/>
          <w:highlight w:val="none"/>
          <w:lang w:val="en-US" w:eastAsia="zh-CN"/>
        </w:rPr>
        <w:t>）实现效果</w:t>
      </w:r>
    </w:p>
    <w:p w14:paraId="5F5CF76A">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2024年我部门需进行绩效目标管理的部门预算阶段项目共有9个，预期效益指标均已完成的项目个数为3个。</w:t>
      </w:r>
    </w:p>
    <w:p w14:paraId="593805C9">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zh-CN" w:eastAsia="zh-CN"/>
        </w:rPr>
      </w:pPr>
      <w:r>
        <w:rPr>
          <w:rFonts w:hint="default" w:ascii="Times New Roman" w:hAnsi="Times New Roman" w:eastAsia="仿宋_GB2312" w:cs="Times New Roman"/>
          <w:caps/>
          <w:smallCaps w:val="0"/>
          <w:sz w:val="32"/>
          <w:highlight w:val="none"/>
          <w:lang w:val="en-US" w:eastAsia="zh-CN"/>
        </w:rPr>
        <w:t>根据评分标准，该项指标扣2分，得1分</w:t>
      </w:r>
      <w:r>
        <w:rPr>
          <w:rFonts w:hint="eastAsia" w:ascii="Times New Roman" w:hAnsi="Times New Roman" w:eastAsia="仿宋_GB2312" w:cs="Times New Roman"/>
          <w:caps/>
          <w:smallCaps w:val="0"/>
          <w:sz w:val="32"/>
          <w:highlight w:val="none"/>
          <w:lang w:val="en-US" w:eastAsia="zh-CN"/>
        </w:rPr>
        <w:t>。</w:t>
      </w:r>
    </w:p>
    <w:p w14:paraId="546D4E55">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楷体_GB2312" w:cs="Times New Roman"/>
          <w:b/>
          <w:bCs/>
          <w:color w:val="000000"/>
          <w:kern w:val="0"/>
          <w:sz w:val="32"/>
          <w:szCs w:val="32"/>
          <w:highlight w:val="none"/>
          <w:shd w:val="clear" w:color="auto" w:fill="FFFFFF"/>
          <w:lang w:val="zh-CN" w:eastAsia="zh-CN"/>
        </w:rPr>
        <w:t>重点领域</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p>
    <w:p w14:paraId="396DDC08">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en-US" w:eastAsia="zh-CN"/>
        </w:rPr>
        <w:t>行政事业性国有资产绩效分析。</w:t>
      </w:r>
    </w:p>
    <w:p w14:paraId="6FE7B656">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2024年度，我部门无资产配置预算，但严格按照相关文件要求，做好国有资产的清理盘点、统计报告及日常监督检查工作，2024年度国有资产基础管理、日常管理、效率管理等方面整体效益较好，有效保障了国有资产安全，提高了国有资产利用率</w:t>
      </w:r>
      <w:r>
        <w:rPr>
          <w:rFonts w:hint="default" w:ascii="Times New Roman" w:hAnsi="Times New Roman" w:eastAsia="仿宋_GB2312" w:cs="Times New Roman"/>
          <w:caps/>
          <w:smallCaps w:val="0"/>
          <w:sz w:val="32"/>
          <w:highlight w:val="none"/>
          <w:lang w:val="en-US" w:eastAsia="zh-CN"/>
        </w:rPr>
        <w:t>。</w:t>
      </w:r>
    </w:p>
    <w:p w14:paraId="4073FBE8">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（四）绩效结果应用情况。</w:t>
      </w:r>
    </w:p>
    <w:p w14:paraId="090AC7D3">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我部门</w:t>
      </w:r>
      <w:r>
        <w:rPr>
          <w:rFonts w:hint="eastAsia" w:ascii="Times New Roman" w:hAnsi="Times New Roman" w:eastAsia="仿宋_GB2312" w:cs="Times New Roman"/>
          <w:caps/>
          <w:smallCaps w:val="0"/>
          <w:sz w:val="32"/>
          <w:highlight w:val="none"/>
          <w:lang w:val="zh-CN" w:eastAsia="zh-CN"/>
        </w:rPr>
        <w:t>为进一步提高行政事业单位内部管理水平和风险防范能力，规范内部控制，加强廉政风险防控机制建设，我部门在对预算、收支、政府采购、资产、建设项目、合同等各类经济业务活动流程梳理的基础上，明确业务环节，系统分析经济活动风险，确定风险点，选择应对策略，形成了内部控制制度</w:t>
      </w:r>
      <w:r>
        <w:rPr>
          <w:rFonts w:hint="eastAsia" w:ascii="Times New Roman" w:hAnsi="Times New Roman" w:eastAsia="仿宋_GB2312" w:cs="Times New Roman"/>
          <w:caps/>
          <w:smallCaps w:val="0"/>
          <w:sz w:val="32"/>
          <w:highlight w:val="none"/>
          <w:lang w:val="en-US" w:eastAsia="zh-CN"/>
        </w:rPr>
        <w:t>手册</w:t>
      </w:r>
      <w:r>
        <w:rPr>
          <w:rFonts w:hint="eastAsia" w:ascii="Times New Roman" w:hAnsi="Times New Roman" w:eastAsia="仿宋_GB2312" w:cs="Times New Roman"/>
          <w:caps/>
          <w:smallCaps w:val="0"/>
          <w:sz w:val="32"/>
          <w:highlight w:val="none"/>
          <w:lang w:val="zh-CN" w:eastAsia="zh-CN"/>
        </w:rPr>
        <w:t>，我部门严格按照内控制度进行预算绩效管理，并按照相关要求将绩效信息随同</w:t>
      </w:r>
      <w:r>
        <w:rPr>
          <w:rFonts w:hint="eastAsia" w:ascii="Times New Roman" w:hAnsi="Times New Roman" w:eastAsia="仿宋_GB2312" w:cs="Times New Roman"/>
          <w:caps/>
          <w:smallCaps w:val="0"/>
          <w:sz w:val="32"/>
          <w:highlight w:val="none"/>
          <w:lang w:val="en-US" w:eastAsia="zh-CN"/>
        </w:rPr>
        <w:t>预</w:t>
      </w:r>
      <w:r>
        <w:rPr>
          <w:rFonts w:hint="eastAsia" w:ascii="Times New Roman" w:hAnsi="Times New Roman" w:eastAsia="仿宋_GB2312" w:cs="Times New Roman"/>
          <w:caps/>
          <w:smallCaps w:val="0"/>
          <w:sz w:val="32"/>
          <w:highlight w:val="none"/>
          <w:lang w:val="zh-CN" w:eastAsia="zh-CN"/>
        </w:rPr>
        <w:t>决算公开。</w:t>
      </w:r>
    </w:p>
    <w:p w14:paraId="271BDC1E">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9"/>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eastAsia="zh-CN"/>
        </w:rPr>
        <w:t>四、</w:t>
      </w:r>
      <w:r>
        <w:rPr>
          <w:rFonts w:hint="default" w:ascii="Times New Roman" w:hAnsi="Times New Roman" w:eastAsia="黑体" w:cs="Times New Roman"/>
          <w:color w:val="auto"/>
          <w:sz w:val="32"/>
          <w:szCs w:val="32"/>
          <w:highlight w:val="none"/>
          <w:u w:val="none"/>
        </w:rPr>
        <w:t>评价结论及建议</w:t>
      </w:r>
    </w:p>
    <w:p w14:paraId="60E1EEF1">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p>
    <w:p w14:paraId="7D9DBB1A">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我部门针对</w:t>
      </w:r>
      <w:r>
        <w:rPr>
          <w:rFonts w:hint="default" w:ascii="Times New Roman" w:hAnsi="Times New Roman" w:eastAsia="仿宋_GB2312" w:cs="Times New Roman"/>
          <w:caps/>
          <w:smallCaps w:val="0"/>
          <w:sz w:val="32"/>
          <w:highlight w:val="none"/>
          <w:lang w:val="en-US" w:eastAsia="zh-CN"/>
        </w:rPr>
        <w:t>本次财政预算绩效自评工作，严格按照《预算绩效评价共性指标体系框架》及相关财务管理规定，</w:t>
      </w:r>
      <w:r>
        <w:rPr>
          <w:rFonts w:hint="eastAsia" w:ascii="Times New Roman" w:hAnsi="Times New Roman" w:eastAsia="仿宋_GB2312" w:cs="Times New Roman"/>
          <w:caps/>
          <w:smallCaps w:val="0"/>
          <w:sz w:val="32"/>
          <w:highlight w:val="none"/>
          <w:lang w:val="en-US" w:eastAsia="zh-CN"/>
        </w:rPr>
        <w:t>结合我部门2024年度工作开展情况及履职情况，</w:t>
      </w:r>
      <w:r>
        <w:rPr>
          <w:rFonts w:hint="default" w:ascii="Times New Roman" w:hAnsi="Times New Roman" w:eastAsia="仿宋_GB2312" w:cs="Times New Roman"/>
          <w:caps/>
          <w:smallCaps w:val="0"/>
          <w:sz w:val="32"/>
          <w:highlight w:val="none"/>
          <w:lang w:val="en-US" w:eastAsia="zh-CN"/>
        </w:rPr>
        <w:t>对</w:t>
      </w:r>
      <w:r>
        <w:rPr>
          <w:rFonts w:hint="eastAsia" w:ascii="Times New Roman" w:hAnsi="Times New Roman" w:eastAsia="仿宋_GB2312" w:cs="Times New Roman"/>
          <w:caps/>
          <w:smallCaps w:val="0"/>
          <w:sz w:val="32"/>
          <w:highlight w:val="none"/>
          <w:lang w:val="en-US" w:eastAsia="zh-CN"/>
        </w:rPr>
        <w:t>2024年度部门</w:t>
      </w:r>
      <w:r>
        <w:rPr>
          <w:rFonts w:hint="default" w:ascii="Times New Roman" w:hAnsi="Times New Roman" w:eastAsia="仿宋_GB2312" w:cs="Times New Roman"/>
          <w:caps/>
          <w:smallCaps w:val="0"/>
          <w:sz w:val="32"/>
          <w:highlight w:val="none"/>
          <w:lang w:val="en-US" w:eastAsia="zh-CN"/>
        </w:rPr>
        <w:t>预算资金的使用情况进行了全面、深入的分析和评价。经过自评，我们得出以下结论</w:t>
      </w:r>
      <w:r>
        <w:rPr>
          <w:rFonts w:hint="eastAsia" w:ascii="Times New Roman" w:hAnsi="Times New Roman" w:eastAsia="仿宋_GB2312" w:cs="Times New Roman"/>
          <w:caps/>
          <w:smallCaps w:val="0"/>
          <w:sz w:val="32"/>
          <w:highlight w:val="none"/>
          <w:lang w:val="en-US" w:eastAsia="zh-CN"/>
        </w:rPr>
        <w:t>：2024年度，我部门切实履行了部门职责，部门预算管理、财务管理、资产管理和采购管理等规范有序，较好地完成了各项年度任务，部门预算支出使用效益达到预期，但我部门在年度预算项目绩效指标编制方面，其个别指标设置质量相对不高，按照部门预算绩效评价指标体系中指标评分标准要求，2024年我部门部门预算绩效评价综合得分85.26分。</w:t>
      </w:r>
    </w:p>
    <w:p w14:paraId="2AB1ECE2">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p>
    <w:p w14:paraId="0D8B7B72">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eastAsia" w:ascii="Times New Roman" w:hAnsi="Times New Roman" w:eastAsia="仿宋_GB2312" w:cs="Times New Roman"/>
          <w:caps/>
          <w:smallCaps w:val="0"/>
          <w:sz w:val="32"/>
          <w:highlight w:val="none"/>
          <w:lang w:val="en-US" w:eastAsia="zh-CN"/>
        </w:rPr>
        <w:t>资产管理能力</w:t>
      </w:r>
      <w:r>
        <w:rPr>
          <w:rFonts w:hint="default" w:ascii="Times New Roman" w:hAnsi="Times New Roman" w:eastAsia="仿宋_GB2312" w:cs="Times New Roman"/>
          <w:caps/>
          <w:smallCaps w:val="0"/>
          <w:sz w:val="32"/>
          <w:highlight w:val="none"/>
          <w:lang w:val="en-US" w:eastAsia="zh-CN"/>
        </w:rPr>
        <w:t>有待进一步提高。2024年，</w:t>
      </w:r>
      <w:r>
        <w:rPr>
          <w:rFonts w:hint="eastAsia" w:ascii="Times New Roman" w:hAnsi="Times New Roman" w:eastAsia="仿宋_GB2312" w:cs="Times New Roman"/>
          <w:caps/>
          <w:smallCaps w:val="0"/>
          <w:sz w:val="32"/>
          <w:highlight w:val="none"/>
          <w:lang w:val="en-US" w:eastAsia="zh-CN"/>
        </w:rPr>
        <w:t>我部门存在部分资产信息空白的情况，</w:t>
      </w:r>
      <w:r>
        <w:rPr>
          <w:rFonts w:hint="default" w:ascii="Times New Roman" w:hAnsi="Times New Roman" w:eastAsia="仿宋_GB2312" w:cs="Times New Roman"/>
          <w:caps/>
          <w:smallCaps w:val="0"/>
          <w:sz w:val="32"/>
          <w:highlight w:val="none"/>
          <w:lang w:val="en-US" w:eastAsia="zh-CN"/>
        </w:rPr>
        <w:t>主要原因系</w:t>
      </w:r>
      <w:r>
        <w:rPr>
          <w:rFonts w:hint="eastAsia" w:ascii="Times New Roman" w:hAnsi="Times New Roman" w:eastAsia="仿宋_GB2312" w:cs="Times New Roman"/>
          <w:caps/>
          <w:smallCaps w:val="0"/>
          <w:sz w:val="32"/>
          <w:highlight w:val="none"/>
          <w:lang w:val="en-US" w:eastAsia="zh-CN"/>
        </w:rPr>
        <w:t>资产管理任务</w:t>
      </w:r>
      <w:r>
        <w:rPr>
          <w:rFonts w:hint="default" w:ascii="Times New Roman" w:hAnsi="Times New Roman" w:eastAsia="仿宋_GB2312" w:cs="Times New Roman"/>
          <w:caps/>
          <w:smallCaps w:val="0"/>
          <w:sz w:val="32"/>
          <w:highlight w:val="none"/>
          <w:lang w:val="en-US" w:eastAsia="zh-CN"/>
        </w:rPr>
        <w:t>不够细</w:t>
      </w:r>
      <w:r>
        <w:rPr>
          <w:rFonts w:hint="eastAsia" w:ascii="Times New Roman" w:hAnsi="Times New Roman" w:eastAsia="仿宋_GB2312" w:cs="Times New Roman"/>
          <w:caps/>
          <w:smallCaps w:val="0"/>
          <w:sz w:val="32"/>
          <w:highlight w:val="none"/>
          <w:lang w:val="en-US" w:eastAsia="zh-CN"/>
        </w:rPr>
        <w:t>化</w:t>
      </w:r>
      <w:r>
        <w:rPr>
          <w:rFonts w:hint="default" w:ascii="Times New Roman" w:hAnsi="Times New Roman" w:eastAsia="仿宋_GB2312" w:cs="Times New Roman"/>
          <w:caps/>
          <w:smallCaps w:val="0"/>
          <w:sz w:val="32"/>
          <w:highlight w:val="none"/>
          <w:lang w:val="en-US" w:eastAsia="zh-CN"/>
        </w:rPr>
        <w:t>，</w:t>
      </w:r>
      <w:r>
        <w:rPr>
          <w:rFonts w:hint="eastAsia" w:ascii="Times New Roman" w:hAnsi="Times New Roman" w:eastAsia="仿宋_GB2312" w:cs="Times New Roman"/>
          <w:caps/>
          <w:smallCaps w:val="0"/>
          <w:sz w:val="32"/>
          <w:highlight w:val="none"/>
          <w:lang w:val="en-US" w:eastAsia="zh-CN"/>
        </w:rPr>
        <w:t>资产总额及数量较多，资产管理能力较弱</w:t>
      </w:r>
      <w:r>
        <w:rPr>
          <w:rFonts w:hint="default" w:ascii="Times New Roman" w:hAnsi="Times New Roman" w:eastAsia="仿宋_GB2312" w:cs="Times New Roman"/>
          <w:caps/>
          <w:smallCaps w:val="0"/>
          <w:sz w:val="32"/>
          <w:highlight w:val="none"/>
          <w:lang w:val="en-US" w:eastAsia="zh-CN"/>
        </w:rPr>
        <w:t>。</w:t>
      </w:r>
    </w:p>
    <w:p w14:paraId="5459BE57">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en-US" w:eastAsia="zh-CN"/>
        </w:rPr>
      </w:pPr>
      <w:bookmarkStart w:id="69" w:name="_Hlk110546638"/>
      <w:r>
        <w:rPr>
          <w:rFonts w:hint="default" w:ascii="Times New Roman" w:hAnsi="Times New Roman" w:eastAsia="楷体_GB2312" w:cs="Times New Roman"/>
          <w:b/>
          <w:bCs/>
          <w:color w:val="000000"/>
          <w:kern w:val="0"/>
          <w:sz w:val="32"/>
          <w:szCs w:val="32"/>
          <w:highlight w:val="none"/>
          <w:shd w:val="clear" w:color="auto" w:fill="FFFFFF"/>
          <w:lang w:val="zh-CN" w:eastAsia="zh-CN"/>
        </w:rPr>
        <w:t>（三）改进建议。</w:t>
      </w:r>
    </w:p>
    <w:p w14:paraId="049C8701">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aps/>
          <w:smallCaps w:val="0"/>
          <w:sz w:val="32"/>
          <w:highlight w:val="none"/>
          <w:lang w:val="en-US" w:eastAsia="zh-CN"/>
        </w:rPr>
      </w:pPr>
      <w:r>
        <w:rPr>
          <w:rFonts w:hint="eastAsia" w:eastAsia="仿宋_GB2312" w:cs="Times New Roman"/>
          <w:caps/>
          <w:smallCaps w:val="0"/>
          <w:sz w:val="32"/>
          <w:highlight w:val="none"/>
          <w:lang w:val="en-US" w:eastAsia="zh-CN"/>
        </w:rPr>
        <w:t>建议</w:t>
      </w:r>
      <w:r>
        <w:rPr>
          <w:rFonts w:hint="default" w:ascii="Times New Roman" w:hAnsi="Times New Roman" w:eastAsia="仿宋_GB2312" w:cs="Times New Roman"/>
          <w:caps/>
          <w:smallCaps w:val="0"/>
          <w:sz w:val="32"/>
          <w:highlight w:val="none"/>
          <w:lang w:val="en-US" w:eastAsia="zh-CN"/>
        </w:rPr>
        <w:t>考虑全年可能出现的</w:t>
      </w:r>
      <w:r>
        <w:rPr>
          <w:rFonts w:hint="eastAsia" w:eastAsia="仿宋_GB2312" w:cs="Times New Roman"/>
          <w:caps/>
          <w:smallCaps w:val="0"/>
          <w:sz w:val="32"/>
          <w:highlight w:val="none"/>
          <w:lang w:val="en-US" w:eastAsia="zh-CN"/>
        </w:rPr>
        <w:t>资产变化</w:t>
      </w:r>
      <w:r>
        <w:rPr>
          <w:rFonts w:hint="default" w:ascii="Times New Roman" w:hAnsi="Times New Roman" w:eastAsia="仿宋_GB2312" w:cs="Times New Roman"/>
          <w:caps/>
          <w:smallCaps w:val="0"/>
          <w:sz w:val="32"/>
          <w:highlight w:val="none"/>
          <w:lang w:val="en-US" w:eastAsia="zh-CN"/>
        </w:rPr>
        <w:t>需求，合理</w:t>
      </w:r>
      <w:r>
        <w:rPr>
          <w:rFonts w:hint="eastAsia" w:eastAsia="仿宋_GB2312" w:cs="Times New Roman"/>
          <w:caps/>
          <w:smallCaps w:val="0"/>
          <w:sz w:val="32"/>
          <w:highlight w:val="none"/>
          <w:lang w:val="en-US" w:eastAsia="zh-CN"/>
        </w:rPr>
        <w:t>安排资产管理人员</w:t>
      </w:r>
      <w:r>
        <w:rPr>
          <w:rFonts w:hint="default" w:ascii="Times New Roman" w:hAnsi="Times New Roman" w:eastAsia="仿宋_GB2312" w:cs="Times New Roman"/>
          <w:caps/>
          <w:smallCaps w:val="0"/>
          <w:sz w:val="32"/>
          <w:highlight w:val="none"/>
          <w:lang w:val="en-US" w:eastAsia="zh-CN"/>
        </w:rPr>
        <w:t>，</w:t>
      </w:r>
      <w:r>
        <w:rPr>
          <w:rFonts w:hint="eastAsia" w:eastAsia="仿宋_GB2312" w:cs="Times New Roman"/>
          <w:caps/>
          <w:smallCaps w:val="0"/>
          <w:sz w:val="32"/>
          <w:highlight w:val="none"/>
          <w:lang w:val="en-US" w:eastAsia="zh-CN"/>
        </w:rPr>
        <w:t>加强资产管理手段，同时严格按照内控制度中的内部控制规范建设制度运行，</w:t>
      </w:r>
      <w:r>
        <w:rPr>
          <w:rFonts w:hint="default" w:ascii="Times New Roman" w:hAnsi="Times New Roman" w:eastAsia="仿宋_GB2312" w:cs="Times New Roman"/>
          <w:caps/>
          <w:smallCaps w:val="0"/>
          <w:sz w:val="32"/>
          <w:highlight w:val="none"/>
          <w:lang w:val="en-US" w:eastAsia="zh-CN"/>
        </w:rPr>
        <w:t>遵循安全规范、节约高效、公开透明、权责一致的原则，实现实物管理与价值管理相统一，资产管理与预算管理、财务管理相结合</w:t>
      </w:r>
      <w:r>
        <w:rPr>
          <w:rFonts w:hint="eastAsia" w:eastAsia="仿宋_GB2312" w:cs="Times New Roman"/>
          <w:caps/>
          <w:smallCaps w:val="0"/>
          <w:sz w:val="32"/>
          <w:highlight w:val="none"/>
          <w:lang w:val="en-US" w:eastAsia="zh-CN"/>
        </w:rPr>
        <w:t>，</w:t>
      </w:r>
      <w:r>
        <w:rPr>
          <w:rFonts w:hint="default" w:ascii="Times New Roman" w:hAnsi="Times New Roman" w:eastAsia="仿宋_GB2312" w:cs="Times New Roman"/>
          <w:caps/>
          <w:smallCaps w:val="0"/>
          <w:sz w:val="32"/>
          <w:highlight w:val="none"/>
          <w:lang w:val="en-US" w:eastAsia="zh-CN"/>
        </w:rPr>
        <w:t>提升</w:t>
      </w:r>
      <w:r>
        <w:rPr>
          <w:rFonts w:hint="eastAsia" w:eastAsia="仿宋_GB2312" w:cs="Times New Roman"/>
          <w:caps/>
          <w:smallCaps w:val="0"/>
          <w:sz w:val="32"/>
          <w:highlight w:val="none"/>
          <w:lang w:val="en-US" w:eastAsia="zh-CN"/>
        </w:rPr>
        <w:t>资产</w:t>
      </w:r>
      <w:r>
        <w:rPr>
          <w:rFonts w:hint="default" w:ascii="Times New Roman" w:hAnsi="Times New Roman" w:eastAsia="仿宋_GB2312" w:cs="Times New Roman"/>
          <w:caps/>
          <w:smallCaps w:val="0"/>
          <w:sz w:val="32"/>
          <w:highlight w:val="none"/>
          <w:lang w:val="en-US" w:eastAsia="zh-CN"/>
        </w:rPr>
        <w:t>管理水平。</w:t>
      </w:r>
    </w:p>
    <w:bookmarkEnd w:id="69"/>
    <w:p w14:paraId="09C93230">
      <w:pPr>
        <w:keepNext w:val="0"/>
        <w:keepLines w:val="0"/>
        <w:pageBreakBefore w:val="0"/>
        <w:kinsoku/>
        <w:wordWrap/>
        <w:overflowPunct/>
        <w:topLinePunct w:val="0"/>
        <w:autoSpaceDE/>
        <w:autoSpaceDN/>
        <w:bidi w:val="0"/>
        <w:spacing w:line="578" w:lineRule="exact"/>
        <w:ind w:firstLine="420" w:firstLineChars="200"/>
        <w:textAlignment w:val="auto"/>
        <w:rPr>
          <w:rFonts w:hint="default" w:ascii="Times New Roman" w:hAnsi="Times New Roman" w:cs="Times New Roman"/>
          <w:color w:val="000000"/>
          <w:kern w:val="0"/>
          <w:szCs w:val="32"/>
          <w:highlight w:val="none"/>
          <w:shd w:val="clear" w:color="auto" w:fill="FFFFFF"/>
          <w:lang w:val="en-US" w:eastAsia="zh-CN"/>
        </w:rPr>
      </w:pPr>
    </w:p>
    <w:p w14:paraId="66A0D9E2">
      <w:pPr>
        <w:keepNext w:val="0"/>
        <w:keepLines w:val="0"/>
        <w:pageBreakBefore w:val="0"/>
        <w:kinsoku/>
        <w:wordWrap/>
        <w:overflowPunct/>
        <w:topLinePunct w:val="0"/>
        <w:autoSpaceDE/>
        <w:autoSpaceDN/>
        <w:bidi w:val="0"/>
        <w:spacing w:line="578" w:lineRule="exact"/>
        <w:ind w:firstLine="420" w:firstLineChars="200"/>
        <w:textAlignment w:val="auto"/>
        <w:rPr>
          <w:rFonts w:hint="eastAsia" w:ascii="Times New Roman" w:hAnsi="Times New Roman" w:eastAsia="宋体" w:cs="Times New Roman"/>
          <w:color w:val="000000"/>
          <w:kern w:val="0"/>
          <w:szCs w:val="32"/>
          <w:highlight w:val="none"/>
          <w:shd w:val="clear" w:color="auto" w:fill="FFFFFF"/>
          <w:lang w:val="en-US" w:eastAsia="zh-CN"/>
        </w:rPr>
      </w:pPr>
      <w:r>
        <w:rPr>
          <w:rFonts w:hint="default" w:ascii="Times New Roman" w:hAnsi="Times New Roman" w:cs="Times New Roman"/>
          <w:color w:val="000000"/>
          <w:kern w:val="0"/>
          <w:szCs w:val="32"/>
          <w:highlight w:val="none"/>
          <w:shd w:val="clear" w:color="auto" w:fill="FFFFFF"/>
          <w:lang w:val="en-US" w:eastAsia="zh-CN"/>
        </w:rPr>
        <w:t>附表：</w:t>
      </w:r>
      <w:r>
        <w:rPr>
          <w:rFonts w:hint="eastAsia" w:ascii="Times New Roman" w:hAnsi="Times New Roman" w:eastAsia="宋体" w:cs="Times New Roman"/>
          <w:color w:val="000000"/>
          <w:kern w:val="0"/>
          <w:szCs w:val="32"/>
          <w:highlight w:val="none"/>
          <w:shd w:val="clear" w:color="auto" w:fill="FFFFFF"/>
          <w:lang w:val="en-US" w:eastAsia="zh-CN"/>
        </w:rPr>
        <w:t>1.部门预算绩效自评打分表</w:t>
      </w:r>
    </w:p>
    <w:p w14:paraId="64419060">
      <w:pPr>
        <w:keepNext w:val="0"/>
        <w:keepLines w:val="0"/>
        <w:pageBreakBefore w:val="0"/>
        <w:kinsoku/>
        <w:wordWrap/>
        <w:overflowPunct/>
        <w:topLinePunct w:val="0"/>
        <w:autoSpaceDE/>
        <w:autoSpaceDN/>
        <w:bidi w:val="0"/>
        <w:spacing w:line="578" w:lineRule="exact"/>
        <w:ind w:firstLine="1050" w:firstLineChars="500"/>
        <w:textAlignment w:val="auto"/>
        <w:rPr>
          <w:rFonts w:hint="default" w:ascii="Times New Roman" w:hAnsi="Times New Roman" w:eastAsia="宋体" w:cs="Times New Roman"/>
          <w:color w:val="000000"/>
          <w:kern w:val="0"/>
          <w:szCs w:val="32"/>
          <w:highlight w:val="none"/>
          <w:shd w:val="clear" w:color="auto" w:fill="FFFFFF"/>
          <w:lang w:val="en-US" w:eastAsia="zh-CN"/>
        </w:rPr>
      </w:pPr>
      <w:r>
        <w:rPr>
          <w:rFonts w:hint="eastAsia" w:ascii="Times New Roman" w:hAnsi="Times New Roman" w:eastAsia="宋体" w:cs="Times New Roman"/>
          <w:color w:val="000000"/>
          <w:kern w:val="0"/>
          <w:szCs w:val="32"/>
          <w:highlight w:val="none"/>
          <w:shd w:val="clear" w:color="auto" w:fill="FFFFFF"/>
          <w:lang w:val="en-US" w:eastAsia="zh-CN"/>
        </w:rPr>
        <w:t>2.</w:t>
      </w:r>
      <w:r>
        <w:rPr>
          <w:rFonts w:hint="default" w:ascii="Times New Roman" w:hAnsi="Times New Roman" w:eastAsia="宋体" w:cs="Times New Roman"/>
          <w:color w:val="000000"/>
          <w:kern w:val="0"/>
          <w:szCs w:val="32"/>
          <w:highlight w:val="none"/>
          <w:shd w:val="clear" w:color="auto" w:fill="FFFFFF"/>
          <w:lang w:val="en-US" w:eastAsia="zh-CN"/>
        </w:rPr>
        <w:t>部门整体绩效目标完成情况自评表</w:t>
      </w:r>
    </w:p>
    <w:p w14:paraId="6189B175">
      <w:pPr>
        <w:keepNext w:val="0"/>
        <w:keepLines w:val="0"/>
        <w:pageBreakBefore w:val="0"/>
        <w:kinsoku/>
        <w:wordWrap/>
        <w:overflowPunct/>
        <w:topLinePunct w:val="0"/>
        <w:autoSpaceDE/>
        <w:autoSpaceDN/>
        <w:bidi w:val="0"/>
        <w:spacing w:line="578" w:lineRule="exact"/>
        <w:ind w:firstLine="1050" w:firstLineChars="500"/>
        <w:textAlignment w:val="auto"/>
        <w:rPr>
          <w:rFonts w:hint="default" w:ascii="Times New Roman" w:hAnsi="Times New Roman" w:eastAsia="仿宋_GB2312" w:cs="Times New Roman"/>
          <w:strike w:val="0"/>
          <w:sz w:val="32"/>
          <w:szCs w:val="32"/>
          <w:u w:val="none"/>
          <w:lang w:eastAsia="zh-CN" w:bidi="ar"/>
        </w:rPr>
      </w:pPr>
      <w:r>
        <w:rPr>
          <w:rFonts w:hint="eastAsia" w:ascii="Times New Roman" w:hAnsi="Times New Roman" w:eastAsia="宋体" w:cs="Times New Roman"/>
          <w:color w:val="000000"/>
          <w:kern w:val="0"/>
          <w:szCs w:val="32"/>
          <w:highlight w:val="none"/>
          <w:shd w:val="clear" w:color="auto" w:fill="FFFFFF"/>
          <w:lang w:val="en-US" w:eastAsia="zh-CN"/>
        </w:rPr>
        <w:t>3.</w:t>
      </w:r>
      <w:r>
        <w:rPr>
          <w:rFonts w:hint="default" w:ascii="Times New Roman" w:hAnsi="Times New Roman" w:eastAsia="宋体" w:cs="Times New Roman"/>
          <w:color w:val="000000"/>
          <w:kern w:val="0"/>
          <w:szCs w:val="32"/>
          <w:highlight w:val="none"/>
          <w:shd w:val="clear" w:color="auto" w:fill="FFFFFF"/>
          <w:lang w:val="en-US" w:eastAsia="zh-CN"/>
        </w:rPr>
        <w:t>部门预算项目支出绩效评价表（2024年度）</w:t>
      </w:r>
    </w:p>
    <w:p w14:paraId="7E37EA78">
      <w:pPr>
        <w:rPr>
          <w:rFonts w:hint="default" w:ascii="Times New Roman" w:hAnsi="Times New Roman" w:eastAsia="仿宋_GB2312" w:cs="Times New Roman"/>
          <w:strike w:val="0"/>
          <w:sz w:val="32"/>
          <w:szCs w:val="32"/>
          <w:u w:val="none"/>
          <w:lang w:eastAsia="zh-CN" w:bidi="ar"/>
        </w:rPr>
      </w:pPr>
      <w:r>
        <w:rPr>
          <w:rFonts w:hint="default" w:ascii="Times New Roman" w:hAnsi="Times New Roman" w:eastAsia="仿宋_GB2312" w:cs="Times New Roman"/>
          <w:strike w:val="0"/>
          <w:sz w:val="32"/>
          <w:szCs w:val="32"/>
          <w:u w:val="none"/>
          <w:lang w:eastAsia="zh-CN" w:bidi="ar"/>
        </w:rPr>
        <w:br w:type="page"/>
      </w:r>
    </w:p>
    <w:p w14:paraId="5D69996D">
      <w:pPr>
        <w:keepNext w:val="0"/>
        <w:keepLines w:val="0"/>
        <w:pageBreakBefore w:val="0"/>
        <w:kinsoku/>
        <w:wordWrap/>
        <w:overflowPunct/>
        <w:topLinePunct w:val="0"/>
        <w:autoSpaceDE/>
        <w:autoSpaceDN/>
        <w:bidi w:val="0"/>
        <w:spacing w:line="578" w:lineRule="exact"/>
        <w:ind w:left="0" w:leftChars="0" w:firstLine="0" w:firstLineChars="0"/>
        <w:textAlignment w:val="auto"/>
        <w:outlineLvl w:val="9"/>
        <w:rPr>
          <w:rFonts w:hint="default" w:ascii="Times New Roman" w:hAnsi="Times New Roman" w:eastAsia="仿宋_GB2312" w:cs="Times New Roman"/>
          <w:color w:val="auto"/>
          <w:kern w:val="2"/>
          <w:sz w:val="32"/>
          <w:szCs w:val="24"/>
          <w:highlight w:val="none"/>
          <w:lang w:val="en-US" w:eastAsia="zh-CN" w:bidi="ar-SA"/>
        </w:rPr>
      </w:pPr>
      <w:r>
        <w:rPr>
          <w:rFonts w:hint="eastAsia" w:ascii="黑体" w:hAnsi="黑体" w:eastAsia="黑体" w:cs="黑体"/>
          <w:color w:val="auto"/>
          <w:kern w:val="2"/>
          <w:sz w:val="32"/>
          <w:szCs w:val="24"/>
          <w:highlight w:val="none"/>
          <w:lang w:val="en-US" w:eastAsia="zh-CN" w:bidi="ar-SA"/>
        </w:rPr>
        <w:t>附表</w:t>
      </w:r>
    </w:p>
    <w:tbl>
      <w:tblPr>
        <w:tblStyle w:val="17"/>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678"/>
        <w:gridCol w:w="1140"/>
        <w:gridCol w:w="990"/>
        <w:gridCol w:w="1020"/>
        <w:gridCol w:w="690"/>
        <w:gridCol w:w="1113"/>
      </w:tblGrid>
      <w:tr w14:paraId="66FFB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14:paraId="7B1E603B">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auto"/>
                <w:sz w:val="28"/>
                <w:szCs w:val="28"/>
                <w:u w:val="none"/>
              </w:rPr>
            </w:pPr>
            <w:r>
              <w:rPr>
                <w:rFonts w:hint="default" w:ascii="Times New Roman" w:hAnsi="Times New Roman" w:eastAsia="方正小标宋简体" w:cs="Times New Roman"/>
                <w:i w:val="0"/>
                <w:color w:val="auto"/>
                <w:kern w:val="0"/>
                <w:sz w:val="44"/>
                <w:szCs w:val="44"/>
                <w:u w:val="none"/>
                <w:lang w:val="en-US" w:eastAsia="zh-CN" w:bidi="ar"/>
              </w:rPr>
              <w:t>部门整体支出绩效目标完成情况自评表</w:t>
            </w:r>
          </w:p>
        </w:tc>
      </w:tr>
      <w:tr w14:paraId="6092B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14:paraId="7FC27E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sz w:val="28"/>
                <w:szCs w:val="28"/>
                <w:u w:val="none"/>
              </w:rPr>
            </w:pPr>
            <w:r>
              <w:rPr>
                <w:rFonts w:hint="default" w:ascii="Times New Roman" w:hAnsi="Times New Roman" w:eastAsia="宋体" w:cs="Times New Roman"/>
                <w:i w:val="0"/>
                <w:color w:val="auto"/>
                <w:kern w:val="0"/>
                <w:sz w:val="28"/>
                <w:szCs w:val="28"/>
                <w:u w:val="none"/>
                <w:lang w:val="en-US" w:eastAsia="zh-CN" w:bidi="ar"/>
              </w:rPr>
              <w:t>（</w:t>
            </w:r>
            <w:r>
              <w:rPr>
                <w:rFonts w:hint="eastAsia" w:eastAsia="宋体" w:cs="Times New Roman"/>
                <w:i w:val="0"/>
                <w:color w:val="auto"/>
                <w:kern w:val="0"/>
                <w:sz w:val="28"/>
                <w:szCs w:val="28"/>
                <w:u w:val="none"/>
                <w:lang w:val="en-US" w:eastAsia="zh-CN" w:bidi="ar"/>
              </w:rPr>
              <w:t>2024</w:t>
            </w:r>
            <w:r>
              <w:rPr>
                <w:rFonts w:hint="default" w:ascii="Times New Roman" w:hAnsi="Times New Roman" w:eastAsia="宋体" w:cs="Times New Roman"/>
                <w:i w:val="0"/>
                <w:color w:val="auto"/>
                <w:kern w:val="0"/>
                <w:sz w:val="28"/>
                <w:szCs w:val="28"/>
                <w:u w:val="none"/>
                <w:lang w:val="en-US" w:eastAsia="zh-CN" w:bidi="ar"/>
              </w:rPr>
              <w:t>年度）</w:t>
            </w:r>
          </w:p>
        </w:tc>
      </w:tr>
      <w:tr w14:paraId="2799C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14:paraId="2C97A619">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auto"/>
                <w:sz w:val="21"/>
                <w:szCs w:val="21"/>
                <w:u w:val="none"/>
              </w:rPr>
            </w:pPr>
            <w:r>
              <w:rPr>
                <w:rFonts w:hint="default" w:ascii="Times New Roman" w:hAnsi="Times New Roman" w:eastAsia="宋体" w:cs="Times New Roman"/>
                <w:i w:val="0"/>
                <w:color w:val="auto"/>
                <w:kern w:val="0"/>
                <w:sz w:val="21"/>
                <w:szCs w:val="21"/>
                <w:u w:val="none"/>
                <w:lang w:val="en-US" w:eastAsia="zh-CN" w:bidi="ar"/>
              </w:rPr>
              <w:t>单位：万元</w:t>
            </w:r>
          </w:p>
        </w:tc>
      </w:tr>
      <w:tr w14:paraId="2C5D9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FE945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部门名称</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8DCDB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sz w:val="24"/>
                <w:szCs w:val="24"/>
                <w:u w:val="none"/>
              </w:rPr>
            </w:pPr>
            <w:r>
              <w:rPr>
                <w:rFonts w:hint="eastAsia" w:ascii="Times New Roman" w:hAnsi="Times New Roman" w:eastAsia="宋体" w:cs="Times New Roman"/>
                <w:i w:val="0"/>
                <w:color w:val="auto"/>
                <w:kern w:val="0"/>
                <w:sz w:val="24"/>
                <w:szCs w:val="24"/>
                <w:u w:val="none"/>
                <w:lang w:val="en-US" w:eastAsia="zh-CN" w:bidi="ar"/>
              </w:rPr>
              <w:t>四</w:t>
            </w:r>
            <w:r>
              <w:rPr>
                <w:rFonts w:hint="default" w:ascii="Times New Roman" w:hAnsi="Times New Roman" w:eastAsia="宋体" w:cs="Times New Roman"/>
                <w:i w:val="0"/>
                <w:color w:val="auto"/>
                <w:kern w:val="0"/>
                <w:sz w:val="24"/>
                <w:szCs w:val="24"/>
                <w:u w:val="none"/>
                <w:lang w:val="en-US" w:eastAsia="zh-CN" w:bidi="ar"/>
              </w:rPr>
              <w:t>川省龙日种畜场部门</w:t>
            </w:r>
          </w:p>
        </w:tc>
      </w:tr>
      <w:tr w14:paraId="27307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FAF4D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20F36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资金总额</w:t>
            </w:r>
          </w:p>
        </w:tc>
        <w:tc>
          <w:tcPr>
            <w:tcW w:w="28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25234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财政拨款</w:t>
            </w:r>
          </w:p>
        </w:tc>
        <w:tc>
          <w:tcPr>
            <w:tcW w:w="38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83188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其他资金</w:t>
            </w:r>
          </w:p>
        </w:tc>
      </w:tr>
      <w:tr w14:paraId="13978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01C7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auto"/>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4F0A4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1833.97</w:t>
            </w:r>
          </w:p>
        </w:tc>
        <w:tc>
          <w:tcPr>
            <w:tcW w:w="28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D732A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1833.97</w:t>
            </w:r>
          </w:p>
        </w:tc>
        <w:tc>
          <w:tcPr>
            <w:tcW w:w="38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572D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sz w:val="24"/>
                <w:szCs w:val="24"/>
                <w:u w:val="none"/>
              </w:rPr>
            </w:pPr>
          </w:p>
        </w:tc>
      </w:tr>
      <w:tr w14:paraId="4D1B1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2140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年度总体</w:t>
            </w:r>
          </w:p>
          <w:p w14:paraId="3E02AC9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目标</w:t>
            </w:r>
          </w:p>
        </w:tc>
        <w:tc>
          <w:tcPr>
            <w:tcW w:w="925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867743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left"/>
              <w:textAlignment w:val="center"/>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保障单位运行，继续承担高原牧区遗传资源保护与研究，保存川西北牧区草地畜牧业的主要畜种牦牛、藏绵羊、河曲马等珍稀遗传资源；承担牦牛、藏绵羊、河曲马品种选育、良种扩繁与改良利用、为川西北牧区提供优良种畜，负责为川西北牧区草地畜牧业的科研、教学、新技术示范提供平台；指导牧民和科技人员开展高原畜牧业饲养管理。 与外单位合作项目不少于1个</w:t>
            </w:r>
          </w:p>
        </w:tc>
      </w:tr>
      <w:tr w14:paraId="155A2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D5B66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年度主要</w:t>
            </w:r>
          </w:p>
          <w:p w14:paraId="0D395E0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6C567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任务名称</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3B85F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主要内容</w:t>
            </w:r>
          </w:p>
        </w:tc>
      </w:tr>
      <w:tr w14:paraId="0FF83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6BD7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auto"/>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B28C9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left"/>
              <w:textAlignment w:val="center"/>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sz w:val="24"/>
                <w:szCs w:val="24"/>
                <w:u w:val="none"/>
              </w:rPr>
              <w:t>全面加强遗传资源保存研究</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6B96EF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left"/>
              <w:textAlignment w:val="center"/>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进行牦牛、藏绵羊、河曲马全面测定（如重量、年龄等），保证核心群牦牛质量，提升种畜质量</w:t>
            </w:r>
          </w:p>
        </w:tc>
      </w:tr>
      <w:tr w14:paraId="06BCB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9EE3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auto"/>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70D79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left"/>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全面推进重点畜牧科研项目</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0BFBA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left"/>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加强与对外单位合作，共同承担畜牧科研等方向的项目合作</w:t>
            </w:r>
          </w:p>
        </w:tc>
      </w:tr>
      <w:tr w14:paraId="6D2A5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23EB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auto"/>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06EF8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left"/>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保障单位正常运行</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BE8B4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left"/>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保障单位正常运行</w:t>
            </w:r>
          </w:p>
        </w:tc>
      </w:tr>
      <w:tr w14:paraId="0E000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D038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auto"/>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CBBEEB">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sz w:val="24"/>
                <w:szCs w:val="24"/>
                <w:u w:val="none"/>
              </w:rPr>
              <w:t>全面加强党的政治建设</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28CDC8">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sz w:val="24"/>
                <w:szCs w:val="24"/>
                <w:u w:val="none"/>
              </w:rPr>
              <w:t>严格执行三会一课，主题党日、谈心谈话，组织生活会和民主评议党员等基本制度，通过线下方式（如微信、OA）的方式学习，传达通报案例，认真组织学习上级文件精神</w:t>
            </w:r>
          </w:p>
        </w:tc>
      </w:tr>
      <w:tr w14:paraId="76A7A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B0BDF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年度绩效</w:t>
            </w:r>
          </w:p>
          <w:p w14:paraId="374F77B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7431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9CB0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二级指标</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C762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三级指标</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0FD0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绩效指标性质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8492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绩效指标值</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5C10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绩效度量单位</w:t>
            </w:r>
          </w:p>
        </w:tc>
        <w:tc>
          <w:tcPr>
            <w:tcW w:w="690" w:type="dxa"/>
            <w:tcBorders>
              <w:top w:val="single" w:color="000000" w:sz="4" w:space="0"/>
              <w:left w:val="single" w:color="000000" w:sz="4" w:space="0"/>
              <w:bottom w:val="single" w:color="000000" w:sz="4" w:space="0"/>
            </w:tcBorders>
            <w:shd w:val="clear" w:color="auto" w:fill="auto"/>
            <w:vAlign w:val="center"/>
          </w:tcPr>
          <w:p w14:paraId="4BDE8A5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6B52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实际完成</w:t>
            </w:r>
          </w:p>
          <w:p w14:paraId="768731C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指标值</w:t>
            </w:r>
          </w:p>
        </w:tc>
      </w:tr>
      <w:tr w14:paraId="2EDF2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1B5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12968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B3B1C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数量指标</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EAAF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测定牦牛数量</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6A2C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EA6A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1000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AAF0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头次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1816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w:t>
            </w:r>
          </w:p>
        </w:tc>
        <w:tc>
          <w:tcPr>
            <w:tcW w:w="1113" w:type="dxa"/>
            <w:tcBorders>
              <w:left w:val="single" w:color="000000" w:sz="4" w:space="0"/>
              <w:bottom w:val="single" w:color="000000" w:sz="4" w:space="0"/>
              <w:right w:val="single" w:color="000000" w:sz="4" w:space="0"/>
            </w:tcBorders>
            <w:shd w:val="clear" w:color="auto" w:fill="auto"/>
            <w:vAlign w:val="center"/>
          </w:tcPr>
          <w:p w14:paraId="4DD9D4A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1000</w:t>
            </w:r>
          </w:p>
        </w:tc>
      </w:tr>
      <w:tr w14:paraId="37455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2EC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AB0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5DD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EDB0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发放在职职工工资次数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D8EA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eastAsia"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EE08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982A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B8E8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eastAsia="宋体" w:cs="Times New Roman"/>
                <w:i w:val="0"/>
                <w:color w:val="auto"/>
                <w:kern w:val="0"/>
                <w:sz w:val="24"/>
                <w:szCs w:val="24"/>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D1D3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12</w:t>
            </w:r>
          </w:p>
        </w:tc>
      </w:tr>
      <w:tr w14:paraId="14115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E8A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02D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4F4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44ED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举行单位全体党员学习次数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AA7F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304D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A4B6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场</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EAF4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966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3</w:t>
            </w:r>
          </w:p>
        </w:tc>
      </w:tr>
      <w:tr w14:paraId="421DA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785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B99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F89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58E6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与外单位合作项目数量</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F08E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2EA3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1E99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F769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4306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1</w:t>
            </w:r>
          </w:p>
        </w:tc>
      </w:tr>
      <w:tr w14:paraId="5DB2F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E97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9D9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33633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质量指标</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70CD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测定牲畜的数据合格率</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730F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95B0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11ED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57F8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B5C8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90</w:t>
            </w:r>
          </w:p>
        </w:tc>
      </w:tr>
      <w:tr w14:paraId="3E68F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44A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A83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p>
        </w:tc>
        <w:tc>
          <w:tcPr>
            <w:tcW w:w="1273" w:type="dxa"/>
            <w:vMerge w:val="continue"/>
            <w:tcBorders>
              <w:top w:val="single" w:color="000000" w:sz="4" w:space="0"/>
              <w:left w:val="single" w:color="000000" w:sz="4" w:space="0"/>
              <w:right w:val="single" w:color="000000" w:sz="4" w:space="0"/>
            </w:tcBorders>
            <w:shd w:val="clear" w:color="auto" w:fill="auto"/>
            <w:vAlign w:val="center"/>
          </w:tcPr>
          <w:p w14:paraId="1B113C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EF26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单位日常经费使用率</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6D39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CFC2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F104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1F7E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5ECB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90</w:t>
            </w:r>
          </w:p>
        </w:tc>
      </w:tr>
      <w:tr w14:paraId="58408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90"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A2A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242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p>
        </w:tc>
        <w:tc>
          <w:tcPr>
            <w:tcW w:w="1273" w:type="dxa"/>
            <w:vMerge w:val="continue"/>
            <w:tcBorders>
              <w:top w:val="single" w:color="000000" w:sz="4" w:space="0"/>
              <w:left w:val="single" w:color="000000" w:sz="4" w:space="0"/>
              <w:right w:val="single" w:color="000000" w:sz="4" w:space="0"/>
            </w:tcBorders>
            <w:shd w:val="clear" w:color="auto" w:fill="auto"/>
            <w:vAlign w:val="center"/>
          </w:tcPr>
          <w:p w14:paraId="2D7E68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7F14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举行学习党员参加率</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8274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92D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80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5EF5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4F26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3D0C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80</w:t>
            </w:r>
          </w:p>
        </w:tc>
      </w:tr>
      <w:tr w14:paraId="4E1F8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3B6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B65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88D7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时效指标</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F962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项目完成时间</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68D2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定性</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6678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2024年12月底前完成</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F9C7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default" w:ascii="Times New Roman" w:hAnsi="Times New Roman" w:eastAsia="宋体" w:cs="Times New Roman"/>
                <w:i w:val="0"/>
                <w:color w:val="auto"/>
                <w:kern w:val="0"/>
                <w:sz w:val="24"/>
                <w:szCs w:val="24"/>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6F8C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6455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2024年12月底前完成</w:t>
            </w:r>
          </w:p>
        </w:tc>
      </w:tr>
      <w:tr w14:paraId="69570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180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52DF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效益指标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7B97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可持续影响指标</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627E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提升单位制作的牦牛冻精影响力</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681E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定性</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88D3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高中低</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5C7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9CE1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30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D87F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高中低</w:t>
            </w:r>
          </w:p>
        </w:tc>
      </w:tr>
    </w:tbl>
    <w:p w14:paraId="500A20A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contextualSpacing/>
        <w:jc w:val="left"/>
        <w:textAlignment w:val="auto"/>
        <w:outlineLvl w:val="9"/>
        <w:rPr>
          <w:rFonts w:hint="eastAsia" w:ascii="黑体" w:hAnsi="黑体" w:eastAsia="黑体" w:cs="黑体"/>
          <w:b w:val="0"/>
          <w:bCs w:val="0"/>
          <w:color w:val="auto"/>
          <w:kern w:val="0"/>
          <w:position w:val="0"/>
          <w:sz w:val="32"/>
          <w:szCs w:val="32"/>
          <w:highlight w:val="none"/>
          <w:lang w:val="en-US" w:eastAsia="zh-CN" w:bidi="ar-SA"/>
        </w:rPr>
      </w:pPr>
    </w:p>
    <w:p w14:paraId="46B67C2D">
      <w:pPr>
        <w:rPr>
          <w:rFonts w:hint="eastAsia" w:ascii="Times New Roman" w:hAnsi="Times New Roman" w:eastAsia="黑体" w:cs="黑体"/>
          <w:b w:val="0"/>
          <w:bCs w:val="0"/>
          <w:kern w:val="0"/>
          <w:position w:val="0"/>
          <w:sz w:val="32"/>
          <w:szCs w:val="32"/>
          <w:highlight w:val="none"/>
          <w:lang w:val="en-US" w:eastAsia="zh-CN" w:bidi="ar-SA"/>
        </w:rPr>
      </w:pPr>
      <w:r>
        <w:rPr>
          <w:rFonts w:hint="eastAsia" w:ascii="Times New Roman" w:hAnsi="Times New Roman" w:eastAsia="黑体" w:cs="黑体"/>
          <w:b w:val="0"/>
          <w:bCs w:val="0"/>
          <w:kern w:val="0"/>
          <w:position w:val="0"/>
          <w:sz w:val="32"/>
          <w:szCs w:val="32"/>
          <w:highlight w:val="none"/>
          <w:lang w:val="en-US" w:eastAsia="zh-CN" w:bidi="ar-SA"/>
        </w:rPr>
        <w:br w:type="page"/>
      </w:r>
    </w:p>
    <w:p w14:paraId="73C72A22">
      <w:pPr>
        <w:keepNext w:val="0"/>
        <w:keepLines w:val="0"/>
        <w:pageBreakBefore w:val="0"/>
        <w:kinsoku/>
        <w:wordWrap/>
        <w:overflowPunct/>
        <w:topLinePunct w:val="0"/>
        <w:autoSpaceDE/>
        <w:autoSpaceDN/>
        <w:bidi w:val="0"/>
        <w:spacing w:line="578" w:lineRule="exact"/>
        <w:jc w:val="left"/>
        <w:textAlignment w:val="auto"/>
        <w:outlineLvl w:val="9"/>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2</w:t>
      </w:r>
    </w:p>
    <w:tbl>
      <w:tblPr>
        <w:tblStyle w:val="17"/>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14:paraId="7A589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10560" w:type="dxa"/>
            <w:gridSpan w:val="10"/>
            <w:shd w:val="clear" w:color="auto" w:fill="auto"/>
            <w:vAlign w:val="center"/>
          </w:tcPr>
          <w:p w14:paraId="1474654E">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部门整体绩效目标完成情况自评表</w:t>
            </w:r>
          </w:p>
        </w:tc>
      </w:tr>
      <w:tr w14:paraId="146C4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shd w:val="clear" w:color="auto" w:fill="auto"/>
            <w:vAlign w:val="center"/>
          </w:tcPr>
          <w:p w14:paraId="2E8A07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eastAsia="宋体"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14:paraId="3464A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shd w:val="clear" w:color="auto" w:fill="auto"/>
            <w:vAlign w:val="center"/>
          </w:tcPr>
          <w:p w14:paraId="10E0EFBF">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04D4D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F3DB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4146D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四川省龙日种畜场部门</w:t>
            </w:r>
          </w:p>
        </w:tc>
      </w:tr>
      <w:tr w14:paraId="3B1B2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C15B8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05B30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1035D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D4C20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14:paraId="77E55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EDDC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9A14C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1,833.97</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77FA7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1,833.97</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CA215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p>
        </w:tc>
      </w:tr>
      <w:tr w14:paraId="7DB1A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7E77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14:paraId="1C4C66F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25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ACF0DB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保障单位运行，继续承担高原牧区遗传资源保护与研究，保存川西北牧区草地畜牧业的主要畜种牦牛、藏绵羊、河曲马等珍稀遗传资源；承担牦牛、藏绵羊、河曲马品种选育、良种扩繁与改良利用、为川西北牧区提供优良种畜，负责为川西北牧区草地畜牧业的科研、教学、新技术示范提供平台；指导牧民和科技人员开展高原畜牧业饲养管理。 与外单位合作项目不少于1个</w:t>
            </w:r>
          </w:p>
        </w:tc>
      </w:tr>
      <w:tr w14:paraId="1D7D2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right w:val="single" w:color="000000" w:sz="4" w:space="0"/>
            </w:tcBorders>
            <w:shd w:val="clear" w:color="auto" w:fill="auto"/>
            <w:vAlign w:val="center"/>
          </w:tcPr>
          <w:p w14:paraId="15505D1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14:paraId="4A4163B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466DC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641073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14:paraId="4C27F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43ED927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4CA6B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全面加强遗传资源保存研究</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6DF4B7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进行牦牛、藏绵羊、河曲马全面测定（如重量、年龄等），保证核心群牦牛质量，提升种畜质量</w:t>
            </w:r>
          </w:p>
        </w:tc>
      </w:tr>
      <w:tr w14:paraId="36DDB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34ACF31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9E661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全面推进重点畜牧科研项目</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9EAAF7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加强与对外单位合作，共同承担畜牧科研等方向的项目合作</w:t>
            </w:r>
          </w:p>
        </w:tc>
      </w:tr>
      <w:tr w14:paraId="5E353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38DA43B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F9487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保障单位正常运行</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B4BA99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保障单位正常运行</w:t>
            </w:r>
          </w:p>
        </w:tc>
      </w:tr>
      <w:tr w14:paraId="15613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bottom w:val="single" w:color="000000" w:sz="4" w:space="0"/>
              <w:right w:val="single" w:color="000000" w:sz="4" w:space="0"/>
            </w:tcBorders>
            <w:shd w:val="clear" w:color="auto" w:fill="auto"/>
            <w:vAlign w:val="center"/>
          </w:tcPr>
          <w:p w14:paraId="1B4CD8C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60D45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全面加强党的政治建设</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236826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严格执行三会一课，主题党日、谈心谈话，组织生活会和民主评议党员等基本制度，通过线下方式（如微信、OA）的方式学习，传达通报案例，认真组织学习上级文件精神</w:t>
            </w:r>
          </w:p>
        </w:tc>
      </w:tr>
      <w:tr w14:paraId="14D82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right w:val="single" w:color="000000" w:sz="4" w:space="0"/>
            </w:tcBorders>
            <w:shd w:val="clear" w:color="auto" w:fill="auto"/>
            <w:vAlign w:val="center"/>
          </w:tcPr>
          <w:p w14:paraId="4E15477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14:paraId="35416F6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674E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1ACB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247F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56D07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14:paraId="7BFC790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6AFC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0ACB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14:paraId="286127A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8111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14:paraId="5B8BBBD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14:paraId="4089C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0A6CFD3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C4629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EE447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EF32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测定牦牛数量</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C490B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8319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1000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621A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头次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CF18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5</w:t>
            </w:r>
          </w:p>
        </w:tc>
        <w:tc>
          <w:tcPr>
            <w:tcW w:w="1113" w:type="dxa"/>
            <w:tcBorders>
              <w:left w:val="single" w:color="000000" w:sz="4" w:space="0"/>
              <w:bottom w:val="single" w:color="000000" w:sz="4" w:space="0"/>
              <w:right w:val="single" w:color="000000" w:sz="4" w:space="0"/>
            </w:tcBorders>
            <w:shd w:val="clear" w:color="auto" w:fill="auto"/>
            <w:vAlign w:val="center"/>
          </w:tcPr>
          <w:p w14:paraId="34CD25D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1000</w:t>
            </w:r>
          </w:p>
        </w:tc>
      </w:tr>
      <w:tr w14:paraId="263C8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2C14D84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F491A">
            <w:pPr>
              <w:jc w:val="left"/>
              <w:rPr>
                <w:rFonts w:hint="default" w:ascii="Times New Roman" w:hAnsi="Times New Roman" w:eastAsia="宋体" w:cs="Times New Roman"/>
                <w:i w:val="0"/>
                <w:color w:val="000000"/>
                <w:kern w:val="0"/>
                <w:sz w:val="24"/>
                <w:szCs w:val="24"/>
                <w:u w:val="none"/>
                <w:lang w:val="en-US" w:eastAsia="zh-CN" w:bidi="ar"/>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59549">
            <w:pPr>
              <w:jc w:val="left"/>
              <w:rPr>
                <w:rFonts w:hint="default" w:ascii="Times New Roman" w:hAnsi="Times New Roman" w:eastAsia="宋体" w:cs="Times New Roman"/>
                <w:i w:val="0"/>
                <w:color w:val="000000"/>
                <w:kern w:val="0"/>
                <w:sz w:val="24"/>
                <w:szCs w:val="24"/>
                <w:u w:val="none"/>
                <w:lang w:val="en-US" w:eastAsia="zh-CN" w:bidi="ar"/>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EDD9">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发放在职职工工资次数</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1FC3A3">
            <w:pPr>
              <w:keepNext w:val="0"/>
              <w:keepLines w:val="0"/>
              <w:widowControl/>
              <w:suppressLineNumbers w:val="0"/>
              <w:spacing w:line="240" w:lineRule="auto"/>
              <w:ind w:firstLine="480" w:firstLineChars="20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385A1">
            <w:pPr>
              <w:keepNext w:val="0"/>
              <w:keepLines w:val="0"/>
              <w:widowControl/>
              <w:suppressLineNumbers w:val="0"/>
              <w:ind w:firstLine="480" w:firstLineChars="20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12</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18748">
            <w:pPr>
              <w:keepNext w:val="0"/>
              <w:keepLines w:val="0"/>
              <w:widowControl/>
              <w:suppressLineNumbers w:val="0"/>
              <w:ind w:firstLine="480" w:firstLineChars="20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0655B">
            <w:pPr>
              <w:keepNext w:val="0"/>
              <w:keepLines w:val="0"/>
              <w:widowControl/>
              <w:suppressLineNumbers w:val="0"/>
              <w:ind w:firstLine="480" w:firstLineChars="20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8744">
            <w:pPr>
              <w:keepNext w:val="0"/>
              <w:keepLines w:val="0"/>
              <w:widowControl/>
              <w:suppressLineNumbers w:val="0"/>
              <w:ind w:firstLine="480" w:firstLineChars="20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12</w:t>
            </w:r>
          </w:p>
        </w:tc>
      </w:tr>
      <w:tr w14:paraId="04316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55B6890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83FE5">
            <w:pPr>
              <w:jc w:val="left"/>
              <w:rPr>
                <w:rFonts w:hint="default" w:ascii="Times New Roman" w:hAnsi="Times New Roman" w:eastAsia="宋体" w:cs="Times New Roman"/>
                <w:i w:val="0"/>
                <w:color w:val="000000"/>
                <w:kern w:val="0"/>
                <w:sz w:val="24"/>
                <w:szCs w:val="24"/>
                <w:u w:val="none"/>
                <w:lang w:val="en-US" w:eastAsia="zh-CN" w:bidi="ar"/>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90494">
            <w:pPr>
              <w:jc w:val="left"/>
              <w:rPr>
                <w:rFonts w:hint="default" w:ascii="Times New Roman" w:hAnsi="Times New Roman" w:eastAsia="宋体" w:cs="Times New Roman"/>
                <w:i w:val="0"/>
                <w:color w:val="000000"/>
                <w:kern w:val="0"/>
                <w:sz w:val="24"/>
                <w:szCs w:val="24"/>
                <w:u w:val="none"/>
                <w:lang w:val="en-US" w:eastAsia="zh-CN" w:bidi="ar"/>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8614A">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举行单位全体党员学习次数</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B19434">
            <w:pPr>
              <w:keepNext w:val="0"/>
              <w:keepLines w:val="0"/>
              <w:widowControl/>
              <w:suppressLineNumbers w:val="0"/>
              <w:spacing w:line="240" w:lineRule="auto"/>
              <w:ind w:firstLine="480" w:firstLineChars="20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505C6">
            <w:pPr>
              <w:keepNext w:val="0"/>
              <w:keepLines w:val="0"/>
              <w:widowControl/>
              <w:suppressLineNumbers w:val="0"/>
              <w:ind w:firstLine="480" w:firstLineChars="20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3</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65DF7">
            <w:pPr>
              <w:keepNext w:val="0"/>
              <w:keepLines w:val="0"/>
              <w:widowControl/>
              <w:suppressLineNumbers w:val="0"/>
              <w:ind w:firstLine="480" w:firstLineChars="20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场</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50A94">
            <w:pPr>
              <w:keepNext w:val="0"/>
              <w:keepLines w:val="0"/>
              <w:widowControl/>
              <w:suppressLineNumbers w:val="0"/>
              <w:ind w:firstLine="480" w:firstLineChars="20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95782">
            <w:pPr>
              <w:keepNext w:val="0"/>
              <w:keepLines w:val="0"/>
              <w:widowControl/>
              <w:suppressLineNumbers w:val="0"/>
              <w:ind w:firstLine="480" w:firstLineChars="20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r>
      <w:tr w14:paraId="0B985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2326D6C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CD702">
            <w:pPr>
              <w:jc w:val="left"/>
              <w:rPr>
                <w:rFonts w:hint="default" w:ascii="Times New Roman" w:hAnsi="Times New Roman" w:eastAsia="宋体" w:cs="Times New Roman"/>
                <w:i w:val="0"/>
                <w:color w:val="000000"/>
                <w:kern w:val="0"/>
                <w:sz w:val="24"/>
                <w:szCs w:val="24"/>
                <w:u w:val="none"/>
                <w:lang w:val="en-US" w:eastAsia="zh-CN" w:bidi="ar"/>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8C858">
            <w:pPr>
              <w:jc w:val="left"/>
              <w:rPr>
                <w:rFonts w:hint="default" w:ascii="Times New Roman" w:hAnsi="Times New Roman" w:eastAsia="宋体" w:cs="Times New Roman"/>
                <w:i w:val="0"/>
                <w:color w:val="000000"/>
                <w:kern w:val="0"/>
                <w:sz w:val="24"/>
                <w:szCs w:val="24"/>
                <w:u w:val="none"/>
                <w:lang w:val="en-US" w:eastAsia="zh-CN" w:bidi="ar"/>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D8198">
            <w:pPr>
              <w:keepNext w:val="0"/>
              <w:keepLines w:val="0"/>
              <w:widowControl/>
              <w:suppressLineNumbers w:val="0"/>
              <w:ind w:left="0" w:leftChars="0" w:firstLine="0" w:firstLineChars="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与外单位合作项目数量</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20EB14">
            <w:pPr>
              <w:keepNext w:val="0"/>
              <w:keepLines w:val="0"/>
              <w:widowControl/>
              <w:suppressLineNumbers w:val="0"/>
              <w:ind w:firstLine="480" w:firstLineChars="20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CC669">
            <w:pPr>
              <w:keepNext w:val="0"/>
              <w:keepLines w:val="0"/>
              <w:widowControl/>
              <w:suppressLineNumbers w:val="0"/>
              <w:ind w:firstLine="480" w:firstLineChars="20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87323">
            <w:pPr>
              <w:keepNext w:val="0"/>
              <w:keepLines w:val="0"/>
              <w:widowControl/>
              <w:suppressLineNumbers w:val="0"/>
              <w:ind w:firstLine="480" w:firstLineChars="20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个</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4170D">
            <w:pPr>
              <w:keepNext w:val="0"/>
              <w:keepLines w:val="0"/>
              <w:widowControl/>
              <w:suppressLineNumbers w:val="0"/>
              <w:ind w:firstLine="480" w:firstLineChars="20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0B7EC">
            <w:pPr>
              <w:keepNext w:val="0"/>
              <w:keepLines w:val="0"/>
              <w:widowControl/>
              <w:suppressLineNumbers w:val="0"/>
              <w:ind w:firstLine="480" w:firstLineChars="20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r>
      <w:tr w14:paraId="0B83D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078E097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3C5E8">
            <w:pPr>
              <w:jc w:val="left"/>
              <w:rPr>
                <w:rFonts w:hint="default" w:ascii="Times New Roman" w:hAnsi="Times New Roman" w:eastAsia="宋体" w:cs="Times New Roman"/>
                <w:i w:val="0"/>
                <w:color w:val="000000"/>
                <w:kern w:val="0"/>
                <w:sz w:val="24"/>
                <w:szCs w:val="24"/>
                <w:u w:val="none"/>
                <w:lang w:val="en-US" w:eastAsia="zh-CN" w:bidi="ar"/>
              </w:rPr>
            </w:pP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AE248B">
            <w:pPr>
              <w:keepNext w:val="0"/>
              <w:keepLines w:val="0"/>
              <w:widowControl/>
              <w:suppressLineNumbers w:val="0"/>
              <w:ind w:left="0" w:leftChars="0" w:firstLine="0" w:firstLineChars="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AD3A6">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测定牲畜的数据合格率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20010C">
            <w:pPr>
              <w:keepNext w:val="0"/>
              <w:keepLines w:val="0"/>
              <w:widowControl/>
              <w:suppressLineNumbers w:val="0"/>
              <w:spacing w:line="240" w:lineRule="auto"/>
              <w:ind w:firstLine="480" w:firstLineChars="200"/>
              <w:jc w:val="both"/>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4ED37">
            <w:pPr>
              <w:keepNext w:val="0"/>
              <w:keepLines w:val="0"/>
              <w:widowControl/>
              <w:suppressLineNumbers w:val="0"/>
              <w:spacing w:line="240" w:lineRule="auto"/>
              <w:ind w:firstLine="480" w:firstLineChars="20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90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10ED6">
            <w:pPr>
              <w:keepNext w:val="0"/>
              <w:keepLines w:val="0"/>
              <w:widowControl/>
              <w:suppressLineNumbers w:val="0"/>
              <w:spacing w:line="240" w:lineRule="auto"/>
              <w:ind w:firstLine="480" w:firstLineChars="20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BF31A">
            <w:pPr>
              <w:keepNext w:val="0"/>
              <w:keepLines w:val="0"/>
              <w:widowControl/>
              <w:suppressLineNumbers w:val="0"/>
              <w:spacing w:line="240" w:lineRule="auto"/>
              <w:ind w:firstLine="480" w:firstLineChars="20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2E64D">
            <w:pPr>
              <w:keepNext w:val="0"/>
              <w:keepLines w:val="0"/>
              <w:widowControl/>
              <w:suppressLineNumbers w:val="0"/>
              <w:spacing w:line="240" w:lineRule="auto"/>
              <w:ind w:firstLine="480" w:firstLineChars="200"/>
              <w:jc w:val="both"/>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r>
      <w:tr w14:paraId="3CD9F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2E8E0DA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038D4">
            <w:pPr>
              <w:jc w:val="left"/>
              <w:rPr>
                <w:rFonts w:hint="default" w:ascii="Times New Roman" w:hAnsi="Times New Roman" w:eastAsia="宋体" w:cs="Times New Roman"/>
                <w:i w:val="0"/>
                <w:color w:val="000000"/>
                <w:kern w:val="0"/>
                <w:sz w:val="24"/>
                <w:szCs w:val="24"/>
                <w:u w:val="none"/>
                <w:lang w:val="en-US" w:eastAsia="zh-CN" w:bidi="ar"/>
              </w:rPr>
            </w:pPr>
          </w:p>
        </w:tc>
        <w:tc>
          <w:tcPr>
            <w:tcW w:w="1273" w:type="dxa"/>
            <w:vMerge w:val="continue"/>
            <w:tcBorders>
              <w:top w:val="single" w:color="000000" w:sz="4" w:space="0"/>
              <w:left w:val="single" w:color="000000" w:sz="4" w:space="0"/>
              <w:right w:val="single" w:color="000000" w:sz="4" w:space="0"/>
            </w:tcBorders>
            <w:shd w:val="clear" w:color="auto" w:fill="auto"/>
            <w:vAlign w:val="center"/>
          </w:tcPr>
          <w:p w14:paraId="777CE1B9">
            <w:pPr>
              <w:jc w:val="left"/>
              <w:rPr>
                <w:rFonts w:hint="default" w:ascii="Times New Roman" w:hAnsi="Times New Roman" w:eastAsia="宋体" w:cs="Times New Roman"/>
                <w:i w:val="0"/>
                <w:color w:val="000000"/>
                <w:kern w:val="0"/>
                <w:sz w:val="24"/>
                <w:szCs w:val="24"/>
                <w:u w:val="none"/>
                <w:lang w:val="en-US" w:eastAsia="zh-CN" w:bidi="ar"/>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1013B">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单位日常经费使用率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81E223">
            <w:pPr>
              <w:keepNext w:val="0"/>
              <w:keepLines w:val="0"/>
              <w:widowControl/>
              <w:suppressLineNumbers w:val="0"/>
              <w:spacing w:line="240" w:lineRule="auto"/>
              <w:ind w:firstLine="480" w:firstLineChars="200"/>
              <w:jc w:val="both"/>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8B869">
            <w:pPr>
              <w:keepNext w:val="0"/>
              <w:keepLines w:val="0"/>
              <w:widowControl/>
              <w:suppressLineNumbers w:val="0"/>
              <w:spacing w:line="240" w:lineRule="auto"/>
              <w:ind w:firstLine="480" w:firstLineChars="20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90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7B3E1">
            <w:pPr>
              <w:keepNext w:val="0"/>
              <w:keepLines w:val="0"/>
              <w:widowControl/>
              <w:suppressLineNumbers w:val="0"/>
              <w:spacing w:line="240" w:lineRule="auto"/>
              <w:ind w:firstLine="480" w:firstLineChars="20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F6F5F">
            <w:pPr>
              <w:keepNext w:val="0"/>
              <w:keepLines w:val="0"/>
              <w:widowControl/>
              <w:suppressLineNumbers w:val="0"/>
              <w:spacing w:line="240" w:lineRule="auto"/>
              <w:ind w:firstLine="480" w:firstLineChars="20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442A2">
            <w:pPr>
              <w:keepNext w:val="0"/>
              <w:keepLines w:val="0"/>
              <w:widowControl/>
              <w:suppressLineNumbers w:val="0"/>
              <w:spacing w:line="240" w:lineRule="auto"/>
              <w:ind w:firstLine="480" w:firstLineChars="200"/>
              <w:jc w:val="both"/>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r>
      <w:tr w14:paraId="5E745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2AB3C3C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D4DA0">
            <w:pPr>
              <w:jc w:val="left"/>
              <w:rPr>
                <w:rFonts w:hint="default" w:ascii="Times New Roman" w:hAnsi="Times New Roman" w:eastAsia="宋体" w:cs="Times New Roman"/>
                <w:i w:val="0"/>
                <w:color w:val="000000"/>
                <w:kern w:val="0"/>
                <w:sz w:val="24"/>
                <w:szCs w:val="24"/>
                <w:u w:val="none"/>
                <w:lang w:val="en-US" w:eastAsia="zh-CN" w:bidi="ar"/>
              </w:rPr>
            </w:pPr>
          </w:p>
        </w:tc>
        <w:tc>
          <w:tcPr>
            <w:tcW w:w="1273" w:type="dxa"/>
            <w:vMerge w:val="continue"/>
            <w:tcBorders>
              <w:top w:val="single" w:color="000000" w:sz="4" w:space="0"/>
              <w:left w:val="single" w:color="000000" w:sz="4" w:space="0"/>
              <w:right w:val="single" w:color="000000" w:sz="4" w:space="0"/>
            </w:tcBorders>
            <w:shd w:val="clear" w:color="auto" w:fill="auto"/>
            <w:vAlign w:val="center"/>
          </w:tcPr>
          <w:p w14:paraId="561A51D3">
            <w:pPr>
              <w:jc w:val="left"/>
              <w:rPr>
                <w:rFonts w:hint="default" w:ascii="Times New Roman" w:hAnsi="Times New Roman" w:eastAsia="宋体" w:cs="Times New Roman"/>
                <w:i w:val="0"/>
                <w:color w:val="000000"/>
                <w:kern w:val="0"/>
                <w:sz w:val="24"/>
                <w:szCs w:val="24"/>
                <w:u w:val="none"/>
                <w:lang w:val="en-US" w:eastAsia="zh-CN" w:bidi="ar"/>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C0A54">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举行学习党员参加率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FFBC5A">
            <w:pPr>
              <w:keepNext w:val="0"/>
              <w:keepLines w:val="0"/>
              <w:widowControl/>
              <w:suppressLineNumbers w:val="0"/>
              <w:spacing w:line="240" w:lineRule="auto"/>
              <w:ind w:firstLine="480" w:firstLineChars="200"/>
              <w:jc w:val="both"/>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35431">
            <w:pPr>
              <w:keepNext w:val="0"/>
              <w:keepLines w:val="0"/>
              <w:widowControl/>
              <w:suppressLineNumbers w:val="0"/>
              <w:spacing w:line="240" w:lineRule="auto"/>
              <w:ind w:firstLine="480" w:firstLineChars="20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80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292C">
            <w:pPr>
              <w:keepNext w:val="0"/>
              <w:keepLines w:val="0"/>
              <w:widowControl/>
              <w:suppressLineNumbers w:val="0"/>
              <w:spacing w:line="240" w:lineRule="auto"/>
              <w:ind w:firstLine="480" w:firstLineChars="20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CB6F2">
            <w:pPr>
              <w:keepNext w:val="0"/>
              <w:keepLines w:val="0"/>
              <w:widowControl/>
              <w:suppressLineNumbers w:val="0"/>
              <w:spacing w:line="240" w:lineRule="auto"/>
              <w:ind w:firstLine="480" w:firstLineChars="20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F61D1">
            <w:pPr>
              <w:keepNext w:val="0"/>
              <w:keepLines w:val="0"/>
              <w:widowControl/>
              <w:suppressLineNumbers w:val="0"/>
              <w:spacing w:line="240" w:lineRule="auto"/>
              <w:ind w:firstLine="480" w:firstLineChars="200"/>
              <w:jc w:val="both"/>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r>
      <w:tr w14:paraId="6BDD1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252C23E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0E979">
            <w:pPr>
              <w:jc w:val="left"/>
              <w:rPr>
                <w:rFonts w:hint="default" w:ascii="Times New Roman" w:hAnsi="Times New Roman" w:eastAsia="宋体" w:cs="Times New Roman"/>
                <w:i w:val="0"/>
                <w:color w:val="000000"/>
                <w:kern w:val="0"/>
                <w:sz w:val="24"/>
                <w:szCs w:val="24"/>
                <w:u w:val="none"/>
                <w:lang w:val="en-US" w:eastAsia="zh-CN" w:bidi="ar"/>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0A25A">
            <w:pPr>
              <w:keepNext w:val="0"/>
              <w:keepLines w:val="0"/>
              <w:widowControl/>
              <w:suppressLineNumbers w:val="0"/>
              <w:ind w:left="0" w:leftChars="0" w:firstLine="0" w:firstLineChars="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4D353">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项目完成时间</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8CA967">
            <w:pPr>
              <w:keepNext w:val="0"/>
              <w:keepLines w:val="0"/>
              <w:widowControl/>
              <w:suppressLineNumbers w:val="0"/>
              <w:spacing w:line="240" w:lineRule="auto"/>
              <w:ind w:left="0" w:leftChars="0" w:firstLine="0" w:firstLine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08AE4">
            <w:pPr>
              <w:keepNext w:val="0"/>
              <w:keepLines w:val="0"/>
              <w:widowControl/>
              <w:suppressLineNumbers w:val="0"/>
              <w:spacing w:line="240" w:lineRule="auto"/>
              <w:ind w:left="0" w:leftChars="0" w:firstLine="0" w:firstLineChars="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2024年12月底前完成</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4C157">
            <w:pPr>
              <w:spacing w:line="240" w:lineRule="auto"/>
              <w:jc w:val="left"/>
              <w:rPr>
                <w:rFonts w:hint="default" w:ascii="Times New Roman" w:hAnsi="Times New Roman" w:eastAsia="宋体" w:cs="Times New Roman"/>
                <w:i w:val="0"/>
                <w:color w:val="000000"/>
                <w:kern w:val="0"/>
                <w:sz w:val="24"/>
                <w:szCs w:val="24"/>
                <w:u w:val="none"/>
                <w:lang w:val="en-US" w:eastAsia="zh-CN" w:bidi="ar"/>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607BA">
            <w:pPr>
              <w:keepNext w:val="0"/>
              <w:keepLines w:val="0"/>
              <w:widowControl/>
              <w:suppressLineNumbers w:val="0"/>
              <w:spacing w:line="240" w:lineRule="auto"/>
              <w:ind w:firstLine="480" w:firstLineChars="20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CE06C">
            <w:pPr>
              <w:keepNext w:val="0"/>
              <w:keepLines w:val="0"/>
              <w:widowControl/>
              <w:suppressLineNumbers w:val="0"/>
              <w:spacing w:line="240" w:lineRule="auto"/>
              <w:ind w:left="0" w:leftChars="0"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定性</w:t>
            </w:r>
          </w:p>
        </w:tc>
      </w:tr>
      <w:tr w14:paraId="34E0E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1D67F17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D74B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3669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可持续影响指标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6FC8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提升单位制作的牦牛冻精影响力</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F88A3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A593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高中低</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2A1A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A1E9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30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0F63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定性</w:t>
            </w:r>
          </w:p>
        </w:tc>
      </w:tr>
      <w:tr w14:paraId="18734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bottom w:val="single" w:color="000000" w:sz="4" w:space="0"/>
              <w:right w:val="single" w:color="000000" w:sz="4" w:space="0"/>
            </w:tcBorders>
            <w:shd w:val="clear" w:color="auto" w:fill="auto"/>
            <w:vAlign w:val="center"/>
          </w:tcPr>
          <w:p w14:paraId="5AD61A2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C4A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成本指标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2EF6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经济成本指标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6582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单位在职职工使用公用经费标准</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E3EEF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BB9F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3.8</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2D8D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万元</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6955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752B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r>
    </w:tbl>
    <w:p w14:paraId="54A60954">
      <w:pPr>
        <w:pStyle w:val="8"/>
        <w:spacing w:line="560" w:lineRule="exact"/>
        <w:ind w:left="0" w:leftChars="0" w:firstLine="0" w:firstLineChars="0"/>
        <w:rPr>
          <w:rFonts w:ascii="Times New Roman"/>
          <w:sz w:val="32"/>
          <w:highlight w:val="yellow"/>
          <w:lang w:val="zh-CN"/>
        </w:rPr>
        <w:sectPr>
          <w:footerReference r:id="rId5" w:type="first"/>
          <w:footerReference r:id="rId4" w:type="default"/>
          <w:pgSz w:w="11906" w:h="16838"/>
          <w:pgMar w:top="1440" w:right="1800" w:bottom="1440" w:left="1800" w:header="851" w:footer="992" w:gutter="0"/>
          <w:pgNumType w:fmt="numberInDash" w:start="1"/>
          <w:cols w:space="425" w:num="1"/>
          <w:titlePg/>
          <w:docGrid w:type="lines" w:linePitch="312" w:charSpace="0"/>
        </w:sectPr>
      </w:pPr>
    </w:p>
    <w:p w14:paraId="42AD5F45">
      <w:pPr>
        <w:pStyle w:val="8"/>
        <w:spacing w:line="560" w:lineRule="exact"/>
        <w:ind w:left="0" w:leftChars="0" w:firstLine="0" w:firstLineChars="0"/>
        <w:rPr>
          <w:rFonts w:ascii="Times New Roman"/>
          <w:sz w:val="32"/>
          <w:highlight w:val="yellow"/>
          <w:lang w:val="zh-CN"/>
        </w:rPr>
        <w:sectPr>
          <w:pgSz w:w="11906" w:h="16838"/>
          <w:pgMar w:top="1440" w:right="1800" w:bottom="1440" w:left="1800" w:header="851" w:footer="992" w:gutter="0"/>
          <w:pgNumType w:fmt="numberInDash"/>
          <w:cols w:space="425" w:num="1"/>
          <w:titlePg/>
          <w:docGrid w:type="lines" w:linePitch="312" w:charSpace="0"/>
        </w:sectPr>
      </w:pPr>
      <w:r>
        <w:drawing>
          <wp:anchor distT="0" distB="0" distL="114300" distR="114300" simplePos="0" relativeHeight="251663360" behindDoc="0" locked="0" layoutInCell="1" allowOverlap="1">
            <wp:simplePos x="0" y="0"/>
            <wp:positionH relativeFrom="column">
              <wp:posOffset>8255</wp:posOffset>
            </wp:positionH>
            <wp:positionV relativeFrom="paragraph">
              <wp:posOffset>240030</wp:posOffset>
            </wp:positionV>
            <wp:extent cx="5266690" cy="3669665"/>
            <wp:effectExtent l="0" t="0" r="3810" b="63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a:stretch>
                      <a:fillRect/>
                    </a:stretch>
                  </pic:blipFill>
                  <pic:spPr>
                    <a:xfrm>
                      <a:off x="0" y="0"/>
                      <a:ext cx="5266690" cy="3669665"/>
                    </a:xfrm>
                    <a:prstGeom prst="rect">
                      <a:avLst/>
                    </a:prstGeom>
                    <a:noFill/>
                    <a:ln>
                      <a:noFill/>
                    </a:ln>
                  </pic:spPr>
                </pic:pic>
              </a:graphicData>
            </a:graphic>
          </wp:anchor>
        </w:drawing>
      </w:r>
    </w:p>
    <w:p w14:paraId="629C97A8">
      <w:pPr>
        <w:pStyle w:val="8"/>
        <w:spacing w:line="560" w:lineRule="exact"/>
        <w:ind w:left="0" w:leftChars="0" w:firstLine="0" w:firstLineChars="0"/>
        <w:rPr>
          <w:rFonts w:ascii="Times New Roman"/>
          <w:sz w:val="32"/>
          <w:highlight w:val="yellow"/>
          <w:lang w:val="zh-CN"/>
        </w:rPr>
      </w:pPr>
      <w:r>
        <w:drawing>
          <wp:anchor distT="0" distB="0" distL="114300" distR="114300" simplePos="0" relativeHeight="251664384" behindDoc="0" locked="0" layoutInCell="1" allowOverlap="1">
            <wp:simplePos x="0" y="0"/>
            <wp:positionH relativeFrom="column">
              <wp:posOffset>16510</wp:posOffset>
            </wp:positionH>
            <wp:positionV relativeFrom="paragraph">
              <wp:posOffset>191135</wp:posOffset>
            </wp:positionV>
            <wp:extent cx="5266690" cy="3669665"/>
            <wp:effectExtent l="0" t="0" r="3810" b="635"/>
            <wp:wrapSquare wrapText="bothSides"/>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5"/>
                    <a:stretch>
                      <a:fillRect/>
                    </a:stretch>
                  </pic:blipFill>
                  <pic:spPr>
                    <a:xfrm>
                      <a:off x="0" y="0"/>
                      <a:ext cx="5266690" cy="3669665"/>
                    </a:xfrm>
                    <a:prstGeom prst="rect">
                      <a:avLst/>
                    </a:prstGeom>
                    <a:noFill/>
                    <a:ln>
                      <a:noFill/>
                    </a:ln>
                  </pic:spPr>
                </pic:pic>
              </a:graphicData>
            </a:graphic>
          </wp:anchor>
        </w:drawing>
      </w:r>
    </w:p>
    <w:p w14:paraId="6EE06247">
      <w:pPr>
        <w:pStyle w:val="6"/>
        <w:spacing w:before="93"/>
        <w:sectPr>
          <w:pgSz w:w="11906" w:h="16838"/>
          <w:pgMar w:top="1440" w:right="1800" w:bottom="1440" w:left="1800" w:header="851" w:footer="992" w:gutter="0"/>
          <w:pgNumType w:fmt="numberInDash"/>
          <w:cols w:space="425" w:num="1"/>
          <w:titlePg/>
          <w:docGrid w:type="lines" w:linePitch="312" w:charSpace="0"/>
        </w:sectPr>
      </w:pPr>
    </w:p>
    <w:p w14:paraId="3F495731">
      <w:pPr>
        <w:pStyle w:val="6"/>
        <w:spacing w:before="93"/>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3669665"/>
            <wp:effectExtent l="0" t="0" r="3810" b="63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6"/>
                    <a:stretch>
                      <a:fillRect/>
                    </a:stretch>
                  </pic:blipFill>
                  <pic:spPr>
                    <a:xfrm>
                      <a:off x="0" y="0"/>
                      <a:ext cx="5266690" cy="3669665"/>
                    </a:xfrm>
                    <a:prstGeom prst="rect">
                      <a:avLst/>
                    </a:prstGeom>
                    <a:noFill/>
                    <a:ln>
                      <a:noFill/>
                    </a:ln>
                  </pic:spPr>
                </pic:pic>
              </a:graphicData>
            </a:graphic>
          </wp:inline>
        </w:drawing>
      </w:r>
    </w:p>
    <w:p w14:paraId="745423E3">
      <w:pPr>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3669665"/>
            <wp:effectExtent l="0" t="0" r="3810" b="63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7"/>
                    <a:stretch>
                      <a:fillRect/>
                    </a:stretch>
                  </pic:blipFill>
                  <pic:spPr>
                    <a:xfrm>
                      <a:off x="0" y="0"/>
                      <a:ext cx="5266690" cy="3669665"/>
                    </a:xfrm>
                    <a:prstGeom prst="rect">
                      <a:avLst/>
                    </a:prstGeom>
                    <a:noFill/>
                    <a:ln>
                      <a:noFill/>
                    </a:ln>
                  </pic:spPr>
                </pic:pic>
              </a:graphicData>
            </a:graphic>
          </wp:inline>
        </w:drawing>
      </w:r>
    </w:p>
    <w:p w14:paraId="137A2045">
      <w:pPr>
        <w:pStyle w:val="2"/>
        <w:outlineLvl w:val="9"/>
        <w:rPr>
          <w:lang w:val="zh-CN"/>
        </w:rPr>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3669665"/>
            <wp:effectExtent l="0" t="0" r="3810" b="63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8"/>
                    <a:stretch>
                      <a:fillRect/>
                    </a:stretch>
                  </pic:blipFill>
                  <pic:spPr>
                    <a:xfrm>
                      <a:off x="0" y="0"/>
                      <a:ext cx="5266690" cy="3669665"/>
                    </a:xfrm>
                    <a:prstGeom prst="rect">
                      <a:avLst/>
                    </a:prstGeom>
                    <a:noFill/>
                    <a:ln>
                      <a:noFill/>
                    </a:ln>
                  </pic:spPr>
                </pic:pic>
              </a:graphicData>
            </a:graphic>
          </wp:inline>
        </w:drawing>
      </w:r>
    </w:p>
    <w:p w14:paraId="3B277A15">
      <w:pPr>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3669665"/>
            <wp:effectExtent l="0" t="0" r="3810" b="635"/>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19"/>
                    <a:stretch>
                      <a:fillRect/>
                    </a:stretch>
                  </pic:blipFill>
                  <pic:spPr>
                    <a:xfrm>
                      <a:off x="0" y="0"/>
                      <a:ext cx="5266690" cy="3669665"/>
                    </a:xfrm>
                    <a:prstGeom prst="rect">
                      <a:avLst/>
                    </a:prstGeom>
                    <a:noFill/>
                    <a:ln>
                      <a:noFill/>
                    </a:ln>
                  </pic:spPr>
                </pic:pic>
              </a:graphicData>
            </a:graphic>
          </wp:inline>
        </w:drawing>
      </w:r>
    </w:p>
    <w:p w14:paraId="12937E7B">
      <w:pPr>
        <w:pStyle w:val="2"/>
        <w:outlineLvl w:val="9"/>
        <w:rPr>
          <w:lang w:val="zh-CN"/>
        </w:rPr>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3669665"/>
            <wp:effectExtent l="0" t="0" r="3810" b="635"/>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20"/>
                    <a:stretch>
                      <a:fillRect/>
                    </a:stretch>
                  </pic:blipFill>
                  <pic:spPr>
                    <a:xfrm>
                      <a:off x="0" y="0"/>
                      <a:ext cx="5266690" cy="3669665"/>
                    </a:xfrm>
                    <a:prstGeom prst="rect">
                      <a:avLst/>
                    </a:prstGeom>
                    <a:noFill/>
                    <a:ln>
                      <a:noFill/>
                    </a:ln>
                  </pic:spPr>
                </pic:pic>
              </a:graphicData>
            </a:graphic>
          </wp:inline>
        </w:drawing>
      </w:r>
    </w:p>
    <w:p w14:paraId="5DA3FB92">
      <w:pPr>
        <w:pStyle w:val="2"/>
        <w:outlineLvl w:val="9"/>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3669665"/>
            <wp:effectExtent l="0" t="0" r="3810" b="635"/>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21"/>
                    <a:stretch>
                      <a:fillRect/>
                    </a:stretch>
                  </pic:blipFill>
                  <pic:spPr>
                    <a:xfrm>
                      <a:off x="0" y="0"/>
                      <a:ext cx="5266690" cy="3669665"/>
                    </a:xfrm>
                    <a:prstGeom prst="rect">
                      <a:avLst/>
                    </a:prstGeom>
                    <a:noFill/>
                    <a:ln>
                      <a:noFill/>
                    </a:ln>
                  </pic:spPr>
                </pic:pic>
              </a:graphicData>
            </a:graphic>
          </wp:inline>
        </w:drawing>
      </w:r>
    </w:p>
    <w:p w14:paraId="387B15EB">
      <w:pPr>
        <w:rPr>
          <w:lang w:val="zh-CN"/>
        </w:rPr>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3669665"/>
            <wp:effectExtent l="0" t="0" r="3810" b="635"/>
            <wp:docPr id="1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pic:cNvPicPr>
                      <a:picLocks noChangeAspect="1"/>
                    </pic:cNvPicPr>
                  </pic:nvPicPr>
                  <pic:blipFill>
                    <a:blip r:embed="rId22"/>
                    <a:stretch>
                      <a:fillRect/>
                    </a:stretch>
                  </pic:blipFill>
                  <pic:spPr>
                    <a:xfrm>
                      <a:off x="0" y="0"/>
                      <a:ext cx="5266690" cy="3669665"/>
                    </a:xfrm>
                    <a:prstGeom prst="rect">
                      <a:avLst/>
                    </a:prstGeom>
                    <a:noFill/>
                    <a:ln>
                      <a:noFill/>
                    </a:ln>
                  </pic:spPr>
                </pic:pic>
              </a:graphicData>
            </a:graphic>
          </wp:inline>
        </w:drawing>
      </w:r>
    </w:p>
    <w:p w14:paraId="0BF36035">
      <w:pPr>
        <w:rPr>
          <w:rFonts w:eastAsia="黑体" w:cs="黑体"/>
          <w:kern w:val="0"/>
          <w:sz w:val="32"/>
          <w:szCs w:val="32"/>
          <w:shd w:val="clear" w:color="auto" w:fill="FFFFFF"/>
          <w:lang w:val="zh-CN"/>
        </w:rPr>
      </w:pPr>
    </w:p>
    <w:p w14:paraId="478173F2">
      <w:pPr>
        <w:pStyle w:val="6"/>
        <w:spacing w:before="93"/>
        <w:outlineLvl w:val="9"/>
        <w:rPr>
          <w:rFonts w:ascii="Times New Roman" w:eastAsia="黑体" w:cs="黑体"/>
          <w:sz w:val="32"/>
          <w:szCs w:val="32"/>
        </w:rPr>
      </w:pPr>
      <w:r>
        <w:rPr>
          <w:rFonts w:hint="eastAsia" w:ascii="Times New Roman" w:eastAsia="黑体" w:cs="黑体"/>
          <w:sz w:val="32"/>
          <w:szCs w:val="32"/>
          <w:shd w:val="clear" w:color="auto" w:fill="FFFFFF"/>
          <w:lang w:val="zh-CN"/>
        </w:rPr>
        <w:t>附件</w:t>
      </w:r>
      <w:r>
        <w:rPr>
          <w:rFonts w:hint="eastAsia" w:ascii="Times New Roman" w:eastAsia="黑体" w:cs="黑体"/>
          <w:sz w:val="32"/>
          <w:szCs w:val="32"/>
          <w:shd w:val="clear" w:color="auto" w:fill="FFFFFF"/>
        </w:rPr>
        <w:t>2</w:t>
      </w:r>
    </w:p>
    <w:p w14:paraId="7390FFE7">
      <w:pPr>
        <w:pStyle w:val="36"/>
        <w:spacing w:line="578" w:lineRule="exact"/>
        <w:jc w:val="center"/>
        <w:rPr>
          <w:rFonts w:ascii="Times New Roman" w:hAnsi="Times New Roman" w:eastAsia="方正小标宋简体" w:cs="方正小标宋简体"/>
          <w:color w:val="auto"/>
          <w:kern w:val="2"/>
          <w:sz w:val="44"/>
          <w:szCs w:val="44"/>
          <w:lang w:val="en-US"/>
        </w:rPr>
      </w:pPr>
    </w:p>
    <w:p w14:paraId="7D222C26">
      <w:pPr>
        <w:pStyle w:val="36"/>
        <w:keepNext w:val="0"/>
        <w:keepLines w:val="0"/>
        <w:pageBreakBefore w:val="0"/>
        <w:widowControl w:val="0"/>
        <w:kinsoku/>
        <w:wordWrap/>
        <w:overflowPunct/>
        <w:topLinePunct w:val="0"/>
        <w:autoSpaceDE/>
        <w:autoSpaceDN/>
        <w:bidi w:val="0"/>
        <w:spacing w:line="560" w:lineRule="exact"/>
        <w:ind w:left="0" w:leftChars="0"/>
        <w:jc w:val="center"/>
        <w:textAlignment w:val="auto"/>
        <w:rPr>
          <w:rFonts w:hint="default" w:ascii="Times New Roman" w:hAnsi="Times New Roman" w:eastAsia="方正小标宋简体" w:cs="Times New Roman"/>
          <w:color w:val="auto"/>
          <w:kern w:val="2"/>
          <w:sz w:val="44"/>
          <w:szCs w:val="44"/>
          <w:highlight w:val="none"/>
          <w:lang w:val="en-US" w:eastAsia="zh-CN"/>
        </w:rPr>
      </w:pPr>
      <w:r>
        <w:rPr>
          <w:rFonts w:hint="default" w:ascii="Times New Roman" w:hAnsi="Times New Roman" w:eastAsia="方正小标宋简体" w:cs="Times New Roman"/>
          <w:color w:val="auto"/>
          <w:kern w:val="2"/>
          <w:sz w:val="44"/>
          <w:szCs w:val="44"/>
          <w:highlight w:val="none"/>
          <w:lang w:val="en-US" w:eastAsia="zh-CN"/>
        </w:rPr>
        <w:t>专项预算绩效自评报告</w:t>
      </w:r>
    </w:p>
    <w:p w14:paraId="631B0C3C">
      <w:pPr>
        <w:pStyle w:val="36"/>
        <w:keepNext w:val="0"/>
        <w:keepLines w:val="0"/>
        <w:pageBreakBefore w:val="0"/>
        <w:widowControl w:val="0"/>
        <w:kinsoku/>
        <w:wordWrap/>
        <w:overflowPunct/>
        <w:topLinePunct w:val="0"/>
        <w:autoSpaceDE/>
        <w:autoSpaceDN/>
        <w:bidi w:val="0"/>
        <w:spacing w:line="560" w:lineRule="exact"/>
        <w:ind w:left="0" w:leftChars="0"/>
        <w:jc w:val="center"/>
        <w:textAlignment w:val="auto"/>
        <w:rPr>
          <w:rFonts w:hint="default" w:ascii="Times New Roman" w:hAnsi="Times New Roman" w:eastAsia="方正小标宋简体" w:cs="Times New Roman"/>
          <w:color w:val="auto"/>
          <w:kern w:val="2"/>
          <w:sz w:val="44"/>
          <w:szCs w:val="44"/>
          <w:highlight w:val="none"/>
          <w:lang w:val="en-US" w:eastAsia="zh-CN"/>
        </w:rPr>
      </w:pPr>
      <w:r>
        <w:rPr>
          <w:rFonts w:hint="eastAsia" w:ascii="方正小标宋简体" w:hAnsi="黑体" w:eastAsia="方正小标宋简体" w:cs="黑体"/>
          <w:w w:val="92"/>
          <w:sz w:val="44"/>
          <w:szCs w:val="44"/>
          <w:lang w:eastAsia="zh-CN"/>
        </w:rPr>
        <w:t>（</w:t>
      </w:r>
      <w:r>
        <w:rPr>
          <w:rFonts w:ascii="方正小标宋简体" w:hAnsi="黑体" w:eastAsia="方正小标宋简体" w:cs="黑体"/>
          <w:w w:val="92"/>
          <w:sz w:val="44"/>
          <w:szCs w:val="44"/>
        </w:rPr>
        <w:t>阿坝州牦牛寄生虫流行性调查及精准防控技术研究与示范推广</w:t>
      </w:r>
      <w:r>
        <w:rPr>
          <w:rFonts w:hint="eastAsia" w:ascii="方正小标宋简体" w:hAnsi="黑体" w:eastAsia="方正小标宋简体" w:cs="黑体"/>
          <w:w w:val="92"/>
          <w:sz w:val="44"/>
          <w:szCs w:val="44"/>
          <w:lang w:val="en-US" w:eastAsia="zh-CN"/>
        </w:rPr>
        <w:t>项目</w:t>
      </w:r>
      <w:r>
        <w:rPr>
          <w:rFonts w:hint="eastAsia" w:ascii="方正小标宋简体" w:hAnsi="黑体" w:eastAsia="方正小标宋简体" w:cs="黑体"/>
          <w:w w:val="92"/>
          <w:sz w:val="44"/>
          <w:szCs w:val="44"/>
          <w:lang w:eastAsia="zh-CN"/>
        </w:rPr>
        <w:t>）</w:t>
      </w:r>
    </w:p>
    <w:p w14:paraId="27627C22">
      <w:pPr>
        <w:pStyle w:val="36"/>
        <w:keepNext w:val="0"/>
        <w:keepLines w:val="0"/>
        <w:pageBreakBefore w:val="0"/>
        <w:widowControl w:val="0"/>
        <w:kinsoku/>
        <w:wordWrap/>
        <w:overflowPunct/>
        <w:topLinePunct w:val="0"/>
        <w:autoSpaceDE/>
        <w:autoSpaceDN/>
        <w:bidi w:val="0"/>
        <w:spacing w:line="560" w:lineRule="exact"/>
        <w:ind w:left="0" w:leftChars="0" w:firstLine="640"/>
        <w:jc w:val="center"/>
        <w:textAlignment w:val="auto"/>
        <w:rPr>
          <w:rFonts w:hint="default" w:ascii="Times New Roman" w:hAnsi="Times New Roman" w:cs="Times New Roman"/>
          <w:color w:val="auto"/>
          <w:kern w:val="2"/>
          <w:sz w:val="32"/>
          <w:szCs w:val="32"/>
          <w:highlight w:val="none"/>
        </w:rPr>
      </w:pPr>
    </w:p>
    <w:p w14:paraId="42813216">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color w:val="auto"/>
          <w:sz w:val="32"/>
          <w:szCs w:val="32"/>
          <w:highlight w:val="none"/>
          <w:u w:val="none"/>
          <w:lang w:val="zh-CN"/>
        </w:rPr>
      </w:pPr>
      <w:r>
        <w:rPr>
          <w:rFonts w:hint="default" w:ascii="Times New Roman" w:hAnsi="Times New Roman" w:eastAsia="黑体" w:cs="Times New Roman"/>
          <w:color w:val="auto"/>
          <w:sz w:val="32"/>
          <w:szCs w:val="32"/>
          <w:highlight w:val="none"/>
          <w:u w:val="none"/>
        </w:rPr>
        <w:t>一、</w:t>
      </w:r>
      <w:r>
        <w:rPr>
          <w:rFonts w:hint="default" w:ascii="Times New Roman" w:hAnsi="Times New Roman" w:eastAsia="黑体" w:cs="Times New Roman"/>
          <w:color w:val="auto"/>
          <w:sz w:val="32"/>
          <w:szCs w:val="32"/>
          <w:highlight w:val="none"/>
          <w:u w:val="none"/>
          <w:lang w:val="zh-CN"/>
        </w:rPr>
        <w:t>项目概况</w:t>
      </w:r>
    </w:p>
    <w:p w14:paraId="73000FD7">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0" w:leftChars="0" w:firstLine="643" w:firstLineChars="200"/>
        <w:contextualSpacing/>
        <w:jc w:val="left"/>
        <w:textAlignment w:val="auto"/>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楷体_GB2312" w:cs="Times New Roman"/>
          <w:b/>
          <w:color w:val="auto"/>
          <w:sz w:val="32"/>
          <w:szCs w:val="32"/>
          <w:highlight w:val="none"/>
          <w:u w:val="none"/>
          <w:lang w:val="zh-CN"/>
        </w:rPr>
        <w:t>（一）设立背景及基本情况。</w:t>
      </w:r>
      <w:r>
        <w:rPr>
          <w:rFonts w:hint="default" w:ascii="Times New Roman" w:hAnsi="Times New Roman" w:eastAsia="仿宋_GB2312" w:cs="Times New Roman"/>
          <w:b w:val="0"/>
          <w:bCs w:val="0"/>
          <w:kern w:val="0"/>
          <w:position w:val="0"/>
          <w:sz w:val="32"/>
          <w:szCs w:val="32"/>
          <w:highlight w:val="none"/>
          <w:lang w:val="en-US" w:eastAsia="zh-CN" w:bidi="ar-SA"/>
        </w:rPr>
        <w:t>项目设立原因及背景，</w:t>
      </w:r>
      <w:r>
        <w:rPr>
          <w:rFonts w:hint="default" w:ascii="Times New Roman" w:hAnsi="Times New Roman" w:eastAsia="仿宋_GB2312" w:cs="Times New Roman"/>
          <w:b w:val="0"/>
          <w:bCs w:val="0"/>
          <w:kern w:val="0"/>
          <w:position w:val="0"/>
          <w:sz w:val="32"/>
          <w:szCs w:val="32"/>
          <w:highlight w:val="none"/>
          <w:lang w:val="zh-CN" w:eastAsia="zh-CN" w:bidi="ar-SA"/>
        </w:rPr>
        <w:t>项目立项、资金申报的依据，项目主要内容</w:t>
      </w:r>
      <w:r>
        <w:rPr>
          <w:rFonts w:hint="default" w:ascii="Times New Roman" w:hAnsi="Times New Roman" w:eastAsia="仿宋_GB2312" w:cs="Times New Roman"/>
          <w:b w:val="0"/>
          <w:bCs w:val="0"/>
          <w:kern w:val="0"/>
          <w:position w:val="0"/>
          <w:sz w:val="32"/>
          <w:szCs w:val="32"/>
          <w:highlight w:val="none"/>
          <w:lang w:val="en-US" w:eastAsia="zh-CN" w:bidi="ar-SA"/>
        </w:rPr>
        <w:t>。</w:t>
      </w:r>
      <w:r>
        <w:rPr>
          <w:rFonts w:hint="default" w:ascii="Times New Roman" w:hAnsi="Times New Roman" w:eastAsia="仿宋_GB2312" w:cs="Times New Roman"/>
          <w:b w:val="0"/>
          <w:bCs w:val="0"/>
          <w:kern w:val="0"/>
          <w:position w:val="0"/>
          <w:sz w:val="32"/>
          <w:szCs w:val="32"/>
          <w:highlight w:val="none"/>
          <w:lang w:val="zh-CN" w:eastAsia="zh-CN" w:bidi="ar-SA"/>
        </w:rPr>
        <w:t>主管部门职能。</w:t>
      </w:r>
    </w:p>
    <w:p w14:paraId="4C70F98C">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3" w:firstLineChars="200"/>
        <w:textAlignment w:val="auto"/>
        <w:rPr>
          <w:rFonts w:hint="eastAsia"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仿宋_GB2312" w:cs="Times New Roman"/>
          <w:b/>
          <w:bCs/>
          <w:color w:val="auto"/>
          <w:kern w:val="0"/>
          <w:sz w:val="32"/>
          <w:szCs w:val="32"/>
          <w:highlight w:val="none"/>
          <w:u w:val="none"/>
          <w:shd w:val="clear" w:color="auto" w:fill="FFFFFF"/>
          <w:lang w:val="en-US" w:eastAsia="zh-CN" w:bidi="ar-SA"/>
        </w:rPr>
        <w:t>项目设立原因及背景</w:t>
      </w:r>
      <w:r>
        <w:rPr>
          <w:rFonts w:hint="eastAsia" w:ascii="Times New Roman" w:hAnsi="Times New Roman" w:eastAsia="仿宋_GB2312" w:cs="Times New Roman"/>
          <w:b/>
          <w:bCs/>
          <w:color w:val="auto"/>
          <w:kern w:val="0"/>
          <w:sz w:val="32"/>
          <w:szCs w:val="32"/>
          <w:highlight w:val="none"/>
          <w:u w:val="none"/>
          <w:shd w:val="clear" w:color="auto" w:fill="FFFFFF"/>
          <w:lang w:val="en-US" w:eastAsia="zh-CN" w:bidi="ar-SA"/>
        </w:rPr>
        <w:t>：</w:t>
      </w:r>
      <w:r>
        <w:rPr>
          <w:rFonts w:hint="eastAsia" w:ascii="Times New Roman" w:hAnsi="Times New Roman" w:eastAsia="仿宋_GB2312" w:cs="Times New Roman"/>
          <w:b w:val="0"/>
          <w:bCs w:val="0"/>
          <w:kern w:val="0"/>
          <w:position w:val="0"/>
          <w:sz w:val="32"/>
          <w:szCs w:val="32"/>
          <w:highlight w:val="none"/>
          <w:lang w:val="zh-CN" w:eastAsia="zh-CN" w:bidi="ar-SA"/>
        </w:rPr>
        <w:t>川牛产业是我省建设现代农业“10+3”产业体系的重要组成，也是我省广大农牧区乡村振兴的重要抓手。牦牛作为我国特有的宝贵种质资源，是我省川西高原地区的当家畜种，牦牛业是川西高原地区畜牧业的支柱产业。阿坝藏族羌族自治州地处青藏高原东南缘，是全国五大牧区之一，川西北牧区的重要组成部分，也是四川省主要的草食畜牧业生产基地。2022年，全州牦牛存栏197万头、出栏51万头，生产优质牦牛肉奶22万吨，牦牛产业成为阿坝州农牧业的“第一产业”和“第一品牌”，同时阿坝州的麦洼牦牛和金川牦牛也是我国优良的地方牦牛品种。牦牛养殖是阿坝州农业经济中最为活跃的主导产业，也是保障国家食物安全和促进涉藏地区牧民增收，助力乡村振兴的支柱产业，对高寒牧区经济社会发展起到关键性作用。</w:t>
      </w:r>
    </w:p>
    <w:p w14:paraId="716EDCA9">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eastAsia" w:ascii="Times New Roman" w:hAnsi="Times New Roman" w:eastAsia="仿宋_GB2312" w:cs="Times New Roman"/>
          <w:b w:val="0"/>
          <w:bCs w:val="0"/>
          <w:kern w:val="0"/>
          <w:position w:val="0"/>
          <w:sz w:val="32"/>
          <w:szCs w:val="32"/>
          <w:highlight w:val="none"/>
          <w:lang w:val="en-US" w:eastAsia="zh-CN" w:bidi="ar-SA"/>
        </w:rPr>
      </w:pPr>
      <w:r>
        <w:rPr>
          <w:rFonts w:hint="eastAsia" w:ascii="Times New Roman" w:hAnsi="Times New Roman" w:eastAsia="仿宋_GB2312" w:cs="Times New Roman"/>
          <w:b w:val="0"/>
          <w:bCs w:val="0"/>
          <w:kern w:val="0"/>
          <w:position w:val="0"/>
          <w:sz w:val="32"/>
          <w:szCs w:val="32"/>
          <w:highlight w:val="none"/>
          <w:lang w:val="zh-CN" w:eastAsia="zh-CN" w:bidi="ar-SA"/>
        </w:rPr>
        <w:t>牦牛养殖主要以放牧为主，极为容易受到各类寄生虫的感染，寄生虫病属于传染性疾病范畴，具有较强的传染性和接触性。但相较于其他细菌性和病毒性疾病，寄生虫病的发病周期相对较长。初期阶段，寄生虫数量相对较少，症状不明显，容易被忽视，常常会错过较佳防控时机。同时寄生虫不可能被完全消除，往往呈现出季节性、反复的感染。牦牛养殖中寄生虫病是一种普遍存在且危害较严重的疾病，对牦牛的经济效益产生严重的威胁，包括引起牦牛体重下降、肉品质及奶品质降低、牦牛的生长发育受阻等，而一些人畜共患寄生虫病对于人类健康也造成严重威胁。一些体表寄生虫也是细菌和病毒传播的主要媒介，严重影响牦牛健康。由于寄生虫的种类不同，其致病方式、寄生渠道存在很大的差异性，对牦牛造成的危害存在很大不同，要想科学地防治牦牛寄生虫，没有针对性的盲目治疗病症不仅可能不会有所缓解，还可能对牦牛身体产生伤害。因此，调查了解当地牦牛不同寄生虫的感染情况，制定精准的防治手段是牦牛寄生虫病防控的有效措施，将会有助于提高阿坝州牦牛寄生虫病的防治，为阿坝州牦牛产业绿色发展提供有力支持。</w:t>
      </w:r>
    </w:p>
    <w:p w14:paraId="3527CB9F">
      <w:pPr>
        <w:ind w:firstLine="643" w:firstLineChars="200"/>
        <w:rPr>
          <w:rFonts w:hint="eastAsia"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仿宋_GB2312" w:cs="Times New Roman"/>
          <w:b/>
          <w:bCs/>
          <w:color w:val="auto"/>
          <w:kern w:val="0"/>
          <w:sz w:val="32"/>
          <w:szCs w:val="32"/>
          <w:highlight w:val="none"/>
          <w:u w:val="none"/>
          <w:shd w:val="clear" w:color="auto" w:fill="FFFFFF"/>
          <w:lang w:val="zh-CN"/>
        </w:rPr>
        <w:t>项目立项、资金申报的依据</w:t>
      </w:r>
      <w:r>
        <w:rPr>
          <w:rFonts w:hint="eastAsia" w:ascii="Times New Roman" w:hAnsi="Times New Roman" w:cs="Times New Roman"/>
          <w:b/>
          <w:bCs/>
          <w:color w:val="auto"/>
          <w:kern w:val="0"/>
          <w:sz w:val="32"/>
          <w:szCs w:val="32"/>
          <w:highlight w:val="none"/>
          <w:u w:val="none"/>
          <w:shd w:val="clear" w:color="auto" w:fill="FFFFFF"/>
          <w:lang w:val="zh-CN"/>
        </w:rPr>
        <w:t>：</w:t>
      </w:r>
      <w:r>
        <w:rPr>
          <w:rFonts w:hint="eastAsia" w:ascii="Times New Roman" w:hAnsi="Times New Roman" w:eastAsia="仿宋_GB2312" w:cs="Times New Roman"/>
          <w:b w:val="0"/>
          <w:bCs w:val="0"/>
          <w:kern w:val="0"/>
          <w:position w:val="0"/>
          <w:sz w:val="32"/>
          <w:szCs w:val="32"/>
          <w:highlight w:val="none"/>
          <w:lang w:val="zh-CN" w:eastAsia="zh-CN" w:bidi="ar-SA"/>
        </w:rPr>
        <w:t>根据《四川省科学技术厅印发&lt;关于</w:t>
      </w:r>
      <w:r>
        <w:rPr>
          <w:rFonts w:hint="eastAsia" w:ascii="Times New Roman" w:hAnsi="Times New Roman" w:eastAsia="仿宋_GB2312" w:cs="Times New Roman"/>
          <w:b w:val="0"/>
          <w:bCs w:val="0"/>
          <w:kern w:val="0"/>
          <w:position w:val="0"/>
          <w:sz w:val="32"/>
          <w:szCs w:val="32"/>
          <w:highlight w:val="none"/>
          <w:lang w:val="en-US" w:eastAsia="zh-CN" w:bidi="ar-SA"/>
        </w:rPr>
        <w:t>定向委托组织申报“科普赋能涉藏地区稳定发展专项”重点研发补充项目</w:t>
      </w:r>
      <w:r>
        <w:rPr>
          <w:rFonts w:hint="eastAsia" w:ascii="Times New Roman" w:hAnsi="Times New Roman" w:eastAsia="仿宋_GB2312" w:cs="Times New Roman"/>
          <w:b w:val="0"/>
          <w:bCs w:val="0"/>
          <w:kern w:val="0"/>
          <w:position w:val="0"/>
          <w:sz w:val="32"/>
          <w:szCs w:val="32"/>
          <w:highlight w:val="none"/>
          <w:lang w:val="zh-CN" w:eastAsia="zh-CN" w:bidi="ar-SA"/>
        </w:rPr>
        <w:t>&gt;的通知》文件要求。</w:t>
      </w:r>
    </w:p>
    <w:p w14:paraId="4244DC1F">
      <w:pPr>
        <w:keepNext w:val="0"/>
        <w:keepLines w:val="0"/>
        <w:pageBreakBefore w:val="0"/>
        <w:kinsoku/>
        <w:wordWrap/>
        <w:overflowPunct/>
        <w:topLinePunct w:val="0"/>
        <w:autoSpaceDE/>
        <w:autoSpaceDN/>
        <w:bidi w:val="0"/>
        <w:spacing w:line="560" w:lineRule="exact"/>
        <w:ind w:firstLine="643" w:firstLineChars="200"/>
        <w:rPr>
          <w:rFonts w:hint="eastAsia"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bCs/>
          <w:color w:val="auto"/>
          <w:kern w:val="0"/>
          <w:sz w:val="32"/>
          <w:szCs w:val="32"/>
          <w:highlight w:val="none"/>
          <w:u w:val="none"/>
          <w:shd w:val="clear" w:color="auto" w:fill="FFFFFF"/>
          <w:lang w:val="zh-CN" w:eastAsia="zh-CN"/>
        </w:rPr>
        <w:t>项目主要内容</w:t>
      </w:r>
      <w:r>
        <w:rPr>
          <w:rFonts w:hint="eastAsia" w:ascii="Times New Roman" w:hAnsi="Times New Roman" w:eastAsia="仿宋_GB2312" w:cs="Times New Roman"/>
          <w:b/>
          <w:bCs/>
          <w:color w:val="auto"/>
          <w:kern w:val="0"/>
          <w:sz w:val="32"/>
          <w:szCs w:val="32"/>
          <w:highlight w:val="none"/>
          <w:u w:val="none"/>
          <w:shd w:val="clear" w:color="auto" w:fill="FFFFFF"/>
          <w:lang w:val="zh-CN" w:eastAsia="zh-CN"/>
        </w:rPr>
        <w:t>：</w:t>
      </w:r>
      <w:r>
        <w:rPr>
          <w:rFonts w:hint="eastAsia" w:ascii="Times New Roman" w:hAnsi="Times New Roman" w:eastAsia="仿宋_GB2312" w:cs="Times New Roman"/>
          <w:b w:val="0"/>
          <w:bCs w:val="0"/>
          <w:kern w:val="0"/>
          <w:position w:val="0"/>
          <w:sz w:val="32"/>
          <w:szCs w:val="32"/>
          <w:highlight w:val="none"/>
          <w:lang w:val="zh-CN" w:eastAsia="zh-CN" w:bidi="ar-SA"/>
        </w:rPr>
        <w:t>针对目前阿坝州牦牛主要寄生虫病发病情况、病原类型以及防治方案不完善的情况，研究主要通过常规方法和分子生物学</w:t>
      </w:r>
      <w:r>
        <w:rPr>
          <w:rFonts w:hint="eastAsia" w:ascii="Times New Roman" w:hAnsi="Times New Roman" w:eastAsia="仿宋_GB2312" w:cs="Times New Roman"/>
          <w:b w:val="0"/>
          <w:bCs w:val="0"/>
          <w:kern w:val="0"/>
          <w:position w:val="0"/>
          <w:sz w:val="32"/>
          <w:szCs w:val="32"/>
          <w:highlight w:val="none"/>
          <w:lang w:val="en-US" w:eastAsia="zh-CN" w:bidi="ar-SA"/>
        </w:rPr>
        <w:t>方法分析阿坝州牦牛寄生虫病的主要病原，准确掌握阿坝州牦牛寄生虫季节动态和寄生虫体特征；通过实验室研究和临床药物试验筛选出有效和敏感的抗寄生虫药物，优化和完善牦牛精准驱虫方案；集成阿坝州牦牛寄生虫病综合防控技术1套，并建立1-2个示范点进行示范推广应用，培训当地畜牧科技人员和农牧民，辐射带动周边养殖户科学养殖，全面提升养殖场、专合社（家庭农场）及养殖户收益。</w:t>
      </w:r>
    </w:p>
    <w:p w14:paraId="3BFB9107">
      <w:pPr>
        <w:pStyle w:val="6"/>
        <w:tabs>
          <w:tab w:val="left" w:pos="2160"/>
        </w:tabs>
        <w:ind w:firstLine="643" w:firstLineChars="200"/>
        <w:rPr>
          <w:rFonts w:hint="default" w:ascii="Times New Roman" w:hAnsi="Times New Roman" w:eastAsia="仿宋_GB2312" w:cs="Times New Roman"/>
          <w:b w:val="0"/>
          <w:bCs w:val="0"/>
          <w:kern w:val="0"/>
          <w:position w:val="0"/>
          <w:sz w:val="32"/>
          <w:szCs w:val="32"/>
          <w:highlight w:val="none"/>
          <w:lang w:val="zh-CN" w:eastAsia="zh-CN" w:bidi="ar-SA"/>
        </w:rPr>
      </w:pPr>
      <w:r>
        <w:rPr>
          <w:rFonts w:hint="eastAsia" w:ascii="Times New Roman" w:hAnsi="Times New Roman" w:eastAsia="仿宋_GB2312" w:cs="Times New Roman"/>
          <w:b/>
          <w:bCs/>
          <w:kern w:val="2"/>
          <w:position w:val="0"/>
          <w:sz w:val="32"/>
          <w:szCs w:val="32"/>
          <w:lang w:val="zh-CN" w:eastAsia="zh-CN" w:bidi="ar-SA"/>
        </w:rPr>
        <w:t>主管部门职能：</w:t>
      </w:r>
      <w:r>
        <w:rPr>
          <w:rFonts w:hint="eastAsia" w:ascii="Times New Roman" w:hAnsi="Times New Roman" w:eastAsia="仿宋_GB2312" w:cs="Times New Roman"/>
          <w:b w:val="0"/>
          <w:bCs w:val="0"/>
          <w:kern w:val="0"/>
          <w:position w:val="0"/>
          <w:sz w:val="32"/>
          <w:szCs w:val="32"/>
          <w:highlight w:val="none"/>
          <w:lang w:val="zh-CN" w:eastAsia="zh-CN" w:bidi="ar-SA"/>
        </w:rPr>
        <w:t>组织项目的申报、评审及立项，负责项目中期检查、经费审核、结题验收等全周期管理，确保项目按计划推进‌。</w:t>
      </w:r>
    </w:p>
    <w:p w14:paraId="6D5CE30C">
      <w:pPr>
        <w:keepNext w:val="0"/>
        <w:keepLines w:val="0"/>
        <w:pageBreakBefore w:val="0"/>
        <w:kinsoku/>
        <w:wordWrap/>
        <w:overflowPunct/>
        <w:topLinePunct w:val="0"/>
        <w:autoSpaceDE/>
        <w:autoSpaceDN/>
        <w:bidi w:val="0"/>
        <w:adjustRightInd w:val="0"/>
        <w:snapToGrid w:val="0"/>
        <w:spacing w:line="560" w:lineRule="exact"/>
        <w:ind w:left="0" w:leftChars="0" w:firstLine="643" w:firstLineChars="200"/>
        <w:textAlignment w:val="auto"/>
        <w:rPr>
          <w:rFonts w:hint="default" w:ascii="Times New Roman" w:hAnsi="Times New Roman" w:eastAsia="楷体_GB2312" w:cs="Times New Roman"/>
          <w:b/>
          <w:color w:val="auto"/>
          <w:sz w:val="32"/>
          <w:szCs w:val="32"/>
          <w:highlight w:val="none"/>
          <w:u w:val="none"/>
          <w:lang w:val="zh-CN"/>
        </w:rPr>
      </w:pPr>
      <w:r>
        <w:rPr>
          <w:rFonts w:hint="default"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default" w:ascii="Times New Roman" w:hAnsi="Times New Roman" w:eastAsia="仿宋_GB2312" w:cs="Times New Roman"/>
          <w:b w:val="0"/>
          <w:bCs w:val="0"/>
          <w:kern w:val="0"/>
          <w:position w:val="0"/>
          <w:sz w:val="32"/>
          <w:szCs w:val="32"/>
          <w:highlight w:val="none"/>
          <w:lang w:val="en-US" w:eastAsia="zh-CN" w:bidi="ar-SA"/>
        </w:rPr>
        <w:t>项目资金</w:t>
      </w:r>
      <w:r>
        <w:rPr>
          <w:rFonts w:hint="default" w:ascii="Times New Roman" w:hAnsi="Times New Roman" w:eastAsia="仿宋_GB2312" w:cs="Times New Roman"/>
          <w:b w:val="0"/>
          <w:bCs w:val="0"/>
          <w:kern w:val="0"/>
          <w:position w:val="0"/>
          <w:sz w:val="32"/>
          <w:szCs w:val="32"/>
          <w:highlight w:val="none"/>
          <w:lang w:val="zh-CN" w:eastAsia="zh-CN" w:bidi="ar-SA"/>
        </w:rPr>
        <w:t>管理办法制定情况，项目实施目的和主要工作任务，项目支持方向。</w:t>
      </w:r>
    </w:p>
    <w:p w14:paraId="7A0A20E1">
      <w:pPr>
        <w:pStyle w:val="6"/>
        <w:tabs>
          <w:tab w:val="left" w:pos="2160"/>
        </w:tabs>
        <w:ind w:firstLine="643" w:firstLineChars="200"/>
        <w:rPr>
          <w:rFonts w:hint="default" w:ascii="Times New Roman" w:hAnsi="Times New Roman" w:eastAsia="仿宋_GB2312" w:cs="Times New Roman"/>
          <w:color w:val="auto"/>
          <w:kern w:val="0"/>
          <w:position w:val="0"/>
          <w:sz w:val="32"/>
          <w:szCs w:val="32"/>
          <w:highlight w:val="none"/>
          <w:u w:val="none"/>
          <w:shd w:val="clear" w:color="auto" w:fill="FFFFFF"/>
          <w:lang w:val="en-US" w:eastAsia="zh-CN" w:bidi="ar-SA"/>
        </w:rPr>
      </w:pPr>
      <w:r>
        <w:rPr>
          <w:rFonts w:hint="eastAsia" w:ascii="Times New Roman" w:hAnsi="Times New Roman" w:eastAsia="仿宋_GB2312" w:cs="Times New Roman"/>
          <w:b/>
          <w:bCs/>
          <w:color w:val="auto"/>
          <w:kern w:val="0"/>
          <w:position w:val="0"/>
          <w:sz w:val="32"/>
          <w:szCs w:val="32"/>
          <w:highlight w:val="none"/>
          <w:u w:val="none"/>
          <w:shd w:val="clear" w:color="auto" w:fill="FFFFFF"/>
          <w:lang w:val="en-US" w:eastAsia="zh-CN" w:bidi="ar-SA"/>
        </w:rPr>
        <w:t>项目资金管理办法制定情况：</w:t>
      </w:r>
      <w:r>
        <w:rPr>
          <w:rFonts w:hint="eastAsia" w:ascii="Times New Roman" w:hAnsi="Times New Roman" w:eastAsia="仿宋_GB2312" w:cs="Times New Roman"/>
          <w:b w:val="0"/>
          <w:bCs w:val="0"/>
          <w:kern w:val="0"/>
          <w:position w:val="0"/>
          <w:sz w:val="32"/>
          <w:szCs w:val="32"/>
          <w:highlight w:val="none"/>
          <w:lang w:val="en-US" w:eastAsia="zh-CN" w:bidi="ar-SA"/>
        </w:rPr>
        <w:t>严格按照《四川省财政厅四川省科学技术厅关于印发&lt;四川省科技计划项目专项资金管理办法》的通知》(川财规〔2019〕10号)规定，做好资金拨付、管理、使用和监督工作，确保专款专用。</w:t>
      </w:r>
    </w:p>
    <w:p w14:paraId="2FD5EE69">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0" w:leftChars="0" w:firstLine="643" w:firstLineChars="200"/>
        <w:contextualSpacing/>
        <w:jc w:val="left"/>
        <w:textAlignment w:val="auto"/>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仿宋_GB2312" w:cs="Times New Roman"/>
          <w:b/>
          <w:bCs/>
          <w:color w:val="auto"/>
          <w:kern w:val="0"/>
          <w:position w:val="0"/>
          <w:sz w:val="32"/>
          <w:szCs w:val="32"/>
          <w:highlight w:val="none"/>
          <w:u w:val="none"/>
          <w:shd w:val="clear" w:color="auto" w:fill="FFFFFF"/>
          <w:lang w:val="en-US" w:eastAsia="zh-CN" w:bidi="ar-SA"/>
        </w:rPr>
        <w:t>项目实施目的和主要工作任务</w:t>
      </w:r>
      <w:r>
        <w:rPr>
          <w:rFonts w:hint="eastAsia" w:ascii="Times New Roman" w:hAnsi="Times New Roman" w:eastAsia="仿宋_GB2312" w:cs="Times New Roman"/>
          <w:b/>
          <w:bCs/>
          <w:color w:val="auto"/>
          <w:kern w:val="0"/>
          <w:position w:val="0"/>
          <w:sz w:val="32"/>
          <w:szCs w:val="32"/>
          <w:highlight w:val="none"/>
          <w:u w:val="none"/>
          <w:shd w:val="clear" w:color="auto" w:fill="FFFFFF"/>
          <w:lang w:val="en-US" w:eastAsia="zh-CN" w:bidi="ar-SA"/>
        </w:rPr>
        <w:t>：</w:t>
      </w:r>
      <w:r>
        <w:rPr>
          <w:rFonts w:hint="eastAsia" w:ascii="Times New Roman" w:hAnsi="Times New Roman" w:eastAsia="仿宋_GB2312" w:cs="Times New Roman"/>
          <w:b w:val="0"/>
          <w:bCs w:val="0"/>
          <w:kern w:val="0"/>
          <w:position w:val="0"/>
          <w:sz w:val="32"/>
          <w:szCs w:val="32"/>
          <w:highlight w:val="none"/>
          <w:lang w:val="en-US" w:eastAsia="zh-CN" w:bidi="ar-SA"/>
        </w:rPr>
        <w:t>一是</w:t>
      </w:r>
      <w:r>
        <w:rPr>
          <w:rFonts w:hint="default" w:ascii="Times New Roman" w:hAnsi="Times New Roman" w:eastAsia="仿宋_GB2312" w:cs="Times New Roman"/>
          <w:b w:val="0"/>
          <w:bCs w:val="0"/>
          <w:kern w:val="0"/>
          <w:position w:val="0"/>
          <w:sz w:val="32"/>
          <w:szCs w:val="32"/>
          <w:highlight w:val="none"/>
          <w:lang w:val="en-US" w:eastAsia="zh-CN" w:bidi="ar-SA"/>
        </w:rPr>
        <w:t>阿坝州牦牛寄生虫流行病学调查</w:t>
      </w:r>
      <w:r>
        <w:rPr>
          <w:rFonts w:hint="eastAsia" w:ascii="Times New Roman" w:hAnsi="Times New Roman" w:eastAsia="仿宋_GB2312" w:cs="Times New Roman"/>
          <w:b w:val="0"/>
          <w:bCs w:val="0"/>
          <w:kern w:val="0"/>
          <w:position w:val="0"/>
          <w:sz w:val="32"/>
          <w:szCs w:val="32"/>
          <w:highlight w:val="none"/>
          <w:lang w:val="en-US" w:eastAsia="zh-CN" w:bidi="ar-SA"/>
        </w:rPr>
        <w:t>。</w:t>
      </w:r>
      <w:r>
        <w:rPr>
          <w:rFonts w:hint="default" w:ascii="Times New Roman" w:hAnsi="Times New Roman" w:eastAsia="仿宋_GB2312" w:cs="Times New Roman"/>
          <w:b w:val="0"/>
          <w:bCs w:val="0"/>
          <w:kern w:val="0"/>
          <w:position w:val="0"/>
          <w:sz w:val="32"/>
          <w:szCs w:val="32"/>
          <w:highlight w:val="none"/>
          <w:lang w:val="en-US" w:eastAsia="zh-CN" w:bidi="ar-SA"/>
        </w:rPr>
        <w:t>针对阿坝州牦牛寄生虫感染情况及寄生虫种类数据不确实的现状，采集阿坝州境内不同区域和不同季节粪便、血液、体表寄生虫等样本，通过形态学检查法和分子生物学方法明确消化道寄生虫、血液寄生虫、体表寄生虫等的感染情况，准确鉴定出寄生虫的感染种类，从而全面了解阿坝州牦牛寄生虫病的感染率、感染类型以及季节性变化趋势</w:t>
      </w:r>
      <w:r>
        <w:rPr>
          <w:rFonts w:hint="eastAsia" w:ascii="Times New Roman" w:hAnsi="Times New Roman" w:eastAsia="仿宋_GB2312" w:cs="Times New Roman"/>
          <w:b w:val="0"/>
          <w:bCs w:val="0"/>
          <w:kern w:val="0"/>
          <w:position w:val="0"/>
          <w:sz w:val="32"/>
          <w:szCs w:val="32"/>
          <w:highlight w:val="none"/>
          <w:lang w:val="en-US" w:eastAsia="zh-CN" w:bidi="ar-SA"/>
        </w:rPr>
        <w:t>。二是</w:t>
      </w:r>
      <w:r>
        <w:rPr>
          <w:rFonts w:hint="default" w:ascii="Times New Roman" w:hAnsi="Times New Roman" w:eastAsia="仿宋_GB2312" w:cs="Times New Roman"/>
          <w:b w:val="0"/>
          <w:bCs w:val="0"/>
          <w:kern w:val="0"/>
          <w:position w:val="0"/>
          <w:sz w:val="32"/>
          <w:szCs w:val="32"/>
          <w:highlight w:val="none"/>
          <w:lang w:val="en-US" w:eastAsia="zh-CN" w:bidi="ar-SA"/>
        </w:rPr>
        <w:t>寄生虫病的快速诊断技术建立</w:t>
      </w:r>
      <w:r>
        <w:rPr>
          <w:rFonts w:hint="eastAsia" w:ascii="Times New Roman" w:hAnsi="Times New Roman" w:eastAsia="仿宋_GB2312" w:cs="Times New Roman"/>
          <w:b w:val="0"/>
          <w:bCs w:val="0"/>
          <w:kern w:val="0"/>
          <w:position w:val="0"/>
          <w:sz w:val="32"/>
          <w:szCs w:val="32"/>
          <w:highlight w:val="none"/>
          <w:lang w:val="en-US" w:eastAsia="zh-CN" w:bidi="ar-SA"/>
        </w:rPr>
        <w:t>。</w:t>
      </w:r>
      <w:r>
        <w:rPr>
          <w:rFonts w:hint="default" w:ascii="Times New Roman" w:hAnsi="Times New Roman" w:eastAsia="仿宋_GB2312" w:cs="Times New Roman"/>
          <w:b w:val="0"/>
          <w:bCs w:val="0"/>
          <w:kern w:val="0"/>
          <w:position w:val="0"/>
          <w:sz w:val="32"/>
          <w:szCs w:val="32"/>
          <w:highlight w:val="none"/>
          <w:lang w:val="en-US" w:eastAsia="zh-CN" w:bidi="ar-SA"/>
        </w:rPr>
        <w:t>针对阿坝州牦牛寄生虫病诊断困难的问题，联合寄生虫类型调查结果、不同类型寄生虫病的临床症状和剖解病变，制定阿坝州主要寄生虫病的快速准确的诊断方法，并进行当地农牧民的培训，提高疾病的诊断水平。</w:t>
      </w:r>
      <w:r>
        <w:rPr>
          <w:rFonts w:hint="eastAsia" w:ascii="Times New Roman" w:hAnsi="Times New Roman" w:eastAsia="仿宋_GB2312" w:cs="Times New Roman"/>
          <w:b w:val="0"/>
          <w:bCs w:val="0"/>
          <w:kern w:val="0"/>
          <w:position w:val="0"/>
          <w:sz w:val="32"/>
          <w:szCs w:val="32"/>
          <w:highlight w:val="none"/>
          <w:lang w:val="en-US" w:eastAsia="zh-CN" w:bidi="ar-SA"/>
        </w:rPr>
        <w:t>三是</w:t>
      </w:r>
      <w:r>
        <w:rPr>
          <w:rFonts w:hint="default" w:ascii="Times New Roman" w:hAnsi="Times New Roman" w:eastAsia="仿宋_GB2312" w:cs="Times New Roman"/>
          <w:b w:val="0"/>
          <w:bCs w:val="0"/>
          <w:kern w:val="0"/>
          <w:position w:val="0"/>
          <w:sz w:val="32"/>
          <w:szCs w:val="32"/>
          <w:highlight w:val="none"/>
          <w:lang w:val="en-US" w:eastAsia="zh-CN" w:bidi="ar-SA"/>
        </w:rPr>
        <w:t>驱虫药物的筛选及其效果评价</w:t>
      </w:r>
      <w:r>
        <w:rPr>
          <w:rFonts w:hint="eastAsia" w:ascii="Times New Roman" w:hAnsi="Times New Roman" w:eastAsia="仿宋_GB2312" w:cs="Times New Roman"/>
          <w:b w:val="0"/>
          <w:bCs w:val="0"/>
          <w:kern w:val="0"/>
          <w:position w:val="0"/>
          <w:sz w:val="32"/>
          <w:szCs w:val="32"/>
          <w:highlight w:val="none"/>
          <w:lang w:val="en-US" w:eastAsia="zh-CN" w:bidi="ar-SA"/>
        </w:rPr>
        <w:t>。</w:t>
      </w:r>
      <w:r>
        <w:rPr>
          <w:rFonts w:hint="default" w:ascii="Times New Roman" w:hAnsi="Times New Roman" w:eastAsia="仿宋_GB2312" w:cs="Times New Roman"/>
          <w:b w:val="0"/>
          <w:bCs w:val="0"/>
          <w:kern w:val="0"/>
          <w:position w:val="0"/>
          <w:sz w:val="32"/>
          <w:szCs w:val="32"/>
          <w:highlight w:val="none"/>
          <w:lang w:val="en-US" w:eastAsia="zh-CN" w:bidi="ar-SA"/>
        </w:rPr>
        <w:t>根据以上的调查结果，选取3-5种临床上常用的抗寄生虫药，选择寄生虫危害较严重的养殖场，把牛群分组进行驱虫效果评价，每组50-100头。驱虫前进行寄生虫检查，驱虫一周后再次进行寄生虫检查，进行对比评价驱虫效果。并且根据实际情况筛选适合阿坝州养殖环境的用药模式。结合药物选择和用药模式制定精准的用药方案</w:t>
      </w:r>
      <w:r>
        <w:rPr>
          <w:rFonts w:hint="eastAsia" w:ascii="Times New Roman" w:hAnsi="Times New Roman" w:eastAsia="仿宋_GB2312" w:cs="Times New Roman"/>
          <w:b w:val="0"/>
          <w:bCs w:val="0"/>
          <w:kern w:val="0"/>
          <w:position w:val="0"/>
          <w:sz w:val="32"/>
          <w:szCs w:val="32"/>
          <w:highlight w:val="none"/>
          <w:lang w:val="en-US" w:eastAsia="zh-CN" w:bidi="ar-SA"/>
        </w:rPr>
        <w:t>。四是</w:t>
      </w:r>
      <w:r>
        <w:rPr>
          <w:rFonts w:hint="default" w:ascii="Times New Roman" w:hAnsi="Times New Roman" w:eastAsia="仿宋_GB2312" w:cs="Times New Roman"/>
          <w:b w:val="0"/>
          <w:bCs w:val="0"/>
          <w:kern w:val="0"/>
          <w:position w:val="0"/>
          <w:sz w:val="32"/>
          <w:szCs w:val="32"/>
          <w:highlight w:val="none"/>
          <w:lang w:val="en-US" w:eastAsia="zh-CN" w:bidi="ar-SA"/>
        </w:rPr>
        <w:t>阿坝州牦牛寄生虫病综合防控技术的集成</w:t>
      </w:r>
      <w:r>
        <w:rPr>
          <w:rFonts w:hint="eastAsia" w:ascii="Times New Roman" w:hAnsi="Times New Roman" w:eastAsia="仿宋_GB2312" w:cs="Times New Roman"/>
          <w:b w:val="0"/>
          <w:bCs w:val="0"/>
          <w:kern w:val="0"/>
          <w:position w:val="0"/>
          <w:sz w:val="32"/>
          <w:szCs w:val="32"/>
          <w:highlight w:val="none"/>
          <w:lang w:val="en-US" w:eastAsia="zh-CN" w:bidi="ar-SA"/>
        </w:rPr>
        <w:t>。</w:t>
      </w:r>
      <w:r>
        <w:rPr>
          <w:rFonts w:hint="default" w:ascii="Times New Roman" w:hAnsi="Times New Roman" w:eastAsia="仿宋_GB2312" w:cs="Times New Roman"/>
          <w:b w:val="0"/>
          <w:bCs w:val="0"/>
          <w:kern w:val="0"/>
          <w:position w:val="0"/>
          <w:sz w:val="32"/>
          <w:szCs w:val="32"/>
          <w:highlight w:val="none"/>
          <w:lang w:val="en-US" w:eastAsia="zh-CN" w:bidi="ar-SA"/>
        </w:rPr>
        <w:t>基于</w:t>
      </w:r>
      <w:r>
        <w:rPr>
          <w:rFonts w:hint="eastAsia" w:ascii="Times New Roman" w:hAnsi="Times New Roman" w:eastAsia="仿宋_GB2312" w:cs="Times New Roman"/>
          <w:b w:val="0"/>
          <w:bCs w:val="0"/>
          <w:kern w:val="0"/>
          <w:position w:val="0"/>
          <w:sz w:val="32"/>
          <w:szCs w:val="32"/>
          <w:highlight w:val="none"/>
          <w:lang w:val="en-US" w:eastAsia="zh-CN" w:bidi="ar-SA"/>
        </w:rPr>
        <w:t>阿坝州</w:t>
      </w:r>
      <w:r>
        <w:rPr>
          <w:rFonts w:hint="default" w:ascii="Times New Roman" w:hAnsi="Times New Roman" w:eastAsia="仿宋_GB2312" w:cs="Times New Roman"/>
          <w:b w:val="0"/>
          <w:bCs w:val="0"/>
          <w:kern w:val="0"/>
          <w:position w:val="0"/>
          <w:sz w:val="32"/>
          <w:szCs w:val="32"/>
          <w:highlight w:val="none"/>
          <w:lang w:val="en-US" w:eastAsia="zh-CN" w:bidi="ar-SA"/>
        </w:rPr>
        <w:t>牦牛</w:t>
      </w:r>
      <w:r>
        <w:rPr>
          <w:rFonts w:hint="eastAsia" w:ascii="Times New Roman" w:hAnsi="Times New Roman" w:eastAsia="仿宋_GB2312" w:cs="Times New Roman"/>
          <w:b w:val="0"/>
          <w:bCs w:val="0"/>
          <w:kern w:val="0"/>
          <w:position w:val="0"/>
          <w:sz w:val="32"/>
          <w:szCs w:val="32"/>
          <w:highlight w:val="none"/>
          <w:lang w:val="en-US" w:eastAsia="zh-CN" w:bidi="ar-SA"/>
        </w:rPr>
        <w:t>寄生虫病的流行特征、快速诊断方法、驱虫药物的筛选结果</w:t>
      </w:r>
      <w:r>
        <w:rPr>
          <w:rFonts w:hint="default" w:ascii="Times New Roman" w:hAnsi="Times New Roman" w:eastAsia="仿宋_GB2312" w:cs="Times New Roman"/>
          <w:b w:val="0"/>
          <w:bCs w:val="0"/>
          <w:kern w:val="0"/>
          <w:position w:val="0"/>
          <w:sz w:val="32"/>
          <w:szCs w:val="32"/>
          <w:highlight w:val="none"/>
          <w:lang w:val="en-US" w:eastAsia="zh-CN" w:bidi="ar-SA"/>
        </w:rPr>
        <w:t>，集成</w:t>
      </w:r>
      <w:r>
        <w:rPr>
          <w:rFonts w:hint="eastAsia" w:ascii="Times New Roman" w:hAnsi="Times New Roman" w:eastAsia="仿宋_GB2312" w:cs="Times New Roman"/>
          <w:b w:val="0"/>
          <w:bCs w:val="0"/>
          <w:kern w:val="0"/>
          <w:position w:val="0"/>
          <w:sz w:val="32"/>
          <w:szCs w:val="32"/>
          <w:highlight w:val="none"/>
          <w:lang w:val="en-US" w:eastAsia="zh-CN" w:bidi="ar-SA"/>
        </w:rPr>
        <w:t>阿坝州牦牛寄生虫病综合防控技术，形成技术规程一套。五是技术示范推广。阿坝州牦牛寄生虫病综合防控技术在阿坝州内</w:t>
      </w:r>
      <w:r>
        <w:rPr>
          <w:rFonts w:hint="default" w:ascii="Times New Roman" w:hAnsi="Times New Roman" w:eastAsia="仿宋_GB2312" w:cs="Times New Roman"/>
          <w:b w:val="0"/>
          <w:bCs w:val="0"/>
          <w:kern w:val="0"/>
          <w:position w:val="0"/>
          <w:sz w:val="32"/>
          <w:szCs w:val="32"/>
          <w:highlight w:val="none"/>
          <w:lang w:val="en-US" w:eastAsia="zh-CN" w:bidi="ar-SA"/>
        </w:rPr>
        <w:t>进行推广</w:t>
      </w:r>
      <w:r>
        <w:rPr>
          <w:rFonts w:hint="eastAsia" w:ascii="Times New Roman" w:hAnsi="Times New Roman" w:eastAsia="仿宋_GB2312" w:cs="Times New Roman"/>
          <w:b w:val="0"/>
          <w:bCs w:val="0"/>
          <w:kern w:val="0"/>
          <w:position w:val="0"/>
          <w:sz w:val="32"/>
          <w:szCs w:val="32"/>
          <w:highlight w:val="none"/>
          <w:lang w:val="en-US" w:eastAsia="zh-CN" w:bidi="ar-SA"/>
        </w:rPr>
        <w:t>示范，</w:t>
      </w:r>
      <w:r>
        <w:rPr>
          <w:rFonts w:hint="default" w:ascii="Times New Roman" w:hAnsi="Times New Roman" w:eastAsia="仿宋_GB2312" w:cs="Times New Roman"/>
          <w:b w:val="0"/>
          <w:bCs w:val="0"/>
          <w:kern w:val="0"/>
          <w:position w:val="0"/>
          <w:sz w:val="32"/>
          <w:szCs w:val="32"/>
          <w:highlight w:val="none"/>
          <w:lang w:val="en-US" w:eastAsia="zh-CN" w:bidi="ar-SA"/>
        </w:rPr>
        <w:t>并进行相关技术培训，</w:t>
      </w:r>
      <w:r>
        <w:rPr>
          <w:rFonts w:hint="eastAsia" w:ascii="Times New Roman" w:hAnsi="Times New Roman" w:eastAsia="仿宋_GB2312" w:cs="Times New Roman"/>
          <w:b w:val="0"/>
          <w:bCs w:val="0"/>
          <w:kern w:val="0"/>
          <w:position w:val="0"/>
          <w:sz w:val="32"/>
          <w:szCs w:val="32"/>
          <w:highlight w:val="none"/>
          <w:lang w:val="en-US" w:eastAsia="zh-CN" w:bidi="ar-SA"/>
        </w:rPr>
        <w:t>培训技术人员和养殖户共计200余人次，降低寄生虫病造成的经济损失，</w:t>
      </w:r>
      <w:r>
        <w:rPr>
          <w:rFonts w:hint="default" w:ascii="Times New Roman" w:hAnsi="Times New Roman" w:eastAsia="仿宋_GB2312" w:cs="Times New Roman"/>
          <w:b w:val="0"/>
          <w:bCs w:val="0"/>
          <w:kern w:val="0"/>
          <w:position w:val="0"/>
          <w:sz w:val="32"/>
          <w:szCs w:val="32"/>
          <w:highlight w:val="none"/>
          <w:lang w:val="en-US" w:eastAsia="zh-CN" w:bidi="ar-SA"/>
        </w:rPr>
        <w:t>提高</w:t>
      </w:r>
      <w:r>
        <w:rPr>
          <w:rFonts w:hint="eastAsia" w:ascii="Times New Roman" w:hAnsi="Times New Roman" w:eastAsia="仿宋_GB2312" w:cs="Times New Roman"/>
          <w:b w:val="0"/>
          <w:bCs w:val="0"/>
          <w:kern w:val="0"/>
          <w:position w:val="0"/>
          <w:sz w:val="32"/>
          <w:szCs w:val="32"/>
          <w:highlight w:val="none"/>
          <w:lang w:val="en-US" w:eastAsia="zh-CN" w:bidi="ar-SA"/>
        </w:rPr>
        <w:t>阿坝州</w:t>
      </w:r>
      <w:r>
        <w:rPr>
          <w:rFonts w:hint="default" w:ascii="Times New Roman" w:hAnsi="Times New Roman" w:eastAsia="仿宋_GB2312" w:cs="Times New Roman"/>
          <w:b w:val="0"/>
          <w:bCs w:val="0"/>
          <w:kern w:val="0"/>
          <w:position w:val="0"/>
          <w:sz w:val="32"/>
          <w:szCs w:val="32"/>
          <w:highlight w:val="none"/>
          <w:lang w:val="en-US" w:eastAsia="zh-CN" w:bidi="ar-SA"/>
        </w:rPr>
        <w:t>牦牛养殖技术水平，带动当地产业发展。</w:t>
      </w:r>
    </w:p>
    <w:p w14:paraId="3F851504">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0" w:leftChars="0" w:firstLine="643" w:firstLineChars="200"/>
        <w:contextualSpacing/>
        <w:jc w:val="left"/>
        <w:textAlignment w:val="auto"/>
        <w:rPr>
          <w:rFonts w:hint="default" w:ascii="Times New Roman" w:hAnsi="Times New Roman" w:cs="Times New Roman"/>
          <w:color w:val="auto"/>
          <w:kern w:val="0"/>
          <w:sz w:val="32"/>
          <w:szCs w:val="32"/>
          <w:highlight w:val="none"/>
          <w:u w:val="none"/>
          <w:shd w:val="clear" w:color="auto" w:fill="FFFFFF"/>
          <w:lang w:val="zh-CN"/>
        </w:rPr>
      </w:pPr>
      <w:r>
        <w:rPr>
          <w:rFonts w:hint="default"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default" w:ascii="Times New Roman" w:hAnsi="Times New Roman" w:eastAsia="楷体_GB2312" w:cs="Times New Roman"/>
          <w:b/>
          <w:color w:val="auto"/>
          <w:sz w:val="32"/>
          <w:szCs w:val="32"/>
          <w:highlight w:val="none"/>
          <w:u w:val="none"/>
          <w:lang w:val="zh-CN" w:eastAsia="zh-CN"/>
        </w:rPr>
        <w:t>。</w:t>
      </w:r>
      <w:r>
        <w:rPr>
          <w:rFonts w:hint="default" w:ascii="Times New Roman" w:hAnsi="Times New Roman" w:eastAsia="仿宋_GB2312" w:cs="Times New Roman"/>
          <w:b w:val="0"/>
          <w:bCs w:val="0"/>
          <w:kern w:val="0"/>
          <w:position w:val="0"/>
          <w:sz w:val="32"/>
          <w:szCs w:val="32"/>
          <w:highlight w:val="none"/>
          <w:lang w:val="zh-CN" w:eastAsia="zh-CN" w:bidi="ar-SA"/>
        </w:rPr>
        <w:t>项目预算安排情况，项目资金分配原则及考虑因素，项目资金分配情况。</w:t>
      </w:r>
    </w:p>
    <w:p w14:paraId="110EDCCE">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仿宋_GB2312" w:cs="Times New Roman"/>
          <w:b w:val="0"/>
          <w:bCs w:val="0"/>
          <w:kern w:val="0"/>
          <w:position w:val="0"/>
          <w:sz w:val="32"/>
          <w:szCs w:val="32"/>
          <w:highlight w:val="none"/>
          <w:lang w:val="zh-CN" w:eastAsia="zh-CN" w:bidi="ar-SA"/>
        </w:rPr>
        <w:t>项目预算安排情况</w:t>
      </w:r>
      <w:r>
        <w:rPr>
          <w:rFonts w:hint="eastAsia" w:ascii="Times New Roman" w:hAnsi="Times New Roman" w:eastAsia="仿宋_GB2312" w:cs="Times New Roman"/>
          <w:b w:val="0"/>
          <w:bCs w:val="0"/>
          <w:kern w:val="0"/>
          <w:position w:val="0"/>
          <w:sz w:val="32"/>
          <w:szCs w:val="32"/>
          <w:highlight w:val="none"/>
          <w:lang w:val="en-US" w:eastAsia="zh-CN" w:bidi="ar-SA"/>
        </w:rPr>
        <w:t>:项目总经费50万元，其中直接费用40万元（包括业务费、劳务费等），间接费用10万元（绩效支出6.25万元）。项目资金分配原则及考虑因素：依据《四川省科技计划项目专项资金管理办法》，综合考虑各参与单位的研究内容，合理分配资金。项目资金分配情况：四川省龙日种畜场19万元，四川农业大学31万元。</w:t>
      </w:r>
    </w:p>
    <w:p w14:paraId="41961669">
      <w:pPr>
        <w:keepNext w:val="0"/>
        <w:keepLines w:val="0"/>
        <w:pageBreakBefore w:val="0"/>
        <w:kinsoku/>
        <w:wordWrap/>
        <w:overflowPunct/>
        <w:topLinePunct w:val="0"/>
        <w:autoSpaceDE/>
        <w:autoSpaceDN/>
        <w:bidi w:val="0"/>
        <w:adjustRightInd w:val="0"/>
        <w:snapToGrid w:val="0"/>
        <w:spacing w:line="560" w:lineRule="exact"/>
        <w:ind w:left="0" w:leftChars="0" w:firstLine="643" w:firstLineChars="200"/>
        <w:textAlignment w:val="auto"/>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楷体_GB2312" w:cs="Times New Roman"/>
          <w:b/>
          <w:color w:val="auto"/>
          <w:sz w:val="32"/>
          <w:szCs w:val="32"/>
          <w:highlight w:val="none"/>
          <w:u w:val="none"/>
          <w:lang w:val="zh-CN" w:eastAsia="zh-CN"/>
        </w:rPr>
        <w:t>（四）项目绩效目标设置。</w:t>
      </w:r>
      <w:r>
        <w:rPr>
          <w:rFonts w:hint="default" w:ascii="Times New Roman" w:hAnsi="Times New Roman" w:eastAsia="仿宋_GB2312" w:cs="Times New Roman"/>
          <w:b w:val="0"/>
          <w:bCs w:val="0"/>
          <w:kern w:val="0"/>
          <w:position w:val="0"/>
          <w:sz w:val="32"/>
          <w:szCs w:val="32"/>
          <w:highlight w:val="none"/>
          <w:lang w:val="zh-CN" w:eastAsia="zh-CN" w:bidi="ar-SA"/>
        </w:rPr>
        <w:t>项目整体、区域和具体绩效目标设置情况，项目自评工作开展情况。</w:t>
      </w:r>
    </w:p>
    <w:p w14:paraId="6A8D8676">
      <w:pPr>
        <w:keepNext w:val="0"/>
        <w:keepLines w:val="0"/>
        <w:pageBreakBefore w:val="0"/>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Times New Roman" w:hAnsi="Times New Roman" w:eastAsia="仿宋_GB2312" w:cs="Times New Roman"/>
          <w:b w:val="0"/>
          <w:bCs w:val="0"/>
          <w:kern w:val="0"/>
          <w:position w:val="0"/>
          <w:sz w:val="32"/>
          <w:szCs w:val="32"/>
          <w:highlight w:val="none"/>
          <w:lang w:val="en-US" w:eastAsia="zh-CN" w:bidi="ar-SA"/>
        </w:rPr>
      </w:pPr>
      <w:r>
        <w:rPr>
          <w:rFonts w:hint="eastAsia" w:ascii="Times New Roman" w:hAnsi="Times New Roman" w:eastAsia="仿宋_GB2312" w:cs="Times New Roman"/>
          <w:b/>
          <w:bCs/>
          <w:color w:val="auto"/>
          <w:kern w:val="0"/>
          <w:position w:val="0"/>
          <w:sz w:val="32"/>
          <w:szCs w:val="32"/>
          <w:highlight w:val="none"/>
          <w:u w:val="none"/>
          <w:shd w:val="clear" w:color="auto" w:fill="FFFFFF"/>
          <w:lang w:val="en-US" w:eastAsia="zh-CN" w:bidi="ar-SA"/>
        </w:rPr>
        <w:t>阿坝州牦牛体内外寄生虫区系普：</w:t>
      </w:r>
      <w:r>
        <w:rPr>
          <w:rFonts w:hint="eastAsia" w:ascii="Times New Roman" w:hAnsi="Times New Roman" w:eastAsia="仿宋_GB2312" w:cs="Times New Roman"/>
          <w:b w:val="0"/>
          <w:bCs w:val="0"/>
          <w:kern w:val="0"/>
          <w:position w:val="0"/>
          <w:sz w:val="32"/>
          <w:szCs w:val="32"/>
          <w:highlight w:val="none"/>
          <w:lang w:val="en-US" w:eastAsia="zh-CN" w:bidi="ar-SA"/>
        </w:rPr>
        <w:t>通过调查鉴定阿坝州牦牛体内外寄生虫的分离和分子生物学鉴定，建立阿坝州牦牛体内外寄生虫信息库。</w:t>
      </w:r>
    </w:p>
    <w:p w14:paraId="7E3F2E49">
      <w:pPr>
        <w:keepNext w:val="0"/>
        <w:keepLines w:val="0"/>
        <w:pageBreakBefore w:val="0"/>
        <w:kinsoku/>
        <w:wordWrap/>
        <w:overflowPunct/>
        <w:topLinePunct w:val="0"/>
        <w:autoSpaceDE/>
        <w:autoSpaceDN/>
        <w:bidi w:val="0"/>
        <w:adjustRightInd w:val="0"/>
        <w:snapToGrid w:val="0"/>
        <w:spacing w:line="560" w:lineRule="exact"/>
        <w:ind w:left="0" w:leftChars="0" w:firstLine="643" w:firstLineChars="200"/>
        <w:textAlignment w:val="auto"/>
        <w:rPr>
          <w:rFonts w:hint="eastAsia" w:cs="Times New Roman"/>
          <w:color w:val="auto"/>
          <w:kern w:val="0"/>
          <w:sz w:val="32"/>
          <w:szCs w:val="32"/>
          <w:highlight w:val="none"/>
          <w:u w:val="none"/>
          <w:shd w:val="clear" w:color="auto" w:fill="FFFFFF"/>
          <w:lang w:val="en-US" w:eastAsia="zh-CN"/>
        </w:rPr>
      </w:pPr>
      <w:r>
        <w:rPr>
          <w:rFonts w:hint="eastAsia" w:ascii="Times New Roman" w:hAnsi="Times New Roman" w:eastAsia="仿宋_GB2312" w:cs="Times New Roman"/>
          <w:b/>
          <w:bCs/>
          <w:color w:val="auto"/>
          <w:kern w:val="0"/>
          <w:position w:val="0"/>
          <w:sz w:val="32"/>
          <w:szCs w:val="32"/>
          <w:highlight w:val="none"/>
          <w:u w:val="none"/>
          <w:shd w:val="clear" w:color="auto" w:fill="FFFFFF"/>
          <w:lang w:val="en-US" w:eastAsia="zh-CN" w:bidi="ar-SA"/>
        </w:rPr>
        <w:t>筛选阿坝州牦牛寄生虫敏感药物：</w:t>
      </w:r>
      <w:r>
        <w:rPr>
          <w:rFonts w:hint="eastAsia" w:ascii="Times New Roman" w:hAnsi="Times New Roman" w:eastAsia="仿宋_GB2312" w:cs="Times New Roman"/>
          <w:b w:val="0"/>
          <w:bCs w:val="0"/>
          <w:kern w:val="0"/>
          <w:position w:val="0"/>
          <w:sz w:val="32"/>
          <w:szCs w:val="32"/>
          <w:highlight w:val="none"/>
          <w:lang w:val="en-US" w:eastAsia="zh-CN" w:bidi="ar-SA"/>
        </w:rPr>
        <w:t>通过筛选有效和敏感的抗寄生虫药物，优化和完善牦牛精准驱虫药物选择，建立合理的驱虫药物选择方案。</w:t>
      </w:r>
    </w:p>
    <w:p w14:paraId="48F8DE5B">
      <w:pPr>
        <w:keepNext w:val="0"/>
        <w:keepLines w:val="0"/>
        <w:pageBreakBefore w:val="0"/>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Times New Roman" w:hAnsi="Times New Roman" w:eastAsia="仿宋_GB2312" w:cs="Times New Roman"/>
          <w:b w:val="0"/>
          <w:bCs w:val="0"/>
          <w:kern w:val="0"/>
          <w:position w:val="0"/>
          <w:sz w:val="32"/>
          <w:szCs w:val="32"/>
          <w:highlight w:val="none"/>
          <w:lang w:val="en-US" w:eastAsia="zh-CN" w:bidi="ar-SA"/>
        </w:rPr>
      </w:pPr>
      <w:r>
        <w:rPr>
          <w:rFonts w:hint="eastAsia" w:ascii="Times New Roman" w:hAnsi="Times New Roman" w:eastAsia="仿宋_GB2312" w:cs="Times New Roman"/>
          <w:b/>
          <w:bCs/>
          <w:color w:val="auto"/>
          <w:kern w:val="0"/>
          <w:position w:val="0"/>
          <w:sz w:val="32"/>
          <w:szCs w:val="32"/>
          <w:highlight w:val="none"/>
          <w:u w:val="none"/>
          <w:shd w:val="clear" w:color="auto" w:fill="FFFFFF"/>
          <w:lang w:val="en-US" w:eastAsia="zh-CN" w:bidi="ar-SA"/>
        </w:rPr>
        <w:t>阿坝州牦牛寄生虫病综合防控技术：</w:t>
      </w:r>
      <w:r>
        <w:rPr>
          <w:rFonts w:hint="eastAsia" w:ascii="Times New Roman" w:hAnsi="Times New Roman" w:eastAsia="仿宋_GB2312" w:cs="Times New Roman"/>
          <w:b w:val="0"/>
          <w:bCs w:val="0"/>
          <w:kern w:val="0"/>
          <w:position w:val="0"/>
          <w:sz w:val="32"/>
          <w:szCs w:val="32"/>
          <w:highlight w:val="none"/>
          <w:lang w:val="en-US" w:eastAsia="zh-CN" w:bidi="ar-SA"/>
        </w:rPr>
        <w:t>阿坝州牦牛寄生虫病综合防控技术1套。</w:t>
      </w:r>
    </w:p>
    <w:p w14:paraId="29CACAF2">
      <w:pPr>
        <w:keepNext w:val="0"/>
        <w:keepLines w:val="0"/>
        <w:pageBreakBefore w:val="0"/>
        <w:kinsoku/>
        <w:wordWrap/>
        <w:overflowPunct/>
        <w:topLinePunct w:val="0"/>
        <w:autoSpaceDE/>
        <w:autoSpaceDN/>
        <w:bidi w:val="0"/>
        <w:adjustRightInd w:val="0"/>
        <w:snapToGrid w:val="0"/>
        <w:spacing w:line="560" w:lineRule="exact"/>
        <w:ind w:left="0" w:leftChars="0" w:firstLine="643" w:firstLineChars="200"/>
        <w:textAlignment w:val="auto"/>
        <w:rPr>
          <w:rFonts w:hint="eastAsia" w:cs="Times New Roman"/>
          <w:color w:val="auto"/>
          <w:kern w:val="0"/>
          <w:sz w:val="32"/>
          <w:szCs w:val="32"/>
          <w:highlight w:val="none"/>
          <w:u w:val="none"/>
          <w:shd w:val="clear" w:color="auto" w:fill="FFFFFF"/>
          <w:lang w:val="en-US" w:eastAsia="zh-CN"/>
        </w:rPr>
      </w:pPr>
      <w:r>
        <w:rPr>
          <w:rFonts w:hint="eastAsia" w:ascii="Times New Roman" w:hAnsi="Times New Roman" w:eastAsia="仿宋_GB2312" w:cs="Times New Roman"/>
          <w:b/>
          <w:bCs/>
          <w:color w:val="auto"/>
          <w:kern w:val="0"/>
          <w:position w:val="0"/>
          <w:sz w:val="32"/>
          <w:szCs w:val="32"/>
          <w:highlight w:val="none"/>
          <w:u w:val="none"/>
          <w:shd w:val="clear" w:color="auto" w:fill="FFFFFF"/>
          <w:lang w:val="en-US" w:eastAsia="zh-CN" w:bidi="ar-SA"/>
        </w:rPr>
        <w:t>知识产权：</w:t>
      </w:r>
      <w:r>
        <w:rPr>
          <w:rFonts w:hint="eastAsia" w:ascii="Times New Roman" w:hAnsi="Times New Roman" w:eastAsia="仿宋_GB2312" w:cs="Times New Roman"/>
          <w:b w:val="0"/>
          <w:bCs w:val="0"/>
          <w:kern w:val="0"/>
          <w:position w:val="0"/>
          <w:sz w:val="32"/>
          <w:szCs w:val="32"/>
          <w:highlight w:val="none"/>
          <w:lang w:val="en-US" w:eastAsia="zh-CN" w:bidi="ar-SA"/>
        </w:rPr>
        <w:t>发明专利受理1项，实用新型专利1项。</w:t>
      </w:r>
    </w:p>
    <w:p w14:paraId="775B9194">
      <w:pPr>
        <w:keepNext w:val="0"/>
        <w:keepLines w:val="0"/>
        <w:pageBreakBefore w:val="0"/>
        <w:kinsoku/>
        <w:wordWrap/>
        <w:overflowPunct/>
        <w:topLinePunct w:val="0"/>
        <w:autoSpaceDE/>
        <w:autoSpaceDN/>
        <w:bidi w:val="0"/>
        <w:adjustRightInd w:val="0"/>
        <w:snapToGrid w:val="0"/>
        <w:spacing w:line="560" w:lineRule="exact"/>
        <w:ind w:left="0" w:leftChars="0" w:firstLine="643" w:firstLineChars="200"/>
        <w:textAlignment w:val="auto"/>
        <w:rPr>
          <w:rFonts w:hint="eastAsia" w:cs="Times New Roman"/>
          <w:color w:val="auto"/>
          <w:kern w:val="0"/>
          <w:sz w:val="32"/>
          <w:szCs w:val="32"/>
          <w:highlight w:val="none"/>
          <w:u w:val="none"/>
          <w:shd w:val="clear" w:color="auto" w:fill="FFFFFF"/>
          <w:lang w:val="en-US" w:eastAsia="zh-CN"/>
        </w:rPr>
      </w:pPr>
      <w:r>
        <w:rPr>
          <w:rFonts w:hint="eastAsia" w:ascii="Times New Roman" w:hAnsi="Times New Roman" w:eastAsia="仿宋_GB2312" w:cs="Times New Roman"/>
          <w:b/>
          <w:bCs/>
          <w:color w:val="auto"/>
          <w:kern w:val="0"/>
          <w:position w:val="0"/>
          <w:sz w:val="32"/>
          <w:szCs w:val="32"/>
          <w:highlight w:val="none"/>
          <w:u w:val="none"/>
          <w:shd w:val="clear" w:color="auto" w:fill="FFFFFF"/>
          <w:lang w:val="en-US" w:eastAsia="zh-CN" w:bidi="ar-SA"/>
        </w:rPr>
        <w:t>论文专注：</w:t>
      </w:r>
      <w:r>
        <w:rPr>
          <w:rFonts w:hint="eastAsia" w:ascii="Times New Roman" w:hAnsi="Times New Roman" w:eastAsia="仿宋_GB2312" w:cs="Times New Roman"/>
          <w:b w:val="0"/>
          <w:bCs w:val="0"/>
          <w:kern w:val="0"/>
          <w:position w:val="0"/>
          <w:sz w:val="32"/>
          <w:szCs w:val="32"/>
          <w:highlight w:val="none"/>
          <w:lang w:val="en-US" w:eastAsia="zh-CN" w:bidi="ar-SA"/>
        </w:rPr>
        <w:t>公开发表2篇。</w:t>
      </w:r>
    </w:p>
    <w:p w14:paraId="4D8CE5EC">
      <w:pPr>
        <w:keepNext w:val="0"/>
        <w:keepLines w:val="0"/>
        <w:pageBreakBefore w:val="0"/>
        <w:kinsoku/>
        <w:wordWrap/>
        <w:overflowPunct/>
        <w:topLinePunct w:val="0"/>
        <w:autoSpaceDE/>
        <w:autoSpaceDN/>
        <w:bidi w:val="0"/>
        <w:adjustRightInd w:val="0"/>
        <w:snapToGrid w:val="0"/>
        <w:spacing w:line="560" w:lineRule="exact"/>
        <w:ind w:left="0" w:leftChars="0" w:firstLine="643"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eastAsia" w:ascii="Times New Roman" w:hAnsi="Times New Roman" w:eastAsia="仿宋_GB2312" w:cs="Times New Roman"/>
          <w:b/>
          <w:bCs/>
          <w:color w:val="auto"/>
          <w:kern w:val="0"/>
          <w:position w:val="0"/>
          <w:sz w:val="32"/>
          <w:szCs w:val="32"/>
          <w:highlight w:val="none"/>
          <w:u w:val="none"/>
          <w:shd w:val="clear" w:color="auto" w:fill="FFFFFF"/>
          <w:lang w:val="en-US" w:eastAsia="zh-CN" w:bidi="ar-SA"/>
        </w:rPr>
        <w:t>示范应用目标：</w:t>
      </w:r>
      <w:r>
        <w:rPr>
          <w:rFonts w:hint="eastAsia" w:ascii="Times New Roman" w:hAnsi="Times New Roman" w:eastAsia="仿宋_GB2312" w:cs="Times New Roman"/>
          <w:b w:val="0"/>
          <w:bCs w:val="0"/>
          <w:kern w:val="0"/>
          <w:position w:val="0"/>
          <w:sz w:val="32"/>
          <w:szCs w:val="32"/>
          <w:highlight w:val="none"/>
          <w:lang w:val="en-US" w:eastAsia="zh-CN" w:bidi="ar-SA"/>
        </w:rPr>
        <w:t>牦牛养殖示范基地5个，存栏总量达2000头；覆盖全州牦牛养殖区域，降低牦牛寄生虫发病率10%，带动养殖户均年增收1000元；办2期培训班（现场会）。</w:t>
      </w:r>
    </w:p>
    <w:p w14:paraId="4949016A">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color w:val="auto"/>
          <w:sz w:val="32"/>
          <w:szCs w:val="32"/>
          <w:highlight w:val="none"/>
          <w:u w:val="none"/>
          <w:lang w:eastAsia="zh-CN"/>
        </w:rPr>
      </w:pPr>
      <w:r>
        <w:rPr>
          <w:rFonts w:hint="default" w:ascii="Times New Roman" w:hAnsi="Times New Roman" w:eastAsia="黑体" w:cs="Times New Roman"/>
          <w:color w:val="auto"/>
          <w:sz w:val="32"/>
          <w:szCs w:val="32"/>
          <w:highlight w:val="none"/>
          <w:u w:val="none"/>
        </w:rPr>
        <w:t>二、</w:t>
      </w:r>
      <w:r>
        <w:rPr>
          <w:rFonts w:hint="default" w:ascii="Times New Roman" w:hAnsi="Times New Roman" w:eastAsia="黑体" w:cs="Times New Roman"/>
          <w:color w:val="auto"/>
          <w:sz w:val="32"/>
          <w:szCs w:val="32"/>
          <w:highlight w:val="none"/>
          <w:u w:val="none"/>
          <w:lang w:eastAsia="zh-CN"/>
        </w:rPr>
        <w:t>评价实施</w:t>
      </w:r>
    </w:p>
    <w:p w14:paraId="453EFEF3">
      <w:pPr>
        <w:keepNext w:val="0"/>
        <w:keepLines w:val="0"/>
        <w:pageBreakBefore w:val="0"/>
        <w:widowControl w:val="0"/>
        <w:kinsoku/>
        <w:wordWrap/>
        <w:overflowPunct/>
        <w:topLinePunct w:val="0"/>
        <w:autoSpaceDE/>
        <w:autoSpaceDN/>
        <w:bidi w:val="0"/>
        <w:spacing w:line="560" w:lineRule="exact"/>
        <w:ind w:firstLine="640"/>
        <w:textAlignment w:val="auto"/>
        <w:outlineLvl w:val="9"/>
        <w:rPr>
          <w:rFonts w:hint="default" w:ascii="Times New Roman" w:hAnsi="Times New Roman" w:cs="Times New Roman"/>
          <w:szCs w:val="32"/>
          <w:lang w:eastAsia="zh-CN"/>
        </w:rPr>
      </w:pPr>
      <w:r>
        <w:rPr>
          <w:rFonts w:hint="default" w:ascii="Times New Roman" w:hAnsi="Times New Roman" w:eastAsia="楷体_GB2312" w:cs="Times New Roman"/>
          <w:b/>
          <w:color w:val="auto"/>
          <w:sz w:val="32"/>
          <w:szCs w:val="32"/>
          <w:highlight w:val="none"/>
          <w:u w:val="none"/>
          <w:lang w:val="zh-CN"/>
        </w:rPr>
        <w:t>（一）评价目的。</w:t>
      </w:r>
      <w:r>
        <w:rPr>
          <w:rFonts w:hint="default" w:ascii="Times New Roman" w:hAnsi="Times New Roman" w:eastAsia="仿宋_GB2312" w:cs="Times New Roman"/>
          <w:b w:val="0"/>
          <w:bCs w:val="0"/>
          <w:kern w:val="0"/>
          <w:position w:val="0"/>
          <w:sz w:val="32"/>
          <w:szCs w:val="32"/>
          <w:highlight w:val="none"/>
          <w:lang w:val="en-US" w:eastAsia="zh-CN" w:bidi="ar-SA"/>
        </w:rPr>
        <w:t>通过项目绩效自评要实现的目的。</w:t>
      </w:r>
    </w:p>
    <w:p w14:paraId="5BEE0DC0">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通过项目绩效自评要实现的目的可归纳为以下</w:t>
      </w:r>
      <w:r>
        <w:rPr>
          <w:rFonts w:hint="eastAsia" w:ascii="Times New Roman" w:hAnsi="Times New Roman" w:eastAsia="仿宋_GB2312" w:cs="Times New Roman"/>
          <w:b w:val="0"/>
          <w:bCs w:val="0"/>
          <w:kern w:val="0"/>
          <w:position w:val="0"/>
          <w:sz w:val="32"/>
          <w:szCs w:val="32"/>
          <w:highlight w:val="none"/>
          <w:lang w:val="en-US" w:eastAsia="zh-CN" w:bidi="ar-SA"/>
        </w:rPr>
        <w:t>四</w:t>
      </w:r>
      <w:r>
        <w:rPr>
          <w:rFonts w:hint="default" w:ascii="Times New Roman" w:hAnsi="Times New Roman" w:eastAsia="仿宋_GB2312" w:cs="Times New Roman"/>
          <w:b w:val="0"/>
          <w:bCs w:val="0"/>
          <w:kern w:val="0"/>
          <w:position w:val="0"/>
          <w:sz w:val="32"/>
          <w:szCs w:val="32"/>
          <w:highlight w:val="none"/>
          <w:lang w:val="en-US" w:eastAsia="zh-CN" w:bidi="ar-SA"/>
        </w:rPr>
        <w:t>类，涵盖项目执行、资源管理及长期发展等多个维度：一、提升执行效率与质量</w:t>
      </w:r>
      <w:r>
        <w:rPr>
          <w:rFonts w:hint="eastAsia" w:ascii="Times New Roman" w:hAnsi="Times New Roman" w:eastAsia="仿宋_GB2312" w:cs="Times New Roman"/>
          <w:b w:val="0"/>
          <w:bCs w:val="0"/>
          <w:kern w:val="0"/>
          <w:position w:val="0"/>
          <w:sz w:val="32"/>
          <w:szCs w:val="32"/>
          <w:highlight w:val="none"/>
          <w:lang w:val="en-US" w:eastAsia="zh-CN" w:bidi="ar-SA"/>
        </w:rPr>
        <w:t>：通过自评及时发现问题并调整执行策略，减少资源浪费，确保项目按目标推进‌，对项目进展、资金使用合规性进行动态跟踪，提升执行透明度和规范性‌。二、优化资源配置与效益：识别低效无效支出，将资源重点投向关键领域，减少冗余投入‌；通过评估结果推动资源整合共享，提升科研设备、人力等要素的协同效率‌。三、强化责任意识与激励机制：促使项目团队主动承担管理责任，增强对绩效目标的重视程度‌；鼓励成员反思自身贡献与不足，制定改进计划，推动个人与团队能力提升‌。四、促进持续改进与政策完善：自评结果为后续预算分配、制度优化提供依据，助力形成动态调整机制‌。</w:t>
      </w:r>
    </w:p>
    <w:p w14:paraId="072E2AE2">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楷体_GB2312" w:cs="Times New Roman"/>
          <w:b/>
          <w:color w:val="auto"/>
          <w:sz w:val="32"/>
          <w:szCs w:val="32"/>
          <w:highlight w:val="none"/>
          <w:u w:val="none"/>
          <w:lang w:val="zh-CN"/>
        </w:rPr>
        <w:t>（二）预设问题及评价重点。</w:t>
      </w:r>
      <w:r>
        <w:rPr>
          <w:rFonts w:hint="default" w:ascii="Times New Roman" w:hAnsi="Times New Roman" w:eastAsia="仿宋_GB2312" w:cs="Times New Roman"/>
          <w:b w:val="0"/>
          <w:bCs w:val="0"/>
          <w:kern w:val="0"/>
          <w:position w:val="0"/>
          <w:sz w:val="32"/>
          <w:szCs w:val="32"/>
          <w:highlight w:val="none"/>
          <w:lang w:val="en-US" w:eastAsia="zh-CN" w:bidi="ar-SA"/>
        </w:rPr>
        <w:t>按照绩效评价指标体系，对资金支出使用全过程及其实施效果进行综合评价和判断。</w:t>
      </w:r>
    </w:p>
    <w:p w14:paraId="671FA7D1">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eastAsia" w:ascii="Times New Roman" w:hAnsi="Times New Roman" w:eastAsia="仿宋_GB2312" w:cs="Times New Roman"/>
          <w:b w:val="0"/>
          <w:bCs w:val="0"/>
          <w:kern w:val="0"/>
          <w:position w:val="0"/>
          <w:sz w:val="32"/>
          <w:szCs w:val="32"/>
          <w:highlight w:val="none"/>
          <w:lang w:val="en-US" w:eastAsia="zh-CN" w:bidi="ar-SA"/>
        </w:rPr>
      </w:pPr>
      <w:r>
        <w:rPr>
          <w:rFonts w:hint="eastAsia" w:ascii="Times New Roman" w:hAnsi="Times New Roman" w:eastAsia="仿宋_GB2312" w:cs="Times New Roman"/>
          <w:b w:val="0"/>
          <w:bCs w:val="0"/>
          <w:kern w:val="0"/>
          <w:position w:val="0"/>
          <w:sz w:val="32"/>
          <w:szCs w:val="32"/>
          <w:highlight w:val="none"/>
          <w:lang w:val="en-US" w:eastAsia="zh-CN" w:bidi="ar-SA"/>
        </w:rPr>
        <w:t>严格按照政府采购要求，认真履行采购事前备案制度，严格按照经批准的采购组织形式和采购方式进行采购，由场采购领导小组负责具体实施，场政府采购监管员全程监督。采购物资严格履行出入库管理制度。同时，本着“资金跟着项目走，监督跟着资金走”的原则，强化投入资金的监督与管理，建立资金使用公示制，管理专账核算制、报账制与审计制，切实加强资金管理。项目档案资料建立项目专账辅助账。</w:t>
      </w:r>
    </w:p>
    <w:p w14:paraId="24A89847">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楷体_GB2312" w:cs="Times New Roman"/>
          <w:b/>
          <w:color w:val="auto"/>
          <w:sz w:val="32"/>
          <w:szCs w:val="32"/>
          <w:highlight w:val="none"/>
          <w:u w:val="none"/>
          <w:lang w:val="zh-CN"/>
        </w:rPr>
        <w:t>（三）评价选点。</w:t>
      </w:r>
      <w:r>
        <w:rPr>
          <w:rFonts w:hint="default" w:ascii="Times New Roman" w:hAnsi="Times New Roman" w:eastAsia="仿宋_GB2312" w:cs="Times New Roman"/>
          <w:b w:val="0"/>
          <w:bCs w:val="0"/>
          <w:kern w:val="0"/>
          <w:position w:val="0"/>
          <w:sz w:val="32"/>
          <w:szCs w:val="32"/>
          <w:highlight w:val="none"/>
          <w:lang w:val="zh-CN" w:eastAsia="zh-CN" w:bidi="ar-SA"/>
        </w:rPr>
        <w:t>项目绩效自评所抽样点位情况。每个专项预算项目</w:t>
      </w:r>
      <w:r>
        <w:rPr>
          <w:rFonts w:hint="default" w:ascii="Times New Roman" w:hAnsi="Times New Roman" w:eastAsia="仿宋_GB2312" w:cs="Times New Roman"/>
          <w:b w:val="0"/>
          <w:bCs w:val="0"/>
          <w:kern w:val="0"/>
          <w:position w:val="0"/>
          <w:sz w:val="32"/>
          <w:szCs w:val="32"/>
          <w:highlight w:val="none"/>
          <w:lang w:val="en-US" w:eastAsia="zh-CN" w:bidi="ar-SA"/>
        </w:rPr>
        <w:t>应选取</w:t>
      </w:r>
      <w:r>
        <w:rPr>
          <w:rFonts w:hint="eastAsia" w:ascii="Times New Roman" w:hAnsi="Times New Roman" w:eastAsia="仿宋_GB2312" w:cs="Times New Roman"/>
          <w:b w:val="0"/>
          <w:bCs w:val="0"/>
          <w:kern w:val="0"/>
          <w:position w:val="0"/>
          <w:sz w:val="32"/>
          <w:szCs w:val="32"/>
          <w:highlight w:val="none"/>
          <w:lang w:val="en-US" w:eastAsia="zh-CN" w:bidi="ar-SA"/>
        </w:rPr>
        <w:t>专项资金分配涉及市县总数的20%、总计不超过</w:t>
      </w:r>
      <w:r>
        <w:rPr>
          <w:rFonts w:hint="default" w:ascii="Times New Roman" w:hAnsi="Times New Roman" w:eastAsia="仿宋_GB2312" w:cs="Times New Roman"/>
          <w:b w:val="0"/>
          <w:bCs w:val="0"/>
          <w:kern w:val="0"/>
          <w:position w:val="0"/>
          <w:sz w:val="32"/>
          <w:szCs w:val="32"/>
          <w:highlight w:val="none"/>
          <w:lang w:val="en-US" w:eastAsia="zh-CN" w:bidi="ar-SA"/>
        </w:rPr>
        <w:t>20个的市县点位进行实地踏勘，且点位清单应作为自评附</w:t>
      </w:r>
      <w:r>
        <w:rPr>
          <w:rFonts w:hint="eastAsia" w:ascii="Times New Roman" w:hAnsi="Times New Roman" w:eastAsia="仿宋_GB2312" w:cs="Times New Roman"/>
          <w:b w:val="0"/>
          <w:bCs w:val="0"/>
          <w:kern w:val="0"/>
          <w:position w:val="0"/>
          <w:sz w:val="32"/>
          <w:szCs w:val="32"/>
          <w:highlight w:val="none"/>
          <w:lang w:val="en-US" w:eastAsia="zh-CN" w:bidi="ar-SA"/>
        </w:rPr>
        <w:t>表</w:t>
      </w:r>
      <w:r>
        <w:rPr>
          <w:rFonts w:hint="default" w:ascii="Times New Roman" w:hAnsi="Times New Roman" w:eastAsia="仿宋_GB2312" w:cs="Times New Roman"/>
          <w:b w:val="0"/>
          <w:bCs w:val="0"/>
          <w:kern w:val="0"/>
          <w:position w:val="0"/>
          <w:sz w:val="32"/>
          <w:szCs w:val="32"/>
          <w:highlight w:val="none"/>
          <w:lang w:val="en-US" w:eastAsia="zh-CN" w:bidi="ar-SA"/>
        </w:rPr>
        <w:t>。</w:t>
      </w:r>
    </w:p>
    <w:p w14:paraId="14CDA670">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eastAsia" w:ascii="Times New Roman" w:hAnsi="Times New Roman" w:eastAsia="仿宋_GB2312" w:cs="Times New Roman"/>
          <w:b w:val="0"/>
          <w:bCs w:val="0"/>
          <w:kern w:val="0"/>
          <w:position w:val="0"/>
          <w:sz w:val="32"/>
          <w:szCs w:val="32"/>
          <w:highlight w:val="none"/>
          <w:lang w:val="en-US" w:eastAsia="zh-CN" w:bidi="ar-SA"/>
        </w:rPr>
        <w:t>涉及阿坝州13各县（市）牦牛养殖最多的地方进行采样。</w:t>
      </w:r>
    </w:p>
    <w:p w14:paraId="594334CF">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楷体_GB2312" w:cs="Times New Roman"/>
          <w:b/>
          <w:color w:val="auto"/>
          <w:sz w:val="32"/>
          <w:szCs w:val="32"/>
          <w:highlight w:val="none"/>
          <w:u w:val="none"/>
          <w:lang w:val="zh-CN"/>
        </w:rPr>
        <w:t>（四）评价方法。</w:t>
      </w:r>
      <w:r>
        <w:rPr>
          <w:rFonts w:hint="default" w:ascii="Times New Roman" w:hAnsi="Times New Roman" w:eastAsia="仿宋_GB2312" w:cs="Times New Roman"/>
          <w:b w:val="0"/>
          <w:bCs w:val="0"/>
          <w:kern w:val="0"/>
          <w:position w:val="0"/>
          <w:sz w:val="32"/>
          <w:szCs w:val="32"/>
          <w:highlight w:val="none"/>
          <w:lang w:val="en-US" w:eastAsia="zh-CN" w:bidi="ar-SA"/>
        </w:rPr>
        <w:t>根据项目情况和评价重点，用来收集相关材料和开展具体评价的方法。包括：采用成本效益分析法、标杆管理法、案卷研究法、单位自评法、实地勘察法、问卷调查法、座谈调研法等多种方法。</w:t>
      </w:r>
    </w:p>
    <w:p w14:paraId="59EB1663">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我</w:t>
      </w:r>
      <w:r>
        <w:rPr>
          <w:rFonts w:hint="eastAsia" w:ascii="Times New Roman" w:hAnsi="Times New Roman" w:eastAsia="仿宋_GB2312" w:cs="Times New Roman"/>
          <w:b w:val="0"/>
          <w:bCs w:val="0"/>
          <w:kern w:val="0"/>
          <w:position w:val="0"/>
          <w:sz w:val="32"/>
          <w:szCs w:val="32"/>
          <w:highlight w:val="none"/>
          <w:lang w:val="en-US" w:eastAsia="zh-CN" w:bidi="ar-SA"/>
        </w:rPr>
        <w:t>场</w:t>
      </w:r>
      <w:r>
        <w:rPr>
          <w:rFonts w:hint="default" w:ascii="Times New Roman" w:hAnsi="Times New Roman" w:eastAsia="仿宋_GB2312" w:cs="Times New Roman"/>
          <w:b w:val="0"/>
          <w:bCs w:val="0"/>
          <w:kern w:val="0"/>
          <w:position w:val="0"/>
          <w:sz w:val="32"/>
          <w:szCs w:val="32"/>
          <w:highlight w:val="none"/>
          <w:lang w:val="en-US" w:eastAsia="zh-CN" w:bidi="ar-SA"/>
        </w:rPr>
        <w:t>采用实地踏勘、座谈会</w:t>
      </w:r>
      <w:r>
        <w:rPr>
          <w:rFonts w:hint="eastAsia" w:ascii="Times New Roman" w:hAnsi="Times New Roman" w:eastAsia="仿宋_GB2312" w:cs="Times New Roman"/>
          <w:b w:val="0"/>
          <w:bCs w:val="0"/>
          <w:kern w:val="0"/>
          <w:position w:val="0"/>
          <w:sz w:val="32"/>
          <w:szCs w:val="32"/>
          <w:highlight w:val="none"/>
          <w:lang w:val="en-US" w:eastAsia="zh-CN" w:bidi="ar-SA"/>
        </w:rPr>
        <w:t>、单位自评</w:t>
      </w:r>
      <w:r>
        <w:rPr>
          <w:rFonts w:hint="default" w:ascii="Times New Roman" w:hAnsi="Times New Roman" w:eastAsia="仿宋_GB2312" w:cs="Times New Roman"/>
          <w:b w:val="0"/>
          <w:bCs w:val="0"/>
          <w:kern w:val="0"/>
          <w:position w:val="0"/>
          <w:sz w:val="32"/>
          <w:szCs w:val="32"/>
          <w:highlight w:val="none"/>
          <w:lang w:val="en-US" w:eastAsia="zh-CN" w:bidi="ar-SA"/>
        </w:rPr>
        <w:t>等多种方式，开展实施项目绩效评价工作。</w:t>
      </w:r>
    </w:p>
    <w:p w14:paraId="585E2D32">
      <w:pPr>
        <w:keepNext w:val="0"/>
        <w:keepLines w:val="0"/>
        <w:pageBreakBefore w:val="0"/>
        <w:widowControl w:val="0"/>
        <w:kinsoku/>
        <w:wordWrap/>
        <w:overflowPunct/>
        <w:topLinePunct w:val="0"/>
        <w:autoSpaceDE/>
        <w:autoSpaceDN/>
        <w:bidi w:val="0"/>
        <w:spacing w:line="560" w:lineRule="exact"/>
        <w:ind w:firstLine="640"/>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楷体_GB2312" w:cs="Times New Roman"/>
          <w:b/>
          <w:color w:val="auto"/>
          <w:kern w:val="0"/>
          <w:sz w:val="32"/>
          <w:szCs w:val="32"/>
          <w:highlight w:val="none"/>
          <w:u w:val="none"/>
          <w:lang w:val="zh-CN" w:eastAsia="zh-CN" w:bidi="ar-SA"/>
        </w:rPr>
        <w:t>（五）评价组织。</w:t>
      </w:r>
      <w:r>
        <w:rPr>
          <w:rFonts w:hint="default" w:ascii="Times New Roman" w:hAnsi="Times New Roman" w:eastAsia="仿宋_GB2312" w:cs="Times New Roman"/>
          <w:b w:val="0"/>
          <w:bCs w:val="0"/>
          <w:kern w:val="0"/>
          <w:position w:val="0"/>
          <w:sz w:val="32"/>
          <w:szCs w:val="32"/>
          <w:highlight w:val="none"/>
          <w:lang w:val="en-US" w:eastAsia="zh-CN" w:bidi="ar-SA"/>
        </w:rPr>
        <w:t>评价组人员构成和职责分工。</w:t>
      </w:r>
    </w:p>
    <w:p w14:paraId="5A3C8817">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成立项目</w:t>
      </w:r>
      <w:r>
        <w:rPr>
          <w:rFonts w:hint="eastAsia" w:ascii="Times New Roman" w:hAnsi="Times New Roman" w:eastAsia="仿宋_GB2312" w:cs="Times New Roman"/>
          <w:b w:val="0"/>
          <w:bCs w:val="0"/>
          <w:kern w:val="0"/>
          <w:position w:val="0"/>
          <w:sz w:val="32"/>
          <w:szCs w:val="32"/>
          <w:highlight w:val="none"/>
          <w:lang w:val="en-US" w:eastAsia="zh-CN" w:bidi="ar-SA"/>
        </w:rPr>
        <w:t>绩效评价</w:t>
      </w:r>
      <w:r>
        <w:rPr>
          <w:rFonts w:hint="default" w:ascii="Times New Roman" w:hAnsi="Times New Roman" w:eastAsia="仿宋_GB2312" w:cs="Times New Roman"/>
          <w:b w:val="0"/>
          <w:bCs w:val="0"/>
          <w:kern w:val="0"/>
          <w:position w:val="0"/>
          <w:sz w:val="32"/>
          <w:szCs w:val="32"/>
          <w:highlight w:val="none"/>
          <w:lang w:val="en-US" w:eastAsia="zh-CN" w:bidi="ar-SA"/>
        </w:rPr>
        <w:t>小组，</w:t>
      </w:r>
      <w:r>
        <w:rPr>
          <w:rFonts w:hint="eastAsia" w:ascii="Times New Roman" w:hAnsi="Times New Roman" w:eastAsia="仿宋_GB2312" w:cs="Times New Roman"/>
          <w:b w:val="0"/>
          <w:bCs w:val="0"/>
          <w:kern w:val="0"/>
          <w:position w:val="0"/>
          <w:sz w:val="32"/>
          <w:szCs w:val="32"/>
          <w:highlight w:val="none"/>
          <w:lang w:val="en-US" w:eastAsia="zh-CN" w:bidi="ar-SA"/>
        </w:rPr>
        <w:t>评价</w:t>
      </w:r>
      <w:r>
        <w:rPr>
          <w:rFonts w:hint="default" w:ascii="Times New Roman" w:hAnsi="Times New Roman" w:eastAsia="仿宋_GB2312" w:cs="Times New Roman"/>
          <w:b w:val="0"/>
          <w:bCs w:val="0"/>
          <w:kern w:val="0"/>
          <w:position w:val="0"/>
          <w:sz w:val="32"/>
          <w:szCs w:val="32"/>
          <w:highlight w:val="none"/>
          <w:lang w:val="en-US" w:eastAsia="zh-CN" w:bidi="ar-SA"/>
        </w:rPr>
        <w:t>小组负责项目配套资金筹措和督促检查，并解决项目建设中的重大问题，负责项目资金管理、调度、审计等，为项目的顺利实施提供组织保证。</w:t>
      </w:r>
    </w:p>
    <w:p w14:paraId="0BF33FB0">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组  长：沈义攀（副场长、主持工作）</w:t>
      </w:r>
    </w:p>
    <w:p w14:paraId="0B454EAE">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副组长：李小伟（副场长）</w:t>
      </w:r>
    </w:p>
    <w:p w14:paraId="7C65ECE1">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成  员：</w:t>
      </w:r>
      <w:r>
        <w:rPr>
          <w:rFonts w:hint="eastAsia" w:ascii="Times New Roman" w:hAnsi="Times New Roman" w:eastAsia="仿宋_GB2312" w:cs="Times New Roman"/>
          <w:b w:val="0"/>
          <w:bCs w:val="0"/>
          <w:kern w:val="0"/>
          <w:position w:val="0"/>
          <w:sz w:val="32"/>
          <w:szCs w:val="32"/>
          <w:highlight w:val="none"/>
          <w:lang w:val="en-US" w:eastAsia="zh-CN" w:bidi="ar-SA"/>
        </w:rPr>
        <w:t>赵晓东、杨超、周育臻、撒朗文朱、杨砚璐</w:t>
      </w:r>
      <w:r>
        <w:rPr>
          <w:rFonts w:hint="default" w:ascii="Times New Roman" w:hAnsi="Times New Roman" w:eastAsia="仿宋_GB2312" w:cs="Times New Roman"/>
          <w:b w:val="0"/>
          <w:bCs w:val="0"/>
          <w:kern w:val="0"/>
          <w:position w:val="0"/>
          <w:sz w:val="32"/>
          <w:szCs w:val="32"/>
          <w:highlight w:val="none"/>
          <w:lang w:val="en-US" w:eastAsia="zh-CN" w:bidi="ar-SA"/>
        </w:rPr>
        <w:t>（</w:t>
      </w:r>
      <w:r>
        <w:rPr>
          <w:rFonts w:hint="eastAsia" w:ascii="Times New Roman" w:hAnsi="Times New Roman" w:eastAsia="仿宋_GB2312" w:cs="Times New Roman"/>
          <w:b w:val="0"/>
          <w:bCs w:val="0"/>
          <w:kern w:val="0"/>
          <w:position w:val="0"/>
          <w:sz w:val="32"/>
          <w:szCs w:val="32"/>
          <w:highlight w:val="none"/>
          <w:lang w:val="en-US" w:eastAsia="zh-CN" w:bidi="ar-SA"/>
        </w:rPr>
        <w:t>负责统筹评估目标制定、数据收集及报告撰写‌</w:t>
      </w:r>
      <w:r>
        <w:rPr>
          <w:rFonts w:hint="default" w:ascii="Times New Roman" w:hAnsi="Times New Roman" w:eastAsia="仿宋_GB2312" w:cs="Times New Roman"/>
          <w:b w:val="0"/>
          <w:bCs w:val="0"/>
          <w:kern w:val="0"/>
          <w:position w:val="0"/>
          <w:sz w:val="32"/>
          <w:szCs w:val="32"/>
          <w:highlight w:val="none"/>
          <w:lang w:val="en-US" w:eastAsia="zh-CN" w:bidi="ar-SA"/>
        </w:rPr>
        <w:t>）</w:t>
      </w:r>
    </w:p>
    <w:p w14:paraId="3E6E0A2C">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 xml:space="preserve">        刘奇（</w:t>
      </w:r>
      <w:r>
        <w:rPr>
          <w:rFonts w:hint="eastAsia" w:ascii="Times New Roman" w:hAnsi="Times New Roman" w:eastAsia="仿宋_GB2312" w:cs="Times New Roman"/>
          <w:b w:val="0"/>
          <w:bCs w:val="0"/>
          <w:kern w:val="0"/>
          <w:position w:val="0"/>
          <w:sz w:val="32"/>
          <w:szCs w:val="32"/>
          <w:highlight w:val="none"/>
          <w:lang w:val="en-US" w:eastAsia="zh-CN" w:bidi="ar-SA"/>
        </w:rPr>
        <w:t>负责项目财务数据分析</w:t>
      </w:r>
      <w:r>
        <w:rPr>
          <w:rFonts w:hint="default" w:ascii="Times New Roman" w:hAnsi="Times New Roman" w:eastAsia="仿宋_GB2312" w:cs="Times New Roman"/>
          <w:b w:val="0"/>
          <w:bCs w:val="0"/>
          <w:kern w:val="0"/>
          <w:position w:val="0"/>
          <w:sz w:val="32"/>
          <w:szCs w:val="32"/>
          <w:highlight w:val="none"/>
          <w:lang w:val="en-US" w:eastAsia="zh-CN" w:bidi="ar-SA"/>
        </w:rPr>
        <w:t>）</w:t>
      </w:r>
    </w:p>
    <w:p w14:paraId="4AA8D2D0">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eastAsia" w:ascii="Times New Roman" w:hAnsi="Times New Roman" w:eastAsia="仿宋_GB2312" w:cs="Times New Roman"/>
          <w:b w:val="0"/>
          <w:bCs w:val="0"/>
          <w:kern w:val="0"/>
          <w:position w:val="0"/>
          <w:sz w:val="32"/>
          <w:szCs w:val="32"/>
          <w:highlight w:val="none"/>
          <w:lang w:val="en-US" w:eastAsia="zh-CN" w:bidi="ar-SA"/>
        </w:rPr>
      </w:pPr>
      <w:r>
        <w:rPr>
          <w:rFonts w:hint="eastAsia" w:ascii="Times New Roman" w:hAnsi="Times New Roman" w:eastAsia="仿宋_GB2312" w:cs="Times New Roman"/>
          <w:b w:val="0"/>
          <w:bCs w:val="0"/>
          <w:kern w:val="0"/>
          <w:position w:val="0"/>
          <w:sz w:val="32"/>
          <w:szCs w:val="32"/>
          <w:highlight w:val="none"/>
          <w:lang w:val="en-US" w:eastAsia="zh-CN" w:bidi="ar-SA"/>
        </w:rPr>
        <w:t xml:space="preserve">        方静（提供专业领域的技术评估，确保项目技术可行性和质量达标‌）</w:t>
      </w:r>
    </w:p>
    <w:p w14:paraId="41AB985A">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eastAsia" w:ascii="Times New Roman" w:hAnsi="Times New Roman" w:eastAsia="仿宋_GB2312" w:cs="Times New Roman"/>
          <w:b w:val="0"/>
          <w:bCs w:val="0"/>
          <w:kern w:val="0"/>
          <w:position w:val="0"/>
          <w:sz w:val="32"/>
          <w:szCs w:val="32"/>
          <w:highlight w:val="none"/>
          <w:lang w:val="en-US" w:eastAsia="zh-CN" w:bidi="ar-SA"/>
        </w:rPr>
      </w:pPr>
      <w:r>
        <w:rPr>
          <w:rFonts w:hint="eastAsia" w:ascii="Times New Roman" w:hAnsi="Times New Roman" w:eastAsia="仿宋_GB2312" w:cs="Times New Roman"/>
          <w:b w:val="0"/>
          <w:bCs w:val="0"/>
          <w:kern w:val="0"/>
          <w:position w:val="0"/>
          <w:sz w:val="32"/>
          <w:szCs w:val="32"/>
          <w:highlight w:val="none"/>
          <w:lang w:val="en-US" w:eastAsia="zh-CN" w:bidi="ar-SA"/>
        </w:rPr>
        <w:t xml:space="preserve">        叶刚（提供专业领域的技术评估，确保项目技术可行性和质量达标‌）</w:t>
      </w:r>
    </w:p>
    <w:p w14:paraId="6D0FABBF">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eastAsia" w:ascii="Times New Roman" w:hAnsi="Times New Roman" w:eastAsia="仿宋_GB2312" w:cs="Times New Roman"/>
          <w:b w:val="0"/>
          <w:bCs w:val="0"/>
          <w:kern w:val="0"/>
          <w:position w:val="0"/>
          <w:sz w:val="32"/>
          <w:szCs w:val="32"/>
          <w:highlight w:val="none"/>
          <w:lang w:val="en-US" w:eastAsia="zh-CN" w:bidi="ar-SA"/>
        </w:rPr>
      </w:pPr>
      <w:r>
        <w:rPr>
          <w:rFonts w:hint="eastAsia" w:ascii="Times New Roman" w:hAnsi="Times New Roman" w:eastAsia="仿宋_GB2312" w:cs="Times New Roman"/>
          <w:b w:val="0"/>
          <w:bCs w:val="0"/>
          <w:kern w:val="0"/>
          <w:position w:val="0"/>
          <w:sz w:val="32"/>
          <w:szCs w:val="32"/>
          <w:highlight w:val="none"/>
          <w:lang w:val="en-US" w:eastAsia="zh-CN" w:bidi="ar-SA"/>
        </w:rPr>
        <w:t>郭红瑞（提供专业领域的技术评估，确保项目技术可行性和质量达标‌）</w:t>
      </w:r>
    </w:p>
    <w:p w14:paraId="70B4C293">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eastAsia" w:ascii="Times New Roman" w:hAnsi="Times New Roman" w:eastAsia="仿宋_GB2312" w:cs="Times New Roman"/>
          <w:b w:val="0"/>
          <w:bCs w:val="0"/>
          <w:kern w:val="0"/>
          <w:position w:val="0"/>
          <w:sz w:val="32"/>
          <w:szCs w:val="32"/>
          <w:highlight w:val="none"/>
          <w:lang w:val="en-US" w:eastAsia="zh-CN" w:bidi="ar-SA"/>
        </w:rPr>
        <w:t xml:space="preserve">        周育臻（掌握项目资金的使用，掌握实施进度）</w:t>
      </w:r>
      <w:r>
        <w:rPr>
          <w:rFonts w:hint="default" w:ascii="Times New Roman" w:hAnsi="Times New Roman" w:eastAsia="仿宋_GB2312" w:cs="Times New Roman"/>
          <w:b w:val="0"/>
          <w:bCs w:val="0"/>
          <w:kern w:val="0"/>
          <w:position w:val="0"/>
          <w:sz w:val="32"/>
          <w:szCs w:val="32"/>
          <w:highlight w:val="none"/>
          <w:lang w:val="en-US" w:eastAsia="zh-CN" w:bidi="ar-SA"/>
        </w:rPr>
        <w:t xml:space="preserve"> </w:t>
      </w:r>
    </w:p>
    <w:p w14:paraId="15258B22">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color w:val="auto"/>
          <w:sz w:val="32"/>
          <w:szCs w:val="32"/>
          <w:highlight w:val="none"/>
          <w:u w:val="none"/>
          <w:lang w:val="zh-CN"/>
        </w:rPr>
      </w:pPr>
      <w:r>
        <w:rPr>
          <w:rFonts w:hint="default" w:ascii="Times New Roman" w:hAnsi="Times New Roman" w:eastAsia="黑体" w:cs="Times New Roman"/>
          <w:color w:val="auto"/>
          <w:sz w:val="32"/>
          <w:szCs w:val="32"/>
          <w:highlight w:val="none"/>
          <w:u w:val="none"/>
        </w:rPr>
        <w:t>三、</w:t>
      </w:r>
      <w:r>
        <w:rPr>
          <w:rFonts w:hint="default" w:ascii="Times New Roman" w:hAnsi="Times New Roman" w:eastAsia="黑体" w:cs="Times New Roman"/>
          <w:color w:val="auto"/>
          <w:sz w:val="32"/>
          <w:szCs w:val="32"/>
          <w:highlight w:val="none"/>
          <w:u w:val="none"/>
          <w:lang w:eastAsia="zh-CN"/>
        </w:rPr>
        <w:t>绩效分析</w:t>
      </w:r>
      <w:r>
        <w:rPr>
          <w:rFonts w:hint="default" w:ascii="Times New Roman" w:hAnsi="Times New Roman" w:eastAsia="黑体" w:cs="Times New Roman"/>
          <w:color w:val="auto"/>
          <w:sz w:val="32"/>
          <w:szCs w:val="32"/>
          <w:highlight w:val="none"/>
          <w:u w:val="none"/>
          <w:lang w:val="zh-CN"/>
        </w:rPr>
        <w:tab/>
      </w:r>
    </w:p>
    <w:p w14:paraId="40F7F137">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zh-CN" w:eastAsia="zh-CN" w:bidi="ar-SA"/>
        </w:rPr>
        <w:t>根据项目预算绩效评价指标体系“通用指标”“专用指标”“个性指标”涉及二、三级指标进行逐项绩效分析并评分</w:t>
      </w:r>
      <w:r>
        <w:rPr>
          <w:rFonts w:hint="default" w:ascii="Times New Roman" w:hAnsi="Times New Roman" w:eastAsia="仿宋_GB2312" w:cs="Times New Roman"/>
          <w:b w:val="0"/>
          <w:bCs w:val="0"/>
          <w:kern w:val="0"/>
          <w:position w:val="0"/>
          <w:sz w:val="32"/>
          <w:szCs w:val="32"/>
          <w:highlight w:val="none"/>
          <w:lang w:val="en-US" w:eastAsia="zh-CN" w:bidi="ar-SA"/>
        </w:rPr>
        <w:t>。</w:t>
      </w:r>
    </w:p>
    <w:p w14:paraId="5220404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zh-CN" w:eastAsia="zh-CN" w:bidi="ar-SA"/>
        </w:rPr>
        <w:t>（一）</w:t>
      </w:r>
      <w:r>
        <w:rPr>
          <w:rFonts w:hint="default" w:ascii="Times New Roman" w:hAnsi="Times New Roman" w:eastAsia="楷体_GB2312" w:cs="Times New Roman"/>
          <w:b/>
          <w:color w:val="auto"/>
          <w:kern w:val="0"/>
          <w:sz w:val="32"/>
          <w:szCs w:val="32"/>
          <w:highlight w:val="none"/>
          <w:u w:val="none"/>
          <w:lang w:val="en-US" w:eastAsia="zh-CN" w:bidi="ar-SA"/>
        </w:rPr>
        <w:t>通用指标</w:t>
      </w:r>
      <w:r>
        <w:rPr>
          <w:rFonts w:hint="default" w:ascii="Times New Roman" w:hAnsi="Times New Roman" w:eastAsia="楷体_GB2312" w:cs="Times New Roman"/>
          <w:b/>
          <w:color w:val="auto"/>
          <w:kern w:val="0"/>
          <w:sz w:val="32"/>
          <w:szCs w:val="32"/>
          <w:highlight w:val="none"/>
          <w:u w:val="none"/>
          <w:lang w:val="zh-CN" w:eastAsia="zh-CN" w:bidi="ar-SA"/>
        </w:rPr>
        <w:t>绩效分析。</w:t>
      </w:r>
    </w:p>
    <w:p w14:paraId="0A5C9599">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1.项目决策。围绕决策程序、规划论证、资金投向进行绩效分析。</w:t>
      </w:r>
    </w:p>
    <w:p w14:paraId="282C83B7">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auto"/>
          <w:kern w:val="2"/>
          <w:position w:val="0"/>
          <w:sz w:val="32"/>
          <w:szCs w:val="32"/>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决策程序</w:t>
      </w:r>
      <w:r>
        <w:rPr>
          <w:rFonts w:hint="eastAsia" w:ascii="Times New Roman" w:hAnsi="Times New Roman" w:eastAsia="仿宋_GB2312" w:cs="Times New Roman"/>
          <w:b w:val="0"/>
          <w:bCs w:val="0"/>
          <w:kern w:val="0"/>
          <w:position w:val="0"/>
          <w:sz w:val="32"/>
          <w:szCs w:val="32"/>
          <w:highlight w:val="none"/>
          <w:lang w:val="en-US" w:eastAsia="zh-CN" w:bidi="ar-SA"/>
        </w:rPr>
        <w:t>：</w:t>
      </w:r>
      <w:r>
        <w:rPr>
          <w:rFonts w:hint="default" w:ascii="Times New Roman" w:hAnsi="Times New Roman" w:eastAsia="仿宋_GB2312" w:cs="Times New Roman"/>
          <w:b w:val="0"/>
          <w:bCs w:val="0"/>
          <w:kern w:val="0"/>
          <w:position w:val="0"/>
          <w:sz w:val="32"/>
          <w:szCs w:val="32"/>
          <w:highlight w:val="none"/>
          <w:lang w:val="en-US" w:eastAsia="zh-CN" w:bidi="ar-SA"/>
        </w:rPr>
        <w:t>项目设立、调整延续等方面符合资金管理基本规范和决策程序要求</w:t>
      </w:r>
      <w:r>
        <w:rPr>
          <w:rFonts w:hint="eastAsia" w:ascii="Times New Roman" w:hAnsi="Times New Roman" w:eastAsia="仿宋_GB2312" w:cs="Times New Roman"/>
          <w:b w:val="0"/>
          <w:bCs w:val="0"/>
          <w:kern w:val="0"/>
          <w:position w:val="0"/>
          <w:sz w:val="32"/>
          <w:szCs w:val="32"/>
          <w:highlight w:val="none"/>
          <w:lang w:val="en-US" w:eastAsia="zh-CN" w:bidi="ar-SA"/>
        </w:rPr>
        <w:t>（6分）。规划论证：项目规划符合中央、省委省政府有关决策部署安排；充分评估论证项目立项必要性、前瞻性、合理性和可行性。项目总体绩效目标设置合理性的偏离度≤15%（6分）。资金投向：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6分）。</w:t>
      </w:r>
    </w:p>
    <w:p w14:paraId="433AC7EC">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eastAsia" w:ascii="Times New Roman" w:hAnsi="Times New Roman" w:eastAsia="仿宋_GB2312" w:cs="Times New Roman"/>
          <w:b w:val="0"/>
          <w:bCs w:val="0"/>
          <w:kern w:val="0"/>
          <w:position w:val="0"/>
          <w:sz w:val="32"/>
          <w:szCs w:val="32"/>
          <w:highlight w:val="none"/>
          <w:lang w:val="en-US" w:eastAsia="zh-CN" w:bidi="ar-SA"/>
        </w:rPr>
        <w:t>2.</w:t>
      </w:r>
      <w:r>
        <w:rPr>
          <w:rFonts w:hint="default" w:ascii="Times New Roman" w:hAnsi="Times New Roman" w:eastAsia="仿宋_GB2312" w:cs="Times New Roman"/>
          <w:b w:val="0"/>
          <w:bCs w:val="0"/>
          <w:kern w:val="0"/>
          <w:position w:val="0"/>
          <w:sz w:val="32"/>
          <w:szCs w:val="32"/>
          <w:highlight w:val="none"/>
          <w:lang w:val="en-US" w:eastAsia="zh-CN" w:bidi="ar-SA"/>
        </w:rPr>
        <w:t>项目管理。围绕制度办法、分配管理、绩效监管进行绩效分析。</w:t>
      </w:r>
    </w:p>
    <w:p w14:paraId="4951D1E1">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制度办法</w:t>
      </w:r>
      <w:r>
        <w:rPr>
          <w:rFonts w:hint="eastAsia" w:ascii="Times New Roman" w:hAnsi="Times New Roman" w:eastAsia="仿宋_GB2312" w:cs="Times New Roman"/>
          <w:b w:val="0"/>
          <w:bCs w:val="0"/>
          <w:kern w:val="0"/>
          <w:position w:val="0"/>
          <w:sz w:val="32"/>
          <w:szCs w:val="32"/>
          <w:highlight w:val="none"/>
          <w:lang w:val="en-US" w:eastAsia="zh-CN" w:bidi="ar-SA"/>
        </w:rPr>
        <w:t>：资金管理办法等管理制度体系健全完善，不存在管理制度缺失、管理办法过期情况（2分）。分配管理：资金分配因素选取充分考虑相关行业事业发展实际和发展需求，资金分配因素的权重设置有效突出项目实施重点，资金区域分布结果公平合理；资金分配严格按管理办法执行，决策程序符合管理要求，及时高效（10分）。绩效监管：对资金、项目政策、绩效监管有效，项目绩效监管按要求开展，对下指导有力有效（6分）。</w:t>
      </w:r>
    </w:p>
    <w:p w14:paraId="642801B3">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项目实施。围绕预算</w:t>
      </w:r>
      <w:r>
        <w:rPr>
          <w:rFonts w:hint="default" w:ascii="Times New Roman" w:hAnsi="Times New Roman" w:eastAsia="仿宋_GB2312" w:cs="Times New Roman"/>
          <w:b w:val="0"/>
          <w:bCs w:val="0"/>
          <w:kern w:val="0"/>
          <w:position w:val="0"/>
          <w:sz w:val="32"/>
          <w:szCs w:val="32"/>
          <w:highlight w:val="none"/>
          <w:lang w:val="zh-CN" w:eastAsia="zh-CN" w:bidi="ar-SA"/>
        </w:rPr>
        <w:t>执行</w:t>
      </w:r>
      <w:r>
        <w:rPr>
          <w:rFonts w:hint="default" w:ascii="Times New Roman" w:hAnsi="Times New Roman" w:eastAsia="仿宋_GB2312" w:cs="Times New Roman"/>
          <w:b w:val="0"/>
          <w:bCs w:val="0"/>
          <w:kern w:val="0"/>
          <w:position w:val="0"/>
          <w:sz w:val="32"/>
          <w:szCs w:val="32"/>
          <w:highlight w:val="none"/>
          <w:lang w:val="en-US" w:eastAsia="zh-CN" w:bidi="ar-SA"/>
        </w:rPr>
        <w:t>、资金使用进行绩效分析。</w:t>
      </w:r>
    </w:p>
    <w:p w14:paraId="15213644">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预算</w:t>
      </w:r>
      <w:r>
        <w:rPr>
          <w:rFonts w:hint="default" w:ascii="Times New Roman" w:hAnsi="Times New Roman" w:eastAsia="仿宋_GB2312" w:cs="Times New Roman"/>
          <w:b w:val="0"/>
          <w:bCs w:val="0"/>
          <w:kern w:val="0"/>
          <w:position w:val="0"/>
          <w:sz w:val="32"/>
          <w:szCs w:val="32"/>
          <w:highlight w:val="none"/>
          <w:lang w:val="zh-CN" w:eastAsia="zh-CN" w:bidi="ar-SA"/>
        </w:rPr>
        <w:t>执行</w:t>
      </w:r>
      <w:r>
        <w:rPr>
          <w:rFonts w:hint="eastAsia" w:ascii="Times New Roman" w:hAnsi="Times New Roman" w:eastAsia="仿宋_GB2312" w:cs="Times New Roman"/>
          <w:b w:val="0"/>
          <w:bCs w:val="0"/>
          <w:kern w:val="0"/>
          <w:position w:val="0"/>
          <w:sz w:val="32"/>
          <w:szCs w:val="32"/>
          <w:highlight w:val="none"/>
          <w:lang w:val="zh-CN" w:eastAsia="zh-CN" w:bidi="ar-SA"/>
        </w:rPr>
        <w:t>：财政资金</w:t>
      </w:r>
      <w:r>
        <w:rPr>
          <w:rFonts w:hint="eastAsia" w:ascii="Times New Roman" w:hAnsi="Times New Roman" w:eastAsia="仿宋_GB2312" w:cs="Times New Roman"/>
          <w:b w:val="0"/>
          <w:bCs w:val="0"/>
          <w:kern w:val="0"/>
          <w:position w:val="0"/>
          <w:sz w:val="32"/>
          <w:szCs w:val="32"/>
          <w:highlight w:val="none"/>
          <w:lang w:val="en-US" w:eastAsia="zh-CN" w:bidi="ar-SA"/>
        </w:rPr>
        <w:t>拨付50万，拨付率100%；单位资金使用率31万，使用率62%（3.5分）。资金使用：项目资金使用、拨付是符合国家财经法规、财务管理制度及有关专项资金管理制度办法规定和审批程序，不存在超范围、超标准、超进度使用专项资金，不存在资金损失浪费、长期沉淀、截留、挤占、挪用、虚列支出等情况，项目实施否遵守相关法律法规（3分）。</w:t>
      </w:r>
    </w:p>
    <w:p w14:paraId="2B201349">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4.项目结果。围绕目标完成、完成时效进行绩效分析。</w:t>
      </w:r>
    </w:p>
    <w:p w14:paraId="7EEE70D5">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eastAsia"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目标完成</w:t>
      </w:r>
      <w:r>
        <w:rPr>
          <w:rFonts w:hint="eastAsia" w:ascii="Times New Roman" w:hAnsi="Times New Roman" w:eastAsia="仿宋_GB2312" w:cs="Times New Roman"/>
          <w:b w:val="0"/>
          <w:bCs w:val="0"/>
          <w:kern w:val="0"/>
          <w:position w:val="0"/>
          <w:sz w:val="32"/>
          <w:szCs w:val="32"/>
          <w:highlight w:val="none"/>
          <w:lang w:val="en-US" w:eastAsia="zh-CN" w:bidi="ar-SA"/>
        </w:rPr>
        <w:t>：项目已完成预期目标，实施结果与绩效目标相匹配，本项目时间期限为两年，已经开始半年，目标实现程度为25%（1.5分）。完成时效：项目实际完成时间与计划完成时间一致（3分）</w:t>
      </w:r>
    </w:p>
    <w:p w14:paraId="6CACFE7F">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Cs w:val="32"/>
          <w:highlight w:val="none"/>
          <w:shd w:val="clear" w:color="auto" w:fill="FFFFFF"/>
          <w:lang w:val="zh-CN"/>
        </w:rPr>
        <w:t>绩效分析。</w:t>
      </w:r>
      <w:r>
        <w:rPr>
          <w:rFonts w:hint="default" w:ascii="Times New Roman" w:hAnsi="Times New Roman" w:eastAsia="仿宋_GB2312" w:cs="Times New Roman"/>
          <w:b w:val="0"/>
          <w:bCs w:val="0"/>
          <w:kern w:val="0"/>
          <w:position w:val="0"/>
          <w:sz w:val="32"/>
          <w:szCs w:val="32"/>
          <w:highlight w:val="none"/>
          <w:lang w:val="zh-CN" w:eastAsia="zh-CN" w:bidi="ar-SA"/>
        </w:rPr>
        <w:t>根据</w:t>
      </w:r>
      <w:r>
        <w:rPr>
          <w:rFonts w:hint="default" w:ascii="Times New Roman" w:hAnsi="Times New Roman" w:eastAsia="仿宋_GB2312" w:cs="Times New Roman"/>
          <w:b w:val="0"/>
          <w:bCs w:val="0"/>
          <w:kern w:val="0"/>
          <w:position w:val="0"/>
          <w:sz w:val="32"/>
          <w:szCs w:val="32"/>
          <w:highlight w:val="none"/>
          <w:lang w:val="en-US" w:eastAsia="zh-CN" w:bidi="ar-SA"/>
        </w:rPr>
        <w:t>专项预算项目资金支持对象选择所属指标进行绩效分析。支持对象</w:t>
      </w:r>
      <w:r>
        <w:rPr>
          <w:rFonts w:hint="default" w:ascii="Times New Roman" w:hAnsi="Times New Roman" w:eastAsia="仿宋_GB2312" w:cs="Times New Roman"/>
          <w:b w:val="0"/>
          <w:bCs w:val="0"/>
          <w:kern w:val="0"/>
          <w:position w:val="0"/>
          <w:sz w:val="32"/>
          <w:szCs w:val="32"/>
          <w:highlight w:val="none"/>
          <w:lang w:val="zh-CN" w:eastAsia="zh-CN" w:bidi="ar-SA"/>
        </w:rPr>
        <w:t>包括产业发展、民生保障、基础设施、行政运转等方面。</w:t>
      </w:r>
    </w:p>
    <w:p w14:paraId="47D1D863">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1.产业发展类。围绕符合性、成长性、经济性进行绩效分析。</w:t>
      </w:r>
    </w:p>
    <w:p w14:paraId="7631D78F">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2.</w:t>
      </w:r>
      <w:r>
        <w:rPr>
          <w:rFonts w:hint="default" w:ascii="Times New Roman" w:hAnsi="Times New Roman" w:eastAsia="仿宋_GB2312" w:cs="Times New Roman"/>
          <w:b w:val="0"/>
          <w:bCs w:val="0"/>
          <w:kern w:val="0"/>
          <w:position w:val="0"/>
          <w:sz w:val="32"/>
          <w:szCs w:val="32"/>
          <w:highlight w:val="none"/>
          <w:lang w:val="zh-CN" w:eastAsia="zh-CN" w:bidi="ar-SA"/>
        </w:rPr>
        <w:t>民生保障</w:t>
      </w:r>
      <w:r>
        <w:rPr>
          <w:rFonts w:hint="default" w:ascii="Times New Roman" w:hAnsi="Times New Roman" w:eastAsia="仿宋_GB2312" w:cs="Times New Roman"/>
          <w:b w:val="0"/>
          <w:bCs w:val="0"/>
          <w:kern w:val="0"/>
          <w:position w:val="0"/>
          <w:sz w:val="32"/>
          <w:szCs w:val="32"/>
          <w:highlight w:val="none"/>
          <w:lang w:val="en-US" w:eastAsia="zh-CN" w:bidi="ar-SA"/>
        </w:rPr>
        <w:t>类</w:t>
      </w:r>
      <w:r>
        <w:rPr>
          <w:rFonts w:hint="default" w:ascii="Times New Roman" w:hAnsi="Times New Roman" w:eastAsia="仿宋_GB2312" w:cs="Times New Roman"/>
          <w:b w:val="0"/>
          <w:bCs w:val="0"/>
          <w:kern w:val="0"/>
          <w:position w:val="0"/>
          <w:sz w:val="32"/>
          <w:szCs w:val="32"/>
          <w:highlight w:val="none"/>
          <w:lang w:val="zh-CN" w:eastAsia="zh-CN" w:bidi="ar-SA"/>
        </w:rPr>
        <w:t>。</w:t>
      </w:r>
      <w:r>
        <w:rPr>
          <w:rFonts w:hint="default" w:ascii="Times New Roman" w:hAnsi="Times New Roman" w:eastAsia="仿宋_GB2312" w:cs="Times New Roman"/>
          <w:b w:val="0"/>
          <w:bCs w:val="0"/>
          <w:kern w:val="0"/>
          <w:position w:val="0"/>
          <w:sz w:val="32"/>
          <w:szCs w:val="32"/>
          <w:highlight w:val="none"/>
          <w:lang w:val="en-US" w:eastAsia="zh-CN" w:bidi="ar-SA"/>
        </w:rPr>
        <w:t>围绕区域均衡性、对象精准性、标准合理性、群众满意度进行绩效分析。</w:t>
      </w:r>
    </w:p>
    <w:p w14:paraId="0A1EB955">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eastAsia" w:ascii="Times New Roman" w:hAnsi="Times New Roman" w:eastAsia="仿宋_GB2312" w:cs="Times New Roman"/>
          <w:b w:val="0"/>
          <w:bCs w:val="0"/>
          <w:kern w:val="0"/>
          <w:position w:val="0"/>
          <w:sz w:val="32"/>
          <w:szCs w:val="32"/>
          <w:highlight w:val="none"/>
          <w:lang w:val="en-US" w:eastAsia="zh-CN" w:bidi="ar-SA"/>
        </w:rPr>
        <w:t>集成阿坝州牦牛寄生虫病综合防控技术1套，并建立1-2个示范点进行示范推广应用，培训当地畜牧科技人员和农牧民，辐射带动周边养殖户科学养殖，全面提升养殖场、专合社（家庭农场）及养殖户收益。包括牦牛养殖示范基地5个，存栏总量达2000头；覆盖全州牦牛养殖区域，降低牦牛寄生虫发病率10%，带动养殖户均年增收1000元；办2期培训班（现场会）。</w:t>
      </w:r>
    </w:p>
    <w:p w14:paraId="48488EE9">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3.基础设施类。在建项目围绕工程进度和资金拨付进行绩效分析；建成项目围绕项目验收、功能实现、后续管护进行绩效分析。</w:t>
      </w:r>
    </w:p>
    <w:p w14:paraId="65649CB9">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4.</w:t>
      </w:r>
      <w:r>
        <w:rPr>
          <w:rFonts w:hint="default" w:ascii="Times New Roman" w:hAnsi="Times New Roman" w:eastAsia="仿宋_GB2312" w:cs="Times New Roman"/>
          <w:b w:val="0"/>
          <w:bCs w:val="0"/>
          <w:kern w:val="0"/>
          <w:position w:val="0"/>
          <w:sz w:val="32"/>
          <w:szCs w:val="32"/>
          <w:highlight w:val="none"/>
          <w:lang w:val="zh-CN" w:eastAsia="zh-CN" w:bidi="ar-SA"/>
        </w:rPr>
        <w:t>行政运转</w:t>
      </w:r>
      <w:r>
        <w:rPr>
          <w:rFonts w:hint="default" w:ascii="Times New Roman" w:hAnsi="Times New Roman" w:eastAsia="仿宋_GB2312" w:cs="Times New Roman"/>
          <w:b w:val="0"/>
          <w:bCs w:val="0"/>
          <w:kern w:val="0"/>
          <w:position w:val="0"/>
          <w:sz w:val="32"/>
          <w:szCs w:val="32"/>
          <w:highlight w:val="none"/>
          <w:lang w:val="en-US" w:eastAsia="zh-CN" w:bidi="ar-SA"/>
        </w:rPr>
        <w:t>类</w:t>
      </w:r>
      <w:r>
        <w:rPr>
          <w:rFonts w:hint="default" w:ascii="Times New Roman" w:hAnsi="Times New Roman" w:eastAsia="仿宋_GB2312" w:cs="Times New Roman"/>
          <w:b w:val="0"/>
          <w:bCs w:val="0"/>
          <w:kern w:val="0"/>
          <w:position w:val="0"/>
          <w:sz w:val="32"/>
          <w:szCs w:val="32"/>
          <w:highlight w:val="none"/>
          <w:lang w:val="zh-CN" w:eastAsia="zh-CN" w:bidi="ar-SA"/>
        </w:rPr>
        <w:t>。围绕用途合规性、程序合规性、标准合规性进行绩效分析。</w:t>
      </w:r>
    </w:p>
    <w:p w14:paraId="2C75BBC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楷体_GB2312" w:cs="Times New Roman"/>
          <w:b/>
          <w:color w:val="auto"/>
          <w:kern w:val="0"/>
          <w:sz w:val="32"/>
          <w:szCs w:val="32"/>
          <w:highlight w:val="none"/>
          <w:u w:val="none"/>
          <w:lang w:val="zh-CN" w:eastAsia="zh-CN" w:bidi="ar-SA"/>
        </w:rPr>
        <w:t>（三）</w:t>
      </w:r>
      <w:r>
        <w:rPr>
          <w:rFonts w:hint="default" w:ascii="Times New Roman" w:hAnsi="Times New Roman" w:eastAsia="楷体_GB2312" w:cs="Times New Roman"/>
          <w:b/>
          <w:color w:val="auto"/>
          <w:kern w:val="0"/>
          <w:sz w:val="32"/>
          <w:szCs w:val="32"/>
          <w:highlight w:val="none"/>
          <w:u w:val="none"/>
          <w:lang w:val="en-US" w:eastAsia="zh-CN" w:bidi="ar-SA"/>
        </w:rPr>
        <w:t>个性指标</w:t>
      </w:r>
      <w:r>
        <w:rPr>
          <w:rFonts w:hint="default" w:ascii="Times New Roman" w:hAnsi="Times New Roman" w:eastAsia="楷体_GB2312" w:cs="Times New Roman"/>
          <w:b/>
          <w:color w:val="auto"/>
          <w:kern w:val="0"/>
          <w:sz w:val="32"/>
          <w:szCs w:val="32"/>
          <w:highlight w:val="none"/>
          <w:u w:val="none"/>
          <w:lang w:val="zh-CN" w:eastAsia="zh-CN" w:bidi="ar-SA"/>
        </w:rPr>
        <w:t>绩效分析。</w:t>
      </w:r>
      <w:r>
        <w:rPr>
          <w:rFonts w:hint="default" w:ascii="Times New Roman" w:hAnsi="Times New Roman" w:eastAsia="仿宋_GB2312" w:cs="Times New Roman"/>
          <w:b w:val="0"/>
          <w:bCs w:val="0"/>
          <w:kern w:val="0"/>
          <w:position w:val="0"/>
          <w:sz w:val="32"/>
          <w:szCs w:val="32"/>
          <w:highlight w:val="none"/>
          <w:lang w:val="zh-CN" w:eastAsia="zh-CN" w:bidi="ar-SA"/>
        </w:rPr>
        <w:t>根据项目个性自行设定部分指标，反映该项指标执行完成情况。</w:t>
      </w:r>
    </w:p>
    <w:p w14:paraId="6CF839A1">
      <w:pPr>
        <w:keepNext w:val="0"/>
        <w:keepLines w:val="0"/>
        <w:pageBreakBefore w:val="0"/>
        <w:kinsoku/>
        <w:wordWrap/>
        <w:overflowPunct/>
        <w:topLinePunct w:val="0"/>
        <w:autoSpaceDE/>
        <w:autoSpaceDN/>
        <w:bidi w:val="0"/>
        <w:adjustRightInd w:val="0"/>
        <w:snapToGrid w:val="0"/>
        <w:spacing w:line="560" w:lineRule="exact"/>
        <w:ind w:left="0" w:leftChars="0" w:firstLine="643" w:firstLineChars="200"/>
        <w:textAlignment w:val="auto"/>
        <w:rPr>
          <w:rFonts w:hint="eastAsia" w:cs="Times New Roman"/>
          <w:color w:val="auto"/>
          <w:kern w:val="0"/>
          <w:sz w:val="32"/>
          <w:szCs w:val="32"/>
          <w:highlight w:val="none"/>
          <w:u w:val="none"/>
          <w:shd w:val="clear" w:color="auto" w:fill="FFFFFF"/>
          <w:lang w:val="en-US" w:eastAsia="zh-CN"/>
        </w:rPr>
      </w:pPr>
      <w:r>
        <w:rPr>
          <w:rFonts w:hint="eastAsia" w:ascii="Times New Roman" w:hAnsi="Times New Roman" w:eastAsia="仿宋_GB2312" w:cs="Times New Roman"/>
          <w:b/>
          <w:bCs/>
          <w:color w:val="auto"/>
          <w:kern w:val="0"/>
          <w:position w:val="0"/>
          <w:sz w:val="32"/>
          <w:szCs w:val="32"/>
          <w:highlight w:val="none"/>
          <w:u w:val="none"/>
          <w:shd w:val="clear" w:color="auto" w:fill="FFFFFF"/>
          <w:lang w:val="en-US" w:eastAsia="zh-CN" w:bidi="ar-SA"/>
        </w:rPr>
        <w:t>筛选阿坝州牦牛寄生虫敏感药物：</w:t>
      </w:r>
      <w:r>
        <w:rPr>
          <w:rFonts w:hint="eastAsia" w:ascii="Times New Roman" w:hAnsi="Times New Roman" w:eastAsia="仿宋_GB2312" w:cs="Times New Roman"/>
          <w:b w:val="0"/>
          <w:bCs w:val="0"/>
          <w:kern w:val="0"/>
          <w:position w:val="0"/>
          <w:sz w:val="32"/>
          <w:szCs w:val="32"/>
          <w:highlight w:val="none"/>
          <w:lang w:val="en-US" w:eastAsia="zh-CN" w:bidi="ar-SA"/>
        </w:rPr>
        <w:t>通过筛选有效和敏感的抗寄生虫药物，优化和完善牦牛精准驱虫药物选择，建立合理的驱虫药物选择方案。</w:t>
      </w:r>
    </w:p>
    <w:p w14:paraId="1CC9EF4A">
      <w:pPr>
        <w:keepNext w:val="0"/>
        <w:keepLines w:val="0"/>
        <w:pageBreakBefore w:val="0"/>
        <w:kinsoku/>
        <w:wordWrap/>
        <w:overflowPunct/>
        <w:topLinePunct w:val="0"/>
        <w:autoSpaceDE/>
        <w:autoSpaceDN/>
        <w:bidi w:val="0"/>
        <w:adjustRightInd w:val="0"/>
        <w:snapToGrid w:val="0"/>
        <w:spacing w:line="560" w:lineRule="exact"/>
        <w:ind w:left="0" w:leftChars="0" w:firstLine="643" w:firstLineChars="200"/>
        <w:textAlignment w:val="auto"/>
        <w:rPr>
          <w:rFonts w:hint="eastAsia" w:cs="Times New Roman"/>
          <w:color w:val="auto"/>
          <w:kern w:val="0"/>
          <w:sz w:val="32"/>
          <w:szCs w:val="32"/>
          <w:highlight w:val="none"/>
          <w:u w:val="none"/>
          <w:shd w:val="clear" w:color="auto" w:fill="FFFFFF"/>
          <w:lang w:val="en-US" w:eastAsia="zh-CN"/>
        </w:rPr>
      </w:pPr>
      <w:r>
        <w:rPr>
          <w:rFonts w:hint="eastAsia" w:ascii="Times New Roman" w:hAnsi="Times New Roman" w:eastAsia="仿宋_GB2312" w:cs="Times New Roman"/>
          <w:b/>
          <w:bCs/>
          <w:color w:val="auto"/>
          <w:kern w:val="0"/>
          <w:position w:val="0"/>
          <w:sz w:val="32"/>
          <w:szCs w:val="32"/>
          <w:highlight w:val="none"/>
          <w:u w:val="none"/>
          <w:shd w:val="clear" w:color="auto" w:fill="FFFFFF"/>
          <w:lang w:val="en-US" w:eastAsia="zh-CN" w:bidi="ar-SA"/>
        </w:rPr>
        <w:t>阿坝州牦牛寄生虫病综合防控技术：</w:t>
      </w:r>
      <w:r>
        <w:rPr>
          <w:rFonts w:hint="eastAsia" w:ascii="Times New Roman" w:hAnsi="Times New Roman" w:eastAsia="仿宋_GB2312" w:cs="Times New Roman"/>
          <w:b w:val="0"/>
          <w:bCs w:val="0"/>
          <w:kern w:val="0"/>
          <w:position w:val="0"/>
          <w:sz w:val="32"/>
          <w:szCs w:val="32"/>
          <w:highlight w:val="none"/>
          <w:lang w:val="en-US" w:eastAsia="zh-CN" w:bidi="ar-SA"/>
        </w:rPr>
        <w:t>阿坝州牦牛寄生虫病综合防控技术1套。</w:t>
      </w:r>
    </w:p>
    <w:p w14:paraId="5DCEA20E">
      <w:pPr>
        <w:keepNext w:val="0"/>
        <w:keepLines w:val="0"/>
        <w:pageBreakBefore w:val="0"/>
        <w:kinsoku/>
        <w:wordWrap/>
        <w:overflowPunct/>
        <w:topLinePunct w:val="0"/>
        <w:autoSpaceDE/>
        <w:autoSpaceDN/>
        <w:bidi w:val="0"/>
        <w:adjustRightInd w:val="0"/>
        <w:snapToGrid w:val="0"/>
        <w:spacing w:line="560" w:lineRule="exact"/>
        <w:ind w:left="0" w:leftChars="0" w:firstLine="643" w:firstLineChars="200"/>
        <w:textAlignment w:val="auto"/>
        <w:rPr>
          <w:rFonts w:hint="eastAsia" w:cs="Times New Roman"/>
          <w:color w:val="auto"/>
          <w:kern w:val="0"/>
          <w:sz w:val="32"/>
          <w:szCs w:val="32"/>
          <w:highlight w:val="none"/>
          <w:u w:val="none"/>
          <w:shd w:val="clear" w:color="auto" w:fill="FFFFFF"/>
          <w:lang w:val="en-US" w:eastAsia="zh-CN"/>
        </w:rPr>
      </w:pPr>
      <w:r>
        <w:rPr>
          <w:rFonts w:hint="eastAsia" w:ascii="Times New Roman" w:hAnsi="Times New Roman" w:eastAsia="仿宋_GB2312" w:cs="Times New Roman"/>
          <w:b/>
          <w:bCs/>
          <w:color w:val="auto"/>
          <w:kern w:val="0"/>
          <w:position w:val="0"/>
          <w:sz w:val="32"/>
          <w:szCs w:val="32"/>
          <w:highlight w:val="none"/>
          <w:u w:val="none"/>
          <w:shd w:val="clear" w:color="auto" w:fill="FFFFFF"/>
          <w:lang w:val="en-US" w:eastAsia="zh-CN" w:bidi="ar-SA"/>
        </w:rPr>
        <w:t>知识产权：</w:t>
      </w:r>
      <w:r>
        <w:rPr>
          <w:rFonts w:hint="eastAsia" w:ascii="Times New Roman" w:hAnsi="Times New Roman" w:eastAsia="仿宋_GB2312" w:cs="Times New Roman"/>
          <w:b w:val="0"/>
          <w:bCs w:val="0"/>
          <w:kern w:val="0"/>
          <w:position w:val="0"/>
          <w:sz w:val="32"/>
          <w:szCs w:val="32"/>
          <w:highlight w:val="none"/>
          <w:lang w:val="en-US" w:eastAsia="zh-CN" w:bidi="ar-SA"/>
        </w:rPr>
        <w:t>发明专利受理1项，实用新型专利1项。</w:t>
      </w:r>
    </w:p>
    <w:p w14:paraId="0DFE439D">
      <w:pPr>
        <w:keepNext w:val="0"/>
        <w:keepLines w:val="0"/>
        <w:pageBreakBefore w:val="0"/>
        <w:kinsoku/>
        <w:wordWrap/>
        <w:overflowPunct/>
        <w:topLinePunct w:val="0"/>
        <w:autoSpaceDE/>
        <w:autoSpaceDN/>
        <w:bidi w:val="0"/>
        <w:adjustRightInd w:val="0"/>
        <w:snapToGrid w:val="0"/>
        <w:spacing w:line="560" w:lineRule="exact"/>
        <w:ind w:left="0" w:leftChars="0" w:firstLine="643"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eastAsia" w:ascii="Times New Roman" w:hAnsi="Times New Roman" w:eastAsia="仿宋_GB2312" w:cs="Times New Roman"/>
          <w:b/>
          <w:bCs/>
          <w:color w:val="auto"/>
          <w:kern w:val="0"/>
          <w:position w:val="0"/>
          <w:sz w:val="32"/>
          <w:szCs w:val="32"/>
          <w:highlight w:val="none"/>
          <w:u w:val="none"/>
          <w:shd w:val="clear" w:color="auto" w:fill="FFFFFF"/>
          <w:lang w:val="en-US" w:eastAsia="zh-CN" w:bidi="ar-SA"/>
        </w:rPr>
        <w:t>论文专注：</w:t>
      </w:r>
      <w:r>
        <w:rPr>
          <w:rFonts w:hint="eastAsia" w:ascii="Times New Roman" w:hAnsi="Times New Roman" w:eastAsia="仿宋_GB2312" w:cs="Times New Roman"/>
          <w:b w:val="0"/>
          <w:bCs w:val="0"/>
          <w:kern w:val="0"/>
          <w:position w:val="0"/>
          <w:sz w:val="32"/>
          <w:szCs w:val="32"/>
          <w:highlight w:val="none"/>
          <w:lang w:val="en-US" w:eastAsia="zh-CN" w:bidi="ar-SA"/>
        </w:rPr>
        <w:t>公开发表2篇。</w:t>
      </w:r>
    </w:p>
    <w:p w14:paraId="1A5F83E4">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9"/>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eastAsia="zh-CN"/>
        </w:rPr>
        <w:t>四</w:t>
      </w:r>
      <w:r>
        <w:rPr>
          <w:rFonts w:hint="default" w:ascii="Times New Roman" w:hAnsi="Times New Roman" w:eastAsia="黑体" w:cs="Times New Roman"/>
          <w:color w:val="auto"/>
          <w:sz w:val="32"/>
          <w:szCs w:val="32"/>
          <w:highlight w:val="none"/>
          <w:u w:val="none"/>
        </w:rPr>
        <w:t>、评价结论</w:t>
      </w:r>
    </w:p>
    <w:p w14:paraId="59BB4188">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简要阐述专项预算项目绩效自评总体结论，包含评价总分、</w:t>
      </w:r>
      <w:r>
        <w:rPr>
          <w:rFonts w:hint="default" w:ascii="Times New Roman" w:hAnsi="Times New Roman" w:eastAsia="仿宋_GB2312" w:cs="Times New Roman"/>
          <w:b w:val="0"/>
          <w:bCs w:val="0"/>
          <w:kern w:val="0"/>
          <w:position w:val="0"/>
          <w:sz w:val="32"/>
          <w:szCs w:val="32"/>
          <w:highlight w:val="none"/>
          <w:lang w:val="zh-CN" w:eastAsia="zh-CN" w:bidi="ar-SA"/>
        </w:rPr>
        <w:t>项目实施情况。</w:t>
      </w:r>
    </w:p>
    <w:p w14:paraId="0A534570">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eastAsia" w:ascii="Times New Roman" w:hAnsi="Times New Roman" w:eastAsia="仿宋_GB2312" w:cs="Times New Roman"/>
          <w:b w:val="0"/>
          <w:bCs w:val="0"/>
          <w:kern w:val="0"/>
          <w:position w:val="0"/>
          <w:sz w:val="32"/>
          <w:szCs w:val="32"/>
          <w:highlight w:val="none"/>
          <w:lang w:val="en-US" w:eastAsia="zh-CN" w:bidi="ar-SA"/>
        </w:rPr>
        <w:t>项目资金为2024年年底到达，项目实施起步落后，但正努力按照计划开展实施。</w:t>
      </w:r>
    </w:p>
    <w:p w14:paraId="3FAB2EC8">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9"/>
        <w:rPr>
          <w:rFonts w:hint="default" w:ascii="Times New Roman" w:hAnsi="Times New Roman" w:eastAsia="黑体" w:cs="Times New Roman"/>
          <w:color w:val="auto"/>
          <w:sz w:val="32"/>
          <w:szCs w:val="32"/>
          <w:highlight w:val="none"/>
          <w:u w:val="none"/>
          <w:lang w:eastAsia="zh-CN"/>
        </w:rPr>
      </w:pPr>
      <w:r>
        <w:rPr>
          <w:rFonts w:hint="default" w:ascii="Times New Roman" w:hAnsi="Times New Roman" w:eastAsia="黑体" w:cs="Times New Roman"/>
          <w:color w:val="auto"/>
          <w:sz w:val="32"/>
          <w:szCs w:val="32"/>
          <w:highlight w:val="none"/>
          <w:u w:val="none"/>
          <w:lang w:eastAsia="zh-CN"/>
        </w:rPr>
        <w:t>五、存在主要问题</w:t>
      </w:r>
    </w:p>
    <w:p w14:paraId="30C0CCA9">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简要阐述专项预算项目绩效自评发现的主要问题。</w:t>
      </w:r>
    </w:p>
    <w:p w14:paraId="39B823AC">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eastAsia" w:ascii="Times New Roman" w:hAnsi="Times New Roman" w:eastAsia="仿宋_GB2312" w:cs="Times New Roman"/>
          <w:b w:val="0"/>
          <w:bCs w:val="0"/>
          <w:kern w:val="0"/>
          <w:position w:val="0"/>
          <w:sz w:val="32"/>
          <w:szCs w:val="32"/>
          <w:highlight w:val="none"/>
          <w:lang w:val="en-US" w:eastAsia="zh-CN" w:bidi="ar-SA"/>
        </w:rPr>
        <w:t>无。</w:t>
      </w:r>
    </w:p>
    <w:p w14:paraId="6578EF4E">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9"/>
        <w:rPr>
          <w:rFonts w:hint="default" w:ascii="Times New Roman" w:hAnsi="Times New Roman" w:eastAsia="黑体" w:cs="Times New Roman"/>
          <w:color w:val="auto"/>
          <w:sz w:val="32"/>
          <w:szCs w:val="32"/>
          <w:highlight w:val="none"/>
          <w:u w:val="none"/>
          <w:lang w:val="zh-CN" w:eastAsia="zh-CN"/>
        </w:rPr>
      </w:pPr>
      <w:r>
        <w:rPr>
          <w:rFonts w:hint="default" w:ascii="Times New Roman" w:hAnsi="Times New Roman" w:eastAsia="黑体" w:cs="Times New Roman"/>
          <w:color w:val="auto"/>
          <w:sz w:val="32"/>
          <w:szCs w:val="32"/>
          <w:highlight w:val="none"/>
          <w:u w:val="none"/>
          <w:lang w:val="zh-CN" w:eastAsia="zh-CN"/>
        </w:rPr>
        <w:t>六、改进建议</w:t>
      </w:r>
    </w:p>
    <w:p w14:paraId="41B03429">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简要阐述专项预算项目在</w:t>
      </w:r>
      <w:r>
        <w:rPr>
          <w:rFonts w:hint="default" w:ascii="Times New Roman" w:hAnsi="Times New Roman" w:eastAsia="仿宋_GB2312" w:cs="Times New Roman"/>
          <w:b w:val="0"/>
          <w:bCs w:val="0"/>
          <w:kern w:val="0"/>
          <w:position w:val="0"/>
          <w:sz w:val="32"/>
          <w:szCs w:val="32"/>
          <w:highlight w:val="none"/>
          <w:lang w:val="en" w:eastAsia="zh-CN" w:bidi="ar-SA"/>
        </w:rPr>
        <w:t>预算安排、完善政策、改进管理等方面的</w:t>
      </w:r>
      <w:r>
        <w:rPr>
          <w:rFonts w:hint="default" w:ascii="Times New Roman" w:hAnsi="Times New Roman" w:eastAsia="仿宋_GB2312" w:cs="Times New Roman"/>
          <w:b w:val="0"/>
          <w:bCs w:val="0"/>
          <w:kern w:val="0"/>
          <w:position w:val="0"/>
          <w:sz w:val="32"/>
          <w:szCs w:val="32"/>
          <w:highlight w:val="none"/>
          <w:lang w:val="en-US" w:eastAsia="zh-CN" w:bidi="ar-SA"/>
        </w:rPr>
        <w:t>措施</w:t>
      </w:r>
      <w:r>
        <w:rPr>
          <w:rFonts w:hint="default" w:ascii="Times New Roman" w:hAnsi="Times New Roman" w:eastAsia="仿宋_GB2312" w:cs="Times New Roman"/>
          <w:b w:val="0"/>
          <w:bCs w:val="0"/>
          <w:kern w:val="0"/>
          <w:position w:val="0"/>
          <w:sz w:val="32"/>
          <w:szCs w:val="32"/>
          <w:highlight w:val="none"/>
          <w:lang w:val="en" w:eastAsia="zh-CN" w:bidi="ar-SA"/>
        </w:rPr>
        <w:t>建议，其中</w:t>
      </w:r>
      <w:r>
        <w:rPr>
          <w:rFonts w:hint="default" w:ascii="Times New Roman" w:hAnsi="Times New Roman" w:eastAsia="仿宋_GB2312" w:cs="Times New Roman"/>
          <w:b w:val="0"/>
          <w:bCs w:val="0"/>
          <w:kern w:val="0"/>
          <w:position w:val="0"/>
          <w:sz w:val="32"/>
          <w:szCs w:val="32"/>
          <w:highlight w:val="none"/>
          <w:lang w:val="en-US" w:eastAsia="zh-CN" w:bidi="ar-SA"/>
        </w:rPr>
        <w:t>必须对应评价发现的主要问题一一提出措施建议。</w:t>
      </w:r>
    </w:p>
    <w:p w14:paraId="4F18CCD4">
      <w:pPr>
        <w:pStyle w:val="6"/>
        <w:keepNext w:val="0"/>
        <w:keepLines w:val="0"/>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zh-CN" w:eastAsia="zh-CN" w:bidi="ar-SA"/>
        </w:rPr>
      </w:pPr>
      <w:r>
        <w:rPr>
          <w:rFonts w:hint="eastAsia" w:ascii="Times New Roman" w:hAnsi="Times New Roman" w:eastAsia="仿宋_GB2312" w:cs="Times New Roman"/>
          <w:b w:val="0"/>
          <w:bCs w:val="0"/>
          <w:kern w:val="0"/>
          <w:position w:val="0"/>
          <w:sz w:val="32"/>
          <w:szCs w:val="32"/>
          <w:highlight w:val="none"/>
          <w:lang w:val="en-US" w:eastAsia="zh-CN" w:bidi="ar-SA"/>
        </w:rPr>
        <w:t>无。</w:t>
      </w:r>
    </w:p>
    <w:p w14:paraId="4E4A3E68">
      <w:pPr>
        <w:keepNext w:val="0"/>
        <w:keepLines w:val="0"/>
        <w:pageBreakBefore w:val="0"/>
        <w:kinsoku/>
        <w:wordWrap/>
        <w:overflowPunct/>
        <w:topLinePunct w:val="0"/>
        <w:autoSpaceDE/>
        <w:autoSpaceDN/>
        <w:bidi w:val="0"/>
        <w:adjustRightInd/>
        <w:snapToGrid w:val="0"/>
        <w:spacing w:line="560" w:lineRule="exact"/>
        <w:ind w:left="0" w:leftChars="0" w:firstLine="420" w:firstLineChars="200"/>
        <w:textAlignment w:val="auto"/>
        <w:outlineLvl w:val="9"/>
        <w:rPr>
          <w:rFonts w:hint="default" w:ascii="Times New Roman" w:hAnsi="Times New Roman" w:cs="Times New Roman"/>
          <w:color w:val="000000"/>
          <w:kern w:val="0"/>
          <w:szCs w:val="32"/>
          <w:highlight w:val="none"/>
          <w:shd w:val="clear" w:color="auto" w:fill="FFFFFF"/>
          <w:lang w:val="en-US" w:eastAsia="zh-CN"/>
        </w:rPr>
      </w:pPr>
      <w:r>
        <w:rPr>
          <w:rFonts w:hint="default" w:ascii="Times New Roman" w:hAnsi="Times New Roman" w:cs="Times New Roman"/>
          <w:color w:val="000000"/>
          <w:kern w:val="0"/>
          <w:szCs w:val="32"/>
          <w:highlight w:val="none"/>
          <w:shd w:val="clear" w:color="auto" w:fill="FFFFFF"/>
          <w:lang w:val="en-US" w:eastAsia="zh-CN"/>
        </w:rPr>
        <w:t>附表：1.</w:t>
      </w:r>
      <w:r>
        <w:rPr>
          <w:rFonts w:hint="eastAsia" w:cs="Times New Roman"/>
          <w:color w:val="000000"/>
          <w:kern w:val="0"/>
          <w:szCs w:val="32"/>
          <w:highlight w:val="none"/>
          <w:shd w:val="clear" w:color="auto" w:fill="FFFFFF"/>
          <w:lang w:val="en-US" w:eastAsia="zh-CN"/>
        </w:rPr>
        <w:t>专项</w:t>
      </w:r>
      <w:r>
        <w:rPr>
          <w:rFonts w:hint="default" w:ascii="Times New Roman" w:hAnsi="Times New Roman" w:cs="Times New Roman"/>
          <w:color w:val="000000"/>
          <w:kern w:val="0"/>
          <w:szCs w:val="32"/>
          <w:highlight w:val="none"/>
          <w:shd w:val="clear" w:color="auto" w:fill="FFFFFF"/>
          <w:lang w:val="en-US" w:eastAsia="zh-CN"/>
        </w:rPr>
        <w:t>预算绩效自评打分表</w:t>
      </w:r>
    </w:p>
    <w:p w14:paraId="21BD1C05">
      <w:pPr>
        <w:keepNext w:val="0"/>
        <w:keepLines w:val="0"/>
        <w:pageBreakBefore w:val="0"/>
        <w:kinsoku/>
        <w:wordWrap/>
        <w:overflowPunct/>
        <w:topLinePunct w:val="0"/>
        <w:autoSpaceDE/>
        <w:autoSpaceDN/>
        <w:bidi w:val="0"/>
        <w:adjustRightInd/>
        <w:snapToGrid w:val="0"/>
        <w:spacing w:line="560" w:lineRule="exact"/>
        <w:ind w:left="0" w:leftChars="0" w:firstLine="1050" w:firstLineChars="500"/>
        <w:textAlignment w:val="auto"/>
        <w:outlineLvl w:val="9"/>
        <w:rPr>
          <w:rFonts w:hint="default" w:ascii="Times New Roman" w:hAnsi="Times New Roman" w:cs="Times New Roman"/>
          <w:color w:val="000000"/>
          <w:kern w:val="0"/>
          <w:szCs w:val="32"/>
          <w:highlight w:val="none"/>
          <w:shd w:val="clear" w:color="auto" w:fill="FFFFFF"/>
          <w:lang w:val="en-US" w:eastAsia="zh-CN"/>
        </w:rPr>
      </w:pPr>
      <w:r>
        <w:rPr>
          <w:rFonts w:hint="default" w:ascii="Times New Roman" w:hAnsi="Times New Roman" w:cs="Times New Roman"/>
          <w:color w:val="000000"/>
          <w:kern w:val="0"/>
          <w:szCs w:val="32"/>
          <w:highlight w:val="none"/>
          <w:shd w:val="clear" w:color="auto" w:fill="FFFFFF"/>
          <w:lang w:val="en-US" w:eastAsia="zh-CN"/>
        </w:rPr>
        <w:t>2.专项预算绩效自评实地踏勘点位清单表</w:t>
      </w:r>
    </w:p>
    <w:p w14:paraId="462366A4">
      <w:pPr>
        <w:keepNext w:val="0"/>
        <w:keepLines w:val="0"/>
        <w:pageBreakBefore w:val="0"/>
        <w:kinsoku/>
        <w:wordWrap/>
        <w:overflowPunct/>
        <w:topLinePunct w:val="0"/>
        <w:autoSpaceDE/>
        <w:autoSpaceDN/>
        <w:bidi w:val="0"/>
        <w:adjustRightInd/>
        <w:snapToGrid w:val="0"/>
        <w:spacing w:line="560" w:lineRule="exact"/>
        <w:ind w:left="0" w:leftChars="0" w:firstLine="1050" w:firstLineChars="500"/>
        <w:textAlignment w:val="auto"/>
        <w:outlineLvl w:val="9"/>
        <w:rPr>
          <w:rFonts w:hint="default" w:ascii="Times New Roman" w:hAnsi="Times New Roman" w:cs="Times New Roman"/>
          <w:color w:val="000000"/>
          <w:kern w:val="0"/>
          <w:szCs w:val="32"/>
          <w:highlight w:val="none"/>
          <w:shd w:val="clear" w:color="auto" w:fill="FFFFFF"/>
          <w:lang w:val="en-US" w:eastAsia="zh-CN"/>
        </w:rPr>
      </w:pPr>
      <w:r>
        <w:rPr>
          <w:rFonts w:hint="eastAsia" w:cs="Times New Roman"/>
          <w:color w:val="000000"/>
          <w:kern w:val="0"/>
          <w:szCs w:val="32"/>
          <w:highlight w:val="none"/>
          <w:shd w:val="clear" w:color="auto" w:fill="FFFFFF"/>
          <w:lang w:val="en-US" w:eastAsia="zh-CN"/>
        </w:rPr>
        <w:t>3.</w:t>
      </w:r>
      <w:r>
        <w:rPr>
          <w:rFonts w:hint="default" w:ascii="Times New Roman" w:hAnsi="Times New Roman" w:cs="Times New Roman"/>
          <w:color w:val="000000"/>
          <w:kern w:val="0"/>
          <w:szCs w:val="32"/>
          <w:highlight w:val="none"/>
          <w:shd w:val="clear" w:color="auto" w:fill="FFFFFF"/>
          <w:lang w:val="en-US" w:eastAsia="zh-CN"/>
        </w:rPr>
        <w:t>专项预算项目绩效目标完成情况自评表</w:t>
      </w:r>
    </w:p>
    <w:p w14:paraId="3D058A92">
      <w:pPr>
        <w:keepNext w:val="0"/>
        <w:keepLines w:val="0"/>
        <w:pageBreakBefore w:val="0"/>
        <w:kinsoku/>
        <w:wordWrap/>
        <w:overflowPunct/>
        <w:topLinePunct w:val="0"/>
        <w:autoSpaceDE/>
        <w:autoSpaceDN/>
        <w:bidi w:val="0"/>
        <w:adjustRightInd/>
        <w:snapToGrid w:val="0"/>
        <w:spacing w:line="560"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cs="Times New Roman"/>
          <w:color w:val="000000"/>
          <w:kern w:val="0"/>
          <w:szCs w:val="32"/>
          <w:highlight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t>1</w:t>
      </w:r>
    </w:p>
    <w:p w14:paraId="661FD933">
      <w:pPr>
        <w:keepNext w:val="0"/>
        <w:keepLines w:val="0"/>
        <w:pageBreakBefore w:val="0"/>
        <w:kinsoku/>
        <w:wordWrap/>
        <w:overflowPunct/>
        <w:topLinePunct w:val="0"/>
        <w:autoSpaceDE/>
        <w:autoSpaceDN/>
        <w:bidi w:val="0"/>
        <w:spacing w:line="560"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eastAsia" w:ascii="Times New Roman" w:hAnsi="Times New Roman" w:eastAsia="方正小标宋_GBK" w:cs="Times New Roman"/>
          <w:b w:val="0"/>
          <w:bCs w:val="0"/>
          <w:color w:val="auto"/>
          <w:sz w:val="40"/>
          <w:szCs w:val="40"/>
          <w:highlight w:val="none"/>
          <w:u w:val="none"/>
          <w:lang w:val="en-US" w:eastAsia="zh-CN"/>
        </w:rPr>
        <w:t>专项</w:t>
      </w:r>
      <w:r>
        <w:rPr>
          <w:rFonts w:hint="default" w:ascii="Times New Roman" w:hAnsi="Times New Roman" w:eastAsia="方正小标宋_GBK" w:cs="Times New Roman"/>
          <w:b w:val="0"/>
          <w:bCs w:val="0"/>
          <w:color w:val="auto"/>
          <w:sz w:val="40"/>
          <w:szCs w:val="40"/>
          <w:highlight w:val="none"/>
          <w:u w:val="none"/>
          <w:lang w:val="en-US" w:eastAsia="zh-CN"/>
        </w:rPr>
        <w:t>预算绩效自评打分表</w:t>
      </w:r>
    </w:p>
    <w:tbl>
      <w:tblPr>
        <w:tblStyle w:val="17"/>
        <w:tblW w:w="109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765"/>
        <w:gridCol w:w="825"/>
        <w:gridCol w:w="1659"/>
        <w:gridCol w:w="392"/>
        <w:gridCol w:w="5340"/>
        <w:gridCol w:w="732"/>
        <w:gridCol w:w="468"/>
      </w:tblGrid>
      <w:tr w14:paraId="1AED6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730501E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7F7A056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1864857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1CB4DDD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44828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02C4112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374471A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0F2108C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3CBFD71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243498">
            <w:pPr>
              <w:keepNext w:val="0"/>
              <w:keepLines w:val="0"/>
              <w:pageBreakBefore w:val="0"/>
              <w:widowControl/>
              <w:kinsoku/>
              <w:wordWrap/>
              <w:overflowPunct/>
              <w:topLinePunct w:val="0"/>
              <w:autoSpaceDE/>
              <w:autoSpaceDN/>
              <w:bidi w:val="0"/>
              <w:adjustRightInd/>
              <w:snapToGrid/>
              <w:spacing w:line="560" w:lineRule="exact"/>
              <w:jc w:val="center"/>
              <w:rPr>
                <w:rFonts w:hint="eastAsia" w:ascii="黑体" w:hAnsi="宋体" w:eastAsia="黑体" w:cs="黑体"/>
                <w:i w:val="0"/>
                <w:color w:val="000000"/>
                <w:sz w:val="24"/>
                <w:szCs w:val="24"/>
                <w:u w:val="none"/>
              </w:rPr>
            </w:pPr>
          </w:p>
        </w:tc>
        <w:tc>
          <w:tcPr>
            <w:tcW w:w="732" w:type="dxa"/>
            <w:vMerge w:val="continue"/>
            <w:tcBorders>
              <w:left w:val="single" w:color="000000" w:sz="4" w:space="0"/>
              <w:bottom w:val="single" w:color="000000" w:sz="4" w:space="0"/>
              <w:right w:val="single" w:color="000000" w:sz="4" w:space="0"/>
            </w:tcBorders>
            <w:noWrap w:val="0"/>
            <w:vAlign w:val="center"/>
          </w:tcPr>
          <w:p w14:paraId="3A75EBD6">
            <w:pPr>
              <w:keepNext w:val="0"/>
              <w:keepLines w:val="0"/>
              <w:pageBreakBefore w:val="0"/>
              <w:widowControl/>
              <w:kinsoku/>
              <w:wordWrap/>
              <w:overflowPunct/>
              <w:topLinePunct w:val="0"/>
              <w:autoSpaceDE/>
              <w:autoSpaceDN/>
              <w:bidi w:val="0"/>
              <w:adjustRightInd/>
              <w:snapToGrid/>
              <w:spacing w:line="560" w:lineRule="exact"/>
              <w:jc w:val="center"/>
              <w:rPr>
                <w:rFonts w:hint="eastAsia" w:ascii="黑体" w:hAnsi="宋体" w:eastAsia="黑体" w:cs="黑体"/>
                <w:i w:val="0"/>
                <w:color w:val="000000"/>
                <w:sz w:val="24"/>
                <w:szCs w:val="24"/>
                <w:u w:val="none"/>
              </w:rPr>
            </w:pPr>
          </w:p>
        </w:tc>
        <w:tc>
          <w:tcPr>
            <w:tcW w:w="468" w:type="dxa"/>
            <w:vMerge w:val="continue"/>
            <w:tcBorders>
              <w:left w:val="single" w:color="000000" w:sz="4" w:space="0"/>
              <w:bottom w:val="single" w:color="000000" w:sz="4" w:space="0"/>
              <w:right w:val="single" w:color="000000" w:sz="4" w:space="0"/>
            </w:tcBorders>
            <w:noWrap w:val="0"/>
            <w:vAlign w:val="center"/>
          </w:tcPr>
          <w:p w14:paraId="5073A06A">
            <w:pPr>
              <w:keepNext w:val="0"/>
              <w:keepLines w:val="0"/>
              <w:pageBreakBefore w:val="0"/>
              <w:widowControl/>
              <w:kinsoku/>
              <w:wordWrap/>
              <w:overflowPunct/>
              <w:topLinePunct w:val="0"/>
              <w:autoSpaceDE/>
              <w:autoSpaceDN/>
              <w:bidi w:val="0"/>
              <w:adjustRightInd/>
              <w:snapToGrid/>
              <w:spacing w:line="560" w:lineRule="exact"/>
              <w:jc w:val="center"/>
              <w:rPr>
                <w:rFonts w:hint="eastAsia" w:ascii="黑体" w:hAnsi="宋体" w:eastAsia="黑体" w:cs="黑体"/>
                <w:i w:val="0"/>
                <w:color w:val="000000"/>
                <w:sz w:val="24"/>
                <w:szCs w:val="24"/>
                <w:u w:val="none"/>
              </w:rPr>
            </w:pPr>
          </w:p>
        </w:tc>
      </w:tr>
      <w:tr w14:paraId="5A854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0B9A581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通用指标</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50E1BB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项目决策</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（18分）</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3E9D483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7395F56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EE097D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048C630">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D9B038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A5F3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316990">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097E757">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61C6EE1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规划论证</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02ABE45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F0A7FF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0BCD24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4609575">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E8F2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F0319C">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1FB5D65">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46F1F8C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资金投向</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38B4CFD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7AD2DA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026706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561F4B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3929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E1C9B0">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F0E2B4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（18分）</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71770BD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制度办法</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5B1AF5C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AD4372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93804B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69F43A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FE86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D9A74B">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7F8DE84">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7C3B990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分配管理</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4668F8C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48F8C0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C7AD03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E7A330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818A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5C8ABF">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C7C4B41">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19A658B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绩效监管</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535DAE2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1E3832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04A743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AA85A15">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49B6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3BC3D2">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EE3559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项目实施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4CAD5BE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预算执行</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54A9E32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FEAD3F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87F950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07A3E9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EE43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808775">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A62C1F5">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66B3E9F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4BA5952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4E79AD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ADFBD9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ADFD6C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3685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8854BD">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8CDB0B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项目结果</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007E697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5D35B97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2505C1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46F337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88D12D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567E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A59D7E">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34116B4">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6B7D42B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完成时效</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2AB4B4C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D724D5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266967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CB2D1A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F4B0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07E1901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专用指标</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D4B7C1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产业发展</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5386C0F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符合性</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0D0D31A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ED780F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550386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E4729C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9F74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6C28F6">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1467840">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70C84A0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成长性</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0383219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69D5DC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202019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F81265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4217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9D1F88">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EA51E9C">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62DE72B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经济性</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0FC6F96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719E66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77AA05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31156E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7A69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9C851B">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B213A4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民生保障</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6997160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区域均衡性</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657B429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023AA6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9015BB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608290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59A6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26D2D8">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CEBB641">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1FEE839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对象精准性</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2125D5E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8A4981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C59203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27DE23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C862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89027E">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95C570C">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38E0EB8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标准合理性</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0086737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8ACEE2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AF035F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3C6EA5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F934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50397D">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74B9B58">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450906C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群众满意度</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38C0CD0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60A0BA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CA2107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91480F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C9EC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62B462">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6BE1622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基础</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设施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70F3566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在建</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项目</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6CC5DF6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工程进度</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6C6FEE4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CA87DB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BCA7C3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C933FC5">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17CA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AF98EE">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DC7C3A">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4FB18D">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0F672DB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资金拨付</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3030EF5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737CBC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4CD8D9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47495D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31B8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272C83">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D1F621">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033B6B5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建成</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项目</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5225D53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553BDCD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D2CAC7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030F32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C1DA29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A0AE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1AB160">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C6144D">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65AECA">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2D475A6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功能实现</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7E82BF7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698745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E9A433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A1B411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EE08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F440F8">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CFB650">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03C8EC">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7BDC2C3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后续管护</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079DFA5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C244FC5">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C25F2C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0137A6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7822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6CC090F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专用指标</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F6D71A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行政运转</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659" w:type="dxa"/>
            <w:tcBorders>
              <w:top w:val="nil"/>
              <w:left w:val="single" w:color="000000" w:sz="4" w:space="0"/>
              <w:bottom w:val="single" w:color="000000" w:sz="4" w:space="0"/>
              <w:right w:val="single" w:color="000000" w:sz="4" w:space="0"/>
            </w:tcBorders>
            <w:noWrap w:val="0"/>
            <w:vAlign w:val="center"/>
          </w:tcPr>
          <w:p w14:paraId="2E48911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用途合规性</w:t>
            </w:r>
          </w:p>
        </w:tc>
        <w:tc>
          <w:tcPr>
            <w:tcW w:w="392" w:type="dxa"/>
            <w:tcBorders>
              <w:top w:val="nil"/>
              <w:left w:val="single" w:color="000000" w:sz="4" w:space="0"/>
              <w:bottom w:val="single" w:color="000000" w:sz="4" w:space="0"/>
              <w:right w:val="single" w:color="000000" w:sz="4" w:space="0"/>
            </w:tcBorders>
            <w:noWrap w:val="0"/>
            <w:vAlign w:val="center"/>
          </w:tcPr>
          <w:p w14:paraId="64951E1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3297C91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7173ABE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nil"/>
              <w:left w:val="single" w:color="000000" w:sz="4" w:space="0"/>
              <w:bottom w:val="single" w:color="000000" w:sz="4" w:space="0"/>
              <w:right w:val="single" w:color="000000" w:sz="4" w:space="0"/>
            </w:tcBorders>
            <w:noWrap w:val="0"/>
            <w:vAlign w:val="center"/>
          </w:tcPr>
          <w:p w14:paraId="0D228D8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D4F7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C853BA">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4B9F3FC">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659" w:type="dxa"/>
            <w:tcBorders>
              <w:top w:val="nil"/>
              <w:left w:val="single" w:color="000000" w:sz="4" w:space="0"/>
              <w:bottom w:val="single" w:color="000000" w:sz="4" w:space="0"/>
              <w:right w:val="single" w:color="000000" w:sz="4" w:space="0"/>
            </w:tcBorders>
            <w:noWrap w:val="0"/>
            <w:vAlign w:val="center"/>
          </w:tcPr>
          <w:p w14:paraId="5CE2637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程序合规性</w:t>
            </w:r>
          </w:p>
        </w:tc>
        <w:tc>
          <w:tcPr>
            <w:tcW w:w="392" w:type="dxa"/>
            <w:tcBorders>
              <w:top w:val="nil"/>
              <w:left w:val="single" w:color="000000" w:sz="4" w:space="0"/>
              <w:bottom w:val="single" w:color="000000" w:sz="4" w:space="0"/>
              <w:right w:val="single" w:color="000000" w:sz="4" w:space="0"/>
            </w:tcBorders>
            <w:noWrap w:val="0"/>
            <w:vAlign w:val="center"/>
          </w:tcPr>
          <w:p w14:paraId="631167A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9E6801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3995CA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5723F8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8A95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22BB0A">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9ADD5A6">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b/>
                <w:i w:val="0"/>
                <w:color w:val="000000"/>
                <w:sz w:val="24"/>
                <w:szCs w:val="24"/>
                <w:u w:val="none"/>
              </w:rPr>
            </w:pPr>
          </w:p>
        </w:tc>
        <w:tc>
          <w:tcPr>
            <w:tcW w:w="1659" w:type="dxa"/>
            <w:tcBorders>
              <w:top w:val="nil"/>
              <w:left w:val="single" w:color="000000" w:sz="4" w:space="0"/>
              <w:bottom w:val="single" w:color="000000" w:sz="4" w:space="0"/>
              <w:right w:val="single" w:color="000000" w:sz="4" w:space="0"/>
            </w:tcBorders>
            <w:noWrap w:val="0"/>
            <w:vAlign w:val="center"/>
          </w:tcPr>
          <w:p w14:paraId="7489881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标准合规性</w:t>
            </w:r>
          </w:p>
        </w:tc>
        <w:tc>
          <w:tcPr>
            <w:tcW w:w="392" w:type="dxa"/>
            <w:tcBorders>
              <w:top w:val="nil"/>
              <w:left w:val="single" w:color="000000" w:sz="4" w:space="0"/>
              <w:bottom w:val="single" w:color="000000" w:sz="4" w:space="0"/>
              <w:right w:val="single" w:color="000000" w:sz="4" w:space="0"/>
            </w:tcBorders>
            <w:noWrap w:val="0"/>
            <w:vAlign w:val="center"/>
          </w:tcPr>
          <w:p w14:paraId="59AC0A3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9241965">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E8032D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C13A0E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6887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right w:val="single" w:color="000000" w:sz="4" w:space="0"/>
            </w:tcBorders>
            <w:noWrap w:val="0"/>
            <w:vAlign w:val="center"/>
          </w:tcPr>
          <w:p w14:paraId="048D69A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个性指标</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（16分）</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083421F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16"/>
                <w:szCs w:val="16"/>
                <w:u w:val="none"/>
                <w:lang w:val="en-US" w:eastAsia="zh-CN" w:bidi="ar"/>
              </w:rPr>
              <w:t>筛选寄生虫敏感药物</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666DDFC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BB591A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选有效和敏感的抗寄生虫药物，优化和完善牦牛精准驱虫药物选择，建立合理的驱虫药物选择方案。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41DBDB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F4BF3E5">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E597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left w:val="single" w:color="000000" w:sz="4" w:space="0"/>
              <w:right w:val="single" w:color="000000" w:sz="4" w:space="0"/>
            </w:tcBorders>
            <w:noWrap w:val="0"/>
            <w:vAlign w:val="center"/>
          </w:tcPr>
          <w:p w14:paraId="71BAF88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3776BF1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18"/>
                <w:szCs w:val="18"/>
                <w:u w:val="none"/>
                <w:lang w:val="en-US" w:eastAsia="zh-CN" w:bidi="ar"/>
              </w:rPr>
              <w:t>阿坝州牦牛寄生虫病综合防控技术</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7F6A475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1142BE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阿坝州牦牛寄生虫病综合防控技术1套。</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C10BE7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3AAA7E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601F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left w:val="single" w:color="000000" w:sz="4" w:space="0"/>
              <w:right w:val="single" w:color="000000" w:sz="4" w:space="0"/>
            </w:tcBorders>
            <w:noWrap w:val="0"/>
            <w:vAlign w:val="center"/>
          </w:tcPr>
          <w:p w14:paraId="596A9F8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7A5B94B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知识产权</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700E5F9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E2A8C6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发明专利受理1项，实用新型专利1项。</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FC9A52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A4B35C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11C8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left w:val="single" w:color="000000" w:sz="4" w:space="0"/>
              <w:bottom w:val="single" w:color="000000" w:sz="4" w:space="0"/>
              <w:right w:val="single" w:color="000000" w:sz="4" w:space="0"/>
            </w:tcBorders>
            <w:noWrap w:val="0"/>
            <w:vAlign w:val="center"/>
          </w:tcPr>
          <w:p w14:paraId="0EDF136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243A4C4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论文专注</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73C1950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341E468">
            <w:pPr>
              <w:keepNext w:val="0"/>
              <w:keepLines w:val="0"/>
              <w:pageBreakBefore w:val="0"/>
              <w:kinsoku/>
              <w:wordWrap/>
              <w:overflowPunct/>
              <w:topLinePunct w:val="0"/>
              <w:autoSpaceDE/>
              <w:autoSpaceDN/>
              <w:bidi w:val="0"/>
              <w:adjustRightInd w:val="0"/>
              <w:snapToGrid w:val="0"/>
              <w:spacing w:line="560" w:lineRule="exact"/>
              <w:ind w:left="0" w:leftChars="0" w:firstLine="480" w:firstLineChars="200"/>
              <w:textAlignment w:val="auto"/>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公开发表2篇。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0630F5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08092B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A141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1C9F282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扣分项</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2B65676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部门配合度</w:t>
            </w:r>
          </w:p>
        </w:tc>
        <w:tc>
          <w:tcPr>
            <w:tcW w:w="392" w:type="dxa"/>
            <w:tcBorders>
              <w:top w:val="single" w:color="000000" w:sz="4" w:space="0"/>
              <w:left w:val="single" w:color="000000" w:sz="4" w:space="0"/>
              <w:bottom w:val="single" w:color="000000" w:sz="4" w:space="0"/>
              <w:right w:val="single" w:color="000000" w:sz="4" w:space="0"/>
            </w:tcBorders>
            <w:noWrap w:val="0"/>
            <w:vAlign w:val="center"/>
          </w:tcPr>
          <w:p w14:paraId="790B733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77B78F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FF0B7C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DC1C46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000000"/>
                <w:kern w:val="0"/>
                <w:sz w:val="24"/>
                <w:szCs w:val="24"/>
                <w:u w:val="none"/>
                <w:lang w:val="en-US" w:eastAsia="zh-CN" w:bidi="ar"/>
              </w:rPr>
            </w:pPr>
          </w:p>
        </w:tc>
      </w:tr>
    </w:tbl>
    <w:p w14:paraId="26D2F6CF">
      <w:pPr>
        <w:keepNext w:val="0"/>
        <w:keepLines w:val="0"/>
        <w:pageBreakBefore w:val="0"/>
        <w:kinsoku/>
        <w:wordWrap/>
        <w:overflowPunct/>
        <w:topLinePunct w:val="0"/>
        <w:autoSpaceDE/>
        <w:autoSpaceDN/>
        <w:bidi w:val="0"/>
        <w:spacing w:line="560" w:lineRule="exact"/>
        <w:ind w:left="0" w:leftChars="0"/>
        <w:jc w:val="both"/>
        <w:textAlignment w:val="auto"/>
        <w:outlineLvl w:val="9"/>
        <w:rPr>
          <w:rFonts w:hint="default"/>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ascii="Times New Roman" w:hAnsi="Times New Roman" w:cs="Times New Roman"/>
          <w:b w:val="0"/>
          <w:bCs w:val="0"/>
          <w:color w:val="auto"/>
          <w:kern w:val="0"/>
          <w:sz w:val="32"/>
          <w:szCs w:val="32"/>
          <w:highlight w:val="none"/>
          <w:u w:val="none"/>
          <w:shd w:val="clear" w:color="auto" w:fill="FFFFFF"/>
          <w:lang w:val="en-US" w:eastAsia="zh-CN"/>
        </w:rPr>
        <w:t>2</w:t>
      </w:r>
    </w:p>
    <w:p w14:paraId="20517A8B">
      <w:pPr>
        <w:keepNext w:val="0"/>
        <w:keepLines w:val="0"/>
        <w:pageBreakBefore w:val="0"/>
        <w:kinsoku/>
        <w:wordWrap/>
        <w:overflowPunct/>
        <w:topLinePunct w:val="0"/>
        <w:autoSpaceDE/>
        <w:autoSpaceDN/>
        <w:bidi w:val="0"/>
        <w:spacing w:line="560"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default" w:ascii="Times New Roman" w:hAnsi="Times New Roman" w:eastAsia="方正小标宋_GBK" w:cs="Times New Roman"/>
          <w:b w:val="0"/>
          <w:bCs w:val="0"/>
          <w:color w:val="auto"/>
          <w:sz w:val="40"/>
          <w:szCs w:val="40"/>
          <w:highlight w:val="none"/>
          <w:u w:val="none"/>
          <w:lang w:val="en-US" w:eastAsia="zh-CN"/>
        </w:rPr>
        <w:t>专项预算绩效自评实地踏勘点位清单表</w:t>
      </w:r>
    </w:p>
    <w:p w14:paraId="39456B7B">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楷体_GB2312" w:hAnsi="楷体_GB2312" w:eastAsia="楷体_GB2312" w:cs="楷体_GB2312"/>
          <w:b w:val="0"/>
          <w:bCs w:val="0"/>
          <w:color w:val="auto"/>
          <w:sz w:val="28"/>
          <w:szCs w:val="28"/>
          <w:highlight w:val="none"/>
          <w:u w:val="none"/>
          <w:lang w:val="en-US" w:eastAsia="zh-CN"/>
        </w:rPr>
      </w:pPr>
      <w:r>
        <w:rPr>
          <w:rFonts w:hint="eastAsia" w:ascii="楷体_GB2312" w:hAnsi="楷体_GB2312" w:eastAsia="楷体_GB2312" w:cs="楷体_GB2312"/>
          <w:b w:val="0"/>
          <w:bCs w:val="0"/>
          <w:color w:val="auto"/>
          <w:sz w:val="28"/>
          <w:szCs w:val="28"/>
          <w:highlight w:val="none"/>
          <w:u w:val="none"/>
          <w:lang w:val="en-US" w:eastAsia="zh-CN"/>
        </w:rPr>
        <w:t>（例表）</w:t>
      </w:r>
    </w:p>
    <w:tbl>
      <w:tblPr>
        <w:tblStyle w:val="18"/>
        <w:tblW w:w="7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5956"/>
        <w:gridCol w:w="905"/>
      </w:tblGrid>
      <w:tr w14:paraId="38E47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exact"/>
          <w:jc w:val="center"/>
        </w:trPr>
        <w:tc>
          <w:tcPr>
            <w:tcW w:w="1123" w:type="dxa"/>
            <w:noWrap w:val="0"/>
            <w:vAlign w:val="top"/>
          </w:tcPr>
          <w:p w14:paraId="6603C844">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序号</w:t>
            </w:r>
          </w:p>
        </w:tc>
        <w:tc>
          <w:tcPr>
            <w:tcW w:w="5956" w:type="dxa"/>
            <w:noWrap w:val="0"/>
            <w:vAlign w:val="top"/>
          </w:tcPr>
          <w:p w14:paraId="0909FDC4">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实地踏勘点位</w:t>
            </w:r>
          </w:p>
        </w:tc>
        <w:tc>
          <w:tcPr>
            <w:tcW w:w="905" w:type="dxa"/>
            <w:noWrap w:val="0"/>
            <w:vAlign w:val="top"/>
          </w:tcPr>
          <w:p w14:paraId="07C16690">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备注</w:t>
            </w:r>
          </w:p>
        </w:tc>
      </w:tr>
      <w:tr w14:paraId="08ED8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exact"/>
          <w:jc w:val="center"/>
        </w:trPr>
        <w:tc>
          <w:tcPr>
            <w:tcW w:w="1123" w:type="dxa"/>
            <w:noWrap w:val="0"/>
            <w:vAlign w:val="top"/>
          </w:tcPr>
          <w:p w14:paraId="3E32427B">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1</w:t>
            </w:r>
          </w:p>
        </w:tc>
        <w:tc>
          <w:tcPr>
            <w:tcW w:w="5956" w:type="dxa"/>
            <w:noWrap w:val="0"/>
            <w:vAlign w:val="top"/>
          </w:tcPr>
          <w:p w14:paraId="4AF2C88F">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US" w:eastAsia="zh-CN"/>
              </w:rPr>
            </w:pPr>
            <w:r>
              <w:rPr>
                <w:rFonts w:hint="eastAsia" w:cs="Times New Roman"/>
                <w:color w:val="auto"/>
                <w:sz w:val="24"/>
                <w:szCs w:val="24"/>
                <w:highlight w:val="none"/>
                <w:u w:val="none"/>
                <w:vertAlign w:val="baseline"/>
                <w:lang w:val="en-US" w:eastAsia="zh-CN"/>
              </w:rPr>
              <w:t>四川农业大学</w:t>
            </w:r>
          </w:p>
        </w:tc>
        <w:tc>
          <w:tcPr>
            <w:tcW w:w="905" w:type="dxa"/>
            <w:noWrap w:val="0"/>
            <w:vAlign w:val="top"/>
          </w:tcPr>
          <w:p w14:paraId="6B6851BB">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9D8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exact"/>
          <w:jc w:val="center"/>
        </w:trPr>
        <w:tc>
          <w:tcPr>
            <w:tcW w:w="1123" w:type="dxa"/>
            <w:noWrap w:val="0"/>
            <w:vAlign w:val="top"/>
          </w:tcPr>
          <w:p w14:paraId="28508F7B">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eastAsia" w:eastAsia="宋体" w:cs="Times New Roman"/>
                <w:b w:val="0"/>
                <w:bCs w:val="0"/>
                <w:color w:val="auto"/>
                <w:sz w:val="24"/>
                <w:szCs w:val="24"/>
                <w:highlight w:val="none"/>
                <w:u w:val="none"/>
                <w:lang w:val="en-US" w:eastAsia="zh-CN"/>
              </w:rPr>
              <w:t>2</w:t>
            </w:r>
          </w:p>
        </w:tc>
        <w:tc>
          <w:tcPr>
            <w:tcW w:w="5956" w:type="dxa"/>
            <w:noWrap w:val="0"/>
            <w:vAlign w:val="top"/>
          </w:tcPr>
          <w:p w14:paraId="1BFD1A42">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US" w:eastAsia="zh-CN"/>
              </w:rPr>
            </w:pPr>
            <w:r>
              <w:rPr>
                <w:rFonts w:hint="eastAsia" w:cs="Times New Roman"/>
                <w:color w:val="auto"/>
                <w:sz w:val="24"/>
                <w:szCs w:val="24"/>
                <w:highlight w:val="none"/>
                <w:u w:val="none"/>
                <w:vertAlign w:val="baseline"/>
                <w:lang w:val="en-US" w:eastAsia="zh-CN"/>
              </w:rPr>
              <w:t>壤塘县</w:t>
            </w:r>
          </w:p>
        </w:tc>
        <w:tc>
          <w:tcPr>
            <w:tcW w:w="905" w:type="dxa"/>
            <w:noWrap w:val="0"/>
            <w:vAlign w:val="top"/>
          </w:tcPr>
          <w:p w14:paraId="22037E92">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A255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exact"/>
          <w:jc w:val="center"/>
        </w:trPr>
        <w:tc>
          <w:tcPr>
            <w:tcW w:w="1123" w:type="dxa"/>
            <w:noWrap w:val="0"/>
            <w:vAlign w:val="top"/>
          </w:tcPr>
          <w:p w14:paraId="5CBC8FAA">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3</w:t>
            </w:r>
          </w:p>
        </w:tc>
        <w:tc>
          <w:tcPr>
            <w:tcW w:w="5956" w:type="dxa"/>
            <w:noWrap w:val="0"/>
            <w:vAlign w:val="top"/>
          </w:tcPr>
          <w:p w14:paraId="21F35B37">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r>
              <w:rPr>
                <w:rFonts w:hint="eastAsia" w:cs="Times New Roman"/>
                <w:color w:val="auto"/>
                <w:sz w:val="24"/>
                <w:szCs w:val="24"/>
                <w:highlight w:val="none"/>
                <w:u w:val="none"/>
                <w:vertAlign w:val="baseline"/>
                <w:lang w:val="en" w:eastAsia="zh-CN"/>
              </w:rPr>
              <w:t>阿坝县</w:t>
            </w:r>
          </w:p>
        </w:tc>
        <w:tc>
          <w:tcPr>
            <w:tcW w:w="905" w:type="dxa"/>
            <w:noWrap w:val="0"/>
            <w:vAlign w:val="top"/>
          </w:tcPr>
          <w:p w14:paraId="5D6881B2">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56EB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jc w:val="center"/>
        </w:trPr>
        <w:tc>
          <w:tcPr>
            <w:tcW w:w="1123" w:type="dxa"/>
            <w:noWrap w:val="0"/>
            <w:vAlign w:val="top"/>
          </w:tcPr>
          <w:p w14:paraId="77EDCB83">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4</w:t>
            </w:r>
          </w:p>
        </w:tc>
        <w:tc>
          <w:tcPr>
            <w:tcW w:w="5956" w:type="dxa"/>
            <w:noWrap w:val="0"/>
            <w:vAlign w:val="top"/>
          </w:tcPr>
          <w:p w14:paraId="1BBB299B">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r>
              <w:rPr>
                <w:rFonts w:hint="eastAsia" w:cs="Times New Roman"/>
                <w:color w:val="auto"/>
                <w:sz w:val="24"/>
                <w:szCs w:val="24"/>
                <w:highlight w:val="none"/>
                <w:u w:val="none"/>
                <w:vertAlign w:val="baseline"/>
                <w:lang w:val="en" w:eastAsia="zh-CN"/>
              </w:rPr>
              <w:t>若尔盖县</w:t>
            </w:r>
          </w:p>
        </w:tc>
        <w:tc>
          <w:tcPr>
            <w:tcW w:w="905" w:type="dxa"/>
            <w:noWrap w:val="0"/>
            <w:vAlign w:val="top"/>
          </w:tcPr>
          <w:p w14:paraId="17074D9A">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FE4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exact"/>
          <w:jc w:val="center"/>
        </w:trPr>
        <w:tc>
          <w:tcPr>
            <w:tcW w:w="1123" w:type="dxa"/>
            <w:noWrap w:val="0"/>
            <w:vAlign w:val="top"/>
          </w:tcPr>
          <w:p w14:paraId="53B1555F">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5</w:t>
            </w:r>
          </w:p>
        </w:tc>
        <w:tc>
          <w:tcPr>
            <w:tcW w:w="5956" w:type="dxa"/>
            <w:noWrap w:val="0"/>
            <w:vAlign w:val="top"/>
          </w:tcPr>
          <w:p w14:paraId="4CF53C3D">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r>
              <w:rPr>
                <w:rFonts w:hint="eastAsia" w:cs="Times New Roman"/>
                <w:color w:val="auto"/>
                <w:sz w:val="24"/>
                <w:szCs w:val="24"/>
                <w:highlight w:val="none"/>
                <w:u w:val="none"/>
                <w:vertAlign w:val="baseline"/>
                <w:lang w:val="en-US" w:eastAsia="zh-CN"/>
              </w:rPr>
              <w:t>红原</w:t>
            </w:r>
            <w:r>
              <w:rPr>
                <w:rFonts w:hint="eastAsia" w:cs="Times New Roman"/>
                <w:color w:val="auto"/>
                <w:sz w:val="24"/>
                <w:szCs w:val="24"/>
                <w:highlight w:val="none"/>
                <w:u w:val="none"/>
                <w:vertAlign w:val="baseline"/>
                <w:lang w:val="en" w:eastAsia="zh-CN"/>
              </w:rPr>
              <w:t>县</w:t>
            </w:r>
          </w:p>
        </w:tc>
        <w:tc>
          <w:tcPr>
            <w:tcW w:w="905" w:type="dxa"/>
            <w:noWrap w:val="0"/>
            <w:vAlign w:val="top"/>
          </w:tcPr>
          <w:p w14:paraId="0E506ACE">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3935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exact"/>
          <w:jc w:val="center"/>
        </w:trPr>
        <w:tc>
          <w:tcPr>
            <w:tcW w:w="1123" w:type="dxa"/>
            <w:noWrap w:val="0"/>
            <w:vAlign w:val="top"/>
          </w:tcPr>
          <w:p w14:paraId="200B9BFE">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eastAsia" w:eastAsia="宋体" w:cs="Times New Roman"/>
                <w:b w:val="0"/>
                <w:bCs w:val="0"/>
                <w:color w:val="auto"/>
                <w:sz w:val="24"/>
                <w:szCs w:val="24"/>
                <w:highlight w:val="none"/>
                <w:u w:val="none"/>
                <w:lang w:val="en-US" w:eastAsia="zh-CN"/>
              </w:rPr>
              <w:t>6</w:t>
            </w:r>
          </w:p>
        </w:tc>
        <w:tc>
          <w:tcPr>
            <w:tcW w:w="5956" w:type="dxa"/>
            <w:noWrap w:val="0"/>
            <w:vAlign w:val="top"/>
          </w:tcPr>
          <w:p w14:paraId="636F34A1">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US" w:eastAsia="zh-CN"/>
              </w:rPr>
            </w:pPr>
            <w:r>
              <w:rPr>
                <w:rFonts w:hint="eastAsia" w:cs="Times New Roman"/>
                <w:color w:val="auto"/>
                <w:sz w:val="24"/>
                <w:szCs w:val="24"/>
                <w:highlight w:val="none"/>
                <w:u w:val="none"/>
                <w:vertAlign w:val="baseline"/>
                <w:lang w:val="en-US" w:eastAsia="zh-CN"/>
              </w:rPr>
              <w:t>四川省龙日种畜场</w:t>
            </w:r>
          </w:p>
        </w:tc>
        <w:tc>
          <w:tcPr>
            <w:tcW w:w="905" w:type="dxa"/>
            <w:noWrap w:val="0"/>
            <w:vAlign w:val="top"/>
          </w:tcPr>
          <w:p w14:paraId="1EABA673">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3A27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123" w:type="dxa"/>
            <w:noWrap w:val="0"/>
            <w:vAlign w:val="top"/>
          </w:tcPr>
          <w:p w14:paraId="1D4E9A86">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p>
        </w:tc>
        <w:tc>
          <w:tcPr>
            <w:tcW w:w="5956" w:type="dxa"/>
            <w:noWrap w:val="0"/>
            <w:vAlign w:val="top"/>
          </w:tcPr>
          <w:p w14:paraId="5926F896">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22D1CFDB">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FD01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exact"/>
          <w:jc w:val="center"/>
        </w:trPr>
        <w:tc>
          <w:tcPr>
            <w:tcW w:w="1123" w:type="dxa"/>
            <w:noWrap w:val="0"/>
            <w:vAlign w:val="top"/>
          </w:tcPr>
          <w:p w14:paraId="59448035">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p>
        </w:tc>
        <w:tc>
          <w:tcPr>
            <w:tcW w:w="5956" w:type="dxa"/>
            <w:noWrap w:val="0"/>
            <w:vAlign w:val="top"/>
          </w:tcPr>
          <w:p w14:paraId="56F5C6EE">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US" w:eastAsia="zh-CN"/>
              </w:rPr>
            </w:pPr>
          </w:p>
        </w:tc>
        <w:tc>
          <w:tcPr>
            <w:tcW w:w="905" w:type="dxa"/>
            <w:noWrap w:val="0"/>
            <w:vAlign w:val="top"/>
          </w:tcPr>
          <w:p w14:paraId="45CDD89C">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bl>
    <w:p w14:paraId="421E5405">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default" w:ascii="Times New Roman" w:hAnsi="Times New Roman" w:eastAsia="宋体" w:cs="Times New Roman"/>
          <w:b w:val="0"/>
          <w:bCs w:val="0"/>
          <w:color w:val="auto"/>
          <w:sz w:val="21"/>
          <w:szCs w:val="21"/>
          <w:highlight w:val="none"/>
          <w:u w:val="none"/>
          <w:vertAlign w:val="baseline"/>
          <w:lang w:val="en-US" w:eastAsia="zh-CN"/>
        </w:rPr>
        <w:t>备注：项目</w:t>
      </w:r>
      <w:r>
        <w:rPr>
          <w:rFonts w:hint="eastAsia" w:eastAsia="宋体" w:cs="Times New Roman"/>
          <w:b w:val="0"/>
          <w:bCs w:val="0"/>
          <w:color w:val="auto"/>
          <w:sz w:val="21"/>
          <w:szCs w:val="21"/>
          <w:highlight w:val="none"/>
          <w:u w:val="none"/>
          <w:vertAlign w:val="baseline"/>
          <w:lang w:val="en-US" w:eastAsia="zh-CN"/>
        </w:rPr>
        <w:t>实地踏勘</w:t>
      </w:r>
      <w:r>
        <w:rPr>
          <w:rFonts w:hint="default" w:ascii="Times New Roman" w:hAnsi="Times New Roman" w:eastAsia="宋体" w:cs="Times New Roman"/>
          <w:b w:val="0"/>
          <w:bCs w:val="0"/>
          <w:color w:val="auto"/>
          <w:sz w:val="21"/>
          <w:szCs w:val="21"/>
          <w:highlight w:val="none"/>
          <w:u w:val="none"/>
          <w:vertAlign w:val="baseline"/>
          <w:lang w:val="en-US" w:eastAsia="zh-CN"/>
        </w:rPr>
        <w:t>点位包括市（州）本级、县（市、区）</w:t>
      </w:r>
      <w:r>
        <w:rPr>
          <w:rFonts w:hint="eastAsia" w:eastAsia="宋体" w:cs="Times New Roman"/>
          <w:b w:val="0"/>
          <w:bCs w:val="0"/>
          <w:color w:val="auto"/>
          <w:sz w:val="21"/>
          <w:szCs w:val="21"/>
          <w:highlight w:val="none"/>
          <w:u w:val="none"/>
          <w:vertAlign w:val="baseline"/>
          <w:lang w:val="en-US" w:eastAsia="zh-CN"/>
        </w:rPr>
        <w:t>本级及有关项目、单位、公司</w:t>
      </w:r>
      <w:r>
        <w:rPr>
          <w:rFonts w:hint="default" w:ascii="Times New Roman" w:hAnsi="Times New Roman" w:eastAsia="宋体" w:cs="Times New Roman"/>
          <w:b w:val="0"/>
          <w:bCs w:val="0"/>
          <w:color w:val="auto"/>
          <w:sz w:val="21"/>
          <w:szCs w:val="21"/>
          <w:highlight w:val="none"/>
          <w:u w:val="none"/>
          <w:vertAlign w:val="baseline"/>
          <w:lang w:val="en-US" w:eastAsia="zh-CN"/>
        </w:rPr>
        <w:t>等。</w:t>
      </w:r>
    </w:p>
    <w:p w14:paraId="0BEACF4A">
      <w:pPr>
        <w:keepNext w:val="0"/>
        <w:keepLines w:val="0"/>
        <w:pageBreakBefore w:val="0"/>
        <w:kinsoku/>
        <w:wordWrap/>
        <w:overflowPunct/>
        <w:topLinePunct w:val="0"/>
        <w:autoSpaceDE/>
        <w:autoSpaceDN/>
        <w:bidi w:val="0"/>
        <w:adjustRightInd/>
        <w:snapToGrid w:val="0"/>
        <w:spacing w:line="560"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7797E11F">
      <w:pPr>
        <w:keepNext w:val="0"/>
        <w:keepLines w:val="0"/>
        <w:pageBreakBefore w:val="0"/>
        <w:kinsoku/>
        <w:wordWrap/>
        <w:overflowPunct/>
        <w:topLinePunct w:val="0"/>
        <w:autoSpaceDE/>
        <w:autoSpaceDN/>
        <w:bidi w:val="0"/>
        <w:adjustRightInd/>
        <w:snapToGrid w:val="0"/>
        <w:spacing w:line="560"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eastAsia="黑体" w:cs="Times New Roman"/>
          <w:b w:val="0"/>
          <w:bCs w:val="0"/>
          <w:color w:val="auto"/>
          <w:kern w:val="0"/>
          <w:sz w:val="32"/>
          <w:szCs w:val="32"/>
          <w:highlight w:val="none"/>
          <w:u w:val="none"/>
          <w:shd w:val="clear" w:color="auto" w:fill="FFFFFF"/>
          <w:lang w:val="en-US" w:eastAsia="zh-CN"/>
        </w:rPr>
        <w:t>3</w:t>
      </w:r>
    </w:p>
    <w:tbl>
      <w:tblPr>
        <w:tblStyle w:val="17"/>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299A2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noWrap w:val="0"/>
            <w:vAlign w:val="center"/>
          </w:tcPr>
          <w:p w14:paraId="446C38B8">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黑体" w:cs="Times New Roman"/>
                <w:i w:val="0"/>
                <w:color w:val="000000"/>
                <w:sz w:val="30"/>
                <w:szCs w:val="30"/>
                <w:u w:val="none"/>
              </w:rPr>
            </w:pPr>
            <w:r>
              <w:rPr>
                <w:rFonts w:hint="default" w:ascii="Times New Roman" w:hAnsi="Times New Roman" w:eastAsia="方正小标宋简体" w:cs="Times New Roman"/>
                <w:i w:val="0"/>
                <w:color w:val="000000"/>
                <w:kern w:val="0"/>
                <w:sz w:val="40"/>
                <w:szCs w:val="40"/>
                <w:u w:val="none"/>
                <w:lang w:val="en-US" w:eastAsia="zh-CN" w:bidi="ar"/>
              </w:rPr>
              <w:t>专项预算项目绩效目标完成情况自评表</w:t>
            </w:r>
          </w:p>
        </w:tc>
      </w:tr>
      <w:tr w14:paraId="60717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7D51F709">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327D49B">
            <w:pPr>
              <w:keepNext w:val="0"/>
              <w:keepLines w:val="0"/>
              <w:pageBreakBefore w:val="0"/>
              <w:kinsoku/>
              <w:wordWrap/>
              <w:overflowPunct/>
              <w:topLinePunct w:val="0"/>
              <w:autoSpaceDE/>
              <w:autoSpaceDN/>
              <w:bidi w:val="0"/>
              <w:adjustRightInd/>
              <w:snapToGrid/>
              <w:spacing w:line="56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阿坝州牦牛寄生虫流行性调查及精准防控技术研究与示范推广</w:t>
            </w:r>
            <w:r>
              <w:rPr>
                <w:rFonts w:hint="default" w:ascii="Times New Roman" w:hAnsi="Times New Roman" w:eastAsia="宋体" w:cs="Times New Roman"/>
                <w:i w:val="0"/>
                <w:color w:val="000000"/>
                <w:sz w:val="24"/>
                <w:szCs w:val="24"/>
                <w:u w:val="none"/>
                <w:lang w:val="en-US" w:eastAsia="zh-CN"/>
              </w:rPr>
              <w:t>项目</w:t>
            </w:r>
          </w:p>
        </w:tc>
      </w:tr>
      <w:tr w14:paraId="5DA61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8"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6E4115AB">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99AA898">
            <w:pPr>
              <w:keepNext w:val="0"/>
              <w:keepLines w:val="0"/>
              <w:pageBreakBefore w:val="0"/>
              <w:kinsoku/>
              <w:wordWrap/>
              <w:overflowPunct/>
              <w:topLinePunct w:val="0"/>
              <w:autoSpaceDE/>
              <w:autoSpaceDN/>
              <w:bidi w:val="0"/>
              <w:adjustRightInd/>
              <w:snapToGrid/>
              <w:spacing w:line="560" w:lineRule="exact"/>
              <w:ind w:left="0" w:leftChars="0"/>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四川省龙日种畜场</w:t>
            </w:r>
          </w:p>
        </w:tc>
      </w:tr>
      <w:tr w14:paraId="22582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41E4E66B">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040EF5A">
            <w:pPr>
              <w:keepNext w:val="0"/>
              <w:keepLines w:val="0"/>
              <w:pageBreakBefore w:val="0"/>
              <w:kinsoku/>
              <w:wordWrap/>
              <w:overflowPunct/>
              <w:topLinePunct w:val="0"/>
              <w:autoSpaceDE/>
              <w:autoSpaceDN/>
              <w:bidi w:val="0"/>
              <w:adjustRightInd/>
              <w:snapToGrid/>
              <w:spacing w:line="560" w:lineRule="exact"/>
              <w:ind w:left="0" w:leftChars="0"/>
              <w:jc w:val="left"/>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科普</w:t>
            </w:r>
          </w:p>
        </w:tc>
      </w:tr>
      <w:tr w14:paraId="40906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15C23F43">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AAE0676">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中长期规划（名称、文号，仅指</w:t>
            </w:r>
          </w:p>
          <w:p w14:paraId="6EA18559">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C16C5A4">
            <w:pPr>
              <w:keepNext w:val="0"/>
              <w:keepLines w:val="0"/>
              <w:pageBreakBefore w:val="0"/>
              <w:kinsoku/>
              <w:wordWrap/>
              <w:overflowPunct/>
              <w:topLinePunct w:val="0"/>
              <w:autoSpaceDE/>
              <w:autoSpaceDN/>
              <w:bidi w:val="0"/>
              <w:adjustRightInd/>
              <w:snapToGrid/>
              <w:spacing w:line="560" w:lineRule="exact"/>
              <w:ind w:left="0" w:leftChars="0"/>
              <w:jc w:val="left"/>
              <w:rPr>
                <w:rFonts w:hint="default" w:ascii="Times New Roman" w:hAnsi="Times New Roman" w:eastAsia="宋体" w:cs="Times New Roman"/>
                <w:i w:val="0"/>
                <w:color w:val="000000"/>
                <w:sz w:val="24"/>
                <w:szCs w:val="24"/>
                <w:u w:val="none"/>
              </w:rPr>
            </w:pPr>
          </w:p>
        </w:tc>
      </w:tr>
      <w:tr w14:paraId="14914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5C7F20">
            <w:pPr>
              <w:keepNext w:val="0"/>
              <w:keepLines w:val="0"/>
              <w:pageBreakBefore w:val="0"/>
              <w:kinsoku/>
              <w:wordWrap/>
              <w:overflowPunct/>
              <w:topLinePunct w:val="0"/>
              <w:autoSpaceDE/>
              <w:autoSpaceDN/>
              <w:bidi w:val="0"/>
              <w:adjustRightInd/>
              <w:snapToGrid/>
              <w:spacing w:line="56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A0070ED">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792D12A">
            <w:pPr>
              <w:keepNext w:val="0"/>
              <w:keepLines w:val="0"/>
              <w:pageBreakBefore w:val="0"/>
              <w:kinsoku/>
              <w:wordWrap/>
              <w:overflowPunct/>
              <w:topLinePunct w:val="0"/>
              <w:autoSpaceDE/>
              <w:autoSpaceDN/>
              <w:bidi w:val="0"/>
              <w:adjustRightInd/>
              <w:snapToGrid/>
              <w:spacing w:line="560" w:lineRule="exact"/>
              <w:ind w:left="0" w:leftChars="0"/>
              <w:jc w:val="left"/>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val="en-US" w:eastAsia="zh-CN"/>
              </w:rPr>
              <w:t>《四川省科技计划项目专项资金管理办法》(川财规〔2019〕10号)</w:t>
            </w:r>
          </w:p>
        </w:tc>
      </w:tr>
      <w:tr w14:paraId="2FECE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9F4220">
            <w:pPr>
              <w:keepNext w:val="0"/>
              <w:keepLines w:val="0"/>
              <w:pageBreakBefore w:val="0"/>
              <w:kinsoku/>
              <w:wordWrap/>
              <w:overflowPunct/>
              <w:topLinePunct w:val="0"/>
              <w:autoSpaceDE/>
              <w:autoSpaceDN/>
              <w:bidi w:val="0"/>
              <w:adjustRightInd/>
              <w:snapToGrid/>
              <w:spacing w:line="56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4B84173">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E790378">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left"/>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4245E3FF">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706128B">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42BA2BC">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Times New Roman" w:hAnsi="Times New Roman" w:eastAsia="Wingdings 2"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因素法与项目法相结合</w:t>
            </w:r>
          </w:p>
        </w:tc>
      </w:tr>
      <w:tr w14:paraId="332E7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C70449">
            <w:pPr>
              <w:keepNext w:val="0"/>
              <w:keepLines w:val="0"/>
              <w:pageBreakBefore w:val="0"/>
              <w:kinsoku/>
              <w:wordWrap/>
              <w:overflowPunct/>
              <w:topLinePunct w:val="0"/>
              <w:autoSpaceDE/>
              <w:autoSpaceDN/>
              <w:bidi w:val="0"/>
              <w:adjustRightInd/>
              <w:snapToGrid/>
              <w:spacing w:line="56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9935766">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06AF7B2">
            <w:pPr>
              <w:keepNext w:val="0"/>
              <w:keepLines w:val="0"/>
              <w:pageBreakBefore w:val="0"/>
              <w:kinsoku/>
              <w:wordWrap/>
              <w:overflowPunct/>
              <w:topLinePunct w:val="0"/>
              <w:autoSpaceDE/>
              <w:autoSpaceDN/>
              <w:bidi w:val="0"/>
              <w:adjustRightInd/>
              <w:snapToGrid/>
              <w:spacing w:line="560" w:lineRule="exact"/>
              <w:ind w:left="0" w:leftChars="0"/>
              <w:jc w:val="left"/>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lang w:val="zh-CN" w:eastAsia="zh-CN"/>
              </w:rPr>
              <w:t>《四川省科学技术厅印发&lt;关于</w:t>
            </w:r>
            <w:r>
              <w:rPr>
                <w:rFonts w:hint="default" w:ascii="Times New Roman" w:hAnsi="Times New Roman" w:eastAsia="宋体" w:cs="Times New Roman"/>
                <w:i w:val="0"/>
                <w:color w:val="000000"/>
                <w:sz w:val="24"/>
                <w:szCs w:val="24"/>
                <w:u w:val="none"/>
                <w:lang w:val="en-US" w:eastAsia="zh-CN"/>
              </w:rPr>
              <w:t>定向委托组织申报“科普赋能涉藏地区稳定发展专项”重点研发补充项目</w:t>
            </w:r>
            <w:r>
              <w:rPr>
                <w:rFonts w:hint="default" w:ascii="Times New Roman" w:hAnsi="Times New Roman" w:eastAsia="宋体" w:cs="Times New Roman"/>
                <w:i w:val="0"/>
                <w:color w:val="000000"/>
                <w:sz w:val="24"/>
                <w:szCs w:val="24"/>
                <w:u w:val="none"/>
                <w:lang w:val="zh-CN" w:eastAsia="zh-CN"/>
              </w:rPr>
              <w:t>&gt;的通知》</w:t>
            </w:r>
          </w:p>
        </w:tc>
      </w:tr>
      <w:tr w14:paraId="04EB0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B08C17">
            <w:pPr>
              <w:keepNext w:val="0"/>
              <w:keepLines w:val="0"/>
              <w:pageBreakBefore w:val="0"/>
              <w:kinsoku/>
              <w:wordWrap/>
              <w:overflowPunct/>
              <w:topLinePunct w:val="0"/>
              <w:autoSpaceDE/>
              <w:autoSpaceDN/>
              <w:bidi w:val="0"/>
              <w:adjustRightInd/>
              <w:snapToGrid/>
              <w:spacing w:line="56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47BCD4F2">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F3564B5">
            <w:pPr>
              <w:keepNext w:val="0"/>
              <w:keepLines w:val="0"/>
              <w:pageBreakBefore w:val="0"/>
              <w:kinsoku/>
              <w:wordWrap/>
              <w:overflowPunct/>
              <w:topLinePunct w:val="0"/>
              <w:autoSpaceDE/>
              <w:autoSpaceDN/>
              <w:bidi w:val="0"/>
              <w:adjustRightInd/>
              <w:snapToGrid/>
              <w:spacing w:line="560" w:lineRule="exact"/>
              <w:ind w:left="0" w:leftChars="0"/>
              <w:jc w:val="left"/>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lang w:val="zh-CN" w:eastAsia="zh-CN"/>
              </w:rPr>
              <w:t>通过常规方法和分子生物学</w:t>
            </w:r>
            <w:r>
              <w:rPr>
                <w:rFonts w:hint="default" w:ascii="Times New Roman" w:hAnsi="Times New Roman" w:eastAsia="宋体" w:cs="Times New Roman"/>
                <w:i w:val="0"/>
                <w:color w:val="000000"/>
                <w:sz w:val="24"/>
                <w:szCs w:val="24"/>
                <w:u w:val="none"/>
                <w:lang w:val="en-US" w:eastAsia="zh-CN"/>
              </w:rPr>
              <w:t>方法分析阿坝州牦牛寄生虫病的主要病原，准确掌握阿坝州牦牛寄生虫季节动态和寄生虫体特征；通过实验室研究和临床药物试验筛选出有效和敏感的抗寄生虫药物，优化和完善牦牛精准驱虫方案；集成阿坝州牦牛寄生虫病综合防控技术1套，并建立1-2个示范点进行示范推广应用，培训当地畜牧科技人员和农牧民，辐射带动周边养殖户科学养殖，全面提升养殖场、专合社（家庭农场）及养殖户收益</w:t>
            </w:r>
          </w:p>
        </w:tc>
      </w:tr>
      <w:tr w14:paraId="5B9EE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900E8F">
            <w:pPr>
              <w:keepNext w:val="0"/>
              <w:keepLines w:val="0"/>
              <w:pageBreakBefore w:val="0"/>
              <w:kinsoku/>
              <w:wordWrap/>
              <w:overflowPunct/>
              <w:topLinePunct w:val="0"/>
              <w:autoSpaceDE/>
              <w:autoSpaceDN/>
              <w:bidi w:val="0"/>
              <w:adjustRightInd/>
              <w:snapToGrid/>
              <w:spacing w:line="56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0069CC1C">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D946886">
            <w:pPr>
              <w:keepNext w:val="0"/>
              <w:keepLines w:val="0"/>
              <w:pageBreakBefore w:val="0"/>
              <w:kinsoku/>
              <w:wordWrap/>
              <w:overflowPunct/>
              <w:topLinePunct w:val="0"/>
              <w:autoSpaceDE/>
              <w:autoSpaceDN/>
              <w:bidi w:val="0"/>
              <w:adjustRightInd/>
              <w:snapToGrid/>
              <w:spacing w:line="560" w:lineRule="exact"/>
              <w:ind w:left="0" w:leftChars="0"/>
              <w:jc w:val="left"/>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18"/>
                <w:szCs w:val="18"/>
                <w:u w:val="none"/>
                <w:lang w:val="en-US" w:eastAsia="zh-CN"/>
              </w:rPr>
              <w:t>项目牵头单位应是注册地在四川省境内，具有独立法人资格的科研院所、高等院校、医疗卫生机构和其他具备科研开发、科技服务的企业及单位。</w:t>
            </w:r>
          </w:p>
        </w:tc>
      </w:tr>
      <w:tr w14:paraId="77543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EFF470">
            <w:pPr>
              <w:keepNext w:val="0"/>
              <w:keepLines w:val="0"/>
              <w:pageBreakBefore w:val="0"/>
              <w:kinsoku/>
              <w:wordWrap/>
              <w:overflowPunct/>
              <w:topLinePunct w:val="0"/>
              <w:autoSpaceDE/>
              <w:autoSpaceDN/>
              <w:bidi w:val="0"/>
              <w:adjustRightInd/>
              <w:snapToGrid/>
              <w:spacing w:line="560" w:lineRule="exact"/>
              <w:ind w:left="0" w:leftChars="0"/>
              <w:rPr>
                <w:rFonts w:hint="default" w:ascii="Times New Roman" w:hAnsi="Times New Roman" w:eastAsia="宋体" w:cs="Times New Roman"/>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721E6B73">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C052628">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lang w:val="en-US" w:eastAsia="zh-CN"/>
              </w:rPr>
              <w:t>2024</w:t>
            </w:r>
            <w:r>
              <w:rPr>
                <w:rFonts w:hint="eastAsia" w:ascii="Times New Roman" w:hAnsi="Times New Roman" w:eastAsia="宋体" w:cs="Times New Roman"/>
                <w:i w:val="0"/>
                <w:color w:val="000000"/>
                <w:sz w:val="24"/>
                <w:szCs w:val="24"/>
                <w:u w:val="none"/>
                <w:lang w:val="en-US" w:eastAsia="zh-CN"/>
              </w:rPr>
              <w:t>年7月</w:t>
            </w:r>
            <w:r>
              <w:rPr>
                <w:rFonts w:hint="default" w:ascii="Times New Roman" w:hAnsi="Times New Roman" w:eastAsia="宋体" w:cs="Times New Roman"/>
                <w:i w:val="0"/>
                <w:color w:val="000000"/>
                <w:sz w:val="24"/>
                <w:szCs w:val="24"/>
                <w:u w:val="none"/>
                <w:lang w:val="en-US" w:eastAsia="zh-CN"/>
              </w:rPr>
              <w:t>—2026</w:t>
            </w:r>
            <w:r>
              <w:rPr>
                <w:rFonts w:hint="eastAsia" w:ascii="Times New Roman" w:hAnsi="Times New Roman" w:eastAsia="宋体" w:cs="Times New Roman"/>
                <w:i w:val="0"/>
                <w:color w:val="000000"/>
                <w:sz w:val="24"/>
                <w:szCs w:val="24"/>
                <w:u w:val="none"/>
                <w:lang w:val="en-US" w:eastAsia="zh-CN"/>
              </w:rPr>
              <w:t>年6月</w:t>
            </w:r>
          </w:p>
        </w:tc>
      </w:tr>
      <w:tr w14:paraId="3F370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DF14F29">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项目资金</w:t>
            </w:r>
          </w:p>
          <w:p w14:paraId="3400AABC">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3BFA28F4">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320144D">
            <w:pPr>
              <w:keepNext w:val="0"/>
              <w:keepLines w:val="0"/>
              <w:pageBreakBefore w:val="0"/>
              <w:kinsoku/>
              <w:wordWrap/>
              <w:overflowPunct/>
              <w:topLinePunct w:val="0"/>
              <w:autoSpaceDE/>
              <w:autoSpaceDN/>
              <w:bidi w:val="0"/>
              <w:adjustRightInd/>
              <w:snapToGrid/>
              <w:spacing w:line="560" w:lineRule="exact"/>
              <w:ind w:left="0" w:leftChars="0"/>
              <w:jc w:val="left"/>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val="en-US" w:eastAsia="zh-CN"/>
              </w:rPr>
              <w:t>总经额为50万元</w:t>
            </w:r>
          </w:p>
        </w:tc>
      </w:tr>
      <w:tr w14:paraId="2FB3E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12C9AB4">
            <w:pPr>
              <w:keepNext w:val="0"/>
              <w:keepLines w:val="0"/>
              <w:pageBreakBefore w:val="0"/>
              <w:kinsoku/>
              <w:wordWrap/>
              <w:overflowPunct/>
              <w:topLinePunct w:val="0"/>
              <w:autoSpaceDE/>
              <w:autoSpaceDN/>
              <w:bidi w:val="0"/>
              <w:adjustRightInd/>
              <w:snapToGrid/>
              <w:spacing w:line="560" w:lineRule="exact"/>
              <w:ind w:left="0" w:leftChars="0"/>
              <w:rPr>
                <w:rFonts w:hint="default" w:ascii="Times New Roman" w:hAnsi="Times New Roman" w:eastAsia="宋体" w:cs="Times New Roman"/>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2AFAC88E">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B42FF4E">
            <w:pPr>
              <w:keepNext w:val="0"/>
              <w:keepLines w:val="0"/>
              <w:pageBreakBefore w:val="0"/>
              <w:tabs>
                <w:tab w:val="left" w:pos="943"/>
              </w:tabs>
              <w:kinsoku/>
              <w:wordWrap/>
              <w:overflowPunct/>
              <w:topLinePunct w:val="0"/>
              <w:autoSpaceDE/>
              <w:autoSpaceDN/>
              <w:bidi w:val="0"/>
              <w:adjustRightInd/>
              <w:snapToGrid/>
              <w:spacing w:line="560" w:lineRule="exact"/>
              <w:ind w:left="0" w:leftChars="0"/>
              <w:jc w:val="left"/>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eastAsia="zh-CN"/>
              </w:rPr>
              <w:tab/>
            </w:r>
            <w:r>
              <w:rPr>
                <w:rFonts w:hint="eastAsia" w:eastAsia="宋体" w:cs="Times New Roman"/>
                <w:i w:val="0"/>
                <w:color w:val="000000"/>
                <w:sz w:val="24"/>
                <w:szCs w:val="24"/>
                <w:u w:val="none"/>
                <w:lang w:val="en-US" w:eastAsia="zh-CN"/>
              </w:rPr>
              <w:t>50万元</w:t>
            </w:r>
          </w:p>
        </w:tc>
      </w:tr>
      <w:tr w14:paraId="3FE4C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8CB6F90">
            <w:pPr>
              <w:keepNext w:val="0"/>
              <w:keepLines w:val="0"/>
              <w:pageBreakBefore w:val="0"/>
              <w:kinsoku/>
              <w:wordWrap/>
              <w:overflowPunct/>
              <w:topLinePunct w:val="0"/>
              <w:autoSpaceDE/>
              <w:autoSpaceDN/>
              <w:bidi w:val="0"/>
              <w:adjustRightInd/>
              <w:snapToGrid/>
              <w:spacing w:line="560" w:lineRule="exact"/>
              <w:ind w:left="0" w:leftChars="0"/>
              <w:rPr>
                <w:rFonts w:hint="default" w:ascii="Times New Roman" w:hAnsi="Times New Roman" w:eastAsia="宋体" w:cs="Times New Roman"/>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22FE5620">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E0F31DB">
            <w:pPr>
              <w:keepNext w:val="0"/>
              <w:keepLines w:val="0"/>
              <w:pageBreakBefore w:val="0"/>
              <w:kinsoku/>
              <w:wordWrap/>
              <w:overflowPunct/>
              <w:topLinePunct w:val="0"/>
              <w:autoSpaceDE/>
              <w:autoSpaceDN/>
              <w:bidi w:val="0"/>
              <w:adjustRightInd/>
              <w:snapToGrid/>
              <w:spacing w:line="560" w:lineRule="exact"/>
              <w:ind w:left="0" w:leftChars="0"/>
              <w:jc w:val="right"/>
              <w:rPr>
                <w:rFonts w:hint="default" w:ascii="Times New Roman" w:hAnsi="Times New Roman" w:eastAsia="宋体" w:cs="Times New Roman"/>
                <w:i w:val="0"/>
                <w:color w:val="000000"/>
                <w:sz w:val="24"/>
                <w:szCs w:val="24"/>
                <w:u w:val="none"/>
              </w:rPr>
            </w:pPr>
          </w:p>
        </w:tc>
      </w:tr>
      <w:tr w14:paraId="0620D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396721A6">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61932B79">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年度目标</w:t>
            </w:r>
          </w:p>
        </w:tc>
      </w:tr>
      <w:tr w14:paraId="216C9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A0F920">
            <w:pPr>
              <w:keepNext w:val="0"/>
              <w:keepLines w:val="0"/>
              <w:pageBreakBefore w:val="0"/>
              <w:kinsoku/>
              <w:wordWrap/>
              <w:overflowPunct/>
              <w:topLinePunct w:val="0"/>
              <w:autoSpaceDE/>
              <w:autoSpaceDN/>
              <w:bidi w:val="0"/>
              <w:adjustRightInd/>
              <w:snapToGrid/>
              <w:spacing w:line="560" w:lineRule="exact"/>
              <w:ind w:left="0" w:leftChars="0"/>
              <w:rPr>
                <w:rFonts w:hint="default" w:ascii="Times New Roman" w:hAnsi="Times New Roman" w:eastAsia="宋体" w:cs="Times New Roman"/>
                <w:i w:val="0"/>
                <w:color w:val="000000"/>
                <w:sz w:val="24"/>
                <w:szCs w:val="24"/>
                <w:u w:val="none"/>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074D1583">
            <w:pPr>
              <w:keepNext w:val="0"/>
              <w:keepLines w:val="0"/>
              <w:pageBreakBefore w:val="0"/>
              <w:kinsoku/>
              <w:wordWrap/>
              <w:overflowPunct/>
              <w:topLinePunct w:val="0"/>
              <w:autoSpaceDE/>
              <w:autoSpaceDN/>
              <w:bidi w:val="0"/>
              <w:adjustRightInd/>
              <w:snapToGrid/>
              <w:spacing w:line="560" w:lineRule="exact"/>
              <w:ind w:left="0" w:leftChars="0"/>
              <w:rPr>
                <w:rFonts w:hint="default" w:ascii="Times New Roman" w:hAnsi="Times New Roman" w:eastAsia="宋体" w:cs="Times New Roman"/>
                <w:i w:val="0"/>
                <w:color w:val="000000"/>
                <w:sz w:val="24"/>
                <w:szCs w:val="24"/>
                <w:u w:val="none"/>
              </w:rPr>
            </w:pPr>
          </w:p>
        </w:tc>
      </w:tr>
      <w:tr w14:paraId="75ABB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53410671">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38F45AEF">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D0D5C35">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8F35B47">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1944658">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698FFE7">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653C1A1">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E921AC9">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A77F1AE">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实际完成指标值</w:t>
            </w:r>
          </w:p>
        </w:tc>
      </w:tr>
      <w:tr w14:paraId="264E0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936AB98">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38D06878">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3CDA7E9C">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F4F404E">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kern w:val="2"/>
                <w:sz w:val="24"/>
                <w:szCs w:val="24"/>
                <w:u w:val="none"/>
                <w:lang w:val="en-US" w:eastAsia="zh-CN" w:bidi="ar-SA"/>
              </w:rPr>
            </w:pPr>
            <w:r>
              <w:rPr>
                <w:rFonts w:hint="eastAsia" w:eastAsia="宋体" w:cs="Times New Roman"/>
                <w:i w:val="0"/>
                <w:color w:val="000000"/>
                <w:sz w:val="24"/>
                <w:szCs w:val="24"/>
                <w:u w:val="none"/>
                <w:lang w:val="en-US" w:eastAsia="zh-CN"/>
              </w:rPr>
              <w:t>论文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237ADC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511383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ascii="Times New Roman" w:hAnsi="Times New Roman" w:eastAsia="宋体" w:cs="Times New Roman"/>
                <w:i w:val="0"/>
                <w:color w:val="000000"/>
                <w:kern w:val="0"/>
                <w:sz w:val="24"/>
                <w:szCs w:val="24"/>
                <w:u w:val="none"/>
                <w:lang w:val="en-US" w:eastAsia="zh-CN" w:bidi="ar"/>
              </w:rPr>
              <w:t>2</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AAA5C7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eastAsia="宋体" w:cs="Times New Roman"/>
                <w:i w:val="0"/>
                <w:color w:val="000000"/>
                <w:sz w:val="24"/>
                <w:szCs w:val="24"/>
                <w:u w:val="none"/>
                <w:lang w:val="en-US" w:eastAsia="zh-CN"/>
              </w:rPr>
              <w:t>篇</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19F0DBF">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CEFF71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eastAsia="宋体" w:cs="Times New Roman"/>
                <w:i w:val="0"/>
                <w:color w:val="000000"/>
                <w:sz w:val="24"/>
                <w:szCs w:val="24"/>
                <w:u w:val="none"/>
                <w:lang w:val="en-US" w:eastAsia="zh-CN"/>
              </w:rPr>
              <w:t>0</w:t>
            </w:r>
          </w:p>
        </w:tc>
      </w:tr>
      <w:tr w14:paraId="5EB77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E5ADE17">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9302B6">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CC6816">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ACB002D">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kern w:val="2"/>
                <w:sz w:val="24"/>
                <w:szCs w:val="24"/>
                <w:u w:val="none"/>
                <w:lang w:val="en-US" w:eastAsia="zh-CN" w:bidi="ar-SA"/>
              </w:rPr>
            </w:pPr>
            <w:r>
              <w:rPr>
                <w:rFonts w:hint="eastAsia" w:eastAsia="宋体" w:cs="Times New Roman"/>
                <w:i w:val="0"/>
                <w:color w:val="000000"/>
                <w:sz w:val="24"/>
                <w:szCs w:val="24"/>
                <w:u w:val="none"/>
                <w:lang w:val="en-US" w:eastAsia="zh-CN"/>
              </w:rPr>
              <w:t>专著或专利</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C49F87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ED7219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ascii="Times New Roman" w:hAnsi="Times New Roman" w:eastAsia="宋体" w:cs="Times New Roman"/>
                <w:i w:val="0"/>
                <w:color w:val="000000"/>
                <w:kern w:val="0"/>
                <w:sz w:val="24"/>
                <w:szCs w:val="24"/>
                <w:u w:val="none"/>
                <w:lang w:val="en-US" w:eastAsia="zh-CN" w:bidi="ar"/>
              </w:rPr>
              <w:t>2</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F62CA7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eastAsia="宋体" w:cs="Times New Roman"/>
                <w:i w:val="0"/>
                <w:color w:val="000000"/>
                <w:sz w:val="24"/>
                <w:szCs w:val="24"/>
                <w:u w:val="none"/>
                <w:lang w:val="en-US" w:eastAsia="zh-CN"/>
              </w:rPr>
              <w:t>篇/个</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B26DE5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C3E220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eastAsia="宋体" w:cs="Times New Roman"/>
                <w:i w:val="0"/>
                <w:color w:val="000000"/>
                <w:sz w:val="24"/>
                <w:szCs w:val="24"/>
                <w:u w:val="none"/>
                <w:lang w:val="en-US" w:eastAsia="zh-CN"/>
              </w:rPr>
              <w:t>0</w:t>
            </w:r>
          </w:p>
        </w:tc>
      </w:tr>
      <w:tr w14:paraId="523EF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7099FF7">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8B04DE">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A0214E">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C0F150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eastAsia="宋体" w:cs="Times New Roman"/>
                <w:i w:val="0"/>
                <w:color w:val="000000"/>
                <w:sz w:val="24"/>
                <w:szCs w:val="24"/>
                <w:u w:val="none"/>
                <w:lang w:val="en-US" w:eastAsia="zh-CN"/>
              </w:rPr>
              <w:t>地方标准</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DC7320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5FD970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ascii="Times New Roman" w:hAnsi="Times New Roman" w:eastAsia="宋体" w:cs="Times New Roman"/>
                <w:i w:val="0"/>
                <w:color w:val="000000"/>
                <w:kern w:val="0"/>
                <w:sz w:val="24"/>
                <w:szCs w:val="24"/>
                <w:u w:val="none"/>
                <w:lang w:val="en-US" w:eastAsia="zh-CN" w:bidi="ar"/>
              </w:rPr>
              <w:t>1</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72AF04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eastAsia="宋体" w:cs="Times New Roman"/>
                <w:i w:val="0"/>
                <w:color w:val="000000"/>
                <w:sz w:val="24"/>
                <w:szCs w:val="24"/>
                <w:u w:val="none"/>
                <w:lang w:val="en-US" w:eastAsia="zh-CN"/>
              </w:rPr>
              <w:t>项</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ECB82F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3C9FAA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eastAsia="宋体" w:cs="Times New Roman"/>
                <w:i w:val="0"/>
                <w:color w:val="000000"/>
                <w:sz w:val="24"/>
                <w:szCs w:val="24"/>
                <w:u w:val="none"/>
                <w:lang w:val="en-US" w:eastAsia="zh-CN"/>
              </w:rPr>
              <w:t>0</w:t>
            </w:r>
          </w:p>
        </w:tc>
      </w:tr>
      <w:tr w14:paraId="6CF4C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7877D50">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900F8D">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F3F9FD">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E2C323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ascii="Times New Roman" w:hAnsi="Times New Roman" w:eastAsia="宋体" w:cs="Times New Roman"/>
                <w:i w:val="0"/>
                <w:color w:val="000000"/>
                <w:kern w:val="2"/>
                <w:sz w:val="24"/>
                <w:szCs w:val="24"/>
                <w:u w:val="none"/>
                <w:lang w:val="en-US" w:eastAsia="zh-CN" w:bidi="ar-SA"/>
              </w:rPr>
              <w:t>培训</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E60781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8412C2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ascii="Times New Roman" w:hAnsi="Times New Roman" w:eastAsia="宋体" w:cs="Times New Roman"/>
                <w:i w:val="0"/>
                <w:color w:val="000000"/>
                <w:kern w:val="2"/>
                <w:sz w:val="24"/>
                <w:szCs w:val="24"/>
                <w:u w:val="none"/>
                <w:lang w:val="en-US" w:eastAsia="zh-CN" w:bidi="ar-SA"/>
              </w:rPr>
              <w:t>2</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F28D05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ascii="Times New Roman" w:hAnsi="Times New Roman" w:eastAsia="宋体" w:cs="Times New Roman"/>
                <w:i w:val="0"/>
                <w:color w:val="000000"/>
                <w:kern w:val="2"/>
                <w:sz w:val="24"/>
                <w:szCs w:val="24"/>
                <w:u w:val="none"/>
                <w:lang w:val="en-US" w:eastAsia="zh-CN" w:bidi="ar-SA"/>
              </w:rPr>
              <w:t>场</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6058AA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BC9F65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ascii="Times New Roman" w:hAnsi="Times New Roman" w:eastAsia="宋体" w:cs="Times New Roman"/>
                <w:i w:val="0"/>
                <w:color w:val="000000"/>
                <w:kern w:val="2"/>
                <w:sz w:val="24"/>
                <w:szCs w:val="24"/>
                <w:u w:val="none"/>
                <w:lang w:val="en-US" w:eastAsia="zh-CN" w:bidi="ar-SA"/>
              </w:rPr>
              <w:t>0</w:t>
            </w:r>
          </w:p>
        </w:tc>
      </w:tr>
      <w:tr w14:paraId="2D62E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EC8F39D">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27862E">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091F7A71">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03E8F69">
            <w:pPr>
              <w:keepNext w:val="0"/>
              <w:keepLines w:val="0"/>
              <w:pageBreakBefore w:val="0"/>
              <w:kinsoku/>
              <w:wordWrap/>
              <w:overflowPunct/>
              <w:topLinePunct w:val="0"/>
              <w:autoSpaceDE/>
              <w:autoSpaceDN/>
              <w:bidi w:val="0"/>
              <w:adjustRightInd/>
              <w:snapToGrid/>
              <w:spacing w:line="56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A2E0974">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5474C89">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B7D08C1">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B195349">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8B54CD1">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r>
      <w:tr w14:paraId="0709F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4CF888B">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1361EF">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91D837">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828C289">
            <w:pPr>
              <w:keepNext w:val="0"/>
              <w:keepLines w:val="0"/>
              <w:pageBreakBefore w:val="0"/>
              <w:kinsoku/>
              <w:wordWrap/>
              <w:overflowPunct/>
              <w:topLinePunct w:val="0"/>
              <w:autoSpaceDE/>
              <w:autoSpaceDN/>
              <w:bidi w:val="0"/>
              <w:adjustRightInd/>
              <w:snapToGrid/>
              <w:spacing w:line="56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B5E1E45">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D3692E1">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D03D90B">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E3B70F0">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F2558B2">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r>
      <w:tr w14:paraId="12E7F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13C18D1">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E1226E">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36756D86">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957C8A5">
            <w:pPr>
              <w:keepNext w:val="0"/>
              <w:keepLines w:val="0"/>
              <w:pageBreakBefore w:val="0"/>
              <w:kinsoku/>
              <w:wordWrap/>
              <w:overflowPunct/>
              <w:topLinePunct w:val="0"/>
              <w:autoSpaceDE/>
              <w:autoSpaceDN/>
              <w:bidi w:val="0"/>
              <w:adjustRightInd/>
              <w:snapToGrid/>
              <w:spacing w:line="56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项目（工程）完成及时率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5C1E66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82BCC4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ascii="Times New Roman" w:hAnsi="Times New Roman" w:eastAsia="宋体" w:cs="Times New Roman"/>
                <w:i w:val="0"/>
                <w:color w:val="000000"/>
                <w:kern w:val="0"/>
                <w:sz w:val="24"/>
                <w:szCs w:val="24"/>
                <w:u w:val="none"/>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73CA89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ascii="Times New Roman" w:hAnsi="Times New Roman" w:eastAsia="宋体" w:cs="Times New Roman"/>
                <w:i w:val="0"/>
                <w:color w:val="000000"/>
                <w:kern w:val="0"/>
                <w:sz w:val="24"/>
                <w:szCs w:val="24"/>
                <w:u w:val="none"/>
                <w:lang w:val="en-US" w:eastAsia="zh-CN" w:bidi="ar"/>
              </w:rPr>
              <w:t>百分比</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6E3C08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eastAsia="宋体" w:cs="Times New Roman"/>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682202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eastAsia="宋体" w:cs="Times New Roman"/>
                <w:i w:val="0"/>
                <w:color w:val="000000"/>
                <w:sz w:val="24"/>
                <w:szCs w:val="24"/>
                <w:u w:val="none"/>
                <w:lang w:val="en-US" w:eastAsia="zh-CN"/>
              </w:rPr>
              <w:t>0</w:t>
            </w:r>
          </w:p>
        </w:tc>
      </w:tr>
      <w:tr w14:paraId="1B74D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FDB62C5">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715B6F">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DB11C4">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583AEB1">
            <w:pPr>
              <w:keepNext w:val="0"/>
              <w:keepLines w:val="0"/>
              <w:pageBreakBefore w:val="0"/>
              <w:kinsoku/>
              <w:wordWrap/>
              <w:overflowPunct/>
              <w:topLinePunct w:val="0"/>
              <w:autoSpaceDE/>
              <w:autoSpaceDN/>
              <w:bidi w:val="0"/>
              <w:adjustRightInd/>
              <w:snapToGrid/>
              <w:spacing w:line="56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F0F5293">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BE9843B">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C1B67BD">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420C089">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A8F8113">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r>
      <w:tr w14:paraId="412ED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EBA654C">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554F1F">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BBC2072">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1551540">
            <w:pPr>
              <w:keepNext w:val="0"/>
              <w:keepLines w:val="0"/>
              <w:pageBreakBefore w:val="0"/>
              <w:kinsoku/>
              <w:wordWrap/>
              <w:overflowPunct/>
              <w:topLinePunct w:val="0"/>
              <w:autoSpaceDE/>
              <w:autoSpaceDN/>
              <w:bidi w:val="0"/>
              <w:adjustRightInd/>
              <w:snapToGrid/>
              <w:spacing w:line="56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8A12534">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B4A5E5A">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8D46B18">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F27549F">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92595A2">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r>
      <w:tr w14:paraId="11727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B2669C2">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73517A88">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528C10E8">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经济效益</w:t>
            </w:r>
          </w:p>
          <w:p w14:paraId="445525CF">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AEFD158">
            <w:pPr>
              <w:keepNext w:val="0"/>
              <w:keepLines w:val="0"/>
              <w:pageBreakBefore w:val="0"/>
              <w:kinsoku/>
              <w:wordWrap/>
              <w:overflowPunct/>
              <w:topLinePunct w:val="0"/>
              <w:autoSpaceDE/>
              <w:autoSpaceDN/>
              <w:bidi w:val="0"/>
              <w:adjustRightInd/>
              <w:snapToGrid/>
              <w:spacing w:line="56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44A5AC7">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80046B2">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7B7A18F">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941B187">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D198001">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r>
      <w:tr w14:paraId="72100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83080AE">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3F4578">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0593A2">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A95C104">
            <w:pPr>
              <w:keepNext w:val="0"/>
              <w:keepLines w:val="0"/>
              <w:pageBreakBefore w:val="0"/>
              <w:kinsoku/>
              <w:wordWrap/>
              <w:overflowPunct/>
              <w:topLinePunct w:val="0"/>
              <w:autoSpaceDE/>
              <w:autoSpaceDN/>
              <w:bidi w:val="0"/>
              <w:adjustRightInd/>
              <w:snapToGrid/>
              <w:spacing w:line="56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98BFFFB">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DA54481">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09B2A0D">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8E7CB0C">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48A79BA">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r>
      <w:tr w14:paraId="6AC70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6D630E7">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44ECF5">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restart"/>
            <w:tcBorders>
              <w:top w:val="single" w:color="000000" w:sz="4" w:space="0"/>
              <w:left w:val="single" w:color="000000" w:sz="4" w:space="0"/>
              <w:right w:val="single" w:color="000000" w:sz="4" w:space="0"/>
            </w:tcBorders>
            <w:noWrap w:val="0"/>
            <w:vAlign w:val="center"/>
          </w:tcPr>
          <w:p w14:paraId="0C6B2DAD">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14:paraId="40A058F3">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9D5385B">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kern w:val="2"/>
                <w:sz w:val="24"/>
                <w:szCs w:val="24"/>
                <w:u w:val="none"/>
                <w:lang w:val="en-US" w:eastAsia="zh-CN" w:bidi="ar-SA"/>
              </w:rPr>
            </w:pPr>
            <w:r>
              <w:rPr>
                <w:rFonts w:hint="eastAsia" w:ascii="Times New Roman" w:hAnsi="Times New Roman" w:eastAsia="宋体" w:cs="Times New Roman"/>
                <w:i w:val="0"/>
                <w:color w:val="000000"/>
                <w:kern w:val="0"/>
                <w:sz w:val="24"/>
                <w:szCs w:val="24"/>
                <w:u w:val="none"/>
                <w:lang w:val="en-US" w:eastAsia="zh-CN" w:bidi="ar"/>
              </w:rPr>
              <w:t>带动群众</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B3742A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956C1F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ascii="Times New Roman" w:hAnsi="Times New Roman" w:eastAsia="宋体" w:cs="Times New Roman"/>
                <w:i w:val="0"/>
                <w:color w:val="000000"/>
                <w:kern w:val="0"/>
                <w:sz w:val="24"/>
                <w:szCs w:val="24"/>
                <w:u w:val="none"/>
                <w:lang w:val="en-US" w:eastAsia="zh-CN" w:bidi="ar"/>
              </w:rPr>
              <w:t>≥200人</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833AE5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ascii="Times New Roman" w:hAnsi="Times New Roman" w:eastAsia="宋体" w:cs="Times New Roman"/>
                <w:i w:val="0"/>
                <w:color w:val="000000"/>
                <w:kern w:val="0"/>
                <w:sz w:val="24"/>
                <w:szCs w:val="24"/>
                <w:u w:val="none"/>
                <w:lang w:val="en-US" w:eastAsia="zh-CN" w:bidi="ar"/>
              </w:rPr>
              <w:t>人数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ADE3D7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eastAsia="宋体" w:cs="Times New Roman"/>
                <w:i w:val="0"/>
                <w:color w:val="000000"/>
                <w:sz w:val="24"/>
                <w:szCs w:val="24"/>
                <w:u w:val="none"/>
                <w:lang w:val="en-US" w:eastAsia="zh-CN"/>
              </w:rPr>
              <w:t>30%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91CD54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eastAsia="宋体" w:cs="Times New Roman"/>
                <w:i w:val="0"/>
                <w:color w:val="000000"/>
                <w:sz w:val="24"/>
                <w:szCs w:val="24"/>
                <w:u w:val="none"/>
                <w:lang w:val="en-US" w:eastAsia="zh-CN"/>
              </w:rPr>
              <w:t>0</w:t>
            </w:r>
          </w:p>
        </w:tc>
      </w:tr>
      <w:tr w14:paraId="5617E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23393F6B">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B71049">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250" w:type="dxa"/>
            <w:vMerge w:val="continue"/>
            <w:tcBorders>
              <w:top w:val="single" w:color="000000" w:sz="4" w:space="0"/>
              <w:left w:val="single" w:color="000000" w:sz="4" w:space="0"/>
              <w:right w:val="single" w:color="000000" w:sz="4" w:space="0"/>
            </w:tcBorders>
            <w:noWrap w:val="0"/>
            <w:vAlign w:val="center"/>
          </w:tcPr>
          <w:p w14:paraId="4E4E4D06">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5C60776">
            <w:pPr>
              <w:keepNext w:val="0"/>
              <w:keepLines w:val="0"/>
              <w:pageBreakBefore w:val="0"/>
              <w:kinsoku/>
              <w:wordWrap/>
              <w:overflowPunct/>
              <w:topLinePunct w:val="0"/>
              <w:autoSpaceDE/>
              <w:autoSpaceDN/>
              <w:bidi w:val="0"/>
              <w:adjustRightInd/>
              <w:snapToGrid/>
              <w:spacing w:line="56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ED81139">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8E76046">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0DFCA63">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FCCC1EF">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CFC7540">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r>
      <w:tr w14:paraId="6C9AA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3ED6C5C">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222362">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C4845EC">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33BBD31">
            <w:pPr>
              <w:keepNext w:val="0"/>
              <w:keepLines w:val="0"/>
              <w:pageBreakBefore w:val="0"/>
              <w:kinsoku/>
              <w:wordWrap/>
              <w:overflowPunct/>
              <w:topLinePunct w:val="0"/>
              <w:autoSpaceDE/>
              <w:autoSpaceDN/>
              <w:bidi w:val="0"/>
              <w:adjustRightInd/>
              <w:snapToGrid/>
              <w:spacing w:line="56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CD3F97A">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628D84C">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52B2D15">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11B8F63">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862017D">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r>
      <w:tr w14:paraId="3B6F0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671B87B">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81" w:type="dxa"/>
            <w:tcBorders>
              <w:top w:val="single" w:color="000000" w:sz="4" w:space="0"/>
              <w:left w:val="single" w:color="000000" w:sz="4" w:space="0"/>
              <w:right w:val="single" w:color="000000" w:sz="4" w:space="0"/>
            </w:tcBorders>
            <w:noWrap w:val="0"/>
            <w:vAlign w:val="center"/>
          </w:tcPr>
          <w:p w14:paraId="04A0753A">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满意度</w:t>
            </w:r>
          </w:p>
          <w:p w14:paraId="3B208DC1">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250" w:type="dxa"/>
            <w:tcBorders>
              <w:top w:val="single" w:color="000000" w:sz="4" w:space="0"/>
              <w:left w:val="single" w:color="000000" w:sz="4" w:space="0"/>
              <w:right w:val="single" w:color="000000" w:sz="4" w:space="0"/>
            </w:tcBorders>
            <w:noWrap w:val="0"/>
            <w:vAlign w:val="center"/>
          </w:tcPr>
          <w:p w14:paraId="0757E036">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服务对象</w:t>
            </w:r>
          </w:p>
          <w:p w14:paraId="1181C79A">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8F35381">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kern w:val="2"/>
                <w:sz w:val="24"/>
                <w:szCs w:val="24"/>
                <w:u w:val="none"/>
                <w:lang w:val="en-US" w:eastAsia="zh-CN" w:bidi="ar-SA"/>
              </w:rPr>
            </w:pPr>
            <w:r>
              <w:rPr>
                <w:rFonts w:hint="eastAsia" w:ascii="Times New Roman" w:hAnsi="Times New Roman" w:eastAsia="宋体" w:cs="Times New Roman"/>
                <w:i w:val="0"/>
                <w:color w:val="000000"/>
                <w:kern w:val="0"/>
                <w:sz w:val="24"/>
                <w:szCs w:val="24"/>
                <w:u w:val="none"/>
                <w:lang w:val="en-US" w:eastAsia="zh-CN" w:bidi="ar"/>
              </w:rPr>
              <w:t>受益群众满意度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AFEF9A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BA6FB5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ascii="Times New Roman" w:hAnsi="Times New Roman" w:eastAsia="宋体" w:cs="Times New Roman"/>
                <w:i w:val="0"/>
                <w:color w:val="000000"/>
                <w:kern w:val="0"/>
                <w:sz w:val="24"/>
                <w:szCs w:val="24"/>
                <w:u w:val="none"/>
                <w:lang w:val="en-US" w:eastAsia="zh-CN" w:bidi="ar"/>
              </w:rPr>
              <w:t>≥95%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84608F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ascii="Times New Roman" w:hAnsi="Times New Roman" w:eastAsia="宋体" w:cs="Times New Roman"/>
                <w:i w:val="0"/>
                <w:color w:val="000000"/>
                <w:kern w:val="0"/>
                <w:sz w:val="24"/>
                <w:szCs w:val="24"/>
                <w:u w:val="none"/>
                <w:lang w:val="en-US" w:eastAsia="zh-CN" w:bidi="ar"/>
              </w:rPr>
              <w:t>百分比</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41F653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eastAsia="宋体" w:cs="Times New Roman"/>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2BE287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kern w:val="2"/>
                <w:sz w:val="24"/>
                <w:szCs w:val="24"/>
                <w:u w:val="none"/>
                <w:lang w:val="en-US" w:eastAsia="zh-CN" w:bidi="ar-SA"/>
              </w:rPr>
            </w:pPr>
            <w:r>
              <w:rPr>
                <w:rFonts w:hint="eastAsia" w:ascii="Times New Roman" w:hAnsi="Times New Roman" w:eastAsia="宋体" w:cs="Times New Roman"/>
                <w:i w:val="0"/>
                <w:color w:val="000000"/>
                <w:kern w:val="0"/>
                <w:sz w:val="24"/>
                <w:szCs w:val="24"/>
                <w:u w:val="none"/>
                <w:lang w:val="en-US" w:eastAsia="zh-CN" w:bidi="ar"/>
              </w:rPr>
              <w:t>≥95%</w:t>
            </w:r>
          </w:p>
        </w:tc>
      </w:tr>
      <w:tr w14:paraId="1F162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E04A7BA">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60A78DA0">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成本指标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4A8BF4D">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经济成本</w:t>
            </w:r>
          </w:p>
          <w:p w14:paraId="4BB8A902">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12" w:type="dxa"/>
            <w:tcBorders>
              <w:top w:val="single" w:color="000000" w:sz="4" w:space="0"/>
              <w:bottom w:val="single" w:color="000000" w:sz="4" w:space="0"/>
              <w:right w:val="single" w:color="000000" w:sz="4" w:space="0"/>
            </w:tcBorders>
            <w:noWrap w:val="0"/>
            <w:vAlign w:val="center"/>
          </w:tcPr>
          <w:p w14:paraId="5CB38C75">
            <w:pPr>
              <w:keepNext w:val="0"/>
              <w:keepLines w:val="0"/>
              <w:pageBreakBefore w:val="0"/>
              <w:kinsoku/>
              <w:wordWrap/>
              <w:overflowPunct/>
              <w:topLinePunct w:val="0"/>
              <w:autoSpaceDE/>
              <w:autoSpaceDN/>
              <w:bidi w:val="0"/>
              <w:adjustRightInd/>
              <w:snapToGrid/>
              <w:spacing w:line="56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AB8F725">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13BF783">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87F2A31">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96F20AE">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692883E">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r>
      <w:tr w14:paraId="5AE3F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726B783">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54A1CD">
            <w:pPr>
              <w:keepNext w:val="0"/>
              <w:keepLines w:val="0"/>
              <w:pageBreakBefore w:val="0"/>
              <w:kinsoku/>
              <w:wordWrap/>
              <w:overflowPunct/>
              <w:topLinePunct w:val="0"/>
              <w:autoSpaceDE/>
              <w:autoSpaceDN/>
              <w:bidi w:val="0"/>
              <w:adjustRightInd/>
              <w:snapToGrid/>
              <w:spacing w:line="560" w:lineRule="exact"/>
              <w:ind w:left="0" w:leftChars="0"/>
              <w:jc w:val="left"/>
              <w:rPr>
                <w:rFonts w:hint="default" w:ascii="Times New Roman" w:hAnsi="Times New Roman" w:eastAsia="宋体" w:cs="Times New Roman"/>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22449BC">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312" w:type="dxa"/>
            <w:tcBorders>
              <w:top w:val="single" w:color="000000" w:sz="4" w:space="0"/>
              <w:bottom w:val="single" w:color="000000" w:sz="4" w:space="0"/>
              <w:right w:val="single" w:color="000000" w:sz="4" w:space="0"/>
            </w:tcBorders>
            <w:noWrap w:val="0"/>
            <w:vAlign w:val="center"/>
          </w:tcPr>
          <w:p w14:paraId="21D110C0">
            <w:pPr>
              <w:keepNext w:val="0"/>
              <w:keepLines w:val="0"/>
              <w:pageBreakBefore w:val="0"/>
              <w:kinsoku/>
              <w:wordWrap/>
              <w:overflowPunct/>
              <w:topLinePunct w:val="0"/>
              <w:autoSpaceDE/>
              <w:autoSpaceDN/>
              <w:bidi w:val="0"/>
              <w:adjustRightInd/>
              <w:snapToGrid/>
              <w:spacing w:line="560" w:lineRule="exact"/>
              <w:ind w:left="0" w:leftChars="0"/>
              <w:rPr>
                <w:rFonts w:hint="default" w:ascii="Times New Roman" w:hAnsi="Times New Roman" w:eastAsia="宋体" w:cs="Times New Roman"/>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398686C">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F5A2017">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6F473C3">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3EBB9BF">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3A5D301">
            <w:pPr>
              <w:keepNext w:val="0"/>
              <w:keepLines w:val="0"/>
              <w:pageBreakBefore w:val="0"/>
              <w:kinsoku/>
              <w:wordWrap/>
              <w:overflowPunct/>
              <w:topLinePunct w:val="0"/>
              <w:autoSpaceDE/>
              <w:autoSpaceDN/>
              <w:bidi w:val="0"/>
              <w:adjustRightInd/>
              <w:snapToGrid/>
              <w:spacing w:line="560" w:lineRule="exact"/>
              <w:ind w:left="0" w:leftChars="0"/>
              <w:jc w:val="center"/>
              <w:rPr>
                <w:rFonts w:hint="default" w:ascii="Times New Roman" w:hAnsi="Times New Roman" w:eastAsia="宋体" w:cs="Times New Roman"/>
                <w:i w:val="0"/>
                <w:color w:val="000000"/>
                <w:sz w:val="24"/>
                <w:szCs w:val="24"/>
                <w:u w:val="none"/>
              </w:rPr>
            </w:pPr>
          </w:p>
        </w:tc>
      </w:tr>
    </w:tbl>
    <w:p w14:paraId="5110454A">
      <w:pPr>
        <w:spacing w:line="578" w:lineRule="exact"/>
        <w:ind w:firstLine="640"/>
        <w:rPr>
          <w:rFonts w:eastAsia="仿宋_GB2312" w:cs="仿宋_GB2312"/>
          <w:kern w:val="0"/>
          <w:sz w:val="32"/>
          <w:szCs w:val="32"/>
        </w:rPr>
      </w:pPr>
    </w:p>
    <w:p w14:paraId="4237FA01">
      <w:pPr>
        <w:spacing w:line="578" w:lineRule="exact"/>
        <w:ind w:firstLine="640"/>
        <w:rPr>
          <w:rFonts w:eastAsia="仿宋_GB2312" w:cs="仿宋_GB2312"/>
          <w:kern w:val="0"/>
          <w:sz w:val="32"/>
          <w:szCs w:val="32"/>
        </w:rPr>
      </w:pPr>
    </w:p>
    <w:p w14:paraId="661ABCB3">
      <w:pPr>
        <w:spacing w:line="578" w:lineRule="exact"/>
        <w:ind w:firstLine="640"/>
        <w:rPr>
          <w:rFonts w:eastAsia="仿宋_GB2312" w:cs="仿宋_GB2312"/>
          <w:kern w:val="0"/>
          <w:sz w:val="32"/>
          <w:szCs w:val="32"/>
        </w:rPr>
      </w:pPr>
      <w:bookmarkStart w:id="70" w:name="_Toc15396618"/>
      <w:r>
        <w:rPr>
          <w:rFonts w:hint="eastAsia" w:eastAsia="仿宋_GB2312" w:cs="仿宋_GB2312"/>
          <w:kern w:val="0"/>
          <w:sz w:val="32"/>
          <w:szCs w:val="32"/>
        </w:rPr>
        <w:br w:type="page"/>
      </w:r>
    </w:p>
    <w:p w14:paraId="7BE27C7C">
      <w:pPr>
        <w:widowControl/>
        <w:jc w:val="center"/>
        <w:outlineLvl w:val="0"/>
        <w:rPr>
          <w:rFonts w:eastAsia="仿宋"/>
        </w:rPr>
      </w:pPr>
      <w:bookmarkStart w:id="71" w:name="_Toc5060"/>
      <w:r>
        <w:rPr>
          <w:rFonts w:hint="eastAsia" w:eastAsia="黑体"/>
          <w:sz w:val="44"/>
          <w:szCs w:val="44"/>
        </w:rPr>
        <w:t>第</w:t>
      </w:r>
      <w:r>
        <w:rPr>
          <w:rStyle w:val="30"/>
          <w:rFonts w:hint="eastAsia" w:eastAsia="黑体"/>
          <w:b w:val="0"/>
        </w:rPr>
        <w:t>五部分 附表</w:t>
      </w:r>
      <w:bookmarkEnd w:id="66"/>
      <w:bookmarkEnd w:id="70"/>
      <w:bookmarkEnd w:id="71"/>
      <w:bookmarkStart w:id="72" w:name="_Toc15396619"/>
    </w:p>
    <w:p w14:paraId="227BAD2B">
      <w:pPr>
        <w:pStyle w:val="15"/>
        <w:adjustRightInd w:val="0"/>
        <w:snapToGrid w:val="0"/>
        <w:spacing w:line="560" w:lineRule="exact"/>
        <w:jc w:val="left"/>
        <w:rPr>
          <w:rFonts w:eastAsia="仿宋_GB2312" w:cs="仿宋_GB2312"/>
          <w:sz w:val="32"/>
          <w:szCs w:val="32"/>
        </w:rPr>
      </w:pPr>
    </w:p>
    <w:p w14:paraId="09ED9CFC">
      <w:pPr>
        <w:pStyle w:val="15"/>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72"/>
    </w:p>
    <w:p w14:paraId="5254CF88">
      <w:pPr>
        <w:pStyle w:val="15"/>
        <w:adjustRightInd w:val="0"/>
        <w:snapToGrid w:val="0"/>
        <w:spacing w:line="560" w:lineRule="exact"/>
        <w:jc w:val="left"/>
        <w:rPr>
          <w:rFonts w:eastAsia="仿宋_GB2312" w:cs="仿宋_GB2312"/>
          <w:sz w:val="32"/>
          <w:szCs w:val="32"/>
        </w:rPr>
      </w:pPr>
      <w:bookmarkStart w:id="73" w:name="_Toc15396620"/>
      <w:r>
        <w:rPr>
          <w:rFonts w:hint="eastAsia" w:eastAsia="仿宋_GB2312" w:cs="仿宋_GB2312"/>
          <w:sz w:val="32"/>
          <w:szCs w:val="32"/>
        </w:rPr>
        <w:t>二、收入决算表</w:t>
      </w:r>
      <w:bookmarkEnd w:id="73"/>
    </w:p>
    <w:p w14:paraId="2F5F2926">
      <w:pPr>
        <w:pStyle w:val="15"/>
        <w:adjustRightInd w:val="0"/>
        <w:snapToGrid w:val="0"/>
        <w:spacing w:line="560" w:lineRule="exact"/>
        <w:jc w:val="left"/>
        <w:rPr>
          <w:rFonts w:eastAsia="仿宋_GB2312" w:cs="仿宋_GB2312"/>
          <w:sz w:val="32"/>
          <w:szCs w:val="32"/>
        </w:rPr>
      </w:pPr>
      <w:bookmarkStart w:id="74" w:name="_Toc15396621"/>
      <w:r>
        <w:rPr>
          <w:rFonts w:hint="eastAsia" w:eastAsia="仿宋_GB2312" w:cs="仿宋_GB2312"/>
          <w:sz w:val="32"/>
          <w:szCs w:val="32"/>
        </w:rPr>
        <w:t>三、支出决算表</w:t>
      </w:r>
      <w:bookmarkEnd w:id="74"/>
    </w:p>
    <w:p w14:paraId="6246EB0A">
      <w:pPr>
        <w:pStyle w:val="15"/>
        <w:adjustRightInd w:val="0"/>
        <w:snapToGrid w:val="0"/>
        <w:spacing w:line="560" w:lineRule="exact"/>
        <w:jc w:val="left"/>
        <w:rPr>
          <w:rFonts w:eastAsia="仿宋_GB2312" w:cs="仿宋_GB2312"/>
          <w:sz w:val="32"/>
          <w:szCs w:val="32"/>
        </w:rPr>
      </w:pPr>
      <w:bookmarkStart w:id="75" w:name="_Toc15396622"/>
      <w:r>
        <w:rPr>
          <w:rFonts w:hint="eastAsia" w:eastAsia="仿宋_GB2312" w:cs="仿宋_GB2312"/>
          <w:sz w:val="32"/>
          <w:szCs w:val="32"/>
        </w:rPr>
        <w:t>四、财政拨款收入支出决算总表</w:t>
      </w:r>
      <w:bookmarkEnd w:id="75"/>
    </w:p>
    <w:p w14:paraId="6BAEB6DE">
      <w:pPr>
        <w:pStyle w:val="15"/>
        <w:adjustRightInd w:val="0"/>
        <w:snapToGrid w:val="0"/>
        <w:spacing w:line="560" w:lineRule="exact"/>
        <w:jc w:val="left"/>
        <w:rPr>
          <w:rFonts w:eastAsia="仿宋_GB2312" w:cs="仿宋_GB2312"/>
          <w:sz w:val="32"/>
          <w:szCs w:val="32"/>
        </w:rPr>
      </w:pPr>
      <w:bookmarkStart w:id="76" w:name="_Toc15396623"/>
      <w:r>
        <w:rPr>
          <w:rFonts w:hint="eastAsia" w:eastAsia="仿宋_GB2312" w:cs="仿宋_GB2312"/>
          <w:sz w:val="32"/>
          <w:szCs w:val="32"/>
        </w:rPr>
        <w:t>五、财政拨款支出决算明细表</w:t>
      </w:r>
      <w:bookmarkEnd w:id="76"/>
      <w:bookmarkStart w:id="77" w:name="_Toc15396624"/>
    </w:p>
    <w:p w14:paraId="3D2920E5">
      <w:pPr>
        <w:pStyle w:val="15"/>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77"/>
    </w:p>
    <w:p w14:paraId="240F08B6">
      <w:pPr>
        <w:pStyle w:val="15"/>
        <w:adjustRightInd w:val="0"/>
        <w:snapToGrid w:val="0"/>
        <w:spacing w:line="560" w:lineRule="exact"/>
        <w:jc w:val="left"/>
        <w:rPr>
          <w:rFonts w:eastAsia="仿宋_GB2312" w:cs="仿宋_GB2312"/>
          <w:sz w:val="32"/>
          <w:szCs w:val="32"/>
        </w:rPr>
      </w:pPr>
      <w:bookmarkStart w:id="78" w:name="_Toc15396625"/>
      <w:r>
        <w:rPr>
          <w:rFonts w:hint="eastAsia" w:eastAsia="仿宋_GB2312" w:cs="仿宋_GB2312"/>
          <w:sz w:val="32"/>
          <w:szCs w:val="32"/>
        </w:rPr>
        <w:t>七、一般公共预算财政拨款支出决算明细表</w:t>
      </w:r>
      <w:bookmarkEnd w:id="78"/>
    </w:p>
    <w:p w14:paraId="2CA8AE20">
      <w:pPr>
        <w:pStyle w:val="15"/>
        <w:adjustRightInd w:val="0"/>
        <w:snapToGrid w:val="0"/>
        <w:spacing w:line="560" w:lineRule="exact"/>
        <w:jc w:val="left"/>
        <w:rPr>
          <w:rFonts w:eastAsia="仿宋_GB2312" w:cs="仿宋_GB2312"/>
          <w:sz w:val="32"/>
          <w:szCs w:val="32"/>
        </w:rPr>
      </w:pPr>
      <w:bookmarkStart w:id="79" w:name="_Toc15396626"/>
      <w:r>
        <w:rPr>
          <w:rFonts w:hint="eastAsia" w:eastAsia="仿宋_GB2312" w:cs="仿宋_GB2312"/>
          <w:sz w:val="32"/>
          <w:szCs w:val="32"/>
        </w:rPr>
        <w:t>八、一般公共预算财政拨款基本支出决算表</w:t>
      </w:r>
      <w:bookmarkEnd w:id="79"/>
    </w:p>
    <w:p w14:paraId="1021E5EC">
      <w:pPr>
        <w:pStyle w:val="15"/>
        <w:adjustRightInd w:val="0"/>
        <w:snapToGrid w:val="0"/>
        <w:spacing w:line="560" w:lineRule="exact"/>
        <w:jc w:val="left"/>
        <w:rPr>
          <w:rFonts w:eastAsia="仿宋_GB2312" w:cs="仿宋_GB2312"/>
          <w:sz w:val="32"/>
          <w:szCs w:val="32"/>
        </w:rPr>
      </w:pPr>
      <w:bookmarkStart w:id="80" w:name="_Toc15396627"/>
      <w:r>
        <w:rPr>
          <w:rFonts w:hint="eastAsia" w:eastAsia="仿宋_GB2312" w:cs="仿宋_GB2312"/>
          <w:sz w:val="32"/>
          <w:szCs w:val="32"/>
        </w:rPr>
        <w:t>九、一般公共预算财政拨款项目支出决算表</w:t>
      </w:r>
      <w:bookmarkEnd w:id="80"/>
    </w:p>
    <w:p w14:paraId="07043E00">
      <w:pPr>
        <w:pStyle w:val="15"/>
        <w:adjustRightInd w:val="0"/>
        <w:snapToGrid w:val="0"/>
        <w:spacing w:line="560" w:lineRule="exact"/>
        <w:jc w:val="left"/>
        <w:rPr>
          <w:rFonts w:eastAsia="仿宋_GB2312" w:cs="仿宋_GB2312"/>
          <w:sz w:val="32"/>
          <w:szCs w:val="32"/>
        </w:rPr>
      </w:pPr>
      <w:bookmarkStart w:id="81" w:name="_Toc15396628"/>
      <w:r>
        <w:rPr>
          <w:rFonts w:hint="eastAsia" w:eastAsia="仿宋_GB2312" w:cs="仿宋_GB2312"/>
          <w:sz w:val="32"/>
          <w:szCs w:val="32"/>
        </w:rPr>
        <w:t>十、</w:t>
      </w:r>
      <w:bookmarkEnd w:id="81"/>
      <w:r>
        <w:rPr>
          <w:rFonts w:hint="eastAsia" w:eastAsia="仿宋_GB2312" w:cs="仿宋_GB2312"/>
          <w:sz w:val="32"/>
          <w:szCs w:val="32"/>
        </w:rPr>
        <w:t>政府性基金预算财政拨款收入支出决算表</w:t>
      </w:r>
    </w:p>
    <w:p w14:paraId="7B15E922">
      <w:pPr>
        <w:pStyle w:val="15"/>
        <w:adjustRightInd w:val="0"/>
        <w:snapToGrid w:val="0"/>
        <w:spacing w:line="560" w:lineRule="exact"/>
        <w:jc w:val="left"/>
        <w:rPr>
          <w:rFonts w:eastAsia="仿宋_GB2312" w:cs="仿宋_GB2312"/>
          <w:sz w:val="32"/>
          <w:szCs w:val="32"/>
        </w:rPr>
      </w:pPr>
      <w:bookmarkStart w:id="82" w:name="_Toc15396629"/>
      <w:r>
        <w:rPr>
          <w:rFonts w:hint="eastAsia" w:eastAsia="仿宋_GB2312" w:cs="仿宋_GB2312"/>
          <w:sz w:val="32"/>
          <w:szCs w:val="32"/>
        </w:rPr>
        <w:t>十一、</w:t>
      </w:r>
      <w:bookmarkEnd w:id="82"/>
      <w:r>
        <w:rPr>
          <w:rFonts w:hint="eastAsia" w:eastAsia="仿宋_GB2312" w:cs="仿宋_GB2312"/>
          <w:sz w:val="32"/>
          <w:szCs w:val="32"/>
        </w:rPr>
        <w:t>国有资本经营预算财政拨款收入支出决算表</w:t>
      </w:r>
    </w:p>
    <w:p w14:paraId="0F22F1B4">
      <w:pPr>
        <w:pStyle w:val="15"/>
        <w:adjustRightInd w:val="0"/>
        <w:snapToGrid w:val="0"/>
        <w:spacing w:line="560" w:lineRule="exact"/>
        <w:jc w:val="left"/>
        <w:rPr>
          <w:rFonts w:eastAsia="仿宋_GB2312" w:cs="仿宋_GB2312"/>
          <w:sz w:val="32"/>
          <w:szCs w:val="32"/>
        </w:rPr>
      </w:pPr>
      <w:bookmarkStart w:id="83" w:name="_Toc15396630"/>
      <w:r>
        <w:rPr>
          <w:rFonts w:hint="eastAsia" w:eastAsia="仿宋_GB2312" w:cs="仿宋_GB2312"/>
          <w:sz w:val="32"/>
          <w:szCs w:val="32"/>
        </w:rPr>
        <w:t>十二、</w:t>
      </w:r>
      <w:bookmarkEnd w:id="83"/>
      <w:r>
        <w:rPr>
          <w:rFonts w:hint="eastAsia" w:eastAsia="仿宋_GB2312" w:cs="仿宋_GB2312"/>
          <w:sz w:val="32"/>
          <w:szCs w:val="32"/>
        </w:rPr>
        <w:t>国有资本经营预算财政拨款支出决算表</w:t>
      </w:r>
    </w:p>
    <w:p w14:paraId="3D830803">
      <w:pPr>
        <w:pStyle w:val="15"/>
        <w:adjustRightInd w:val="0"/>
        <w:snapToGrid w:val="0"/>
        <w:spacing w:line="560" w:lineRule="exact"/>
        <w:jc w:val="left"/>
        <w:rPr>
          <w:rFonts w:eastAsia="仿宋_GB2312" w:cs="仿宋_GB2312"/>
          <w:sz w:val="32"/>
          <w:szCs w:val="32"/>
        </w:rPr>
      </w:pPr>
      <w:bookmarkStart w:id="84" w:name="_Toc15396631"/>
      <w:r>
        <w:rPr>
          <w:rFonts w:hint="eastAsia" w:eastAsia="仿宋_GB2312" w:cs="仿宋_GB2312"/>
          <w:sz w:val="32"/>
          <w:szCs w:val="32"/>
        </w:rPr>
        <w:t>十三、</w:t>
      </w:r>
      <w:bookmarkEnd w:id="84"/>
      <w:r>
        <w:rPr>
          <w:rFonts w:hint="eastAsia" w:eastAsia="仿宋_GB2312" w:cs="仿宋_GB2312"/>
          <w:sz w:val="32"/>
          <w:szCs w:val="32"/>
        </w:rPr>
        <w:t>财政拨款“三公”经费支出决算表</w:t>
      </w:r>
    </w:p>
    <w:p w14:paraId="46D5F740"/>
    <w:sectPr>
      <w:pgSz w:w="11906" w:h="16838"/>
      <w:pgMar w:top="1440" w:right="1800" w:bottom="1440" w:left="1800"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Wingdings 2">
    <w:altName w:val="Wingdings"/>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826C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98E267">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1998E267">
                    <w:pPr>
                      <w:pStyle w:val="11"/>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9846E">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BADDD2">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21BADDD2">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244DE">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1C457"/>
    <w:multiLevelType w:val="singleLevel"/>
    <w:tmpl w:val="9BD1C457"/>
    <w:lvl w:ilvl="0" w:tentative="0">
      <w:start w:val="1"/>
      <w:numFmt w:val="chineseCounting"/>
      <w:suff w:val="nothing"/>
      <w:lvlText w:val="%1、"/>
      <w:lvlJc w:val="left"/>
      <w:rPr>
        <w:rFonts w:hint="eastAsia"/>
      </w:rPr>
    </w:lvl>
  </w:abstractNum>
  <w:abstractNum w:abstractNumId="1">
    <w:nsid w:val="1A6F4E69"/>
    <w:multiLevelType w:val="singleLevel"/>
    <w:tmpl w:val="1A6F4E69"/>
    <w:lvl w:ilvl="0" w:tentative="0">
      <w:start w:val="1"/>
      <w:numFmt w:val="decimal"/>
      <w:suff w:val="space"/>
      <w:lvlText w:val="%1."/>
      <w:lvlJc w:val="left"/>
      <w:pPr>
        <w:ind w:left="425" w:hanging="425"/>
      </w:pPr>
      <w:rPr>
        <w:rFonts w:hint="default"/>
      </w:rPr>
    </w:lvl>
  </w:abstractNum>
  <w:abstractNum w:abstractNumId="2">
    <w:nsid w:val="53F5724E"/>
    <w:multiLevelType w:val="singleLevel"/>
    <w:tmpl w:val="53F5724E"/>
    <w:lvl w:ilvl="0" w:tentative="0">
      <w:start w:val="1"/>
      <w:numFmt w:val="decimal"/>
      <w:suff w:val="space"/>
      <w:lvlText w:val="%1."/>
      <w:lvlJc w:val="left"/>
      <w:pPr>
        <w:ind w:left="425" w:hanging="425"/>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07004"/>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3795B"/>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22A3"/>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2FE1"/>
    <w:rsid w:val="00D114F0"/>
    <w:rsid w:val="00D20620"/>
    <w:rsid w:val="00D254F7"/>
    <w:rsid w:val="00D26091"/>
    <w:rsid w:val="00D2685C"/>
    <w:rsid w:val="00D34E7C"/>
    <w:rsid w:val="00D35489"/>
    <w:rsid w:val="00D36AFE"/>
    <w:rsid w:val="00D51276"/>
    <w:rsid w:val="00D5444D"/>
    <w:rsid w:val="00D7035F"/>
    <w:rsid w:val="00DA634F"/>
    <w:rsid w:val="00DA65AC"/>
    <w:rsid w:val="00DB1913"/>
    <w:rsid w:val="00DC2C99"/>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8856DEC"/>
    <w:rsid w:val="09867E8F"/>
    <w:rsid w:val="0A2032A3"/>
    <w:rsid w:val="0CA8290A"/>
    <w:rsid w:val="0D35B1ED"/>
    <w:rsid w:val="0E254B6B"/>
    <w:rsid w:val="0F98263C"/>
    <w:rsid w:val="101860EC"/>
    <w:rsid w:val="101F47CC"/>
    <w:rsid w:val="102A4816"/>
    <w:rsid w:val="10C055FF"/>
    <w:rsid w:val="11694EBD"/>
    <w:rsid w:val="11772AA4"/>
    <w:rsid w:val="118107EC"/>
    <w:rsid w:val="12E24EE2"/>
    <w:rsid w:val="13D50BC4"/>
    <w:rsid w:val="14B17F78"/>
    <w:rsid w:val="165E0673"/>
    <w:rsid w:val="16B831D5"/>
    <w:rsid w:val="16BB723D"/>
    <w:rsid w:val="17E50567"/>
    <w:rsid w:val="186504BB"/>
    <w:rsid w:val="19A445FC"/>
    <w:rsid w:val="1BE8440E"/>
    <w:rsid w:val="1CC6347C"/>
    <w:rsid w:val="1D155CEE"/>
    <w:rsid w:val="1D1638FE"/>
    <w:rsid w:val="1E312DEB"/>
    <w:rsid w:val="1E740ACF"/>
    <w:rsid w:val="1F794901"/>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C21DC5"/>
    <w:rsid w:val="2DF04E50"/>
    <w:rsid w:val="2E586DFA"/>
    <w:rsid w:val="2F040D46"/>
    <w:rsid w:val="2F6B035B"/>
    <w:rsid w:val="2FAE5751"/>
    <w:rsid w:val="2FB1A395"/>
    <w:rsid w:val="2FD9A7D8"/>
    <w:rsid w:val="2FDBF714"/>
    <w:rsid w:val="30AB6865"/>
    <w:rsid w:val="319F7F4E"/>
    <w:rsid w:val="32BD1EF1"/>
    <w:rsid w:val="3304709D"/>
    <w:rsid w:val="33A773CB"/>
    <w:rsid w:val="34032428"/>
    <w:rsid w:val="349D6851"/>
    <w:rsid w:val="35E6413B"/>
    <w:rsid w:val="36AA5135"/>
    <w:rsid w:val="36BE0DA7"/>
    <w:rsid w:val="376B6AA6"/>
    <w:rsid w:val="376D39B2"/>
    <w:rsid w:val="37E16F03"/>
    <w:rsid w:val="37F53A3B"/>
    <w:rsid w:val="389B6C89"/>
    <w:rsid w:val="38D469F0"/>
    <w:rsid w:val="39627CCD"/>
    <w:rsid w:val="397BAF1F"/>
    <w:rsid w:val="3AB79AF3"/>
    <w:rsid w:val="3ABE1B66"/>
    <w:rsid w:val="3AE834C0"/>
    <w:rsid w:val="3B2220F5"/>
    <w:rsid w:val="3B7EF35A"/>
    <w:rsid w:val="3B9FDB6C"/>
    <w:rsid w:val="3BF5BC2F"/>
    <w:rsid w:val="3CEBA265"/>
    <w:rsid w:val="3D5D7B0B"/>
    <w:rsid w:val="3D98207C"/>
    <w:rsid w:val="3DEE7CF3"/>
    <w:rsid w:val="3E740A63"/>
    <w:rsid w:val="3E78745D"/>
    <w:rsid w:val="3EE17838"/>
    <w:rsid w:val="3F55381A"/>
    <w:rsid w:val="3F7F7599"/>
    <w:rsid w:val="3FF4CAE0"/>
    <w:rsid w:val="3FF7B227"/>
    <w:rsid w:val="44427260"/>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012078F"/>
    <w:rsid w:val="537E6D0A"/>
    <w:rsid w:val="53F74C96"/>
    <w:rsid w:val="55170BA8"/>
    <w:rsid w:val="553218C9"/>
    <w:rsid w:val="567E1AA5"/>
    <w:rsid w:val="56E47B74"/>
    <w:rsid w:val="57175D52"/>
    <w:rsid w:val="57963475"/>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050D2"/>
    <w:rsid w:val="6BDD78B3"/>
    <w:rsid w:val="6C4A05C8"/>
    <w:rsid w:val="6C8742B8"/>
    <w:rsid w:val="6DBF5E93"/>
    <w:rsid w:val="6DFF077E"/>
    <w:rsid w:val="6E714EF0"/>
    <w:rsid w:val="6E7E3605"/>
    <w:rsid w:val="6E7FDCC7"/>
    <w:rsid w:val="6ED6A62E"/>
    <w:rsid w:val="6EE00B15"/>
    <w:rsid w:val="6F6FB3EB"/>
    <w:rsid w:val="6F8731EA"/>
    <w:rsid w:val="6FA07D8E"/>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C57D7C"/>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Body Text"/>
    <w:basedOn w:val="1"/>
    <w:next w:val="1"/>
    <w:link w:val="27"/>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0"/>
    <w:rPr>
      <w:sz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character" w:customStyle="1" w:styleId="22">
    <w:name w:val="Header Char"/>
    <w:basedOn w:val="19"/>
    <w:semiHidden/>
    <w:qFormat/>
    <w:uiPriority w:val="99"/>
    <w:rPr>
      <w:rFonts w:ascii="Times New Roman" w:hAnsi="Times New Roman"/>
      <w:sz w:val="18"/>
      <w:szCs w:val="18"/>
    </w:rPr>
  </w:style>
  <w:style w:type="character" w:customStyle="1" w:styleId="23">
    <w:name w:val="页眉 字符"/>
    <w:link w:val="12"/>
    <w:semiHidden/>
    <w:qFormat/>
    <w:locked/>
    <w:uiPriority w:val="99"/>
    <w:rPr>
      <w:sz w:val="18"/>
    </w:rPr>
  </w:style>
  <w:style w:type="character" w:customStyle="1" w:styleId="24">
    <w:name w:val="Footer Char"/>
    <w:basedOn w:val="19"/>
    <w:semiHidden/>
    <w:qFormat/>
    <w:uiPriority w:val="99"/>
    <w:rPr>
      <w:rFonts w:ascii="Times New Roman" w:hAnsi="Times New Roman"/>
      <w:sz w:val="18"/>
      <w:szCs w:val="18"/>
    </w:rPr>
  </w:style>
  <w:style w:type="character" w:customStyle="1" w:styleId="25">
    <w:name w:val="页脚 字符"/>
    <w:link w:val="11"/>
    <w:qFormat/>
    <w:locked/>
    <w:uiPriority w:val="99"/>
    <w:rPr>
      <w:sz w:val="18"/>
    </w:rPr>
  </w:style>
  <w:style w:type="character" w:customStyle="1" w:styleId="26">
    <w:name w:val="Body Text Char"/>
    <w:basedOn w:val="19"/>
    <w:semiHidden/>
    <w:qFormat/>
    <w:uiPriority w:val="99"/>
    <w:rPr>
      <w:rFonts w:ascii="Times New Roman" w:hAnsi="Times New Roman"/>
      <w:szCs w:val="24"/>
    </w:rPr>
  </w:style>
  <w:style w:type="character" w:customStyle="1" w:styleId="27">
    <w:name w:val="正文文本 字符"/>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9"/>
    <w:link w:val="3"/>
    <w:qFormat/>
    <w:uiPriority w:val="9"/>
    <w:rPr>
      <w:rFonts w:ascii="Times New Roman" w:hAnsi="Times New Roman"/>
      <w:b/>
      <w:bCs/>
      <w:kern w:val="44"/>
      <w:sz w:val="44"/>
      <w:szCs w:val="44"/>
    </w:rPr>
  </w:style>
  <w:style w:type="character" w:customStyle="1" w:styleId="31">
    <w:name w:val="标题 2 字符"/>
    <w:basedOn w:val="19"/>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9"/>
    <w:link w:val="10"/>
    <w:semiHidden/>
    <w:qFormat/>
    <w:uiPriority w:val="99"/>
    <w:rPr>
      <w:rFonts w:ascii="Times New Roman" w:hAnsi="Times New Roman"/>
      <w:kern w:val="2"/>
      <w:sz w:val="18"/>
      <w:szCs w:val="18"/>
    </w:rPr>
  </w:style>
  <w:style w:type="character" w:customStyle="1" w:styleId="34">
    <w:name w:val="标题 3 字符"/>
    <w:basedOn w:val="19"/>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21556;&#24422;&#31062;\Desktop\3-&#22270;&#34920;&#29983;&#25104;.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21556;&#24422;&#31062;\Desktop\3-&#22270;&#34920;&#29983;&#25104;.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21556;&#24422;&#31062;\Desktop\3-&#22270;&#34920;&#29983;&#25104;.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21556;&#24422;&#31062;\Desktop\3-&#22270;&#34920;&#29983;&#25104;.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21556;&#24422;&#31062;\Desktop\3-&#22270;&#34920;&#29983;&#25104;.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21556;&#24422;&#31062;\Desktop\3-&#22270;&#34920;&#29983;&#25104;.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21556;&#24422;&#31062;\Desktop\3-&#22270;&#34920;&#29983;&#2510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cap="all" spc="50" baseline="0">
                <a:solidFill>
                  <a:schemeClr val="tx1">
                    <a:lumMod val="65000"/>
                    <a:lumOff val="35000"/>
                  </a:schemeClr>
                </a:solidFill>
                <a:latin typeface="+mn-lt"/>
                <a:ea typeface="+mn-ea"/>
                <a:cs typeface="+mn-cs"/>
              </a:defRPr>
            </a:pPr>
            <a:r>
              <a:t>收、支决算总计变动情况图</a:t>
            </a:r>
          </a:p>
        </c:rich>
      </c:tx>
      <c:layout/>
      <c:overlay val="0"/>
      <c:spPr>
        <a:noFill/>
        <a:ln>
          <a:noFill/>
        </a:ln>
        <a:effectLst/>
      </c:spPr>
    </c:title>
    <c:autoTitleDeleted val="0"/>
    <c:plotArea>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'[3-图表生成.xlsx]Sheet1'!$A$3:$A$4</c:f>
              <c:strCache>
                <c:ptCount val="2"/>
                <c:pt idx="0">
                  <c:v>2023年（万元）</c:v>
                </c:pt>
                <c:pt idx="1">
                  <c:v>2024年（万元）</c:v>
                </c:pt>
              </c:strCache>
            </c:strRef>
          </c:cat>
          <c:val>
            <c:numRef>
              <c:f>'[3-图表生成.xlsx]Sheet1'!$B$3:$B$4</c:f>
              <c:numCache>
                <c:formatCode>#,##0.00</c:formatCode>
                <c:ptCount val="2"/>
                <c:pt idx="0">
                  <c:v>1758.9</c:v>
                </c:pt>
                <c:pt idx="1">
                  <c:v>1645.9</c:v>
                </c:pt>
              </c:numCache>
            </c:numRef>
          </c:val>
        </c:ser>
        <c:dLbls>
          <c:showLegendKey val="0"/>
          <c:showVal val="1"/>
          <c:showCatName val="0"/>
          <c:showSerName val="0"/>
          <c:showPercent val="0"/>
          <c:showBubbleSize val="0"/>
        </c:dLbls>
        <c:gapWidth val="355"/>
        <c:overlap val="-70"/>
        <c:axId val="658193259"/>
        <c:axId val="330015726"/>
      </c:barChart>
      <c:catAx>
        <c:axId val="658193259"/>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0015726"/>
        <c:crosses val="autoZero"/>
        <c:auto val="1"/>
        <c:lblAlgn val="ctr"/>
        <c:lblOffset val="100"/>
        <c:noMultiLvlLbl val="0"/>
      </c:catAx>
      <c:valAx>
        <c:axId val="330015726"/>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00"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8193259"/>
        <c:crosses val="autoZero"/>
        <c:crossBetween val="between"/>
      </c:valAx>
      <c:spPr>
        <a:noFill/>
        <a:ln>
          <a:noFill/>
        </a:ln>
        <a:effectLst/>
      </c:spPr>
    </c:plotArea>
    <c:plotVisOnly val="1"/>
    <c:dispBlanksAs val="gap"/>
    <c:showDLblsOverMax val="0"/>
    <c:extLst>
      <c:ext uri="{0b15fc19-7d7d-44ad-8c2d-2c3a37ce22c3}">
        <chartProps xmlns="https://web.wps.cn/et/2018/main" chartId="{fcf1d491-19fc-4d35-9351-f70f4a04c6e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95.4%</a:t>
                    </a:r>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4.6%</a:t>
                    </a:r>
                  </a:p>
                </c:rich>
              </c:tx>
              <c:dLblPos val="inEnd"/>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'[3-图表生成.xlsx]Sheet1'!$I$3:$I$4</c:f>
              <c:strCache>
                <c:ptCount val="2"/>
                <c:pt idx="0">
                  <c:v>一般公共预算财政拨款收入</c:v>
                </c:pt>
                <c:pt idx="1">
                  <c:v>其他收入</c:v>
                </c:pt>
              </c:strCache>
            </c:strRef>
          </c:cat>
          <c:val>
            <c:numRef>
              <c:f>'[3-图表生成.xlsx]Sheet1'!$J$3:$J$4</c:f>
              <c:numCache>
                <c:formatCode>#,##0.00</c:formatCode>
                <c:ptCount val="2"/>
                <c:pt idx="0">
                  <c:v>1570.26</c:v>
                </c:pt>
                <c:pt idx="1">
                  <c:v>75.65</c:v>
                </c:pt>
              </c:numCache>
            </c:numRef>
          </c:val>
        </c:ser>
        <c:dLbls>
          <c:showLegendKey val="0"/>
          <c:showVal val="0"/>
          <c:showCatName val="0"/>
          <c:showSerName val="0"/>
          <c:showPercent val="1"/>
          <c:showBubbleSize val="0"/>
          <c:showLeaderLines val="0"/>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13beefb-f678-4ebd-9d33-310b889c9ce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90.2%</a:t>
                    </a:r>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9.8%</a:t>
                    </a:r>
                  </a:p>
                </c:rich>
              </c:tx>
              <c:dLblPos val="inEnd"/>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'[3-图表生成.xlsx]Sheet1'!$O$3:$O$4</c:f>
              <c:strCache>
                <c:ptCount val="2"/>
                <c:pt idx="0">
                  <c:v>基本支出</c:v>
                </c:pt>
                <c:pt idx="1">
                  <c:v>项目支出</c:v>
                </c:pt>
              </c:strCache>
            </c:strRef>
          </c:cat>
          <c:val>
            <c:numRef>
              <c:f>'[3-图表生成.xlsx]Sheet1'!$P$3:$P$4</c:f>
              <c:numCache>
                <c:formatCode>#,##0.00</c:formatCode>
                <c:ptCount val="2"/>
                <c:pt idx="0">
                  <c:v>1429.34</c:v>
                </c:pt>
                <c:pt idx="1">
                  <c:v>155.34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8b483ee-82c6-4e7e-bbf6-2eabfe02344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'[3-图表生成.xlsx]Sheet1'!$A$25:$A$26</c:f>
              <c:strCache>
                <c:ptCount val="2"/>
                <c:pt idx="0">
                  <c:v>2023年（万元）</c:v>
                </c:pt>
                <c:pt idx="1">
                  <c:v>2024年（万元）</c:v>
                </c:pt>
              </c:strCache>
            </c:strRef>
          </c:cat>
          <c:val>
            <c:numRef>
              <c:f>'[3-图表生成.xlsx]Sheet1'!$B$25:$B$26</c:f>
              <c:numCache>
                <c:formatCode>#,##0.00</c:formatCode>
                <c:ptCount val="2"/>
                <c:pt idx="0">
                  <c:v>1746.81</c:v>
                </c:pt>
                <c:pt idx="1">
                  <c:v>1570.26</c:v>
                </c:pt>
              </c:numCache>
            </c:numRef>
          </c:val>
        </c:ser>
        <c:dLbls>
          <c:showLegendKey val="0"/>
          <c:showVal val="1"/>
          <c:showCatName val="0"/>
          <c:showSerName val="0"/>
          <c:showPercent val="0"/>
          <c:showBubbleSize val="0"/>
        </c:dLbls>
        <c:gapWidth val="150"/>
        <c:overlap val="0"/>
        <c:axId val="987151365"/>
        <c:axId val="911815620"/>
      </c:barChart>
      <c:catAx>
        <c:axId val="987151365"/>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1815620"/>
        <c:crosses val="autoZero"/>
        <c:auto val="1"/>
        <c:lblAlgn val="ctr"/>
        <c:lblOffset val="100"/>
        <c:noMultiLvlLbl val="0"/>
      </c:catAx>
      <c:valAx>
        <c:axId val="9118156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7151365"/>
        <c:crosses val="autoZero"/>
        <c:crossBetween val="between"/>
      </c:valAx>
      <c:spPr>
        <a:noFill/>
        <a:ln>
          <a:noFill/>
        </a:ln>
        <a:effectLst/>
      </c:spPr>
    </c:plotArea>
    <c:plotVisOnly val="1"/>
    <c:dispBlanksAs val="gap"/>
    <c:showDLblsOverMax val="0"/>
    <c:extLst>
      <c:ext uri="{0b15fc19-7d7d-44ad-8c2d-2c3a37ce22c3}">
        <chartProps xmlns="https://web.wps.cn/et/2018/main" chartId="{c38a2e3b-256a-4d26-8500-d84a6df7aff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'[3-图表生成.xlsx]Sheet1'!$A$46:$A$47</c:f>
              <c:strCache>
                <c:ptCount val="2"/>
                <c:pt idx="0">
                  <c:v>2023年（万元）</c:v>
                </c:pt>
                <c:pt idx="1">
                  <c:v>2024年（万元）</c:v>
                </c:pt>
              </c:strCache>
            </c:strRef>
          </c:cat>
          <c:val>
            <c:numRef>
              <c:f>'[3-图表生成.xlsx]Sheet1'!$B$46:$B$47</c:f>
              <c:numCache>
                <c:formatCode>#,##0.00</c:formatCode>
                <c:ptCount val="2"/>
                <c:pt idx="0">
                  <c:v>1746.81</c:v>
                </c:pt>
                <c:pt idx="1">
                  <c:v>1570.26</c:v>
                </c:pt>
              </c:numCache>
            </c:numRef>
          </c:val>
        </c:ser>
        <c:dLbls>
          <c:showLegendKey val="0"/>
          <c:showVal val="1"/>
          <c:showCatName val="0"/>
          <c:showSerName val="0"/>
          <c:showPercent val="0"/>
          <c:showBubbleSize val="0"/>
        </c:dLbls>
        <c:gapWidth val="219"/>
        <c:overlap val="-27"/>
        <c:axId val="928854141"/>
        <c:axId val="188393366"/>
      </c:barChart>
      <c:catAx>
        <c:axId val="92885414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8393366"/>
        <c:crosses val="autoZero"/>
        <c:auto val="1"/>
        <c:lblAlgn val="ctr"/>
        <c:lblOffset val="100"/>
        <c:noMultiLvlLbl val="0"/>
      </c:catAx>
      <c:valAx>
        <c:axId val="18839336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8854141"/>
        <c:crosses val="autoZero"/>
        <c:crossBetween val="between"/>
      </c:valAx>
      <c:spPr>
        <a:noFill/>
        <a:ln>
          <a:noFill/>
        </a:ln>
        <a:effectLst/>
      </c:spPr>
    </c:plotArea>
    <c:plotVisOnly val="1"/>
    <c:dispBlanksAs val="gap"/>
    <c:showDLblsOverMax val="0"/>
    <c:extLst>
      <c:ext uri="{0b15fc19-7d7d-44ad-8c2d-2c3a37ce22c3}">
        <chartProps xmlns="https://web.wps.cn/et/2018/main" chartId="{4cd4ffc0-436a-48b5-abd2-0808bb51030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a:t>
            </a:r>
          </a:p>
          <a:p>
            <a:pPr defTabSz="914400">
              <a:defRPr lang="zh-CN" sz="1400" b="0" i="0" u="none" strike="noStrike" kern="1200" spc="0" baseline="0">
                <a:solidFill>
                  <a:schemeClr val="tx1">
                    <a:lumMod val="65000"/>
                    <a:lumOff val="35000"/>
                  </a:schemeClr>
                </a:solidFill>
                <a:latin typeface="+mn-lt"/>
                <a:ea typeface="+mn-ea"/>
                <a:cs typeface="+mn-cs"/>
              </a:defRPr>
            </a:pPr>
            <a:r>
              <a:t>支出决算结构</a:t>
            </a:r>
          </a:p>
        </c:rich>
      </c:tx>
      <c:layout>
        <c:manualLayout>
          <c:xMode val="edge"/>
          <c:yMode val="edge"/>
          <c:x val="0.0108333333333333"/>
          <c:y val="0.0402777777777778"/>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195"/>
                  <c:y val="-0.00555555555555556"/>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1.1%</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9</a:t>
                    </a:r>
                    <a:r>
                      <a:t>%</a:t>
                    </a:r>
                  </a:p>
                </c:rich>
              </c:tx>
              <c:dLblPos val="outEnd"/>
              <c:showLegendKey val="0"/>
              <c:showVal val="0"/>
              <c:showCatName val="0"/>
              <c:showSerName val="0"/>
              <c:showPercent val="1"/>
              <c:showBubbleSize val="0"/>
              <c:extLst>
                <c:ext xmlns:c15="http://schemas.microsoft.com/office/drawing/2012/chart" uri="{CE6537A1-D6FC-4f65-9D91-7224C49458BB}"/>
              </c:extLst>
            </c:dLbl>
            <c:dLbl>
              <c:idx val="2"/>
              <c:layout>
                <c:manualLayout>
                  <c:x val="-0.118333333333333"/>
                  <c:y val="0.12222222222222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4.</a:t>
                    </a:r>
                    <a:r>
                      <a:rPr lang="en-US" altLang="zh-CN"/>
                      <a:t>5</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4"/>
                  <c:y val="0.027777777777777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80.</a:t>
                    </a:r>
                    <a:r>
                      <a:rPr lang="en-US" altLang="zh-CN"/>
                      <a:t>4</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5.</a:t>
                    </a:r>
                    <a:r>
                      <a:rPr lang="en-US" altLang="zh-CN"/>
                      <a:t>1</a:t>
                    </a:r>
                    <a:r>
                      <a:t>%</a:t>
                    </a:r>
                  </a:p>
                </c:rich>
              </c:tx>
              <c:dLblPos val="outEnd"/>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'[3-图表生成.xlsx]Sheet1'!$I$27:$I$31</c:f>
              <c:strCache>
                <c:ptCount val="5"/>
                <c:pt idx="0">
                  <c:v>科学技术支出</c:v>
                </c:pt>
                <c:pt idx="1">
                  <c:v>社会保障和就业支出</c:v>
                </c:pt>
                <c:pt idx="2">
                  <c:v>卫生健康支出</c:v>
                </c:pt>
                <c:pt idx="3">
                  <c:v>农林水支出</c:v>
                </c:pt>
                <c:pt idx="4">
                  <c:v>住房保障支出</c:v>
                </c:pt>
              </c:strCache>
            </c:strRef>
          </c:cat>
          <c:val>
            <c:numRef>
              <c:f>'[3-图表生成.xlsx]Sheet1'!$J$27:$J$31</c:f>
              <c:numCache>
                <c:formatCode>0.00_ </c:formatCode>
                <c:ptCount val="5"/>
                <c:pt idx="0">
                  <c:v>17.26</c:v>
                </c:pt>
                <c:pt idx="1" c:formatCode="General">
                  <c:v>140.59</c:v>
                </c:pt>
                <c:pt idx="2" c:formatCode="General">
                  <c:v>70.5</c:v>
                </c:pt>
                <c:pt idx="3" c:formatCode="General">
                  <c:v>1262.37</c:v>
                </c:pt>
                <c:pt idx="4" c:formatCode="General">
                  <c:v>79.53</c:v>
                </c:pt>
              </c:numCache>
            </c:numRef>
          </c:val>
        </c:ser>
        <c:ser>
          <c:idx val="1"/>
          <c:order val="1"/>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'[3-图表生成.xlsx]Sheet1'!$I$27:$I$31</c:f>
              <c:strCache>
                <c:ptCount val="5"/>
                <c:pt idx="0">
                  <c:v>科学技术支出</c:v>
                </c:pt>
                <c:pt idx="1">
                  <c:v>社会保障和就业支出</c:v>
                </c:pt>
                <c:pt idx="2">
                  <c:v>卫生健康支出</c:v>
                </c:pt>
                <c:pt idx="3">
                  <c:v>农林水支出</c:v>
                </c:pt>
                <c:pt idx="4">
                  <c:v>住房保障支出</c:v>
                </c:pt>
              </c:strCache>
            </c:strRef>
          </c:cat>
          <c:val>
            <c:numRef>
              <c:f>'[3-图表生成.xlsx]Sheet1'!$K$27:$K$31</c:f>
              <c:numCache>
                <c:formatCode>0.0%</c:formatCode>
                <c:ptCount val="5"/>
                <c:pt idx="0">
                  <c:v>0.0109918802738417</c:v>
                </c:pt>
                <c:pt idx="1">
                  <c:v>0.0895335137716924</c:v>
                </c:pt>
                <c:pt idx="2">
                  <c:v>0.0448973093456456</c:v>
                </c:pt>
                <c:pt idx="3">
                  <c:v>0.803929310619328</c:v>
                </c:pt>
                <c:pt idx="4">
                  <c:v>0.0506479859894921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l"/>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9d7a093-e548-4b45-8284-7526bc66b13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a:t>
            </a:r>
            <a:r>
              <a:rPr lang="en-US" altLang="zh-CN"/>
              <a:t>”</a:t>
            </a:r>
            <a:r>
              <a:rPr altLang="en-US"/>
              <a:t>经费财政拨款支出结构</a:t>
            </a:r>
            <a:endParaRPr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96%</a:t>
                    </a:r>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a:t>
                    </a:r>
                    <a:r>
                      <a:t>%</a:t>
                    </a:r>
                  </a:p>
                </c:rich>
              </c:tx>
              <c:dLblPos val="inEnd"/>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'[3-图表生成.xlsx]Sheet1'!$I$44:$I$45</c:f>
              <c:strCache>
                <c:ptCount val="2"/>
                <c:pt idx="0">
                  <c:v>公务用车购置及运行维护费支出</c:v>
                </c:pt>
                <c:pt idx="1">
                  <c:v>公务接待费支出</c:v>
                </c:pt>
              </c:strCache>
            </c:strRef>
          </c:cat>
          <c:val>
            <c:numRef>
              <c:f>'[3-图表生成.xlsx]Sheet1'!$J$44:$J$45</c:f>
              <c:numCache>
                <c:formatCode>General</c:formatCode>
                <c:ptCount val="2"/>
                <c:pt idx="0">
                  <c:v>15.79</c:v>
                </c:pt>
                <c:pt idx="1">
                  <c:v>0.65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faa7a48-d1b7-49ab-9420-2342dd1131f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63</Pages>
  <Words>7065</Words>
  <Characters>7977</Characters>
  <Lines>60</Lines>
  <Paragraphs>17</Paragraphs>
  <TotalTime>5</TotalTime>
  <ScaleCrop>false</ScaleCrop>
  <LinksUpToDate>false</LinksUpToDate>
  <CharactersWithSpaces>8108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keyu</cp:lastModifiedBy>
  <cp:lastPrinted>2025-08-06T17:34:00Z</cp:lastPrinted>
  <dcterms:modified xsi:type="dcterms:W3CDTF">2025-09-17T00:48:41Z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E5A60B504A8B49F69DA1318E13E2F4EC_13</vt:lpwstr>
  </property>
  <property fmtid="{D5CDD505-2E9C-101B-9397-08002B2CF9AE}" pid="4" name="KSOTemplateDocerSaveRecord">
    <vt:lpwstr>eyJoZGlkIjoiMzY3OTQyNGFlMTdjZWFjZTlkMDM4Zjc5YjU0MzQwNzIiLCJ1c2VySWQiOiI3OTcyNjE3MDkifQ==</vt:lpwstr>
  </property>
</Properties>
</file>