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8359F">
      <w:bookmarkStart w:id="0" w:name="_Toc15396597"/>
      <w:bookmarkStart w:id="1" w:name="_Toc15377193"/>
      <w:bookmarkStart w:id="2" w:name="_Toc15378441"/>
      <w:bookmarkStart w:id="3" w:name="_Toc15377425"/>
      <w:bookmarkStart w:id="4" w:name="_Toc15396475"/>
      <w:bookmarkStart w:id="5" w:name="_Toc15306267"/>
    </w:p>
    <w:p w14:paraId="278E0CCC">
      <w:pPr>
        <w:pStyle w:val="6"/>
        <w:spacing w:before="93"/>
        <w:jc w:val="center"/>
        <w:rPr>
          <w:rFonts w:ascii="Times New Roman" w:eastAsia="方正小标宋简体"/>
          <w:kern w:val="2"/>
          <w:sz w:val="44"/>
          <w:szCs w:val="44"/>
        </w:rPr>
      </w:pPr>
    </w:p>
    <w:p w14:paraId="0F8DC781">
      <w:pPr>
        <w:pStyle w:val="6"/>
        <w:spacing w:before="93"/>
        <w:jc w:val="center"/>
        <w:rPr>
          <w:rFonts w:ascii="Times New Roman" w:eastAsia="方正小标宋简体"/>
          <w:kern w:val="2"/>
          <w:sz w:val="44"/>
          <w:szCs w:val="44"/>
        </w:rPr>
      </w:pPr>
    </w:p>
    <w:p w14:paraId="4D2B47BA">
      <w:pPr>
        <w:pStyle w:val="6"/>
        <w:spacing w:before="93"/>
        <w:jc w:val="center"/>
        <w:rPr>
          <w:rFonts w:ascii="Times New Roman" w:eastAsia="方正小标宋简体"/>
          <w:kern w:val="2"/>
          <w:sz w:val="44"/>
          <w:szCs w:val="44"/>
        </w:rPr>
      </w:pPr>
    </w:p>
    <w:p w14:paraId="106B7653">
      <w:pPr>
        <w:pStyle w:val="6"/>
        <w:spacing w:before="93"/>
        <w:jc w:val="center"/>
        <w:rPr>
          <w:rFonts w:ascii="Times New Roman" w:eastAsia="方正小标宋简体"/>
          <w:kern w:val="2"/>
          <w:sz w:val="44"/>
          <w:szCs w:val="44"/>
        </w:rPr>
      </w:pPr>
    </w:p>
    <w:bookmarkEnd w:id="0"/>
    <w:bookmarkEnd w:id="1"/>
    <w:bookmarkEnd w:id="2"/>
    <w:bookmarkEnd w:id="3"/>
    <w:bookmarkEnd w:id="4"/>
    <w:p w14:paraId="10EADC75">
      <w:pPr>
        <w:pStyle w:val="6"/>
        <w:spacing w:before="93"/>
        <w:jc w:val="center"/>
        <w:rPr>
          <w:rFonts w:hint="eastAsia" w:ascii="Times New Roman" w:eastAsia="方正小标宋简体"/>
          <w:kern w:val="2"/>
          <w:sz w:val="44"/>
          <w:szCs w:val="44"/>
        </w:rPr>
      </w:pPr>
      <w:bookmarkStart w:id="6" w:name="_Toc15396598"/>
      <w:bookmarkStart w:id="7" w:name="_Toc15377194"/>
      <w:bookmarkStart w:id="8" w:name="_Toc15377426"/>
      <w:bookmarkStart w:id="9" w:name="_Toc15378442"/>
      <w:bookmarkStart w:id="10" w:name="_Toc15396476"/>
      <w:r>
        <w:rPr>
          <w:rFonts w:hint="eastAsia" w:ascii="Times New Roman" w:eastAsia="方正小标宋简体"/>
          <w:kern w:val="2"/>
          <w:sz w:val="44"/>
          <w:szCs w:val="44"/>
        </w:rPr>
        <w:t>2024年度</w:t>
      </w:r>
      <w:bookmarkEnd w:id="5"/>
      <w:bookmarkStart w:id="11" w:name="_Toc15306268"/>
      <w:r>
        <w:rPr>
          <w:rFonts w:hint="eastAsia" w:ascii="Times New Roman" w:eastAsia="方正小标宋简体"/>
          <w:kern w:val="2"/>
          <w:sz w:val="44"/>
          <w:szCs w:val="44"/>
        </w:rPr>
        <w:t>四川省龙日种畜场</w:t>
      </w:r>
    </w:p>
    <w:p w14:paraId="47AEF975">
      <w:pPr>
        <w:pStyle w:val="6"/>
        <w:spacing w:before="93"/>
        <w:jc w:val="center"/>
        <w:rPr>
          <w:rFonts w:hint="eastAsia" w:ascii="Times New Roman" w:eastAsia="方正小标宋简体"/>
          <w:kern w:val="2"/>
          <w:sz w:val="44"/>
          <w:szCs w:val="44"/>
          <w:lang w:val="en-US" w:eastAsia="zh-CN"/>
        </w:rPr>
      </w:pPr>
      <w:r>
        <w:rPr>
          <w:rFonts w:hint="eastAsia" w:ascii="Times New Roman" w:eastAsia="方正小标宋简体"/>
          <w:kern w:val="2"/>
          <w:sz w:val="44"/>
          <w:szCs w:val="44"/>
          <w:lang w:val="en-US" w:eastAsia="zh-CN"/>
        </w:rPr>
        <w:t>部门</w:t>
      </w:r>
      <w:r>
        <w:rPr>
          <w:rFonts w:hint="eastAsia" w:ascii="Times New Roman" w:eastAsia="方正小标宋简体"/>
          <w:kern w:val="2"/>
          <w:sz w:val="44"/>
          <w:szCs w:val="44"/>
        </w:rPr>
        <w:t>决算</w:t>
      </w:r>
      <w:bookmarkEnd w:id="6"/>
      <w:bookmarkEnd w:id="7"/>
      <w:bookmarkEnd w:id="8"/>
      <w:bookmarkEnd w:id="9"/>
      <w:bookmarkEnd w:id="10"/>
      <w:bookmarkEnd w:id="11"/>
      <w:r>
        <w:rPr>
          <w:rFonts w:hint="eastAsia" w:ascii="Times New Roman" w:eastAsia="方正小标宋简体"/>
          <w:kern w:val="2"/>
          <w:sz w:val="44"/>
          <w:szCs w:val="44"/>
          <w:lang w:val="en-US" w:eastAsia="zh-CN"/>
        </w:rPr>
        <w:t>公开</w:t>
      </w:r>
    </w:p>
    <w:p w14:paraId="43C479F1">
      <w:pPr>
        <w:widowControl/>
        <w:jc w:val="center"/>
        <w:rPr>
          <w:rFonts w:eastAsia="方正小标宋简体"/>
          <w:sz w:val="36"/>
          <w:szCs w:val="36"/>
        </w:rPr>
      </w:pPr>
    </w:p>
    <w:p w14:paraId="5500BBCC">
      <w:pPr>
        <w:widowControl/>
        <w:jc w:val="center"/>
        <w:rPr>
          <w:rFonts w:eastAsia="方正小标宋简体"/>
          <w:sz w:val="36"/>
          <w:szCs w:val="36"/>
        </w:rPr>
      </w:pPr>
    </w:p>
    <w:p w14:paraId="48525C46">
      <w:pPr>
        <w:widowControl/>
        <w:jc w:val="center"/>
        <w:rPr>
          <w:rFonts w:eastAsia="黑体"/>
          <w:sz w:val="48"/>
          <w:szCs w:val="48"/>
        </w:rPr>
      </w:pPr>
      <w:r>
        <w:rPr>
          <w:rFonts w:eastAsia="方正小标宋简体"/>
          <w:sz w:val="36"/>
          <w:szCs w:val="36"/>
        </w:rPr>
        <w:br w:type="page"/>
      </w:r>
      <w:r>
        <w:rPr>
          <w:rFonts w:hint="eastAsia" w:eastAsia="黑体"/>
          <w:sz w:val="48"/>
          <w:szCs w:val="48"/>
        </w:rPr>
        <w:t>目录</w:t>
      </w:r>
    </w:p>
    <w:p w14:paraId="3A675FA4">
      <w:pPr>
        <w:widowControl/>
        <w:jc w:val="center"/>
        <w:rPr>
          <w:rFonts w:eastAsia="黑体" w:cstheme="minorBidi"/>
          <w:sz w:val="28"/>
          <w:szCs w:val="28"/>
        </w:rPr>
      </w:pPr>
    </w:p>
    <w:p w14:paraId="3AB94423">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w:t>
      </w: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21</w:t>
      </w:r>
      <w:r>
        <w:rPr>
          <w:rFonts w:hint="eastAsia" w:ascii="Times New Roman" w:hAnsi="Times New Roman" w:eastAsia="仿宋_GB2312" w:cs="仿宋_GB2312"/>
          <w:sz w:val="32"/>
          <w:szCs w:val="32"/>
        </w:rPr>
        <w:t>日</w:t>
      </w:r>
    </w:p>
    <w:p w14:paraId="63C0BCB0"/>
    <w:sdt>
      <w:sdtPr>
        <w:rPr>
          <w:rFonts w:ascii="宋体" w:hAnsi="宋体" w:eastAsia="宋体" w:cs="Times New Roman"/>
          <w:kern w:val="2"/>
          <w:sz w:val="21"/>
          <w:szCs w:val="24"/>
          <w:lang w:val="en-US" w:eastAsia="zh-CN" w:bidi="ar-SA"/>
        </w:rPr>
        <w:id w:val="147477825"/>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34648FFC">
          <w:pPr>
            <w:spacing w:before="0" w:beforeLines="0" w:after="0" w:afterLines="0" w:line="240" w:lineRule="auto"/>
            <w:ind w:left="0" w:leftChars="0" w:right="0" w:rightChars="0" w:firstLine="0" w:firstLineChars="0"/>
            <w:jc w:val="center"/>
          </w:pPr>
        </w:p>
        <w:p w14:paraId="1B935E84">
          <w:pPr>
            <w:pStyle w:val="13"/>
            <w:tabs>
              <w:tab w:val="right" w:leader="dot" w:pos="8306"/>
              <w:tab w:val="clear" w:pos="8296"/>
            </w:tabs>
          </w:pPr>
          <w:r>
            <w:fldChar w:fldCharType="begin"/>
          </w:r>
          <w:r>
            <w:instrText xml:space="preserve">TOC \o "1-3" \h \u </w:instrText>
          </w:r>
          <w:r>
            <w:fldChar w:fldCharType="separate"/>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_Toc25255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第一部分  部门概况</w:t>
          </w:r>
          <w:r>
            <w:rPr>
              <w:rFonts w:hint="eastAsia" w:cs="Times New Roman"/>
            </w:rPr>
            <w:tab/>
          </w:r>
          <w:r>
            <w:rPr>
              <w:rFonts w:hint="eastAsia" w:cs="Times New Roman"/>
            </w:rPr>
            <w:fldChar w:fldCharType="begin"/>
          </w:r>
          <w:r>
            <w:rPr>
              <w:rFonts w:hint="eastAsia" w:cs="Times New Roman"/>
            </w:rPr>
            <w:instrText xml:space="preserve"> PAGEREF _Toc25255 \h </w:instrText>
          </w:r>
          <w:r>
            <w:rPr>
              <w:rFonts w:hint="eastAsia" w:cs="Times New Roman"/>
            </w:rPr>
            <w:fldChar w:fldCharType="separate"/>
          </w:r>
          <w:r>
            <w:rPr>
              <w:rFonts w:hint="eastAsia" w:cs="Times New Roman"/>
            </w:rPr>
            <w:t>- 1 -</w:t>
          </w:r>
          <w:r>
            <w:rPr>
              <w:rFonts w:hint="eastAsia" w:cs="Times New Roman"/>
            </w:rPr>
            <w:fldChar w:fldCharType="end"/>
          </w:r>
          <w:r>
            <w:rPr>
              <w:rFonts w:hint="eastAsia" w:ascii="Times New Roman" w:hAnsi="Times New Roman" w:eastAsia="黑体" w:cs="黑体"/>
              <w:sz w:val="32"/>
              <w:szCs w:val="32"/>
            </w:rPr>
            <w:fldChar w:fldCharType="end"/>
          </w:r>
        </w:p>
        <w:p w14:paraId="413D7CFF">
          <w:pPr>
            <w:pStyle w:val="13"/>
            <w:tabs>
              <w:tab w:val="right" w:leader="dot" w:pos="8306"/>
              <w:tab w:val="clear" w:pos="8296"/>
            </w:tabs>
          </w:pPr>
          <w:r>
            <w:fldChar w:fldCharType="begin"/>
          </w:r>
          <w:r>
            <w:instrText xml:space="preserve"> HYPERLINK \l _Toc16415 </w:instrText>
          </w:r>
          <w:r>
            <w:fldChar w:fldCharType="separate"/>
          </w:r>
          <w:r>
            <w:rPr>
              <w:rFonts w:hint="eastAsia" w:ascii="Times New Roman" w:hAnsi="Times New Roman" w:eastAsia="黑体"/>
            </w:rPr>
            <w:t>一、 部门职责</w:t>
          </w:r>
          <w:r>
            <w:tab/>
          </w:r>
          <w:r>
            <w:fldChar w:fldCharType="begin"/>
          </w:r>
          <w:r>
            <w:instrText xml:space="preserve"> PAGEREF _Toc16415 \h </w:instrText>
          </w:r>
          <w:r>
            <w:fldChar w:fldCharType="separate"/>
          </w:r>
          <w:r>
            <w:t>- 1 -</w:t>
          </w:r>
          <w:r>
            <w:fldChar w:fldCharType="end"/>
          </w:r>
          <w:r>
            <w:fldChar w:fldCharType="end"/>
          </w:r>
        </w:p>
        <w:p w14:paraId="0151CE24">
          <w:pPr>
            <w:pStyle w:val="13"/>
            <w:tabs>
              <w:tab w:val="right" w:leader="dot" w:pos="8306"/>
              <w:tab w:val="clear" w:pos="8296"/>
            </w:tabs>
          </w:pPr>
          <w:r>
            <w:fldChar w:fldCharType="begin"/>
          </w:r>
          <w:r>
            <w:instrText xml:space="preserve"> HYPERLINK \l _Toc16174 </w:instrText>
          </w:r>
          <w:r>
            <w:fldChar w:fldCharType="separate"/>
          </w:r>
          <w:r>
            <w:rPr>
              <w:rFonts w:hint="eastAsia" w:ascii="Times New Roman" w:hAnsi="Times New Roman" w:eastAsia="黑体"/>
            </w:rPr>
            <w:t>二、机</w:t>
          </w:r>
          <w:r>
            <w:rPr>
              <w:rFonts w:hint="eastAsia" w:ascii="Times New Roman" w:hAnsi="Times New Roman" w:eastAsia="黑体"/>
              <w:bCs w:val="0"/>
            </w:rPr>
            <w:t>构设置</w:t>
          </w:r>
          <w:r>
            <w:tab/>
          </w:r>
          <w:r>
            <w:fldChar w:fldCharType="begin"/>
          </w:r>
          <w:r>
            <w:instrText xml:space="preserve"> PAGEREF _Toc16174 \h </w:instrText>
          </w:r>
          <w:r>
            <w:fldChar w:fldCharType="separate"/>
          </w:r>
          <w:r>
            <w:t>- 1 -</w:t>
          </w:r>
          <w:r>
            <w:fldChar w:fldCharType="end"/>
          </w:r>
          <w:r>
            <w:fldChar w:fldCharType="end"/>
          </w:r>
        </w:p>
        <w:p w14:paraId="7F1CDD8A">
          <w:pPr>
            <w:pStyle w:val="13"/>
            <w:tabs>
              <w:tab w:val="right" w:leader="dot" w:pos="8306"/>
              <w:tab w:val="clear" w:pos="8296"/>
            </w:tabs>
          </w:pPr>
          <w:r>
            <w:fldChar w:fldCharType="begin"/>
          </w:r>
          <w:r>
            <w:instrText xml:space="preserve"> HYPERLINK \l _Toc714 </w:instrText>
          </w:r>
          <w:r>
            <w:fldChar w:fldCharType="separate"/>
          </w:r>
          <w:r>
            <w:rPr>
              <w:rFonts w:hint="eastAsia" w:ascii="Times New Roman" w:hAnsi="Times New Roman" w:eastAsia="黑体" w:cs="黑体"/>
              <w:sz w:val="32"/>
              <w:szCs w:val="32"/>
            </w:rPr>
            <w:t>第二部分  2024年度部门决算情况说明</w:t>
          </w:r>
          <w:r>
            <w:tab/>
          </w:r>
          <w:r>
            <w:fldChar w:fldCharType="begin"/>
          </w:r>
          <w:r>
            <w:instrText xml:space="preserve"> PAGEREF _Toc714 \h </w:instrText>
          </w:r>
          <w:r>
            <w:fldChar w:fldCharType="separate"/>
          </w:r>
          <w:r>
            <w:t>- 2 -</w:t>
          </w:r>
          <w:r>
            <w:fldChar w:fldCharType="end"/>
          </w:r>
          <w:r>
            <w:fldChar w:fldCharType="end"/>
          </w:r>
        </w:p>
        <w:p w14:paraId="18536031">
          <w:pPr>
            <w:pStyle w:val="13"/>
            <w:tabs>
              <w:tab w:val="right" w:leader="dot" w:pos="8306"/>
              <w:tab w:val="clear" w:pos="8296"/>
            </w:tabs>
          </w:pPr>
          <w:r>
            <w:fldChar w:fldCharType="begin"/>
          </w:r>
          <w:r>
            <w:instrText xml:space="preserve"> HYPERLINK \l _Toc8205 </w:instrText>
          </w:r>
          <w:r>
            <w:fldChar w:fldCharType="separate"/>
          </w:r>
          <w:r>
            <w:rPr>
              <w:rFonts w:hint="eastAsia" w:eastAsia="黑体"/>
              <w:szCs w:val="32"/>
            </w:rPr>
            <w:t>一、收</w:t>
          </w:r>
          <w:r>
            <w:rPr>
              <w:rFonts w:hint="eastAsia" w:ascii="Times New Roman" w:hAnsi="Times New Roman" w:eastAsia="黑体"/>
            </w:rPr>
            <w:t>入支出决算总体情况说明</w:t>
          </w:r>
          <w:r>
            <w:tab/>
          </w:r>
          <w:r>
            <w:fldChar w:fldCharType="begin"/>
          </w:r>
          <w:r>
            <w:instrText xml:space="preserve"> PAGEREF _Toc8205 \h </w:instrText>
          </w:r>
          <w:r>
            <w:fldChar w:fldCharType="separate"/>
          </w:r>
          <w:r>
            <w:t>- 2 -</w:t>
          </w:r>
          <w:r>
            <w:fldChar w:fldCharType="end"/>
          </w:r>
          <w:r>
            <w:fldChar w:fldCharType="end"/>
          </w:r>
        </w:p>
        <w:p w14:paraId="1CC2F65F">
          <w:pPr>
            <w:pStyle w:val="13"/>
            <w:tabs>
              <w:tab w:val="right" w:leader="dot" w:pos="8306"/>
              <w:tab w:val="clear" w:pos="8296"/>
            </w:tabs>
          </w:pPr>
          <w:r>
            <w:fldChar w:fldCharType="begin"/>
          </w:r>
          <w:r>
            <w:instrText xml:space="preserve"> HYPERLINK \l _Toc20651 </w:instrText>
          </w:r>
          <w:r>
            <w:fldChar w:fldCharType="separate"/>
          </w:r>
          <w:r>
            <w:rPr>
              <w:rFonts w:hint="eastAsia" w:eastAsia="黑体"/>
              <w:szCs w:val="32"/>
            </w:rPr>
            <w:t>二、收入决算情况说明</w:t>
          </w:r>
          <w:r>
            <w:tab/>
          </w:r>
          <w:r>
            <w:fldChar w:fldCharType="begin"/>
          </w:r>
          <w:r>
            <w:instrText xml:space="preserve"> PAGEREF _Toc20651 \h </w:instrText>
          </w:r>
          <w:r>
            <w:fldChar w:fldCharType="separate"/>
          </w:r>
          <w:r>
            <w:t>- 2 -</w:t>
          </w:r>
          <w:r>
            <w:fldChar w:fldCharType="end"/>
          </w:r>
          <w:r>
            <w:fldChar w:fldCharType="end"/>
          </w:r>
        </w:p>
        <w:p w14:paraId="1607FCEC">
          <w:pPr>
            <w:pStyle w:val="13"/>
            <w:tabs>
              <w:tab w:val="right" w:leader="dot" w:pos="8306"/>
              <w:tab w:val="clear" w:pos="8296"/>
            </w:tabs>
          </w:pPr>
          <w:r>
            <w:fldChar w:fldCharType="begin"/>
          </w:r>
          <w:r>
            <w:instrText xml:space="preserve"> HYPERLINK \l _Toc9102 </w:instrText>
          </w:r>
          <w:r>
            <w:fldChar w:fldCharType="separate"/>
          </w:r>
          <w:r>
            <w:rPr>
              <w:rFonts w:hint="eastAsia" w:eastAsia="黑体"/>
              <w:szCs w:val="32"/>
            </w:rPr>
            <w:t>三、支</w:t>
          </w:r>
          <w:r>
            <w:rPr>
              <w:rFonts w:hint="eastAsia" w:ascii="Times New Roman" w:hAnsi="Times New Roman" w:eastAsia="黑体"/>
            </w:rPr>
            <w:t>出决算情况说明</w:t>
          </w:r>
          <w:r>
            <w:tab/>
          </w:r>
          <w:r>
            <w:fldChar w:fldCharType="begin"/>
          </w:r>
          <w:r>
            <w:instrText xml:space="preserve"> PAGEREF _Toc9102 \h </w:instrText>
          </w:r>
          <w:r>
            <w:fldChar w:fldCharType="separate"/>
          </w:r>
          <w:r>
            <w:t>- 3 -</w:t>
          </w:r>
          <w:r>
            <w:fldChar w:fldCharType="end"/>
          </w:r>
          <w:r>
            <w:fldChar w:fldCharType="end"/>
          </w:r>
        </w:p>
        <w:p w14:paraId="2156B973">
          <w:pPr>
            <w:pStyle w:val="13"/>
            <w:tabs>
              <w:tab w:val="right" w:leader="dot" w:pos="8306"/>
              <w:tab w:val="clear" w:pos="8296"/>
            </w:tabs>
          </w:pPr>
          <w:r>
            <w:fldChar w:fldCharType="begin"/>
          </w:r>
          <w:r>
            <w:instrText xml:space="preserve"> HYPERLINK \l _Toc17121 </w:instrText>
          </w:r>
          <w:r>
            <w:fldChar w:fldCharType="separate"/>
          </w:r>
          <w:r>
            <w:rPr>
              <w:rFonts w:hint="eastAsia" w:eastAsia="黑体"/>
              <w:szCs w:val="32"/>
            </w:rPr>
            <w:t>四、财</w:t>
          </w:r>
          <w:r>
            <w:rPr>
              <w:rFonts w:hint="eastAsia" w:ascii="Times New Roman" w:hAnsi="Times New Roman" w:eastAsia="黑体"/>
            </w:rPr>
            <w:t>政拨款收入支出决算总体情况说明</w:t>
          </w:r>
          <w:r>
            <w:tab/>
          </w:r>
          <w:r>
            <w:fldChar w:fldCharType="begin"/>
          </w:r>
          <w:r>
            <w:instrText xml:space="preserve"> PAGEREF _Toc17121 \h </w:instrText>
          </w:r>
          <w:r>
            <w:fldChar w:fldCharType="separate"/>
          </w:r>
          <w:r>
            <w:t>- 3 -</w:t>
          </w:r>
          <w:r>
            <w:fldChar w:fldCharType="end"/>
          </w:r>
          <w:r>
            <w:fldChar w:fldCharType="end"/>
          </w:r>
        </w:p>
        <w:p w14:paraId="77130368">
          <w:pPr>
            <w:pStyle w:val="13"/>
            <w:tabs>
              <w:tab w:val="right" w:leader="dot" w:pos="8306"/>
              <w:tab w:val="clear" w:pos="8296"/>
            </w:tabs>
          </w:pPr>
          <w:r>
            <w:fldChar w:fldCharType="begin"/>
          </w:r>
          <w:r>
            <w:instrText xml:space="preserve"> HYPERLINK \l _Toc2659 </w:instrText>
          </w:r>
          <w:r>
            <w:fldChar w:fldCharType="separate"/>
          </w:r>
          <w:r>
            <w:rPr>
              <w:rFonts w:hint="eastAsia" w:eastAsia="黑体"/>
              <w:szCs w:val="32"/>
            </w:rPr>
            <w:t>五、一</w:t>
          </w:r>
          <w:r>
            <w:rPr>
              <w:rFonts w:hint="eastAsia" w:ascii="Times New Roman" w:hAnsi="Times New Roman" w:eastAsia="黑体"/>
            </w:rPr>
            <w:t>般公共预算财政拨款支出决算情况说明</w:t>
          </w:r>
          <w:r>
            <w:tab/>
          </w:r>
          <w:r>
            <w:fldChar w:fldCharType="begin"/>
          </w:r>
          <w:r>
            <w:instrText xml:space="preserve"> PAGEREF _Toc2659 \h </w:instrText>
          </w:r>
          <w:r>
            <w:fldChar w:fldCharType="separate"/>
          </w:r>
          <w:r>
            <w:t>- 4 -</w:t>
          </w:r>
          <w:r>
            <w:fldChar w:fldCharType="end"/>
          </w:r>
          <w:r>
            <w:fldChar w:fldCharType="end"/>
          </w:r>
        </w:p>
        <w:p w14:paraId="2B703976">
          <w:pPr>
            <w:pStyle w:val="13"/>
            <w:tabs>
              <w:tab w:val="right" w:leader="dot" w:pos="8306"/>
              <w:tab w:val="clear" w:pos="8296"/>
            </w:tabs>
          </w:pPr>
          <w:r>
            <w:fldChar w:fldCharType="begin"/>
          </w:r>
          <w:r>
            <w:instrText xml:space="preserve"> HYPERLINK \l _Toc15135 </w:instrText>
          </w:r>
          <w:r>
            <w:fldChar w:fldCharType="separate"/>
          </w:r>
          <w:r>
            <w:rPr>
              <w:rFonts w:hint="eastAsia" w:eastAsia="黑体"/>
              <w:szCs w:val="32"/>
            </w:rPr>
            <w:t>六、一</w:t>
          </w:r>
          <w:r>
            <w:rPr>
              <w:rFonts w:hint="eastAsia" w:ascii="Times New Roman" w:hAnsi="Times New Roman" w:eastAsia="黑体"/>
            </w:rPr>
            <w:t>般公共预算财政拨款基本支出决算情况说明</w:t>
          </w:r>
          <w:r>
            <w:tab/>
          </w:r>
          <w:r>
            <w:fldChar w:fldCharType="begin"/>
          </w:r>
          <w:r>
            <w:instrText xml:space="preserve"> PAGEREF _Toc15135 \h </w:instrText>
          </w:r>
          <w:r>
            <w:fldChar w:fldCharType="separate"/>
          </w:r>
          <w:r>
            <w:t>- 7 -</w:t>
          </w:r>
          <w:r>
            <w:fldChar w:fldCharType="end"/>
          </w:r>
          <w:r>
            <w:fldChar w:fldCharType="end"/>
          </w:r>
        </w:p>
        <w:p w14:paraId="19754F82">
          <w:pPr>
            <w:pStyle w:val="13"/>
            <w:tabs>
              <w:tab w:val="right" w:leader="dot" w:pos="8306"/>
              <w:tab w:val="clear" w:pos="8296"/>
            </w:tabs>
          </w:pPr>
          <w:r>
            <w:fldChar w:fldCharType="begin"/>
          </w:r>
          <w:r>
            <w:instrText xml:space="preserve"> HYPERLINK \l _Toc27668 </w:instrText>
          </w:r>
          <w:r>
            <w:fldChar w:fldCharType="separate"/>
          </w:r>
          <w:r>
            <w:rPr>
              <w:rFonts w:hint="eastAsia" w:eastAsia="黑体"/>
              <w:szCs w:val="32"/>
            </w:rPr>
            <w:t>七、</w:t>
          </w:r>
          <w:r>
            <w:rPr>
              <w:rFonts w:hint="eastAsia" w:ascii="Times New Roman" w:hAnsi="Times New Roman" w:eastAsia="黑体"/>
            </w:rPr>
            <w:t>财政拨款“三公”经费支出决算情况说明</w:t>
          </w:r>
          <w:r>
            <w:tab/>
          </w:r>
          <w:r>
            <w:fldChar w:fldCharType="begin"/>
          </w:r>
          <w:r>
            <w:instrText xml:space="preserve"> PAGEREF _Toc27668 \h </w:instrText>
          </w:r>
          <w:r>
            <w:fldChar w:fldCharType="separate"/>
          </w:r>
          <w:r>
            <w:t>- 7 -</w:t>
          </w:r>
          <w:r>
            <w:fldChar w:fldCharType="end"/>
          </w:r>
          <w:r>
            <w:fldChar w:fldCharType="end"/>
          </w:r>
        </w:p>
        <w:p w14:paraId="05428B56">
          <w:pPr>
            <w:pStyle w:val="13"/>
            <w:tabs>
              <w:tab w:val="right" w:leader="dot" w:pos="8306"/>
              <w:tab w:val="clear" w:pos="8296"/>
            </w:tabs>
          </w:pPr>
          <w:r>
            <w:fldChar w:fldCharType="begin"/>
          </w:r>
          <w:r>
            <w:instrText xml:space="preserve"> HYPERLINK \l _Toc17635 </w:instrText>
          </w:r>
          <w:r>
            <w:fldChar w:fldCharType="separate"/>
          </w:r>
          <w:r>
            <w:rPr>
              <w:rFonts w:hint="eastAsia" w:eastAsia="黑体"/>
              <w:szCs w:val="32"/>
            </w:rPr>
            <w:t>八、</w:t>
          </w:r>
          <w:r>
            <w:rPr>
              <w:rFonts w:hint="eastAsia" w:ascii="Times New Roman" w:hAnsi="Times New Roman" w:eastAsia="黑体"/>
            </w:rPr>
            <w:t>政府性基金预算支出决算情况说明</w:t>
          </w:r>
          <w:r>
            <w:tab/>
          </w:r>
          <w:r>
            <w:fldChar w:fldCharType="begin"/>
          </w:r>
          <w:r>
            <w:instrText xml:space="preserve"> PAGEREF _Toc17635 \h </w:instrText>
          </w:r>
          <w:r>
            <w:fldChar w:fldCharType="separate"/>
          </w:r>
          <w:r>
            <w:t>- 9 -</w:t>
          </w:r>
          <w:r>
            <w:fldChar w:fldCharType="end"/>
          </w:r>
          <w:r>
            <w:fldChar w:fldCharType="end"/>
          </w:r>
        </w:p>
        <w:p w14:paraId="00B68E99">
          <w:pPr>
            <w:pStyle w:val="13"/>
            <w:tabs>
              <w:tab w:val="right" w:leader="dot" w:pos="8306"/>
              <w:tab w:val="clear" w:pos="8296"/>
            </w:tabs>
          </w:pPr>
          <w:r>
            <w:fldChar w:fldCharType="begin"/>
          </w:r>
          <w:r>
            <w:instrText xml:space="preserve"> HYPERLINK \l _Toc6111 </w:instrText>
          </w:r>
          <w:r>
            <w:fldChar w:fldCharType="separate"/>
          </w:r>
          <w:r>
            <w:rPr>
              <w:rFonts w:hint="eastAsia" w:ascii="Times New Roman" w:hAnsi="Times New Roman" w:eastAsia="黑体"/>
            </w:rPr>
            <w:t>九、国有资本经营预算支出决算情况说明</w:t>
          </w:r>
          <w:r>
            <w:tab/>
          </w:r>
          <w:r>
            <w:fldChar w:fldCharType="begin"/>
          </w:r>
          <w:r>
            <w:instrText xml:space="preserve"> PAGEREF _Toc6111 \h </w:instrText>
          </w:r>
          <w:r>
            <w:fldChar w:fldCharType="separate"/>
          </w:r>
          <w:r>
            <w:t>- 9 -</w:t>
          </w:r>
          <w:r>
            <w:fldChar w:fldCharType="end"/>
          </w:r>
          <w:r>
            <w:fldChar w:fldCharType="end"/>
          </w:r>
        </w:p>
        <w:p w14:paraId="5FE47D50">
          <w:pPr>
            <w:pStyle w:val="13"/>
            <w:tabs>
              <w:tab w:val="right" w:leader="dot" w:pos="8306"/>
              <w:tab w:val="clear" w:pos="8296"/>
            </w:tabs>
          </w:pPr>
          <w:r>
            <w:fldChar w:fldCharType="begin"/>
          </w:r>
          <w:r>
            <w:instrText xml:space="preserve"> HYPERLINK \l _Toc25954 </w:instrText>
          </w:r>
          <w:r>
            <w:fldChar w:fldCharType="separate"/>
          </w:r>
          <w:r>
            <w:rPr>
              <w:rFonts w:hint="eastAsia" w:ascii="Times New Roman" w:hAnsi="Times New Roman" w:eastAsia="黑体"/>
            </w:rPr>
            <w:t>十、其他重要事项的情况说明</w:t>
          </w:r>
          <w:r>
            <w:tab/>
          </w:r>
          <w:r>
            <w:fldChar w:fldCharType="begin"/>
          </w:r>
          <w:r>
            <w:instrText xml:space="preserve"> PAGEREF _Toc25954 \h </w:instrText>
          </w:r>
          <w:r>
            <w:fldChar w:fldCharType="separate"/>
          </w:r>
          <w:r>
            <w:t>- 9 -</w:t>
          </w:r>
          <w:r>
            <w:fldChar w:fldCharType="end"/>
          </w:r>
          <w:r>
            <w:fldChar w:fldCharType="end"/>
          </w:r>
        </w:p>
        <w:p w14:paraId="46C0B7DC">
          <w:pPr>
            <w:pStyle w:val="13"/>
            <w:tabs>
              <w:tab w:val="right" w:leader="dot" w:pos="8306"/>
              <w:tab w:val="clear" w:pos="8296"/>
            </w:tabs>
          </w:pPr>
          <w:r>
            <w:fldChar w:fldCharType="begin"/>
          </w:r>
          <w:r>
            <w:instrText xml:space="preserve"> HYPERLINK \l _Toc19809 </w:instrText>
          </w:r>
          <w:r>
            <w:fldChar w:fldCharType="separate"/>
          </w:r>
          <w:r>
            <w:rPr>
              <w:rFonts w:hint="eastAsia" w:eastAsia="黑体"/>
              <w:szCs w:val="44"/>
            </w:rPr>
            <w:t>第三部分  名词解释</w:t>
          </w:r>
          <w:r>
            <w:tab/>
          </w:r>
          <w:r>
            <w:fldChar w:fldCharType="begin"/>
          </w:r>
          <w:r>
            <w:instrText xml:space="preserve"> PAGEREF _Toc19809 \h </w:instrText>
          </w:r>
          <w:r>
            <w:fldChar w:fldCharType="separate"/>
          </w:r>
          <w:r>
            <w:t>- 12 -</w:t>
          </w:r>
          <w:r>
            <w:fldChar w:fldCharType="end"/>
          </w:r>
          <w:r>
            <w:fldChar w:fldCharType="end"/>
          </w:r>
        </w:p>
        <w:p w14:paraId="7DFA2981">
          <w:pPr>
            <w:pStyle w:val="13"/>
            <w:tabs>
              <w:tab w:val="right" w:leader="dot" w:pos="8306"/>
              <w:tab w:val="clear" w:pos="8296"/>
            </w:tabs>
          </w:pPr>
          <w:r>
            <w:fldChar w:fldCharType="begin"/>
          </w:r>
          <w:r>
            <w:instrText xml:space="preserve"> HYPERLINK \l _Toc30720 </w:instrText>
          </w:r>
          <w:r>
            <w:fldChar w:fldCharType="separate"/>
          </w:r>
          <w:r>
            <w:rPr>
              <w:rFonts w:hint="eastAsia" w:eastAsia="黑体"/>
              <w:szCs w:val="44"/>
            </w:rPr>
            <w:t>第四部分  附件</w:t>
          </w:r>
          <w:r>
            <w:tab/>
          </w:r>
          <w:r>
            <w:fldChar w:fldCharType="begin"/>
          </w:r>
          <w:r>
            <w:instrText xml:space="preserve"> PAGEREF _Toc30720 \h </w:instrText>
          </w:r>
          <w:r>
            <w:fldChar w:fldCharType="separate"/>
          </w:r>
          <w:r>
            <w:t>- 16 -</w:t>
          </w:r>
          <w:r>
            <w:fldChar w:fldCharType="end"/>
          </w:r>
          <w:r>
            <w:fldChar w:fldCharType="end"/>
          </w:r>
        </w:p>
        <w:p w14:paraId="20BED28F">
          <w:pPr>
            <w:pStyle w:val="13"/>
            <w:tabs>
              <w:tab w:val="right" w:leader="dot" w:pos="8306"/>
              <w:tab w:val="clear" w:pos="8296"/>
            </w:tabs>
          </w:pPr>
          <w:r>
            <w:fldChar w:fldCharType="begin"/>
          </w:r>
          <w:r>
            <w:instrText xml:space="preserve"> HYPERLINK \l _Toc5060 </w:instrText>
          </w:r>
          <w:r>
            <w:fldChar w:fldCharType="separate"/>
          </w:r>
          <w:r>
            <w:rPr>
              <w:rFonts w:hint="eastAsia" w:eastAsia="黑体"/>
              <w:szCs w:val="44"/>
            </w:rPr>
            <w:t>第</w:t>
          </w:r>
          <w:r>
            <w:rPr>
              <w:rFonts w:hint="eastAsia" w:eastAsia="黑体"/>
            </w:rPr>
            <w:t>五部分 附表</w:t>
          </w:r>
          <w:r>
            <w:tab/>
          </w:r>
          <w:r>
            <w:fldChar w:fldCharType="begin"/>
          </w:r>
          <w:r>
            <w:instrText xml:space="preserve"> PAGEREF _Toc5060 \h </w:instrText>
          </w:r>
          <w:r>
            <w:fldChar w:fldCharType="separate"/>
          </w:r>
          <w:r>
            <w:t>- 60 -</w:t>
          </w:r>
          <w:r>
            <w:fldChar w:fldCharType="end"/>
          </w:r>
          <w:r>
            <w:fldChar w:fldCharType="end"/>
          </w:r>
        </w:p>
        <w:p w14:paraId="028B259B">
          <w:r>
            <w:fldChar w:fldCharType="end"/>
          </w:r>
        </w:p>
      </w:sdtContent>
    </w:sdt>
    <w:p w14:paraId="5320E549"/>
    <w:p w14:paraId="281D473A">
      <w:pPr>
        <w:pStyle w:val="3"/>
        <w:jc w:val="center"/>
        <w:rPr>
          <w:rFonts w:hint="eastAsia" w:eastAsia="方正小标宋简体" w:cs="方正小标宋简体"/>
          <w:b w:val="0"/>
        </w:rPr>
        <w:sectPr>
          <w:headerReference r:id="rId3" w:type="default"/>
          <w:pgSz w:w="11906" w:h="16838"/>
          <w:pgMar w:top="1440" w:right="1800" w:bottom="1440" w:left="1800" w:header="851" w:footer="992" w:gutter="0"/>
          <w:pgNumType w:fmt="numberInDash" w:start="1"/>
          <w:cols w:space="425" w:num="1"/>
          <w:titlePg/>
          <w:docGrid w:type="lines" w:linePitch="312" w:charSpace="0"/>
        </w:sectPr>
      </w:pPr>
      <w:bookmarkStart w:id="12" w:name="_Toc15396599"/>
      <w:bookmarkStart w:id="13" w:name="_Toc25255"/>
      <w:bookmarkStart w:id="14" w:name="_Toc15377196"/>
    </w:p>
    <w:p w14:paraId="7A0BB24A">
      <w:pPr>
        <w:pStyle w:val="3"/>
        <w:jc w:val="center"/>
        <w:rPr>
          <w:rStyle w:val="30"/>
          <w:rFonts w:eastAsia="方正小标宋简体" w:cs="方正小标宋简体"/>
          <w:b/>
          <w:bCs w:val="0"/>
        </w:rPr>
      </w:pPr>
      <w:r>
        <w:rPr>
          <w:rFonts w:hint="eastAsia" w:eastAsia="方正小标宋简体" w:cs="方正小标宋简体"/>
          <w:b w:val="0"/>
        </w:rPr>
        <w:t xml:space="preserve">第一部分  </w:t>
      </w:r>
      <w:r>
        <w:rPr>
          <w:rStyle w:val="30"/>
          <w:rFonts w:hint="eastAsia" w:eastAsia="方正小标宋简体" w:cs="方正小标宋简体"/>
          <w:b w:val="0"/>
          <w:bCs w:val="0"/>
        </w:rPr>
        <w:t>部门概况</w:t>
      </w:r>
      <w:bookmarkEnd w:id="12"/>
      <w:bookmarkEnd w:id="13"/>
      <w:bookmarkEnd w:id="14"/>
    </w:p>
    <w:p w14:paraId="6E8BE59E">
      <w:pPr>
        <w:widowControl/>
        <w:jc w:val="left"/>
        <w:rPr>
          <w:rFonts w:eastAsia="黑体"/>
          <w:sz w:val="32"/>
          <w:szCs w:val="32"/>
        </w:rPr>
      </w:pPr>
    </w:p>
    <w:p w14:paraId="77367542">
      <w:pPr>
        <w:pStyle w:val="4"/>
        <w:keepNext/>
        <w:keepLines/>
        <w:pageBreakBefore w:val="0"/>
        <w:widowControl w:val="0"/>
        <w:numPr>
          <w:ilvl w:val="0"/>
          <w:numId w:val="1"/>
        </w:numPr>
        <w:kinsoku/>
        <w:wordWrap/>
        <w:overflowPunct/>
        <w:topLinePunct w:val="0"/>
        <w:autoSpaceDE/>
        <w:autoSpaceDN/>
        <w:bidi w:val="0"/>
        <w:adjustRightInd/>
        <w:snapToGrid/>
        <w:spacing w:line="416" w:lineRule="auto"/>
        <w:ind w:firstLine="640" w:firstLineChars="200"/>
        <w:textAlignment w:val="auto"/>
        <w:outlineLvl w:val="0"/>
        <w:rPr>
          <w:rFonts w:hint="eastAsia" w:ascii="Times New Roman" w:hAnsi="Times New Roman" w:eastAsia="黑体"/>
          <w:b w:val="0"/>
        </w:rPr>
      </w:pPr>
      <w:bookmarkStart w:id="15" w:name="_Toc16415"/>
      <w:r>
        <w:rPr>
          <w:rFonts w:hint="eastAsia" w:ascii="Times New Roman" w:hAnsi="Times New Roman" w:eastAsia="黑体"/>
          <w:b w:val="0"/>
        </w:rPr>
        <w:t>部门职责</w:t>
      </w:r>
      <w:bookmarkEnd w:id="15"/>
    </w:p>
    <w:p w14:paraId="1AFE5DD9">
      <w:pPr>
        <w:pStyle w:val="6"/>
        <w:keepNext w:val="0"/>
        <w:keepLines w:val="0"/>
        <w:pageBreakBefore w:val="0"/>
        <w:widowControl w:val="0"/>
        <w:kinsoku/>
        <w:wordWrap/>
        <w:overflowPunct/>
        <w:topLinePunct w:val="0"/>
        <w:autoSpaceDE/>
        <w:autoSpaceDN/>
        <w:bidi w:val="0"/>
        <w:adjustRightInd w:val="0"/>
        <w:snapToGrid w:val="0"/>
        <w:spacing w:before="93"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场的主要职能是承担麦洼牦牛、藏系绵羊、河曲马等地方优良品种的保种、选育和推广以及标准化生产示范，为川西北高原发展畜牧业，保存并提供优良种质资源，推进牧区畜牧业可持续发展，辐射带动青藏高原牧区。我场为四川良种繁育体系的重要组成部分，一直承担着全国著名的牦牛地方优良品种—麦洼牦牛，全国三大著名粗毛羊品种之一的藏绵羊和全国著名的河曲马种质资源保存任务，为川西北牧区提供种畜，为畜牧业新技术的推广进行示范，为草地畜牧业科研、生产示范、培训、教学提供平台。</w:t>
      </w:r>
    </w:p>
    <w:p w14:paraId="020F2A88">
      <w:pPr>
        <w:pStyle w:val="4"/>
        <w:keepNext/>
        <w:keepLines/>
        <w:pageBreakBefore w:val="0"/>
        <w:widowControl w:val="0"/>
        <w:kinsoku/>
        <w:wordWrap/>
        <w:overflowPunct/>
        <w:topLinePunct w:val="0"/>
        <w:autoSpaceDE/>
        <w:autoSpaceDN/>
        <w:bidi w:val="0"/>
        <w:adjustRightInd/>
        <w:snapToGrid/>
        <w:spacing w:line="416" w:lineRule="auto"/>
        <w:ind w:firstLine="640" w:firstLineChars="200"/>
        <w:textAlignment w:val="auto"/>
        <w:outlineLvl w:val="0"/>
        <w:rPr>
          <w:rStyle w:val="31"/>
          <w:rFonts w:ascii="Times New Roman" w:hAnsi="Times New Roman"/>
          <w:b w:val="0"/>
          <w:bCs w:val="0"/>
        </w:rPr>
      </w:pPr>
      <w:bookmarkStart w:id="16" w:name="_Toc15396601"/>
      <w:bookmarkStart w:id="17" w:name="_Toc15377200"/>
      <w:bookmarkStart w:id="18" w:name="_Toc16174"/>
      <w:r>
        <w:rPr>
          <w:rFonts w:hint="eastAsia" w:ascii="Times New Roman" w:hAnsi="Times New Roman" w:eastAsia="黑体"/>
          <w:b w:val="0"/>
        </w:rPr>
        <w:t>二、机</w:t>
      </w:r>
      <w:r>
        <w:rPr>
          <w:rStyle w:val="31"/>
          <w:rFonts w:hint="eastAsia" w:ascii="Times New Roman" w:hAnsi="Times New Roman" w:eastAsia="黑体"/>
          <w:b w:val="0"/>
          <w:bCs w:val="0"/>
        </w:rPr>
        <w:t>构设置</w:t>
      </w:r>
      <w:bookmarkEnd w:id="16"/>
      <w:bookmarkEnd w:id="17"/>
      <w:bookmarkEnd w:id="18"/>
    </w:p>
    <w:p w14:paraId="4034BCE2">
      <w:pPr>
        <w:pStyle w:val="6"/>
        <w:keepNext w:val="0"/>
        <w:keepLines w:val="0"/>
        <w:pageBreakBefore w:val="0"/>
        <w:widowControl w:val="0"/>
        <w:kinsoku/>
        <w:wordWrap/>
        <w:overflowPunct/>
        <w:topLinePunct w:val="0"/>
        <w:autoSpaceDE/>
        <w:autoSpaceDN/>
        <w:bidi w:val="0"/>
        <w:adjustRightInd w:val="0"/>
        <w:snapToGrid w:val="0"/>
        <w:spacing w:before="93"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本单位本年度纳入本套决算编制范围的独立编制机构数共1个，比上年增加0个；独立核算机构数共1个，比上年增加0个。</w:t>
      </w:r>
    </w:p>
    <w:p w14:paraId="295113B1">
      <w:pPr>
        <w:widowControl/>
        <w:jc w:val="left"/>
        <w:rPr>
          <w:rFonts w:eastAsia="仿宋"/>
          <w:kern w:val="0"/>
          <w:sz w:val="32"/>
          <w:szCs w:val="32"/>
        </w:rPr>
      </w:pPr>
      <w:r>
        <w:rPr>
          <w:rFonts w:eastAsia="仿宋"/>
          <w:sz w:val="32"/>
          <w:szCs w:val="32"/>
        </w:rPr>
        <w:br w:type="page"/>
      </w:r>
    </w:p>
    <w:p w14:paraId="533D2F2E">
      <w:pPr>
        <w:pStyle w:val="3"/>
        <w:jc w:val="center"/>
        <w:rPr>
          <w:rFonts w:eastAsia="方正小标宋简体" w:cs="方正小标宋简体"/>
          <w:b w:val="0"/>
        </w:rPr>
      </w:pPr>
      <w:bookmarkStart w:id="19" w:name="_Toc714"/>
      <w:bookmarkStart w:id="20" w:name="_Toc15377204"/>
      <w:bookmarkStart w:id="21" w:name="_Toc15396602"/>
      <w:r>
        <w:rPr>
          <w:rFonts w:hint="eastAsia" w:eastAsia="方正小标宋简体" w:cs="方正小标宋简体"/>
          <w:b w:val="0"/>
        </w:rPr>
        <w:t>第二部分  2024年度部门决算情况说明</w:t>
      </w:r>
      <w:bookmarkEnd w:id="19"/>
      <w:bookmarkEnd w:id="20"/>
      <w:bookmarkEnd w:id="21"/>
    </w:p>
    <w:p w14:paraId="6B57631A"/>
    <w:p w14:paraId="61C442B7">
      <w:pPr>
        <w:pStyle w:val="29"/>
        <w:spacing w:line="600" w:lineRule="exact"/>
        <w:ind w:firstLine="640" w:firstLineChars="200"/>
        <w:outlineLvl w:val="0"/>
        <w:rPr>
          <w:rStyle w:val="31"/>
          <w:rFonts w:ascii="Times New Roman" w:hAnsi="Times New Roman" w:eastAsia="黑体"/>
          <w:b w:val="0"/>
        </w:rPr>
      </w:pPr>
      <w:bookmarkStart w:id="22" w:name="_Toc8205"/>
      <w:bookmarkStart w:id="23" w:name="_Toc15396603"/>
      <w:bookmarkStart w:id="24" w:name="_Toc15377205"/>
      <w:r>
        <w:rPr>
          <w:rFonts w:hint="eastAsia" w:eastAsia="黑体"/>
          <w:sz w:val="32"/>
          <w:szCs w:val="32"/>
        </w:rPr>
        <w:t>一、收</w:t>
      </w:r>
      <w:r>
        <w:rPr>
          <w:rStyle w:val="31"/>
          <w:rFonts w:hint="eastAsia" w:ascii="Times New Roman" w:hAnsi="Times New Roman" w:eastAsia="黑体"/>
          <w:b w:val="0"/>
        </w:rPr>
        <w:t>入支出决算总体情况说明</w:t>
      </w:r>
      <w:bookmarkEnd w:id="22"/>
      <w:bookmarkEnd w:id="23"/>
      <w:bookmarkEnd w:id="24"/>
    </w:p>
    <w:p w14:paraId="6B020F35">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2024年度收入、支出总计均为</w:t>
      </w:r>
      <w:r>
        <w:rPr>
          <w:rFonts w:hint="eastAsia" w:eastAsia="仿宋_GB2312" w:cs="仿宋_GB2312"/>
          <w:sz w:val="32"/>
          <w:szCs w:val="32"/>
          <w:lang w:val="en-US" w:eastAsia="zh-CN"/>
        </w:rPr>
        <w:t>1645.9</w:t>
      </w:r>
      <w:r>
        <w:rPr>
          <w:rFonts w:hint="eastAsia" w:eastAsia="仿宋_GB2312" w:cs="仿宋_GB2312"/>
          <w:sz w:val="32"/>
          <w:szCs w:val="32"/>
        </w:rPr>
        <w:t>万元。与2023年度相比，收入、支出总计各</w:t>
      </w:r>
      <w:r>
        <w:rPr>
          <w:rFonts w:hint="eastAsia" w:eastAsia="仿宋_GB2312" w:cs="仿宋_GB2312"/>
          <w:sz w:val="32"/>
          <w:szCs w:val="32"/>
          <w:lang w:val="en-US" w:eastAsia="zh-CN"/>
        </w:rPr>
        <w:t>减少113</w:t>
      </w:r>
      <w:r>
        <w:rPr>
          <w:rFonts w:hint="eastAsia" w:eastAsia="仿宋_GB2312" w:cs="仿宋_GB2312"/>
          <w:sz w:val="32"/>
          <w:szCs w:val="32"/>
        </w:rPr>
        <w:t>万元，</w:t>
      </w:r>
      <w:r>
        <w:rPr>
          <w:rFonts w:hint="eastAsia" w:eastAsia="仿宋_GB2312" w:cs="仿宋_GB2312"/>
          <w:sz w:val="32"/>
          <w:szCs w:val="32"/>
          <w:lang w:val="en-US" w:eastAsia="zh-CN"/>
        </w:rPr>
        <w:t>下降6.4</w:t>
      </w:r>
      <w:r>
        <w:rPr>
          <w:rFonts w:hint="eastAsia" w:eastAsia="仿宋_GB2312" w:cs="仿宋_GB2312"/>
          <w:sz w:val="32"/>
          <w:szCs w:val="32"/>
        </w:rPr>
        <w:t>%。主要变动原因是人员减少，经费减少</w:t>
      </w:r>
      <w:r>
        <w:rPr>
          <w:rFonts w:hint="eastAsia" w:eastAsia="仿宋_GB2312" w:cs="仿宋_GB2312"/>
          <w:sz w:val="32"/>
          <w:szCs w:val="32"/>
          <w:lang w:eastAsia="zh-CN"/>
        </w:rPr>
        <w:t>。</w:t>
      </w:r>
    </w:p>
    <w:p w14:paraId="4E52C700">
      <w:pPr>
        <w:pStyle w:val="29"/>
        <w:spacing w:line="600" w:lineRule="exact"/>
        <w:ind w:firstLine="640"/>
        <w:jc w:val="center"/>
        <w:outlineLvl w:val="9"/>
        <w:rPr>
          <w:rFonts w:eastAsia="仿宋_GB2312" w:cs="仿宋_GB2312"/>
          <w:sz w:val="32"/>
          <w:szCs w:val="32"/>
        </w:rPr>
      </w:pPr>
      <w:r>
        <w:drawing>
          <wp:anchor distT="0" distB="0" distL="114300" distR="114300" simplePos="0" relativeHeight="251660288" behindDoc="0" locked="0" layoutInCell="1" allowOverlap="1">
            <wp:simplePos x="0" y="0"/>
            <wp:positionH relativeFrom="column">
              <wp:posOffset>81280</wp:posOffset>
            </wp:positionH>
            <wp:positionV relativeFrom="paragraph">
              <wp:posOffset>53975</wp:posOffset>
            </wp:positionV>
            <wp:extent cx="5012055" cy="2753360"/>
            <wp:effectExtent l="4445" t="4445" r="12700" b="10795"/>
            <wp:wrapSquare wrapText="bothSides"/>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eastAsia="仿宋_GB2312" w:cs="仿宋_GB2312"/>
          <w:sz w:val="32"/>
          <w:szCs w:val="32"/>
        </w:rPr>
        <w:t>（图1：收入、支出决算总计变动情况图）</w:t>
      </w:r>
    </w:p>
    <w:p w14:paraId="07592078">
      <w:pPr>
        <w:pStyle w:val="29"/>
        <w:spacing w:line="600" w:lineRule="exact"/>
        <w:ind w:firstLine="640" w:firstLineChars="200"/>
        <w:outlineLvl w:val="0"/>
        <w:rPr>
          <w:rFonts w:eastAsia="黑体"/>
          <w:sz w:val="32"/>
          <w:szCs w:val="32"/>
        </w:rPr>
      </w:pPr>
      <w:bookmarkStart w:id="25" w:name="_Toc20651"/>
      <w:bookmarkStart w:id="26" w:name="_Toc15377206"/>
      <w:bookmarkStart w:id="27" w:name="_Toc15396604"/>
      <w:r>
        <w:rPr>
          <w:rFonts w:hint="eastAsia" w:eastAsia="黑体"/>
          <w:sz w:val="32"/>
          <w:szCs w:val="32"/>
        </w:rPr>
        <w:t>二、收入决算情况说明</w:t>
      </w:r>
      <w:bookmarkEnd w:id="25"/>
      <w:bookmarkEnd w:id="26"/>
      <w:bookmarkEnd w:id="27"/>
    </w:p>
    <w:p w14:paraId="3F31BCBB">
      <w:pPr>
        <w:spacing w:line="600" w:lineRule="exact"/>
        <w:ind w:firstLine="640"/>
        <w:rPr>
          <w:rFonts w:hint="eastAsia" w:eastAsia="仿宋_GB2312" w:cs="仿宋_GB2312"/>
          <w:sz w:val="32"/>
          <w:szCs w:val="32"/>
        </w:rPr>
      </w:pPr>
      <w:r>
        <w:rPr>
          <w:rFonts w:hint="eastAsia" w:eastAsia="仿宋_GB2312" w:cs="仿宋_GB2312"/>
          <w:sz w:val="32"/>
          <w:szCs w:val="32"/>
        </w:rPr>
        <w:t>2024年度本年收入合计1645.9元，其中：一般公共预算财政拨款收入1570.26万元，占</w:t>
      </w:r>
      <w:r>
        <w:rPr>
          <w:rFonts w:hint="eastAsia" w:eastAsia="仿宋_GB2312" w:cs="仿宋_GB2312"/>
          <w:sz w:val="32"/>
          <w:szCs w:val="32"/>
          <w:lang w:val="en-US" w:eastAsia="zh-CN"/>
        </w:rPr>
        <w:t>95.4</w:t>
      </w:r>
      <w:r>
        <w:rPr>
          <w:rFonts w:hint="eastAsia" w:eastAsia="仿宋_GB2312" w:cs="仿宋_GB2312"/>
          <w:sz w:val="32"/>
          <w:szCs w:val="32"/>
        </w:rPr>
        <w:t>%；政府性基金预算财政拨款收入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%；国有资本经营预算财政拨款收入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%；上级补助收入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%；事业收入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%；经营收入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%；附属单位上缴收入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%；其他收入</w:t>
      </w:r>
      <w:r>
        <w:rPr>
          <w:rFonts w:hint="eastAsia" w:eastAsia="仿宋_GB2312" w:cs="仿宋_GB2312"/>
          <w:sz w:val="32"/>
          <w:szCs w:val="32"/>
          <w:lang w:val="en-US" w:eastAsia="zh-CN"/>
        </w:rPr>
        <w:t>75.65</w:t>
      </w:r>
      <w:r>
        <w:rPr>
          <w:rFonts w:hint="eastAsia" w:eastAsia="仿宋_GB2312" w:cs="仿宋_GB2312"/>
          <w:sz w:val="32"/>
          <w:szCs w:val="32"/>
        </w:rPr>
        <w:t>万元，占</w:t>
      </w:r>
      <w:r>
        <w:rPr>
          <w:rFonts w:hint="eastAsia" w:eastAsia="仿宋_GB2312" w:cs="仿宋_GB2312"/>
          <w:sz w:val="32"/>
          <w:szCs w:val="32"/>
          <w:lang w:val="en-US" w:eastAsia="zh-CN"/>
        </w:rPr>
        <w:t>4.6</w:t>
      </w:r>
      <w:r>
        <w:rPr>
          <w:rFonts w:hint="eastAsia" w:eastAsia="仿宋_GB2312" w:cs="仿宋_GB2312"/>
          <w:sz w:val="32"/>
          <w:szCs w:val="32"/>
        </w:rPr>
        <w:t>%。</w:t>
      </w:r>
    </w:p>
    <w:p w14:paraId="47DA684E">
      <w:pPr>
        <w:pStyle w:val="29"/>
        <w:spacing w:line="600" w:lineRule="exact"/>
        <w:ind w:firstLine="640"/>
        <w:jc w:val="center"/>
        <w:outlineLvl w:val="9"/>
        <w:rPr>
          <w:rFonts w:eastAsia="仿宋_GB2312" w:cs="仿宋_GB2312"/>
          <w:sz w:val="32"/>
          <w:szCs w:val="32"/>
        </w:rPr>
      </w:pPr>
      <w:r>
        <w:drawing>
          <wp:anchor distT="0" distB="0" distL="114300" distR="114300" simplePos="0" relativeHeight="251661312" behindDoc="0" locked="0" layoutInCell="1" allowOverlap="1">
            <wp:simplePos x="0" y="0"/>
            <wp:positionH relativeFrom="column">
              <wp:posOffset>140335</wp:posOffset>
            </wp:positionH>
            <wp:positionV relativeFrom="paragraph">
              <wp:posOffset>31750</wp:posOffset>
            </wp:positionV>
            <wp:extent cx="5273675" cy="2635250"/>
            <wp:effectExtent l="4445" t="4445" r="5080" b="14605"/>
            <wp:wrapSquare wrapText="bothSides"/>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eastAsia="仿宋_GB2312" w:cs="仿宋_GB2312"/>
          <w:sz w:val="32"/>
          <w:szCs w:val="32"/>
        </w:rPr>
        <w:t>（图2：收入决算结构图）</w:t>
      </w:r>
    </w:p>
    <w:p w14:paraId="7D954DA0">
      <w:pPr>
        <w:pStyle w:val="29"/>
        <w:spacing w:line="600" w:lineRule="exact"/>
        <w:ind w:firstLine="640" w:firstLineChars="200"/>
        <w:outlineLvl w:val="0"/>
        <w:rPr>
          <w:rStyle w:val="31"/>
          <w:rFonts w:ascii="Times New Roman" w:hAnsi="Times New Roman" w:eastAsia="黑体"/>
          <w:b w:val="0"/>
        </w:rPr>
      </w:pPr>
      <w:bookmarkStart w:id="28" w:name="_Toc9102"/>
      <w:bookmarkStart w:id="29" w:name="_Toc15396605"/>
      <w:bookmarkStart w:id="30" w:name="_Toc15377207"/>
      <w:r>
        <w:rPr>
          <w:rFonts w:hint="eastAsia" w:eastAsia="黑体"/>
          <w:sz w:val="32"/>
          <w:szCs w:val="32"/>
        </w:rPr>
        <w:t>三、支</w:t>
      </w:r>
      <w:r>
        <w:rPr>
          <w:rStyle w:val="31"/>
          <w:rFonts w:hint="eastAsia" w:ascii="Times New Roman" w:hAnsi="Times New Roman" w:eastAsia="黑体"/>
          <w:b w:val="0"/>
        </w:rPr>
        <w:t>出决算情况说明</w:t>
      </w:r>
      <w:bookmarkEnd w:id="28"/>
      <w:bookmarkEnd w:id="29"/>
      <w:bookmarkEnd w:id="30"/>
    </w:p>
    <w:p w14:paraId="5ADEC559">
      <w:pPr>
        <w:spacing w:line="600" w:lineRule="exact"/>
        <w:ind w:firstLine="640"/>
        <w:rPr>
          <w:rFonts w:eastAsia="仿宋_GB2312" w:cs="仿宋_GB2312"/>
          <w:sz w:val="32"/>
          <w:szCs w:val="32"/>
        </w:rPr>
      </w:pPr>
      <w:r>
        <w:rPr>
          <w:rFonts w:hint="eastAsia" w:eastAsia="仿宋_GB2312" w:cs="仿宋_GB2312"/>
          <w:sz w:val="32"/>
          <w:szCs w:val="32"/>
        </w:rPr>
        <w:t>2024年度本年支出合计1584.68万元，其中：基本支出</w:t>
      </w:r>
      <w:r>
        <w:rPr>
          <w:rFonts w:hint="eastAsia" w:eastAsia="仿宋_GB2312" w:cs="仿宋_GB2312"/>
          <w:sz w:val="32"/>
          <w:szCs w:val="32"/>
          <w:lang w:val="en-US" w:eastAsia="zh-CN"/>
        </w:rPr>
        <w:t>1429.34</w:t>
      </w:r>
      <w:r>
        <w:rPr>
          <w:rFonts w:hint="eastAsia" w:eastAsia="仿宋_GB2312" w:cs="仿宋_GB2312"/>
          <w:sz w:val="32"/>
          <w:szCs w:val="32"/>
        </w:rPr>
        <w:t>万元，占</w:t>
      </w:r>
      <w:r>
        <w:rPr>
          <w:rFonts w:hint="eastAsia" w:eastAsia="仿宋_GB2312" w:cs="仿宋_GB2312"/>
          <w:sz w:val="32"/>
          <w:szCs w:val="32"/>
          <w:lang w:val="en-US" w:eastAsia="zh-CN"/>
        </w:rPr>
        <w:t>90.2</w:t>
      </w:r>
      <w:r>
        <w:rPr>
          <w:rFonts w:hint="eastAsia" w:eastAsia="仿宋_GB2312" w:cs="仿宋_GB2312"/>
          <w:sz w:val="32"/>
          <w:szCs w:val="32"/>
        </w:rPr>
        <w:t>%；项目支出</w:t>
      </w:r>
      <w:r>
        <w:rPr>
          <w:rFonts w:hint="eastAsia" w:eastAsia="仿宋_GB2312" w:cs="仿宋_GB2312"/>
          <w:sz w:val="32"/>
          <w:szCs w:val="32"/>
          <w:lang w:val="en-US" w:eastAsia="zh-CN"/>
        </w:rPr>
        <w:t>155.34</w:t>
      </w:r>
      <w:r>
        <w:rPr>
          <w:rFonts w:hint="eastAsia" w:eastAsia="仿宋_GB2312" w:cs="仿宋_GB2312"/>
          <w:sz w:val="32"/>
          <w:szCs w:val="32"/>
        </w:rPr>
        <w:t>万元，占</w:t>
      </w:r>
      <w:r>
        <w:rPr>
          <w:rFonts w:hint="eastAsia" w:eastAsia="仿宋_GB2312" w:cs="仿宋_GB2312"/>
          <w:sz w:val="32"/>
          <w:szCs w:val="32"/>
          <w:lang w:val="en-US" w:eastAsia="zh-CN"/>
        </w:rPr>
        <w:t>9.8</w:t>
      </w:r>
      <w:r>
        <w:rPr>
          <w:rFonts w:hint="eastAsia" w:eastAsia="仿宋_GB2312" w:cs="仿宋_GB2312"/>
          <w:sz w:val="32"/>
          <w:szCs w:val="32"/>
        </w:rPr>
        <w:t>%；上缴上级支出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%；经营支出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%；对附属单位补助支出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w:t>
      </w:r>
    </w:p>
    <w:p w14:paraId="049F604B">
      <w:pPr>
        <w:ind w:firstLine="525" w:firstLineChars="250"/>
        <w:jc w:val="center"/>
        <w:rPr>
          <w:rFonts w:eastAsia="仿宋_GB2312" w:cs="仿宋_GB2312"/>
          <w:sz w:val="32"/>
          <w:szCs w:val="32"/>
        </w:rPr>
      </w:pPr>
      <w:r>
        <w:drawing>
          <wp:inline distT="0" distB="0" distL="114300" distR="114300">
            <wp:extent cx="4756150" cy="2667000"/>
            <wp:effectExtent l="4445" t="5080" r="14605" b="762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hint="eastAsia" w:eastAsia="仿宋_GB2312" w:cs="仿宋_GB2312"/>
          <w:sz w:val="32"/>
          <w:szCs w:val="32"/>
        </w:rPr>
        <w:t>（图3：支出决算结构图）</w:t>
      </w:r>
    </w:p>
    <w:p w14:paraId="54075097">
      <w:pPr>
        <w:spacing w:line="600" w:lineRule="exact"/>
        <w:ind w:firstLine="640" w:firstLineChars="200"/>
        <w:outlineLvl w:val="0"/>
        <w:rPr>
          <w:rStyle w:val="31"/>
          <w:rFonts w:ascii="Times New Roman" w:hAnsi="Times New Roman" w:eastAsia="黑体"/>
          <w:b w:val="0"/>
        </w:rPr>
      </w:pPr>
      <w:bookmarkStart w:id="31" w:name="_Toc15396606"/>
      <w:bookmarkStart w:id="32" w:name="_Toc15377208"/>
      <w:bookmarkStart w:id="33" w:name="_Toc17121"/>
      <w:r>
        <w:rPr>
          <w:rFonts w:hint="eastAsia" w:eastAsia="黑体"/>
          <w:sz w:val="32"/>
          <w:szCs w:val="32"/>
        </w:rPr>
        <w:t>四、财</w:t>
      </w:r>
      <w:r>
        <w:rPr>
          <w:rStyle w:val="31"/>
          <w:rFonts w:hint="eastAsia" w:ascii="Times New Roman" w:hAnsi="Times New Roman" w:eastAsia="黑体"/>
          <w:b w:val="0"/>
        </w:rPr>
        <w:t>政拨款收入支出决算总体情况说明</w:t>
      </w:r>
      <w:bookmarkEnd w:id="31"/>
      <w:bookmarkEnd w:id="32"/>
      <w:bookmarkEnd w:id="33"/>
    </w:p>
    <w:p w14:paraId="286B29A3">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2024年度财政拨款收入、支出总计均为1570.26万元。与2023年度相比，财政拨款收入总计、支出总计各</w:t>
      </w:r>
      <w:r>
        <w:rPr>
          <w:rFonts w:hint="eastAsia" w:eastAsia="仿宋_GB2312" w:cs="仿宋_GB2312"/>
          <w:sz w:val="32"/>
          <w:szCs w:val="32"/>
          <w:lang w:val="en-US" w:eastAsia="zh-CN"/>
        </w:rPr>
        <w:t>减少176.55</w:t>
      </w:r>
      <w:r>
        <w:rPr>
          <w:rFonts w:hint="eastAsia" w:eastAsia="仿宋_GB2312" w:cs="仿宋_GB2312"/>
          <w:sz w:val="32"/>
          <w:szCs w:val="32"/>
        </w:rPr>
        <w:t>万元，</w:t>
      </w:r>
      <w:r>
        <w:rPr>
          <w:rFonts w:hint="eastAsia" w:eastAsia="仿宋_GB2312" w:cs="仿宋_GB2312"/>
          <w:sz w:val="32"/>
          <w:szCs w:val="32"/>
          <w:lang w:val="en-US" w:eastAsia="zh-CN"/>
        </w:rPr>
        <w:t>下降10.1</w:t>
      </w:r>
      <w:r>
        <w:rPr>
          <w:rFonts w:hint="eastAsia" w:eastAsia="仿宋_GB2312" w:cs="仿宋_GB2312"/>
          <w:sz w:val="32"/>
          <w:szCs w:val="32"/>
        </w:rPr>
        <w:t>%。主要变动原因是人员减少，经费减少</w:t>
      </w:r>
      <w:r>
        <w:rPr>
          <w:rFonts w:hint="eastAsia" w:eastAsia="仿宋_GB2312" w:cs="仿宋_GB2312"/>
          <w:sz w:val="32"/>
          <w:szCs w:val="32"/>
          <w:lang w:eastAsia="zh-CN"/>
        </w:rPr>
        <w:t>。</w:t>
      </w:r>
    </w:p>
    <w:p w14:paraId="06823D1D">
      <w:pPr>
        <w:pStyle w:val="14"/>
        <w:rPr>
          <w:rFonts w:hint="eastAsia" w:eastAsia="仿宋_GB2312" w:cs="仿宋_GB2312"/>
          <w:sz w:val="32"/>
          <w:szCs w:val="32"/>
          <w:lang w:eastAsia="zh-CN"/>
        </w:rPr>
      </w:pPr>
      <w:r>
        <w:drawing>
          <wp:anchor distT="0" distB="0" distL="114300" distR="114300" simplePos="0" relativeHeight="251662336" behindDoc="0" locked="0" layoutInCell="1" allowOverlap="1">
            <wp:simplePos x="0" y="0"/>
            <wp:positionH relativeFrom="column">
              <wp:posOffset>240665</wp:posOffset>
            </wp:positionH>
            <wp:positionV relativeFrom="paragraph">
              <wp:posOffset>62230</wp:posOffset>
            </wp:positionV>
            <wp:extent cx="4653915" cy="2667000"/>
            <wp:effectExtent l="4445" t="4445" r="15240" b="8255"/>
            <wp:wrapSquare wrapText="bothSides"/>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03AE6CED">
      <w:pPr>
        <w:spacing w:line="600" w:lineRule="exact"/>
        <w:ind w:firstLine="640" w:firstLineChars="200"/>
        <w:jc w:val="center"/>
        <w:rPr>
          <w:rFonts w:hint="eastAsia" w:eastAsia="仿宋_GB2312" w:cs="仿宋_GB2312"/>
          <w:sz w:val="32"/>
          <w:szCs w:val="32"/>
        </w:rPr>
      </w:pPr>
    </w:p>
    <w:p w14:paraId="278A73B0">
      <w:pPr>
        <w:spacing w:line="600" w:lineRule="exact"/>
        <w:ind w:firstLine="640" w:firstLineChars="200"/>
        <w:jc w:val="center"/>
        <w:rPr>
          <w:rFonts w:hint="eastAsia" w:eastAsia="仿宋_GB2312" w:cs="仿宋_GB2312"/>
          <w:sz w:val="32"/>
          <w:szCs w:val="32"/>
        </w:rPr>
      </w:pPr>
    </w:p>
    <w:p w14:paraId="64562645">
      <w:pPr>
        <w:spacing w:line="600" w:lineRule="exact"/>
        <w:ind w:firstLine="640" w:firstLineChars="200"/>
        <w:jc w:val="center"/>
        <w:rPr>
          <w:rFonts w:hint="eastAsia" w:eastAsia="仿宋_GB2312" w:cs="仿宋_GB2312"/>
          <w:sz w:val="32"/>
          <w:szCs w:val="32"/>
        </w:rPr>
      </w:pPr>
    </w:p>
    <w:p w14:paraId="311219F5">
      <w:pPr>
        <w:spacing w:line="600" w:lineRule="exact"/>
        <w:ind w:firstLine="640" w:firstLineChars="200"/>
        <w:jc w:val="center"/>
        <w:rPr>
          <w:rFonts w:hint="eastAsia" w:eastAsia="仿宋_GB2312" w:cs="仿宋_GB2312"/>
          <w:sz w:val="32"/>
          <w:szCs w:val="32"/>
        </w:rPr>
      </w:pPr>
    </w:p>
    <w:p w14:paraId="31DB9830">
      <w:pPr>
        <w:spacing w:line="600" w:lineRule="exact"/>
        <w:ind w:firstLine="640" w:firstLineChars="200"/>
        <w:jc w:val="center"/>
        <w:rPr>
          <w:rFonts w:hint="eastAsia" w:eastAsia="仿宋_GB2312" w:cs="仿宋_GB2312"/>
          <w:sz w:val="32"/>
          <w:szCs w:val="32"/>
        </w:rPr>
      </w:pPr>
    </w:p>
    <w:p w14:paraId="5E24D8D9">
      <w:pPr>
        <w:spacing w:line="600" w:lineRule="exact"/>
        <w:ind w:firstLine="640" w:firstLineChars="200"/>
        <w:jc w:val="center"/>
        <w:rPr>
          <w:rFonts w:hint="eastAsia" w:eastAsia="仿宋_GB2312" w:cs="仿宋_GB2312"/>
          <w:sz w:val="32"/>
          <w:szCs w:val="32"/>
        </w:rPr>
      </w:pPr>
    </w:p>
    <w:p w14:paraId="5D871E23">
      <w:pPr>
        <w:spacing w:line="600" w:lineRule="exact"/>
        <w:ind w:firstLine="640" w:firstLineChars="200"/>
        <w:jc w:val="center"/>
        <w:rPr>
          <w:rFonts w:hint="eastAsia" w:eastAsia="仿宋_GB2312" w:cs="仿宋_GB2312"/>
          <w:sz w:val="32"/>
          <w:szCs w:val="32"/>
        </w:rPr>
      </w:pPr>
    </w:p>
    <w:p w14:paraId="5840B9D9">
      <w:pPr>
        <w:spacing w:line="600" w:lineRule="exact"/>
        <w:ind w:firstLine="640" w:firstLineChars="200"/>
        <w:jc w:val="center"/>
        <w:rPr>
          <w:rFonts w:eastAsia="仿宋_GB2312" w:cs="仿宋_GB2312"/>
          <w:sz w:val="32"/>
          <w:szCs w:val="32"/>
        </w:rPr>
      </w:pPr>
      <w:r>
        <w:rPr>
          <w:rFonts w:hint="eastAsia" w:eastAsia="仿宋_GB2312" w:cs="仿宋_GB2312"/>
          <w:sz w:val="32"/>
          <w:szCs w:val="32"/>
        </w:rPr>
        <w:t>（图4：财政拨款收、支决算总计变动情况）</w:t>
      </w:r>
    </w:p>
    <w:p w14:paraId="588454DC">
      <w:pPr>
        <w:spacing w:line="600" w:lineRule="exact"/>
        <w:ind w:firstLine="640" w:firstLineChars="200"/>
        <w:outlineLvl w:val="0"/>
        <w:rPr>
          <w:rStyle w:val="31"/>
          <w:rFonts w:ascii="Times New Roman" w:hAnsi="Times New Roman" w:eastAsia="黑体"/>
          <w:b w:val="0"/>
        </w:rPr>
      </w:pPr>
      <w:bookmarkStart w:id="34" w:name="_Toc2659"/>
      <w:bookmarkStart w:id="35" w:name="_Toc15377209"/>
      <w:bookmarkStart w:id="36" w:name="_Toc15396607"/>
      <w:r>
        <w:rPr>
          <w:rFonts w:hint="eastAsia" w:eastAsia="黑体"/>
          <w:sz w:val="32"/>
          <w:szCs w:val="32"/>
        </w:rPr>
        <w:t>五、</w:t>
      </w:r>
      <w:r>
        <w:rPr>
          <w:rFonts w:hint="eastAsia" w:eastAsia="黑体"/>
          <w:b/>
          <w:sz w:val="32"/>
          <w:szCs w:val="32"/>
        </w:rPr>
        <w:t>一</w:t>
      </w:r>
      <w:r>
        <w:rPr>
          <w:rStyle w:val="31"/>
          <w:rFonts w:hint="eastAsia" w:ascii="Times New Roman" w:hAnsi="Times New Roman" w:eastAsia="黑体"/>
          <w:b w:val="0"/>
        </w:rPr>
        <w:t>般公共预算财政拨款支出决算情况说明</w:t>
      </w:r>
      <w:bookmarkEnd w:id="34"/>
      <w:bookmarkEnd w:id="35"/>
      <w:bookmarkEnd w:id="36"/>
    </w:p>
    <w:p w14:paraId="1F541FFE">
      <w:pPr>
        <w:spacing w:line="600" w:lineRule="exact"/>
        <w:ind w:firstLine="643" w:firstLineChars="200"/>
        <w:outlineLvl w:val="9"/>
        <w:rPr>
          <w:rFonts w:eastAsia="楷体_GB2312" w:cs="楷体_GB2312"/>
          <w:b/>
          <w:sz w:val="32"/>
          <w:szCs w:val="32"/>
        </w:rPr>
      </w:pPr>
      <w:bookmarkStart w:id="37" w:name="_Toc15377210"/>
      <w:r>
        <w:rPr>
          <w:rFonts w:hint="eastAsia" w:eastAsia="楷体_GB2312" w:cs="楷体_GB2312"/>
          <w:b/>
          <w:sz w:val="32"/>
          <w:szCs w:val="32"/>
        </w:rPr>
        <w:t>（一）一般公共预算财政拨款支出决算总体情况</w:t>
      </w:r>
      <w:bookmarkEnd w:id="37"/>
    </w:p>
    <w:p w14:paraId="72A0EDF4">
      <w:pPr>
        <w:spacing w:line="600" w:lineRule="exact"/>
        <w:ind w:firstLine="640"/>
      </w:pPr>
      <w:r>
        <w:rPr>
          <w:rFonts w:hint="eastAsia" w:eastAsia="仿宋_GB2312" w:cs="仿宋_GB2312"/>
          <w:sz w:val="32"/>
          <w:szCs w:val="32"/>
        </w:rPr>
        <w:t>2024年度一般公共预算财政拨款支出1570.26万元，占本年支出合计的</w:t>
      </w:r>
      <w:r>
        <w:rPr>
          <w:rFonts w:hint="eastAsia" w:eastAsia="仿宋_GB2312" w:cs="仿宋_GB2312"/>
          <w:sz w:val="32"/>
          <w:szCs w:val="32"/>
          <w:lang w:val="en-US" w:eastAsia="zh-CN"/>
        </w:rPr>
        <w:t>99.1</w:t>
      </w:r>
      <w:r>
        <w:rPr>
          <w:rFonts w:hint="eastAsia" w:eastAsia="仿宋_GB2312" w:cs="仿宋_GB2312"/>
          <w:sz w:val="32"/>
          <w:szCs w:val="32"/>
        </w:rPr>
        <w:t>%。与2023年度相比，一般公共预算财政拨款支出</w:t>
      </w:r>
      <w:r>
        <w:rPr>
          <w:rFonts w:hint="eastAsia" w:eastAsia="仿宋_GB2312" w:cs="仿宋_GB2312"/>
          <w:sz w:val="32"/>
          <w:szCs w:val="32"/>
          <w:lang w:val="en-US" w:eastAsia="zh-CN"/>
        </w:rPr>
        <w:t>减少</w:t>
      </w:r>
      <w:r>
        <w:rPr>
          <w:rFonts w:hint="eastAsia" w:eastAsia="仿宋_GB2312" w:cs="仿宋_GB2312"/>
          <w:sz w:val="32"/>
          <w:szCs w:val="32"/>
        </w:rPr>
        <w:t>176.55万元，</w:t>
      </w:r>
      <w:r>
        <w:rPr>
          <w:rFonts w:hint="eastAsia" w:eastAsia="仿宋_GB2312" w:cs="仿宋_GB2312"/>
          <w:sz w:val="32"/>
          <w:szCs w:val="32"/>
          <w:lang w:val="en-US" w:eastAsia="zh-CN"/>
        </w:rPr>
        <w:t>下降10.1</w:t>
      </w:r>
      <w:r>
        <w:rPr>
          <w:rFonts w:hint="eastAsia" w:eastAsia="仿宋_GB2312" w:cs="仿宋_GB2312"/>
          <w:sz w:val="32"/>
          <w:szCs w:val="32"/>
        </w:rPr>
        <w:t>%。主要变动原因是人员减少，经费减少</w:t>
      </w:r>
      <w:r>
        <w:rPr>
          <w:rFonts w:hint="eastAsia" w:eastAsia="仿宋_GB2312" w:cs="仿宋_GB2312"/>
          <w:sz w:val="32"/>
          <w:szCs w:val="32"/>
          <w:lang w:eastAsia="zh-CN"/>
        </w:rPr>
        <w:t>。</w:t>
      </w:r>
    </w:p>
    <w:p w14:paraId="0AD24658">
      <w:pPr>
        <w:pStyle w:val="8"/>
        <w:jc w:val="center"/>
      </w:pPr>
      <w:r>
        <w:drawing>
          <wp:inline distT="0" distB="0" distL="114300" distR="114300">
            <wp:extent cx="4162425" cy="2844800"/>
            <wp:effectExtent l="4445" t="4445" r="11430" b="8255"/>
            <wp:docPr id="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4FF90A1">
      <w:pPr>
        <w:spacing w:line="600" w:lineRule="exact"/>
        <w:ind w:firstLine="640"/>
        <w:jc w:val="center"/>
        <w:rPr>
          <w:rFonts w:eastAsia="仿宋_GB2312" w:cs="仿宋_GB2312"/>
          <w:sz w:val="32"/>
          <w:szCs w:val="32"/>
        </w:rPr>
      </w:pPr>
      <w:r>
        <w:rPr>
          <w:rFonts w:hint="eastAsia" w:eastAsia="仿宋_GB2312" w:cs="仿宋_GB2312"/>
          <w:sz w:val="32"/>
          <w:szCs w:val="32"/>
        </w:rPr>
        <w:t>（图5：一般公共预算财政拨款支出决算变动情况）</w:t>
      </w:r>
    </w:p>
    <w:p w14:paraId="69AEC7DB">
      <w:pPr>
        <w:spacing w:line="600" w:lineRule="exact"/>
        <w:ind w:firstLine="643" w:firstLineChars="200"/>
        <w:outlineLvl w:val="9"/>
        <w:rPr>
          <w:rFonts w:eastAsia="楷体_GB2312" w:cs="楷体_GB2312"/>
          <w:b/>
          <w:sz w:val="32"/>
          <w:szCs w:val="32"/>
        </w:rPr>
      </w:pPr>
      <w:bookmarkStart w:id="38" w:name="_Toc15377211"/>
      <w:r>
        <w:rPr>
          <w:rFonts w:hint="eastAsia" w:eastAsia="楷体_GB2312" w:cs="楷体_GB2312"/>
          <w:b/>
          <w:sz w:val="32"/>
          <w:szCs w:val="32"/>
        </w:rPr>
        <w:t>（二）一般公共预算财政拨款支出决算结构情况</w:t>
      </w:r>
      <w:bookmarkEnd w:id="38"/>
    </w:p>
    <w:p w14:paraId="6875AAFD">
      <w:pPr>
        <w:spacing w:line="600" w:lineRule="exact"/>
        <w:ind w:firstLine="640"/>
      </w:pPr>
      <w:r>
        <w:rPr>
          <w:rFonts w:hint="eastAsia" w:eastAsia="仿宋_GB2312" w:cs="仿宋_GB2312"/>
          <w:sz w:val="32"/>
          <w:szCs w:val="32"/>
        </w:rPr>
        <w:t>2024年度一般公共预算财政拨款支出1570.26万元，主要用于以下方面：科学技术支出17.26万元，占</w:t>
      </w:r>
      <w:r>
        <w:rPr>
          <w:rFonts w:hint="eastAsia" w:eastAsia="仿宋_GB2312" w:cs="仿宋_GB2312"/>
          <w:sz w:val="32"/>
          <w:szCs w:val="32"/>
          <w:lang w:val="en-US" w:eastAsia="zh-CN"/>
        </w:rPr>
        <w:t>1.1</w:t>
      </w:r>
      <w:r>
        <w:rPr>
          <w:rFonts w:hint="eastAsia" w:eastAsia="仿宋_GB2312" w:cs="仿宋_GB2312"/>
          <w:sz w:val="32"/>
          <w:szCs w:val="32"/>
        </w:rPr>
        <w:t>%；社会保障和就业支出140.59万元，占</w:t>
      </w:r>
      <w:r>
        <w:rPr>
          <w:rFonts w:hint="eastAsia" w:eastAsia="仿宋_GB2312" w:cs="仿宋_GB2312"/>
          <w:sz w:val="32"/>
          <w:szCs w:val="32"/>
          <w:lang w:val="en-US" w:eastAsia="zh-CN"/>
        </w:rPr>
        <w:t>9</w:t>
      </w:r>
      <w:r>
        <w:rPr>
          <w:rFonts w:hint="eastAsia" w:eastAsia="仿宋_GB2312" w:cs="仿宋_GB2312"/>
          <w:sz w:val="32"/>
          <w:szCs w:val="32"/>
        </w:rPr>
        <w:t>%；卫生健康支出70.5万元，占</w:t>
      </w:r>
      <w:r>
        <w:rPr>
          <w:rFonts w:hint="eastAsia" w:eastAsia="仿宋_GB2312" w:cs="仿宋_GB2312"/>
          <w:sz w:val="32"/>
          <w:szCs w:val="32"/>
          <w:lang w:val="en-US" w:eastAsia="zh-CN"/>
        </w:rPr>
        <w:t>4.5</w:t>
      </w:r>
      <w:r>
        <w:rPr>
          <w:rFonts w:hint="eastAsia" w:eastAsia="仿宋_GB2312" w:cs="仿宋_GB2312"/>
          <w:sz w:val="32"/>
          <w:szCs w:val="32"/>
        </w:rPr>
        <w:t>%；农林水支出1262.37</w:t>
      </w:r>
      <w:r>
        <w:rPr>
          <w:rFonts w:hint="eastAsia" w:eastAsia="仿宋_GB2312" w:cs="仿宋_GB2312"/>
          <w:sz w:val="32"/>
          <w:szCs w:val="32"/>
          <w:lang w:val="en-US" w:eastAsia="zh-CN"/>
        </w:rPr>
        <w:t>万元，占80.4%；</w:t>
      </w:r>
      <w:r>
        <w:rPr>
          <w:rFonts w:hint="eastAsia" w:eastAsia="仿宋_GB2312" w:cs="仿宋_GB2312"/>
          <w:sz w:val="32"/>
          <w:szCs w:val="32"/>
        </w:rPr>
        <w:t>住房保障支出79.53万元，占</w:t>
      </w:r>
      <w:r>
        <w:rPr>
          <w:rFonts w:hint="eastAsia" w:eastAsia="仿宋_GB2312" w:cs="仿宋_GB2312"/>
          <w:sz w:val="32"/>
          <w:szCs w:val="32"/>
          <w:lang w:val="en-US" w:eastAsia="zh-CN"/>
        </w:rPr>
        <w:t>5.1</w:t>
      </w:r>
      <w:r>
        <w:rPr>
          <w:rFonts w:hint="eastAsia" w:eastAsia="仿宋_GB2312" w:cs="仿宋_GB2312"/>
          <w:sz w:val="32"/>
          <w:szCs w:val="32"/>
        </w:rPr>
        <w:t>%</w:t>
      </w:r>
      <w:r>
        <w:rPr>
          <w:rFonts w:hint="eastAsia" w:eastAsia="仿宋_GB2312" w:cs="仿宋_GB2312"/>
          <w:sz w:val="32"/>
          <w:szCs w:val="32"/>
          <w:lang w:eastAsia="zh-CN"/>
        </w:rPr>
        <w:t>。</w:t>
      </w:r>
    </w:p>
    <w:p w14:paraId="42E5535D">
      <w:pPr>
        <w:pStyle w:val="8"/>
        <w:jc w:val="both"/>
        <w:rPr>
          <w:rFonts w:hint="eastAsia"/>
        </w:rPr>
      </w:pPr>
      <w:r>
        <w:drawing>
          <wp:inline distT="0" distB="0" distL="114300" distR="114300">
            <wp:extent cx="4824095" cy="2667000"/>
            <wp:effectExtent l="4445" t="5080" r="10160" b="7620"/>
            <wp:docPr id="1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13ACD41">
      <w:pPr>
        <w:spacing w:line="600" w:lineRule="exact"/>
        <w:ind w:firstLine="640"/>
        <w:jc w:val="center"/>
        <w:rPr>
          <w:rFonts w:eastAsia="仿宋_GB2312" w:cs="仿宋_GB2312"/>
          <w:sz w:val="32"/>
          <w:szCs w:val="32"/>
        </w:rPr>
      </w:pPr>
      <w:r>
        <w:rPr>
          <w:rFonts w:hint="eastAsia" w:eastAsia="仿宋_GB2312" w:cs="仿宋_GB2312"/>
          <w:sz w:val="32"/>
          <w:szCs w:val="32"/>
        </w:rPr>
        <w:t>（图6：一般公共预算财政拨款支出决算结构）</w:t>
      </w:r>
    </w:p>
    <w:p w14:paraId="2933DF04">
      <w:pPr>
        <w:spacing w:line="600" w:lineRule="exact"/>
        <w:ind w:firstLine="643" w:firstLineChars="200"/>
        <w:outlineLvl w:val="9"/>
        <w:rPr>
          <w:rFonts w:eastAsia="楷体_GB2312" w:cs="楷体_GB2312"/>
          <w:b/>
          <w:sz w:val="32"/>
          <w:szCs w:val="32"/>
        </w:rPr>
      </w:pPr>
      <w:bookmarkStart w:id="39" w:name="_Toc15377212"/>
      <w:r>
        <w:rPr>
          <w:rFonts w:hint="eastAsia" w:eastAsia="楷体_GB2312" w:cs="楷体_GB2312"/>
          <w:b/>
          <w:sz w:val="32"/>
          <w:szCs w:val="32"/>
        </w:rPr>
        <w:t>（三）一般公共预算财政拨款支出决算具体情况</w:t>
      </w:r>
      <w:bookmarkEnd w:id="39"/>
    </w:p>
    <w:p w14:paraId="0C547C31">
      <w:pPr>
        <w:spacing w:line="600" w:lineRule="exact"/>
        <w:ind w:firstLine="640"/>
        <w:rPr>
          <w:rFonts w:eastAsia="仿宋_GB2312" w:cs="仿宋_GB2312"/>
          <w:sz w:val="32"/>
          <w:szCs w:val="32"/>
        </w:rPr>
      </w:pPr>
      <w:bookmarkStart w:id="40" w:name="_Toc15377444"/>
      <w:bookmarkStart w:id="41" w:name="_Toc15377213"/>
      <w:bookmarkStart w:id="42" w:name="_Toc15378460"/>
      <w:r>
        <w:rPr>
          <w:rFonts w:hint="eastAsia" w:eastAsia="仿宋_GB2312" w:cs="仿宋_GB2312"/>
          <w:sz w:val="32"/>
          <w:szCs w:val="32"/>
        </w:rPr>
        <w:t>2024年度一般公共预算财政拨款支出决算数为1570.26</w:t>
      </w:r>
      <w:r>
        <w:rPr>
          <w:rFonts w:hint="eastAsia" w:eastAsia="仿宋_GB2312" w:cs="仿宋_GB2312"/>
          <w:sz w:val="32"/>
          <w:szCs w:val="32"/>
          <w:lang w:val="en-US" w:eastAsia="zh-CN"/>
        </w:rPr>
        <w:t>万元</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40"/>
      <w:bookmarkEnd w:id="41"/>
      <w:bookmarkEnd w:id="42"/>
    </w:p>
    <w:p w14:paraId="26B6BFA8">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lang w:val="en-US" w:eastAsia="zh-CN"/>
        </w:rPr>
      </w:pPr>
      <w:r>
        <w:rPr>
          <w:rFonts w:hint="eastAsia" w:eastAsia="仿宋_GB2312" w:cs="仿宋_GB2312"/>
          <w:sz w:val="32"/>
          <w:szCs w:val="32"/>
        </w:rPr>
        <w:t>科学技术支出（类）基础研究（款）专项基础科研（项）：支出决算为</w:t>
      </w:r>
      <w:r>
        <w:rPr>
          <w:rFonts w:hint="eastAsia" w:eastAsia="仿宋_GB2312" w:cs="仿宋_GB2312"/>
          <w:sz w:val="32"/>
          <w:szCs w:val="32"/>
          <w:lang w:val="en-US" w:eastAsia="zh-CN"/>
        </w:rPr>
        <w:t>13</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66D9FDB1">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科学技术支出（类）科技重大项目（款）重点研发计划（项）：支出决算为3.95万元，完成预算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41F18296">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科学技术支出（类）其他科学技术支出（款其他科学技术支出（项）：支出决算为0.31万元，完成预算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674745A0">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社会保障和就业（类）行政事业单位养老支出（款）机关事业单位基本养老保险缴费支出（项）：支出决算为93.72万元，完成预算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7469EBBA">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社会保障和就业（类）行政事业单位养老支出（款）机关事业单位职业年金缴费支出（项）：支出决算为46.87万元，完成预算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5FD76495">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卫生健康（类）行政事业单位医疗（款）事业单位医疗（项）：支出决算为70.5万元，完成预算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2E98FAA0">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农林水支出（类）农业农村（款）事业运行（项）：支出决算为1138.71万元，完成预算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296D87CF">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农林水支出（类）农业农村（款）农业生态资源保护（项）：支出决算为123.66万元，完成预算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0A755AEB">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住房保障支出（类）住房改革支出（款）购房补贴（项）：支出决算为</w:t>
      </w:r>
      <w:r>
        <w:rPr>
          <w:rFonts w:hint="eastAsia" w:eastAsia="仿宋_GB2312" w:cs="仿宋_GB2312"/>
          <w:sz w:val="32"/>
          <w:szCs w:val="32"/>
          <w:lang w:val="en-US" w:eastAsia="zh-CN"/>
        </w:rPr>
        <w:t>77.53</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7F96F2B7">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住房保障支出（类）住房改革支出（款）购房补贴（项）：支出决算为</w:t>
      </w:r>
      <w:r>
        <w:rPr>
          <w:rFonts w:hint="eastAsia" w:eastAsia="仿宋_GB2312" w:cs="仿宋_GB2312"/>
          <w:sz w:val="32"/>
          <w:szCs w:val="32"/>
          <w:lang w:val="en-US" w:eastAsia="zh-CN"/>
        </w:rPr>
        <w:t>2</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09FFB682">
      <w:pPr>
        <w:tabs>
          <w:tab w:val="right" w:pos="8306"/>
        </w:tabs>
        <w:spacing w:line="600" w:lineRule="exact"/>
        <w:ind w:firstLine="640" w:firstLineChars="0"/>
        <w:outlineLvl w:val="0"/>
        <w:rPr>
          <w:rStyle w:val="31"/>
          <w:rFonts w:ascii="Times New Roman" w:hAnsi="Times New Roman"/>
        </w:rPr>
      </w:pPr>
      <w:bookmarkStart w:id="43" w:name="_Toc15396608"/>
      <w:bookmarkStart w:id="44" w:name="_Toc15135"/>
      <w:bookmarkStart w:id="45" w:name="_Toc15377214"/>
      <w:r>
        <w:rPr>
          <w:rFonts w:hint="eastAsia" w:eastAsia="黑体"/>
          <w:sz w:val="32"/>
          <w:szCs w:val="32"/>
        </w:rPr>
        <w:t>六</w:t>
      </w:r>
      <w:r>
        <w:rPr>
          <w:rFonts w:hint="eastAsia" w:eastAsia="黑体"/>
          <w:b/>
          <w:sz w:val="32"/>
          <w:szCs w:val="32"/>
        </w:rPr>
        <w:t>、一</w:t>
      </w:r>
      <w:r>
        <w:rPr>
          <w:rStyle w:val="31"/>
          <w:rFonts w:hint="eastAsia" w:ascii="Times New Roman" w:hAnsi="Times New Roman" w:eastAsia="黑体"/>
          <w:b w:val="0"/>
        </w:rPr>
        <w:t>般公共预算财政拨款基本支出决算情况说明</w:t>
      </w:r>
      <w:bookmarkEnd w:id="43"/>
      <w:bookmarkEnd w:id="44"/>
      <w:bookmarkEnd w:id="45"/>
      <w:r>
        <w:rPr>
          <w:rStyle w:val="31"/>
          <w:rFonts w:ascii="Times New Roman" w:hAnsi="Times New Roman" w:eastAsia="黑体"/>
          <w:b w:val="0"/>
        </w:rPr>
        <w:tab/>
      </w:r>
    </w:p>
    <w:p w14:paraId="7A6B2C5F">
      <w:pPr>
        <w:spacing w:line="600" w:lineRule="exact"/>
        <w:ind w:firstLine="640"/>
        <w:rPr>
          <w:rFonts w:eastAsia="仿宋_GB2312" w:cs="仿宋_GB2312"/>
          <w:sz w:val="32"/>
          <w:szCs w:val="32"/>
        </w:rPr>
      </w:pPr>
      <w:r>
        <w:rPr>
          <w:rFonts w:hint="eastAsia" w:eastAsia="仿宋_GB2312" w:cs="仿宋_GB2312"/>
          <w:sz w:val="32"/>
          <w:szCs w:val="32"/>
        </w:rPr>
        <w:t>2024年度一般公共预算财政拨款基本支出</w:t>
      </w:r>
      <w:r>
        <w:rPr>
          <w:rFonts w:hint="eastAsia" w:eastAsia="仿宋_GB2312" w:cs="仿宋_GB2312"/>
          <w:sz w:val="32"/>
          <w:szCs w:val="32"/>
          <w:lang w:val="en-US" w:eastAsia="zh-CN"/>
        </w:rPr>
        <w:t>1429.34</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33CEB307">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1315.55</w:t>
      </w:r>
      <w:r>
        <w:rPr>
          <w:rFonts w:hint="eastAsia" w:ascii="仿宋_GB2312" w:hAnsi="仿宋_GB2312" w:eastAsia="仿宋_GB2312" w:cs="仿宋_GB2312"/>
          <w:sz w:val="32"/>
          <w:szCs w:val="32"/>
        </w:rPr>
        <w:t>万</w:t>
      </w:r>
      <w:r>
        <w:rPr>
          <w:rFonts w:hint="eastAsia" w:eastAsia="仿宋_GB2312" w:cs="仿宋_GB2312"/>
          <w:sz w:val="32"/>
          <w:szCs w:val="32"/>
        </w:rPr>
        <w:t>元，主要包括：基本工资、津贴补贴、奖金、</w:t>
      </w:r>
      <w:r>
        <w:rPr>
          <w:rFonts w:hint="eastAsia" w:eastAsia="仿宋_GB2312" w:cs="仿宋_GB2312"/>
          <w:sz w:val="32"/>
          <w:szCs w:val="32"/>
          <w:lang w:val="en-US" w:eastAsia="zh-CN"/>
        </w:rPr>
        <w:t>伙食补助费、绩效工资、</w:t>
      </w:r>
      <w:r>
        <w:rPr>
          <w:rFonts w:hint="eastAsia" w:eastAsia="仿宋_GB2312" w:cs="仿宋_GB2312"/>
          <w:sz w:val="32"/>
          <w:szCs w:val="32"/>
        </w:rPr>
        <w:t>机关事业单位基本养老保险缴费、职业年金缴费、职工基本医疗保险缴费</w:t>
      </w:r>
      <w:r>
        <w:rPr>
          <w:rFonts w:hint="eastAsia" w:eastAsia="仿宋_GB2312" w:cs="仿宋_GB2312"/>
          <w:sz w:val="32"/>
          <w:szCs w:val="32"/>
          <w:lang w:eastAsia="zh-CN"/>
        </w:rPr>
        <w:t>、</w:t>
      </w:r>
      <w:r>
        <w:rPr>
          <w:rFonts w:hint="eastAsia" w:eastAsia="仿宋_GB2312" w:cs="仿宋_GB2312"/>
          <w:sz w:val="32"/>
          <w:szCs w:val="32"/>
        </w:rPr>
        <w:t>其他社会保障缴费、住房公积金、其他工资福利支出、抚恤金、生活补助、奖励金。</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113.79</w:t>
      </w:r>
      <w:r>
        <w:rPr>
          <w:rFonts w:hint="eastAsia" w:ascii="仿宋_GB2312" w:hAnsi="仿宋_GB2312" w:eastAsia="仿宋_GB2312" w:cs="仿宋_GB2312"/>
          <w:sz w:val="32"/>
          <w:szCs w:val="32"/>
        </w:rPr>
        <w:t>万</w:t>
      </w:r>
      <w:r>
        <w:rPr>
          <w:rFonts w:hint="eastAsia" w:eastAsia="仿宋_GB2312" w:cs="仿宋_GB2312"/>
          <w:sz w:val="32"/>
          <w:szCs w:val="32"/>
        </w:rPr>
        <w:t>元，主要包括：办公费、印刷费、手续费、水费、</w:t>
      </w:r>
      <w:r>
        <w:rPr>
          <w:rFonts w:hint="eastAsia" w:eastAsia="仿宋_GB2312" w:cs="仿宋_GB2312"/>
          <w:sz w:val="32"/>
          <w:szCs w:val="32"/>
          <w:lang w:val="en-US" w:eastAsia="zh-CN"/>
        </w:rPr>
        <w:t>电费、</w:t>
      </w:r>
      <w:r>
        <w:rPr>
          <w:rFonts w:hint="eastAsia" w:eastAsia="仿宋_GB2312" w:cs="仿宋_GB2312"/>
          <w:sz w:val="32"/>
          <w:szCs w:val="32"/>
        </w:rPr>
        <w:t>邮电费、差旅费、维修（护）费、培训费、公务接待费、</w:t>
      </w:r>
      <w:r>
        <w:rPr>
          <w:rFonts w:hint="eastAsia" w:eastAsia="仿宋_GB2312" w:cs="仿宋_GB2312"/>
          <w:sz w:val="32"/>
          <w:szCs w:val="32"/>
          <w:lang w:val="en-US" w:eastAsia="zh-CN"/>
        </w:rPr>
        <w:t>专用燃料费、</w:t>
      </w:r>
      <w:r>
        <w:rPr>
          <w:rFonts w:hint="eastAsia" w:eastAsia="仿宋_GB2312" w:cs="仿宋_GB2312"/>
          <w:sz w:val="32"/>
          <w:szCs w:val="32"/>
        </w:rPr>
        <w:t>委托业务费、福利费、公务用车运行维护费、其他商品和服务支出。</w:t>
      </w:r>
    </w:p>
    <w:p w14:paraId="475093D4">
      <w:pPr>
        <w:spacing w:line="600" w:lineRule="exact"/>
        <w:ind w:firstLine="640" w:firstLineChars="0"/>
        <w:outlineLvl w:val="0"/>
        <w:rPr>
          <w:rStyle w:val="31"/>
          <w:rFonts w:ascii="Times New Roman" w:hAnsi="Times New Roman" w:eastAsia="黑体"/>
          <w:b w:val="0"/>
        </w:rPr>
      </w:pPr>
      <w:bookmarkStart w:id="46" w:name="_Toc27668"/>
      <w:bookmarkStart w:id="47" w:name="_Toc15396609"/>
      <w:bookmarkStart w:id="48" w:name="_Toc15377215"/>
      <w:r>
        <w:rPr>
          <w:rFonts w:hint="eastAsia" w:eastAsia="黑体"/>
          <w:sz w:val="32"/>
          <w:szCs w:val="32"/>
        </w:rPr>
        <w:t>七、</w:t>
      </w:r>
      <w:r>
        <w:rPr>
          <w:rStyle w:val="31"/>
          <w:rFonts w:hint="eastAsia" w:ascii="Times New Roman" w:hAnsi="Times New Roman" w:eastAsia="黑体"/>
          <w:b w:val="0"/>
        </w:rPr>
        <w:t>财政拨款</w:t>
      </w:r>
      <w:r>
        <w:rPr>
          <w:rStyle w:val="31"/>
          <w:rFonts w:hint="eastAsia" w:ascii="Times New Roman" w:hAnsi="Times New Roman" w:eastAsia="黑体"/>
        </w:rPr>
        <w:t>“</w:t>
      </w:r>
      <w:r>
        <w:rPr>
          <w:rStyle w:val="31"/>
          <w:rFonts w:hint="eastAsia" w:ascii="Times New Roman" w:hAnsi="Times New Roman" w:eastAsia="黑体"/>
          <w:b w:val="0"/>
        </w:rPr>
        <w:t>三公”经费支出决算情况说明</w:t>
      </w:r>
      <w:bookmarkEnd w:id="46"/>
      <w:bookmarkEnd w:id="47"/>
      <w:bookmarkEnd w:id="48"/>
    </w:p>
    <w:p w14:paraId="55E32413">
      <w:pPr>
        <w:spacing w:line="600" w:lineRule="exact"/>
        <w:ind w:firstLine="643" w:firstLineChars="200"/>
        <w:outlineLvl w:val="9"/>
        <w:rPr>
          <w:rFonts w:eastAsia="楷体_GB2312" w:cs="楷体_GB2312"/>
          <w:b/>
          <w:sz w:val="32"/>
          <w:szCs w:val="32"/>
        </w:rPr>
      </w:pPr>
      <w:bookmarkStart w:id="49" w:name="_Toc15377216"/>
      <w:r>
        <w:rPr>
          <w:rFonts w:hint="eastAsia" w:eastAsia="楷体_GB2312" w:cs="楷体_GB2312"/>
          <w:b/>
          <w:sz w:val="32"/>
          <w:szCs w:val="32"/>
        </w:rPr>
        <w:t>（一）“三公”经费财政拨款支出决算总体情况说明</w:t>
      </w:r>
      <w:bookmarkEnd w:id="49"/>
    </w:p>
    <w:p w14:paraId="650FFC8B">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2024年度“三公”经费财政拨款支出决算为</w:t>
      </w:r>
      <w:r>
        <w:rPr>
          <w:rFonts w:hint="eastAsia" w:eastAsia="仿宋_GB2312" w:cs="仿宋_GB2312"/>
          <w:sz w:val="32"/>
          <w:szCs w:val="32"/>
          <w:lang w:val="en-US" w:eastAsia="zh-CN"/>
        </w:rPr>
        <w:t>16.44</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%，较上年度</w:t>
      </w:r>
      <w:r>
        <w:rPr>
          <w:rFonts w:hint="eastAsia" w:eastAsia="仿宋_GB2312" w:cs="仿宋_GB2312"/>
          <w:sz w:val="32"/>
          <w:szCs w:val="32"/>
          <w:lang w:val="en-US" w:eastAsia="zh-CN"/>
        </w:rPr>
        <w:t>减少2.12</w:t>
      </w:r>
      <w:r>
        <w:rPr>
          <w:rFonts w:hint="eastAsia" w:eastAsia="仿宋_GB2312" w:cs="仿宋_GB2312"/>
          <w:sz w:val="32"/>
          <w:szCs w:val="32"/>
        </w:rPr>
        <w:t>万元，</w:t>
      </w:r>
      <w:r>
        <w:rPr>
          <w:rFonts w:hint="eastAsia" w:eastAsia="仿宋_GB2312" w:cs="仿宋_GB2312"/>
          <w:sz w:val="32"/>
          <w:szCs w:val="32"/>
          <w:lang w:val="en-US" w:eastAsia="zh-CN"/>
        </w:rPr>
        <w:t>下降11.4</w:t>
      </w:r>
      <w:r>
        <w:rPr>
          <w:rFonts w:hint="eastAsia" w:eastAsia="仿宋_GB2312" w:cs="仿宋_GB2312"/>
          <w:sz w:val="32"/>
          <w:szCs w:val="32"/>
        </w:rPr>
        <w:t>%。决算数与预算数持平</w:t>
      </w:r>
      <w:r>
        <w:rPr>
          <w:rFonts w:hint="eastAsia" w:eastAsia="仿宋_GB2312" w:cs="仿宋_GB2312"/>
          <w:sz w:val="32"/>
          <w:szCs w:val="32"/>
          <w:lang w:eastAsia="zh-CN"/>
        </w:rPr>
        <w:t>。</w:t>
      </w:r>
    </w:p>
    <w:p w14:paraId="181B4920">
      <w:pPr>
        <w:spacing w:line="600" w:lineRule="exact"/>
        <w:ind w:firstLine="643" w:firstLineChars="200"/>
        <w:outlineLvl w:val="9"/>
        <w:rPr>
          <w:rFonts w:eastAsia="楷体_GB2312" w:cs="楷体_GB2312"/>
          <w:b/>
          <w:sz w:val="32"/>
          <w:szCs w:val="32"/>
        </w:rPr>
      </w:pPr>
      <w:bookmarkStart w:id="50" w:name="_Toc15377217"/>
      <w:r>
        <w:rPr>
          <w:rFonts w:hint="eastAsia" w:eastAsia="楷体_GB2312" w:cs="楷体_GB2312"/>
          <w:b/>
          <w:sz w:val="32"/>
          <w:szCs w:val="32"/>
        </w:rPr>
        <w:t>（二）“三公”经费财政拨款支出决算具体情况说明</w:t>
      </w:r>
      <w:bookmarkEnd w:id="50"/>
    </w:p>
    <w:p w14:paraId="3582B8E9">
      <w:pPr>
        <w:spacing w:line="600" w:lineRule="exact"/>
        <w:ind w:firstLine="640"/>
        <w:rPr>
          <w:rFonts w:hint="eastAsia" w:eastAsia="仿宋_GB2312" w:cs="仿宋_GB2312"/>
          <w:sz w:val="32"/>
          <w:szCs w:val="32"/>
        </w:rPr>
      </w:pPr>
      <w:r>
        <w:rPr>
          <w:rFonts w:hint="eastAsia" w:eastAsia="仿宋_GB2312" w:cs="仿宋_GB2312"/>
          <w:sz w:val="32"/>
          <w:szCs w:val="32"/>
        </w:rPr>
        <w:t>2024年度“三公”经费财政拨款支出决算中，因公出国（境）费支出决算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15.79</w:t>
      </w:r>
      <w:r>
        <w:rPr>
          <w:rFonts w:hint="eastAsia" w:eastAsia="仿宋_GB2312" w:cs="仿宋_GB2312"/>
          <w:sz w:val="32"/>
          <w:szCs w:val="32"/>
        </w:rPr>
        <w:t>万元，占</w:t>
      </w:r>
      <w:r>
        <w:rPr>
          <w:rFonts w:hint="eastAsia" w:eastAsia="仿宋_GB2312" w:cs="仿宋_GB2312"/>
          <w:sz w:val="32"/>
          <w:szCs w:val="32"/>
          <w:lang w:val="en-US" w:eastAsia="zh-CN"/>
        </w:rPr>
        <w:t>96</w:t>
      </w:r>
      <w:r>
        <w:rPr>
          <w:rFonts w:hint="eastAsia" w:eastAsia="仿宋_GB2312" w:cs="仿宋_GB2312"/>
          <w:sz w:val="32"/>
          <w:szCs w:val="32"/>
        </w:rPr>
        <w:t>%；公务接待费支出决算</w:t>
      </w:r>
      <w:r>
        <w:rPr>
          <w:rFonts w:hint="eastAsia" w:eastAsia="仿宋_GB2312" w:cs="仿宋_GB2312"/>
          <w:sz w:val="32"/>
          <w:szCs w:val="32"/>
          <w:lang w:val="en-US" w:eastAsia="zh-CN"/>
        </w:rPr>
        <w:t>0.65</w:t>
      </w:r>
      <w:r>
        <w:rPr>
          <w:rFonts w:hint="eastAsia" w:eastAsia="仿宋_GB2312" w:cs="仿宋_GB2312"/>
          <w:sz w:val="32"/>
          <w:szCs w:val="32"/>
        </w:rPr>
        <w:t>万元，占</w:t>
      </w:r>
      <w:r>
        <w:rPr>
          <w:rFonts w:hint="eastAsia" w:eastAsia="仿宋_GB2312" w:cs="仿宋_GB2312"/>
          <w:sz w:val="32"/>
          <w:szCs w:val="32"/>
          <w:lang w:val="en-US" w:eastAsia="zh-CN"/>
        </w:rPr>
        <w:t>4</w:t>
      </w:r>
      <w:r>
        <w:rPr>
          <w:rFonts w:hint="eastAsia" w:eastAsia="仿宋_GB2312" w:cs="仿宋_GB2312"/>
          <w:sz w:val="32"/>
          <w:szCs w:val="32"/>
        </w:rPr>
        <w:t>%。具体情况如下：</w:t>
      </w:r>
    </w:p>
    <w:p w14:paraId="7AE452C2">
      <w:pPr>
        <w:pStyle w:val="14"/>
        <w:rPr>
          <w:rFonts w:hint="eastAsia" w:eastAsia="仿宋_GB2312" w:cs="仿宋_GB2312"/>
          <w:sz w:val="32"/>
          <w:szCs w:val="32"/>
        </w:rPr>
      </w:pPr>
      <w:r>
        <w:drawing>
          <wp:inline distT="0" distB="0" distL="114300" distR="114300">
            <wp:extent cx="5240655" cy="2667000"/>
            <wp:effectExtent l="4445" t="4445" r="12700" b="8255"/>
            <wp:docPr id="12"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26A8CFB">
      <w:pPr>
        <w:spacing w:line="600" w:lineRule="exact"/>
        <w:ind w:firstLine="640"/>
        <w:jc w:val="center"/>
        <w:rPr>
          <w:rFonts w:eastAsia="仿宋_GB2312" w:cs="仿宋_GB2312"/>
          <w:sz w:val="32"/>
          <w:szCs w:val="32"/>
        </w:rPr>
      </w:pPr>
      <w:r>
        <w:rPr>
          <w:rFonts w:hint="eastAsia" w:eastAsia="仿宋_GB2312" w:cs="仿宋_GB2312"/>
          <w:sz w:val="32"/>
          <w:szCs w:val="32"/>
        </w:rPr>
        <w:t>（图7：“三公”经费财政拨款支出结构）</w:t>
      </w:r>
    </w:p>
    <w:p w14:paraId="13095D98">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w:t>
      </w:r>
      <w:r>
        <w:rPr>
          <w:rFonts w:hint="eastAsia" w:ascii="仿宋_GB2312" w:hAnsi="仿宋_GB2312" w:eastAsia="仿宋_GB2312" w:cs="仿宋_GB2312"/>
          <w:sz w:val="32"/>
          <w:szCs w:val="32"/>
        </w:rPr>
        <w:t>组</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次，出国（境）</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w:t>
      </w:r>
      <w:r>
        <w:rPr>
          <w:rFonts w:hint="eastAsia" w:eastAsia="仿宋_GB2312" w:cs="仿宋_GB2312"/>
          <w:sz w:val="32"/>
          <w:szCs w:val="32"/>
        </w:rPr>
        <w:t>。</w:t>
      </w:r>
    </w:p>
    <w:p w14:paraId="46B9BD6F">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15.79万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公务用车购置及运行维护费支出决算比2023年度</w:t>
      </w:r>
      <w:r>
        <w:rPr>
          <w:rFonts w:hint="eastAsia" w:eastAsia="仿宋_GB2312" w:cs="仿宋_GB2312"/>
          <w:sz w:val="32"/>
          <w:szCs w:val="32"/>
          <w:lang w:val="en-US" w:eastAsia="zh-CN"/>
        </w:rPr>
        <w:t>减少1.08</w:t>
      </w:r>
      <w:r>
        <w:rPr>
          <w:rFonts w:hint="eastAsia" w:eastAsia="仿宋_GB2312" w:cs="仿宋_GB2312"/>
          <w:sz w:val="32"/>
          <w:szCs w:val="32"/>
        </w:rPr>
        <w:t>万元，</w:t>
      </w:r>
      <w:r>
        <w:rPr>
          <w:rFonts w:hint="eastAsia" w:eastAsia="仿宋_GB2312" w:cs="仿宋_GB2312"/>
          <w:sz w:val="32"/>
          <w:szCs w:val="32"/>
          <w:lang w:val="en-US" w:eastAsia="zh-CN"/>
        </w:rPr>
        <w:t>下降6.4</w:t>
      </w:r>
      <w:r>
        <w:rPr>
          <w:rFonts w:hint="eastAsia" w:eastAsia="仿宋_GB2312" w:cs="仿宋_GB2312"/>
          <w:sz w:val="32"/>
          <w:szCs w:val="32"/>
        </w:rPr>
        <w:t>%。主要原因是厉行节约，减少开支</w:t>
      </w:r>
      <w:r>
        <w:rPr>
          <w:rFonts w:hint="eastAsia" w:eastAsia="仿宋_GB2312" w:cs="仿宋_GB2312"/>
          <w:sz w:val="32"/>
          <w:szCs w:val="32"/>
          <w:lang w:eastAsia="zh-CN"/>
        </w:rPr>
        <w:t>。</w:t>
      </w:r>
    </w:p>
    <w:p w14:paraId="2F80BDA2">
      <w:pPr>
        <w:spacing w:line="600" w:lineRule="exact"/>
        <w:ind w:firstLine="640"/>
        <w:rPr>
          <w:rFonts w:hint="eastAsia" w:eastAsia="仿宋_GB2312" w:cs="仿宋_GB2312"/>
          <w:sz w:val="32"/>
          <w:szCs w:val="32"/>
        </w:rPr>
      </w:pPr>
      <w:r>
        <w:rPr>
          <w:rFonts w:hint="eastAsia" w:eastAsia="仿宋_GB2312" w:cs="仿宋_GB2312"/>
          <w:sz w:val="32"/>
          <w:szCs w:val="32"/>
        </w:rPr>
        <w:t>其中：公务用车购置支出</w:t>
      </w:r>
      <w:r>
        <w:rPr>
          <w:rFonts w:hint="eastAsia"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辆。截至2024年12月31日，单位共有公务用车</w:t>
      </w:r>
      <w:r>
        <w:rPr>
          <w:rFonts w:hint="eastAsia" w:eastAsia="仿宋_GB2312" w:cs="仿宋_GB2312"/>
          <w:sz w:val="32"/>
          <w:szCs w:val="32"/>
          <w:lang w:val="en-US" w:eastAsia="zh-CN"/>
        </w:rPr>
        <w:t>3</w:t>
      </w:r>
      <w:r>
        <w:rPr>
          <w:rFonts w:hint="eastAsia" w:eastAsia="仿宋_GB2312" w:cs="仿宋_GB2312"/>
          <w:sz w:val="32"/>
          <w:szCs w:val="32"/>
        </w:rPr>
        <w:t>辆，其中</w:t>
      </w:r>
      <w:r>
        <w:rPr>
          <w:rFonts w:hint="eastAsia" w:eastAsia="仿宋_GB2312" w:cs="仿宋_GB2312"/>
          <w:sz w:val="32"/>
          <w:szCs w:val="32"/>
          <w:highlight w:val="none"/>
        </w:rPr>
        <w:t>：轿车</w:t>
      </w:r>
      <w:r>
        <w:rPr>
          <w:rFonts w:hint="eastAsia" w:eastAsia="仿宋_GB2312" w:cs="仿宋_GB2312"/>
          <w:sz w:val="32"/>
          <w:szCs w:val="32"/>
          <w:highlight w:val="none"/>
          <w:lang w:val="en-US" w:eastAsia="zh-CN"/>
        </w:rPr>
        <w:t>1</w:t>
      </w:r>
      <w:r>
        <w:rPr>
          <w:rFonts w:hint="eastAsia" w:eastAsia="仿宋_GB2312" w:cs="仿宋_GB2312"/>
          <w:sz w:val="32"/>
          <w:szCs w:val="32"/>
          <w:highlight w:val="none"/>
        </w:rPr>
        <w:t>辆、越野车</w:t>
      </w:r>
      <w:r>
        <w:rPr>
          <w:rFonts w:hint="eastAsia" w:eastAsia="仿宋_GB2312" w:cs="仿宋_GB2312"/>
          <w:sz w:val="32"/>
          <w:szCs w:val="32"/>
          <w:highlight w:val="none"/>
          <w:lang w:val="en-US" w:eastAsia="zh-CN"/>
        </w:rPr>
        <w:t>2</w:t>
      </w:r>
      <w:r>
        <w:rPr>
          <w:rFonts w:hint="eastAsia" w:eastAsia="仿宋_GB2312" w:cs="仿宋_GB2312"/>
          <w:sz w:val="32"/>
          <w:szCs w:val="32"/>
          <w:highlight w:val="none"/>
        </w:rPr>
        <w:t>辆</w:t>
      </w:r>
      <w:r>
        <w:rPr>
          <w:rFonts w:hint="eastAsia" w:eastAsia="仿宋_GB2312" w:cs="仿宋_GB2312"/>
          <w:sz w:val="32"/>
          <w:szCs w:val="32"/>
        </w:rPr>
        <w:t>。</w:t>
      </w:r>
    </w:p>
    <w:p w14:paraId="1ECD7BDF">
      <w:pPr>
        <w:spacing w:line="600" w:lineRule="exact"/>
        <w:ind w:firstLine="640"/>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w:t>
      </w:r>
      <w:r>
        <w:rPr>
          <w:rFonts w:hint="eastAsia" w:eastAsia="仿宋_GB2312" w:cs="仿宋_GB2312"/>
          <w:sz w:val="32"/>
          <w:szCs w:val="32"/>
          <w:lang w:val="en-US" w:eastAsia="zh-CN"/>
        </w:rPr>
        <w:t>15.79</w:t>
      </w:r>
      <w:r>
        <w:rPr>
          <w:rFonts w:hint="eastAsia" w:eastAsia="仿宋_GB2312" w:cs="仿宋_GB2312"/>
          <w:sz w:val="32"/>
          <w:szCs w:val="32"/>
        </w:rPr>
        <w:t>万元。主要用于</w:t>
      </w:r>
      <w:r>
        <w:rPr>
          <w:rFonts w:hint="eastAsia" w:eastAsia="仿宋_GB2312" w:cs="仿宋_GB2312"/>
          <w:sz w:val="32"/>
          <w:szCs w:val="32"/>
          <w:lang w:val="en-US" w:eastAsia="zh-CN"/>
        </w:rPr>
        <w:t>日常业务开展</w:t>
      </w:r>
      <w:r>
        <w:rPr>
          <w:rFonts w:hint="eastAsia" w:eastAsia="仿宋_GB2312" w:cs="仿宋_GB2312"/>
          <w:sz w:val="32"/>
          <w:szCs w:val="32"/>
        </w:rPr>
        <w:t>所需的公务用车燃料费、维修费、过路过桥费、保险费等支出。</w:t>
      </w:r>
    </w:p>
    <w:p w14:paraId="24D7788E">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lang w:val="en-US" w:eastAsia="zh-CN"/>
        </w:rPr>
        <w:t>0.65</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公务接待费支出决算比2023年度</w:t>
      </w:r>
      <w:r>
        <w:rPr>
          <w:rFonts w:hint="eastAsia" w:eastAsia="仿宋_GB2312" w:cs="仿宋_GB2312"/>
          <w:sz w:val="32"/>
          <w:szCs w:val="32"/>
          <w:lang w:val="en-US" w:eastAsia="zh-CN"/>
        </w:rPr>
        <w:t>减少1.04</w:t>
      </w:r>
      <w:r>
        <w:rPr>
          <w:rFonts w:hint="eastAsia" w:eastAsia="仿宋_GB2312" w:cs="仿宋_GB2312"/>
          <w:sz w:val="32"/>
          <w:szCs w:val="32"/>
        </w:rPr>
        <w:t>万元，下降</w:t>
      </w:r>
      <w:r>
        <w:rPr>
          <w:rFonts w:hint="eastAsia" w:eastAsia="仿宋_GB2312" w:cs="仿宋_GB2312"/>
          <w:sz w:val="32"/>
          <w:szCs w:val="32"/>
          <w:lang w:val="en-US" w:eastAsia="zh-CN"/>
        </w:rPr>
        <w:t>61.5</w:t>
      </w:r>
      <w:r>
        <w:rPr>
          <w:rFonts w:hint="eastAsia" w:eastAsia="仿宋_GB2312" w:cs="仿宋_GB2312"/>
          <w:sz w:val="32"/>
          <w:szCs w:val="32"/>
        </w:rPr>
        <w:t>%。主要原因是厉行节约，减少开支。其中：</w:t>
      </w:r>
    </w:p>
    <w:p w14:paraId="296FD5FD">
      <w:pPr>
        <w:spacing w:line="600" w:lineRule="exact"/>
        <w:ind w:firstLine="640"/>
        <w:rPr>
          <w:rFonts w:hint="eastAsia"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0.65</w:t>
      </w:r>
      <w:r>
        <w:rPr>
          <w:rFonts w:hint="eastAsia" w:eastAsia="仿宋_GB2312" w:cs="仿宋_GB2312"/>
          <w:sz w:val="32"/>
          <w:szCs w:val="32"/>
        </w:rPr>
        <w:t>万元，主要用于执行公务、开展业务活动开支的交通费、住宿费、用餐费等。国内公务接待</w:t>
      </w:r>
      <w:r>
        <w:rPr>
          <w:rFonts w:hint="eastAsia" w:eastAsia="仿宋_GB2312" w:cs="仿宋_GB2312"/>
          <w:sz w:val="32"/>
          <w:szCs w:val="32"/>
          <w:lang w:val="en-US" w:eastAsia="zh-CN"/>
        </w:rPr>
        <w:t>9</w:t>
      </w:r>
      <w:r>
        <w:rPr>
          <w:rFonts w:hint="eastAsia" w:eastAsia="仿宋_GB2312" w:cs="仿宋_GB2312"/>
          <w:sz w:val="32"/>
          <w:szCs w:val="32"/>
        </w:rPr>
        <w:t>批次，</w:t>
      </w:r>
      <w:r>
        <w:rPr>
          <w:rFonts w:hint="eastAsia" w:eastAsia="仿宋_GB2312" w:cs="仿宋_GB2312"/>
          <w:sz w:val="32"/>
          <w:szCs w:val="32"/>
          <w:lang w:val="en-US" w:eastAsia="zh-CN"/>
        </w:rPr>
        <w:t>66</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0.65</w:t>
      </w:r>
      <w:r>
        <w:rPr>
          <w:rFonts w:hint="eastAsia" w:eastAsia="仿宋_GB2312" w:cs="仿宋_GB2312"/>
          <w:sz w:val="32"/>
          <w:szCs w:val="32"/>
        </w:rPr>
        <w:t>万元，</w:t>
      </w:r>
      <w:r>
        <w:rPr>
          <w:rFonts w:hint="eastAsia" w:eastAsia="仿宋_GB2312" w:cs="仿宋_GB2312"/>
          <w:sz w:val="32"/>
          <w:szCs w:val="32"/>
          <w:highlight w:val="none"/>
        </w:rPr>
        <w:t>具体内容包括：州委考核组考核单位</w:t>
      </w:r>
      <w:r>
        <w:rPr>
          <w:rFonts w:hint="eastAsia" w:eastAsia="仿宋_GB2312" w:cs="仿宋_GB2312"/>
          <w:sz w:val="32"/>
          <w:szCs w:val="32"/>
          <w:highlight w:val="none"/>
          <w:lang w:val="en-US" w:eastAsia="zh-CN"/>
        </w:rPr>
        <w:t>0.1万元；成都航空职业技术学院智慧放牧物联网项目合作0.16万元</w:t>
      </w:r>
      <w:r>
        <w:rPr>
          <w:rFonts w:hint="eastAsia" w:eastAsia="仿宋_GB2312" w:cs="仿宋_GB2312"/>
          <w:sz w:val="32"/>
          <w:szCs w:val="32"/>
          <w:highlight w:val="none"/>
        </w:rPr>
        <w:t>等。</w:t>
      </w:r>
    </w:p>
    <w:p w14:paraId="2E2996EB">
      <w:pPr>
        <w:spacing w:line="600" w:lineRule="exact"/>
        <w:ind w:firstLine="640"/>
        <w:rPr>
          <w:rFonts w:hint="eastAsia"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0</w:t>
      </w:r>
      <w:r>
        <w:rPr>
          <w:rFonts w:hint="eastAsia" w:eastAsia="仿宋_GB2312" w:cs="仿宋_GB2312"/>
          <w:sz w:val="32"/>
          <w:szCs w:val="32"/>
        </w:rPr>
        <w:t>万元。</w:t>
      </w:r>
    </w:p>
    <w:p w14:paraId="47228CBE">
      <w:pPr>
        <w:spacing w:line="600" w:lineRule="exact"/>
        <w:ind w:firstLine="640" w:firstLineChars="0"/>
        <w:outlineLvl w:val="0"/>
        <w:rPr>
          <w:rStyle w:val="31"/>
          <w:rFonts w:ascii="Times New Roman" w:hAnsi="Times New Roman" w:eastAsia="黑体"/>
        </w:rPr>
      </w:pPr>
      <w:bookmarkStart w:id="51" w:name="_Toc17635"/>
      <w:bookmarkStart w:id="52" w:name="_Toc15396610"/>
      <w:bookmarkStart w:id="53" w:name="_Toc15377218"/>
      <w:r>
        <w:rPr>
          <w:rFonts w:hint="eastAsia" w:eastAsia="黑体"/>
          <w:sz w:val="32"/>
          <w:szCs w:val="32"/>
        </w:rPr>
        <w:t>八、</w:t>
      </w:r>
      <w:r>
        <w:rPr>
          <w:rStyle w:val="31"/>
          <w:rFonts w:hint="eastAsia" w:ascii="Times New Roman" w:hAnsi="Times New Roman" w:eastAsia="黑体"/>
          <w:b w:val="0"/>
        </w:rPr>
        <w:t>政府性基金预算支出决算情况说明</w:t>
      </w:r>
      <w:bookmarkEnd w:id="51"/>
      <w:bookmarkEnd w:id="52"/>
      <w:bookmarkEnd w:id="53"/>
    </w:p>
    <w:p w14:paraId="47801A45">
      <w:pPr>
        <w:spacing w:line="600" w:lineRule="exact"/>
        <w:ind w:firstLine="640"/>
        <w:rPr>
          <w:rFonts w:hint="eastAsia" w:eastAsia="仿宋_GB2312" w:cs="仿宋_GB2312"/>
          <w:sz w:val="32"/>
          <w:szCs w:val="32"/>
        </w:rPr>
      </w:pPr>
      <w:r>
        <w:rPr>
          <w:rFonts w:hint="eastAsia" w:eastAsia="仿宋_GB2312" w:cs="仿宋_GB2312"/>
          <w:sz w:val="32"/>
          <w:szCs w:val="32"/>
        </w:rPr>
        <w:t>2024年度政府性基金预算财政拨款支出</w:t>
      </w:r>
      <w:r>
        <w:rPr>
          <w:rFonts w:hint="eastAsia" w:eastAsia="仿宋_GB2312" w:cs="仿宋_GB2312"/>
          <w:sz w:val="32"/>
          <w:szCs w:val="32"/>
          <w:lang w:val="en-US" w:eastAsia="zh-CN"/>
        </w:rPr>
        <w:t>0</w:t>
      </w:r>
      <w:r>
        <w:rPr>
          <w:rFonts w:hint="eastAsia" w:eastAsia="仿宋_GB2312" w:cs="仿宋_GB2312"/>
          <w:sz w:val="32"/>
          <w:szCs w:val="32"/>
        </w:rPr>
        <w:t>万元。</w:t>
      </w:r>
      <w:bookmarkStart w:id="54" w:name="_Toc15396611"/>
      <w:bookmarkStart w:id="55" w:name="_Toc15377219"/>
      <w:r>
        <w:rPr>
          <w:rFonts w:hint="eastAsia" w:ascii="仿宋_GB2312" w:eastAsia="仿宋_GB2312"/>
          <w:sz w:val="32"/>
          <w:lang w:val="en-US" w:eastAsia="zh-CN"/>
        </w:rPr>
        <w:t>（单位属一级预算科研事业单位，不使用机关运行经费）</w:t>
      </w:r>
    </w:p>
    <w:p w14:paraId="4A9A739A">
      <w:pPr>
        <w:spacing w:line="600" w:lineRule="exact"/>
        <w:ind w:left="630" w:leftChars="0"/>
        <w:outlineLvl w:val="0"/>
        <w:rPr>
          <w:rStyle w:val="31"/>
          <w:rFonts w:ascii="Times New Roman" w:hAnsi="Times New Roman" w:eastAsia="黑体"/>
          <w:b w:val="0"/>
        </w:rPr>
      </w:pPr>
      <w:bookmarkStart w:id="56" w:name="_Toc6111"/>
      <w:r>
        <w:rPr>
          <w:rStyle w:val="31"/>
          <w:rFonts w:hint="eastAsia" w:ascii="Times New Roman" w:hAnsi="Times New Roman" w:eastAsia="黑体"/>
          <w:b w:val="0"/>
        </w:rPr>
        <w:t>九、国有资本经营预算支出决算情况说明</w:t>
      </w:r>
      <w:bookmarkEnd w:id="54"/>
      <w:bookmarkEnd w:id="55"/>
      <w:bookmarkEnd w:id="56"/>
    </w:p>
    <w:p w14:paraId="7AE95F82">
      <w:pPr>
        <w:spacing w:line="600" w:lineRule="exact"/>
        <w:ind w:firstLine="640"/>
        <w:rPr>
          <w:rFonts w:hint="eastAsia" w:eastAsia="仿宋_GB2312" w:cs="仿宋_GB2312"/>
          <w:sz w:val="32"/>
          <w:szCs w:val="32"/>
        </w:rPr>
      </w:pPr>
      <w:r>
        <w:rPr>
          <w:rFonts w:hint="eastAsia" w:eastAsia="仿宋_GB2312" w:cs="仿宋_GB2312"/>
          <w:sz w:val="32"/>
          <w:szCs w:val="32"/>
        </w:rPr>
        <w:t>2024年度国有资本经营预算财政拨款支出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w:t>
      </w:r>
      <w:r>
        <w:rPr>
          <w:rFonts w:hint="eastAsia" w:ascii="仿宋_GB2312" w:eastAsia="仿宋_GB2312"/>
          <w:sz w:val="32"/>
          <w:lang w:val="en-US" w:eastAsia="zh-CN"/>
        </w:rPr>
        <w:t>（单位属一级预算科研事业单位，不使用国有资本经营预算）</w:t>
      </w:r>
    </w:p>
    <w:p w14:paraId="2CA2FA4F">
      <w:pPr>
        <w:spacing w:line="600" w:lineRule="exact"/>
        <w:ind w:left="630" w:leftChars="0"/>
        <w:outlineLvl w:val="0"/>
        <w:rPr>
          <w:rStyle w:val="31"/>
          <w:rFonts w:ascii="Times New Roman" w:hAnsi="Times New Roman" w:eastAsia="黑体"/>
          <w:b w:val="0"/>
        </w:rPr>
      </w:pPr>
      <w:bookmarkStart w:id="57" w:name="_Toc15396612"/>
      <w:bookmarkStart w:id="58" w:name="_Toc15377221"/>
      <w:bookmarkStart w:id="59" w:name="_Toc25954"/>
      <w:r>
        <w:rPr>
          <w:rStyle w:val="31"/>
          <w:rFonts w:hint="eastAsia" w:ascii="Times New Roman" w:hAnsi="Times New Roman" w:eastAsia="黑体"/>
          <w:b w:val="0"/>
        </w:rPr>
        <w:t>十、其他重要事项的情况说明</w:t>
      </w:r>
      <w:bookmarkEnd w:id="57"/>
      <w:bookmarkEnd w:id="58"/>
      <w:bookmarkEnd w:id="59"/>
    </w:p>
    <w:p w14:paraId="2635AD73">
      <w:pPr>
        <w:spacing w:line="600" w:lineRule="exact"/>
        <w:ind w:firstLine="640" w:firstLineChars="0"/>
        <w:outlineLvl w:val="9"/>
        <w:rPr>
          <w:rFonts w:eastAsia="楷体_GB2312" w:cs="楷体_GB2312"/>
          <w:b/>
          <w:sz w:val="32"/>
          <w:szCs w:val="32"/>
        </w:rPr>
      </w:pPr>
      <w:bookmarkStart w:id="60" w:name="_Toc15377222"/>
      <w:r>
        <w:rPr>
          <w:rFonts w:hint="eastAsia" w:eastAsia="楷体_GB2312" w:cs="楷体_GB2312"/>
          <w:b/>
          <w:sz w:val="32"/>
          <w:szCs w:val="32"/>
        </w:rPr>
        <w:t>（一）机关运行经费支出情况</w:t>
      </w:r>
      <w:bookmarkEnd w:id="60"/>
    </w:p>
    <w:p w14:paraId="7B010C1B">
      <w:pPr>
        <w:spacing w:line="600" w:lineRule="exact"/>
        <w:ind w:firstLine="640"/>
        <w:rPr>
          <w:rFonts w:hint="eastAsia" w:eastAsia="仿宋_GB2312" w:cs="仿宋_GB2312"/>
          <w:sz w:val="32"/>
          <w:szCs w:val="32"/>
        </w:rPr>
      </w:pPr>
      <w:r>
        <w:rPr>
          <w:rFonts w:hint="eastAsia" w:eastAsia="仿宋_GB2312" w:cs="仿宋_GB2312"/>
          <w:sz w:val="32"/>
          <w:szCs w:val="32"/>
        </w:rPr>
        <w:t>2024年度，四川省龙日种畜场机关运行经费支出</w:t>
      </w:r>
      <w:r>
        <w:rPr>
          <w:rFonts w:hint="eastAsia" w:eastAsia="仿宋_GB2312" w:cs="仿宋_GB2312"/>
          <w:sz w:val="32"/>
          <w:szCs w:val="32"/>
          <w:lang w:val="en-US" w:eastAsia="zh-CN"/>
        </w:rPr>
        <w:t>0</w:t>
      </w:r>
      <w:r>
        <w:rPr>
          <w:rFonts w:hint="eastAsia" w:eastAsia="仿宋_GB2312" w:cs="仿宋_GB2312"/>
          <w:sz w:val="32"/>
          <w:szCs w:val="32"/>
        </w:rPr>
        <w:t>万元，</w:t>
      </w:r>
      <w:r>
        <w:rPr>
          <w:rFonts w:hint="eastAsia" w:eastAsia="仿宋_GB2312" w:cs="仿宋_GB2312"/>
          <w:sz w:val="32"/>
          <w:szCs w:val="32"/>
          <w:lang w:val="en-US" w:eastAsia="zh-CN"/>
        </w:rPr>
        <w:t>与</w:t>
      </w:r>
      <w:r>
        <w:rPr>
          <w:rFonts w:hint="eastAsia" w:eastAsia="仿宋_GB2312" w:cs="仿宋_GB2312"/>
          <w:sz w:val="32"/>
          <w:szCs w:val="32"/>
        </w:rPr>
        <w:t>2023年度</w:t>
      </w:r>
      <w:r>
        <w:rPr>
          <w:rFonts w:hint="eastAsia" w:eastAsia="仿宋_GB2312" w:cs="仿宋_GB2312"/>
          <w:sz w:val="32"/>
          <w:szCs w:val="32"/>
          <w:lang w:val="en-US" w:eastAsia="zh-CN"/>
        </w:rPr>
        <w:t>一致</w:t>
      </w:r>
      <w:r>
        <w:rPr>
          <w:rFonts w:hint="eastAsia" w:eastAsia="仿宋_GB2312" w:cs="仿宋_GB2312"/>
          <w:sz w:val="32"/>
          <w:szCs w:val="32"/>
          <w:lang w:eastAsia="zh-CN"/>
        </w:rPr>
        <w:t>。</w:t>
      </w:r>
      <w:r>
        <w:rPr>
          <w:rFonts w:hint="eastAsia" w:ascii="仿宋_GB2312" w:eastAsia="仿宋_GB2312"/>
          <w:sz w:val="32"/>
          <w:lang w:val="en-US" w:eastAsia="zh-CN"/>
        </w:rPr>
        <w:t>（单位属一级预算科研事业单位，不使用机关运行经费）</w:t>
      </w:r>
    </w:p>
    <w:p w14:paraId="55FA91AE">
      <w:pPr>
        <w:spacing w:line="600" w:lineRule="exact"/>
        <w:ind w:firstLine="643" w:firstLineChars="200"/>
        <w:outlineLvl w:val="9"/>
        <w:rPr>
          <w:rFonts w:eastAsia="楷体_GB2312" w:cs="楷体_GB2312"/>
          <w:b/>
          <w:sz w:val="32"/>
          <w:szCs w:val="32"/>
        </w:rPr>
      </w:pPr>
      <w:bookmarkStart w:id="61" w:name="_Toc15377223"/>
      <w:r>
        <w:rPr>
          <w:rFonts w:hint="eastAsia" w:eastAsia="楷体_GB2312" w:cs="楷体_GB2312"/>
          <w:b/>
          <w:sz w:val="32"/>
          <w:szCs w:val="32"/>
        </w:rPr>
        <w:t>（二）政府采购支出情况</w:t>
      </w:r>
      <w:bookmarkEnd w:id="61"/>
    </w:p>
    <w:p w14:paraId="013F198C">
      <w:pPr>
        <w:spacing w:line="600" w:lineRule="exact"/>
        <w:ind w:firstLine="640"/>
        <w:rPr>
          <w:rFonts w:hint="eastAsia" w:eastAsia="仿宋_GB2312" w:cs="仿宋_GB2312"/>
          <w:sz w:val="32"/>
          <w:szCs w:val="32"/>
        </w:rPr>
      </w:pPr>
      <w:r>
        <w:rPr>
          <w:rFonts w:hint="eastAsia" w:eastAsia="仿宋_GB2312" w:cs="仿宋_GB2312"/>
          <w:sz w:val="32"/>
          <w:szCs w:val="32"/>
        </w:rPr>
        <w:t>2024年度，四川省龙日种畜场政府采购支出总额</w:t>
      </w:r>
      <w:r>
        <w:rPr>
          <w:rFonts w:hint="eastAsia" w:eastAsia="仿宋_GB2312" w:cs="仿宋_GB2312"/>
          <w:sz w:val="32"/>
          <w:szCs w:val="32"/>
          <w:lang w:val="en-US" w:eastAsia="zh-CN"/>
        </w:rPr>
        <w:t>44.76</w:t>
      </w:r>
      <w:r>
        <w:rPr>
          <w:rFonts w:hint="eastAsia" w:eastAsia="仿宋_GB2312" w:cs="仿宋_GB2312"/>
          <w:sz w:val="32"/>
          <w:szCs w:val="32"/>
        </w:rPr>
        <w:t>万元，其中：政府采购货物支出</w:t>
      </w:r>
      <w:r>
        <w:rPr>
          <w:rFonts w:hint="eastAsia" w:eastAsia="仿宋_GB2312" w:cs="仿宋_GB2312"/>
          <w:sz w:val="32"/>
          <w:szCs w:val="32"/>
          <w:lang w:val="en-US" w:eastAsia="zh-CN"/>
        </w:rPr>
        <w:t>44.76</w:t>
      </w:r>
      <w:r>
        <w:rPr>
          <w:rFonts w:hint="eastAsia" w:eastAsia="仿宋_GB2312" w:cs="仿宋_GB2312"/>
          <w:sz w:val="32"/>
          <w:szCs w:val="32"/>
        </w:rPr>
        <w:t>万元、政府采购工程支出</w:t>
      </w:r>
      <w:r>
        <w:rPr>
          <w:rFonts w:hint="eastAsia" w:eastAsia="仿宋_GB2312" w:cs="仿宋_GB2312"/>
          <w:sz w:val="32"/>
          <w:szCs w:val="32"/>
          <w:lang w:val="en-US" w:eastAsia="zh-CN"/>
        </w:rPr>
        <w:t>0</w:t>
      </w:r>
      <w:r>
        <w:rPr>
          <w:rFonts w:hint="eastAsia" w:eastAsia="仿宋_GB2312" w:cs="仿宋_GB2312"/>
          <w:sz w:val="32"/>
          <w:szCs w:val="32"/>
        </w:rPr>
        <w:t>万元、政府采购服务支出</w:t>
      </w:r>
      <w:r>
        <w:rPr>
          <w:rFonts w:hint="eastAsia" w:eastAsia="仿宋_GB2312" w:cs="仿宋_GB2312"/>
          <w:sz w:val="32"/>
          <w:szCs w:val="32"/>
          <w:lang w:val="en-US" w:eastAsia="zh-CN"/>
        </w:rPr>
        <w:t>0</w:t>
      </w:r>
      <w:r>
        <w:rPr>
          <w:rFonts w:hint="eastAsia" w:eastAsia="仿宋_GB2312" w:cs="仿宋_GB2312"/>
          <w:sz w:val="32"/>
          <w:szCs w:val="32"/>
        </w:rPr>
        <w:t>万元。主要用于</w:t>
      </w:r>
      <w:r>
        <w:rPr>
          <w:rFonts w:hint="eastAsia" w:eastAsia="仿宋_GB2312" w:cs="仿宋_GB2312"/>
          <w:sz w:val="32"/>
          <w:szCs w:val="32"/>
          <w:lang w:val="en-US" w:eastAsia="zh-CN"/>
        </w:rPr>
        <w:t>购买兽药、饲料等</w:t>
      </w:r>
      <w:r>
        <w:rPr>
          <w:rFonts w:hint="eastAsia" w:eastAsia="仿宋_GB2312" w:cs="仿宋_GB2312"/>
          <w:sz w:val="32"/>
          <w:szCs w:val="32"/>
        </w:rPr>
        <w:t>。授予中小企业合同金额</w:t>
      </w:r>
      <w:r>
        <w:rPr>
          <w:rFonts w:hint="eastAsia" w:eastAsia="仿宋_GB2312" w:cs="仿宋_GB2312"/>
          <w:sz w:val="32"/>
          <w:szCs w:val="32"/>
          <w:lang w:val="en-US" w:eastAsia="zh-CN"/>
        </w:rPr>
        <w:t>44.76</w:t>
      </w:r>
      <w:r>
        <w:rPr>
          <w:rFonts w:hint="eastAsia" w:eastAsia="仿宋_GB2312" w:cs="仿宋_GB2312"/>
          <w:sz w:val="32"/>
          <w:szCs w:val="32"/>
        </w:rPr>
        <w:t>万元，占政府采购支出总额的</w:t>
      </w:r>
      <w:r>
        <w:rPr>
          <w:rFonts w:hint="eastAsia" w:eastAsia="仿宋_GB2312" w:cs="仿宋_GB2312"/>
          <w:sz w:val="32"/>
          <w:szCs w:val="32"/>
          <w:lang w:val="en-US" w:eastAsia="zh-CN"/>
        </w:rPr>
        <w:t>100</w:t>
      </w:r>
      <w:r>
        <w:rPr>
          <w:rFonts w:hint="eastAsia" w:eastAsia="仿宋_GB2312" w:cs="仿宋_GB2312"/>
          <w:sz w:val="32"/>
          <w:szCs w:val="32"/>
        </w:rPr>
        <w:t>%，其中：授予小微企业合同金额</w:t>
      </w:r>
      <w:r>
        <w:rPr>
          <w:rFonts w:hint="eastAsia" w:eastAsia="仿宋_GB2312" w:cs="仿宋_GB2312"/>
          <w:sz w:val="32"/>
          <w:szCs w:val="32"/>
          <w:lang w:val="en-US" w:eastAsia="zh-CN"/>
        </w:rPr>
        <w:t>44.76</w:t>
      </w:r>
      <w:r>
        <w:rPr>
          <w:rFonts w:hint="eastAsia" w:eastAsia="仿宋_GB2312" w:cs="仿宋_GB2312"/>
          <w:sz w:val="32"/>
          <w:szCs w:val="32"/>
        </w:rPr>
        <w:t>万元，占政府采购支出总额的</w:t>
      </w:r>
      <w:r>
        <w:rPr>
          <w:rFonts w:hint="eastAsia" w:eastAsia="仿宋_GB2312" w:cs="仿宋_GB2312"/>
          <w:sz w:val="32"/>
          <w:szCs w:val="32"/>
          <w:lang w:val="en-US" w:eastAsia="zh-CN"/>
        </w:rPr>
        <w:t>100</w:t>
      </w:r>
      <w:r>
        <w:rPr>
          <w:rFonts w:hint="eastAsia" w:eastAsia="仿宋_GB2312" w:cs="仿宋_GB2312"/>
          <w:sz w:val="32"/>
          <w:szCs w:val="32"/>
        </w:rPr>
        <w:t>%。</w:t>
      </w:r>
    </w:p>
    <w:p w14:paraId="45302635">
      <w:pPr>
        <w:spacing w:line="600" w:lineRule="exact"/>
        <w:ind w:firstLine="643" w:firstLineChars="200"/>
        <w:outlineLvl w:val="9"/>
        <w:rPr>
          <w:rFonts w:eastAsia="楷体_GB2312" w:cs="楷体_GB2312"/>
          <w:b/>
          <w:sz w:val="32"/>
          <w:szCs w:val="32"/>
        </w:rPr>
      </w:pPr>
      <w:bookmarkStart w:id="62" w:name="_Toc15377224"/>
      <w:r>
        <w:rPr>
          <w:rFonts w:hint="eastAsia" w:eastAsia="楷体_GB2312" w:cs="楷体_GB2312"/>
          <w:b/>
          <w:sz w:val="32"/>
          <w:szCs w:val="32"/>
        </w:rPr>
        <w:t>（三）国有资产占有使用情况</w:t>
      </w:r>
      <w:bookmarkEnd w:id="62"/>
    </w:p>
    <w:p w14:paraId="30C5E6D8">
      <w:pPr>
        <w:spacing w:line="600" w:lineRule="exact"/>
        <w:ind w:firstLine="640"/>
        <w:rPr>
          <w:rFonts w:hint="eastAsia" w:eastAsia="仿宋_GB2312" w:cs="仿宋_GB2312"/>
          <w:sz w:val="32"/>
          <w:szCs w:val="32"/>
        </w:rPr>
      </w:pPr>
      <w:r>
        <w:rPr>
          <w:rFonts w:hint="eastAsia" w:eastAsia="仿宋_GB2312" w:cs="仿宋_GB2312"/>
          <w:sz w:val="32"/>
          <w:szCs w:val="32"/>
        </w:rPr>
        <w:t>截至2024年12月31日，四川省龙日种畜场共有车辆</w:t>
      </w:r>
      <w:r>
        <w:rPr>
          <w:rFonts w:hint="eastAsia" w:eastAsia="仿宋_GB2312" w:cs="仿宋_GB2312"/>
          <w:sz w:val="32"/>
          <w:szCs w:val="32"/>
          <w:lang w:val="en-US" w:eastAsia="zh-CN"/>
        </w:rPr>
        <w:t>2</w:t>
      </w:r>
      <w:r>
        <w:rPr>
          <w:rFonts w:hint="eastAsia" w:eastAsia="仿宋_GB2312" w:cs="仿宋_GB2312"/>
          <w:sz w:val="32"/>
          <w:szCs w:val="32"/>
        </w:rPr>
        <w:t>辆，其中：</w:t>
      </w:r>
      <w:r>
        <w:rPr>
          <w:rFonts w:hint="eastAsia" w:eastAsia="仿宋_GB2312" w:cs="仿宋_GB2312"/>
          <w:sz w:val="32"/>
          <w:szCs w:val="32"/>
          <w:lang w:val="en-US" w:eastAsia="zh-CN"/>
        </w:rPr>
        <w:t>其他用车2辆。</w:t>
      </w:r>
      <w:r>
        <w:rPr>
          <w:rFonts w:hint="eastAsia" w:eastAsia="仿宋_GB2312" w:cs="仿宋_GB2312"/>
          <w:sz w:val="32"/>
          <w:szCs w:val="32"/>
        </w:rPr>
        <w:t>单价100万元（含）以上设备（不含车辆）</w:t>
      </w:r>
      <w:r>
        <w:rPr>
          <w:rFonts w:hint="eastAsia" w:eastAsia="仿宋_GB2312" w:cs="仿宋_GB2312"/>
          <w:sz w:val="32"/>
          <w:szCs w:val="32"/>
          <w:lang w:val="en-US" w:eastAsia="zh-CN"/>
        </w:rPr>
        <w:t>0</w:t>
      </w:r>
      <w:r>
        <w:rPr>
          <w:rFonts w:hint="eastAsia" w:eastAsia="仿宋_GB2312" w:cs="仿宋_GB2312"/>
          <w:sz w:val="32"/>
          <w:szCs w:val="32"/>
        </w:rPr>
        <w:t>台（套）。</w:t>
      </w:r>
    </w:p>
    <w:p w14:paraId="43666F02">
      <w:pPr>
        <w:spacing w:line="600" w:lineRule="exact"/>
        <w:ind w:firstLine="643" w:firstLineChars="200"/>
        <w:outlineLvl w:val="9"/>
        <w:rPr>
          <w:rFonts w:eastAsia="楷体_GB2312" w:cs="楷体_GB2312"/>
          <w:b/>
          <w:sz w:val="32"/>
          <w:szCs w:val="32"/>
        </w:rPr>
      </w:pPr>
      <w:r>
        <w:rPr>
          <w:rFonts w:hint="eastAsia" w:eastAsia="楷体_GB2312" w:cs="楷体_GB2312"/>
          <w:b/>
          <w:sz w:val="32"/>
          <w:szCs w:val="32"/>
        </w:rPr>
        <w:t>（四）预算绩效管理情况</w:t>
      </w:r>
    </w:p>
    <w:p w14:paraId="28B8861A">
      <w:pPr>
        <w:spacing w:line="600" w:lineRule="exact"/>
        <w:ind w:firstLine="640"/>
        <w:rPr>
          <w:rFonts w:hint="eastAsia" w:eastAsia="仿宋_GB2312" w:cs="仿宋_GB2312"/>
          <w:sz w:val="32"/>
          <w:szCs w:val="32"/>
        </w:rPr>
      </w:pPr>
      <w:r>
        <w:rPr>
          <w:rFonts w:hint="eastAsia" w:eastAsia="仿宋_GB2312" w:cs="仿宋_GB2312"/>
          <w:sz w:val="32"/>
          <w:szCs w:val="32"/>
        </w:rPr>
        <w:t>根据预算绩效管理要求，四川省龙日种畜场在2024年度预算编制阶段，组织对四川省龙日种畜场2024年原种场运行管理项目</w:t>
      </w:r>
      <w:r>
        <w:rPr>
          <w:rFonts w:hint="eastAsia" w:eastAsia="仿宋_GB2312" w:cs="仿宋_GB2312"/>
          <w:sz w:val="32"/>
          <w:szCs w:val="32"/>
          <w:lang w:eastAsia="zh-CN"/>
        </w:rPr>
        <w:t>、智慧放牧物联网系统与大规模牧群监管关键技术研究</w:t>
      </w:r>
      <w:r>
        <w:rPr>
          <w:rFonts w:hint="eastAsia" w:eastAsia="仿宋_GB2312" w:cs="仿宋_GB2312"/>
          <w:sz w:val="32"/>
          <w:szCs w:val="32"/>
        </w:rPr>
        <w:t>等</w:t>
      </w:r>
      <w:r>
        <w:rPr>
          <w:rFonts w:hint="eastAsia" w:eastAsia="仿宋_GB2312" w:cs="仿宋_GB2312"/>
          <w:sz w:val="32"/>
          <w:szCs w:val="32"/>
          <w:lang w:val="en-US" w:eastAsia="zh-CN"/>
        </w:rPr>
        <w:t>9</w:t>
      </w:r>
      <w:r>
        <w:rPr>
          <w:rFonts w:hint="eastAsia" w:eastAsia="仿宋_GB2312" w:cs="仿宋_GB2312"/>
          <w:sz w:val="32"/>
          <w:szCs w:val="32"/>
        </w:rPr>
        <w:t>个项目开展了预算事前绩效评估，对</w:t>
      </w:r>
      <w:r>
        <w:rPr>
          <w:rFonts w:hint="eastAsia" w:eastAsia="仿宋_GB2312" w:cs="仿宋_GB2312"/>
          <w:sz w:val="32"/>
          <w:szCs w:val="32"/>
          <w:lang w:val="en-US" w:eastAsia="zh-CN"/>
        </w:rPr>
        <w:t>9</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9</w:t>
      </w:r>
      <w:r>
        <w:rPr>
          <w:rFonts w:hint="eastAsia" w:eastAsia="仿宋_GB2312" w:cs="仿宋_GB2312"/>
          <w:sz w:val="32"/>
          <w:szCs w:val="32"/>
        </w:rPr>
        <w:t>个项目开展绩效监控。</w:t>
      </w:r>
    </w:p>
    <w:p w14:paraId="4818AB03">
      <w:pPr>
        <w:spacing w:line="600" w:lineRule="exact"/>
        <w:ind w:firstLine="640"/>
        <w:rPr>
          <w:rFonts w:hint="eastAsia" w:eastAsia="仿宋_GB2312" w:cs="仿宋_GB2312"/>
          <w:sz w:val="32"/>
          <w:szCs w:val="32"/>
        </w:rPr>
      </w:pPr>
      <w:r>
        <w:rPr>
          <w:rFonts w:hint="eastAsia" w:eastAsia="仿宋_GB2312" w:cs="仿宋_GB2312"/>
          <w:sz w:val="32"/>
          <w:szCs w:val="32"/>
        </w:rPr>
        <w:t>组织对2024年度一般公共预算、政府性基金预算、国有资本经营预算、社会保险基金预算以及资本资产、债券资金等全面开展绩效自评，形成四川省龙日种畜场部门整体（含部门预算项目）绩效自评报告、阿坝州牦牛寄生虫流行性调查及精准防控技术研究与示范推广项目</w:t>
      </w:r>
      <w:r>
        <w:rPr>
          <w:rFonts w:hint="eastAsia" w:eastAsia="仿宋_GB2312" w:cs="仿宋_GB2312"/>
          <w:sz w:val="32"/>
          <w:szCs w:val="32"/>
          <w:lang w:eastAsia="zh-CN"/>
        </w:rPr>
        <w:t>、四川省龙日种畜场麦洼牦牛产业转型升级技术集成创新与示范项目</w:t>
      </w:r>
      <w:r>
        <w:rPr>
          <w:rFonts w:hint="eastAsia" w:eastAsia="仿宋_GB2312" w:cs="仿宋_GB2312"/>
          <w:sz w:val="32"/>
          <w:szCs w:val="32"/>
        </w:rPr>
        <w:t>等专项预算项目绩效自评报告，其中，四川省龙日种畜场部门整体（含部门预算项目）绩效自评得分为</w:t>
      </w:r>
      <w:r>
        <w:rPr>
          <w:rFonts w:hint="eastAsia" w:eastAsia="仿宋_GB2312" w:cs="仿宋_GB2312"/>
          <w:sz w:val="32"/>
          <w:szCs w:val="32"/>
          <w:lang w:val="en-US" w:eastAsia="zh-CN"/>
        </w:rPr>
        <w:t>85.26</w:t>
      </w:r>
      <w:r>
        <w:rPr>
          <w:rFonts w:hint="eastAsia" w:eastAsia="仿宋_GB2312" w:cs="仿宋_GB2312"/>
          <w:sz w:val="32"/>
          <w:szCs w:val="32"/>
        </w:rPr>
        <w:t>分，绩效自评综述较好地完成了各项年度任务，部门预算支出使用效益达到预期；阿坝州牦牛寄生虫流行性调查及精准防控技术研究与示范推广项目专项预算项目绩效自评得分为</w:t>
      </w:r>
      <w:r>
        <w:rPr>
          <w:rFonts w:hint="eastAsia" w:eastAsia="仿宋_GB2312" w:cs="仿宋_GB2312"/>
          <w:sz w:val="32"/>
          <w:szCs w:val="32"/>
          <w:lang w:val="en-US" w:eastAsia="zh-CN"/>
        </w:rPr>
        <w:t>71</w:t>
      </w:r>
      <w:r>
        <w:rPr>
          <w:rFonts w:hint="eastAsia" w:eastAsia="仿宋_GB2312" w:cs="仿宋_GB2312"/>
          <w:sz w:val="32"/>
          <w:szCs w:val="32"/>
        </w:rPr>
        <w:t>分，绩效自评综述项目资金为2024年年底到达，项目实施起步落后，但正努力按照计划开展实施。绩效自评报告详见附件。</w:t>
      </w:r>
      <w:r>
        <w:rPr>
          <w:rFonts w:hint="eastAsia" w:eastAsia="仿宋_GB2312" w:cs="仿宋_GB2312"/>
          <w:sz w:val="32"/>
          <w:szCs w:val="32"/>
        </w:rPr>
        <w:br w:type="page"/>
      </w:r>
    </w:p>
    <w:p w14:paraId="6F45BA35">
      <w:pPr>
        <w:spacing w:line="600" w:lineRule="exact"/>
        <w:jc w:val="center"/>
        <w:outlineLvl w:val="0"/>
        <w:rPr>
          <w:rFonts w:eastAsia="黑体"/>
          <w:sz w:val="44"/>
          <w:szCs w:val="44"/>
        </w:rPr>
      </w:pPr>
      <w:bookmarkStart w:id="63" w:name="_Toc15377225"/>
      <w:bookmarkStart w:id="64" w:name="_Toc15396613"/>
      <w:bookmarkStart w:id="65" w:name="_Toc19809"/>
      <w:r>
        <w:rPr>
          <w:rFonts w:hint="eastAsia" w:eastAsia="黑体"/>
          <w:sz w:val="44"/>
          <w:szCs w:val="44"/>
        </w:rPr>
        <w:t>第三部分  名词解释</w:t>
      </w:r>
      <w:bookmarkEnd w:id="63"/>
      <w:bookmarkEnd w:id="64"/>
      <w:bookmarkEnd w:id="65"/>
    </w:p>
    <w:p w14:paraId="46850336">
      <w:pPr>
        <w:spacing w:line="600" w:lineRule="exact"/>
        <w:jc w:val="left"/>
        <w:rPr>
          <w:b/>
          <w:sz w:val="44"/>
          <w:szCs w:val="44"/>
        </w:rPr>
      </w:pPr>
    </w:p>
    <w:p w14:paraId="5901D837">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财政拨款收入：指单位从同级财政部门取得的财政预算资金。</w:t>
      </w:r>
    </w:p>
    <w:p w14:paraId="191A78AF">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事业收入：指事业单位开展专业业务活动及辅助活动取得的收入。</w:t>
      </w:r>
    </w:p>
    <w:p w14:paraId="4CD49CD4">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经营收入：指事业单位在专业业务活动及其辅助活动之外开展非独立核算经营活动取得的收入。</w:t>
      </w:r>
    </w:p>
    <w:p w14:paraId="1B1B5633">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 xml:space="preserve">其他收入：指单位取得的除上述收入以外的各项收入。 </w:t>
      </w:r>
    </w:p>
    <w:p w14:paraId="412BC16C">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 xml:space="preserve">使用非财政拨款结余（含专用结余）：指事业单位使用以前年度积累的非财政拨款结余弥补当年收支差额的金额。 </w:t>
      </w:r>
    </w:p>
    <w:p w14:paraId="6026B9F2">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 xml:space="preserve">年初结转和结余：指以前年度尚未完成、结转到本年按有关规定继续使用的资金。 </w:t>
      </w:r>
    </w:p>
    <w:p w14:paraId="1DC218D2">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结余分配：指事业单位按照会计制度规定缴纳的所得税、提取的专用结余以及转入非财政拨款结余的金额等。</w:t>
      </w:r>
    </w:p>
    <w:p w14:paraId="01B99133">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年末结转和结余：指单位按有关规定结转到下年或以后年度继续使用的资金。</w:t>
      </w:r>
    </w:p>
    <w:p w14:paraId="302503A6">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科学技术支出（类）基础研究（款）专项基础科研（项）：反映用于专项基础科研方面的支出。</w:t>
      </w:r>
    </w:p>
    <w:p w14:paraId="56F9C753">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科学技术支出（类）科技重大项目（款）重点研发计划（项）: 反映用于重点研发计划的有关经费支出。</w:t>
      </w:r>
    </w:p>
    <w:p w14:paraId="508D588E">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科学技术支出（类）其他科学技术支出（款）其他科学技术支出（项）:反映除以上各项以外用于科技方面的支出。</w:t>
      </w:r>
    </w:p>
    <w:p w14:paraId="2B786D23">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社会保障和就业支出（类）行政事业单位养老支出（款）机关事业单位基本养老保险缴费支出（项）：反映机关事业单位实施养老保险制度由单位缴纳的基本养老保险费支出。</w:t>
      </w:r>
    </w:p>
    <w:p w14:paraId="47FF84E6">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社会保障和就业支出（类）行政事业单位养老支出（款）机关事业单位职业年金缴费支出（项）：反映机关事业单位实施养老保险制度由单位实际缴纳的职业年金支出。</w:t>
      </w:r>
    </w:p>
    <w:p w14:paraId="75779812">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卫生健康支出（类）行政事业单位医疗（款）事业单位医疗（项）：反映财政部门安排的事业单位基本医疗保险缴费经费，未参加医疗保险的事业单位的公费医疗经费，按国家规定享受离休人员待遇的医疗经费。</w:t>
      </w:r>
    </w:p>
    <w:p w14:paraId="286EF62A">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农林水支出（类）农业农村（款）事业运行（项）：反映用于农业事业单位基本支出，事业单位设施、系统运行 与资产维护等方面的支出。</w:t>
      </w:r>
    </w:p>
    <w:p w14:paraId="3A1CD1A2">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农林水支出（类）农业农村（款）农业生态资源保护（项）：反映用于耕地质量保护、草原草场利用，渔业水域资源环境保护，农业品种改良提升，以及农业生物资源调研收集、鉴定评价、保存利用等方面的支出。</w:t>
      </w:r>
    </w:p>
    <w:p w14:paraId="467D1C38">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住房保障支出（类）住房改革支出（款）住房公积金（项）：反映行政事业单位按人力资源和社会保障部、财政部规定的 基本工资和津贴补贴以及规定比例为职工缴纳的住房公积金。</w:t>
      </w:r>
    </w:p>
    <w:p w14:paraId="29606728">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住房保障支出（类）住房改革支出（款）购房补贴（项）：反映按房改政策规定，行政事业单位向符合条件职工(含离退休人员)、军队(含武警)向转役复员离退休人员发放的用 于购买住房的补贴。</w:t>
      </w:r>
    </w:p>
    <w:p w14:paraId="38B351E5">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基本支出：指为保障机构正常运转、完成日常工作任务而发生的人员支出和公用支出。</w:t>
      </w:r>
    </w:p>
    <w:p w14:paraId="523E7E8D">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 xml:space="preserve">项目支出：指在基本支出之外为完成特定行政任务和事业发展目标所发生的支出。 </w:t>
      </w:r>
    </w:p>
    <w:p w14:paraId="67DD2B7D">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经营支出：指事业单位在专业业务活动及其辅助活动之外开展非独立核算经营活动发生的支出。</w:t>
      </w:r>
    </w:p>
    <w:p w14:paraId="6EEBD471">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95D00C2">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F340CB9">
      <w:pPr>
        <w:spacing w:line="600" w:lineRule="exact"/>
        <w:ind w:firstLine="640"/>
        <w:rPr>
          <w:rFonts w:eastAsia="仿宋_GB2312" w:cs="仿宋_GB2312"/>
          <w:b/>
          <w:bCs/>
          <w:sz w:val="32"/>
          <w:szCs w:val="32"/>
        </w:rPr>
      </w:pPr>
    </w:p>
    <w:p w14:paraId="0596286A">
      <w:pPr>
        <w:spacing w:line="600" w:lineRule="exact"/>
        <w:jc w:val="center"/>
        <w:outlineLvl w:val="0"/>
        <w:rPr>
          <w:rStyle w:val="30"/>
          <w:rFonts w:eastAsia="黑体"/>
          <w:b w:val="0"/>
        </w:rPr>
      </w:pPr>
      <w:bookmarkStart w:id="66" w:name="_Toc15377226"/>
      <w:r>
        <w:rPr>
          <w:rFonts w:hint="eastAsia" w:eastAsia="仿宋_GB2312" w:cs="仿宋_GB2312"/>
          <w:sz w:val="32"/>
          <w:szCs w:val="32"/>
        </w:rPr>
        <w:br w:type="page"/>
      </w:r>
      <w:bookmarkStart w:id="67" w:name="_Toc30720"/>
      <w:bookmarkStart w:id="68" w:name="_Toc15396614"/>
      <w:r>
        <w:rPr>
          <w:rFonts w:hint="eastAsia" w:eastAsia="黑体"/>
          <w:sz w:val="44"/>
          <w:szCs w:val="44"/>
        </w:rPr>
        <w:t>第四部分  附件</w:t>
      </w:r>
      <w:bookmarkEnd w:id="67"/>
      <w:bookmarkEnd w:id="68"/>
    </w:p>
    <w:p w14:paraId="7BA44CB3">
      <w:pPr>
        <w:spacing w:line="572" w:lineRule="exact"/>
        <w:jc w:val="left"/>
        <w:outlineLvl w:val="9"/>
        <w:rPr>
          <w:rFonts w:eastAsia="黑体" w:cs="黑体"/>
          <w:color w:val="FF0000"/>
          <w:sz w:val="32"/>
          <w:szCs w:val="32"/>
        </w:rPr>
      </w:pPr>
    </w:p>
    <w:p w14:paraId="66D3A627">
      <w:pPr>
        <w:spacing w:line="572" w:lineRule="exact"/>
        <w:jc w:val="left"/>
        <w:outlineLvl w:val="9"/>
        <w:rPr>
          <w:rFonts w:eastAsia="黑体" w:cs="方正小标宋简体"/>
          <w:sz w:val="44"/>
          <w:szCs w:val="44"/>
        </w:rPr>
      </w:pPr>
      <w:r>
        <w:rPr>
          <w:rFonts w:hint="eastAsia" w:eastAsia="黑体" w:cs="黑体"/>
          <w:sz w:val="32"/>
          <w:szCs w:val="32"/>
        </w:rPr>
        <w:t>附件1</w:t>
      </w:r>
    </w:p>
    <w:p w14:paraId="19AD568C">
      <w:pPr>
        <w:widowControl/>
        <w:spacing w:line="578" w:lineRule="exact"/>
        <w:contextualSpacing/>
        <w:jc w:val="center"/>
        <w:rPr>
          <w:rFonts w:eastAsia="方正小标宋简体"/>
          <w:bCs/>
          <w:sz w:val="44"/>
          <w:szCs w:val="44"/>
          <w:shd w:val="clear" w:color="auto" w:fill="FFFFFF"/>
        </w:rPr>
      </w:pPr>
    </w:p>
    <w:p w14:paraId="5F3D57BF">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lang w:val="en-US" w:eastAsia="zh-CN"/>
        </w:rPr>
        <w:t>四川省龙日种畜场</w:t>
      </w:r>
      <w:r>
        <w:rPr>
          <w:rFonts w:hint="default" w:ascii="Times New Roman" w:hAnsi="Times New Roman" w:eastAsia="方正小标宋简体" w:cs="Times New Roman"/>
          <w:b w:val="0"/>
          <w:bCs/>
          <w:sz w:val="44"/>
          <w:szCs w:val="44"/>
          <w:highlight w:val="none"/>
          <w:shd w:val="clear" w:color="auto" w:fill="FFFFFF"/>
          <w:lang w:eastAsia="zh-CN"/>
        </w:rPr>
        <w:t>部</w:t>
      </w:r>
      <w:r>
        <w:rPr>
          <w:rFonts w:hint="default" w:ascii="Times New Roman" w:hAnsi="Times New Roman" w:eastAsia="方正小标宋简体" w:cs="Times New Roman"/>
          <w:b w:val="0"/>
          <w:bCs/>
          <w:sz w:val="44"/>
          <w:szCs w:val="44"/>
          <w:highlight w:val="none"/>
          <w:shd w:val="clear" w:color="auto" w:fill="FFFFFF"/>
        </w:rPr>
        <w:t>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7BE752FB">
      <w:pPr>
        <w:keepNext w:val="0"/>
        <w:keepLines w:val="0"/>
        <w:pageBreakBefore w:val="0"/>
        <w:widowControl/>
        <w:kinsoku/>
        <w:wordWrap/>
        <w:overflowPunct/>
        <w:topLinePunct w:val="0"/>
        <w:autoSpaceDE/>
        <w:autoSpaceDN/>
        <w:bidi w:val="0"/>
        <w:spacing w:line="600" w:lineRule="exact"/>
        <w:contextualSpacing/>
        <w:jc w:val="center"/>
        <w:textAlignment w:val="auto"/>
        <w:outlineLvl w:val="9"/>
        <w:rPr>
          <w:rFonts w:hint="default" w:ascii="Times New Roman" w:hAnsi="Times New Roman" w:cs="Times New Roman"/>
          <w:szCs w:val="32"/>
          <w:highlight w:val="none"/>
          <w:shd w:val="clear" w:color="auto" w:fill="FFFFFF"/>
        </w:rPr>
      </w:pPr>
    </w:p>
    <w:p w14:paraId="25ED173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u w:val="none"/>
        </w:rPr>
      </w:pPr>
      <w:r>
        <w:rPr>
          <w:rFonts w:hint="eastAsia" w:ascii="Times New Roman" w:hAnsi="Times New Roman" w:eastAsia="黑体" w:cs="Times New Roman"/>
          <w:color w:val="auto"/>
          <w:sz w:val="32"/>
          <w:szCs w:val="32"/>
          <w:highlight w:val="none"/>
          <w:u w:val="none"/>
          <w:lang w:val="zh-CN"/>
        </w:rPr>
        <w:t>一、</w:t>
      </w:r>
      <w:r>
        <w:rPr>
          <w:rFonts w:hint="default" w:ascii="Times New Roman" w:hAnsi="Times New Roman" w:eastAsia="黑体" w:cs="Times New Roman"/>
          <w:color w:val="auto"/>
          <w:sz w:val="32"/>
          <w:szCs w:val="32"/>
          <w:highlight w:val="none"/>
          <w:u w:val="none"/>
          <w:lang w:val="zh-CN"/>
        </w:rPr>
        <w:t>部门（单位）基本情况</w:t>
      </w:r>
    </w:p>
    <w:p w14:paraId="55061361">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（一）</w:t>
      </w:r>
      <w:r>
        <w:rPr>
          <w:rFonts w:hint="default" w:ascii="Times New Roman" w:hAnsi="Times New Roman" w:eastAsia="楷体_GB2312" w:cs="Times New Roman"/>
          <w:b/>
          <w:bCs/>
          <w:color w:val="000000"/>
          <w:kern w:val="0"/>
          <w:sz w:val="32"/>
          <w:szCs w:val="32"/>
          <w:highlight w:val="none"/>
          <w:shd w:val="clear" w:color="auto" w:fill="FFFFFF"/>
          <w:lang w:val="zh-CN"/>
        </w:rPr>
        <w:t>机构组成</w:t>
      </w:r>
    </w:p>
    <w:p w14:paraId="00DF6385">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四川省龙日种畜场属阿坝州人民政府管理，为阿坝州农业畜牧局所属正县级公益一类事业单位.内设10个机构：办公室、人事科、财务科、科技科、成果转化科、牦牛遗传资源科、藏绵羊遗传资源科、河曲马遗传资源科、草原生态资源科、实验培训中心。</w:t>
      </w:r>
    </w:p>
    <w:p w14:paraId="4704D8DD">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二）</w:t>
      </w:r>
      <w:r>
        <w:rPr>
          <w:rFonts w:hint="default" w:ascii="Times New Roman" w:hAnsi="Times New Roman" w:eastAsia="楷体_GB2312" w:cs="Times New Roman"/>
          <w:b/>
          <w:bCs/>
          <w:color w:val="000000"/>
          <w:kern w:val="0"/>
          <w:sz w:val="32"/>
          <w:szCs w:val="32"/>
          <w:highlight w:val="none"/>
          <w:shd w:val="clear" w:color="auto" w:fill="FFFFFF"/>
          <w:lang w:val="zh-CN"/>
        </w:rPr>
        <w:t>机构职能</w:t>
      </w:r>
    </w:p>
    <w:p w14:paraId="338B83D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我部门主要主要承担以下职责和功能：</w:t>
      </w:r>
    </w:p>
    <w:p w14:paraId="27759A6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1</w:t>
      </w:r>
      <w:r>
        <w:rPr>
          <w:rFonts w:hint="default" w:ascii="Times New Roman" w:hAnsi="Times New Roman" w:eastAsia="仿宋_GB2312" w:cs="Times New Roman"/>
          <w:caps/>
          <w:smallCaps w:val="0"/>
          <w:sz w:val="32"/>
          <w:highlight w:val="none"/>
          <w:lang w:val="en-US" w:eastAsia="zh-CN"/>
        </w:rPr>
        <w:t>．</w:t>
      </w:r>
      <w:r>
        <w:rPr>
          <w:rFonts w:hint="eastAsia" w:ascii="Times New Roman" w:hAnsi="Times New Roman" w:eastAsia="仿宋_GB2312" w:cs="Times New Roman"/>
          <w:caps/>
          <w:smallCaps w:val="0"/>
          <w:sz w:val="32"/>
          <w:highlight w:val="none"/>
          <w:lang w:val="en-US" w:eastAsia="zh-CN"/>
        </w:rPr>
        <w:t>种畜保护与选育：承担高原牧区牦牛，藏绵羊、河曲马的保护、品种选育工作，组建并形成了“麦洼牦牛原种群-扩繁群-生产群”三级繁育体系。</w:t>
      </w:r>
    </w:p>
    <w:p w14:paraId="5C4682C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2．良种扩繁与推广：每年向牧区提供种牛300头左右，向青藏高原牧区提供牦牛、九龙牦牛优良种牛，提供优良改良种牛，促进当地畜牧业发展。</w:t>
      </w:r>
    </w:p>
    <w:p w14:paraId="52256542">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3．产品供应向社会提供绿色奶、肉原料。</w:t>
      </w:r>
    </w:p>
    <w:p w14:paraId="012887C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4．技术培训与服务：开展牦牛及改良牦牛标准化养殖及相关技术培训，为科研单位提供研究平台。</w:t>
      </w:r>
    </w:p>
    <w:p w14:paraId="46EF9115">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5．旅游服务:利用自身优势，提供休息旅游场所，打造牦牛文化及大草原特色景观旅游胜地。</w:t>
      </w:r>
    </w:p>
    <w:p w14:paraId="7D3AD93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6．生态保护与示范：以保护和改善黄河上游支流源头地区的生态环境,提高草地资源利用率，促进经济可持续发展为出发点，发挥青藏高原草原地畜牧业的生产示范作用。</w:t>
      </w:r>
    </w:p>
    <w:p w14:paraId="4A162F12">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p>
    <w:p w14:paraId="00847CE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截至</w:t>
      </w:r>
      <w:r>
        <w:rPr>
          <w:rFonts w:hint="eastAsia" w:ascii="Times New Roman" w:hAnsi="Times New Roman" w:eastAsia="仿宋_GB2312" w:cs="Times New Roman"/>
          <w:caps/>
          <w:smallCaps w:val="0"/>
          <w:sz w:val="32"/>
          <w:highlight w:val="none"/>
          <w:lang w:val="en-US" w:eastAsia="zh-CN"/>
        </w:rPr>
        <w:t>2024年末</w:t>
      </w:r>
      <w:r>
        <w:rPr>
          <w:rFonts w:hint="default" w:ascii="Times New Roman" w:hAnsi="Times New Roman" w:eastAsia="仿宋_GB2312" w:cs="Times New Roman"/>
          <w:caps/>
          <w:smallCaps w:val="0"/>
          <w:sz w:val="32"/>
          <w:highlight w:val="none"/>
          <w:lang w:val="en-US" w:eastAsia="zh-CN"/>
        </w:rPr>
        <w:t>，</w:t>
      </w:r>
      <w:r>
        <w:rPr>
          <w:rFonts w:hint="eastAsia" w:ascii="Times New Roman" w:hAnsi="Times New Roman" w:eastAsia="仿宋_GB2312" w:cs="Times New Roman"/>
          <w:caps/>
          <w:smallCaps w:val="0"/>
          <w:sz w:val="32"/>
          <w:highlight w:val="none"/>
          <w:lang w:val="en-US" w:eastAsia="zh-CN"/>
        </w:rPr>
        <w:t>我部门全部在职职工57人，其中：行政人员40人，参公人员0人，非参公人员17人。</w:t>
      </w:r>
    </w:p>
    <w:p w14:paraId="191907A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w:t>
      </w:r>
      <w:r>
        <w:rPr>
          <w:rFonts w:hint="default" w:ascii="Times New Roman" w:hAnsi="Times New Roman" w:eastAsia="黑体" w:cs="Times New Roman"/>
          <w:color w:val="auto"/>
          <w:sz w:val="32"/>
          <w:szCs w:val="32"/>
          <w:highlight w:val="none"/>
          <w:u w:val="none"/>
          <w:lang w:eastAsia="zh-CN"/>
        </w:rPr>
        <w:t>部门</w:t>
      </w:r>
      <w:r>
        <w:rPr>
          <w:rFonts w:hint="default" w:ascii="Times New Roman" w:hAnsi="Times New Roman" w:eastAsia="黑体" w:cs="Times New Roman"/>
          <w:color w:val="auto"/>
          <w:sz w:val="32"/>
          <w:szCs w:val="32"/>
          <w:highlight w:val="none"/>
          <w:u w:val="none"/>
        </w:rPr>
        <w:t>资金收支情况</w:t>
      </w:r>
    </w:p>
    <w:p w14:paraId="00FCF4E3">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p>
    <w:p w14:paraId="5A333F8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我部门2024</w:t>
      </w:r>
      <w:r>
        <w:rPr>
          <w:rFonts w:hint="default" w:ascii="Times New Roman" w:hAnsi="Times New Roman" w:eastAsia="仿宋_GB2312" w:cs="Times New Roman"/>
          <w:caps/>
          <w:smallCaps w:val="0"/>
          <w:sz w:val="32"/>
          <w:highlight w:val="none"/>
          <w:lang w:val="en-US" w:eastAsia="zh-CN"/>
        </w:rPr>
        <w:t>年年初收入预算数为</w:t>
      </w:r>
      <w:r>
        <w:rPr>
          <w:rFonts w:hint="eastAsia" w:ascii="Times New Roman" w:hAnsi="Times New Roman" w:eastAsia="仿宋_GB2312" w:cs="Times New Roman"/>
          <w:caps/>
          <w:smallCaps w:val="0"/>
          <w:sz w:val="32"/>
          <w:highlight w:val="none"/>
          <w:lang w:val="en-US" w:eastAsia="zh-CN"/>
        </w:rPr>
        <w:t>1,833.97</w:t>
      </w:r>
      <w:r>
        <w:rPr>
          <w:rFonts w:hint="default" w:ascii="Times New Roman" w:hAnsi="Times New Roman" w:eastAsia="仿宋_GB2312" w:cs="Times New Roman"/>
          <w:caps/>
          <w:smallCaps w:val="0"/>
          <w:sz w:val="32"/>
          <w:highlight w:val="none"/>
          <w:lang w:val="en-US" w:eastAsia="zh-CN"/>
        </w:rPr>
        <w:t>万元，</w:t>
      </w:r>
      <w:r>
        <w:rPr>
          <w:rFonts w:hint="eastAsia" w:ascii="Times New Roman" w:hAnsi="Times New Roman" w:eastAsia="仿宋_GB2312" w:cs="Times New Roman"/>
          <w:caps/>
          <w:smallCaps w:val="0"/>
          <w:sz w:val="32"/>
          <w:highlight w:val="none"/>
          <w:lang w:val="en-US" w:eastAsia="zh-CN"/>
        </w:rPr>
        <w:t>其中：</w:t>
      </w:r>
      <w:r>
        <w:rPr>
          <w:rFonts w:hint="default" w:ascii="Times New Roman" w:hAnsi="Times New Roman" w:eastAsia="仿宋_GB2312" w:cs="Times New Roman"/>
          <w:caps/>
          <w:smallCaps w:val="0"/>
          <w:sz w:val="32"/>
          <w:highlight w:val="none"/>
          <w:lang w:val="en-US" w:eastAsia="zh-CN"/>
        </w:rPr>
        <w:t>一般公共预算财政拨款收入</w:t>
      </w:r>
      <w:r>
        <w:rPr>
          <w:rFonts w:hint="eastAsia" w:ascii="Times New Roman" w:hAnsi="Times New Roman" w:eastAsia="仿宋_GB2312" w:cs="Times New Roman"/>
          <w:caps/>
          <w:smallCaps w:val="0"/>
          <w:sz w:val="32"/>
          <w:highlight w:val="none"/>
          <w:lang w:val="en-US" w:eastAsia="zh-CN"/>
        </w:rPr>
        <w:t>1,833.97万元，占总预算的100%；</w:t>
      </w:r>
    </w:p>
    <w:p w14:paraId="08DF0898">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我部门2024</w:t>
      </w:r>
      <w:r>
        <w:rPr>
          <w:rFonts w:hint="default" w:ascii="Times New Roman" w:hAnsi="Times New Roman" w:eastAsia="仿宋_GB2312" w:cs="Times New Roman"/>
          <w:caps/>
          <w:smallCaps w:val="0"/>
          <w:sz w:val="32"/>
          <w:highlight w:val="none"/>
          <w:lang w:val="en-US" w:eastAsia="zh-CN"/>
        </w:rPr>
        <w:t>年收入决算数为</w:t>
      </w:r>
      <w:r>
        <w:rPr>
          <w:rFonts w:hint="eastAsia" w:ascii="Times New Roman" w:hAnsi="Times New Roman" w:eastAsia="仿宋_GB2312" w:cs="Times New Roman"/>
          <w:caps/>
          <w:smallCaps w:val="0"/>
          <w:sz w:val="32"/>
          <w:highlight w:val="none"/>
          <w:lang w:val="en-US" w:eastAsia="zh-CN"/>
        </w:rPr>
        <w:t>1,570.26</w:t>
      </w:r>
      <w:r>
        <w:rPr>
          <w:rFonts w:hint="default" w:ascii="Times New Roman" w:hAnsi="Times New Roman" w:eastAsia="仿宋_GB2312" w:cs="Times New Roman"/>
          <w:caps/>
          <w:smallCaps w:val="0"/>
          <w:sz w:val="32"/>
          <w:highlight w:val="none"/>
          <w:lang w:val="en-US" w:eastAsia="zh-CN"/>
        </w:rPr>
        <w:t>万元，</w:t>
      </w:r>
      <w:r>
        <w:rPr>
          <w:rFonts w:hint="eastAsia" w:ascii="Times New Roman" w:hAnsi="Times New Roman" w:eastAsia="仿宋_GB2312" w:cs="Times New Roman"/>
          <w:caps/>
          <w:smallCaps w:val="0"/>
          <w:sz w:val="32"/>
          <w:highlight w:val="none"/>
          <w:lang w:val="en-US" w:eastAsia="zh-CN"/>
        </w:rPr>
        <w:t>其中：</w:t>
      </w:r>
      <w:r>
        <w:rPr>
          <w:rFonts w:hint="default" w:ascii="Times New Roman" w:hAnsi="Times New Roman" w:eastAsia="仿宋_GB2312" w:cs="Times New Roman"/>
          <w:caps/>
          <w:smallCaps w:val="0"/>
          <w:sz w:val="32"/>
          <w:highlight w:val="none"/>
          <w:lang w:val="en-US" w:eastAsia="zh-CN"/>
        </w:rPr>
        <w:t>一般公共预算财政拨款收入</w:t>
      </w:r>
      <w:r>
        <w:rPr>
          <w:rFonts w:hint="eastAsia" w:ascii="Times New Roman" w:hAnsi="Times New Roman" w:eastAsia="仿宋_GB2312" w:cs="Times New Roman"/>
          <w:caps/>
          <w:smallCaps w:val="0"/>
          <w:sz w:val="32"/>
          <w:highlight w:val="none"/>
          <w:lang w:val="en-US" w:eastAsia="zh-CN"/>
        </w:rPr>
        <w:t>1,570.26万元，占总决算的100%；其他收入75.65万元，占总决算的4.82%。</w:t>
      </w:r>
    </w:p>
    <w:p w14:paraId="1AC09524">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p>
    <w:p w14:paraId="2AD899A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我部门2024年年初支出预算数为1,833.97万元，其中：基本支出1,429.34万元，占支出总额的77.94%；项目支出216.56万元，占支出总额的11.81%。</w:t>
      </w:r>
    </w:p>
    <w:p w14:paraId="6054BE18">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我部门2024年支出决算数为1,570.26万元，其中：基本支出1,429.34万元，占支出总额的91.03%；项目支出216.56万元，占支出总额的13.79%。</w:t>
      </w:r>
    </w:p>
    <w:p w14:paraId="210F7C02">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sz w:val="32"/>
          <w:szCs w:val="32"/>
          <w:highlight w:val="none"/>
        </w:rPr>
        <w:t>结余分配和结转结余情况</w:t>
      </w:r>
    </w:p>
    <w:p w14:paraId="2799FC1A">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en-US" w:eastAsia="zh-CN"/>
        </w:rPr>
        <w:t>我部门2024年决算报表无结转结余。</w:t>
      </w:r>
    </w:p>
    <w:p w14:paraId="04FE1C0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三、部门</w:t>
      </w:r>
      <w:r>
        <w:rPr>
          <w:rFonts w:hint="default" w:ascii="Times New Roman" w:hAnsi="Times New Roman" w:eastAsia="黑体" w:cs="Times New Roman"/>
          <w:color w:val="auto"/>
          <w:sz w:val="32"/>
          <w:szCs w:val="32"/>
          <w:highlight w:val="none"/>
          <w:u w:val="none"/>
          <w:lang w:eastAsia="zh-CN"/>
        </w:rPr>
        <w:t>预算</w:t>
      </w:r>
      <w:r>
        <w:rPr>
          <w:rFonts w:hint="default" w:ascii="Times New Roman" w:hAnsi="Times New Roman" w:eastAsia="黑体" w:cs="Times New Roman"/>
          <w:color w:val="auto"/>
          <w:sz w:val="32"/>
          <w:szCs w:val="32"/>
          <w:highlight w:val="none"/>
          <w:u w:val="none"/>
        </w:rPr>
        <w:t>绩效</w:t>
      </w:r>
      <w:r>
        <w:rPr>
          <w:rFonts w:hint="default" w:ascii="Times New Roman" w:hAnsi="Times New Roman" w:eastAsia="黑体" w:cs="Times New Roman"/>
          <w:color w:val="auto"/>
          <w:sz w:val="32"/>
          <w:szCs w:val="32"/>
          <w:highlight w:val="none"/>
          <w:u w:val="none"/>
          <w:lang w:eastAsia="zh-CN"/>
        </w:rPr>
        <w:t>分析</w:t>
      </w:r>
    </w:p>
    <w:p w14:paraId="44F9C299">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14:paraId="6D3EF58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zh-CN" w:eastAsia="zh-CN"/>
        </w:rPr>
      </w:pPr>
      <w:r>
        <w:rPr>
          <w:rFonts w:hint="default" w:ascii="Times New Roman" w:hAnsi="Times New Roman" w:eastAsia="仿宋_GB2312" w:cs="Times New Roman"/>
          <w:caps/>
          <w:smallCaps w:val="0"/>
          <w:sz w:val="32"/>
          <w:highlight w:val="none"/>
          <w:lang w:val="en-US" w:eastAsia="zh-CN"/>
        </w:rPr>
        <w:t>1</w:t>
      </w:r>
      <w:r>
        <w:rPr>
          <w:rFonts w:hint="eastAsia" w:ascii="Times New Roman" w:hAnsi="Times New Roman" w:eastAsia="仿宋_GB2312" w:cs="Times New Roman"/>
          <w:caps/>
          <w:smallCaps w:val="0"/>
          <w:sz w:val="32"/>
          <w:highlight w:val="none"/>
          <w:lang w:val="en-US" w:eastAsia="zh-CN"/>
        </w:rPr>
        <w:t>.</w:t>
      </w:r>
      <w:r>
        <w:rPr>
          <w:rFonts w:hint="eastAsia" w:ascii="Times New Roman" w:hAnsi="Times New Roman" w:eastAsia="仿宋_GB2312" w:cs="Times New Roman"/>
          <w:caps/>
          <w:smallCaps w:val="0"/>
          <w:sz w:val="32"/>
          <w:highlight w:val="none"/>
          <w:lang w:val="zh-CN" w:eastAsia="zh-CN"/>
        </w:rPr>
        <w:t>履职效能</w:t>
      </w:r>
    </w:p>
    <w:p w14:paraId="6CC1282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为充分反映我部门2024年度部门职能履行成效，本次绩效自评根据无要求，结合部门职能职责和2024年度重点工作任务，选取了“</w:t>
      </w:r>
      <w:r>
        <w:rPr>
          <w:rFonts w:hint="default" w:ascii="Times New Roman" w:hAnsi="Times New Roman" w:eastAsia="仿宋_GB2312" w:cs="Times New Roman"/>
          <w:caps/>
          <w:smallCaps w:val="0"/>
          <w:sz w:val="32"/>
          <w:highlight w:val="none"/>
          <w:lang w:val="en-US" w:eastAsia="zh-CN"/>
        </w:rPr>
        <w:t>测定牲畜的数据合格率</w:t>
      </w:r>
      <w:r>
        <w:rPr>
          <w:rFonts w:hint="eastAsia" w:ascii="Times New Roman" w:hAnsi="Times New Roman" w:eastAsia="仿宋_GB2312" w:cs="Times New Roman"/>
          <w:caps/>
          <w:smallCaps w:val="0"/>
          <w:sz w:val="32"/>
          <w:highlight w:val="none"/>
          <w:lang w:val="en-US" w:eastAsia="zh-CN"/>
        </w:rPr>
        <w:t>、发放在职职工工资次数、</w:t>
      </w:r>
      <w:r>
        <w:rPr>
          <w:rFonts w:hint="default" w:ascii="Times New Roman" w:hAnsi="Times New Roman" w:eastAsia="仿宋_GB2312" w:cs="Times New Roman"/>
          <w:caps/>
          <w:smallCaps w:val="0"/>
          <w:sz w:val="32"/>
          <w:highlight w:val="none"/>
          <w:lang w:val="en-US" w:eastAsia="zh-CN"/>
        </w:rPr>
        <w:t>举行学习党员参加率</w:t>
      </w:r>
      <w:r>
        <w:rPr>
          <w:rFonts w:hint="eastAsia" w:ascii="Times New Roman" w:hAnsi="Times New Roman" w:eastAsia="仿宋_GB2312" w:cs="Times New Roman"/>
          <w:caps/>
          <w:smallCaps w:val="0"/>
          <w:sz w:val="32"/>
          <w:highlight w:val="none"/>
          <w:lang w:val="en-US" w:eastAsia="zh-CN"/>
        </w:rPr>
        <w:t>”3个绩效指标作为核心职能目标，各职能目标具体完成情况如下：</w:t>
      </w:r>
    </w:p>
    <w:p w14:paraId="35CCD75D">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（1）</w:t>
      </w:r>
      <w:r>
        <w:rPr>
          <w:rFonts w:hint="default" w:ascii="Times New Roman" w:hAnsi="Times New Roman" w:eastAsia="仿宋_GB2312" w:cs="Times New Roman"/>
          <w:caps/>
          <w:smallCaps w:val="0"/>
          <w:sz w:val="32"/>
          <w:highlight w:val="none"/>
          <w:lang w:val="en-US" w:eastAsia="zh-CN"/>
        </w:rPr>
        <w:t>测定牲畜的数据合格率</w:t>
      </w:r>
    </w:p>
    <w:p w14:paraId="550E64CB">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该绩效指标目标值为</w:t>
      </w:r>
      <w:r>
        <w:rPr>
          <w:rFonts w:hint="default" w:ascii="Times New Roman" w:hAnsi="Times New Roman" w:eastAsia="仿宋_GB2312" w:cs="Times New Roman"/>
          <w:caps/>
          <w:smallCaps w:val="0"/>
          <w:sz w:val="32"/>
          <w:highlight w:val="none"/>
          <w:lang w:val="en-US" w:eastAsia="zh-CN"/>
        </w:rPr>
        <w:t>测定牲畜的数据合格率</w:t>
      </w:r>
      <w:r>
        <w:rPr>
          <w:rFonts w:hint="eastAsia" w:ascii="Times New Roman" w:hAnsi="Times New Roman" w:eastAsia="仿宋_GB2312" w:cs="Times New Roman"/>
          <w:caps/>
          <w:smallCaps w:val="0"/>
          <w:sz w:val="32"/>
          <w:highlight w:val="none"/>
          <w:lang w:val="en-US" w:eastAsia="zh-CN"/>
        </w:rPr>
        <w:t>大于等于90%，实际完成值为90%。</w:t>
      </w:r>
    </w:p>
    <w:p w14:paraId="0A19AF46">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根据评分标准，该项指标不扣分，得5分。</w:t>
      </w:r>
    </w:p>
    <w:p w14:paraId="5B961C56">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（2）发放在职职工工资次数</w:t>
      </w:r>
    </w:p>
    <w:p w14:paraId="11368C6D">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该绩效指标目标值为发放在职职工工资次数12次，实际完成值为12次。</w:t>
      </w:r>
    </w:p>
    <w:p w14:paraId="5E2CCD3A">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根据评分标准，该项指标不扣分，得5分。</w:t>
      </w:r>
    </w:p>
    <w:p w14:paraId="64E4A97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举行学习党员参加率</w:t>
      </w:r>
    </w:p>
    <w:p w14:paraId="0A5D588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该绩效指标目标值为</w:t>
      </w:r>
      <w:r>
        <w:rPr>
          <w:rFonts w:hint="default" w:ascii="Times New Roman" w:hAnsi="Times New Roman" w:eastAsia="仿宋_GB2312" w:cs="Times New Roman"/>
          <w:caps/>
          <w:smallCaps w:val="0"/>
          <w:sz w:val="32"/>
          <w:highlight w:val="none"/>
          <w:lang w:val="en-US" w:eastAsia="zh-CN"/>
        </w:rPr>
        <w:t>举行学习党员参加率</w:t>
      </w:r>
      <w:r>
        <w:rPr>
          <w:rFonts w:hint="eastAsia" w:ascii="Times New Roman" w:hAnsi="Times New Roman" w:eastAsia="仿宋_GB2312" w:cs="Times New Roman"/>
          <w:caps/>
          <w:smallCaps w:val="0"/>
          <w:sz w:val="32"/>
          <w:highlight w:val="none"/>
          <w:lang w:val="en-US" w:eastAsia="zh-CN"/>
        </w:rPr>
        <w:t>大于等于80%，实际完成值为80%。</w:t>
      </w:r>
    </w:p>
    <w:p w14:paraId="7BC361C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根据评分标准，该项指标不扣分，得5分。</w:t>
      </w:r>
    </w:p>
    <w:p w14:paraId="7D0F1C4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综上，根据评分标准，我部门履职效能指标不扣分，得15分。</w:t>
      </w:r>
    </w:p>
    <w:p w14:paraId="1B9A485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zh-CN" w:eastAsia="zh-CN"/>
        </w:rPr>
      </w:pPr>
      <w:r>
        <w:rPr>
          <w:rFonts w:hint="default" w:ascii="Times New Roman" w:hAnsi="Times New Roman" w:eastAsia="仿宋_GB2312" w:cs="Times New Roman"/>
          <w:caps/>
          <w:smallCaps w:val="0"/>
          <w:sz w:val="32"/>
          <w:highlight w:val="none"/>
          <w:lang w:val="en-US" w:eastAsia="zh-CN"/>
        </w:rPr>
        <w:t>2</w:t>
      </w: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zh-CN" w:eastAsia="zh-CN"/>
        </w:rPr>
        <w:t>预算管理</w:t>
      </w:r>
    </w:p>
    <w:p w14:paraId="27A8B246">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zh-CN" w:eastAsia="zh-CN"/>
        </w:rPr>
        <w:t>（</w:t>
      </w:r>
      <w:r>
        <w:rPr>
          <w:rFonts w:hint="default" w:ascii="Times New Roman" w:hAnsi="Times New Roman" w:eastAsia="仿宋_GB2312" w:cs="Times New Roman"/>
          <w:caps/>
          <w:smallCaps w:val="0"/>
          <w:sz w:val="32"/>
          <w:highlight w:val="none"/>
          <w:lang w:val="en-US" w:eastAsia="zh-CN"/>
        </w:rPr>
        <w:t>1</w:t>
      </w:r>
      <w:r>
        <w:rPr>
          <w:rFonts w:hint="eastAsia" w:ascii="Times New Roman" w:hAnsi="Times New Roman" w:eastAsia="仿宋_GB2312" w:cs="Times New Roman"/>
          <w:caps/>
          <w:smallCaps w:val="0"/>
          <w:sz w:val="32"/>
          <w:highlight w:val="none"/>
          <w:lang w:val="zh-CN" w:eastAsia="zh-CN"/>
        </w:rPr>
        <w:t>）预算编制质量</w:t>
      </w:r>
    </w:p>
    <w:p w14:paraId="1DFDD2B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2024年我部门严格按照相关要求编制年初部门预算，根据2024年度预算执行情况，部门预算偏离程度如下：</w:t>
      </w:r>
    </w:p>
    <w:p w14:paraId="4104091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①</w:t>
      </w:r>
      <w:r>
        <w:rPr>
          <w:rFonts w:hint="eastAsia" w:ascii="Times New Roman" w:hAnsi="Times New Roman" w:eastAsia="仿宋_GB2312" w:cs="Times New Roman"/>
          <w:caps/>
          <w:smallCaps w:val="0"/>
          <w:sz w:val="32"/>
          <w:highlight w:val="none"/>
          <w:lang w:val="en-US" w:eastAsia="zh-CN"/>
        </w:rPr>
        <w:t>财政拨款预算偏离度=|预算执行数-年初预算数|÷年初预算数=|1,570.26-1,833.97|÷1,833.97×100%=14.38%。</w:t>
      </w:r>
    </w:p>
    <w:p w14:paraId="65F83ADB">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②</w:t>
      </w:r>
      <w:r>
        <w:rPr>
          <w:rFonts w:hint="eastAsia" w:ascii="Times New Roman" w:hAnsi="Times New Roman" w:eastAsia="仿宋_GB2312" w:cs="Times New Roman"/>
          <w:caps/>
          <w:smallCaps w:val="0"/>
          <w:sz w:val="32"/>
          <w:highlight w:val="none"/>
          <w:lang w:val="en-US" w:eastAsia="zh-CN"/>
        </w:rPr>
        <w:t>资产配置预算偏离度=|预算执行数-年初预算数|÷年初预算数=|4,499.34-5,544.40|÷5,544.40×100%=0.19%。</w:t>
      </w:r>
    </w:p>
    <w:p w14:paraId="0CBE40E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③</w:t>
      </w:r>
      <w:r>
        <w:rPr>
          <w:rFonts w:hint="eastAsia" w:ascii="Times New Roman" w:hAnsi="Times New Roman" w:eastAsia="仿宋_GB2312" w:cs="Times New Roman"/>
          <w:caps/>
          <w:smallCaps w:val="0"/>
          <w:sz w:val="32"/>
          <w:highlight w:val="none"/>
          <w:lang w:val="en-US" w:eastAsia="zh-CN"/>
        </w:rPr>
        <w:t>政府采购预算偏离度=|预算执行数-年初预算数|÷年初预算数=|44.76-38.56|÷38.56×100%=0.16%。</w:t>
      </w:r>
    </w:p>
    <w:p w14:paraId="4DF0DBA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综上，该项指标得分=（1-财政拨款预算偏离度）×100%×4+（1-资产配置预算偏离度）×100%×2+（1-政府采购预算偏离度）×100%×2=6.73。</w:t>
      </w:r>
    </w:p>
    <w:p w14:paraId="62002850">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根据评分标准，该项指标扣1.27分，得6.73分。</w:t>
      </w:r>
    </w:p>
    <w:p w14:paraId="716EE25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en-US" w:eastAsia="zh-CN"/>
        </w:rPr>
        <w:t>2</w:t>
      </w:r>
      <w:r>
        <w:rPr>
          <w:rFonts w:hint="eastAsia" w:ascii="Times New Roman" w:hAnsi="Times New Roman" w:eastAsia="仿宋_GB2312" w:cs="Times New Roman"/>
          <w:caps/>
          <w:smallCaps w:val="0"/>
          <w:sz w:val="32"/>
          <w:highlight w:val="none"/>
          <w:lang w:val="en-US" w:eastAsia="zh-CN"/>
        </w:rPr>
        <w:t>）单位收入统筹</w:t>
      </w:r>
    </w:p>
    <w:p w14:paraId="64E353E5">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我部门属于财政全额拨款单位，无自有收入，故不涉及此项考核。</w:t>
      </w:r>
    </w:p>
    <w:p w14:paraId="6AF0672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根据评分标准，该项指标</w:t>
      </w:r>
      <w:r>
        <w:rPr>
          <w:rFonts w:hint="eastAsia" w:ascii="Times New Roman" w:hAnsi="Times New Roman" w:eastAsia="仿宋_GB2312" w:cs="Times New Roman"/>
          <w:caps/>
          <w:smallCaps w:val="0"/>
          <w:sz w:val="32"/>
          <w:highlight w:val="none"/>
          <w:lang w:val="en-US" w:eastAsia="zh-CN"/>
        </w:rPr>
        <w:t>不扣分，得4分。</w:t>
      </w:r>
    </w:p>
    <w:p w14:paraId="6F8F5B8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en-US" w:eastAsia="zh-CN"/>
        </w:rPr>
        <w:t>3</w:t>
      </w:r>
      <w:r>
        <w:rPr>
          <w:rFonts w:hint="eastAsia" w:ascii="Times New Roman" w:hAnsi="Times New Roman" w:eastAsia="仿宋_GB2312" w:cs="Times New Roman"/>
          <w:caps/>
          <w:smallCaps w:val="0"/>
          <w:sz w:val="32"/>
          <w:highlight w:val="none"/>
          <w:lang w:val="en-US" w:eastAsia="zh-CN"/>
        </w:rPr>
        <w:t>）支出执行进度</w:t>
      </w:r>
    </w:p>
    <w:p w14:paraId="67BAF0AA">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2024年我部门全年预算数为1,833.97万元，</w:t>
      </w:r>
      <w:r>
        <w:rPr>
          <w:rFonts w:hint="default" w:ascii="Times New Roman" w:hAnsi="Times New Roman" w:eastAsia="仿宋_GB2312" w:cs="Times New Roman"/>
          <w:caps/>
          <w:smallCaps w:val="0"/>
          <w:sz w:val="32"/>
          <w:highlight w:val="none"/>
          <w:lang w:val="en-US" w:eastAsia="zh-CN"/>
        </w:rPr>
        <w:t>1</w:t>
      </w:r>
      <w:r>
        <w:rPr>
          <w:rFonts w:hint="eastAsia" w:ascii="Times New Roman" w:hAnsi="Times New Roman" w:eastAsia="仿宋_GB2312" w:cs="Times New Roman"/>
          <w:caps/>
          <w:smallCaps w:val="0"/>
          <w:sz w:val="32"/>
          <w:highlight w:val="none"/>
          <w:lang w:val="en-US" w:eastAsia="zh-CN"/>
        </w:rPr>
        <w:t>至</w:t>
      </w:r>
      <w:r>
        <w:rPr>
          <w:rFonts w:hint="default" w:ascii="Times New Roman" w:hAnsi="Times New Roman" w:eastAsia="仿宋_GB2312" w:cs="Times New Roman"/>
          <w:caps/>
          <w:smallCaps w:val="0"/>
          <w:sz w:val="32"/>
          <w:highlight w:val="none"/>
          <w:lang w:val="en-US" w:eastAsia="zh-CN"/>
        </w:rPr>
        <w:t>6</w:t>
      </w:r>
      <w:r>
        <w:rPr>
          <w:rFonts w:hint="eastAsia" w:ascii="Times New Roman" w:hAnsi="Times New Roman" w:eastAsia="仿宋_GB2312" w:cs="Times New Roman"/>
          <w:caps/>
          <w:smallCaps w:val="0"/>
          <w:sz w:val="32"/>
          <w:highlight w:val="none"/>
          <w:lang w:val="en-US" w:eastAsia="zh-CN"/>
        </w:rPr>
        <w:t>月预算执行数为865.61万元，支出预警金额为0.31万元，支出预警金额占比为0.00%，支出违规金额为0万元，支出违规金额占比为0%。</w:t>
      </w:r>
    </w:p>
    <w:p w14:paraId="3285395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1</w:t>
      </w:r>
      <w:r>
        <w:rPr>
          <w:rFonts w:hint="eastAsia" w:ascii="Times New Roman" w:hAnsi="Times New Roman" w:eastAsia="仿宋_GB2312" w:cs="Times New Roman"/>
          <w:caps/>
          <w:smallCaps w:val="0"/>
          <w:sz w:val="32"/>
          <w:highlight w:val="none"/>
          <w:lang w:val="en-US" w:eastAsia="zh-CN"/>
        </w:rPr>
        <w:t>至</w:t>
      </w:r>
      <w:r>
        <w:rPr>
          <w:rFonts w:hint="default" w:ascii="Times New Roman" w:hAnsi="Times New Roman" w:eastAsia="仿宋_GB2312" w:cs="Times New Roman"/>
          <w:caps/>
          <w:smallCaps w:val="0"/>
          <w:sz w:val="32"/>
          <w:highlight w:val="none"/>
          <w:lang w:val="en-US" w:eastAsia="zh-CN"/>
        </w:rPr>
        <w:t>10</w:t>
      </w:r>
      <w:r>
        <w:rPr>
          <w:rFonts w:hint="eastAsia" w:ascii="Times New Roman" w:hAnsi="Times New Roman" w:eastAsia="仿宋_GB2312" w:cs="Times New Roman"/>
          <w:caps/>
          <w:smallCaps w:val="0"/>
          <w:sz w:val="32"/>
          <w:highlight w:val="none"/>
          <w:lang w:val="en-US" w:eastAsia="zh-CN"/>
        </w:rPr>
        <w:t>月预算执行数为1,248.49万元，支出预警金额为7.35万元，支出预警金额占比为0.01%，支出违规金额为0万元，支出违规金额占比为0%。</w:t>
      </w:r>
    </w:p>
    <w:p w14:paraId="6B0580C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该项得分为该项指标得分=（1至6月预算执行数÷（部门预算数×50%）×4）+（1-1至6月支出预警金额占比×0.8-1至6月支出违规金额占比×0.2）+（1至10月预算执行数÷（部门预算数×83.33%）×2）+（1-1至10月支出预警金额占比×0.8-1至10月支出违规金额占比×0.2）=(865.61÷1,833.97×50%×4)+(1 - 0.00×0.8 - 0×0.2) + (1,248.49÷1,833.97×83.33%×2) + (1 - 0.01×0.8 - 0×0.2)=5.02。</w:t>
      </w:r>
    </w:p>
    <w:p w14:paraId="053F98D8">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根据评分标准，该项指标</w:t>
      </w:r>
      <w:r>
        <w:rPr>
          <w:rFonts w:hint="eastAsia" w:ascii="Times New Roman" w:hAnsi="Times New Roman" w:eastAsia="仿宋_GB2312" w:cs="Times New Roman"/>
          <w:caps/>
          <w:smallCaps w:val="0"/>
          <w:sz w:val="32"/>
          <w:highlight w:val="none"/>
          <w:lang w:val="en-US" w:eastAsia="zh-CN"/>
        </w:rPr>
        <w:t>扣0.98分，得5.02分。</w:t>
      </w:r>
    </w:p>
    <w:p w14:paraId="46830352">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en-US" w:eastAsia="zh-CN"/>
        </w:rPr>
        <w:t>4</w:t>
      </w:r>
      <w:r>
        <w:rPr>
          <w:rFonts w:hint="eastAsia" w:ascii="Times New Roman" w:hAnsi="Times New Roman" w:eastAsia="仿宋_GB2312" w:cs="Times New Roman"/>
          <w:caps/>
          <w:smallCaps w:val="0"/>
          <w:sz w:val="32"/>
          <w:highlight w:val="none"/>
          <w:lang w:val="en-US" w:eastAsia="zh-CN"/>
        </w:rPr>
        <w:t>）预算年终结余</w:t>
      </w:r>
    </w:p>
    <w:p w14:paraId="093CE15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2024年我部门全年预算数为1,833.97万元，预算执行数为1,570.26万元，注销金额为0万元。结转结余金额为0万元</w:t>
      </w:r>
    </w:p>
    <w:p w14:paraId="2DADEC4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该项指标得分=（1-部门整体预算结余率）×100%×2</w:t>
      </w: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en-US" w:eastAsia="zh-CN"/>
        </w:rPr>
        <w:t>(1 - 0.00</w:t>
      </w: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en-US" w:eastAsia="zh-CN"/>
        </w:rPr>
        <w:t xml:space="preserve"> </w:t>
      </w:r>
      <w:r>
        <w:rPr>
          <w:rFonts w:hint="eastAsia" w:ascii="Times New Roman" w:hAnsi="Times New Roman" w:eastAsia="仿宋_GB2312" w:cs="Times New Roman"/>
          <w:caps/>
          <w:smallCaps w:val="0"/>
          <w:sz w:val="32"/>
          <w:highlight w:val="none"/>
          <w:lang w:val="en-US" w:eastAsia="zh-CN"/>
        </w:rPr>
        <w:t>*100%*</w:t>
      </w:r>
      <w:r>
        <w:rPr>
          <w:rFonts w:hint="default" w:ascii="Times New Roman" w:hAnsi="Times New Roman" w:eastAsia="仿宋_GB2312" w:cs="Times New Roman"/>
          <w:caps/>
          <w:smallCaps w:val="0"/>
          <w:sz w:val="32"/>
          <w:highlight w:val="none"/>
          <w:lang w:val="en-US" w:eastAsia="zh-CN"/>
        </w:rPr>
        <w:t xml:space="preserve"> </w:t>
      </w:r>
      <w:r>
        <w:rPr>
          <w:rFonts w:hint="eastAsia" w:ascii="Times New Roman" w:hAnsi="Times New Roman" w:eastAsia="仿宋_GB2312" w:cs="Times New Roman"/>
          <w:caps/>
          <w:smallCaps w:val="0"/>
          <w:sz w:val="32"/>
          <w:highlight w:val="none"/>
          <w:lang w:val="en-US" w:eastAsia="zh-CN"/>
        </w:rPr>
        <w:t>2</w:t>
      </w:r>
      <w:r>
        <w:rPr>
          <w:rFonts w:hint="default" w:ascii="Times New Roman" w:hAnsi="Times New Roman" w:eastAsia="仿宋_GB2312" w:cs="Times New Roman"/>
          <w:caps/>
          <w:smallCaps w:val="0"/>
          <w:sz w:val="32"/>
          <w:highlight w:val="none"/>
          <w:lang w:val="en-US" w:eastAsia="zh-CN"/>
        </w:rPr>
        <w:t>=</w:t>
      </w:r>
      <w:r>
        <w:rPr>
          <w:rFonts w:hint="eastAsia" w:ascii="Times New Roman" w:hAnsi="Times New Roman" w:eastAsia="仿宋_GB2312" w:cs="Times New Roman"/>
          <w:caps/>
          <w:smallCaps w:val="0"/>
          <w:sz w:val="32"/>
          <w:highlight w:val="none"/>
          <w:lang w:val="en-US" w:eastAsia="zh-CN"/>
        </w:rPr>
        <w:t>2</w:t>
      </w:r>
    </w:p>
    <w:p w14:paraId="57699628">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根据评分标准，该项指标</w:t>
      </w:r>
      <w:r>
        <w:rPr>
          <w:rFonts w:hint="eastAsia" w:ascii="Times New Roman" w:hAnsi="Times New Roman" w:eastAsia="仿宋_GB2312" w:cs="Times New Roman"/>
          <w:caps/>
          <w:smallCaps w:val="0"/>
          <w:sz w:val="32"/>
          <w:highlight w:val="none"/>
          <w:lang w:val="en-US" w:eastAsia="zh-CN"/>
        </w:rPr>
        <w:t>不扣分，得2分。</w:t>
      </w:r>
    </w:p>
    <w:p w14:paraId="3637A9B8">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en-US" w:eastAsia="zh-CN"/>
        </w:rPr>
        <w:t>5</w:t>
      </w:r>
      <w:r>
        <w:rPr>
          <w:rFonts w:hint="eastAsia" w:ascii="Times New Roman" w:hAnsi="Times New Roman" w:eastAsia="仿宋_GB2312" w:cs="Times New Roman"/>
          <w:caps/>
          <w:smallCaps w:val="0"/>
          <w:sz w:val="32"/>
          <w:highlight w:val="none"/>
          <w:lang w:val="en-US" w:eastAsia="zh-CN"/>
        </w:rPr>
        <w:t>）严控一般性支出</w:t>
      </w:r>
    </w:p>
    <w:p w14:paraId="11C613B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我部门2024年度“三公”经费、会议、培训、差旅、办节办展、办公设备购置、信息网络及软件购置更新、课题经费等</w:t>
      </w:r>
      <w:r>
        <w:rPr>
          <w:rFonts w:hint="default" w:ascii="Times New Roman" w:hAnsi="Times New Roman" w:eastAsia="仿宋_GB2312" w:cs="Times New Roman"/>
          <w:caps/>
          <w:smallCaps w:val="0"/>
          <w:sz w:val="32"/>
          <w:highlight w:val="none"/>
          <w:lang w:val="en-US" w:eastAsia="zh-CN"/>
        </w:rPr>
        <w:t>8</w:t>
      </w:r>
      <w:r>
        <w:rPr>
          <w:rFonts w:hint="eastAsia" w:ascii="Times New Roman" w:hAnsi="Times New Roman" w:eastAsia="仿宋_GB2312" w:cs="Times New Roman"/>
          <w:caps/>
          <w:smallCaps w:val="0"/>
          <w:sz w:val="32"/>
          <w:highlight w:val="none"/>
          <w:lang w:val="en-US" w:eastAsia="zh-CN"/>
        </w:rPr>
        <w:t>项一般性支出情况详见下表</w:t>
      </w:r>
      <w:r>
        <w:rPr>
          <w:rFonts w:hint="default" w:ascii="Times New Roman" w:hAnsi="Times New Roman" w:eastAsia="仿宋_GB2312" w:cs="Times New Roman"/>
          <w:caps/>
          <w:smallCaps w:val="0"/>
          <w:sz w:val="32"/>
          <w:highlight w:val="none"/>
          <w:lang w:val="en-US" w:eastAsia="zh-CN"/>
        </w:rPr>
        <w:t>3</w:t>
      </w: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en-US" w:eastAsia="zh-CN"/>
        </w:rPr>
        <w:t>1</w:t>
      </w:r>
      <w:r>
        <w:rPr>
          <w:rFonts w:hint="eastAsia" w:ascii="Times New Roman" w:hAnsi="Times New Roman" w:eastAsia="仿宋_GB2312" w:cs="Times New Roman"/>
          <w:caps/>
          <w:smallCaps w:val="0"/>
          <w:sz w:val="32"/>
          <w:highlight w:val="none"/>
          <w:lang w:val="en-US" w:eastAsia="zh-CN"/>
        </w:rPr>
        <w:t>。</w:t>
      </w:r>
    </w:p>
    <w:p w14:paraId="4306C08C">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b/>
          <w:bCs/>
          <w:highlight w:val="none"/>
          <w:lang w:val="en-US" w:eastAsia="zh-CN"/>
        </w:rPr>
      </w:pPr>
      <w:r>
        <w:rPr>
          <w:rFonts w:hint="eastAsia" w:ascii="Times New Roman" w:hAnsi="Times New Roman"/>
          <w:b/>
          <w:bCs/>
          <w:highlight w:val="none"/>
          <w:lang w:val="en-US" w:eastAsia="zh-CN"/>
        </w:rPr>
        <w:t>表</w:t>
      </w:r>
      <w:r>
        <w:rPr>
          <w:rFonts w:hint="default" w:ascii="Times New Roman" w:hAnsi="Times New Roman" w:cs="Times New Roman"/>
          <w:b/>
          <w:bCs/>
          <w:highlight w:val="none"/>
          <w:lang w:val="en-US" w:eastAsia="zh-CN"/>
        </w:rPr>
        <w:t>3</w:t>
      </w:r>
      <w:r>
        <w:rPr>
          <w:rFonts w:hint="eastAsia" w:ascii="Times New Roman" w:hAnsi="Times New Roman"/>
          <w:b/>
          <w:bCs/>
          <w:highlight w:val="none"/>
          <w:lang w:val="en-US" w:eastAsia="zh-CN"/>
        </w:rPr>
        <w:t>-</w:t>
      </w:r>
      <w:r>
        <w:rPr>
          <w:rFonts w:hint="default" w:ascii="Times New Roman" w:hAnsi="Times New Roman" w:cs="Times New Roman"/>
          <w:b/>
          <w:bCs/>
          <w:highlight w:val="none"/>
          <w:lang w:val="en-US" w:eastAsia="zh-CN"/>
        </w:rPr>
        <w:t>1</w:t>
      </w:r>
      <w:r>
        <w:rPr>
          <w:rFonts w:hint="eastAsia" w:ascii="Times New Roman" w:hAnsi="Times New Roman"/>
          <w:b/>
          <w:bCs/>
          <w:highlight w:val="none"/>
          <w:lang w:val="en-US" w:eastAsia="zh-CN"/>
        </w:rPr>
        <w:t xml:space="preserve"> </w:t>
      </w:r>
      <w:r>
        <w:rPr>
          <w:rFonts w:hint="eastAsia" w:ascii="Times New Roman" w:hAnsi="Times New Roman" w:cs="Times New Roman"/>
          <w:b/>
          <w:bCs/>
          <w:highlight w:val="none"/>
          <w:lang w:val="en-US" w:eastAsia="zh-CN"/>
        </w:rPr>
        <w:t>2024年</w:t>
      </w:r>
      <w:r>
        <w:rPr>
          <w:rFonts w:hint="eastAsia" w:ascii="Times New Roman" w:hAnsi="Times New Roman"/>
          <w:b/>
          <w:bCs/>
          <w:highlight w:val="none"/>
          <w:lang w:val="en-US" w:eastAsia="zh-CN"/>
        </w:rPr>
        <w:t>度一般性支出情况表</w:t>
      </w:r>
    </w:p>
    <w:p w14:paraId="68A4E482">
      <w:pPr>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highlight w:val="none"/>
          <w:lang w:val="en-US" w:eastAsia="zh-CN"/>
        </w:rPr>
      </w:pPr>
      <w:r>
        <w:rPr>
          <w:rFonts w:hint="eastAsia" w:ascii="Times New Roman" w:hAnsi="Times New Roman"/>
          <w:highlight w:val="none"/>
          <w:lang w:val="en-US" w:eastAsia="zh-CN"/>
        </w:rPr>
        <w:t>单位：万元</w:t>
      </w:r>
    </w:p>
    <w:tbl>
      <w:tblPr>
        <w:tblStyle w:val="17"/>
        <w:tblW w:w="490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4"/>
        <w:gridCol w:w="1445"/>
        <w:gridCol w:w="1745"/>
        <w:gridCol w:w="1641"/>
        <w:gridCol w:w="1442"/>
        <w:gridCol w:w="1455"/>
      </w:tblGrid>
      <w:tr w14:paraId="1B6D2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0A548F1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序号</w:t>
            </w:r>
          </w:p>
        </w:tc>
        <w:tc>
          <w:tcPr>
            <w:tcW w:w="864"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127A3AF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项目名称</w:t>
            </w:r>
          </w:p>
        </w:tc>
        <w:tc>
          <w:tcPr>
            <w:tcW w:w="1043"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0FB8CCC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ascii="Times New Roman" w:hAnsi="Times New Roman" w:cs="Times New Roman"/>
                <w:i w:val="0"/>
                <w:iCs w:val="0"/>
                <w:color w:val="000000"/>
                <w:kern w:val="0"/>
                <w:sz w:val="24"/>
                <w:szCs w:val="24"/>
                <w:highlight w:val="none"/>
                <w:u w:val="none"/>
                <w:lang w:val="en-US" w:eastAsia="zh-CN" w:bidi="ar"/>
              </w:rPr>
              <w:t>2023</w:t>
            </w:r>
            <w:r>
              <w:rPr>
                <w:rFonts w:hint="default" w:ascii="Times New Roman" w:hAnsi="Times New Roman" w:eastAsia="仿宋_GB2312" w:cs="Times New Roman"/>
                <w:i w:val="0"/>
                <w:iCs w:val="0"/>
                <w:color w:val="000000"/>
                <w:kern w:val="0"/>
                <w:sz w:val="24"/>
                <w:szCs w:val="24"/>
                <w:highlight w:val="none"/>
                <w:u w:val="none"/>
                <w:lang w:val="en-US" w:eastAsia="zh-CN" w:bidi="ar"/>
              </w:rPr>
              <w:t>年年初预算数</w:t>
            </w:r>
          </w:p>
        </w:tc>
        <w:tc>
          <w:tcPr>
            <w:tcW w:w="981"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4DB3784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ascii="Times New Roman" w:hAnsi="Times New Roman" w:cs="Times New Roman"/>
                <w:i w:val="0"/>
                <w:iCs w:val="0"/>
                <w:color w:val="000000"/>
                <w:kern w:val="0"/>
                <w:sz w:val="24"/>
                <w:szCs w:val="24"/>
                <w:highlight w:val="none"/>
                <w:u w:val="none"/>
                <w:lang w:val="en-US" w:eastAsia="zh-CN" w:bidi="ar"/>
              </w:rPr>
              <w:t>2024年</w:t>
            </w:r>
            <w:r>
              <w:rPr>
                <w:rFonts w:hint="default" w:ascii="Times New Roman" w:hAnsi="Times New Roman" w:eastAsia="仿宋_GB2312" w:cs="Times New Roman"/>
                <w:i w:val="0"/>
                <w:iCs w:val="0"/>
                <w:color w:val="000000"/>
                <w:kern w:val="0"/>
                <w:sz w:val="24"/>
                <w:szCs w:val="24"/>
                <w:highlight w:val="none"/>
                <w:u w:val="none"/>
                <w:lang w:val="en-US" w:eastAsia="zh-CN" w:bidi="ar"/>
              </w:rPr>
              <w:t>年初预算数</w:t>
            </w:r>
          </w:p>
        </w:tc>
        <w:tc>
          <w:tcPr>
            <w:tcW w:w="862"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521E54A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ascii="Times New Roman" w:hAnsi="Times New Roman" w:cs="Times New Roman"/>
                <w:i w:val="0"/>
                <w:iCs w:val="0"/>
                <w:color w:val="000000"/>
                <w:kern w:val="0"/>
                <w:sz w:val="24"/>
                <w:szCs w:val="24"/>
                <w:highlight w:val="none"/>
                <w:u w:val="none"/>
                <w:lang w:val="en-US" w:eastAsia="zh-CN" w:bidi="ar"/>
              </w:rPr>
              <w:t>2023</w:t>
            </w:r>
            <w:r>
              <w:rPr>
                <w:rFonts w:hint="default" w:ascii="Times New Roman" w:hAnsi="Times New Roman" w:eastAsia="仿宋_GB2312" w:cs="Times New Roman"/>
                <w:i w:val="0"/>
                <w:iCs w:val="0"/>
                <w:color w:val="000000"/>
                <w:kern w:val="0"/>
                <w:sz w:val="24"/>
                <w:szCs w:val="24"/>
                <w:highlight w:val="none"/>
                <w:u w:val="none"/>
                <w:lang w:val="en-US" w:eastAsia="zh-CN" w:bidi="ar"/>
              </w:rPr>
              <w:t>年预算执行数</w:t>
            </w:r>
          </w:p>
        </w:tc>
        <w:tc>
          <w:tcPr>
            <w:tcW w:w="869"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656FA2A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ascii="Times New Roman" w:hAnsi="Times New Roman" w:cs="Times New Roman"/>
                <w:i w:val="0"/>
                <w:iCs w:val="0"/>
                <w:color w:val="000000"/>
                <w:kern w:val="0"/>
                <w:sz w:val="24"/>
                <w:szCs w:val="24"/>
                <w:highlight w:val="none"/>
                <w:u w:val="none"/>
                <w:lang w:val="en-US" w:eastAsia="zh-CN" w:bidi="ar"/>
              </w:rPr>
              <w:t>2024年</w:t>
            </w:r>
            <w:r>
              <w:rPr>
                <w:rFonts w:hint="default" w:ascii="Times New Roman" w:hAnsi="Times New Roman" w:eastAsia="仿宋_GB2312" w:cs="Times New Roman"/>
                <w:i w:val="0"/>
                <w:iCs w:val="0"/>
                <w:color w:val="000000"/>
                <w:kern w:val="0"/>
                <w:sz w:val="24"/>
                <w:szCs w:val="24"/>
                <w:highlight w:val="none"/>
                <w:u w:val="none"/>
                <w:lang w:val="en-US" w:eastAsia="zh-CN" w:bidi="ar"/>
              </w:rPr>
              <w:t>预算执行数</w:t>
            </w:r>
          </w:p>
        </w:tc>
      </w:tr>
      <w:tr w14:paraId="6F42A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D0CFC">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1</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0738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ascii="Times New Roman" w:hAnsi="Times New Roman" w:cs="Times New Roman"/>
                <w:i w:val="0"/>
                <w:iCs w:val="0"/>
                <w:color w:val="000000"/>
                <w:kern w:val="0"/>
                <w:sz w:val="24"/>
                <w:szCs w:val="24"/>
                <w:highlight w:val="none"/>
                <w:u w:val="none"/>
                <w:lang w:val="en-US" w:eastAsia="zh-CN" w:bidi="ar"/>
              </w:rPr>
              <w:t>“</w:t>
            </w:r>
            <w:r>
              <w:rPr>
                <w:rFonts w:hint="default" w:ascii="Times New Roman" w:hAnsi="Times New Roman" w:eastAsia="仿宋_GB2312" w:cs="Times New Roman"/>
                <w:i w:val="0"/>
                <w:iCs w:val="0"/>
                <w:color w:val="000000"/>
                <w:kern w:val="0"/>
                <w:sz w:val="24"/>
                <w:szCs w:val="24"/>
                <w:highlight w:val="none"/>
                <w:u w:val="none"/>
                <w:lang w:val="en-US" w:eastAsia="zh-CN" w:bidi="ar"/>
              </w:rPr>
              <w:t>三公</w:t>
            </w:r>
            <w:r>
              <w:rPr>
                <w:rFonts w:hint="eastAsia" w:ascii="Times New Roman" w:hAnsi="Times New Roman" w:cs="Times New Roman"/>
                <w:i w:val="0"/>
                <w:iCs w:val="0"/>
                <w:color w:val="000000"/>
                <w:kern w:val="0"/>
                <w:sz w:val="24"/>
                <w:szCs w:val="24"/>
                <w:highlight w:val="none"/>
                <w:u w:val="none"/>
                <w:lang w:val="en-US" w:eastAsia="zh-CN" w:bidi="ar"/>
              </w:rPr>
              <w:t>”</w:t>
            </w:r>
            <w:r>
              <w:rPr>
                <w:rFonts w:hint="default" w:ascii="Times New Roman" w:hAnsi="Times New Roman" w:eastAsia="仿宋_GB2312" w:cs="Times New Roman"/>
                <w:i w:val="0"/>
                <w:iCs w:val="0"/>
                <w:color w:val="000000"/>
                <w:kern w:val="0"/>
                <w:sz w:val="24"/>
                <w:szCs w:val="24"/>
                <w:highlight w:val="none"/>
                <w:u w:val="none"/>
                <w:lang w:val="en-US" w:eastAsia="zh-CN" w:bidi="ar"/>
              </w:rPr>
              <w:t>经费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E91A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24.17</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0A9A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24.08</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64EF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18.56</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5688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16.44</w:t>
            </w:r>
          </w:p>
        </w:tc>
      </w:tr>
      <w:tr w14:paraId="30255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45B0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2</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7E04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会议费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BC8F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EE52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E055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0.24</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7062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0</w:t>
            </w:r>
          </w:p>
        </w:tc>
      </w:tr>
      <w:tr w14:paraId="5ED83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CE0E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3</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62C7E">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培训费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A062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9.92</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123D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13.40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1A69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2.87</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779B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0.86</w:t>
            </w:r>
          </w:p>
        </w:tc>
      </w:tr>
      <w:tr w14:paraId="064D6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176D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4</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1EB2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差旅费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FEF2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47.91</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00B6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44.07</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8971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30.29</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B09B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34.92</w:t>
            </w:r>
          </w:p>
        </w:tc>
      </w:tr>
      <w:tr w14:paraId="46CBE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5171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5</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C5C2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办节办展</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3EDE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6942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45E8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8E7F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0</w:t>
            </w:r>
          </w:p>
        </w:tc>
      </w:tr>
      <w:tr w14:paraId="062A3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4282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6</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521A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办公设备购置</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A930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80BC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6DC7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14316">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0</w:t>
            </w:r>
          </w:p>
        </w:tc>
      </w:tr>
      <w:tr w14:paraId="70083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26B5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7</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9788D">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信息网络及软件购置更新经费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791CD">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D646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91E8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CC13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0</w:t>
            </w:r>
          </w:p>
        </w:tc>
      </w:tr>
      <w:tr w14:paraId="1EE8F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2F69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2168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课题经费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7358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cs="Times New Roman"/>
                <w:i w:val="0"/>
                <w:iCs w:val="0"/>
                <w:color w:val="auto"/>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B479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cs="Times New Roman"/>
                <w:i w:val="0"/>
                <w:iCs w:val="0"/>
                <w:color w:val="auto"/>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23AB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cs="Times New Roman"/>
                <w:i w:val="0"/>
                <w:iCs w:val="0"/>
                <w:color w:val="auto"/>
                <w:kern w:val="0"/>
                <w:sz w:val="24"/>
                <w:szCs w:val="24"/>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8506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cs="Times New Roman"/>
                <w:i w:val="0"/>
                <w:iCs w:val="0"/>
                <w:color w:val="auto"/>
                <w:kern w:val="0"/>
                <w:sz w:val="24"/>
                <w:szCs w:val="24"/>
                <w:highlight w:val="none"/>
                <w:u w:val="none"/>
                <w:lang w:val="en-US" w:eastAsia="zh-CN" w:bidi="ar"/>
              </w:rPr>
              <w:t>0</w:t>
            </w:r>
          </w:p>
        </w:tc>
      </w:tr>
      <w:tr w14:paraId="519C3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2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3F2A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合计</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958F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cs="Times New Roman"/>
                <w:i w:val="0"/>
                <w:iCs w:val="0"/>
                <w:color w:val="auto"/>
                <w:kern w:val="0"/>
                <w:sz w:val="24"/>
                <w:szCs w:val="24"/>
                <w:highlight w:val="none"/>
                <w:u w:val="none"/>
                <w:lang w:val="en-US" w:eastAsia="zh-CN" w:bidi="ar"/>
              </w:rPr>
            </w:pPr>
            <w:r>
              <w:rPr>
                <w:rFonts w:hint="eastAsia" w:ascii="Times New Roman" w:hAnsi="Times New Roman" w:cs="Times New Roman"/>
                <w:i w:val="0"/>
                <w:iCs w:val="0"/>
                <w:color w:val="auto"/>
                <w:kern w:val="0"/>
                <w:sz w:val="24"/>
                <w:szCs w:val="24"/>
                <w:highlight w:val="none"/>
                <w:u w:val="none"/>
                <w:lang w:val="en-US" w:eastAsia="zh-CN" w:bidi="ar"/>
              </w:rPr>
              <w:t>82</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EC45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cs="Times New Roman"/>
                <w:i w:val="0"/>
                <w:iCs w:val="0"/>
                <w:color w:val="auto"/>
                <w:kern w:val="0"/>
                <w:sz w:val="24"/>
                <w:szCs w:val="24"/>
                <w:highlight w:val="none"/>
                <w:u w:val="none"/>
                <w:lang w:val="en-US" w:eastAsia="zh-CN" w:bidi="ar"/>
              </w:rPr>
            </w:pPr>
            <w:r>
              <w:rPr>
                <w:rFonts w:hint="eastAsia" w:ascii="Times New Roman" w:hAnsi="Times New Roman" w:cs="Times New Roman"/>
                <w:i w:val="0"/>
                <w:iCs w:val="0"/>
                <w:color w:val="auto"/>
                <w:kern w:val="0"/>
                <w:sz w:val="24"/>
                <w:szCs w:val="24"/>
                <w:highlight w:val="none"/>
                <w:u w:val="none"/>
                <w:lang w:val="en-US" w:eastAsia="zh-CN" w:bidi="ar"/>
              </w:rPr>
              <w:t>81.55</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F0D3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cs="Times New Roman"/>
                <w:i w:val="0"/>
                <w:iCs w:val="0"/>
                <w:color w:val="auto"/>
                <w:kern w:val="0"/>
                <w:sz w:val="24"/>
                <w:szCs w:val="24"/>
                <w:highlight w:val="none"/>
                <w:u w:val="none"/>
                <w:lang w:val="en-US" w:eastAsia="zh-CN" w:bidi="ar"/>
              </w:rPr>
              <w:t>51.96</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2E3D3">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cs="Times New Roman"/>
                <w:i w:val="0"/>
                <w:iCs w:val="0"/>
                <w:color w:val="auto"/>
                <w:kern w:val="0"/>
                <w:sz w:val="24"/>
                <w:szCs w:val="24"/>
                <w:highlight w:val="none"/>
                <w:u w:val="none"/>
                <w:lang w:val="en-US" w:eastAsia="zh-CN" w:bidi="ar"/>
              </w:rPr>
              <w:t>52.22</w:t>
            </w:r>
          </w:p>
        </w:tc>
      </w:tr>
    </w:tbl>
    <w:p w14:paraId="1C633088">
      <w:pPr>
        <w:rPr>
          <w:rFonts w:hint="eastAsia" w:ascii="Times New Roman" w:hAnsi="Times New Roman"/>
          <w:highlight w:val="none"/>
          <w:lang w:val="en-US" w:eastAsia="zh-CN"/>
        </w:rPr>
      </w:pPr>
      <w:r>
        <w:rPr>
          <w:rFonts w:hint="eastAsia" w:ascii="Times New Roman" w:hAnsi="Times New Roman"/>
          <w:highlight w:val="none"/>
          <w:lang w:val="en-US" w:eastAsia="zh-CN"/>
        </w:rPr>
        <w:t>一般性支出财政拨款年初预算较上年减少，一般性支出财政拨款预算执行数较上年增加。</w:t>
      </w:r>
    </w:p>
    <w:p w14:paraId="2D86C155">
      <w:pPr>
        <w:rPr>
          <w:rFonts w:hint="default" w:ascii="Times New Roman" w:hAnsi="Times New Roman"/>
          <w:highlight w:val="none"/>
          <w:lang w:val="en-US" w:eastAsia="zh-CN"/>
        </w:rPr>
      </w:pPr>
      <w:r>
        <w:rPr>
          <w:rFonts w:hint="default" w:ascii="Times New Roman" w:hAnsi="Times New Roman"/>
          <w:highlight w:val="none"/>
          <w:lang w:val="en-US" w:eastAsia="zh-CN"/>
        </w:rPr>
        <w:t>根据评分标准，该项指标扣3.89分，得1.11分。</w:t>
      </w:r>
    </w:p>
    <w:p w14:paraId="30AD08A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eastAsia" w:ascii="Times New Roman" w:hAnsi="Times New Roman" w:eastAsia="仿宋_GB2312" w:cs="Times New Roman"/>
          <w:caps/>
          <w:smallCaps w:val="0"/>
          <w:sz w:val="32"/>
          <w:highlight w:val="none"/>
          <w:lang w:val="zh-CN" w:eastAsia="zh-CN"/>
        </w:rPr>
      </w:pPr>
      <w:r>
        <w:rPr>
          <w:rFonts w:hint="default" w:ascii="Times New Roman" w:hAnsi="Times New Roman" w:eastAsia="仿宋_GB2312" w:cs="Times New Roman"/>
          <w:caps/>
          <w:smallCaps w:val="0"/>
          <w:sz w:val="32"/>
          <w:highlight w:val="none"/>
          <w:lang w:val="en-US" w:eastAsia="zh-CN"/>
        </w:rPr>
        <w:t>3</w:t>
      </w: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zh-CN" w:eastAsia="zh-CN"/>
        </w:rPr>
        <w:t>财务管理</w:t>
      </w:r>
    </w:p>
    <w:p w14:paraId="65A7C015">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zh-CN" w:eastAsia="zh-CN"/>
        </w:rPr>
        <w:t>（1）财务管理制度</w:t>
      </w:r>
    </w:p>
    <w:p w14:paraId="281C6696">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zh-CN" w:eastAsia="zh-CN"/>
        </w:rPr>
        <w:t>为加强和规范我部门内部控制管理水平和风险防范能力，健全规范内部控制机制，加强廉政风险防控机制建设，我部门2024年在对预算、收支、政府采购、资产、建设项目、合同等各类经济业务活动流程梳理的基础上，依据《中华人民共和国会计法》《中华人民共和国预算法》《中华人民共和国政府采购法》《政府会计制度》《行政事业单位内部控制规范（试行）》《关于全面推进行政事业单位内部控制建设的指导意见》（财会〔2015〕24号）、《四川省财政厅关于印发〈四川省省级行政事业单位内部控制建设指引〉的通知》（川财会〔2019〕37号）等文件编制了《四川省龙日种畜场财务内部控制制度》，部门内部财务管理制度等制度机制建立健全，制度得到有效执行。</w:t>
      </w:r>
    </w:p>
    <w:p w14:paraId="015EB18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zh-CN" w:eastAsia="zh-CN"/>
        </w:rPr>
        <w:t>根据评分标准，该项指标不扣分，得4分。</w:t>
      </w:r>
    </w:p>
    <w:p w14:paraId="7D6C29F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zh-CN" w:eastAsia="zh-CN"/>
        </w:rPr>
        <w:t>（2）财务岗位设置</w:t>
      </w:r>
    </w:p>
    <w:p w14:paraId="69B3AED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zh-CN" w:eastAsia="zh-CN"/>
        </w:rPr>
        <w:t>我部门按照《中华人民共和国会计法》《中华人民共和国预算法》等相关法律，合理设置了单位财务岗位，明确了各岗位职责权限确保工作有序进行，同时，我部门制定的《四川省龙日种畜场财务内部控制制度》明确表示了财务收支统一核算管理，会计和出纳岗位分设，出纳人员不得兼管审核、会计档案保管，在财务实际设置过程中，做到了将会计与出纳、审核与执行等岗位分离，形成了相互制约、监督的机制，进而增强了财务数据的准确性，提升了内部控制效能，确保了财务工作的高效与透明。</w:t>
      </w:r>
    </w:p>
    <w:p w14:paraId="28D6E52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zh-CN" w:eastAsia="zh-CN"/>
        </w:rPr>
        <w:t>根据评分标准，该项指标不扣分，得2分。</w:t>
      </w:r>
    </w:p>
    <w:p w14:paraId="5259CDD0">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zh-CN" w:eastAsia="zh-CN"/>
        </w:rPr>
        <w:t>（3）资金使用规范</w:t>
      </w:r>
    </w:p>
    <w:p w14:paraId="4B68D8D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zh-CN" w:eastAsia="zh-CN"/>
        </w:rPr>
        <w:t>我部门严格按照已制定的内部控制制度文件和国家财经法规要求使用资金，资金使用符合相关财务管理制度规定，资金的拨付有完整的审批程序和手续，对项目的重大开支进行了评估论证，资金使用符合部门预算批复的用途，不存在截留、挤占、挪用、虚列支出等情况。</w:t>
      </w:r>
    </w:p>
    <w:p w14:paraId="2FEFA7C5">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color w:val="auto"/>
          <w:highlight w:val="none"/>
          <w:lang w:val="zh-CN" w:eastAsia="zh-CN"/>
        </w:rPr>
      </w:pPr>
      <w:r>
        <w:rPr>
          <w:rFonts w:hint="eastAsia" w:ascii="Times New Roman" w:hAnsi="Times New Roman" w:eastAsia="仿宋_GB2312" w:cs="Times New Roman"/>
          <w:caps/>
          <w:smallCaps w:val="0"/>
          <w:sz w:val="32"/>
          <w:highlight w:val="none"/>
          <w:lang w:val="zh-CN" w:eastAsia="zh-CN"/>
        </w:rPr>
        <w:t>根据评分标准，该项指标不扣分，得4分。</w:t>
      </w:r>
    </w:p>
    <w:p w14:paraId="1B50331F">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en-US" w:eastAsia="zh-CN"/>
        </w:rPr>
        <w:t>4.</w:t>
      </w:r>
      <w:r>
        <w:rPr>
          <w:rFonts w:hint="eastAsia" w:ascii="Times New Roman" w:hAnsi="Times New Roman" w:eastAsia="仿宋_GB2312" w:cs="Times New Roman"/>
          <w:caps/>
          <w:smallCaps w:val="0"/>
          <w:sz w:val="32"/>
          <w:highlight w:val="none"/>
          <w:lang w:val="zh-CN" w:eastAsia="zh-CN"/>
        </w:rPr>
        <w:t>资产管理</w:t>
      </w:r>
    </w:p>
    <w:p w14:paraId="37DD3AB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zh-CN" w:eastAsia="zh-CN"/>
        </w:rPr>
        <w:t>（1）人均资产变化率</w:t>
      </w:r>
    </w:p>
    <w:p w14:paraId="3817A11A">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zh-CN" w:eastAsia="zh-CN"/>
        </w:rPr>
        <w:t>我部门2023年末实有在编在职人数为41人，固定资产和无形资产期末账面值净值合计4,260.29万元；2024年末实有在职在编人数为57人，固定资产和无形资产净值合计4,071.68万元。人均占有资产及人均资产变化率计算公式分别为“（固定资产净值+无形资产净值)/在职人数、(当年人均资产-上年人均资产)/上年人均资产”。故我部门</w:t>
      </w:r>
      <w:r>
        <w:rPr>
          <w:rFonts w:hint="eastAsia" w:ascii="Times New Roman" w:hAnsi="Times New Roman" w:eastAsia="仿宋_GB2312" w:cs="Times New Roman"/>
          <w:caps/>
          <w:smallCaps w:val="0"/>
          <w:sz w:val="32"/>
          <w:highlight w:val="none"/>
          <w:lang w:val="en-US" w:eastAsia="zh-CN"/>
        </w:rPr>
        <w:t>2023</w:t>
      </w:r>
      <w:r>
        <w:rPr>
          <w:rFonts w:hint="eastAsia" w:ascii="Times New Roman" w:hAnsi="Times New Roman" w:eastAsia="仿宋_GB2312" w:cs="Times New Roman"/>
          <w:caps/>
          <w:smallCaps w:val="0"/>
          <w:sz w:val="32"/>
          <w:highlight w:val="none"/>
          <w:lang w:val="zh-CN" w:eastAsia="zh-CN"/>
        </w:rPr>
        <w:t>、2024年人均占有资产分别为103.91万元/人、71.43万元/人。</w:t>
      </w:r>
    </w:p>
    <w:p w14:paraId="2063C812">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zh-CN" w:eastAsia="zh-CN"/>
        </w:rPr>
        <w:t>综上，2024年我部门人均资产变化率为-31.25%，小于0，小于州直行政事业单位人均资产变化率24.28%，小于州级财政收入增长率-30.50%。</w:t>
      </w:r>
    </w:p>
    <w:p w14:paraId="51268670">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zh-CN" w:eastAsia="zh-CN"/>
        </w:rPr>
        <w:t>根据评分标准，该项指标不扣分，得3分。</w:t>
      </w:r>
    </w:p>
    <w:p w14:paraId="1D88962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en-US" w:eastAsia="zh-CN"/>
        </w:rPr>
        <w:t>2</w:t>
      </w:r>
      <w:r>
        <w:rPr>
          <w:rFonts w:hint="eastAsia" w:ascii="Times New Roman" w:hAnsi="Times New Roman" w:eastAsia="仿宋_GB2312" w:cs="Times New Roman"/>
          <w:caps/>
          <w:smallCaps w:val="0"/>
          <w:sz w:val="32"/>
          <w:highlight w:val="none"/>
          <w:lang w:val="en-US" w:eastAsia="zh-CN"/>
        </w:rPr>
        <w:t>）资产利用率</w:t>
      </w:r>
    </w:p>
    <w:p w14:paraId="5C52FC9F">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我部门2023年办公家具账面价值为135.69万元，超最低使用年限的办公家具账面价值为30.84万元，故办公家具超最低使用年限资产利用率=超最低使用年限的办公家具账面价值÷办公家具账面价值×100%=22.73%；2024年办公设备账面价值为669.71万元，超最低使用年限的办公设备账面价值为287.63万元，故办公设备超最低使用年限资产利用率=超最低使用年限的办公设备账面价值÷办公设备账面价值×100%=42.95%。</w:t>
      </w:r>
    </w:p>
    <w:p w14:paraId="4D7FE4C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综上，我部门在资产利用率方面，办公家具和用具超最低使用年限资产利用率大于州直行政事业单位平均值10.03%，办公设备超最低使用年限资产利用率大于0.8倍州直行政事业单位平均值38.29%小于州直行政事业单位平均值47.86%。</w:t>
      </w:r>
    </w:p>
    <w:p w14:paraId="3DFF44D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根据评分标准，该项指标扣0.60分，得2.40分。</w:t>
      </w:r>
    </w:p>
    <w:p w14:paraId="4C2C61D0">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en-US" w:eastAsia="zh-CN"/>
        </w:rPr>
        <w:t>3</w:t>
      </w:r>
      <w:r>
        <w:rPr>
          <w:rFonts w:hint="eastAsia" w:ascii="Times New Roman" w:hAnsi="Times New Roman" w:eastAsia="仿宋_GB2312" w:cs="Times New Roman"/>
          <w:caps/>
          <w:smallCaps w:val="0"/>
          <w:sz w:val="32"/>
          <w:highlight w:val="none"/>
          <w:lang w:val="en-US" w:eastAsia="zh-CN"/>
        </w:rPr>
        <w:t>）资产盘活率</w:t>
      </w:r>
    </w:p>
    <w:p w14:paraId="463E4232">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我部门</w:t>
      </w:r>
      <w:r>
        <w:rPr>
          <w:rFonts w:hint="default" w:ascii="Times New Roman" w:hAnsi="Times New Roman" w:eastAsia="仿宋_GB2312" w:cs="Times New Roman"/>
          <w:caps/>
          <w:smallCaps w:val="0"/>
          <w:sz w:val="32"/>
          <w:highlight w:val="none"/>
          <w:lang w:val="en-US" w:eastAsia="zh-CN"/>
        </w:rPr>
        <w:t>2023年、2024年均无闲置资产。自评年度</w:t>
      </w:r>
      <w:r>
        <w:rPr>
          <w:rFonts w:hint="eastAsia" w:ascii="Times New Roman" w:hAnsi="Times New Roman" w:eastAsia="仿宋_GB2312" w:cs="Times New Roman"/>
          <w:caps/>
          <w:smallCaps w:val="0"/>
          <w:sz w:val="32"/>
          <w:highlight w:val="none"/>
          <w:lang w:val="en-US" w:eastAsia="zh-CN"/>
        </w:rPr>
        <w:t>我部门</w:t>
      </w:r>
      <w:r>
        <w:rPr>
          <w:rFonts w:hint="default" w:ascii="Times New Roman" w:hAnsi="Times New Roman" w:eastAsia="仿宋_GB2312" w:cs="Times New Roman"/>
          <w:caps/>
          <w:smallCaps w:val="0"/>
          <w:sz w:val="32"/>
          <w:highlight w:val="none"/>
          <w:lang w:val="en-US" w:eastAsia="zh-CN"/>
        </w:rPr>
        <w:t>部门闲置资产占比变化率</w:t>
      </w:r>
      <w:r>
        <w:rPr>
          <w:rFonts w:hint="eastAsia" w:ascii="Times New Roman" w:hAnsi="Times New Roman" w:eastAsia="仿宋_GB2312" w:cs="Times New Roman"/>
          <w:caps/>
          <w:smallCaps w:val="0"/>
          <w:sz w:val="32"/>
          <w:highlight w:val="none"/>
          <w:lang w:val="en-US" w:eastAsia="zh-CN"/>
        </w:rPr>
        <w:t>为</w:t>
      </w:r>
      <w:r>
        <w:rPr>
          <w:rFonts w:hint="default" w:ascii="Times New Roman" w:hAnsi="Times New Roman" w:eastAsia="仿宋_GB2312" w:cs="Times New Roman"/>
          <w:caps/>
          <w:smallCaps w:val="0"/>
          <w:sz w:val="32"/>
          <w:highlight w:val="none"/>
          <w:lang w:val="en-US" w:eastAsia="zh-CN"/>
        </w:rPr>
        <w:t>0%。</w:t>
      </w:r>
    </w:p>
    <w:p w14:paraId="455C2CC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根据评分标准，该项指标不扣分，得3分。</w:t>
      </w:r>
    </w:p>
    <w:p w14:paraId="1AABF7DB">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eastAsia" w:ascii="Times New Roman" w:hAnsi="Times New Roman" w:eastAsia="仿宋_GB2312" w:cs="Times New Roman"/>
          <w:caps/>
          <w:smallCaps w:val="0"/>
          <w:sz w:val="32"/>
          <w:highlight w:val="none"/>
          <w:lang w:val="zh-CN" w:eastAsia="zh-CN"/>
        </w:rPr>
      </w:pPr>
      <w:r>
        <w:rPr>
          <w:rFonts w:hint="default" w:ascii="Times New Roman" w:hAnsi="Times New Roman" w:eastAsia="仿宋_GB2312" w:cs="Times New Roman"/>
          <w:caps/>
          <w:smallCaps w:val="0"/>
          <w:sz w:val="32"/>
          <w:highlight w:val="none"/>
          <w:lang w:val="en-US" w:eastAsia="zh-CN"/>
        </w:rPr>
        <w:t>5</w:t>
      </w: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zh-CN" w:eastAsia="zh-CN"/>
        </w:rPr>
        <w:t>采购管理</w:t>
      </w:r>
    </w:p>
    <w:p w14:paraId="562B300D">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zh-CN" w:eastAsia="zh-CN"/>
        </w:rPr>
        <w:t>（</w:t>
      </w:r>
      <w:r>
        <w:rPr>
          <w:rFonts w:hint="default" w:ascii="Times New Roman" w:hAnsi="Times New Roman" w:eastAsia="仿宋_GB2312" w:cs="Times New Roman"/>
          <w:caps/>
          <w:smallCaps w:val="0"/>
          <w:sz w:val="32"/>
          <w:highlight w:val="none"/>
          <w:lang w:val="en-US" w:eastAsia="zh-CN"/>
        </w:rPr>
        <w:t>1</w:t>
      </w:r>
      <w:r>
        <w:rPr>
          <w:rFonts w:hint="eastAsia" w:ascii="Times New Roman" w:hAnsi="Times New Roman" w:eastAsia="仿宋_GB2312" w:cs="Times New Roman"/>
          <w:caps/>
          <w:smallCaps w:val="0"/>
          <w:sz w:val="32"/>
          <w:highlight w:val="none"/>
          <w:lang w:val="zh-CN" w:eastAsia="zh-CN"/>
        </w:rPr>
        <w:t>）支持中小企业发展</w:t>
      </w:r>
    </w:p>
    <w:p w14:paraId="481C1CAB">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我部门严格执行政府采购促进中小企业发展相关管理办法，对适宜由中小企业提供的采购项目和采购包，预留了采购份额专门面向中小企业采购，并在采购预算中单独列示。2024年，我部门采购预算为44.76万元，政府采购授予中小企业合同金额为44.76万元。</w:t>
      </w:r>
    </w:p>
    <w:p w14:paraId="2FA513B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根据评分标准，该项指标不扣分，得3分。</w:t>
      </w:r>
    </w:p>
    <w:p w14:paraId="6420912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en-US" w:eastAsia="zh-CN"/>
        </w:rPr>
        <w:t>2</w:t>
      </w:r>
      <w:r>
        <w:rPr>
          <w:rFonts w:hint="eastAsia" w:ascii="Times New Roman" w:hAnsi="Times New Roman" w:eastAsia="仿宋_GB2312" w:cs="Times New Roman"/>
          <w:caps/>
          <w:smallCaps w:val="0"/>
          <w:sz w:val="32"/>
          <w:highlight w:val="none"/>
          <w:lang w:val="en-US" w:eastAsia="zh-CN"/>
        </w:rPr>
        <w:t>）采购执行率</w:t>
      </w:r>
    </w:p>
    <w:p w14:paraId="1D6FF826">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我部门2024年度的政府采购总预算数为44.76万元，当年政府采购预算执行数为44.76万元，已完成采购项目节约金额为0万元，故我部门采购执行方面采购执行率为1.00。</w:t>
      </w:r>
    </w:p>
    <w:p w14:paraId="019833FD">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en-US" w:eastAsia="zh-CN"/>
        </w:rPr>
        <w:t>根据评分标准，该项指标不扣分，得3分。</w:t>
      </w:r>
    </w:p>
    <w:p w14:paraId="2215A50D">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16FE09EA">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常年项目绩效分析。</w:t>
      </w:r>
      <w:r>
        <w:rPr>
          <w:rFonts w:hint="default" w:ascii="Times New Roman" w:hAnsi="Times New Roman" w:eastAsia="仿宋_GB2312" w:cs="Times New Roman"/>
          <w:caps/>
          <w:smallCaps w:val="0"/>
          <w:sz w:val="32"/>
          <w:highlight w:val="none"/>
          <w:lang w:val="zh-CN" w:eastAsia="zh-CN"/>
        </w:rPr>
        <w:t>该类项目总数</w:t>
      </w:r>
      <w:r>
        <w:rPr>
          <w:rFonts w:hint="eastAsia" w:ascii="Times New Roman" w:hAnsi="Times New Roman" w:eastAsia="仿宋_GB2312" w:cs="Times New Roman"/>
          <w:caps/>
          <w:smallCaps w:val="0"/>
          <w:sz w:val="32"/>
          <w:highlight w:val="none"/>
          <w:lang w:val="en-US" w:eastAsia="zh-CN"/>
        </w:rPr>
        <w:t>1</w:t>
      </w:r>
      <w:r>
        <w:rPr>
          <w:rFonts w:hint="default" w:ascii="Times New Roman" w:hAnsi="Times New Roman" w:eastAsia="仿宋_GB2312" w:cs="Times New Roman"/>
          <w:caps/>
          <w:smallCaps w:val="0"/>
          <w:sz w:val="32"/>
          <w:highlight w:val="none"/>
          <w:lang w:val="zh-CN" w:eastAsia="zh-CN"/>
        </w:rPr>
        <w:t>个，涉及预算总金额</w:t>
      </w:r>
      <w:r>
        <w:rPr>
          <w:rFonts w:hint="eastAsia" w:ascii="Times New Roman" w:hAnsi="Times New Roman" w:eastAsia="仿宋_GB2312" w:cs="Times New Roman"/>
          <w:caps/>
          <w:smallCaps w:val="0"/>
          <w:sz w:val="32"/>
          <w:highlight w:val="none"/>
          <w:lang w:val="en-US" w:eastAsia="zh-CN"/>
        </w:rPr>
        <w:t>120</w:t>
      </w:r>
      <w:r>
        <w:rPr>
          <w:rFonts w:hint="default" w:ascii="Times New Roman" w:hAnsi="Times New Roman" w:eastAsia="仿宋_GB2312" w:cs="Times New Roman"/>
          <w:caps/>
          <w:smallCaps w:val="0"/>
          <w:sz w:val="32"/>
          <w:highlight w:val="none"/>
          <w:lang w:val="zh-CN" w:eastAsia="zh-CN"/>
        </w:rPr>
        <w:t>万元，1—1</w:t>
      </w:r>
      <w:r>
        <w:rPr>
          <w:rFonts w:hint="default" w:ascii="Times New Roman" w:hAnsi="Times New Roman" w:eastAsia="仿宋_GB2312" w:cs="Times New Roman"/>
          <w:caps/>
          <w:smallCaps w:val="0"/>
          <w:sz w:val="32"/>
          <w:highlight w:val="none"/>
          <w:lang w:val="en-US" w:eastAsia="zh-CN"/>
        </w:rPr>
        <w:t>2</w:t>
      </w:r>
      <w:r>
        <w:rPr>
          <w:rFonts w:hint="default" w:ascii="Times New Roman" w:hAnsi="Times New Roman" w:eastAsia="仿宋_GB2312" w:cs="Times New Roman"/>
          <w:caps/>
          <w:smallCaps w:val="0"/>
          <w:sz w:val="32"/>
          <w:highlight w:val="none"/>
          <w:lang w:val="zh-CN" w:eastAsia="zh-CN"/>
        </w:rPr>
        <w:t>月预算执行总体进度为</w:t>
      </w:r>
      <w:r>
        <w:rPr>
          <w:rFonts w:hint="eastAsia" w:ascii="Times New Roman" w:hAnsi="Times New Roman" w:eastAsia="仿宋_GB2312" w:cs="Times New Roman"/>
          <w:caps/>
          <w:smallCaps w:val="0"/>
          <w:sz w:val="32"/>
          <w:highlight w:val="none"/>
          <w:lang w:val="en-US" w:eastAsia="zh-CN"/>
        </w:rPr>
        <w:t>95.54%</w:t>
      </w:r>
      <w:r>
        <w:rPr>
          <w:rFonts w:hint="eastAsia" w:ascii="Times New Roman" w:hAnsi="Times New Roman" w:eastAsia="仿宋_GB2312" w:cs="Times New Roman"/>
          <w:caps/>
          <w:smallCaps w:val="0"/>
          <w:sz w:val="32"/>
          <w:highlight w:val="none"/>
          <w:lang w:val="zh-CN" w:eastAsia="zh-CN"/>
        </w:rPr>
        <w:t>，</w:t>
      </w:r>
      <w:r>
        <w:rPr>
          <w:rFonts w:hint="default" w:ascii="Times New Roman" w:hAnsi="Times New Roman" w:eastAsia="仿宋_GB2312" w:cs="Times New Roman"/>
          <w:caps/>
          <w:smallCaps w:val="0"/>
          <w:sz w:val="32"/>
          <w:highlight w:val="none"/>
          <w:lang w:val="zh-CN" w:eastAsia="zh-CN"/>
        </w:rPr>
        <w:t>其中：预算结余率大于</w:t>
      </w:r>
      <w:r>
        <w:rPr>
          <w:rFonts w:hint="default" w:ascii="Times New Roman" w:hAnsi="Times New Roman" w:eastAsia="仿宋_GB2312" w:cs="Times New Roman"/>
          <w:caps/>
          <w:smallCaps w:val="0"/>
          <w:sz w:val="32"/>
          <w:highlight w:val="none"/>
          <w:lang w:val="en-US" w:eastAsia="zh-CN"/>
        </w:rPr>
        <w:t>10%</w:t>
      </w:r>
      <w:r>
        <w:rPr>
          <w:rFonts w:hint="default" w:ascii="Times New Roman" w:hAnsi="Times New Roman" w:eastAsia="仿宋_GB2312" w:cs="Times New Roman"/>
          <w:caps/>
          <w:smallCaps w:val="0"/>
          <w:sz w:val="32"/>
          <w:highlight w:val="none"/>
          <w:lang w:val="zh-CN" w:eastAsia="zh-CN"/>
        </w:rPr>
        <w:t>的项目共计</w:t>
      </w:r>
      <w:r>
        <w:rPr>
          <w:rFonts w:hint="eastAsia" w:ascii="Times New Roman" w:hAnsi="Times New Roman" w:eastAsia="仿宋_GB2312" w:cs="Times New Roman"/>
          <w:caps/>
          <w:smallCaps w:val="0"/>
          <w:sz w:val="32"/>
          <w:highlight w:val="none"/>
          <w:lang w:val="en-US" w:eastAsia="zh-CN"/>
        </w:rPr>
        <w:t>1</w:t>
      </w:r>
      <w:r>
        <w:rPr>
          <w:rFonts w:hint="default" w:ascii="Times New Roman" w:hAnsi="Times New Roman" w:eastAsia="仿宋_GB2312" w:cs="Times New Roman"/>
          <w:caps/>
          <w:smallCaps w:val="0"/>
          <w:sz w:val="32"/>
          <w:highlight w:val="none"/>
          <w:lang w:val="zh-CN" w:eastAsia="zh-CN"/>
        </w:rPr>
        <w:t>个</w:t>
      </w:r>
      <w:r>
        <w:rPr>
          <w:rFonts w:hint="eastAsia" w:ascii="Times New Roman" w:hAnsi="Times New Roman" w:eastAsia="仿宋_GB2312" w:cs="Times New Roman"/>
          <w:caps/>
          <w:smallCaps w:val="0"/>
          <w:sz w:val="32"/>
          <w:highlight w:val="none"/>
          <w:lang w:val="zh-CN" w:eastAsia="zh-CN"/>
        </w:rPr>
        <w:t>。</w:t>
      </w:r>
    </w:p>
    <w:p w14:paraId="071B935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zh-CN" w:eastAsia="zh-CN"/>
        </w:rPr>
      </w:pPr>
      <w:r>
        <w:rPr>
          <w:rFonts w:hint="default" w:ascii="Times New Roman" w:hAnsi="Times New Roman" w:eastAsia="仿宋_GB2312" w:cs="Times New Roman"/>
          <w:caps/>
          <w:smallCaps w:val="0"/>
          <w:sz w:val="32"/>
          <w:highlight w:val="none"/>
          <w:lang w:val="en-US" w:eastAsia="zh-CN"/>
        </w:rPr>
        <w:t>阶段</w:t>
      </w:r>
      <w:r>
        <w:rPr>
          <w:rFonts w:hint="eastAsia" w:ascii="Times New Roman" w:hAnsi="Times New Roman" w:eastAsia="仿宋_GB2312" w:cs="Times New Roman"/>
          <w:caps/>
          <w:smallCaps w:val="0"/>
          <w:sz w:val="32"/>
          <w:highlight w:val="none"/>
          <w:lang w:val="en-US" w:eastAsia="zh-CN"/>
        </w:rPr>
        <w:t>（含</w:t>
      </w:r>
      <w:r>
        <w:rPr>
          <w:rFonts w:hint="default" w:ascii="Times New Roman" w:hAnsi="Times New Roman" w:eastAsia="仿宋_GB2312" w:cs="Times New Roman"/>
          <w:caps/>
          <w:smallCaps w:val="0"/>
          <w:sz w:val="32"/>
          <w:highlight w:val="none"/>
          <w:lang w:val="en-US" w:eastAsia="zh-CN"/>
        </w:rPr>
        <w:t>一次性</w:t>
      </w: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en-US" w:eastAsia="zh-CN"/>
        </w:rPr>
        <w:t>项目绩效分析。</w:t>
      </w:r>
      <w:r>
        <w:rPr>
          <w:rFonts w:hint="default" w:ascii="Times New Roman" w:hAnsi="Times New Roman" w:eastAsia="仿宋_GB2312" w:cs="Times New Roman"/>
          <w:caps/>
          <w:smallCaps w:val="0"/>
          <w:sz w:val="32"/>
          <w:highlight w:val="none"/>
          <w:lang w:val="zh-CN" w:eastAsia="zh-CN"/>
        </w:rPr>
        <w:t>该类项目总数</w:t>
      </w:r>
      <w:r>
        <w:rPr>
          <w:rFonts w:hint="eastAsia" w:ascii="Times New Roman" w:hAnsi="Times New Roman" w:eastAsia="仿宋_GB2312" w:cs="Times New Roman"/>
          <w:caps/>
          <w:smallCaps w:val="0"/>
          <w:sz w:val="32"/>
          <w:highlight w:val="none"/>
          <w:lang w:val="en-US" w:eastAsia="zh-CN"/>
        </w:rPr>
        <w:t>9</w:t>
      </w:r>
      <w:r>
        <w:rPr>
          <w:rFonts w:hint="default" w:ascii="Times New Roman" w:hAnsi="Times New Roman" w:eastAsia="仿宋_GB2312" w:cs="Times New Roman"/>
          <w:caps/>
          <w:smallCaps w:val="0"/>
          <w:sz w:val="32"/>
          <w:highlight w:val="none"/>
          <w:lang w:val="zh-CN" w:eastAsia="zh-CN"/>
        </w:rPr>
        <w:t>个，涉及预算总金额</w:t>
      </w:r>
      <w:r>
        <w:rPr>
          <w:rFonts w:hint="eastAsia" w:ascii="Times New Roman" w:hAnsi="Times New Roman" w:eastAsia="仿宋_GB2312" w:cs="Times New Roman"/>
          <w:caps/>
          <w:smallCaps w:val="0"/>
          <w:sz w:val="32"/>
          <w:highlight w:val="none"/>
          <w:lang w:val="en-US" w:eastAsia="zh-CN"/>
        </w:rPr>
        <w:t>1842.98</w:t>
      </w:r>
      <w:r>
        <w:rPr>
          <w:rFonts w:hint="default" w:ascii="Times New Roman" w:hAnsi="Times New Roman" w:eastAsia="仿宋_GB2312" w:cs="Times New Roman"/>
          <w:caps/>
          <w:smallCaps w:val="0"/>
          <w:sz w:val="32"/>
          <w:highlight w:val="none"/>
          <w:lang w:val="zh-CN" w:eastAsia="zh-CN"/>
        </w:rPr>
        <w:t>万元，1—1</w:t>
      </w:r>
      <w:r>
        <w:rPr>
          <w:rFonts w:hint="default" w:ascii="Times New Roman" w:hAnsi="Times New Roman" w:eastAsia="仿宋_GB2312" w:cs="Times New Roman"/>
          <w:caps/>
          <w:smallCaps w:val="0"/>
          <w:sz w:val="32"/>
          <w:highlight w:val="none"/>
          <w:lang w:val="en-US" w:eastAsia="zh-CN"/>
        </w:rPr>
        <w:t>2</w:t>
      </w:r>
      <w:r>
        <w:rPr>
          <w:rFonts w:hint="default" w:ascii="Times New Roman" w:hAnsi="Times New Roman" w:eastAsia="仿宋_GB2312" w:cs="Times New Roman"/>
          <w:caps/>
          <w:smallCaps w:val="0"/>
          <w:sz w:val="32"/>
          <w:highlight w:val="none"/>
          <w:lang w:val="zh-CN" w:eastAsia="zh-CN"/>
        </w:rPr>
        <w:t>月预算执行总体进度为</w:t>
      </w:r>
      <w:r>
        <w:rPr>
          <w:rFonts w:hint="eastAsia" w:ascii="Times New Roman" w:hAnsi="Times New Roman" w:eastAsia="仿宋_GB2312" w:cs="Times New Roman"/>
          <w:caps/>
          <w:smallCaps w:val="0"/>
          <w:sz w:val="32"/>
          <w:highlight w:val="none"/>
          <w:lang w:val="en-US" w:eastAsia="zh-CN"/>
        </w:rPr>
        <w:t>86.63</w:t>
      </w:r>
      <w:r>
        <w:rPr>
          <w:rFonts w:hint="default" w:ascii="Times New Roman" w:hAnsi="Times New Roman" w:eastAsia="仿宋_GB2312" w:cs="Times New Roman"/>
          <w:caps/>
          <w:smallCaps w:val="0"/>
          <w:sz w:val="32"/>
          <w:highlight w:val="none"/>
          <w:lang w:val="zh-CN" w:eastAsia="zh-CN"/>
        </w:rPr>
        <w:t>%</w:t>
      </w:r>
      <w:r>
        <w:rPr>
          <w:rFonts w:hint="eastAsia" w:ascii="Times New Roman" w:hAnsi="Times New Roman" w:eastAsia="仿宋_GB2312" w:cs="Times New Roman"/>
          <w:caps/>
          <w:smallCaps w:val="0"/>
          <w:sz w:val="32"/>
          <w:highlight w:val="none"/>
          <w:lang w:val="zh-CN" w:eastAsia="zh-CN"/>
        </w:rPr>
        <w:t>，</w:t>
      </w:r>
      <w:r>
        <w:rPr>
          <w:rFonts w:hint="eastAsia" w:ascii="Times New Roman" w:hAnsi="Times New Roman" w:eastAsia="仿宋_GB2312" w:cs="Times New Roman"/>
          <w:caps/>
          <w:smallCaps w:val="0"/>
          <w:sz w:val="32"/>
          <w:highlight w:val="none"/>
          <w:lang w:val="en-US" w:eastAsia="zh-CN"/>
        </w:rPr>
        <w:t>其中；</w:t>
      </w:r>
      <w:r>
        <w:rPr>
          <w:rFonts w:hint="default" w:ascii="Times New Roman" w:hAnsi="Times New Roman" w:eastAsia="仿宋_GB2312" w:cs="Times New Roman"/>
          <w:caps/>
          <w:smallCaps w:val="0"/>
          <w:sz w:val="32"/>
          <w:highlight w:val="none"/>
          <w:lang w:val="zh-CN" w:eastAsia="zh-CN"/>
        </w:rPr>
        <w:t>预算结余率大于</w:t>
      </w:r>
      <w:r>
        <w:rPr>
          <w:rFonts w:hint="default" w:ascii="Times New Roman" w:hAnsi="Times New Roman" w:eastAsia="仿宋_GB2312" w:cs="Times New Roman"/>
          <w:caps/>
          <w:smallCaps w:val="0"/>
          <w:sz w:val="32"/>
          <w:highlight w:val="none"/>
          <w:lang w:val="en-US" w:eastAsia="zh-CN"/>
        </w:rPr>
        <w:t>10%</w:t>
      </w:r>
      <w:r>
        <w:rPr>
          <w:rFonts w:hint="default" w:ascii="Times New Roman" w:hAnsi="Times New Roman" w:eastAsia="仿宋_GB2312" w:cs="Times New Roman"/>
          <w:caps/>
          <w:smallCaps w:val="0"/>
          <w:sz w:val="32"/>
          <w:highlight w:val="none"/>
          <w:lang w:val="zh-CN" w:eastAsia="zh-CN"/>
        </w:rPr>
        <w:t>的项目共计</w:t>
      </w:r>
      <w:r>
        <w:rPr>
          <w:rFonts w:hint="eastAsia" w:ascii="Times New Roman" w:hAnsi="Times New Roman" w:eastAsia="仿宋_GB2312" w:cs="Times New Roman"/>
          <w:caps/>
          <w:smallCaps w:val="0"/>
          <w:sz w:val="32"/>
          <w:highlight w:val="none"/>
          <w:lang w:val="en-US" w:eastAsia="zh-CN"/>
        </w:rPr>
        <w:t>6</w:t>
      </w:r>
      <w:r>
        <w:rPr>
          <w:rFonts w:hint="default" w:ascii="Times New Roman" w:hAnsi="Times New Roman" w:eastAsia="仿宋_GB2312" w:cs="Times New Roman"/>
          <w:caps/>
          <w:smallCaps w:val="0"/>
          <w:sz w:val="32"/>
          <w:highlight w:val="none"/>
          <w:lang w:val="zh-CN" w:eastAsia="zh-CN"/>
        </w:rPr>
        <w:t>个</w:t>
      </w:r>
      <w:r>
        <w:rPr>
          <w:rFonts w:hint="eastAsia" w:ascii="Times New Roman" w:hAnsi="Times New Roman" w:eastAsia="仿宋_GB2312" w:cs="Times New Roman"/>
          <w:caps/>
          <w:smallCaps w:val="0"/>
          <w:sz w:val="32"/>
          <w:highlight w:val="none"/>
          <w:lang w:val="zh-CN" w:eastAsia="zh-CN"/>
        </w:rPr>
        <w:t>。</w:t>
      </w:r>
    </w:p>
    <w:p w14:paraId="2756FC2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eastAsia" w:ascii="Times New Roman" w:hAnsi="Times New Roman" w:eastAsia="仿宋_GB2312" w:cs="Times New Roman"/>
          <w:caps/>
          <w:smallCaps w:val="0"/>
          <w:sz w:val="32"/>
          <w:highlight w:val="none"/>
          <w:lang w:val="zh-CN" w:eastAsia="zh-CN"/>
        </w:rPr>
      </w:pPr>
      <w:r>
        <w:rPr>
          <w:rFonts w:hint="default" w:ascii="Times New Roman" w:hAnsi="Times New Roman" w:eastAsia="仿宋_GB2312" w:cs="Times New Roman"/>
          <w:caps/>
          <w:smallCaps w:val="0"/>
          <w:sz w:val="32"/>
          <w:highlight w:val="none"/>
          <w:lang w:val="en-US" w:eastAsia="zh-CN"/>
        </w:rPr>
        <w:t>1</w:t>
      </w:r>
      <w:r>
        <w:rPr>
          <w:rFonts w:hint="eastAsia" w:ascii="Times New Roman" w:hAnsi="Times New Roman" w:eastAsia="仿宋_GB2312" w:cs="Times New Roman"/>
          <w:caps/>
          <w:smallCaps w:val="0"/>
          <w:sz w:val="32"/>
          <w:highlight w:val="none"/>
          <w:lang w:val="en-US" w:eastAsia="zh-CN"/>
        </w:rPr>
        <w:t>.</w:t>
      </w:r>
      <w:r>
        <w:rPr>
          <w:rFonts w:hint="eastAsia" w:ascii="Times New Roman" w:hAnsi="Times New Roman" w:eastAsia="仿宋_GB2312" w:cs="Times New Roman"/>
          <w:caps/>
          <w:smallCaps w:val="0"/>
          <w:sz w:val="32"/>
          <w:highlight w:val="none"/>
          <w:lang w:val="zh-CN" w:eastAsia="zh-CN"/>
        </w:rPr>
        <w:t>项目决策</w:t>
      </w:r>
    </w:p>
    <w:p w14:paraId="6B8CFE5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zh-CN" w:eastAsia="zh-CN"/>
        </w:rPr>
        <w:t>（</w:t>
      </w:r>
      <w:r>
        <w:rPr>
          <w:rFonts w:hint="default" w:ascii="Times New Roman" w:hAnsi="Times New Roman" w:eastAsia="仿宋_GB2312" w:cs="Times New Roman"/>
          <w:caps/>
          <w:smallCaps w:val="0"/>
          <w:sz w:val="32"/>
          <w:highlight w:val="none"/>
          <w:lang w:val="en-US" w:eastAsia="zh-CN"/>
        </w:rPr>
        <w:t>1</w:t>
      </w:r>
      <w:r>
        <w:rPr>
          <w:rFonts w:hint="eastAsia" w:ascii="Times New Roman" w:hAnsi="Times New Roman" w:eastAsia="仿宋_GB2312" w:cs="Times New Roman"/>
          <w:caps/>
          <w:smallCaps w:val="0"/>
          <w:sz w:val="32"/>
          <w:highlight w:val="none"/>
          <w:lang w:val="zh-CN" w:eastAsia="zh-CN"/>
        </w:rPr>
        <w:t>）决策程序</w:t>
      </w:r>
    </w:p>
    <w:p w14:paraId="7A029ECB">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根据事前绩效评估相关要求，2024年我部门9个</w:t>
      </w:r>
      <w:r>
        <w:rPr>
          <w:rFonts w:hint="default" w:ascii="Times New Roman" w:hAnsi="Times New Roman" w:eastAsia="仿宋_GB2312" w:cs="Times New Roman"/>
          <w:caps/>
          <w:smallCaps w:val="0"/>
          <w:sz w:val="32"/>
          <w:highlight w:val="none"/>
          <w:lang w:val="en-US" w:eastAsia="zh-CN"/>
        </w:rPr>
        <w:t>预算阶段项目（含一次性项目）</w:t>
      </w:r>
      <w:r>
        <w:rPr>
          <w:rFonts w:hint="eastAsia" w:ascii="Times New Roman" w:hAnsi="Times New Roman" w:eastAsia="仿宋_GB2312" w:cs="Times New Roman"/>
          <w:caps/>
          <w:smallCaps w:val="0"/>
          <w:sz w:val="32"/>
          <w:highlight w:val="none"/>
          <w:lang w:val="en-US" w:eastAsia="zh-CN"/>
        </w:rPr>
        <w:t>均严格履行事前评估程序，项目立项依据充分，决策程序规范。</w:t>
      </w:r>
    </w:p>
    <w:p w14:paraId="27C75CA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根据评分标准，该项指标不扣分，得4分</w:t>
      </w:r>
      <w:r>
        <w:rPr>
          <w:rFonts w:hint="eastAsia" w:ascii="Times New Roman" w:hAnsi="Times New Roman" w:eastAsia="仿宋_GB2312" w:cs="Times New Roman"/>
          <w:caps/>
          <w:smallCaps w:val="0"/>
          <w:sz w:val="32"/>
          <w:highlight w:val="none"/>
          <w:lang w:val="en-US" w:eastAsia="zh-CN"/>
        </w:rPr>
        <w:t>。</w:t>
      </w:r>
    </w:p>
    <w:p w14:paraId="46D568C0">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en-US" w:eastAsia="zh-CN"/>
        </w:rPr>
        <w:t>2</w:t>
      </w:r>
      <w:r>
        <w:rPr>
          <w:rFonts w:hint="eastAsia" w:ascii="Times New Roman" w:hAnsi="Times New Roman" w:eastAsia="仿宋_GB2312" w:cs="Times New Roman"/>
          <w:caps/>
          <w:smallCaps w:val="0"/>
          <w:sz w:val="32"/>
          <w:highlight w:val="none"/>
          <w:lang w:val="en-US" w:eastAsia="zh-CN"/>
        </w:rPr>
        <w:t>）目标设置</w:t>
      </w:r>
    </w:p>
    <w:p w14:paraId="26BEF68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2024年我部门</w:t>
      </w:r>
      <w:r>
        <w:rPr>
          <w:rFonts w:hint="default" w:ascii="Times New Roman" w:hAnsi="Times New Roman" w:eastAsia="仿宋_GB2312" w:cs="Times New Roman"/>
          <w:caps/>
          <w:smallCaps w:val="0"/>
          <w:sz w:val="32"/>
          <w:highlight w:val="none"/>
          <w:lang w:val="zh-CN" w:eastAsia="zh-CN"/>
        </w:rPr>
        <w:t>开展绩效目标管理的</w:t>
      </w:r>
      <w:r>
        <w:rPr>
          <w:rFonts w:hint="eastAsia" w:ascii="Times New Roman" w:hAnsi="Times New Roman" w:eastAsia="仿宋_GB2312" w:cs="Times New Roman"/>
          <w:caps/>
          <w:smallCaps w:val="0"/>
          <w:sz w:val="32"/>
          <w:highlight w:val="none"/>
          <w:lang w:val="en-US" w:eastAsia="zh-CN"/>
        </w:rPr>
        <w:t>部门预算阶段项目（含一次性项目）共有9个</w:t>
      </w:r>
      <w:r>
        <w:rPr>
          <w:rFonts w:hint="eastAsia" w:ascii="Times New Roman" w:hAnsi="Times New Roman" w:eastAsia="仿宋_GB2312" w:cs="Times New Roman"/>
          <w:caps/>
          <w:smallCaps w:val="0"/>
          <w:sz w:val="32"/>
          <w:highlight w:val="none"/>
          <w:lang w:val="zh-CN" w:eastAsia="zh-CN"/>
        </w:rPr>
        <w:t>，</w:t>
      </w:r>
      <w:r>
        <w:rPr>
          <w:rFonts w:hint="eastAsia" w:ascii="Times New Roman" w:hAnsi="Times New Roman" w:eastAsia="仿宋_GB2312" w:cs="Times New Roman"/>
          <w:caps/>
          <w:smallCaps w:val="0"/>
          <w:sz w:val="32"/>
          <w:highlight w:val="none"/>
          <w:lang w:val="en-US" w:eastAsia="zh-CN"/>
        </w:rPr>
        <w:t>为充分发挥绩效目标引领作用，</w:t>
      </w:r>
      <w:r>
        <w:rPr>
          <w:rFonts w:hint="eastAsia" w:ascii="Times New Roman" w:hAnsi="Times New Roman" w:eastAsia="仿宋_GB2312" w:cs="Times New Roman"/>
          <w:caps/>
          <w:smallCaps w:val="0"/>
          <w:sz w:val="32"/>
          <w:highlight w:val="none"/>
          <w:lang w:val="zh-CN" w:eastAsia="zh-CN"/>
        </w:rPr>
        <w:t>我部门</w:t>
      </w:r>
      <w:r>
        <w:rPr>
          <w:rFonts w:hint="eastAsia" w:ascii="Times New Roman" w:hAnsi="Times New Roman" w:eastAsia="仿宋_GB2312" w:cs="Times New Roman"/>
          <w:caps/>
          <w:smallCaps w:val="0"/>
          <w:sz w:val="32"/>
          <w:highlight w:val="none"/>
          <w:lang w:val="en-US" w:eastAsia="zh-CN"/>
        </w:rPr>
        <w:t>贯彻落实《中共四川省委办公厅四川省人民政府办公厅关于深入实施预算绩效管理的通知》（川委厅〔</w:t>
      </w:r>
      <w:r>
        <w:rPr>
          <w:rFonts w:hint="default" w:ascii="Times New Roman" w:hAnsi="Times New Roman" w:eastAsia="仿宋_GB2312" w:cs="Times New Roman"/>
          <w:caps/>
          <w:smallCaps w:val="0"/>
          <w:sz w:val="32"/>
          <w:highlight w:val="none"/>
          <w:lang w:val="en-US" w:eastAsia="zh-CN"/>
        </w:rPr>
        <w:t>2021</w:t>
      </w: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en-US" w:eastAsia="zh-CN"/>
        </w:rPr>
        <w:t>5</w:t>
      </w:r>
      <w:r>
        <w:rPr>
          <w:rFonts w:hint="eastAsia" w:ascii="Times New Roman" w:hAnsi="Times New Roman" w:eastAsia="仿宋_GB2312" w:cs="Times New Roman"/>
          <w:caps/>
          <w:smallCaps w:val="0"/>
          <w:sz w:val="32"/>
          <w:highlight w:val="none"/>
          <w:lang w:val="en-US" w:eastAsia="zh-CN"/>
        </w:rPr>
        <w:t>号）文件精神，9个项目均设置了相应的绩效目标表。</w:t>
      </w:r>
    </w:p>
    <w:p w14:paraId="28CBBA1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根据评分标准，该项指标不扣分，得4分</w:t>
      </w:r>
      <w:r>
        <w:rPr>
          <w:rFonts w:hint="eastAsia" w:ascii="Times New Roman" w:hAnsi="Times New Roman" w:eastAsia="仿宋_GB2312" w:cs="Times New Roman"/>
          <w:caps/>
          <w:smallCaps w:val="0"/>
          <w:sz w:val="32"/>
          <w:highlight w:val="none"/>
          <w:lang w:val="en-US" w:eastAsia="zh-CN"/>
        </w:rPr>
        <w:t>。</w:t>
      </w:r>
    </w:p>
    <w:p w14:paraId="25F0EB7F">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en-US" w:eastAsia="zh-CN"/>
        </w:rPr>
        <w:t>3</w:t>
      </w:r>
      <w:r>
        <w:rPr>
          <w:rFonts w:hint="eastAsia" w:ascii="Times New Roman" w:hAnsi="Times New Roman" w:eastAsia="仿宋_GB2312" w:cs="Times New Roman"/>
          <w:caps/>
          <w:smallCaps w:val="0"/>
          <w:sz w:val="32"/>
          <w:highlight w:val="none"/>
          <w:lang w:val="en-US" w:eastAsia="zh-CN"/>
        </w:rPr>
        <w:t>）项目入库</w:t>
      </w:r>
    </w:p>
    <w:p w14:paraId="7B4E56CA">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zh-CN" w:eastAsia="zh-CN"/>
        </w:rPr>
        <w:t>2024年我部门需在</w:t>
      </w:r>
      <w:r>
        <w:rPr>
          <w:rFonts w:hint="eastAsia" w:ascii="Times New Roman" w:hAnsi="Times New Roman" w:eastAsia="仿宋_GB2312" w:cs="Times New Roman"/>
          <w:caps/>
          <w:smallCaps w:val="0"/>
          <w:sz w:val="32"/>
          <w:highlight w:val="none"/>
          <w:lang w:val="en-US" w:eastAsia="zh-CN"/>
        </w:rPr>
        <w:t>规定时间内进行入库的</w:t>
      </w:r>
      <w:r>
        <w:rPr>
          <w:rFonts w:hint="eastAsia" w:ascii="Times New Roman" w:hAnsi="Times New Roman" w:eastAsia="仿宋_GB2312" w:cs="Times New Roman"/>
          <w:caps/>
          <w:smallCaps w:val="0"/>
          <w:sz w:val="32"/>
          <w:highlight w:val="none"/>
          <w:lang w:val="zh-CN" w:eastAsia="zh-CN"/>
        </w:rPr>
        <w:t>项目共有</w:t>
      </w:r>
      <w:r>
        <w:rPr>
          <w:rFonts w:hint="eastAsia" w:ascii="Times New Roman" w:hAnsi="Times New Roman" w:eastAsia="仿宋_GB2312" w:cs="Times New Roman"/>
          <w:caps/>
          <w:smallCaps w:val="0"/>
          <w:sz w:val="32"/>
          <w:highlight w:val="none"/>
          <w:lang w:val="en-US" w:eastAsia="zh-CN"/>
        </w:rPr>
        <w:t>9</w:t>
      </w:r>
      <w:r>
        <w:rPr>
          <w:rFonts w:hint="eastAsia" w:ascii="Times New Roman" w:hAnsi="Times New Roman" w:eastAsia="仿宋_GB2312" w:cs="Times New Roman"/>
          <w:caps/>
          <w:smallCaps w:val="0"/>
          <w:sz w:val="32"/>
          <w:highlight w:val="none"/>
          <w:lang w:val="zh-CN" w:eastAsia="zh-CN"/>
        </w:rPr>
        <w:t>个，</w:t>
      </w:r>
      <w:r>
        <w:rPr>
          <w:rFonts w:hint="eastAsia" w:ascii="Times New Roman" w:hAnsi="Times New Roman" w:eastAsia="仿宋_GB2312" w:cs="Times New Roman"/>
          <w:caps/>
          <w:smallCaps w:val="0"/>
          <w:sz w:val="32"/>
          <w:highlight w:val="none"/>
          <w:lang w:val="en-US" w:eastAsia="zh-CN"/>
        </w:rPr>
        <w:t>均在规定时间内完成了项目入库。</w:t>
      </w:r>
    </w:p>
    <w:p w14:paraId="13B773AA">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根据评分标准，该项指标不扣分，得4分</w:t>
      </w:r>
      <w:r>
        <w:rPr>
          <w:rFonts w:hint="eastAsia" w:ascii="Times New Roman" w:hAnsi="Times New Roman" w:eastAsia="仿宋_GB2312" w:cs="Times New Roman"/>
          <w:caps/>
          <w:smallCaps w:val="0"/>
          <w:sz w:val="32"/>
          <w:highlight w:val="none"/>
          <w:lang w:val="en-US" w:eastAsia="zh-CN"/>
        </w:rPr>
        <w:t>。</w:t>
      </w:r>
    </w:p>
    <w:p w14:paraId="13534352">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eastAsia" w:ascii="Times New Roman" w:hAnsi="Times New Roman" w:eastAsia="仿宋_GB2312" w:cs="Times New Roman"/>
          <w:caps/>
          <w:smallCaps w:val="0"/>
          <w:sz w:val="32"/>
          <w:highlight w:val="none"/>
          <w:lang w:val="zh-CN" w:eastAsia="zh-CN"/>
        </w:rPr>
      </w:pPr>
      <w:r>
        <w:rPr>
          <w:rFonts w:hint="default" w:ascii="Times New Roman" w:hAnsi="Times New Roman" w:eastAsia="仿宋_GB2312" w:cs="Times New Roman"/>
          <w:caps/>
          <w:smallCaps w:val="0"/>
          <w:sz w:val="32"/>
          <w:highlight w:val="none"/>
          <w:lang w:val="en-US" w:eastAsia="zh-CN"/>
        </w:rPr>
        <w:t>2</w:t>
      </w:r>
      <w:r>
        <w:rPr>
          <w:rFonts w:hint="eastAsia" w:ascii="Times New Roman" w:hAnsi="Times New Roman" w:eastAsia="仿宋_GB2312" w:cs="Times New Roman"/>
          <w:caps/>
          <w:smallCaps w:val="0"/>
          <w:sz w:val="32"/>
          <w:highlight w:val="none"/>
          <w:lang w:val="en-US" w:eastAsia="zh-CN"/>
        </w:rPr>
        <w:t>.项目执行</w:t>
      </w:r>
    </w:p>
    <w:p w14:paraId="4000648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zh-CN" w:eastAsia="zh-CN"/>
        </w:rPr>
        <w:t>（</w:t>
      </w:r>
      <w:r>
        <w:rPr>
          <w:rFonts w:hint="default" w:ascii="Times New Roman" w:hAnsi="Times New Roman" w:eastAsia="仿宋_GB2312" w:cs="Times New Roman"/>
          <w:caps/>
          <w:smallCaps w:val="0"/>
          <w:sz w:val="32"/>
          <w:highlight w:val="none"/>
          <w:lang w:val="en-US" w:eastAsia="zh-CN"/>
        </w:rPr>
        <w:t>1</w:t>
      </w:r>
      <w:r>
        <w:rPr>
          <w:rFonts w:hint="eastAsia" w:ascii="Times New Roman" w:hAnsi="Times New Roman" w:eastAsia="仿宋_GB2312" w:cs="Times New Roman"/>
          <w:caps/>
          <w:smallCaps w:val="0"/>
          <w:sz w:val="32"/>
          <w:highlight w:val="none"/>
          <w:lang w:val="zh-CN" w:eastAsia="zh-CN"/>
        </w:rPr>
        <w:t>）执行同向</w:t>
      </w:r>
    </w:p>
    <w:p w14:paraId="13B0E98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我部门严格按照部门预算项目批复内容实施项目，项目资金使用符合预算批复用途，与项目总体绩效目标设置方向相符，没有相悖或不合理之处。</w:t>
      </w:r>
    </w:p>
    <w:p w14:paraId="761F85E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根据评分标准，该项指标不扣分，得4分</w:t>
      </w:r>
      <w:r>
        <w:rPr>
          <w:rFonts w:hint="eastAsia" w:ascii="Times New Roman" w:hAnsi="Times New Roman" w:eastAsia="仿宋_GB2312" w:cs="Times New Roman"/>
          <w:caps/>
          <w:smallCaps w:val="0"/>
          <w:sz w:val="32"/>
          <w:highlight w:val="none"/>
          <w:lang w:val="en-US" w:eastAsia="zh-CN"/>
        </w:rPr>
        <w:t>。</w:t>
      </w:r>
    </w:p>
    <w:p w14:paraId="27B5CC28">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zh-CN" w:eastAsia="zh-CN"/>
        </w:rPr>
        <w:t>（</w:t>
      </w:r>
      <w:r>
        <w:rPr>
          <w:rFonts w:hint="default" w:ascii="Times New Roman" w:hAnsi="Times New Roman" w:eastAsia="仿宋_GB2312" w:cs="Times New Roman"/>
          <w:caps/>
          <w:smallCaps w:val="0"/>
          <w:sz w:val="32"/>
          <w:highlight w:val="none"/>
          <w:lang w:val="en-US" w:eastAsia="zh-CN"/>
        </w:rPr>
        <w:t>2</w:t>
      </w:r>
      <w:r>
        <w:rPr>
          <w:rFonts w:hint="eastAsia" w:ascii="Times New Roman" w:hAnsi="Times New Roman" w:eastAsia="仿宋_GB2312" w:cs="Times New Roman"/>
          <w:caps/>
          <w:smallCaps w:val="0"/>
          <w:sz w:val="32"/>
          <w:highlight w:val="none"/>
          <w:lang w:val="zh-CN" w:eastAsia="zh-CN"/>
        </w:rPr>
        <w:t>）项目调整</w:t>
      </w:r>
    </w:p>
    <w:p w14:paraId="6707401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2024年我部门年初设置的部门项目预算较为合理，项目总体绩效目标设置较为科学合理，预算调整及时，与实际情况基本相符，不存在应采取但未采取收回预算、调整目标等处置措施的部门预算阶段项目，故不涉及收回预算、调整目标等处置措施。</w:t>
      </w:r>
    </w:p>
    <w:p w14:paraId="5DC8CB55">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zh-CN" w:eastAsia="zh-CN"/>
        </w:rPr>
      </w:pPr>
      <w:r>
        <w:rPr>
          <w:rFonts w:hint="default" w:ascii="Times New Roman" w:hAnsi="Times New Roman" w:eastAsia="仿宋_GB2312" w:cs="Times New Roman"/>
          <w:caps/>
          <w:smallCaps w:val="0"/>
          <w:sz w:val="32"/>
          <w:highlight w:val="none"/>
          <w:lang w:val="en-US" w:eastAsia="zh-CN"/>
        </w:rPr>
        <w:t>根据评分标准，该项指标不扣分，得4分</w:t>
      </w:r>
      <w:r>
        <w:rPr>
          <w:rFonts w:hint="eastAsia" w:ascii="Times New Roman" w:hAnsi="Times New Roman" w:eastAsia="仿宋_GB2312" w:cs="Times New Roman"/>
          <w:caps/>
          <w:smallCaps w:val="0"/>
          <w:sz w:val="32"/>
          <w:highlight w:val="none"/>
          <w:lang w:val="en-US" w:eastAsia="zh-CN"/>
        </w:rPr>
        <w:t>。</w:t>
      </w:r>
    </w:p>
    <w:p w14:paraId="7DB078E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zh-CN" w:eastAsia="zh-CN"/>
        </w:rPr>
        <w:t>（</w:t>
      </w:r>
      <w:r>
        <w:rPr>
          <w:rFonts w:hint="default" w:ascii="Times New Roman" w:hAnsi="Times New Roman" w:eastAsia="仿宋_GB2312" w:cs="Times New Roman"/>
          <w:caps/>
          <w:smallCaps w:val="0"/>
          <w:sz w:val="32"/>
          <w:highlight w:val="none"/>
          <w:lang w:val="en-US" w:eastAsia="zh-CN"/>
        </w:rPr>
        <w:t>3</w:t>
      </w:r>
      <w:r>
        <w:rPr>
          <w:rFonts w:hint="eastAsia" w:ascii="Times New Roman" w:hAnsi="Times New Roman" w:eastAsia="仿宋_GB2312" w:cs="Times New Roman"/>
          <w:caps/>
          <w:smallCaps w:val="0"/>
          <w:sz w:val="32"/>
          <w:highlight w:val="none"/>
          <w:lang w:val="zh-CN" w:eastAsia="zh-CN"/>
        </w:rPr>
        <w:t>）执行结果</w:t>
      </w:r>
    </w:p>
    <w:p w14:paraId="1D4B05F0">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zh-CN" w:eastAsia="zh-CN"/>
        </w:rPr>
      </w:pPr>
      <w:r>
        <w:rPr>
          <w:rFonts w:hint="eastAsia" w:ascii="Times New Roman" w:hAnsi="Times New Roman" w:eastAsia="仿宋_GB2312" w:cs="Times New Roman"/>
          <w:caps/>
          <w:smallCaps w:val="0"/>
          <w:sz w:val="32"/>
          <w:highlight w:val="none"/>
          <w:lang w:val="en-US" w:eastAsia="zh-CN"/>
        </w:rPr>
        <w:t>2024年我部门</w:t>
      </w:r>
      <w:r>
        <w:rPr>
          <w:rFonts w:hint="eastAsia" w:ascii="Times New Roman" w:hAnsi="Times New Roman" w:eastAsia="仿宋_GB2312" w:cs="Times New Roman"/>
          <w:caps/>
          <w:smallCaps w:val="0"/>
          <w:sz w:val="32"/>
          <w:highlight w:val="none"/>
          <w:lang w:val="zh-CN" w:eastAsia="zh-CN"/>
        </w:rPr>
        <w:t>常年项目</w:t>
      </w:r>
      <w:r>
        <w:rPr>
          <w:rFonts w:hint="eastAsia" w:ascii="Times New Roman" w:hAnsi="Times New Roman" w:eastAsia="仿宋_GB2312" w:cs="Times New Roman"/>
          <w:caps/>
          <w:smallCaps w:val="0"/>
          <w:sz w:val="32"/>
          <w:highlight w:val="none"/>
          <w:lang w:val="en-US" w:eastAsia="zh-CN"/>
        </w:rPr>
        <w:t>共计1</w:t>
      </w:r>
      <w:r>
        <w:rPr>
          <w:rFonts w:hint="eastAsia" w:ascii="Times New Roman" w:hAnsi="Times New Roman" w:eastAsia="仿宋_GB2312" w:cs="Times New Roman"/>
          <w:caps/>
          <w:smallCaps w:val="0"/>
          <w:sz w:val="32"/>
          <w:highlight w:val="none"/>
          <w:lang w:val="zh-CN" w:eastAsia="zh-CN"/>
        </w:rPr>
        <w:t>个，预算结余率</w:t>
      </w:r>
      <w:r>
        <w:rPr>
          <w:rFonts w:hint="eastAsia" w:ascii="Times New Roman" w:hAnsi="Times New Roman" w:eastAsia="仿宋_GB2312" w:cs="Times New Roman"/>
          <w:caps/>
          <w:smallCaps w:val="0"/>
          <w:sz w:val="32"/>
          <w:highlight w:val="none"/>
          <w:lang w:val="en-US" w:eastAsia="zh-CN"/>
        </w:rPr>
        <w:t>小</w:t>
      </w:r>
      <w:r>
        <w:rPr>
          <w:rFonts w:hint="eastAsia" w:ascii="Times New Roman" w:hAnsi="Times New Roman" w:eastAsia="仿宋_GB2312" w:cs="Times New Roman"/>
          <w:caps/>
          <w:smallCaps w:val="0"/>
          <w:sz w:val="32"/>
          <w:highlight w:val="none"/>
          <w:lang w:val="zh-CN" w:eastAsia="zh-CN"/>
        </w:rPr>
        <w:t>于</w:t>
      </w:r>
      <w:r>
        <w:rPr>
          <w:rFonts w:hint="default" w:ascii="Times New Roman" w:hAnsi="Times New Roman" w:eastAsia="仿宋_GB2312" w:cs="Times New Roman"/>
          <w:caps/>
          <w:smallCaps w:val="0"/>
          <w:sz w:val="32"/>
          <w:highlight w:val="none"/>
          <w:lang w:val="zh-CN" w:eastAsia="zh-CN"/>
        </w:rPr>
        <w:t>10</w:t>
      </w:r>
      <w:r>
        <w:rPr>
          <w:rFonts w:hint="eastAsia" w:ascii="Times New Roman" w:hAnsi="Times New Roman" w:eastAsia="仿宋_GB2312" w:cs="Times New Roman"/>
          <w:caps/>
          <w:smallCaps w:val="0"/>
          <w:sz w:val="32"/>
          <w:highlight w:val="none"/>
          <w:lang w:val="zh-CN" w:eastAsia="zh-CN"/>
        </w:rPr>
        <w:t>%</w:t>
      </w:r>
      <w:r>
        <w:rPr>
          <w:rFonts w:hint="eastAsia" w:ascii="Times New Roman" w:hAnsi="Times New Roman" w:eastAsia="仿宋_GB2312" w:cs="Times New Roman"/>
          <w:caps/>
          <w:smallCaps w:val="0"/>
          <w:sz w:val="32"/>
          <w:highlight w:val="none"/>
          <w:lang w:val="en-US" w:eastAsia="zh-CN"/>
        </w:rPr>
        <w:t>的常年项目数量为0个</w:t>
      </w:r>
      <w:r>
        <w:rPr>
          <w:rFonts w:hint="eastAsia" w:ascii="Times New Roman" w:hAnsi="Times New Roman" w:eastAsia="仿宋_GB2312" w:cs="Times New Roman"/>
          <w:caps/>
          <w:smallCaps w:val="0"/>
          <w:sz w:val="32"/>
          <w:highlight w:val="none"/>
          <w:lang w:val="zh-CN" w:eastAsia="zh-CN"/>
        </w:rPr>
        <w:t>；阶段（一次性）项目</w:t>
      </w:r>
      <w:r>
        <w:rPr>
          <w:rFonts w:hint="eastAsia" w:ascii="Times New Roman" w:hAnsi="Times New Roman" w:eastAsia="仿宋_GB2312" w:cs="Times New Roman"/>
          <w:caps/>
          <w:smallCaps w:val="0"/>
          <w:sz w:val="32"/>
          <w:highlight w:val="none"/>
          <w:lang w:val="en-US" w:eastAsia="zh-CN"/>
        </w:rPr>
        <w:t>共计9</w:t>
      </w:r>
      <w:r>
        <w:rPr>
          <w:rFonts w:hint="eastAsia" w:ascii="Times New Roman" w:hAnsi="Times New Roman" w:eastAsia="仿宋_GB2312" w:cs="Times New Roman"/>
          <w:caps/>
          <w:smallCaps w:val="0"/>
          <w:sz w:val="32"/>
          <w:highlight w:val="none"/>
          <w:lang w:val="zh-CN" w:eastAsia="zh-CN"/>
        </w:rPr>
        <w:t>个，</w:t>
      </w:r>
      <w:r>
        <w:rPr>
          <w:rFonts w:hint="eastAsia" w:ascii="Times New Roman" w:hAnsi="Times New Roman" w:eastAsia="仿宋_GB2312" w:cs="Times New Roman"/>
          <w:caps/>
          <w:smallCaps w:val="0"/>
          <w:sz w:val="32"/>
          <w:highlight w:val="none"/>
          <w:lang w:val="en-US" w:eastAsia="zh-CN"/>
        </w:rPr>
        <w:t>预算结余率小于10%的一次性项目和阶段项目数量为3个。</w:t>
      </w:r>
    </w:p>
    <w:p w14:paraId="5321902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zh-CN" w:eastAsia="zh-CN"/>
        </w:rPr>
      </w:pPr>
      <w:r>
        <w:rPr>
          <w:rFonts w:hint="default" w:ascii="Times New Roman" w:hAnsi="Times New Roman" w:eastAsia="仿宋_GB2312" w:cs="Times New Roman"/>
          <w:caps/>
          <w:smallCaps w:val="0"/>
          <w:sz w:val="32"/>
          <w:highlight w:val="none"/>
          <w:lang w:val="en-US" w:eastAsia="zh-CN"/>
        </w:rPr>
        <w:t>根据评分标准，该项指标扣3.33分，得0.67分</w:t>
      </w:r>
      <w:r>
        <w:rPr>
          <w:rFonts w:hint="eastAsia" w:ascii="Times New Roman" w:hAnsi="Times New Roman" w:eastAsia="仿宋_GB2312" w:cs="Times New Roman"/>
          <w:caps/>
          <w:smallCaps w:val="0"/>
          <w:sz w:val="32"/>
          <w:highlight w:val="none"/>
          <w:lang w:val="en-US" w:eastAsia="zh-CN"/>
        </w:rPr>
        <w:t>。</w:t>
      </w:r>
    </w:p>
    <w:p w14:paraId="465FAF2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default"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3</w:t>
      </w:r>
      <w:r>
        <w:rPr>
          <w:rFonts w:hint="eastAsia" w:ascii="Times New Roman" w:hAnsi="Times New Roman" w:eastAsia="仿宋_GB2312" w:cs="Times New Roman"/>
          <w:caps/>
          <w:smallCaps w:val="0"/>
          <w:sz w:val="32"/>
          <w:highlight w:val="none"/>
          <w:lang w:val="en-US" w:eastAsia="zh-CN"/>
        </w:rPr>
        <w:t>.</w:t>
      </w:r>
      <w:r>
        <w:rPr>
          <w:rFonts w:hint="eastAsia" w:ascii="Times New Roman" w:hAnsi="Times New Roman" w:eastAsia="仿宋_GB2312" w:cs="Times New Roman"/>
          <w:caps/>
          <w:smallCaps w:val="0"/>
          <w:sz w:val="32"/>
          <w:highlight w:val="none"/>
          <w:lang w:val="zh-CN" w:eastAsia="zh-CN"/>
        </w:rPr>
        <w:t>目标实现</w:t>
      </w:r>
    </w:p>
    <w:p w14:paraId="0D77087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en-US" w:eastAsia="zh-CN"/>
        </w:rPr>
        <w:t>1</w:t>
      </w:r>
      <w:r>
        <w:rPr>
          <w:rFonts w:hint="eastAsia" w:ascii="Times New Roman" w:hAnsi="Times New Roman" w:eastAsia="仿宋_GB2312" w:cs="Times New Roman"/>
          <w:caps/>
          <w:smallCaps w:val="0"/>
          <w:sz w:val="32"/>
          <w:highlight w:val="none"/>
          <w:lang w:val="en-US" w:eastAsia="zh-CN"/>
        </w:rPr>
        <w:t>）目标完成</w:t>
      </w:r>
    </w:p>
    <w:p w14:paraId="353BB00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2024年部门预算阶段项目（含一次性项目）共有10个，结合项目实施的实际情况，我部门所涉及的部门预算阶段项目（含一次性项目）各数量指标全部完成的数量为3个。</w:t>
      </w:r>
    </w:p>
    <w:p w14:paraId="214E1580">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根据评分标准，该项指标扣2.67分，得1.33分</w:t>
      </w:r>
      <w:r>
        <w:rPr>
          <w:rFonts w:hint="eastAsia" w:ascii="Times New Roman" w:hAnsi="Times New Roman" w:eastAsia="仿宋_GB2312" w:cs="Times New Roman"/>
          <w:caps/>
          <w:smallCaps w:val="0"/>
          <w:sz w:val="32"/>
          <w:highlight w:val="none"/>
          <w:lang w:val="en-US" w:eastAsia="zh-CN"/>
        </w:rPr>
        <w:t>。</w:t>
      </w:r>
    </w:p>
    <w:p w14:paraId="3338851D">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en-US" w:eastAsia="zh-CN"/>
        </w:rPr>
        <w:t>2</w:t>
      </w:r>
      <w:r>
        <w:rPr>
          <w:rFonts w:hint="eastAsia" w:ascii="Times New Roman" w:hAnsi="Times New Roman" w:eastAsia="仿宋_GB2312" w:cs="Times New Roman"/>
          <w:caps/>
          <w:smallCaps w:val="0"/>
          <w:sz w:val="32"/>
          <w:highlight w:val="none"/>
          <w:lang w:val="en-US" w:eastAsia="zh-CN"/>
        </w:rPr>
        <w:t>）目标偏离</w:t>
      </w:r>
    </w:p>
    <w:p w14:paraId="6002717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2024年我部门部门预算项目（含</w:t>
      </w:r>
      <w:r>
        <w:rPr>
          <w:rFonts w:hint="default" w:ascii="Times New Roman" w:hAnsi="Times New Roman" w:eastAsia="仿宋_GB2312" w:cs="Times New Roman"/>
          <w:caps/>
          <w:smallCaps w:val="0"/>
          <w:sz w:val="32"/>
          <w:highlight w:val="none"/>
          <w:lang w:val="en-US" w:eastAsia="zh-CN"/>
        </w:rPr>
        <w:t>常年项目</w:t>
      </w:r>
      <w:r>
        <w:rPr>
          <w:rFonts w:hint="eastAsia" w:ascii="Times New Roman" w:hAnsi="Times New Roman" w:eastAsia="仿宋_GB2312" w:cs="Times New Roman"/>
          <w:caps/>
          <w:smallCaps w:val="0"/>
          <w:sz w:val="32"/>
          <w:highlight w:val="none"/>
          <w:lang w:val="en-US" w:eastAsia="zh-CN"/>
        </w:rPr>
        <w:t>和阶段项目及一次性项目）共有10个，各项目数量指标的完成值与设定预期指标值的偏离度在</w:t>
      </w:r>
      <w:r>
        <w:rPr>
          <w:rFonts w:hint="default" w:ascii="Times New Roman" w:hAnsi="Times New Roman" w:eastAsia="仿宋_GB2312" w:cs="Times New Roman"/>
          <w:caps/>
          <w:smallCaps w:val="0"/>
          <w:sz w:val="32"/>
          <w:highlight w:val="none"/>
          <w:lang w:val="en-US" w:eastAsia="zh-CN"/>
        </w:rPr>
        <w:t>30</w:t>
      </w:r>
      <w:r>
        <w:rPr>
          <w:rFonts w:hint="eastAsia" w:ascii="Times New Roman" w:hAnsi="Times New Roman" w:eastAsia="仿宋_GB2312" w:cs="Times New Roman"/>
          <w:caps/>
          <w:smallCaps w:val="0"/>
          <w:sz w:val="32"/>
          <w:highlight w:val="none"/>
          <w:lang w:val="en-US" w:eastAsia="zh-CN"/>
        </w:rPr>
        <w:t>%以内的个数为8个。</w:t>
      </w:r>
    </w:p>
    <w:p w14:paraId="26DF1D26">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default" w:ascii="Times New Roman" w:hAnsi="Times New Roman" w:eastAsia="仿宋_GB2312" w:cs="Times New Roman"/>
          <w:caps/>
          <w:smallCaps w:val="0"/>
          <w:sz w:val="32"/>
          <w:highlight w:val="none"/>
          <w:lang w:val="en-US" w:eastAsia="zh-CN"/>
        </w:rPr>
        <w:t>根据评分标准，该项指标不扣分，得4分</w:t>
      </w:r>
      <w:r>
        <w:rPr>
          <w:rFonts w:hint="eastAsia" w:ascii="Times New Roman" w:hAnsi="Times New Roman" w:eastAsia="仿宋_GB2312" w:cs="Times New Roman"/>
          <w:caps/>
          <w:smallCaps w:val="0"/>
          <w:sz w:val="32"/>
          <w:highlight w:val="none"/>
          <w:lang w:val="en-US" w:eastAsia="zh-CN"/>
        </w:rPr>
        <w:t>。</w:t>
      </w:r>
    </w:p>
    <w:p w14:paraId="645582A8">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outlineLvl w:val="9"/>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en-US" w:eastAsia="zh-CN"/>
        </w:rPr>
        <w:t>3</w:t>
      </w:r>
      <w:r>
        <w:rPr>
          <w:rFonts w:hint="eastAsia" w:ascii="Times New Roman" w:hAnsi="Times New Roman" w:eastAsia="仿宋_GB2312" w:cs="Times New Roman"/>
          <w:caps/>
          <w:smallCaps w:val="0"/>
          <w:sz w:val="32"/>
          <w:highlight w:val="none"/>
          <w:lang w:val="en-US" w:eastAsia="zh-CN"/>
        </w:rPr>
        <w:t>）实现效果</w:t>
      </w:r>
    </w:p>
    <w:p w14:paraId="5F5CF76A">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2024年我部门需进行绩效目标管理的部门预算阶段项目共有9个，预期效益指标均已完成的项目个数为3个。</w:t>
      </w:r>
    </w:p>
    <w:p w14:paraId="593805C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zh-CN" w:eastAsia="zh-CN"/>
        </w:rPr>
      </w:pPr>
      <w:r>
        <w:rPr>
          <w:rFonts w:hint="default" w:ascii="Times New Roman" w:hAnsi="Times New Roman" w:eastAsia="仿宋_GB2312" w:cs="Times New Roman"/>
          <w:caps/>
          <w:smallCaps w:val="0"/>
          <w:sz w:val="32"/>
          <w:highlight w:val="none"/>
          <w:lang w:val="en-US" w:eastAsia="zh-CN"/>
        </w:rPr>
        <w:t>根据评分标准，该项指标扣2分，得1分</w:t>
      </w:r>
      <w:r>
        <w:rPr>
          <w:rFonts w:hint="eastAsia" w:ascii="Times New Roman" w:hAnsi="Times New Roman" w:eastAsia="仿宋_GB2312" w:cs="Times New Roman"/>
          <w:caps/>
          <w:smallCaps w:val="0"/>
          <w:sz w:val="32"/>
          <w:highlight w:val="none"/>
          <w:lang w:val="en-US" w:eastAsia="zh-CN"/>
        </w:rPr>
        <w:t>。</w:t>
      </w:r>
    </w:p>
    <w:p w14:paraId="546D4E55">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bCs/>
          <w:color w:val="000000"/>
          <w:kern w:val="0"/>
          <w:sz w:val="32"/>
          <w:szCs w:val="32"/>
          <w:highlight w:val="none"/>
          <w:shd w:val="clear" w:color="auto" w:fill="FFFFFF"/>
          <w:lang w:val="zh-CN" w:eastAsia="zh-CN"/>
        </w:rPr>
        <w:t>重点领域</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p>
    <w:p w14:paraId="396DDC08">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en-US" w:eastAsia="zh-CN"/>
        </w:rPr>
        <w:t>行政事业性国有资产绩效分析。</w:t>
      </w:r>
    </w:p>
    <w:p w14:paraId="6FE7B656">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2024年度，我部门无资产配置预算，但严格按照相关文件要求，做好国有资产的清理盘点、统计报告及日常监督检查工作，2024年度国有资产基础管理、日常管理、效率管理等方面整体效益较好，有效保障了国有资产安全，提高了国有资产利用率</w:t>
      </w:r>
      <w:r>
        <w:rPr>
          <w:rFonts w:hint="default" w:ascii="Times New Roman" w:hAnsi="Times New Roman" w:eastAsia="仿宋_GB2312" w:cs="Times New Roman"/>
          <w:caps/>
          <w:smallCaps w:val="0"/>
          <w:sz w:val="32"/>
          <w:highlight w:val="none"/>
          <w:lang w:val="en-US" w:eastAsia="zh-CN"/>
        </w:rPr>
        <w:t>。</w:t>
      </w:r>
    </w:p>
    <w:p w14:paraId="4073FBE8">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（四）绩效结果应用情况。</w:t>
      </w:r>
    </w:p>
    <w:p w14:paraId="090AC7D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我部门</w:t>
      </w:r>
      <w:r>
        <w:rPr>
          <w:rFonts w:hint="eastAsia" w:ascii="Times New Roman" w:hAnsi="Times New Roman" w:eastAsia="仿宋_GB2312" w:cs="Times New Roman"/>
          <w:caps/>
          <w:smallCaps w:val="0"/>
          <w:sz w:val="32"/>
          <w:highlight w:val="none"/>
          <w:lang w:val="zh-CN" w:eastAsia="zh-CN"/>
        </w:rPr>
        <w:t>为进一步提高行政事业单位内部管理水平和风险防范能力，规范内部控制，加强廉政风险防控机制建设，我部门在对预算、收支、政府采购、资产、建设项目、合同等各类经济业务活动流程梳理的基础上，明确业务环节，系统分析经济活动风险，确定风险点，选择应对策略，形成了内部控制制度</w:t>
      </w:r>
      <w:r>
        <w:rPr>
          <w:rFonts w:hint="eastAsia" w:ascii="Times New Roman" w:hAnsi="Times New Roman" w:eastAsia="仿宋_GB2312" w:cs="Times New Roman"/>
          <w:caps/>
          <w:smallCaps w:val="0"/>
          <w:sz w:val="32"/>
          <w:highlight w:val="none"/>
          <w:lang w:val="en-US" w:eastAsia="zh-CN"/>
        </w:rPr>
        <w:t>手册</w:t>
      </w:r>
      <w:r>
        <w:rPr>
          <w:rFonts w:hint="eastAsia" w:ascii="Times New Roman" w:hAnsi="Times New Roman" w:eastAsia="仿宋_GB2312" w:cs="Times New Roman"/>
          <w:caps/>
          <w:smallCaps w:val="0"/>
          <w:sz w:val="32"/>
          <w:highlight w:val="none"/>
          <w:lang w:val="zh-CN" w:eastAsia="zh-CN"/>
        </w:rPr>
        <w:t>，我部门严格按照内控制度进行预算绩效管理，并按照相关要求将绩效信息随同</w:t>
      </w:r>
      <w:r>
        <w:rPr>
          <w:rFonts w:hint="eastAsia" w:ascii="Times New Roman" w:hAnsi="Times New Roman" w:eastAsia="仿宋_GB2312" w:cs="Times New Roman"/>
          <w:caps/>
          <w:smallCaps w:val="0"/>
          <w:sz w:val="32"/>
          <w:highlight w:val="none"/>
          <w:lang w:val="en-US" w:eastAsia="zh-CN"/>
        </w:rPr>
        <w:t>预</w:t>
      </w:r>
      <w:r>
        <w:rPr>
          <w:rFonts w:hint="eastAsia" w:ascii="Times New Roman" w:hAnsi="Times New Roman" w:eastAsia="仿宋_GB2312" w:cs="Times New Roman"/>
          <w:caps/>
          <w:smallCaps w:val="0"/>
          <w:sz w:val="32"/>
          <w:highlight w:val="none"/>
          <w:lang w:val="zh-CN" w:eastAsia="zh-CN"/>
        </w:rPr>
        <w:t>决算公开。</w:t>
      </w:r>
    </w:p>
    <w:p w14:paraId="271BDC1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评价结论及建议</w:t>
      </w:r>
    </w:p>
    <w:p w14:paraId="60E1EEF1">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14:paraId="7D9DBB1A">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我部门针对</w:t>
      </w:r>
      <w:r>
        <w:rPr>
          <w:rFonts w:hint="default" w:ascii="Times New Roman" w:hAnsi="Times New Roman" w:eastAsia="仿宋_GB2312" w:cs="Times New Roman"/>
          <w:caps/>
          <w:smallCaps w:val="0"/>
          <w:sz w:val="32"/>
          <w:highlight w:val="none"/>
          <w:lang w:val="en-US" w:eastAsia="zh-CN"/>
        </w:rPr>
        <w:t>本次财政预算绩效自评工作，严格按照《预算绩效评价共性指标体系框架》及相关财务管理规定，</w:t>
      </w:r>
      <w:r>
        <w:rPr>
          <w:rFonts w:hint="eastAsia" w:ascii="Times New Roman" w:hAnsi="Times New Roman" w:eastAsia="仿宋_GB2312" w:cs="Times New Roman"/>
          <w:caps/>
          <w:smallCaps w:val="0"/>
          <w:sz w:val="32"/>
          <w:highlight w:val="none"/>
          <w:lang w:val="en-US" w:eastAsia="zh-CN"/>
        </w:rPr>
        <w:t>结合我部门2024年度工作开展情况及履职情况，</w:t>
      </w:r>
      <w:r>
        <w:rPr>
          <w:rFonts w:hint="default" w:ascii="Times New Roman" w:hAnsi="Times New Roman" w:eastAsia="仿宋_GB2312" w:cs="Times New Roman"/>
          <w:caps/>
          <w:smallCaps w:val="0"/>
          <w:sz w:val="32"/>
          <w:highlight w:val="none"/>
          <w:lang w:val="en-US" w:eastAsia="zh-CN"/>
        </w:rPr>
        <w:t>对</w:t>
      </w:r>
      <w:r>
        <w:rPr>
          <w:rFonts w:hint="eastAsia" w:ascii="Times New Roman" w:hAnsi="Times New Roman" w:eastAsia="仿宋_GB2312" w:cs="Times New Roman"/>
          <w:caps/>
          <w:smallCaps w:val="0"/>
          <w:sz w:val="32"/>
          <w:highlight w:val="none"/>
          <w:lang w:val="en-US" w:eastAsia="zh-CN"/>
        </w:rPr>
        <w:t>2024年度部门</w:t>
      </w:r>
      <w:r>
        <w:rPr>
          <w:rFonts w:hint="default" w:ascii="Times New Roman" w:hAnsi="Times New Roman" w:eastAsia="仿宋_GB2312" w:cs="Times New Roman"/>
          <w:caps/>
          <w:smallCaps w:val="0"/>
          <w:sz w:val="32"/>
          <w:highlight w:val="none"/>
          <w:lang w:val="en-US" w:eastAsia="zh-CN"/>
        </w:rPr>
        <w:t>预算资金的使用情况进行了全面、深入的分析和评价。经过自评，我们得出以下结论</w:t>
      </w:r>
      <w:r>
        <w:rPr>
          <w:rFonts w:hint="eastAsia" w:ascii="Times New Roman" w:hAnsi="Times New Roman" w:eastAsia="仿宋_GB2312" w:cs="Times New Roman"/>
          <w:caps/>
          <w:smallCaps w:val="0"/>
          <w:sz w:val="32"/>
          <w:highlight w:val="none"/>
          <w:lang w:val="en-US" w:eastAsia="zh-CN"/>
        </w:rPr>
        <w:t>：2024年度，我部门切实履行了部门职责，部门预算管理、财务管理、资产管理和采购管理等规范有序，较好地完成了各项年度任务，部门预算支出使用效益达到预期，但我部门在年度预算项目绩效指标编制方面，其个别指标设置质量相对不高，按照部门预算绩效评价指标体系中指标评分标准要求，2024年我部门部门预算绩效评价综合得分85.26分。</w:t>
      </w:r>
    </w:p>
    <w:p w14:paraId="2AB1ECE2">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14:paraId="0D8B7B72">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eastAsia" w:ascii="Times New Roman" w:hAnsi="Times New Roman" w:eastAsia="仿宋_GB2312" w:cs="Times New Roman"/>
          <w:caps/>
          <w:smallCaps w:val="0"/>
          <w:sz w:val="32"/>
          <w:highlight w:val="none"/>
          <w:lang w:val="en-US" w:eastAsia="zh-CN"/>
        </w:rPr>
        <w:t>资产管理能力</w:t>
      </w:r>
      <w:r>
        <w:rPr>
          <w:rFonts w:hint="default" w:ascii="Times New Roman" w:hAnsi="Times New Roman" w:eastAsia="仿宋_GB2312" w:cs="Times New Roman"/>
          <w:caps/>
          <w:smallCaps w:val="0"/>
          <w:sz w:val="32"/>
          <w:highlight w:val="none"/>
          <w:lang w:val="en-US" w:eastAsia="zh-CN"/>
        </w:rPr>
        <w:t>有待进一步提高。2024年，</w:t>
      </w:r>
      <w:r>
        <w:rPr>
          <w:rFonts w:hint="eastAsia" w:ascii="Times New Roman" w:hAnsi="Times New Roman" w:eastAsia="仿宋_GB2312" w:cs="Times New Roman"/>
          <w:caps/>
          <w:smallCaps w:val="0"/>
          <w:sz w:val="32"/>
          <w:highlight w:val="none"/>
          <w:lang w:val="en-US" w:eastAsia="zh-CN"/>
        </w:rPr>
        <w:t>我部门存在部分资产信息空白的情况，</w:t>
      </w:r>
      <w:r>
        <w:rPr>
          <w:rFonts w:hint="default" w:ascii="Times New Roman" w:hAnsi="Times New Roman" w:eastAsia="仿宋_GB2312" w:cs="Times New Roman"/>
          <w:caps/>
          <w:smallCaps w:val="0"/>
          <w:sz w:val="32"/>
          <w:highlight w:val="none"/>
          <w:lang w:val="en-US" w:eastAsia="zh-CN"/>
        </w:rPr>
        <w:t>主要原因系</w:t>
      </w:r>
      <w:r>
        <w:rPr>
          <w:rFonts w:hint="eastAsia" w:ascii="Times New Roman" w:hAnsi="Times New Roman" w:eastAsia="仿宋_GB2312" w:cs="Times New Roman"/>
          <w:caps/>
          <w:smallCaps w:val="0"/>
          <w:sz w:val="32"/>
          <w:highlight w:val="none"/>
          <w:lang w:val="en-US" w:eastAsia="zh-CN"/>
        </w:rPr>
        <w:t>资产管理任务</w:t>
      </w:r>
      <w:r>
        <w:rPr>
          <w:rFonts w:hint="default" w:ascii="Times New Roman" w:hAnsi="Times New Roman" w:eastAsia="仿宋_GB2312" w:cs="Times New Roman"/>
          <w:caps/>
          <w:smallCaps w:val="0"/>
          <w:sz w:val="32"/>
          <w:highlight w:val="none"/>
          <w:lang w:val="en-US" w:eastAsia="zh-CN"/>
        </w:rPr>
        <w:t>不够细</w:t>
      </w:r>
      <w:r>
        <w:rPr>
          <w:rFonts w:hint="eastAsia" w:ascii="Times New Roman" w:hAnsi="Times New Roman" w:eastAsia="仿宋_GB2312" w:cs="Times New Roman"/>
          <w:caps/>
          <w:smallCaps w:val="0"/>
          <w:sz w:val="32"/>
          <w:highlight w:val="none"/>
          <w:lang w:val="en-US" w:eastAsia="zh-CN"/>
        </w:rPr>
        <w:t>化</w:t>
      </w:r>
      <w:r>
        <w:rPr>
          <w:rFonts w:hint="default" w:ascii="Times New Roman" w:hAnsi="Times New Roman" w:eastAsia="仿宋_GB2312" w:cs="Times New Roman"/>
          <w:caps/>
          <w:smallCaps w:val="0"/>
          <w:sz w:val="32"/>
          <w:highlight w:val="none"/>
          <w:lang w:val="en-US" w:eastAsia="zh-CN"/>
        </w:rPr>
        <w:t>，</w:t>
      </w:r>
      <w:r>
        <w:rPr>
          <w:rFonts w:hint="eastAsia" w:ascii="Times New Roman" w:hAnsi="Times New Roman" w:eastAsia="仿宋_GB2312" w:cs="Times New Roman"/>
          <w:caps/>
          <w:smallCaps w:val="0"/>
          <w:sz w:val="32"/>
          <w:highlight w:val="none"/>
          <w:lang w:val="en-US" w:eastAsia="zh-CN"/>
        </w:rPr>
        <w:t>资产总额及数量较多，资产管理能力较弱</w:t>
      </w:r>
      <w:r>
        <w:rPr>
          <w:rFonts w:hint="default" w:ascii="Times New Roman" w:hAnsi="Times New Roman" w:eastAsia="仿宋_GB2312" w:cs="Times New Roman"/>
          <w:caps/>
          <w:smallCaps w:val="0"/>
          <w:sz w:val="32"/>
          <w:highlight w:val="none"/>
          <w:lang w:val="en-US" w:eastAsia="zh-CN"/>
        </w:rPr>
        <w:t>。</w:t>
      </w:r>
    </w:p>
    <w:p w14:paraId="5459BE57">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eastAsia="zh-CN"/>
        </w:rPr>
      </w:pPr>
      <w:bookmarkStart w:id="69" w:name="_Hlk110546638"/>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p>
    <w:p w14:paraId="049C870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aps/>
          <w:smallCaps w:val="0"/>
          <w:sz w:val="32"/>
          <w:highlight w:val="none"/>
          <w:lang w:val="en-US" w:eastAsia="zh-CN"/>
        </w:rPr>
      </w:pPr>
      <w:r>
        <w:rPr>
          <w:rFonts w:hint="eastAsia" w:eastAsia="仿宋_GB2312" w:cs="Times New Roman"/>
          <w:caps/>
          <w:smallCaps w:val="0"/>
          <w:sz w:val="32"/>
          <w:highlight w:val="none"/>
          <w:lang w:val="en-US" w:eastAsia="zh-CN"/>
        </w:rPr>
        <w:t>建议</w:t>
      </w:r>
      <w:r>
        <w:rPr>
          <w:rFonts w:hint="default" w:ascii="Times New Roman" w:hAnsi="Times New Roman" w:eastAsia="仿宋_GB2312" w:cs="Times New Roman"/>
          <w:caps/>
          <w:smallCaps w:val="0"/>
          <w:sz w:val="32"/>
          <w:highlight w:val="none"/>
          <w:lang w:val="en-US" w:eastAsia="zh-CN"/>
        </w:rPr>
        <w:t>考虑全年可能出现的</w:t>
      </w:r>
      <w:r>
        <w:rPr>
          <w:rFonts w:hint="eastAsia" w:eastAsia="仿宋_GB2312" w:cs="Times New Roman"/>
          <w:caps/>
          <w:smallCaps w:val="0"/>
          <w:sz w:val="32"/>
          <w:highlight w:val="none"/>
          <w:lang w:val="en-US" w:eastAsia="zh-CN"/>
        </w:rPr>
        <w:t>资产变化</w:t>
      </w:r>
      <w:r>
        <w:rPr>
          <w:rFonts w:hint="default" w:ascii="Times New Roman" w:hAnsi="Times New Roman" w:eastAsia="仿宋_GB2312" w:cs="Times New Roman"/>
          <w:caps/>
          <w:smallCaps w:val="0"/>
          <w:sz w:val="32"/>
          <w:highlight w:val="none"/>
          <w:lang w:val="en-US" w:eastAsia="zh-CN"/>
        </w:rPr>
        <w:t>需求，合理</w:t>
      </w:r>
      <w:r>
        <w:rPr>
          <w:rFonts w:hint="eastAsia" w:eastAsia="仿宋_GB2312" w:cs="Times New Roman"/>
          <w:caps/>
          <w:smallCaps w:val="0"/>
          <w:sz w:val="32"/>
          <w:highlight w:val="none"/>
          <w:lang w:val="en-US" w:eastAsia="zh-CN"/>
        </w:rPr>
        <w:t>安排资产管理人员</w:t>
      </w:r>
      <w:r>
        <w:rPr>
          <w:rFonts w:hint="default" w:ascii="Times New Roman" w:hAnsi="Times New Roman" w:eastAsia="仿宋_GB2312" w:cs="Times New Roman"/>
          <w:caps/>
          <w:smallCaps w:val="0"/>
          <w:sz w:val="32"/>
          <w:highlight w:val="none"/>
          <w:lang w:val="en-US" w:eastAsia="zh-CN"/>
        </w:rPr>
        <w:t>，</w:t>
      </w:r>
      <w:r>
        <w:rPr>
          <w:rFonts w:hint="eastAsia" w:eastAsia="仿宋_GB2312" w:cs="Times New Roman"/>
          <w:caps/>
          <w:smallCaps w:val="0"/>
          <w:sz w:val="32"/>
          <w:highlight w:val="none"/>
          <w:lang w:val="en-US" w:eastAsia="zh-CN"/>
        </w:rPr>
        <w:t>加强资产管理手段，同时严格按照内控制度中的内部控制规范建设制度运行，</w:t>
      </w:r>
      <w:r>
        <w:rPr>
          <w:rFonts w:hint="default" w:ascii="Times New Roman" w:hAnsi="Times New Roman" w:eastAsia="仿宋_GB2312" w:cs="Times New Roman"/>
          <w:caps/>
          <w:smallCaps w:val="0"/>
          <w:sz w:val="32"/>
          <w:highlight w:val="none"/>
          <w:lang w:val="en-US" w:eastAsia="zh-CN"/>
        </w:rPr>
        <w:t>遵循安全规范、节约高效、公开透明、权责一致的原则，实现实物管理与价值管理相统一，资产管理与预算管理、财务管理相结合</w:t>
      </w:r>
      <w:r>
        <w:rPr>
          <w:rFonts w:hint="eastAsia" w:eastAsia="仿宋_GB2312" w:cs="Times New Roman"/>
          <w:caps/>
          <w:smallCaps w:val="0"/>
          <w:sz w:val="32"/>
          <w:highlight w:val="none"/>
          <w:lang w:val="en-US" w:eastAsia="zh-CN"/>
        </w:rPr>
        <w:t>，</w:t>
      </w:r>
      <w:r>
        <w:rPr>
          <w:rFonts w:hint="default" w:ascii="Times New Roman" w:hAnsi="Times New Roman" w:eastAsia="仿宋_GB2312" w:cs="Times New Roman"/>
          <w:caps/>
          <w:smallCaps w:val="0"/>
          <w:sz w:val="32"/>
          <w:highlight w:val="none"/>
          <w:lang w:val="en-US" w:eastAsia="zh-CN"/>
        </w:rPr>
        <w:t>提升</w:t>
      </w:r>
      <w:r>
        <w:rPr>
          <w:rFonts w:hint="eastAsia" w:eastAsia="仿宋_GB2312" w:cs="Times New Roman"/>
          <w:caps/>
          <w:smallCaps w:val="0"/>
          <w:sz w:val="32"/>
          <w:highlight w:val="none"/>
          <w:lang w:val="en-US" w:eastAsia="zh-CN"/>
        </w:rPr>
        <w:t>资产</w:t>
      </w:r>
      <w:r>
        <w:rPr>
          <w:rFonts w:hint="default" w:ascii="Times New Roman" w:hAnsi="Times New Roman" w:eastAsia="仿宋_GB2312" w:cs="Times New Roman"/>
          <w:caps/>
          <w:smallCaps w:val="0"/>
          <w:sz w:val="32"/>
          <w:highlight w:val="none"/>
          <w:lang w:val="en-US" w:eastAsia="zh-CN"/>
        </w:rPr>
        <w:t>管理水平。</w:t>
      </w:r>
    </w:p>
    <w:bookmarkEnd w:id="69"/>
    <w:p w14:paraId="09C93230">
      <w:pPr>
        <w:keepNext w:val="0"/>
        <w:keepLines w:val="0"/>
        <w:pageBreakBefore w:val="0"/>
        <w:kinsoku/>
        <w:wordWrap/>
        <w:overflowPunct/>
        <w:topLinePunct w:val="0"/>
        <w:autoSpaceDE/>
        <w:autoSpaceDN/>
        <w:bidi w:val="0"/>
        <w:spacing w:line="578" w:lineRule="exact"/>
        <w:ind w:firstLine="420" w:firstLineChars="200"/>
        <w:textAlignment w:val="auto"/>
        <w:rPr>
          <w:rFonts w:hint="default" w:ascii="Times New Roman" w:hAnsi="Times New Roman" w:cs="Times New Roman"/>
          <w:color w:val="000000"/>
          <w:kern w:val="0"/>
          <w:szCs w:val="32"/>
          <w:highlight w:val="none"/>
          <w:shd w:val="clear" w:color="auto" w:fill="FFFFFF"/>
          <w:lang w:val="en-US" w:eastAsia="zh-CN"/>
        </w:rPr>
      </w:pPr>
    </w:p>
    <w:p w14:paraId="66A0D9E2">
      <w:pPr>
        <w:keepNext w:val="0"/>
        <w:keepLines w:val="0"/>
        <w:pageBreakBefore w:val="0"/>
        <w:kinsoku/>
        <w:wordWrap/>
        <w:overflowPunct/>
        <w:topLinePunct w:val="0"/>
        <w:autoSpaceDE/>
        <w:autoSpaceDN/>
        <w:bidi w:val="0"/>
        <w:spacing w:line="578" w:lineRule="exact"/>
        <w:ind w:firstLine="420" w:firstLineChars="200"/>
        <w:textAlignment w:val="auto"/>
        <w:rPr>
          <w:rFonts w:hint="eastAsia" w:ascii="Times New Roman" w:hAnsi="Times New Roman" w:eastAsia="宋体"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w:t>
      </w:r>
      <w:r>
        <w:rPr>
          <w:rFonts w:hint="eastAsia" w:ascii="Times New Roman" w:hAnsi="Times New Roman" w:eastAsia="宋体" w:cs="Times New Roman"/>
          <w:color w:val="000000"/>
          <w:kern w:val="0"/>
          <w:szCs w:val="32"/>
          <w:highlight w:val="none"/>
          <w:shd w:val="clear" w:color="auto" w:fill="FFFFFF"/>
          <w:lang w:val="en-US" w:eastAsia="zh-CN"/>
        </w:rPr>
        <w:t>1.部门预算绩效自评打分表</w:t>
      </w:r>
    </w:p>
    <w:p w14:paraId="64419060">
      <w:pPr>
        <w:keepNext w:val="0"/>
        <w:keepLines w:val="0"/>
        <w:pageBreakBefore w:val="0"/>
        <w:kinsoku/>
        <w:wordWrap/>
        <w:overflowPunct/>
        <w:topLinePunct w:val="0"/>
        <w:autoSpaceDE/>
        <w:autoSpaceDN/>
        <w:bidi w:val="0"/>
        <w:spacing w:line="578" w:lineRule="exact"/>
        <w:ind w:firstLine="1050" w:firstLineChars="500"/>
        <w:textAlignment w:val="auto"/>
        <w:rPr>
          <w:rFonts w:hint="default" w:ascii="Times New Roman" w:hAnsi="Times New Roman" w:eastAsia="宋体" w:cs="Times New Roman"/>
          <w:color w:val="000000"/>
          <w:kern w:val="0"/>
          <w:szCs w:val="32"/>
          <w:highlight w:val="none"/>
          <w:shd w:val="clear" w:color="auto" w:fill="FFFFFF"/>
          <w:lang w:val="en-US" w:eastAsia="zh-CN"/>
        </w:rPr>
      </w:pPr>
      <w:r>
        <w:rPr>
          <w:rFonts w:hint="eastAsia" w:ascii="Times New Roman" w:hAnsi="Times New Roman" w:eastAsia="宋体" w:cs="Times New Roman"/>
          <w:color w:val="000000"/>
          <w:kern w:val="0"/>
          <w:szCs w:val="32"/>
          <w:highlight w:val="none"/>
          <w:shd w:val="clear" w:color="auto" w:fill="FFFFFF"/>
          <w:lang w:val="en-US" w:eastAsia="zh-CN"/>
        </w:rPr>
        <w:t>2.</w:t>
      </w:r>
      <w:r>
        <w:rPr>
          <w:rFonts w:hint="default" w:ascii="Times New Roman" w:hAnsi="Times New Roman" w:eastAsia="宋体" w:cs="Times New Roman"/>
          <w:color w:val="000000"/>
          <w:kern w:val="0"/>
          <w:szCs w:val="32"/>
          <w:highlight w:val="none"/>
          <w:shd w:val="clear" w:color="auto" w:fill="FFFFFF"/>
          <w:lang w:val="en-US" w:eastAsia="zh-CN"/>
        </w:rPr>
        <w:t>部门整体绩效目标完成情况自评表</w:t>
      </w:r>
    </w:p>
    <w:p w14:paraId="6189B175">
      <w:pPr>
        <w:keepNext w:val="0"/>
        <w:keepLines w:val="0"/>
        <w:pageBreakBefore w:val="0"/>
        <w:kinsoku/>
        <w:wordWrap/>
        <w:overflowPunct/>
        <w:topLinePunct w:val="0"/>
        <w:autoSpaceDE/>
        <w:autoSpaceDN/>
        <w:bidi w:val="0"/>
        <w:spacing w:line="578" w:lineRule="exact"/>
        <w:ind w:firstLine="1050" w:firstLineChars="500"/>
        <w:textAlignment w:val="auto"/>
        <w:rPr>
          <w:rFonts w:hint="default" w:ascii="Times New Roman" w:hAnsi="Times New Roman" w:eastAsia="仿宋_GB2312" w:cs="Times New Roman"/>
          <w:strike w:val="0"/>
          <w:sz w:val="32"/>
          <w:szCs w:val="32"/>
          <w:u w:val="none"/>
          <w:lang w:eastAsia="zh-CN" w:bidi="ar"/>
        </w:rPr>
      </w:pPr>
      <w:r>
        <w:rPr>
          <w:rFonts w:hint="eastAsia" w:ascii="Times New Roman" w:hAnsi="Times New Roman" w:eastAsia="宋体" w:cs="Times New Roman"/>
          <w:color w:val="000000"/>
          <w:kern w:val="0"/>
          <w:szCs w:val="32"/>
          <w:highlight w:val="none"/>
          <w:shd w:val="clear" w:color="auto" w:fill="FFFFFF"/>
          <w:lang w:val="en-US" w:eastAsia="zh-CN"/>
        </w:rPr>
        <w:t>3.</w:t>
      </w:r>
      <w:r>
        <w:rPr>
          <w:rFonts w:hint="default" w:ascii="Times New Roman" w:hAnsi="Times New Roman" w:eastAsia="宋体" w:cs="Times New Roman"/>
          <w:color w:val="000000"/>
          <w:kern w:val="0"/>
          <w:szCs w:val="32"/>
          <w:highlight w:val="none"/>
          <w:shd w:val="clear" w:color="auto" w:fill="FFFFFF"/>
          <w:lang w:val="en-US" w:eastAsia="zh-CN"/>
        </w:rPr>
        <w:t>部门预算项目支出绩效评价表（2024年度）</w:t>
      </w:r>
    </w:p>
    <w:p w14:paraId="7E37EA78">
      <w:pPr>
        <w:rPr>
          <w:rFonts w:hint="default" w:ascii="Times New Roman" w:hAnsi="Times New Roman" w:eastAsia="仿宋_GB2312" w:cs="Times New Roman"/>
          <w:strike w:val="0"/>
          <w:sz w:val="32"/>
          <w:szCs w:val="32"/>
          <w:u w:val="none"/>
          <w:lang w:eastAsia="zh-CN" w:bidi="ar"/>
        </w:rPr>
      </w:pPr>
      <w:r>
        <w:rPr>
          <w:rFonts w:hint="default" w:ascii="Times New Roman" w:hAnsi="Times New Roman" w:eastAsia="仿宋_GB2312" w:cs="Times New Roman"/>
          <w:strike w:val="0"/>
          <w:sz w:val="32"/>
          <w:szCs w:val="32"/>
          <w:u w:val="none"/>
          <w:lang w:eastAsia="zh-CN" w:bidi="ar"/>
        </w:rPr>
        <w:br w:type="page"/>
      </w:r>
    </w:p>
    <w:p w14:paraId="5D69996D">
      <w:pPr>
        <w:keepNext w:val="0"/>
        <w:keepLines w:val="0"/>
        <w:pageBreakBefore w:val="0"/>
        <w:kinsoku/>
        <w:wordWrap/>
        <w:overflowPunct/>
        <w:topLinePunct w:val="0"/>
        <w:autoSpaceDE/>
        <w:autoSpaceDN/>
        <w:bidi w:val="0"/>
        <w:spacing w:line="578" w:lineRule="exact"/>
        <w:ind w:left="0" w:leftChars="0" w:firstLine="0" w:firstLineChars="0"/>
        <w:textAlignment w:val="auto"/>
        <w:outlineLvl w:val="9"/>
        <w:rPr>
          <w:rFonts w:hint="default" w:ascii="Times New Roman" w:hAnsi="Times New Roman" w:eastAsia="仿宋_GB2312" w:cs="Times New Roman"/>
          <w:color w:val="auto"/>
          <w:kern w:val="2"/>
          <w:sz w:val="32"/>
          <w:szCs w:val="24"/>
          <w:highlight w:val="none"/>
          <w:lang w:val="en-US" w:eastAsia="zh-CN" w:bidi="ar-SA"/>
        </w:rPr>
      </w:pPr>
      <w:r>
        <w:rPr>
          <w:rFonts w:hint="eastAsia" w:ascii="黑体" w:hAnsi="黑体" w:eastAsia="黑体" w:cs="黑体"/>
          <w:color w:val="auto"/>
          <w:kern w:val="2"/>
          <w:sz w:val="32"/>
          <w:szCs w:val="24"/>
          <w:highlight w:val="none"/>
          <w:lang w:val="en-US" w:eastAsia="zh-CN" w:bidi="ar-SA"/>
        </w:rPr>
        <w:t>附表</w:t>
      </w:r>
    </w:p>
    <w:tbl>
      <w:tblPr>
        <w:tblStyle w:val="17"/>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678"/>
        <w:gridCol w:w="1140"/>
        <w:gridCol w:w="990"/>
        <w:gridCol w:w="1020"/>
        <w:gridCol w:w="690"/>
        <w:gridCol w:w="1113"/>
      </w:tblGrid>
      <w:tr w14:paraId="66FFB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9"/>
            <w:shd w:val="clear" w:color="auto" w:fill="auto"/>
            <w:vAlign w:val="center"/>
          </w:tcPr>
          <w:p w14:paraId="7B1E603B">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auto"/>
                <w:sz w:val="28"/>
                <w:szCs w:val="28"/>
                <w:u w:val="none"/>
              </w:rPr>
            </w:pPr>
            <w:r>
              <w:rPr>
                <w:rFonts w:hint="default" w:ascii="Times New Roman" w:hAnsi="Times New Roman" w:eastAsia="方正小标宋简体" w:cs="Times New Roman"/>
                <w:i w:val="0"/>
                <w:color w:val="auto"/>
                <w:kern w:val="0"/>
                <w:sz w:val="44"/>
                <w:szCs w:val="44"/>
                <w:u w:val="none"/>
                <w:lang w:val="en-US" w:eastAsia="zh-CN" w:bidi="ar"/>
              </w:rPr>
              <w:t>部门整体支出绩效目标完成情况自评表</w:t>
            </w:r>
          </w:p>
        </w:tc>
      </w:tr>
      <w:tr w14:paraId="6092B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9"/>
            <w:shd w:val="clear" w:color="auto" w:fill="auto"/>
            <w:vAlign w:val="center"/>
          </w:tcPr>
          <w:p w14:paraId="7FC27E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sz w:val="28"/>
                <w:szCs w:val="28"/>
                <w:u w:val="none"/>
              </w:rPr>
            </w:pPr>
            <w:r>
              <w:rPr>
                <w:rFonts w:hint="default" w:ascii="Times New Roman" w:hAnsi="Times New Roman" w:eastAsia="宋体" w:cs="Times New Roman"/>
                <w:i w:val="0"/>
                <w:color w:val="auto"/>
                <w:kern w:val="0"/>
                <w:sz w:val="28"/>
                <w:szCs w:val="28"/>
                <w:u w:val="none"/>
                <w:lang w:val="en-US" w:eastAsia="zh-CN" w:bidi="ar"/>
              </w:rPr>
              <w:t>（</w:t>
            </w:r>
            <w:r>
              <w:rPr>
                <w:rFonts w:hint="eastAsia" w:eastAsia="宋体" w:cs="Times New Roman"/>
                <w:i w:val="0"/>
                <w:color w:val="auto"/>
                <w:kern w:val="0"/>
                <w:sz w:val="28"/>
                <w:szCs w:val="28"/>
                <w:u w:val="none"/>
                <w:lang w:val="en-US" w:eastAsia="zh-CN" w:bidi="ar"/>
              </w:rPr>
              <w:t>2024</w:t>
            </w:r>
            <w:r>
              <w:rPr>
                <w:rFonts w:hint="default" w:ascii="Times New Roman" w:hAnsi="Times New Roman" w:eastAsia="宋体" w:cs="Times New Roman"/>
                <w:i w:val="0"/>
                <w:color w:val="auto"/>
                <w:kern w:val="0"/>
                <w:sz w:val="28"/>
                <w:szCs w:val="28"/>
                <w:u w:val="none"/>
                <w:lang w:val="en-US" w:eastAsia="zh-CN" w:bidi="ar"/>
              </w:rPr>
              <w:t>年度）</w:t>
            </w:r>
          </w:p>
        </w:tc>
      </w:tr>
      <w:tr w14:paraId="2799C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9"/>
            <w:tcBorders>
              <w:bottom w:val="single" w:color="000000" w:sz="4" w:space="0"/>
            </w:tcBorders>
            <w:shd w:val="clear" w:color="auto" w:fill="auto"/>
            <w:vAlign w:val="center"/>
          </w:tcPr>
          <w:p w14:paraId="2C97A619">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单位：万元</w:t>
            </w:r>
          </w:p>
        </w:tc>
      </w:tr>
      <w:tr w14:paraId="2C5D9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FE945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部门名称</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8DCDB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eastAsia" w:ascii="Times New Roman" w:hAnsi="Times New Roman" w:eastAsia="宋体" w:cs="Times New Roman"/>
                <w:i w:val="0"/>
                <w:color w:val="auto"/>
                <w:kern w:val="0"/>
                <w:sz w:val="24"/>
                <w:szCs w:val="24"/>
                <w:u w:val="none"/>
                <w:lang w:val="en-US" w:eastAsia="zh-CN" w:bidi="ar"/>
              </w:rPr>
              <w:t>四</w:t>
            </w:r>
            <w:r>
              <w:rPr>
                <w:rFonts w:hint="default" w:ascii="Times New Roman" w:hAnsi="Times New Roman" w:eastAsia="宋体" w:cs="Times New Roman"/>
                <w:i w:val="0"/>
                <w:color w:val="auto"/>
                <w:kern w:val="0"/>
                <w:sz w:val="24"/>
                <w:szCs w:val="24"/>
                <w:u w:val="none"/>
                <w:lang w:val="en-US" w:eastAsia="zh-CN" w:bidi="ar"/>
              </w:rPr>
              <w:t>川省龙日种畜场部门</w:t>
            </w:r>
          </w:p>
        </w:tc>
      </w:tr>
      <w:tr w14:paraId="27307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FAF4D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0F36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资金总额</w:t>
            </w:r>
          </w:p>
        </w:tc>
        <w:tc>
          <w:tcPr>
            <w:tcW w:w="28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25234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财政拨款</w:t>
            </w:r>
          </w:p>
        </w:tc>
        <w:tc>
          <w:tcPr>
            <w:tcW w:w="381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83188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其他资金</w:t>
            </w:r>
          </w:p>
        </w:tc>
      </w:tr>
      <w:tr w14:paraId="13978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01C76">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auto"/>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F0A4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1833.97</w:t>
            </w:r>
          </w:p>
        </w:tc>
        <w:tc>
          <w:tcPr>
            <w:tcW w:w="28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D732A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1833.97</w:t>
            </w:r>
          </w:p>
        </w:tc>
        <w:tc>
          <w:tcPr>
            <w:tcW w:w="381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572D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sz w:val="24"/>
                <w:szCs w:val="24"/>
                <w:u w:val="none"/>
              </w:rPr>
            </w:pPr>
          </w:p>
        </w:tc>
      </w:tr>
      <w:tr w14:paraId="4D1B1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2140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年度总体</w:t>
            </w:r>
          </w:p>
          <w:p w14:paraId="3E02AC9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目标</w:t>
            </w:r>
          </w:p>
        </w:tc>
        <w:tc>
          <w:tcPr>
            <w:tcW w:w="925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67743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保障单位运行，继续承担高原牧区遗传资源保护与研究，保存川西北牧区草地畜牧业的主要畜种牦牛、藏绵羊、河曲马等珍稀遗传资源；承担牦牛、藏绵羊、河曲马品种选育、良种扩繁与改良利用、为川西北牧区提供优良种畜，负责为川西北牧区草地畜牧业的科研、教学、新技术示范提供平台；指导牧民和科技人员开展高原畜牧业饲养管理。 与外单位合作项目不少于1个</w:t>
            </w:r>
          </w:p>
        </w:tc>
      </w:tr>
      <w:tr w14:paraId="155A2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5B66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年度主要</w:t>
            </w:r>
          </w:p>
          <w:p w14:paraId="0D395E0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6C567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任务名称</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3B85F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主要内容</w:t>
            </w:r>
          </w:p>
        </w:tc>
      </w:tr>
      <w:tr w14:paraId="0FF83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6BD7F">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auto"/>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B28C9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sz w:val="24"/>
                <w:szCs w:val="24"/>
                <w:u w:val="none"/>
              </w:rPr>
              <w:t>全面加强遗传资源保存研究</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B96EF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进行牦牛、藏绵羊、河曲马全面测定（如重量、年龄等），保证核心群牦牛质量，提升种畜质量</w:t>
            </w:r>
          </w:p>
        </w:tc>
      </w:tr>
      <w:tr w14:paraId="06BCB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9EE32">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auto"/>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70D79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全面推进重点畜牧科研项目</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0BFBA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加强与对外单位合作，共同承担畜牧科研等方向的项目合作</w:t>
            </w:r>
          </w:p>
        </w:tc>
      </w:tr>
      <w:tr w14:paraId="6D2A5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23EB6">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auto"/>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06EF8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保障单位正常运行</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BE8B4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保障单位正常运行</w:t>
            </w:r>
          </w:p>
        </w:tc>
      </w:tr>
      <w:tr w14:paraId="0E000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D038F">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auto"/>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BBEEB">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left"/>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sz w:val="24"/>
                <w:szCs w:val="24"/>
                <w:u w:val="none"/>
              </w:rPr>
              <w:t>全面加强党的政治建设</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28CDC8">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left"/>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sz w:val="24"/>
                <w:szCs w:val="24"/>
                <w:u w:val="none"/>
              </w:rPr>
              <w:t>严格执行</w:t>
            </w:r>
            <w:r>
              <w:rPr>
                <w:rFonts w:hint="eastAsia" w:cs="Times New Roman"/>
                <w:i w:val="0"/>
                <w:color w:val="auto"/>
                <w:sz w:val="24"/>
                <w:szCs w:val="24"/>
                <w:u w:val="none"/>
                <w:lang w:eastAsia="zh-CN"/>
              </w:rPr>
              <w:t>“</w:t>
            </w:r>
            <w:r>
              <w:rPr>
                <w:rFonts w:hint="default" w:ascii="Times New Roman" w:hAnsi="Times New Roman" w:eastAsia="宋体" w:cs="Times New Roman"/>
                <w:i w:val="0"/>
                <w:color w:val="auto"/>
                <w:sz w:val="24"/>
                <w:szCs w:val="24"/>
                <w:u w:val="none"/>
              </w:rPr>
              <w:t>三会一课</w:t>
            </w:r>
            <w:r>
              <w:rPr>
                <w:rFonts w:hint="eastAsia" w:cs="Times New Roman"/>
                <w:i w:val="0"/>
                <w:color w:val="auto"/>
                <w:sz w:val="24"/>
                <w:szCs w:val="24"/>
                <w:u w:val="none"/>
                <w:lang w:eastAsia="zh-CN"/>
              </w:rPr>
              <w:t>”</w:t>
            </w:r>
            <w:r>
              <w:rPr>
                <w:rFonts w:hint="default" w:ascii="Times New Roman" w:hAnsi="Times New Roman" w:eastAsia="宋体" w:cs="Times New Roman"/>
                <w:i w:val="0"/>
                <w:color w:val="auto"/>
                <w:sz w:val="24"/>
                <w:szCs w:val="24"/>
                <w:u w:val="none"/>
              </w:rPr>
              <w:t>，主题党日、谈心谈话，组织生活会和民主评议党员等基本制度，通过线下方式（如微信、OA）的方式学习，传达通报案例，认真组织学习上级文件精神</w:t>
            </w:r>
          </w:p>
        </w:tc>
      </w:tr>
      <w:tr w14:paraId="76A7A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B0BDF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年度绩效</w:t>
            </w:r>
          </w:p>
          <w:p w14:paraId="374F77B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7431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CB0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二级指标</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C762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三级指标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0FD0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绩效指标性质</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8492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绩效指标值</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5C10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绩效度量单位</w:t>
            </w:r>
          </w:p>
        </w:tc>
        <w:tc>
          <w:tcPr>
            <w:tcW w:w="690" w:type="dxa"/>
            <w:tcBorders>
              <w:top w:val="single" w:color="000000" w:sz="4" w:space="0"/>
              <w:left w:val="single" w:color="000000" w:sz="4" w:space="0"/>
              <w:bottom w:val="single" w:color="000000" w:sz="4" w:space="0"/>
            </w:tcBorders>
            <w:shd w:val="clear" w:color="auto" w:fill="auto"/>
            <w:vAlign w:val="center"/>
          </w:tcPr>
          <w:p w14:paraId="4BDE8A5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6B52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实际完成</w:t>
            </w:r>
          </w:p>
          <w:p w14:paraId="768731C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指标值</w:t>
            </w:r>
          </w:p>
        </w:tc>
      </w:tr>
      <w:tr w14:paraId="2EDF2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1B5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2968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B3B1C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数量指标</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EAAF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测定牦牛数量</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A2C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EA6A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1000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AF0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头次</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1816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5</w:t>
            </w:r>
          </w:p>
        </w:tc>
        <w:tc>
          <w:tcPr>
            <w:tcW w:w="1113" w:type="dxa"/>
            <w:tcBorders>
              <w:left w:val="single" w:color="000000" w:sz="4" w:space="0"/>
              <w:bottom w:val="single" w:color="000000" w:sz="4" w:space="0"/>
              <w:right w:val="single" w:color="000000" w:sz="4" w:space="0"/>
            </w:tcBorders>
            <w:shd w:val="clear" w:color="auto" w:fill="auto"/>
            <w:vAlign w:val="center"/>
          </w:tcPr>
          <w:p w14:paraId="4DD9D4A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1000</w:t>
            </w:r>
          </w:p>
        </w:tc>
      </w:tr>
      <w:tr w14:paraId="37455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2EC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AB0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5DD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EDB0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发放在职职工工资次数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8EA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eastAsia"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E08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12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982A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次</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B8E8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eastAsia" w:ascii="Times New Roman" w:hAnsi="Times New Roman" w:eastAsia="宋体" w:cs="Times New Roman"/>
                <w:i w:val="0"/>
                <w:color w:val="auto"/>
                <w:kern w:val="0"/>
                <w:sz w:val="24"/>
                <w:szCs w:val="24"/>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1D3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12</w:t>
            </w:r>
          </w:p>
        </w:tc>
      </w:tr>
      <w:tr w14:paraId="14115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E8A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02D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4F4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44ED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举行单位全体党员学习次数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AA7F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04D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A4B6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场</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EAF4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C966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3</w:t>
            </w:r>
          </w:p>
        </w:tc>
      </w:tr>
      <w:tr w14:paraId="421DA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785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B99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F89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58E6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与外单位合作项目数量</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F08E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2EA3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1E99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个</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F769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4306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1</w:t>
            </w:r>
          </w:p>
        </w:tc>
      </w:tr>
      <w:tr w14:paraId="5DB2F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E97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9D9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33633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质量指标</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70CD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测定牲畜的数据合格率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730F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5B0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90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11ED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7F8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B5C8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90</w:t>
            </w:r>
          </w:p>
        </w:tc>
      </w:tr>
      <w:tr w14:paraId="3E68F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44A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A83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14:paraId="1B113C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EF26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单位日常经费使用率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D39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CFC2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90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F104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1F7E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5ECB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90</w:t>
            </w:r>
          </w:p>
        </w:tc>
      </w:tr>
      <w:tr w14:paraId="58408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90"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A2A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242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14:paraId="2D7E68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F14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举行学习党员参加率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274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C92D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80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5EF5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4F26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3D0C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80</w:t>
            </w:r>
          </w:p>
        </w:tc>
      </w:tr>
      <w:tr w14:paraId="4E1F8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3B6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B65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88D7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时效指标</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F962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项目完成时间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68D2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定性</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6678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2024年12月底前完成</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F9C7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6F8C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6455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2024年12月底前完成</w:t>
            </w:r>
          </w:p>
        </w:tc>
      </w:tr>
      <w:tr w14:paraId="69570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180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52DF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效益指标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B97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可持续影响指标</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627E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提升单位制作的牦牛冻精影响力</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681E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定性</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88D3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高中低</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5C7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9CE1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30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D87F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高中低</w:t>
            </w:r>
          </w:p>
        </w:tc>
      </w:tr>
    </w:tbl>
    <w:p w14:paraId="500A20A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outlineLvl w:val="9"/>
        <w:rPr>
          <w:rFonts w:hint="eastAsia" w:ascii="黑体" w:hAnsi="黑体" w:eastAsia="黑体" w:cs="黑体"/>
          <w:b w:val="0"/>
          <w:bCs w:val="0"/>
          <w:color w:val="auto"/>
          <w:kern w:val="0"/>
          <w:position w:val="0"/>
          <w:sz w:val="32"/>
          <w:szCs w:val="32"/>
          <w:highlight w:val="none"/>
          <w:lang w:val="en-US" w:eastAsia="zh-CN" w:bidi="ar-SA"/>
        </w:rPr>
      </w:pPr>
    </w:p>
    <w:p w14:paraId="46B67C2D">
      <w:pPr>
        <w:rPr>
          <w:rFonts w:hint="eastAsia" w:ascii="Times New Roman" w:hAnsi="Times New Roman" w:eastAsia="黑体" w:cs="黑体"/>
          <w:b w:val="0"/>
          <w:bCs w:val="0"/>
          <w:kern w:val="0"/>
          <w:position w:val="0"/>
          <w:sz w:val="32"/>
          <w:szCs w:val="32"/>
          <w:highlight w:val="none"/>
          <w:lang w:val="en-US" w:eastAsia="zh-CN" w:bidi="ar-SA"/>
        </w:rPr>
      </w:pPr>
      <w:r>
        <w:rPr>
          <w:rFonts w:hint="eastAsia" w:ascii="Times New Roman" w:hAnsi="Times New Roman" w:eastAsia="黑体" w:cs="黑体"/>
          <w:b w:val="0"/>
          <w:bCs w:val="0"/>
          <w:kern w:val="0"/>
          <w:position w:val="0"/>
          <w:sz w:val="32"/>
          <w:szCs w:val="32"/>
          <w:highlight w:val="none"/>
          <w:lang w:val="en-US" w:eastAsia="zh-CN" w:bidi="ar-SA"/>
        </w:rPr>
        <w:br w:type="page"/>
      </w:r>
    </w:p>
    <w:p w14:paraId="73C72A22">
      <w:pPr>
        <w:keepNext w:val="0"/>
        <w:keepLines w:val="0"/>
        <w:pageBreakBefore w:val="0"/>
        <w:kinsoku/>
        <w:wordWrap/>
        <w:overflowPunct/>
        <w:topLinePunct w:val="0"/>
        <w:autoSpaceDE/>
        <w:autoSpaceDN/>
        <w:bidi w:val="0"/>
        <w:spacing w:line="578" w:lineRule="exact"/>
        <w:jc w:val="left"/>
        <w:textAlignment w:val="auto"/>
        <w:outlineLvl w:val="9"/>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2</w:t>
      </w:r>
    </w:p>
    <w:tbl>
      <w:tblPr>
        <w:tblStyle w:val="17"/>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100"/>
        <w:gridCol w:w="1144"/>
        <w:gridCol w:w="1"/>
        <w:gridCol w:w="1289"/>
        <w:gridCol w:w="1058"/>
        <w:gridCol w:w="926"/>
        <w:gridCol w:w="1113"/>
      </w:tblGrid>
      <w:tr w14:paraId="7A589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10"/>
            <w:shd w:val="clear" w:color="auto" w:fill="auto"/>
            <w:vAlign w:val="center"/>
          </w:tcPr>
          <w:p w14:paraId="1474654E">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部门整体绩效目标完成情况自评表</w:t>
            </w:r>
          </w:p>
        </w:tc>
      </w:tr>
      <w:tr w14:paraId="146C4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shd w:val="clear" w:color="auto" w:fill="auto"/>
            <w:vAlign w:val="center"/>
          </w:tcPr>
          <w:p w14:paraId="2E8A07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w:t>
            </w:r>
            <w:r>
              <w:rPr>
                <w:rFonts w:hint="eastAsia" w:eastAsia="宋体" w:cs="Times New Roman"/>
                <w:i w:val="0"/>
                <w:color w:val="000000"/>
                <w:kern w:val="0"/>
                <w:sz w:val="28"/>
                <w:szCs w:val="28"/>
                <w:u w:val="none"/>
                <w:lang w:val="en-US" w:eastAsia="zh-CN" w:bidi="ar"/>
              </w:rPr>
              <w:t>4</w:t>
            </w:r>
            <w:r>
              <w:rPr>
                <w:rFonts w:hint="default" w:ascii="Times New Roman" w:hAnsi="Times New Roman" w:eastAsia="宋体" w:cs="Times New Roman"/>
                <w:i w:val="0"/>
                <w:color w:val="000000"/>
                <w:kern w:val="0"/>
                <w:sz w:val="28"/>
                <w:szCs w:val="28"/>
                <w:u w:val="none"/>
                <w:lang w:val="en-US" w:eastAsia="zh-CN" w:bidi="ar"/>
              </w:rPr>
              <w:t>年度）</w:t>
            </w:r>
          </w:p>
        </w:tc>
      </w:tr>
      <w:tr w14:paraId="3464A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10"/>
            <w:tcBorders>
              <w:bottom w:val="single" w:color="000000" w:sz="4" w:space="0"/>
            </w:tcBorders>
            <w:shd w:val="clear" w:color="auto" w:fill="auto"/>
            <w:vAlign w:val="center"/>
          </w:tcPr>
          <w:p w14:paraId="10E0EFBF">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14:paraId="04D4D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F3DB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4146D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四川省龙日种畜场部门</w:t>
            </w:r>
          </w:p>
        </w:tc>
      </w:tr>
      <w:tr w14:paraId="3B1B2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15B8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05B30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1035D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D4C20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14:paraId="77E55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EDDC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A14C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1,833.97</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77FA7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1,833.97</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CA215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p>
        </w:tc>
      </w:tr>
      <w:tr w14:paraId="7DB1A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7E77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14:paraId="1C4C66F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925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CF0DB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单位运行，继续承担高原牧区遗传资源保护与研究，保存川西北牧区草地畜牧业的主要畜种牦牛、藏绵羊、河曲马等珍稀遗传资源；承担牦牛、藏绵羊、河曲马品种选育、良种扩繁与改良利用、为川西北牧区提供优良种畜，负责为川西北牧区草地畜牧业的科研、教学、新技术示范提供平台；指导牧民和科技人员开展高原畜牧业饲养管理。 与外单位合作项目不少于1个</w:t>
            </w:r>
          </w:p>
        </w:tc>
      </w:tr>
      <w:tr w14:paraId="1D7D2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right w:val="single" w:color="000000" w:sz="4" w:space="0"/>
            </w:tcBorders>
            <w:shd w:val="clear" w:color="auto" w:fill="auto"/>
            <w:vAlign w:val="center"/>
          </w:tcPr>
          <w:p w14:paraId="15505D1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14:paraId="4A4163B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466DC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641073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14:paraId="4C27F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14:paraId="43ED9272">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4CA6B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全面加强遗传资源保存研究</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6DF4B7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进行牦牛、藏绵羊、河曲马全面测定（如重量、年龄等），保证核心群牦牛质量，提升种畜质量</w:t>
            </w:r>
          </w:p>
        </w:tc>
      </w:tr>
      <w:tr w14:paraId="36DDB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14:paraId="34ACF316">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9E661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全面推进重点畜牧科研项目</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9EAAF7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加强与对外单位合作，共同承担畜牧科研等方向的项目合作</w:t>
            </w:r>
          </w:p>
        </w:tc>
      </w:tr>
      <w:tr w14:paraId="5E353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14:paraId="38DA43B3">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F9487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保障单位正常运行</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B4BA99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保障单位正常运行</w:t>
            </w:r>
          </w:p>
        </w:tc>
      </w:tr>
      <w:tr w14:paraId="15613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bottom w:val="single" w:color="000000" w:sz="4" w:space="0"/>
              <w:right w:val="single" w:color="000000" w:sz="4" w:space="0"/>
            </w:tcBorders>
            <w:shd w:val="clear" w:color="auto" w:fill="auto"/>
            <w:vAlign w:val="center"/>
          </w:tcPr>
          <w:p w14:paraId="1B4CD8C2">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60D45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全面加强党的政治建设</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236826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严格执行</w:t>
            </w:r>
            <w:r>
              <w:rPr>
                <w:rFonts w:hint="eastAsia" w:cs="Times New Roman"/>
                <w:i w:val="0"/>
                <w:color w:val="000000"/>
                <w:kern w:val="0"/>
                <w:sz w:val="24"/>
                <w:szCs w:val="24"/>
                <w:u w:val="none"/>
                <w:lang w:val="en-US" w:eastAsia="zh-CN" w:bidi="ar"/>
              </w:rPr>
              <w:t>“</w:t>
            </w:r>
            <w:bookmarkStart w:id="85" w:name="_GoBack"/>
            <w:r>
              <w:rPr>
                <w:rFonts w:hint="default" w:ascii="Times New Roman" w:hAnsi="Times New Roman" w:eastAsia="宋体" w:cs="Times New Roman"/>
                <w:i w:val="0"/>
                <w:color w:val="000000"/>
                <w:kern w:val="0"/>
                <w:sz w:val="24"/>
                <w:szCs w:val="24"/>
                <w:u w:val="none"/>
                <w:lang w:val="en-US" w:eastAsia="zh-CN" w:bidi="ar"/>
              </w:rPr>
              <w:t>三会一课</w:t>
            </w:r>
            <w:bookmarkEnd w:id="85"/>
            <w:r>
              <w:rPr>
                <w:rFonts w:hint="eastAsia"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，主题党日、谈心谈话，组织生活会和民主评议党员等基本制度，通过线下方式（如微信、OA）的方式学习，传达通报案例，认真组织学习上级文件精神</w:t>
            </w:r>
          </w:p>
        </w:tc>
      </w:tr>
      <w:tr w14:paraId="14D82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right w:val="single" w:color="000000" w:sz="4" w:space="0"/>
            </w:tcBorders>
            <w:shd w:val="clear" w:color="auto" w:fill="auto"/>
            <w:vAlign w:val="center"/>
          </w:tcPr>
          <w:p w14:paraId="4E15477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14:paraId="35416F6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674E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1ACB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247F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56D07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p w14:paraId="7BFC790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6AFC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0ACB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14:paraId="286127A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111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14:paraId="5B8BBBD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14:paraId="4089C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14:paraId="0A6CFD3F">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C4629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EE447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EF32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测定牦牛数量</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C490B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8319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621A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头次</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CF18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c>
          <w:tcPr>
            <w:tcW w:w="1113" w:type="dxa"/>
            <w:tcBorders>
              <w:left w:val="single" w:color="000000" w:sz="4" w:space="0"/>
              <w:bottom w:val="single" w:color="000000" w:sz="4" w:space="0"/>
              <w:right w:val="single" w:color="000000" w:sz="4" w:space="0"/>
            </w:tcBorders>
            <w:shd w:val="clear" w:color="auto" w:fill="auto"/>
            <w:vAlign w:val="center"/>
          </w:tcPr>
          <w:p w14:paraId="34CD25D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1000</w:t>
            </w:r>
          </w:p>
        </w:tc>
      </w:tr>
      <w:tr w14:paraId="263C8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14:paraId="2C14D84F">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F491A">
            <w:pPr>
              <w:jc w:val="left"/>
              <w:rPr>
                <w:rFonts w:hint="default" w:ascii="Times New Roman" w:hAnsi="Times New Roman" w:eastAsia="宋体" w:cs="Times New Roman"/>
                <w:i w:val="0"/>
                <w:color w:val="000000"/>
                <w:kern w:val="0"/>
                <w:sz w:val="24"/>
                <w:szCs w:val="24"/>
                <w:u w:val="none"/>
                <w:lang w:val="en-US" w:eastAsia="zh-CN" w:bidi="ar"/>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59549">
            <w:pPr>
              <w:jc w:val="left"/>
              <w:rPr>
                <w:rFonts w:hint="default" w:ascii="Times New Roman" w:hAnsi="Times New Roman" w:eastAsia="宋体" w:cs="Times New Roman"/>
                <w:i w:val="0"/>
                <w:color w:val="000000"/>
                <w:kern w:val="0"/>
                <w:sz w:val="24"/>
                <w:szCs w:val="24"/>
                <w:u w:val="none"/>
                <w:lang w:val="en-US" w:eastAsia="zh-CN" w:bidi="ar"/>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EDD9">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发放在职职工工资次数</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FC3A3">
            <w:pPr>
              <w:keepNext w:val="0"/>
              <w:keepLines w:val="0"/>
              <w:widowControl/>
              <w:suppressLineNumbers w:val="0"/>
              <w:spacing w:line="240" w:lineRule="auto"/>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385A1">
            <w:pPr>
              <w:keepNext w:val="0"/>
              <w:keepLines w:val="0"/>
              <w:widowControl/>
              <w:suppressLineNumbers w:val="0"/>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12</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8748">
            <w:pPr>
              <w:keepNext w:val="0"/>
              <w:keepLines w:val="0"/>
              <w:widowControl/>
              <w:suppressLineNumbers w:val="0"/>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次</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0655B">
            <w:pPr>
              <w:keepNext w:val="0"/>
              <w:keepLines w:val="0"/>
              <w:widowControl/>
              <w:suppressLineNumbers w:val="0"/>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38744">
            <w:pPr>
              <w:keepNext w:val="0"/>
              <w:keepLines w:val="0"/>
              <w:widowControl/>
              <w:suppressLineNumbers w:val="0"/>
              <w:ind w:firstLine="480" w:firstLineChars="20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12</w:t>
            </w:r>
          </w:p>
        </w:tc>
      </w:tr>
      <w:tr w14:paraId="04316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14:paraId="55B68909">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83FE5">
            <w:pPr>
              <w:jc w:val="left"/>
              <w:rPr>
                <w:rFonts w:hint="default" w:ascii="Times New Roman" w:hAnsi="Times New Roman" w:eastAsia="宋体" w:cs="Times New Roman"/>
                <w:i w:val="0"/>
                <w:color w:val="000000"/>
                <w:kern w:val="0"/>
                <w:sz w:val="24"/>
                <w:szCs w:val="24"/>
                <w:u w:val="none"/>
                <w:lang w:val="en-US" w:eastAsia="zh-CN" w:bidi="ar"/>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90494">
            <w:pPr>
              <w:jc w:val="left"/>
              <w:rPr>
                <w:rFonts w:hint="default" w:ascii="Times New Roman" w:hAnsi="Times New Roman" w:eastAsia="宋体" w:cs="Times New Roman"/>
                <w:i w:val="0"/>
                <w:color w:val="000000"/>
                <w:kern w:val="0"/>
                <w:sz w:val="24"/>
                <w:szCs w:val="24"/>
                <w:u w:val="none"/>
                <w:lang w:val="en-US" w:eastAsia="zh-CN" w:bidi="ar"/>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8614A">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举行单位全体党员学习次数</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19434">
            <w:pPr>
              <w:keepNext w:val="0"/>
              <w:keepLines w:val="0"/>
              <w:widowControl/>
              <w:suppressLineNumbers w:val="0"/>
              <w:spacing w:line="240" w:lineRule="auto"/>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505C6">
            <w:pPr>
              <w:keepNext w:val="0"/>
              <w:keepLines w:val="0"/>
              <w:widowControl/>
              <w:suppressLineNumbers w:val="0"/>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65DF7">
            <w:pPr>
              <w:keepNext w:val="0"/>
              <w:keepLines w:val="0"/>
              <w:widowControl/>
              <w:suppressLineNumbers w:val="0"/>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场</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50A94">
            <w:pPr>
              <w:keepNext w:val="0"/>
              <w:keepLines w:val="0"/>
              <w:widowControl/>
              <w:suppressLineNumbers w:val="0"/>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95782">
            <w:pPr>
              <w:keepNext w:val="0"/>
              <w:keepLines w:val="0"/>
              <w:widowControl/>
              <w:suppressLineNumbers w:val="0"/>
              <w:ind w:firstLine="480" w:firstLineChars="20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w:t>
            </w:r>
          </w:p>
        </w:tc>
      </w:tr>
      <w:tr w14:paraId="0B985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14:paraId="2326D6C3">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CD702">
            <w:pPr>
              <w:jc w:val="left"/>
              <w:rPr>
                <w:rFonts w:hint="default" w:ascii="Times New Roman" w:hAnsi="Times New Roman" w:eastAsia="宋体" w:cs="Times New Roman"/>
                <w:i w:val="0"/>
                <w:color w:val="000000"/>
                <w:kern w:val="0"/>
                <w:sz w:val="24"/>
                <w:szCs w:val="24"/>
                <w:u w:val="none"/>
                <w:lang w:val="en-US" w:eastAsia="zh-CN" w:bidi="ar"/>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8C858">
            <w:pPr>
              <w:jc w:val="left"/>
              <w:rPr>
                <w:rFonts w:hint="default" w:ascii="Times New Roman" w:hAnsi="Times New Roman" w:eastAsia="宋体" w:cs="Times New Roman"/>
                <w:i w:val="0"/>
                <w:color w:val="000000"/>
                <w:kern w:val="0"/>
                <w:sz w:val="24"/>
                <w:szCs w:val="24"/>
                <w:u w:val="none"/>
                <w:lang w:val="en-US" w:eastAsia="zh-CN" w:bidi="ar"/>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D8198">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与外单位合作项目数量</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20EB14">
            <w:pPr>
              <w:keepNext w:val="0"/>
              <w:keepLines w:val="0"/>
              <w:widowControl/>
              <w:suppressLineNumbers w:val="0"/>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CC669">
            <w:pPr>
              <w:keepNext w:val="0"/>
              <w:keepLines w:val="0"/>
              <w:widowControl/>
              <w:suppressLineNumbers w:val="0"/>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87323">
            <w:pPr>
              <w:keepNext w:val="0"/>
              <w:keepLines w:val="0"/>
              <w:widowControl/>
              <w:suppressLineNumbers w:val="0"/>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个</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170D">
            <w:pPr>
              <w:keepNext w:val="0"/>
              <w:keepLines w:val="0"/>
              <w:widowControl/>
              <w:suppressLineNumbers w:val="0"/>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0B7EC">
            <w:pPr>
              <w:keepNext w:val="0"/>
              <w:keepLines w:val="0"/>
              <w:widowControl/>
              <w:suppressLineNumbers w:val="0"/>
              <w:ind w:firstLine="480" w:firstLineChars="20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w:t>
            </w:r>
          </w:p>
        </w:tc>
      </w:tr>
      <w:tr w14:paraId="0B83D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14:paraId="078E0971">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3C5E8">
            <w:pPr>
              <w:jc w:val="left"/>
              <w:rPr>
                <w:rFonts w:hint="default" w:ascii="Times New Roman" w:hAnsi="Times New Roman" w:eastAsia="宋体" w:cs="Times New Roman"/>
                <w:i w:val="0"/>
                <w:color w:val="000000"/>
                <w:kern w:val="0"/>
                <w:sz w:val="24"/>
                <w:szCs w:val="24"/>
                <w:u w:val="none"/>
                <w:lang w:val="en-US" w:eastAsia="zh-CN" w:bidi="ar"/>
              </w:rPr>
            </w:pP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AE248B">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AD3A6">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测定牲畜的数据合格率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20010C">
            <w:pPr>
              <w:keepNext w:val="0"/>
              <w:keepLines w:val="0"/>
              <w:widowControl/>
              <w:suppressLineNumbers w:val="0"/>
              <w:spacing w:line="240" w:lineRule="auto"/>
              <w:ind w:firstLine="480" w:firstLineChars="200"/>
              <w:jc w:val="both"/>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4ED37">
            <w:pPr>
              <w:keepNext w:val="0"/>
              <w:keepLines w:val="0"/>
              <w:widowControl/>
              <w:suppressLineNumbers w:val="0"/>
              <w:spacing w:line="240" w:lineRule="auto"/>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10ED6">
            <w:pPr>
              <w:keepNext w:val="0"/>
              <w:keepLines w:val="0"/>
              <w:widowControl/>
              <w:suppressLineNumbers w:val="0"/>
              <w:spacing w:line="240" w:lineRule="auto"/>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BF31A">
            <w:pPr>
              <w:keepNext w:val="0"/>
              <w:keepLines w:val="0"/>
              <w:widowControl/>
              <w:suppressLineNumbers w:val="0"/>
              <w:spacing w:line="240" w:lineRule="auto"/>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E64D">
            <w:pPr>
              <w:keepNext w:val="0"/>
              <w:keepLines w:val="0"/>
              <w:widowControl/>
              <w:suppressLineNumbers w:val="0"/>
              <w:spacing w:line="240" w:lineRule="auto"/>
              <w:ind w:firstLine="480" w:firstLineChars="20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r>
      <w:tr w14:paraId="3CD9F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14:paraId="2E8E0DA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038D4">
            <w:pPr>
              <w:jc w:val="left"/>
              <w:rPr>
                <w:rFonts w:hint="default" w:ascii="Times New Roman" w:hAnsi="Times New Roman" w:eastAsia="宋体" w:cs="Times New Roman"/>
                <w:i w:val="0"/>
                <w:color w:val="000000"/>
                <w:kern w:val="0"/>
                <w:sz w:val="24"/>
                <w:szCs w:val="24"/>
                <w:u w:val="none"/>
                <w:lang w:val="en-US" w:eastAsia="zh-CN" w:bidi="ar"/>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14:paraId="777CE1B9">
            <w:pPr>
              <w:jc w:val="left"/>
              <w:rPr>
                <w:rFonts w:hint="default" w:ascii="Times New Roman" w:hAnsi="Times New Roman" w:eastAsia="宋体" w:cs="Times New Roman"/>
                <w:i w:val="0"/>
                <w:color w:val="000000"/>
                <w:kern w:val="0"/>
                <w:sz w:val="24"/>
                <w:szCs w:val="24"/>
                <w:u w:val="none"/>
                <w:lang w:val="en-US" w:eastAsia="zh-CN" w:bidi="ar"/>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1013B">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单位日常经费使用率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81E223">
            <w:pPr>
              <w:keepNext w:val="0"/>
              <w:keepLines w:val="0"/>
              <w:widowControl/>
              <w:suppressLineNumbers w:val="0"/>
              <w:spacing w:line="240" w:lineRule="auto"/>
              <w:ind w:firstLine="480" w:firstLineChars="200"/>
              <w:jc w:val="both"/>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B869">
            <w:pPr>
              <w:keepNext w:val="0"/>
              <w:keepLines w:val="0"/>
              <w:widowControl/>
              <w:suppressLineNumbers w:val="0"/>
              <w:spacing w:line="240" w:lineRule="auto"/>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7B3E1">
            <w:pPr>
              <w:keepNext w:val="0"/>
              <w:keepLines w:val="0"/>
              <w:widowControl/>
              <w:suppressLineNumbers w:val="0"/>
              <w:spacing w:line="240" w:lineRule="auto"/>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F6F5F">
            <w:pPr>
              <w:keepNext w:val="0"/>
              <w:keepLines w:val="0"/>
              <w:widowControl/>
              <w:suppressLineNumbers w:val="0"/>
              <w:spacing w:line="240" w:lineRule="auto"/>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442A2">
            <w:pPr>
              <w:keepNext w:val="0"/>
              <w:keepLines w:val="0"/>
              <w:widowControl/>
              <w:suppressLineNumbers w:val="0"/>
              <w:spacing w:line="240" w:lineRule="auto"/>
              <w:ind w:firstLine="480" w:firstLineChars="20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r>
      <w:tr w14:paraId="5E745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14:paraId="2AB3C3C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D4DA0">
            <w:pPr>
              <w:jc w:val="left"/>
              <w:rPr>
                <w:rFonts w:hint="default" w:ascii="Times New Roman" w:hAnsi="Times New Roman" w:eastAsia="宋体" w:cs="Times New Roman"/>
                <w:i w:val="0"/>
                <w:color w:val="000000"/>
                <w:kern w:val="0"/>
                <w:sz w:val="24"/>
                <w:szCs w:val="24"/>
                <w:u w:val="none"/>
                <w:lang w:val="en-US" w:eastAsia="zh-CN" w:bidi="ar"/>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14:paraId="561A51D3">
            <w:pPr>
              <w:jc w:val="left"/>
              <w:rPr>
                <w:rFonts w:hint="default" w:ascii="Times New Roman" w:hAnsi="Times New Roman" w:eastAsia="宋体" w:cs="Times New Roman"/>
                <w:i w:val="0"/>
                <w:color w:val="000000"/>
                <w:kern w:val="0"/>
                <w:sz w:val="24"/>
                <w:szCs w:val="24"/>
                <w:u w:val="none"/>
                <w:lang w:val="en-US" w:eastAsia="zh-CN" w:bidi="ar"/>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C0A54">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举行学习党员参加率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FFBC5A">
            <w:pPr>
              <w:keepNext w:val="0"/>
              <w:keepLines w:val="0"/>
              <w:widowControl/>
              <w:suppressLineNumbers w:val="0"/>
              <w:spacing w:line="240" w:lineRule="auto"/>
              <w:ind w:firstLine="480" w:firstLineChars="200"/>
              <w:jc w:val="both"/>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35431">
            <w:pPr>
              <w:keepNext w:val="0"/>
              <w:keepLines w:val="0"/>
              <w:widowControl/>
              <w:suppressLineNumbers w:val="0"/>
              <w:spacing w:line="240" w:lineRule="auto"/>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80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292C">
            <w:pPr>
              <w:keepNext w:val="0"/>
              <w:keepLines w:val="0"/>
              <w:widowControl/>
              <w:suppressLineNumbers w:val="0"/>
              <w:spacing w:line="240" w:lineRule="auto"/>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CB6F2">
            <w:pPr>
              <w:keepNext w:val="0"/>
              <w:keepLines w:val="0"/>
              <w:widowControl/>
              <w:suppressLineNumbers w:val="0"/>
              <w:spacing w:line="240" w:lineRule="auto"/>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F61D1">
            <w:pPr>
              <w:keepNext w:val="0"/>
              <w:keepLines w:val="0"/>
              <w:widowControl/>
              <w:suppressLineNumbers w:val="0"/>
              <w:spacing w:line="240" w:lineRule="auto"/>
              <w:ind w:firstLine="480" w:firstLineChars="200"/>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r>
      <w:tr w14:paraId="6BDD1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14:paraId="252C23E4">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0E979">
            <w:pPr>
              <w:jc w:val="left"/>
              <w:rPr>
                <w:rFonts w:hint="default" w:ascii="Times New Roman" w:hAnsi="Times New Roman" w:eastAsia="宋体" w:cs="Times New Roman"/>
                <w:i w:val="0"/>
                <w:color w:val="000000"/>
                <w:kern w:val="0"/>
                <w:sz w:val="24"/>
                <w:szCs w:val="24"/>
                <w:u w:val="none"/>
                <w:lang w:val="en-US" w:eastAsia="zh-CN" w:bidi="ar"/>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0A25A">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D353">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项目完成时间</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8CA967">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08AE4">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2024年12月底前完成</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C157">
            <w:pPr>
              <w:spacing w:line="240" w:lineRule="auto"/>
              <w:jc w:val="left"/>
              <w:rPr>
                <w:rFonts w:hint="default" w:ascii="Times New Roman" w:hAnsi="Times New Roman" w:eastAsia="宋体" w:cs="Times New Roman"/>
                <w:i w:val="0"/>
                <w:color w:val="000000"/>
                <w:kern w:val="0"/>
                <w:sz w:val="24"/>
                <w:szCs w:val="24"/>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607BA">
            <w:pPr>
              <w:keepNext w:val="0"/>
              <w:keepLines w:val="0"/>
              <w:widowControl/>
              <w:suppressLineNumbers w:val="0"/>
              <w:spacing w:line="240" w:lineRule="auto"/>
              <w:ind w:firstLine="480" w:firstLineChars="20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CE06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定性</w:t>
            </w:r>
          </w:p>
        </w:tc>
      </w:tr>
      <w:tr w14:paraId="34E0E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14:paraId="1D67F178">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D74B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3669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可持续影响指标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6FC8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提升单位制作的牦牛冻精影响力</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F88A3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A593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高中低</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2A1A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A1E9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0F63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定性</w:t>
            </w:r>
          </w:p>
        </w:tc>
      </w:tr>
      <w:tr w14:paraId="18734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bottom w:val="single" w:color="000000" w:sz="4" w:space="0"/>
              <w:right w:val="single" w:color="000000" w:sz="4" w:space="0"/>
            </w:tcBorders>
            <w:shd w:val="clear" w:color="auto" w:fill="auto"/>
            <w:vAlign w:val="center"/>
          </w:tcPr>
          <w:p w14:paraId="5AD61A2C">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0C4A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成本指标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2EF6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经济成本指标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6582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both"/>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单位在职职工使用公用经费标准</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3EEF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BB9F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3.8</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2D8D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万元</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6955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752B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r>
    </w:tbl>
    <w:p w14:paraId="54A60954">
      <w:pPr>
        <w:pStyle w:val="8"/>
        <w:spacing w:line="560" w:lineRule="exact"/>
        <w:ind w:left="0" w:leftChars="0" w:firstLine="0" w:firstLineChars="0"/>
        <w:rPr>
          <w:rFonts w:ascii="Times New Roman"/>
          <w:sz w:val="32"/>
          <w:highlight w:val="yellow"/>
          <w:lang w:val="zh-CN"/>
        </w:rPr>
        <w:sectPr>
          <w:footerReference r:id="rId5" w:type="first"/>
          <w:footerReference r:id="rId4" w:type="default"/>
          <w:pgSz w:w="11906" w:h="16838"/>
          <w:pgMar w:top="1440" w:right="1800" w:bottom="1440" w:left="1800" w:header="851" w:footer="992" w:gutter="0"/>
          <w:pgNumType w:fmt="numberInDash" w:start="1"/>
          <w:cols w:space="425" w:num="1"/>
          <w:titlePg/>
          <w:docGrid w:type="lines" w:linePitch="312" w:charSpace="0"/>
        </w:sectPr>
      </w:pPr>
    </w:p>
    <w:p w14:paraId="42AD5F45">
      <w:pPr>
        <w:pStyle w:val="8"/>
        <w:spacing w:line="560" w:lineRule="exact"/>
        <w:ind w:left="0" w:leftChars="0" w:firstLine="0" w:firstLineChars="0"/>
        <w:rPr>
          <w:rFonts w:ascii="Times New Roman"/>
          <w:sz w:val="32"/>
          <w:highlight w:val="yellow"/>
          <w:lang w:val="zh-CN"/>
        </w:rPr>
        <w:sectPr>
          <w:pgSz w:w="11906" w:h="16838"/>
          <w:pgMar w:top="1440" w:right="1800" w:bottom="1440" w:left="1800" w:header="851" w:footer="992" w:gutter="0"/>
          <w:pgNumType w:fmt="numberInDash"/>
          <w:cols w:space="425" w:num="1"/>
          <w:titlePg/>
          <w:docGrid w:type="lines" w:linePitch="312" w:charSpace="0"/>
        </w:sectPr>
      </w:pPr>
      <w:r>
        <w:drawing>
          <wp:anchor distT="0" distB="0" distL="114300" distR="114300" simplePos="0" relativeHeight="251663360" behindDoc="0" locked="0" layoutInCell="1" allowOverlap="1">
            <wp:simplePos x="0" y="0"/>
            <wp:positionH relativeFrom="column">
              <wp:posOffset>8255</wp:posOffset>
            </wp:positionH>
            <wp:positionV relativeFrom="paragraph">
              <wp:posOffset>240030</wp:posOffset>
            </wp:positionV>
            <wp:extent cx="5266690" cy="3669665"/>
            <wp:effectExtent l="0" t="0" r="3810" b="635"/>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4"/>
                    <a:stretch>
                      <a:fillRect/>
                    </a:stretch>
                  </pic:blipFill>
                  <pic:spPr>
                    <a:xfrm>
                      <a:off x="0" y="0"/>
                      <a:ext cx="5266690" cy="3669665"/>
                    </a:xfrm>
                    <a:prstGeom prst="rect">
                      <a:avLst/>
                    </a:prstGeom>
                    <a:noFill/>
                    <a:ln>
                      <a:noFill/>
                    </a:ln>
                  </pic:spPr>
                </pic:pic>
              </a:graphicData>
            </a:graphic>
          </wp:anchor>
        </w:drawing>
      </w:r>
    </w:p>
    <w:p w14:paraId="629C97A8">
      <w:pPr>
        <w:pStyle w:val="8"/>
        <w:spacing w:line="560" w:lineRule="exact"/>
        <w:ind w:left="0" w:leftChars="0" w:firstLine="0" w:firstLineChars="0"/>
        <w:rPr>
          <w:rFonts w:ascii="Times New Roman"/>
          <w:sz w:val="32"/>
          <w:highlight w:val="yellow"/>
          <w:lang w:val="zh-CN"/>
        </w:rPr>
      </w:pPr>
      <w:r>
        <w:drawing>
          <wp:anchor distT="0" distB="0" distL="114300" distR="114300" simplePos="0" relativeHeight="251664384" behindDoc="0" locked="0" layoutInCell="1" allowOverlap="1">
            <wp:simplePos x="0" y="0"/>
            <wp:positionH relativeFrom="column">
              <wp:posOffset>16510</wp:posOffset>
            </wp:positionH>
            <wp:positionV relativeFrom="paragraph">
              <wp:posOffset>191135</wp:posOffset>
            </wp:positionV>
            <wp:extent cx="5266690" cy="3669665"/>
            <wp:effectExtent l="0" t="0" r="3810" b="635"/>
            <wp:wrapSquare wrapText="bothSides"/>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5"/>
                    <a:stretch>
                      <a:fillRect/>
                    </a:stretch>
                  </pic:blipFill>
                  <pic:spPr>
                    <a:xfrm>
                      <a:off x="0" y="0"/>
                      <a:ext cx="5266690" cy="3669665"/>
                    </a:xfrm>
                    <a:prstGeom prst="rect">
                      <a:avLst/>
                    </a:prstGeom>
                    <a:noFill/>
                    <a:ln>
                      <a:noFill/>
                    </a:ln>
                  </pic:spPr>
                </pic:pic>
              </a:graphicData>
            </a:graphic>
          </wp:anchor>
        </w:drawing>
      </w:r>
    </w:p>
    <w:p w14:paraId="6EE06247">
      <w:pPr>
        <w:pStyle w:val="6"/>
        <w:spacing w:before="93"/>
        <w:sectPr>
          <w:pgSz w:w="11906" w:h="16838"/>
          <w:pgMar w:top="1440" w:right="1800" w:bottom="1440" w:left="1800" w:header="851" w:footer="992" w:gutter="0"/>
          <w:pgNumType w:fmt="numberInDash"/>
          <w:cols w:space="425" w:num="1"/>
          <w:titlePg/>
          <w:docGrid w:type="lines" w:linePitch="312" w:charSpace="0"/>
        </w:sectPr>
      </w:pPr>
    </w:p>
    <w:p w14:paraId="3F495731">
      <w:pPr>
        <w:pStyle w:val="6"/>
        <w:spacing w:before="93"/>
        <w:sectPr>
          <w:pgSz w:w="11906" w:h="16838"/>
          <w:pgMar w:top="1440" w:right="1800" w:bottom="1440" w:left="1800" w:header="851" w:footer="992" w:gutter="0"/>
          <w:pgNumType w:fmt="numberInDash"/>
          <w:cols w:space="425" w:num="1"/>
          <w:titlePg/>
          <w:docGrid w:type="lines" w:linePitch="312" w:charSpace="0"/>
        </w:sectPr>
      </w:pPr>
      <w:r>
        <w:drawing>
          <wp:inline distT="0" distB="0" distL="114300" distR="114300">
            <wp:extent cx="5266690" cy="3669665"/>
            <wp:effectExtent l="0" t="0" r="3810" b="635"/>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6"/>
                    <a:stretch>
                      <a:fillRect/>
                    </a:stretch>
                  </pic:blipFill>
                  <pic:spPr>
                    <a:xfrm>
                      <a:off x="0" y="0"/>
                      <a:ext cx="5266690" cy="3669665"/>
                    </a:xfrm>
                    <a:prstGeom prst="rect">
                      <a:avLst/>
                    </a:prstGeom>
                    <a:noFill/>
                    <a:ln>
                      <a:noFill/>
                    </a:ln>
                  </pic:spPr>
                </pic:pic>
              </a:graphicData>
            </a:graphic>
          </wp:inline>
        </w:drawing>
      </w:r>
    </w:p>
    <w:p w14:paraId="745423E3">
      <w:pPr>
        <w:sectPr>
          <w:pgSz w:w="11906" w:h="16838"/>
          <w:pgMar w:top="1440" w:right="1800" w:bottom="1440" w:left="1800" w:header="851" w:footer="992" w:gutter="0"/>
          <w:pgNumType w:fmt="numberInDash"/>
          <w:cols w:space="425" w:num="1"/>
          <w:titlePg/>
          <w:docGrid w:type="lines" w:linePitch="312" w:charSpace="0"/>
        </w:sectPr>
      </w:pPr>
      <w:r>
        <w:drawing>
          <wp:inline distT="0" distB="0" distL="114300" distR="114300">
            <wp:extent cx="5266690" cy="3669665"/>
            <wp:effectExtent l="0" t="0" r="3810" b="63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7"/>
                    <a:stretch>
                      <a:fillRect/>
                    </a:stretch>
                  </pic:blipFill>
                  <pic:spPr>
                    <a:xfrm>
                      <a:off x="0" y="0"/>
                      <a:ext cx="5266690" cy="3669665"/>
                    </a:xfrm>
                    <a:prstGeom prst="rect">
                      <a:avLst/>
                    </a:prstGeom>
                    <a:noFill/>
                    <a:ln>
                      <a:noFill/>
                    </a:ln>
                  </pic:spPr>
                </pic:pic>
              </a:graphicData>
            </a:graphic>
          </wp:inline>
        </w:drawing>
      </w:r>
    </w:p>
    <w:p w14:paraId="137A2045">
      <w:pPr>
        <w:pStyle w:val="2"/>
        <w:outlineLvl w:val="9"/>
        <w:rPr>
          <w:lang w:val="zh-CN"/>
        </w:rPr>
        <w:sectPr>
          <w:pgSz w:w="11906" w:h="16838"/>
          <w:pgMar w:top="1440" w:right="1800" w:bottom="1440" w:left="1800" w:header="851" w:footer="992" w:gutter="0"/>
          <w:pgNumType w:fmt="numberInDash"/>
          <w:cols w:space="425" w:num="1"/>
          <w:titlePg/>
          <w:docGrid w:type="lines" w:linePitch="312" w:charSpace="0"/>
        </w:sectPr>
      </w:pPr>
      <w:r>
        <w:drawing>
          <wp:inline distT="0" distB="0" distL="114300" distR="114300">
            <wp:extent cx="5266690" cy="3669665"/>
            <wp:effectExtent l="0" t="0" r="3810" b="635"/>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18"/>
                    <a:stretch>
                      <a:fillRect/>
                    </a:stretch>
                  </pic:blipFill>
                  <pic:spPr>
                    <a:xfrm>
                      <a:off x="0" y="0"/>
                      <a:ext cx="5266690" cy="3669665"/>
                    </a:xfrm>
                    <a:prstGeom prst="rect">
                      <a:avLst/>
                    </a:prstGeom>
                    <a:noFill/>
                    <a:ln>
                      <a:noFill/>
                    </a:ln>
                  </pic:spPr>
                </pic:pic>
              </a:graphicData>
            </a:graphic>
          </wp:inline>
        </w:drawing>
      </w:r>
    </w:p>
    <w:p w14:paraId="3B277A15">
      <w:pPr>
        <w:sectPr>
          <w:pgSz w:w="11906" w:h="16838"/>
          <w:pgMar w:top="1440" w:right="1800" w:bottom="1440" w:left="1800" w:header="851" w:footer="992" w:gutter="0"/>
          <w:pgNumType w:fmt="numberInDash"/>
          <w:cols w:space="425" w:num="1"/>
          <w:titlePg/>
          <w:docGrid w:type="lines" w:linePitch="312" w:charSpace="0"/>
        </w:sectPr>
      </w:pPr>
      <w:r>
        <w:drawing>
          <wp:inline distT="0" distB="0" distL="114300" distR="114300">
            <wp:extent cx="5266690" cy="3669665"/>
            <wp:effectExtent l="0" t="0" r="3810" b="635"/>
            <wp:docPr id="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pic:cNvPicPr>
                      <a:picLocks noChangeAspect="1"/>
                    </pic:cNvPicPr>
                  </pic:nvPicPr>
                  <pic:blipFill>
                    <a:blip r:embed="rId19"/>
                    <a:stretch>
                      <a:fillRect/>
                    </a:stretch>
                  </pic:blipFill>
                  <pic:spPr>
                    <a:xfrm>
                      <a:off x="0" y="0"/>
                      <a:ext cx="5266690" cy="3669665"/>
                    </a:xfrm>
                    <a:prstGeom prst="rect">
                      <a:avLst/>
                    </a:prstGeom>
                    <a:noFill/>
                    <a:ln>
                      <a:noFill/>
                    </a:ln>
                  </pic:spPr>
                </pic:pic>
              </a:graphicData>
            </a:graphic>
          </wp:inline>
        </w:drawing>
      </w:r>
    </w:p>
    <w:p w14:paraId="12937E7B">
      <w:pPr>
        <w:pStyle w:val="2"/>
        <w:outlineLvl w:val="9"/>
        <w:rPr>
          <w:lang w:val="zh-CN"/>
        </w:rPr>
        <w:sectPr>
          <w:pgSz w:w="11906" w:h="16838"/>
          <w:pgMar w:top="1440" w:right="1800" w:bottom="1440" w:left="1800" w:header="851" w:footer="992" w:gutter="0"/>
          <w:pgNumType w:fmt="numberInDash"/>
          <w:cols w:space="425" w:num="1"/>
          <w:titlePg/>
          <w:docGrid w:type="lines" w:linePitch="312" w:charSpace="0"/>
        </w:sectPr>
      </w:pPr>
      <w:r>
        <w:drawing>
          <wp:inline distT="0" distB="0" distL="114300" distR="114300">
            <wp:extent cx="5266690" cy="3669665"/>
            <wp:effectExtent l="0" t="0" r="3810" b="635"/>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20"/>
                    <a:stretch>
                      <a:fillRect/>
                    </a:stretch>
                  </pic:blipFill>
                  <pic:spPr>
                    <a:xfrm>
                      <a:off x="0" y="0"/>
                      <a:ext cx="5266690" cy="3669665"/>
                    </a:xfrm>
                    <a:prstGeom prst="rect">
                      <a:avLst/>
                    </a:prstGeom>
                    <a:noFill/>
                    <a:ln>
                      <a:noFill/>
                    </a:ln>
                  </pic:spPr>
                </pic:pic>
              </a:graphicData>
            </a:graphic>
          </wp:inline>
        </w:drawing>
      </w:r>
    </w:p>
    <w:p w14:paraId="5DA3FB92">
      <w:pPr>
        <w:pStyle w:val="2"/>
        <w:outlineLvl w:val="9"/>
        <w:sectPr>
          <w:pgSz w:w="11906" w:h="16838"/>
          <w:pgMar w:top="1440" w:right="1800" w:bottom="1440" w:left="1800" w:header="851" w:footer="992" w:gutter="0"/>
          <w:pgNumType w:fmt="numberInDash"/>
          <w:cols w:space="425" w:num="1"/>
          <w:titlePg/>
          <w:docGrid w:type="lines" w:linePitch="312" w:charSpace="0"/>
        </w:sectPr>
      </w:pPr>
      <w:r>
        <w:drawing>
          <wp:inline distT="0" distB="0" distL="114300" distR="114300">
            <wp:extent cx="5266690" cy="3669665"/>
            <wp:effectExtent l="0" t="0" r="3810" b="635"/>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pic:cNvPicPr>
                      <a:picLocks noChangeAspect="1"/>
                    </pic:cNvPicPr>
                  </pic:nvPicPr>
                  <pic:blipFill>
                    <a:blip r:embed="rId21"/>
                    <a:stretch>
                      <a:fillRect/>
                    </a:stretch>
                  </pic:blipFill>
                  <pic:spPr>
                    <a:xfrm>
                      <a:off x="0" y="0"/>
                      <a:ext cx="5266690" cy="3669665"/>
                    </a:xfrm>
                    <a:prstGeom prst="rect">
                      <a:avLst/>
                    </a:prstGeom>
                    <a:noFill/>
                    <a:ln>
                      <a:noFill/>
                    </a:ln>
                  </pic:spPr>
                </pic:pic>
              </a:graphicData>
            </a:graphic>
          </wp:inline>
        </w:drawing>
      </w:r>
    </w:p>
    <w:p w14:paraId="387B15EB">
      <w:pPr>
        <w:rPr>
          <w:lang w:val="zh-CN"/>
        </w:rPr>
        <w:sectPr>
          <w:pgSz w:w="11906" w:h="16838"/>
          <w:pgMar w:top="1440" w:right="1800" w:bottom="1440" w:left="1800" w:header="851" w:footer="992" w:gutter="0"/>
          <w:pgNumType w:fmt="numberInDash"/>
          <w:cols w:space="425" w:num="1"/>
          <w:titlePg/>
          <w:docGrid w:type="lines" w:linePitch="312" w:charSpace="0"/>
        </w:sectPr>
      </w:pPr>
      <w:r>
        <w:drawing>
          <wp:inline distT="0" distB="0" distL="114300" distR="114300">
            <wp:extent cx="5266690" cy="3669665"/>
            <wp:effectExtent l="0" t="0" r="3810" b="635"/>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22"/>
                    <a:stretch>
                      <a:fillRect/>
                    </a:stretch>
                  </pic:blipFill>
                  <pic:spPr>
                    <a:xfrm>
                      <a:off x="0" y="0"/>
                      <a:ext cx="5266690" cy="3669665"/>
                    </a:xfrm>
                    <a:prstGeom prst="rect">
                      <a:avLst/>
                    </a:prstGeom>
                    <a:noFill/>
                    <a:ln>
                      <a:noFill/>
                    </a:ln>
                  </pic:spPr>
                </pic:pic>
              </a:graphicData>
            </a:graphic>
          </wp:inline>
        </w:drawing>
      </w:r>
    </w:p>
    <w:p w14:paraId="0BF36035">
      <w:pPr>
        <w:rPr>
          <w:rFonts w:eastAsia="黑体" w:cs="黑体"/>
          <w:kern w:val="0"/>
          <w:sz w:val="32"/>
          <w:szCs w:val="32"/>
          <w:shd w:val="clear" w:color="auto" w:fill="FFFFFF"/>
          <w:lang w:val="zh-CN"/>
        </w:rPr>
      </w:pPr>
    </w:p>
    <w:p w14:paraId="478173F2">
      <w:pPr>
        <w:pStyle w:val="6"/>
        <w:spacing w:before="93"/>
        <w:outlineLvl w:val="9"/>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14:paraId="7390FFE7">
      <w:pPr>
        <w:pStyle w:val="36"/>
        <w:spacing w:line="578" w:lineRule="exact"/>
        <w:jc w:val="center"/>
        <w:rPr>
          <w:rFonts w:ascii="Times New Roman" w:hAnsi="Times New Roman" w:eastAsia="方正小标宋简体" w:cs="方正小标宋简体"/>
          <w:color w:val="auto"/>
          <w:kern w:val="2"/>
          <w:sz w:val="44"/>
          <w:szCs w:val="44"/>
          <w:lang w:val="en-US"/>
        </w:rPr>
      </w:pPr>
    </w:p>
    <w:p w14:paraId="7D222C26">
      <w:pPr>
        <w:pStyle w:val="36"/>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专项预算绩效自评报告</w:t>
      </w:r>
    </w:p>
    <w:p w14:paraId="631B0C3C">
      <w:pPr>
        <w:pStyle w:val="36"/>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eastAsia" w:ascii="方正小标宋简体" w:hAnsi="黑体" w:eastAsia="方正小标宋简体" w:cs="黑体"/>
          <w:w w:val="92"/>
          <w:sz w:val="44"/>
          <w:szCs w:val="44"/>
          <w:lang w:eastAsia="zh-CN"/>
        </w:rPr>
        <w:t>（</w:t>
      </w:r>
      <w:r>
        <w:rPr>
          <w:rFonts w:ascii="方正小标宋简体" w:hAnsi="黑体" w:eastAsia="方正小标宋简体" w:cs="黑体"/>
          <w:w w:val="92"/>
          <w:sz w:val="44"/>
          <w:szCs w:val="44"/>
        </w:rPr>
        <w:t>阿坝州牦牛寄生虫流行性调查及精准防控技术研究与示范推广</w:t>
      </w:r>
      <w:r>
        <w:rPr>
          <w:rFonts w:hint="eastAsia" w:ascii="方正小标宋简体" w:hAnsi="黑体" w:eastAsia="方正小标宋简体" w:cs="黑体"/>
          <w:w w:val="92"/>
          <w:sz w:val="44"/>
          <w:szCs w:val="44"/>
          <w:lang w:val="en-US" w:eastAsia="zh-CN"/>
        </w:rPr>
        <w:t>项目</w:t>
      </w:r>
      <w:r>
        <w:rPr>
          <w:rFonts w:hint="eastAsia" w:ascii="方正小标宋简体" w:hAnsi="黑体" w:eastAsia="方正小标宋简体" w:cs="黑体"/>
          <w:w w:val="92"/>
          <w:sz w:val="44"/>
          <w:szCs w:val="44"/>
          <w:lang w:eastAsia="zh-CN"/>
        </w:rPr>
        <w:t>）</w:t>
      </w:r>
    </w:p>
    <w:p w14:paraId="27627C22">
      <w:pPr>
        <w:pStyle w:val="36"/>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hint="default" w:ascii="Times New Roman" w:hAnsi="Times New Roman" w:cs="Times New Roman"/>
          <w:color w:val="auto"/>
          <w:kern w:val="2"/>
          <w:sz w:val="32"/>
          <w:szCs w:val="32"/>
          <w:highlight w:val="none"/>
        </w:rPr>
      </w:pPr>
    </w:p>
    <w:p w14:paraId="4281321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一、</w:t>
      </w:r>
      <w:r>
        <w:rPr>
          <w:rFonts w:hint="default" w:ascii="Times New Roman" w:hAnsi="Times New Roman" w:eastAsia="黑体" w:cs="Times New Roman"/>
          <w:color w:val="auto"/>
          <w:sz w:val="32"/>
          <w:szCs w:val="32"/>
          <w:highlight w:val="none"/>
          <w:u w:val="none"/>
          <w:lang w:val="zh-CN"/>
        </w:rPr>
        <w:t>项目概况</w:t>
      </w:r>
    </w:p>
    <w:p w14:paraId="73000FD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default" w:ascii="Times New Roman" w:hAnsi="Times New Roman" w:eastAsia="仿宋_GB2312" w:cs="Times New Roman"/>
          <w:b w:val="0"/>
          <w:bCs w:val="0"/>
          <w:kern w:val="0"/>
          <w:position w:val="0"/>
          <w:sz w:val="32"/>
          <w:szCs w:val="32"/>
          <w:highlight w:val="none"/>
          <w:lang w:val="en-US" w:eastAsia="zh-CN" w:bidi="ar-SA"/>
        </w:rPr>
        <w:t>项目设立原因及背景，</w:t>
      </w:r>
      <w:r>
        <w:rPr>
          <w:rFonts w:hint="default" w:ascii="Times New Roman" w:hAnsi="Times New Roman" w:eastAsia="仿宋_GB2312" w:cs="Times New Roman"/>
          <w:b w:val="0"/>
          <w:bCs w:val="0"/>
          <w:kern w:val="0"/>
          <w:position w:val="0"/>
          <w:sz w:val="32"/>
          <w:szCs w:val="32"/>
          <w:highlight w:val="none"/>
          <w:lang w:val="zh-CN" w:eastAsia="zh-CN" w:bidi="ar-SA"/>
        </w:rPr>
        <w:t>项目立项、资金申报的依据，项目主要内容</w:t>
      </w:r>
      <w:r>
        <w:rPr>
          <w:rFonts w:hint="default" w:ascii="Times New Roman" w:hAnsi="Times New Roman" w:eastAsia="仿宋_GB2312" w:cs="Times New Roman"/>
          <w:b w:val="0"/>
          <w:bCs w:val="0"/>
          <w:kern w:val="0"/>
          <w:position w:val="0"/>
          <w:sz w:val="32"/>
          <w:szCs w:val="32"/>
          <w:highlight w:val="none"/>
          <w:lang w:val="en-US" w:eastAsia="zh-CN" w:bidi="ar-SA"/>
        </w:rPr>
        <w:t>。</w:t>
      </w:r>
      <w:r>
        <w:rPr>
          <w:rFonts w:hint="default" w:ascii="Times New Roman" w:hAnsi="Times New Roman" w:eastAsia="仿宋_GB2312" w:cs="Times New Roman"/>
          <w:b w:val="0"/>
          <w:bCs w:val="0"/>
          <w:kern w:val="0"/>
          <w:position w:val="0"/>
          <w:sz w:val="32"/>
          <w:szCs w:val="32"/>
          <w:highlight w:val="none"/>
          <w:lang w:val="zh-CN" w:eastAsia="zh-CN" w:bidi="ar-SA"/>
        </w:rPr>
        <w:t>主管部门职能。</w:t>
      </w:r>
    </w:p>
    <w:p w14:paraId="4C70F98C">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3" w:firstLineChars="200"/>
        <w:textAlignment w:val="auto"/>
        <w:rPr>
          <w:rFonts w:hint="eastAsia"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仿宋_GB2312" w:cs="Times New Roman"/>
          <w:b/>
          <w:bCs/>
          <w:color w:val="auto"/>
          <w:kern w:val="0"/>
          <w:sz w:val="32"/>
          <w:szCs w:val="32"/>
          <w:highlight w:val="none"/>
          <w:u w:val="none"/>
          <w:shd w:val="clear" w:color="auto" w:fill="FFFFFF"/>
          <w:lang w:val="en-US" w:eastAsia="zh-CN" w:bidi="ar-SA"/>
        </w:rPr>
        <w:t>项目设立原因及背景</w:t>
      </w:r>
      <w:r>
        <w:rPr>
          <w:rFonts w:hint="eastAsia" w:ascii="Times New Roman" w:hAnsi="Times New Roman" w:eastAsia="仿宋_GB2312" w:cs="Times New Roman"/>
          <w:b/>
          <w:bCs/>
          <w:color w:val="auto"/>
          <w:kern w:val="0"/>
          <w:sz w:val="32"/>
          <w:szCs w:val="32"/>
          <w:highlight w:val="none"/>
          <w:u w:val="none"/>
          <w:shd w:val="clear" w:color="auto" w:fill="FFFFFF"/>
          <w:lang w:val="en-US" w:eastAsia="zh-CN" w:bidi="ar-SA"/>
        </w:rPr>
        <w:t>：</w:t>
      </w:r>
      <w:r>
        <w:rPr>
          <w:rFonts w:hint="eastAsia" w:ascii="Times New Roman" w:hAnsi="Times New Roman" w:eastAsia="仿宋_GB2312" w:cs="Times New Roman"/>
          <w:b w:val="0"/>
          <w:bCs w:val="0"/>
          <w:kern w:val="0"/>
          <w:position w:val="0"/>
          <w:sz w:val="32"/>
          <w:szCs w:val="32"/>
          <w:highlight w:val="none"/>
          <w:lang w:val="zh-CN" w:eastAsia="zh-CN" w:bidi="ar-SA"/>
        </w:rPr>
        <w:t>川牛产业是我省建设现代农业“10+3”产业体系的重要组成，也是我省广大农牧区乡村振兴的重要抓手。牦牛作为我国特有的宝贵种质资源，是我省川西高原地区的当家畜种，牦牛业是川西高原地区畜牧业的支柱产业。阿坝藏族羌族自治州地处青藏高原东南缘，是全国五大牧区之一，川西北牧区的重要组成部分，也是四川省主要的草食畜牧业生产基地。2022年，全州牦牛存栏197万头、出栏51万头，生产优质牦牛肉奶22万吨，牦牛产业成为阿坝州农牧业的“第一产业”和“第一品牌”，同时阿坝州的麦洼牦牛和金川牦牛也是我国优良的地方牦牛品种。牦牛养殖是阿坝州农业经济中最为活跃的主导产业，也是保障国家食物安全和促进涉藏地区牧民增收，助力乡村振兴的支柱产业，对高寒牧区经济社会发展起到关键性作用。</w:t>
      </w:r>
    </w:p>
    <w:p w14:paraId="716EDCA9">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zh-CN" w:eastAsia="zh-CN" w:bidi="ar-SA"/>
        </w:rPr>
        <w:t>牦牛养殖主要以放牧为主，极为容易受到各类寄生虫的感染，寄生虫病属于传染性疾病范畴，具有较强的传染性和接触性。但相较于其他细菌性和病毒性疾病，寄生虫病的发病周期相对较长。初期阶段，寄生虫数量相对较少，症状不明显，容易被忽视，常常会错过较佳防控时机。同时寄生虫不可能被完全消除，往往呈现出季节性、反复的感染。牦牛养殖中寄生虫病是一种普遍存在且危害较严重的疾病，对牦牛的经济效益产生严重的威胁，包括引起牦牛体重下降、肉品质及奶品质降低、牦牛的生长发育受阻等，而一些人畜共患寄生虫病对于人类健康也造成严重威胁。一些体表寄生虫也是细菌和病毒传播的主要媒介，严重影响牦牛健康。由于寄生虫的种类不同，其致病方式、寄生渠道存在很大的差异性，对牦牛造成的危害存在很大不同，要想科学地防治牦牛寄生虫，没有针对性的盲目治疗病症不仅可能不会有所缓解，还可能对牦牛身体产生伤害。因此，调查了解当地牦牛不同寄生虫的感染情况，制定精准的防治手段是牦牛寄生虫病防控的有效措施，将会有助于提高阿坝州牦牛寄生虫病的防治，为阿坝州牦牛产业绿色发展提供有力支持。</w:t>
      </w:r>
    </w:p>
    <w:p w14:paraId="3527CB9F">
      <w:pPr>
        <w:ind w:firstLine="643" w:firstLineChars="200"/>
        <w:rPr>
          <w:rFonts w:hint="eastAsia"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仿宋_GB2312" w:cs="Times New Roman"/>
          <w:b/>
          <w:bCs/>
          <w:color w:val="auto"/>
          <w:kern w:val="0"/>
          <w:sz w:val="32"/>
          <w:szCs w:val="32"/>
          <w:highlight w:val="none"/>
          <w:u w:val="none"/>
          <w:shd w:val="clear" w:color="auto" w:fill="FFFFFF"/>
          <w:lang w:val="zh-CN"/>
        </w:rPr>
        <w:t>项目立项、资金申报的依据</w:t>
      </w:r>
      <w:r>
        <w:rPr>
          <w:rFonts w:hint="eastAsia" w:ascii="Times New Roman" w:hAnsi="Times New Roman" w:cs="Times New Roman"/>
          <w:b/>
          <w:bCs/>
          <w:color w:val="auto"/>
          <w:kern w:val="0"/>
          <w:sz w:val="32"/>
          <w:szCs w:val="32"/>
          <w:highlight w:val="none"/>
          <w:u w:val="none"/>
          <w:shd w:val="clear" w:color="auto" w:fill="FFFFFF"/>
          <w:lang w:val="zh-CN"/>
        </w:rPr>
        <w:t>：</w:t>
      </w:r>
      <w:r>
        <w:rPr>
          <w:rFonts w:hint="eastAsia" w:ascii="Times New Roman" w:hAnsi="Times New Roman" w:eastAsia="仿宋_GB2312" w:cs="Times New Roman"/>
          <w:b w:val="0"/>
          <w:bCs w:val="0"/>
          <w:kern w:val="0"/>
          <w:position w:val="0"/>
          <w:sz w:val="32"/>
          <w:szCs w:val="32"/>
          <w:highlight w:val="none"/>
          <w:lang w:val="zh-CN" w:eastAsia="zh-CN" w:bidi="ar-SA"/>
        </w:rPr>
        <w:t>根据《四川省科学技术厅印发&lt;关于</w:t>
      </w:r>
      <w:r>
        <w:rPr>
          <w:rFonts w:hint="eastAsia" w:ascii="Times New Roman" w:hAnsi="Times New Roman" w:eastAsia="仿宋_GB2312" w:cs="Times New Roman"/>
          <w:b w:val="0"/>
          <w:bCs w:val="0"/>
          <w:kern w:val="0"/>
          <w:position w:val="0"/>
          <w:sz w:val="32"/>
          <w:szCs w:val="32"/>
          <w:highlight w:val="none"/>
          <w:lang w:val="en-US" w:eastAsia="zh-CN" w:bidi="ar-SA"/>
        </w:rPr>
        <w:t>定向委托组织申报“科普赋能涉藏地区稳定发展专项”重点研发补充项目</w:t>
      </w:r>
      <w:r>
        <w:rPr>
          <w:rFonts w:hint="eastAsia" w:ascii="Times New Roman" w:hAnsi="Times New Roman" w:eastAsia="仿宋_GB2312" w:cs="Times New Roman"/>
          <w:b w:val="0"/>
          <w:bCs w:val="0"/>
          <w:kern w:val="0"/>
          <w:position w:val="0"/>
          <w:sz w:val="32"/>
          <w:szCs w:val="32"/>
          <w:highlight w:val="none"/>
          <w:lang w:val="zh-CN" w:eastAsia="zh-CN" w:bidi="ar-SA"/>
        </w:rPr>
        <w:t>&gt;的通知》文件要求。</w:t>
      </w:r>
    </w:p>
    <w:p w14:paraId="4244DC1F">
      <w:pPr>
        <w:keepNext w:val="0"/>
        <w:keepLines w:val="0"/>
        <w:pageBreakBefore w:val="0"/>
        <w:kinsoku/>
        <w:wordWrap/>
        <w:overflowPunct/>
        <w:topLinePunct w:val="0"/>
        <w:autoSpaceDE/>
        <w:autoSpaceDN/>
        <w:bidi w:val="0"/>
        <w:spacing w:line="560" w:lineRule="exact"/>
        <w:ind w:firstLine="643" w:firstLineChars="200"/>
        <w:rPr>
          <w:rFonts w:hint="eastAsia"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bCs/>
          <w:color w:val="auto"/>
          <w:kern w:val="0"/>
          <w:sz w:val="32"/>
          <w:szCs w:val="32"/>
          <w:highlight w:val="none"/>
          <w:u w:val="none"/>
          <w:shd w:val="clear" w:color="auto" w:fill="FFFFFF"/>
          <w:lang w:val="zh-CN" w:eastAsia="zh-CN"/>
        </w:rPr>
        <w:t>项目主要内容</w:t>
      </w:r>
      <w:r>
        <w:rPr>
          <w:rFonts w:hint="eastAsia" w:ascii="Times New Roman" w:hAnsi="Times New Roman" w:eastAsia="仿宋_GB2312" w:cs="Times New Roman"/>
          <w:b/>
          <w:bCs/>
          <w:color w:val="auto"/>
          <w:kern w:val="0"/>
          <w:sz w:val="32"/>
          <w:szCs w:val="32"/>
          <w:highlight w:val="none"/>
          <w:u w:val="none"/>
          <w:shd w:val="clear" w:color="auto" w:fill="FFFFFF"/>
          <w:lang w:val="zh-CN" w:eastAsia="zh-CN"/>
        </w:rPr>
        <w:t>：</w:t>
      </w:r>
      <w:r>
        <w:rPr>
          <w:rFonts w:hint="eastAsia" w:ascii="Times New Roman" w:hAnsi="Times New Roman" w:eastAsia="仿宋_GB2312" w:cs="Times New Roman"/>
          <w:b w:val="0"/>
          <w:bCs w:val="0"/>
          <w:kern w:val="0"/>
          <w:position w:val="0"/>
          <w:sz w:val="32"/>
          <w:szCs w:val="32"/>
          <w:highlight w:val="none"/>
          <w:lang w:val="zh-CN" w:eastAsia="zh-CN" w:bidi="ar-SA"/>
        </w:rPr>
        <w:t>针对目前阿坝州牦牛主要寄生虫病发病情况、病原类型以及防治方案不完善的情况，研究主要通过常规方法和分子生物学</w:t>
      </w:r>
      <w:r>
        <w:rPr>
          <w:rFonts w:hint="eastAsia" w:ascii="Times New Roman" w:hAnsi="Times New Roman" w:eastAsia="仿宋_GB2312" w:cs="Times New Roman"/>
          <w:b w:val="0"/>
          <w:bCs w:val="0"/>
          <w:kern w:val="0"/>
          <w:position w:val="0"/>
          <w:sz w:val="32"/>
          <w:szCs w:val="32"/>
          <w:highlight w:val="none"/>
          <w:lang w:val="en-US" w:eastAsia="zh-CN" w:bidi="ar-SA"/>
        </w:rPr>
        <w:t>方法分析阿坝州牦牛寄生虫病的主要病原，准确掌握阿坝州牦牛寄生虫季节动态和寄生虫体特征；通过实验室研究和临床药物试验筛选出有效和敏感的抗寄生虫药物，优化和完善牦牛精准驱虫方案；集成阿坝州牦牛寄生虫病综合防控技术1套，并建立1-2个示范点进行示范推广应用，培训当地畜牧科技人员和农牧民，辐射带动周边养殖户科学养殖，全面提升养殖场、专合社（家庭农场）及养殖户收益。</w:t>
      </w:r>
    </w:p>
    <w:p w14:paraId="3BFB9107">
      <w:pPr>
        <w:pStyle w:val="6"/>
        <w:tabs>
          <w:tab w:val="left" w:pos="2160"/>
        </w:tabs>
        <w:ind w:firstLine="643" w:firstLineChars="200"/>
        <w:rPr>
          <w:rFonts w:hint="default" w:ascii="Times New Roman" w:hAnsi="Times New Roman" w:eastAsia="仿宋_GB2312" w:cs="Times New Roman"/>
          <w:b w:val="0"/>
          <w:bCs w:val="0"/>
          <w:kern w:val="0"/>
          <w:position w:val="0"/>
          <w:sz w:val="32"/>
          <w:szCs w:val="32"/>
          <w:highlight w:val="none"/>
          <w:lang w:val="zh-CN" w:eastAsia="zh-CN" w:bidi="ar-SA"/>
        </w:rPr>
      </w:pPr>
      <w:r>
        <w:rPr>
          <w:rFonts w:hint="eastAsia" w:ascii="Times New Roman" w:hAnsi="Times New Roman" w:eastAsia="仿宋_GB2312" w:cs="Times New Roman"/>
          <w:b/>
          <w:bCs/>
          <w:kern w:val="2"/>
          <w:position w:val="0"/>
          <w:sz w:val="32"/>
          <w:szCs w:val="32"/>
          <w:lang w:val="zh-CN" w:eastAsia="zh-CN" w:bidi="ar-SA"/>
        </w:rPr>
        <w:t>主管部门职能：</w:t>
      </w:r>
      <w:r>
        <w:rPr>
          <w:rFonts w:hint="eastAsia" w:ascii="Times New Roman" w:hAnsi="Times New Roman" w:eastAsia="仿宋_GB2312" w:cs="Times New Roman"/>
          <w:b w:val="0"/>
          <w:bCs w:val="0"/>
          <w:kern w:val="0"/>
          <w:position w:val="0"/>
          <w:sz w:val="32"/>
          <w:szCs w:val="32"/>
          <w:highlight w:val="none"/>
          <w:lang w:val="zh-CN" w:eastAsia="zh-CN" w:bidi="ar-SA"/>
        </w:rPr>
        <w:t>组织项目的申报、评审及立项，负责项目中期检查、经费审核、结题验收等全周期管理，确保项目按计划推进‌。</w:t>
      </w:r>
    </w:p>
    <w:p w14:paraId="6D5CE30C">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default" w:ascii="Times New Roman" w:hAnsi="Times New Roman" w:eastAsia="仿宋_GB2312" w:cs="Times New Roman"/>
          <w:b w:val="0"/>
          <w:bCs w:val="0"/>
          <w:kern w:val="0"/>
          <w:position w:val="0"/>
          <w:sz w:val="32"/>
          <w:szCs w:val="32"/>
          <w:highlight w:val="none"/>
          <w:lang w:val="en-US" w:eastAsia="zh-CN" w:bidi="ar-SA"/>
        </w:rPr>
        <w:t>项目资金</w:t>
      </w:r>
      <w:r>
        <w:rPr>
          <w:rFonts w:hint="default" w:ascii="Times New Roman" w:hAnsi="Times New Roman" w:eastAsia="仿宋_GB2312" w:cs="Times New Roman"/>
          <w:b w:val="0"/>
          <w:bCs w:val="0"/>
          <w:kern w:val="0"/>
          <w:position w:val="0"/>
          <w:sz w:val="32"/>
          <w:szCs w:val="32"/>
          <w:highlight w:val="none"/>
          <w:lang w:val="zh-CN" w:eastAsia="zh-CN" w:bidi="ar-SA"/>
        </w:rPr>
        <w:t>管理办法制定情况，项目实施目的和主要工作任务，项目支持方向。</w:t>
      </w:r>
    </w:p>
    <w:p w14:paraId="7A0A20E1">
      <w:pPr>
        <w:pStyle w:val="6"/>
        <w:tabs>
          <w:tab w:val="left" w:pos="2160"/>
        </w:tabs>
        <w:ind w:firstLine="643" w:firstLineChars="200"/>
        <w:rPr>
          <w:rFonts w:hint="default" w:ascii="Times New Roman" w:hAnsi="Times New Roman" w:eastAsia="仿宋_GB2312" w:cs="Times New Roman"/>
          <w:color w:val="auto"/>
          <w:kern w:val="0"/>
          <w:position w:val="0"/>
          <w:sz w:val="32"/>
          <w:szCs w:val="32"/>
          <w:highlight w:val="none"/>
          <w:u w:val="none"/>
          <w:shd w:val="clear" w:color="auto" w:fill="FFFFFF"/>
          <w:lang w:val="en-US" w:eastAsia="zh-CN" w:bidi="ar-SA"/>
        </w:rPr>
      </w:pPr>
      <w:r>
        <w:rPr>
          <w:rFonts w:hint="eastAsia" w:ascii="Times New Roman" w:hAnsi="Times New Roman" w:eastAsia="仿宋_GB2312" w:cs="Times New Roman"/>
          <w:b/>
          <w:bCs/>
          <w:color w:val="auto"/>
          <w:kern w:val="0"/>
          <w:position w:val="0"/>
          <w:sz w:val="32"/>
          <w:szCs w:val="32"/>
          <w:highlight w:val="none"/>
          <w:u w:val="none"/>
          <w:shd w:val="clear" w:color="auto" w:fill="FFFFFF"/>
          <w:lang w:val="en-US" w:eastAsia="zh-CN" w:bidi="ar-SA"/>
        </w:rPr>
        <w:t>项目资金管理办法制定情况：</w:t>
      </w:r>
      <w:r>
        <w:rPr>
          <w:rFonts w:hint="eastAsia" w:ascii="Times New Roman" w:hAnsi="Times New Roman" w:eastAsia="仿宋_GB2312" w:cs="Times New Roman"/>
          <w:b w:val="0"/>
          <w:bCs w:val="0"/>
          <w:kern w:val="0"/>
          <w:position w:val="0"/>
          <w:sz w:val="32"/>
          <w:szCs w:val="32"/>
          <w:highlight w:val="none"/>
          <w:lang w:val="en-US" w:eastAsia="zh-CN" w:bidi="ar-SA"/>
        </w:rPr>
        <w:t>严格按照《四川省财政厅四川省科学技术厅关于印发&lt;四川省科技计划项目专项资金管理办法》的通知》(川财规〔2019〕10号)规定，做好资金拨付、管理、使用和监督工作，确保专款专用。</w:t>
      </w:r>
    </w:p>
    <w:p w14:paraId="2FD5EE6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仿宋_GB2312" w:cs="Times New Roman"/>
          <w:b/>
          <w:bCs/>
          <w:color w:val="auto"/>
          <w:kern w:val="0"/>
          <w:position w:val="0"/>
          <w:sz w:val="32"/>
          <w:szCs w:val="32"/>
          <w:highlight w:val="none"/>
          <w:u w:val="none"/>
          <w:shd w:val="clear" w:color="auto" w:fill="FFFFFF"/>
          <w:lang w:val="en-US" w:eastAsia="zh-CN" w:bidi="ar-SA"/>
        </w:rPr>
        <w:t>项目实施目的和主要工作任务</w:t>
      </w:r>
      <w:r>
        <w:rPr>
          <w:rFonts w:hint="eastAsia" w:ascii="Times New Roman" w:hAnsi="Times New Roman" w:eastAsia="仿宋_GB2312" w:cs="Times New Roman"/>
          <w:b/>
          <w:bCs/>
          <w:color w:val="auto"/>
          <w:kern w:val="0"/>
          <w:position w:val="0"/>
          <w:sz w:val="32"/>
          <w:szCs w:val="32"/>
          <w:highlight w:val="none"/>
          <w:u w:val="none"/>
          <w:shd w:val="clear" w:color="auto" w:fill="FFFFFF"/>
          <w:lang w:val="en-US" w:eastAsia="zh-CN" w:bidi="ar-SA"/>
        </w:rPr>
        <w:t>：</w:t>
      </w:r>
      <w:r>
        <w:rPr>
          <w:rFonts w:hint="eastAsia" w:ascii="Times New Roman" w:hAnsi="Times New Roman" w:eastAsia="仿宋_GB2312" w:cs="Times New Roman"/>
          <w:b w:val="0"/>
          <w:bCs w:val="0"/>
          <w:kern w:val="0"/>
          <w:position w:val="0"/>
          <w:sz w:val="32"/>
          <w:szCs w:val="32"/>
          <w:highlight w:val="none"/>
          <w:lang w:val="en-US" w:eastAsia="zh-CN" w:bidi="ar-SA"/>
        </w:rPr>
        <w:t>一是</w:t>
      </w:r>
      <w:r>
        <w:rPr>
          <w:rFonts w:hint="default" w:ascii="Times New Roman" w:hAnsi="Times New Roman" w:eastAsia="仿宋_GB2312" w:cs="Times New Roman"/>
          <w:b w:val="0"/>
          <w:bCs w:val="0"/>
          <w:kern w:val="0"/>
          <w:position w:val="0"/>
          <w:sz w:val="32"/>
          <w:szCs w:val="32"/>
          <w:highlight w:val="none"/>
          <w:lang w:val="en-US" w:eastAsia="zh-CN" w:bidi="ar-SA"/>
        </w:rPr>
        <w:t>阿坝州牦牛寄生虫流行病学调查</w:t>
      </w:r>
      <w:r>
        <w:rPr>
          <w:rFonts w:hint="eastAsia" w:ascii="Times New Roman" w:hAnsi="Times New Roman" w:eastAsia="仿宋_GB2312" w:cs="Times New Roman"/>
          <w:b w:val="0"/>
          <w:bCs w:val="0"/>
          <w:kern w:val="0"/>
          <w:position w:val="0"/>
          <w:sz w:val="32"/>
          <w:szCs w:val="32"/>
          <w:highlight w:val="none"/>
          <w:lang w:val="en-US" w:eastAsia="zh-CN" w:bidi="ar-SA"/>
        </w:rPr>
        <w:t>。</w:t>
      </w:r>
      <w:r>
        <w:rPr>
          <w:rFonts w:hint="default" w:ascii="Times New Roman" w:hAnsi="Times New Roman" w:eastAsia="仿宋_GB2312" w:cs="Times New Roman"/>
          <w:b w:val="0"/>
          <w:bCs w:val="0"/>
          <w:kern w:val="0"/>
          <w:position w:val="0"/>
          <w:sz w:val="32"/>
          <w:szCs w:val="32"/>
          <w:highlight w:val="none"/>
          <w:lang w:val="en-US" w:eastAsia="zh-CN" w:bidi="ar-SA"/>
        </w:rPr>
        <w:t>针对阿坝州牦牛寄生虫感染情况及寄生虫种类数据不确实的现状，采集阿坝州境内不同区域和不同季节粪便、血液、体表寄生虫等样本，通过形态学检查法和分子生物学方法明确消化道寄生虫、血液寄生虫、体表寄生虫等的感染情况，准确鉴定出寄生虫的感染种类，从而全面了解阿坝州牦牛寄生虫病的感染率、感染类型以及季节性变化趋势</w:t>
      </w:r>
      <w:r>
        <w:rPr>
          <w:rFonts w:hint="eastAsia" w:ascii="Times New Roman" w:hAnsi="Times New Roman" w:eastAsia="仿宋_GB2312" w:cs="Times New Roman"/>
          <w:b w:val="0"/>
          <w:bCs w:val="0"/>
          <w:kern w:val="0"/>
          <w:position w:val="0"/>
          <w:sz w:val="32"/>
          <w:szCs w:val="32"/>
          <w:highlight w:val="none"/>
          <w:lang w:val="en-US" w:eastAsia="zh-CN" w:bidi="ar-SA"/>
        </w:rPr>
        <w:t>。二是</w:t>
      </w:r>
      <w:r>
        <w:rPr>
          <w:rFonts w:hint="default" w:ascii="Times New Roman" w:hAnsi="Times New Roman" w:eastAsia="仿宋_GB2312" w:cs="Times New Roman"/>
          <w:b w:val="0"/>
          <w:bCs w:val="0"/>
          <w:kern w:val="0"/>
          <w:position w:val="0"/>
          <w:sz w:val="32"/>
          <w:szCs w:val="32"/>
          <w:highlight w:val="none"/>
          <w:lang w:val="en-US" w:eastAsia="zh-CN" w:bidi="ar-SA"/>
        </w:rPr>
        <w:t>寄生虫病的快速诊断技术建立</w:t>
      </w:r>
      <w:r>
        <w:rPr>
          <w:rFonts w:hint="eastAsia" w:ascii="Times New Roman" w:hAnsi="Times New Roman" w:eastAsia="仿宋_GB2312" w:cs="Times New Roman"/>
          <w:b w:val="0"/>
          <w:bCs w:val="0"/>
          <w:kern w:val="0"/>
          <w:position w:val="0"/>
          <w:sz w:val="32"/>
          <w:szCs w:val="32"/>
          <w:highlight w:val="none"/>
          <w:lang w:val="en-US" w:eastAsia="zh-CN" w:bidi="ar-SA"/>
        </w:rPr>
        <w:t>。</w:t>
      </w:r>
      <w:r>
        <w:rPr>
          <w:rFonts w:hint="default" w:ascii="Times New Roman" w:hAnsi="Times New Roman" w:eastAsia="仿宋_GB2312" w:cs="Times New Roman"/>
          <w:b w:val="0"/>
          <w:bCs w:val="0"/>
          <w:kern w:val="0"/>
          <w:position w:val="0"/>
          <w:sz w:val="32"/>
          <w:szCs w:val="32"/>
          <w:highlight w:val="none"/>
          <w:lang w:val="en-US" w:eastAsia="zh-CN" w:bidi="ar-SA"/>
        </w:rPr>
        <w:t>针对阿坝州牦牛寄生虫病诊断困难的问题，联合寄生虫类型调查结果、不同类型寄生虫病的临床症状和剖解病变，制定阿坝州主要寄生虫病的快速准确的诊断方法，并进行当地农牧民的培训，提高疾病的诊断水平。</w:t>
      </w:r>
      <w:r>
        <w:rPr>
          <w:rFonts w:hint="eastAsia" w:ascii="Times New Roman" w:hAnsi="Times New Roman" w:eastAsia="仿宋_GB2312" w:cs="Times New Roman"/>
          <w:b w:val="0"/>
          <w:bCs w:val="0"/>
          <w:kern w:val="0"/>
          <w:position w:val="0"/>
          <w:sz w:val="32"/>
          <w:szCs w:val="32"/>
          <w:highlight w:val="none"/>
          <w:lang w:val="en-US" w:eastAsia="zh-CN" w:bidi="ar-SA"/>
        </w:rPr>
        <w:t>三是</w:t>
      </w:r>
      <w:r>
        <w:rPr>
          <w:rFonts w:hint="default" w:ascii="Times New Roman" w:hAnsi="Times New Roman" w:eastAsia="仿宋_GB2312" w:cs="Times New Roman"/>
          <w:b w:val="0"/>
          <w:bCs w:val="0"/>
          <w:kern w:val="0"/>
          <w:position w:val="0"/>
          <w:sz w:val="32"/>
          <w:szCs w:val="32"/>
          <w:highlight w:val="none"/>
          <w:lang w:val="en-US" w:eastAsia="zh-CN" w:bidi="ar-SA"/>
        </w:rPr>
        <w:t>驱虫药物的筛选及其效果评价</w:t>
      </w:r>
      <w:r>
        <w:rPr>
          <w:rFonts w:hint="eastAsia" w:ascii="Times New Roman" w:hAnsi="Times New Roman" w:eastAsia="仿宋_GB2312" w:cs="Times New Roman"/>
          <w:b w:val="0"/>
          <w:bCs w:val="0"/>
          <w:kern w:val="0"/>
          <w:position w:val="0"/>
          <w:sz w:val="32"/>
          <w:szCs w:val="32"/>
          <w:highlight w:val="none"/>
          <w:lang w:val="en-US" w:eastAsia="zh-CN" w:bidi="ar-SA"/>
        </w:rPr>
        <w:t>。</w:t>
      </w:r>
      <w:r>
        <w:rPr>
          <w:rFonts w:hint="default" w:ascii="Times New Roman" w:hAnsi="Times New Roman" w:eastAsia="仿宋_GB2312" w:cs="Times New Roman"/>
          <w:b w:val="0"/>
          <w:bCs w:val="0"/>
          <w:kern w:val="0"/>
          <w:position w:val="0"/>
          <w:sz w:val="32"/>
          <w:szCs w:val="32"/>
          <w:highlight w:val="none"/>
          <w:lang w:val="en-US" w:eastAsia="zh-CN" w:bidi="ar-SA"/>
        </w:rPr>
        <w:t>根据以上的调查结果，选取3-5种临床上常用的抗寄生虫药，选择寄生虫危害较严重的养殖场，把牛群分组进行驱虫效果评价，每组50-100头。驱虫前进行寄生虫检查，驱虫一周后再次进行寄生虫检查，进行对比评价驱虫效果。并且根据实际情况筛选适合阿坝州养殖环境的用药模式。结合药物选择和用药模式制定精准的用药方案</w:t>
      </w:r>
      <w:r>
        <w:rPr>
          <w:rFonts w:hint="eastAsia" w:ascii="Times New Roman" w:hAnsi="Times New Roman" w:eastAsia="仿宋_GB2312" w:cs="Times New Roman"/>
          <w:b w:val="0"/>
          <w:bCs w:val="0"/>
          <w:kern w:val="0"/>
          <w:position w:val="0"/>
          <w:sz w:val="32"/>
          <w:szCs w:val="32"/>
          <w:highlight w:val="none"/>
          <w:lang w:val="en-US" w:eastAsia="zh-CN" w:bidi="ar-SA"/>
        </w:rPr>
        <w:t>。四是</w:t>
      </w:r>
      <w:r>
        <w:rPr>
          <w:rFonts w:hint="default" w:ascii="Times New Roman" w:hAnsi="Times New Roman" w:eastAsia="仿宋_GB2312" w:cs="Times New Roman"/>
          <w:b w:val="0"/>
          <w:bCs w:val="0"/>
          <w:kern w:val="0"/>
          <w:position w:val="0"/>
          <w:sz w:val="32"/>
          <w:szCs w:val="32"/>
          <w:highlight w:val="none"/>
          <w:lang w:val="en-US" w:eastAsia="zh-CN" w:bidi="ar-SA"/>
        </w:rPr>
        <w:t>阿坝州牦牛寄生虫病综合防控技术的集成</w:t>
      </w:r>
      <w:r>
        <w:rPr>
          <w:rFonts w:hint="eastAsia" w:ascii="Times New Roman" w:hAnsi="Times New Roman" w:eastAsia="仿宋_GB2312" w:cs="Times New Roman"/>
          <w:b w:val="0"/>
          <w:bCs w:val="0"/>
          <w:kern w:val="0"/>
          <w:position w:val="0"/>
          <w:sz w:val="32"/>
          <w:szCs w:val="32"/>
          <w:highlight w:val="none"/>
          <w:lang w:val="en-US" w:eastAsia="zh-CN" w:bidi="ar-SA"/>
        </w:rPr>
        <w:t>。</w:t>
      </w:r>
      <w:r>
        <w:rPr>
          <w:rFonts w:hint="default" w:ascii="Times New Roman" w:hAnsi="Times New Roman" w:eastAsia="仿宋_GB2312" w:cs="Times New Roman"/>
          <w:b w:val="0"/>
          <w:bCs w:val="0"/>
          <w:kern w:val="0"/>
          <w:position w:val="0"/>
          <w:sz w:val="32"/>
          <w:szCs w:val="32"/>
          <w:highlight w:val="none"/>
          <w:lang w:val="en-US" w:eastAsia="zh-CN" w:bidi="ar-SA"/>
        </w:rPr>
        <w:t>基于</w:t>
      </w:r>
      <w:r>
        <w:rPr>
          <w:rFonts w:hint="eastAsia" w:ascii="Times New Roman" w:hAnsi="Times New Roman" w:eastAsia="仿宋_GB2312" w:cs="Times New Roman"/>
          <w:b w:val="0"/>
          <w:bCs w:val="0"/>
          <w:kern w:val="0"/>
          <w:position w:val="0"/>
          <w:sz w:val="32"/>
          <w:szCs w:val="32"/>
          <w:highlight w:val="none"/>
          <w:lang w:val="en-US" w:eastAsia="zh-CN" w:bidi="ar-SA"/>
        </w:rPr>
        <w:t>阿坝州</w:t>
      </w:r>
      <w:r>
        <w:rPr>
          <w:rFonts w:hint="default" w:ascii="Times New Roman" w:hAnsi="Times New Roman" w:eastAsia="仿宋_GB2312" w:cs="Times New Roman"/>
          <w:b w:val="0"/>
          <w:bCs w:val="0"/>
          <w:kern w:val="0"/>
          <w:position w:val="0"/>
          <w:sz w:val="32"/>
          <w:szCs w:val="32"/>
          <w:highlight w:val="none"/>
          <w:lang w:val="en-US" w:eastAsia="zh-CN" w:bidi="ar-SA"/>
        </w:rPr>
        <w:t>牦牛</w:t>
      </w:r>
      <w:r>
        <w:rPr>
          <w:rFonts w:hint="eastAsia" w:ascii="Times New Roman" w:hAnsi="Times New Roman" w:eastAsia="仿宋_GB2312" w:cs="Times New Roman"/>
          <w:b w:val="0"/>
          <w:bCs w:val="0"/>
          <w:kern w:val="0"/>
          <w:position w:val="0"/>
          <w:sz w:val="32"/>
          <w:szCs w:val="32"/>
          <w:highlight w:val="none"/>
          <w:lang w:val="en-US" w:eastAsia="zh-CN" w:bidi="ar-SA"/>
        </w:rPr>
        <w:t>寄生虫病的流行特征、快速诊断方法、驱虫药物的筛选结果</w:t>
      </w:r>
      <w:r>
        <w:rPr>
          <w:rFonts w:hint="default" w:ascii="Times New Roman" w:hAnsi="Times New Roman" w:eastAsia="仿宋_GB2312" w:cs="Times New Roman"/>
          <w:b w:val="0"/>
          <w:bCs w:val="0"/>
          <w:kern w:val="0"/>
          <w:position w:val="0"/>
          <w:sz w:val="32"/>
          <w:szCs w:val="32"/>
          <w:highlight w:val="none"/>
          <w:lang w:val="en-US" w:eastAsia="zh-CN" w:bidi="ar-SA"/>
        </w:rPr>
        <w:t>，集成</w:t>
      </w:r>
      <w:r>
        <w:rPr>
          <w:rFonts w:hint="eastAsia" w:ascii="Times New Roman" w:hAnsi="Times New Roman" w:eastAsia="仿宋_GB2312" w:cs="Times New Roman"/>
          <w:b w:val="0"/>
          <w:bCs w:val="0"/>
          <w:kern w:val="0"/>
          <w:position w:val="0"/>
          <w:sz w:val="32"/>
          <w:szCs w:val="32"/>
          <w:highlight w:val="none"/>
          <w:lang w:val="en-US" w:eastAsia="zh-CN" w:bidi="ar-SA"/>
        </w:rPr>
        <w:t>阿坝州牦牛寄生虫病综合防控技术，形成技术规程一套。五是技术示范推广。阿坝州牦牛寄生虫病综合防控技术在阿坝州内</w:t>
      </w:r>
      <w:r>
        <w:rPr>
          <w:rFonts w:hint="default" w:ascii="Times New Roman" w:hAnsi="Times New Roman" w:eastAsia="仿宋_GB2312" w:cs="Times New Roman"/>
          <w:b w:val="0"/>
          <w:bCs w:val="0"/>
          <w:kern w:val="0"/>
          <w:position w:val="0"/>
          <w:sz w:val="32"/>
          <w:szCs w:val="32"/>
          <w:highlight w:val="none"/>
          <w:lang w:val="en-US" w:eastAsia="zh-CN" w:bidi="ar-SA"/>
        </w:rPr>
        <w:t>进行推广</w:t>
      </w:r>
      <w:r>
        <w:rPr>
          <w:rFonts w:hint="eastAsia" w:ascii="Times New Roman" w:hAnsi="Times New Roman" w:eastAsia="仿宋_GB2312" w:cs="Times New Roman"/>
          <w:b w:val="0"/>
          <w:bCs w:val="0"/>
          <w:kern w:val="0"/>
          <w:position w:val="0"/>
          <w:sz w:val="32"/>
          <w:szCs w:val="32"/>
          <w:highlight w:val="none"/>
          <w:lang w:val="en-US" w:eastAsia="zh-CN" w:bidi="ar-SA"/>
        </w:rPr>
        <w:t>示范，</w:t>
      </w:r>
      <w:r>
        <w:rPr>
          <w:rFonts w:hint="default" w:ascii="Times New Roman" w:hAnsi="Times New Roman" w:eastAsia="仿宋_GB2312" w:cs="Times New Roman"/>
          <w:b w:val="0"/>
          <w:bCs w:val="0"/>
          <w:kern w:val="0"/>
          <w:position w:val="0"/>
          <w:sz w:val="32"/>
          <w:szCs w:val="32"/>
          <w:highlight w:val="none"/>
          <w:lang w:val="en-US" w:eastAsia="zh-CN" w:bidi="ar-SA"/>
        </w:rPr>
        <w:t>并进行相关技术培训，</w:t>
      </w:r>
      <w:r>
        <w:rPr>
          <w:rFonts w:hint="eastAsia" w:ascii="Times New Roman" w:hAnsi="Times New Roman" w:eastAsia="仿宋_GB2312" w:cs="Times New Roman"/>
          <w:b w:val="0"/>
          <w:bCs w:val="0"/>
          <w:kern w:val="0"/>
          <w:position w:val="0"/>
          <w:sz w:val="32"/>
          <w:szCs w:val="32"/>
          <w:highlight w:val="none"/>
          <w:lang w:val="en-US" w:eastAsia="zh-CN" w:bidi="ar-SA"/>
        </w:rPr>
        <w:t>培训技术人员和养殖户共计200余人次，降低寄生虫病造成的经济损失，</w:t>
      </w:r>
      <w:r>
        <w:rPr>
          <w:rFonts w:hint="default" w:ascii="Times New Roman" w:hAnsi="Times New Roman" w:eastAsia="仿宋_GB2312" w:cs="Times New Roman"/>
          <w:b w:val="0"/>
          <w:bCs w:val="0"/>
          <w:kern w:val="0"/>
          <w:position w:val="0"/>
          <w:sz w:val="32"/>
          <w:szCs w:val="32"/>
          <w:highlight w:val="none"/>
          <w:lang w:val="en-US" w:eastAsia="zh-CN" w:bidi="ar-SA"/>
        </w:rPr>
        <w:t>提高</w:t>
      </w:r>
      <w:r>
        <w:rPr>
          <w:rFonts w:hint="eastAsia" w:ascii="Times New Roman" w:hAnsi="Times New Roman" w:eastAsia="仿宋_GB2312" w:cs="Times New Roman"/>
          <w:b w:val="0"/>
          <w:bCs w:val="0"/>
          <w:kern w:val="0"/>
          <w:position w:val="0"/>
          <w:sz w:val="32"/>
          <w:szCs w:val="32"/>
          <w:highlight w:val="none"/>
          <w:lang w:val="en-US" w:eastAsia="zh-CN" w:bidi="ar-SA"/>
        </w:rPr>
        <w:t>阿坝州</w:t>
      </w:r>
      <w:r>
        <w:rPr>
          <w:rFonts w:hint="default" w:ascii="Times New Roman" w:hAnsi="Times New Roman" w:eastAsia="仿宋_GB2312" w:cs="Times New Roman"/>
          <w:b w:val="0"/>
          <w:bCs w:val="0"/>
          <w:kern w:val="0"/>
          <w:position w:val="0"/>
          <w:sz w:val="32"/>
          <w:szCs w:val="32"/>
          <w:highlight w:val="none"/>
          <w:lang w:val="en-US" w:eastAsia="zh-CN" w:bidi="ar-SA"/>
        </w:rPr>
        <w:t>牦牛养殖技术水平，带动当地产业发展。</w:t>
      </w:r>
    </w:p>
    <w:p w14:paraId="3F85150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default" w:ascii="Times New Roman" w:hAnsi="Times New Roman" w:cs="Times New Roman"/>
          <w:color w:val="auto"/>
          <w:kern w:val="0"/>
          <w:sz w:val="32"/>
          <w:szCs w:val="32"/>
          <w:highlight w:val="none"/>
          <w:u w:val="none"/>
          <w:shd w:val="clear" w:color="auto" w:fill="FFFFFF"/>
          <w:lang w:val="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r>
        <w:rPr>
          <w:rFonts w:hint="default" w:ascii="Times New Roman" w:hAnsi="Times New Roman" w:eastAsia="仿宋_GB2312" w:cs="Times New Roman"/>
          <w:b w:val="0"/>
          <w:bCs w:val="0"/>
          <w:kern w:val="0"/>
          <w:position w:val="0"/>
          <w:sz w:val="32"/>
          <w:szCs w:val="32"/>
          <w:highlight w:val="none"/>
          <w:lang w:val="zh-CN" w:eastAsia="zh-CN" w:bidi="ar-SA"/>
        </w:rPr>
        <w:t>项目预算安排情况，项目资金分配原则及考虑因素，项目资金分配情况。</w:t>
      </w:r>
    </w:p>
    <w:p w14:paraId="110EDCCE">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仿宋_GB2312" w:cs="Times New Roman"/>
          <w:b w:val="0"/>
          <w:bCs w:val="0"/>
          <w:kern w:val="0"/>
          <w:position w:val="0"/>
          <w:sz w:val="32"/>
          <w:szCs w:val="32"/>
          <w:highlight w:val="none"/>
          <w:lang w:val="zh-CN" w:eastAsia="zh-CN" w:bidi="ar-SA"/>
        </w:rPr>
        <w:t>项目预算安排情况</w:t>
      </w:r>
      <w:r>
        <w:rPr>
          <w:rFonts w:hint="eastAsia" w:ascii="Times New Roman" w:hAnsi="Times New Roman" w:eastAsia="仿宋_GB2312" w:cs="Times New Roman"/>
          <w:b w:val="0"/>
          <w:bCs w:val="0"/>
          <w:kern w:val="0"/>
          <w:position w:val="0"/>
          <w:sz w:val="32"/>
          <w:szCs w:val="32"/>
          <w:highlight w:val="none"/>
          <w:lang w:val="en-US" w:eastAsia="zh-CN" w:bidi="ar-SA"/>
        </w:rPr>
        <w:t>:项目总经费50万元，其中直接费用40万元（包括业务费、劳务费等），间接费用10万元（绩效支出6.25万元）。项目资金分配原则及考虑因素：依据《四川省科技计划项目专项资金管理办法》，综合考虑各参与单位的研究内容，合理分配资金。项目资金分配情况：四川省龙日种畜场19万元，四川农业大学31万元。</w:t>
      </w:r>
    </w:p>
    <w:p w14:paraId="41961669">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楷体_GB2312" w:cs="Times New Roman"/>
          <w:b/>
          <w:color w:val="auto"/>
          <w:sz w:val="32"/>
          <w:szCs w:val="32"/>
          <w:highlight w:val="none"/>
          <w:u w:val="none"/>
          <w:lang w:val="zh-CN" w:eastAsia="zh-CN"/>
        </w:rPr>
        <w:t>（四）项目绩效目标设置。</w:t>
      </w:r>
      <w:r>
        <w:rPr>
          <w:rFonts w:hint="default" w:ascii="Times New Roman" w:hAnsi="Times New Roman" w:eastAsia="仿宋_GB2312" w:cs="Times New Roman"/>
          <w:b w:val="0"/>
          <w:bCs w:val="0"/>
          <w:kern w:val="0"/>
          <w:position w:val="0"/>
          <w:sz w:val="32"/>
          <w:szCs w:val="32"/>
          <w:highlight w:val="none"/>
          <w:lang w:val="zh-CN" w:eastAsia="zh-CN" w:bidi="ar-SA"/>
        </w:rPr>
        <w:t>项目整体、区域和具体绩效目标设置情况，项目自评工作开展情况。</w:t>
      </w:r>
    </w:p>
    <w:p w14:paraId="6A8D8676">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bCs/>
          <w:color w:val="auto"/>
          <w:kern w:val="0"/>
          <w:position w:val="0"/>
          <w:sz w:val="32"/>
          <w:szCs w:val="32"/>
          <w:highlight w:val="none"/>
          <w:u w:val="none"/>
          <w:shd w:val="clear" w:color="auto" w:fill="FFFFFF"/>
          <w:lang w:val="en-US" w:eastAsia="zh-CN" w:bidi="ar-SA"/>
        </w:rPr>
        <w:t>阿坝州牦牛体内外寄生虫区系普：</w:t>
      </w:r>
      <w:r>
        <w:rPr>
          <w:rFonts w:hint="eastAsia" w:ascii="Times New Roman" w:hAnsi="Times New Roman" w:eastAsia="仿宋_GB2312" w:cs="Times New Roman"/>
          <w:b w:val="0"/>
          <w:bCs w:val="0"/>
          <w:kern w:val="0"/>
          <w:position w:val="0"/>
          <w:sz w:val="32"/>
          <w:szCs w:val="32"/>
          <w:highlight w:val="none"/>
          <w:lang w:val="en-US" w:eastAsia="zh-CN" w:bidi="ar-SA"/>
        </w:rPr>
        <w:t>通过调查鉴定阿坝州牦牛体内外寄生虫的分离和分子生物学鉴定，建立阿坝州牦牛体内外寄生虫信息库。</w:t>
      </w:r>
    </w:p>
    <w:p w14:paraId="7E3F2E49">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cs="Times New Roman"/>
          <w:color w:val="auto"/>
          <w:kern w:val="0"/>
          <w:sz w:val="32"/>
          <w:szCs w:val="32"/>
          <w:highlight w:val="none"/>
          <w:u w:val="none"/>
          <w:shd w:val="clear" w:color="auto" w:fill="FFFFFF"/>
          <w:lang w:val="en-US" w:eastAsia="zh-CN"/>
        </w:rPr>
      </w:pPr>
      <w:r>
        <w:rPr>
          <w:rFonts w:hint="eastAsia" w:ascii="Times New Roman" w:hAnsi="Times New Roman" w:eastAsia="仿宋_GB2312" w:cs="Times New Roman"/>
          <w:b/>
          <w:bCs/>
          <w:color w:val="auto"/>
          <w:kern w:val="0"/>
          <w:position w:val="0"/>
          <w:sz w:val="32"/>
          <w:szCs w:val="32"/>
          <w:highlight w:val="none"/>
          <w:u w:val="none"/>
          <w:shd w:val="clear" w:color="auto" w:fill="FFFFFF"/>
          <w:lang w:val="en-US" w:eastAsia="zh-CN" w:bidi="ar-SA"/>
        </w:rPr>
        <w:t>筛选阿坝州牦牛寄生虫敏感药物：</w:t>
      </w:r>
      <w:r>
        <w:rPr>
          <w:rFonts w:hint="eastAsia" w:ascii="Times New Roman" w:hAnsi="Times New Roman" w:eastAsia="仿宋_GB2312" w:cs="Times New Roman"/>
          <w:b w:val="0"/>
          <w:bCs w:val="0"/>
          <w:kern w:val="0"/>
          <w:position w:val="0"/>
          <w:sz w:val="32"/>
          <w:szCs w:val="32"/>
          <w:highlight w:val="none"/>
          <w:lang w:val="en-US" w:eastAsia="zh-CN" w:bidi="ar-SA"/>
        </w:rPr>
        <w:t>通过筛选有效和敏感的抗寄生虫药物，优化和完善牦牛精准驱虫药物选择，建立合理的驱虫药物选择方案。</w:t>
      </w:r>
    </w:p>
    <w:p w14:paraId="48F8DE5B">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bCs/>
          <w:color w:val="auto"/>
          <w:kern w:val="0"/>
          <w:position w:val="0"/>
          <w:sz w:val="32"/>
          <w:szCs w:val="32"/>
          <w:highlight w:val="none"/>
          <w:u w:val="none"/>
          <w:shd w:val="clear" w:color="auto" w:fill="FFFFFF"/>
          <w:lang w:val="en-US" w:eastAsia="zh-CN" w:bidi="ar-SA"/>
        </w:rPr>
        <w:t>阿坝州牦牛寄生虫病综合防控技术：</w:t>
      </w:r>
      <w:r>
        <w:rPr>
          <w:rFonts w:hint="eastAsia" w:ascii="Times New Roman" w:hAnsi="Times New Roman" w:eastAsia="仿宋_GB2312" w:cs="Times New Roman"/>
          <w:b w:val="0"/>
          <w:bCs w:val="0"/>
          <w:kern w:val="0"/>
          <w:position w:val="0"/>
          <w:sz w:val="32"/>
          <w:szCs w:val="32"/>
          <w:highlight w:val="none"/>
          <w:lang w:val="en-US" w:eastAsia="zh-CN" w:bidi="ar-SA"/>
        </w:rPr>
        <w:t>阿坝州牦牛寄生虫病综合防控技术1套。</w:t>
      </w:r>
    </w:p>
    <w:p w14:paraId="29CACAF2">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cs="Times New Roman"/>
          <w:color w:val="auto"/>
          <w:kern w:val="0"/>
          <w:sz w:val="32"/>
          <w:szCs w:val="32"/>
          <w:highlight w:val="none"/>
          <w:u w:val="none"/>
          <w:shd w:val="clear" w:color="auto" w:fill="FFFFFF"/>
          <w:lang w:val="en-US" w:eastAsia="zh-CN"/>
        </w:rPr>
      </w:pPr>
      <w:r>
        <w:rPr>
          <w:rFonts w:hint="eastAsia" w:ascii="Times New Roman" w:hAnsi="Times New Roman" w:eastAsia="仿宋_GB2312" w:cs="Times New Roman"/>
          <w:b/>
          <w:bCs/>
          <w:color w:val="auto"/>
          <w:kern w:val="0"/>
          <w:position w:val="0"/>
          <w:sz w:val="32"/>
          <w:szCs w:val="32"/>
          <w:highlight w:val="none"/>
          <w:u w:val="none"/>
          <w:shd w:val="clear" w:color="auto" w:fill="FFFFFF"/>
          <w:lang w:val="en-US" w:eastAsia="zh-CN" w:bidi="ar-SA"/>
        </w:rPr>
        <w:t>知识产权：</w:t>
      </w:r>
      <w:r>
        <w:rPr>
          <w:rFonts w:hint="eastAsia" w:ascii="Times New Roman" w:hAnsi="Times New Roman" w:eastAsia="仿宋_GB2312" w:cs="Times New Roman"/>
          <w:b w:val="0"/>
          <w:bCs w:val="0"/>
          <w:kern w:val="0"/>
          <w:position w:val="0"/>
          <w:sz w:val="32"/>
          <w:szCs w:val="32"/>
          <w:highlight w:val="none"/>
          <w:lang w:val="en-US" w:eastAsia="zh-CN" w:bidi="ar-SA"/>
        </w:rPr>
        <w:t>发明专利受理1项，实用新型专利1项。</w:t>
      </w:r>
    </w:p>
    <w:p w14:paraId="775B9194">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cs="Times New Roman"/>
          <w:color w:val="auto"/>
          <w:kern w:val="0"/>
          <w:sz w:val="32"/>
          <w:szCs w:val="32"/>
          <w:highlight w:val="none"/>
          <w:u w:val="none"/>
          <w:shd w:val="clear" w:color="auto" w:fill="FFFFFF"/>
          <w:lang w:val="en-US" w:eastAsia="zh-CN"/>
        </w:rPr>
      </w:pPr>
      <w:r>
        <w:rPr>
          <w:rFonts w:hint="eastAsia" w:ascii="Times New Roman" w:hAnsi="Times New Roman" w:eastAsia="仿宋_GB2312" w:cs="Times New Roman"/>
          <w:b/>
          <w:bCs/>
          <w:color w:val="auto"/>
          <w:kern w:val="0"/>
          <w:position w:val="0"/>
          <w:sz w:val="32"/>
          <w:szCs w:val="32"/>
          <w:highlight w:val="none"/>
          <w:u w:val="none"/>
          <w:shd w:val="clear" w:color="auto" w:fill="FFFFFF"/>
          <w:lang w:val="en-US" w:eastAsia="zh-CN" w:bidi="ar-SA"/>
        </w:rPr>
        <w:t>论文专注：</w:t>
      </w:r>
      <w:r>
        <w:rPr>
          <w:rFonts w:hint="eastAsia" w:ascii="Times New Roman" w:hAnsi="Times New Roman" w:eastAsia="仿宋_GB2312" w:cs="Times New Roman"/>
          <w:b w:val="0"/>
          <w:bCs w:val="0"/>
          <w:kern w:val="0"/>
          <w:position w:val="0"/>
          <w:sz w:val="32"/>
          <w:szCs w:val="32"/>
          <w:highlight w:val="none"/>
          <w:lang w:val="en-US" w:eastAsia="zh-CN" w:bidi="ar-SA"/>
        </w:rPr>
        <w:t>公开发表2篇。</w:t>
      </w:r>
    </w:p>
    <w:p w14:paraId="4D8CE5EC">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bCs/>
          <w:color w:val="auto"/>
          <w:kern w:val="0"/>
          <w:position w:val="0"/>
          <w:sz w:val="32"/>
          <w:szCs w:val="32"/>
          <w:highlight w:val="none"/>
          <w:u w:val="none"/>
          <w:shd w:val="clear" w:color="auto" w:fill="FFFFFF"/>
          <w:lang w:val="en-US" w:eastAsia="zh-CN" w:bidi="ar-SA"/>
        </w:rPr>
        <w:t>示范应用目标：</w:t>
      </w:r>
      <w:r>
        <w:rPr>
          <w:rFonts w:hint="eastAsia" w:ascii="Times New Roman" w:hAnsi="Times New Roman" w:eastAsia="仿宋_GB2312" w:cs="Times New Roman"/>
          <w:b w:val="0"/>
          <w:bCs w:val="0"/>
          <w:kern w:val="0"/>
          <w:position w:val="0"/>
          <w:sz w:val="32"/>
          <w:szCs w:val="32"/>
          <w:highlight w:val="none"/>
          <w:lang w:val="en-US" w:eastAsia="zh-CN" w:bidi="ar-SA"/>
        </w:rPr>
        <w:t>牦牛养殖示范基地5个，存栏总量达2000头；覆盖全州牦牛养殖区域，降低牦牛寄生虫发病率10%，带动养殖户均年增收1000元；办2期培训班（现场会）。</w:t>
      </w:r>
    </w:p>
    <w:p w14:paraId="4949016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rPr>
        <w:t>二、</w:t>
      </w:r>
      <w:r>
        <w:rPr>
          <w:rFonts w:hint="default" w:ascii="Times New Roman" w:hAnsi="Times New Roman" w:eastAsia="黑体" w:cs="Times New Roman"/>
          <w:color w:val="auto"/>
          <w:sz w:val="32"/>
          <w:szCs w:val="32"/>
          <w:highlight w:val="none"/>
          <w:u w:val="none"/>
          <w:lang w:eastAsia="zh-CN"/>
        </w:rPr>
        <w:t>评价实施</w:t>
      </w:r>
    </w:p>
    <w:p w14:paraId="453EFEF3">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default" w:ascii="Times New Roman" w:hAnsi="Times New Roman" w:cs="Times New Roman"/>
          <w:szCs w:val="32"/>
          <w:lang w:eastAsia="zh-CN"/>
        </w:rPr>
      </w:pPr>
      <w:r>
        <w:rPr>
          <w:rFonts w:hint="default" w:ascii="Times New Roman" w:hAnsi="Times New Roman" w:eastAsia="楷体_GB2312" w:cs="Times New Roman"/>
          <w:b/>
          <w:color w:val="auto"/>
          <w:sz w:val="32"/>
          <w:szCs w:val="32"/>
          <w:highlight w:val="none"/>
          <w:u w:val="none"/>
          <w:lang w:val="zh-CN"/>
        </w:rPr>
        <w:t>（一）评价目的。</w:t>
      </w:r>
      <w:r>
        <w:rPr>
          <w:rFonts w:hint="default" w:ascii="Times New Roman" w:hAnsi="Times New Roman" w:eastAsia="仿宋_GB2312" w:cs="Times New Roman"/>
          <w:b w:val="0"/>
          <w:bCs w:val="0"/>
          <w:kern w:val="0"/>
          <w:position w:val="0"/>
          <w:sz w:val="32"/>
          <w:szCs w:val="32"/>
          <w:highlight w:val="none"/>
          <w:lang w:val="en-US" w:eastAsia="zh-CN" w:bidi="ar-SA"/>
        </w:rPr>
        <w:t>通过项目绩效自评要实现的目的。</w:t>
      </w:r>
    </w:p>
    <w:p w14:paraId="5BEE0DC0">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通过项目绩效自评要实现的目的可归纳为以下</w:t>
      </w:r>
      <w:r>
        <w:rPr>
          <w:rFonts w:hint="eastAsia" w:ascii="Times New Roman" w:hAnsi="Times New Roman" w:eastAsia="仿宋_GB2312" w:cs="Times New Roman"/>
          <w:b w:val="0"/>
          <w:bCs w:val="0"/>
          <w:kern w:val="0"/>
          <w:position w:val="0"/>
          <w:sz w:val="32"/>
          <w:szCs w:val="32"/>
          <w:highlight w:val="none"/>
          <w:lang w:val="en-US" w:eastAsia="zh-CN" w:bidi="ar-SA"/>
        </w:rPr>
        <w:t>四</w:t>
      </w:r>
      <w:r>
        <w:rPr>
          <w:rFonts w:hint="default" w:ascii="Times New Roman" w:hAnsi="Times New Roman" w:eastAsia="仿宋_GB2312" w:cs="Times New Roman"/>
          <w:b w:val="0"/>
          <w:bCs w:val="0"/>
          <w:kern w:val="0"/>
          <w:position w:val="0"/>
          <w:sz w:val="32"/>
          <w:szCs w:val="32"/>
          <w:highlight w:val="none"/>
          <w:lang w:val="en-US" w:eastAsia="zh-CN" w:bidi="ar-SA"/>
        </w:rPr>
        <w:t>类，涵盖项目执行、资源管理及长期发展等多个维度：一、提升执行效率与质量</w:t>
      </w:r>
      <w:r>
        <w:rPr>
          <w:rFonts w:hint="eastAsia" w:ascii="Times New Roman" w:hAnsi="Times New Roman" w:eastAsia="仿宋_GB2312" w:cs="Times New Roman"/>
          <w:b w:val="0"/>
          <w:bCs w:val="0"/>
          <w:kern w:val="0"/>
          <w:position w:val="0"/>
          <w:sz w:val="32"/>
          <w:szCs w:val="32"/>
          <w:highlight w:val="none"/>
          <w:lang w:val="en-US" w:eastAsia="zh-CN" w:bidi="ar-SA"/>
        </w:rPr>
        <w:t>：通过自评及时发现问题并调整执行策略，减少资源浪费，确保项目按目标推进‌，对项目进展、资金使用合规性进行动态跟踪，提升执行透明度和规范性‌。二、优化资源配置与效益：识别低效无效支出，将资源重点投向关键领域，减少冗余投入‌；通过评估结果推动资源整合共享，提升科研设备、人力等要素的协同效率‌。三、强化责任意识与激励机制：促使项目团队主动承担管理责任，增强对绩效目标的重视程度‌；鼓励成员反思自身贡献与不足，制定改进计划，推动个人与团队能力提升‌。四、促进持续改进与政策完善：自评结果为后续预算分配、制度优化提供依据，助力形成动态调整机制‌。</w:t>
      </w:r>
    </w:p>
    <w:p w14:paraId="072E2AE2">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3"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default" w:ascii="Times New Roman" w:hAnsi="Times New Roman" w:eastAsia="仿宋_GB2312" w:cs="Times New Roman"/>
          <w:b w:val="0"/>
          <w:bCs w:val="0"/>
          <w:kern w:val="0"/>
          <w:position w:val="0"/>
          <w:sz w:val="32"/>
          <w:szCs w:val="32"/>
          <w:highlight w:val="none"/>
          <w:lang w:val="en-US" w:eastAsia="zh-CN" w:bidi="ar-SA"/>
        </w:rPr>
        <w:t>按照绩效评价指标体系，对资金支出使用全过程及其实施效果进行综合评价和判断。</w:t>
      </w:r>
    </w:p>
    <w:p w14:paraId="671FA7D1">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严格按照政府采购要求，认真履行采购事前备案制度，严格按照经批准的采购组织形式和采购方式进行采购，由场采购领导小组负责具体实施，场政府采购监管员全程监督。采购物资严格履行出入库管理制度。同时，本着“资金跟着项目走，监督跟着资金走”的原则，强化投入资金的监督与管理，建立资金使用公示制，管理专账核算制、报账制与审计制，切实加强资金管理。项目档案资料建立项目专账辅助账。</w:t>
      </w:r>
    </w:p>
    <w:p w14:paraId="24A89847">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3"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楷体_GB2312" w:cs="Times New Roman"/>
          <w:b/>
          <w:color w:val="auto"/>
          <w:sz w:val="32"/>
          <w:szCs w:val="32"/>
          <w:highlight w:val="none"/>
          <w:u w:val="none"/>
          <w:lang w:val="zh-CN"/>
        </w:rPr>
        <w:t>（三）评价选点。</w:t>
      </w:r>
      <w:r>
        <w:rPr>
          <w:rFonts w:hint="default" w:ascii="Times New Roman" w:hAnsi="Times New Roman" w:eastAsia="仿宋_GB2312" w:cs="Times New Roman"/>
          <w:b w:val="0"/>
          <w:bCs w:val="0"/>
          <w:kern w:val="0"/>
          <w:position w:val="0"/>
          <w:sz w:val="32"/>
          <w:szCs w:val="32"/>
          <w:highlight w:val="none"/>
          <w:lang w:val="zh-CN" w:eastAsia="zh-CN" w:bidi="ar-SA"/>
        </w:rPr>
        <w:t>项目绩效自评所抽样点位情况。每个专项预算项目</w:t>
      </w:r>
      <w:r>
        <w:rPr>
          <w:rFonts w:hint="default" w:ascii="Times New Roman" w:hAnsi="Times New Roman" w:eastAsia="仿宋_GB2312" w:cs="Times New Roman"/>
          <w:b w:val="0"/>
          <w:bCs w:val="0"/>
          <w:kern w:val="0"/>
          <w:position w:val="0"/>
          <w:sz w:val="32"/>
          <w:szCs w:val="32"/>
          <w:highlight w:val="none"/>
          <w:lang w:val="en-US" w:eastAsia="zh-CN" w:bidi="ar-SA"/>
        </w:rPr>
        <w:t>应选取</w:t>
      </w:r>
      <w:r>
        <w:rPr>
          <w:rFonts w:hint="eastAsia" w:ascii="Times New Roman" w:hAnsi="Times New Roman" w:eastAsia="仿宋_GB2312" w:cs="Times New Roman"/>
          <w:b w:val="0"/>
          <w:bCs w:val="0"/>
          <w:kern w:val="0"/>
          <w:position w:val="0"/>
          <w:sz w:val="32"/>
          <w:szCs w:val="32"/>
          <w:highlight w:val="none"/>
          <w:lang w:val="en-US" w:eastAsia="zh-CN" w:bidi="ar-SA"/>
        </w:rPr>
        <w:t>专项资金分配涉及市县总数的20%、总计不超过</w:t>
      </w:r>
      <w:r>
        <w:rPr>
          <w:rFonts w:hint="default" w:ascii="Times New Roman" w:hAnsi="Times New Roman" w:eastAsia="仿宋_GB2312" w:cs="Times New Roman"/>
          <w:b w:val="0"/>
          <w:bCs w:val="0"/>
          <w:kern w:val="0"/>
          <w:position w:val="0"/>
          <w:sz w:val="32"/>
          <w:szCs w:val="32"/>
          <w:highlight w:val="none"/>
          <w:lang w:val="en-US" w:eastAsia="zh-CN" w:bidi="ar-SA"/>
        </w:rPr>
        <w:t>20个的市县点位进行实地踏勘，且点位清单应作为自评附</w:t>
      </w:r>
      <w:r>
        <w:rPr>
          <w:rFonts w:hint="eastAsia" w:ascii="Times New Roman" w:hAnsi="Times New Roman" w:eastAsia="仿宋_GB2312" w:cs="Times New Roman"/>
          <w:b w:val="0"/>
          <w:bCs w:val="0"/>
          <w:kern w:val="0"/>
          <w:position w:val="0"/>
          <w:sz w:val="32"/>
          <w:szCs w:val="32"/>
          <w:highlight w:val="none"/>
          <w:lang w:val="en-US" w:eastAsia="zh-CN" w:bidi="ar-SA"/>
        </w:rPr>
        <w:t>表</w:t>
      </w:r>
      <w:r>
        <w:rPr>
          <w:rFonts w:hint="default" w:ascii="Times New Roman" w:hAnsi="Times New Roman" w:eastAsia="仿宋_GB2312" w:cs="Times New Roman"/>
          <w:b w:val="0"/>
          <w:bCs w:val="0"/>
          <w:kern w:val="0"/>
          <w:position w:val="0"/>
          <w:sz w:val="32"/>
          <w:szCs w:val="32"/>
          <w:highlight w:val="none"/>
          <w:lang w:val="en-US" w:eastAsia="zh-CN" w:bidi="ar-SA"/>
        </w:rPr>
        <w:t>。</w:t>
      </w:r>
    </w:p>
    <w:p w14:paraId="14CDA670">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涉及阿坝州13各县（市）牦牛养殖最多的地方进行采样。</w:t>
      </w:r>
    </w:p>
    <w:p w14:paraId="594334CF">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3"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楷体_GB2312" w:cs="Times New Roman"/>
          <w:b/>
          <w:color w:val="auto"/>
          <w:sz w:val="32"/>
          <w:szCs w:val="32"/>
          <w:highlight w:val="none"/>
          <w:u w:val="none"/>
          <w:lang w:val="zh-CN"/>
        </w:rPr>
        <w:t>（四）评价方法。</w:t>
      </w:r>
      <w:r>
        <w:rPr>
          <w:rFonts w:hint="default" w:ascii="Times New Roman" w:hAnsi="Times New Roman" w:eastAsia="仿宋_GB2312" w:cs="Times New Roman"/>
          <w:b w:val="0"/>
          <w:bCs w:val="0"/>
          <w:kern w:val="0"/>
          <w:position w:val="0"/>
          <w:sz w:val="32"/>
          <w:szCs w:val="32"/>
          <w:highlight w:val="none"/>
          <w:lang w:val="en-US" w:eastAsia="zh-CN" w:bidi="ar-SA"/>
        </w:rPr>
        <w:t>根据项目情况和评价重点，用来收集相关材料和开展具体评价的方法。包括：采用成本效益分析法、标杆管理法、案卷研究法、单位自评法、实地勘察法、问卷调查法、座谈调研法等多种方法。</w:t>
      </w:r>
    </w:p>
    <w:p w14:paraId="59EB1663">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我</w:t>
      </w:r>
      <w:r>
        <w:rPr>
          <w:rFonts w:hint="eastAsia" w:ascii="Times New Roman" w:hAnsi="Times New Roman" w:eastAsia="仿宋_GB2312" w:cs="Times New Roman"/>
          <w:b w:val="0"/>
          <w:bCs w:val="0"/>
          <w:kern w:val="0"/>
          <w:position w:val="0"/>
          <w:sz w:val="32"/>
          <w:szCs w:val="32"/>
          <w:highlight w:val="none"/>
          <w:lang w:val="en-US" w:eastAsia="zh-CN" w:bidi="ar-SA"/>
        </w:rPr>
        <w:t>场</w:t>
      </w:r>
      <w:r>
        <w:rPr>
          <w:rFonts w:hint="default" w:ascii="Times New Roman" w:hAnsi="Times New Roman" w:eastAsia="仿宋_GB2312" w:cs="Times New Roman"/>
          <w:b w:val="0"/>
          <w:bCs w:val="0"/>
          <w:kern w:val="0"/>
          <w:position w:val="0"/>
          <w:sz w:val="32"/>
          <w:szCs w:val="32"/>
          <w:highlight w:val="none"/>
          <w:lang w:val="en-US" w:eastAsia="zh-CN" w:bidi="ar-SA"/>
        </w:rPr>
        <w:t>采用实地踏勘、座谈会</w:t>
      </w:r>
      <w:r>
        <w:rPr>
          <w:rFonts w:hint="eastAsia" w:ascii="Times New Roman" w:hAnsi="Times New Roman" w:eastAsia="仿宋_GB2312" w:cs="Times New Roman"/>
          <w:b w:val="0"/>
          <w:bCs w:val="0"/>
          <w:kern w:val="0"/>
          <w:position w:val="0"/>
          <w:sz w:val="32"/>
          <w:szCs w:val="32"/>
          <w:highlight w:val="none"/>
          <w:lang w:val="en-US" w:eastAsia="zh-CN" w:bidi="ar-SA"/>
        </w:rPr>
        <w:t>、单位自评</w:t>
      </w:r>
      <w:r>
        <w:rPr>
          <w:rFonts w:hint="default" w:ascii="Times New Roman" w:hAnsi="Times New Roman" w:eastAsia="仿宋_GB2312" w:cs="Times New Roman"/>
          <w:b w:val="0"/>
          <w:bCs w:val="0"/>
          <w:kern w:val="0"/>
          <w:position w:val="0"/>
          <w:sz w:val="32"/>
          <w:szCs w:val="32"/>
          <w:highlight w:val="none"/>
          <w:lang w:val="en-US" w:eastAsia="zh-CN" w:bidi="ar-SA"/>
        </w:rPr>
        <w:t>等多种方式，开展实施项目绩效评价工作。</w:t>
      </w:r>
    </w:p>
    <w:p w14:paraId="585E2D32">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楷体_GB2312" w:cs="Times New Roman"/>
          <w:b/>
          <w:color w:val="auto"/>
          <w:kern w:val="0"/>
          <w:sz w:val="32"/>
          <w:szCs w:val="32"/>
          <w:highlight w:val="none"/>
          <w:u w:val="none"/>
          <w:lang w:val="zh-CN" w:eastAsia="zh-CN" w:bidi="ar-SA"/>
        </w:rPr>
        <w:t>（五）评价组织。</w:t>
      </w:r>
      <w:r>
        <w:rPr>
          <w:rFonts w:hint="default" w:ascii="Times New Roman" w:hAnsi="Times New Roman" w:eastAsia="仿宋_GB2312" w:cs="Times New Roman"/>
          <w:b w:val="0"/>
          <w:bCs w:val="0"/>
          <w:kern w:val="0"/>
          <w:position w:val="0"/>
          <w:sz w:val="32"/>
          <w:szCs w:val="32"/>
          <w:highlight w:val="none"/>
          <w:lang w:val="en-US" w:eastAsia="zh-CN" w:bidi="ar-SA"/>
        </w:rPr>
        <w:t>评价组人员构成和职责分工。</w:t>
      </w:r>
    </w:p>
    <w:p w14:paraId="5A3C8817">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成立项目</w:t>
      </w:r>
      <w:r>
        <w:rPr>
          <w:rFonts w:hint="eastAsia" w:ascii="Times New Roman" w:hAnsi="Times New Roman" w:eastAsia="仿宋_GB2312" w:cs="Times New Roman"/>
          <w:b w:val="0"/>
          <w:bCs w:val="0"/>
          <w:kern w:val="0"/>
          <w:position w:val="0"/>
          <w:sz w:val="32"/>
          <w:szCs w:val="32"/>
          <w:highlight w:val="none"/>
          <w:lang w:val="en-US" w:eastAsia="zh-CN" w:bidi="ar-SA"/>
        </w:rPr>
        <w:t>绩效评价</w:t>
      </w:r>
      <w:r>
        <w:rPr>
          <w:rFonts w:hint="default" w:ascii="Times New Roman" w:hAnsi="Times New Roman" w:eastAsia="仿宋_GB2312" w:cs="Times New Roman"/>
          <w:b w:val="0"/>
          <w:bCs w:val="0"/>
          <w:kern w:val="0"/>
          <w:position w:val="0"/>
          <w:sz w:val="32"/>
          <w:szCs w:val="32"/>
          <w:highlight w:val="none"/>
          <w:lang w:val="en-US" w:eastAsia="zh-CN" w:bidi="ar-SA"/>
        </w:rPr>
        <w:t>小组，</w:t>
      </w:r>
      <w:r>
        <w:rPr>
          <w:rFonts w:hint="eastAsia" w:ascii="Times New Roman" w:hAnsi="Times New Roman" w:eastAsia="仿宋_GB2312" w:cs="Times New Roman"/>
          <w:b w:val="0"/>
          <w:bCs w:val="0"/>
          <w:kern w:val="0"/>
          <w:position w:val="0"/>
          <w:sz w:val="32"/>
          <w:szCs w:val="32"/>
          <w:highlight w:val="none"/>
          <w:lang w:val="en-US" w:eastAsia="zh-CN" w:bidi="ar-SA"/>
        </w:rPr>
        <w:t>评价</w:t>
      </w:r>
      <w:r>
        <w:rPr>
          <w:rFonts w:hint="default" w:ascii="Times New Roman" w:hAnsi="Times New Roman" w:eastAsia="仿宋_GB2312" w:cs="Times New Roman"/>
          <w:b w:val="0"/>
          <w:bCs w:val="0"/>
          <w:kern w:val="0"/>
          <w:position w:val="0"/>
          <w:sz w:val="32"/>
          <w:szCs w:val="32"/>
          <w:highlight w:val="none"/>
          <w:lang w:val="en-US" w:eastAsia="zh-CN" w:bidi="ar-SA"/>
        </w:rPr>
        <w:t>小组负责项目配套资金筹措和督促检查，并解决项目建设中的重大问题，负责项目资金管理、调度、审计等，为项目的顺利实施提供组织保证。</w:t>
      </w:r>
    </w:p>
    <w:p w14:paraId="0BF33FB0">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组  长：沈义攀（副场长、主持工作）</w:t>
      </w:r>
    </w:p>
    <w:p w14:paraId="0B454EAE">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副组长：李小伟（副场长）</w:t>
      </w:r>
    </w:p>
    <w:p w14:paraId="7C65ECE1">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成  员：</w:t>
      </w:r>
      <w:r>
        <w:rPr>
          <w:rFonts w:hint="eastAsia" w:ascii="Times New Roman" w:hAnsi="Times New Roman" w:eastAsia="仿宋_GB2312" w:cs="Times New Roman"/>
          <w:b w:val="0"/>
          <w:bCs w:val="0"/>
          <w:kern w:val="0"/>
          <w:position w:val="0"/>
          <w:sz w:val="32"/>
          <w:szCs w:val="32"/>
          <w:highlight w:val="none"/>
          <w:lang w:val="en-US" w:eastAsia="zh-CN" w:bidi="ar-SA"/>
        </w:rPr>
        <w:t>赵晓东、杨超、周育臻、撒朗文朱、杨砚璐</w:t>
      </w:r>
      <w:r>
        <w:rPr>
          <w:rFonts w:hint="default" w:ascii="Times New Roman" w:hAnsi="Times New Roman" w:eastAsia="仿宋_GB2312" w:cs="Times New Roman"/>
          <w:b w:val="0"/>
          <w:bCs w:val="0"/>
          <w:kern w:val="0"/>
          <w:position w:val="0"/>
          <w:sz w:val="32"/>
          <w:szCs w:val="32"/>
          <w:highlight w:val="none"/>
          <w:lang w:val="en-US" w:eastAsia="zh-CN" w:bidi="ar-SA"/>
        </w:rPr>
        <w:t>（</w:t>
      </w:r>
      <w:r>
        <w:rPr>
          <w:rFonts w:hint="eastAsia" w:ascii="Times New Roman" w:hAnsi="Times New Roman" w:eastAsia="仿宋_GB2312" w:cs="Times New Roman"/>
          <w:b w:val="0"/>
          <w:bCs w:val="0"/>
          <w:kern w:val="0"/>
          <w:position w:val="0"/>
          <w:sz w:val="32"/>
          <w:szCs w:val="32"/>
          <w:highlight w:val="none"/>
          <w:lang w:val="en-US" w:eastAsia="zh-CN" w:bidi="ar-SA"/>
        </w:rPr>
        <w:t>负责统筹评估目标制定、数据收集及报告撰写‌</w:t>
      </w:r>
      <w:r>
        <w:rPr>
          <w:rFonts w:hint="default" w:ascii="Times New Roman" w:hAnsi="Times New Roman" w:eastAsia="仿宋_GB2312" w:cs="Times New Roman"/>
          <w:b w:val="0"/>
          <w:bCs w:val="0"/>
          <w:kern w:val="0"/>
          <w:position w:val="0"/>
          <w:sz w:val="32"/>
          <w:szCs w:val="32"/>
          <w:highlight w:val="none"/>
          <w:lang w:val="en-US" w:eastAsia="zh-CN" w:bidi="ar-SA"/>
        </w:rPr>
        <w:t>）</w:t>
      </w:r>
    </w:p>
    <w:p w14:paraId="3E6E0A2C">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 xml:space="preserve">        刘奇（</w:t>
      </w:r>
      <w:r>
        <w:rPr>
          <w:rFonts w:hint="eastAsia" w:ascii="Times New Roman" w:hAnsi="Times New Roman" w:eastAsia="仿宋_GB2312" w:cs="Times New Roman"/>
          <w:b w:val="0"/>
          <w:bCs w:val="0"/>
          <w:kern w:val="0"/>
          <w:position w:val="0"/>
          <w:sz w:val="32"/>
          <w:szCs w:val="32"/>
          <w:highlight w:val="none"/>
          <w:lang w:val="en-US" w:eastAsia="zh-CN" w:bidi="ar-SA"/>
        </w:rPr>
        <w:t>负责项目财务数据分析</w:t>
      </w:r>
      <w:r>
        <w:rPr>
          <w:rFonts w:hint="default" w:ascii="Times New Roman" w:hAnsi="Times New Roman" w:eastAsia="仿宋_GB2312" w:cs="Times New Roman"/>
          <w:b w:val="0"/>
          <w:bCs w:val="0"/>
          <w:kern w:val="0"/>
          <w:position w:val="0"/>
          <w:sz w:val="32"/>
          <w:szCs w:val="32"/>
          <w:highlight w:val="none"/>
          <w:lang w:val="en-US" w:eastAsia="zh-CN" w:bidi="ar-SA"/>
        </w:rPr>
        <w:t>）</w:t>
      </w:r>
    </w:p>
    <w:p w14:paraId="4AA8D2D0">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 xml:space="preserve">        方静（提供专业领域的技术评估，确保项目技术可行性和质量达标‌）</w:t>
      </w:r>
    </w:p>
    <w:p w14:paraId="41AB985A">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 xml:space="preserve">        叶刚（提供专业领域的技术评估，确保项目技术可行性和质量达标‌）</w:t>
      </w:r>
    </w:p>
    <w:p w14:paraId="6D0FABBF">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郭红瑞（提供专业领域的技术评估，确保项目技术可行性和质量达标‌）</w:t>
      </w:r>
    </w:p>
    <w:p w14:paraId="70B4C293">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 xml:space="preserve">        周育臻（掌握项目资金的使用，掌握实施进度）</w:t>
      </w:r>
      <w:r>
        <w:rPr>
          <w:rFonts w:hint="default" w:ascii="Times New Roman" w:hAnsi="Times New Roman" w:eastAsia="仿宋_GB2312" w:cs="Times New Roman"/>
          <w:b w:val="0"/>
          <w:bCs w:val="0"/>
          <w:kern w:val="0"/>
          <w:position w:val="0"/>
          <w:sz w:val="32"/>
          <w:szCs w:val="32"/>
          <w:highlight w:val="none"/>
          <w:lang w:val="en-US" w:eastAsia="zh-CN" w:bidi="ar-SA"/>
        </w:rPr>
        <w:t xml:space="preserve"> </w:t>
      </w:r>
    </w:p>
    <w:p w14:paraId="15258B2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eastAsia="黑体" w:cs="Times New Roman"/>
          <w:color w:val="auto"/>
          <w:sz w:val="32"/>
          <w:szCs w:val="32"/>
          <w:highlight w:val="none"/>
          <w:u w:val="none"/>
          <w:lang w:val="zh-CN"/>
        </w:rPr>
        <w:tab/>
      </w:r>
    </w:p>
    <w:p w14:paraId="40F7F137">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zh-CN" w:eastAsia="zh-CN" w:bidi="ar-SA"/>
        </w:rPr>
        <w:t>根据项目预算绩效评价指标体系“通用指标”“专用指标”“个性指标”涉及二、三级指标进行逐项绩效分析并评分</w:t>
      </w:r>
      <w:r>
        <w:rPr>
          <w:rFonts w:hint="default" w:ascii="Times New Roman" w:hAnsi="Times New Roman" w:eastAsia="仿宋_GB2312" w:cs="Times New Roman"/>
          <w:b w:val="0"/>
          <w:bCs w:val="0"/>
          <w:kern w:val="0"/>
          <w:position w:val="0"/>
          <w:sz w:val="32"/>
          <w:szCs w:val="32"/>
          <w:highlight w:val="none"/>
          <w:lang w:val="en-US" w:eastAsia="zh-CN" w:bidi="ar-SA"/>
        </w:rPr>
        <w:t>。</w:t>
      </w:r>
    </w:p>
    <w:p w14:paraId="5220404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default" w:ascii="Times New Roman" w:hAnsi="Times New Roman" w:eastAsia="楷体_GB2312" w:cs="Times New Roman"/>
          <w:b/>
          <w:color w:val="auto"/>
          <w:kern w:val="0"/>
          <w:sz w:val="32"/>
          <w:szCs w:val="32"/>
          <w:highlight w:val="none"/>
          <w:u w:val="none"/>
          <w:lang w:val="en-US" w:eastAsia="zh-CN" w:bidi="ar-SA"/>
        </w:rPr>
      </w:pPr>
      <w:r>
        <w:rPr>
          <w:rFonts w:hint="default" w:ascii="Times New Roman" w:hAnsi="Times New Roman" w:eastAsia="楷体_GB2312" w:cs="Times New Roman"/>
          <w:b/>
          <w:color w:val="auto"/>
          <w:kern w:val="0"/>
          <w:sz w:val="32"/>
          <w:szCs w:val="32"/>
          <w:highlight w:val="none"/>
          <w:u w:val="none"/>
          <w:lang w:val="zh-CN" w:eastAsia="zh-CN" w:bidi="ar-SA"/>
        </w:rPr>
        <w:t>（一）</w:t>
      </w:r>
      <w:r>
        <w:rPr>
          <w:rFonts w:hint="default" w:ascii="Times New Roman" w:hAnsi="Times New Roman" w:eastAsia="楷体_GB2312" w:cs="Times New Roman"/>
          <w:b/>
          <w:color w:val="auto"/>
          <w:kern w:val="0"/>
          <w:sz w:val="32"/>
          <w:szCs w:val="32"/>
          <w:highlight w:val="none"/>
          <w:u w:val="none"/>
          <w:lang w:val="en-US" w:eastAsia="zh-CN" w:bidi="ar-SA"/>
        </w:rPr>
        <w:t>通用指标</w:t>
      </w:r>
      <w:r>
        <w:rPr>
          <w:rFonts w:hint="default" w:ascii="Times New Roman" w:hAnsi="Times New Roman" w:eastAsia="楷体_GB2312" w:cs="Times New Roman"/>
          <w:b/>
          <w:color w:val="auto"/>
          <w:kern w:val="0"/>
          <w:sz w:val="32"/>
          <w:szCs w:val="32"/>
          <w:highlight w:val="none"/>
          <w:u w:val="none"/>
          <w:lang w:val="zh-CN" w:eastAsia="zh-CN" w:bidi="ar-SA"/>
        </w:rPr>
        <w:t>绩效分析。</w:t>
      </w:r>
    </w:p>
    <w:p w14:paraId="0A5C9599">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1.项目决策。围绕决策程序、规划论证、资金投向进行绩效分析。</w:t>
      </w:r>
    </w:p>
    <w:p w14:paraId="282C83B7">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kern w:val="2"/>
          <w:position w:val="0"/>
          <w:sz w:val="32"/>
          <w:szCs w:val="32"/>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决策程序</w:t>
      </w:r>
      <w:r>
        <w:rPr>
          <w:rFonts w:hint="eastAsia" w:ascii="Times New Roman" w:hAnsi="Times New Roman" w:eastAsia="仿宋_GB2312" w:cs="Times New Roman"/>
          <w:b w:val="0"/>
          <w:bCs w:val="0"/>
          <w:kern w:val="0"/>
          <w:position w:val="0"/>
          <w:sz w:val="32"/>
          <w:szCs w:val="32"/>
          <w:highlight w:val="none"/>
          <w:lang w:val="en-US" w:eastAsia="zh-CN" w:bidi="ar-SA"/>
        </w:rPr>
        <w:t>：</w:t>
      </w:r>
      <w:r>
        <w:rPr>
          <w:rFonts w:hint="default" w:ascii="Times New Roman" w:hAnsi="Times New Roman" w:eastAsia="仿宋_GB2312" w:cs="Times New Roman"/>
          <w:b w:val="0"/>
          <w:bCs w:val="0"/>
          <w:kern w:val="0"/>
          <w:position w:val="0"/>
          <w:sz w:val="32"/>
          <w:szCs w:val="32"/>
          <w:highlight w:val="none"/>
          <w:lang w:val="en-US" w:eastAsia="zh-CN" w:bidi="ar-SA"/>
        </w:rPr>
        <w:t>项目设立、调整延续等方面符合资金管理基本规范和决策程序要求</w:t>
      </w:r>
      <w:r>
        <w:rPr>
          <w:rFonts w:hint="eastAsia" w:ascii="Times New Roman" w:hAnsi="Times New Roman" w:eastAsia="仿宋_GB2312" w:cs="Times New Roman"/>
          <w:b w:val="0"/>
          <w:bCs w:val="0"/>
          <w:kern w:val="0"/>
          <w:position w:val="0"/>
          <w:sz w:val="32"/>
          <w:szCs w:val="32"/>
          <w:highlight w:val="none"/>
          <w:lang w:val="en-US" w:eastAsia="zh-CN" w:bidi="ar-SA"/>
        </w:rPr>
        <w:t>（6分）。规划论证：项目规划符合中央、省委省政府有关决策部署安排；充分评估论证项目立项必要性、前瞻性、合理性和可行性。项目总体绩效目标设置合理性的偏离度≤15%（6分）。资金投向：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6分）。</w:t>
      </w:r>
    </w:p>
    <w:p w14:paraId="433AC7EC">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2.</w:t>
      </w:r>
      <w:r>
        <w:rPr>
          <w:rFonts w:hint="default" w:ascii="Times New Roman" w:hAnsi="Times New Roman" w:eastAsia="仿宋_GB2312" w:cs="Times New Roman"/>
          <w:b w:val="0"/>
          <w:bCs w:val="0"/>
          <w:kern w:val="0"/>
          <w:position w:val="0"/>
          <w:sz w:val="32"/>
          <w:szCs w:val="32"/>
          <w:highlight w:val="none"/>
          <w:lang w:val="en-US" w:eastAsia="zh-CN" w:bidi="ar-SA"/>
        </w:rPr>
        <w:t>项目管理。围绕制度办法、分配管理、绩效监管进行绩效分析。</w:t>
      </w:r>
    </w:p>
    <w:p w14:paraId="4951D1E1">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制度办法</w:t>
      </w:r>
      <w:r>
        <w:rPr>
          <w:rFonts w:hint="eastAsia" w:ascii="Times New Roman" w:hAnsi="Times New Roman" w:eastAsia="仿宋_GB2312" w:cs="Times New Roman"/>
          <w:b w:val="0"/>
          <w:bCs w:val="0"/>
          <w:kern w:val="0"/>
          <w:position w:val="0"/>
          <w:sz w:val="32"/>
          <w:szCs w:val="32"/>
          <w:highlight w:val="none"/>
          <w:lang w:val="en-US" w:eastAsia="zh-CN" w:bidi="ar-SA"/>
        </w:rPr>
        <w:t>：资金管理办法等管理制度体系健全完善，不存在管理制度缺失、管理办法过期情况（2分）。分配管理：资金分配因素选取充分考虑相关行业事业发展实际和发展需求，资金分配因素的权重设置有效突出项目实施重点，资金区域分布结果公平合理；资金分配严格按管理办法执行，决策程序符合管理要求，及时高效（10分）。绩效监管：对资金、项目政策、绩效监管有效，项目绩效监管按要求开展，对下指导有力有效（6分）。</w:t>
      </w:r>
    </w:p>
    <w:p w14:paraId="642801B3">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项目实施。围绕预算</w:t>
      </w:r>
      <w:r>
        <w:rPr>
          <w:rFonts w:hint="default" w:ascii="Times New Roman" w:hAnsi="Times New Roman" w:eastAsia="仿宋_GB2312" w:cs="Times New Roman"/>
          <w:b w:val="0"/>
          <w:bCs w:val="0"/>
          <w:kern w:val="0"/>
          <w:position w:val="0"/>
          <w:sz w:val="32"/>
          <w:szCs w:val="32"/>
          <w:highlight w:val="none"/>
          <w:lang w:val="zh-CN" w:eastAsia="zh-CN" w:bidi="ar-SA"/>
        </w:rPr>
        <w:t>执行</w:t>
      </w:r>
      <w:r>
        <w:rPr>
          <w:rFonts w:hint="default" w:ascii="Times New Roman" w:hAnsi="Times New Roman" w:eastAsia="仿宋_GB2312" w:cs="Times New Roman"/>
          <w:b w:val="0"/>
          <w:bCs w:val="0"/>
          <w:kern w:val="0"/>
          <w:position w:val="0"/>
          <w:sz w:val="32"/>
          <w:szCs w:val="32"/>
          <w:highlight w:val="none"/>
          <w:lang w:val="en-US" w:eastAsia="zh-CN" w:bidi="ar-SA"/>
        </w:rPr>
        <w:t>、资金使用进行绩效分析。</w:t>
      </w:r>
    </w:p>
    <w:p w14:paraId="15213644">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预算</w:t>
      </w:r>
      <w:r>
        <w:rPr>
          <w:rFonts w:hint="default" w:ascii="Times New Roman" w:hAnsi="Times New Roman" w:eastAsia="仿宋_GB2312" w:cs="Times New Roman"/>
          <w:b w:val="0"/>
          <w:bCs w:val="0"/>
          <w:kern w:val="0"/>
          <w:position w:val="0"/>
          <w:sz w:val="32"/>
          <w:szCs w:val="32"/>
          <w:highlight w:val="none"/>
          <w:lang w:val="zh-CN" w:eastAsia="zh-CN" w:bidi="ar-SA"/>
        </w:rPr>
        <w:t>执行</w:t>
      </w:r>
      <w:r>
        <w:rPr>
          <w:rFonts w:hint="eastAsia" w:ascii="Times New Roman" w:hAnsi="Times New Roman" w:eastAsia="仿宋_GB2312" w:cs="Times New Roman"/>
          <w:b w:val="0"/>
          <w:bCs w:val="0"/>
          <w:kern w:val="0"/>
          <w:position w:val="0"/>
          <w:sz w:val="32"/>
          <w:szCs w:val="32"/>
          <w:highlight w:val="none"/>
          <w:lang w:val="zh-CN" w:eastAsia="zh-CN" w:bidi="ar-SA"/>
        </w:rPr>
        <w:t>：财政资金</w:t>
      </w:r>
      <w:r>
        <w:rPr>
          <w:rFonts w:hint="eastAsia" w:ascii="Times New Roman" w:hAnsi="Times New Roman" w:eastAsia="仿宋_GB2312" w:cs="Times New Roman"/>
          <w:b w:val="0"/>
          <w:bCs w:val="0"/>
          <w:kern w:val="0"/>
          <w:position w:val="0"/>
          <w:sz w:val="32"/>
          <w:szCs w:val="32"/>
          <w:highlight w:val="none"/>
          <w:lang w:val="en-US" w:eastAsia="zh-CN" w:bidi="ar-SA"/>
        </w:rPr>
        <w:t>拨付50万，拨付率100%；单位资金使用率31万，使用率62%（3.5分）。资金使用：项目资金使用、拨付是符合国家财经法规、财务管理制度及有关专项资金管理制度办法规定和审批程序，不存在超范围、超标准、超进度使用专项资金，不存在资金损失浪费、长期沉淀、截留、挤占、挪用、虚列支出等情况，项目实施否遵守相关法律法规（3分）。</w:t>
      </w:r>
    </w:p>
    <w:p w14:paraId="2B201349">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4.项目结果。围绕目标完成、完成时效进行绩效分析。</w:t>
      </w:r>
    </w:p>
    <w:p w14:paraId="7EEE70D5">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目标完成</w:t>
      </w:r>
      <w:r>
        <w:rPr>
          <w:rFonts w:hint="eastAsia" w:ascii="Times New Roman" w:hAnsi="Times New Roman" w:eastAsia="仿宋_GB2312" w:cs="Times New Roman"/>
          <w:b w:val="0"/>
          <w:bCs w:val="0"/>
          <w:kern w:val="0"/>
          <w:position w:val="0"/>
          <w:sz w:val="32"/>
          <w:szCs w:val="32"/>
          <w:highlight w:val="none"/>
          <w:lang w:val="en-US" w:eastAsia="zh-CN" w:bidi="ar-SA"/>
        </w:rPr>
        <w:t>：项目已完成预期目标，实施结果与绩效目标相匹配，本项目时间期限为两年，已经开始半年，目标实现程度为25%（1.5分）。完成时效：项目实际完成时间与计划完成时间一致（3分）</w:t>
      </w:r>
    </w:p>
    <w:p w14:paraId="6CACFE7F">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3" w:firstLineChars="200"/>
        <w:textAlignment w:val="auto"/>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default" w:ascii="Times New Roman" w:hAnsi="Times New Roman" w:eastAsia="仿宋_GB2312" w:cs="Times New Roman"/>
          <w:b w:val="0"/>
          <w:bCs w:val="0"/>
          <w:kern w:val="0"/>
          <w:position w:val="0"/>
          <w:sz w:val="32"/>
          <w:szCs w:val="32"/>
          <w:highlight w:val="none"/>
          <w:lang w:val="zh-CN" w:eastAsia="zh-CN" w:bidi="ar-SA"/>
        </w:rPr>
        <w:t>根据</w:t>
      </w:r>
      <w:r>
        <w:rPr>
          <w:rFonts w:hint="default" w:ascii="Times New Roman" w:hAnsi="Times New Roman" w:eastAsia="仿宋_GB2312" w:cs="Times New Roman"/>
          <w:b w:val="0"/>
          <w:bCs w:val="0"/>
          <w:kern w:val="0"/>
          <w:position w:val="0"/>
          <w:sz w:val="32"/>
          <w:szCs w:val="32"/>
          <w:highlight w:val="none"/>
          <w:lang w:val="en-US" w:eastAsia="zh-CN" w:bidi="ar-SA"/>
        </w:rPr>
        <w:t>专项预算项目资金支持对象选择所属指标进行绩效分析。支持对象</w:t>
      </w:r>
      <w:r>
        <w:rPr>
          <w:rFonts w:hint="default" w:ascii="Times New Roman" w:hAnsi="Times New Roman" w:eastAsia="仿宋_GB2312" w:cs="Times New Roman"/>
          <w:b w:val="0"/>
          <w:bCs w:val="0"/>
          <w:kern w:val="0"/>
          <w:position w:val="0"/>
          <w:sz w:val="32"/>
          <w:szCs w:val="32"/>
          <w:highlight w:val="none"/>
          <w:lang w:val="zh-CN" w:eastAsia="zh-CN" w:bidi="ar-SA"/>
        </w:rPr>
        <w:t>包括产业发展、民生保障、基础设施、行政运转等方面。</w:t>
      </w:r>
    </w:p>
    <w:p w14:paraId="47D1D863">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1.产业发展类。围绕符合性、成长性、经济性进行绩效分析。</w:t>
      </w:r>
    </w:p>
    <w:p w14:paraId="7631D78F">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2.</w:t>
      </w:r>
      <w:r>
        <w:rPr>
          <w:rFonts w:hint="default" w:ascii="Times New Roman" w:hAnsi="Times New Roman" w:eastAsia="仿宋_GB2312" w:cs="Times New Roman"/>
          <w:b w:val="0"/>
          <w:bCs w:val="0"/>
          <w:kern w:val="0"/>
          <w:position w:val="0"/>
          <w:sz w:val="32"/>
          <w:szCs w:val="32"/>
          <w:highlight w:val="none"/>
          <w:lang w:val="zh-CN" w:eastAsia="zh-CN" w:bidi="ar-SA"/>
        </w:rPr>
        <w:t>民生保障</w:t>
      </w:r>
      <w:r>
        <w:rPr>
          <w:rFonts w:hint="default" w:ascii="Times New Roman" w:hAnsi="Times New Roman" w:eastAsia="仿宋_GB2312" w:cs="Times New Roman"/>
          <w:b w:val="0"/>
          <w:bCs w:val="0"/>
          <w:kern w:val="0"/>
          <w:position w:val="0"/>
          <w:sz w:val="32"/>
          <w:szCs w:val="32"/>
          <w:highlight w:val="none"/>
          <w:lang w:val="en-US" w:eastAsia="zh-CN" w:bidi="ar-SA"/>
        </w:rPr>
        <w:t>类</w:t>
      </w:r>
      <w:r>
        <w:rPr>
          <w:rFonts w:hint="default" w:ascii="Times New Roman" w:hAnsi="Times New Roman" w:eastAsia="仿宋_GB2312" w:cs="Times New Roman"/>
          <w:b w:val="0"/>
          <w:bCs w:val="0"/>
          <w:kern w:val="0"/>
          <w:position w:val="0"/>
          <w:sz w:val="32"/>
          <w:szCs w:val="32"/>
          <w:highlight w:val="none"/>
          <w:lang w:val="zh-CN" w:eastAsia="zh-CN" w:bidi="ar-SA"/>
        </w:rPr>
        <w:t>。</w:t>
      </w:r>
      <w:r>
        <w:rPr>
          <w:rFonts w:hint="default" w:ascii="Times New Roman" w:hAnsi="Times New Roman" w:eastAsia="仿宋_GB2312" w:cs="Times New Roman"/>
          <w:b w:val="0"/>
          <w:bCs w:val="0"/>
          <w:kern w:val="0"/>
          <w:position w:val="0"/>
          <w:sz w:val="32"/>
          <w:szCs w:val="32"/>
          <w:highlight w:val="none"/>
          <w:lang w:val="en-US" w:eastAsia="zh-CN" w:bidi="ar-SA"/>
        </w:rPr>
        <w:t>围绕区域均衡性、对象精准性、标准合理性、群众满意度进行绩效分析。</w:t>
      </w:r>
    </w:p>
    <w:p w14:paraId="0A1EB955">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集成阿坝州牦牛寄生虫病综合防控技术1套，并建立1-2个示范点进行示范推广应用，培训当地畜牧科技人员和农牧民，辐射带动周边养殖户科学养殖，全面提升养殖场、专合社（家庭农场）及养殖户收益。包括牦牛养殖示范基地5个，存栏总量达2000头；覆盖全州牦牛养殖区域，降低牦牛寄生虫发病率10%，带动养殖户均年增收1000元；办2期培训班（现场会）。</w:t>
      </w:r>
    </w:p>
    <w:p w14:paraId="48488EE9">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3.基础设施类。在建项目围绕工程进度和资金拨付进行绩效分析；建成项目围绕项目验收、功能实现、后续管护进行绩效分析。</w:t>
      </w:r>
    </w:p>
    <w:p w14:paraId="65649CB9">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4.</w:t>
      </w:r>
      <w:r>
        <w:rPr>
          <w:rFonts w:hint="default" w:ascii="Times New Roman" w:hAnsi="Times New Roman" w:eastAsia="仿宋_GB2312" w:cs="Times New Roman"/>
          <w:b w:val="0"/>
          <w:bCs w:val="0"/>
          <w:kern w:val="0"/>
          <w:position w:val="0"/>
          <w:sz w:val="32"/>
          <w:szCs w:val="32"/>
          <w:highlight w:val="none"/>
          <w:lang w:val="zh-CN" w:eastAsia="zh-CN" w:bidi="ar-SA"/>
        </w:rPr>
        <w:t>行政运转</w:t>
      </w:r>
      <w:r>
        <w:rPr>
          <w:rFonts w:hint="default" w:ascii="Times New Roman" w:hAnsi="Times New Roman" w:eastAsia="仿宋_GB2312" w:cs="Times New Roman"/>
          <w:b w:val="0"/>
          <w:bCs w:val="0"/>
          <w:kern w:val="0"/>
          <w:position w:val="0"/>
          <w:sz w:val="32"/>
          <w:szCs w:val="32"/>
          <w:highlight w:val="none"/>
          <w:lang w:val="en-US" w:eastAsia="zh-CN" w:bidi="ar-SA"/>
        </w:rPr>
        <w:t>类</w:t>
      </w:r>
      <w:r>
        <w:rPr>
          <w:rFonts w:hint="default" w:ascii="Times New Roman" w:hAnsi="Times New Roman" w:eastAsia="仿宋_GB2312" w:cs="Times New Roman"/>
          <w:b w:val="0"/>
          <w:bCs w:val="0"/>
          <w:kern w:val="0"/>
          <w:position w:val="0"/>
          <w:sz w:val="32"/>
          <w:szCs w:val="32"/>
          <w:highlight w:val="none"/>
          <w:lang w:val="zh-CN" w:eastAsia="zh-CN" w:bidi="ar-SA"/>
        </w:rPr>
        <w:t>。围绕用途合规性、程序合规性、标准合规性进行绩效分析。</w:t>
      </w:r>
    </w:p>
    <w:p w14:paraId="2C75BBC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楷体_GB2312" w:cs="Times New Roman"/>
          <w:b/>
          <w:color w:val="auto"/>
          <w:kern w:val="0"/>
          <w:sz w:val="32"/>
          <w:szCs w:val="32"/>
          <w:highlight w:val="none"/>
          <w:u w:val="none"/>
          <w:lang w:val="zh-CN" w:eastAsia="zh-CN" w:bidi="ar-SA"/>
        </w:rPr>
        <w:t>（三）</w:t>
      </w:r>
      <w:r>
        <w:rPr>
          <w:rFonts w:hint="default" w:ascii="Times New Roman" w:hAnsi="Times New Roman" w:eastAsia="楷体_GB2312" w:cs="Times New Roman"/>
          <w:b/>
          <w:color w:val="auto"/>
          <w:kern w:val="0"/>
          <w:sz w:val="32"/>
          <w:szCs w:val="32"/>
          <w:highlight w:val="none"/>
          <w:u w:val="none"/>
          <w:lang w:val="en-US" w:eastAsia="zh-CN" w:bidi="ar-SA"/>
        </w:rPr>
        <w:t>个性指标</w:t>
      </w:r>
      <w:r>
        <w:rPr>
          <w:rFonts w:hint="default" w:ascii="Times New Roman" w:hAnsi="Times New Roman" w:eastAsia="楷体_GB2312" w:cs="Times New Roman"/>
          <w:b/>
          <w:color w:val="auto"/>
          <w:kern w:val="0"/>
          <w:sz w:val="32"/>
          <w:szCs w:val="32"/>
          <w:highlight w:val="none"/>
          <w:u w:val="none"/>
          <w:lang w:val="zh-CN" w:eastAsia="zh-CN" w:bidi="ar-SA"/>
        </w:rPr>
        <w:t>绩效分析。</w:t>
      </w:r>
      <w:r>
        <w:rPr>
          <w:rFonts w:hint="default" w:ascii="Times New Roman" w:hAnsi="Times New Roman" w:eastAsia="仿宋_GB2312" w:cs="Times New Roman"/>
          <w:b w:val="0"/>
          <w:bCs w:val="0"/>
          <w:kern w:val="0"/>
          <w:position w:val="0"/>
          <w:sz w:val="32"/>
          <w:szCs w:val="32"/>
          <w:highlight w:val="none"/>
          <w:lang w:val="zh-CN" w:eastAsia="zh-CN" w:bidi="ar-SA"/>
        </w:rPr>
        <w:t>根据项目个性自行设定部分指标，反映该项指标执行完成情况。</w:t>
      </w:r>
    </w:p>
    <w:p w14:paraId="6CF839A1">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cs="Times New Roman"/>
          <w:color w:val="auto"/>
          <w:kern w:val="0"/>
          <w:sz w:val="32"/>
          <w:szCs w:val="32"/>
          <w:highlight w:val="none"/>
          <w:u w:val="none"/>
          <w:shd w:val="clear" w:color="auto" w:fill="FFFFFF"/>
          <w:lang w:val="en-US" w:eastAsia="zh-CN"/>
        </w:rPr>
      </w:pPr>
      <w:r>
        <w:rPr>
          <w:rFonts w:hint="eastAsia" w:ascii="Times New Roman" w:hAnsi="Times New Roman" w:eastAsia="仿宋_GB2312" w:cs="Times New Roman"/>
          <w:b/>
          <w:bCs/>
          <w:color w:val="auto"/>
          <w:kern w:val="0"/>
          <w:position w:val="0"/>
          <w:sz w:val="32"/>
          <w:szCs w:val="32"/>
          <w:highlight w:val="none"/>
          <w:u w:val="none"/>
          <w:shd w:val="clear" w:color="auto" w:fill="FFFFFF"/>
          <w:lang w:val="en-US" w:eastAsia="zh-CN" w:bidi="ar-SA"/>
        </w:rPr>
        <w:t>筛选阿坝州牦牛寄生虫敏感药物：</w:t>
      </w:r>
      <w:r>
        <w:rPr>
          <w:rFonts w:hint="eastAsia" w:ascii="Times New Roman" w:hAnsi="Times New Roman" w:eastAsia="仿宋_GB2312" w:cs="Times New Roman"/>
          <w:b w:val="0"/>
          <w:bCs w:val="0"/>
          <w:kern w:val="0"/>
          <w:position w:val="0"/>
          <w:sz w:val="32"/>
          <w:szCs w:val="32"/>
          <w:highlight w:val="none"/>
          <w:lang w:val="en-US" w:eastAsia="zh-CN" w:bidi="ar-SA"/>
        </w:rPr>
        <w:t>通过筛选有效和敏感的抗寄生虫药物，优化和完善牦牛精准驱虫药物选择，建立合理的驱虫药物选择方案。</w:t>
      </w:r>
    </w:p>
    <w:p w14:paraId="1CC9EF4A">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cs="Times New Roman"/>
          <w:color w:val="auto"/>
          <w:kern w:val="0"/>
          <w:sz w:val="32"/>
          <w:szCs w:val="32"/>
          <w:highlight w:val="none"/>
          <w:u w:val="none"/>
          <w:shd w:val="clear" w:color="auto" w:fill="FFFFFF"/>
          <w:lang w:val="en-US" w:eastAsia="zh-CN"/>
        </w:rPr>
      </w:pPr>
      <w:r>
        <w:rPr>
          <w:rFonts w:hint="eastAsia" w:ascii="Times New Roman" w:hAnsi="Times New Roman" w:eastAsia="仿宋_GB2312" w:cs="Times New Roman"/>
          <w:b/>
          <w:bCs/>
          <w:color w:val="auto"/>
          <w:kern w:val="0"/>
          <w:position w:val="0"/>
          <w:sz w:val="32"/>
          <w:szCs w:val="32"/>
          <w:highlight w:val="none"/>
          <w:u w:val="none"/>
          <w:shd w:val="clear" w:color="auto" w:fill="FFFFFF"/>
          <w:lang w:val="en-US" w:eastAsia="zh-CN" w:bidi="ar-SA"/>
        </w:rPr>
        <w:t>阿坝州牦牛寄生虫病综合防控技术：</w:t>
      </w:r>
      <w:r>
        <w:rPr>
          <w:rFonts w:hint="eastAsia" w:ascii="Times New Roman" w:hAnsi="Times New Roman" w:eastAsia="仿宋_GB2312" w:cs="Times New Roman"/>
          <w:b w:val="0"/>
          <w:bCs w:val="0"/>
          <w:kern w:val="0"/>
          <w:position w:val="0"/>
          <w:sz w:val="32"/>
          <w:szCs w:val="32"/>
          <w:highlight w:val="none"/>
          <w:lang w:val="en-US" w:eastAsia="zh-CN" w:bidi="ar-SA"/>
        </w:rPr>
        <w:t>阿坝州牦牛寄生虫病综合防控技术1套。</w:t>
      </w:r>
    </w:p>
    <w:p w14:paraId="5DCEA20E">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cs="Times New Roman"/>
          <w:color w:val="auto"/>
          <w:kern w:val="0"/>
          <w:sz w:val="32"/>
          <w:szCs w:val="32"/>
          <w:highlight w:val="none"/>
          <w:u w:val="none"/>
          <w:shd w:val="clear" w:color="auto" w:fill="FFFFFF"/>
          <w:lang w:val="en-US" w:eastAsia="zh-CN"/>
        </w:rPr>
      </w:pPr>
      <w:r>
        <w:rPr>
          <w:rFonts w:hint="eastAsia" w:ascii="Times New Roman" w:hAnsi="Times New Roman" w:eastAsia="仿宋_GB2312" w:cs="Times New Roman"/>
          <w:b/>
          <w:bCs/>
          <w:color w:val="auto"/>
          <w:kern w:val="0"/>
          <w:position w:val="0"/>
          <w:sz w:val="32"/>
          <w:szCs w:val="32"/>
          <w:highlight w:val="none"/>
          <w:u w:val="none"/>
          <w:shd w:val="clear" w:color="auto" w:fill="FFFFFF"/>
          <w:lang w:val="en-US" w:eastAsia="zh-CN" w:bidi="ar-SA"/>
        </w:rPr>
        <w:t>知识产权：</w:t>
      </w:r>
      <w:r>
        <w:rPr>
          <w:rFonts w:hint="eastAsia" w:ascii="Times New Roman" w:hAnsi="Times New Roman" w:eastAsia="仿宋_GB2312" w:cs="Times New Roman"/>
          <w:b w:val="0"/>
          <w:bCs w:val="0"/>
          <w:kern w:val="0"/>
          <w:position w:val="0"/>
          <w:sz w:val="32"/>
          <w:szCs w:val="32"/>
          <w:highlight w:val="none"/>
          <w:lang w:val="en-US" w:eastAsia="zh-CN" w:bidi="ar-SA"/>
        </w:rPr>
        <w:t>发明专利受理1项，实用新型专利1项。</w:t>
      </w:r>
    </w:p>
    <w:p w14:paraId="0DFE439D">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bCs/>
          <w:color w:val="auto"/>
          <w:kern w:val="0"/>
          <w:position w:val="0"/>
          <w:sz w:val="32"/>
          <w:szCs w:val="32"/>
          <w:highlight w:val="none"/>
          <w:u w:val="none"/>
          <w:shd w:val="clear" w:color="auto" w:fill="FFFFFF"/>
          <w:lang w:val="en-US" w:eastAsia="zh-CN" w:bidi="ar-SA"/>
        </w:rPr>
        <w:t>论文专注：</w:t>
      </w:r>
      <w:r>
        <w:rPr>
          <w:rFonts w:hint="eastAsia" w:ascii="Times New Roman" w:hAnsi="Times New Roman" w:eastAsia="仿宋_GB2312" w:cs="Times New Roman"/>
          <w:b w:val="0"/>
          <w:bCs w:val="0"/>
          <w:kern w:val="0"/>
          <w:position w:val="0"/>
          <w:sz w:val="32"/>
          <w:szCs w:val="32"/>
          <w:highlight w:val="none"/>
          <w:lang w:val="en-US" w:eastAsia="zh-CN" w:bidi="ar-SA"/>
        </w:rPr>
        <w:t>公开发表2篇。</w:t>
      </w:r>
    </w:p>
    <w:p w14:paraId="1A5F83E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14:paraId="59BB4188">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简要阐述专项预算项目绩效自评总体结论，包含评价总分、</w:t>
      </w:r>
      <w:r>
        <w:rPr>
          <w:rFonts w:hint="default" w:ascii="Times New Roman" w:hAnsi="Times New Roman" w:eastAsia="仿宋_GB2312" w:cs="Times New Roman"/>
          <w:b w:val="0"/>
          <w:bCs w:val="0"/>
          <w:kern w:val="0"/>
          <w:position w:val="0"/>
          <w:sz w:val="32"/>
          <w:szCs w:val="32"/>
          <w:highlight w:val="none"/>
          <w:lang w:val="zh-CN" w:eastAsia="zh-CN" w:bidi="ar-SA"/>
        </w:rPr>
        <w:t>项目实施情况。</w:t>
      </w:r>
    </w:p>
    <w:p w14:paraId="0A534570">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项目资金为2024年年底到达，项目实施起步落后，但正努力按照计划开展实施。</w:t>
      </w:r>
    </w:p>
    <w:p w14:paraId="3FAB2EC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eastAsia="zh-CN"/>
        </w:rPr>
        <w:t>五、存在主要问题</w:t>
      </w:r>
    </w:p>
    <w:p w14:paraId="30C0CCA9">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简要阐述专项预算项目绩效自评发现的主要问题。</w:t>
      </w:r>
    </w:p>
    <w:p w14:paraId="39B823AC">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无。</w:t>
      </w:r>
    </w:p>
    <w:p w14:paraId="6578EF4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黑体" w:cs="Times New Roman"/>
          <w:color w:val="auto"/>
          <w:sz w:val="32"/>
          <w:szCs w:val="32"/>
          <w:highlight w:val="none"/>
          <w:u w:val="none"/>
          <w:lang w:val="zh-CN" w:eastAsia="zh-CN"/>
        </w:rPr>
      </w:pPr>
      <w:r>
        <w:rPr>
          <w:rFonts w:hint="default" w:ascii="Times New Roman" w:hAnsi="Times New Roman" w:eastAsia="黑体" w:cs="Times New Roman"/>
          <w:color w:val="auto"/>
          <w:sz w:val="32"/>
          <w:szCs w:val="32"/>
          <w:highlight w:val="none"/>
          <w:u w:val="none"/>
          <w:lang w:val="zh-CN" w:eastAsia="zh-CN"/>
        </w:rPr>
        <w:t>六、改进建议</w:t>
      </w:r>
    </w:p>
    <w:p w14:paraId="41B03429">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简要阐述专项预算项目在</w:t>
      </w:r>
      <w:r>
        <w:rPr>
          <w:rFonts w:hint="default" w:ascii="Times New Roman" w:hAnsi="Times New Roman" w:eastAsia="仿宋_GB2312" w:cs="Times New Roman"/>
          <w:b w:val="0"/>
          <w:bCs w:val="0"/>
          <w:kern w:val="0"/>
          <w:position w:val="0"/>
          <w:sz w:val="32"/>
          <w:szCs w:val="32"/>
          <w:highlight w:val="none"/>
          <w:lang w:val="en" w:eastAsia="zh-CN" w:bidi="ar-SA"/>
        </w:rPr>
        <w:t>预算安排、完善政策、改进管理等方面的</w:t>
      </w:r>
      <w:r>
        <w:rPr>
          <w:rFonts w:hint="default" w:ascii="Times New Roman" w:hAnsi="Times New Roman" w:eastAsia="仿宋_GB2312" w:cs="Times New Roman"/>
          <w:b w:val="0"/>
          <w:bCs w:val="0"/>
          <w:kern w:val="0"/>
          <w:position w:val="0"/>
          <w:sz w:val="32"/>
          <w:szCs w:val="32"/>
          <w:highlight w:val="none"/>
          <w:lang w:val="en-US" w:eastAsia="zh-CN" w:bidi="ar-SA"/>
        </w:rPr>
        <w:t>措施</w:t>
      </w:r>
      <w:r>
        <w:rPr>
          <w:rFonts w:hint="default" w:ascii="Times New Roman" w:hAnsi="Times New Roman" w:eastAsia="仿宋_GB2312" w:cs="Times New Roman"/>
          <w:b w:val="0"/>
          <w:bCs w:val="0"/>
          <w:kern w:val="0"/>
          <w:position w:val="0"/>
          <w:sz w:val="32"/>
          <w:szCs w:val="32"/>
          <w:highlight w:val="none"/>
          <w:lang w:val="en" w:eastAsia="zh-CN" w:bidi="ar-SA"/>
        </w:rPr>
        <w:t>建议，其中</w:t>
      </w:r>
      <w:r>
        <w:rPr>
          <w:rFonts w:hint="default" w:ascii="Times New Roman" w:hAnsi="Times New Roman" w:eastAsia="仿宋_GB2312" w:cs="Times New Roman"/>
          <w:b w:val="0"/>
          <w:bCs w:val="0"/>
          <w:kern w:val="0"/>
          <w:position w:val="0"/>
          <w:sz w:val="32"/>
          <w:szCs w:val="32"/>
          <w:highlight w:val="none"/>
          <w:lang w:val="en-US" w:eastAsia="zh-CN" w:bidi="ar-SA"/>
        </w:rPr>
        <w:t>必须对应评价发现的主要问题一一提出措施建议。</w:t>
      </w:r>
    </w:p>
    <w:p w14:paraId="4F18CCD4">
      <w:pPr>
        <w:pStyle w:val="6"/>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zh-CN"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无。</w:t>
      </w:r>
    </w:p>
    <w:p w14:paraId="4E4A3E68">
      <w:pPr>
        <w:keepNext w:val="0"/>
        <w:keepLines w:val="0"/>
        <w:pageBreakBefore w:val="0"/>
        <w:kinsoku/>
        <w:wordWrap/>
        <w:overflowPunct/>
        <w:topLinePunct w:val="0"/>
        <w:autoSpaceDE/>
        <w:autoSpaceDN/>
        <w:bidi w:val="0"/>
        <w:adjustRightInd/>
        <w:snapToGrid w:val="0"/>
        <w:spacing w:line="560" w:lineRule="exact"/>
        <w:ind w:left="0" w:leftChars="0" w:firstLine="42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14:paraId="21BD1C05">
      <w:pPr>
        <w:keepNext w:val="0"/>
        <w:keepLines w:val="0"/>
        <w:pageBreakBefore w:val="0"/>
        <w:kinsoku/>
        <w:wordWrap/>
        <w:overflowPunct/>
        <w:topLinePunct w:val="0"/>
        <w:autoSpaceDE/>
        <w:autoSpaceDN/>
        <w:bidi w:val="0"/>
        <w:adjustRightInd/>
        <w:snapToGrid w:val="0"/>
        <w:spacing w:line="560"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14:paraId="462366A4">
      <w:pPr>
        <w:keepNext w:val="0"/>
        <w:keepLines w:val="0"/>
        <w:pageBreakBefore w:val="0"/>
        <w:kinsoku/>
        <w:wordWrap/>
        <w:overflowPunct/>
        <w:topLinePunct w:val="0"/>
        <w:autoSpaceDE/>
        <w:autoSpaceDN/>
        <w:bidi w:val="0"/>
        <w:adjustRightInd/>
        <w:snapToGrid w:val="0"/>
        <w:spacing w:line="560"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14:paraId="3D058A92">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661FD933">
      <w:pPr>
        <w:keepNext w:val="0"/>
        <w:keepLines w:val="0"/>
        <w:pageBreakBefore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7"/>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659"/>
        <w:gridCol w:w="392"/>
        <w:gridCol w:w="5340"/>
        <w:gridCol w:w="732"/>
        <w:gridCol w:w="468"/>
      </w:tblGrid>
      <w:tr w14:paraId="1AED6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730501E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7F7A056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1864857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1CB4DDD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44828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2C4112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374471A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0F2108C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3CBFD71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243498">
            <w:pPr>
              <w:keepNext w:val="0"/>
              <w:keepLines w:val="0"/>
              <w:pageBreakBefore w:val="0"/>
              <w:widowControl/>
              <w:kinsoku/>
              <w:wordWrap/>
              <w:overflowPunct/>
              <w:topLinePunct w:val="0"/>
              <w:autoSpaceDE/>
              <w:autoSpaceDN/>
              <w:bidi w:val="0"/>
              <w:adjustRightInd/>
              <w:snapToGrid/>
              <w:spacing w:line="56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3A75EBD6">
            <w:pPr>
              <w:keepNext w:val="0"/>
              <w:keepLines w:val="0"/>
              <w:pageBreakBefore w:val="0"/>
              <w:widowControl/>
              <w:kinsoku/>
              <w:wordWrap/>
              <w:overflowPunct/>
              <w:topLinePunct w:val="0"/>
              <w:autoSpaceDE/>
              <w:autoSpaceDN/>
              <w:bidi w:val="0"/>
              <w:adjustRightInd/>
              <w:snapToGrid/>
              <w:spacing w:line="56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5073A06A">
            <w:pPr>
              <w:keepNext w:val="0"/>
              <w:keepLines w:val="0"/>
              <w:pageBreakBefore w:val="0"/>
              <w:widowControl/>
              <w:kinsoku/>
              <w:wordWrap/>
              <w:overflowPunct/>
              <w:topLinePunct w:val="0"/>
              <w:autoSpaceDE/>
              <w:autoSpaceDN/>
              <w:bidi w:val="0"/>
              <w:adjustRightInd/>
              <w:snapToGrid/>
              <w:spacing w:line="560" w:lineRule="exact"/>
              <w:jc w:val="center"/>
              <w:rPr>
                <w:rFonts w:hint="eastAsia" w:ascii="黑体" w:hAnsi="宋体" w:eastAsia="黑体" w:cs="黑体"/>
                <w:i w:val="0"/>
                <w:color w:val="000000"/>
                <w:sz w:val="24"/>
                <w:szCs w:val="24"/>
                <w:u w:val="none"/>
              </w:rPr>
            </w:pPr>
          </w:p>
        </w:tc>
      </w:tr>
      <w:tr w14:paraId="5A854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0B9A581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0E1BB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3E9D483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7395F56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EE097D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048C63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D9B038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A5F3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316990">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97E757">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61C6EE1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02ABE45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F0A7FF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0BCD24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460957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E8F2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F0319C">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FB5D65">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46F1F8C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38B4CFD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7AD2DA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026706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561F4B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3929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E1C9B0">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0E2B4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71770BD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5B1AF5C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AD4372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93804B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69F43A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FE86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D9A74B">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F8DE84">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7C3B990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4668F8C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48F8C0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C7AD03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E7A330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818A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5C8ABF">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7C4B41">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19A658B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535DAE2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1E3832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04A743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AA85A1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49B6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3BC3D2">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E3559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4CAD5BE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54A9E32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FEAD3F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87F950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07A3E9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EE43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808775">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62C1F5">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66B3E9F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4BA5952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4E79AD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ADFBD9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ADFD6C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3685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8854BD">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CDB0B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007E697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5D35B97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2505C1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46F337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88D12D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567E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A59D7E">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4116B4">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6B7D42B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2AB4B4C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D724D5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266967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CB2D1A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F4B0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07E1901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4B7C1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5386C0F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0D0D31A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ED780F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550386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E4729C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9F74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6C28F6">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467840">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70C84A0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0383219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69D5DC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202019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F81265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42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9D1F88">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A51E9C">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62DE72B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0FC6F96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719E66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77AA05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31156E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7A69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9C851B">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213A4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6997160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657B429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023AA6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9015BB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7</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608290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59A6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26D2D8">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EBB641">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1FEE839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2125D5E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8A4981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C59203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7</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27DE23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C862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89027E">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5C570C">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38E0EB8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0086737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8ACEE2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AF035F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3C6EA5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F934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50397D">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4B9B58">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450906C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38C0CD0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60A0BA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CA2107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91480F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C9EC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62B462">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6BE1622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70F3566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6CC5DF6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6C6FEE4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CA87DB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BCA7C3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C933FC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17CA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AF98EE">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DC7C3A">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4FB18D">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0F672DB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3030EF5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737CBC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4CD8D9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47495D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31B8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272C83">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D1F621">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033B6B5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5225D53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553BDCD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D2CAC7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030F32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C1DA29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A0AE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AB160">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C6144D">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65AECA">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2D475A6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7E82BF7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698745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E9A433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A1B411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EE08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F440F8">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CFB650">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03C8EC">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7BDC2C3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079DFA5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C244FC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C25F2C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0137A6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7822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6CC090F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6D71A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659" w:type="dxa"/>
            <w:tcBorders>
              <w:top w:val="nil"/>
              <w:left w:val="single" w:color="000000" w:sz="4" w:space="0"/>
              <w:bottom w:val="single" w:color="000000" w:sz="4" w:space="0"/>
              <w:right w:val="single" w:color="000000" w:sz="4" w:space="0"/>
            </w:tcBorders>
            <w:noWrap w:val="0"/>
            <w:vAlign w:val="center"/>
          </w:tcPr>
          <w:p w14:paraId="2E48911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392" w:type="dxa"/>
            <w:tcBorders>
              <w:top w:val="nil"/>
              <w:left w:val="single" w:color="000000" w:sz="4" w:space="0"/>
              <w:bottom w:val="single" w:color="000000" w:sz="4" w:space="0"/>
              <w:right w:val="single" w:color="000000" w:sz="4" w:space="0"/>
            </w:tcBorders>
            <w:noWrap w:val="0"/>
            <w:vAlign w:val="center"/>
          </w:tcPr>
          <w:p w14:paraId="64951E1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3297C91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7173ABE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14:paraId="0D228D8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D4F7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C853BA">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B9F3FC">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659" w:type="dxa"/>
            <w:tcBorders>
              <w:top w:val="nil"/>
              <w:left w:val="single" w:color="000000" w:sz="4" w:space="0"/>
              <w:bottom w:val="single" w:color="000000" w:sz="4" w:space="0"/>
              <w:right w:val="single" w:color="000000" w:sz="4" w:space="0"/>
            </w:tcBorders>
            <w:noWrap w:val="0"/>
            <w:vAlign w:val="center"/>
          </w:tcPr>
          <w:p w14:paraId="5CE2637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392" w:type="dxa"/>
            <w:tcBorders>
              <w:top w:val="nil"/>
              <w:left w:val="single" w:color="000000" w:sz="4" w:space="0"/>
              <w:bottom w:val="single" w:color="000000" w:sz="4" w:space="0"/>
              <w:right w:val="single" w:color="000000" w:sz="4" w:space="0"/>
            </w:tcBorders>
            <w:noWrap w:val="0"/>
            <w:vAlign w:val="center"/>
          </w:tcPr>
          <w:p w14:paraId="631167A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9E6801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3995CA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5723F8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8A95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22BB0A">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ADD5A6">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659" w:type="dxa"/>
            <w:tcBorders>
              <w:top w:val="nil"/>
              <w:left w:val="single" w:color="000000" w:sz="4" w:space="0"/>
              <w:bottom w:val="single" w:color="000000" w:sz="4" w:space="0"/>
              <w:right w:val="single" w:color="000000" w:sz="4" w:space="0"/>
            </w:tcBorders>
            <w:noWrap w:val="0"/>
            <w:vAlign w:val="center"/>
          </w:tcPr>
          <w:p w14:paraId="7489881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392" w:type="dxa"/>
            <w:tcBorders>
              <w:top w:val="nil"/>
              <w:left w:val="single" w:color="000000" w:sz="4" w:space="0"/>
              <w:bottom w:val="single" w:color="000000" w:sz="4" w:space="0"/>
              <w:right w:val="single" w:color="000000" w:sz="4" w:space="0"/>
            </w:tcBorders>
            <w:noWrap w:val="0"/>
            <w:vAlign w:val="center"/>
          </w:tcPr>
          <w:p w14:paraId="59AC0A3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924196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E8032D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C13A0E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6887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right w:val="single" w:color="000000" w:sz="4" w:space="0"/>
            </w:tcBorders>
            <w:noWrap w:val="0"/>
            <w:vAlign w:val="center"/>
          </w:tcPr>
          <w:p w14:paraId="048D69A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083421F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16"/>
                <w:szCs w:val="16"/>
                <w:u w:val="none"/>
                <w:lang w:val="en-US" w:eastAsia="zh-CN" w:bidi="ar"/>
              </w:rPr>
              <w:t>筛选寄生虫敏感药物</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666DDFC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BB591A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2"/>
                <w:szCs w:val="22"/>
                <w:u w:val="none"/>
                <w:lang w:val="en-US" w:eastAsia="zh-CN" w:bidi="ar"/>
              </w:rPr>
              <w:t>选有效和敏感的抗寄生虫药物，优化和完善牦牛精准驱虫药物选择，建立合理的驱虫药物选择方案。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41DBDB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F4BF3E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E597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left w:val="single" w:color="000000" w:sz="4" w:space="0"/>
              <w:right w:val="single" w:color="000000" w:sz="4" w:space="0"/>
            </w:tcBorders>
            <w:noWrap w:val="0"/>
            <w:vAlign w:val="center"/>
          </w:tcPr>
          <w:p w14:paraId="71BAF88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3776BF1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18"/>
                <w:szCs w:val="18"/>
                <w:u w:val="none"/>
                <w:lang w:val="en-US" w:eastAsia="zh-CN" w:bidi="ar"/>
              </w:rPr>
              <w:t>阿坝州牦牛寄生虫病综合防控技术</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7F6A475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1142BE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阿坝州牦牛寄生虫病综合防控技术1套。</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C10BE7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3AAA7E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601F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left w:val="single" w:color="000000" w:sz="4" w:space="0"/>
              <w:right w:val="single" w:color="000000" w:sz="4" w:space="0"/>
            </w:tcBorders>
            <w:noWrap w:val="0"/>
            <w:vAlign w:val="center"/>
          </w:tcPr>
          <w:p w14:paraId="596A9F8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7A5B94B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知识产权</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700E5F9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E2A8C6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发明专利受理1项，实用新型专利1项。</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FC9A52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A4B35C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11C8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left w:val="single" w:color="000000" w:sz="4" w:space="0"/>
              <w:bottom w:val="single" w:color="000000" w:sz="4" w:space="0"/>
              <w:right w:val="single" w:color="000000" w:sz="4" w:space="0"/>
            </w:tcBorders>
            <w:noWrap w:val="0"/>
            <w:vAlign w:val="center"/>
          </w:tcPr>
          <w:p w14:paraId="0EDF136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243A4C4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论文专注</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73C1950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341E468">
            <w:pPr>
              <w:keepNext w:val="0"/>
              <w:keepLines w:val="0"/>
              <w:pageBreakBefore w:val="0"/>
              <w:kinsoku/>
              <w:wordWrap/>
              <w:overflowPunct/>
              <w:topLinePunct w:val="0"/>
              <w:autoSpaceDE/>
              <w:autoSpaceDN/>
              <w:bidi w:val="0"/>
              <w:adjustRightInd w:val="0"/>
              <w:snapToGrid w:val="0"/>
              <w:spacing w:line="560" w:lineRule="exact"/>
              <w:ind w:left="0" w:leftChars="0" w:firstLine="480" w:firstLineChars="200"/>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公开发表2篇。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0630F5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08092B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A141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1C9F282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2B65676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14:paraId="790B733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77B78F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FF0B7C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DC1C46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26D2F6CF">
      <w:pPr>
        <w:keepNext w:val="0"/>
        <w:keepLines w:val="0"/>
        <w:pageBreakBefore w:val="0"/>
        <w:kinsoku/>
        <w:wordWrap/>
        <w:overflowPunct/>
        <w:topLinePunct w:val="0"/>
        <w:autoSpaceDE/>
        <w:autoSpaceDN/>
        <w:bidi w:val="0"/>
        <w:spacing w:line="560" w:lineRule="exact"/>
        <w:ind w:left="0" w:leftChars="0"/>
        <w:jc w:val="both"/>
        <w:textAlignment w:val="auto"/>
        <w:outlineLvl w:val="9"/>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20517A8B">
      <w:pPr>
        <w:keepNext w:val="0"/>
        <w:keepLines w:val="0"/>
        <w:pageBreakBefore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14:paraId="39456B7B">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8"/>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38E4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exact"/>
          <w:jc w:val="center"/>
        </w:trPr>
        <w:tc>
          <w:tcPr>
            <w:tcW w:w="1123" w:type="dxa"/>
            <w:noWrap w:val="0"/>
            <w:vAlign w:val="top"/>
          </w:tcPr>
          <w:p w14:paraId="6603C844">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0909FDC4">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07C16690">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08ED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exact"/>
          <w:jc w:val="center"/>
        </w:trPr>
        <w:tc>
          <w:tcPr>
            <w:tcW w:w="1123" w:type="dxa"/>
            <w:noWrap w:val="0"/>
            <w:vAlign w:val="top"/>
          </w:tcPr>
          <w:p w14:paraId="3E32427B">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4AF2C88F">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四川农业大学</w:t>
            </w:r>
          </w:p>
        </w:tc>
        <w:tc>
          <w:tcPr>
            <w:tcW w:w="905" w:type="dxa"/>
            <w:noWrap w:val="0"/>
            <w:vAlign w:val="top"/>
          </w:tcPr>
          <w:p w14:paraId="6B6851BB">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9D81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exact"/>
          <w:jc w:val="center"/>
        </w:trPr>
        <w:tc>
          <w:tcPr>
            <w:tcW w:w="1123" w:type="dxa"/>
            <w:noWrap w:val="0"/>
            <w:vAlign w:val="top"/>
          </w:tcPr>
          <w:p w14:paraId="28508F7B">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eastAsia" w:eastAsia="宋体" w:cs="Times New Roman"/>
                <w:b w:val="0"/>
                <w:bCs w:val="0"/>
                <w:color w:val="auto"/>
                <w:sz w:val="24"/>
                <w:szCs w:val="24"/>
                <w:highlight w:val="none"/>
                <w:u w:val="none"/>
                <w:lang w:val="en-US" w:eastAsia="zh-CN"/>
              </w:rPr>
              <w:t>2</w:t>
            </w:r>
          </w:p>
        </w:tc>
        <w:tc>
          <w:tcPr>
            <w:tcW w:w="5956" w:type="dxa"/>
            <w:noWrap w:val="0"/>
            <w:vAlign w:val="top"/>
          </w:tcPr>
          <w:p w14:paraId="1BFD1A42">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壤塘县</w:t>
            </w:r>
          </w:p>
        </w:tc>
        <w:tc>
          <w:tcPr>
            <w:tcW w:w="905" w:type="dxa"/>
            <w:noWrap w:val="0"/>
            <w:vAlign w:val="top"/>
          </w:tcPr>
          <w:p w14:paraId="22037E92">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A255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exact"/>
          <w:jc w:val="center"/>
        </w:trPr>
        <w:tc>
          <w:tcPr>
            <w:tcW w:w="1123" w:type="dxa"/>
            <w:noWrap w:val="0"/>
            <w:vAlign w:val="top"/>
          </w:tcPr>
          <w:p w14:paraId="5CBC8FAA">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21F35B37">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阿坝县</w:t>
            </w:r>
          </w:p>
        </w:tc>
        <w:tc>
          <w:tcPr>
            <w:tcW w:w="905" w:type="dxa"/>
            <w:noWrap w:val="0"/>
            <w:vAlign w:val="top"/>
          </w:tcPr>
          <w:p w14:paraId="5D6881B2">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56EB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jc w:val="center"/>
        </w:trPr>
        <w:tc>
          <w:tcPr>
            <w:tcW w:w="1123" w:type="dxa"/>
            <w:noWrap w:val="0"/>
            <w:vAlign w:val="top"/>
          </w:tcPr>
          <w:p w14:paraId="77EDCB83">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1BBB299B">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若尔盖县</w:t>
            </w:r>
          </w:p>
        </w:tc>
        <w:tc>
          <w:tcPr>
            <w:tcW w:w="905" w:type="dxa"/>
            <w:noWrap w:val="0"/>
            <w:vAlign w:val="top"/>
          </w:tcPr>
          <w:p w14:paraId="17074D9A">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FE46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exact"/>
          <w:jc w:val="center"/>
        </w:trPr>
        <w:tc>
          <w:tcPr>
            <w:tcW w:w="1123" w:type="dxa"/>
            <w:noWrap w:val="0"/>
            <w:vAlign w:val="top"/>
          </w:tcPr>
          <w:p w14:paraId="53B1555F">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4CF53C3D">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US" w:eastAsia="zh-CN"/>
              </w:rPr>
              <w:t>红原</w:t>
            </w:r>
            <w:r>
              <w:rPr>
                <w:rFonts w:hint="eastAsia" w:cs="Times New Roman"/>
                <w:color w:val="auto"/>
                <w:sz w:val="24"/>
                <w:szCs w:val="24"/>
                <w:highlight w:val="none"/>
                <w:u w:val="none"/>
                <w:vertAlign w:val="baseline"/>
                <w:lang w:val="en" w:eastAsia="zh-CN"/>
              </w:rPr>
              <w:t>县</w:t>
            </w:r>
          </w:p>
        </w:tc>
        <w:tc>
          <w:tcPr>
            <w:tcW w:w="905" w:type="dxa"/>
            <w:noWrap w:val="0"/>
            <w:vAlign w:val="top"/>
          </w:tcPr>
          <w:p w14:paraId="0E506ACE">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3935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exact"/>
          <w:jc w:val="center"/>
        </w:trPr>
        <w:tc>
          <w:tcPr>
            <w:tcW w:w="1123" w:type="dxa"/>
            <w:noWrap w:val="0"/>
            <w:vAlign w:val="top"/>
          </w:tcPr>
          <w:p w14:paraId="200B9BFE">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eastAsia" w:eastAsia="宋体" w:cs="Times New Roman"/>
                <w:b w:val="0"/>
                <w:bCs w:val="0"/>
                <w:color w:val="auto"/>
                <w:sz w:val="24"/>
                <w:szCs w:val="24"/>
                <w:highlight w:val="none"/>
                <w:u w:val="none"/>
                <w:lang w:val="en-US" w:eastAsia="zh-CN"/>
              </w:rPr>
              <w:t>6</w:t>
            </w:r>
          </w:p>
        </w:tc>
        <w:tc>
          <w:tcPr>
            <w:tcW w:w="5956" w:type="dxa"/>
            <w:noWrap w:val="0"/>
            <w:vAlign w:val="top"/>
          </w:tcPr>
          <w:p w14:paraId="636F34A1">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四川省龙日种畜场</w:t>
            </w:r>
          </w:p>
        </w:tc>
        <w:tc>
          <w:tcPr>
            <w:tcW w:w="905" w:type="dxa"/>
            <w:noWrap w:val="0"/>
            <w:vAlign w:val="top"/>
          </w:tcPr>
          <w:p w14:paraId="1EABA673">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3A27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exact"/>
          <w:jc w:val="center"/>
        </w:trPr>
        <w:tc>
          <w:tcPr>
            <w:tcW w:w="1123" w:type="dxa"/>
            <w:noWrap w:val="0"/>
            <w:vAlign w:val="top"/>
          </w:tcPr>
          <w:p w14:paraId="1D4E9A86">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p>
        </w:tc>
        <w:tc>
          <w:tcPr>
            <w:tcW w:w="5956" w:type="dxa"/>
            <w:noWrap w:val="0"/>
            <w:vAlign w:val="top"/>
          </w:tcPr>
          <w:p w14:paraId="5926F896">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2D1CFDB">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FD01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exact"/>
          <w:jc w:val="center"/>
        </w:trPr>
        <w:tc>
          <w:tcPr>
            <w:tcW w:w="1123" w:type="dxa"/>
            <w:noWrap w:val="0"/>
            <w:vAlign w:val="top"/>
          </w:tcPr>
          <w:p w14:paraId="59448035">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p>
        </w:tc>
        <w:tc>
          <w:tcPr>
            <w:tcW w:w="5956" w:type="dxa"/>
            <w:noWrap w:val="0"/>
            <w:vAlign w:val="top"/>
          </w:tcPr>
          <w:p w14:paraId="56F5C6EE">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45CDD89C">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421E540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0BEACF4A">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7797E11F">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17"/>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299A2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446C38B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60717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7D51F709">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327D49B">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阿坝州牦牛寄生虫流行性调查及精准防控技术研究与示范推广</w:t>
            </w:r>
            <w:r>
              <w:rPr>
                <w:rFonts w:hint="default" w:ascii="Times New Roman" w:hAnsi="Times New Roman" w:eastAsia="宋体" w:cs="Times New Roman"/>
                <w:i w:val="0"/>
                <w:color w:val="000000"/>
                <w:sz w:val="24"/>
                <w:szCs w:val="24"/>
                <w:u w:val="none"/>
                <w:lang w:val="en-US" w:eastAsia="zh-CN"/>
              </w:rPr>
              <w:t>项目</w:t>
            </w:r>
          </w:p>
        </w:tc>
      </w:tr>
      <w:tr w14:paraId="5DA61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6E4115A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99AA898">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四川省龙日种畜场</w:t>
            </w:r>
          </w:p>
        </w:tc>
      </w:tr>
      <w:tr w14:paraId="22582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1E4E66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040EF5A">
            <w:pPr>
              <w:keepNext w:val="0"/>
              <w:keepLines w:val="0"/>
              <w:pageBreakBefore w:val="0"/>
              <w:kinsoku/>
              <w:wordWrap/>
              <w:overflowPunct/>
              <w:topLinePunct w:val="0"/>
              <w:autoSpaceDE/>
              <w:autoSpaceDN/>
              <w:bidi w:val="0"/>
              <w:adjustRightInd/>
              <w:snapToGrid/>
              <w:spacing w:line="56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科普</w:t>
            </w:r>
          </w:p>
        </w:tc>
      </w:tr>
      <w:tr w14:paraId="40906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5C23F4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AAE067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6EA18559">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C16C5A4">
            <w:pPr>
              <w:keepNext w:val="0"/>
              <w:keepLines w:val="0"/>
              <w:pageBreakBefore w:val="0"/>
              <w:kinsoku/>
              <w:wordWrap/>
              <w:overflowPunct/>
              <w:topLinePunct w:val="0"/>
              <w:autoSpaceDE/>
              <w:autoSpaceDN/>
              <w:bidi w:val="0"/>
              <w:adjustRightInd/>
              <w:snapToGrid/>
              <w:spacing w:line="560" w:lineRule="exact"/>
              <w:ind w:left="0" w:leftChars="0"/>
              <w:jc w:val="left"/>
              <w:rPr>
                <w:rFonts w:hint="default" w:ascii="Times New Roman" w:hAnsi="Times New Roman" w:eastAsia="宋体" w:cs="Times New Roman"/>
                <w:i w:val="0"/>
                <w:color w:val="000000"/>
                <w:sz w:val="24"/>
                <w:szCs w:val="24"/>
                <w:u w:val="none"/>
              </w:rPr>
            </w:pPr>
          </w:p>
        </w:tc>
      </w:tr>
      <w:tr w14:paraId="14914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5C7F20">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A0070ED">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792D12A">
            <w:pPr>
              <w:keepNext w:val="0"/>
              <w:keepLines w:val="0"/>
              <w:pageBreakBefore w:val="0"/>
              <w:kinsoku/>
              <w:wordWrap/>
              <w:overflowPunct/>
              <w:topLinePunct w:val="0"/>
              <w:autoSpaceDE/>
              <w:autoSpaceDN/>
              <w:bidi w:val="0"/>
              <w:adjustRightInd/>
              <w:snapToGrid/>
              <w:spacing w:line="560" w:lineRule="exact"/>
              <w:ind w:left="0" w:leftChars="0"/>
              <w:jc w:val="left"/>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lang w:val="en-US" w:eastAsia="zh-CN"/>
              </w:rPr>
              <w:t>《四川省科技计划项目专项资金管理办法》(川财规〔2019〕10号)</w:t>
            </w:r>
          </w:p>
        </w:tc>
      </w:tr>
      <w:tr w14:paraId="2FECE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9F4220">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4B8417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E79037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4245E3FF">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706128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42BA2B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332E7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C70449">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993576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06AF7B2">
            <w:pPr>
              <w:keepNext w:val="0"/>
              <w:keepLines w:val="0"/>
              <w:pageBreakBefore w:val="0"/>
              <w:kinsoku/>
              <w:wordWrap/>
              <w:overflowPunct/>
              <w:topLinePunct w:val="0"/>
              <w:autoSpaceDE/>
              <w:autoSpaceDN/>
              <w:bidi w:val="0"/>
              <w:adjustRightInd/>
              <w:snapToGrid/>
              <w:spacing w:line="560" w:lineRule="exact"/>
              <w:ind w:left="0" w:leftChars="0"/>
              <w:jc w:val="left"/>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zh-CN" w:eastAsia="zh-CN"/>
              </w:rPr>
              <w:t>《四川省科学技术厅印发&lt;关于</w:t>
            </w:r>
            <w:r>
              <w:rPr>
                <w:rFonts w:hint="default" w:ascii="Times New Roman" w:hAnsi="Times New Roman" w:eastAsia="宋体" w:cs="Times New Roman"/>
                <w:i w:val="0"/>
                <w:color w:val="000000"/>
                <w:sz w:val="24"/>
                <w:szCs w:val="24"/>
                <w:u w:val="none"/>
                <w:lang w:val="en-US" w:eastAsia="zh-CN"/>
              </w:rPr>
              <w:t>定向委托组织申报“科普赋能涉藏地区稳定发展专项”重点研发补充项目</w:t>
            </w:r>
            <w:r>
              <w:rPr>
                <w:rFonts w:hint="default" w:ascii="Times New Roman" w:hAnsi="Times New Roman" w:eastAsia="宋体" w:cs="Times New Roman"/>
                <w:i w:val="0"/>
                <w:color w:val="000000"/>
                <w:sz w:val="24"/>
                <w:szCs w:val="24"/>
                <w:u w:val="none"/>
                <w:lang w:val="zh-CN" w:eastAsia="zh-CN"/>
              </w:rPr>
              <w:t>&gt;的通知》</w:t>
            </w:r>
          </w:p>
        </w:tc>
      </w:tr>
      <w:tr w14:paraId="04EB0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B08C17">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7BCD4F2">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F3564B5">
            <w:pPr>
              <w:keepNext w:val="0"/>
              <w:keepLines w:val="0"/>
              <w:pageBreakBefore w:val="0"/>
              <w:kinsoku/>
              <w:wordWrap/>
              <w:overflowPunct/>
              <w:topLinePunct w:val="0"/>
              <w:autoSpaceDE/>
              <w:autoSpaceDN/>
              <w:bidi w:val="0"/>
              <w:adjustRightInd/>
              <w:snapToGrid/>
              <w:spacing w:line="560" w:lineRule="exact"/>
              <w:ind w:left="0" w:leftChars="0"/>
              <w:jc w:val="left"/>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zh-CN" w:eastAsia="zh-CN"/>
              </w:rPr>
              <w:t>通过常规方法和分子生物学</w:t>
            </w:r>
            <w:r>
              <w:rPr>
                <w:rFonts w:hint="default" w:ascii="Times New Roman" w:hAnsi="Times New Roman" w:eastAsia="宋体" w:cs="Times New Roman"/>
                <w:i w:val="0"/>
                <w:color w:val="000000"/>
                <w:sz w:val="24"/>
                <w:szCs w:val="24"/>
                <w:u w:val="none"/>
                <w:lang w:val="en-US" w:eastAsia="zh-CN"/>
              </w:rPr>
              <w:t>方法分析阿坝州牦牛寄生虫病的主要病原，准确掌握阿坝州牦牛寄生虫季节动态和寄生虫体特征；通过实验室研究和临床药物试验筛选出有效和敏感的抗寄生虫药物，优化和完善牦牛精准驱虫方案；集成阿坝州牦牛寄生虫病综合防控技术1套，并建立1-2个示范点进行示范推广应用，培训当地畜牧科技人员和农牧民，辐射带动周边养殖户科学养殖，全面提升养殖场、专合社（家庭农场）及养殖户收益</w:t>
            </w:r>
          </w:p>
        </w:tc>
      </w:tr>
      <w:tr w14:paraId="5B9EE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900E8F">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069CC1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D946886">
            <w:pPr>
              <w:keepNext w:val="0"/>
              <w:keepLines w:val="0"/>
              <w:pageBreakBefore w:val="0"/>
              <w:kinsoku/>
              <w:wordWrap/>
              <w:overflowPunct/>
              <w:topLinePunct w:val="0"/>
              <w:autoSpaceDE/>
              <w:autoSpaceDN/>
              <w:bidi w:val="0"/>
              <w:adjustRightInd/>
              <w:snapToGrid/>
              <w:spacing w:line="560" w:lineRule="exact"/>
              <w:ind w:left="0" w:leftChars="0"/>
              <w:jc w:val="lef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18"/>
                <w:szCs w:val="18"/>
                <w:u w:val="none"/>
                <w:lang w:val="en-US" w:eastAsia="zh-CN"/>
              </w:rPr>
              <w:t>项目牵头单位应是注册地在四川省境内，具有独立法人资格的科研院所、高等院校、医疗卫生机构和其他具备科研开发、科技服务的企业及单位。</w:t>
            </w:r>
          </w:p>
        </w:tc>
      </w:tr>
      <w:tr w14:paraId="77543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EFF470">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21E6B7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C052628">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2024</w:t>
            </w:r>
            <w:r>
              <w:rPr>
                <w:rFonts w:hint="eastAsia" w:ascii="Times New Roman" w:hAnsi="Times New Roman" w:eastAsia="宋体" w:cs="Times New Roman"/>
                <w:i w:val="0"/>
                <w:color w:val="000000"/>
                <w:sz w:val="24"/>
                <w:szCs w:val="24"/>
                <w:u w:val="none"/>
                <w:lang w:val="en-US" w:eastAsia="zh-CN"/>
              </w:rPr>
              <w:t>年7月</w:t>
            </w:r>
            <w:r>
              <w:rPr>
                <w:rFonts w:hint="default" w:ascii="Times New Roman" w:hAnsi="Times New Roman" w:eastAsia="宋体" w:cs="Times New Roman"/>
                <w:i w:val="0"/>
                <w:color w:val="000000"/>
                <w:sz w:val="24"/>
                <w:szCs w:val="24"/>
                <w:u w:val="none"/>
                <w:lang w:val="en-US" w:eastAsia="zh-CN"/>
              </w:rPr>
              <w:t>—2026</w:t>
            </w:r>
            <w:r>
              <w:rPr>
                <w:rFonts w:hint="eastAsia" w:ascii="Times New Roman" w:hAnsi="Times New Roman" w:eastAsia="宋体" w:cs="Times New Roman"/>
                <w:i w:val="0"/>
                <w:color w:val="000000"/>
                <w:sz w:val="24"/>
                <w:szCs w:val="24"/>
                <w:u w:val="none"/>
                <w:lang w:val="en-US" w:eastAsia="zh-CN"/>
              </w:rPr>
              <w:t>年6月</w:t>
            </w:r>
          </w:p>
        </w:tc>
      </w:tr>
      <w:tr w14:paraId="3F370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F14F29">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3400AAB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3BFA28F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320144D">
            <w:pPr>
              <w:keepNext w:val="0"/>
              <w:keepLines w:val="0"/>
              <w:pageBreakBefore w:val="0"/>
              <w:kinsoku/>
              <w:wordWrap/>
              <w:overflowPunct/>
              <w:topLinePunct w:val="0"/>
              <w:autoSpaceDE/>
              <w:autoSpaceDN/>
              <w:bidi w:val="0"/>
              <w:adjustRightInd/>
              <w:snapToGrid/>
              <w:spacing w:line="560" w:lineRule="exact"/>
              <w:ind w:left="0" w:leftChars="0"/>
              <w:jc w:val="left"/>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lang w:val="en-US" w:eastAsia="zh-CN"/>
              </w:rPr>
              <w:t>总经额为50万元</w:t>
            </w:r>
          </w:p>
        </w:tc>
      </w:tr>
      <w:tr w14:paraId="2FB3E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2C9AB4">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2AFAC88E">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B42FF4E">
            <w:pPr>
              <w:keepNext w:val="0"/>
              <w:keepLines w:val="0"/>
              <w:pageBreakBefore w:val="0"/>
              <w:tabs>
                <w:tab w:val="left" w:pos="943"/>
              </w:tabs>
              <w:kinsoku/>
              <w:wordWrap/>
              <w:overflowPunct/>
              <w:topLinePunct w:val="0"/>
              <w:autoSpaceDE/>
              <w:autoSpaceDN/>
              <w:bidi w:val="0"/>
              <w:adjustRightInd/>
              <w:snapToGrid/>
              <w:spacing w:line="560" w:lineRule="exact"/>
              <w:ind w:left="0" w:leftChars="0"/>
              <w:jc w:val="lef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ab/>
            </w:r>
            <w:r>
              <w:rPr>
                <w:rFonts w:hint="eastAsia" w:eastAsia="宋体" w:cs="Times New Roman"/>
                <w:i w:val="0"/>
                <w:color w:val="000000"/>
                <w:sz w:val="24"/>
                <w:szCs w:val="24"/>
                <w:u w:val="none"/>
                <w:lang w:val="en-US" w:eastAsia="zh-CN"/>
              </w:rPr>
              <w:t>50万元</w:t>
            </w:r>
          </w:p>
        </w:tc>
      </w:tr>
      <w:tr w14:paraId="3FE4C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CB6F90">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22FE5620">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E0F31DB">
            <w:pPr>
              <w:keepNext w:val="0"/>
              <w:keepLines w:val="0"/>
              <w:pageBreakBefore w:val="0"/>
              <w:kinsoku/>
              <w:wordWrap/>
              <w:overflowPunct/>
              <w:topLinePunct w:val="0"/>
              <w:autoSpaceDE/>
              <w:autoSpaceDN/>
              <w:bidi w:val="0"/>
              <w:adjustRightInd/>
              <w:snapToGrid/>
              <w:spacing w:line="560" w:lineRule="exact"/>
              <w:ind w:left="0" w:leftChars="0"/>
              <w:jc w:val="right"/>
              <w:rPr>
                <w:rFonts w:hint="default" w:ascii="Times New Roman" w:hAnsi="Times New Roman" w:eastAsia="宋体" w:cs="Times New Roman"/>
                <w:i w:val="0"/>
                <w:color w:val="000000"/>
                <w:sz w:val="24"/>
                <w:szCs w:val="24"/>
                <w:u w:val="none"/>
              </w:rPr>
            </w:pPr>
          </w:p>
        </w:tc>
      </w:tr>
      <w:tr w14:paraId="0620D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96721A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61932B79">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216C9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A0F920">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074D1583">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r>
      <w:tr w14:paraId="75ABB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14:paraId="53410671">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38F45AEF">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D0D5C3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8F35B47">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194465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698FFE7">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653C1A1">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E921AC9">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A77F1AE">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264E0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6936AB98">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38D0687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CDA7E9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F4F404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论文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237ADC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511383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kern w:val="0"/>
                <w:sz w:val="24"/>
                <w:szCs w:val="24"/>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AAA5C7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篇</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19F0DB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CEFF71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0</w:t>
            </w:r>
          </w:p>
        </w:tc>
      </w:tr>
      <w:tr w14:paraId="5EB77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E5ADE17">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9302B6">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CC6816">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ACB002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专著或专利</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C49F87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ED7219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kern w:val="0"/>
                <w:sz w:val="24"/>
                <w:szCs w:val="24"/>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F62CA7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篇/个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B26DE5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C3E220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0</w:t>
            </w:r>
          </w:p>
        </w:tc>
      </w:tr>
      <w:tr w14:paraId="523EF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67099FF7">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8B04DE">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A0214E">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C0F150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地方标准</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DC7320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5FD970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kern w:val="0"/>
                <w:sz w:val="24"/>
                <w:szCs w:val="24"/>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72AF04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项</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ECB82F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3C9FAA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0</w:t>
            </w:r>
          </w:p>
        </w:tc>
      </w:tr>
      <w:tr w14:paraId="6CF4C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7877D50">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900F8D">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F3F9FD">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E2C323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kern w:val="2"/>
                <w:sz w:val="24"/>
                <w:szCs w:val="24"/>
                <w:u w:val="none"/>
                <w:lang w:val="en-US" w:eastAsia="zh-CN" w:bidi="ar-SA"/>
              </w:rPr>
              <w:t>培训</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E60781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8412C2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kern w:val="2"/>
                <w:sz w:val="24"/>
                <w:szCs w:val="24"/>
                <w:u w:val="none"/>
                <w:lang w:val="en-US" w:eastAsia="zh-CN" w:bidi="ar-SA"/>
              </w:rPr>
              <w:t>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F28D05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kern w:val="2"/>
                <w:sz w:val="24"/>
                <w:szCs w:val="24"/>
                <w:u w:val="none"/>
                <w:lang w:val="en-US" w:eastAsia="zh-CN" w:bidi="ar-SA"/>
              </w:rPr>
              <w:t>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6058AA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BC9F65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kern w:val="2"/>
                <w:sz w:val="24"/>
                <w:szCs w:val="24"/>
                <w:u w:val="none"/>
                <w:lang w:val="en-US" w:eastAsia="zh-CN" w:bidi="ar-SA"/>
              </w:rPr>
              <w:t>0</w:t>
            </w:r>
          </w:p>
        </w:tc>
      </w:tr>
      <w:tr w14:paraId="2D62E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EC8F39D">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27862E">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091F7A71">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03E8F69">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A2E0974">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5474C89">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B7D08C1">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B195349">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8B54CD1">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r>
      <w:tr w14:paraId="0709F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4CF888B">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361EF">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91D837">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828C289">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B5E1E45">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D3692E1">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D03D90B">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E3B70F0">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F2558B2">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r>
      <w:tr w14:paraId="12E7F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13C18D1">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E1226E">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6756D8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957C8A5">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项目（工程）完成及时率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5C1E66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82BCC4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73CA89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kern w:val="0"/>
                <w:sz w:val="24"/>
                <w:szCs w:val="24"/>
                <w:u w:val="none"/>
                <w:lang w:val="en-US" w:eastAsia="zh-CN" w:bidi="ar"/>
              </w:rPr>
              <w:t>百分比</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6E3C08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682202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0</w:t>
            </w:r>
          </w:p>
        </w:tc>
      </w:tr>
      <w:tr w14:paraId="1B74D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FDB62C5">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715B6F">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DB11C4">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583AEB1">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F0F5293">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BE9843B">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C1B67BD">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420C089">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A8F8113">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r>
      <w:tr w14:paraId="412ED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EBA654C">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554F1F">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BBC2072">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1551540">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8A12534">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B4A5E5A">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8D46B18">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F27549F">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92595A2">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r>
      <w:tr w14:paraId="11727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B2669C2">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517A8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28C10E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经济效益</w:t>
            </w:r>
          </w:p>
          <w:p w14:paraId="445525CF">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AEFD158">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44A5AC7">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80046B2">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7B7A18F">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941B187">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D198001">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r>
      <w:tr w14:paraId="72100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783080AE">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3F4578">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0593A2">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A95C104">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98BFFFB">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DA54481">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09B2A0D">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8E7CB0C">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48A79BA">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r>
      <w:tr w14:paraId="6AC70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6D630E7">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44ECF5">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right w:val="single" w:color="000000" w:sz="4" w:space="0"/>
            </w:tcBorders>
            <w:noWrap w:val="0"/>
            <w:vAlign w:val="center"/>
          </w:tcPr>
          <w:p w14:paraId="0C6B2DAD">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40A058F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9D5385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kern w:val="0"/>
                <w:sz w:val="24"/>
                <w:szCs w:val="24"/>
                <w:u w:val="none"/>
                <w:lang w:val="en-US" w:eastAsia="zh-CN" w:bidi="ar"/>
              </w:rPr>
              <w:t>带动群众</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B3742A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956C1F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kern w:val="0"/>
                <w:sz w:val="24"/>
                <w:szCs w:val="24"/>
                <w:u w:val="none"/>
                <w:lang w:val="en-US" w:eastAsia="zh-CN" w:bidi="ar"/>
              </w:rPr>
              <w:t>≥200人</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833AE5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kern w:val="0"/>
                <w:sz w:val="24"/>
                <w:szCs w:val="24"/>
                <w:u w:val="none"/>
                <w:lang w:val="en-US" w:eastAsia="zh-CN" w:bidi="ar"/>
              </w:rPr>
              <w:t>人数</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ADE3D7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30%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91CD54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0</w:t>
            </w:r>
          </w:p>
        </w:tc>
      </w:tr>
      <w:tr w14:paraId="5617E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3393F6B">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B71049">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right w:val="single" w:color="000000" w:sz="4" w:space="0"/>
            </w:tcBorders>
            <w:noWrap w:val="0"/>
            <w:vAlign w:val="center"/>
          </w:tcPr>
          <w:p w14:paraId="4E4E4D06">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5C60776">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ED81139">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8E76046">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0DFCA63">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FCCC1EF">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CFC7540">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r>
      <w:tr w14:paraId="6C9AA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3ED6C5C">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222362">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C4845E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33BBD31">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CD3F97A">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628D84C">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52B2D15">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11B8F63">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862017D">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r>
      <w:tr w14:paraId="3B6F0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671B87B">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14:paraId="04A0753A">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w:t>
            </w:r>
          </w:p>
          <w:p w14:paraId="3B208DC1">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14:paraId="0757E03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w:t>
            </w:r>
          </w:p>
          <w:p w14:paraId="1181C79A">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8F3538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kern w:val="0"/>
                <w:sz w:val="24"/>
                <w:szCs w:val="24"/>
                <w:u w:val="none"/>
                <w:lang w:val="en-US" w:eastAsia="zh-CN" w:bidi="ar"/>
              </w:rPr>
              <w:t>受益群众满意度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AFEF9A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BA6FB5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kern w:val="0"/>
                <w:sz w:val="24"/>
                <w:szCs w:val="24"/>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84608F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kern w:val="0"/>
                <w:sz w:val="24"/>
                <w:szCs w:val="24"/>
                <w:u w:val="none"/>
                <w:lang w:val="en-US" w:eastAsia="zh-CN" w:bidi="ar"/>
              </w:rPr>
              <w:t>百分比</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41F653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2BE287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kern w:val="0"/>
                <w:sz w:val="24"/>
                <w:szCs w:val="24"/>
                <w:u w:val="none"/>
                <w:lang w:val="en-US" w:eastAsia="zh-CN" w:bidi="ar"/>
              </w:rPr>
              <w:t>≥95%</w:t>
            </w:r>
          </w:p>
        </w:tc>
      </w:tr>
      <w:tr w14:paraId="1F162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E04A7BA">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A78DA0">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4A8BF4D">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经济成本</w:t>
            </w:r>
          </w:p>
          <w:p w14:paraId="4BB8A902">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14:paraId="5CB38C75">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AB8F725">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13BF783">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87F2A31">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96F20AE">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692883E">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r>
      <w:tr w14:paraId="5AE3F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726B783">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54A1CD">
            <w:pPr>
              <w:keepNext w:val="0"/>
              <w:keepLines w:val="0"/>
              <w:pageBreakBefore w:val="0"/>
              <w:kinsoku/>
              <w:wordWrap/>
              <w:overflowPunct/>
              <w:topLinePunct w:val="0"/>
              <w:autoSpaceDE/>
              <w:autoSpaceDN/>
              <w:bidi w:val="0"/>
              <w:adjustRightInd/>
              <w:snapToGrid/>
              <w:spacing w:line="560" w:lineRule="exact"/>
              <w:ind w:left="0" w:leftChars="0"/>
              <w:jc w:val="left"/>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22449B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c>
          <w:tcPr>
            <w:tcW w:w="1312" w:type="dxa"/>
            <w:tcBorders>
              <w:top w:val="single" w:color="000000" w:sz="4" w:space="0"/>
              <w:bottom w:val="single" w:color="000000" w:sz="4" w:space="0"/>
              <w:right w:val="single" w:color="000000" w:sz="4" w:space="0"/>
            </w:tcBorders>
            <w:noWrap w:val="0"/>
            <w:vAlign w:val="center"/>
          </w:tcPr>
          <w:p w14:paraId="21D110C0">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398686C">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F5A2017">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6F473C3">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3EBB9BF">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3A5D301">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r>
    </w:tbl>
    <w:p w14:paraId="5110454A">
      <w:pPr>
        <w:spacing w:line="578" w:lineRule="exact"/>
        <w:ind w:firstLine="640"/>
        <w:rPr>
          <w:rFonts w:eastAsia="仿宋_GB2312" w:cs="仿宋_GB2312"/>
          <w:kern w:val="0"/>
          <w:sz w:val="32"/>
          <w:szCs w:val="32"/>
        </w:rPr>
      </w:pPr>
    </w:p>
    <w:p w14:paraId="4237FA01">
      <w:pPr>
        <w:spacing w:line="578" w:lineRule="exact"/>
        <w:ind w:firstLine="640"/>
        <w:rPr>
          <w:rFonts w:eastAsia="仿宋_GB2312" w:cs="仿宋_GB2312"/>
          <w:kern w:val="0"/>
          <w:sz w:val="32"/>
          <w:szCs w:val="32"/>
        </w:rPr>
      </w:pPr>
    </w:p>
    <w:p w14:paraId="661ABCB3">
      <w:pPr>
        <w:spacing w:line="578" w:lineRule="exact"/>
        <w:ind w:firstLine="640"/>
        <w:rPr>
          <w:rFonts w:eastAsia="仿宋_GB2312" w:cs="仿宋_GB2312"/>
          <w:kern w:val="0"/>
          <w:sz w:val="32"/>
          <w:szCs w:val="32"/>
        </w:rPr>
      </w:pPr>
      <w:bookmarkStart w:id="70" w:name="_Toc15396618"/>
      <w:r>
        <w:rPr>
          <w:rFonts w:hint="eastAsia" w:eastAsia="仿宋_GB2312" w:cs="仿宋_GB2312"/>
          <w:kern w:val="0"/>
          <w:sz w:val="32"/>
          <w:szCs w:val="32"/>
        </w:rPr>
        <w:br w:type="page"/>
      </w:r>
    </w:p>
    <w:p w14:paraId="7BE27C7C">
      <w:pPr>
        <w:widowControl/>
        <w:jc w:val="center"/>
        <w:outlineLvl w:val="0"/>
        <w:rPr>
          <w:rFonts w:eastAsia="仿宋"/>
        </w:rPr>
      </w:pPr>
      <w:bookmarkStart w:id="71" w:name="_Toc5060"/>
      <w:r>
        <w:rPr>
          <w:rFonts w:hint="eastAsia" w:eastAsia="黑体"/>
          <w:sz w:val="44"/>
          <w:szCs w:val="44"/>
        </w:rPr>
        <w:t>第</w:t>
      </w:r>
      <w:r>
        <w:rPr>
          <w:rStyle w:val="30"/>
          <w:rFonts w:hint="eastAsia" w:eastAsia="黑体"/>
          <w:b w:val="0"/>
        </w:rPr>
        <w:t>五部分 附表</w:t>
      </w:r>
      <w:bookmarkEnd w:id="66"/>
      <w:bookmarkEnd w:id="70"/>
      <w:bookmarkEnd w:id="71"/>
      <w:bookmarkStart w:id="72" w:name="_Toc15396619"/>
    </w:p>
    <w:p w14:paraId="227BAD2B">
      <w:pPr>
        <w:pStyle w:val="15"/>
        <w:adjustRightInd w:val="0"/>
        <w:snapToGrid w:val="0"/>
        <w:spacing w:line="560" w:lineRule="exact"/>
        <w:jc w:val="left"/>
        <w:rPr>
          <w:rFonts w:eastAsia="仿宋_GB2312" w:cs="仿宋_GB2312"/>
          <w:sz w:val="32"/>
          <w:szCs w:val="32"/>
        </w:rPr>
      </w:pPr>
    </w:p>
    <w:p w14:paraId="09ED9CFC">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72"/>
    </w:p>
    <w:p w14:paraId="5254CF88">
      <w:pPr>
        <w:pStyle w:val="15"/>
        <w:adjustRightInd w:val="0"/>
        <w:snapToGrid w:val="0"/>
        <w:spacing w:line="560" w:lineRule="exact"/>
        <w:jc w:val="left"/>
        <w:rPr>
          <w:rFonts w:eastAsia="仿宋_GB2312" w:cs="仿宋_GB2312"/>
          <w:sz w:val="32"/>
          <w:szCs w:val="32"/>
        </w:rPr>
      </w:pPr>
      <w:bookmarkStart w:id="73" w:name="_Toc15396620"/>
      <w:r>
        <w:rPr>
          <w:rFonts w:hint="eastAsia" w:eastAsia="仿宋_GB2312" w:cs="仿宋_GB2312"/>
          <w:sz w:val="32"/>
          <w:szCs w:val="32"/>
        </w:rPr>
        <w:t>二、收入决算表</w:t>
      </w:r>
      <w:bookmarkEnd w:id="73"/>
    </w:p>
    <w:p w14:paraId="2F5F2926">
      <w:pPr>
        <w:pStyle w:val="15"/>
        <w:adjustRightInd w:val="0"/>
        <w:snapToGrid w:val="0"/>
        <w:spacing w:line="560" w:lineRule="exact"/>
        <w:jc w:val="left"/>
        <w:rPr>
          <w:rFonts w:eastAsia="仿宋_GB2312" w:cs="仿宋_GB2312"/>
          <w:sz w:val="32"/>
          <w:szCs w:val="32"/>
        </w:rPr>
      </w:pPr>
      <w:bookmarkStart w:id="74" w:name="_Toc15396621"/>
      <w:r>
        <w:rPr>
          <w:rFonts w:hint="eastAsia" w:eastAsia="仿宋_GB2312" w:cs="仿宋_GB2312"/>
          <w:sz w:val="32"/>
          <w:szCs w:val="32"/>
        </w:rPr>
        <w:t>三、支出决算表</w:t>
      </w:r>
      <w:bookmarkEnd w:id="74"/>
    </w:p>
    <w:p w14:paraId="6246EB0A">
      <w:pPr>
        <w:pStyle w:val="15"/>
        <w:adjustRightInd w:val="0"/>
        <w:snapToGrid w:val="0"/>
        <w:spacing w:line="560" w:lineRule="exact"/>
        <w:jc w:val="left"/>
        <w:rPr>
          <w:rFonts w:eastAsia="仿宋_GB2312" w:cs="仿宋_GB2312"/>
          <w:sz w:val="32"/>
          <w:szCs w:val="32"/>
        </w:rPr>
      </w:pPr>
      <w:bookmarkStart w:id="75" w:name="_Toc15396622"/>
      <w:r>
        <w:rPr>
          <w:rFonts w:hint="eastAsia" w:eastAsia="仿宋_GB2312" w:cs="仿宋_GB2312"/>
          <w:sz w:val="32"/>
          <w:szCs w:val="32"/>
        </w:rPr>
        <w:t>四、财政拨款收入支出决算总表</w:t>
      </w:r>
      <w:bookmarkEnd w:id="75"/>
    </w:p>
    <w:p w14:paraId="6BAEB6DE">
      <w:pPr>
        <w:pStyle w:val="15"/>
        <w:adjustRightInd w:val="0"/>
        <w:snapToGrid w:val="0"/>
        <w:spacing w:line="560" w:lineRule="exact"/>
        <w:jc w:val="left"/>
        <w:rPr>
          <w:rFonts w:eastAsia="仿宋_GB2312" w:cs="仿宋_GB2312"/>
          <w:sz w:val="32"/>
          <w:szCs w:val="32"/>
        </w:rPr>
      </w:pPr>
      <w:bookmarkStart w:id="76" w:name="_Toc15396623"/>
      <w:r>
        <w:rPr>
          <w:rFonts w:hint="eastAsia" w:eastAsia="仿宋_GB2312" w:cs="仿宋_GB2312"/>
          <w:sz w:val="32"/>
          <w:szCs w:val="32"/>
        </w:rPr>
        <w:t>五、财政拨款支出决算明细表</w:t>
      </w:r>
      <w:bookmarkEnd w:id="76"/>
      <w:bookmarkStart w:id="77" w:name="_Toc15396624"/>
    </w:p>
    <w:p w14:paraId="3D2920E5">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77"/>
    </w:p>
    <w:p w14:paraId="240F08B6">
      <w:pPr>
        <w:pStyle w:val="15"/>
        <w:adjustRightInd w:val="0"/>
        <w:snapToGrid w:val="0"/>
        <w:spacing w:line="560" w:lineRule="exact"/>
        <w:jc w:val="left"/>
        <w:rPr>
          <w:rFonts w:eastAsia="仿宋_GB2312" w:cs="仿宋_GB2312"/>
          <w:sz w:val="32"/>
          <w:szCs w:val="32"/>
        </w:rPr>
      </w:pPr>
      <w:bookmarkStart w:id="78" w:name="_Toc15396625"/>
      <w:r>
        <w:rPr>
          <w:rFonts w:hint="eastAsia" w:eastAsia="仿宋_GB2312" w:cs="仿宋_GB2312"/>
          <w:sz w:val="32"/>
          <w:szCs w:val="32"/>
        </w:rPr>
        <w:t>七、一般公共预算财政拨款支出决算明细表</w:t>
      </w:r>
      <w:bookmarkEnd w:id="78"/>
    </w:p>
    <w:p w14:paraId="2CA8AE20">
      <w:pPr>
        <w:pStyle w:val="15"/>
        <w:adjustRightInd w:val="0"/>
        <w:snapToGrid w:val="0"/>
        <w:spacing w:line="560" w:lineRule="exact"/>
        <w:jc w:val="left"/>
        <w:rPr>
          <w:rFonts w:eastAsia="仿宋_GB2312" w:cs="仿宋_GB2312"/>
          <w:sz w:val="32"/>
          <w:szCs w:val="32"/>
        </w:rPr>
      </w:pPr>
      <w:bookmarkStart w:id="79" w:name="_Toc15396626"/>
      <w:r>
        <w:rPr>
          <w:rFonts w:hint="eastAsia" w:eastAsia="仿宋_GB2312" w:cs="仿宋_GB2312"/>
          <w:sz w:val="32"/>
          <w:szCs w:val="32"/>
        </w:rPr>
        <w:t>八、一般公共预算财政拨款基本支出决算表</w:t>
      </w:r>
      <w:bookmarkEnd w:id="79"/>
    </w:p>
    <w:p w14:paraId="1021E5EC">
      <w:pPr>
        <w:pStyle w:val="15"/>
        <w:adjustRightInd w:val="0"/>
        <w:snapToGrid w:val="0"/>
        <w:spacing w:line="560" w:lineRule="exact"/>
        <w:jc w:val="left"/>
        <w:rPr>
          <w:rFonts w:eastAsia="仿宋_GB2312" w:cs="仿宋_GB2312"/>
          <w:sz w:val="32"/>
          <w:szCs w:val="32"/>
        </w:rPr>
      </w:pPr>
      <w:bookmarkStart w:id="80" w:name="_Toc15396627"/>
      <w:r>
        <w:rPr>
          <w:rFonts w:hint="eastAsia" w:eastAsia="仿宋_GB2312" w:cs="仿宋_GB2312"/>
          <w:sz w:val="32"/>
          <w:szCs w:val="32"/>
        </w:rPr>
        <w:t>九、一般公共预算财政拨款项目支出决算表</w:t>
      </w:r>
      <w:bookmarkEnd w:id="80"/>
    </w:p>
    <w:p w14:paraId="07043E00">
      <w:pPr>
        <w:pStyle w:val="15"/>
        <w:adjustRightInd w:val="0"/>
        <w:snapToGrid w:val="0"/>
        <w:spacing w:line="560" w:lineRule="exact"/>
        <w:jc w:val="left"/>
        <w:rPr>
          <w:rFonts w:eastAsia="仿宋_GB2312" w:cs="仿宋_GB2312"/>
          <w:sz w:val="32"/>
          <w:szCs w:val="32"/>
        </w:rPr>
      </w:pPr>
      <w:bookmarkStart w:id="81" w:name="_Toc15396628"/>
      <w:r>
        <w:rPr>
          <w:rFonts w:hint="eastAsia" w:eastAsia="仿宋_GB2312" w:cs="仿宋_GB2312"/>
          <w:sz w:val="32"/>
          <w:szCs w:val="32"/>
        </w:rPr>
        <w:t>十、</w:t>
      </w:r>
      <w:bookmarkEnd w:id="81"/>
      <w:r>
        <w:rPr>
          <w:rFonts w:hint="eastAsia" w:eastAsia="仿宋_GB2312" w:cs="仿宋_GB2312"/>
          <w:sz w:val="32"/>
          <w:szCs w:val="32"/>
        </w:rPr>
        <w:t>政府性基金预算财政拨款收入支出决算表</w:t>
      </w:r>
    </w:p>
    <w:p w14:paraId="7B15E922">
      <w:pPr>
        <w:pStyle w:val="15"/>
        <w:adjustRightInd w:val="0"/>
        <w:snapToGrid w:val="0"/>
        <w:spacing w:line="560" w:lineRule="exact"/>
        <w:jc w:val="left"/>
        <w:rPr>
          <w:rFonts w:eastAsia="仿宋_GB2312" w:cs="仿宋_GB2312"/>
          <w:sz w:val="32"/>
          <w:szCs w:val="32"/>
        </w:rPr>
      </w:pPr>
      <w:bookmarkStart w:id="82" w:name="_Toc15396629"/>
      <w:r>
        <w:rPr>
          <w:rFonts w:hint="eastAsia" w:eastAsia="仿宋_GB2312" w:cs="仿宋_GB2312"/>
          <w:sz w:val="32"/>
          <w:szCs w:val="32"/>
        </w:rPr>
        <w:t>十一、</w:t>
      </w:r>
      <w:bookmarkEnd w:id="82"/>
      <w:r>
        <w:rPr>
          <w:rFonts w:hint="eastAsia" w:eastAsia="仿宋_GB2312" w:cs="仿宋_GB2312"/>
          <w:sz w:val="32"/>
          <w:szCs w:val="32"/>
        </w:rPr>
        <w:t>国有资本经营预算财政拨款收入支出决算表</w:t>
      </w:r>
    </w:p>
    <w:p w14:paraId="0F22F1B4">
      <w:pPr>
        <w:pStyle w:val="15"/>
        <w:adjustRightInd w:val="0"/>
        <w:snapToGrid w:val="0"/>
        <w:spacing w:line="560" w:lineRule="exact"/>
        <w:jc w:val="left"/>
        <w:rPr>
          <w:rFonts w:eastAsia="仿宋_GB2312" w:cs="仿宋_GB2312"/>
          <w:sz w:val="32"/>
          <w:szCs w:val="32"/>
        </w:rPr>
      </w:pPr>
      <w:bookmarkStart w:id="83" w:name="_Toc15396630"/>
      <w:r>
        <w:rPr>
          <w:rFonts w:hint="eastAsia" w:eastAsia="仿宋_GB2312" w:cs="仿宋_GB2312"/>
          <w:sz w:val="32"/>
          <w:szCs w:val="32"/>
        </w:rPr>
        <w:t>十二、</w:t>
      </w:r>
      <w:bookmarkEnd w:id="83"/>
      <w:r>
        <w:rPr>
          <w:rFonts w:hint="eastAsia" w:eastAsia="仿宋_GB2312" w:cs="仿宋_GB2312"/>
          <w:sz w:val="32"/>
          <w:szCs w:val="32"/>
        </w:rPr>
        <w:t>国有资本经营预算财政拨款支出决算表</w:t>
      </w:r>
    </w:p>
    <w:p w14:paraId="3D830803">
      <w:pPr>
        <w:pStyle w:val="15"/>
        <w:adjustRightInd w:val="0"/>
        <w:snapToGrid w:val="0"/>
        <w:spacing w:line="560" w:lineRule="exact"/>
        <w:jc w:val="left"/>
        <w:rPr>
          <w:rFonts w:eastAsia="仿宋_GB2312" w:cs="仿宋_GB2312"/>
          <w:sz w:val="32"/>
          <w:szCs w:val="32"/>
        </w:rPr>
      </w:pPr>
      <w:bookmarkStart w:id="84" w:name="_Toc15396631"/>
      <w:r>
        <w:rPr>
          <w:rFonts w:hint="eastAsia" w:eastAsia="仿宋_GB2312" w:cs="仿宋_GB2312"/>
          <w:sz w:val="32"/>
          <w:szCs w:val="32"/>
        </w:rPr>
        <w:t>十三、</w:t>
      </w:r>
      <w:bookmarkEnd w:id="84"/>
      <w:r>
        <w:rPr>
          <w:rFonts w:hint="eastAsia" w:eastAsia="仿宋_GB2312" w:cs="仿宋_GB2312"/>
          <w:sz w:val="32"/>
          <w:szCs w:val="32"/>
        </w:rPr>
        <w:t>财政拨款“三公”经费支出决算表</w:t>
      </w:r>
    </w:p>
    <w:p w14:paraId="46D5F740"/>
    <w:sectPr>
      <w:pgSz w:w="11906" w:h="16838"/>
      <w:pgMar w:top="1440" w:right="1800" w:bottom="1440" w:left="1800"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826C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98E267">
                          <w:pPr>
                            <w:pStyle w:val="11"/>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1998E267">
                    <w:pPr>
                      <w:pStyle w:val="11"/>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9846E">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BADDD2">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21BADDD2">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244DE">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D1C457"/>
    <w:multiLevelType w:val="singleLevel"/>
    <w:tmpl w:val="9BD1C457"/>
    <w:lvl w:ilvl="0" w:tentative="0">
      <w:start w:val="1"/>
      <w:numFmt w:val="chineseCounting"/>
      <w:suff w:val="nothing"/>
      <w:lvlText w:val="%1、"/>
      <w:lvlJc w:val="left"/>
      <w:rPr>
        <w:rFonts w:hint="eastAsia"/>
      </w:rPr>
    </w:lvl>
  </w:abstractNum>
  <w:abstractNum w:abstractNumId="1">
    <w:nsid w:val="1A6F4E69"/>
    <w:multiLevelType w:val="singleLevel"/>
    <w:tmpl w:val="1A6F4E69"/>
    <w:lvl w:ilvl="0" w:tentative="0">
      <w:start w:val="1"/>
      <w:numFmt w:val="decimal"/>
      <w:suff w:val="space"/>
      <w:lvlText w:val="%1."/>
      <w:lvlJc w:val="left"/>
      <w:pPr>
        <w:ind w:left="425" w:hanging="425"/>
      </w:pPr>
      <w:rPr>
        <w:rFonts w:hint="default"/>
      </w:rPr>
    </w:lvl>
  </w:abstractNum>
  <w:abstractNum w:abstractNumId="2">
    <w:nsid w:val="53F5724E"/>
    <w:multiLevelType w:val="singleLevel"/>
    <w:tmpl w:val="53F5724E"/>
    <w:lvl w:ilvl="0" w:tentative="0">
      <w:start w:val="1"/>
      <w:numFmt w:val="decimal"/>
      <w:suff w:val="space"/>
      <w:lvlText w:val="%1."/>
      <w:lvlJc w:val="left"/>
      <w:pPr>
        <w:ind w:left="425" w:hanging="425"/>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07004"/>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3795B"/>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22A3"/>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2FE1"/>
    <w:rsid w:val="00D114F0"/>
    <w:rsid w:val="00D20620"/>
    <w:rsid w:val="00D254F7"/>
    <w:rsid w:val="00D26091"/>
    <w:rsid w:val="00D2685C"/>
    <w:rsid w:val="00D34E7C"/>
    <w:rsid w:val="00D35489"/>
    <w:rsid w:val="00D36AFE"/>
    <w:rsid w:val="00D51276"/>
    <w:rsid w:val="00D5444D"/>
    <w:rsid w:val="00D7035F"/>
    <w:rsid w:val="00DA634F"/>
    <w:rsid w:val="00DA65AC"/>
    <w:rsid w:val="00DB1913"/>
    <w:rsid w:val="00DC2C99"/>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8856DEC"/>
    <w:rsid w:val="09867E8F"/>
    <w:rsid w:val="0A2032A3"/>
    <w:rsid w:val="0CA8290A"/>
    <w:rsid w:val="0D35B1ED"/>
    <w:rsid w:val="0E254B6B"/>
    <w:rsid w:val="0F98263C"/>
    <w:rsid w:val="101860EC"/>
    <w:rsid w:val="101F47CC"/>
    <w:rsid w:val="102A4816"/>
    <w:rsid w:val="10C055FF"/>
    <w:rsid w:val="11694EBD"/>
    <w:rsid w:val="11772AA4"/>
    <w:rsid w:val="118107EC"/>
    <w:rsid w:val="12E24EE2"/>
    <w:rsid w:val="13D50BC4"/>
    <w:rsid w:val="14B17F78"/>
    <w:rsid w:val="165E0673"/>
    <w:rsid w:val="16B831D5"/>
    <w:rsid w:val="16BB723D"/>
    <w:rsid w:val="17E50567"/>
    <w:rsid w:val="186504BB"/>
    <w:rsid w:val="19A445FC"/>
    <w:rsid w:val="1BE8440E"/>
    <w:rsid w:val="1CC6347C"/>
    <w:rsid w:val="1D155CEE"/>
    <w:rsid w:val="1D1638FE"/>
    <w:rsid w:val="1E312DEB"/>
    <w:rsid w:val="1E740ACF"/>
    <w:rsid w:val="1F794901"/>
    <w:rsid w:val="1FF35744"/>
    <w:rsid w:val="1FF6BC77"/>
    <w:rsid w:val="2186353C"/>
    <w:rsid w:val="23860B96"/>
    <w:rsid w:val="240371BF"/>
    <w:rsid w:val="244F3473"/>
    <w:rsid w:val="24C97D99"/>
    <w:rsid w:val="25A718F0"/>
    <w:rsid w:val="25BB59F6"/>
    <w:rsid w:val="260F557C"/>
    <w:rsid w:val="26970054"/>
    <w:rsid w:val="281408E2"/>
    <w:rsid w:val="29FD04D3"/>
    <w:rsid w:val="2BFF7BC6"/>
    <w:rsid w:val="2C8A61B5"/>
    <w:rsid w:val="2DC21DC5"/>
    <w:rsid w:val="2DF04E50"/>
    <w:rsid w:val="2E586DFA"/>
    <w:rsid w:val="2F040D46"/>
    <w:rsid w:val="2F6B035B"/>
    <w:rsid w:val="2FAE5751"/>
    <w:rsid w:val="2FB1A395"/>
    <w:rsid w:val="2FD9A7D8"/>
    <w:rsid w:val="2FDBF714"/>
    <w:rsid w:val="30AB6865"/>
    <w:rsid w:val="319F7F4E"/>
    <w:rsid w:val="32BD1EF1"/>
    <w:rsid w:val="3304709D"/>
    <w:rsid w:val="33A773CB"/>
    <w:rsid w:val="34032428"/>
    <w:rsid w:val="349D6851"/>
    <w:rsid w:val="35E6413B"/>
    <w:rsid w:val="36AA5135"/>
    <w:rsid w:val="36BE0DA7"/>
    <w:rsid w:val="376B6AA6"/>
    <w:rsid w:val="376D39B2"/>
    <w:rsid w:val="37E16F03"/>
    <w:rsid w:val="37F53A3B"/>
    <w:rsid w:val="389B6C89"/>
    <w:rsid w:val="38D469F0"/>
    <w:rsid w:val="39627CCD"/>
    <w:rsid w:val="397BAF1F"/>
    <w:rsid w:val="3AB79AF3"/>
    <w:rsid w:val="3ABE1B66"/>
    <w:rsid w:val="3AE834C0"/>
    <w:rsid w:val="3B2220F5"/>
    <w:rsid w:val="3B7EF35A"/>
    <w:rsid w:val="3B9FDB6C"/>
    <w:rsid w:val="3BF5BC2F"/>
    <w:rsid w:val="3CEBA265"/>
    <w:rsid w:val="3D5D7B0B"/>
    <w:rsid w:val="3D98207C"/>
    <w:rsid w:val="3DEE7CF3"/>
    <w:rsid w:val="3E740A63"/>
    <w:rsid w:val="3E78745D"/>
    <w:rsid w:val="3EE17838"/>
    <w:rsid w:val="3F55381A"/>
    <w:rsid w:val="3F7F7599"/>
    <w:rsid w:val="3FF4CAE0"/>
    <w:rsid w:val="3FF7B227"/>
    <w:rsid w:val="44427260"/>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012078F"/>
    <w:rsid w:val="537E6D0A"/>
    <w:rsid w:val="53F74C96"/>
    <w:rsid w:val="55170BA8"/>
    <w:rsid w:val="553218C9"/>
    <w:rsid w:val="567E1AA5"/>
    <w:rsid w:val="56E47B74"/>
    <w:rsid w:val="57175D52"/>
    <w:rsid w:val="57963475"/>
    <w:rsid w:val="57BD3DD4"/>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98D0931"/>
    <w:rsid w:val="6A7FE5F3"/>
    <w:rsid w:val="6B053271"/>
    <w:rsid w:val="6BD050D2"/>
    <w:rsid w:val="6BDD78B3"/>
    <w:rsid w:val="6C4A05C8"/>
    <w:rsid w:val="6C8742B8"/>
    <w:rsid w:val="6DBF5E93"/>
    <w:rsid w:val="6DFF077E"/>
    <w:rsid w:val="6E714EF0"/>
    <w:rsid w:val="6E7E3605"/>
    <w:rsid w:val="6E7FDCC7"/>
    <w:rsid w:val="6ED6A62E"/>
    <w:rsid w:val="6EE00B15"/>
    <w:rsid w:val="6F6FB3EB"/>
    <w:rsid w:val="6F8731EA"/>
    <w:rsid w:val="6FA07D8E"/>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C57D7C"/>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22AB0"/>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Body Text"/>
    <w:basedOn w:val="1"/>
    <w:next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rPr>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customStyle="1" w:styleId="22">
    <w:name w:val="Header Char"/>
    <w:basedOn w:val="19"/>
    <w:semiHidden/>
    <w:qFormat/>
    <w:uiPriority w:val="99"/>
    <w:rPr>
      <w:rFonts w:ascii="Times New Roman" w:hAnsi="Times New Roman"/>
      <w:sz w:val="18"/>
      <w:szCs w:val="18"/>
    </w:rPr>
  </w:style>
  <w:style w:type="character" w:customStyle="1" w:styleId="23">
    <w:name w:val="页眉 字符"/>
    <w:link w:val="12"/>
    <w:semiHidden/>
    <w:qFormat/>
    <w:locked/>
    <w:uiPriority w:val="99"/>
    <w:rPr>
      <w:sz w:val="18"/>
    </w:rPr>
  </w:style>
  <w:style w:type="character" w:customStyle="1" w:styleId="24">
    <w:name w:val="Footer Char"/>
    <w:basedOn w:val="19"/>
    <w:semiHidden/>
    <w:qFormat/>
    <w:uiPriority w:val="99"/>
    <w:rPr>
      <w:rFonts w:ascii="Times New Roman" w:hAnsi="Times New Roman"/>
      <w:sz w:val="18"/>
      <w:szCs w:val="18"/>
    </w:rPr>
  </w:style>
  <w:style w:type="character" w:customStyle="1" w:styleId="25">
    <w:name w:val="页脚 字符"/>
    <w:link w:val="11"/>
    <w:qFormat/>
    <w:locked/>
    <w:uiPriority w:val="99"/>
    <w:rPr>
      <w:sz w:val="18"/>
    </w:rPr>
  </w:style>
  <w:style w:type="character" w:customStyle="1" w:styleId="26">
    <w:name w:val="Body Text Char"/>
    <w:basedOn w:val="19"/>
    <w:semiHidden/>
    <w:qFormat/>
    <w:uiPriority w:val="99"/>
    <w:rPr>
      <w:rFonts w:ascii="Times New Roman" w:hAnsi="Times New Roman"/>
      <w:szCs w:val="24"/>
    </w:rPr>
  </w:style>
  <w:style w:type="character" w:customStyle="1" w:styleId="27">
    <w:name w:val="正文文本 字符"/>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字符"/>
    <w:basedOn w:val="19"/>
    <w:link w:val="3"/>
    <w:qFormat/>
    <w:uiPriority w:val="9"/>
    <w:rPr>
      <w:rFonts w:ascii="Times New Roman" w:hAnsi="Times New Roman"/>
      <w:b/>
      <w:bCs/>
      <w:kern w:val="44"/>
      <w:sz w:val="44"/>
      <w:szCs w:val="44"/>
    </w:rPr>
  </w:style>
  <w:style w:type="character" w:customStyle="1" w:styleId="31">
    <w:name w:val="标题 2 字符"/>
    <w:basedOn w:val="19"/>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字符"/>
    <w:basedOn w:val="19"/>
    <w:link w:val="10"/>
    <w:semiHidden/>
    <w:qFormat/>
    <w:uiPriority w:val="99"/>
    <w:rPr>
      <w:rFonts w:ascii="Times New Roman" w:hAnsi="Times New Roman"/>
      <w:kern w:val="2"/>
      <w:sz w:val="18"/>
      <w:szCs w:val="18"/>
    </w:rPr>
  </w:style>
  <w:style w:type="character" w:customStyle="1" w:styleId="34">
    <w:name w:val="标题 3 字符"/>
    <w:basedOn w:val="19"/>
    <w:link w:val="5"/>
    <w:qFormat/>
    <w:uiPriority w:val="9"/>
    <w:rPr>
      <w:rFonts w:ascii="Times New Roman" w:hAnsi="Times New Roman"/>
      <w:b/>
      <w:bCs/>
      <w:kern w:val="2"/>
      <w:sz w:val="32"/>
      <w:szCs w:val="32"/>
    </w:rPr>
  </w:style>
  <w:style w:type="paragraph" w:customStyle="1" w:styleId="35">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21556;&#24422;&#31062;\Desktop\3-&#22270;&#34920;&#29983;&#25104;.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21556;&#24422;&#31062;\Desktop\3-&#22270;&#34920;&#29983;&#25104;.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21556;&#24422;&#31062;\Desktop\3-&#22270;&#34920;&#29983;&#25104;.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21556;&#24422;&#31062;\Desktop\3-&#22270;&#34920;&#29983;&#25104;.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21556;&#24422;&#31062;\Desktop\3-&#22270;&#34920;&#29983;&#25104;.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21556;&#24422;&#31062;\Desktop\3-&#22270;&#34920;&#29983;&#25104;.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21556;&#24422;&#31062;\Desktop\3-&#22270;&#34920;&#29983;&#2510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cap="all" spc="50" baseline="0">
                <a:solidFill>
                  <a:schemeClr val="tx1">
                    <a:lumMod val="65000"/>
                    <a:lumOff val="35000"/>
                  </a:schemeClr>
                </a:solidFill>
                <a:latin typeface="+mn-lt"/>
                <a:ea typeface="+mn-ea"/>
                <a:cs typeface="+mn-cs"/>
              </a:defRPr>
            </a:pPr>
            <a:r>
              <a:t>收、支决算总计变动情况图</a:t>
            </a:r>
          </a:p>
        </c:rich>
      </c:tx>
      <c:layout/>
      <c:overlay val="0"/>
      <c:spPr>
        <a:noFill/>
        <a:ln>
          <a:noFill/>
        </a:ln>
        <a:effectLst/>
      </c:spPr>
    </c:title>
    <c:autoTitleDeleted val="0"/>
    <c:plotArea>
      <c:layout/>
      <c:barChart>
        <c:barDir val="col"/>
        <c:grouping val="clustered"/>
        <c:varyColors val="0"/>
        <c:ser>
          <c:idx val="0"/>
          <c:order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'[3-图表生成.xlsx]Sheet1'!$A$3:$A$4</c:f>
              <c:strCache>
                <c:ptCount val="2"/>
                <c:pt idx="0">
                  <c:v>2023年（万元）</c:v>
                </c:pt>
                <c:pt idx="1">
                  <c:v>2024年（万元）</c:v>
                </c:pt>
              </c:strCache>
            </c:strRef>
          </c:cat>
          <c:val>
            <c:numRef>
              <c:f>'[3-图表生成.xlsx]Sheet1'!$B$3:$B$4</c:f>
              <c:numCache>
                <c:formatCode>#,##0.00</c:formatCode>
                <c:ptCount val="2"/>
                <c:pt idx="0">
                  <c:v>1758.9</c:v>
                </c:pt>
                <c:pt idx="1">
                  <c:v>1645.9</c:v>
                </c:pt>
              </c:numCache>
            </c:numRef>
          </c:val>
        </c:ser>
        <c:dLbls>
          <c:showLegendKey val="0"/>
          <c:showVal val="1"/>
          <c:showCatName val="0"/>
          <c:showSerName val="0"/>
          <c:showPercent val="0"/>
          <c:showBubbleSize val="0"/>
        </c:dLbls>
        <c:gapWidth val="355"/>
        <c:overlap val="-70"/>
        <c:axId val="658193259"/>
        <c:axId val="330015726"/>
      </c:barChart>
      <c:catAx>
        <c:axId val="658193259"/>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0015726"/>
        <c:crosses val="autoZero"/>
        <c:auto val="1"/>
        <c:lblAlgn val="ctr"/>
        <c:lblOffset val="100"/>
        <c:noMultiLvlLbl val="0"/>
      </c:catAx>
      <c:valAx>
        <c:axId val="330015726"/>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0.00"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8193259"/>
        <c:crosses val="autoZero"/>
        <c:crossBetween val="between"/>
      </c:valAx>
      <c:spPr>
        <a:noFill/>
        <a:ln>
          <a:noFill/>
        </a:ln>
        <a:effectLst/>
      </c:spPr>
    </c:plotArea>
    <c:plotVisOnly val="1"/>
    <c:dispBlanksAs val="gap"/>
    <c:showDLblsOverMax val="0"/>
    <c:extLst>
      <c:ext uri="{0b15fc19-7d7d-44ad-8c2d-2c3a37ce22c3}">
        <chartProps xmlns="https://web.wps.cn/et/2018/main" chartId="{fcf1d491-19fc-4d35-9351-f70f4a04c6e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95.4%</a:t>
                    </a:r>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4.6%</a:t>
                    </a:r>
                  </a:p>
                </c:rich>
              </c:tx>
              <c:dLblPos val="inEnd"/>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'[3-图表生成.xlsx]Sheet1'!$I$3:$I$4</c:f>
              <c:strCache>
                <c:ptCount val="2"/>
                <c:pt idx="0">
                  <c:v>一般公共预算财政拨款收入</c:v>
                </c:pt>
                <c:pt idx="1">
                  <c:v>其他收入</c:v>
                </c:pt>
              </c:strCache>
            </c:strRef>
          </c:cat>
          <c:val>
            <c:numRef>
              <c:f>'[3-图表生成.xlsx]Sheet1'!$J$3:$J$4</c:f>
              <c:numCache>
                <c:formatCode>#,##0.00</c:formatCode>
                <c:ptCount val="2"/>
                <c:pt idx="0">
                  <c:v>1570.26</c:v>
                </c:pt>
                <c:pt idx="1">
                  <c:v>75.65</c:v>
                </c:pt>
              </c:numCache>
            </c:numRef>
          </c:val>
        </c:ser>
        <c:dLbls>
          <c:showLegendKey val="0"/>
          <c:showVal val="0"/>
          <c:showCatName val="0"/>
          <c:showSerName val="0"/>
          <c:showPercent val="1"/>
          <c:showBubbleSize val="0"/>
          <c:showLeaderLines val="0"/>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13beefb-f678-4ebd-9d33-310b889c9ce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90.2%</a:t>
                    </a:r>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9.8%</a:t>
                    </a:r>
                  </a:p>
                </c:rich>
              </c:tx>
              <c:dLblPos val="inEnd"/>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'[3-图表生成.xlsx]Sheet1'!$O$3:$O$4</c:f>
              <c:strCache>
                <c:ptCount val="2"/>
                <c:pt idx="0">
                  <c:v>基本支出</c:v>
                </c:pt>
                <c:pt idx="1">
                  <c:v>项目支出</c:v>
                </c:pt>
              </c:strCache>
            </c:strRef>
          </c:cat>
          <c:val>
            <c:numRef>
              <c:f>'[3-图表生成.xlsx]Sheet1'!$P$3:$P$4</c:f>
              <c:numCache>
                <c:formatCode>#,##0.00</c:formatCode>
                <c:ptCount val="2"/>
                <c:pt idx="0">
                  <c:v>1429.34</c:v>
                </c:pt>
                <c:pt idx="1">
                  <c:v>155.34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8b483ee-82c6-4e7e-bbf6-2eabfe02344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'[3-图表生成.xlsx]Sheet1'!$A$25:$A$26</c:f>
              <c:strCache>
                <c:ptCount val="2"/>
                <c:pt idx="0">
                  <c:v>2023年（万元）</c:v>
                </c:pt>
                <c:pt idx="1">
                  <c:v>2024年（万元）</c:v>
                </c:pt>
              </c:strCache>
            </c:strRef>
          </c:cat>
          <c:val>
            <c:numRef>
              <c:f>'[3-图表生成.xlsx]Sheet1'!$B$25:$B$26</c:f>
              <c:numCache>
                <c:formatCode>#,##0.00</c:formatCode>
                <c:ptCount val="2"/>
                <c:pt idx="0">
                  <c:v>1746.81</c:v>
                </c:pt>
                <c:pt idx="1">
                  <c:v>1570.26</c:v>
                </c:pt>
              </c:numCache>
            </c:numRef>
          </c:val>
        </c:ser>
        <c:dLbls>
          <c:showLegendKey val="0"/>
          <c:showVal val="1"/>
          <c:showCatName val="0"/>
          <c:showSerName val="0"/>
          <c:showPercent val="0"/>
          <c:showBubbleSize val="0"/>
        </c:dLbls>
        <c:gapWidth val="150"/>
        <c:overlap val="0"/>
        <c:axId val="987151365"/>
        <c:axId val="911815620"/>
      </c:barChart>
      <c:catAx>
        <c:axId val="987151365"/>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1815620"/>
        <c:crosses val="autoZero"/>
        <c:auto val="1"/>
        <c:lblAlgn val="ctr"/>
        <c:lblOffset val="100"/>
        <c:noMultiLvlLbl val="0"/>
      </c:catAx>
      <c:valAx>
        <c:axId val="9118156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7151365"/>
        <c:crosses val="autoZero"/>
        <c:crossBetween val="between"/>
      </c:valAx>
      <c:spPr>
        <a:noFill/>
        <a:ln>
          <a:noFill/>
        </a:ln>
        <a:effectLst/>
      </c:spPr>
    </c:plotArea>
    <c:plotVisOnly val="1"/>
    <c:dispBlanksAs val="gap"/>
    <c:showDLblsOverMax val="0"/>
    <c:extLst>
      <c:ext uri="{0b15fc19-7d7d-44ad-8c2d-2c3a37ce22c3}">
        <chartProps xmlns="https://web.wps.cn/et/2018/main" chartId="{c38a2e3b-256a-4d26-8500-d84a6df7aff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'[3-图表生成.xlsx]Sheet1'!$A$46:$A$47</c:f>
              <c:strCache>
                <c:ptCount val="2"/>
                <c:pt idx="0">
                  <c:v>2023年（万元）</c:v>
                </c:pt>
                <c:pt idx="1">
                  <c:v>2024年（万元）</c:v>
                </c:pt>
              </c:strCache>
            </c:strRef>
          </c:cat>
          <c:val>
            <c:numRef>
              <c:f>'[3-图表生成.xlsx]Sheet1'!$B$46:$B$47</c:f>
              <c:numCache>
                <c:formatCode>#,##0.00</c:formatCode>
                <c:ptCount val="2"/>
                <c:pt idx="0">
                  <c:v>1746.81</c:v>
                </c:pt>
                <c:pt idx="1">
                  <c:v>1570.26</c:v>
                </c:pt>
              </c:numCache>
            </c:numRef>
          </c:val>
        </c:ser>
        <c:dLbls>
          <c:showLegendKey val="0"/>
          <c:showVal val="1"/>
          <c:showCatName val="0"/>
          <c:showSerName val="0"/>
          <c:showPercent val="0"/>
          <c:showBubbleSize val="0"/>
        </c:dLbls>
        <c:gapWidth val="219"/>
        <c:overlap val="-27"/>
        <c:axId val="928854141"/>
        <c:axId val="188393366"/>
      </c:barChart>
      <c:catAx>
        <c:axId val="92885414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8393366"/>
        <c:crosses val="autoZero"/>
        <c:auto val="1"/>
        <c:lblAlgn val="ctr"/>
        <c:lblOffset val="100"/>
        <c:noMultiLvlLbl val="0"/>
      </c:catAx>
      <c:valAx>
        <c:axId val="18839336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8854141"/>
        <c:crosses val="autoZero"/>
        <c:crossBetween val="between"/>
      </c:valAx>
      <c:spPr>
        <a:noFill/>
        <a:ln>
          <a:noFill/>
        </a:ln>
        <a:effectLst/>
      </c:spPr>
    </c:plotArea>
    <c:plotVisOnly val="1"/>
    <c:dispBlanksAs val="gap"/>
    <c:showDLblsOverMax val="0"/>
    <c:extLst>
      <c:ext uri="{0b15fc19-7d7d-44ad-8c2d-2c3a37ce22c3}">
        <chartProps xmlns="https://web.wps.cn/et/2018/main" chartId="{4cd4ffc0-436a-48b5-abd2-0808bb51030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a:t>
            </a:r>
          </a:p>
          <a:p>
            <a:pPr defTabSz="914400">
              <a:defRPr lang="zh-CN" sz="1400" b="0" i="0" u="none" strike="noStrike" kern="1200" spc="0" baseline="0">
                <a:solidFill>
                  <a:schemeClr val="tx1">
                    <a:lumMod val="65000"/>
                    <a:lumOff val="35000"/>
                  </a:schemeClr>
                </a:solidFill>
                <a:latin typeface="+mn-lt"/>
                <a:ea typeface="+mn-ea"/>
                <a:cs typeface="+mn-cs"/>
              </a:defRPr>
            </a:pPr>
            <a:r>
              <a:t>支出决算结构</a:t>
            </a:r>
          </a:p>
        </c:rich>
      </c:tx>
      <c:layout>
        <c:manualLayout>
          <c:xMode val="edge"/>
          <c:yMode val="edge"/>
          <c:x val="0.0108333333333333"/>
          <c:y val="0.0402777777777778"/>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0.195"/>
                  <c:y val="-0.00555555555555556"/>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1.1%</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9</a:t>
                    </a:r>
                    <a:r>
                      <a:t>%</a:t>
                    </a:r>
                  </a:p>
                </c:rich>
              </c:tx>
              <c:dLblPos val="outEnd"/>
              <c:showLegendKey val="0"/>
              <c:showVal val="0"/>
              <c:showCatName val="0"/>
              <c:showSerName val="0"/>
              <c:showPercent val="1"/>
              <c:showBubbleSize val="0"/>
              <c:extLst>
                <c:ext xmlns:c15="http://schemas.microsoft.com/office/drawing/2012/chart" uri="{CE6537A1-D6FC-4f65-9D91-7224C49458BB}"/>
              </c:extLst>
            </c:dLbl>
            <c:dLbl>
              <c:idx val="2"/>
              <c:layout>
                <c:manualLayout>
                  <c:x val="-0.118333333333333"/>
                  <c:y val="0.122222222222222"/>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4.</a:t>
                    </a:r>
                    <a:r>
                      <a:rPr lang="en-US" altLang="zh-CN"/>
                      <a:t>5</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14"/>
                  <c:y val="0.027777777777777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80.</a:t>
                    </a:r>
                    <a:r>
                      <a:rPr lang="en-US" altLang="zh-CN"/>
                      <a:t>4</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5.</a:t>
                    </a:r>
                    <a:r>
                      <a:rPr lang="en-US" altLang="zh-CN"/>
                      <a:t>1</a:t>
                    </a:r>
                    <a:r>
                      <a:t>%</a:t>
                    </a:r>
                  </a:p>
                </c:rich>
              </c:tx>
              <c:dLblPos val="outEnd"/>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'[3-图表生成.xlsx]Sheet1'!$I$27:$I$31</c:f>
              <c:strCache>
                <c:ptCount val="5"/>
                <c:pt idx="0">
                  <c:v>科学技术支出</c:v>
                </c:pt>
                <c:pt idx="1">
                  <c:v>社会保障和就业支出</c:v>
                </c:pt>
                <c:pt idx="2">
                  <c:v>卫生健康支出</c:v>
                </c:pt>
                <c:pt idx="3">
                  <c:v>农林水支出</c:v>
                </c:pt>
                <c:pt idx="4">
                  <c:v>住房保障支出</c:v>
                </c:pt>
              </c:strCache>
            </c:strRef>
          </c:cat>
          <c:val>
            <c:numRef>
              <c:f>'[3-图表生成.xlsx]Sheet1'!$J$27:$J$31</c:f>
              <c:numCache>
                <c:formatCode>0.00_ </c:formatCode>
                <c:ptCount val="5"/>
                <c:pt idx="0">
                  <c:v>17.26</c:v>
                </c:pt>
                <c:pt idx="1" c:formatCode="General">
                  <c:v>140.59</c:v>
                </c:pt>
                <c:pt idx="2" c:formatCode="General">
                  <c:v>70.5</c:v>
                </c:pt>
                <c:pt idx="3" c:formatCode="General">
                  <c:v>1262.37</c:v>
                </c:pt>
                <c:pt idx="4" c:formatCode="General">
                  <c:v>79.53</c:v>
                </c:pt>
              </c:numCache>
            </c:numRef>
          </c:val>
        </c:ser>
        <c:ser>
          <c:idx val="1"/>
          <c:order val="1"/>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'[3-图表生成.xlsx]Sheet1'!$I$27:$I$31</c:f>
              <c:strCache>
                <c:ptCount val="5"/>
                <c:pt idx="0">
                  <c:v>科学技术支出</c:v>
                </c:pt>
                <c:pt idx="1">
                  <c:v>社会保障和就业支出</c:v>
                </c:pt>
                <c:pt idx="2">
                  <c:v>卫生健康支出</c:v>
                </c:pt>
                <c:pt idx="3">
                  <c:v>农林水支出</c:v>
                </c:pt>
                <c:pt idx="4">
                  <c:v>住房保障支出</c:v>
                </c:pt>
              </c:strCache>
            </c:strRef>
          </c:cat>
          <c:val>
            <c:numRef>
              <c:f>'[3-图表生成.xlsx]Sheet1'!$K$27:$K$31</c:f>
              <c:numCache>
                <c:formatCode>0.0%</c:formatCode>
                <c:ptCount val="5"/>
                <c:pt idx="0">
                  <c:v>0.0109918802738417</c:v>
                </c:pt>
                <c:pt idx="1">
                  <c:v>0.0895335137716924</c:v>
                </c:pt>
                <c:pt idx="2">
                  <c:v>0.0448973093456456</c:v>
                </c:pt>
                <c:pt idx="3">
                  <c:v>0.803929310619328</c:v>
                </c:pt>
                <c:pt idx="4">
                  <c:v>0.0506479859894921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l"/>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9d7a093-e548-4b45-8284-7526bc66b13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a:t>
            </a:r>
            <a:r>
              <a:rPr altLang="en-US"/>
              <a:t>三公</a:t>
            </a:r>
            <a:r>
              <a:rPr lang="en-US" altLang="zh-CN"/>
              <a:t>”</a:t>
            </a:r>
            <a:r>
              <a:rPr altLang="en-US"/>
              <a:t>经费财政拨款支出结构</a:t>
            </a:r>
            <a:endParaRPr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96%</a:t>
                    </a:r>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4</a:t>
                    </a:r>
                    <a:r>
                      <a:t>%</a:t>
                    </a:r>
                  </a:p>
                </c:rich>
              </c:tx>
              <c:dLblPos val="inEnd"/>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'[3-图表生成.xlsx]Sheet1'!$I$44:$I$45</c:f>
              <c:strCache>
                <c:ptCount val="2"/>
                <c:pt idx="0">
                  <c:v>公务用车购置及运行维护费支出</c:v>
                </c:pt>
                <c:pt idx="1">
                  <c:v>公务接待费支出</c:v>
                </c:pt>
              </c:strCache>
            </c:strRef>
          </c:cat>
          <c:val>
            <c:numRef>
              <c:f>'[3-图表生成.xlsx]Sheet1'!$J$44:$J$45</c:f>
              <c:numCache>
                <c:formatCode>General</c:formatCode>
                <c:ptCount val="2"/>
                <c:pt idx="0">
                  <c:v>15.79</c:v>
                </c:pt>
                <c:pt idx="1">
                  <c:v>0.65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faa7a48-d1b7-49ab-9420-2342dd1131f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63</Pages>
  <Words>8787</Words>
  <Characters>9923</Characters>
  <Lines>60</Lines>
  <Paragraphs>17</Paragraphs>
  <TotalTime>5</TotalTime>
  <ScaleCrop>false</ScaleCrop>
  <LinksUpToDate>false</LinksUpToDate>
  <CharactersWithSpaces>10054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一个笨蛋</cp:lastModifiedBy>
  <cp:lastPrinted>2025-08-06T17:34:00Z</cp:lastPrinted>
  <dcterms:modified xsi:type="dcterms:W3CDTF">2026-10-21T01:46:21Z</dcterms:modified>
  <dc:title>四川省***</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E5A60B504A8B49F69DA1318E13E2F4EC_13</vt:lpwstr>
  </property>
  <property fmtid="{D5CDD505-2E9C-101B-9397-08002B2CF9AE}" pid="4" name="KSOTemplateDocerSaveRecord">
    <vt:lpwstr>eyJoZGlkIjoiYjllZGNkZWEzYjg0NDNmNTQ5MjkzNjk0ODlhNmVkYzAiLCJ1c2VySWQiOiI0MTAxMDQ4MDkifQ==</vt:lpwstr>
  </property>
</Properties>
</file>