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9647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96476"/>
      <w:bookmarkStart w:id="9" w:name="_Toc15377194"/>
      <w:bookmarkStart w:id="10" w:name="_Toc15378442"/>
      <w:r>
        <w:rPr>
          <w:rFonts w:hint="eastAsia" w:ascii="方正小标宋简体" w:hAnsi="宋体" w:eastAsia="方正小标宋简体"/>
          <w:color w:val="000000"/>
          <w:sz w:val="72"/>
          <w:szCs w:val="72"/>
        </w:rPr>
        <w:t>四川省阿坝</w:t>
      </w:r>
      <w:bookmarkEnd w:id="0"/>
      <w:bookmarkStart w:id="11" w:name="_Toc15306268"/>
      <w:r>
        <w:rPr>
          <w:rFonts w:hint="eastAsia" w:ascii="方正小标宋简体" w:hAnsi="宋体" w:eastAsia="方正小标宋简体"/>
          <w:color w:val="000000"/>
          <w:sz w:val="72"/>
          <w:szCs w:val="72"/>
        </w:rPr>
        <w:t>州社会科学界联合会部门决算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公开时间：2020年9月</w:t>
      </w:r>
      <w:r>
        <w:t>25</w:t>
      </w:r>
      <w:r>
        <w:rPr>
          <w:rFonts w:hint="eastAsia"/>
        </w:rPr>
        <w:t>日</w:t>
      </w:r>
    </w:p>
    <w:p/>
    <w:p>
      <w:pPr>
        <w:pStyle w:val="10"/>
        <w:adjustRightInd w:val="0"/>
        <w:snapToGrid w:val="0"/>
        <w:spacing w:before="0" w:line="440" w:lineRule="exact"/>
        <w:jc w:val="left"/>
        <w:rPr>
          <w:rFonts w:cstheme="minorBidi"/>
          <w:sz w:val="24"/>
          <w:szCs w:val="24"/>
        </w:rPr>
      </w:pPr>
      <w:r>
        <w:rPr>
          <w:rFonts w:hint="eastAsia"/>
          <w:sz w:val="24"/>
        </w:rPr>
        <w:t>第一部分部门概况</w:t>
      </w:r>
    </w:p>
    <w:p>
      <w:pPr>
        <w:pStyle w:val="11"/>
        <w:adjustRightInd w:val="0"/>
        <w:snapToGrid w:val="0"/>
        <w:spacing w:line="440" w:lineRule="exact"/>
        <w:jc w:val="left"/>
        <w:rPr>
          <w:rFonts w:ascii="仿宋" w:hAnsi="仿宋"/>
          <w:sz w:val="24"/>
        </w:rPr>
      </w:pPr>
      <w:r>
        <w:rPr>
          <w:rFonts w:hint="eastAsia"/>
          <w:sz w:val="24"/>
        </w:rPr>
        <w:t>一、基本职能及主要工作......................................................................................4</w:t>
      </w:r>
    </w:p>
    <w:p>
      <w:pPr>
        <w:pStyle w:val="11"/>
        <w:adjustRightInd w:val="0"/>
        <w:snapToGrid w:val="0"/>
        <w:spacing w:line="440" w:lineRule="exact"/>
        <w:jc w:val="left"/>
        <w:rPr>
          <w:rFonts w:ascii="仿宋" w:hAnsi="仿宋" w:eastAsia="仿宋" w:cstheme="minorBidi"/>
          <w:sz w:val="24"/>
        </w:rPr>
      </w:pPr>
      <w:r>
        <w:rPr>
          <w:rFonts w:hint="eastAsia"/>
          <w:sz w:val="24"/>
        </w:rPr>
        <w:t>二、机构设置.......................................................................................................10</w:t>
      </w:r>
    </w:p>
    <w:p>
      <w:pPr>
        <w:pStyle w:val="10"/>
        <w:adjustRightInd w:val="0"/>
        <w:snapToGrid w:val="0"/>
        <w:spacing w:before="0" w:line="440" w:lineRule="exact"/>
        <w:jc w:val="left"/>
        <w:rPr>
          <w:sz w:val="24"/>
          <w:szCs w:val="24"/>
        </w:rPr>
      </w:pPr>
      <w:r>
        <w:rPr>
          <w:rFonts w:hint="eastAsia"/>
          <w:sz w:val="24"/>
        </w:rPr>
        <w:t>第二部分度部门决算情况说明</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一、收入支出决算总体情况说明.......................................................................11</w:t>
      </w:r>
    </w:p>
    <w:p>
      <w:pPr>
        <w:pStyle w:val="11"/>
        <w:adjustRightInd w:val="0"/>
        <w:snapToGrid w:val="0"/>
        <w:spacing w:line="440" w:lineRule="exact"/>
        <w:jc w:val="left"/>
        <w:rPr>
          <w:rFonts w:ascii="仿宋" w:hAnsi="仿宋" w:eastAsia="仿宋" w:cstheme="minorBidi"/>
          <w:sz w:val="24"/>
        </w:rPr>
      </w:pPr>
      <w:r>
        <w:rPr>
          <w:rFonts w:hint="eastAsia"/>
          <w:sz w:val="24"/>
        </w:rPr>
        <w:t>二、收入决算情况说明.......................................................................................11</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三、支出决算情况说明.......................................................................................12</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四、财政拨款收入支出决算总体情况说明.......................................................13</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五、一般公共预算财政拨款支出决算情况说明................................................13</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六、一般公共预算财政拨款基本支出决算情况说明.......................................16七、</w:t>
      </w:r>
      <w:r>
        <w:rPr>
          <w:sz w:val="24"/>
        </w:rPr>
        <w:t>“</w:t>
      </w:r>
      <w:r>
        <w:rPr>
          <w:rFonts w:hint="eastAsia"/>
          <w:sz w:val="24"/>
        </w:rPr>
        <w:t>三公”经费财政拨款支出决算情况说明...................................................16</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八、政府性基金预算支出决算情况说明............................................................18</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国</w:t>
      </w:r>
      <w:r>
        <w:rPr>
          <w:rFonts w:hint="eastAsia"/>
          <w:sz w:val="24"/>
        </w:rPr>
        <w:t>有资本经营预算支出决算情况说明........................................................18</w:t>
      </w:r>
    </w:p>
    <w:p>
      <w:pPr>
        <w:adjustRightInd w:val="0"/>
        <w:snapToGrid w:val="0"/>
        <w:spacing w:line="440" w:lineRule="exact"/>
        <w:ind w:firstLine="480" w:firstLineChars="200"/>
        <w:jc w:val="left"/>
        <w:rPr>
          <w:rFonts w:ascii="仿宋" w:hAnsi="仿宋" w:eastAsia="仿宋" w:cstheme="minorBidi"/>
          <w:sz w:val="24"/>
        </w:rPr>
      </w:pPr>
      <w:r>
        <w:rPr>
          <w:rStyle w:val="16"/>
          <w:rFonts w:hint="eastAsia" w:ascii="仿宋" w:hAnsi="仿宋" w:eastAsia="仿宋"/>
          <w:color w:val="000000" w:themeColor="text1"/>
          <w:sz w:val="24"/>
          <w:u w:val="none"/>
        </w:rPr>
        <w:t>十、</w:t>
      </w:r>
      <w:r>
        <w:rPr>
          <w:rFonts w:hint="eastAsia"/>
          <w:sz w:val="24"/>
        </w:rPr>
        <w:t>其</w:t>
      </w:r>
      <w:r>
        <w:rPr>
          <w:rFonts w:hint="eastAsia" w:asciiTheme="minorEastAsia" w:hAnsiTheme="minorEastAsia" w:eastAsiaTheme="minorEastAsia" w:cstheme="minorEastAsia"/>
          <w:sz w:val="24"/>
          <w:szCs w:val="28"/>
        </w:rPr>
        <w:t>他重要事项的</w:t>
      </w:r>
      <w:r>
        <w:rPr>
          <w:rFonts w:hint="eastAsia"/>
          <w:sz w:val="24"/>
        </w:rPr>
        <w:t>情况说明</w:t>
      </w:r>
      <w:r>
        <w:rPr>
          <w:rFonts w:ascii="仿宋" w:hAnsi="仿宋" w:eastAsia="仿宋"/>
          <w:sz w:val="24"/>
        </w:rPr>
        <w:tab/>
      </w:r>
      <w:r>
        <w:rPr>
          <w:rFonts w:hint="eastAsia"/>
          <w:sz w:val="24"/>
        </w:rPr>
        <w:t>.......................................................................18</w:t>
      </w:r>
    </w:p>
    <w:p>
      <w:pPr>
        <w:pStyle w:val="10"/>
        <w:adjustRightInd w:val="0"/>
        <w:snapToGrid w:val="0"/>
        <w:spacing w:before="0"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第三部分名词解释</w:t>
      </w:r>
      <w:r>
        <w:rPr>
          <w:rFonts w:hint="eastAsia" w:ascii="Times New Roman" w:hAnsi="Times New Roman" w:eastAsia="宋体"/>
          <w:sz w:val="24"/>
          <w:szCs w:val="24"/>
        </w:rPr>
        <w:t>......................................................................................................</w:t>
      </w:r>
      <w:r>
        <w:rPr>
          <w:rFonts w:hint="eastAsia" w:asciiTheme="minorEastAsia" w:hAnsiTheme="minorEastAsia" w:eastAsiaTheme="minorEastAsia" w:cstheme="minorEastAsia"/>
          <w:sz w:val="24"/>
        </w:rPr>
        <w:t>29</w:t>
      </w:r>
    </w:p>
    <w:p>
      <w:pPr>
        <w:pStyle w:val="10"/>
        <w:adjustRightInd w:val="0"/>
        <w:snapToGrid w:val="0"/>
        <w:spacing w:before="0"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第四部分附件</w:t>
      </w:r>
      <w:r>
        <w:rPr>
          <w:rFonts w:hint="eastAsia" w:ascii="Times New Roman" w:hAnsi="Times New Roman" w:eastAsia="宋体"/>
          <w:sz w:val="24"/>
          <w:szCs w:val="24"/>
        </w:rPr>
        <w:t>..............................................................................................................</w:t>
      </w:r>
      <w:r>
        <w:rPr>
          <w:rFonts w:hint="eastAsia" w:asciiTheme="minorEastAsia" w:hAnsiTheme="minorEastAsia" w:eastAsiaTheme="minorEastAsia" w:cstheme="minorEastAsia"/>
          <w:sz w:val="24"/>
        </w:rPr>
        <w:t>32</w:t>
      </w:r>
    </w:p>
    <w:p>
      <w:pPr>
        <w:pStyle w:val="10"/>
        <w:adjustRightInd w:val="0"/>
        <w:snapToGrid w:val="0"/>
        <w:spacing w:before="0" w:line="44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第五部分附表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4" w:firstLineChars="210"/>
        <w:outlineLvl w:val="2"/>
        <w:rPr>
          <w:rFonts w:ascii="楷体_GB2312" w:hAnsi="楷体_GB2312" w:eastAsia="楷体_GB2312" w:cs="楷体_GB2312"/>
          <w:b/>
          <w:color w:val="000000"/>
          <w:sz w:val="32"/>
          <w:szCs w:val="32"/>
        </w:rPr>
      </w:pPr>
      <w:bookmarkStart w:id="16" w:name="_Toc15378445"/>
      <w:bookmarkStart w:id="17" w:name="_Toc15377198"/>
      <w:r>
        <w:rPr>
          <w:rFonts w:hint="eastAsia" w:ascii="楷体_GB2312" w:hAnsi="楷体_GB2312" w:eastAsia="楷体_GB2312" w:cs="楷体_GB2312"/>
          <w:b/>
          <w:color w:val="000000"/>
          <w:sz w:val="32"/>
          <w:szCs w:val="32"/>
        </w:rPr>
        <w:t>（一）主要职能。</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1.负责全州社会科学研究的近期规划和长远规划，拟定全州社会科学研究课题，并组织实施；</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2.负责全州社科界承担四川省社会科学规划、基金课题的申报工作，并组织实施；</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3.组织和推动学术研究，促进和开展学术交流，承担部分社会科学著作出版的资助、协调工作；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4.组织开展社会科学优秀科研成果的评奖活动，协调部分获奖成果的出版、宣传、推广工作；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5.编制全州社会科学普及规划，组织普及马克思主义基本理论和社会科学知识，开展社会科学培训、咨询服务工作；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6.负责全州社会科学咨询业的行业管理工作；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7.促进社会科学学术团体之间、理论工作部门与实际工作部门之间、社会科学界与自然科学界之间的联系和协作；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8.负责新申报的州级社会科学类学会、协会、研究会的资格审查，指导和协调所属各个学会、协会、研究会的工作；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9.联络和指导县区社科联的业务工作；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10.协调做好社会科学界知识分子工作和推荐有突出贡献的社会科学专家、社会科学学术带头人及后备人选的工作；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11.贯彻党的方针政策和国家的法律法规，向党和政府反映社会科学界的意见和要求，关心并维护社会科学工作者及其团体的合法权益等。</w:t>
      </w:r>
    </w:p>
    <w:bookmarkEnd w:id="16"/>
    <w:bookmarkEnd w:id="17"/>
    <w:p>
      <w:pPr>
        <w:pStyle w:val="5"/>
        <w:adjustRightInd w:val="0"/>
        <w:snapToGrid w:val="0"/>
        <w:spacing w:before="93" w:line="600" w:lineRule="exact"/>
        <w:ind w:firstLine="674" w:firstLineChars="210"/>
        <w:outlineLvl w:val="2"/>
        <w:rPr>
          <w:rFonts w:ascii="楷体_GB2312" w:hAnsi="楷体_GB2312" w:eastAsia="楷体_GB2312" w:cs="楷体_GB2312"/>
          <w:b/>
          <w:color w:val="000000"/>
          <w:sz w:val="32"/>
          <w:szCs w:val="32"/>
        </w:rPr>
      </w:pPr>
      <w:bookmarkStart w:id="18" w:name="_Toc15377199"/>
      <w:bookmarkStart w:id="19" w:name="_Toc15378446"/>
      <w:r>
        <w:rPr>
          <w:rFonts w:hint="eastAsia" w:ascii="楷体_GB2312" w:hAnsi="楷体_GB2312" w:eastAsia="楷体_GB2312" w:cs="楷体_GB2312"/>
          <w:b/>
          <w:color w:val="000000"/>
          <w:sz w:val="32"/>
          <w:szCs w:val="32"/>
        </w:rPr>
        <w:t>（二）2019年重点工作完成情况。</w:t>
      </w:r>
      <w:bookmarkEnd w:id="18"/>
      <w:bookmarkEnd w:id="19"/>
    </w:p>
    <w:p>
      <w:pPr>
        <w:spacing w:line="560" w:lineRule="exact"/>
        <w:ind w:firstLine="642" w:firstLineChars="200"/>
        <w:rPr>
          <w:rFonts w:ascii="仿宋_GB2312" w:hAnsi="仿宋" w:eastAsia="仿宋_GB2312" w:cs="仿宋"/>
          <w:sz w:val="32"/>
          <w:szCs w:val="32"/>
        </w:rPr>
      </w:pPr>
      <w:r>
        <w:rPr>
          <w:rFonts w:hint="eastAsia" w:ascii="仿宋_GB2312" w:hAnsi="仿宋_GB2312" w:eastAsia="仿宋_GB2312" w:cs="仿宋_GB2312"/>
          <w:b/>
          <w:color w:val="000000"/>
          <w:sz w:val="32"/>
          <w:szCs w:val="32"/>
        </w:rPr>
        <w:t>1、狠抓社科研究工作，提升应用对策研究质量。</w:t>
      </w:r>
      <w:r>
        <w:rPr>
          <w:rFonts w:hint="eastAsia" w:ascii="仿宋_GB2312" w:hAnsi="仿宋" w:eastAsia="仿宋_GB2312"/>
          <w:color w:val="000000"/>
          <w:sz w:val="32"/>
          <w:szCs w:val="32"/>
        </w:rPr>
        <w:t>坚持以“藏羌历史文化研究、基础理论研究和应用对策</w:t>
      </w:r>
      <w:r>
        <w:rPr>
          <w:rFonts w:hint="eastAsia" w:ascii="仿宋_GB2312" w:hAnsi="仿宋" w:eastAsia="仿宋_GB2312"/>
          <w:sz w:val="32"/>
          <w:szCs w:val="32"/>
        </w:rPr>
        <w:t>研究”为重点，推动社科研究蓬勃发展。</w:t>
      </w:r>
      <w:r>
        <w:rPr>
          <w:rFonts w:hint="eastAsia" w:ascii="仿宋_GB2312" w:eastAsia="仿宋_GB2312"/>
          <w:b/>
          <w:sz w:val="32"/>
          <w:szCs w:val="32"/>
        </w:rPr>
        <w:t>一是强化任务落实，有序推进社科资金项目。</w:t>
      </w:r>
      <w:r>
        <w:rPr>
          <w:rFonts w:hint="eastAsia" w:ascii="仿宋_GB2312" w:eastAsia="仿宋_GB2312" w:cs="仿宋_GB2312"/>
          <w:sz w:val="32"/>
          <w:szCs w:val="32"/>
        </w:rPr>
        <w:t>完成2018年度社科课题结项工作，</w:t>
      </w:r>
      <w:r>
        <w:rPr>
          <w:rFonts w:hint="eastAsia" w:ascii="仿宋_GB2312" w:eastAsia="仿宋_GB2312"/>
          <w:sz w:val="32"/>
          <w:szCs w:val="32"/>
        </w:rPr>
        <w:t>经过专家评审</w:t>
      </w:r>
      <w:r>
        <w:rPr>
          <w:rFonts w:hint="eastAsia" w:ascii="仿宋_GB2312" w:hAnsi="仿宋_GB2312" w:eastAsia="仿宋_GB2312" w:cs="仿宋_GB2312"/>
          <w:sz w:val="32"/>
          <w:szCs w:val="32"/>
          <w:shd w:val="clear" w:color="auto" w:fill="FFFFFF"/>
        </w:rPr>
        <w:t>94项课题予以结项。</w:t>
      </w:r>
      <w:r>
        <w:rPr>
          <w:rFonts w:hint="eastAsia" w:ascii="仿宋_GB2312" w:eastAsia="仿宋_GB2312"/>
          <w:sz w:val="32"/>
          <w:szCs w:val="32"/>
        </w:rPr>
        <w:t>从结题成果类型来看，含著作类9项、研究报告及论文类85项；从研究领域来看，涉及历史文化类42项，应用对策类52项。结项课题成果较上年增加44项，增幅达93%。</w:t>
      </w:r>
      <w:r>
        <w:rPr>
          <w:rFonts w:hint="eastAsia" w:ascii="仿宋_GB2312" w:hAnsi="仿宋_GB2312" w:eastAsia="仿宋_GB2312" w:cs="仿宋_GB2312"/>
          <w:sz w:val="32"/>
          <w:szCs w:val="32"/>
          <w:shd w:val="clear" w:color="auto" w:fill="FFFFFF"/>
        </w:rPr>
        <w:t>实现了课题研究数量、质量双提升。</w:t>
      </w:r>
      <w:r>
        <w:rPr>
          <w:rFonts w:hint="eastAsia" w:ascii="仿宋_GB2312" w:eastAsia="仿宋_GB2312"/>
          <w:sz w:val="32"/>
          <w:szCs w:val="32"/>
        </w:rPr>
        <w:t>兑现社会科学事业专项资助资金</w:t>
      </w:r>
      <w:r>
        <w:rPr>
          <w:rFonts w:hint="eastAsia" w:ascii="仿宋_GB2312" w:hAnsi="仿宋_GB2312" w:eastAsia="仿宋_GB2312" w:cs="仿宋_GB2312"/>
          <w:sz w:val="32"/>
          <w:szCs w:val="32"/>
          <w:shd w:val="clear" w:color="auto" w:fill="FFFFFF"/>
        </w:rPr>
        <w:t>99.3万元。</w:t>
      </w:r>
      <w:r>
        <w:rPr>
          <w:rFonts w:hint="eastAsia" w:ascii="仿宋_GB2312" w:hAnsi="仿宋" w:eastAsia="仿宋_GB2312" w:cs="仿宋_GB2312"/>
          <w:sz w:val="32"/>
          <w:szCs w:val="32"/>
        </w:rPr>
        <w:t>发布《2019年课题指南》，有序开展2019年度课题申报、立项工作，</w:t>
      </w:r>
      <w:r>
        <w:rPr>
          <w:rFonts w:hint="eastAsia" w:ascii="仿宋_GB2312" w:hAnsi="仿宋_GB2312" w:eastAsia="仿宋_GB2312" w:cs="仿宋_GB2312"/>
          <w:sz w:val="32"/>
          <w:szCs w:val="32"/>
        </w:rPr>
        <w:t>受理有效申报139项，经资格审查、专家组评审、复核、网上公示等程序，确定立项实施113项课题，其中</w:t>
      </w:r>
      <w:r>
        <w:rPr>
          <w:rFonts w:hint="eastAsia" w:ascii="仿宋_GB2312" w:eastAsia="仿宋_GB2312"/>
          <w:sz w:val="32"/>
          <w:szCs w:val="32"/>
        </w:rPr>
        <w:t>一般项目</w:t>
      </w:r>
      <w:r>
        <w:rPr>
          <w:rFonts w:ascii="仿宋_GB2312" w:eastAsia="仿宋_GB2312"/>
          <w:sz w:val="32"/>
          <w:szCs w:val="32"/>
        </w:rPr>
        <w:t>78</w:t>
      </w:r>
      <w:r>
        <w:rPr>
          <w:rFonts w:hint="eastAsia" w:ascii="仿宋_GB2312" w:eastAsia="仿宋_GB2312"/>
          <w:sz w:val="32"/>
          <w:szCs w:val="32"/>
        </w:rPr>
        <w:t>项、青年项目</w:t>
      </w:r>
      <w:r>
        <w:rPr>
          <w:rFonts w:ascii="仿宋_GB2312" w:eastAsia="仿宋_GB2312"/>
          <w:sz w:val="32"/>
          <w:szCs w:val="32"/>
        </w:rPr>
        <w:t>33</w:t>
      </w:r>
      <w:r>
        <w:rPr>
          <w:rFonts w:hint="eastAsia" w:ascii="仿宋_GB2312" w:eastAsia="仿宋_GB2312"/>
          <w:sz w:val="32"/>
          <w:szCs w:val="32"/>
        </w:rPr>
        <w:t>项、基地项目</w:t>
      </w:r>
      <w:r>
        <w:rPr>
          <w:rFonts w:ascii="仿宋_GB2312" w:eastAsia="仿宋_GB2312"/>
          <w:sz w:val="32"/>
          <w:szCs w:val="32"/>
        </w:rPr>
        <w:t>2</w:t>
      </w:r>
      <w:r>
        <w:rPr>
          <w:rFonts w:hint="eastAsia" w:ascii="仿宋_GB2312" w:eastAsia="仿宋_GB2312"/>
          <w:sz w:val="32"/>
          <w:szCs w:val="32"/>
        </w:rPr>
        <w:t>项</w:t>
      </w:r>
      <w:r>
        <w:rPr>
          <w:rFonts w:hint="eastAsia" w:ascii="仿宋_GB2312" w:hAnsi="仿宋_GB2312" w:eastAsia="仿宋_GB2312"/>
          <w:sz w:val="32"/>
        </w:rPr>
        <w:t>。</w:t>
      </w:r>
      <w:r>
        <w:rPr>
          <w:rFonts w:hint="eastAsia" w:ascii="仿宋_GB2312" w:eastAsia="仿宋_GB2312"/>
          <w:b/>
          <w:sz w:val="32"/>
          <w:szCs w:val="32"/>
        </w:rPr>
        <w:t>二是弘扬传统文化，讲好“阿坝故事”。</w:t>
      </w:r>
      <w:r>
        <w:rPr>
          <w:rFonts w:hint="eastAsia" w:ascii="仿宋_GB2312" w:hAnsi="宋体" w:eastAsia="仿宋_GB2312"/>
          <w:sz w:val="32"/>
          <w:szCs w:val="32"/>
        </w:rPr>
        <w:t>抓好“阿坝史话系列丛书”编创，</w:t>
      </w:r>
      <w:r>
        <w:rPr>
          <w:rFonts w:hint="eastAsia" w:ascii="仿宋_GB2312" w:hAnsi="仿宋_GB2312" w:eastAsia="仿宋_GB2312"/>
          <w:bCs/>
          <w:sz w:val="32"/>
        </w:rPr>
        <w:t>《薛城史话》、《阿坝县史话》出版发行，《九寨史话》等2部专著通过结项鉴定，《红原史话》等4部专著进入编撰阶段，</w:t>
      </w:r>
      <w:bookmarkStart w:id="73" w:name="_GoBack"/>
      <w:r>
        <w:rPr>
          <w:rFonts w:hint="eastAsia" w:ascii="仿宋_GB2312" w:hAnsi="仿宋_GB2312" w:eastAsia="仿宋_GB2312"/>
          <w:bCs/>
          <w:sz w:val="32"/>
          <w:lang w:eastAsia="zh-CN"/>
        </w:rPr>
        <w:t>截</w:t>
      </w:r>
      <w:bookmarkEnd w:id="73"/>
      <w:r>
        <w:rPr>
          <w:rFonts w:hint="eastAsia" w:ascii="仿宋_GB2312" w:hAnsi="仿宋_GB2312" w:eastAsia="仿宋_GB2312"/>
          <w:bCs/>
          <w:sz w:val="32"/>
          <w:lang w:eastAsia="zh-CN"/>
        </w:rPr>
        <w:t>至</w:t>
      </w:r>
      <w:r>
        <w:rPr>
          <w:rFonts w:hint="eastAsia" w:ascii="仿宋_GB2312" w:hAnsi="仿宋_GB2312" w:eastAsia="仿宋_GB2312"/>
          <w:bCs/>
          <w:sz w:val="32"/>
        </w:rPr>
        <w:t>目前，阿坝史话丛书已经出版发行5部，《明实录川西北史料》、《阿坝金石录》、《觉囊史话》、《末代瓦寺土司口述影像史》出版发行，年内正式出版社科类专著达7部。</w:t>
      </w:r>
      <w:r>
        <w:rPr>
          <w:rFonts w:hint="eastAsia" w:ascii="仿宋_GB2312" w:eastAsia="仿宋_GB2312"/>
          <w:b/>
          <w:sz w:val="32"/>
          <w:szCs w:val="32"/>
        </w:rPr>
        <w:t>三是注重沉下基层，</w:t>
      </w:r>
      <w:r>
        <w:rPr>
          <w:rFonts w:hint="eastAsia" w:ascii="仿宋_GB2312" w:hAnsi="仿宋" w:eastAsia="仿宋_GB2312"/>
          <w:b/>
          <w:sz w:val="32"/>
          <w:szCs w:val="32"/>
        </w:rPr>
        <w:t>扎实开展社科调研。</w:t>
      </w:r>
      <w:r>
        <w:rPr>
          <w:rFonts w:hint="eastAsia" w:ascii="仿宋_GB2312" w:hAnsi="仿宋" w:eastAsia="仿宋_GB2312"/>
          <w:sz w:val="32"/>
          <w:szCs w:val="32"/>
        </w:rPr>
        <w:t>紧紧围绕哲学社会科学核心开展调查研究，全面梳理和总结</w:t>
      </w:r>
      <w:r>
        <w:rPr>
          <w:rFonts w:hint="eastAsia" w:ascii="仿宋" w:hAnsi="仿宋" w:eastAsia="仿宋"/>
          <w:sz w:val="32"/>
          <w:szCs w:val="32"/>
        </w:rPr>
        <w:t>新中国成立70年特别是党的十八大以来，在党的领导下阿坝州哲学社会科学，事业发展、学术繁荣、人才荟萃、成果丰硕的基本实践、建设成就及经验启示，并抽调骨干力量组成调研组，撰写《四川哲学社会科学70年的基本实践和建设成就（阿坝篇）》调研报告被省</w:t>
      </w:r>
      <w:r>
        <w:rPr>
          <w:rFonts w:hint="eastAsia" w:ascii="仿宋_GB2312" w:hAnsi="方正小标宋简体" w:eastAsia="仿宋_GB2312" w:cs="方正小标宋简体"/>
          <w:sz w:val="32"/>
          <w:szCs w:val="32"/>
        </w:rPr>
        <w:t>社科编辑出版的《四川哲学社会科学70年》一书收录</w:t>
      </w:r>
      <w:r>
        <w:rPr>
          <w:rFonts w:hint="eastAsia" w:ascii="仿宋" w:hAnsi="仿宋" w:eastAsia="仿宋"/>
          <w:sz w:val="32"/>
          <w:szCs w:val="32"/>
        </w:rPr>
        <w:t>。</w:t>
      </w:r>
      <w:r>
        <w:rPr>
          <w:rFonts w:hint="eastAsia" w:ascii="仿宋_GB2312" w:hAnsi="仿宋" w:eastAsia="仿宋_GB2312" w:cs="仿宋"/>
          <w:sz w:val="32"/>
          <w:szCs w:val="32"/>
        </w:rPr>
        <w:t>结合社科工作实际，</w:t>
      </w:r>
      <w:r>
        <w:rPr>
          <w:rFonts w:hint="eastAsia" w:ascii="仿宋_GB2312" w:hAnsi="仿宋_GB2312" w:eastAsia="仿宋_GB2312" w:cs="仿宋_GB2312"/>
          <w:sz w:val="32"/>
          <w:szCs w:val="32"/>
        </w:rPr>
        <w:t>在开展“两联一进”、脱贫攻坚、社科普及等活动中，多次到基层听民意、查实情、定措施，形成调研报告3篇。</w:t>
      </w:r>
      <w:r>
        <w:rPr>
          <w:rFonts w:hint="eastAsia" w:ascii="仿宋_GB2312" w:hAnsi="仿宋" w:eastAsia="仿宋_GB2312" w:cs="仿宋"/>
          <w:b/>
          <w:sz w:val="32"/>
          <w:szCs w:val="32"/>
        </w:rPr>
        <w:t>四是加强成果转化，注重以知促行。</w:t>
      </w:r>
      <w:r>
        <w:rPr>
          <w:rFonts w:hint="eastAsia" w:ascii="仿宋_GB2312" w:eastAsia="仿宋_GB2312" w:cs="仿宋_GB2312"/>
          <w:sz w:val="32"/>
          <w:szCs w:val="32"/>
        </w:rPr>
        <w:t>加强社科成果转化，形成</w:t>
      </w:r>
      <w:r>
        <w:rPr>
          <w:rFonts w:hint="eastAsia" w:ascii="仿宋_GB2312" w:hAnsi="宋体" w:eastAsia="仿宋_GB2312"/>
          <w:sz w:val="32"/>
          <w:szCs w:val="32"/>
        </w:rPr>
        <w:t>《阿坝州产业结构调整和升级研究》、《乡村振兴战略的东部经验和阿坝州发展策略研究》</w:t>
      </w:r>
      <w:r>
        <w:rPr>
          <w:rFonts w:hint="eastAsia" w:ascii="仿宋_GB2312" w:eastAsia="仿宋_GB2312" w:cs="仿宋_GB2312"/>
          <w:sz w:val="32"/>
          <w:szCs w:val="32"/>
        </w:rPr>
        <w:t>等3篇社科成果专报，</w:t>
      </w:r>
      <w:r>
        <w:rPr>
          <w:rFonts w:hint="eastAsia" w:ascii="仿宋_GB2312" w:eastAsia="仿宋_GB2312"/>
          <w:sz w:val="32"/>
          <w:szCs w:val="32"/>
        </w:rPr>
        <w:t>报送州委、州政府，并发送相关部门参阅</w:t>
      </w:r>
      <w:r>
        <w:rPr>
          <w:rFonts w:hint="eastAsia" w:ascii="仿宋_GB2312" w:eastAsia="仿宋_GB2312" w:cs="仿宋_GB2312"/>
          <w:sz w:val="32"/>
          <w:szCs w:val="32"/>
        </w:rPr>
        <w:t>。整理2018年度结项成果，编印《2018年度社科成果选编》。</w:t>
      </w:r>
      <w:r>
        <w:rPr>
          <w:rFonts w:hint="eastAsia" w:ascii="仿宋_GB2312" w:eastAsia="仿宋_GB2312"/>
          <w:sz w:val="32"/>
          <w:szCs w:val="32"/>
        </w:rPr>
        <w:t>推荐阿坝师范学院曾晓梅团队完成的《羌族石刻文献集成》（专著）荣获省第十八次社会科学优秀成果奖一等奖。</w:t>
      </w:r>
      <w:r>
        <w:rPr>
          <w:rFonts w:hint="eastAsia" w:ascii="仿宋_GB2312" w:eastAsia="仿宋_GB2312"/>
          <w:b/>
          <w:sz w:val="32"/>
          <w:szCs w:val="32"/>
        </w:rPr>
        <w:t>五是强化课题管理，促进规范有序。</w:t>
      </w:r>
      <w:r>
        <w:rPr>
          <w:rFonts w:hint="eastAsia" w:ascii="仿宋_GB2312" w:eastAsia="仿宋_GB2312"/>
          <w:sz w:val="32"/>
          <w:szCs w:val="32"/>
        </w:rPr>
        <w:t>建立课题研究项目化推进机制，</w:t>
      </w:r>
      <w:r>
        <w:rPr>
          <w:rFonts w:hint="eastAsia" w:ascii="仿宋_GB2312" w:hAnsi="仿宋" w:eastAsia="仿宋_GB2312" w:cs="仿宋"/>
          <w:sz w:val="32"/>
          <w:szCs w:val="32"/>
        </w:rPr>
        <w:t>丰富社科研究结构布局，设立社科研究年度一般项目、</w:t>
      </w:r>
      <w:r>
        <w:rPr>
          <w:rFonts w:hint="eastAsia" w:ascii="仿宋_GB2312" w:hAnsi="微软雅黑" w:eastAsia="仿宋_GB2312"/>
          <w:sz w:val="32"/>
          <w:szCs w:val="32"/>
        </w:rPr>
        <w:t>青年项目和基地项目。</w:t>
      </w:r>
      <w:r>
        <w:rPr>
          <w:rFonts w:hint="eastAsia" w:ascii="仿宋_GB2312" w:eastAsia="仿宋_GB2312"/>
          <w:sz w:val="32"/>
          <w:szCs w:val="32"/>
        </w:rPr>
        <w:t>严把评审“两口两关，</w:t>
      </w:r>
      <w:r>
        <w:rPr>
          <w:rFonts w:hint="eastAsia" w:ascii="仿宋_GB2312" w:hAnsi="微软雅黑" w:eastAsia="仿宋_GB2312" w:cs="仿宋_GB2312"/>
          <w:sz w:val="32"/>
          <w:szCs w:val="32"/>
        </w:rPr>
        <w:t>探索建立学术成果科学评价体系，</w:t>
      </w:r>
      <w:r>
        <w:rPr>
          <w:rFonts w:hint="eastAsia" w:ascii="仿宋_GB2312" w:hAnsi="Calibri" w:eastAsia="仿宋_GB2312" w:cs="仿宋_GB2312"/>
          <w:color w:val="000000"/>
          <w:sz w:val="32"/>
          <w:szCs w:val="32"/>
        </w:rPr>
        <w:t>初步形</w:t>
      </w:r>
      <w:r>
        <w:rPr>
          <w:rFonts w:hint="eastAsia" w:ascii="仿宋_GB2312" w:hAnsi="微软雅黑" w:eastAsia="仿宋_GB2312" w:cs="仿宋_GB2312"/>
          <w:sz w:val="32"/>
          <w:szCs w:val="32"/>
        </w:rPr>
        <w:t>成成果结题鉴定“两评四审一公示”机制。</w:t>
      </w:r>
      <w:r>
        <w:rPr>
          <w:rFonts w:hint="eastAsia" w:ascii="仿宋_GB2312" w:hAnsi="仿宋" w:eastAsia="仿宋_GB2312"/>
          <w:sz w:val="32"/>
          <w:szCs w:val="32"/>
        </w:rPr>
        <w:t>严格执行</w:t>
      </w:r>
      <w:r>
        <w:rPr>
          <w:rFonts w:hint="eastAsia" w:ascii="仿宋_GB2312" w:eastAsia="仿宋_GB2312"/>
          <w:sz w:val="32"/>
          <w:szCs w:val="32"/>
          <w:shd w:val="clear" w:color="auto" w:fill="FFFFFF"/>
        </w:rPr>
        <w:t>《社科事业专项资金管理办法（试行）》</w:t>
      </w:r>
      <w:r>
        <w:rPr>
          <w:rFonts w:hint="eastAsia" w:ascii="仿宋_GB2312" w:eastAsia="仿宋_GB2312"/>
          <w:sz w:val="32"/>
          <w:szCs w:val="32"/>
        </w:rPr>
        <w:t>等制度</w:t>
      </w:r>
      <w:r>
        <w:rPr>
          <w:rFonts w:hint="eastAsia" w:ascii="仿宋_GB2312" w:eastAsia="仿宋_GB2312"/>
          <w:sz w:val="32"/>
          <w:szCs w:val="32"/>
          <w:shd w:val="clear" w:color="auto" w:fill="FFFFFF"/>
        </w:rPr>
        <w:t>，强化</w:t>
      </w:r>
      <w:r>
        <w:rPr>
          <w:rFonts w:hint="eastAsia" w:ascii="仿宋_GB2312" w:hAnsi="仿宋" w:eastAsia="仿宋_GB2312" w:cs="仿宋"/>
          <w:sz w:val="32"/>
          <w:szCs w:val="32"/>
        </w:rPr>
        <w:t>对课题实施和资金使用的管理。</w:t>
      </w:r>
    </w:p>
    <w:p>
      <w:pPr>
        <w:spacing w:line="560" w:lineRule="exact"/>
        <w:ind w:firstLine="722" w:firstLineChars="225"/>
        <w:rPr>
          <w:rFonts w:ascii="仿宋_GB2312" w:hAnsi="仿宋" w:eastAsia="仿宋_GB2312"/>
          <w:sz w:val="32"/>
          <w:szCs w:val="32"/>
        </w:rPr>
      </w:pPr>
      <w:r>
        <w:rPr>
          <w:rFonts w:hint="eastAsia" w:ascii="仿宋_GB2312" w:hAnsi="仿宋_GB2312" w:eastAsia="仿宋_GB2312" w:cs="仿宋_GB2312"/>
          <w:b/>
          <w:sz w:val="32"/>
          <w:szCs w:val="32"/>
        </w:rPr>
        <w:t>2、发挥科普平台作用，促进社科普及惠及群众</w:t>
      </w:r>
      <w:r>
        <w:rPr>
          <w:rFonts w:hint="eastAsia" w:ascii="楷体_GB2312" w:eastAsia="楷体_GB2312"/>
          <w:b/>
          <w:sz w:val="32"/>
          <w:szCs w:val="32"/>
        </w:rPr>
        <w:t>。</w:t>
      </w:r>
      <w:r>
        <w:rPr>
          <w:rFonts w:hint="eastAsia" w:ascii="仿宋_GB2312" w:hAnsi="仿宋_GB2312" w:eastAsia="仿宋_GB2312" w:cs="仿宋_GB2312"/>
          <w:sz w:val="32"/>
          <w:szCs w:val="32"/>
        </w:rPr>
        <w:t>加强社科普及力度，不断提升公众人文社科素养。</w:t>
      </w:r>
      <w:r>
        <w:rPr>
          <w:rFonts w:hint="eastAsia" w:ascii="仿宋_GB2312" w:hAnsi="仿宋_GB2312" w:eastAsia="仿宋_GB2312" w:cs="仿宋_GB2312"/>
          <w:kern w:val="0"/>
          <w:sz w:val="32"/>
          <w:szCs w:val="32"/>
        </w:rPr>
        <w:t>广泛开展系列科普活动，社科普及内容进一步丰富，方式方法进一步创新。</w:t>
      </w:r>
      <w:r>
        <w:rPr>
          <w:rFonts w:hint="eastAsia" w:ascii="仿宋_GB2312" w:eastAsia="仿宋_GB2312"/>
          <w:b/>
          <w:sz w:val="32"/>
          <w:szCs w:val="32"/>
        </w:rPr>
        <w:t>一是开好宣传普及活动</w:t>
      </w:r>
      <w:r>
        <w:rPr>
          <w:rFonts w:hint="eastAsia" w:ascii="仿宋_GB2312" w:eastAsia="仿宋_GB2312"/>
          <w:sz w:val="32"/>
          <w:szCs w:val="32"/>
        </w:rPr>
        <w:t>。广泛动员社科类社团和社科基地、社科工作者，集中力量抓好4月——6月的“社科活动月”各项工作，</w:t>
      </w:r>
      <w:r>
        <w:rPr>
          <w:rFonts w:hint="eastAsia" w:ascii="仿宋_GB2312" w:hAnsi="仿宋" w:eastAsia="仿宋_GB2312" w:cs="仿宋"/>
          <w:sz w:val="32"/>
          <w:szCs w:val="32"/>
        </w:rPr>
        <w:t>开展了“书香阿坝·社科阅读”、</w:t>
      </w:r>
      <w:r>
        <w:rPr>
          <w:rFonts w:hint="eastAsia" w:ascii="仿宋_GB2312" w:hAnsi="仿宋" w:eastAsia="仿宋_GB2312"/>
          <w:sz w:val="32"/>
          <w:szCs w:val="32"/>
          <w:shd w:val="clear" w:color="auto" w:fill="FFFFFF"/>
        </w:rPr>
        <w:t>社科知识宣传咨询、</w:t>
      </w:r>
      <w:r>
        <w:rPr>
          <w:rFonts w:hint="eastAsia" w:ascii="仿宋_GB2312" w:hAnsi="仿宋" w:eastAsia="仿宋_GB2312"/>
          <w:kern w:val="0"/>
          <w:sz w:val="32"/>
          <w:szCs w:val="32"/>
          <w:shd w:val="clear" w:color="auto" w:fill="FFFFFF"/>
        </w:rPr>
        <w:t>科普宣传等活动，</w:t>
      </w:r>
      <w:r>
        <w:rPr>
          <w:rFonts w:hint="eastAsia" w:ascii="仿宋_GB2312" w:eastAsia="仿宋_GB2312"/>
          <w:sz w:val="32"/>
          <w:szCs w:val="32"/>
        </w:rPr>
        <w:t>发放《阿坝民俗礼仪小常识》、《藏医卫生保健常识》等科普读物千余份。在联系村组织开展了社科知识竞答活动，引导群众讲文明、树新风、除陋习，养成健康文明的生活习惯。全程参与阿坝州“三下乡”活动，深入到基层乡村向广大干部群众宣传科普知识。</w:t>
      </w:r>
      <w:r>
        <w:rPr>
          <w:rFonts w:hint="eastAsia" w:ascii="仿宋_GB2312" w:eastAsia="仿宋_GB2312"/>
          <w:b/>
          <w:sz w:val="32"/>
          <w:szCs w:val="32"/>
        </w:rPr>
        <w:t>二是</w:t>
      </w:r>
      <w:r>
        <w:rPr>
          <w:rFonts w:hint="eastAsia" w:ascii="仿宋_GB2312" w:hAnsi="仿宋_GB2312" w:eastAsia="仿宋_GB2312" w:cs="仿宋_GB2312"/>
          <w:b/>
          <w:sz w:val="32"/>
          <w:szCs w:val="32"/>
        </w:rPr>
        <w:t>编创好科普读物。</w:t>
      </w:r>
      <w:r>
        <w:rPr>
          <w:rFonts w:hint="eastAsia" w:ascii="仿宋_GB2312" w:hAnsi="宋体" w:eastAsia="仿宋_GB2312"/>
          <w:sz w:val="32"/>
          <w:szCs w:val="32"/>
        </w:rPr>
        <w:t>牢牢把握社科宣传普及的主动权，抓好“阿坝州社会科学普及读本”编创工作，</w:t>
      </w:r>
      <w:r>
        <w:rPr>
          <w:rFonts w:hint="eastAsia" w:ascii="仿宋_GB2312" w:eastAsia="仿宋_GB2312"/>
          <w:sz w:val="32"/>
          <w:szCs w:val="32"/>
        </w:rPr>
        <w:t>编写高质量、针对性强的科普宣传材料。</w:t>
      </w:r>
      <w:r>
        <w:rPr>
          <w:rFonts w:hint="eastAsia" w:ascii="仿宋_GB2312" w:hAnsi="宋体" w:eastAsia="仿宋_GB2312"/>
          <w:sz w:val="32"/>
          <w:szCs w:val="32"/>
        </w:rPr>
        <w:t>结合我州特有的民族历史文化，</w:t>
      </w:r>
      <w:r>
        <w:rPr>
          <w:rFonts w:hint="eastAsia" w:ascii="仿宋_GB2312" w:eastAsia="仿宋_GB2312" w:cs="仿宋_GB2312"/>
          <w:sz w:val="32"/>
          <w:szCs w:val="32"/>
        </w:rPr>
        <w:t>抓好科普读物编创工作，编印发放《阿坝民俗礼仪小常识》、</w:t>
      </w:r>
      <w:r>
        <w:rPr>
          <w:rFonts w:hint="eastAsia" w:ascii="仿宋_GB2312" w:hAnsi="微软雅黑" w:eastAsia="仿宋_GB2312"/>
          <w:color w:val="000000"/>
          <w:sz w:val="32"/>
          <w:szCs w:val="32"/>
          <w:shd w:val="clear" w:color="auto" w:fill="FFFFFF"/>
        </w:rPr>
        <w:t>《学习贯彻党的十九届四中全会精神宣传册》（折页）等理论辅导读物</w:t>
      </w:r>
      <w:r>
        <w:rPr>
          <w:rFonts w:hint="eastAsia" w:ascii="仿宋_GB2312" w:eastAsia="仿宋_GB2312" w:cs="仿宋_GB2312"/>
          <w:sz w:val="32"/>
          <w:szCs w:val="32"/>
        </w:rPr>
        <w:t>4000册。</w:t>
      </w:r>
      <w:r>
        <w:rPr>
          <w:rFonts w:hint="eastAsia" w:ascii="仿宋_GB2312" w:eastAsia="仿宋_GB2312"/>
          <w:b/>
          <w:sz w:val="32"/>
          <w:szCs w:val="32"/>
        </w:rPr>
        <w:t>三是组织好</w:t>
      </w:r>
      <w:r>
        <w:rPr>
          <w:rFonts w:hint="eastAsia" w:ascii="仿宋_GB2312" w:hAnsi="仿宋" w:eastAsia="仿宋_GB2312"/>
          <w:b/>
          <w:sz w:val="32"/>
          <w:szCs w:val="32"/>
          <w:shd w:val="clear" w:color="auto" w:fill="FFFFFF"/>
        </w:rPr>
        <w:t>阿坝人文讲坛活动。</w:t>
      </w:r>
      <w:r>
        <w:rPr>
          <w:rFonts w:hint="eastAsia" w:ascii="仿宋_GB2312" w:hAnsi="仿宋" w:eastAsia="仿宋_GB2312"/>
          <w:sz w:val="32"/>
          <w:szCs w:val="32"/>
          <w:shd w:val="clear" w:color="auto" w:fill="FFFFFF"/>
        </w:rPr>
        <w:t>结合不同时期工作重点，</w:t>
      </w:r>
      <w:r>
        <w:rPr>
          <w:rFonts w:hint="eastAsia" w:ascii="仿宋_GB2312" w:hAnsi="仿宋" w:eastAsia="仿宋_GB2312"/>
          <w:sz w:val="32"/>
          <w:szCs w:val="32"/>
        </w:rPr>
        <w:t>确定讲坛</w:t>
      </w:r>
      <w:r>
        <w:rPr>
          <w:rFonts w:hint="eastAsia" w:ascii="仿宋_GB2312" w:hAnsi="仿宋" w:eastAsia="仿宋_GB2312"/>
          <w:sz w:val="32"/>
          <w:szCs w:val="32"/>
          <w:shd w:val="clear" w:color="auto" w:fill="FFFFFF"/>
        </w:rPr>
        <w:t>主题，先后深入阿坝县、汶川县、阿坝师院开展阿坝人文讲坛知识讲座3期，采用基层群众能接受、能听懂的方式将社科知识送到群众中，受到广大基层群众的一致好评。</w:t>
      </w:r>
      <w:r>
        <w:rPr>
          <w:rFonts w:hint="eastAsia" w:ascii="仿宋_GB2312" w:hAnsi="仿宋" w:eastAsia="仿宋_GB2312"/>
          <w:sz w:val="32"/>
          <w:szCs w:val="32"/>
        </w:rPr>
        <w:t>5月20日，组织汶川县博物馆社科普及基地、阿坝州大禹文化研究会、汶川县第一中学联合举办关于大禹文化的专题讲座，开展“传承文化精粹，培育厚德人才”的主题宣传活动，促进青少年继承和弘扬阿坝传统文化，培育青少年“爱党爱国爱家乡”意识。</w:t>
      </w:r>
      <w:r>
        <w:rPr>
          <w:rFonts w:hint="eastAsia" w:ascii="仿宋_GB2312" w:hAnsi="仿宋" w:eastAsia="仿宋_GB2312"/>
          <w:sz w:val="32"/>
          <w:szCs w:val="32"/>
          <w:shd w:val="clear" w:color="auto" w:fill="FFFFFF"/>
        </w:rPr>
        <w:t>6月10日在阿坝县开展了阿坝人文讲坛之“爱祖国、爱家乡、爱生活”健康知识讲座，采用基层群众能接受、能听懂的方式将牧区群众急需要的藏医养生健康知识和健康生活方式送到基层。</w:t>
      </w:r>
      <w:r>
        <w:rPr>
          <w:rFonts w:hint="eastAsia" w:ascii="仿宋_GB2312" w:eastAsia="仿宋_GB2312"/>
          <w:color w:val="343434"/>
          <w:sz w:val="32"/>
          <w:szCs w:val="32"/>
          <w:shd w:val="clear" w:color="auto" w:fill="FFFFFF"/>
        </w:rPr>
        <w:t>12月</w:t>
      </w:r>
      <w:r>
        <w:rPr>
          <w:rFonts w:ascii="仿宋_GB2312" w:hAnsi="宋体" w:eastAsia="仿宋_GB2312" w:cs="仿宋_GB2312"/>
          <w:color w:val="343434"/>
          <w:sz w:val="32"/>
          <w:szCs w:val="32"/>
          <w:shd w:val="clear" w:color="auto" w:fill="FFFFFF"/>
        </w:rPr>
        <w:t>以</w:t>
      </w:r>
      <w:r>
        <w:rPr>
          <w:rFonts w:hint="eastAsia" w:ascii="仿宋_GB2312" w:hAnsi="宋体" w:eastAsia="仿宋_GB2312" w:cs="仿宋_GB2312"/>
          <w:color w:val="343434"/>
          <w:sz w:val="32"/>
          <w:szCs w:val="32"/>
          <w:shd w:val="clear" w:color="auto" w:fill="FFFFFF"/>
        </w:rPr>
        <w:t>“加强基础理论研究，筑牢学术繁荣根基”为主题，在阿坝师院举办社科研究课题选题、撰写技巧等内容的专题讲座，着力提升社科研究人员的能力素养。</w:t>
      </w:r>
      <w:r>
        <w:rPr>
          <w:rFonts w:hint="eastAsia" w:ascii="仿宋_GB2312" w:eastAsia="仿宋_GB2312"/>
          <w:b/>
          <w:sz w:val="32"/>
          <w:szCs w:val="32"/>
        </w:rPr>
        <w:t>四是</w:t>
      </w:r>
      <w:r>
        <w:rPr>
          <w:rFonts w:hint="eastAsia" w:ascii="仿宋_GB2312" w:hAnsi="微软雅黑" w:eastAsia="仿宋_GB2312"/>
          <w:b/>
          <w:sz w:val="32"/>
          <w:szCs w:val="32"/>
          <w:shd w:val="clear" w:color="auto" w:fill="FFFFFF"/>
        </w:rPr>
        <w:t>组织开展庆祝新中国成立70周年系列活动。</w:t>
      </w:r>
      <w:r>
        <w:rPr>
          <w:rFonts w:hint="eastAsia" w:ascii="仿宋_GB2312" w:hAnsi="微软雅黑" w:eastAsia="仿宋_GB2312"/>
          <w:sz w:val="32"/>
          <w:szCs w:val="32"/>
          <w:shd w:val="clear" w:color="auto" w:fill="FFFFFF"/>
        </w:rPr>
        <w:t>围绕新中国成立70周年庆祝活动，结合社科工作实际，开展“庆祝中华人民共和国成立70周年”理论文章征集、</w:t>
      </w:r>
      <w:r>
        <w:rPr>
          <w:rFonts w:hint="eastAsia" w:ascii="仿宋_GB2312" w:hAnsi="仿宋" w:eastAsia="仿宋_GB2312" w:cs="仿宋"/>
          <w:sz w:val="32"/>
          <w:szCs w:val="32"/>
        </w:rPr>
        <w:t>“庆祝新中国成立70周年暨阿坝州第二期社会科学知识竞答”、</w:t>
      </w:r>
      <w:r>
        <w:rPr>
          <w:rFonts w:hint="eastAsia" w:ascii="仿宋_GB2312" w:hAnsi="宋体" w:eastAsia="仿宋_GB2312" w:cs="宋体"/>
          <w:sz w:val="32"/>
          <w:szCs w:val="32"/>
        </w:rPr>
        <w:t>“新中国成立70周年西部民族地区建设发展暨乡村振兴文产融合”学术研讨会</w:t>
      </w:r>
      <w:r>
        <w:rPr>
          <w:rFonts w:hint="eastAsia" w:ascii="仿宋_GB2312" w:hAnsi="仿宋" w:eastAsia="仿宋_GB2312" w:cs="仿宋"/>
          <w:sz w:val="32"/>
          <w:szCs w:val="32"/>
        </w:rPr>
        <w:t>”等系列庆祝活动。</w:t>
      </w:r>
      <w:r>
        <w:rPr>
          <w:rFonts w:hint="eastAsia" w:ascii="仿宋_GB2312" w:eastAsia="仿宋_GB2312"/>
          <w:sz w:val="32"/>
          <w:szCs w:val="32"/>
        </w:rPr>
        <w:t>会同8家州级群团部门成功举办“群心向党·礼赞祖国”－－阿坝州民族团结进步暨群众文化季活动。拍摄制作社科联工作汇报片《举旗铸魂、守正创新——阿坝州哲学社会科学发展纪实》，全面展示近年来全州社科工作发展历程和丰硕成果。</w:t>
      </w:r>
      <w:r>
        <w:rPr>
          <w:rFonts w:hint="eastAsia" w:ascii="仿宋_GB2312" w:hAnsi="仿宋" w:eastAsia="仿宋_GB2312" w:cs="仿宋"/>
          <w:b/>
          <w:sz w:val="32"/>
          <w:szCs w:val="32"/>
        </w:rPr>
        <w:t>五是做好省社科馆陈展作品征集。</w:t>
      </w:r>
      <w:r>
        <w:rPr>
          <w:rFonts w:hint="eastAsia" w:ascii="仿宋_GB2312" w:hAnsi="仿宋" w:eastAsia="仿宋_GB2312"/>
          <w:sz w:val="32"/>
          <w:szCs w:val="32"/>
        </w:rPr>
        <w:t>积极面向全州开展陈展作品征集工作，通过深入的征集，从全州各行各业征集到社科类展品300余件，经过精心筛选，向省社科馆报送100余件反映我州社科工作发展历程的展品，最终展出作品位居全省21个市州前列。</w:t>
      </w:r>
      <w:r>
        <w:rPr>
          <w:rFonts w:hint="eastAsia" w:ascii="仿宋_GB2312" w:hAnsi="仿宋" w:eastAsia="仿宋_GB2312"/>
          <w:b/>
          <w:sz w:val="32"/>
          <w:szCs w:val="32"/>
        </w:rPr>
        <w:t>六是办好</w:t>
      </w:r>
      <w:r>
        <w:rPr>
          <w:rFonts w:hint="eastAsia" w:ascii="仿宋_GB2312" w:hAnsi="仿宋_GB2312" w:eastAsia="仿宋_GB2312" w:cs="仿宋_GB2312"/>
          <w:b/>
          <w:sz w:val="32"/>
          <w:szCs w:val="32"/>
        </w:rPr>
        <w:t>《阿坝论坛》。</w:t>
      </w:r>
      <w:r>
        <w:rPr>
          <w:rFonts w:hint="eastAsia" w:ascii="仿宋_GB2312" w:hAnsi="仿宋" w:eastAsia="仿宋_GB2312" w:cs="仿宋"/>
          <w:sz w:val="32"/>
          <w:szCs w:val="32"/>
        </w:rPr>
        <w:t>根据全州内部刊物规范管理的要求，全面做好《阿坝论坛》与《阿坝科技》进行合刊升级为省级刊物后的征稿发行工作，加大与省内外社科专家的联络，拓宽征稿渠道，稿件质量受到好评，2019年度正式编印出刊4期。</w:t>
      </w:r>
      <w:r>
        <w:rPr>
          <w:rFonts w:hint="eastAsia" w:ascii="仿宋_GB2312" w:hAnsi="仿宋" w:eastAsia="仿宋_GB2312"/>
          <w:b/>
          <w:sz w:val="32"/>
          <w:szCs w:val="32"/>
        </w:rPr>
        <w:t>七是做好社科基地创建工作。</w:t>
      </w:r>
      <w:r>
        <w:rPr>
          <w:rFonts w:hint="eastAsia" w:ascii="仿宋_GB2312" w:hAnsi="仿宋" w:eastAsia="仿宋_GB2312" w:cs="仿宋"/>
          <w:sz w:val="32"/>
          <w:szCs w:val="32"/>
          <w:shd w:val="clear" w:color="auto" w:fill="FFFFFF"/>
        </w:rPr>
        <w:t>启动第四批社科基地创建命名工作，新创建命名州级社科研究基地1个（阿坝职业学院社科研究基地）、州级科普宣传基地1个（红军长征纪念碑碑园），目前，全州社科基地达到23个，社科阵地在基层得到了延伸和加强。</w:t>
      </w:r>
      <w:r>
        <w:rPr>
          <w:rFonts w:hint="eastAsia" w:ascii="仿宋_GB2312" w:hAnsi="仿宋" w:eastAsia="仿宋_GB2312" w:cs="仿宋"/>
          <w:b/>
          <w:sz w:val="32"/>
          <w:szCs w:val="32"/>
          <w:shd w:val="clear" w:color="auto" w:fill="FFFFFF"/>
        </w:rPr>
        <w:t>八是发挥好新媒体作用。</w:t>
      </w:r>
      <w:r>
        <w:rPr>
          <w:rFonts w:hint="eastAsia" w:ascii="仿宋_GB2312" w:hAnsi="仿宋" w:eastAsia="仿宋_GB2312" w:cs="仿宋"/>
          <w:sz w:val="32"/>
          <w:szCs w:val="32"/>
        </w:rPr>
        <w:t>创新运用新媒体开展社科普及宣传工作，创建“阿坝人文社科”微信公众号，全年编创、转发科普信息23期。发挥“阿坝社科在线”网站优势，加大新媒体在社科普及、社科管理中的运用；与阿坝电视台合作，在“美丽阿坝APP”上开通州社科联专栏，通过新媒介，展示社科形象。</w:t>
      </w:r>
    </w:p>
    <w:p>
      <w:pPr>
        <w:spacing w:line="560" w:lineRule="exact"/>
        <w:ind w:firstLine="722" w:firstLineChars="225"/>
        <w:rPr>
          <w:rFonts w:ascii="仿宋_GB2312" w:hAnsi="仿宋" w:eastAsia="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b/>
          <w:sz w:val="32"/>
          <w:szCs w:val="32"/>
          <w:shd w:val="clear" w:color="auto" w:fill="FFFFFF"/>
        </w:rPr>
        <w:t>加强社科阵地建设，推动社科管理规范有序</w:t>
      </w:r>
      <w:r>
        <w:rPr>
          <w:rFonts w:hint="eastAsia" w:ascii="楷体" w:hAnsi="楷体" w:eastAsia="楷体"/>
          <w:b/>
          <w:sz w:val="32"/>
          <w:szCs w:val="32"/>
          <w:shd w:val="clear" w:color="auto" w:fill="FFFFFF"/>
        </w:rPr>
        <w:t>。一</w:t>
      </w:r>
      <w:r>
        <w:rPr>
          <w:rFonts w:hint="eastAsia" w:ascii="仿宋_GB2312" w:hAnsi="楷体" w:eastAsia="仿宋_GB2312"/>
          <w:b/>
          <w:sz w:val="32"/>
          <w:szCs w:val="32"/>
          <w:shd w:val="clear" w:color="auto" w:fill="FFFFFF"/>
        </w:rPr>
        <w:t>是</w:t>
      </w:r>
      <w:r>
        <w:rPr>
          <w:rFonts w:hint="eastAsia" w:ascii="仿宋_GB2312" w:hAnsi="仿宋" w:eastAsia="仿宋_GB2312" w:cs="仿宋"/>
          <w:b/>
          <w:sz w:val="32"/>
          <w:szCs w:val="32"/>
        </w:rPr>
        <w:t>加强所属学会的管理</w:t>
      </w:r>
      <w:r>
        <w:rPr>
          <w:rFonts w:hint="eastAsia" w:ascii="仿宋_GB2312" w:eastAsia="仿宋_GB2312"/>
          <w:b/>
          <w:sz w:val="32"/>
          <w:szCs w:val="32"/>
        </w:rPr>
        <w:t>。</w:t>
      </w:r>
      <w:r>
        <w:rPr>
          <w:rFonts w:hint="eastAsia" w:ascii="仿宋_GB2312" w:eastAsia="仿宋_GB2312"/>
          <w:sz w:val="32"/>
          <w:szCs w:val="32"/>
        </w:rPr>
        <w:t>加大</w:t>
      </w:r>
      <w:r>
        <w:rPr>
          <w:rFonts w:hint="eastAsia" w:ascii="仿宋_GB2312" w:hAnsi="仿宋" w:eastAsia="仿宋_GB2312"/>
          <w:sz w:val="32"/>
          <w:szCs w:val="32"/>
        </w:rPr>
        <w:t>对所属学会（羌学会）的管理力度，与所属学会负责人签订《意识形态工作责任书》，严格执行《阿坝州社科联所属学会管理办法（暂行）》，全面理顺所属学会在意识形态工作方面的责任，加强引导，确保工作开展过程中方向清、责任明。</w:t>
      </w:r>
      <w:r>
        <w:rPr>
          <w:rFonts w:hint="eastAsia" w:ascii="仿宋_GB2312" w:hAnsi="仿宋" w:eastAsia="仿宋_GB2312" w:cs="仿宋"/>
          <w:b/>
          <w:sz w:val="32"/>
          <w:szCs w:val="32"/>
        </w:rPr>
        <w:t>二是加强社科类学会的联系沟通。</w:t>
      </w:r>
      <w:r>
        <w:rPr>
          <w:rFonts w:hint="eastAsia" w:ascii="仿宋_GB2312" w:eastAsia="仿宋_GB2312"/>
          <w:sz w:val="32"/>
          <w:szCs w:val="32"/>
        </w:rPr>
        <w:t>坚持用习近平</w:t>
      </w:r>
      <w:r>
        <w:rPr>
          <w:rFonts w:hint="eastAsia" w:ascii="仿宋_GB2312" w:eastAsia="仿宋_GB2312"/>
          <w:sz w:val="32"/>
          <w:szCs w:val="32"/>
          <w:lang w:eastAsia="zh-CN"/>
        </w:rPr>
        <w:t>新时代</w:t>
      </w:r>
      <w:r>
        <w:rPr>
          <w:rFonts w:hint="eastAsia" w:ascii="仿宋_GB2312" w:eastAsia="仿宋_GB2312"/>
          <w:sz w:val="32"/>
          <w:szCs w:val="32"/>
        </w:rPr>
        <w:t>中国特色社会主义思想武装社科工作者头脑，</w:t>
      </w:r>
      <w:r>
        <w:rPr>
          <w:rFonts w:hint="eastAsia" w:ascii="仿宋_GB2312" w:hAnsi="仿宋" w:eastAsia="仿宋_GB2312"/>
          <w:sz w:val="32"/>
          <w:szCs w:val="32"/>
        </w:rPr>
        <w:t>发挥好社科联的意识形态主阵地作用，</w:t>
      </w:r>
      <w:r>
        <w:rPr>
          <w:rFonts w:hint="eastAsia" w:ascii="仿宋_GB2312" w:eastAsia="仿宋_GB2312"/>
          <w:sz w:val="32"/>
          <w:szCs w:val="32"/>
        </w:rPr>
        <w:t>抓好社科工作者思想政治教育，</w:t>
      </w:r>
      <w:r>
        <w:rPr>
          <w:rFonts w:hint="eastAsia" w:ascii="仿宋_GB2312" w:hAnsi="仿宋" w:eastAsia="仿宋_GB2312"/>
          <w:sz w:val="32"/>
          <w:szCs w:val="32"/>
        </w:rPr>
        <w:t>加强对社科资金项目的政治把关和导向管理，引导社科工作者讲政治、顾大局。组织全州社科界紧紧围绕州委州政府战略部署、重大决策、民生热点难点问题开展理论研究，确保社科研究方向正确。</w:t>
      </w:r>
      <w:r>
        <w:rPr>
          <w:rFonts w:hint="eastAsia" w:ascii="仿宋_GB2312" w:hAnsi="仿宋" w:eastAsia="仿宋_GB2312"/>
          <w:b/>
          <w:sz w:val="32"/>
          <w:szCs w:val="32"/>
        </w:rPr>
        <w:t>三是</w:t>
      </w:r>
      <w:r>
        <w:rPr>
          <w:rFonts w:hint="eastAsia" w:ascii="仿宋_GB2312" w:hAnsi="楷体" w:eastAsia="仿宋_GB2312"/>
          <w:b/>
          <w:sz w:val="32"/>
          <w:szCs w:val="32"/>
          <w:shd w:val="clear" w:color="auto" w:fill="FFFFFF"/>
        </w:rPr>
        <w:t>抓好新形势下社科人才队伍建设。</w:t>
      </w:r>
      <w:r>
        <w:rPr>
          <w:rFonts w:hint="eastAsia" w:ascii="仿宋_GB2312" w:eastAsia="仿宋_GB2312"/>
          <w:sz w:val="32"/>
          <w:szCs w:val="32"/>
        </w:rPr>
        <w:t>发挥社科课题的牵引作用，动态更新社科研究人才库，</w:t>
      </w:r>
      <w:r>
        <w:rPr>
          <w:rFonts w:hint="eastAsia" w:ascii="仿宋_GB2312" w:hAnsi="仿宋_GB2312" w:eastAsia="仿宋_GB2312" w:cs="仿宋_GB2312"/>
          <w:sz w:val="32"/>
          <w:szCs w:val="32"/>
        </w:rPr>
        <w:t>目前全州社科研究人员达到1000余人，形成了门类比较齐全，研究领域较广、特色和优势比较突出的人才队伍。在州内，社科联作为“社科工作者之家”的作用得到加强。同时也形成了一定规模的研究机构和研究阵地，从事哲学社会科学工作的研究机构、社科类学会、协会、研究会等达30余家。</w:t>
      </w:r>
      <w:r>
        <w:rPr>
          <w:rFonts w:hint="eastAsia" w:ascii="仿宋_GB2312" w:eastAsia="仿宋_GB2312"/>
          <w:kern w:val="0"/>
          <w:sz w:val="32"/>
          <w:szCs w:val="32"/>
        </w:rPr>
        <w:t>1月10日，</w:t>
      </w:r>
      <w:r>
        <w:rPr>
          <w:rFonts w:hint="eastAsia" w:ascii="仿宋_GB2312" w:hAnsi="仿宋_GB2312" w:eastAsia="仿宋_GB2312" w:cs="仿宋_GB2312"/>
          <w:sz w:val="32"/>
          <w:szCs w:val="32"/>
        </w:rPr>
        <w:t>胜利召开州社科联第三次代表大会，</w:t>
      </w:r>
      <w:r>
        <w:rPr>
          <w:rFonts w:hint="eastAsia" w:ascii="仿宋_GB2312" w:hAnsi="微软雅黑" w:eastAsia="仿宋_GB2312" w:cs="仿宋_GB2312"/>
          <w:sz w:val="32"/>
          <w:szCs w:val="32"/>
          <w:shd w:val="clear" w:color="auto" w:fill="FFFFFF"/>
        </w:rPr>
        <w:t>选举产生了</w:t>
      </w:r>
      <w:r>
        <w:rPr>
          <w:rFonts w:hint="eastAsia" w:ascii="仿宋_GB2312" w:hAnsi="仿宋_GB2312" w:eastAsia="仿宋_GB2312" w:cs="仿宋_GB2312"/>
          <w:sz w:val="32"/>
          <w:szCs w:val="32"/>
        </w:rPr>
        <w:t>州社科联</w:t>
      </w:r>
      <w:r>
        <w:rPr>
          <w:rFonts w:hint="eastAsia" w:ascii="仿宋_GB2312" w:hAnsi="微软雅黑" w:eastAsia="仿宋_GB2312" w:cs="仿宋_GB2312"/>
          <w:sz w:val="32"/>
          <w:szCs w:val="32"/>
          <w:shd w:val="clear" w:color="auto" w:fill="FFFFFF"/>
        </w:rPr>
        <w:t>第三届理事会（其中：主席1名，副主席兼秘书长1名，兼职副主席8名，常务理事21名，理事49名），</w:t>
      </w:r>
      <w:r>
        <w:rPr>
          <w:rFonts w:hint="eastAsia" w:ascii="仿宋_GB2312" w:hAnsi="宋体" w:eastAsia="仿宋_GB2312" w:cs="仿宋_GB2312"/>
          <w:sz w:val="32"/>
          <w:szCs w:val="32"/>
        </w:rPr>
        <w:t>理事会构成比例更合理、结构更优化</w:t>
      </w:r>
      <w:r>
        <w:rPr>
          <w:rFonts w:hint="eastAsia" w:ascii="仿宋_GB2312" w:hAnsi="微软雅黑" w:eastAsia="仿宋_GB2312" w:cs="仿宋_GB2312"/>
          <w:sz w:val="32"/>
          <w:szCs w:val="32"/>
          <w:shd w:val="clear" w:color="auto" w:fill="FFFFFF"/>
        </w:rPr>
        <w:t>。</w:t>
      </w:r>
    </w:p>
    <w:p>
      <w:pPr>
        <w:spacing w:line="560" w:lineRule="exact"/>
        <w:ind w:firstLine="722" w:firstLineChars="225"/>
        <w:rPr>
          <w:rFonts w:ascii="仿宋_GB2312" w:eastAsia="仿宋_GB2312"/>
          <w:sz w:val="32"/>
          <w:szCs w:val="32"/>
          <w:shd w:val="clear" w:color="auto" w:fill="FFFFFF"/>
        </w:rPr>
      </w:pP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shd w:val="clear" w:color="auto" w:fill="FFFFFF"/>
        </w:rPr>
        <w:t>加大工作力度</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shd w:val="clear" w:color="auto" w:fill="FFFFFF"/>
        </w:rPr>
        <w:t>强化思想政治工作研究能力</w:t>
      </w:r>
      <w:r>
        <w:rPr>
          <w:rFonts w:hint="eastAsia" w:ascii="楷体_GB2312" w:hAnsi="楷体" w:eastAsia="楷体_GB2312"/>
          <w:b/>
          <w:sz w:val="32"/>
          <w:szCs w:val="32"/>
          <w:shd w:val="clear" w:color="auto" w:fill="FFFFFF"/>
        </w:rPr>
        <w:t>。</w:t>
      </w:r>
      <w:r>
        <w:rPr>
          <w:rFonts w:hint="eastAsia" w:ascii="仿宋_GB2312" w:hAnsi="楷体" w:eastAsia="仿宋_GB2312"/>
          <w:b/>
          <w:sz w:val="32"/>
          <w:szCs w:val="32"/>
        </w:rPr>
        <w:t>一是</w:t>
      </w:r>
      <w:r>
        <w:rPr>
          <w:rFonts w:hint="eastAsia" w:ascii="仿宋_GB2312" w:eastAsia="仿宋_GB2312"/>
          <w:b/>
          <w:sz w:val="32"/>
          <w:szCs w:val="32"/>
        </w:rPr>
        <w:t>开展思想政治工作理论研究征集活动。</w:t>
      </w:r>
      <w:r>
        <w:rPr>
          <w:rFonts w:hint="eastAsia" w:ascii="仿宋_GB2312" w:eastAsia="仿宋_GB2312"/>
          <w:color w:val="000000"/>
          <w:sz w:val="32"/>
          <w:szCs w:val="32"/>
        </w:rPr>
        <w:t>开展2019年省政研会思政课题研究，推荐上报省政研会8篇。组织撰写思想政治工作典型案例，《在党的旗帜下 凝心聚力 攻坚克难---九寨沟管理局高质量推进景区灾后重建》成功入选《2018年思想政治工作创新案例汇编》。</w:t>
      </w:r>
      <w:r>
        <w:rPr>
          <w:rFonts w:hint="eastAsia" w:ascii="仿宋_GB2312" w:eastAsia="仿宋_GB2312"/>
          <w:b/>
          <w:sz w:val="32"/>
          <w:szCs w:val="32"/>
        </w:rPr>
        <w:t>二是组织调研成效显著。</w:t>
      </w:r>
      <w:r>
        <w:rPr>
          <w:rFonts w:hint="eastAsia" w:ascii="仿宋_GB2312" w:eastAsia="仿宋_GB2312" w:cs="仿宋_GB2312"/>
          <w:sz w:val="32"/>
          <w:szCs w:val="32"/>
        </w:rPr>
        <w:t>开展思想政治工作理论研究征集活动。组织州内高校开展2019年度国家社科资金高校思想政治理论研究申报工作，向省政研究会上报11篇，其中《文化院坝与乡风文明建设研究》荣获四川省思想政治研究会优秀调研成果二等奖，州政研会获全省思想政治工作课题研究优秀组织奖。</w:t>
      </w:r>
      <w:r>
        <w:rPr>
          <w:rFonts w:hint="eastAsia" w:ascii="仿宋_GB2312" w:eastAsia="仿宋_GB2312"/>
          <w:sz w:val="32"/>
          <w:szCs w:val="32"/>
        </w:rPr>
        <w:t>三</w:t>
      </w:r>
      <w:r>
        <w:rPr>
          <w:rFonts w:hint="eastAsia" w:ascii="仿宋_GB2312" w:eastAsia="仿宋_GB2312"/>
          <w:b/>
          <w:sz w:val="32"/>
          <w:szCs w:val="32"/>
        </w:rPr>
        <w:t>是加大信息报送。</w:t>
      </w:r>
      <w:r>
        <w:rPr>
          <w:rFonts w:hint="eastAsia" w:ascii="仿宋_GB2312" w:eastAsia="仿宋_GB2312"/>
          <w:color w:val="000000"/>
          <w:sz w:val="32"/>
          <w:szCs w:val="32"/>
        </w:rPr>
        <w:t>组织稿件40多篇，其中8篇图文信息、11篇调研文章，被省政研会主办的内部理论刊物《政工论坛》、微信公众号“川e思政”、“四川思政网”采用刊发。</w:t>
      </w:r>
    </w:p>
    <w:p>
      <w:pPr>
        <w:pStyle w:val="3"/>
        <w:ind w:firstLine="640" w:firstLineChars="200"/>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widowControl/>
        <w:ind w:firstLine="640" w:firstLineChars="200"/>
        <w:jc w:val="left"/>
        <w:rPr>
          <w:rFonts w:ascii="仿宋" w:hAnsi="仿宋" w:eastAsia="仿宋"/>
          <w:color w:val="000000"/>
          <w:kern w:val="0"/>
          <w:sz w:val="32"/>
          <w:szCs w:val="32"/>
        </w:rPr>
      </w:pPr>
      <w:r>
        <w:rPr>
          <w:rFonts w:ascii="仿宋" w:hAnsi="仿宋" w:eastAsia="仿宋"/>
          <w:sz w:val="32"/>
          <w:szCs w:val="32"/>
        </w:rPr>
        <w:t>阿坝州社科联是</w:t>
      </w:r>
      <w:r>
        <w:rPr>
          <w:rFonts w:hint="eastAsia" w:ascii="仿宋" w:hAnsi="仿宋" w:eastAsia="仿宋"/>
          <w:sz w:val="32"/>
          <w:szCs w:val="32"/>
        </w:rPr>
        <w:t>参照公务员法管理的事业单位，核定编制8名，实有干部职工8名；</w:t>
      </w:r>
      <w:r>
        <w:rPr>
          <w:rFonts w:ascii="仿宋" w:hAnsi="仿宋" w:eastAsia="仿宋"/>
          <w:sz w:val="32"/>
          <w:szCs w:val="32"/>
        </w:rPr>
        <w:t>设办公室、学术科研部、科普宣传部、思想政治研究会秘书处</w:t>
      </w:r>
      <w:r>
        <w:rPr>
          <w:rFonts w:hint="eastAsia" w:ascii="仿宋" w:hAnsi="仿宋" w:eastAsia="仿宋"/>
          <w:sz w:val="32"/>
          <w:szCs w:val="32"/>
        </w:rPr>
        <w:t>4</w:t>
      </w:r>
      <w:r>
        <w:rPr>
          <w:rFonts w:ascii="仿宋" w:hAnsi="仿宋" w:eastAsia="仿宋"/>
          <w:sz w:val="32"/>
          <w:szCs w:val="32"/>
        </w:rPr>
        <w:t>个科室，无</w:t>
      </w:r>
      <w:r>
        <w:rPr>
          <w:rFonts w:hint="eastAsia" w:ascii="仿宋" w:hAnsi="仿宋" w:eastAsia="仿宋"/>
          <w:sz w:val="32"/>
          <w:szCs w:val="32"/>
        </w:rPr>
        <w:t>下属二级单位。</w:t>
      </w: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Style w:val="25"/>
          <w:rFonts w:hint="eastAsia" w:ascii="黑体" w:hAnsi="黑体" w:eastAsia="黑体"/>
          <w:b w:val="0"/>
          <w:bCs w:val="0"/>
        </w:rPr>
        <w:t>2019年度部门决算情况说明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2019年度收、支总计620.68万元。与2018年相比，收、支总计各减少10.31万元，下降3.07</w:t>
      </w:r>
      <w:r>
        <w:rPr>
          <w:rFonts w:ascii="仿宋" w:hAnsi="仿宋" w:eastAsia="仿宋"/>
          <w:color w:val="000000"/>
          <w:sz w:val="32"/>
          <w:szCs w:val="32"/>
        </w:rPr>
        <w:t>%</w:t>
      </w:r>
      <w:r>
        <w:rPr>
          <w:rFonts w:hint="eastAsia" w:ascii="仿宋" w:hAnsi="仿宋" w:eastAsia="仿宋"/>
          <w:color w:val="000000"/>
          <w:sz w:val="32"/>
          <w:szCs w:val="32"/>
        </w:rPr>
        <w:t>。主要变动原因是严格按照厉行节约相关要求，控制开支。</w:t>
      </w:r>
    </w:p>
    <w:p>
      <w:pPr>
        <w:spacing w:line="600" w:lineRule="exact"/>
        <w:ind w:firstLine="420" w:firstLineChars="200"/>
      </w:pPr>
    </w:p>
    <w:p>
      <w:pPr>
        <w:spacing w:line="600" w:lineRule="exact"/>
        <w:ind w:firstLine="420" w:firstLineChars="200"/>
      </w:pPr>
    </w:p>
    <w:p>
      <w:pPr>
        <w:spacing w:line="600" w:lineRule="exact"/>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r>
        <w:drawing>
          <wp:anchor distT="0" distB="0" distL="114300" distR="114300" simplePos="0" relativeHeight="251658240" behindDoc="1" locked="0" layoutInCell="1" allowOverlap="1">
            <wp:simplePos x="0" y="0"/>
            <wp:positionH relativeFrom="column">
              <wp:posOffset>266700</wp:posOffset>
            </wp:positionH>
            <wp:positionV relativeFrom="paragraph">
              <wp:posOffset>-2425700</wp:posOffset>
            </wp:positionV>
            <wp:extent cx="4540250" cy="2730500"/>
            <wp:effectExtent l="0" t="0" r="6350" b="0"/>
            <wp:wrapTight wrapText="bothSides">
              <wp:wrapPolygon>
                <wp:start x="0" y="0"/>
                <wp:lineTo x="0" y="21500"/>
                <wp:lineTo x="21570" y="21500"/>
                <wp:lineTo x="21570" y="0"/>
                <wp:lineTo x="0" y="0"/>
              </wp:wrapPolygon>
            </wp:wrapTight>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
                    <a:stretch>
                      <a:fillRect/>
                    </a:stretch>
                  </pic:blipFill>
                  <pic:spPr>
                    <a:xfrm>
                      <a:off x="0" y="0"/>
                      <a:ext cx="4540250" cy="2730500"/>
                    </a:xfrm>
                    <a:prstGeom prst="rect">
                      <a:avLst/>
                    </a:prstGeom>
                    <a:noFill/>
                    <a:ln>
                      <a:noFill/>
                    </a:ln>
                  </pic:spPr>
                </pic:pic>
              </a:graphicData>
            </a:graphic>
          </wp:anchor>
        </w:drawing>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9年本年收入合计294.48万元，其中：一般公共预算财政拨款收入294.48万元，占100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 w:hAnsi="仿宋" w:eastAsia="仿宋"/>
          <w:color w:val="000000"/>
          <w:sz w:val="32"/>
          <w:szCs w:val="32"/>
        </w:rPr>
      </w:pP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59264" behindDoc="1" locked="0" layoutInCell="1" allowOverlap="1">
            <wp:simplePos x="0" y="0"/>
            <wp:positionH relativeFrom="column">
              <wp:posOffset>252095</wp:posOffset>
            </wp:positionH>
            <wp:positionV relativeFrom="paragraph">
              <wp:posOffset>93345</wp:posOffset>
            </wp:positionV>
            <wp:extent cx="4572000" cy="2743200"/>
            <wp:effectExtent l="4445" t="4445" r="8255" b="8255"/>
            <wp:wrapTight wrapText="bothSides">
              <wp:wrapPolygon>
                <wp:start x="-21" y="-35"/>
                <wp:lineTo x="-21" y="21565"/>
                <wp:lineTo x="21579" y="21565"/>
                <wp:lineTo x="21579" y="-35"/>
                <wp:lineTo x="-21" y="-35"/>
              </wp:wrapPolygon>
            </wp:wrapTight>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9年本年支出合计326.2万元，其中：基本支出194.61万元，占59.7</w:t>
      </w:r>
      <w:r>
        <w:rPr>
          <w:rFonts w:ascii="仿宋" w:hAnsi="仿宋" w:eastAsia="仿宋"/>
          <w:color w:val="000000"/>
          <w:sz w:val="32"/>
          <w:szCs w:val="32"/>
        </w:rPr>
        <w:t>%</w:t>
      </w:r>
      <w:r>
        <w:rPr>
          <w:rFonts w:hint="eastAsia" w:ascii="仿宋" w:hAnsi="仿宋" w:eastAsia="仿宋"/>
          <w:color w:val="000000"/>
          <w:sz w:val="32"/>
          <w:szCs w:val="32"/>
        </w:rPr>
        <w:t>；项目支出131.29万元，占40.3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0288" behindDoc="0" locked="0" layoutInCell="1" allowOverlap="1">
            <wp:simplePos x="0" y="0"/>
            <wp:positionH relativeFrom="column">
              <wp:posOffset>137795</wp:posOffset>
            </wp:positionH>
            <wp:positionV relativeFrom="paragraph">
              <wp:posOffset>264160</wp:posOffset>
            </wp:positionV>
            <wp:extent cx="4572000" cy="2312035"/>
            <wp:effectExtent l="4445" t="4445" r="8255" b="7620"/>
            <wp:wrapNone/>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9年财政拨款收、支总计326.2万元。与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8年相比，财政拨款收、支总计各减少10.31万元，下降3.07</w:t>
      </w:r>
      <w:r>
        <w:rPr>
          <w:rFonts w:ascii="仿宋" w:hAnsi="仿宋" w:eastAsia="仿宋"/>
          <w:color w:val="000000"/>
          <w:sz w:val="32"/>
          <w:szCs w:val="32"/>
        </w:rPr>
        <w:t>%</w:t>
      </w:r>
      <w:r>
        <w:rPr>
          <w:rFonts w:hint="eastAsia" w:ascii="仿宋" w:hAnsi="仿宋" w:eastAsia="仿宋"/>
          <w:color w:val="000000"/>
          <w:sz w:val="32"/>
          <w:szCs w:val="32"/>
        </w:rPr>
        <w:t>。主要变动原因是严格按照厉行节约相关要求，控制开支。</w:t>
      </w:r>
    </w:p>
    <w:p>
      <w:pPr>
        <w:spacing w:line="600" w:lineRule="exact"/>
        <w:ind w:firstLine="640"/>
        <w:rPr>
          <w:rFonts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290195</wp:posOffset>
            </wp:positionH>
            <wp:positionV relativeFrom="paragraph">
              <wp:posOffset>226695</wp:posOffset>
            </wp:positionV>
            <wp:extent cx="4572000" cy="2743200"/>
            <wp:effectExtent l="4445" t="4445" r="8255" b="8255"/>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ascii="楷体_GB2312" w:hAnsi="楷体_GB2312" w:eastAsia="楷体_GB2312" w:cs="楷体_GB2312"/>
          <w:b/>
          <w:color w:val="000000"/>
          <w:sz w:val="32"/>
          <w:szCs w:val="32"/>
        </w:rPr>
      </w:pPr>
      <w:bookmarkStart w:id="34" w:name="_Toc15377210"/>
      <w:r>
        <w:rPr>
          <w:rFonts w:hint="eastAsia" w:ascii="楷体_GB2312" w:hAnsi="楷体_GB2312" w:eastAsia="楷体_GB2312" w:cs="楷体_GB2312"/>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9年一般公共预算财政拨款支出326.2万元，占本年支出合计的100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8年相比，一般公共预算财政拨款减少10.31万元，下降3.07</w:t>
      </w:r>
      <w:r>
        <w:rPr>
          <w:rFonts w:ascii="仿宋" w:hAnsi="仿宋" w:eastAsia="仿宋"/>
          <w:color w:val="000000"/>
          <w:sz w:val="32"/>
          <w:szCs w:val="32"/>
        </w:rPr>
        <w:t>%</w:t>
      </w:r>
      <w:r>
        <w:rPr>
          <w:rFonts w:hint="eastAsia" w:ascii="仿宋" w:hAnsi="仿宋" w:eastAsia="仿宋"/>
          <w:color w:val="000000"/>
          <w:sz w:val="32"/>
          <w:szCs w:val="32"/>
        </w:rPr>
        <w:t>。主要变动原因是严格按照厉行节约相关要求，控制开支。</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420" w:firstLineChars="200"/>
        <w:rPr>
          <w:rFonts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347345</wp:posOffset>
            </wp:positionH>
            <wp:positionV relativeFrom="paragraph">
              <wp:posOffset>156845</wp:posOffset>
            </wp:positionV>
            <wp:extent cx="4572000" cy="2743200"/>
            <wp:effectExtent l="4445" t="4445" r="8255" b="8255"/>
            <wp:wrapNone/>
            <wp:docPr id="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2" w:firstLineChars="200"/>
        <w:outlineLvl w:val="2"/>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政拨款支出194.61万元，主要用于以下方面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支出153.08万元，占78.66</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科学技术（类）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文化旅游体育与传媒（类）支出0万元，占0</w:t>
      </w:r>
      <w:r>
        <w:rPr>
          <w:rFonts w:ascii="仿宋" w:hAnsi="仿宋" w:eastAsia="仿宋"/>
          <w:b/>
          <w:bCs/>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支出20.26万元，占10.11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8.76万元，占4.5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；住房保障支出12.51万元，占6.73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3360" behindDoc="0" locked="0" layoutInCell="1" allowOverlap="1">
            <wp:simplePos x="0" y="0"/>
            <wp:positionH relativeFrom="column">
              <wp:posOffset>144145</wp:posOffset>
            </wp:positionH>
            <wp:positionV relativeFrom="paragraph">
              <wp:posOffset>-91440</wp:posOffset>
            </wp:positionV>
            <wp:extent cx="4572000" cy="2679065"/>
            <wp:effectExtent l="4445" t="4445" r="8255" b="8890"/>
            <wp:wrapNone/>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2" w:firstLineChars="200"/>
        <w:outlineLvl w:val="2"/>
        <w:rPr>
          <w:rFonts w:ascii="仿宋" w:hAnsi="仿宋" w:eastAsia="仿宋"/>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FF0000"/>
          <w:sz w:val="32"/>
          <w:szCs w:val="32"/>
        </w:rPr>
      </w:pPr>
      <w:bookmarkStart w:id="37" w:name="_Toc15378460"/>
      <w:bookmarkStart w:id="38" w:name="_Toc15377444"/>
      <w:bookmarkStart w:id="39" w:name="_Toc15377213"/>
      <w:r>
        <w:rPr>
          <w:rFonts w:hint="eastAsia" w:ascii="仿宋" w:hAnsi="仿宋" w:eastAsia="仿宋"/>
          <w:b/>
          <w:color w:val="000000" w:themeColor="text1"/>
          <w:sz w:val="32"/>
          <w:szCs w:val="32"/>
        </w:rPr>
        <w:t>2019年般公共预算支出决算数为194.61</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2"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一般公共服务（类）</w:t>
      </w:r>
      <w:r>
        <w:rPr>
          <w:rStyle w:val="15"/>
          <w:rFonts w:hint="eastAsia" w:ascii="仿宋" w:hAnsi="仿宋" w:eastAsia="仿宋"/>
          <w:b w:val="0"/>
          <w:bCs/>
          <w:color w:val="000000"/>
          <w:sz w:val="32"/>
          <w:szCs w:val="32"/>
        </w:rPr>
        <w:t>201</w:t>
      </w:r>
      <w:r>
        <w:rPr>
          <w:rStyle w:val="15"/>
          <w:rFonts w:hint="eastAsia" w:ascii="仿宋" w:hAnsi="仿宋" w:eastAsia="仿宋"/>
          <w:bCs/>
          <w:color w:val="000000"/>
          <w:sz w:val="32"/>
          <w:szCs w:val="32"/>
        </w:rPr>
        <w:t>（款）2901（项）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支出决算为153.08万元，完成预算100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教育（类）</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（款）</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支出决算为0万元，完成预算</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2"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rPr>
        <w:t>科学技术（类）</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（款）</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支出决算为0万元，完成预算</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2"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rPr>
        <w:t>文化旅游体育与传媒（类）</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（款）</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支出决算为0万元，完成预算</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2"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5.</w:t>
      </w:r>
      <w:r>
        <w:rPr>
          <w:rStyle w:val="15"/>
          <w:rFonts w:hint="eastAsia" w:ascii="仿宋" w:hAnsi="仿宋" w:eastAsia="仿宋"/>
          <w:bCs/>
          <w:color w:val="000000"/>
          <w:sz w:val="32"/>
          <w:szCs w:val="32"/>
        </w:rPr>
        <w:t>社会保障和就业208（类）（款）</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支出决算为20.26万元，完成预算100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5"/>
          <w:rFonts w:ascii="仿宋" w:hAnsi="仿宋" w:eastAsia="仿宋"/>
          <w:bCs/>
          <w:color w:val="000000"/>
          <w:sz w:val="32"/>
          <w:szCs w:val="32"/>
        </w:rPr>
        <w:t>6.</w:t>
      </w:r>
      <w:r>
        <w:rPr>
          <w:rFonts w:hint="eastAsia" w:ascii="仿宋" w:hAnsi="仿宋" w:eastAsia="仿宋"/>
          <w:b/>
          <w:bCs/>
          <w:color w:val="000000" w:themeColor="text1"/>
          <w:sz w:val="32"/>
          <w:szCs w:val="32"/>
        </w:rPr>
        <w:t>卫生健康</w:t>
      </w:r>
      <w:r>
        <w:rPr>
          <w:rStyle w:val="15"/>
          <w:rFonts w:hint="eastAsia" w:ascii="仿宋" w:hAnsi="仿宋" w:eastAsia="仿宋"/>
          <w:bCs/>
          <w:color w:val="000000"/>
          <w:sz w:val="32"/>
          <w:szCs w:val="32"/>
        </w:rPr>
        <w:t>210（类）（款）</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支出决算为8.76万元，完成预算100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15"/>
          <w:rFonts w:hint="eastAsia" w:ascii="仿宋" w:hAnsi="仿宋" w:eastAsia="仿宋"/>
          <w:bCs/>
          <w:color w:val="000000"/>
          <w:sz w:val="32"/>
          <w:szCs w:val="32"/>
        </w:rPr>
        <w:t>7</w:t>
      </w:r>
      <w:r>
        <w:rPr>
          <w:rStyle w:val="15"/>
          <w:rFonts w:ascii="仿宋" w:hAnsi="仿宋" w:eastAsia="仿宋"/>
          <w:bCs/>
          <w:color w:val="000000"/>
          <w:sz w:val="32"/>
          <w:szCs w:val="32"/>
        </w:rPr>
        <w:t>.</w:t>
      </w:r>
      <w:r>
        <w:rPr>
          <w:rFonts w:hint="eastAsia" w:ascii="仿宋" w:hAnsi="仿宋" w:eastAsia="仿宋"/>
          <w:color w:val="000000" w:themeColor="text1"/>
          <w:sz w:val="32"/>
          <w:szCs w:val="32"/>
        </w:rPr>
        <w:t xml:space="preserve"> </w:t>
      </w:r>
      <w:r>
        <w:rPr>
          <w:rFonts w:hint="eastAsia" w:ascii="仿宋" w:hAnsi="仿宋" w:eastAsia="仿宋"/>
          <w:b/>
          <w:color w:val="000000" w:themeColor="text1"/>
          <w:sz w:val="32"/>
          <w:szCs w:val="32"/>
        </w:rPr>
        <w:t>住房保障</w:t>
      </w:r>
      <w:r>
        <w:rPr>
          <w:rStyle w:val="15"/>
          <w:rFonts w:hint="eastAsia" w:ascii="仿宋" w:hAnsi="仿宋" w:eastAsia="仿宋"/>
          <w:bCs/>
          <w:color w:val="000000"/>
          <w:sz w:val="32"/>
          <w:szCs w:val="32"/>
        </w:rPr>
        <w:t>221（类）（款）</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支出决算为12.51万元，完成预算100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9年一般公共预算财政拨款基本支出194.61万元，其中：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163.03万元，主要包括：基本工资37.14万元、津贴补贴77.2万元、奖金3.39万元、伙食补助费1.76万元、机关事业单位基本养老保险缴费13.86万元、职业年金缴费6.4万元、职工基本医疗保险7.44万元、其他社会保障缴费1.3万元、医疗费0.7万元、住房公积金12.51万元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162.12万元，主要包括：办公费4.73万元、印刷费4.65万元、手续费0.1万元、水费0.12万元、电费0.26万元、邮电费2.75万元、差旅费13.45万元、维修（护）费2.22万元、租赁费1.5万元、会议费8.43万元、培训费2.6万元、劳务费112万元、工会经费1.83万元、公务用车运行维护费7.47万元等。</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9年“三公”经费财政拨款支出决算为7.47万元，完成预算100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pPr>
        <w:spacing w:line="600" w:lineRule="exact"/>
        <w:ind w:firstLine="640"/>
        <w:outlineLvl w:val="2"/>
        <w:rPr>
          <w:rFonts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ascii="仿宋" w:hAnsi="仿宋" w:eastAsia="仿宋"/>
          <w:color w:val="000000"/>
          <w:sz w:val="32"/>
          <w:szCs w:val="32"/>
        </w:rPr>
        <w:t>**</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w:t>
      </w:r>
      <w:r>
        <w:rPr>
          <w:rFonts w:hint="eastAsia" w:ascii="仿宋_GB2312" w:eastAsia="仿宋_GB2312"/>
          <w:color w:val="000000"/>
          <w:sz w:val="32"/>
          <w:szCs w:val="32"/>
        </w:rPr>
        <w:t>次，出国（境）</w:t>
      </w:r>
      <w:r>
        <w:rPr>
          <w:rFonts w:ascii="仿宋_GB2312" w:eastAsia="仿宋_GB2312"/>
          <w:color w:val="000000"/>
          <w:sz w:val="32"/>
          <w:szCs w:val="32"/>
        </w:rPr>
        <w:t>**</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开支内容包括：…（团组名称、出访地点、取得成效）</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7.47万元,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8年增加1.28万元，增长17</w:t>
      </w:r>
      <w:r>
        <w:rPr>
          <w:rFonts w:ascii="仿宋_GB2312" w:eastAsia="仿宋_GB2312"/>
          <w:color w:val="000000"/>
          <w:sz w:val="32"/>
          <w:szCs w:val="32"/>
        </w:rPr>
        <w:t>%</w:t>
      </w:r>
      <w:r>
        <w:rPr>
          <w:rFonts w:hint="eastAsia" w:ascii="仿宋_GB2312" w:eastAsia="仿宋_GB2312"/>
          <w:color w:val="000000"/>
          <w:sz w:val="32"/>
          <w:szCs w:val="32"/>
        </w:rPr>
        <w:t>。主要原因是开展“两联一进”群众工作到联系县乡村开展工作，用车量增加。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月底，单位共有公务用车1辆，其中：主要领导干部用车0辆、机要通信用车1辆、应急保障用车0辆、执法执勤用车0辆.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7.47万元。主要用于社科调研、群众工作、科普活动等所需的公务用车燃料费、维修费、过路过桥费、保险费等支出。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。主要原因是2019年未产生接待费用。</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万元，主要用于……(执行公务、开展业务活动开支的交通费、住宿费、用餐费等)。国内公务接待0批次，0人次（不包括陪同人员），共计支出0万元，具体内容包括：…（接待具体项目、金额）。</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0"/>
      <w:bookmarkEnd w:id="51"/>
    </w:p>
    <w:p>
      <w:pPr>
        <w:spacing w:line="600" w:lineRule="exact"/>
        <w:ind w:firstLine="642" w:firstLineChars="200"/>
        <w:outlineLvl w:val="2"/>
        <w:rPr>
          <w:rFonts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9年，州社科联机关运行经费支出326.2万元，比</w:t>
      </w:r>
      <w:r>
        <w:rPr>
          <w:rFonts w:ascii="仿宋_GB2312" w:eastAsia="仿宋_GB2312"/>
          <w:color w:val="000000"/>
          <w:sz w:val="32"/>
          <w:szCs w:val="32"/>
        </w:rPr>
        <w:t>201</w:t>
      </w:r>
      <w:r>
        <w:rPr>
          <w:rFonts w:hint="eastAsia" w:ascii="仿宋_GB2312" w:eastAsia="仿宋_GB2312"/>
          <w:color w:val="000000"/>
          <w:sz w:val="32"/>
          <w:szCs w:val="32"/>
        </w:rPr>
        <w:t>8年减少10.31万元，</w:t>
      </w:r>
      <w:r>
        <w:rPr>
          <w:rFonts w:hint="eastAsia" w:ascii="仿宋" w:hAnsi="仿宋" w:eastAsia="仿宋"/>
          <w:color w:val="000000"/>
          <w:sz w:val="32"/>
          <w:szCs w:val="32"/>
        </w:rPr>
        <w:t>下降3.07</w:t>
      </w:r>
      <w:r>
        <w:rPr>
          <w:rFonts w:ascii="仿宋" w:hAnsi="仿宋" w:eastAsia="仿宋"/>
          <w:color w:val="000000"/>
          <w:sz w:val="32"/>
          <w:szCs w:val="32"/>
        </w:rPr>
        <w:t>%</w:t>
      </w:r>
      <w:r>
        <w:rPr>
          <w:rFonts w:hint="eastAsia" w:ascii="仿宋" w:hAnsi="仿宋" w:eastAsia="仿宋"/>
          <w:color w:val="000000"/>
          <w:sz w:val="32"/>
          <w:szCs w:val="32"/>
        </w:rPr>
        <w:t>。主要变动原因是严格按照厉行节约相关要求，控制开支。</w:t>
      </w:r>
    </w:p>
    <w:p>
      <w:pPr>
        <w:autoSpaceDE w:val="0"/>
        <w:autoSpaceDN w:val="0"/>
        <w:adjustRightInd w:val="0"/>
        <w:spacing w:line="600" w:lineRule="exact"/>
        <w:ind w:firstLine="642" w:firstLineChars="200"/>
        <w:jc w:val="left"/>
        <w:outlineLvl w:val="2"/>
        <w:rPr>
          <w:rFonts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9年，州社科联政府采购支出总额0万元，其中：政府采购货物支出0万元、政府采购工程支出0万元、政府采购服务支出0万元。0。授予中小企业合同金额0万元，占政府采购支出总额的0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日，州社科联共有车辆1辆，其中：主要领导干部用车0辆、机要通信用车0辆、应急保障用车0辆、其他用车1辆，</w:t>
      </w:r>
      <w:r>
        <w:rPr>
          <w:rFonts w:hint="eastAsia" w:ascii="仿宋_GB2312" w:eastAsia="仿宋_GB2312"/>
          <w:color w:val="000000" w:themeColor="text1"/>
          <w:sz w:val="32"/>
          <w:szCs w:val="32"/>
        </w:rPr>
        <w:t>其他用车主要是用于保障单位正常公务活动用车。单价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社科研究普及、社科培训、《阿坝论坛》、租赁费、社科资金管理费开展了预算事前绩效评估，对5个项目编制了绩效目标，预算执行过程中，5个项目全部开展绩效监控，年终执行完毕后，对5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按要求对2019年部门整体支出开展绩效自评，从评价情况来看整体支出完全按照财经制度规范运行，财务支出按照“三重一大”要求采用集中研究再支付。</w:t>
      </w:r>
    </w:p>
    <w:p>
      <w:pPr>
        <w:spacing w:line="580" w:lineRule="exact"/>
        <w:ind w:firstLine="642"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1.项目绩效目标完成情况</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社科研究普及、社科培训、《阿坝论坛》、租赁费、社科资金管理费等5个项目绩效目标实际完成情况。（本单位部门项目绩效目标个数在5个以上的，选取5个项目进行公开，目标个数在5个以下的，全部进行公开，公开内容包括选取的全部项目完成情况综述和完成情况表）。</w:t>
      </w:r>
    </w:p>
    <w:p>
      <w:pPr>
        <w:spacing w:line="580" w:lineRule="exact"/>
        <w:ind w:firstLine="640"/>
        <w:rPr>
          <w:rFonts w:ascii="仿宋" w:hAnsi="仿宋" w:eastAsia="仿宋" w:cs="仿宋_GB2312"/>
          <w:sz w:val="32"/>
          <w:szCs w:val="32"/>
        </w:rPr>
      </w:pPr>
      <w:r>
        <w:rPr>
          <w:rFonts w:hint="eastAsia" w:ascii="仿宋_GB2312" w:hAnsi="仿宋_GB2312" w:eastAsia="仿宋_GB2312" w:cs="仿宋_GB2312"/>
          <w:sz w:val="32"/>
          <w:szCs w:val="32"/>
        </w:rPr>
        <w:t>（1）社科研究普及项目绩效目标完成情况综述。项目全年预算数12万元，执行数为12万元，完成预算的100%。</w:t>
      </w:r>
      <w:r>
        <w:rPr>
          <w:rFonts w:hint="eastAsia" w:ascii="仿宋" w:hAnsi="仿宋" w:eastAsia="仿宋" w:cs="仿宋_GB2312"/>
          <w:sz w:val="32"/>
          <w:szCs w:val="32"/>
        </w:rPr>
        <w:t>通过项目实施，全面提高了社科普及工作的开展，进一步增强了社科基地、研究基地的工作条件。发现的主要问题：保障不能全部覆盖。下一步改进措施：针对性开展相关工作，把资金用在最急需的地方。</w:t>
      </w:r>
    </w:p>
    <w:p>
      <w:pPr>
        <w:spacing w:line="580" w:lineRule="exact"/>
        <w:ind w:firstLine="640" w:firstLineChars="200"/>
      </w:pPr>
      <w:r>
        <w:rPr>
          <w:rFonts w:hint="eastAsia" w:ascii="仿宋" w:hAnsi="仿宋" w:eastAsia="仿宋" w:cs="仿宋_GB2312"/>
          <w:sz w:val="32"/>
          <w:szCs w:val="32"/>
        </w:rPr>
        <w:t>（2）社科培训费项目绩效目标完成情况综述。项目全年预算数5万元，执行数为3.934万元，完成预算的   %。通过项目实施，有效提升了全州社科工作者业务能力素质，进一步掌握了当前社科工作大势，明确了当前和今后社科工作的主要方向。发现的主要问题：培训的形式单一，教授方式老套。下一步改进措施：积极采取形式丰富的教学培训活动，提升社科工作者的学习兴趣，提高培训质量。</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阿坝论坛出刊费项目绩效目标完成情况综述。项目全年预算数8万元，执行数为6.524万元，完成预算的76%。通过项目实施，保障了全州社科学术的交流，为社科工作者提供了学术沟通、交流、学习的平台，促进了全州社科学术氛围的提升。发现的主要问题：从事课题研究的深度、广度不够。下一步改进措施：加大同各级社科工作者的联系，特别是省内外高校专家学校，提高稿件质量，促进阿坝论坛的质量。</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（4）租赁费项目绩效目标完成情况综述。项目全年预算数5万元，执行数为5 万元，完成预算的100%。通过项目实施，保障了阿坝社科在线、阿坝人文社科等线上平台的顺利运用。发现的主要问题：线上平台设置和内容单一。下一步改进措施：加大改进力度，进一步加强平台建设，丰富内容。</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社科资金管理费项目绩效目标完成情况综述。项目全年预算数5万元，执行数为4.832万元，完成预算的XX%。通过项目实施，有效保障了州级社科资金项目的运行，促进了社科课题管理质量。发现的主要问题：资金量小，保障力度较弱。下一步改进措施：牢固树立“过紧日子”的思想，科学规划和分配社科资金管理经费，发挥资金最大效益。</w:t>
      </w:r>
    </w:p>
    <w:p>
      <w:pPr>
        <w:tabs>
          <w:tab w:val="left" w:pos="312"/>
        </w:tabs>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6）社会科学事业专项资金项目绩效目标完成情况综述。项目全年预算数100万元，执行数为99.3万元，完成预算的%。通过项目实施，进一步加强了全州社科课题研究能力水平，增强了社科队伍围绕州委州政府中心工作开展应用对策研究的能力。发现的主要问题：资金体量小，保障范围不大。下一步改进措施：充分发挥好社科专项资金优势，集中力量办大事，把资金用在最关键、最急需的课题研究上。</w:t>
      </w:r>
    </w:p>
    <w:p>
      <w:pPr>
        <w:widowControl/>
        <w:jc w:val="left"/>
        <w:rPr>
          <w:rFonts w:ascii="仿宋" w:hAnsi="仿宋" w:eastAsia="仿宋" w:cs="仿宋_GB2312"/>
          <w:sz w:val="32"/>
          <w:szCs w:val="32"/>
        </w:rPr>
      </w:pPr>
      <w:r>
        <w:rPr>
          <w:rFonts w:ascii="仿宋" w:hAnsi="仿宋" w:eastAsia="仿宋" w:cs="仿宋_GB2312"/>
          <w:sz w:val="32"/>
          <w:szCs w:val="32"/>
        </w:rPr>
        <w:br w:type="page"/>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社科研究普及经费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23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在州内开展社科普及工作编印社科读物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t>开展社科普及活动、阿坝人文讲坛活动、编印《阿坝礼仪小常识读本》等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88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开展</w:t>
            </w:r>
            <w:r>
              <w:rPr>
                <w:rFonts w:hint="eastAsia" w:ascii="宋体" w:hAnsi="宋体" w:cs="宋体"/>
                <w:color w:val="000000"/>
                <w:sz w:val="24"/>
              </w:rPr>
              <w:t>阿坝人文讲坛活动、编印科普读本，组织实施科普宣传活动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深入基层，以三下乡、两联一进、脱贫攻坚、大学习大调研等活动为契机，深入基层开展科普宣传活动，发放宣传资料；邀请专家学者组织开展阿坝人文讲坛4场。组织力量编写《阿坝礼仪小常识社科知识读本》，印发5000余册。</w:t>
            </w:r>
          </w:p>
        </w:tc>
      </w:tr>
      <w:tr>
        <w:tblPrEx>
          <w:tblCellMar>
            <w:top w:w="0" w:type="dxa"/>
            <w:left w:w="0" w:type="dxa"/>
            <w:bottom w:w="0" w:type="dxa"/>
            <w:right w:w="0" w:type="dxa"/>
          </w:tblCellMar>
        </w:tblPrEx>
        <w:trPr>
          <w:trHeight w:val="100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ascii="宋体" w:hAnsi="宋体"/>
                <w:color w:val="000000"/>
                <w:sz w:val="24"/>
              </w:rPr>
              <w:t>着力</w:t>
            </w:r>
            <w:r>
              <w:rPr>
                <w:rFonts w:hint="eastAsia" w:ascii="宋体" w:hAnsi="宋体"/>
                <w:color w:val="000000"/>
                <w:sz w:val="24"/>
              </w:rPr>
              <w:t>提升</w:t>
            </w:r>
            <w:r>
              <w:rPr>
                <w:rFonts w:ascii="宋体" w:hAnsi="宋体"/>
                <w:color w:val="000000"/>
                <w:sz w:val="24"/>
              </w:rPr>
              <w:t>全民人文社科素养，加大科普宣传教育力度。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扎实开展了相关的工作</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让参与的受众基本满意。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参与受众满意。</w:t>
            </w:r>
          </w:p>
        </w:tc>
      </w:tr>
    </w:tbl>
    <w:p>
      <w:pPr>
        <w:tabs>
          <w:tab w:val="left" w:pos="312"/>
        </w:tabs>
        <w:spacing w:line="580" w:lineRule="exact"/>
        <w:ind w:firstLine="640" w:firstLineChars="200"/>
        <w:rPr>
          <w:rFonts w:ascii="仿宋" w:hAnsi="仿宋" w:eastAsia="仿宋"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社科培训费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3.934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3.934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举办1期社科骨干培训班</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rPr>
                <w:rFonts w:hint="eastAsia" w:ascii="宋体" w:hAnsi="宋体" w:cs="宋体"/>
                <w:color w:val="000000"/>
                <w:sz w:val="24"/>
              </w:rPr>
              <w:t>举办1期社科骨干培训班</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举办1期社科骨干培训班</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举办1期社科骨干培训班</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ascii="宋体" w:hAnsi="宋体"/>
                <w:color w:val="000000"/>
                <w:sz w:val="24"/>
              </w:rPr>
              <w:t>着力</w:t>
            </w:r>
            <w:r>
              <w:rPr>
                <w:rFonts w:hint="eastAsia" w:ascii="宋体" w:hAnsi="宋体"/>
                <w:color w:val="000000"/>
                <w:sz w:val="24"/>
              </w:rPr>
              <w:t>提升</w:t>
            </w:r>
            <w:r>
              <w:rPr>
                <w:rFonts w:ascii="宋体" w:hAnsi="宋体"/>
                <w:color w:val="000000"/>
                <w:sz w:val="24"/>
              </w:rPr>
              <w:t>社科工作</w:t>
            </w:r>
            <w:r>
              <w:rPr>
                <w:rFonts w:hint="eastAsia" w:ascii="宋体" w:hAnsi="宋体"/>
                <w:color w:val="000000"/>
                <w:sz w:val="24"/>
              </w:rPr>
              <w:t>工作者业务能力和工作素质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提升了</w:t>
            </w:r>
            <w:r>
              <w:rPr>
                <w:rFonts w:ascii="宋体" w:hAnsi="宋体"/>
                <w:color w:val="000000"/>
                <w:sz w:val="24"/>
              </w:rPr>
              <w:t>社科工作</w:t>
            </w:r>
            <w:r>
              <w:rPr>
                <w:rFonts w:hint="eastAsia" w:ascii="宋体" w:hAnsi="宋体"/>
                <w:color w:val="000000"/>
                <w:sz w:val="24"/>
              </w:rPr>
              <w:t>工作者业务能力和工作素质</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让参与的社科工作者基本满意。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参与受众满意。</w:t>
            </w:r>
          </w:p>
        </w:tc>
      </w:tr>
    </w:tbl>
    <w:p>
      <w:pPr>
        <w:rPr>
          <w:rFonts w:ascii="Calibri" w:hAnsi="Calibri"/>
        </w:rPr>
      </w:pPr>
    </w:p>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阿坝论坛出刊费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6.524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6.524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编印出版4期《阿坝论坛》</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t>完成编印任务目标</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编印4期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完成4期编印任务，印发期刊4000余份。</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ascii="宋体" w:hAnsi="宋体"/>
                      <w:color w:val="000000"/>
                      <w:sz w:val="24"/>
                    </w:rPr>
                    <w:t>着力</w:t>
                  </w:r>
                  <w:r>
                    <w:rPr>
                      <w:rFonts w:hint="eastAsia" w:ascii="宋体" w:hAnsi="宋体"/>
                      <w:color w:val="000000"/>
                      <w:sz w:val="24"/>
                    </w:rPr>
                    <w:t>促进社科工作者学术沟通交流</w:t>
                  </w:r>
                  <w:r>
                    <w:rPr>
                      <w:rFonts w:ascii="宋体" w:hAnsi="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刊用稿件80余件，进一步加强了州内社科工作者的学术交流。</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让参与的受众基本满意。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参与受众满意。</w:t>
                  </w:r>
                </w:p>
              </w:tc>
            </w:tr>
          </w:tbl>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黑体" w:hAnsi="黑体" w:eastAsia="黑体" w:cs="宋体"/>
                <w:bCs/>
                <w:color w:val="000000"/>
                <w:kern w:val="0"/>
                <w:sz w:val="36"/>
                <w:szCs w:val="36"/>
              </w:rPr>
            </w:pP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租赁费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做好阿坝人文社科，阿坝社科在线网站维护</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rPr>
                <w:rFonts w:hint="eastAsia" w:ascii="宋体" w:hAnsi="宋体" w:cs="宋体"/>
                <w:color w:val="000000"/>
                <w:sz w:val="24"/>
              </w:rPr>
              <w:t>完成阿坝人文社科，阿坝社科在线网站维护</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完成阿坝人文社科，阿坝社科在线网站2个线上平台的维护工作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完成阿坝人文社科，阿坝社科在线网站2个线上平台的维护工作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ascii="宋体" w:hAnsi="宋体"/>
                <w:color w:val="000000"/>
                <w:sz w:val="24"/>
              </w:rPr>
              <w:t>着力</w:t>
            </w:r>
            <w:r>
              <w:rPr>
                <w:rFonts w:hint="eastAsia" w:ascii="宋体" w:hAnsi="宋体"/>
                <w:color w:val="000000"/>
                <w:sz w:val="24"/>
              </w:rPr>
              <w:t>提升</w:t>
            </w:r>
            <w:r>
              <w:rPr>
                <w:rFonts w:ascii="宋体" w:hAnsi="宋体"/>
                <w:color w:val="000000"/>
                <w:sz w:val="24"/>
              </w:rPr>
              <w:t>全民人文社科素养，加大科普宣传教育力度。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发布社科信息60余条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让参与的受众基本满意。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参与受众满意。</w:t>
            </w:r>
          </w:p>
        </w:tc>
      </w:tr>
    </w:tbl>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社科资金管理费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4.832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4.832</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开展社科资金项目管理工作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rPr>
                      <w:rFonts w:hint="eastAsia" w:ascii="宋体" w:hAnsi="宋体" w:cs="宋体"/>
                      <w:color w:val="000000"/>
                      <w:sz w:val="24"/>
                    </w:rPr>
                    <w:t>完成全部社科课题管理工作</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邀请以上的社科课题研究补助工作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全年完成94项社科课题的补助工作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进一步</w:t>
                  </w:r>
                  <w:r>
                    <w:rPr>
                      <w:rFonts w:ascii="宋体" w:hAnsi="宋体"/>
                      <w:color w:val="000000"/>
                      <w:sz w:val="24"/>
                    </w:rPr>
                    <w:t>激发了社科工作参与社科研究的热情</w:t>
                  </w:r>
                  <w:r>
                    <w:rPr>
                      <w:rFonts w:hint="eastAsia" w:ascii="宋体" w:hAnsi="宋体"/>
                      <w:color w:val="000000"/>
                      <w:sz w:val="24"/>
                    </w:rPr>
                    <w:t>与兴趣</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充分调动了州内社科工作者参与应用对策、历史文化、民族文化、宗教文化研究的兴趣，广泛对全州各领域开展研究。</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olor w:val="000000"/>
                      <w:sz w:val="24"/>
                    </w:rPr>
                  </w:pPr>
                  <w:r>
                    <w:rPr>
                      <w:rFonts w:hint="eastAsia" w:ascii="宋体" w:hAnsi="宋体"/>
                      <w:color w:val="000000"/>
                      <w:sz w:val="24"/>
                    </w:rPr>
                    <w:t>对完成课题结项实施补助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完成所有结项课题的补助工作</w:t>
                  </w:r>
                </w:p>
              </w:tc>
            </w:tr>
          </w:tbl>
          <w:p>
            <w:pPr>
              <w:spacing w:line="580" w:lineRule="exact"/>
              <w:rPr>
                <w:rFonts w:ascii="仿宋_GB2312" w:hAnsi="仿宋_GB2312" w:eastAsia="仿宋_GB2312" w:cs="仿宋_GB2312"/>
                <w:sz w:val="32"/>
                <w:szCs w:val="32"/>
              </w:rPr>
            </w:pPr>
          </w:p>
          <w:p>
            <w:r>
              <w:br w:type="page"/>
            </w:r>
          </w:p>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社科科学专项资金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阿坝州社会科学界联合会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99.3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99.3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开展2019年度社科资金项目补助工作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r>
              <w:rPr>
                <w:rFonts w:hint="eastAsia" w:ascii="宋体" w:hAnsi="宋体" w:cs="宋体"/>
                <w:color w:val="000000"/>
                <w:sz w:val="24"/>
              </w:rPr>
              <w:t>完成全部2019年结项项目的补助工作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数量指导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实施50项以上的社科课题研究补助工作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全年完成94项社科课题的补助工作</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进一步</w:t>
            </w:r>
            <w:r>
              <w:rPr>
                <w:rFonts w:ascii="宋体" w:hAnsi="宋体"/>
                <w:color w:val="000000"/>
                <w:sz w:val="24"/>
              </w:rPr>
              <w:t>激发了社科工作参与社科研究的热情</w:t>
            </w:r>
            <w:r>
              <w:rPr>
                <w:rFonts w:hint="eastAsia" w:ascii="宋体" w:hAnsi="宋体"/>
                <w:color w:val="000000"/>
                <w:sz w:val="24"/>
              </w:rPr>
              <w:t>与兴趣</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充分调动了州内社科工作者参与应用对策、历史文化、民族文化、宗教文化研究的兴趣，广泛对全州各领域开展研究。</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olor w:val="000000"/>
                <w:sz w:val="24"/>
              </w:rPr>
            </w:pPr>
            <w:r>
              <w:rPr>
                <w:rFonts w:hint="eastAsia" w:ascii="宋体" w:hAnsi="宋体"/>
                <w:color w:val="000000"/>
                <w:sz w:val="24"/>
              </w:rPr>
              <w:t>对完成课题结项实施补助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olor w:val="000000"/>
                <w:sz w:val="24"/>
              </w:rPr>
            </w:pPr>
            <w:r>
              <w:rPr>
                <w:rFonts w:hint="eastAsia" w:ascii="宋体" w:hAnsi="宋体"/>
                <w:color w:val="000000"/>
                <w:sz w:val="24"/>
              </w:rPr>
              <w:t>完成所有结项课题的补助工作</w:t>
            </w:r>
          </w:p>
        </w:tc>
      </w:tr>
    </w:tbl>
    <w:p>
      <w:pPr>
        <w:spacing w:line="580" w:lineRule="exact"/>
        <w:rPr>
          <w:rFonts w:ascii="仿宋_GB2312" w:hAnsi="仿宋_GB2312" w:eastAsia="仿宋_GB2312" w:cs="仿宋_GB2312"/>
          <w:sz w:val="32"/>
          <w:szCs w:val="32"/>
        </w:rPr>
      </w:pPr>
    </w:p>
    <w:p>
      <w:r>
        <w:br w:type="page"/>
      </w:r>
    </w:p>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b/>
          <w:bCs/>
          <w:sz w:val="32"/>
          <w:szCs w:val="32"/>
        </w:rPr>
        <w:t>2.部门绩效评价结果</w:t>
      </w:r>
      <w:r>
        <w:rPr>
          <w:rFonts w:hint="eastAsia" w:ascii="楷体_GB2312" w:hAnsi="楷体_GB2312" w:eastAsia="楷体_GB2312" w:cs="楷体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本部门按要求对2019年部门整体支出绩效评价情况开展自评，《阿坝州社科联2019年部门整体支出绩效评价报告》见附件（附件）。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57" w:name="_Toc15396614"/>
      <w:bookmarkStart w:id="5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cs="仿宋_GB2312"/>
          <w:color w:val="000000"/>
          <w:sz w:val="32"/>
          <w:szCs w:val="32"/>
        </w:rPr>
      </w:pPr>
      <w:r>
        <w:rPr>
          <w:rFonts w:hint="eastAsia" w:ascii="仿宋_GB2312" w:eastAsia="仿宋_GB2312"/>
          <w:sz w:val="32"/>
          <w:szCs w:val="32"/>
        </w:rPr>
        <w:t>4.</w:t>
      </w:r>
      <w:r>
        <w:rPr>
          <w:rFonts w:hint="eastAsia" w:ascii="仿宋_GB2312" w:eastAsia="仿宋_GB2312" w:cs="仿宋_GB2312"/>
          <w:color w:val="000000"/>
          <w:sz w:val="32"/>
          <w:szCs w:val="32"/>
        </w:rPr>
        <w:t xml:space="preserve"> 9.一般公共服务201（类）29（款）01（项）：指行政运行。</w:t>
      </w:r>
    </w:p>
    <w:p>
      <w:pPr>
        <w:ind w:firstLine="640" w:firstLineChars="200"/>
        <w:rPr>
          <w:rFonts w:hint="eastAsia" w:ascii="仿宋_GB2312" w:eastAsia="仿宋_GB2312" w:cs="仿宋_GB2312"/>
          <w:b/>
          <w:color w:val="000000"/>
          <w:sz w:val="32"/>
          <w:szCs w:val="32"/>
        </w:rPr>
      </w:pPr>
      <w:r>
        <w:rPr>
          <w:rFonts w:hint="eastAsia" w:ascii="仿宋_GB2312" w:eastAsia="仿宋_GB2312" w:cs="仿宋_GB2312"/>
          <w:color w:val="000000"/>
          <w:sz w:val="32"/>
          <w:szCs w:val="32"/>
        </w:rPr>
        <w:t>5. 社会保障和就业208（类）05（款）05（项）：指</w:t>
      </w:r>
      <w:r>
        <w:rPr>
          <w:rStyle w:val="15"/>
          <w:rFonts w:hint="eastAsia" w:ascii="仿宋_GB2312" w:eastAsia="仿宋_GB2312"/>
          <w:b w:val="0"/>
          <w:color w:val="000000"/>
          <w:sz w:val="32"/>
          <w:szCs w:val="32"/>
        </w:rPr>
        <w:t>机关事业单位基本养老保险缴费支出</w:t>
      </w:r>
      <w:r>
        <w:rPr>
          <w:rFonts w:hint="eastAsia" w:ascii="仿宋_GB2312" w:eastAsia="仿宋_GB2312" w:cs="仿宋_GB2312"/>
          <w:b/>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s="仿宋_GB2312"/>
          <w:color w:val="000000"/>
          <w:sz w:val="32"/>
          <w:szCs w:val="32"/>
        </w:rPr>
        <w:t>6.社会保障和就业208（类）05（款）06（项）：指</w:t>
      </w:r>
      <w:r>
        <w:rPr>
          <w:rStyle w:val="15"/>
          <w:rFonts w:hint="eastAsia" w:ascii="仿宋_GB2312" w:eastAsia="仿宋_GB2312"/>
          <w:b w:val="0"/>
          <w:color w:val="000000"/>
          <w:sz w:val="32"/>
          <w:szCs w:val="32"/>
        </w:rPr>
        <w:t>机</w:t>
      </w:r>
      <w:r>
        <w:rPr>
          <w:rStyle w:val="15"/>
          <w:rFonts w:hint="eastAsia" w:ascii="仿宋_GB2312" w:eastAsia="仿宋_GB2312"/>
          <w:color w:val="000000"/>
          <w:sz w:val="32"/>
          <w:szCs w:val="32"/>
        </w:rPr>
        <w:t>关</w:t>
      </w:r>
      <w:r>
        <w:rPr>
          <w:rStyle w:val="15"/>
          <w:rFonts w:hint="eastAsia" w:ascii="仿宋_GB2312" w:eastAsia="仿宋_GB2312"/>
          <w:b w:val="0"/>
          <w:color w:val="000000"/>
          <w:sz w:val="32"/>
          <w:szCs w:val="32"/>
        </w:rPr>
        <w:t>事业单位职业年金缴费支出</w:t>
      </w:r>
      <w:r>
        <w:rPr>
          <w:rFonts w:hint="eastAsia" w:ascii="仿宋_GB2312" w:eastAsia="仿宋_GB2312" w:cs="仿宋_GB2312"/>
          <w:color w:val="000000"/>
          <w:sz w:val="32"/>
          <w:szCs w:val="32"/>
        </w:rPr>
        <w:t>。</w:t>
      </w:r>
    </w:p>
    <w:p>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 医疗卫生与计划生育210（类）11（款）01（项）：指</w:t>
      </w:r>
      <w:r>
        <w:rPr>
          <w:rStyle w:val="15"/>
          <w:rFonts w:hint="eastAsia" w:ascii="仿宋_GB2312" w:eastAsia="仿宋_GB2312"/>
          <w:color w:val="000000"/>
          <w:sz w:val="32"/>
          <w:szCs w:val="32"/>
        </w:rPr>
        <w:t>行政医疗</w:t>
      </w:r>
      <w:r>
        <w:rPr>
          <w:rFonts w:hint="eastAsia" w:ascii="仿宋_GB2312" w:eastAsia="仿宋_GB2312" w:cs="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s="仿宋_GB2312"/>
          <w:color w:val="000000"/>
          <w:sz w:val="32"/>
          <w:szCs w:val="32"/>
        </w:rPr>
        <w:t>8.医疗卫生与计划生育210（类）11（款）03（项）：指</w:t>
      </w:r>
      <w:r>
        <w:rPr>
          <w:rStyle w:val="15"/>
          <w:rFonts w:hint="eastAsia" w:ascii="仿宋_GB2312" w:eastAsia="仿宋_GB2312"/>
          <w:color w:val="000000"/>
          <w:sz w:val="32"/>
          <w:szCs w:val="32"/>
        </w:rPr>
        <w:t>公务员医疗补助</w:t>
      </w:r>
      <w:r>
        <w:rPr>
          <w:rFonts w:hint="eastAsia" w:ascii="仿宋_GB2312" w:eastAsia="仿宋_GB2312" w:cs="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s="仿宋_GB2312"/>
          <w:color w:val="000000"/>
          <w:sz w:val="32"/>
          <w:szCs w:val="32"/>
        </w:rPr>
        <w:t>9. 住房保障221（类）02（款）01（项）：指</w:t>
      </w:r>
      <w:r>
        <w:rPr>
          <w:rStyle w:val="15"/>
          <w:rFonts w:hint="eastAsia" w:ascii="仿宋_GB2312" w:eastAsia="仿宋_GB2312"/>
          <w:sz w:val="32"/>
          <w:szCs w:val="32"/>
        </w:rPr>
        <w:t>住房公积金</w:t>
      </w:r>
      <w:r>
        <w:rPr>
          <w:rFonts w:hint="eastAsia" w:ascii="仿宋_GB2312" w:eastAsia="仿宋_GB2312" w:cs="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s="仿宋_GB2312"/>
          <w:color w:val="000000"/>
          <w:sz w:val="32"/>
          <w:szCs w:val="32"/>
        </w:rPr>
        <w:t>10.基本支出：指为保障机构正常运转、完成日常工作任务而发生的人员支出和公用支出。</w:t>
      </w:r>
    </w:p>
    <w:p>
      <w:pPr>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11.项目支出：指在基本支出之外为完成特定行政任务和事业发展目标所发生的支出。 </w:t>
      </w:r>
    </w:p>
    <w:p>
      <w:pPr>
        <w:pStyle w:val="23"/>
        <w:spacing w:line="560" w:lineRule="exact"/>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cs="Times New Roman"/>
          <w:sz w:val="32"/>
          <w:szCs w:val="32"/>
        </w:rPr>
      </w:pPr>
      <w:r>
        <w:rPr>
          <w:rFonts w:hint="eastAsia" w:ascii="仿宋_GB2312" w:eastAsia="仿宋_GB2312" w:cs="仿宋_GB2312"/>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ascii="黑体" w:hAnsi="黑体" w:eastAsia="黑体"/>
          <w:color w:val="000000"/>
          <w:sz w:val="44"/>
          <w:szCs w:val="44"/>
        </w:rPr>
      </w:pPr>
      <w:r>
        <w:rPr>
          <w:rFonts w:ascii="黑体" w:hAnsi="黑体" w:eastAsia="黑体"/>
          <w:color w:val="000000"/>
          <w:sz w:val="44"/>
          <w:szCs w:val="44"/>
        </w:rPr>
        <w:br w:type="page"/>
      </w: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州社科联</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color w:val="000000"/>
          <w:kern w:val="0"/>
          <w:sz w:val="32"/>
          <w:szCs w:val="32"/>
          <w:shd w:val="clear" w:color="auto" w:fill="FFFFFF"/>
          <w:lang w:val="zh-CN"/>
        </w:rPr>
        <w:t>（一）机构组成。</w:t>
      </w:r>
      <w:r>
        <w:rPr>
          <w:rFonts w:hint="eastAsia" w:ascii="仿宋_GB2312" w:eastAsia="仿宋_GB2312"/>
          <w:sz w:val="32"/>
          <w:szCs w:val="32"/>
        </w:rPr>
        <w:t>我会共设四个科室，即办公室、学术科研部、科普宣传部、政研会秘书处。</w:t>
      </w:r>
    </w:p>
    <w:p>
      <w:pPr>
        <w:widowControl/>
        <w:spacing w:line="560" w:lineRule="exact"/>
        <w:ind w:firstLine="642" w:firstLineChars="200"/>
        <w:rPr>
          <w:rFonts w:ascii="仿宋_GB2312" w:hAnsi="华文中宋" w:eastAsia="仿宋_GB2312" w:cs="宋体"/>
          <w:bCs/>
          <w:kern w:val="0"/>
          <w:sz w:val="32"/>
          <w:szCs w:val="32"/>
        </w:rPr>
      </w:pPr>
      <w:r>
        <w:rPr>
          <w:rFonts w:hint="eastAsia" w:ascii="仿宋_GB2312" w:hAnsi="宋体" w:eastAsia="仿宋_GB2312" w:cs="宋体"/>
          <w:b/>
          <w:color w:val="000000"/>
          <w:kern w:val="0"/>
          <w:sz w:val="32"/>
          <w:szCs w:val="32"/>
          <w:shd w:val="clear" w:color="auto" w:fill="FFFFFF"/>
          <w:lang w:val="zh-CN"/>
        </w:rPr>
        <w:t>（二）机构职能。</w:t>
      </w:r>
      <w:r>
        <w:rPr>
          <w:rFonts w:hint="eastAsia" w:ascii="仿宋_GB2312" w:eastAsia="仿宋_GB2312"/>
          <w:sz w:val="32"/>
          <w:szCs w:val="32"/>
        </w:rPr>
        <w:t>根据</w:t>
      </w:r>
      <w:r>
        <w:rPr>
          <w:rFonts w:hint="eastAsia" w:ascii="仿宋_GB2312" w:hAnsi="宋体" w:eastAsia="仿宋_GB2312" w:cs="宋体"/>
          <w:bCs/>
          <w:kern w:val="0"/>
          <w:sz w:val="32"/>
          <w:szCs w:val="32"/>
        </w:rPr>
        <w:t>州编委三定方案</w:t>
      </w:r>
      <w:r>
        <w:rPr>
          <w:rFonts w:hint="eastAsia" w:ascii="仿宋_GB2312" w:eastAsia="仿宋_GB2312"/>
          <w:sz w:val="32"/>
          <w:szCs w:val="32"/>
        </w:rPr>
        <w:t xml:space="preserve">规定，主要职责是： </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1.负责全州社会科学研究的近期规划和长远规划，拟定全州社会科学研究课题，并组织实施；</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2.负责全州社科界承担四川省社会科学规划、基金课题的申报工作，并组织实施；</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3.组织和推动学术研究，促进和开展学术交流，承担部分社会科学著作出版的资助、协调工作；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4.组织开展社会科学优秀科研成果的评奖活动，协调部分获奖成果的出版、宣传、推广工作；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5.编制全州社会科学普及规划，组织普及马克思主义基本理论和社会科学知识，开展社会科学培训、咨询服务工作；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6.负责全州社会科学咨询业的行业管理工作；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7.促进社会科学学术团体之间、理论工作部门与实际工作部门之间、社会科学界与自然科学界之间的联系和协作；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8.负责新申报的州级社会科学类学会、协会、研究会的资格审查，指导和协调所属各个学会、协会、研究会的工作；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9.联络和指导县区社科联的业务工作；</w:t>
      </w:r>
    </w:p>
    <w:p>
      <w:pPr>
        <w:widowControl/>
        <w:adjustRightInd w:val="0"/>
        <w:snapToGrid w:val="0"/>
        <w:spacing w:line="560" w:lineRule="exact"/>
        <w:ind w:firstLine="640" w:firstLineChars="20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10.协调做好社会科学界知识分子工作和推荐有突出贡献的社会科学专家、社会科学学术带头人及后备人选的工作；</w:t>
      </w:r>
    </w:p>
    <w:p>
      <w:pPr>
        <w:widowControl/>
        <w:adjustRightInd w:val="0"/>
        <w:snapToGrid w:val="0"/>
        <w:spacing w:line="560" w:lineRule="exact"/>
        <w:ind w:firstLine="720"/>
        <w:jc w:val="left"/>
        <w:rPr>
          <w:rFonts w:ascii="仿宋_GB2312" w:eastAsia="仿宋_GB2312"/>
          <w:color w:val="343434"/>
          <w:sz w:val="32"/>
          <w:szCs w:val="32"/>
          <w:shd w:val="clear" w:color="auto" w:fill="FFFFFF"/>
        </w:rPr>
      </w:pPr>
      <w:r>
        <w:rPr>
          <w:rFonts w:hint="eastAsia" w:ascii="仿宋_GB2312" w:eastAsia="仿宋_GB2312"/>
          <w:color w:val="343434"/>
          <w:sz w:val="32"/>
          <w:szCs w:val="32"/>
          <w:shd w:val="clear" w:color="auto" w:fill="FFFFFF"/>
        </w:rPr>
        <w:t>11.贯彻党的方针政策和国家的法律法规，向党和政府反映社会科学界的意见和要求，关心并维护社会科学工作者及其团体的合法权益等。</w:t>
      </w:r>
    </w:p>
    <w:p>
      <w:pPr>
        <w:widowControl/>
        <w:adjustRightInd w:val="0"/>
        <w:snapToGrid w:val="0"/>
        <w:spacing w:line="560" w:lineRule="exact"/>
        <w:ind w:firstLine="720"/>
        <w:jc w:val="left"/>
        <w:rPr>
          <w:rFonts w:ascii="仿宋_GB2312" w:eastAsia="仿宋_GB2312"/>
          <w:sz w:val="32"/>
          <w:szCs w:val="32"/>
        </w:rPr>
      </w:pPr>
      <w:r>
        <w:rPr>
          <w:rFonts w:hint="eastAsia" w:ascii="仿宋_GB2312" w:hAnsi="宋体" w:eastAsia="仿宋_GB2312" w:cs="宋体"/>
          <w:b/>
          <w:color w:val="000000"/>
          <w:kern w:val="0"/>
          <w:sz w:val="32"/>
          <w:szCs w:val="32"/>
          <w:shd w:val="clear" w:color="auto" w:fill="FFFFFF"/>
          <w:lang w:val="zh-CN"/>
        </w:rPr>
        <w:t>（三）人员概况。</w:t>
      </w:r>
      <w:r>
        <w:rPr>
          <w:rFonts w:hint="eastAsia" w:ascii="仿宋_GB2312" w:eastAsia="仿宋_GB2312"/>
          <w:sz w:val="32"/>
          <w:szCs w:val="32"/>
        </w:rPr>
        <w:t>总编制8名，其中：参照公务员管理的事业编制7名，工勤人员1名。在职人员总数8名，其中：参照公务员管理的事业编制7名，工勤人员1名；退休人员1人。</w:t>
      </w:r>
    </w:p>
    <w:p>
      <w:pPr>
        <w:widowControl/>
        <w:tabs>
          <w:tab w:val="left" w:pos="420"/>
        </w:tabs>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Style w:val="24"/>
        <w:spacing w:line="600" w:lineRule="exact"/>
        <w:ind w:firstLine="643"/>
        <w:outlineLvl w:val="1"/>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r>
        <w:rPr>
          <w:rFonts w:hint="eastAsia" w:ascii="仿宋_GB2312" w:hAnsi="宋体" w:eastAsia="仿宋_GB2312" w:cs="宋体"/>
          <w:color w:val="000000"/>
          <w:kern w:val="0"/>
          <w:sz w:val="32"/>
          <w:szCs w:val="32"/>
          <w:shd w:val="clear" w:color="auto" w:fill="FFFFFF"/>
          <w:lang w:val="zh-CN"/>
        </w:rPr>
        <w:t>。</w:t>
      </w:r>
      <w:r>
        <w:rPr>
          <w:rFonts w:ascii="仿宋" w:hAnsi="仿宋" w:eastAsia="仿宋"/>
          <w:color w:val="000000"/>
          <w:sz w:val="32"/>
          <w:szCs w:val="32"/>
        </w:rPr>
        <w:t>201</w:t>
      </w:r>
      <w:r>
        <w:rPr>
          <w:rFonts w:hint="eastAsia" w:ascii="仿宋" w:hAnsi="仿宋" w:eastAsia="仿宋"/>
          <w:color w:val="000000"/>
          <w:sz w:val="32"/>
          <w:szCs w:val="32"/>
        </w:rPr>
        <w:t>9年本年收入合计294.48万元，其中：一般公共预算财政拨款收入294.48万元，占100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2" w:firstLineChars="200"/>
        <w:contextualSpacing/>
        <w:jc w:val="left"/>
        <w:rPr>
          <w:rFonts w:ascii="仿宋_GB2312" w:hAnsi="宋体" w:eastAsia="仿宋"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r>
        <w:rPr>
          <w:rFonts w:hint="eastAsia" w:ascii="仿宋_GB2312" w:hAnsi="宋体" w:eastAsia="仿宋_GB2312" w:cs="宋体"/>
          <w:color w:val="000000"/>
          <w:kern w:val="0"/>
          <w:sz w:val="32"/>
          <w:szCs w:val="32"/>
          <w:shd w:val="clear" w:color="auto" w:fill="FFFFFF"/>
          <w:lang w:val="zh-CN"/>
        </w:rPr>
        <w:t>。</w:t>
      </w:r>
      <w:r>
        <w:rPr>
          <w:rFonts w:ascii="仿宋" w:hAnsi="仿宋" w:eastAsia="仿宋"/>
          <w:color w:val="000000"/>
          <w:sz w:val="32"/>
          <w:szCs w:val="32"/>
        </w:rPr>
        <w:t>201</w:t>
      </w:r>
      <w:r>
        <w:rPr>
          <w:rFonts w:hint="eastAsia" w:ascii="仿宋" w:hAnsi="仿宋" w:eastAsia="仿宋"/>
          <w:color w:val="000000"/>
          <w:sz w:val="32"/>
          <w:szCs w:val="32"/>
        </w:rPr>
        <w:t>9年本年支出合计326.2万元。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新宋体" w:eastAsia="仿宋_GB2312" w:cs="宋体"/>
          <w:color w:val="000000"/>
          <w:kern w:val="0"/>
          <w:sz w:val="32"/>
          <w:szCs w:val="32"/>
        </w:rPr>
        <w:t>201</w:t>
      </w:r>
      <w:r>
        <w:rPr>
          <w:rFonts w:hint="eastAsia" w:ascii="仿宋_GB2312" w:hAnsi="宋体" w:eastAsia="仿宋_GB2312" w:cs="宋体"/>
          <w:color w:val="000000"/>
          <w:kern w:val="0"/>
          <w:sz w:val="32"/>
          <w:szCs w:val="32"/>
        </w:rPr>
        <w:t>9</w:t>
      </w:r>
      <w:r>
        <w:rPr>
          <w:rFonts w:hint="eastAsia" w:ascii="仿宋_GB2312" w:hAnsi="新宋体" w:eastAsia="仿宋_GB2312" w:cs="宋体"/>
          <w:color w:val="000000"/>
          <w:kern w:val="0"/>
          <w:sz w:val="32"/>
          <w:szCs w:val="32"/>
        </w:rPr>
        <w:t>年度预算下达后，我会领导高度重视，专题研究，明确了牵头负责的领导和具体工作人员，从预算执行等方面确立了中长期目标和年度目标，</w:t>
      </w:r>
      <w:r>
        <w:rPr>
          <w:rFonts w:hint="eastAsia" w:ascii="仿宋_GB2312" w:hAnsi="宋体" w:eastAsia="仿宋_GB2312" w:cs="宋体"/>
          <w:color w:val="000000"/>
          <w:kern w:val="0"/>
          <w:sz w:val="32"/>
          <w:szCs w:val="32"/>
        </w:rPr>
        <w:t>特别是对社科专项资金管理、项目安排等方面进行了全面的部署，</w:t>
      </w:r>
      <w:r>
        <w:rPr>
          <w:rFonts w:hint="eastAsia" w:ascii="仿宋_GB2312" w:hAnsi="新宋体" w:eastAsia="仿宋_GB2312" w:cs="宋体"/>
          <w:color w:val="000000"/>
          <w:kern w:val="0"/>
          <w:sz w:val="32"/>
          <w:szCs w:val="32"/>
        </w:rPr>
        <w:t>对</w:t>
      </w:r>
      <w:r>
        <w:rPr>
          <w:rFonts w:hint="eastAsia" w:ascii="仿宋_GB2312" w:hAnsi="宋体" w:eastAsia="仿宋_GB2312" w:cs="宋体"/>
          <w:color w:val="000000"/>
          <w:kern w:val="0"/>
          <w:sz w:val="32"/>
          <w:szCs w:val="32"/>
        </w:rPr>
        <w:t>预算</w:t>
      </w:r>
      <w:r>
        <w:rPr>
          <w:rFonts w:hint="eastAsia" w:ascii="仿宋_GB2312" w:hAnsi="新宋体" w:eastAsia="仿宋_GB2312" w:cs="宋体"/>
          <w:color w:val="000000"/>
          <w:kern w:val="0"/>
          <w:sz w:val="32"/>
          <w:szCs w:val="32"/>
        </w:rPr>
        <w:t>资金做到了科学计划，合理安排。</w:t>
      </w:r>
      <w:r>
        <w:rPr>
          <w:rFonts w:hint="eastAsia" w:ascii="仿宋_GB2312" w:eastAsia="仿宋_GB2312"/>
          <w:sz w:val="32"/>
          <w:szCs w:val="32"/>
        </w:rPr>
        <w:t>对2019年的各项收入及支出作了认真的清理，真实、准确、全面、及时的完成年度预算工作。</w:t>
      </w:r>
    </w:p>
    <w:p>
      <w:pPr>
        <w:widowControl/>
        <w:adjustRightInd w:val="0"/>
        <w:snapToGrid w:val="0"/>
        <w:spacing w:line="580"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6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rPr>
        <w:t>1、</w:t>
      </w:r>
      <w:r>
        <w:rPr>
          <w:rFonts w:hint="eastAsia" w:ascii="仿宋_GB2312" w:hAnsi="宋体" w:eastAsia="仿宋_GB2312" w:cs="宋体"/>
          <w:b/>
          <w:bCs/>
          <w:color w:val="000000"/>
          <w:kern w:val="0"/>
          <w:sz w:val="32"/>
          <w:szCs w:val="32"/>
          <w:shd w:val="clear" w:color="auto" w:fill="FFFFFF"/>
          <w:lang w:val="zh-CN"/>
        </w:rPr>
        <w:t>执行管理情况</w:t>
      </w:r>
      <w:r>
        <w:rPr>
          <w:rFonts w:hint="eastAsia" w:ascii="仿宋_GB2312" w:hAnsi="宋体" w:eastAsia="仿宋_GB2312" w:cs="宋体"/>
          <w:color w:val="000000"/>
          <w:kern w:val="0"/>
          <w:sz w:val="32"/>
          <w:szCs w:val="32"/>
          <w:shd w:val="clear" w:color="auto" w:fill="FFFFFF"/>
          <w:lang w:val="zh-CN"/>
        </w:rPr>
        <w:t>。</w:t>
      </w:r>
    </w:p>
    <w:p>
      <w:pPr>
        <w:spacing w:line="560" w:lineRule="exact"/>
        <w:ind w:firstLine="720" w:firstLineChars="225"/>
        <w:rPr>
          <w:rFonts w:ascii="仿宋_GB2312" w:eastAsia="仿宋_GB2312"/>
          <w:sz w:val="32"/>
          <w:szCs w:val="32"/>
        </w:rPr>
      </w:pPr>
      <w:r>
        <w:rPr>
          <w:rFonts w:hint="eastAsia" w:ascii="仿宋_GB2312" w:hAnsi="新宋体" w:eastAsia="仿宋_GB2312" w:cs="宋体"/>
          <w:color w:val="000000"/>
          <w:kern w:val="0"/>
          <w:sz w:val="32"/>
          <w:szCs w:val="32"/>
        </w:rPr>
        <w:t>在预算的执行管理过程中我会对</w:t>
      </w:r>
      <w:r>
        <w:rPr>
          <w:rFonts w:hint="eastAsia" w:ascii="仿宋_GB2312" w:hAnsi="宋体" w:eastAsia="仿宋_GB2312" w:cs="宋体"/>
          <w:color w:val="000000"/>
          <w:kern w:val="0"/>
          <w:sz w:val="32"/>
          <w:szCs w:val="32"/>
        </w:rPr>
        <w:t>预算</w:t>
      </w:r>
      <w:r>
        <w:rPr>
          <w:rFonts w:hint="eastAsia" w:ascii="仿宋_GB2312" w:hAnsi="新宋体" w:eastAsia="仿宋_GB2312" w:cs="宋体"/>
          <w:color w:val="000000"/>
          <w:kern w:val="0"/>
          <w:sz w:val="32"/>
          <w:szCs w:val="32"/>
        </w:rPr>
        <w:t>资金做到了严格控制、规范使用。完善制度。结合州财政局的要求，对我会的财务管理制度进行了修订，强调了专项经费必须专款专用，对专项经费的使用范围、使用计划的制定、审批报账等方面做出了进一步的强调和明确。规范管理。制度修订后，我们对专项经费使用的具体经办人提出了要求，在使用前科学计划，使用中合理安排，做到了把好</w:t>
      </w:r>
      <w:r>
        <w:rPr>
          <w:rFonts w:hint="eastAsia" w:ascii="仿宋_GB2312" w:hAnsi="宋体" w:eastAsia="仿宋_GB2312" w:cs="宋体"/>
          <w:color w:val="000000"/>
          <w:kern w:val="0"/>
          <w:sz w:val="32"/>
          <w:szCs w:val="32"/>
        </w:rPr>
        <w:t>使用的</w:t>
      </w:r>
      <w:r>
        <w:rPr>
          <w:rFonts w:hint="eastAsia" w:ascii="仿宋_GB2312" w:hAnsi="新宋体" w:eastAsia="仿宋_GB2312" w:cs="宋体"/>
          <w:color w:val="000000"/>
          <w:kern w:val="0"/>
          <w:sz w:val="32"/>
          <w:szCs w:val="32"/>
        </w:rPr>
        <w:t>源头关；签字时负责签字的领导对资金使用情况予以审核，超范围、超比例的不签字，做到了把好</w:t>
      </w:r>
      <w:r>
        <w:rPr>
          <w:rFonts w:hint="eastAsia" w:ascii="仿宋_GB2312" w:hAnsi="宋体" w:eastAsia="仿宋_GB2312" w:cs="宋体"/>
          <w:color w:val="000000"/>
          <w:kern w:val="0"/>
          <w:sz w:val="32"/>
          <w:szCs w:val="32"/>
        </w:rPr>
        <w:t>签字的</w:t>
      </w:r>
      <w:r>
        <w:rPr>
          <w:rFonts w:hint="eastAsia" w:ascii="仿宋_GB2312" w:hAnsi="新宋体" w:eastAsia="仿宋_GB2312" w:cs="宋体"/>
          <w:color w:val="000000"/>
          <w:kern w:val="0"/>
          <w:sz w:val="32"/>
          <w:szCs w:val="32"/>
        </w:rPr>
        <w:t>审核关；报账时由财务人员对发票及附件等信息进</w:t>
      </w:r>
      <w:r>
        <w:rPr>
          <w:rFonts w:hint="eastAsia" w:ascii="仿宋_GB2312" w:eastAsia="仿宋_GB2312"/>
          <w:sz w:val="32"/>
          <w:szCs w:val="32"/>
        </w:rPr>
        <w:t>行核准，不符合要求的不支付不报账，做到了把好支付与报账关。</w:t>
      </w:r>
    </w:p>
    <w:p>
      <w:pPr>
        <w:spacing w:line="560" w:lineRule="exact"/>
        <w:ind w:firstLine="720" w:firstLineChars="225"/>
        <w:rPr>
          <w:rFonts w:ascii="仿宋_GB2312" w:eastAsia="仿宋_GB2312"/>
          <w:sz w:val="32"/>
          <w:szCs w:val="32"/>
        </w:rPr>
      </w:pPr>
      <w:r>
        <w:rPr>
          <w:rFonts w:hint="eastAsia" w:ascii="仿宋_GB2312" w:eastAsia="仿宋_GB2312"/>
          <w:sz w:val="32"/>
          <w:szCs w:val="32"/>
        </w:rPr>
        <w:t>在州财政局对口业务科室的支持配合下，州社科联资金按月拨款，专项资金按实际情况调拨支付，专款分配合规率达</w:t>
      </w:r>
      <w:r>
        <w:rPr>
          <w:rFonts w:ascii="仿宋_GB2312" w:eastAsia="仿宋_GB2312"/>
          <w:sz w:val="32"/>
          <w:szCs w:val="32"/>
        </w:rPr>
        <w:t>100%</w:t>
      </w:r>
      <w:r>
        <w:rPr>
          <w:rFonts w:hint="eastAsia" w:ascii="仿宋_GB2312" w:eastAsia="仿宋_GB2312"/>
          <w:sz w:val="32"/>
          <w:szCs w:val="32"/>
        </w:rPr>
        <w:t>。在预算执行过程中，严格按照预算目标绩效使用资金。</w:t>
      </w:r>
    </w:p>
    <w:p>
      <w:pPr>
        <w:widowControl/>
        <w:adjustRightInd w:val="0"/>
        <w:snapToGrid w:val="0"/>
        <w:spacing w:line="560" w:lineRule="exact"/>
        <w:ind w:firstLine="642" w:firstLineChars="200"/>
        <w:jc w:val="left"/>
        <w:rPr>
          <w:rFonts w:ascii="仿宋_GB2312" w:eastAsia="仿宋_GB2312"/>
          <w:b/>
          <w:bCs/>
          <w:sz w:val="32"/>
          <w:szCs w:val="32"/>
        </w:rPr>
      </w:pPr>
      <w:r>
        <w:rPr>
          <w:rFonts w:hint="eastAsia" w:ascii="仿宋_GB2312" w:eastAsia="仿宋_GB2312"/>
          <w:b/>
          <w:bCs/>
          <w:sz w:val="32"/>
          <w:szCs w:val="32"/>
        </w:rPr>
        <w:t>2、综合管理情况。</w:t>
      </w:r>
    </w:p>
    <w:p>
      <w:pPr>
        <w:widowControl/>
        <w:adjustRightInd w:val="0"/>
        <w:snapToGrid w:val="0"/>
        <w:spacing w:line="560" w:lineRule="exact"/>
        <w:ind w:firstLine="720"/>
        <w:jc w:val="left"/>
        <w:rPr>
          <w:rFonts w:ascii="仿宋_GB2312" w:eastAsia="仿宋_GB2312"/>
          <w:sz w:val="32"/>
          <w:szCs w:val="32"/>
        </w:rPr>
      </w:pPr>
      <w:r>
        <w:rPr>
          <w:rFonts w:hint="eastAsia" w:ascii="仿宋_GB2312" w:eastAsia="仿宋_GB2312"/>
          <w:sz w:val="32"/>
          <w:szCs w:val="32"/>
        </w:rPr>
        <w:t>在债务管理及非税收入执行情况方面，</w:t>
      </w:r>
      <w:r>
        <w:rPr>
          <w:rFonts w:ascii="仿宋_GB2312" w:eastAsia="仿宋_GB2312"/>
          <w:sz w:val="32"/>
          <w:szCs w:val="32"/>
        </w:rPr>
        <w:t>201</w:t>
      </w:r>
      <w:r>
        <w:rPr>
          <w:rFonts w:hint="eastAsia" w:ascii="仿宋_GB2312" w:eastAsia="仿宋_GB2312"/>
          <w:sz w:val="32"/>
          <w:szCs w:val="32"/>
        </w:rPr>
        <w:t>9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widowControl/>
        <w:adjustRightInd w:val="0"/>
        <w:snapToGrid w:val="0"/>
        <w:spacing w:line="560" w:lineRule="exact"/>
        <w:ind w:firstLine="642" w:firstLineChars="200"/>
        <w:jc w:val="left"/>
        <w:rPr>
          <w:rFonts w:ascii="仿宋_GB2312" w:eastAsia="仿宋_GB2312"/>
          <w:sz w:val="32"/>
          <w:szCs w:val="32"/>
        </w:rPr>
      </w:pPr>
      <w:r>
        <w:rPr>
          <w:rFonts w:hint="eastAsia" w:ascii="仿宋_GB2312" w:eastAsia="仿宋_GB2312"/>
          <w:b/>
          <w:bCs/>
          <w:sz w:val="32"/>
          <w:szCs w:val="32"/>
        </w:rPr>
        <w:t>3、整体绩效。</w:t>
      </w:r>
    </w:p>
    <w:p>
      <w:pPr>
        <w:widowControl/>
        <w:adjustRightInd w:val="0"/>
        <w:snapToGrid w:val="0"/>
        <w:spacing w:line="560" w:lineRule="exact"/>
        <w:ind w:firstLine="720"/>
        <w:jc w:val="left"/>
        <w:rPr>
          <w:rFonts w:ascii="仿宋_GB2312" w:eastAsia="仿宋_GB2312"/>
          <w:sz w:val="32"/>
          <w:szCs w:val="32"/>
        </w:rPr>
      </w:pPr>
      <w:r>
        <w:rPr>
          <w:rFonts w:hint="eastAsia" w:ascii="仿宋_GB2312" w:eastAsia="仿宋_GB2312"/>
          <w:sz w:val="32"/>
          <w:szCs w:val="32"/>
        </w:rPr>
        <w:t>从整体情况来看，我会严格按照预算进行部门整体支出，始终坚持先有预算、后有执行、</w:t>
      </w:r>
      <w:r>
        <w:rPr>
          <w:rFonts w:ascii="仿宋_GB2312" w:eastAsia="仿宋_GB2312"/>
          <w:sz w:val="32"/>
          <w:szCs w:val="32"/>
        </w:rPr>
        <w:t>“</w:t>
      </w:r>
      <w:r>
        <w:rPr>
          <w:rFonts w:hint="eastAsia" w:ascii="仿宋_GB2312" w:eastAsia="仿宋_GB2312"/>
          <w:sz w:val="32"/>
          <w:szCs w:val="32"/>
        </w:rPr>
        <w:t>用钱必问效、无效必问责</w:t>
      </w:r>
      <w:r>
        <w:rPr>
          <w:rFonts w:ascii="仿宋_GB2312" w:eastAsia="仿宋_GB2312"/>
          <w:sz w:val="32"/>
          <w:szCs w:val="32"/>
        </w:rPr>
        <w:t>”</w:t>
      </w:r>
      <w:r>
        <w:rPr>
          <w:rFonts w:hint="eastAsia" w:ascii="仿宋_GB2312" w:eastAsia="仿宋_GB2312"/>
          <w:sz w:val="32"/>
          <w:szCs w:val="32"/>
        </w:rPr>
        <w:t>的原则。在支出过程中，能严格遵守各项规章制度，尤其是在专项经费支出上，实现专款专用，按项目实施计划的进度情况进行资金拨付，无截留、无挪用等现象。</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60" w:lineRule="exact"/>
        <w:ind w:firstLine="722" w:firstLineChars="225"/>
        <w:rPr>
          <w:rFonts w:ascii="楷体_GB2312" w:eastAsia="楷体_GB2312"/>
          <w:b/>
          <w:sz w:val="32"/>
          <w:szCs w:val="32"/>
        </w:rPr>
      </w:pPr>
      <w:r>
        <w:rPr>
          <w:rFonts w:hint="eastAsia" w:ascii="楷体_GB2312" w:eastAsia="楷体_GB2312"/>
          <w:b/>
          <w:sz w:val="32"/>
          <w:szCs w:val="32"/>
        </w:rPr>
        <w:t>（一）评价结论</w:t>
      </w:r>
    </w:p>
    <w:p>
      <w:pPr>
        <w:spacing w:line="560" w:lineRule="exact"/>
        <w:ind w:firstLine="720" w:firstLineChars="225"/>
        <w:rPr>
          <w:rFonts w:ascii="仿宋_GB2312" w:eastAsia="仿宋_GB2312"/>
          <w:sz w:val="32"/>
          <w:szCs w:val="32"/>
        </w:rPr>
      </w:pPr>
      <w:r>
        <w:rPr>
          <w:rFonts w:hint="eastAsia" w:ascii="仿宋_GB2312" w:eastAsia="仿宋_GB2312"/>
          <w:sz w:val="32"/>
          <w:szCs w:val="32"/>
        </w:rPr>
        <w:t>州社科联严格按照预算法按时完成预决算编制。在执行过程中有计划进行资金申报使用，完善资金管理及内部控制制度，确保资金安全，做到帐款、帐帐、帐实相符。</w:t>
      </w:r>
    </w:p>
    <w:p>
      <w:pPr>
        <w:spacing w:line="560" w:lineRule="exact"/>
        <w:ind w:firstLine="722" w:firstLineChars="225"/>
        <w:rPr>
          <w:rFonts w:ascii="楷体_GB2312" w:eastAsia="楷体_GB2312"/>
          <w:b/>
          <w:sz w:val="32"/>
          <w:szCs w:val="32"/>
        </w:rPr>
      </w:pPr>
      <w:r>
        <w:rPr>
          <w:rFonts w:hint="eastAsia" w:ascii="楷体_GB2312" w:eastAsia="楷体_GB2312"/>
          <w:b/>
          <w:sz w:val="32"/>
          <w:szCs w:val="32"/>
        </w:rPr>
        <w:t>（二）存在问题</w:t>
      </w:r>
    </w:p>
    <w:p>
      <w:pPr>
        <w:spacing w:line="560" w:lineRule="exact"/>
        <w:ind w:firstLine="720" w:firstLineChars="225"/>
        <w:rPr>
          <w:rFonts w:ascii="仿宋_GB2312" w:eastAsia="仿宋_GB2312"/>
          <w:sz w:val="32"/>
          <w:szCs w:val="32"/>
        </w:rPr>
      </w:pPr>
      <w:r>
        <w:rPr>
          <w:rFonts w:hint="eastAsia" w:ascii="仿宋_GB2312" w:eastAsia="仿宋_GB2312"/>
          <w:sz w:val="32"/>
          <w:szCs w:val="32"/>
        </w:rPr>
        <w:t>州社科联编制部门年度预算，主要是根据本单位职能职责和年度工作计划开展的，但在部门预算执行过程中，仍存在一定的问题。主要是表现在：预算编制科学性和合理性还有待加强；财务人员业务水平有待提高；资金使用计划有待提高；绩效管理水平有待提升。</w:t>
      </w:r>
    </w:p>
    <w:p>
      <w:pPr>
        <w:spacing w:line="560" w:lineRule="exact"/>
        <w:ind w:firstLine="722" w:firstLineChars="225"/>
        <w:rPr>
          <w:rFonts w:ascii="楷体_GB2312" w:eastAsia="楷体_GB2312"/>
          <w:b/>
          <w:sz w:val="32"/>
          <w:szCs w:val="32"/>
        </w:rPr>
      </w:pPr>
      <w:r>
        <w:rPr>
          <w:rFonts w:hint="eastAsia" w:ascii="楷体_GB2312" w:eastAsia="楷体_GB2312"/>
          <w:b/>
          <w:sz w:val="32"/>
          <w:szCs w:val="32"/>
        </w:rPr>
        <w:t>（三）改进建议</w:t>
      </w:r>
    </w:p>
    <w:p>
      <w:pPr>
        <w:pStyle w:val="12"/>
        <w:shd w:val="clear" w:color="auto" w:fill="FFFFFF"/>
        <w:spacing w:before="0" w:beforeAutospacing="0" w:after="0" w:afterAutospacing="0" w:line="560" w:lineRule="exact"/>
        <w:ind w:firstLine="537" w:firstLineChars="168"/>
        <w:rPr>
          <w:rFonts w:ascii="仿宋_GB2312" w:hAnsi="黑体" w:eastAsia="仿宋_GB2312" w:cs="Times New Roman"/>
          <w:kern w:val="2"/>
          <w:sz w:val="32"/>
          <w:szCs w:val="32"/>
        </w:rPr>
      </w:pPr>
      <w:r>
        <w:rPr>
          <w:rFonts w:hint="eastAsia" w:ascii="仿宋_GB2312" w:hAnsi="黑体" w:eastAsia="仿宋_GB2312" w:cs="Times New Roman"/>
          <w:kern w:val="2"/>
          <w:sz w:val="32"/>
          <w:szCs w:val="32"/>
        </w:rPr>
        <w:t>1、从源头上强化对资金预算管理。实行资金预算管理，结合单位实际，按轻重缓急统筹安排编制预算，提高预算编制科学性和合理性，优化资金结构。</w:t>
      </w:r>
    </w:p>
    <w:p>
      <w:pPr>
        <w:pStyle w:val="12"/>
        <w:shd w:val="clear" w:color="auto" w:fill="FFFFFF"/>
        <w:spacing w:before="0" w:beforeAutospacing="0" w:after="0" w:afterAutospacing="0" w:line="560" w:lineRule="exact"/>
        <w:ind w:firstLine="537" w:firstLineChars="168"/>
        <w:rPr>
          <w:rFonts w:ascii="仿宋_GB2312" w:hAnsi="黑体" w:eastAsia="仿宋_GB2312" w:cs="Times New Roman"/>
          <w:kern w:val="2"/>
          <w:sz w:val="32"/>
          <w:szCs w:val="32"/>
        </w:rPr>
      </w:pPr>
      <w:r>
        <w:rPr>
          <w:rFonts w:hint="eastAsia" w:ascii="仿宋_GB2312" w:hAnsi="黑体" w:eastAsia="仿宋_GB2312" w:cs="Times New Roman"/>
          <w:kern w:val="2"/>
          <w:sz w:val="32"/>
          <w:szCs w:val="32"/>
        </w:rPr>
        <w:t>2、强化财务控制意识，准确定位财务人员角色。将财务的职能定位于全面参与资金使用的决策与控制。</w:t>
      </w:r>
    </w:p>
    <w:p>
      <w:pPr>
        <w:pStyle w:val="12"/>
        <w:shd w:val="clear" w:color="auto" w:fill="FFFFFF"/>
        <w:spacing w:before="0" w:beforeAutospacing="0" w:after="0" w:afterAutospacing="0" w:line="560" w:lineRule="exact"/>
        <w:ind w:firstLine="537" w:firstLineChars="168"/>
        <w:rPr>
          <w:rFonts w:ascii="仿宋_GB2312" w:hAnsi="黑体" w:eastAsia="仿宋_GB2312" w:cs="Times New Roman"/>
          <w:kern w:val="2"/>
          <w:sz w:val="32"/>
          <w:szCs w:val="32"/>
        </w:rPr>
      </w:pPr>
      <w:r>
        <w:rPr>
          <w:rFonts w:hint="eastAsia" w:ascii="仿宋_GB2312" w:hAnsi="黑体" w:eastAsia="仿宋_GB2312" w:cs="Times New Roman"/>
          <w:kern w:val="2"/>
          <w:sz w:val="32"/>
          <w:szCs w:val="32"/>
        </w:rPr>
        <w:t>3、按时间进度分解资金使用计划。资金的使用，要事前做计划，事中进行控制，事后总结提高。合理安排资金使用，充分体现资金投向的目标和效益。</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黑体" w:eastAsia="仿宋_GB2312"/>
          <w:sz w:val="32"/>
          <w:szCs w:val="32"/>
        </w:rPr>
        <w:t>4、进一步提高绩效管理水平。在今后的工作中，进一步将加强与财政部门的紧密配合，开展好绩效管理工作，运用好绩效评价的结果，不断提升预算管理水平。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rPr>
          <w:rFonts w:ascii="仿宋_GB2312" w:hAnsi="仿宋_GB2312" w:eastAsia="仿宋_GB2312" w:cs="仿宋_GB2312"/>
          <w:sz w:val="32"/>
          <w:szCs w:val="32"/>
        </w:rPr>
      </w:pP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p>
    <w:p>
      <w:pPr>
        <w:spacing w:line="600" w:lineRule="exact"/>
        <w:jc w:val="center"/>
        <w:outlineLvl w:val="0"/>
        <w:rPr>
          <w:rStyle w:val="25"/>
          <w:rFonts w:ascii="黑体" w:hAnsi="黑体" w:eastAsia="黑体"/>
          <w:b w:val="0"/>
        </w:rPr>
      </w:pPr>
      <w:bookmarkStart w:id="59"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8"/>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3"/>
    </w:p>
    <w:p>
      <w:pPr>
        <w:pStyle w:val="3"/>
        <w:rPr>
          <w:rStyle w:val="26"/>
          <w:rFonts w:ascii="仿宋" w:hAnsi="仿宋" w:eastAsia="仿宋"/>
          <w:b w:val="0"/>
          <w:bCs w:val="0"/>
        </w:rPr>
      </w:pPr>
      <w:bookmarkStart w:id="64"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283" w:usb1="288F0000" w:usb2="00000006" w:usb3="00000000" w:csb0="00040001" w:csb1="00000000"/>
  </w:font>
  <w:font w:name="Trebuchet MS">
    <w:panose1 w:val="020B0603020202020204"/>
    <w:charset w:val="00"/>
    <w:family w:val="auto"/>
    <w:pitch w:val="default"/>
    <w:sig w:usb0="00000287" w:usb1="00000000" w:usb2="00000000" w:usb3="00000000" w:csb0="2000009F" w:csb1="00000000"/>
  </w:font>
  <w:font w:name="Arial Black">
    <w:panose1 w:val="020B0A04020102020204"/>
    <w:charset w:val="00"/>
    <w:family w:val="auto"/>
    <w:pitch w:val="default"/>
    <w:sig w:usb0="00000287" w:usb1="00000000" w:usb2="00000000" w:usb3="00000000" w:csb0="2000009F" w:csb1="DFD7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29</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29BF"/>
    <w:rsid w:val="000222C6"/>
    <w:rsid w:val="00025086"/>
    <w:rsid w:val="0002549F"/>
    <w:rsid w:val="00034B8E"/>
    <w:rsid w:val="000468DB"/>
    <w:rsid w:val="000541C9"/>
    <w:rsid w:val="0006487A"/>
    <w:rsid w:val="00065F8F"/>
    <w:rsid w:val="00070A43"/>
    <w:rsid w:val="000768F2"/>
    <w:rsid w:val="0009184B"/>
    <w:rsid w:val="00094236"/>
    <w:rsid w:val="0009593C"/>
    <w:rsid w:val="00097322"/>
    <w:rsid w:val="000A0031"/>
    <w:rsid w:val="000A6A92"/>
    <w:rsid w:val="000B047F"/>
    <w:rsid w:val="000B5923"/>
    <w:rsid w:val="000B5A48"/>
    <w:rsid w:val="000B6FF3"/>
    <w:rsid w:val="000C3467"/>
    <w:rsid w:val="000C3CA6"/>
    <w:rsid w:val="000D1267"/>
    <w:rsid w:val="000D1D50"/>
    <w:rsid w:val="000D5782"/>
    <w:rsid w:val="000E6613"/>
    <w:rsid w:val="000E7119"/>
    <w:rsid w:val="000F7D3C"/>
    <w:rsid w:val="00102B03"/>
    <w:rsid w:val="00114E9B"/>
    <w:rsid w:val="00125D62"/>
    <w:rsid w:val="00141873"/>
    <w:rsid w:val="00142216"/>
    <w:rsid w:val="00144D6A"/>
    <w:rsid w:val="0014729F"/>
    <w:rsid w:val="00157BAB"/>
    <w:rsid w:val="0016061D"/>
    <w:rsid w:val="001654D1"/>
    <w:rsid w:val="00174518"/>
    <w:rsid w:val="0018106D"/>
    <w:rsid w:val="001877A7"/>
    <w:rsid w:val="00191536"/>
    <w:rsid w:val="00195C0F"/>
    <w:rsid w:val="00196687"/>
    <w:rsid w:val="001A2399"/>
    <w:rsid w:val="001A3D38"/>
    <w:rsid w:val="001B5C95"/>
    <w:rsid w:val="001C0962"/>
    <w:rsid w:val="001D7531"/>
    <w:rsid w:val="001E737D"/>
    <w:rsid w:val="001F0592"/>
    <w:rsid w:val="001F7506"/>
    <w:rsid w:val="002006CD"/>
    <w:rsid w:val="00202B36"/>
    <w:rsid w:val="00204B7A"/>
    <w:rsid w:val="00204CDE"/>
    <w:rsid w:val="0021101A"/>
    <w:rsid w:val="00216593"/>
    <w:rsid w:val="00220536"/>
    <w:rsid w:val="00225D15"/>
    <w:rsid w:val="00235629"/>
    <w:rsid w:val="00244200"/>
    <w:rsid w:val="00260C38"/>
    <w:rsid w:val="002616C0"/>
    <w:rsid w:val="00265372"/>
    <w:rsid w:val="002662AA"/>
    <w:rsid w:val="002711DB"/>
    <w:rsid w:val="00271DC6"/>
    <w:rsid w:val="00280496"/>
    <w:rsid w:val="00294DC9"/>
    <w:rsid w:val="00295495"/>
    <w:rsid w:val="002A31DE"/>
    <w:rsid w:val="002B2613"/>
    <w:rsid w:val="002D19B0"/>
    <w:rsid w:val="002D6D05"/>
    <w:rsid w:val="002F1818"/>
    <w:rsid w:val="002F567B"/>
    <w:rsid w:val="00315747"/>
    <w:rsid w:val="003216A9"/>
    <w:rsid w:val="00335A74"/>
    <w:rsid w:val="0036561B"/>
    <w:rsid w:val="0037013F"/>
    <w:rsid w:val="00377291"/>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4E96"/>
    <w:rsid w:val="004150D6"/>
    <w:rsid w:val="00416CD4"/>
    <w:rsid w:val="004223DE"/>
    <w:rsid w:val="00434489"/>
    <w:rsid w:val="004364EC"/>
    <w:rsid w:val="00437085"/>
    <w:rsid w:val="00443880"/>
    <w:rsid w:val="004464F4"/>
    <w:rsid w:val="00471401"/>
    <w:rsid w:val="00473F31"/>
    <w:rsid w:val="0048263A"/>
    <w:rsid w:val="00487BFA"/>
    <w:rsid w:val="00487E5D"/>
    <w:rsid w:val="004A711F"/>
    <w:rsid w:val="004B199D"/>
    <w:rsid w:val="004B4690"/>
    <w:rsid w:val="004E0A2D"/>
    <w:rsid w:val="004E206B"/>
    <w:rsid w:val="004E6DF7"/>
    <w:rsid w:val="004F0FBD"/>
    <w:rsid w:val="004F403E"/>
    <w:rsid w:val="00505A47"/>
    <w:rsid w:val="005128E7"/>
    <w:rsid w:val="00512FDA"/>
    <w:rsid w:val="00520DA0"/>
    <w:rsid w:val="005577C4"/>
    <w:rsid w:val="005664BB"/>
    <w:rsid w:val="00566FFA"/>
    <w:rsid w:val="0057481D"/>
    <w:rsid w:val="00575F0B"/>
    <w:rsid w:val="00577FCF"/>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6A8A"/>
    <w:rsid w:val="006440E4"/>
    <w:rsid w:val="00657922"/>
    <w:rsid w:val="0066343B"/>
    <w:rsid w:val="00664777"/>
    <w:rsid w:val="006748A4"/>
    <w:rsid w:val="00681A31"/>
    <w:rsid w:val="00683E73"/>
    <w:rsid w:val="006952D4"/>
    <w:rsid w:val="006A3141"/>
    <w:rsid w:val="006A3940"/>
    <w:rsid w:val="006A5E34"/>
    <w:rsid w:val="006B2422"/>
    <w:rsid w:val="006B2B9A"/>
    <w:rsid w:val="006C1937"/>
    <w:rsid w:val="006C4335"/>
    <w:rsid w:val="006E601B"/>
    <w:rsid w:val="006F020C"/>
    <w:rsid w:val="007127B7"/>
    <w:rsid w:val="0071798E"/>
    <w:rsid w:val="00727533"/>
    <w:rsid w:val="0073181D"/>
    <w:rsid w:val="007416B6"/>
    <w:rsid w:val="00746F48"/>
    <w:rsid w:val="0074736D"/>
    <w:rsid w:val="0075404D"/>
    <w:rsid w:val="0076182A"/>
    <w:rsid w:val="00767B7E"/>
    <w:rsid w:val="007770C3"/>
    <w:rsid w:val="00784D24"/>
    <w:rsid w:val="00785FBA"/>
    <w:rsid w:val="00786E4A"/>
    <w:rsid w:val="007875EB"/>
    <w:rsid w:val="0079426B"/>
    <w:rsid w:val="007A58F9"/>
    <w:rsid w:val="007B5AF3"/>
    <w:rsid w:val="007D1682"/>
    <w:rsid w:val="007D312A"/>
    <w:rsid w:val="007D3F19"/>
    <w:rsid w:val="007E23B0"/>
    <w:rsid w:val="007E2515"/>
    <w:rsid w:val="007F1991"/>
    <w:rsid w:val="007F2C2F"/>
    <w:rsid w:val="007F55FC"/>
    <w:rsid w:val="007F5665"/>
    <w:rsid w:val="00800112"/>
    <w:rsid w:val="008118C9"/>
    <w:rsid w:val="00813348"/>
    <w:rsid w:val="008153B3"/>
    <w:rsid w:val="008251EB"/>
    <w:rsid w:val="008253BB"/>
    <w:rsid w:val="00833962"/>
    <w:rsid w:val="0083706E"/>
    <w:rsid w:val="008408F6"/>
    <w:rsid w:val="00841D41"/>
    <w:rsid w:val="008423A5"/>
    <w:rsid w:val="00843AB8"/>
    <w:rsid w:val="00844055"/>
    <w:rsid w:val="00850625"/>
    <w:rsid w:val="00853718"/>
    <w:rsid w:val="00855221"/>
    <w:rsid w:val="00860645"/>
    <w:rsid w:val="00864043"/>
    <w:rsid w:val="00866096"/>
    <w:rsid w:val="00871F71"/>
    <w:rsid w:val="00872FD8"/>
    <w:rsid w:val="0087324D"/>
    <w:rsid w:val="00885AF4"/>
    <w:rsid w:val="008939CD"/>
    <w:rsid w:val="008B768C"/>
    <w:rsid w:val="008C1465"/>
    <w:rsid w:val="008C4DB1"/>
    <w:rsid w:val="008C4EAF"/>
    <w:rsid w:val="008C5176"/>
    <w:rsid w:val="008C7FD0"/>
    <w:rsid w:val="008E1DE7"/>
    <w:rsid w:val="008E707C"/>
    <w:rsid w:val="008F24D2"/>
    <w:rsid w:val="00900B08"/>
    <w:rsid w:val="00902155"/>
    <w:rsid w:val="00902FA3"/>
    <w:rsid w:val="00923564"/>
    <w:rsid w:val="0092392E"/>
    <w:rsid w:val="009315F9"/>
    <w:rsid w:val="00933499"/>
    <w:rsid w:val="00935C98"/>
    <w:rsid w:val="00946945"/>
    <w:rsid w:val="00951248"/>
    <w:rsid w:val="0095152F"/>
    <w:rsid w:val="00954C49"/>
    <w:rsid w:val="00955E37"/>
    <w:rsid w:val="00964C75"/>
    <w:rsid w:val="0097099F"/>
    <w:rsid w:val="00971997"/>
    <w:rsid w:val="00971FFC"/>
    <w:rsid w:val="00985FAD"/>
    <w:rsid w:val="0098660A"/>
    <w:rsid w:val="00992546"/>
    <w:rsid w:val="009931C3"/>
    <w:rsid w:val="009B2C43"/>
    <w:rsid w:val="009B4EAE"/>
    <w:rsid w:val="009B7573"/>
    <w:rsid w:val="009C22F4"/>
    <w:rsid w:val="009C2CFF"/>
    <w:rsid w:val="009C2E98"/>
    <w:rsid w:val="009C37FB"/>
    <w:rsid w:val="009D33F7"/>
    <w:rsid w:val="009D3447"/>
    <w:rsid w:val="009D4711"/>
    <w:rsid w:val="009F1185"/>
    <w:rsid w:val="009F18CD"/>
    <w:rsid w:val="009F2A13"/>
    <w:rsid w:val="009F58E5"/>
    <w:rsid w:val="009F7527"/>
    <w:rsid w:val="00A039ED"/>
    <w:rsid w:val="00A04EB0"/>
    <w:rsid w:val="00A13CC1"/>
    <w:rsid w:val="00A16847"/>
    <w:rsid w:val="00A237D8"/>
    <w:rsid w:val="00A268C4"/>
    <w:rsid w:val="00A307CD"/>
    <w:rsid w:val="00A331C8"/>
    <w:rsid w:val="00A35117"/>
    <w:rsid w:val="00A40A00"/>
    <w:rsid w:val="00A4142F"/>
    <w:rsid w:val="00A422EB"/>
    <w:rsid w:val="00A45680"/>
    <w:rsid w:val="00A45BB7"/>
    <w:rsid w:val="00A56DF2"/>
    <w:rsid w:val="00A56E6E"/>
    <w:rsid w:val="00A66552"/>
    <w:rsid w:val="00A67AB5"/>
    <w:rsid w:val="00A733B2"/>
    <w:rsid w:val="00A741C2"/>
    <w:rsid w:val="00A91760"/>
    <w:rsid w:val="00A93B00"/>
    <w:rsid w:val="00A93C21"/>
    <w:rsid w:val="00AB3BEE"/>
    <w:rsid w:val="00AB64C9"/>
    <w:rsid w:val="00AC3C6A"/>
    <w:rsid w:val="00AD0F83"/>
    <w:rsid w:val="00AD2D1C"/>
    <w:rsid w:val="00AD5620"/>
    <w:rsid w:val="00AD656B"/>
    <w:rsid w:val="00AD7C1B"/>
    <w:rsid w:val="00AE16BA"/>
    <w:rsid w:val="00AE1862"/>
    <w:rsid w:val="00AE1EBE"/>
    <w:rsid w:val="00AE7470"/>
    <w:rsid w:val="00AF37A0"/>
    <w:rsid w:val="00B03C9D"/>
    <w:rsid w:val="00B060AE"/>
    <w:rsid w:val="00B102DC"/>
    <w:rsid w:val="00B10517"/>
    <w:rsid w:val="00B14E76"/>
    <w:rsid w:val="00B161B8"/>
    <w:rsid w:val="00B2048C"/>
    <w:rsid w:val="00B310B9"/>
    <w:rsid w:val="00B35F3F"/>
    <w:rsid w:val="00B36CBB"/>
    <w:rsid w:val="00B40A18"/>
    <w:rsid w:val="00B425E0"/>
    <w:rsid w:val="00B440AA"/>
    <w:rsid w:val="00B44B70"/>
    <w:rsid w:val="00B53C56"/>
    <w:rsid w:val="00B57DAF"/>
    <w:rsid w:val="00B77EA6"/>
    <w:rsid w:val="00B81598"/>
    <w:rsid w:val="00B841F1"/>
    <w:rsid w:val="00B944D6"/>
    <w:rsid w:val="00BB20E0"/>
    <w:rsid w:val="00BB4DF0"/>
    <w:rsid w:val="00BC07EA"/>
    <w:rsid w:val="00BC289F"/>
    <w:rsid w:val="00BC2D50"/>
    <w:rsid w:val="00BC5361"/>
    <w:rsid w:val="00BC5460"/>
    <w:rsid w:val="00BC6B50"/>
    <w:rsid w:val="00BD0E25"/>
    <w:rsid w:val="00BF5BD6"/>
    <w:rsid w:val="00BF6D2D"/>
    <w:rsid w:val="00C03E31"/>
    <w:rsid w:val="00C15019"/>
    <w:rsid w:val="00C27BF6"/>
    <w:rsid w:val="00C30E69"/>
    <w:rsid w:val="00C33E72"/>
    <w:rsid w:val="00C354B2"/>
    <w:rsid w:val="00C35554"/>
    <w:rsid w:val="00C37C81"/>
    <w:rsid w:val="00C42709"/>
    <w:rsid w:val="00C533CC"/>
    <w:rsid w:val="00C5751C"/>
    <w:rsid w:val="00C61285"/>
    <w:rsid w:val="00C61BFC"/>
    <w:rsid w:val="00C62B85"/>
    <w:rsid w:val="00C65438"/>
    <w:rsid w:val="00C73A6F"/>
    <w:rsid w:val="00C862B3"/>
    <w:rsid w:val="00C91CBB"/>
    <w:rsid w:val="00CB4E70"/>
    <w:rsid w:val="00CC09B6"/>
    <w:rsid w:val="00CC234C"/>
    <w:rsid w:val="00CC666F"/>
    <w:rsid w:val="00CD1E3F"/>
    <w:rsid w:val="00CE44F6"/>
    <w:rsid w:val="00CE49DA"/>
    <w:rsid w:val="00CE7B61"/>
    <w:rsid w:val="00D00095"/>
    <w:rsid w:val="00D114F0"/>
    <w:rsid w:val="00D16260"/>
    <w:rsid w:val="00D179F5"/>
    <w:rsid w:val="00D20620"/>
    <w:rsid w:val="00D2207C"/>
    <w:rsid w:val="00D254F7"/>
    <w:rsid w:val="00D26091"/>
    <w:rsid w:val="00D2685C"/>
    <w:rsid w:val="00D34E7C"/>
    <w:rsid w:val="00D35489"/>
    <w:rsid w:val="00D36AFE"/>
    <w:rsid w:val="00D51276"/>
    <w:rsid w:val="00D7035F"/>
    <w:rsid w:val="00D7318D"/>
    <w:rsid w:val="00DA634F"/>
    <w:rsid w:val="00DA65AC"/>
    <w:rsid w:val="00DB1913"/>
    <w:rsid w:val="00DB4C6F"/>
    <w:rsid w:val="00DC410D"/>
    <w:rsid w:val="00DC42CC"/>
    <w:rsid w:val="00DC5A81"/>
    <w:rsid w:val="00DC68CA"/>
    <w:rsid w:val="00DC7CBA"/>
    <w:rsid w:val="00DD10AC"/>
    <w:rsid w:val="00DD73B7"/>
    <w:rsid w:val="00DF28BC"/>
    <w:rsid w:val="00DF34B9"/>
    <w:rsid w:val="00DF7548"/>
    <w:rsid w:val="00E01053"/>
    <w:rsid w:val="00E0706E"/>
    <w:rsid w:val="00E07ACF"/>
    <w:rsid w:val="00E11879"/>
    <w:rsid w:val="00E331A1"/>
    <w:rsid w:val="00E33202"/>
    <w:rsid w:val="00E336A9"/>
    <w:rsid w:val="00E43C04"/>
    <w:rsid w:val="00E472B1"/>
    <w:rsid w:val="00E50624"/>
    <w:rsid w:val="00E523DA"/>
    <w:rsid w:val="00E568DF"/>
    <w:rsid w:val="00E64269"/>
    <w:rsid w:val="00E66797"/>
    <w:rsid w:val="00E74A3D"/>
    <w:rsid w:val="00E82267"/>
    <w:rsid w:val="00E853CE"/>
    <w:rsid w:val="00E867B6"/>
    <w:rsid w:val="00E87F08"/>
    <w:rsid w:val="00EA010F"/>
    <w:rsid w:val="00ED1B63"/>
    <w:rsid w:val="00ED3C1F"/>
    <w:rsid w:val="00ED4085"/>
    <w:rsid w:val="00ED420E"/>
    <w:rsid w:val="00ED6FBE"/>
    <w:rsid w:val="00EE0B31"/>
    <w:rsid w:val="00EE2F57"/>
    <w:rsid w:val="00EF4C34"/>
    <w:rsid w:val="00EF77C6"/>
    <w:rsid w:val="00F00A75"/>
    <w:rsid w:val="00F05438"/>
    <w:rsid w:val="00F1361C"/>
    <w:rsid w:val="00F156F0"/>
    <w:rsid w:val="00F160C7"/>
    <w:rsid w:val="00F1740E"/>
    <w:rsid w:val="00F2408F"/>
    <w:rsid w:val="00F240E9"/>
    <w:rsid w:val="00F36D8F"/>
    <w:rsid w:val="00F417B1"/>
    <w:rsid w:val="00F45853"/>
    <w:rsid w:val="00F54724"/>
    <w:rsid w:val="00F60141"/>
    <w:rsid w:val="00F602DF"/>
    <w:rsid w:val="00F615CF"/>
    <w:rsid w:val="00F66A6E"/>
    <w:rsid w:val="00F754A1"/>
    <w:rsid w:val="00F81FD9"/>
    <w:rsid w:val="00F841AA"/>
    <w:rsid w:val="00F84A94"/>
    <w:rsid w:val="00F87E96"/>
    <w:rsid w:val="00FA23E8"/>
    <w:rsid w:val="00FB342C"/>
    <w:rsid w:val="00FD3CC1"/>
    <w:rsid w:val="00FF1E02"/>
    <w:rsid w:val="00FF30B4"/>
    <w:rsid w:val="079E68CA"/>
    <w:rsid w:val="10C055FF"/>
    <w:rsid w:val="10D32CB2"/>
    <w:rsid w:val="16BB723D"/>
    <w:rsid w:val="210A426C"/>
    <w:rsid w:val="217D2B1C"/>
    <w:rsid w:val="22444CA3"/>
    <w:rsid w:val="240371BF"/>
    <w:rsid w:val="29FD04D3"/>
    <w:rsid w:val="319F7F4E"/>
    <w:rsid w:val="32DB21EF"/>
    <w:rsid w:val="3C116ED2"/>
    <w:rsid w:val="44287A1D"/>
    <w:rsid w:val="4ECE2238"/>
    <w:rsid w:val="55F34AA3"/>
    <w:rsid w:val="5ABB4CCB"/>
    <w:rsid w:val="613E039A"/>
    <w:rsid w:val="62E1628A"/>
    <w:rsid w:val="66D40CE2"/>
    <w:rsid w:val="698772C5"/>
    <w:rsid w:val="72734D90"/>
    <w:rsid w:val="74AE031E"/>
    <w:rsid w:val="76937283"/>
    <w:rsid w:val="7E324EC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22"/>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600" b="1" i="0" u="none" strike="noStrike" kern="1200" baseline="0">
              <a:solidFill>
                <a:schemeClr val="tx2"/>
              </a:solidFill>
              <a:latin typeface="+mn-lt"/>
              <a:ea typeface="+mn-ea"/>
              <a:cs typeface="+mn-cs"/>
            </a:defRPr>
          </a:pPr>
        </a:p>
      </c:txPr>
    </c:title>
    <c:autoTitleDeleted val="false"/>
    <c:plotArea>
      <c:layout/>
      <c:pieChart>
        <c:varyColors val="true"/>
        <c:ser>
          <c:idx val="0"/>
          <c:order val="0"/>
          <c:tx>
            <c:strRef>
              <c:f>[工作簿1]Sheet1!$F$10</c:f>
              <c:strCache>
                <c:ptCount val="1"/>
                <c:pt idx="0">
                  <c:v>一般公共预算财政拨款收入</c:v>
                </c:pt>
              </c:strCache>
            </c:strRef>
          </c:tx>
          <c:spPr/>
          <c:explosion val="0"/>
          <c:dPt>
            <c:idx val="0"/>
            <c:bubble3D val="false"/>
            <c:spPr>
              <a:gradFill rotWithShape="true">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false"/>
              </a:gradFill>
              <a:ln>
                <a:no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2"/>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2">
                          <a:lumMod val="35000"/>
                          <a:lumOff val="65000"/>
                        </a:schemeClr>
                      </a:solidFill>
                    </a:ln>
                    <a:effectLst/>
                  </c:spPr>
                </c15:leaderLines>
              </c:ext>
            </c:extLst>
          </c:dLbls>
          <c:val>
            <c:numRef>
              <c:f>[工作簿1]Sheet1!$G$10</c:f>
              <c:numCache>
                <c:formatCode>General</c:formatCode>
                <c:ptCount val="1"/>
                <c:pt idx="0">
                  <c:v>294.48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[工作簿1]Sheet1!$F$10:$F$11</c:f>
              <c:strCache>
                <c:ptCount val="2"/>
                <c:pt idx="0">
                  <c:v>基本支出</c:v>
                </c:pt>
                <c:pt idx="1">
                  <c:v>项目支出</c:v>
                </c:pt>
              </c:strCache>
            </c:strRef>
          </c:cat>
          <c:val>
            <c:numRef>
              <c:f>[工作簿1]Sheet1!$G$10:$G$11</c:f>
              <c:numCache>
                <c:formatCode>General</c:formatCode>
                <c:ptCount val="2"/>
                <c:pt idx="0">
                  <c:v>194.61</c:v>
                </c:pt>
                <c:pt idx="1">
                  <c:v>131.29</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false"/>
      <c:spPr>
        <a:noFill/>
        <a:ln>
          <a:noFill/>
        </a:ln>
        <a:effectLst/>
      </c:spPr>
    </c:title>
    <c:autoTitleDeleted val="false"/>
    <c:plotArea>
      <c:layout/>
      <c:barChart>
        <c:barDir val="col"/>
        <c:grouping val="stacked"/>
        <c:varyColors val="false"/>
        <c:ser>
          <c:idx val="0"/>
          <c:order val="0"/>
          <c:spPr>
            <a:solidFill>
              <a:schemeClr val="accent1"/>
            </a:solidFill>
            <a:ln>
              <a:noFill/>
            </a:ln>
            <a:effectLst/>
          </c:spPr>
          <c:invertIfNegative val="false"/>
          <c:dLbls>
            <c:delete val="true"/>
          </c:dLbls>
          <c:cat>
            <c:strRef>
              <c:f>[工作簿1]Sheet1!$F$10:$F$11</c:f>
              <c:strCache>
                <c:ptCount val="2"/>
                <c:pt idx="0">
                  <c:v>2018年</c:v>
                </c:pt>
                <c:pt idx="1">
                  <c:v>2019年</c:v>
                </c:pt>
              </c:strCache>
            </c:strRef>
          </c:cat>
          <c:val>
            <c:numRef>
              <c:f>[工作簿1]Sheet1!$G$10:$G$11</c:f>
              <c:numCache>
                <c:formatCode>General</c:formatCode>
                <c:ptCount val="2"/>
                <c:pt idx="0">
                  <c:v>338.57</c:v>
                </c:pt>
                <c:pt idx="1">
                  <c:v>326.2</c:v>
                </c:pt>
              </c:numCache>
            </c:numRef>
          </c:val>
        </c:ser>
        <c:dLbls>
          <c:showLegendKey val="false"/>
          <c:showVal val="false"/>
          <c:showCatName val="false"/>
          <c:showSerName val="false"/>
          <c:showPercent val="false"/>
          <c:showBubbleSize val="false"/>
        </c:dLbls>
        <c:gapWidth val="150"/>
        <c:overlap val="100"/>
        <c:axId val="53496832"/>
        <c:axId val="53498624"/>
      </c:barChart>
      <c:catAx>
        <c:axId val="5349683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498624"/>
        <c:crosses val="autoZero"/>
        <c:auto val="true"/>
        <c:lblAlgn val="ctr"/>
        <c:lblOffset val="100"/>
        <c:noMultiLvlLbl val="false"/>
      </c:catAx>
      <c:valAx>
        <c:axId val="5349862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49683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stacked"/>
        <c:varyColors val="false"/>
        <c:ser>
          <c:idx val="0"/>
          <c:order val="0"/>
          <c:spPr>
            <a:solidFill>
              <a:schemeClr val="accent1"/>
            </a:solidFill>
            <a:ln>
              <a:noFill/>
            </a:ln>
            <a:effectLst/>
          </c:spPr>
          <c:invertIfNegative val="false"/>
          <c:dLbls>
            <c:delete val="true"/>
          </c:dLbls>
          <c:cat>
            <c:strRef>
              <c:f>[工作簿1]Sheet1!$F$10:$F$11</c:f>
              <c:strCache>
                <c:ptCount val="2"/>
                <c:pt idx="0">
                  <c:v>2018年</c:v>
                </c:pt>
                <c:pt idx="1">
                  <c:v>2019年</c:v>
                </c:pt>
              </c:strCache>
            </c:strRef>
          </c:cat>
          <c:val>
            <c:numRef>
              <c:f>[工作簿1]Sheet1!$G$10:$G$11</c:f>
              <c:numCache>
                <c:formatCode>General</c:formatCode>
                <c:ptCount val="2"/>
                <c:pt idx="0">
                  <c:v>338.57</c:v>
                </c:pt>
                <c:pt idx="1">
                  <c:v>326.2</c:v>
                </c:pt>
              </c:numCache>
            </c:numRef>
          </c:val>
        </c:ser>
        <c:dLbls>
          <c:showLegendKey val="false"/>
          <c:showVal val="false"/>
          <c:showCatName val="false"/>
          <c:showSerName val="false"/>
          <c:showPercent val="false"/>
          <c:showBubbleSize val="false"/>
        </c:dLbls>
        <c:gapWidth val="150"/>
        <c:overlap val="100"/>
        <c:axId val="53528448"/>
        <c:axId val="53529984"/>
      </c:barChart>
      <c:catAx>
        <c:axId val="53528448"/>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529984"/>
        <c:crosses val="autoZero"/>
        <c:auto val="true"/>
        <c:lblAlgn val="ctr"/>
        <c:lblOffset val="100"/>
        <c:noMultiLvlLbl val="false"/>
      </c:catAx>
      <c:valAx>
        <c:axId val="5352998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3528448"/>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tru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[工作簿1]Sheet1!$F$10:$F$13</c:f>
              <c:strCache>
                <c:ptCount val="4"/>
                <c:pt idx="0">
                  <c:v>一般公共服务（类）支出</c:v>
                </c:pt>
                <c:pt idx="1">
                  <c:v>社会保障和就业（类）支出</c:v>
                </c:pt>
                <c:pt idx="2">
                  <c:v>卫生健康支出</c:v>
                </c:pt>
                <c:pt idx="3">
                  <c:v>住房保障支出</c:v>
                </c:pt>
              </c:strCache>
            </c:strRef>
          </c:cat>
          <c:val>
            <c:numRef>
              <c:f>[工作簿1]Sheet1!$G$10:$G$13</c:f>
              <c:numCache>
                <c:formatCode>General</c:formatCode>
                <c:ptCount val="4"/>
                <c:pt idx="0">
                  <c:v>153.08</c:v>
                </c:pt>
                <c:pt idx="1">
                  <c:v>20.26</c:v>
                </c:pt>
                <c:pt idx="2">
                  <c:v>8.76</c:v>
                </c:pt>
                <c:pt idx="3">
                  <c:v>12.51</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13988</Words>
  <Characters>2491</Characters>
  <Lines>20</Lines>
  <Paragraphs>32</Paragraphs>
  <TotalTime>26</TotalTime>
  <ScaleCrop>false</ScaleCrop>
  <LinksUpToDate>false</LinksUpToDate>
  <CharactersWithSpaces>16447</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2020-09-27T18:07:00Z</dcterms:created>
  <dc:creator>曹颖</dc:creator>
  <cp:lastModifiedBy>user</cp:lastModifiedBy>
  <cp:lastPrinted>2020-09-28T15:06:00Z</cp:lastPrinted>
  <dcterms:modified xsi:type="dcterms:W3CDTF">2022-04-18T14:58:48Z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