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840DE3">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96597"/>
      <w:bookmarkStart w:id="2" w:name="_Toc15377425"/>
      <w:bookmarkStart w:id="3" w:name="_Toc15377193"/>
      <w:bookmarkStart w:id="4" w:name="_Toc15378441"/>
      <w:bookmarkStart w:id="5" w:name="_Toc15306267"/>
    </w:p>
    <w:bookmarkEnd w:id="0"/>
    <w:bookmarkEnd w:id="1"/>
    <w:bookmarkEnd w:id="2"/>
    <w:bookmarkEnd w:id="3"/>
    <w:bookmarkEnd w:id="4"/>
    <w:bookmarkEnd w:id="5"/>
    <w:p w14:paraId="70F656E5">
      <w:pPr>
        <w:pStyle w:val="8"/>
        <w:spacing w:before="93"/>
        <w:jc w:val="center"/>
        <w:rPr>
          <w:rFonts w:hint="eastAsia" w:ascii="Times New Roman" w:eastAsia="方正小标宋简体"/>
          <w:kern w:val="2"/>
          <w:sz w:val="44"/>
          <w:szCs w:val="44"/>
        </w:rPr>
      </w:pPr>
      <w:r>
        <w:rPr>
          <w:rFonts w:hint="eastAsia" w:ascii="Times New Roman" w:eastAsia="方正小标宋简体"/>
          <w:kern w:val="2"/>
          <w:sz w:val="44"/>
          <w:szCs w:val="44"/>
        </w:rPr>
        <w:t>2024年度</w:t>
      </w:r>
    </w:p>
    <w:p w14:paraId="62E2F318">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lang w:eastAsia="zh-CN"/>
        </w:rPr>
        <w:t>阿坝州科学技术协会</w:t>
      </w:r>
      <w:r>
        <w:rPr>
          <w:rFonts w:hint="eastAsia" w:ascii="Times New Roman" w:eastAsia="方正小标宋简体"/>
          <w:kern w:val="2"/>
          <w:sz w:val="44"/>
          <w:szCs w:val="44"/>
        </w:rPr>
        <w:t>（单位）决算</w:t>
      </w:r>
    </w:p>
    <w:p w14:paraId="3F0B6418">
      <w:pPr>
        <w:pStyle w:val="8"/>
        <w:spacing w:before="93"/>
        <w:jc w:val="center"/>
        <w:rPr>
          <w:rFonts w:hint="eastAsia" w:ascii="Times New Roman" w:eastAsia="方正小标宋简体"/>
          <w:kern w:val="2"/>
          <w:sz w:val="44"/>
          <w:szCs w:val="44"/>
          <w:lang w:eastAsia="zh-CN"/>
        </w:rPr>
      </w:pPr>
      <w:r>
        <w:rPr>
          <w:rFonts w:hint="eastAsia" w:ascii="Times New Roman" w:eastAsia="方正小标宋简体"/>
          <w:kern w:val="2"/>
          <w:sz w:val="44"/>
          <w:szCs w:val="44"/>
        </w:rPr>
        <w:t>公开</w:t>
      </w:r>
      <w:r>
        <w:rPr>
          <w:rFonts w:hint="eastAsia" w:ascii="Times New Roman" w:eastAsia="方正小标宋简体"/>
          <w:kern w:val="2"/>
          <w:sz w:val="44"/>
          <w:szCs w:val="44"/>
          <w:lang w:eastAsia="zh-CN"/>
        </w:rPr>
        <w:t>（本级）</w:t>
      </w:r>
    </w:p>
    <w:p w14:paraId="2D044E31">
      <w:pPr>
        <w:widowControl/>
        <w:jc w:val="center"/>
        <w:rPr>
          <w:rFonts w:ascii="Times New Roman" w:hAnsi="Times New Roman" w:eastAsia="黑体" w:cstheme="minorBidi"/>
          <w:color w:val="auto"/>
          <w:sz w:val="28"/>
          <w:szCs w:val="2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14:paraId="35351885">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19</w:t>
      </w:r>
      <w:bookmarkStart w:id="174" w:name="_GoBack"/>
      <w:bookmarkEnd w:id="174"/>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日</w:t>
      </w:r>
    </w:p>
    <w:p w14:paraId="7395ED0D">
      <w:pPr>
        <w:rPr>
          <w:rFonts w:ascii="Times New Roman" w:hAnsi="Times New Roman"/>
          <w:color w:val="auto"/>
          <w:highlight w:val="none"/>
        </w:rPr>
      </w:pPr>
    </w:p>
    <w:p w14:paraId="6422C94C">
      <w:bookmarkStart w:id="6" w:name="_Toc15377196"/>
      <w:bookmarkStart w:id="7" w:name="_Toc15396599"/>
    </w:p>
    <w:sdt>
      <w:sdtPr>
        <w:rPr>
          <w:rFonts w:ascii="宋体" w:hAnsi="宋体" w:eastAsia="宋体" w:cs="Times New Roman"/>
          <w:kern w:val="2"/>
          <w:sz w:val="21"/>
          <w:szCs w:val="24"/>
          <w:lang w:val="en-US" w:eastAsia="zh-CN" w:bidi="ar-SA"/>
        </w:rPr>
        <w:id w:val="147464645"/>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296A0A7F">
          <w:pPr>
            <w:spacing w:before="0" w:beforeLines="0" w:after="0" w:afterLines="0" w:line="240" w:lineRule="auto"/>
            <w:ind w:left="0" w:leftChars="0" w:right="0" w:rightChars="0" w:firstLine="0" w:firstLineChars="0"/>
            <w:jc w:val="center"/>
          </w:pPr>
          <w:r>
            <w:rPr>
              <w:rFonts w:ascii="宋体" w:hAnsi="宋体" w:eastAsia="宋体"/>
              <w:sz w:val="21"/>
            </w:rPr>
            <w:t>目录</w:t>
          </w:r>
        </w:p>
        <w:p w14:paraId="23687C90">
          <w:pPr>
            <w:pStyle w:val="13"/>
            <w:tabs>
              <w:tab w:val="right" w:leader="dot" w:pos="8306"/>
              <w:tab w:val="clear" w:pos="8296"/>
            </w:tabs>
          </w:pPr>
          <w:r>
            <w:fldChar w:fldCharType="begin"/>
          </w:r>
          <w:r>
            <w:instrText xml:space="preserve">TOC \o "1-3" \h \u </w:instrText>
          </w:r>
          <w:r>
            <w:fldChar w:fldCharType="separate"/>
          </w:r>
          <w:r>
            <w:fldChar w:fldCharType="begin"/>
          </w:r>
          <w:r>
            <w:instrText xml:space="preserve"> HYPERLINK \l _Toc4409 </w:instrText>
          </w:r>
          <w:r>
            <w:fldChar w:fldCharType="separate"/>
          </w:r>
          <w:r>
            <w:rPr>
              <w:rFonts w:hint="eastAsia" w:ascii="Times New Roman" w:hAnsi="Times New Roman" w:eastAsia="方正小标宋简体" w:cs="方正小标宋简体"/>
              <w:highlight w:val="none"/>
            </w:rPr>
            <w:t>第一部分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bCs w:val="0"/>
              <w:highlight w:val="none"/>
            </w:rPr>
            <w:t>部门概况</w:t>
          </w:r>
          <w:r>
            <w:tab/>
          </w:r>
          <w:r>
            <w:fldChar w:fldCharType="begin"/>
          </w:r>
          <w:r>
            <w:instrText xml:space="preserve"> PAGEREF _Toc4409 \h </w:instrText>
          </w:r>
          <w:r>
            <w:fldChar w:fldCharType="separate"/>
          </w:r>
          <w:r>
            <w:t>4</w:t>
          </w:r>
          <w:r>
            <w:fldChar w:fldCharType="end"/>
          </w:r>
          <w:r>
            <w:fldChar w:fldCharType="end"/>
          </w:r>
        </w:p>
        <w:p w14:paraId="2B0061EA">
          <w:pPr>
            <w:pStyle w:val="14"/>
            <w:tabs>
              <w:tab w:val="right" w:leader="dot" w:pos="8306"/>
              <w:tab w:val="clear" w:pos="8296"/>
            </w:tabs>
          </w:pPr>
          <w:r>
            <w:fldChar w:fldCharType="begin"/>
          </w:r>
          <w:r>
            <w:instrText xml:space="preserve"> HYPERLINK \l _Toc5452 </w:instrText>
          </w:r>
          <w:r>
            <w:fldChar w:fldCharType="separate"/>
          </w:r>
          <w:r>
            <w:rPr>
              <w:rFonts w:hint="eastAsia" w:ascii="Times New Roman" w:hAnsi="Times New Roman" w:eastAsia="黑体"/>
              <w:lang w:eastAsia="zh-CN"/>
            </w:rPr>
            <w:t xml:space="preserve">一、 </w:t>
          </w:r>
          <w:r>
            <w:rPr>
              <w:rFonts w:hint="eastAsia" w:ascii="Times New Roman" w:hAnsi="Times New Roman" w:eastAsia="黑体"/>
              <w:highlight w:val="none"/>
              <w:lang w:eastAsia="zh-CN"/>
            </w:rPr>
            <w:t>部门职责</w:t>
          </w:r>
          <w:r>
            <w:tab/>
          </w:r>
          <w:r>
            <w:fldChar w:fldCharType="begin"/>
          </w:r>
          <w:r>
            <w:instrText xml:space="preserve"> PAGEREF _Toc5452 \h </w:instrText>
          </w:r>
          <w:r>
            <w:fldChar w:fldCharType="separate"/>
          </w:r>
          <w:r>
            <w:t>4</w:t>
          </w:r>
          <w:r>
            <w:fldChar w:fldCharType="end"/>
          </w:r>
          <w:r>
            <w:fldChar w:fldCharType="end"/>
          </w:r>
        </w:p>
        <w:p w14:paraId="08287DB3">
          <w:pPr>
            <w:pStyle w:val="14"/>
            <w:tabs>
              <w:tab w:val="right" w:leader="dot" w:pos="8306"/>
              <w:tab w:val="clear" w:pos="8296"/>
            </w:tabs>
          </w:pPr>
          <w:r>
            <w:fldChar w:fldCharType="begin"/>
          </w:r>
          <w:r>
            <w:instrText xml:space="preserve"> HYPERLINK \l _Toc19546 </w:instrText>
          </w:r>
          <w:r>
            <w:fldChar w:fldCharType="separate"/>
          </w:r>
          <w:r>
            <w:rPr>
              <w:rFonts w:hint="eastAsia" w:ascii="Times New Roman" w:hAnsi="Times New Roman" w:eastAsia="黑体"/>
              <w:highlight w:val="none"/>
            </w:rPr>
            <w:t>二、机</w:t>
          </w:r>
          <w:r>
            <w:rPr>
              <w:rFonts w:hint="eastAsia" w:ascii="Times New Roman" w:hAnsi="Times New Roman" w:eastAsia="黑体"/>
              <w:bCs w:val="0"/>
              <w:highlight w:val="none"/>
            </w:rPr>
            <w:t>构设置</w:t>
          </w:r>
          <w:r>
            <w:tab/>
          </w:r>
          <w:r>
            <w:fldChar w:fldCharType="begin"/>
          </w:r>
          <w:r>
            <w:instrText xml:space="preserve"> PAGEREF _Toc19546 \h </w:instrText>
          </w:r>
          <w:r>
            <w:fldChar w:fldCharType="separate"/>
          </w:r>
          <w:r>
            <w:t>4</w:t>
          </w:r>
          <w:r>
            <w:fldChar w:fldCharType="end"/>
          </w:r>
          <w:r>
            <w:fldChar w:fldCharType="end"/>
          </w:r>
        </w:p>
        <w:p w14:paraId="5B0A9F0D">
          <w:pPr>
            <w:pStyle w:val="13"/>
            <w:tabs>
              <w:tab w:val="right" w:leader="dot" w:pos="8306"/>
              <w:tab w:val="clear" w:pos="8296"/>
            </w:tabs>
          </w:pPr>
          <w:r>
            <w:fldChar w:fldCharType="begin"/>
          </w:r>
          <w:r>
            <w:instrText xml:space="preserve"> HYPERLINK \l _Toc31314 </w:instrText>
          </w:r>
          <w:r>
            <w:fldChar w:fldCharType="separate"/>
          </w:r>
          <w:r>
            <w:rPr>
              <w:rFonts w:hint="eastAsia" w:ascii="Times New Roman" w:hAnsi="Times New Roman" w:eastAsia="方正小标宋简体" w:cs="方正小标宋简体"/>
              <w:highlight w:val="none"/>
            </w:rPr>
            <w:t>第二部分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highlight w:val="none"/>
              <w:lang w:val="en-US" w:eastAsia="zh-CN"/>
            </w:rPr>
            <w:t>2024年度</w:t>
          </w:r>
          <w:r>
            <w:rPr>
              <w:rFonts w:hint="eastAsia" w:ascii="Times New Roman" w:hAnsi="Times New Roman" w:eastAsia="方正小标宋简体" w:cs="方正小标宋简体"/>
              <w:highlight w:val="none"/>
            </w:rPr>
            <w:t>部门决算情况说明</w:t>
          </w:r>
          <w:r>
            <w:tab/>
          </w:r>
          <w:r>
            <w:fldChar w:fldCharType="begin"/>
          </w:r>
          <w:r>
            <w:instrText xml:space="preserve"> PAGEREF _Toc31314 \h </w:instrText>
          </w:r>
          <w:r>
            <w:fldChar w:fldCharType="separate"/>
          </w:r>
          <w:r>
            <w:t>6</w:t>
          </w:r>
          <w:r>
            <w:fldChar w:fldCharType="end"/>
          </w:r>
          <w:r>
            <w:fldChar w:fldCharType="end"/>
          </w:r>
        </w:p>
        <w:p w14:paraId="27A4CB44">
          <w:pPr>
            <w:pStyle w:val="14"/>
            <w:tabs>
              <w:tab w:val="right" w:leader="dot" w:pos="8306"/>
              <w:tab w:val="clear" w:pos="8296"/>
            </w:tabs>
          </w:pPr>
          <w:r>
            <w:fldChar w:fldCharType="begin"/>
          </w:r>
          <w:r>
            <w:instrText xml:space="preserve"> HYPERLINK \l _Toc28061 </w:instrText>
          </w:r>
          <w:r>
            <w:fldChar w:fldCharType="separate"/>
          </w:r>
          <w:r>
            <w:rPr>
              <w:rFonts w:hint="eastAsia" w:ascii="Times New Roman" w:hAnsi="Times New Roman" w:eastAsia="黑体"/>
              <w:szCs w:val="32"/>
              <w:highlight w:val="none"/>
              <w:lang w:eastAsia="zh-CN"/>
            </w:rPr>
            <w:t>一、</w:t>
          </w:r>
          <w:r>
            <w:rPr>
              <w:rFonts w:hint="eastAsia" w:ascii="Times New Roman" w:hAnsi="Times New Roman" w:eastAsia="黑体"/>
              <w:szCs w:val="32"/>
              <w:highlight w:val="none"/>
            </w:rPr>
            <w:t>收</w:t>
          </w:r>
          <w:r>
            <w:rPr>
              <w:rFonts w:hint="eastAsia" w:ascii="Times New Roman" w:hAnsi="Times New Roman" w:eastAsia="黑体"/>
              <w:highlight w:val="none"/>
            </w:rPr>
            <w:t>入支出决算总体情况说明</w:t>
          </w:r>
          <w:r>
            <w:tab/>
          </w:r>
          <w:r>
            <w:fldChar w:fldCharType="begin"/>
          </w:r>
          <w:r>
            <w:instrText xml:space="preserve"> PAGEREF _Toc28061 \h </w:instrText>
          </w:r>
          <w:r>
            <w:fldChar w:fldCharType="separate"/>
          </w:r>
          <w:r>
            <w:t>6</w:t>
          </w:r>
          <w:r>
            <w:fldChar w:fldCharType="end"/>
          </w:r>
          <w:r>
            <w:fldChar w:fldCharType="end"/>
          </w:r>
        </w:p>
        <w:p w14:paraId="2740A302">
          <w:pPr>
            <w:pStyle w:val="14"/>
            <w:tabs>
              <w:tab w:val="right" w:leader="dot" w:pos="8306"/>
              <w:tab w:val="clear" w:pos="8296"/>
            </w:tabs>
          </w:pPr>
          <w:r>
            <w:fldChar w:fldCharType="begin"/>
          </w:r>
          <w:r>
            <w:instrText xml:space="preserve"> HYPERLINK \l _Toc29315 </w:instrText>
          </w:r>
          <w:r>
            <w:fldChar w:fldCharType="separate"/>
          </w:r>
          <w:r>
            <w:rPr>
              <w:rFonts w:hint="eastAsia" w:ascii="Times New Roman" w:hAnsi="Times New Roman" w:eastAsia="黑体"/>
              <w:szCs w:val="32"/>
              <w:highlight w:val="none"/>
              <w:lang w:eastAsia="zh-CN"/>
            </w:rPr>
            <w:t>二、收入决算情况说明</w:t>
          </w:r>
          <w:r>
            <w:tab/>
          </w:r>
          <w:r>
            <w:fldChar w:fldCharType="begin"/>
          </w:r>
          <w:r>
            <w:instrText xml:space="preserve"> PAGEREF _Toc29315 \h </w:instrText>
          </w:r>
          <w:r>
            <w:fldChar w:fldCharType="separate"/>
          </w:r>
          <w:r>
            <w:t>6</w:t>
          </w:r>
          <w:r>
            <w:fldChar w:fldCharType="end"/>
          </w:r>
          <w:r>
            <w:fldChar w:fldCharType="end"/>
          </w:r>
        </w:p>
        <w:p w14:paraId="26CBFCC7">
          <w:pPr>
            <w:pStyle w:val="14"/>
            <w:tabs>
              <w:tab w:val="right" w:leader="dot" w:pos="8306"/>
              <w:tab w:val="clear" w:pos="8296"/>
            </w:tabs>
          </w:pPr>
          <w:r>
            <w:fldChar w:fldCharType="begin"/>
          </w:r>
          <w:r>
            <w:instrText xml:space="preserve"> HYPERLINK \l _Toc22819 </w:instrText>
          </w:r>
          <w:r>
            <w:fldChar w:fldCharType="separate"/>
          </w:r>
          <w:r>
            <w:rPr>
              <w:rFonts w:hint="eastAsia" w:ascii="Times New Roman" w:hAnsi="Times New Roman" w:eastAsia="黑体"/>
              <w:szCs w:val="32"/>
              <w:highlight w:val="none"/>
              <w:lang w:eastAsia="zh-CN"/>
            </w:rPr>
            <w:t>三、</w:t>
          </w:r>
          <w:r>
            <w:rPr>
              <w:rFonts w:hint="eastAsia" w:ascii="Times New Roman" w:hAnsi="Times New Roman" w:eastAsia="黑体"/>
              <w:szCs w:val="32"/>
              <w:highlight w:val="none"/>
            </w:rPr>
            <w:t>支</w:t>
          </w:r>
          <w:r>
            <w:rPr>
              <w:rFonts w:hint="eastAsia" w:ascii="Times New Roman" w:hAnsi="Times New Roman" w:eastAsia="黑体"/>
              <w:highlight w:val="none"/>
            </w:rPr>
            <w:t>出决算情况说明</w:t>
          </w:r>
          <w:r>
            <w:tab/>
          </w:r>
          <w:r>
            <w:fldChar w:fldCharType="begin"/>
          </w:r>
          <w:r>
            <w:instrText xml:space="preserve"> PAGEREF _Toc22819 \h </w:instrText>
          </w:r>
          <w:r>
            <w:fldChar w:fldCharType="separate"/>
          </w:r>
          <w:r>
            <w:t>7</w:t>
          </w:r>
          <w:r>
            <w:fldChar w:fldCharType="end"/>
          </w:r>
          <w:r>
            <w:fldChar w:fldCharType="end"/>
          </w:r>
        </w:p>
        <w:p w14:paraId="47947FB3">
          <w:pPr>
            <w:pStyle w:val="14"/>
            <w:tabs>
              <w:tab w:val="right" w:leader="dot" w:pos="8306"/>
              <w:tab w:val="clear" w:pos="8296"/>
            </w:tabs>
          </w:pPr>
          <w:r>
            <w:fldChar w:fldCharType="begin"/>
          </w:r>
          <w:r>
            <w:instrText xml:space="preserve"> HYPERLINK \l _Toc16496 </w:instrText>
          </w:r>
          <w:r>
            <w:fldChar w:fldCharType="separate"/>
          </w:r>
          <w:r>
            <w:rPr>
              <w:rFonts w:hint="eastAsia" w:ascii="Times New Roman" w:hAnsi="Times New Roman" w:eastAsia="黑体"/>
              <w:szCs w:val="32"/>
              <w:highlight w:val="none"/>
            </w:rPr>
            <w:t>四、财</w:t>
          </w:r>
          <w:r>
            <w:rPr>
              <w:rFonts w:hint="eastAsia" w:ascii="Times New Roman" w:hAnsi="Times New Roman" w:eastAsia="黑体"/>
              <w:highlight w:val="none"/>
            </w:rPr>
            <w:t>政拨款收入支出决算总体情况说明</w:t>
          </w:r>
          <w:r>
            <w:tab/>
          </w:r>
          <w:r>
            <w:fldChar w:fldCharType="begin"/>
          </w:r>
          <w:r>
            <w:instrText xml:space="preserve"> PAGEREF _Toc16496 \h </w:instrText>
          </w:r>
          <w:r>
            <w:fldChar w:fldCharType="separate"/>
          </w:r>
          <w:r>
            <w:t>8</w:t>
          </w:r>
          <w:r>
            <w:fldChar w:fldCharType="end"/>
          </w:r>
          <w:r>
            <w:fldChar w:fldCharType="end"/>
          </w:r>
        </w:p>
        <w:p w14:paraId="0ADF8AF1">
          <w:pPr>
            <w:pStyle w:val="14"/>
            <w:tabs>
              <w:tab w:val="right" w:leader="dot" w:pos="8306"/>
              <w:tab w:val="clear" w:pos="8296"/>
            </w:tabs>
          </w:pPr>
          <w:r>
            <w:fldChar w:fldCharType="begin"/>
          </w:r>
          <w:r>
            <w:instrText xml:space="preserve"> HYPERLINK \l _Toc4718 </w:instrText>
          </w:r>
          <w:r>
            <w:fldChar w:fldCharType="separate"/>
          </w:r>
          <w:r>
            <w:rPr>
              <w:rFonts w:hint="eastAsia" w:ascii="Times New Roman" w:hAnsi="Times New Roman" w:eastAsia="黑体"/>
              <w:szCs w:val="32"/>
              <w:highlight w:val="none"/>
            </w:rPr>
            <w:t>五、一</w:t>
          </w:r>
          <w:r>
            <w:rPr>
              <w:rFonts w:hint="eastAsia" w:ascii="Times New Roman" w:hAnsi="Times New Roman" w:eastAsia="黑体"/>
              <w:highlight w:val="none"/>
            </w:rPr>
            <w:t>般公共预算财政拨款支出决算情况说明</w:t>
          </w:r>
          <w:r>
            <w:tab/>
          </w:r>
          <w:r>
            <w:fldChar w:fldCharType="begin"/>
          </w:r>
          <w:r>
            <w:instrText xml:space="preserve"> PAGEREF _Toc4718 \h </w:instrText>
          </w:r>
          <w:r>
            <w:fldChar w:fldCharType="separate"/>
          </w:r>
          <w:r>
            <w:t>9</w:t>
          </w:r>
          <w:r>
            <w:fldChar w:fldCharType="end"/>
          </w:r>
          <w:r>
            <w:fldChar w:fldCharType="end"/>
          </w:r>
        </w:p>
        <w:p w14:paraId="253F40C6">
          <w:pPr>
            <w:pStyle w:val="9"/>
            <w:tabs>
              <w:tab w:val="right" w:leader="dot" w:pos="8306"/>
              <w:tab w:val="clear" w:pos="8296"/>
            </w:tabs>
          </w:pPr>
          <w:r>
            <w:fldChar w:fldCharType="begin"/>
          </w:r>
          <w:r>
            <w:instrText xml:space="preserve"> HYPERLINK \l _Toc2914 </w:instrText>
          </w:r>
          <w:r>
            <w:fldChar w:fldCharType="separate"/>
          </w:r>
          <w:r>
            <w:rPr>
              <w:rFonts w:hint="eastAsia" w:ascii="Times New Roman" w:hAnsi="Times New Roman" w:eastAsia="楷体_GB2312" w:cs="楷体_GB2312"/>
              <w:szCs w:val="32"/>
              <w:highlight w:val="none"/>
            </w:rPr>
            <w:t>（一）一般公共预算财政拨款支出决算总体情况</w:t>
          </w:r>
          <w:r>
            <w:tab/>
          </w:r>
          <w:r>
            <w:fldChar w:fldCharType="begin"/>
          </w:r>
          <w:r>
            <w:instrText xml:space="preserve"> PAGEREF _Toc2914 \h </w:instrText>
          </w:r>
          <w:r>
            <w:fldChar w:fldCharType="separate"/>
          </w:r>
          <w:r>
            <w:t>9</w:t>
          </w:r>
          <w:r>
            <w:fldChar w:fldCharType="end"/>
          </w:r>
          <w:r>
            <w:fldChar w:fldCharType="end"/>
          </w:r>
        </w:p>
        <w:p w14:paraId="1291854E">
          <w:pPr>
            <w:pStyle w:val="9"/>
            <w:tabs>
              <w:tab w:val="right" w:leader="dot" w:pos="8306"/>
              <w:tab w:val="clear" w:pos="8296"/>
            </w:tabs>
          </w:pPr>
          <w:r>
            <w:fldChar w:fldCharType="begin"/>
          </w:r>
          <w:r>
            <w:instrText xml:space="preserve"> HYPERLINK \l _Toc17008 </w:instrText>
          </w:r>
          <w:r>
            <w:fldChar w:fldCharType="separate"/>
          </w:r>
          <w:r>
            <w:rPr>
              <w:rFonts w:hint="eastAsia" w:ascii="Times New Roman" w:hAnsi="Times New Roman" w:eastAsia="楷体_GB2312" w:cs="楷体_GB2312"/>
              <w:szCs w:val="32"/>
              <w:highlight w:val="none"/>
            </w:rPr>
            <w:t>（二）一般公共预算财政拨款支出决算结构情况</w:t>
          </w:r>
          <w:r>
            <w:tab/>
          </w:r>
          <w:r>
            <w:fldChar w:fldCharType="begin"/>
          </w:r>
          <w:r>
            <w:instrText xml:space="preserve"> PAGEREF _Toc17008 \h </w:instrText>
          </w:r>
          <w:r>
            <w:fldChar w:fldCharType="separate"/>
          </w:r>
          <w:r>
            <w:t>10</w:t>
          </w:r>
          <w:r>
            <w:fldChar w:fldCharType="end"/>
          </w:r>
          <w:r>
            <w:fldChar w:fldCharType="end"/>
          </w:r>
        </w:p>
        <w:p w14:paraId="0A530D13">
          <w:pPr>
            <w:pStyle w:val="9"/>
            <w:tabs>
              <w:tab w:val="right" w:leader="dot" w:pos="8306"/>
              <w:tab w:val="clear" w:pos="8296"/>
            </w:tabs>
          </w:pPr>
          <w:r>
            <w:fldChar w:fldCharType="begin"/>
          </w:r>
          <w:r>
            <w:instrText xml:space="preserve"> HYPERLINK \l _Toc11121 </w:instrText>
          </w:r>
          <w:r>
            <w:fldChar w:fldCharType="separate"/>
          </w:r>
          <w:r>
            <w:rPr>
              <w:rFonts w:hint="eastAsia" w:ascii="Times New Roman" w:hAnsi="Times New Roman" w:eastAsia="楷体_GB2312" w:cs="楷体_GB2312"/>
              <w:szCs w:val="32"/>
              <w:highlight w:val="none"/>
            </w:rPr>
            <w:t>（三）一般公共预算财政拨款支出决算具体情况</w:t>
          </w:r>
          <w:r>
            <w:tab/>
          </w:r>
          <w:r>
            <w:fldChar w:fldCharType="begin"/>
          </w:r>
          <w:r>
            <w:instrText xml:space="preserve"> PAGEREF _Toc11121 \h </w:instrText>
          </w:r>
          <w:r>
            <w:fldChar w:fldCharType="separate"/>
          </w:r>
          <w:r>
            <w:t>11</w:t>
          </w:r>
          <w:r>
            <w:fldChar w:fldCharType="end"/>
          </w:r>
          <w:r>
            <w:fldChar w:fldCharType="end"/>
          </w:r>
        </w:p>
        <w:p w14:paraId="09D7121D">
          <w:pPr>
            <w:pStyle w:val="14"/>
            <w:tabs>
              <w:tab w:val="right" w:leader="dot" w:pos="8306"/>
              <w:tab w:val="clear" w:pos="8296"/>
            </w:tabs>
          </w:pPr>
          <w:r>
            <w:fldChar w:fldCharType="begin"/>
          </w:r>
          <w:r>
            <w:instrText xml:space="preserve"> HYPERLINK \l _Toc10780 </w:instrText>
          </w:r>
          <w:r>
            <w:fldChar w:fldCharType="separate"/>
          </w:r>
          <w:r>
            <w:rPr>
              <w:rFonts w:hint="eastAsia" w:ascii="Times New Roman" w:hAnsi="Times New Roman" w:eastAsia="黑体"/>
              <w:szCs w:val="32"/>
              <w:highlight w:val="none"/>
            </w:rPr>
            <w:t>六、一</w:t>
          </w:r>
          <w:r>
            <w:rPr>
              <w:rFonts w:hint="eastAsia" w:ascii="Times New Roman" w:hAnsi="Times New Roman" w:eastAsia="黑体"/>
              <w:highlight w:val="none"/>
            </w:rPr>
            <w:t>般公共预算财政拨款基本支出决算情况说明</w:t>
          </w:r>
          <w:r>
            <w:tab/>
          </w:r>
          <w:r>
            <w:fldChar w:fldCharType="begin"/>
          </w:r>
          <w:r>
            <w:instrText xml:space="preserve"> PAGEREF _Toc10780 \h </w:instrText>
          </w:r>
          <w:r>
            <w:fldChar w:fldCharType="separate"/>
          </w:r>
          <w:r>
            <w:t>12</w:t>
          </w:r>
          <w:r>
            <w:fldChar w:fldCharType="end"/>
          </w:r>
          <w:r>
            <w:fldChar w:fldCharType="end"/>
          </w:r>
        </w:p>
        <w:p w14:paraId="3CF82E82">
          <w:pPr>
            <w:pStyle w:val="14"/>
            <w:tabs>
              <w:tab w:val="right" w:leader="dot" w:pos="8306"/>
              <w:tab w:val="clear" w:pos="8296"/>
            </w:tabs>
          </w:pPr>
          <w:r>
            <w:fldChar w:fldCharType="begin"/>
          </w:r>
          <w:r>
            <w:instrText xml:space="preserve"> HYPERLINK \l _Toc5249 </w:instrText>
          </w:r>
          <w:r>
            <w:fldChar w:fldCharType="separate"/>
          </w:r>
          <w:r>
            <w:rPr>
              <w:rFonts w:hint="eastAsia" w:ascii="Times New Roman" w:hAnsi="Times New Roman" w:eastAsia="黑体"/>
              <w:szCs w:val="32"/>
              <w:highlight w:val="none"/>
            </w:rPr>
            <w:t>七、</w:t>
          </w:r>
          <w:r>
            <w:rPr>
              <w:rFonts w:hint="eastAsia" w:ascii="Times New Roman" w:hAnsi="Times New Roman" w:eastAsia="黑体"/>
              <w:highlight w:val="none"/>
            </w:rPr>
            <w:t>财政拨款“三公”经费支出决算情况说明</w:t>
          </w:r>
          <w:r>
            <w:tab/>
          </w:r>
          <w:r>
            <w:fldChar w:fldCharType="begin"/>
          </w:r>
          <w:r>
            <w:instrText xml:space="preserve"> PAGEREF _Toc5249 \h </w:instrText>
          </w:r>
          <w:r>
            <w:fldChar w:fldCharType="separate"/>
          </w:r>
          <w:r>
            <w:t>13</w:t>
          </w:r>
          <w:r>
            <w:fldChar w:fldCharType="end"/>
          </w:r>
          <w:r>
            <w:fldChar w:fldCharType="end"/>
          </w:r>
        </w:p>
        <w:p w14:paraId="73DDD0FC">
          <w:pPr>
            <w:pStyle w:val="9"/>
            <w:tabs>
              <w:tab w:val="right" w:leader="dot" w:pos="8306"/>
              <w:tab w:val="clear" w:pos="8296"/>
            </w:tabs>
          </w:pPr>
          <w:r>
            <w:fldChar w:fldCharType="begin"/>
          </w:r>
          <w:r>
            <w:instrText xml:space="preserve"> HYPERLINK \l _Toc10195 </w:instrText>
          </w:r>
          <w:r>
            <w:fldChar w:fldCharType="separate"/>
          </w:r>
          <w:r>
            <w:rPr>
              <w:rFonts w:hint="eastAsia" w:ascii="Times New Roman" w:hAnsi="Times New Roman" w:eastAsia="楷体_GB2312" w:cs="楷体_GB2312"/>
              <w:szCs w:val="32"/>
              <w:highlight w:val="none"/>
            </w:rPr>
            <w:t>（一）“三公”经费财政拨款支出决算总体情况说明</w:t>
          </w:r>
          <w:r>
            <w:tab/>
          </w:r>
          <w:r>
            <w:fldChar w:fldCharType="begin"/>
          </w:r>
          <w:r>
            <w:instrText xml:space="preserve"> PAGEREF _Toc10195 \h </w:instrText>
          </w:r>
          <w:r>
            <w:fldChar w:fldCharType="separate"/>
          </w:r>
          <w:r>
            <w:t>13</w:t>
          </w:r>
          <w:r>
            <w:fldChar w:fldCharType="end"/>
          </w:r>
          <w:r>
            <w:fldChar w:fldCharType="end"/>
          </w:r>
        </w:p>
        <w:p w14:paraId="5D3CD4D5">
          <w:pPr>
            <w:pStyle w:val="9"/>
            <w:tabs>
              <w:tab w:val="right" w:leader="dot" w:pos="8306"/>
              <w:tab w:val="clear" w:pos="8296"/>
            </w:tabs>
          </w:pPr>
          <w:r>
            <w:fldChar w:fldCharType="begin"/>
          </w:r>
          <w:r>
            <w:instrText xml:space="preserve"> HYPERLINK \l _Toc9551 </w:instrText>
          </w:r>
          <w:r>
            <w:fldChar w:fldCharType="separate"/>
          </w:r>
          <w:r>
            <w:rPr>
              <w:rFonts w:hint="eastAsia" w:ascii="Times New Roman" w:hAnsi="Times New Roman" w:eastAsia="楷体_GB2312" w:cs="楷体_GB2312"/>
              <w:szCs w:val="32"/>
              <w:highlight w:val="none"/>
            </w:rPr>
            <w:t>（二）“三公”经费财政拨款支出决算具体情况说明</w:t>
          </w:r>
          <w:r>
            <w:tab/>
          </w:r>
          <w:r>
            <w:fldChar w:fldCharType="begin"/>
          </w:r>
          <w:r>
            <w:instrText xml:space="preserve"> PAGEREF _Toc9551 \h </w:instrText>
          </w:r>
          <w:r>
            <w:fldChar w:fldCharType="separate"/>
          </w:r>
          <w:r>
            <w:t>13</w:t>
          </w:r>
          <w:r>
            <w:fldChar w:fldCharType="end"/>
          </w:r>
          <w:r>
            <w:fldChar w:fldCharType="end"/>
          </w:r>
        </w:p>
        <w:p w14:paraId="69AC6343">
          <w:pPr>
            <w:pStyle w:val="14"/>
            <w:tabs>
              <w:tab w:val="right" w:leader="dot" w:pos="8306"/>
              <w:tab w:val="clear" w:pos="8296"/>
            </w:tabs>
          </w:pPr>
          <w:r>
            <w:fldChar w:fldCharType="begin"/>
          </w:r>
          <w:r>
            <w:instrText xml:space="preserve"> HYPERLINK \l _Toc14769 </w:instrText>
          </w:r>
          <w:r>
            <w:fldChar w:fldCharType="separate"/>
          </w:r>
          <w:r>
            <w:rPr>
              <w:rFonts w:hint="eastAsia" w:ascii="Times New Roman" w:hAnsi="Times New Roman" w:eastAsia="黑体"/>
              <w:szCs w:val="32"/>
              <w:highlight w:val="none"/>
            </w:rPr>
            <w:t>八、</w:t>
          </w:r>
          <w:r>
            <w:rPr>
              <w:rFonts w:hint="eastAsia" w:ascii="Times New Roman" w:hAnsi="Times New Roman" w:eastAsia="黑体"/>
              <w:highlight w:val="none"/>
            </w:rPr>
            <w:t>政府性基金预算支出决算情况说明</w:t>
          </w:r>
          <w:r>
            <w:tab/>
          </w:r>
          <w:r>
            <w:fldChar w:fldCharType="begin"/>
          </w:r>
          <w:r>
            <w:instrText xml:space="preserve"> PAGEREF _Toc14769 \h </w:instrText>
          </w:r>
          <w:r>
            <w:fldChar w:fldCharType="separate"/>
          </w:r>
          <w:r>
            <w:t>15</w:t>
          </w:r>
          <w:r>
            <w:fldChar w:fldCharType="end"/>
          </w:r>
          <w:r>
            <w:fldChar w:fldCharType="end"/>
          </w:r>
        </w:p>
        <w:p w14:paraId="43AB1CFA">
          <w:pPr>
            <w:pStyle w:val="14"/>
            <w:tabs>
              <w:tab w:val="right" w:leader="dot" w:pos="8306"/>
              <w:tab w:val="clear" w:pos="8296"/>
            </w:tabs>
          </w:pPr>
          <w:r>
            <w:fldChar w:fldCharType="begin"/>
          </w:r>
          <w:r>
            <w:instrText xml:space="preserve"> HYPERLINK \l _Toc31862 </w:instrText>
          </w:r>
          <w:r>
            <w:fldChar w:fldCharType="separate"/>
          </w:r>
          <w:r>
            <w:rPr>
              <w:rFonts w:hint="eastAsia" w:ascii="Times New Roman" w:hAnsi="Times New Roman" w:eastAsia="黑体"/>
              <w:highlight w:val="none"/>
              <w:lang w:eastAsia="zh-CN"/>
            </w:rPr>
            <w:t>九、</w:t>
          </w:r>
          <w:r>
            <w:rPr>
              <w:rFonts w:hint="eastAsia" w:ascii="Times New Roman" w:hAnsi="Times New Roman" w:eastAsia="黑体"/>
              <w:highlight w:val="none"/>
            </w:rPr>
            <w:t>国有资本经营预算支出决算情况说明</w:t>
          </w:r>
          <w:r>
            <w:tab/>
          </w:r>
          <w:r>
            <w:fldChar w:fldCharType="begin"/>
          </w:r>
          <w:r>
            <w:instrText xml:space="preserve"> PAGEREF _Toc31862 \h </w:instrText>
          </w:r>
          <w:r>
            <w:fldChar w:fldCharType="separate"/>
          </w:r>
          <w:r>
            <w:t>15</w:t>
          </w:r>
          <w:r>
            <w:fldChar w:fldCharType="end"/>
          </w:r>
          <w:r>
            <w:fldChar w:fldCharType="end"/>
          </w:r>
        </w:p>
        <w:p w14:paraId="720A0DB9">
          <w:pPr>
            <w:pStyle w:val="14"/>
            <w:tabs>
              <w:tab w:val="right" w:leader="dot" w:pos="8306"/>
              <w:tab w:val="clear" w:pos="8296"/>
            </w:tabs>
          </w:pPr>
          <w:r>
            <w:fldChar w:fldCharType="begin"/>
          </w:r>
          <w:r>
            <w:instrText xml:space="preserve"> HYPERLINK \l _Toc26205 </w:instrText>
          </w:r>
          <w:r>
            <w:fldChar w:fldCharType="separate"/>
          </w:r>
          <w:r>
            <w:rPr>
              <w:rFonts w:hint="eastAsia" w:ascii="Times New Roman" w:hAnsi="Times New Roman" w:eastAsia="黑体"/>
              <w:highlight w:val="none"/>
              <w:lang w:eastAsia="zh-CN"/>
            </w:rPr>
            <w:t>十、</w:t>
          </w:r>
          <w:r>
            <w:rPr>
              <w:rFonts w:hint="eastAsia" w:ascii="Times New Roman" w:hAnsi="Times New Roman" w:eastAsia="黑体"/>
              <w:highlight w:val="none"/>
            </w:rPr>
            <w:t>其他重要事项的情况说明</w:t>
          </w:r>
          <w:r>
            <w:tab/>
          </w:r>
          <w:r>
            <w:fldChar w:fldCharType="begin"/>
          </w:r>
          <w:r>
            <w:instrText xml:space="preserve"> PAGEREF _Toc26205 \h </w:instrText>
          </w:r>
          <w:r>
            <w:fldChar w:fldCharType="separate"/>
          </w:r>
          <w:r>
            <w:t>15</w:t>
          </w:r>
          <w:r>
            <w:fldChar w:fldCharType="end"/>
          </w:r>
          <w:r>
            <w:fldChar w:fldCharType="end"/>
          </w:r>
        </w:p>
        <w:p w14:paraId="1B8548F3">
          <w:pPr>
            <w:pStyle w:val="9"/>
            <w:tabs>
              <w:tab w:val="right" w:leader="dot" w:pos="8306"/>
              <w:tab w:val="clear" w:pos="8296"/>
            </w:tabs>
          </w:pPr>
          <w:r>
            <w:fldChar w:fldCharType="begin"/>
          </w:r>
          <w:r>
            <w:instrText xml:space="preserve"> HYPERLINK \l _Toc3909 </w:instrText>
          </w:r>
          <w:r>
            <w:fldChar w:fldCharType="separate"/>
          </w:r>
          <w:r>
            <w:rPr>
              <w:rFonts w:hint="eastAsia" w:ascii="Times New Roman" w:hAnsi="Times New Roman" w:eastAsia="楷体_GB2312" w:cs="楷体_GB2312"/>
              <w:szCs w:val="32"/>
              <w:highlight w:val="none"/>
            </w:rPr>
            <w:t>（一）机关运行经费支出情况</w:t>
          </w:r>
          <w:r>
            <w:tab/>
          </w:r>
          <w:r>
            <w:fldChar w:fldCharType="begin"/>
          </w:r>
          <w:r>
            <w:instrText xml:space="preserve"> PAGEREF _Toc3909 \h </w:instrText>
          </w:r>
          <w:r>
            <w:fldChar w:fldCharType="separate"/>
          </w:r>
          <w:r>
            <w:t>15</w:t>
          </w:r>
          <w:r>
            <w:fldChar w:fldCharType="end"/>
          </w:r>
          <w:r>
            <w:fldChar w:fldCharType="end"/>
          </w:r>
        </w:p>
        <w:p w14:paraId="16F2D7F9">
          <w:pPr>
            <w:pStyle w:val="9"/>
            <w:tabs>
              <w:tab w:val="right" w:leader="dot" w:pos="8306"/>
              <w:tab w:val="clear" w:pos="8296"/>
            </w:tabs>
          </w:pPr>
          <w:r>
            <w:fldChar w:fldCharType="begin"/>
          </w:r>
          <w:r>
            <w:instrText xml:space="preserve"> HYPERLINK \l _Toc13257 </w:instrText>
          </w:r>
          <w:r>
            <w:fldChar w:fldCharType="separate"/>
          </w:r>
          <w:r>
            <w:rPr>
              <w:rFonts w:hint="eastAsia" w:ascii="Times New Roman" w:hAnsi="Times New Roman" w:eastAsia="楷体_GB2312" w:cs="楷体_GB2312"/>
              <w:szCs w:val="32"/>
              <w:highlight w:val="none"/>
            </w:rPr>
            <w:t>（二）政府采购支出情况</w:t>
          </w:r>
          <w:r>
            <w:tab/>
          </w:r>
          <w:r>
            <w:fldChar w:fldCharType="begin"/>
          </w:r>
          <w:r>
            <w:instrText xml:space="preserve"> PAGEREF _Toc13257 \h </w:instrText>
          </w:r>
          <w:r>
            <w:fldChar w:fldCharType="separate"/>
          </w:r>
          <w:r>
            <w:t>15</w:t>
          </w:r>
          <w:r>
            <w:fldChar w:fldCharType="end"/>
          </w:r>
          <w:r>
            <w:fldChar w:fldCharType="end"/>
          </w:r>
        </w:p>
        <w:p w14:paraId="2F8DD638">
          <w:pPr>
            <w:pStyle w:val="9"/>
            <w:tabs>
              <w:tab w:val="right" w:leader="dot" w:pos="8306"/>
              <w:tab w:val="clear" w:pos="8296"/>
            </w:tabs>
          </w:pPr>
          <w:r>
            <w:fldChar w:fldCharType="begin"/>
          </w:r>
          <w:r>
            <w:instrText xml:space="preserve"> HYPERLINK \l _Toc11318 </w:instrText>
          </w:r>
          <w:r>
            <w:fldChar w:fldCharType="separate"/>
          </w:r>
          <w:r>
            <w:rPr>
              <w:rFonts w:hint="eastAsia" w:ascii="Times New Roman" w:hAnsi="Times New Roman" w:eastAsia="楷体_GB2312" w:cs="楷体_GB2312"/>
              <w:szCs w:val="32"/>
              <w:highlight w:val="none"/>
            </w:rPr>
            <w:t>（三）国有资产占有使用情况</w:t>
          </w:r>
          <w:r>
            <w:tab/>
          </w:r>
          <w:r>
            <w:fldChar w:fldCharType="begin"/>
          </w:r>
          <w:r>
            <w:instrText xml:space="preserve"> PAGEREF _Toc11318 \h </w:instrText>
          </w:r>
          <w:r>
            <w:fldChar w:fldCharType="separate"/>
          </w:r>
          <w:r>
            <w:t>16</w:t>
          </w:r>
          <w:r>
            <w:fldChar w:fldCharType="end"/>
          </w:r>
          <w:r>
            <w:fldChar w:fldCharType="end"/>
          </w:r>
        </w:p>
        <w:p w14:paraId="007F5141">
          <w:pPr>
            <w:pStyle w:val="9"/>
            <w:tabs>
              <w:tab w:val="right" w:leader="dot" w:pos="8306"/>
              <w:tab w:val="clear" w:pos="8296"/>
            </w:tabs>
          </w:pPr>
          <w:r>
            <w:fldChar w:fldCharType="begin"/>
          </w:r>
          <w:r>
            <w:instrText xml:space="preserve"> HYPERLINK \l _Toc1525 </w:instrText>
          </w:r>
          <w:r>
            <w:fldChar w:fldCharType="separate"/>
          </w:r>
          <w:r>
            <w:rPr>
              <w:rFonts w:hint="eastAsia" w:ascii="Times New Roman" w:hAnsi="Times New Roman" w:eastAsia="楷体_GB2312" w:cs="楷体_GB2312"/>
              <w:szCs w:val="32"/>
              <w:highlight w:val="none"/>
            </w:rPr>
            <w:t>（四）预算绩效管理情况</w:t>
          </w:r>
          <w:r>
            <w:tab/>
          </w:r>
          <w:r>
            <w:fldChar w:fldCharType="begin"/>
          </w:r>
          <w:r>
            <w:instrText xml:space="preserve"> PAGEREF _Toc1525 \h </w:instrText>
          </w:r>
          <w:r>
            <w:fldChar w:fldCharType="separate"/>
          </w:r>
          <w:r>
            <w:t>16</w:t>
          </w:r>
          <w:r>
            <w:fldChar w:fldCharType="end"/>
          </w:r>
          <w:r>
            <w:fldChar w:fldCharType="end"/>
          </w:r>
        </w:p>
        <w:p w14:paraId="7932B305">
          <w:pPr>
            <w:pStyle w:val="13"/>
            <w:tabs>
              <w:tab w:val="right" w:leader="dot" w:pos="8306"/>
              <w:tab w:val="clear" w:pos="8296"/>
            </w:tabs>
          </w:pPr>
          <w:r>
            <w:fldChar w:fldCharType="begin"/>
          </w:r>
          <w:r>
            <w:instrText xml:space="preserve"> HYPERLINK \l _Toc4308 </w:instrText>
          </w:r>
          <w:r>
            <w:fldChar w:fldCharType="separate"/>
          </w:r>
          <w:r>
            <w:rPr>
              <w:rFonts w:hint="eastAsia" w:ascii="Times New Roman" w:hAnsi="Times New Roman" w:eastAsia="黑体"/>
              <w:szCs w:val="44"/>
              <w:highlight w:val="none"/>
            </w:rPr>
            <w:t>第</w:t>
          </w:r>
          <w:r>
            <w:rPr>
              <w:rFonts w:hint="eastAsia" w:eastAsia="黑体"/>
              <w:szCs w:val="44"/>
              <w:highlight w:val="none"/>
              <w:lang w:eastAsia="zh-CN"/>
            </w:rPr>
            <w:t>三</w:t>
          </w:r>
          <w:r>
            <w:rPr>
              <w:rFonts w:hint="eastAsia" w:ascii="Times New Roman" w:hAnsi="Times New Roman" w:eastAsia="黑体"/>
              <w:szCs w:val="44"/>
              <w:highlight w:val="none"/>
            </w:rPr>
            <w:t>部分</w:t>
          </w:r>
          <w:r>
            <w:rPr>
              <w:rFonts w:hint="eastAsia" w:ascii="Times New Roman" w:hAnsi="Times New Roman" w:eastAsia="黑体"/>
              <w:szCs w:val="44"/>
              <w:highlight w:val="none"/>
              <w:lang w:val="en-US" w:eastAsia="zh-CN"/>
            </w:rPr>
            <w:t xml:space="preserve"> </w:t>
          </w:r>
          <w:r>
            <w:rPr>
              <w:rFonts w:hint="eastAsia" w:eastAsia="黑体"/>
              <w:szCs w:val="44"/>
              <w:highlight w:val="none"/>
              <w:lang w:val="en-US" w:eastAsia="zh-CN"/>
            </w:rPr>
            <w:t xml:space="preserve"> </w:t>
          </w:r>
          <w:r>
            <w:rPr>
              <w:rFonts w:hint="eastAsia" w:ascii="Times New Roman" w:hAnsi="Times New Roman" w:eastAsia="黑体"/>
              <w:szCs w:val="44"/>
              <w:highlight w:val="none"/>
            </w:rPr>
            <w:t>名词解释</w:t>
          </w:r>
          <w:r>
            <w:tab/>
          </w:r>
          <w:r>
            <w:fldChar w:fldCharType="begin"/>
          </w:r>
          <w:r>
            <w:instrText xml:space="preserve"> PAGEREF _Toc4308 \h </w:instrText>
          </w:r>
          <w:r>
            <w:fldChar w:fldCharType="separate"/>
          </w:r>
          <w:r>
            <w:t>16</w:t>
          </w:r>
          <w:r>
            <w:fldChar w:fldCharType="end"/>
          </w:r>
          <w:r>
            <w:fldChar w:fldCharType="end"/>
          </w:r>
        </w:p>
        <w:p w14:paraId="2B7BA3F6">
          <w:pPr>
            <w:pStyle w:val="13"/>
            <w:tabs>
              <w:tab w:val="right" w:leader="dot" w:pos="8306"/>
              <w:tab w:val="clear" w:pos="8296"/>
            </w:tabs>
            <w:jc w:val="both"/>
          </w:pPr>
          <w:r>
            <w:fldChar w:fldCharType="begin"/>
          </w:r>
          <w:r>
            <w:instrText xml:space="preserve"> HYPERLINK \l _Toc20834 </w:instrText>
          </w:r>
          <w:r>
            <w:fldChar w:fldCharType="separate"/>
          </w:r>
          <w:r>
            <w:rPr>
              <w:rFonts w:hint="eastAsia" w:ascii="Times New Roman" w:hAnsi="Times New Roman" w:eastAsia="方正小标宋简体" w:cs="方正小标宋简体"/>
              <w:highlight w:val="none"/>
            </w:rPr>
            <w:t>第五部分 附表</w:t>
          </w:r>
          <w:r>
            <w:tab/>
          </w:r>
          <w:r>
            <w:fldChar w:fldCharType="begin"/>
          </w:r>
          <w:r>
            <w:instrText xml:space="preserve"> PAGEREF _Toc20834 \h </w:instrText>
          </w:r>
          <w:r>
            <w:fldChar w:fldCharType="separate"/>
          </w:r>
          <w:r>
            <w:t>46</w:t>
          </w:r>
          <w:r>
            <w:fldChar w:fldCharType="end"/>
          </w:r>
          <w:r>
            <w:fldChar w:fldCharType="end"/>
          </w:r>
        </w:p>
        <w:p w14:paraId="4BC4FDBE">
          <w:pPr>
            <w:pStyle w:val="14"/>
            <w:tabs>
              <w:tab w:val="right" w:leader="dot" w:pos="8306"/>
              <w:tab w:val="clear" w:pos="8296"/>
            </w:tabs>
          </w:pPr>
          <w:r>
            <w:fldChar w:fldCharType="begin"/>
          </w:r>
          <w:r>
            <w:instrText xml:space="preserve"> HYPERLINK \l _Toc18323 </w:instrText>
          </w:r>
          <w:r>
            <w:fldChar w:fldCharType="separate"/>
          </w:r>
          <w:r>
            <w:rPr>
              <w:rFonts w:hint="eastAsia" w:ascii="Times New Roman" w:hAnsi="Times New Roman" w:eastAsia="黑体"/>
              <w:highlight w:val="none"/>
              <w:lang w:val="en-US" w:eastAsia="zh-CN"/>
            </w:rPr>
            <w:t>一、收入支出决算总表</w:t>
          </w:r>
          <w:r>
            <w:tab/>
          </w:r>
          <w:r>
            <w:fldChar w:fldCharType="begin"/>
          </w:r>
          <w:r>
            <w:instrText xml:space="preserve"> PAGEREF _Toc18323 \h </w:instrText>
          </w:r>
          <w:r>
            <w:fldChar w:fldCharType="separate"/>
          </w:r>
          <w:r>
            <w:t>47</w:t>
          </w:r>
          <w:r>
            <w:fldChar w:fldCharType="end"/>
          </w:r>
          <w:r>
            <w:fldChar w:fldCharType="end"/>
          </w:r>
        </w:p>
        <w:p w14:paraId="39FD6F91">
          <w:pPr>
            <w:pStyle w:val="14"/>
            <w:tabs>
              <w:tab w:val="right" w:leader="dot" w:pos="8306"/>
              <w:tab w:val="clear" w:pos="8296"/>
            </w:tabs>
          </w:pPr>
          <w:r>
            <w:fldChar w:fldCharType="begin"/>
          </w:r>
          <w:r>
            <w:instrText xml:space="preserve"> HYPERLINK \l _Toc32582 </w:instrText>
          </w:r>
          <w:r>
            <w:fldChar w:fldCharType="separate"/>
          </w:r>
          <w:r>
            <w:rPr>
              <w:rFonts w:hint="eastAsia" w:ascii="Times New Roman" w:hAnsi="Times New Roman" w:eastAsia="黑体"/>
              <w:highlight w:val="none"/>
              <w:lang w:val="en-US" w:eastAsia="zh-CN"/>
            </w:rPr>
            <w:t>二、收入决算表</w:t>
          </w:r>
          <w:r>
            <w:tab/>
          </w:r>
          <w:r>
            <w:fldChar w:fldCharType="begin"/>
          </w:r>
          <w:r>
            <w:instrText xml:space="preserve"> PAGEREF _Toc32582 \h </w:instrText>
          </w:r>
          <w:r>
            <w:fldChar w:fldCharType="separate"/>
          </w:r>
          <w:r>
            <w:t>47</w:t>
          </w:r>
          <w:r>
            <w:fldChar w:fldCharType="end"/>
          </w:r>
          <w:r>
            <w:fldChar w:fldCharType="end"/>
          </w:r>
        </w:p>
        <w:p w14:paraId="7EB76813">
          <w:pPr>
            <w:pStyle w:val="14"/>
            <w:tabs>
              <w:tab w:val="right" w:leader="dot" w:pos="8306"/>
              <w:tab w:val="clear" w:pos="8296"/>
            </w:tabs>
          </w:pPr>
          <w:r>
            <w:fldChar w:fldCharType="begin"/>
          </w:r>
          <w:r>
            <w:instrText xml:space="preserve"> HYPERLINK \l _Toc19215 </w:instrText>
          </w:r>
          <w:r>
            <w:fldChar w:fldCharType="separate"/>
          </w:r>
          <w:r>
            <w:rPr>
              <w:rFonts w:hint="eastAsia" w:ascii="Times New Roman" w:hAnsi="Times New Roman" w:eastAsia="黑体"/>
              <w:highlight w:val="none"/>
              <w:lang w:val="en-US" w:eastAsia="zh-CN"/>
            </w:rPr>
            <w:t>三、支出决算表</w:t>
          </w:r>
          <w:r>
            <w:tab/>
          </w:r>
          <w:r>
            <w:fldChar w:fldCharType="begin"/>
          </w:r>
          <w:r>
            <w:instrText xml:space="preserve"> PAGEREF _Toc19215 \h </w:instrText>
          </w:r>
          <w:r>
            <w:fldChar w:fldCharType="separate"/>
          </w:r>
          <w:r>
            <w:t>47</w:t>
          </w:r>
          <w:r>
            <w:fldChar w:fldCharType="end"/>
          </w:r>
          <w:r>
            <w:fldChar w:fldCharType="end"/>
          </w:r>
        </w:p>
        <w:p w14:paraId="12F998D2">
          <w:pPr>
            <w:pStyle w:val="14"/>
            <w:tabs>
              <w:tab w:val="right" w:leader="dot" w:pos="8306"/>
              <w:tab w:val="clear" w:pos="8296"/>
            </w:tabs>
          </w:pPr>
          <w:r>
            <w:fldChar w:fldCharType="begin"/>
          </w:r>
          <w:r>
            <w:instrText xml:space="preserve"> HYPERLINK \l _Toc2557 </w:instrText>
          </w:r>
          <w:r>
            <w:fldChar w:fldCharType="separate"/>
          </w:r>
          <w:r>
            <w:rPr>
              <w:rFonts w:hint="eastAsia" w:ascii="Times New Roman" w:hAnsi="Times New Roman" w:eastAsia="黑体"/>
              <w:highlight w:val="none"/>
              <w:lang w:val="en-US" w:eastAsia="zh-CN"/>
            </w:rPr>
            <w:t>四、财政拨款收入支出决算总表</w:t>
          </w:r>
          <w:r>
            <w:tab/>
          </w:r>
          <w:r>
            <w:fldChar w:fldCharType="begin"/>
          </w:r>
          <w:r>
            <w:instrText xml:space="preserve"> PAGEREF _Toc2557 \h </w:instrText>
          </w:r>
          <w:r>
            <w:fldChar w:fldCharType="separate"/>
          </w:r>
          <w:r>
            <w:t>47</w:t>
          </w:r>
          <w:r>
            <w:fldChar w:fldCharType="end"/>
          </w:r>
          <w:r>
            <w:fldChar w:fldCharType="end"/>
          </w:r>
        </w:p>
        <w:p w14:paraId="014A5E47">
          <w:pPr>
            <w:pStyle w:val="14"/>
            <w:tabs>
              <w:tab w:val="right" w:leader="dot" w:pos="8306"/>
              <w:tab w:val="clear" w:pos="8296"/>
            </w:tabs>
          </w:pPr>
          <w:r>
            <w:fldChar w:fldCharType="begin"/>
          </w:r>
          <w:r>
            <w:instrText xml:space="preserve"> HYPERLINK \l _Toc13699 </w:instrText>
          </w:r>
          <w:r>
            <w:fldChar w:fldCharType="separate"/>
          </w:r>
          <w:r>
            <w:rPr>
              <w:rFonts w:hint="eastAsia" w:ascii="Times New Roman" w:hAnsi="Times New Roman" w:eastAsia="黑体"/>
              <w:highlight w:val="none"/>
              <w:lang w:val="en-US" w:eastAsia="zh-CN"/>
            </w:rPr>
            <w:t>五、财政拨款支出决算明细表</w:t>
          </w:r>
          <w:r>
            <w:tab/>
          </w:r>
          <w:r>
            <w:fldChar w:fldCharType="begin"/>
          </w:r>
          <w:r>
            <w:instrText xml:space="preserve"> PAGEREF _Toc13699 \h </w:instrText>
          </w:r>
          <w:r>
            <w:fldChar w:fldCharType="separate"/>
          </w:r>
          <w:r>
            <w:t>47</w:t>
          </w:r>
          <w:r>
            <w:fldChar w:fldCharType="end"/>
          </w:r>
          <w:r>
            <w:fldChar w:fldCharType="end"/>
          </w:r>
        </w:p>
        <w:p w14:paraId="512B0F0D">
          <w:pPr>
            <w:pStyle w:val="14"/>
            <w:tabs>
              <w:tab w:val="right" w:leader="dot" w:pos="8306"/>
              <w:tab w:val="clear" w:pos="8296"/>
            </w:tabs>
          </w:pPr>
          <w:r>
            <w:fldChar w:fldCharType="begin"/>
          </w:r>
          <w:r>
            <w:instrText xml:space="preserve"> HYPERLINK \l _Toc19565 </w:instrText>
          </w:r>
          <w:r>
            <w:fldChar w:fldCharType="separate"/>
          </w:r>
          <w:r>
            <w:rPr>
              <w:rFonts w:hint="eastAsia" w:ascii="Times New Roman" w:hAnsi="Times New Roman" w:eastAsia="黑体"/>
              <w:highlight w:val="none"/>
              <w:lang w:val="en-US" w:eastAsia="zh-CN"/>
            </w:rPr>
            <w:t>六、一般公共预算财政拨款支出决算表</w:t>
          </w:r>
          <w:r>
            <w:tab/>
          </w:r>
          <w:r>
            <w:fldChar w:fldCharType="begin"/>
          </w:r>
          <w:r>
            <w:instrText xml:space="preserve"> PAGEREF _Toc19565 \h </w:instrText>
          </w:r>
          <w:r>
            <w:fldChar w:fldCharType="separate"/>
          </w:r>
          <w:r>
            <w:t>47</w:t>
          </w:r>
          <w:r>
            <w:fldChar w:fldCharType="end"/>
          </w:r>
          <w:r>
            <w:fldChar w:fldCharType="end"/>
          </w:r>
        </w:p>
        <w:p w14:paraId="4C2E1595">
          <w:pPr>
            <w:pStyle w:val="14"/>
            <w:tabs>
              <w:tab w:val="right" w:leader="dot" w:pos="8306"/>
              <w:tab w:val="clear" w:pos="8296"/>
            </w:tabs>
          </w:pPr>
          <w:r>
            <w:fldChar w:fldCharType="begin"/>
          </w:r>
          <w:r>
            <w:instrText xml:space="preserve"> HYPERLINK \l _Toc1007 </w:instrText>
          </w:r>
          <w:r>
            <w:fldChar w:fldCharType="separate"/>
          </w:r>
          <w:r>
            <w:rPr>
              <w:rFonts w:hint="eastAsia" w:ascii="Times New Roman" w:hAnsi="Times New Roman" w:eastAsia="黑体"/>
              <w:highlight w:val="none"/>
              <w:lang w:val="en-US" w:eastAsia="zh-CN"/>
            </w:rPr>
            <w:t>七、一般公共预算财政拨款支出决算明细表</w:t>
          </w:r>
          <w:r>
            <w:tab/>
          </w:r>
          <w:r>
            <w:fldChar w:fldCharType="begin"/>
          </w:r>
          <w:r>
            <w:instrText xml:space="preserve"> PAGEREF _Toc1007 \h </w:instrText>
          </w:r>
          <w:r>
            <w:fldChar w:fldCharType="separate"/>
          </w:r>
          <w:r>
            <w:t>47</w:t>
          </w:r>
          <w:r>
            <w:fldChar w:fldCharType="end"/>
          </w:r>
          <w:r>
            <w:fldChar w:fldCharType="end"/>
          </w:r>
        </w:p>
        <w:p w14:paraId="6A77032F">
          <w:pPr>
            <w:pStyle w:val="14"/>
            <w:tabs>
              <w:tab w:val="right" w:leader="dot" w:pos="8306"/>
              <w:tab w:val="clear" w:pos="8296"/>
            </w:tabs>
          </w:pPr>
          <w:r>
            <w:fldChar w:fldCharType="begin"/>
          </w:r>
          <w:r>
            <w:instrText xml:space="preserve"> HYPERLINK \l _Toc20119 </w:instrText>
          </w:r>
          <w:r>
            <w:fldChar w:fldCharType="separate"/>
          </w:r>
          <w:r>
            <w:rPr>
              <w:rFonts w:hint="eastAsia" w:ascii="Times New Roman" w:hAnsi="Times New Roman" w:eastAsia="黑体"/>
              <w:highlight w:val="none"/>
              <w:lang w:val="en-US" w:eastAsia="zh-CN"/>
            </w:rPr>
            <w:t>八、一般公共预算财政拨款基本支出决算表</w:t>
          </w:r>
          <w:r>
            <w:tab/>
          </w:r>
          <w:r>
            <w:fldChar w:fldCharType="begin"/>
          </w:r>
          <w:r>
            <w:instrText xml:space="preserve"> PAGEREF _Toc20119 \h </w:instrText>
          </w:r>
          <w:r>
            <w:fldChar w:fldCharType="separate"/>
          </w:r>
          <w:r>
            <w:t>47</w:t>
          </w:r>
          <w:r>
            <w:fldChar w:fldCharType="end"/>
          </w:r>
          <w:r>
            <w:fldChar w:fldCharType="end"/>
          </w:r>
        </w:p>
        <w:p w14:paraId="4D5DD426">
          <w:pPr>
            <w:pStyle w:val="14"/>
            <w:tabs>
              <w:tab w:val="right" w:leader="dot" w:pos="8306"/>
              <w:tab w:val="clear" w:pos="8296"/>
            </w:tabs>
          </w:pPr>
          <w:r>
            <w:fldChar w:fldCharType="begin"/>
          </w:r>
          <w:r>
            <w:instrText xml:space="preserve"> HYPERLINK \l _Toc10566 </w:instrText>
          </w:r>
          <w:r>
            <w:fldChar w:fldCharType="separate"/>
          </w:r>
          <w:r>
            <w:rPr>
              <w:rFonts w:hint="eastAsia" w:ascii="Times New Roman" w:hAnsi="Times New Roman" w:eastAsia="黑体"/>
              <w:highlight w:val="none"/>
              <w:lang w:val="en-US" w:eastAsia="zh-CN"/>
            </w:rPr>
            <w:t>九、一般公共预算财政拨款项目支出决算表</w:t>
          </w:r>
          <w:r>
            <w:tab/>
          </w:r>
          <w:r>
            <w:fldChar w:fldCharType="begin"/>
          </w:r>
          <w:r>
            <w:instrText xml:space="preserve"> PAGEREF _Toc10566 \h </w:instrText>
          </w:r>
          <w:r>
            <w:fldChar w:fldCharType="separate"/>
          </w:r>
          <w:r>
            <w:t>47</w:t>
          </w:r>
          <w:r>
            <w:fldChar w:fldCharType="end"/>
          </w:r>
          <w:r>
            <w:fldChar w:fldCharType="end"/>
          </w:r>
        </w:p>
        <w:p w14:paraId="3C872A6C">
          <w:pPr>
            <w:pStyle w:val="14"/>
            <w:tabs>
              <w:tab w:val="right" w:leader="dot" w:pos="8306"/>
              <w:tab w:val="clear" w:pos="8296"/>
            </w:tabs>
          </w:pPr>
          <w:r>
            <w:fldChar w:fldCharType="begin"/>
          </w:r>
          <w:r>
            <w:instrText xml:space="preserve"> HYPERLINK \l _Toc32437 </w:instrText>
          </w:r>
          <w:r>
            <w:fldChar w:fldCharType="separate"/>
          </w:r>
          <w:r>
            <w:rPr>
              <w:rFonts w:hint="eastAsia" w:ascii="Times New Roman" w:hAnsi="Times New Roman" w:eastAsia="黑体"/>
              <w:highlight w:val="none"/>
              <w:lang w:val="en-US" w:eastAsia="zh-CN"/>
            </w:rPr>
            <w:t>十、政府性基金预算财政拨款收入支出决算表</w:t>
          </w:r>
          <w:r>
            <w:tab/>
          </w:r>
          <w:r>
            <w:fldChar w:fldCharType="begin"/>
          </w:r>
          <w:r>
            <w:instrText xml:space="preserve"> PAGEREF _Toc32437 \h </w:instrText>
          </w:r>
          <w:r>
            <w:fldChar w:fldCharType="separate"/>
          </w:r>
          <w:r>
            <w:t>47</w:t>
          </w:r>
          <w:r>
            <w:fldChar w:fldCharType="end"/>
          </w:r>
          <w:r>
            <w:fldChar w:fldCharType="end"/>
          </w:r>
        </w:p>
        <w:p w14:paraId="4F3BBEDE">
          <w:pPr>
            <w:pStyle w:val="14"/>
            <w:tabs>
              <w:tab w:val="right" w:leader="dot" w:pos="8306"/>
              <w:tab w:val="clear" w:pos="8296"/>
            </w:tabs>
          </w:pPr>
          <w:r>
            <w:fldChar w:fldCharType="begin"/>
          </w:r>
          <w:r>
            <w:instrText xml:space="preserve"> HYPERLINK \l _Toc19875 </w:instrText>
          </w:r>
          <w:r>
            <w:fldChar w:fldCharType="separate"/>
          </w:r>
          <w:r>
            <w:rPr>
              <w:rFonts w:hint="eastAsia" w:ascii="Times New Roman" w:hAnsi="Times New Roman" w:eastAsia="黑体"/>
              <w:highlight w:val="none"/>
              <w:lang w:val="en-US" w:eastAsia="zh-CN"/>
            </w:rPr>
            <w:t>十一、国有资本经营预算财政拨款收入支出决算表</w:t>
          </w:r>
          <w:r>
            <w:tab/>
          </w:r>
          <w:r>
            <w:fldChar w:fldCharType="begin"/>
          </w:r>
          <w:r>
            <w:instrText xml:space="preserve"> PAGEREF _Toc19875 \h </w:instrText>
          </w:r>
          <w:r>
            <w:fldChar w:fldCharType="separate"/>
          </w:r>
          <w:r>
            <w:t>47</w:t>
          </w:r>
          <w:r>
            <w:fldChar w:fldCharType="end"/>
          </w:r>
          <w:r>
            <w:fldChar w:fldCharType="end"/>
          </w:r>
        </w:p>
        <w:p w14:paraId="6D7A86EB">
          <w:pPr>
            <w:pStyle w:val="14"/>
            <w:tabs>
              <w:tab w:val="right" w:leader="dot" w:pos="8306"/>
              <w:tab w:val="clear" w:pos="8296"/>
            </w:tabs>
          </w:pPr>
          <w:r>
            <w:fldChar w:fldCharType="begin"/>
          </w:r>
          <w:r>
            <w:instrText xml:space="preserve"> HYPERLINK \l _Toc13335 </w:instrText>
          </w:r>
          <w:r>
            <w:fldChar w:fldCharType="separate"/>
          </w:r>
          <w:r>
            <w:rPr>
              <w:rFonts w:hint="eastAsia" w:ascii="Times New Roman" w:hAnsi="Times New Roman" w:eastAsia="黑体"/>
              <w:highlight w:val="none"/>
              <w:lang w:val="en-US" w:eastAsia="zh-CN"/>
            </w:rPr>
            <w:t>十二、国有资本经营预算财政拨款支出决算表</w:t>
          </w:r>
          <w:r>
            <w:tab/>
          </w:r>
          <w:r>
            <w:fldChar w:fldCharType="begin"/>
          </w:r>
          <w:r>
            <w:instrText xml:space="preserve"> PAGEREF _Toc13335 \h </w:instrText>
          </w:r>
          <w:r>
            <w:fldChar w:fldCharType="separate"/>
          </w:r>
          <w:r>
            <w:t>47</w:t>
          </w:r>
          <w:r>
            <w:fldChar w:fldCharType="end"/>
          </w:r>
          <w:r>
            <w:fldChar w:fldCharType="end"/>
          </w:r>
        </w:p>
        <w:p w14:paraId="6570D77F">
          <w:pPr>
            <w:pStyle w:val="14"/>
            <w:tabs>
              <w:tab w:val="right" w:leader="dot" w:pos="8306"/>
              <w:tab w:val="clear" w:pos="8296"/>
            </w:tabs>
          </w:pPr>
          <w:r>
            <w:fldChar w:fldCharType="begin"/>
          </w:r>
          <w:r>
            <w:instrText xml:space="preserve"> HYPERLINK \l _Toc1074 </w:instrText>
          </w:r>
          <w:r>
            <w:fldChar w:fldCharType="separate"/>
          </w:r>
          <w:r>
            <w:rPr>
              <w:rFonts w:hint="eastAsia" w:ascii="Times New Roman" w:hAnsi="Times New Roman" w:eastAsia="黑体"/>
              <w:highlight w:val="none"/>
              <w:lang w:val="en-US" w:eastAsia="zh-CN"/>
            </w:rPr>
            <w:t>十三、财政拨款“三公”经费支出决算表</w:t>
          </w:r>
          <w:r>
            <w:tab/>
          </w:r>
          <w:r>
            <w:fldChar w:fldCharType="begin"/>
          </w:r>
          <w:r>
            <w:instrText xml:space="preserve"> PAGEREF _Toc1074 \h </w:instrText>
          </w:r>
          <w:r>
            <w:fldChar w:fldCharType="separate"/>
          </w:r>
          <w:r>
            <w:t>47</w:t>
          </w:r>
          <w:r>
            <w:fldChar w:fldCharType="end"/>
          </w:r>
          <w:r>
            <w:fldChar w:fldCharType="end"/>
          </w:r>
        </w:p>
        <w:p w14:paraId="3569F05E">
          <w:r>
            <w:fldChar w:fldCharType="end"/>
          </w:r>
        </w:p>
      </w:sdtContent>
    </w:sdt>
    <w:p w14:paraId="7BDF8584"/>
    <w:p w14:paraId="212833AC"/>
    <w:p w14:paraId="2DBD6716">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r>
        <w:rPr>
          <w:rFonts w:hint="eastAsia" w:ascii="Times New Roman" w:hAnsi="Times New Roman" w:eastAsia="仿宋_GB2312" w:cs="仿宋_GB2312"/>
          <w:b/>
          <w:color w:val="auto"/>
          <w:sz w:val="32"/>
          <w:szCs w:val="32"/>
          <w:highlight w:val="none"/>
        </w:rPr>
        <w:br w:type="page"/>
      </w:r>
    </w:p>
    <w:p w14:paraId="68813688">
      <w:pPr>
        <w:pStyle w:val="5"/>
        <w:jc w:val="center"/>
        <w:rPr>
          <w:rStyle w:val="29"/>
          <w:rFonts w:hint="eastAsia" w:ascii="Times New Roman" w:hAnsi="Times New Roman" w:eastAsia="方正小标宋简体" w:cs="方正小标宋简体"/>
          <w:b/>
          <w:bCs w:val="0"/>
          <w:color w:val="auto"/>
          <w:highlight w:val="none"/>
        </w:rPr>
      </w:pPr>
      <w:bookmarkStart w:id="8" w:name="_Toc16975"/>
      <w:bookmarkStart w:id="9" w:name="_Toc6206"/>
      <w:bookmarkStart w:id="10" w:name="_Toc4409"/>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6"/>
      <w:bookmarkEnd w:id="7"/>
      <w:bookmarkEnd w:id="8"/>
      <w:bookmarkEnd w:id="9"/>
      <w:bookmarkEnd w:id="10"/>
    </w:p>
    <w:p w14:paraId="6E75F710">
      <w:pPr>
        <w:widowControl/>
        <w:jc w:val="left"/>
        <w:rPr>
          <w:rFonts w:ascii="Times New Roman" w:hAnsi="Times New Roman" w:eastAsia="黑体"/>
          <w:color w:val="auto"/>
          <w:sz w:val="32"/>
          <w:szCs w:val="32"/>
          <w:highlight w:val="none"/>
        </w:rPr>
      </w:pPr>
    </w:p>
    <w:p w14:paraId="472FCA6C">
      <w:pPr>
        <w:pStyle w:val="6"/>
        <w:numPr>
          <w:ilvl w:val="0"/>
          <w:numId w:val="1"/>
        </w:numPr>
        <w:rPr>
          <w:rFonts w:hint="eastAsia" w:ascii="Times New Roman" w:hAnsi="Times New Roman" w:eastAsia="黑体"/>
          <w:b w:val="0"/>
          <w:color w:val="auto"/>
          <w:highlight w:val="none"/>
          <w:lang w:eastAsia="zh-CN"/>
        </w:rPr>
      </w:pPr>
      <w:bookmarkStart w:id="11" w:name="_Toc17321"/>
      <w:bookmarkStart w:id="12" w:name="_Toc5452"/>
      <w:bookmarkStart w:id="13" w:name="_Toc27191"/>
      <w:r>
        <w:rPr>
          <w:rFonts w:hint="eastAsia" w:ascii="Times New Roman" w:hAnsi="Times New Roman" w:eastAsia="黑体"/>
          <w:b w:val="0"/>
          <w:color w:val="auto"/>
          <w:highlight w:val="none"/>
          <w:lang w:eastAsia="zh-CN"/>
        </w:rPr>
        <w:t>部门职责</w:t>
      </w:r>
      <w:bookmarkEnd w:id="11"/>
      <w:bookmarkEnd w:id="12"/>
      <w:bookmarkEnd w:id="13"/>
    </w:p>
    <w:p w14:paraId="54E544E8">
      <w:pPr>
        <w:bidi w:val="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①开展学术交流，活跃学术思想，促进学科发展，推动决策科学化和民主化。②宏扬科学精神，普及科学知识；科学思想和科学方法，捍卫科学尊严，推广先进技术，开展青少年科学技术教育活动，提高全民族科学文化素质。③反映科技工作者的意见和要求，维护科技工作者的合法权益。组织科技工作者参与科技政策、法规制度，引导科技工作者在全国家和社会事务管理中发挥积极作用。④表彰奖励有突出贡献的优秀科技团体和科技工作者，举荐人才。⑤开展科学论证、咨询服务，提出政策建议，促进科技成果的转化。⑥开展同州外民间科技交流与合作，发展同国内蒙古自治区外的科技团体和人员的友好交往，促进对外开放。⑦和所属州级学会、协会进行管理，对基层科协进行业务指导。⑧承担州委，州政府和上级科协交办的其它事项。</w:t>
      </w:r>
    </w:p>
    <w:p w14:paraId="1F6E1BF3">
      <w:pPr>
        <w:rPr>
          <w:rFonts w:hint="eastAsia"/>
          <w:lang w:eastAsia="zh-CN"/>
        </w:rPr>
      </w:pPr>
    </w:p>
    <w:p w14:paraId="60288977">
      <w:pPr>
        <w:numPr>
          <w:ilvl w:val="0"/>
          <w:numId w:val="0"/>
        </w:numPr>
        <w:rPr>
          <w:rFonts w:hint="eastAsia"/>
          <w:lang w:eastAsia="zh-CN"/>
        </w:rPr>
      </w:pPr>
    </w:p>
    <w:p w14:paraId="7624CC59">
      <w:pPr>
        <w:pStyle w:val="6"/>
        <w:rPr>
          <w:rStyle w:val="30"/>
          <w:rFonts w:ascii="Times New Roman" w:hAnsi="Times New Roman"/>
          <w:b w:val="0"/>
          <w:bCs w:val="0"/>
          <w:color w:val="auto"/>
          <w:highlight w:val="none"/>
        </w:rPr>
      </w:pPr>
      <w:bookmarkStart w:id="14" w:name="_Toc15396601"/>
      <w:bookmarkStart w:id="15" w:name="_Toc29157"/>
      <w:bookmarkStart w:id="16" w:name="_Toc20605"/>
      <w:bookmarkStart w:id="17" w:name="_Toc19546"/>
      <w:bookmarkStart w:id="18" w:name="_Toc15377200"/>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14"/>
      <w:bookmarkEnd w:id="15"/>
      <w:bookmarkEnd w:id="16"/>
      <w:bookmarkEnd w:id="17"/>
      <w:bookmarkEnd w:id="18"/>
    </w:p>
    <w:p w14:paraId="7BE77CBA">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阿坝藏族羌族自治州科学技术协会（本级）</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w:t>
      </w:r>
    </w:p>
    <w:p w14:paraId="37440474">
      <w:pPr>
        <w:pStyle w:val="8"/>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阿坝藏族羌族自治州科学技术协会（本级）</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14:paraId="5C564E96">
      <w:pPr>
        <w:pStyle w:val="8"/>
        <w:numPr>
          <w:ilvl w:val="0"/>
          <w:numId w:val="2"/>
        </w:numPr>
        <w:adjustRightInd w:val="0"/>
        <w:snapToGrid w:val="0"/>
        <w:spacing w:before="93" w:line="600" w:lineRule="exact"/>
        <w:outlineLvl w:val="2"/>
        <w:rPr>
          <w:rFonts w:ascii="Times New Roman" w:hAnsi="Times New Roman" w:eastAsia="仿宋"/>
          <w:color w:val="auto"/>
          <w:kern w:val="0"/>
          <w:sz w:val="32"/>
          <w:szCs w:val="32"/>
          <w:highlight w:val="none"/>
        </w:rPr>
      </w:pPr>
      <w:bookmarkStart w:id="19" w:name="_Toc3981"/>
      <w:bookmarkStart w:id="20" w:name="_Toc15377433"/>
      <w:bookmarkStart w:id="21" w:name="_Toc15378449"/>
      <w:bookmarkStart w:id="22" w:name="_Toc15306276"/>
      <w:bookmarkStart w:id="23" w:name="_Toc15377202"/>
      <w:bookmarkStart w:id="24" w:name="_Toc17414"/>
      <w:bookmarkStart w:id="25" w:name="_Toc9996"/>
      <w:r>
        <w:rPr>
          <w:rFonts w:hint="eastAsia" w:ascii="Times New Roman" w:cs="仿宋_GB2312"/>
          <w:color w:val="auto"/>
          <w:sz w:val="32"/>
          <w:szCs w:val="32"/>
          <w:highlight w:val="none"/>
          <w:lang w:eastAsia="zh-CN"/>
        </w:rPr>
        <w:t>阿坝州科学技术协会</w:t>
      </w:r>
      <w:bookmarkEnd w:id="19"/>
      <w:bookmarkEnd w:id="20"/>
      <w:bookmarkEnd w:id="21"/>
      <w:bookmarkEnd w:id="22"/>
      <w:bookmarkEnd w:id="23"/>
      <w:bookmarkEnd w:id="24"/>
      <w:r>
        <w:rPr>
          <w:rFonts w:ascii="Times New Roman" w:hAnsi="Times New Roman" w:eastAsia="仿宋"/>
          <w:color w:val="auto"/>
          <w:sz w:val="32"/>
          <w:szCs w:val="32"/>
          <w:highlight w:val="none"/>
        </w:rPr>
        <w:br w:type="page"/>
      </w:r>
      <w:bookmarkEnd w:id="25"/>
    </w:p>
    <w:p w14:paraId="59C8C731">
      <w:pPr>
        <w:pStyle w:val="5"/>
        <w:jc w:val="center"/>
        <w:rPr>
          <w:rFonts w:hint="eastAsia" w:ascii="Times New Roman" w:hAnsi="Times New Roman" w:eastAsia="方正小标宋简体" w:cs="方正小标宋简体"/>
          <w:b w:val="0"/>
          <w:color w:val="auto"/>
          <w:highlight w:val="none"/>
        </w:rPr>
      </w:pPr>
      <w:bookmarkStart w:id="26" w:name="_Toc7190"/>
      <w:bookmarkStart w:id="27" w:name="_Toc31314"/>
      <w:bookmarkStart w:id="28" w:name="_Toc15396602"/>
      <w:bookmarkStart w:id="29" w:name="_Toc10594"/>
      <w:bookmarkStart w:id="30"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26"/>
      <w:bookmarkEnd w:id="27"/>
      <w:bookmarkEnd w:id="28"/>
      <w:bookmarkEnd w:id="29"/>
      <w:bookmarkEnd w:id="30"/>
    </w:p>
    <w:p w14:paraId="1FFD69F1">
      <w:pPr>
        <w:rPr>
          <w:rFonts w:ascii="Times New Roman" w:hAnsi="Times New Roman"/>
          <w:color w:val="auto"/>
          <w:highlight w:val="none"/>
        </w:rPr>
      </w:pPr>
    </w:p>
    <w:p w14:paraId="3FADDC6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31" w:name="_Toc4290"/>
      <w:bookmarkStart w:id="32" w:name="_Toc15396603"/>
      <w:bookmarkStart w:id="33" w:name="_Toc14783"/>
      <w:bookmarkStart w:id="34" w:name="_Toc15377205"/>
      <w:bookmarkStart w:id="35" w:name="_Toc28061"/>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31"/>
      <w:bookmarkEnd w:id="32"/>
      <w:bookmarkEnd w:id="33"/>
      <w:bookmarkEnd w:id="34"/>
      <w:bookmarkEnd w:id="35"/>
    </w:p>
    <w:p w14:paraId="5DBB07F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bookmarkStart w:id="36" w:name="_Toc20024"/>
      <w:bookmarkStart w:id="37" w:name="_Toc31657"/>
      <w:bookmarkStart w:id="38" w:name="_Toc18135"/>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785.54</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总计各减少</w:t>
      </w:r>
      <w:r>
        <w:rPr>
          <w:rFonts w:hint="eastAsia" w:eastAsia="仿宋_GB2312" w:cs="仿宋_GB2312"/>
          <w:color w:val="auto"/>
          <w:sz w:val="32"/>
          <w:szCs w:val="32"/>
          <w:highlight w:val="none"/>
          <w:lang w:val="en-US" w:eastAsia="zh-CN"/>
        </w:rPr>
        <w:t>76.66</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8.89</w:t>
      </w:r>
      <w:r>
        <w:rPr>
          <w:rFonts w:hint="eastAsia" w:ascii="Times New Roman" w:hAnsi="Times New Roman" w:eastAsia="仿宋_GB2312" w:cs="仿宋_GB2312"/>
          <w:color w:val="auto"/>
          <w:sz w:val="32"/>
          <w:szCs w:val="32"/>
          <w:highlight w:val="none"/>
        </w:rPr>
        <w:t>%。主要变动原因是</w:t>
      </w:r>
      <w:r>
        <w:rPr>
          <w:rFonts w:hint="default" w:eastAsia="仿宋_GB2312" w:cs="仿宋_GB2312"/>
          <w:color w:val="auto"/>
          <w:sz w:val="32"/>
          <w:szCs w:val="32"/>
          <w:highlight w:val="none"/>
          <w:lang w:val="en-US"/>
        </w:rPr>
        <w:t>:</w:t>
      </w:r>
      <w:r>
        <w:rPr>
          <w:rFonts w:hint="eastAsia" w:eastAsia="仿宋_GB2312" w:cs="仿宋_GB2312"/>
          <w:color w:val="auto"/>
          <w:sz w:val="32"/>
          <w:szCs w:val="32"/>
          <w:highlight w:val="none"/>
          <w:lang w:val="en-US" w:eastAsia="zh-CN"/>
        </w:rPr>
        <w:t>上年度对考核合格的10家院士专家工作站发放了100万的补助资金，本年度无本项支出。</w:t>
      </w:r>
      <w:bookmarkEnd w:id="36"/>
      <w:bookmarkEnd w:id="37"/>
      <w:bookmarkEnd w:id="38"/>
    </w:p>
    <w:p w14:paraId="103D661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eastAsia="仿宋_GB2312" w:cs="仿宋_GB2312"/>
          <w:color w:val="auto"/>
          <w:sz w:val="32"/>
          <w:szCs w:val="32"/>
          <w:highlight w:val="none"/>
          <w:lang w:val="en-US" w:eastAsia="zh-CN"/>
        </w:rPr>
      </w:pPr>
    </w:p>
    <w:p w14:paraId="239674F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仿宋_GB2312" w:cs="仿宋_GB2312"/>
          <w:color w:val="auto"/>
          <w:sz w:val="32"/>
          <w:szCs w:val="32"/>
          <w:highlight w:val="none"/>
        </w:rPr>
      </w:pP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E202224">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仿宋_GB2312"/>
          <w:color w:val="auto"/>
          <w:sz w:val="32"/>
          <w:szCs w:val="32"/>
          <w:highlight w:val="none"/>
        </w:rPr>
      </w:pPr>
    </w:p>
    <w:p w14:paraId="5446CAF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w:t>
      </w:r>
    </w:p>
    <w:p w14:paraId="39EC9624">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39" w:name="_Toc32744"/>
      <w:bookmarkStart w:id="40" w:name="_Toc15396604"/>
      <w:bookmarkStart w:id="41" w:name="_Toc15377206"/>
      <w:bookmarkStart w:id="42" w:name="_Toc29315"/>
      <w:bookmarkStart w:id="43" w:name="_Toc17547"/>
      <w:r>
        <w:rPr>
          <w:rFonts w:hint="eastAsia" w:ascii="Times New Roman" w:hAnsi="Times New Roman" w:eastAsia="黑体"/>
          <w:color w:val="auto"/>
          <w:sz w:val="32"/>
          <w:szCs w:val="32"/>
          <w:highlight w:val="none"/>
          <w:lang w:eastAsia="zh-CN"/>
        </w:rPr>
        <w:t>二、收入决算情况说明</w:t>
      </w:r>
      <w:bookmarkEnd w:id="39"/>
      <w:bookmarkEnd w:id="40"/>
      <w:bookmarkEnd w:id="41"/>
      <w:bookmarkEnd w:id="42"/>
      <w:bookmarkEnd w:id="43"/>
    </w:p>
    <w:p w14:paraId="4F8BA92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bookmarkStart w:id="44" w:name="_Toc31009"/>
      <w:bookmarkStart w:id="45" w:name="_Toc1321"/>
      <w:bookmarkStart w:id="46" w:name="_Toc5983"/>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785.54万元，其中：一般公共预算财政拨款收入785.54</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bookmarkEnd w:id="44"/>
      <w:bookmarkEnd w:id="45"/>
      <w:bookmarkEnd w:id="46"/>
    </w:p>
    <w:p w14:paraId="3A1828B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1DCD3434">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1"/>
      </w:pPr>
    </w:p>
    <w:p w14:paraId="40BC277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1"/>
      </w:pPr>
    </w:p>
    <w:p w14:paraId="4CE5692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1"/>
      </w:pPr>
    </w:p>
    <w:p w14:paraId="488691F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1"/>
      </w:pPr>
    </w:p>
    <w:p w14:paraId="7C065C3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1"/>
      </w:pPr>
    </w:p>
    <w:p w14:paraId="32E8DB2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1"/>
      </w:pPr>
    </w:p>
    <w:p w14:paraId="407A0C1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1"/>
      </w:pPr>
      <w:r>
        <w:drawing>
          <wp:anchor distT="0" distB="0" distL="114300" distR="114300" simplePos="0" relativeHeight="251660288" behindDoc="1" locked="0" layoutInCell="1" allowOverlap="1">
            <wp:simplePos x="0" y="0"/>
            <wp:positionH relativeFrom="column">
              <wp:posOffset>271145</wp:posOffset>
            </wp:positionH>
            <wp:positionV relativeFrom="paragraph">
              <wp:posOffset>-2453005</wp:posOffset>
            </wp:positionV>
            <wp:extent cx="4572000" cy="2743200"/>
            <wp:effectExtent l="4445" t="4445" r="14605" b="14605"/>
            <wp:wrapNone/>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77AB633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75DDDC7E">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09722DC6">
      <w:pPr>
        <w:ind w:firstLine="800" w:firstLineChars="250"/>
        <w:rPr>
          <w:rFonts w:hint="eastAsia" w:ascii="Times New Roman" w:hAnsi="Times New Roman" w:eastAsia="仿宋_GB2312" w:cs="仿宋_GB2312"/>
          <w:color w:val="auto"/>
          <w:sz w:val="32"/>
          <w:szCs w:val="32"/>
          <w:highlight w:val="none"/>
          <w:lang w:eastAsia="zh-CN"/>
        </w:rPr>
      </w:pPr>
    </w:p>
    <w:p w14:paraId="1E17980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47" w:name="_Toc15377207"/>
      <w:bookmarkStart w:id="48" w:name="_Toc11936"/>
      <w:bookmarkStart w:id="49" w:name="_Toc22819"/>
      <w:bookmarkStart w:id="50" w:name="_Toc28952"/>
      <w:bookmarkStart w:id="51"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47"/>
      <w:bookmarkEnd w:id="48"/>
      <w:bookmarkEnd w:id="49"/>
      <w:bookmarkEnd w:id="50"/>
      <w:bookmarkEnd w:id="51"/>
    </w:p>
    <w:p w14:paraId="67E0A36A">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bookmarkStart w:id="52" w:name="_Toc6312"/>
      <w:bookmarkStart w:id="53" w:name="_Toc23515"/>
      <w:bookmarkStart w:id="54" w:name="_Toc1604"/>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785.54</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560.19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71.31</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225.35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28.68</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bookmarkEnd w:id="52"/>
      <w:bookmarkEnd w:id="53"/>
      <w:bookmarkEnd w:id="54"/>
    </w:p>
    <w:p w14:paraId="723BEC3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2D8F5A6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20CC39E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618969C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2C8F482E">
      <w:pPr>
        <w:ind w:firstLine="800" w:firstLineChars="250"/>
        <w:rPr>
          <w:rFonts w:hint="eastAsia" w:ascii="Times New Roman" w:hAnsi="Times New Roman" w:eastAsia="仿宋_GB2312" w:cs="仿宋_GB2312"/>
          <w:color w:val="auto"/>
          <w:sz w:val="32"/>
          <w:szCs w:val="32"/>
          <w:highlight w:val="none"/>
          <w:lang w:eastAsia="zh-CN"/>
        </w:rPr>
      </w:pPr>
    </w:p>
    <w:p w14:paraId="171741AB">
      <w:pPr>
        <w:ind w:firstLine="800" w:firstLineChars="250"/>
        <w:rPr>
          <w:rFonts w:hint="eastAsia" w:ascii="Times New Roman" w:hAnsi="Times New Roman" w:eastAsia="仿宋_GB2312" w:cs="仿宋_GB2312"/>
          <w:color w:val="auto"/>
          <w:sz w:val="32"/>
          <w:szCs w:val="32"/>
          <w:highlight w:val="none"/>
          <w:lang w:eastAsia="zh-CN"/>
        </w:rPr>
      </w:pPr>
    </w:p>
    <w:p w14:paraId="239E7999">
      <w:pPr>
        <w:ind w:firstLine="800" w:firstLineChars="250"/>
        <w:rPr>
          <w:rFonts w:hint="eastAsia" w:ascii="Times New Roman" w:hAnsi="Times New Roman" w:eastAsia="仿宋_GB2312" w:cs="仿宋_GB2312"/>
          <w:color w:val="auto"/>
          <w:sz w:val="32"/>
          <w:szCs w:val="32"/>
          <w:highlight w:val="none"/>
          <w:lang w:eastAsia="zh-CN"/>
        </w:rPr>
      </w:pPr>
    </w:p>
    <w:p w14:paraId="6A5C009A">
      <w:pPr>
        <w:ind w:firstLine="525" w:firstLineChars="250"/>
        <w:rPr>
          <w:rFonts w:hint="eastAsia" w:ascii="Times New Roman" w:hAnsi="Times New Roman" w:eastAsia="仿宋_GB2312" w:cs="仿宋_GB2312"/>
          <w:color w:val="auto"/>
          <w:sz w:val="32"/>
          <w:szCs w:val="32"/>
          <w:highlight w:val="none"/>
          <w:lang w:eastAsia="zh-CN"/>
        </w:rPr>
      </w:pPr>
      <w:r>
        <w:drawing>
          <wp:inline distT="0" distB="0" distL="114300" distR="114300">
            <wp:extent cx="4572000" cy="2743200"/>
            <wp:effectExtent l="4445" t="4445" r="14605" b="1460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821A7B3">
      <w:pPr>
        <w:ind w:firstLine="800" w:firstLineChars="250"/>
        <w:rPr>
          <w:rFonts w:hint="eastAsia" w:ascii="Times New Roman" w:hAnsi="Times New Roman" w:eastAsia="仿宋_GB2312" w:cs="仿宋_GB2312"/>
          <w:color w:val="auto"/>
          <w:sz w:val="32"/>
          <w:szCs w:val="32"/>
          <w:highlight w:val="none"/>
          <w:lang w:eastAsia="zh-CN"/>
        </w:rPr>
      </w:pPr>
    </w:p>
    <w:p w14:paraId="522479A7">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14:paraId="5F00E463">
      <w:pPr>
        <w:ind w:firstLine="800" w:firstLineChars="250"/>
        <w:rPr>
          <w:rFonts w:hint="eastAsia" w:ascii="Times New Roman" w:hAnsi="Times New Roman" w:eastAsia="仿宋_GB2312" w:cs="仿宋_GB2312"/>
          <w:color w:val="auto"/>
          <w:sz w:val="32"/>
          <w:szCs w:val="32"/>
          <w:highlight w:val="none"/>
          <w:lang w:eastAsia="zh-CN"/>
        </w:rPr>
      </w:pPr>
    </w:p>
    <w:p w14:paraId="08A8788F">
      <w:pPr>
        <w:spacing w:line="600" w:lineRule="exact"/>
        <w:ind w:firstLine="640" w:firstLineChars="200"/>
        <w:outlineLvl w:val="1"/>
        <w:rPr>
          <w:rStyle w:val="30"/>
          <w:rFonts w:ascii="Times New Roman" w:hAnsi="Times New Roman" w:eastAsia="黑体"/>
          <w:b w:val="0"/>
          <w:color w:val="auto"/>
          <w:highlight w:val="none"/>
        </w:rPr>
      </w:pPr>
      <w:bookmarkStart w:id="55" w:name="_Toc15396606"/>
      <w:bookmarkStart w:id="56" w:name="_Toc31238"/>
      <w:bookmarkStart w:id="57" w:name="_Toc30921"/>
      <w:bookmarkStart w:id="58" w:name="_Toc16496"/>
      <w:bookmarkStart w:id="59" w:name="_Toc15377208"/>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55"/>
      <w:bookmarkEnd w:id="56"/>
      <w:bookmarkEnd w:id="57"/>
      <w:bookmarkEnd w:id="58"/>
      <w:bookmarkEnd w:id="59"/>
    </w:p>
    <w:p w14:paraId="2B11790F">
      <w:pPr>
        <w:spacing w:line="600" w:lineRule="exact"/>
        <w:ind w:firstLine="640"/>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785.54</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w:t>
      </w:r>
      <w:r>
        <w:rPr>
          <w:rFonts w:hint="eastAsia" w:eastAsia="仿宋_GB2312" w:cs="仿宋_GB2312"/>
          <w:color w:val="auto"/>
          <w:sz w:val="32"/>
          <w:szCs w:val="32"/>
          <w:highlight w:val="none"/>
          <w:lang w:val="en-US" w:eastAsia="zh-CN"/>
        </w:rPr>
        <w:t>76.66</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8.89</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sz w:val="32"/>
          <w:szCs w:val="32"/>
          <w:highlight w:val="none"/>
          <w:lang w:val="en-US" w:eastAsia="zh-CN"/>
        </w:rPr>
        <w:t>上年度对考核合格的10家院士专家工作站发放了100万的补助资金，本年度无本项支出。</w:t>
      </w:r>
    </w:p>
    <w:p w14:paraId="1DE270EC">
      <w:pPr>
        <w:pStyle w:val="2"/>
        <w:rPr>
          <w:rFonts w:hint="eastAsia" w:eastAsia="仿宋_GB2312" w:cs="仿宋_GB2312"/>
          <w:color w:val="auto"/>
          <w:sz w:val="32"/>
          <w:szCs w:val="32"/>
          <w:highlight w:val="none"/>
          <w:lang w:val="en-US" w:eastAsia="zh-CN"/>
        </w:rPr>
      </w:pPr>
    </w:p>
    <w:p w14:paraId="6DCCFD7B">
      <w:pPr>
        <w:pStyle w:val="3"/>
        <w:rPr>
          <w:rFonts w:hint="eastAsia" w:eastAsia="仿宋_GB2312" w:cs="仿宋_GB2312"/>
          <w:color w:val="auto"/>
          <w:sz w:val="32"/>
          <w:szCs w:val="32"/>
          <w:highlight w:val="none"/>
          <w:lang w:val="en-US" w:eastAsia="zh-CN"/>
        </w:rPr>
      </w:pPr>
    </w:p>
    <w:p w14:paraId="7C00153E">
      <w:pPr>
        <w:pStyle w:val="3"/>
        <w:rPr>
          <w:rFonts w:hint="eastAsia" w:eastAsia="仿宋_GB2312" w:cs="仿宋_GB2312"/>
          <w:color w:val="auto"/>
          <w:sz w:val="32"/>
          <w:szCs w:val="32"/>
          <w:highlight w:val="none"/>
          <w:lang w:val="en-US" w:eastAsia="zh-CN"/>
        </w:rPr>
      </w:pPr>
    </w:p>
    <w:p w14:paraId="1531F0A0">
      <w:pPr>
        <w:pStyle w:val="3"/>
        <w:rPr>
          <w:rFonts w:hint="eastAsia" w:eastAsia="仿宋_GB2312" w:cs="仿宋_GB2312"/>
          <w:color w:val="auto"/>
          <w:sz w:val="32"/>
          <w:szCs w:val="32"/>
          <w:highlight w:val="none"/>
          <w:lang w:val="en-US" w:eastAsia="zh-CN"/>
        </w:rPr>
      </w:pPr>
    </w:p>
    <w:p w14:paraId="0CDC9F7A">
      <w:pPr>
        <w:pStyle w:val="3"/>
        <w:rPr>
          <w:rFonts w:hint="eastAsia" w:eastAsia="仿宋_GB2312" w:cs="仿宋_GB2312"/>
          <w:color w:val="auto"/>
          <w:sz w:val="32"/>
          <w:szCs w:val="32"/>
          <w:highlight w:val="none"/>
          <w:lang w:val="en-US" w:eastAsia="zh-CN"/>
        </w:rPr>
      </w:pPr>
    </w:p>
    <w:p w14:paraId="563C5EE7">
      <w:pPr>
        <w:pStyle w:val="3"/>
        <w:rPr>
          <w:rFonts w:hint="eastAsia" w:eastAsia="仿宋_GB2312" w:cs="仿宋_GB2312"/>
          <w:color w:val="auto"/>
          <w:sz w:val="32"/>
          <w:szCs w:val="32"/>
          <w:highlight w:val="none"/>
          <w:lang w:val="en-US" w:eastAsia="zh-CN"/>
        </w:rPr>
      </w:pPr>
    </w:p>
    <w:p w14:paraId="58224450">
      <w:pPr>
        <w:pStyle w:val="3"/>
        <w:rPr>
          <w:rFonts w:hint="eastAsia" w:eastAsia="仿宋_GB2312" w:cs="仿宋_GB2312"/>
          <w:color w:val="auto"/>
          <w:sz w:val="32"/>
          <w:szCs w:val="32"/>
          <w:highlight w:val="none"/>
          <w:lang w:val="en-US" w:eastAsia="zh-CN"/>
        </w:rPr>
      </w:pPr>
      <w:r>
        <w:drawing>
          <wp:inline distT="0" distB="0" distL="114300" distR="114300">
            <wp:extent cx="3810635" cy="2661920"/>
            <wp:effectExtent l="4445" t="4445" r="13970" b="1968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23AD6E1">
      <w:pPr>
        <w:pStyle w:val="3"/>
        <w:rPr>
          <w:rFonts w:hint="eastAsia" w:eastAsia="仿宋_GB2312" w:cs="仿宋_GB2312"/>
          <w:color w:val="auto"/>
          <w:sz w:val="32"/>
          <w:szCs w:val="32"/>
          <w:highlight w:val="none"/>
          <w:lang w:val="en-US" w:eastAsia="zh-CN"/>
        </w:rPr>
      </w:pPr>
    </w:p>
    <w:p w14:paraId="51929415">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1C5F192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5A1A6E0">
      <w:pPr>
        <w:spacing w:line="600" w:lineRule="exact"/>
        <w:ind w:firstLine="640" w:firstLineChars="200"/>
        <w:outlineLvl w:val="1"/>
        <w:rPr>
          <w:rStyle w:val="30"/>
          <w:rFonts w:ascii="Times New Roman" w:hAnsi="Times New Roman" w:eastAsia="黑体"/>
          <w:b w:val="0"/>
          <w:color w:val="auto"/>
          <w:highlight w:val="none"/>
        </w:rPr>
      </w:pPr>
      <w:bookmarkStart w:id="60" w:name="_Toc22392"/>
      <w:bookmarkStart w:id="61" w:name="_Toc4718"/>
      <w:bookmarkStart w:id="62" w:name="_Toc15396607"/>
      <w:bookmarkStart w:id="63" w:name="_Toc2446"/>
      <w:bookmarkStart w:id="64"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60"/>
      <w:bookmarkEnd w:id="61"/>
      <w:bookmarkEnd w:id="62"/>
      <w:bookmarkEnd w:id="63"/>
      <w:bookmarkEnd w:id="64"/>
    </w:p>
    <w:p w14:paraId="02D46EC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5" w:name="_Toc23219"/>
      <w:bookmarkStart w:id="66" w:name="_Toc15377210"/>
      <w:bookmarkStart w:id="67" w:name="_Toc25348"/>
      <w:bookmarkStart w:id="68" w:name="_Toc2914"/>
      <w:r>
        <w:rPr>
          <w:rFonts w:hint="eastAsia" w:ascii="Times New Roman" w:hAnsi="Times New Roman" w:eastAsia="楷体_GB2312" w:cs="楷体_GB2312"/>
          <w:b/>
          <w:color w:val="auto"/>
          <w:sz w:val="32"/>
          <w:szCs w:val="32"/>
          <w:highlight w:val="none"/>
        </w:rPr>
        <w:t>（一）一般公共预算财政拨款支出决算总体情况</w:t>
      </w:r>
      <w:bookmarkEnd w:id="65"/>
      <w:bookmarkEnd w:id="66"/>
      <w:bookmarkEnd w:id="67"/>
      <w:bookmarkEnd w:id="68"/>
    </w:p>
    <w:p w14:paraId="28F3424C">
      <w:pPr>
        <w:spacing w:line="600" w:lineRule="exact"/>
        <w:ind w:firstLine="640"/>
        <w:rPr>
          <w:rFonts w:hint="eastAsia"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785.54</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%。与2023年度相比，一般公共预算财政拨款支出减少</w:t>
      </w:r>
      <w:r>
        <w:rPr>
          <w:rFonts w:hint="eastAsia" w:eastAsia="仿宋_GB2312" w:cs="仿宋_GB2312"/>
          <w:color w:val="auto"/>
          <w:sz w:val="32"/>
          <w:szCs w:val="32"/>
          <w:highlight w:val="none"/>
          <w:lang w:val="en-US" w:eastAsia="zh-CN"/>
        </w:rPr>
        <w:t>76.66</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8.89</w:t>
      </w:r>
      <w:r>
        <w:rPr>
          <w:rFonts w:hint="eastAsia" w:ascii="Times New Roman" w:hAnsi="Times New Roman" w:eastAsia="仿宋_GB2312" w:cs="仿宋_GB2312"/>
          <w:color w:val="auto"/>
          <w:sz w:val="32"/>
          <w:szCs w:val="32"/>
          <w:highlight w:val="none"/>
        </w:rPr>
        <w:t>%</w:t>
      </w:r>
      <w:r>
        <w:rPr>
          <w:rFonts w:hint="eastAsia" w:ascii="仿宋_GB2312" w:hAnsi="仿宋_GB2312" w:eastAsia="仿宋_GB2312" w:cs="仿宋_GB2312"/>
          <w:color w:val="auto"/>
          <w:kern w:val="2"/>
          <w:sz w:val="32"/>
          <w:szCs w:val="32"/>
          <w:highlight w:val="none"/>
          <w:lang w:val="en-US" w:eastAsia="zh-CN" w:bidi="ar-SA"/>
        </w:rPr>
        <w:t>。主要变动原因是</w:t>
      </w:r>
      <w:r>
        <w:rPr>
          <w:rFonts w:hint="eastAsia" w:eastAsia="仿宋_GB2312" w:cs="仿宋_GB2312"/>
          <w:color w:val="auto"/>
          <w:sz w:val="32"/>
          <w:szCs w:val="32"/>
          <w:highlight w:val="none"/>
          <w:lang w:val="en-US" w:eastAsia="zh-CN"/>
        </w:rPr>
        <w:t>上年度对考核合格的10家院士专家工作站发放了100万的补助资金，本年度无本项支出。</w:t>
      </w:r>
    </w:p>
    <w:p w14:paraId="0F6F5FE3">
      <w:pPr>
        <w:pStyle w:val="2"/>
        <w:rPr>
          <w:rFonts w:hint="eastAsia" w:eastAsia="仿宋_GB2312" w:cs="仿宋_GB2312"/>
          <w:color w:val="auto"/>
          <w:sz w:val="32"/>
          <w:szCs w:val="32"/>
          <w:highlight w:val="none"/>
          <w:lang w:val="en-US" w:eastAsia="zh-CN"/>
        </w:rPr>
      </w:pPr>
    </w:p>
    <w:p w14:paraId="459EEC1E">
      <w:pPr>
        <w:pStyle w:val="3"/>
        <w:rPr>
          <w:rFonts w:hint="eastAsia" w:eastAsia="仿宋_GB2312" w:cs="仿宋_GB2312"/>
          <w:color w:val="auto"/>
          <w:sz w:val="32"/>
          <w:szCs w:val="32"/>
          <w:highlight w:val="none"/>
          <w:lang w:val="en-US" w:eastAsia="zh-CN"/>
        </w:rPr>
      </w:pPr>
    </w:p>
    <w:p w14:paraId="07A7FFB1">
      <w:pPr>
        <w:pStyle w:val="3"/>
        <w:rPr>
          <w:rFonts w:hint="eastAsia" w:eastAsia="仿宋_GB2312" w:cs="仿宋_GB2312"/>
          <w:color w:val="auto"/>
          <w:sz w:val="32"/>
          <w:szCs w:val="32"/>
          <w:highlight w:val="none"/>
          <w:lang w:val="en-US" w:eastAsia="zh-CN"/>
        </w:rPr>
      </w:pPr>
    </w:p>
    <w:p w14:paraId="774730E1">
      <w:pPr>
        <w:pStyle w:val="3"/>
        <w:rPr>
          <w:rFonts w:hint="eastAsia" w:eastAsia="仿宋_GB2312" w:cs="仿宋_GB2312"/>
          <w:color w:val="auto"/>
          <w:sz w:val="32"/>
          <w:szCs w:val="32"/>
          <w:highlight w:val="none"/>
          <w:lang w:val="en-US" w:eastAsia="zh-CN"/>
        </w:rPr>
      </w:pPr>
    </w:p>
    <w:p w14:paraId="0B25B5AA">
      <w:pPr>
        <w:pStyle w:val="3"/>
        <w:rPr>
          <w:rFonts w:hint="eastAsia" w:eastAsia="仿宋_GB2312" w:cs="仿宋_GB2312"/>
          <w:color w:val="auto"/>
          <w:sz w:val="32"/>
          <w:szCs w:val="32"/>
          <w:highlight w:val="none"/>
          <w:lang w:val="en-US" w:eastAsia="zh-CN"/>
        </w:rPr>
      </w:pPr>
      <w:r>
        <w:drawing>
          <wp:inline distT="0" distB="0" distL="114300" distR="114300">
            <wp:extent cx="4572000" cy="2743200"/>
            <wp:effectExtent l="4445" t="4445" r="1460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76C4A3">
      <w:pPr>
        <w:pStyle w:val="3"/>
        <w:rPr>
          <w:rFonts w:hint="eastAsia" w:eastAsia="仿宋_GB2312" w:cs="仿宋_GB2312"/>
          <w:color w:val="auto"/>
          <w:sz w:val="32"/>
          <w:szCs w:val="32"/>
          <w:highlight w:val="none"/>
          <w:lang w:val="en-US" w:eastAsia="zh-CN"/>
        </w:rPr>
      </w:pPr>
    </w:p>
    <w:p w14:paraId="2627744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5503034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47CC70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9" w:name="_Toc17008"/>
      <w:bookmarkStart w:id="70" w:name="_Toc15377211"/>
      <w:bookmarkStart w:id="71" w:name="_Toc23999"/>
      <w:bookmarkStart w:id="72" w:name="_Toc11263"/>
      <w:r>
        <w:rPr>
          <w:rFonts w:hint="eastAsia" w:ascii="Times New Roman" w:hAnsi="Times New Roman" w:eastAsia="楷体_GB2312" w:cs="楷体_GB2312"/>
          <w:b/>
          <w:color w:val="auto"/>
          <w:sz w:val="32"/>
          <w:szCs w:val="32"/>
          <w:highlight w:val="none"/>
        </w:rPr>
        <w:t>（二）一般公共预算财政拨款支出决算结构情况</w:t>
      </w:r>
      <w:bookmarkEnd w:id="69"/>
      <w:bookmarkEnd w:id="70"/>
      <w:bookmarkEnd w:id="71"/>
      <w:bookmarkEnd w:id="72"/>
    </w:p>
    <w:p w14:paraId="531FBBF0">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785.54</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科学技术支出678.94万元，占</w:t>
      </w:r>
      <w:r>
        <w:rPr>
          <w:rFonts w:hint="eastAsia" w:eastAsia="仿宋_GB2312" w:cs="仿宋_GB2312"/>
          <w:color w:val="auto"/>
          <w:kern w:val="2"/>
          <w:sz w:val="32"/>
          <w:szCs w:val="32"/>
          <w:highlight w:val="none"/>
          <w:lang w:val="en-US" w:eastAsia="zh-CN" w:bidi="ar-SA"/>
        </w:rPr>
        <w:t>86.43</w:t>
      </w:r>
      <w:r>
        <w:rPr>
          <w:rFonts w:hint="eastAsia" w:ascii="Times New Roman" w:hAnsi="Times New Roman" w:eastAsia="仿宋_GB2312" w:cs="仿宋_GB2312"/>
          <w:color w:val="auto"/>
          <w:kern w:val="2"/>
          <w:sz w:val="32"/>
          <w:szCs w:val="32"/>
          <w:highlight w:val="none"/>
          <w:lang w:val="en-US" w:eastAsia="zh-CN" w:bidi="ar-SA"/>
        </w:rPr>
        <w:t>%；社会保障和就业支出53.84万元，占</w:t>
      </w:r>
      <w:r>
        <w:rPr>
          <w:rFonts w:hint="eastAsia" w:eastAsia="仿宋_GB2312" w:cs="仿宋_GB2312"/>
          <w:color w:val="auto"/>
          <w:kern w:val="2"/>
          <w:sz w:val="32"/>
          <w:szCs w:val="32"/>
          <w:highlight w:val="none"/>
          <w:lang w:val="en-US" w:eastAsia="zh-CN" w:bidi="ar-SA"/>
        </w:rPr>
        <w:t>6.85</w:t>
      </w:r>
      <w:r>
        <w:rPr>
          <w:rFonts w:hint="eastAsia" w:ascii="Times New Roman" w:hAnsi="Times New Roman" w:eastAsia="仿宋_GB2312" w:cs="仿宋_GB2312"/>
          <w:color w:val="auto"/>
          <w:kern w:val="2"/>
          <w:sz w:val="32"/>
          <w:szCs w:val="32"/>
          <w:highlight w:val="none"/>
          <w:lang w:val="en-US" w:eastAsia="zh-CN" w:bidi="ar-SA"/>
        </w:rPr>
        <w:t>%；卫生健康支出22.85万元，占</w:t>
      </w:r>
      <w:r>
        <w:rPr>
          <w:rFonts w:hint="eastAsia" w:eastAsia="仿宋_GB2312" w:cs="仿宋_GB2312"/>
          <w:color w:val="auto"/>
          <w:kern w:val="2"/>
          <w:sz w:val="32"/>
          <w:szCs w:val="32"/>
          <w:highlight w:val="none"/>
          <w:lang w:val="en-US" w:eastAsia="zh-CN" w:bidi="ar-SA"/>
        </w:rPr>
        <w:t>2.91</w:t>
      </w:r>
      <w:r>
        <w:rPr>
          <w:rFonts w:hint="eastAsia" w:ascii="Times New Roman" w:hAnsi="Times New Roman" w:eastAsia="仿宋_GB2312" w:cs="仿宋_GB2312"/>
          <w:color w:val="auto"/>
          <w:kern w:val="2"/>
          <w:sz w:val="32"/>
          <w:szCs w:val="32"/>
          <w:highlight w:val="none"/>
          <w:lang w:val="en-US" w:eastAsia="zh-CN" w:bidi="ar-SA"/>
        </w:rPr>
        <w:t>%；住房保障支出29.91万元，占</w:t>
      </w:r>
      <w:r>
        <w:rPr>
          <w:rFonts w:hint="eastAsia" w:eastAsia="仿宋_GB2312" w:cs="仿宋_GB2312"/>
          <w:color w:val="auto"/>
          <w:kern w:val="2"/>
          <w:sz w:val="32"/>
          <w:szCs w:val="32"/>
          <w:highlight w:val="none"/>
          <w:lang w:val="en-US" w:eastAsia="zh-CN" w:bidi="ar-SA"/>
        </w:rPr>
        <w:t>3.81</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（注：仅罗列本部门涉及的全部功能分类科目，至类级）</w:t>
      </w:r>
    </w:p>
    <w:p w14:paraId="047DDD6F">
      <w:pPr>
        <w:pStyle w:val="2"/>
        <w:rPr>
          <w:rFonts w:hint="eastAsia" w:ascii="Times New Roman" w:hAnsi="Times New Roman" w:eastAsia="仿宋_GB2312" w:cs="仿宋_GB2312"/>
          <w:b/>
          <w:bCs/>
          <w:color w:val="auto"/>
          <w:kern w:val="2"/>
          <w:sz w:val="32"/>
          <w:szCs w:val="32"/>
          <w:highlight w:val="none"/>
          <w:lang w:val="en-US" w:eastAsia="zh-CN" w:bidi="ar-SA"/>
        </w:rPr>
      </w:pPr>
    </w:p>
    <w:p w14:paraId="74A2B380">
      <w:pPr>
        <w:pStyle w:val="3"/>
        <w:rPr>
          <w:rFonts w:hint="eastAsia" w:ascii="Times New Roman" w:hAnsi="Times New Roman" w:eastAsia="仿宋_GB2312" w:cs="仿宋_GB2312"/>
          <w:b/>
          <w:bCs/>
          <w:color w:val="auto"/>
          <w:kern w:val="2"/>
          <w:sz w:val="32"/>
          <w:szCs w:val="32"/>
          <w:highlight w:val="none"/>
          <w:lang w:val="en-US" w:eastAsia="zh-CN" w:bidi="ar-SA"/>
        </w:rPr>
      </w:pPr>
    </w:p>
    <w:p w14:paraId="0A996ABA">
      <w:pPr>
        <w:pStyle w:val="3"/>
        <w:rPr>
          <w:rFonts w:hint="eastAsia" w:ascii="Times New Roman" w:hAnsi="Times New Roman" w:eastAsia="仿宋_GB2312" w:cs="仿宋_GB2312"/>
          <w:b/>
          <w:bCs/>
          <w:color w:val="auto"/>
          <w:kern w:val="2"/>
          <w:sz w:val="32"/>
          <w:szCs w:val="32"/>
          <w:highlight w:val="none"/>
          <w:lang w:val="en-US" w:eastAsia="zh-CN" w:bidi="ar-SA"/>
        </w:rPr>
      </w:pPr>
    </w:p>
    <w:p w14:paraId="5F8F40F2">
      <w:pPr>
        <w:pStyle w:val="3"/>
        <w:rPr>
          <w:rFonts w:hint="eastAsia" w:ascii="Times New Roman" w:hAnsi="Times New Roman" w:eastAsia="仿宋_GB2312" w:cs="仿宋_GB2312"/>
          <w:b/>
          <w:bCs/>
          <w:color w:val="auto"/>
          <w:kern w:val="2"/>
          <w:sz w:val="32"/>
          <w:szCs w:val="32"/>
          <w:highlight w:val="none"/>
          <w:lang w:val="en-US" w:eastAsia="zh-CN" w:bidi="ar-SA"/>
        </w:rPr>
      </w:pPr>
      <w:r>
        <w:drawing>
          <wp:inline distT="0" distB="0" distL="114300" distR="114300">
            <wp:extent cx="4572000" cy="2743200"/>
            <wp:effectExtent l="4445" t="4445" r="14605" b="14605"/>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407D89C">
      <w:pPr>
        <w:pStyle w:val="3"/>
        <w:rPr>
          <w:rFonts w:hint="eastAsia" w:ascii="Times New Roman" w:hAnsi="Times New Roman" w:eastAsia="仿宋_GB2312" w:cs="仿宋_GB2312"/>
          <w:b/>
          <w:bCs/>
          <w:color w:val="auto"/>
          <w:kern w:val="2"/>
          <w:sz w:val="32"/>
          <w:szCs w:val="32"/>
          <w:highlight w:val="none"/>
          <w:lang w:val="en-US" w:eastAsia="zh-CN" w:bidi="ar-SA"/>
        </w:rPr>
      </w:pPr>
    </w:p>
    <w:p w14:paraId="42C0908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267C082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8E159B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3" w:name="_Toc20500"/>
      <w:bookmarkStart w:id="74" w:name="_Toc15377212"/>
      <w:bookmarkStart w:id="75" w:name="_Toc9959"/>
      <w:bookmarkStart w:id="76" w:name="_Toc11121"/>
      <w:r>
        <w:rPr>
          <w:rFonts w:hint="eastAsia" w:ascii="Times New Roman" w:hAnsi="Times New Roman" w:eastAsia="楷体_GB2312" w:cs="楷体_GB2312"/>
          <w:b/>
          <w:color w:val="auto"/>
          <w:sz w:val="32"/>
          <w:szCs w:val="32"/>
          <w:highlight w:val="none"/>
        </w:rPr>
        <w:t>（三）一般公共预算财政拨款支出决算具体情况</w:t>
      </w:r>
      <w:bookmarkEnd w:id="73"/>
      <w:bookmarkEnd w:id="74"/>
      <w:bookmarkEnd w:id="75"/>
      <w:bookmarkEnd w:id="76"/>
    </w:p>
    <w:p w14:paraId="5559205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77" w:name="_Toc15377444"/>
      <w:bookmarkStart w:id="78" w:name="_Toc15377213"/>
      <w:bookmarkStart w:id="79" w:name="_Toc15378460"/>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785.54</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完成预算**%。其中：</w:t>
      </w:r>
      <w:bookmarkEnd w:id="77"/>
      <w:bookmarkEnd w:id="78"/>
      <w:bookmarkEnd w:id="79"/>
    </w:p>
    <w:p w14:paraId="4B12F5E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科学技术（类）</w:t>
      </w:r>
      <w:r>
        <w:rPr>
          <w:rFonts w:hint="eastAsia" w:eastAsia="仿宋_GB2312" w:cs="仿宋_GB2312"/>
          <w:color w:val="auto"/>
          <w:kern w:val="2"/>
          <w:sz w:val="32"/>
          <w:szCs w:val="32"/>
          <w:highlight w:val="none"/>
          <w:lang w:val="en-US" w:eastAsia="zh-CN" w:bidi="ar-SA"/>
        </w:rPr>
        <w:t>206</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01</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支出决算为543.83万元，完成预算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696FE110">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2.科学技术（类）</w:t>
      </w:r>
      <w:r>
        <w:rPr>
          <w:rFonts w:hint="eastAsia" w:eastAsia="仿宋_GB2312" w:cs="仿宋_GB2312"/>
          <w:color w:val="auto"/>
          <w:kern w:val="2"/>
          <w:sz w:val="32"/>
          <w:szCs w:val="32"/>
          <w:highlight w:val="none"/>
          <w:lang w:val="en-US" w:eastAsia="zh-CN" w:bidi="ar-SA"/>
        </w:rPr>
        <w:t>206</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07</w:t>
      </w:r>
      <w:r>
        <w:rPr>
          <w:rFonts w:hint="eastAsia" w:ascii="Times New Roman" w:hAnsi="Times New Roman" w:eastAsia="仿宋_GB2312" w:cs="仿宋_GB2312"/>
          <w:color w:val="auto"/>
          <w:kern w:val="2"/>
          <w:sz w:val="32"/>
          <w:szCs w:val="32"/>
          <w:highlight w:val="none"/>
          <w:lang w:val="en-US" w:eastAsia="zh-CN" w:bidi="ar-SA"/>
        </w:rPr>
        <w:t>（项）: 支出决算为135.10万元，完成预算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3E305E0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.社会保障和就业（类）</w:t>
      </w:r>
      <w:r>
        <w:rPr>
          <w:rFonts w:hint="eastAsia" w:eastAsia="仿宋_GB2312" w:cs="仿宋_GB2312"/>
          <w:color w:val="auto"/>
          <w:kern w:val="2"/>
          <w:sz w:val="32"/>
          <w:szCs w:val="32"/>
          <w:highlight w:val="none"/>
          <w:lang w:val="en-US" w:eastAsia="zh-CN" w:bidi="ar-SA"/>
        </w:rPr>
        <w:t>208</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05</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支出决算为53.84万元，完成预算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53E07452">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.卫生健康（类）</w:t>
      </w:r>
      <w:r>
        <w:rPr>
          <w:rFonts w:hint="eastAsia" w:eastAsia="仿宋_GB2312" w:cs="仿宋_GB2312"/>
          <w:color w:val="auto"/>
          <w:kern w:val="2"/>
          <w:sz w:val="32"/>
          <w:szCs w:val="32"/>
          <w:highlight w:val="none"/>
          <w:lang w:val="en-US" w:eastAsia="zh-CN" w:bidi="ar-SA"/>
        </w:rPr>
        <w:t>201</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支出决算为22.85万元，完成预算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66D13EE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.住房保障（类）</w:t>
      </w:r>
      <w:r>
        <w:rPr>
          <w:rFonts w:hint="eastAsia" w:eastAsia="仿宋_GB2312" w:cs="仿宋_GB2312"/>
          <w:color w:val="auto"/>
          <w:kern w:val="2"/>
          <w:sz w:val="32"/>
          <w:szCs w:val="32"/>
          <w:highlight w:val="none"/>
          <w:lang w:val="en-US" w:eastAsia="zh-CN" w:bidi="ar-SA"/>
        </w:rPr>
        <w:t>221</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02</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支出决算为29.91万元，完成预算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3CA115D5">
      <w:pPr>
        <w:pStyle w:val="2"/>
        <w:rPr>
          <w:rFonts w:hint="eastAsia"/>
          <w:lang w:val="en-US" w:eastAsia="zh-CN"/>
        </w:rPr>
      </w:pPr>
    </w:p>
    <w:p w14:paraId="29CF256F">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（注：仅罗列本部门涉及的全部功能分类科目，至项级。上述“预算”口径为全年预算数。增减变动原因为决算数&lt;项级&gt;和全年预算数&lt;项级&gt;比较，与预算数持平可以不写原因）</w:t>
      </w:r>
    </w:p>
    <w:p w14:paraId="1BFA530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406A56A">
      <w:pPr>
        <w:tabs>
          <w:tab w:val="right" w:pos="8306"/>
        </w:tabs>
        <w:spacing w:line="600" w:lineRule="exact"/>
        <w:ind w:firstLine="640"/>
        <w:outlineLvl w:val="1"/>
        <w:rPr>
          <w:rStyle w:val="30"/>
          <w:rFonts w:ascii="Times New Roman" w:hAnsi="Times New Roman"/>
          <w:color w:val="auto"/>
          <w:highlight w:val="none"/>
        </w:rPr>
      </w:pPr>
      <w:bookmarkStart w:id="80" w:name="_Toc15396608"/>
      <w:bookmarkStart w:id="81" w:name="_Toc10780"/>
      <w:bookmarkStart w:id="82" w:name="_Toc24983"/>
      <w:bookmarkStart w:id="83" w:name="_Toc15377214"/>
      <w:bookmarkStart w:id="84" w:name="_Toc29393"/>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80"/>
      <w:bookmarkEnd w:id="81"/>
      <w:bookmarkEnd w:id="82"/>
      <w:bookmarkEnd w:id="83"/>
      <w:bookmarkEnd w:id="84"/>
      <w:r>
        <w:rPr>
          <w:rStyle w:val="30"/>
          <w:rFonts w:ascii="Times New Roman" w:hAnsi="Times New Roman" w:eastAsia="黑体"/>
          <w:b w:val="0"/>
          <w:color w:val="auto"/>
          <w:highlight w:val="none"/>
        </w:rPr>
        <w:tab/>
      </w:r>
    </w:p>
    <w:p w14:paraId="4FC7168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560.19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553F9D0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485.5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元，主要包括：基本工资76.13</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、津贴补贴93.43</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、奖金86.75</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、伙食补助费17.61</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、机关事业单位基本养老保险缴费35.88</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、职业年金缴费17.96</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、职工基本医疗保险缴费17.21</w:t>
      </w:r>
      <w:r>
        <w:rPr>
          <w:rFonts w:hint="eastAsia" w:eastAsia="仿宋_GB2312" w:cs="仿宋_GB2312"/>
          <w:color w:val="auto"/>
          <w:kern w:val="2"/>
          <w:sz w:val="32"/>
          <w:szCs w:val="32"/>
          <w:highlight w:val="none"/>
          <w:lang w:val="en-US" w:eastAsia="zh-CN" w:bidi="ar-SA"/>
        </w:rPr>
        <w:t>万元、公务员医疗补助缴费5.64万元、</w:t>
      </w:r>
      <w:r>
        <w:rPr>
          <w:rFonts w:hint="eastAsia" w:ascii="Times New Roman" w:hAnsi="Times New Roman" w:eastAsia="仿宋_GB2312" w:cs="仿宋_GB2312"/>
          <w:color w:val="auto"/>
          <w:kern w:val="2"/>
          <w:sz w:val="32"/>
          <w:szCs w:val="32"/>
          <w:highlight w:val="none"/>
          <w:lang w:val="en-US" w:eastAsia="zh-CN" w:bidi="ar-SA"/>
        </w:rPr>
        <w:t>其他社会保障缴费3.93</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、其他工资福利支出16.95</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、抚恤金29.73</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、生活补助55.57</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、住房公积金28.71</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74.69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元，主要包括：办公费6.85</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、邮电费6.20</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、差旅费23.6</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、因公出国（境）费用、维修（护）费4.59</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、租赁费、会议费0.73</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、培训费3.69</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、公务接待费0.08</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、劳务费0.37</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、委托业务费3.30</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、工福利费3.54</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、公务用车运行维护费21.09</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、其他交通费0.24</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、办公设备购置0.41</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w:t>
      </w:r>
    </w:p>
    <w:p w14:paraId="28D0A7A6">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14:paraId="215F052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0E43B49">
      <w:pPr>
        <w:spacing w:line="600" w:lineRule="exact"/>
        <w:ind w:firstLine="640"/>
        <w:outlineLvl w:val="1"/>
        <w:rPr>
          <w:rStyle w:val="30"/>
          <w:rFonts w:ascii="Times New Roman" w:hAnsi="Times New Roman" w:eastAsia="黑体"/>
          <w:b w:val="0"/>
          <w:color w:val="auto"/>
          <w:highlight w:val="none"/>
        </w:rPr>
      </w:pPr>
      <w:bookmarkStart w:id="85" w:name="_Toc8890"/>
      <w:bookmarkStart w:id="86" w:name="_Toc5249"/>
      <w:bookmarkStart w:id="87" w:name="_Toc24220"/>
      <w:bookmarkStart w:id="88" w:name="_Toc15377215"/>
      <w:bookmarkStart w:id="89" w:name="_Toc15396609"/>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85"/>
      <w:bookmarkEnd w:id="86"/>
      <w:bookmarkEnd w:id="87"/>
      <w:bookmarkEnd w:id="88"/>
      <w:bookmarkEnd w:id="89"/>
    </w:p>
    <w:p w14:paraId="521E8A1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90" w:name="_Toc15377216"/>
      <w:bookmarkStart w:id="91" w:name="_Toc23637"/>
      <w:bookmarkStart w:id="92" w:name="_Toc10195"/>
      <w:bookmarkStart w:id="93" w:name="_Toc12483"/>
      <w:r>
        <w:rPr>
          <w:rFonts w:hint="eastAsia" w:ascii="Times New Roman" w:hAnsi="Times New Roman" w:eastAsia="楷体_GB2312" w:cs="楷体_GB2312"/>
          <w:b/>
          <w:color w:val="auto"/>
          <w:sz w:val="32"/>
          <w:szCs w:val="32"/>
          <w:highlight w:val="none"/>
        </w:rPr>
        <w:t>（一）“三公”经费财政拨款支出决算总体情况说明</w:t>
      </w:r>
      <w:bookmarkEnd w:id="90"/>
      <w:bookmarkEnd w:id="91"/>
      <w:bookmarkEnd w:id="92"/>
      <w:bookmarkEnd w:id="93"/>
    </w:p>
    <w:p w14:paraId="159FA96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21.58</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较上年度减少</w:t>
      </w:r>
      <w:r>
        <w:rPr>
          <w:rFonts w:hint="eastAsia" w:eastAsia="仿宋_GB2312" w:cs="仿宋_GB2312"/>
          <w:color w:val="auto"/>
          <w:kern w:val="2"/>
          <w:sz w:val="32"/>
          <w:szCs w:val="32"/>
          <w:highlight w:val="none"/>
          <w:lang w:val="en-US" w:eastAsia="zh-CN" w:bidi="ar-SA"/>
        </w:rPr>
        <w:t>5.30</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19.72</w:t>
      </w:r>
      <w:r>
        <w:rPr>
          <w:rFonts w:hint="eastAsia" w:ascii="Times New Roman" w:hAnsi="Times New Roman" w:eastAsia="仿宋_GB2312" w:cs="仿宋_GB2312"/>
          <w:color w:val="auto"/>
          <w:kern w:val="2"/>
          <w:sz w:val="32"/>
          <w:szCs w:val="32"/>
          <w:highlight w:val="none"/>
          <w:lang w:val="en-US" w:eastAsia="zh-CN" w:bidi="ar-SA"/>
        </w:rPr>
        <w:t>%。</w:t>
      </w:r>
    </w:p>
    <w:p w14:paraId="20F2C1DA">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14:paraId="67F8B1D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94" w:name="_Toc20690"/>
      <w:bookmarkStart w:id="95" w:name="_Toc9551"/>
      <w:bookmarkStart w:id="96" w:name="_Toc15103"/>
      <w:bookmarkStart w:id="97"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94"/>
      <w:bookmarkEnd w:id="95"/>
      <w:bookmarkEnd w:id="96"/>
      <w:bookmarkEnd w:id="97"/>
    </w:p>
    <w:p w14:paraId="27D8F347">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21.5</w:t>
      </w:r>
      <w:r>
        <w:rPr>
          <w:rFonts w:hint="eastAsia" w:ascii="仿宋_GB2312" w:hAnsi="仿宋_GB2312" w:eastAsia="仿宋_GB2312" w:cs="仿宋_GB2312"/>
          <w:color w:val="auto"/>
          <w:kern w:val="2"/>
          <w:sz w:val="32"/>
          <w:szCs w:val="32"/>
          <w:highlight w:val="none"/>
          <w:lang w:val="en-US" w:eastAsia="zh-CN" w:bidi="ar-SA"/>
        </w:rPr>
        <w:t>万元，占99.63%；公务接待费支出决算</w:t>
      </w:r>
      <w:r>
        <w:rPr>
          <w:rFonts w:hint="eastAsia" w:ascii="仿宋_GB2312" w:hAnsi="仿宋_GB2312" w:eastAsia="仿宋_GB2312" w:cs="仿宋_GB2312"/>
          <w:sz w:val="32"/>
          <w:szCs w:val="32"/>
        </w:rPr>
        <w:t>0.08</w:t>
      </w:r>
      <w:r>
        <w:rPr>
          <w:rFonts w:hint="eastAsia" w:ascii="仿宋_GB2312" w:hAnsi="仿宋_GB2312" w:eastAsia="仿宋_GB2312" w:cs="仿宋_GB2312"/>
          <w:color w:val="auto"/>
          <w:kern w:val="2"/>
          <w:sz w:val="32"/>
          <w:szCs w:val="32"/>
          <w:highlight w:val="none"/>
          <w:lang w:val="en-US" w:eastAsia="zh-CN" w:bidi="ar-SA"/>
        </w:rPr>
        <w:t>万元，占0.37%。具体情况如下：</w:t>
      </w:r>
    </w:p>
    <w:p w14:paraId="520A0CA6">
      <w:pPr>
        <w:pStyle w:val="3"/>
        <w:ind w:left="0" w:leftChars="0" w:firstLine="0" w:firstLineChars="0"/>
        <w:rPr>
          <w:rFonts w:hint="eastAsia" w:ascii="仿宋_GB2312" w:hAnsi="仿宋_GB2312" w:eastAsia="仿宋_GB2312" w:cs="仿宋_GB2312"/>
          <w:color w:val="auto"/>
          <w:kern w:val="2"/>
          <w:sz w:val="32"/>
          <w:szCs w:val="32"/>
          <w:highlight w:val="none"/>
          <w:lang w:val="en-US" w:eastAsia="zh-CN" w:bidi="ar-SA"/>
        </w:rPr>
      </w:pPr>
    </w:p>
    <w:p w14:paraId="6FE56685">
      <w:pPr>
        <w:pStyle w:val="3"/>
        <w:rPr>
          <w:rFonts w:hint="eastAsia" w:ascii="仿宋_GB2312" w:hAnsi="仿宋_GB2312" w:eastAsia="仿宋_GB2312" w:cs="仿宋_GB2312"/>
          <w:color w:val="auto"/>
          <w:kern w:val="2"/>
          <w:sz w:val="32"/>
          <w:szCs w:val="32"/>
          <w:highlight w:val="none"/>
          <w:lang w:val="en-US" w:eastAsia="zh-CN" w:bidi="ar-SA"/>
        </w:rPr>
      </w:pPr>
      <w:r>
        <w:drawing>
          <wp:inline distT="0" distB="0" distL="114300" distR="114300">
            <wp:extent cx="4572000" cy="2743200"/>
            <wp:effectExtent l="4445" t="4445" r="14605" b="14605"/>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9BD94A">
      <w:pPr>
        <w:pStyle w:val="2"/>
        <w:rPr>
          <w:rFonts w:hint="eastAsia"/>
          <w:lang w:val="en-US" w:eastAsia="zh-CN"/>
        </w:rPr>
      </w:pPr>
    </w:p>
    <w:p w14:paraId="1D487C3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0E1A0F76">
      <w:pPr>
        <w:numPr>
          <w:ilvl w:val="0"/>
          <w:numId w:val="3"/>
        </w:num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68F0A7E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21.5万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公务用车购置及运行维护费支出决算比2023年度增减少</w:t>
      </w:r>
      <w:r>
        <w:rPr>
          <w:rFonts w:hint="eastAsia" w:eastAsia="仿宋_GB2312" w:cs="仿宋_GB2312"/>
          <w:color w:val="auto"/>
          <w:kern w:val="2"/>
          <w:sz w:val="32"/>
          <w:szCs w:val="32"/>
          <w:highlight w:val="none"/>
          <w:lang w:val="en-US" w:eastAsia="zh-CN" w:bidi="ar-SA"/>
        </w:rPr>
        <w:t>4.91</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18.59</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本年度出差较少，车辆安排较少。</w:t>
      </w:r>
    </w:p>
    <w:p w14:paraId="36A2A78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万元。截至2024年12月31日，单位共有公务用车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辆，其中：越野车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w:t>
      </w:r>
    </w:p>
    <w:p w14:paraId="2E4CC97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21.5</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公务出差</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676F1B6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0.08万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公务接待费支出决算比2023年度减少</w:t>
      </w:r>
      <w:r>
        <w:rPr>
          <w:rFonts w:hint="eastAsia" w:eastAsia="仿宋_GB2312" w:cs="仿宋_GB2312"/>
          <w:color w:val="auto"/>
          <w:kern w:val="2"/>
          <w:sz w:val="32"/>
          <w:szCs w:val="32"/>
          <w:highlight w:val="none"/>
          <w:lang w:val="en-US" w:eastAsia="zh-CN" w:bidi="ar-SA"/>
        </w:rPr>
        <w:t>0.41</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83.67</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本年度公务接待较少</w:t>
      </w:r>
      <w:r>
        <w:rPr>
          <w:rFonts w:hint="eastAsia" w:ascii="Times New Roman" w:hAnsi="Times New Roman" w:eastAsia="仿宋_GB2312" w:cs="仿宋_GB2312"/>
          <w:color w:val="auto"/>
          <w:kern w:val="2"/>
          <w:sz w:val="32"/>
          <w:szCs w:val="32"/>
          <w:highlight w:val="none"/>
          <w:lang w:val="en-US" w:eastAsia="zh-CN" w:bidi="ar-SA"/>
        </w:rPr>
        <w:t>。其中：</w:t>
      </w:r>
    </w:p>
    <w:p w14:paraId="1ADB9E5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0.08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w:t>
      </w:r>
      <w:r>
        <w:rPr>
          <w:rFonts w:hint="eastAsia" w:eastAsia="仿宋_GB2312" w:cs="仿宋_GB2312"/>
          <w:color w:val="auto"/>
          <w:kern w:val="2"/>
          <w:sz w:val="32"/>
          <w:szCs w:val="32"/>
          <w:highlight w:val="none"/>
          <w:lang w:val="en-US" w:eastAsia="zh-CN" w:bidi="ar-SA"/>
        </w:rPr>
        <w:t>公务接待</w:t>
      </w:r>
      <w:r>
        <w:rPr>
          <w:rFonts w:hint="eastAsia" w:ascii="Times New Roman" w:hAnsi="Times New Roman" w:eastAsia="仿宋_GB2312" w:cs="仿宋_GB2312"/>
          <w:color w:val="auto"/>
          <w:kern w:val="2"/>
          <w:sz w:val="32"/>
          <w:szCs w:val="32"/>
          <w:highlight w:val="none"/>
          <w:lang w:val="en-US" w:eastAsia="zh-CN" w:bidi="ar-SA"/>
        </w:rPr>
        <w:t>。国内公务接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5</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0.08</w:t>
      </w:r>
      <w:r>
        <w:rPr>
          <w:rFonts w:hint="eastAsia" w:ascii="Times New Roman" w:hAnsi="Times New Roman" w:eastAsia="仿宋_GB2312" w:cs="仿宋_GB2312"/>
          <w:color w:val="auto"/>
          <w:kern w:val="2"/>
          <w:sz w:val="32"/>
          <w:szCs w:val="32"/>
          <w:highlight w:val="none"/>
          <w:lang w:val="en-US" w:eastAsia="zh-CN" w:bidi="ar-SA"/>
        </w:rPr>
        <w:t>万元，具体内容包括：</w:t>
      </w:r>
      <w:r>
        <w:rPr>
          <w:rFonts w:hint="eastAsia" w:eastAsia="仿宋_GB2312" w:cs="仿宋_GB2312"/>
          <w:color w:val="auto"/>
          <w:kern w:val="2"/>
          <w:sz w:val="32"/>
          <w:szCs w:val="32"/>
          <w:highlight w:val="none"/>
          <w:lang w:val="en-US" w:eastAsia="zh-CN" w:bidi="ar-SA"/>
        </w:rPr>
        <w:t>伙食费0.08万元</w:t>
      </w:r>
      <w:r>
        <w:rPr>
          <w:rFonts w:hint="eastAsia" w:ascii="Times New Roman" w:hAnsi="Times New Roman" w:eastAsia="仿宋_GB2312" w:cs="仿宋_GB2312"/>
          <w:color w:val="auto"/>
          <w:kern w:val="2"/>
          <w:sz w:val="32"/>
          <w:szCs w:val="32"/>
          <w:highlight w:val="none"/>
          <w:lang w:val="en-US" w:eastAsia="zh-CN" w:bidi="ar-SA"/>
        </w:rPr>
        <w:t>。</w:t>
      </w:r>
    </w:p>
    <w:p w14:paraId="71ACD49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98" w:name="_Toc15396610"/>
      <w:bookmarkStart w:id="99" w:name="_Toc15377218"/>
    </w:p>
    <w:p w14:paraId="25EC6731">
      <w:pPr>
        <w:spacing w:line="600" w:lineRule="exact"/>
        <w:ind w:firstLine="640"/>
        <w:outlineLvl w:val="1"/>
        <w:rPr>
          <w:rStyle w:val="30"/>
          <w:rFonts w:ascii="Times New Roman" w:hAnsi="Times New Roman" w:eastAsia="黑体"/>
          <w:color w:val="auto"/>
          <w:highlight w:val="none"/>
        </w:rPr>
      </w:pPr>
      <w:bookmarkStart w:id="100" w:name="_Toc17712"/>
      <w:bookmarkStart w:id="101" w:name="_Toc22414"/>
      <w:bookmarkStart w:id="102" w:name="_Toc14769"/>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98"/>
      <w:bookmarkEnd w:id="99"/>
      <w:bookmarkEnd w:id="100"/>
      <w:bookmarkEnd w:id="101"/>
      <w:bookmarkEnd w:id="102"/>
    </w:p>
    <w:p w14:paraId="4E9EE14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w:t>
      </w:r>
      <w:r>
        <w:rPr>
          <w:rFonts w:hint="eastAsia" w:eastAsia="仿宋_GB2312" w:cs="仿宋_GB2312"/>
          <w:color w:val="auto"/>
          <w:kern w:val="2"/>
          <w:sz w:val="32"/>
          <w:szCs w:val="32"/>
          <w:highlight w:val="none"/>
          <w:lang w:val="en-US" w:eastAsia="zh-CN" w:bidi="ar-SA"/>
        </w:rPr>
        <w:t>相同。</w:t>
      </w:r>
    </w:p>
    <w:p w14:paraId="00AB1DCC">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103" w:name="_Toc6686"/>
      <w:bookmarkStart w:id="104" w:name="_Toc20274"/>
      <w:bookmarkStart w:id="105" w:name="_Toc15396611"/>
      <w:bookmarkStart w:id="106" w:name="_Toc15377219"/>
      <w:bookmarkStart w:id="107" w:name="_Toc31862"/>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103"/>
      <w:bookmarkEnd w:id="104"/>
      <w:bookmarkEnd w:id="105"/>
      <w:bookmarkEnd w:id="106"/>
      <w:bookmarkEnd w:id="107"/>
    </w:p>
    <w:p w14:paraId="52164F1E">
      <w:pPr>
        <w:numPr>
          <w:ilvl w:val="0"/>
          <w:numId w:val="0"/>
        </w:numPr>
        <w:spacing w:line="600" w:lineRule="exact"/>
        <w:ind w:firstLine="640" w:firstLineChars="200"/>
        <w:outlineLvl w:val="1"/>
        <w:rPr>
          <w:rFonts w:hint="eastAsia" w:ascii="Times New Roman" w:hAnsi="Times New Roman" w:eastAsia="仿宋_GB2312" w:cs="仿宋_GB2312"/>
          <w:color w:val="auto"/>
          <w:kern w:val="2"/>
          <w:sz w:val="32"/>
          <w:szCs w:val="32"/>
          <w:highlight w:val="none"/>
          <w:lang w:val="en-US" w:eastAsia="zh-CN" w:bidi="ar-SA"/>
        </w:rPr>
      </w:pPr>
      <w:bookmarkStart w:id="108" w:name="_Toc23412"/>
      <w:bookmarkStart w:id="109" w:name="_Toc13896"/>
      <w:bookmarkStart w:id="110" w:name="_Toc278"/>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w:t>
      </w:r>
      <w:r>
        <w:rPr>
          <w:rFonts w:hint="eastAsia" w:eastAsia="仿宋_GB2312" w:cs="仿宋_GB2312"/>
          <w:color w:val="auto"/>
          <w:kern w:val="2"/>
          <w:sz w:val="32"/>
          <w:szCs w:val="32"/>
          <w:highlight w:val="none"/>
          <w:lang w:val="en-US" w:eastAsia="zh-CN" w:bidi="ar-SA"/>
        </w:rPr>
        <w:t>相同</w:t>
      </w:r>
      <w:r>
        <w:rPr>
          <w:rFonts w:hint="eastAsia" w:ascii="Times New Roman" w:hAnsi="Times New Roman" w:eastAsia="仿宋_GB2312" w:cs="仿宋_GB2312"/>
          <w:color w:val="auto"/>
          <w:kern w:val="2"/>
          <w:sz w:val="32"/>
          <w:szCs w:val="32"/>
          <w:highlight w:val="none"/>
          <w:lang w:val="en-US" w:eastAsia="zh-CN" w:bidi="ar-SA"/>
        </w:rPr>
        <w:t>。</w:t>
      </w:r>
      <w:bookmarkEnd w:id="108"/>
      <w:bookmarkEnd w:id="109"/>
      <w:bookmarkEnd w:id="110"/>
      <w:bookmarkStart w:id="111" w:name="_Toc15377221"/>
      <w:bookmarkStart w:id="112" w:name="_Toc15396612"/>
    </w:p>
    <w:p w14:paraId="4F72C19B">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113" w:name="_Toc22803"/>
      <w:bookmarkStart w:id="114" w:name="_Toc26205"/>
      <w:bookmarkStart w:id="115" w:name="_Toc28829"/>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111"/>
      <w:bookmarkEnd w:id="112"/>
      <w:bookmarkEnd w:id="113"/>
      <w:bookmarkEnd w:id="114"/>
      <w:bookmarkEnd w:id="115"/>
    </w:p>
    <w:p w14:paraId="2BC8C32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116" w:name="_Toc17716"/>
      <w:bookmarkStart w:id="117" w:name="_Toc13844"/>
      <w:bookmarkStart w:id="118" w:name="_Toc15377222"/>
      <w:bookmarkStart w:id="119" w:name="_Toc3909"/>
      <w:r>
        <w:rPr>
          <w:rFonts w:hint="eastAsia" w:ascii="Times New Roman" w:hAnsi="Times New Roman" w:eastAsia="楷体_GB2312" w:cs="楷体_GB2312"/>
          <w:b/>
          <w:color w:val="auto"/>
          <w:sz w:val="32"/>
          <w:szCs w:val="32"/>
          <w:highlight w:val="none"/>
        </w:rPr>
        <w:t>（一）机关运行经费支出情况</w:t>
      </w:r>
      <w:bookmarkEnd w:id="116"/>
      <w:bookmarkEnd w:id="117"/>
      <w:bookmarkEnd w:id="118"/>
      <w:bookmarkEnd w:id="119"/>
    </w:p>
    <w:p w14:paraId="71F56AB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阿坝藏族羌族自治州科学技术协会（本级）</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74.69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元，比2023年度减少</w:t>
      </w:r>
      <w:r>
        <w:rPr>
          <w:rFonts w:hint="eastAsia" w:eastAsia="仿宋_GB2312" w:cs="仿宋_GB2312"/>
          <w:color w:val="auto"/>
          <w:kern w:val="2"/>
          <w:sz w:val="32"/>
          <w:szCs w:val="32"/>
          <w:highlight w:val="none"/>
          <w:lang w:val="en-US" w:eastAsia="zh-CN" w:bidi="ar-SA"/>
        </w:rPr>
        <w:t>18.43</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19.79</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上年度开办伙食团，采购的物资较多。</w:t>
      </w:r>
    </w:p>
    <w:p w14:paraId="365A82D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120" w:name="_Toc15377223"/>
      <w:bookmarkStart w:id="121" w:name="_Toc11585"/>
      <w:bookmarkStart w:id="122" w:name="_Toc25981"/>
      <w:bookmarkStart w:id="123" w:name="_Toc13257"/>
      <w:r>
        <w:rPr>
          <w:rFonts w:hint="eastAsia" w:ascii="Times New Roman" w:hAnsi="Times New Roman" w:eastAsia="楷体_GB2312" w:cs="楷体_GB2312"/>
          <w:b/>
          <w:color w:val="auto"/>
          <w:sz w:val="32"/>
          <w:szCs w:val="32"/>
          <w:highlight w:val="none"/>
        </w:rPr>
        <w:t>（二）政府采购支出情况</w:t>
      </w:r>
      <w:bookmarkEnd w:id="120"/>
      <w:bookmarkEnd w:id="121"/>
      <w:bookmarkEnd w:id="122"/>
      <w:bookmarkEnd w:id="123"/>
    </w:p>
    <w:p w14:paraId="6543FD70">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阿坝藏族羌族自治州科学技术协会（本级）</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54.58</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4.78</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49.8</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1336F8A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204CA0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124" w:name="_Toc69"/>
      <w:bookmarkStart w:id="125" w:name="_Toc15377224"/>
      <w:bookmarkStart w:id="126" w:name="_Toc7549"/>
      <w:bookmarkStart w:id="127" w:name="_Toc11318"/>
      <w:r>
        <w:rPr>
          <w:rFonts w:hint="eastAsia" w:ascii="Times New Roman" w:hAnsi="Times New Roman" w:eastAsia="楷体_GB2312" w:cs="楷体_GB2312"/>
          <w:b/>
          <w:color w:val="auto"/>
          <w:sz w:val="32"/>
          <w:szCs w:val="32"/>
          <w:highlight w:val="none"/>
        </w:rPr>
        <w:t>（三）国有资产占有使用情况</w:t>
      </w:r>
      <w:bookmarkEnd w:id="124"/>
      <w:bookmarkEnd w:id="125"/>
      <w:bookmarkEnd w:id="126"/>
      <w:bookmarkEnd w:id="127"/>
    </w:p>
    <w:p w14:paraId="35F2567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阿坝藏族羌族自治州科学技术协会（本级）</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辆，其中：应急保障用车</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106CD32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128" w:name="_Toc1525"/>
      <w:bookmarkStart w:id="129" w:name="_Toc31639"/>
      <w:bookmarkStart w:id="130" w:name="_Toc2709"/>
      <w:r>
        <w:rPr>
          <w:rFonts w:hint="eastAsia" w:ascii="Times New Roman" w:hAnsi="Times New Roman" w:eastAsia="楷体_GB2312" w:cs="楷体_GB2312"/>
          <w:b/>
          <w:color w:val="auto"/>
          <w:sz w:val="32"/>
          <w:szCs w:val="32"/>
          <w:highlight w:val="none"/>
        </w:rPr>
        <w:t>（四）预算绩效管理情况</w:t>
      </w:r>
      <w:bookmarkEnd w:id="128"/>
      <w:bookmarkEnd w:id="129"/>
      <w:bookmarkEnd w:id="130"/>
    </w:p>
    <w:p w14:paraId="1BD8773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本单位</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70B583A5">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阿坝州科学技术协会2024年</w:t>
      </w:r>
      <w:r>
        <w:rPr>
          <w:rFonts w:hint="eastAsia" w:ascii="Times New Roman" w:hAnsi="Times New Roman" w:eastAsia="仿宋_GB2312" w:cs="仿宋_GB2312"/>
          <w:color w:val="auto"/>
          <w:kern w:val="2"/>
          <w:sz w:val="32"/>
          <w:szCs w:val="32"/>
          <w:highlight w:val="none"/>
          <w:lang w:val="en-US" w:eastAsia="zh-CN" w:bidi="ar-SA"/>
        </w:rPr>
        <w:t>部门</w:t>
      </w:r>
      <w:r>
        <w:rPr>
          <w:rFonts w:hint="eastAsia" w:eastAsia="仿宋_GB2312" w:cs="仿宋_GB2312"/>
          <w:color w:val="auto"/>
          <w:kern w:val="2"/>
          <w:sz w:val="32"/>
          <w:szCs w:val="32"/>
          <w:highlight w:val="none"/>
          <w:lang w:val="en-US" w:eastAsia="zh-CN" w:bidi="ar-SA"/>
        </w:rPr>
        <w:t>预算绩效自评报告</w:t>
      </w:r>
      <w:r>
        <w:rPr>
          <w:rFonts w:hint="eastAsia" w:ascii="Times New Roman" w:hAnsi="Times New Roman" w:eastAsia="仿宋_GB2312" w:cs="仿宋_GB2312"/>
          <w:color w:val="auto"/>
          <w:kern w:val="2"/>
          <w:sz w:val="32"/>
          <w:szCs w:val="32"/>
          <w:highlight w:val="none"/>
          <w:lang w:val="en-US" w:eastAsia="zh-CN" w:bidi="ar-SA"/>
        </w:rPr>
        <w:t>绩效自评得分为</w:t>
      </w:r>
      <w:r>
        <w:rPr>
          <w:rFonts w:hint="eastAsia" w:eastAsia="仿宋_GB2312" w:cs="仿宋_GB2312"/>
          <w:color w:val="auto"/>
          <w:kern w:val="2"/>
          <w:sz w:val="32"/>
          <w:szCs w:val="32"/>
          <w:highlight w:val="none"/>
          <w:lang w:val="en-US" w:eastAsia="zh-CN" w:bidi="ar-SA"/>
        </w:rPr>
        <w:t>94.38</w:t>
      </w:r>
      <w:r>
        <w:rPr>
          <w:rFonts w:hint="eastAsia" w:ascii="Times New Roman" w:hAnsi="Times New Roman" w:eastAsia="仿宋_GB2312" w:cs="仿宋_GB2312"/>
          <w:color w:val="auto"/>
          <w:kern w:val="2"/>
          <w:sz w:val="32"/>
          <w:szCs w:val="32"/>
          <w:highlight w:val="none"/>
          <w:lang w:val="en-US" w:eastAsia="zh-CN" w:bidi="ar-SA"/>
        </w:rPr>
        <w:t>分，绩效自评报告详见附件。</w:t>
      </w:r>
    </w:p>
    <w:p w14:paraId="4AD43E8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55E301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2D05936">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131" w:name="_Toc4754"/>
      <w:bookmarkStart w:id="132" w:name="_Toc9492"/>
      <w:bookmarkStart w:id="133" w:name="_Toc15396613"/>
      <w:bookmarkStart w:id="134" w:name="_Toc15377225"/>
      <w:bookmarkStart w:id="135" w:name="_Toc4308"/>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131"/>
      <w:bookmarkEnd w:id="132"/>
      <w:bookmarkEnd w:id="133"/>
      <w:bookmarkEnd w:id="134"/>
      <w:bookmarkEnd w:id="135"/>
    </w:p>
    <w:p w14:paraId="5D0DCD23">
      <w:pPr>
        <w:spacing w:line="600" w:lineRule="exact"/>
        <w:jc w:val="left"/>
        <w:rPr>
          <w:rFonts w:ascii="Times New Roman" w:hAnsi="Times New Roman"/>
          <w:b/>
          <w:color w:val="auto"/>
          <w:sz w:val="44"/>
          <w:szCs w:val="44"/>
          <w:highlight w:val="none"/>
        </w:rPr>
      </w:pPr>
    </w:p>
    <w:p w14:paraId="7394DDCA">
      <w:pPr>
        <w:spacing w:line="600" w:lineRule="exact"/>
        <w:jc w:val="left"/>
        <w:rPr>
          <w:rFonts w:ascii="Times New Roman" w:hAnsi="Times New Roman"/>
          <w:b/>
          <w:color w:val="auto"/>
          <w:sz w:val="44"/>
          <w:szCs w:val="44"/>
          <w:highlight w:val="none"/>
        </w:rPr>
      </w:pPr>
    </w:p>
    <w:p w14:paraId="6F7A1A26">
      <w:pPr>
        <w:pStyle w:val="27"/>
        <w:spacing w:line="560" w:lineRule="exact"/>
        <w:ind w:firstLine="640" w:firstLineChars="200"/>
        <w:outlineLvl w:val="1"/>
        <w:rPr>
          <w:rFonts w:hint="eastAsia" w:ascii="仿宋_GB2312" w:eastAsia="仿宋_GB2312"/>
          <w:color w:val="auto"/>
          <w:sz w:val="32"/>
          <w:szCs w:val="32"/>
          <w:highlight w:val="none"/>
        </w:rPr>
      </w:pPr>
      <w:bookmarkStart w:id="136" w:name="_Toc7854"/>
      <w:bookmarkStart w:id="137" w:name="_Toc17491"/>
      <w:bookmarkStart w:id="138" w:name="_Toc16718"/>
      <w:bookmarkStart w:id="139" w:name="_Toc12029"/>
      <w:r>
        <w:rPr>
          <w:rFonts w:hint="eastAsia" w:ascii="仿宋_GB2312" w:eastAsia="仿宋_GB2312"/>
          <w:color w:val="auto"/>
          <w:sz w:val="32"/>
          <w:szCs w:val="32"/>
          <w:highlight w:val="none"/>
        </w:rPr>
        <w:t>1.财政拨款收入：指单位从同级财政部门取得的财政预算资金。</w:t>
      </w:r>
      <w:bookmarkEnd w:id="136"/>
      <w:bookmarkEnd w:id="137"/>
      <w:bookmarkEnd w:id="138"/>
      <w:bookmarkEnd w:id="139"/>
    </w:p>
    <w:p w14:paraId="172CD59D">
      <w:pPr>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.科学技术（类）</w:t>
      </w:r>
      <w:r>
        <w:rPr>
          <w:rFonts w:hint="eastAsia" w:ascii="仿宋_GB2312" w:eastAsia="仿宋_GB2312"/>
          <w:color w:val="auto"/>
          <w:sz w:val="32"/>
          <w:szCs w:val="32"/>
          <w:highlight w:val="none"/>
          <w:lang w:val="en-US" w:eastAsia="zh-CN"/>
        </w:rPr>
        <w:t>206</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01</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01</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反映行政单位（包括实行公务员管理的事业单位）的基本支出。</w:t>
      </w:r>
    </w:p>
    <w:p w14:paraId="61345F9B">
      <w:pPr>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.科学技术（类）</w:t>
      </w:r>
      <w:r>
        <w:rPr>
          <w:rFonts w:hint="eastAsia" w:ascii="仿宋_GB2312" w:eastAsia="仿宋_GB2312"/>
          <w:color w:val="auto"/>
          <w:sz w:val="32"/>
          <w:szCs w:val="32"/>
          <w:highlight w:val="none"/>
          <w:lang w:val="en-US" w:eastAsia="zh-CN"/>
        </w:rPr>
        <w:t>206</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01</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02</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反映行政单位（包括实行公务员管理的事业单位）未单独设项级科目的其他项目支出。</w:t>
      </w:r>
    </w:p>
    <w:p w14:paraId="1DB72511">
      <w:pPr>
        <w:ind w:firstLine="640" w:firstLineChars="200"/>
        <w:rPr>
          <w:rFonts w:hint="default"/>
          <w:lang w:val="en-US" w:eastAsia="zh-CN"/>
        </w:rPr>
      </w:pP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.科学技术（类）</w:t>
      </w:r>
      <w:r>
        <w:rPr>
          <w:rFonts w:hint="eastAsia" w:ascii="仿宋_GB2312" w:eastAsia="仿宋_GB2312"/>
          <w:color w:val="auto"/>
          <w:sz w:val="32"/>
          <w:szCs w:val="32"/>
          <w:highlight w:val="none"/>
          <w:lang w:val="en-US" w:eastAsia="zh-CN"/>
        </w:rPr>
        <w:t>206</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01</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02</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反映行政单位（包括实行公务员管理的事业单位）未单独设项级科目的其他项目支出。</w:t>
      </w:r>
    </w:p>
    <w:p w14:paraId="72276F32">
      <w:pPr>
        <w:ind w:firstLine="640" w:firstLineChars="200"/>
        <w:rPr>
          <w:rFonts w:hint="eastAsia"/>
          <w:lang w:eastAsia="zh-CN"/>
        </w:rPr>
      </w:pP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.科学技术（类）</w:t>
      </w:r>
      <w:r>
        <w:rPr>
          <w:rFonts w:hint="eastAsia" w:ascii="仿宋_GB2312" w:eastAsia="仿宋_GB2312"/>
          <w:color w:val="auto"/>
          <w:sz w:val="32"/>
          <w:szCs w:val="32"/>
          <w:highlight w:val="none"/>
          <w:lang w:val="en-US" w:eastAsia="zh-CN"/>
        </w:rPr>
        <w:t>206</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07</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05</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反映各级政府科技馆、站的支出。</w:t>
      </w:r>
    </w:p>
    <w:p w14:paraId="7B0ACBE5">
      <w:pPr>
        <w:pStyle w:val="2"/>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.科学技术（类）</w:t>
      </w:r>
      <w:r>
        <w:rPr>
          <w:rFonts w:hint="eastAsia" w:ascii="仿宋_GB2312" w:eastAsia="仿宋_GB2312"/>
          <w:color w:val="auto"/>
          <w:sz w:val="32"/>
          <w:szCs w:val="32"/>
          <w:highlight w:val="none"/>
          <w:lang w:val="en-US" w:eastAsia="zh-CN"/>
        </w:rPr>
        <w:t>206</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07</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99</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反映其他用于科学技术普及方面的支出。</w:t>
      </w:r>
    </w:p>
    <w:p w14:paraId="6D9FE37A">
      <w:pPr>
        <w:pStyle w:val="3"/>
        <w:ind w:left="0" w:leftChars="0" w:firstLine="640" w:firstLineChars="200"/>
        <w:rPr>
          <w:rFonts w:hint="eastAsia" w:eastAsia="仿宋_GB2312"/>
          <w:color w:val="auto"/>
          <w:sz w:val="32"/>
          <w:szCs w:val="32"/>
          <w:highlight w:val="none"/>
          <w:lang w:eastAsia="zh-CN"/>
        </w:rPr>
      </w:pPr>
      <w:r>
        <w:rPr>
          <w:rFonts w:hint="eastAsia" w:eastAsia="仿宋_GB2312"/>
          <w:color w:val="auto"/>
          <w:sz w:val="32"/>
          <w:szCs w:val="32"/>
          <w:highlight w:val="none"/>
          <w:lang w:val="en-US" w:eastAsia="zh-CN"/>
        </w:rPr>
        <w:t>7</w:t>
      </w:r>
      <w:r>
        <w:rPr>
          <w:rFonts w:hint="eastAsia" w:ascii="仿宋_GB2312" w:eastAsia="仿宋_GB2312"/>
          <w:color w:val="auto"/>
          <w:sz w:val="32"/>
          <w:szCs w:val="32"/>
          <w:highlight w:val="none"/>
        </w:rPr>
        <w:t>.科学技术（类）</w:t>
      </w:r>
      <w:r>
        <w:rPr>
          <w:rFonts w:hint="eastAsia" w:ascii="仿宋_GB2312" w:eastAsia="仿宋_GB2312"/>
          <w:color w:val="auto"/>
          <w:sz w:val="32"/>
          <w:szCs w:val="32"/>
          <w:highlight w:val="none"/>
          <w:lang w:val="en-US" w:eastAsia="zh-CN"/>
        </w:rPr>
        <w:t>206</w:t>
      </w:r>
      <w:r>
        <w:rPr>
          <w:rFonts w:hint="eastAsia" w:ascii="仿宋_GB2312" w:eastAsia="仿宋_GB2312"/>
          <w:color w:val="auto"/>
          <w:sz w:val="32"/>
          <w:szCs w:val="32"/>
          <w:highlight w:val="none"/>
        </w:rPr>
        <w:t>（款）</w:t>
      </w:r>
      <w:r>
        <w:rPr>
          <w:rFonts w:hint="eastAsia" w:eastAsia="仿宋_GB2312"/>
          <w:color w:val="auto"/>
          <w:sz w:val="32"/>
          <w:szCs w:val="32"/>
          <w:highlight w:val="none"/>
          <w:lang w:val="en-US" w:eastAsia="zh-CN"/>
        </w:rPr>
        <w:t>99</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99</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反映其</w:t>
      </w:r>
      <w:r>
        <w:rPr>
          <w:rFonts w:hint="eastAsia" w:eastAsia="仿宋_GB2312"/>
          <w:color w:val="auto"/>
          <w:sz w:val="32"/>
          <w:szCs w:val="32"/>
          <w:highlight w:val="none"/>
          <w:lang w:eastAsia="zh-CN"/>
        </w:rPr>
        <w:t>反映其他科学技术中除以上各项外用于科技方面的支出。</w:t>
      </w:r>
    </w:p>
    <w:p w14:paraId="1F7C2F09">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8</w:t>
      </w:r>
      <w:r>
        <w:rPr>
          <w:rFonts w:hint="eastAsia" w:ascii="仿宋_GB2312" w:eastAsia="仿宋_GB2312"/>
          <w:color w:val="auto"/>
          <w:sz w:val="32"/>
          <w:szCs w:val="32"/>
          <w:highlight w:val="none"/>
        </w:rPr>
        <w:t>.社会保障和就业（类）</w:t>
      </w:r>
      <w:r>
        <w:rPr>
          <w:rFonts w:hint="eastAsia" w:ascii="仿宋_GB2312" w:eastAsia="仿宋_GB2312"/>
          <w:color w:val="auto"/>
          <w:sz w:val="32"/>
          <w:szCs w:val="32"/>
          <w:highlight w:val="none"/>
          <w:lang w:val="en-US" w:eastAsia="zh-CN"/>
        </w:rPr>
        <w:t>208</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05</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05</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反映机关事业单位实施养老保险制度由单位缴纳的基本养老保险费支出</w:t>
      </w:r>
      <w:r>
        <w:rPr>
          <w:rFonts w:hint="eastAsia" w:ascii="仿宋_GB2312" w:eastAsia="仿宋_GB2312"/>
          <w:color w:val="auto"/>
          <w:sz w:val="32"/>
          <w:szCs w:val="32"/>
          <w:highlight w:val="none"/>
        </w:rPr>
        <w:t>。</w:t>
      </w:r>
    </w:p>
    <w:p w14:paraId="70A19B97">
      <w:pPr>
        <w:pStyle w:val="2"/>
        <w:ind w:firstLine="640" w:firstLineChars="200"/>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9.</w:t>
      </w:r>
      <w:r>
        <w:rPr>
          <w:rFonts w:hint="eastAsia" w:ascii="仿宋_GB2312" w:eastAsia="仿宋_GB2312"/>
          <w:color w:val="auto"/>
          <w:sz w:val="32"/>
          <w:szCs w:val="32"/>
          <w:highlight w:val="none"/>
        </w:rPr>
        <w:t>社会保障和就业（类）</w:t>
      </w:r>
      <w:r>
        <w:rPr>
          <w:rFonts w:hint="eastAsia" w:ascii="仿宋_GB2312" w:eastAsia="仿宋_GB2312"/>
          <w:color w:val="auto"/>
          <w:sz w:val="32"/>
          <w:szCs w:val="32"/>
          <w:highlight w:val="none"/>
          <w:lang w:val="en-US" w:eastAsia="zh-CN"/>
        </w:rPr>
        <w:t>208</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05</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06</w:t>
      </w:r>
      <w:r>
        <w:rPr>
          <w:rFonts w:hint="eastAsia" w:ascii="仿宋_GB2312" w:eastAsia="仿宋_GB2312" w:cs="Times New Roman"/>
          <w:color w:val="auto"/>
          <w:kern w:val="2"/>
          <w:sz w:val="32"/>
          <w:szCs w:val="32"/>
          <w:highlight w:val="none"/>
          <w:lang w:val="en-US" w:eastAsia="zh-CN" w:bidi="ar-SA"/>
        </w:rPr>
        <w:t>: 指机关事业单位实施养老保险制度由单位缴纳的职业年金支出。</w:t>
      </w:r>
    </w:p>
    <w:p w14:paraId="75834CF7">
      <w:pPr>
        <w:pStyle w:val="15"/>
        <w:keepNext w:val="0"/>
        <w:keepLines w:val="0"/>
        <w:widowControl/>
        <w:suppressLineNumbers w:val="0"/>
        <w:pBdr>
          <w:top w:val="none" w:color="auto" w:sz="0" w:space="0"/>
          <w:bottom w:val="none" w:color="auto" w:sz="0" w:space="0"/>
        </w:pBdr>
        <w:suppressAutoHyphens/>
        <w:spacing w:before="100" w:beforeAutospacing="1" w:after="100" w:afterAutospacing="1" w:line="576" w:lineRule="atLeast"/>
        <w:ind w:left="0" w:right="0" w:firstLine="640"/>
        <w:jc w:val="both"/>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10.卫生健康</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val="en-US" w:eastAsia="zh-CN"/>
        </w:rPr>
        <w:t>210</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11</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01</w:t>
      </w:r>
      <w:r>
        <w:rPr>
          <w:rFonts w:hint="eastAsia" w:ascii="仿宋_GB2312" w:eastAsia="仿宋_GB2312" w:cs="Times New Roman"/>
          <w:color w:val="auto"/>
          <w:kern w:val="2"/>
          <w:sz w:val="32"/>
          <w:szCs w:val="32"/>
          <w:highlight w:val="none"/>
          <w:lang w:val="en-US" w:eastAsia="zh-CN" w:bidi="ar-SA"/>
        </w:rPr>
        <w:t xml:space="preserve">:指财政部门安排的行政单位（包括实行公务员管理的事业单位，下同）基本医疗保险缴费经费，未参加医疗保险的行政单位的公费医疗经费，按国家规定享受离休人员、红军老战士待遇的医疗经费。  </w:t>
      </w:r>
    </w:p>
    <w:p w14:paraId="51389F53">
      <w:pPr>
        <w:pStyle w:val="15"/>
        <w:keepNext w:val="0"/>
        <w:keepLines w:val="0"/>
        <w:widowControl/>
        <w:suppressLineNumbers w:val="0"/>
        <w:pBdr>
          <w:top w:val="none" w:color="auto" w:sz="0" w:space="0"/>
          <w:bottom w:val="none" w:color="auto" w:sz="0" w:space="0"/>
        </w:pBdr>
        <w:suppressAutoHyphens/>
        <w:spacing w:before="100" w:beforeAutospacing="1" w:after="100" w:afterAutospacing="1" w:line="576" w:lineRule="atLeast"/>
        <w:ind w:left="0" w:right="0" w:firstLine="640"/>
        <w:jc w:val="both"/>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11.卫生健康</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val="en-US" w:eastAsia="zh-CN"/>
        </w:rPr>
        <w:t>210</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11</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03</w:t>
      </w:r>
      <w:r>
        <w:rPr>
          <w:rFonts w:hint="eastAsia" w:ascii="仿宋_GB2312" w:eastAsia="仿宋_GB2312" w:cs="Times New Roman"/>
          <w:color w:val="auto"/>
          <w:kern w:val="2"/>
          <w:sz w:val="32"/>
          <w:szCs w:val="32"/>
          <w:highlight w:val="none"/>
          <w:lang w:val="en-US" w:eastAsia="zh-CN" w:bidi="ar-SA"/>
        </w:rPr>
        <w:t xml:space="preserve">:指财政部门安排的公务员医疗补助经费。 </w:t>
      </w:r>
    </w:p>
    <w:p w14:paraId="4624A09E">
      <w:pPr>
        <w:pStyle w:val="15"/>
        <w:keepNext w:val="0"/>
        <w:keepLines w:val="0"/>
        <w:widowControl/>
        <w:suppressLineNumbers w:val="0"/>
        <w:pBdr>
          <w:top w:val="none" w:color="auto" w:sz="0" w:space="0"/>
          <w:bottom w:val="none" w:color="auto" w:sz="0" w:space="0"/>
        </w:pBdr>
        <w:suppressAutoHyphens/>
        <w:spacing w:before="100" w:beforeAutospacing="1" w:after="100" w:afterAutospacing="1" w:line="576" w:lineRule="atLeast"/>
        <w:ind w:left="0" w:right="0" w:firstLine="640"/>
        <w:jc w:val="both"/>
        <w:rPr>
          <w:rFonts w:hint="eastAsia"/>
          <w:lang w:val="en-US" w:eastAsia="zh-CN"/>
        </w:rPr>
      </w:pPr>
      <w:r>
        <w:rPr>
          <w:rFonts w:hint="eastAsia" w:ascii="仿宋_GB2312" w:eastAsia="仿宋_GB2312" w:cs="Times New Roman"/>
          <w:color w:val="auto"/>
          <w:kern w:val="2"/>
          <w:sz w:val="32"/>
          <w:szCs w:val="32"/>
          <w:highlight w:val="none"/>
          <w:lang w:val="en-US" w:eastAsia="zh-CN" w:bidi="ar-SA"/>
        </w:rPr>
        <w:t>12.住房保障（</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val="en-US" w:eastAsia="zh-CN"/>
        </w:rPr>
        <w:t>221</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02</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01：</w:t>
      </w:r>
      <w:r>
        <w:rPr>
          <w:rFonts w:hint="eastAsia" w:ascii="仿宋_GB2312" w:eastAsia="仿宋_GB2312" w:cs="Times New Roman"/>
          <w:color w:val="auto"/>
          <w:kern w:val="2"/>
          <w:sz w:val="32"/>
          <w:szCs w:val="32"/>
          <w:highlight w:val="none"/>
          <w:lang w:val="en-US" w:eastAsia="zh-CN" w:bidi="ar-SA"/>
        </w:rPr>
        <w:t>指指行政事业单位按人力资源和社会保障部、财政部规定的基本工资和津贴补贴以及规定比例为职工缴纳的住房公积金。</w:t>
      </w:r>
    </w:p>
    <w:p w14:paraId="233C01BD">
      <w:pPr>
        <w:pStyle w:val="15"/>
        <w:keepNext w:val="0"/>
        <w:keepLines w:val="0"/>
        <w:widowControl/>
        <w:suppressLineNumbers w:val="0"/>
        <w:pBdr>
          <w:top w:val="none" w:color="auto" w:sz="0" w:space="0"/>
          <w:bottom w:val="none" w:color="auto" w:sz="0" w:space="0"/>
        </w:pBdr>
        <w:suppressAutoHyphens/>
        <w:spacing w:before="100" w:beforeAutospacing="1" w:after="100" w:afterAutospacing="1" w:line="576" w:lineRule="atLeast"/>
        <w:ind w:left="0" w:right="0" w:firstLine="640"/>
        <w:jc w:val="both"/>
        <w:rPr>
          <w:rFonts w:hint="eastAsia"/>
          <w:lang w:val="en-US" w:eastAsia="zh-CN"/>
        </w:rPr>
      </w:pPr>
      <w:r>
        <w:rPr>
          <w:rFonts w:hint="eastAsia" w:ascii="仿宋_GB2312" w:eastAsia="仿宋_GB2312" w:cs="Times New Roman"/>
          <w:color w:val="auto"/>
          <w:kern w:val="2"/>
          <w:sz w:val="32"/>
          <w:szCs w:val="32"/>
          <w:highlight w:val="none"/>
          <w:lang w:val="en-US" w:eastAsia="zh-CN" w:bidi="ar-SA"/>
        </w:rPr>
        <w:t>13.住房保障（</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val="en-US" w:eastAsia="zh-CN"/>
        </w:rPr>
        <w:t>221</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02</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03</w:t>
      </w:r>
      <w:r>
        <w:rPr>
          <w:rFonts w:hint="eastAsia" w:ascii="仿宋_GB2312" w:eastAsia="仿宋_GB2312" w:cs="Times New Roman"/>
          <w:color w:val="auto"/>
          <w:kern w:val="2"/>
          <w:sz w:val="32"/>
          <w:szCs w:val="32"/>
          <w:highlight w:val="none"/>
          <w:lang w:val="en-US" w:eastAsia="zh-CN" w:bidi="ar-SA"/>
        </w:rPr>
        <w:t>：指按房改政策规定，行政事业单位向符合条件职工（含离退休人员）、军队（含武警）向转役复员离退休人员发放的用于购买住房的补贴。</w:t>
      </w:r>
    </w:p>
    <w:p w14:paraId="3CD1DCC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14:paraId="349F9EA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27.基本支出：指为保障机构正常运转、完成日常工作任务而发生的人员支出和公用支出。</w:t>
      </w:r>
    </w:p>
    <w:p w14:paraId="1E0D542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28.项目支出：指在基本支出之外为完成特定行政任务和事业发展目标所发生的支出。 </w:t>
      </w:r>
    </w:p>
    <w:p w14:paraId="6141E39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29.经营支出：指事业单位在专业业务活动及其辅助活动之外开展非独立核算经营活动发生的支出。</w:t>
      </w:r>
    </w:p>
    <w:p w14:paraId="60B146A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30.</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013933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6DA8E3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32.……</w:t>
      </w:r>
    </w:p>
    <w:p w14:paraId="3466D1B0">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14:paraId="2A28921A">
      <w:pPr>
        <w:spacing w:line="600" w:lineRule="exact"/>
        <w:jc w:val="center"/>
        <w:rPr>
          <w:rStyle w:val="29"/>
          <w:rFonts w:hint="eastAsia" w:ascii="Times New Roman" w:hAnsi="Times New Roman" w:eastAsia="黑体"/>
          <w:b w:val="0"/>
          <w:color w:val="auto"/>
          <w:highlight w:val="none"/>
          <w:lang w:eastAsia="zh-CN"/>
        </w:rPr>
      </w:pPr>
      <w:bookmarkStart w:id="140"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141"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141"/>
    </w:p>
    <w:p w14:paraId="4655A80B">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69403A4A">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bookmarkStart w:id="142" w:name="_Toc19280"/>
      <w:bookmarkStart w:id="143" w:name="_Toc6197"/>
      <w:bookmarkStart w:id="144" w:name="_Toc280"/>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bookmarkEnd w:id="142"/>
      <w:bookmarkEnd w:id="143"/>
      <w:bookmarkEnd w:id="144"/>
    </w:p>
    <w:p w14:paraId="19CB2BC8">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03DD9109">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报告范本</w:t>
      </w:r>
    </w:p>
    <w:p w14:paraId="2A10C6DC">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（报告范围包括机关和下属单位）</w:t>
      </w:r>
    </w:p>
    <w:p w14:paraId="768C6C7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color w:val="000000"/>
          <w:kern w:val="0"/>
          <w:sz w:val="32"/>
          <w:szCs w:val="32"/>
          <w:highlight w:val="none"/>
          <w:shd w:val="clear" w:color="auto" w:fill="FFFFFF"/>
          <w:lang w:val="zh-CN"/>
        </w:rPr>
        <w:t>一、部门（单位）基本情况</w:t>
      </w:r>
    </w:p>
    <w:p w14:paraId="4E85371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（一）机构组成。</w:t>
      </w:r>
      <w:r>
        <w:rPr>
          <w:rFonts w:hint="eastAsia" w:ascii="Times New Roman" w:hAnsi="Times New Roman" w:eastAsia="仿宋_GB2312" w:cs="Times New Roman"/>
          <w:sz w:val="32"/>
          <w:szCs w:val="32"/>
          <w:lang w:val="en-US" w:eastAsia="zh-CN"/>
        </w:rPr>
        <w:t>阿坝州科学技术协会内设办公室、青少年部、普及部、学会部四个部室，下属事业单位两个，分别为阿坝州民族科普工作队、阿坝州科技馆。</w:t>
      </w:r>
    </w:p>
    <w:p w14:paraId="449C7134">
      <w:pPr>
        <w:keepNext w:val="0"/>
        <w:keepLines w:val="0"/>
        <w:pageBreakBefore w:val="0"/>
        <w:kinsoku/>
        <w:wordWrap/>
        <w:overflowPunct/>
        <w:topLinePunct w:val="0"/>
        <w:autoSpaceDE/>
        <w:autoSpaceDN/>
        <w:bidi w:val="0"/>
        <w:spacing w:line="560" w:lineRule="exact"/>
        <w:ind w:firstLine="643" w:firstLineChars="200"/>
        <w:rPr>
          <w:rFonts w:hint="eastAsia" w:ascii="仿宋_GB2312" w:hAnsi="Times New Roman" w:eastAsia="仿宋_GB2312" w:cs="Times New Roman"/>
          <w:sz w:val="32"/>
          <w:szCs w:val="32"/>
          <w:lang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（二）机构职能。</w:t>
      </w:r>
      <w:r>
        <w:rPr>
          <w:rFonts w:ascii="仿宋_GB2312" w:hAnsi="Times New Roman" w:eastAsia="仿宋_GB2312" w:cs="Times New Roman"/>
          <w:sz w:val="32"/>
          <w:szCs w:val="32"/>
        </w:rPr>
        <w:t>1.</w:t>
      </w:r>
      <w:r>
        <w:rPr>
          <w:rFonts w:hint="eastAsia" w:ascii="仿宋_GB2312" w:hAnsi="Times New Roman" w:eastAsia="仿宋_GB2312" w:cs="Times New Roman"/>
          <w:sz w:val="32"/>
          <w:szCs w:val="32"/>
        </w:rPr>
        <w:t>开展学术交流，活跃学术思想，促进学科发展，推动决策科学化和民主化。</w:t>
      </w:r>
      <w:r>
        <w:rPr>
          <w:rFonts w:ascii="仿宋_GB2312" w:hAnsi="Times New Roman" w:eastAsia="仿宋_GB2312" w:cs="Times New Roman"/>
          <w:sz w:val="32"/>
          <w:szCs w:val="32"/>
        </w:rPr>
        <w:t>2.</w:t>
      </w:r>
      <w:r>
        <w:rPr>
          <w:rFonts w:hint="eastAsia" w:ascii="仿宋_GB2312" w:hAnsi="Times New Roman" w:eastAsia="仿宋_GB2312" w:cs="Times New Roman"/>
          <w:sz w:val="32"/>
          <w:szCs w:val="32"/>
        </w:rPr>
        <w:t>宏扬科学精神，普及科学知识；科学思想和科学方法，捍卫科学尊严，推广先进技术，开展青少年科学技术教育活动，提高全民族科学文化素质。</w:t>
      </w:r>
      <w:r>
        <w:rPr>
          <w:rFonts w:ascii="仿宋_GB2312" w:hAnsi="Times New Roman" w:eastAsia="仿宋_GB2312" w:cs="Times New Roman"/>
          <w:sz w:val="32"/>
          <w:szCs w:val="32"/>
        </w:rPr>
        <w:t>3.</w:t>
      </w:r>
      <w:r>
        <w:rPr>
          <w:rFonts w:hint="eastAsia" w:ascii="仿宋_GB2312" w:hAnsi="Times New Roman" w:eastAsia="仿宋_GB2312" w:cs="Times New Roman"/>
          <w:sz w:val="32"/>
          <w:szCs w:val="32"/>
        </w:rPr>
        <w:t>反映科技工作者的意见和要求，维护科技工作者的合法权益。组织科技工作者参与科技政策、法规制度，引导科技工作者在全国家和社会事务管理中发挥积极作用。</w:t>
      </w:r>
      <w:r>
        <w:rPr>
          <w:rFonts w:ascii="仿宋_GB2312" w:hAnsi="Times New Roman" w:eastAsia="仿宋_GB2312" w:cs="Times New Roman"/>
          <w:sz w:val="32"/>
          <w:szCs w:val="32"/>
        </w:rPr>
        <w:t>4.</w:t>
      </w:r>
      <w:r>
        <w:rPr>
          <w:rFonts w:hint="eastAsia" w:ascii="仿宋_GB2312" w:hAnsi="Times New Roman" w:eastAsia="仿宋_GB2312" w:cs="Times New Roman"/>
          <w:sz w:val="32"/>
          <w:szCs w:val="32"/>
        </w:rPr>
        <w:t>表彰奖励有突出贡献的优秀科技团体和科技工作者，举荐人才。</w:t>
      </w:r>
      <w:r>
        <w:rPr>
          <w:rFonts w:ascii="仿宋_GB2312" w:hAnsi="Times New Roman" w:eastAsia="仿宋_GB2312" w:cs="Times New Roman"/>
          <w:sz w:val="32"/>
          <w:szCs w:val="32"/>
        </w:rPr>
        <w:t>5.</w:t>
      </w:r>
      <w:r>
        <w:rPr>
          <w:rFonts w:hint="eastAsia" w:ascii="仿宋_GB2312" w:hAnsi="Times New Roman" w:eastAsia="仿宋_GB2312" w:cs="Times New Roman"/>
          <w:sz w:val="32"/>
          <w:szCs w:val="32"/>
        </w:rPr>
        <w:t>开展科学论证、咨询服务，提出政策建议，促进科技成果的转化。</w:t>
      </w:r>
      <w:r>
        <w:rPr>
          <w:rFonts w:ascii="仿宋_GB2312" w:hAnsi="Times New Roman" w:eastAsia="仿宋_GB2312" w:cs="Times New Roman"/>
          <w:sz w:val="32"/>
          <w:szCs w:val="32"/>
        </w:rPr>
        <w:t>6.</w:t>
      </w:r>
      <w:r>
        <w:rPr>
          <w:rFonts w:hint="eastAsia" w:ascii="仿宋_GB2312" w:hAnsi="Times New Roman" w:eastAsia="仿宋_GB2312" w:cs="Times New Roman"/>
          <w:sz w:val="32"/>
          <w:szCs w:val="32"/>
        </w:rPr>
        <w:t>开展同州外民间科技交流与合作，发展同国内蒙古自治区外的科技团体和人员的友好交往，促进对外开放。</w:t>
      </w:r>
      <w:r>
        <w:rPr>
          <w:rFonts w:ascii="仿宋_GB2312" w:hAnsi="Times New Roman" w:eastAsia="仿宋_GB2312" w:cs="Times New Roman"/>
          <w:sz w:val="32"/>
          <w:szCs w:val="32"/>
        </w:rPr>
        <w:t>7.</w:t>
      </w:r>
      <w:r>
        <w:rPr>
          <w:rFonts w:hint="eastAsia" w:ascii="仿宋_GB2312" w:hAnsi="Times New Roman" w:eastAsia="仿宋_GB2312" w:cs="Times New Roman"/>
          <w:sz w:val="32"/>
          <w:szCs w:val="32"/>
        </w:rPr>
        <w:t>和所属州级学会、协会进行管理，对基层科协进行业务指导。</w:t>
      </w:r>
      <w:r>
        <w:rPr>
          <w:rFonts w:ascii="仿宋_GB2312" w:hAnsi="Times New Roman" w:eastAsia="仿宋_GB2312" w:cs="Times New Roman"/>
          <w:sz w:val="32"/>
          <w:szCs w:val="32"/>
        </w:rPr>
        <w:t>8.</w:t>
      </w:r>
      <w:r>
        <w:rPr>
          <w:rFonts w:hint="eastAsia" w:ascii="仿宋_GB2312" w:hAnsi="Times New Roman" w:eastAsia="仿宋_GB2312" w:cs="Times New Roman"/>
          <w:sz w:val="32"/>
          <w:szCs w:val="32"/>
        </w:rPr>
        <w:t>承担州委，州政府和上级科协交办的其它事项</w:t>
      </w:r>
      <w:r>
        <w:rPr>
          <w:rFonts w:hint="eastAsia" w:ascii="仿宋_GB2312" w:hAnsi="Times New Roman" w:eastAsia="仿宋_GB2312" w:cs="Times New Roman"/>
          <w:sz w:val="32"/>
          <w:szCs w:val="32"/>
          <w:lang w:eastAsia="zh-CN"/>
        </w:rPr>
        <w:t>。</w:t>
      </w:r>
    </w:p>
    <w:p w14:paraId="404DEE82">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p>
    <w:p w14:paraId="2194662F">
      <w:pPr>
        <w:keepNext w:val="0"/>
        <w:keepLines w:val="0"/>
        <w:pageBreakBefore w:val="0"/>
        <w:widowControl/>
        <w:kinsoku/>
        <w:wordWrap/>
        <w:overflowPunct/>
        <w:topLinePunct w:val="0"/>
        <w:autoSpaceDE/>
        <w:autoSpaceDN/>
        <w:bidi w:val="0"/>
        <w:adjustRightInd w:val="0"/>
        <w:snapToGrid w:val="0"/>
        <w:spacing w:line="580" w:lineRule="exact"/>
        <w:ind w:left="0" w:firstLine="643"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（三）人员概况。</w:t>
      </w:r>
      <w:r>
        <w:rPr>
          <w:rFonts w:hint="default" w:ascii="Times New Roman" w:hAnsi="Times New Roman" w:eastAsia="仿宋_GB2312" w:cs="Times New Roman"/>
          <w:sz w:val="32"/>
          <w:szCs w:val="32"/>
        </w:rPr>
        <w:t>截至202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年末，</w:t>
      </w:r>
      <w:r>
        <w:rPr>
          <w:rFonts w:hint="eastAsia" w:ascii="Times New Roman" w:hAnsi="Times New Roman" w:eastAsia="仿宋_GB2312" w:cs="Times New Roman"/>
          <w:sz w:val="32"/>
          <w:szCs w:val="32"/>
          <w:lang w:val="en-US" w:eastAsia="zh-CN"/>
        </w:rPr>
        <w:t>我单位</w:t>
      </w:r>
      <w:r>
        <w:rPr>
          <w:rFonts w:hint="eastAsia" w:ascii="仿宋" w:hAnsi="Times New Roman" w:eastAsia="仿宋" w:cs="仿宋"/>
          <w:sz w:val="32"/>
          <w:szCs w:val="32"/>
        </w:rPr>
        <w:t>总编制22名，其中</w:t>
      </w:r>
      <w:r>
        <w:rPr>
          <w:rFonts w:hint="eastAsia" w:ascii="仿宋" w:hAnsi="Times New Roman" w:eastAsia="仿宋" w:cs="仿宋"/>
          <w:sz w:val="32"/>
          <w:szCs w:val="32"/>
          <w:lang w:val="en-US" w:eastAsia="zh-CN"/>
        </w:rPr>
        <w:t>参公</w:t>
      </w:r>
      <w:r>
        <w:rPr>
          <w:rFonts w:hint="eastAsia" w:ascii="仿宋" w:hAnsi="Times New Roman" w:eastAsia="仿宋" w:cs="仿宋"/>
          <w:sz w:val="32"/>
          <w:szCs w:val="32"/>
        </w:rPr>
        <w:t>编制10名，</w:t>
      </w:r>
      <w:r>
        <w:rPr>
          <w:rFonts w:hint="eastAsia" w:ascii="仿宋" w:hAnsi="Times New Roman" w:eastAsia="仿宋" w:cs="仿宋"/>
          <w:sz w:val="32"/>
          <w:szCs w:val="32"/>
          <w:lang w:val="en-US" w:eastAsia="zh-CN"/>
        </w:rPr>
        <w:t>参公</w:t>
      </w:r>
      <w:r>
        <w:rPr>
          <w:rFonts w:hint="eastAsia" w:ascii="仿宋" w:hAnsi="Times New Roman" w:eastAsia="仿宋" w:cs="仿宋"/>
          <w:sz w:val="32"/>
          <w:szCs w:val="32"/>
        </w:rPr>
        <w:t>工勤编制3名，事业民族科普工作队编制</w:t>
      </w:r>
      <w:r>
        <w:rPr>
          <w:rFonts w:hint="eastAsia" w:ascii="仿宋" w:hAnsi="Times New Roman" w:eastAsia="仿宋" w:cs="仿宋"/>
          <w:sz w:val="32"/>
          <w:szCs w:val="32"/>
          <w:lang w:val="en-US" w:eastAsia="zh-CN"/>
        </w:rPr>
        <w:t>5</w:t>
      </w:r>
      <w:r>
        <w:rPr>
          <w:rFonts w:hint="eastAsia" w:ascii="仿宋" w:hAnsi="Times New Roman" w:eastAsia="仿宋" w:cs="仿宋"/>
          <w:sz w:val="32"/>
          <w:szCs w:val="32"/>
        </w:rPr>
        <w:t>名，科技馆编制4名。截止</w:t>
      </w:r>
      <w:r>
        <w:rPr>
          <w:rFonts w:ascii="仿宋" w:hAnsi="Times New Roman" w:eastAsia="仿宋" w:cs="仿宋"/>
          <w:sz w:val="32"/>
          <w:szCs w:val="32"/>
        </w:rPr>
        <w:t>202</w:t>
      </w:r>
      <w:r>
        <w:rPr>
          <w:rFonts w:hint="eastAsia" w:ascii="仿宋" w:hAnsi="Times New Roman" w:eastAsia="仿宋" w:cs="仿宋"/>
          <w:sz w:val="32"/>
          <w:szCs w:val="32"/>
          <w:lang w:val="en-US" w:eastAsia="zh-CN"/>
        </w:rPr>
        <w:t>4</w:t>
      </w:r>
      <w:r>
        <w:rPr>
          <w:rFonts w:hint="eastAsia" w:ascii="仿宋" w:hAnsi="Times New Roman" w:eastAsia="仿宋" w:cs="仿宋"/>
          <w:sz w:val="32"/>
          <w:szCs w:val="32"/>
        </w:rPr>
        <w:t>年</w:t>
      </w:r>
      <w:r>
        <w:rPr>
          <w:rFonts w:hint="eastAsia" w:ascii="仿宋" w:hAnsi="Times New Roman" w:eastAsia="仿宋" w:cs="仿宋"/>
          <w:sz w:val="32"/>
          <w:szCs w:val="32"/>
          <w:lang w:val="en-US" w:eastAsia="zh-CN"/>
        </w:rPr>
        <w:t>12</w:t>
      </w:r>
      <w:r>
        <w:rPr>
          <w:rFonts w:hint="eastAsia" w:ascii="仿宋" w:hAnsi="Times New Roman" w:eastAsia="仿宋" w:cs="仿宋"/>
          <w:sz w:val="32"/>
          <w:szCs w:val="32"/>
        </w:rPr>
        <w:t>月</w:t>
      </w:r>
      <w:r>
        <w:rPr>
          <w:rFonts w:hint="eastAsia" w:ascii="仿宋" w:hAnsi="Times New Roman" w:eastAsia="仿宋" w:cs="仿宋"/>
          <w:sz w:val="32"/>
          <w:szCs w:val="32"/>
          <w:lang w:val="en-US" w:eastAsia="zh-CN"/>
        </w:rPr>
        <w:t>31</w:t>
      </w:r>
      <w:r>
        <w:rPr>
          <w:rFonts w:hint="eastAsia" w:ascii="仿宋" w:hAnsi="Times New Roman" w:eastAsia="仿宋" w:cs="仿宋"/>
          <w:sz w:val="32"/>
          <w:szCs w:val="32"/>
        </w:rPr>
        <w:t>日在职人员总数</w:t>
      </w:r>
      <w:r>
        <w:rPr>
          <w:rFonts w:ascii="仿宋" w:hAnsi="Times New Roman" w:eastAsia="仿宋" w:cs="仿宋"/>
          <w:sz w:val="32"/>
          <w:szCs w:val="32"/>
        </w:rPr>
        <w:t>2</w:t>
      </w:r>
      <w:r>
        <w:rPr>
          <w:rFonts w:hint="eastAsia" w:ascii="仿宋" w:hAnsi="Times New Roman" w:eastAsia="仿宋" w:cs="仿宋"/>
          <w:sz w:val="32"/>
          <w:szCs w:val="32"/>
          <w:lang w:val="en-US" w:eastAsia="zh-CN"/>
        </w:rPr>
        <w:t>1</w:t>
      </w:r>
      <w:r>
        <w:rPr>
          <w:rFonts w:hint="eastAsia" w:ascii="仿宋" w:hAnsi="Times New Roman" w:eastAsia="仿宋" w:cs="仿宋"/>
          <w:sz w:val="32"/>
          <w:szCs w:val="32"/>
        </w:rPr>
        <w:t>名，其中</w:t>
      </w:r>
      <w:r>
        <w:rPr>
          <w:rFonts w:hint="eastAsia" w:ascii="仿宋" w:hAnsi="Times New Roman" w:eastAsia="仿宋" w:cs="仿宋"/>
          <w:sz w:val="32"/>
          <w:szCs w:val="32"/>
          <w:lang w:val="en-US" w:eastAsia="zh-CN"/>
        </w:rPr>
        <w:t>参公</w:t>
      </w:r>
      <w:r>
        <w:rPr>
          <w:rFonts w:hint="eastAsia" w:ascii="仿宋" w:hAnsi="Times New Roman" w:eastAsia="仿宋" w:cs="仿宋"/>
          <w:sz w:val="32"/>
          <w:szCs w:val="32"/>
        </w:rPr>
        <w:t>人员</w:t>
      </w:r>
      <w:r>
        <w:rPr>
          <w:rFonts w:hint="eastAsia" w:ascii="仿宋" w:hAnsi="Times New Roman" w:eastAsia="仿宋" w:cs="仿宋"/>
          <w:sz w:val="32"/>
          <w:szCs w:val="32"/>
          <w:lang w:val="en-US" w:eastAsia="zh-CN"/>
        </w:rPr>
        <w:t>9</w:t>
      </w:r>
      <w:r>
        <w:rPr>
          <w:rFonts w:hint="eastAsia" w:ascii="仿宋" w:hAnsi="Times New Roman" w:eastAsia="仿宋" w:cs="仿宋"/>
          <w:sz w:val="32"/>
          <w:szCs w:val="32"/>
        </w:rPr>
        <w:t>名，</w:t>
      </w:r>
      <w:r>
        <w:rPr>
          <w:rFonts w:hint="eastAsia" w:ascii="仿宋" w:hAnsi="Times New Roman" w:eastAsia="仿宋" w:cs="仿宋"/>
          <w:sz w:val="32"/>
          <w:szCs w:val="32"/>
          <w:lang w:val="en-US" w:eastAsia="zh-CN"/>
        </w:rPr>
        <w:t>参公</w:t>
      </w:r>
      <w:r>
        <w:rPr>
          <w:rFonts w:hint="eastAsia" w:ascii="仿宋" w:hAnsi="Times New Roman" w:eastAsia="仿宋" w:cs="仿宋"/>
          <w:sz w:val="32"/>
          <w:szCs w:val="32"/>
        </w:rPr>
        <w:t>工勤</w:t>
      </w:r>
      <w:r>
        <w:rPr>
          <w:rFonts w:ascii="仿宋" w:hAnsi="Times New Roman" w:eastAsia="仿宋" w:cs="仿宋"/>
          <w:sz w:val="32"/>
          <w:szCs w:val="32"/>
        </w:rPr>
        <w:t>3</w:t>
      </w:r>
      <w:r>
        <w:rPr>
          <w:rFonts w:hint="eastAsia" w:ascii="仿宋" w:hAnsi="Times New Roman" w:eastAsia="仿宋" w:cs="仿宋"/>
          <w:sz w:val="32"/>
          <w:szCs w:val="32"/>
        </w:rPr>
        <w:t>名。事业在职：民族科普工作队人员</w:t>
      </w:r>
      <w:r>
        <w:rPr>
          <w:rFonts w:hint="eastAsia" w:ascii="仿宋" w:hAnsi="Times New Roman" w:eastAsia="仿宋" w:cs="仿宋"/>
          <w:sz w:val="32"/>
          <w:szCs w:val="32"/>
          <w:lang w:val="en-US" w:eastAsia="zh-CN"/>
        </w:rPr>
        <w:t>3</w:t>
      </w:r>
      <w:r>
        <w:rPr>
          <w:rFonts w:hint="eastAsia" w:ascii="仿宋" w:hAnsi="Times New Roman" w:eastAsia="仿宋" w:cs="仿宋"/>
          <w:sz w:val="32"/>
          <w:szCs w:val="32"/>
        </w:rPr>
        <w:t>名，青少年科技馆</w:t>
      </w:r>
      <w:r>
        <w:rPr>
          <w:rFonts w:hint="eastAsia" w:ascii="仿宋" w:hAnsi="Times New Roman" w:eastAsia="仿宋" w:cs="仿宋"/>
          <w:sz w:val="32"/>
          <w:szCs w:val="32"/>
          <w:lang w:val="en-US" w:eastAsia="zh-CN"/>
        </w:rPr>
        <w:t>2</w:t>
      </w:r>
      <w:r>
        <w:rPr>
          <w:rFonts w:hint="eastAsia" w:ascii="仿宋" w:hAnsi="Times New Roman" w:eastAsia="仿宋" w:cs="仿宋"/>
          <w:sz w:val="32"/>
          <w:szCs w:val="32"/>
        </w:rPr>
        <w:t>名 。</w:t>
      </w:r>
    </w:p>
    <w:p w14:paraId="0157B04C">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二、</w:t>
      </w:r>
      <w:r>
        <w:rPr>
          <w:rFonts w:hint="default" w:ascii="Times New Roman" w:hAnsi="Times New Roman" w:eastAsia="黑体" w:cs="Times New Roman"/>
          <w:color w:val="000000"/>
          <w:kern w:val="0"/>
          <w:sz w:val="32"/>
          <w:szCs w:val="32"/>
          <w:highlight w:val="none"/>
          <w:shd w:val="clear" w:color="auto" w:fill="FFFFFF"/>
          <w:lang w:eastAsia="zh-CN"/>
        </w:rPr>
        <w:t>部门</w:t>
      </w:r>
      <w:r>
        <w:rPr>
          <w:rFonts w:hint="default" w:ascii="Times New Roman" w:hAnsi="Times New Roman" w:eastAsia="黑体" w:cs="Times New Roman"/>
          <w:color w:val="000000"/>
          <w:kern w:val="0"/>
          <w:sz w:val="32"/>
          <w:szCs w:val="32"/>
          <w:highlight w:val="none"/>
          <w:shd w:val="clear" w:color="auto" w:fill="FFFFFF"/>
        </w:rPr>
        <w:t>资金收支情况</w:t>
      </w:r>
    </w:p>
    <w:p w14:paraId="54FEFDD5">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（一）收入情况。</w:t>
      </w:r>
      <w:r>
        <w:rPr>
          <w:rFonts w:hint="eastAsia" w:ascii="Times New Roman" w:hAnsi="Times New Roman" w:eastAsia="仿宋_GB2312" w:cs="Times New Roman"/>
          <w:sz w:val="32"/>
          <w:szCs w:val="32"/>
          <w:lang w:val="en-US" w:eastAsia="zh-CN"/>
        </w:rPr>
        <w:t>阿坝州科协部门2024年年初预算收入为845.96万元、决算报表收入为971.25万元。</w:t>
      </w:r>
    </w:p>
    <w:p w14:paraId="26E77F90">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（二）支出情况。</w:t>
      </w:r>
      <w:r>
        <w:rPr>
          <w:rFonts w:hint="eastAsia" w:ascii="Times New Roman" w:hAnsi="Times New Roman" w:eastAsia="仿宋_GB2312" w:cs="Times New Roman"/>
          <w:sz w:val="32"/>
          <w:szCs w:val="32"/>
          <w:lang w:val="en-US" w:eastAsia="zh-CN"/>
        </w:rPr>
        <w:t>阿坝州科协部门2024年年初预算支出情况为845.96万元、决算报表支出为971.25万元。</w:t>
      </w:r>
    </w:p>
    <w:p w14:paraId="28DB7695">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b w:val="0"/>
          <w:bCs w:val="0"/>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sz w:val="32"/>
          <w:szCs w:val="32"/>
        </w:rPr>
        <w:t>结余分配和结转结余情况</w:t>
      </w:r>
      <w:r>
        <w:rPr>
          <w:rFonts w:hint="default" w:ascii="Times New Roman" w:hAnsi="Times New Roman" w:eastAsia="楷体_GB2312" w:cs="Times New Roman"/>
          <w:b/>
          <w:sz w:val="32"/>
          <w:szCs w:val="32"/>
          <w:lang w:eastAsia="zh-CN"/>
        </w:rPr>
        <w:t>。</w:t>
      </w:r>
      <w:r>
        <w:rPr>
          <w:rFonts w:hint="eastAsia" w:ascii="Times New Roman" w:hAnsi="Times New Roman" w:eastAsia="仿宋_GB2312" w:cs="Times New Roman"/>
          <w:sz w:val="32"/>
          <w:szCs w:val="32"/>
          <w:lang w:val="en-US" w:eastAsia="zh-CN"/>
        </w:rPr>
        <w:t>阿坝州科协部门2024年无结转结余</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w:t>
      </w:r>
    </w:p>
    <w:p w14:paraId="05574E39">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kern w:val="0"/>
          <w:sz w:val="32"/>
          <w:szCs w:val="32"/>
          <w:highlight w:val="none"/>
          <w:shd w:val="clear" w:color="auto" w:fill="FFFFFF"/>
        </w:rPr>
        <w:t>三、</w:t>
      </w:r>
      <w:r>
        <w:rPr>
          <w:rFonts w:hint="default" w:ascii="Times New Roman" w:hAnsi="Times New Roman" w:eastAsia="黑体" w:cs="Times New Roman"/>
          <w:color w:val="000000"/>
          <w:kern w:val="0"/>
          <w:sz w:val="32"/>
          <w:szCs w:val="32"/>
          <w:highlight w:val="none"/>
          <w:u w:val="none"/>
          <w:shd w:val="clear" w:color="auto" w:fill="FFFFFF"/>
        </w:rPr>
        <w:t>部门</w:t>
      </w:r>
      <w:r>
        <w:rPr>
          <w:rFonts w:hint="default" w:ascii="Times New Roman" w:hAnsi="Times New Roman" w:eastAsia="黑体" w:cs="Times New Roman"/>
          <w:color w:val="000000"/>
          <w:kern w:val="0"/>
          <w:sz w:val="32"/>
          <w:szCs w:val="32"/>
          <w:highlight w:val="none"/>
          <w:u w:val="none"/>
          <w:shd w:val="clear" w:color="auto" w:fill="FFFFFF"/>
          <w:lang w:eastAsia="zh-CN"/>
        </w:rPr>
        <w:t>预算</w:t>
      </w:r>
      <w:r>
        <w:rPr>
          <w:rFonts w:hint="default" w:ascii="Times New Roman" w:hAnsi="Times New Roman" w:eastAsia="黑体" w:cs="Times New Roman"/>
          <w:color w:val="000000"/>
          <w:kern w:val="0"/>
          <w:sz w:val="32"/>
          <w:szCs w:val="32"/>
          <w:highlight w:val="none"/>
          <w:u w:val="none"/>
          <w:shd w:val="clear" w:color="auto" w:fill="FFFFFF"/>
        </w:rPr>
        <w:t>绩效</w:t>
      </w:r>
      <w:r>
        <w:rPr>
          <w:rFonts w:hint="default" w:ascii="Times New Roman" w:hAnsi="Times New Roman" w:eastAsia="黑体" w:cs="Times New Roman"/>
          <w:color w:val="000000"/>
          <w:kern w:val="0"/>
          <w:sz w:val="32"/>
          <w:szCs w:val="32"/>
          <w:highlight w:val="none"/>
          <w:u w:val="none"/>
          <w:shd w:val="clear" w:color="auto" w:fill="FFFFFF"/>
          <w:lang w:eastAsia="zh-CN"/>
        </w:rPr>
        <w:t>分析</w:t>
      </w:r>
    </w:p>
    <w:p w14:paraId="221ACDC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（一）部门预算总体绩效分析。</w:t>
      </w:r>
      <w:r>
        <w:rPr>
          <w:rFonts w:hint="default" w:ascii="Times New Roman" w:hAnsi="Times New Roman" w:eastAsia="仿宋_GB2312" w:cs="Times New Roman"/>
          <w:color w:val="000000"/>
          <w:kern w:val="0"/>
          <w:sz w:val="32"/>
          <w:szCs w:val="32"/>
          <w:highlight w:val="none"/>
          <w:shd w:val="clear" w:color="auto" w:fill="FFFFFF"/>
          <w:lang w:val="zh-CN"/>
        </w:rPr>
        <w:t>根据部门预算绩效评价指标体系“总体绩效”涉及二、三级指标进行逐项绩效分析并评分，依次包括履职效能、预算管理、财务管理、资产管理、采购管理等情况。</w:t>
      </w:r>
    </w:p>
    <w:p w14:paraId="216C575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1.</w:t>
      </w:r>
      <w:r>
        <w:rPr>
          <w:rFonts w:hint="default" w:ascii="Times New Roman" w:hAnsi="Times New Roman" w:eastAsia="楷体_GB2312" w:cs="Times New Roman"/>
          <w:color w:val="000000"/>
          <w:kern w:val="0"/>
          <w:sz w:val="32"/>
          <w:szCs w:val="32"/>
          <w:highlight w:val="none"/>
          <w:shd w:val="clear" w:color="auto" w:fill="FFFFFF"/>
          <w:lang w:val="zh-CN"/>
        </w:rPr>
        <w:t>履职效能。</w:t>
      </w:r>
    </w:p>
    <w:p w14:paraId="4A2FC5E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default" w:ascii="Times New Roman" w:hAnsi="Times New Roman" w:eastAsia="仿宋_GB2312" w:cs="Times New Roman"/>
          <w:color w:val="000000"/>
          <w:kern w:val="0"/>
          <w:sz w:val="32"/>
          <w:szCs w:val="32"/>
          <w:highlight w:val="none"/>
          <w:shd w:val="clear" w:color="auto" w:fill="FFFFFF"/>
          <w:lang w:val="zh-CN" w:eastAsia="zh-CN"/>
        </w:rPr>
        <w:t>持续提升服务科技工作者能力。一是依托“天府科技云”平台，推动科技所能和科技所需精准匹配。</w:t>
      </w:r>
      <w:r>
        <w:rPr>
          <w:rFonts w:hint="default" w:ascii="Times New Roman" w:hAnsi="Times New Roman" w:eastAsia="仿宋_GB2312" w:cs="Times New Roman"/>
          <w:color w:val="000000"/>
          <w:kern w:val="0"/>
          <w:sz w:val="32"/>
          <w:szCs w:val="32"/>
          <w:highlight w:val="none"/>
          <w:shd w:val="clear" w:color="auto" w:fill="FFFFFF"/>
          <w:lang w:val="en-US" w:eastAsia="zh-CN"/>
        </w:rPr>
        <w:t>完成科技成果转化6笔，帮助科技工作者（团队）承接企业委托科研项目2项。二是</w:t>
      </w:r>
      <w:r>
        <w:rPr>
          <w:rFonts w:hint="default" w:ascii="Times New Roman" w:hAnsi="Times New Roman" w:eastAsia="仿宋_GB2312" w:cs="Times New Roman"/>
          <w:color w:val="000000"/>
          <w:kern w:val="0"/>
          <w:sz w:val="32"/>
          <w:szCs w:val="32"/>
          <w:highlight w:val="none"/>
          <w:shd w:val="clear" w:color="auto" w:fill="FFFFFF"/>
          <w:lang w:val="zh-CN"/>
        </w:rPr>
        <w:t>做好人才举荐工作</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在第五届四川省最美科技工作者评选活动中共10人获表彰，我州气象台台长武敬峰获此殊荣</w:t>
      </w:r>
      <w:r>
        <w:rPr>
          <w:rFonts w:hint="default" w:ascii="Times New Roman" w:hAnsi="Times New Roman" w:eastAsia="仿宋_GB2312" w:cs="Times New Roman"/>
          <w:color w:val="000000"/>
          <w:kern w:val="0"/>
          <w:sz w:val="32"/>
          <w:szCs w:val="32"/>
          <w:highlight w:val="none"/>
          <w:shd w:val="clear" w:color="auto" w:fill="FFFFFF"/>
          <w:lang w:val="en-US" w:eastAsia="zh-CN"/>
        </w:rPr>
        <w:t>。在第二届川渝科普大会上1人获得“2024年度川渝科普人物</w:t>
      </w:r>
      <w:r>
        <w:rPr>
          <w:rFonts w:hint="default"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en-US" w:eastAsia="zh-CN"/>
        </w:rPr>
        <w:t>奖</w:t>
      </w:r>
      <w:r>
        <w:rPr>
          <w:rFonts w:hint="default"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zh-CN" w:eastAsia="zh-CN"/>
        </w:rPr>
        <w:t>在</w:t>
      </w:r>
      <w:r>
        <w:rPr>
          <w:rFonts w:hint="default" w:ascii="Times New Roman" w:hAnsi="Times New Roman" w:eastAsia="仿宋_GB2312" w:cs="Times New Roman"/>
          <w:color w:val="000000"/>
          <w:kern w:val="0"/>
          <w:sz w:val="32"/>
          <w:szCs w:val="32"/>
          <w:highlight w:val="none"/>
          <w:shd w:val="clear" w:color="auto" w:fill="FFFFFF"/>
          <w:lang w:val="zh-CN"/>
        </w:rPr>
        <w:t>“2024年涪江流域科技协同创新发展</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en-US" w:eastAsia="zh-CN"/>
        </w:rPr>
        <w:t>1人荣获“</w:t>
      </w:r>
      <w:r>
        <w:rPr>
          <w:rFonts w:hint="default" w:ascii="Times New Roman" w:hAnsi="Times New Roman" w:eastAsia="仿宋_GB2312" w:cs="Times New Roman"/>
          <w:color w:val="000000"/>
          <w:kern w:val="0"/>
          <w:sz w:val="32"/>
          <w:szCs w:val="32"/>
          <w:highlight w:val="none"/>
          <w:shd w:val="clear" w:color="auto" w:fill="FFFFFF"/>
          <w:lang w:val="zh-CN"/>
        </w:rPr>
        <w:t>十佳科技工作者”称号</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在第三届“天府科技云服务大会”上，</w:t>
      </w:r>
      <w:r>
        <w:rPr>
          <w:rFonts w:hint="default" w:ascii="Times New Roman" w:hAnsi="Times New Roman" w:eastAsia="仿宋_GB2312" w:cs="Times New Roman"/>
          <w:color w:val="000000"/>
          <w:kern w:val="0"/>
          <w:sz w:val="32"/>
          <w:szCs w:val="32"/>
          <w:highlight w:val="none"/>
          <w:shd w:val="clear" w:color="auto" w:fill="FFFFFF"/>
          <w:lang w:val="zh-CN" w:eastAsia="zh-CN"/>
        </w:rPr>
        <w:t>我州</w:t>
      </w:r>
      <w:r>
        <w:rPr>
          <w:rFonts w:hint="default" w:ascii="Times New Roman" w:hAnsi="Times New Roman" w:eastAsia="仿宋_GB2312" w:cs="Times New Roman"/>
          <w:color w:val="000000"/>
          <w:kern w:val="0"/>
          <w:sz w:val="32"/>
          <w:szCs w:val="32"/>
          <w:highlight w:val="none"/>
          <w:shd w:val="clear" w:color="auto" w:fill="FFFFFF"/>
          <w:lang w:val="zh-CN"/>
        </w:rPr>
        <w:t>5名“科服保姆”被评为十佳或百优“科服保姆”</w:t>
      </w:r>
      <w:r>
        <w:rPr>
          <w:rFonts w:hint="default" w:ascii="Times New Roman" w:hAnsi="Times New Roman" w:eastAsia="仿宋_GB2312" w:cs="Times New Roman"/>
          <w:color w:val="000000"/>
          <w:kern w:val="0"/>
          <w:sz w:val="32"/>
          <w:szCs w:val="32"/>
          <w:highlight w:val="none"/>
          <w:shd w:val="clear" w:color="auto" w:fill="FFFFFF"/>
          <w:lang w:val="zh-CN" w:eastAsia="zh-CN"/>
        </w:rPr>
        <w:t>。</w:t>
      </w:r>
    </w:p>
    <w:p w14:paraId="36B6C12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持续提升服务创新驱动发展质量。</w:t>
      </w:r>
      <w:r>
        <w:rPr>
          <w:rFonts w:hint="default" w:ascii="Times New Roman" w:hAnsi="Times New Roman" w:eastAsia="仿宋_GB2312" w:cs="Times New Roman"/>
          <w:color w:val="000000"/>
          <w:kern w:val="0"/>
          <w:sz w:val="32"/>
          <w:szCs w:val="32"/>
          <w:highlight w:val="none"/>
          <w:shd w:val="clear" w:color="auto" w:fill="FFFFFF"/>
          <w:lang w:val="zh-CN" w:eastAsia="zh-CN"/>
        </w:rPr>
        <w:t>一是提供</w:t>
      </w:r>
      <w:r>
        <w:rPr>
          <w:rFonts w:hint="default" w:ascii="Times New Roman" w:hAnsi="Times New Roman" w:eastAsia="仿宋_GB2312" w:cs="Times New Roman"/>
          <w:color w:val="000000"/>
          <w:kern w:val="0"/>
          <w:sz w:val="32"/>
          <w:szCs w:val="32"/>
          <w:highlight w:val="none"/>
          <w:shd w:val="clear" w:color="auto" w:fill="FFFFFF"/>
          <w:lang w:val="zh-CN"/>
        </w:rPr>
        <w:t>精准科普服务</w:t>
      </w:r>
      <w:r>
        <w:rPr>
          <w:rFonts w:hint="default" w:ascii="Times New Roman" w:hAnsi="Times New Roman" w:eastAsia="仿宋_GB2312" w:cs="Times New Roman"/>
          <w:color w:val="000000"/>
          <w:kern w:val="0"/>
          <w:sz w:val="32"/>
          <w:szCs w:val="32"/>
          <w:highlight w:val="none"/>
          <w:shd w:val="clear" w:color="auto" w:fill="FFFFFF"/>
          <w:lang w:val="zh-CN" w:eastAsia="zh-CN"/>
        </w:rPr>
        <w:t>。科普服务</w:t>
      </w:r>
      <w:r>
        <w:rPr>
          <w:rFonts w:hint="default" w:ascii="Times New Roman" w:hAnsi="Times New Roman" w:eastAsia="仿宋_GB2312" w:cs="Times New Roman"/>
          <w:color w:val="000000"/>
          <w:kern w:val="0"/>
          <w:sz w:val="32"/>
          <w:szCs w:val="32"/>
          <w:highlight w:val="none"/>
          <w:shd w:val="clear" w:color="auto" w:fill="FFFFFF"/>
          <w:lang w:val="zh-CN"/>
        </w:rPr>
        <w:t>群众数新增7.6万余人，111名科服保姆提供保姆式服务4552单。</w:t>
      </w:r>
      <w:r>
        <w:rPr>
          <w:rFonts w:hint="default" w:ascii="Times New Roman" w:hAnsi="Times New Roman" w:eastAsia="仿宋_GB2312" w:cs="Times New Roman"/>
          <w:color w:val="000000"/>
          <w:kern w:val="0"/>
          <w:sz w:val="32"/>
          <w:szCs w:val="32"/>
          <w:highlight w:val="none"/>
          <w:shd w:val="clear" w:color="auto" w:fill="FFFFFF"/>
          <w:lang w:val="zh-CN" w:eastAsia="zh-CN"/>
        </w:rPr>
        <w:t>目前，平台</w:t>
      </w:r>
      <w:r>
        <w:rPr>
          <w:rFonts w:hint="default" w:ascii="Times New Roman" w:hAnsi="Times New Roman" w:eastAsia="仿宋_GB2312" w:cs="Times New Roman"/>
          <w:color w:val="000000"/>
          <w:kern w:val="0"/>
          <w:sz w:val="32"/>
          <w:szCs w:val="32"/>
          <w:highlight w:val="none"/>
          <w:shd w:val="clear" w:color="auto" w:fill="FFFFFF"/>
          <w:lang w:val="zh-CN"/>
        </w:rPr>
        <w:t>注册科技工作者22942人，注册组织机构用户52274户，注册科创工作室3786个，发布科技服务所能4849项，发布科技所需8832个，达成交易2066单，成交金额2256.9万元，发布科技成果120个，委托或承接科研项目61个，精准科普服务量达1529万余次，人均科普服务量18.72次。</w:t>
      </w:r>
      <w:r>
        <w:rPr>
          <w:rFonts w:hint="default" w:ascii="Times New Roman" w:hAnsi="Times New Roman" w:eastAsia="仿宋_GB2312" w:cs="Times New Roman"/>
          <w:color w:val="000000"/>
          <w:kern w:val="0"/>
          <w:sz w:val="32"/>
          <w:szCs w:val="32"/>
          <w:highlight w:val="none"/>
          <w:shd w:val="clear" w:color="auto" w:fill="FFFFFF"/>
          <w:lang w:val="zh-CN" w:eastAsia="zh-CN"/>
        </w:rPr>
        <w:t>二是主动融入“共同体”发展战略。与</w:t>
      </w:r>
      <w:r>
        <w:rPr>
          <w:rFonts w:hint="default" w:ascii="Times New Roman" w:hAnsi="Times New Roman" w:eastAsia="仿宋_GB2312" w:cs="Times New Roman"/>
          <w:color w:val="000000"/>
          <w:kern w:val="0"/>
          <w:sz w:val="32"/>
          <w:szCs w:val="32"/>
          <w:highlight w:val="none"/>
          <w:shd w:val="clear" w:color="auto" w:fill="FFFFFF"/>
          <w:lang w:val="zh-CN"/>
        </w:rPr>
        <w:t>绵阳市、德阳市及重庆北碚区、潼南区等10地科协组成“涪江流域科技协同创新发展联合体”</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共同举办</w:t>
      </w:r>
      <w:r>
        <w:rPr>
          <w:rFonts w:hint="default" w:ascii="Times New Roman" w:hAnsi="Times New Roman" w:eastAsia="仿宋_GB2312" w:cs="Times New Roman"/>
          <w:color w:val="000000"/>
          <w:kern w:val="0"/>
          <w:sz w:val="32"/>
          <w:szCs w:val="32"/>
          <w:highlight w:val="none"/>
          <w:shd w:val="clear" w:color="auto" w:fill="FFFFFF"/>
          <w:lang w:val="zh-CN" w:eastAsia="zh-CN"/>
        </w:rPr>
        <w:t>了</w:t>
      </w:r>
      <w:r>
        <w:rPr>
          <w:rFonts w:hint="default" w:ascii="Times New Roman" w:hAnsi="Times New Roman" w:eastAsia="仿宋_GB2312" w:cs="Times New Roman"/>
          <w:color w:val="000000"/>
          <w:kern w:val="0"/>
          <w:sz w:val="32"/>
          <w:szCs w:val="32"/>
          <w:highlight w:val="none"/>
          <w:shd w:val="clear" w:color="auto" w:fill="FFFFFF"/>
          <w:lang w:val="zh-CN"/>
        </w:rPr>
        <w:t>2024年涪江流域科技协同创新发展活动</w:t>
      </w:r>
      <w:r>
        <w:rPr>
          <w:rFonts w:hint="default" w:ascii="Times New Roman" w:hAnsi="Times New Roman" w:eastAsia="仿宋_GB2312" w:cs="Times New Roman"/>
          <w:color w:val="000000"/>
          <w:kern w:val="0"/>
          <w:sz w:val="32"/>
          <w:szCs w:val="32"/>
          <w:highlight w:val="none"/>
          <w:shd w:val="clear" w:color="auto" w:fill="FFFFFF"/>
          <w:lang w:val="zh-CN" w:eastAsia="zh-CN"/>
        </w:rPr>
        <w:t>。启动仪式上，重点对</w:t>
      </w:r>
      <w:r>
        <w:rPr>
          <w:rFonts w:hint="default" w:ascii="Times New Roman" w:hAnsi="Times New Roman" w:eastAsia="仿宋_GB2312" w:cs="Times New Roman"/>
          <w:color w:val="000000"/>
          <w:kern w:val="0"/>
          <w:sz w:val="32"/>
          <w:szCs w:val="32"/>
          <w:highlight w:val="none"/>
          <w:shd w:val="clear" w:color="auto" w:fill="FFFFFF"/>
          <w:lang w:val="zh-CN"/>
        </w:rPr>
        <w:t>四川国青川贝母生物科技股份有限公司</w:t>
      </w:r>
      <w:r>
        <w:rPr>
          <w:rFonts w:hint="default" w:ascii="Times New Roman" w:hAnsi="Times New Roman" w:eastAsia="仿宋_GB2312" w:cs="Times New Roman"/>
          <w:color w:val="000000"/>
          <w:kern w:val="0"/>
          <w:sz w:val="32"/>
          <w:szCs w:val="32"/>
          <w:highlight w:val="none"/>
          <w:shd w:val="clear" w:color="auto" w:fill="FFFFFF"/>
          <w:lang w:val="zh-CN" w:eastAsia="zh-CN"/>
        </w:rPr>
        <w:t>的</w:t>
      </w:r>
      <w:r>
        <w:rPr>
          <w:rFonts w:hint="default" w:ascii="Times New Roman" w:hAnsi="Times New Roman" w:eastAsia="仿宋_GB2312" w:cs="Times New Roman"/>
          <w:color w:val="000000"/>
          <w:kern w:val="0"/>
          <w:sz w:val="32"/>
          <w:szCs w:val="32"/>
          <w:highlight w:val="none"/>
          <w:shd w:val="clear" w:color="auto" w:fill="FFFFFF"/>
          <w:lang w:val="zh-CN"/>
        </w:rPr>
        <w:t>“川贝母种植栽培的科学研究”</w:t>
      </w:r>
      <w:r>
        <w:rPr>
          <w:rFonts w:hint="default" w:ascii="Times New Roman" w:hAnsi="Times New Roman" w:eastAsia="仿宋_GB2312" w:cs="Times New Roman"/>
          <w:color w:val="000000"/>
          <w:kern w:val="0"/>
          <w:sz w:val="32"/>
          <w:szCs w:val="32"/>
          <w:highlight w:val="none"/>
          <w:shd w:val="clear" w:color="auto" w:fill="FFFFFF"/>
          <w:lang w:val="zh-CN" w:eastAsia="zh-CN"/>
        </w:rPr>
        <w:t>项目进行了现场推介。活动中，</w:t>
      </w:r>
      <w:r>
        <w:rPr>
          <w:rFonts w:hint="default" w:ascii="Times New Roman" w:hAnsi="Times New Roman" w:eastAsia="仿宋_GB2312" w:cs="Times New Roman"/>
          <w:color w:val="000000"/>
          <w:kern w:val="0"/>
          <w:sz w:val="32"/>
          <w:szCs w:val="32"/>
          <w:highlight w:val="none"/>
          <w:shd w:val="clear" w:color="auto" w:fill="FFFFFF"/>
          <w:lang w:val="zh-CN"/>
        </w:rPr>
        <w:t>汶川县神州锆业科技有限公司被表彰为“先进团队”，松潘县中药材全程质量追溯体系建设被表彰为“典型案例”。</w:t>
      </w:r>
      <w:r>
        <w:rPr>
          <w:rFonts w:hint="default" w:ascii="Times New Roman" w:hAnsi="Times New Roman" w:eastAsia="仿宋_GB2312" w:cs="Times New Roman"/>
          <w:color w:val="000000"/>
          <w:kern w:val="0"/>
          <w:sz w:val="32"/>
          <w:szCs w:val="32"/>
          <w:highlight w:val="none"/>
          <w:shd w:val="clear" w:color="auto" w:fill="FFFFFF"/>
          <w:lang w:val="zh-CN" w:eastAsia="zh-CN"/>
        </w:rPr>
        <w:t>三</w:t>
      </w:r>
      <w:r>
        <w:rPr>
          <w:rFonts w:hint="default" w:ascii="Times New Roman" w:hAnsi="Times New Roman" w:eastAsia="仿宋_GB2312" w:cs="Times New Roman"/>
          <w:color w:val="000000"/>
          <w:kern w:val="0"/>
          <w:sz w:val="32"/>
          <w:szCs w:val="32"/>
          <w:highlight w:val="none"/>
          <w:shd w:val="clear" w:color="auto" w:fill="FFFFFF"/>
          <w:lang w:val="zh-CN"/>
        </w:rPr>
        <w:t>是院士（专家）工作站建设</w:t>
      </w:r>
      <w:r>
        <w:rPr>
          <w:rFonts w:hint="default" w:ascii="Times New Roman" w:hAnsi="Times New Roman" w:eastAsia="仿宋_GB2312" w:cs="Times New Roman"/>
          <w:color w:val="000000"/>
          <w:kern w:val="0"/>
          <w:sz w:val="32"/>
          <w:szCs w:val="32"/>
          <w:highlight w:val="none"/>
          <w:shd w:val="clear" w:color="auto" w:fill="FFFFFF"/>
          <w:lang w:val="zh-CN" w:eastAsia="zh-CN"/>
        </w:rPr>
        <w:t>优化提升。茂县九顶原生态畜禽养殖有限责任公司、四川</w:t>
      </w:r>
      <w:r>
        <w:rPr>
          <w:rFonts w:hint="default" w:ascii="Times New Roman" w:hAnsi="Times New Roman" w:eastAsia="仿宋_GB2312" w:cs="Times New Roman"/>
          <w:color w:val="000000"/>
          <w:kern w:val="0"/>
          <w:sz w:val="32"/>
          <w:szCs w:val="32"/>
          <w:highlight w:val="none"/>
          <w:shd w:val="clear" w:color="auto" w:fill="FFFFFF"/>
          <w:lang w:val="en-US" w:eastAsia="zh-CN"/>
        </w:rPr>
        <w:t>九耕农业开发有限责任公司、阿坝州土优达农业科技有限责任公司3家公司成功创建</w:t>
      </w:r>
      <w:r>
        <w:rPr>
          <w:rFonts w:hint="default" w:ascii="Times New Roman" w:hAnsi="Times New Roman" w:eastAsia="仿宋_GB2312" w:cs="Times New Roman"/>
          <w:color w:val="000000"/>
          <w:kern w:val="0"/>
          <w:sz w:val="32"/>
          <w:szCs w:val="32"/>
          <w:highlight w:val="none"/>
          <w:shd w:val="clear" w:color="auto" w:fill="FFFFFF"/>
          <w:lang w:val="zh-CN" w:eastAsia="zh-CN"/>
        </w:rPr>
        <w:t>州级</w:t>
      </w:r>
      <w:r>
        <w:rPr>
          <w:rFonts w:hint="default" w:ascii="Times New Roman" w:hAnsi="Times New Roman" w:eastAsia="仿宋_GB2312" w:cs="Times New Roman"/>
          <w:color w:val="000000"/>
          <w:kern w:val="0"/>
          <w:sz w:val="32"/>
          <w:szCs w:val="32"/>
          <w:highlight w:val="none"/>
          <w:shd w:val="clear" w:color="auto" w:fill="FFFFFF"/>
          <w:lang w:val="zh-CN"/>
        </w:rPr>
        <w:t>专家工作站</w:t>
      </w:r>
      <w:r>
        <w:rPr>
          <w:rFonts w:hint="default" w:ascii="Times New Roman" w:hAnsi="Times New Roman" w:eastAsia="仿宋_GB2312" w:cs="Times New Roman"/>
          <w:color w:val="000000"/>
          <w:kern w:val="0"/>
          <w:sz w:val="32"/>
          <w:szCs w:val="32"/>
          <w:highlight w:val="none"/>
          <w:shd w:val="clear" w:color="auto" w:fill="FFFFFF"/>
          <w:lang w:val="en-US" w:eastAsia="zh-CN"/>
        </w:rPr>
        <w:t>，</w:t>
      </w:r>
      <w:r>
        <w:rPr>
          <w:rFonts w:hint="default" w:ascii="Times New Roman" w:hAnsi="Times New Roman" w:eastAsia="仿宋_GB2312" w:cs="Times New Roman"/>
          <w:color w:val="000000"/>
          <w:kern w:val="0"/>
          <w:sz w:val="32"/>
          <w:szCs w:val="32"/>
          <w:highlight w:val="none"/>
          <w:shd w:val="clear" w:color="auto" w:fill="FFFFFF"/>
          <w:lang w:val="zh-CN" w:eastAsia="zh-CN"/>
        </w:rPr>
        <w:t>全</w:t>
      </w:r>
      <w:r>
        <w:rPr>
          <w:rFonts w:hint="default" w:ascii="Times New Roman" w:hAnsi="Times New Roman" w:eastAsia="仿宋_GB2312" w:cs="Times New Roman"/>
          <w:color w:val="000000"/>
          <w:kern w:val="0"/>
          <w:sz w:val="32"/>
          <w:szCs w:val="32"/>
          <w:highlight w:val="none"/>
          <w:shd w:val="clear" w:color="auto" w:fill="FFFFFF"/>
          <w:lang w:val="zh-CN"/>
        </w:rPr>
        <w:t>州</w:t>
      </w:r>
      <w:r>
        <w:rPr>
          <w:rFonts w:hint="default" w:ascii="Times New Roman" w:hAnsi="Times New Roman" w:eastAsia="仿宋_GB2312" w:cs="Times New Roman"/>
          <w:color w:val="000000"/>
          <w:kern w:val="0"/>
          <w:sz w:val="32"/>
          <w:szCs w:val="32"/>
          <w:highlight w:val="none"/>
          <w:shd w:val="clear" w:color="auto" w:fill="FFFFFF"/>
          <w:lang w:val="zh-CN" w:eastAsia="zh-CN"/>
        </w:rPr>
        <w:t>已有</w:t>
      </w:r>
      <w:r>
        <w:rPr>
          <w:rFonts w:hint="default" w:ascii="Times New Roman" w:hAnsi="Times New Roman" w:eastAsia="仿宋_GB2312" w:cs="Times New Roman"/>
          <w:color w:val="000000"/>
          <w:kern w:val="0"/>
          <w:sz w:val="32"/>
          <w:szCs w:val="32"/>
          <w:highlight w:val="none"/>
          <w:shd w:val="clear" w:color="auto" w:fill="FFFFFF"/>
          <w:lang w:val="zh-CN"/>
        </w:rPr>
        <w:t>州级专家工作站21家</w:t>
      </w:r>
      <w:r>
        <w:rPr>
          <w:rFonts w:hint="default" w:ascii="Times New Roman" w:hAnsi="Times New Roman" w:eastAsia="仿宋_GB2312" w:cs="Times New Roman"/>
          <w:color w:val="000000"/>
          <w:kern w:val="0"/>
          <w:sz w:val="32"/>
          <w:szCs w:val="32"/>
          <w:highlight w:val="none"/>
          <w:shd w:val="clear" w:color="auto" w:fill="FFFFFF"/>
          <w:lang w:val="zh-CN" w:eastAsia="zh-CN"/>
        </w:rPr>
        <w:t>。同时，</w:t>
      </w:r>
      <w:r>
        <w:rPr>
          <w:rFonts w:hint="default" w:ascii="Times New Roman" w:hAnsi="Times New Roman" w:eastAsia="仿宋_GB2312" w:cs="Times New Roman"/>
          <w:color w:val="000000"/>
          <w:kern w:val="0"/>
          <w:sz w:val="32"/>
          <w:szCs w:val="32"/>
          <w:highlight w:val="none"/>
          <w:shd w:val="clear" w:color="auto" w:fill="FFFFFF"/>
          <w:lang w:val="en-US" w:eastAsia="zh-CN"/>
        </w:rPr>
        <w:t>四川省川磨岷机联合数控机器股份有限公司成功申报四川省省级专家工作站，实现我州省级院士（专家）工作站零的突破</w:t>
      </w:r>
      <w:r>
        <w:rPr>
          <w:rFonts w:hint="default"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en-US" w:eastAsia="zh-CN"/>
        </w:rPr>
        <w:t>四是我州国家级科技小院项目实现零突破。阿坝县“四川阿坝青稞科技小院”和红原县“四川红原濒危高原药材繁育科技小院”获中国农村专业技术协会授牌。通过引导科技人员深入一线服务“三农”，解决生产中的实际技术问题，实现“建设一个小院，入驻一个团队，带动一个产业，辐射一片乡村”，使科技小院成为助力乡村振兴的有效模式。</w:t>
      </w:r>
      <w:r>
        <w:rPr>
          <w:rFonts w:hint="default" w:ascii="Times New Roman" w:hAnsi="Times New Roman" w:eastAsia="仿宋_GB2312" w:cs="Times New Roman"/>
          <w:color w:val="000000"/>
          <w:kern w:val="0"/>
          <w:sz w:val="32"/>
          <w:szCs w:val="32"/>
          <w:highlight w:val="none"/>
          <w:shd w:val="clear" w:color="auto" w:fill="FFFFFF"/>
          <w:lang w:val="zh-CN" w:eastAsia="zh-CN"/>
        </w:rPr>
        <w:t>五</w:t>
      </w:r>
      <w:r>
        <w:rPr>
          <w:rFonts w:hint="default" w:ascii="Times New Roman" w:hAnsi="Times New Roman" w:eastAsia="仿宋_GB2312" w:cs="Times New Roman"/>
          <w:color w:val="000000"/>
          <w:kern w:val="0"/>
          <w:sz w:val="32"/>
          <w:szCs w:val="32"/>
          <w:highlight w:val="none"/>
          <w:shd w:val="clear" w:color="auto" w:fill="FFFFFF"/>
          <w:lang w:val="zh-CN"/>
        </w:rPr>
        <w:t>是学（协）会建设稳步推进</w:t>
      </w:r>
      <w:r>
        <w:rPr>
          <w:rFonts w:hint="default" w:ascii="Times New Roman" w:hAnsi="Times New Roman" w:eastAsia="仿宋_GB2312" w:cs="Times New Roman"/>
          <w:color w:val="000000"/>
          <w:kern w:val="0"/>
          <w:sz w:val="32"/>
          <w:szCs w:val="32"/>
          <w:highlight w:val="none"/>
          <w:shd w:val="clear" w:color="auto" w:fill="FFFFFF"/>
          <w:lang w:val="zh-CN" w:eastAsia="zh-CN"/>
        </w:rPr>
        <w:t>。做好</w:t>
      </w:r>
      <w:r>
        <w:rPr>
          <w:rFonts w:hint="default" w:ascii="Times New Roman" w:hAnsi="Times New Roman" w:eastAsia="仿宋_GB2312" w:cs="Times New Roman"/>
          <w:color w:val="000000"/>
          <w:kern w:val="0"/>
          <w:sz w:val="32"/>
          <w:szCs w:val="32"/>
          <w:highlight w:val="none"/>
          <w:shd w:val="clear" w:color="auto" w:fill="FFFFFF"/>
          <w:lang w:val="zh-CN"/>
        </w:rPr>
        <w:t>向川渝科技学术大会推荐优秀论文</w:t>
      </w:r>
      <w:r>
        <w:rPr>
          <w:rFonts w:hint="default" w:ascii="Times New Roman" w:hAnsi="Times New Roman" w:eastAsia="仿宋_GB2312" w:cs="Times New Roman"/>
          <w:color w:val="000000"/>
          <w:kern w:val="0"/>
          <w:sz w:val="32"/>
          <w:szCs w:val="32"/>
          <w:highlight w:val="none"/>
          <w:shd w:val="clear" w:color="auto" w:fill="FFFFFF"/>
          <w:lang w:val="zh-CN" w:eastAsia="zh-CN"/>
        </w:rPr>
        <w:t>的工作</w:t>
      </w:r>
      <w:r>
        <w:rPr>
          <w:rFonts w:hint="default"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zh-CN" w:eastAsia="zh-CN"/>
        </w:rPr>
        <w:t>州科协</w:t>
      </w:r>
      <w:r>
        <w:rPr>
          <w:rFonts w:hint="default" w:ascii="Times New Roman" w:hAnsi="Times New Roman" w:eastAsia="仿宋_GB2312" w:cs="Times New Roman"/>
          <w:color w:val="000000"/>
          <w:kern w:val="0"/>
          <w:sz w:val="32"/>
          <w:szCs w:val="32"/>
          <w:highlight w:val="none"/>
          <w:shd w:val="clear" w:color="auto" w:fill="FFFFFF"/>
          <w:lang w:val="zh-CN"/>
        </w:rPr>
        <w:t>被中国科协创新战备研究院、四川省科协、重庆市科协联合评为</w:t>
      </w:r>
      <w:r>
        <w:rPr>
          <w:rFonts w:hint="default" w:ascii="Times New Roman" w:hAnsi="Times New Roman" w:eastAsia="仿宋_GB2312" w:cs="Times New Roman"/>
          <w:color w:val="000000"/>
          <w:kern w:val="0"/>
          <w:sz w:val="32"/>
          <w:szCs w:val="32"/>
          <w:highlight w:val="none"/>
          <w:shd w:val="clear" w:color="auto" w:fill="FFFFFF"/>
          <w:lang w:val="zh-CN" w:eastAsia="zh-CN"/>
        </w:rPr>
        <w:t>论文</w:t>
      </w:r>
      <w:r>
        <w:rPr>
          <w:rFonts w:hint="default" w:ascii="Times New Roman" w:hAnsi="Times New Roman" w:eastAsia="仿宋_GB2312" w:cs="Times New Roman"/>
          <w:color w:val="000000"/>
          <w:kern w:val="0"/>
          <w:sz w:val="32"/>
          <w:szCs w:val="32"/>
          <w:highlight w:val="none"/>
          <w:shd w:val="clear" w:color="auto" w:fill="FFFFFF"/>
          <w:lang w:val="zh-CN"/>
        </w:rPr>
        <w:t>优秀组织单位</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开展“培育一流学术活动示范项目”建设</w:t>
      </w:r>
      <w:r>
        <w:rPr>
          <w:rFonts w:hint="default" w:ascii="Times New Roman" w:hAnsi="Times New Roman" w:eastAsia="仿宋_GB2312" w:cs="Times New Roman"/>
          <w:color w:val="000000"/>
          <w:kern w:val="0"/>
          <w:sz w:val="32"/>
          <w:szCs w:val="32"/>
          <w:highlight w:val="none"/>
          <w:shd w:val="clear" w:color="auto" w:fill="FFFFFF"/>
          <w:lang w:val="zh-CN" w:eastAsia="zh-CN"/>
        </w:rPr>
        <w:t>，指导</w:t>
      </w:r>
      <w:r>
        <w:rPr>
          <w:rFonts w:hint="default" w:ascii="Times New Roman" w:hAnsi="Times New Roman" w:eastAsia="仿宋_GB2312" w:cs="Times New Roman"/>
          <w:color w:val="000000"/>
          <w:kern w:val="0"/>
          <w:sz w:val="32"/>
          <w:szCs w:val="32"/>
          <w:highlight w:val="none"/>
          <w:shd w:val="clear" w:color="auto" w:fill="FFFFFF"/>
          <w:lang w:val="zh-CN"/>
        </w:rPr>
        <w:t>州畜牧兽医协会</w:t>
      </w:r>
      <w:r>
        <w:rPr>
          <w:rFonts w:hint="default" w:ascii="Times New Roman" w:hAnsi="Times New Roman" w:eastAsia="仿宋_GB2312" w:cs="Times New Roman"/>
          <w:color w:val="000000"/>
          <w:kern w:val="0"/>
          <w:sz w:val="32"/>
          <w:szCs w:val="32"/>
          <w:highlight w:val="none"/>
          <w:shd w:val="clear" w:color="auto" w:fill="FFFFFF"/>
          <w:lang w:val="en-US" w:eastAsia="zh-CN"/>
        </w:rPr>
        <w:t>以“发展阿坝州畜牧业新质生产力，推进阿坝州畜牧业高质量发展”为主题，</w:t>
      </w:r>
      <w:r>
        <w:rPr>
          <w:rFonts w:hint="default" w:ascii="Times New Roman" w:hAnsi="Times New Roman" w:eastAsia="仿宋_GB2312" w:cs="Times New Roman"/>
          <w:color w:val="000000"/>
          <w:kern w:val="0"/>
          <w:sz w:val="32"/>
          <w:szCs w:val="32"/>
          <w:highlight w:val="none"/>
          <w:shd w:val="clear" w:color="auto" w:fill="FFFFFF"/>
          <w:lang w:val="zh-CN" w:eastAsia="zh-CN"/>
        </w:rPr>
        <w:t>成功举办</w:t>
      </w:r>
      <w:r>
        <w:rPr>
          <w:rFonts w:hint="default" w:ascii="Times New Roman" w:hAnsi="Times New Roman" w:eastAsia="仿宋_GB2312" w:cs="Times New Roman"/>
          <w:color w:val="000000"/>
          <w:kern w:val="0"/>
          <w:sz w:val="32"/>
          <w:szCs w:val="32"/>
          <w:highlight w:val="none"/>
          <w:shd w:val="clear" w:color="auto" w:fill="FFFFFF"/>
          <w:lang w:val="en-US" w:eastAsia="zh-CN"/>
        </w:rPr>
        <w:t>学术年会。</w:t>
      </w:r>
    </w:p>
    <w:p w14:paraId="170D753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default" w:ascii="Times New Roman" w:hAnsi="Times New Roman" w:eastAsia="仿宋_GB2312" w:cs="Times New Roman"/>
          <w:color w:val="000000"/>
          <w:kern w:val="0"/>
          <w:sz w:val="32"/>
          <w:szCs w:val="32"/>
          <w:highlight w:val="none"/>
          <w:shd w:val="clear" w:color="auto" w:fill="FFFFFF"/>
          <w:lang w:val="zh-CN"/>
        </w:rPr>
        <w:t>持续提升服务全民科学素质效能。一是精准开展科普宣传</w:t>
      </w:r>
      <w:r>
        <w:rPr>
          <w:rFonts w:hint="default" w:ascii="Times New Roman" w:hAnsi="Times New Roman" w:eastAsia="仿宋_GB2312" w:cs="Times New Roman"/>
          <w:color w:val="000000"/>
          <w:kern w:val="0"/>
          <w:sz w:val="32"/>
          <w:szCs w:val="32"/>
          <w:highlight w:val="none"/>
          <w:shd w:val="clear" w:color="auto" w:fill="FFFFFF"/>
          <w:lang w:val="en-US" w:eastAsia="zh-CN"/>
        </w:rPr>
        <w:t>。2024年，</w:t>
      </w:r>
      <w:r>
        <w:rPr>
          <w:rFonts w:hint="default" w:ascii="Times New Roman" w:hAnsi="Times New Roman" w:eastAsia="仿宋_GB2312" w:cs="Times New Roman"/>
          <w:color w:val="000000"/>
          <w:kern w:val="0"/>
          <w:sz w:val="32"/>
          <w:szCs w:val="32"/>
          <w:highlight w:val="none"/>
          <w:shd w:val="clear" w:color="auto" w:fill="FFFFFF"/>
          <w:lang w:val="zh-CN" w:eastAsia="zh-CN"/>
        </w:rPr>
        <w:t>开展“</w:t>
      </w:r>
      <w:r>
        <w:rPr>
          <w:rFonts w:hint="default" w:ascii="Times New Roman" w:hAnsi="Times New Roman" w:eastAsia="仿宋_GB2312" w:cs="Times New Roman"/>
          <w:color w:val="000000"/>
          <w:kern w:val="0"/>
          <w:sz w:val="32"/>
          <w:szCs w:val="32"/>
          <w:highlight w:val="none"/>
          <w:shd w:val="clear" w:color="auto" w:fill="FFFFFF"/>
          <w:lang w:val="zh-CN"/>
        </w:rPr>
        <w:t>科技之春</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世界知识产权日</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5.12防灾减灾日</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等各类科普宣传活动90余次，举办科普讲座30场次，共计发放科普知识宣传手册、科技书刊等2</w:t>
      </w:r>
      <w:r>
        <w:rPr>
          <w:rFonts w:hint="default" w:ascii="Times New Roman" w:hAnsi="Times New Roman" w:eastAsia="仿宋_GB2312" w:cs="Times New Roman"/>
          <w:color w:val="000000"/>
          <w:kern w:val="0"/>
          <w:sz w:val="32"/>
          <w:szCs w:val="32"/>
          <w:highlight w:val="none"/>
          <w:shd w:val="clear" w:color="auto" w:fill="FFFFFF"/>
          <w:lang w:val="zh-CN" w:eastAsia="zh-CN"/>
        </w:rPr>
        <w:t>万</w:t>
      </w:r>
      <w:r>
        <w:rPr>
          <w:rFonts w:hint="default" w:ascii="Times New Roman" w:hAnsi="Times New Roman" w:eastAsia="仿宋_GB2312" w:cs="Times New Roman"/>
          <w:color w:val="000000"/>
          <w:kern w:val="0"/>
          <w:sz w:val="32"/>
          <w:szCs w:val="32"/>
          <w:highlight w:val="none"/>
          <w:shd w:val="clear" w:color="auto" w:fill="FFFFFF"/>
          <w:lang w:val="zh-CN"/>
        </w:rPr>
        <w:t>余份，惠及群众8</w:t>
      </w:r>
      <w:r>
        <w:rPr>
          <w:rFonts w:hint="default" w:ascii="Times New Roman" w:hAnsi="Times New Roman" w:eastAsia="仿宋_GB2312" w:cs="Times New Roman"/>
          <w:color w:val="000000"/>
          <w:kern w:val="0"/>
          <w:sz w:val="32"/>
          <w:szCs w:val="32"/>
          <w:highlight w:val="none"/>
          <w:shd w:val="clear" w:color="auto" w:fill="FFFFFF"/>
          <w:lang w:val="zh-CN" w:eastAsia="zh-CN"/>
        </w:rPr>
        <w:t>万</w:t>
      </w:r>
      <w:r>
        <w:rPr>
          <w:rFonts w:hint="default" w:ascii="Times New Roman" w:hAnsi="Times New Roman" w:eastAsia="仿宋_GB2312" w:cs="Times New Roman"/>
          <w:color w:val="000000"/>
          <w:kern w:val="0"/>
          <w:sz w:val="32"/>
          <w:szCs w:val="32"/>
          <w:highlight w:val="none"/>
          <w:shd w:val="clear" w:color="auto" w:fill="FFFFFF"/>
          <w:lang w:val="zh-CN"/>
        </w:rPr>
        <w:t>余人次</w:t>
      </w:r>
      <w:r>
        <w:rPr>
          <w:rFonts w:hint="default" w:ascii="Times New Roman" w:hAnsi="Times New Roman" w:eastAsia="仿宋_GB2312" w:cs="Times New Roman"/>
          <w:color w:val="000000"/>
          <w:kern w:val="0"/>
          <w:sz w:val="32"/>
          <w:szCs w:val="32"/>
          <w:highlight w:val="none"/>
          <w:shd w:val="clear" w:color="auto" w:fill="FFFFFF"/>
          <w:lang w:val="zh-CN" w:eastAsia="zh-CN"/>
        </w:rPr>
        <w:t>，并</w:t>
      </w:r>
      <w:r>
        <w:rPr>
          <w:rFonts w:hint="default" w:ascii="Times New Roman" w:hAnsi="Times New Roman" w:eastAsia="仿宋_GB2312" w:cs="Times New Roman"/>
          <w:color w:val="000000"/>
          <w:kern w:val="0"/>
          <w:sz w:val="32"/>
          <w:szCs w:val="32"/>
          <w:highlight w:val="none"/>
          <w:shd w:val="clear" w:color="auto" w:fill="FFFFFF"/>
          <w:lang w:val="zh-CN"/>
        </w:rPr>
        <w:t>与科技公司</w:t>
      </w:r>
      <w:r>
        <w:rPr>
          <w:rFonts w:hint="default" w:ascii="Times New Roman" w:hAnsi="Times New Roman" w:eastAsia="仿宋_GB2312" w:cs="Times New Roman"/>
          <w:color w:val="000000"/>
          <w:kern w:val="0"/>
          <w:sz w:val="32"/>
          <w:szCs w:val="32"/>
          <w:highlight w:val="none"/>
          <w:shd w:val="clear" w:color="auto" w:fill="FFFFFF"/>
          <w:lang w:val="zh-CN" w:eastAsia="zh-CN"/>
        </w:rPr>
        <w:t>达成合作</w:t>
      </w:r>
      <w:r>
        <w:rPr>
          <w:rFonts w:hint="default" w:ascii="Times New Roman" w:hAnsi="Times New Roman" w:eastAsia="仿宋_GB2312" w:cs="Times New Roman"/>
          <w:color w:val="000000"/>
          <w:kern w:val="0"/>
          <w:sz w:val="32"/>
          <w:szCs w:val="32"/>
          <w:highlight w:val="none"/>
          <w:shd w:val="clear" w:color="auto" w:fill="FFFFFF"/>
          <w:lang w:val="zh-CN"/>
        </w:rPr>
        <w:t>协议，</w:t>
      </w:r>
      <w:r>
        <w:rPr>
          <w:rFonts w:hint="default" w:ascii="Times New Roman" w:hAnsi="Times New Roman" w:eastAsia="仿宋_GB2312" w:cs="Times New Roman"/>
          <w:color w:val="000000"/>
          <w:kern w:val="0"/>
          <w:sz w:val="32"/>
          <w:szCs w:val="32"/>
          <w:highlight w:val="none"/>
          <w:shd w:val="clear" w:color="auto" w:fill="FFFFFF"/>
          <w:lang w:val="zh-CN" w:eastAsia="zh-CN"/>
        </w:rPr>
        <w:t>将“</w:t>
      </w:r>
      <w:r>
        <w:rPr>
          <w:rFonts w:hint="default" w:ascii="Times New Roman" w:hAnsi="Times New Roman" w:eastAsia="仿宋_GB2312" w:cs="Times New Roman"/>
          <w:color w:val="000000"/>
          <w:kern w:val="0"/>
          <w:sz w:val="32"/>
          <w:szCs w:val="32"/>
          <w:highlight w:val="none"/>
          <w:shd w:val="clear" w:color="auto" w:fill="FFFFFF"/>
          <w:lang w:val="zh-CN"/>
        </w:rPr>
        <w:t>线上+线下</w:t>
      </w:r>
      <w:r>
        <w:rPr>
          <w:rFonts w:hint="default" w:ascii="Times New Roman" w:hAnsi="Times New Roman" w:eastAsia="仿宋_GB2312" w:cs="Times New Roman"/>
          <w:color w:val="000000"/>
          <w:kern w:val="0"/>
          <w:sz w:val="32"/>
          <w:szCs w:val="32"/>
          <w:highlight w:val="none"/>
          <w:shd w:val="clear" w:color="auto" w:fill="FFFFFF"/>
          <w:lang w:val="zh-CN" w:eastAsia="zh-CN"/>
        </w:rPr>
        <w:t>”的</w:t>
      </w:r>
      <w:r>
        <w:rPr>
          <w:rFonts w:hint="default" w:ascii="Times New Roman" w:hAnsi="Times New Roman" w:eastAsia="仿宋_GB2312" w:cs="Times New Roman"/>
          <w:color w:val="000000"/>
          <w:kern w:val="0"/>
          <w:sz w:val="32"/>
          <w:szCs w:val="32"/>
          <w:highlight w:val="none"/>
          <w:shd w:val="clear" w:color="auto" w:fill="FFFFFF"/>
          <w:lang w:val="zh-CN"/>
        </w:rPr>
        <w:t>科普方式</w:t>
      </w:r>
      <w:r>
        <w:rPr>
          <w:rFonts w:hint="default" w:ascii="Times New Roman" w:hAnsi="Times New Roman" w:eastAsia="仿宋_GB2312" w:cs="Times New Roman"/>
          <w:color w:val="000000"/>
          <w:kern w:val="0"/>
          <w:sz w:val="32"/>
          <w:szCs w:val="32"/>
          <w:highlight w:val="none"/>
          <w:shd w:val="clear" w:color="auto" w:fill="FFFFFF"/>
          <w:lang w:val="zh-CN" w:eastAsia="zh-CN"/>
        </w:rPr>
        <w:t>推向纵深</w:t>
      </w:r>
      <w:r>
        <w:rPr>
          <w:rFonts w:hint="default" w:ascii="Times New Roman" w:hAnsi="Times New Roman" w:eastAsia="仿宋_GB2312" w:cs="Times New Roman"/>
          <w:color w:val="000000"/>
          <w:kern w:val="0"/>
          <w:sz w:val="32"/>
          <w:szCs w:val="32"/>
          <w:highlight w:val="none"/>
          <w:shd w:val="clear" w:color="auto" w:fill="FFFFFF"/>
          <w:lang w:val="zh-CN"/>
        </w:rPr>
        <w:t>。二是扎实开展青少年科教</w:t>
      </w:r>
      <w:r>
        <w:rPr>
          <w:rFonts w:hint="default" w:ascii="Times New Roman" w:hAnsi="Times New Roman" w:eastAsia="仿宋_GB2312" w:cs="Times New Roman"/>
          <w:color w:val="000000"/>
          <w:kern w:val="0"/>
          <w:sz w:val="32"/>
          <w:szCs w:val="32"/>
          <w:highlight w:val="none"/>
          <w:shd w:val="clear" w:color="auto" w:fill="FFFFFF"/>
          <w:lang w:val="zh-CN" w:eastAsia="zh-CN"/>
        </w:rPr>
        <w:t>。茂县中学荣获“第二批共建四川省青少年科技教育创新试验区学校”称号，是我州首个获此殊荣的学校。</w:t>
      </w:r>
      <w:r>
        <w:rPr>
          <w:rFonts w:hint="default" w:ascii="Times New Roman" w:hAnsi="Times New Roman" w:eastAsia="仿宋_GB2312" w:cs="Times New Roman"/>
          <w:color w:val="000000"/>
          <w:kern w:val="0"/>
          <w:sz w:val="32"/>
          <w:szCs w:val="32"/>
          <w:highlight w:val="none"/>
          <w:shd w:val="clear" w:color="auto" w:fill="FFFFFF"/>
          <w:lang w:val="zh-CN"/>
        </w:rPr>
        <w:t>成功举办第二届阿坝州青少年科技创新大赛，参赛作品数量、质量较第一届大幅提升，共评选出优秀科创作品382个，受表扬学校10所</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en-US" w:eastAsia="zh-CN"/>
        </w:rPr>
        <w:t>赛事在四川广播电视台全媒体矩阵黄金时段进行了播放。</w:t>
      </w:r>
      <w:r>
        <w:rPr>
          <w:rFonts w:hint="default" w:ascii="Times New Roman" w:hAnsi="Times New Roman" w:eastAsia="仿宋_GB2312" w:cs="Times New Roman"/>
          <w:color w:val="000000"/>
          <w:kern w:val="0"/>
          <w:sz w:val="32"/>
          <w:szCs w:val="32"/>
          <w:highlight w:val="none"/>
          <w:shd w:val="clear" w:color="auto" w:fill="FFFFFF"/>
          <w:lang w:val="zh-CN" w:eastAsia="zh-CN"/>
        </w:rPr>
        <w:t>在</w:t>
      </w:r>
      <w:r>
        <w:rPr>
          <w:rFonts w:hint="default" w:ascii="Times New Roman" w:hAnsi="Times New Roman" w:eastAsia="仿宋_GB2312" w:cs="Times New Roman"/>
          <w:color w:val="000000"/>
          <w:kern w:val="0"/>
          <w:sz w:val="32"/>
          <w:szCs w:val="32"/>
          <w:highlight w:val="none"/>
          <w:shd w:val="clear" w:color="auto" w:fill="FFFFFF"/>
          <w:lang w:val="zh-CN"/>
        </w:rPr>
        <w:t>省青少年科技创新大赛</w:t>
      </w:r>
      <w:r>
        <w:rPr>
          <w:rFonts w:hint="default" w:ascii="Times New Roman" w:hAnsi="Times New Roman" w:eastAsia="仿宋_GB2312" w:cs="Times New Roman"/>
          <w:color w:val="000000"/>
          <w:kern w:val="0"/>
          <w:sz w:val="32"/>
          <w:szCs w:val="32"/>
          <w:highlight w:val="none"/>
          <w:shd w:val="clear" w:color="auto" w:fill="FFFFFF"/>
          <w:lang w:val="zh-CN" w:eastAsia="zh-CN"/>
        </w:rPr>
        <w:t>中</w:t>
      </w:r>
      <w:r>
        <w:rPr>
          <w:rFonts w:hint="default" w:ascii="Times New Roman" w:hAnsi="Times New Roman" w:eastAsia="仿宋_GB2312" w:cs="Times New Roman"/>
          <w:color w:val="000000"/>
          <w:kern w:val="0"/>
          <w:sz w:val="32"/>
          <w:szCs w:val="32"/>
          <w:highlight w:val="none"/>
          <w:shd w:val="clear" w:color="auto" w:fill="FFFFFF"/>
          <w:lang w:val="zh-CN"/>
        </w:rPr>
        <w:t>，3件作品获省二等奖、5件作品获省三等奖、1件作品获省级最高奖项—科协主席奖，该作品同时获得全国青少年科技创新大赛三等奖，是我州历年来最高奖项</w:t>
      </w:r>
      <w:r>
        <w:rPr>
          <w:rFonts w:hint="default" w:ascii="Times New Roman" w:hAnsi="Times New Roman" w:eastAsia="仿宋_GB2312" w:cs="Times New Roman"/>
          <w:color w:val="000000"/>
          <w:kern w:val="0"/>
          <w:sz w:val="32"/>
          <w:szCs w:val="32"/>
          <w:highlight w:val="none"/>
          <w:shd w:val="clear" w:color="auto" w:fill="FFFFFF"/>
          <w:lang w:val="en-US" w:eastAsia="zh-CN"/>
        </w:rPr>
        <w:t>。州科协被四川省青少年科技教育学术年会评为2024年度四川省青少年科技教育优秀会员单位。</w:t>
      </w:r>
      <w:r>
        <w:rPr>
          <w:rFonts w:hint="default" w:ascii="Times New Roman" w:hAnsi="Times New Roman" w:eastAsia="仿宋_GB2312" w:cs="Times New Roman"/>
          <w:color w:val="000000"/>
          <w:kern w:val="0"/>
          <w:sz w:val="32"/>
          <w:szCs w:val="32"/>
          <w:highlight w:val="none"/>
          <w:shd w:val="clear" w:color="auto" w:fill="FFFFFF"/>
          <w:lang w:val="zh-CN"/>
        </w:rPr>
        <w:t>三是拓展州科技馆服务功能</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2024年进馆总人数达6万余人次，开展“馆校合作”80余次，举办手工课、创客课、机器人编程课等90余节，</w:t>
      </w:r>
      <w:r>
        <w:rPr>
          <w:rFonts w:hint="default" w:ascii="Times New Roman" w:hAnsi="Times New Roman" w:eastAsia="仿宋_GB2312" w:cs="Times New Roman"/>
          <w:color w:val="000000"/>
          <w:kern w:val="0"/>
          <w:sz w:val="32"/>
          <w:szCs w:val="32"/>
          <w:highlight w:val="none"/>
          <w:shd w:val="clear" w:color="auto" w:fill="FFFFFF"/>
          <w:lang w:val="zh-CN" w:eastAsia="zh-CN"/>
        </w:rPr>
        <w:t>开展</w:t>
      </w:r>
      <w:r>
        <w:rPr>
          <w:rFonts w:hint="default" w:ascii="Times New Roman" w:hAnsi="Times New Roman" w:eastAsia="仿宋_GB2312" w:cs="Times New Roman"/>
          <w:color w:val="000000"/>
          <w:kern w:val="0"/>
          <w:sz w:val="32"/>
          <w:szCs w:val="32"/>
          <w:highlight w:val="none"/>
          <w:shd w:val="clear" w:color="auto" w:fill="FFFFFF"/>
          <w:lang w:val="zh-CN"/>
        </w:rPr>
        <w:t>“科技馆进校园”活动</w:t>
      </w:r>
      <w:r>
        <w:rPr>
          <w:rFonts w:hint="default" w:ascii="Times New Roman" w:hAnsi="Times New Roman" w:eastAsia="仿宋_GB2312" w:cs="Times New Roman"/>
          <w:color w:val="000000"/>
          <w:kern w:val="0"/>
          <w:sz w:val="32"/>
          <w:szCs w:val="32"/>
          <w:highlight w:val="none"/>
          <w:shd w:val="clear" w:color="auto" w:fill="FFFFFF"/>
          <w:lang w:val="en-US" w:eastAsia="zh-CN"/>
        </w:rPr>
        <w:t>4场次</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在理县设立了</w:t>
      </w:r>
      <w:r>
        <w:rPr>
          <w:rFonts w:hint="default" w:ascii="Times New Roman" w:hAnsi="Times New Roman" w:eastAsia="仿宋_GB2312" w:cs="Times New Roman"/>
          <w:color w:val="000000"/>
          <w:kern w:val="0"/>
          <w:sz w:val="32"/>
          <w:szCs w:val="32"/>
          <w:highlight w:val="none"/>
          <w:shd w:val="clear" w:color="auto" w:fill="FFFFFF"/>
          <w:lang w:val="zh-CN" w:eastAsia="zh-CN"/>
        </w:rPr>
        <w:t>科技馆</w:t>
      </w:r>
      <w:r>
        <w:rPr>
          <w:rFonts w:hint="default" w:ascii="Times New Roman" w:hAnsi="Times New Roman" w:eastAsia="仿宋_GB2312" w:cs="Times New Roman"/>
          <w:color w:val="000000"/>
          <w:kern w:val="0"/>
          <w:sz w:val="32"/>
          <w:szCs w:val="32"/>
          <w:highlight w:val="none"/>
          <w:shd w:val="clear" w:color="auto" w:fill="FFFFFF"/>
          <w:lang w:val="zh-CN"/>
        </w:rPr>
        <w:t>流动科普点</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被中国自然科学博物馆学会评为“千馆并进</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筑基科素”联合行动优秀组织单位。获得全国科技馆辅导员大赛四川分赛区选拔赛“科学实验”项目组二等奖</w:t>
      </w:r>
      <w:r>
        <w:rPr>
          <w:rFonts w:hint="default" w:ascii="Times New Roman" w:hAnsi="Times New Roman" w:eastAsia="仿宋_GB2312" w:cs="Times New Roman"/>
          <w:color w:val="000000"/>
          <w:kern w:val="0"/>
          <w:sz w:val="32"/>
          <w:szCs w:val="32"/>
          <w:highlight w:val="none"/>
          <w:shd w:val="clear" w:color="auto" w:fill="FFFFFF"/>
          <w:lang w:val="zh-CN" w:eastAsia="zh-CN"/>
        </w:rPr>
        <w:t>。</w:t>
      </w:r>
    </w:p>
    <w:p w14:paraId="1266D17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持续提升服务党和政府科学决策水平。</w:t>
      </w:r>
      <w:r>
        <w:rPr>
          <w:rFonts w:hint="default" w:ascii="Times New Roman" w:hAnsi="Times New Roman" w:eastAsia="仿宋_GB2312" w:cs="Times New Roman"/>
          <w:color w:val="000000"/>
          <w:kern w:val="0"/>
          <w:sz w:val="32"/>
          <w:szCs w:val="32"/>
          <w:highlight w:val="none"/>
          <w:shd w:val="clear" w:color="auto" w:fill="FFFFFF"/>
          <w:lang w:val="zh-CN" w:eastAsia="zh-CN"/>
        </w:rPr>
        <w:t>一是</w:t>
      </w:r>
      <w:r>
        <w:rPr>
          <w:rFonts w:hint="default" w:ascii="Times New Roman" w:hAnsi="Times New Roman" w:eastAsia="仿宋_GB2312" w:cs="Times New Roman"/>
          <w:color w:val="000000"/>
          <w:kern w:val="0"/>
          <w:sz w:val="32"/>
          <w:szCs w:val="32"/>
          <w:highlight w:val="none"/>
          <w:shd w:val="clear" w:color="auto" w:fill="FFFFFF"/>
          <w:lang w:val="zh-CN"/>
        </w:rPr>
        <w:t>通过平台大数据，实时动态反映全州科技工作者（团队）和企事业单位科技服务、科技成果、科研项目等供给与需求情况及变化趋势，实时动态反映广大群众科普需求等大数据信息，为党和政府制定科技、人才、产业政策等提供数据支撑</w:t>
      </w:r>
      <w:r>
        <w:rPr>
          <w:rFonts w:hint="default" w:ascii="Times New Roman" w:hAnsi="Times New Roman" w:eastAsia="仿宋_GB2312" w:cs="Times New Roman"/>
          <w:color w:val="000000"/>
          <w:kern w:val="0"/>
          <w:sz w:val="32"/>
          <w:szCs w:val="32"/>
          <w:highlight w:val="none"/>
          <w:shd w:val="clear" w:color="auto" w:fill="FFFFFF"/>
          <w:lang w:val="zh-CN" w:eastAsia="zh-CN"/>
        </w:rPr>
        <w:t>。二是</w:t>
      </w:r>
      <w:r>
        <w:rPr>
          <w:rFonts w:hint="default" w:ascii="Times New Roman" w:hAnsi="Times New Roman" w:eastAsia="仿宋_GB2312" w:cs="Times New Roman"/>
          <w:color w:val="000000"/>
          <w:kern w:val="0"/>
          <w:sz w:val="32"/>
          <w:szCs w:val="32"/>
          <w:highlight w:val="none"/>
          <w:shd w:val="clear" w:color="auto" w:fill="FFFFFF"/>
          <w:lang w:val="zh-CN"/>
        </w:rPr>
        <w:t>召开了特邀科技专家座谈会，认真听取科技工作者在各自领域专业方面的意见建议。</w:t>
      </w:r>
    </w:p>
    <w:p w14:paraId="700CCA04">
      <w:pPr>
        <w:keepNext w:val="0"/>
        <w:keepLines w:val="0"/>
        <w:pageBreakBefore w:val="0"/>
        <w:widowControl/>
        <w:numPr>
          <w:ilvl w:val="0"/>
          <w:numId w:val="4"/>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zh-CN"/>
        </w:rPr>
        <w:t>预算管理。</w:t>
      </w:r>
    </w:p>
    <w:p w14:paraId="3AB9CC9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预算编制质量</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根据决算报表，本单位财政拨款全年预算数为</w:t>
      </w:r>
      <w:r>
        <w:rPr>
          <w:rFonts w:hint="eastAsia" w:ascii="Times New Roman" w:hAnsi="Times New Roman" w:eastAsia="仿宋_GB2312" w:cs="Times New Roman"/>
          <w:sz w:val="32"/>
          <w:szCs w:val="32"/>
          <w:lang w:val="en-US" w:eastAsia="zh-CN"/>
        </w:rPr>
        <w:t>971.25</w:t>
      </w:r>
      <w:r>
        <w:rPr>
          <w:rFonts w:hint="default" w:ascii="Times New Roman" w:hAnsi="Times New Roman" w:eastAsia="仿宋_GB2312" w:cs="Times New Roman"/>
          <w:sz w:val="32"/>
          <w:szCs w:val="32"/>
          <w:lang w:val="en-US" w:eastAsia="zh-CN"/>
        </w:rPr>
        <w:t>万元，本年无结转，同口径财政拨款预算执行数为</w:t>
      </w:r>
      <w:r>
        <w:rPr>
          <w:rFonts w:hint="eastAsia" w:ascii="Times New Roman" w:hAnsi="Times New Roman" w:eastAsia="仿宋_GB2312" w:cs="Times New Roman"/>
          <w:sz w:val="32"/>
          <w:szCs w:val="32"/>
          <w:lang w:val="en-US" w:eastAsia="zh-CN"/>
        </w:rPr>
        <w:t>971.25</w:t>
      </w:r>
      <w:r>
        <w:rPr>
          <w:rFonts w:hint="default" w:ascii="Times New Roman" w:hAnsi="Times New Roman" w:eastAsia="仿宋_GB2312" w:cs="Times New Roman"/>
          <w:sz w:val="32"/>
          <w:szCs w:val="32"/>
          <w:lang w:val="en-US" w:eastAsia="zh-CN"/>
        </w:rPr>
        <w:t>万元，财政拨款预算偏离度=0。</w:t>
      </w:r>
    </w:p>
    <w:p w14:paraId="15B405E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综上，根据评分标准，该项指标不扣分，得8分</w:t>
      </w:r>
    </w:p>
    <w:p w14:paraId="1786A26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）单位收入统筹</w:t>
      </w:r>
      <w:r>
        <w:rPr>
          <w:rFonts w:hint="default" w:ascii="Times New Roman" w:hAnsi="Times New Roman" w:eastAsia="仿宋_GB2312" w:cs="Times New Roman"/>
          <w:sz w:val="32"/>
          <w:szCs w:val="32"/>
          <w:lang w:val="en-US" w:eastAsia="zh-CN"/>
        </w:rPr>
        <w:t>根据单位自有资金收入执行情况表，本单位自有收入全年执行数为0万元，自有收入年初预算数为0万元。</w:t>
      </w:r>
    </w:p>
    <w:p w14:paraId="7646D3A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综上，根据评分标准，该项指标不扣分，得4分。</w:t>
      </w:r>
    </w:p>
    <w:p w14:paraId="5E9F6AD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eastAsia="zh-CN"/>
        </w:rPr>
        <w:t>）支出执行进度</w:t>
      </w:r>
    </w:p>
    <w:p w14:paraId="191C4F4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根据1-6月可执行情况表，本单位1至6月预算执行进度为</w:t>
      </w:r>
      <w:r>
        <w:rPr>
          <w:rFonts w:hint="eastAsia" w:ascii="Times New Roman" w:hAnsi="Times New Roman" w:eastAsia="仿宋_GB2312" w:cs="Times New Roman"/>
          <w:sz w:val="32"/>
          <w:szCs w:val="32"/>
          <w:lang w:val="en-US" w:eastAsia="zh-CN"/>
        </w:rPr>
        <w:t>47.38</w:t>
      </w:r>
      <w:r>
        <w:rPr>
          <w:rFonts w:hint="default" w:ascii="Times New Roman" w:hAnsi="Times New Roman" w:eastAsia="仿宋_GB2312" w:cs="Times New Roman"/>
          <w:sz w:val="32"/>
          <w:szCs w:val="32"/>
          <w:lang w:val="en-US" w:eastAsia="zh-CN"/>
        </w:rPr>
        <w:t>%。</w:t>
      </w:r>
    </w:p>
    <w:p w14:paraId="7770225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根据1-10月可执行情况表，本单位1至10月预算执行进度为</w:t>
      </w:r>
      <w:r>
        <w:rPr>
          <w:rFonts w:hint="eastAsia" w:ascii="Times New Roman" w:hAnsi="Times New Roman" w:eastAsia="仿宋_GB2312" w:cs="Times New Roman"/>
          <w:sz w:val="32"/>
          <w:szCs w:val="32"/>
          <w:lang w:val="en-US" w:eastAsia="zh-CN"/>
        </w:rPr>
        <w:t>68.72</w:t>
      </w:r>
      <w:r>
        <w:rPr>
          <w:rFonts w:hint="default" w:ascii="Times New Roman" w:hAnsi="Times New Roman" w:eastAsia="仿宋_GB2312" w:cs="Times New Roman"/>
          <w:sz w:val="32"/>
          <w:szCs w:val="32"/>
          <w:lang w:val="en-US" w:eastAsia="zh-CN"/>
        </w:rPr>
        <w:t>%。</w:t>
      </w:r>
    </w:p>
    <w:p w14:paraId="549F5A1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支出执行进度得分</w:t>
      </w:r>
      <w:r>
        <w:rPr>
          <w:rFonts w:hint="eastAsia" w:ascii="Times New Roman" w:hAnsi="Times New Roman" w:eastAsia="仿宋_GB2312" w:cs="Times New Roman"/>
          <w:sz w:val="32"/>
          <w:szCs w:val="32"/>
          <w:lang w:val="en-US" w:eastAsia="zh-CN"/>
        </w:rPr>
        <w:t>=508.82÷（1073.85×50%）×2）+（760.29÷（1106.36×83.33%）×2）+（0.04×0.8-0）=3.58</w:t>
      </w:r>
    </w:p>
    <w:p w14:paraId="0907538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综上，根据评分标准，该项指标得</w:t>
      </w:r>
      <w:r>
        <w:rPr>
          <w:rFonts w:hint="eastAsia" w:ascii="Times New Roman" w:hAnsi="Times New Roman" w:eastAsia="仿宋_GB2312" w:cs="Times New Roman"/>
          <w:sz w:val="32"/>
          <w:szCs w:val="32"/>
          <w:lang w:val="en-US" w:eastAsia="zh-CN"/>
        </w:rPr>
        <w:t>3.58</w:t>
      </w:r>
      <w:r>
        <w:rPr>
          <w:rFonts w:hint="default" w:ascii="Times New Roman" w:hAnsi="Times New Roman" w:eastAsia="仿宋_GB2312" w:cs="Times New Roman"/>
          <w:sz w:val="32"/>
          <w:szCs w:val="32"/>
          <w:lang w:val="en-US" w:eastAsia="zh-CN"/>
        </w:rPr>
        <w:t>分。</w:t>
      </w:r>
    </w:p>
    <w:p w14:paraId="14F884F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zh-CN" w:eastAsia="zh-CN"/>
        </w:rPr>
        <w:t>）预算年终结余</w:t>
      </w:r>
    </w:p>
    <w:p w14:paraId="5C81CE6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根据决算报表，本单位预算总金额为</w:t>
      </w:r>
      <w:r>
        <w:rPr>
          <w:rFonts w:hint="eastAsia" w:ascii="Times New Roman" w:hAnsi="Times New Roman" w:eastAsia="仿宋_GB2312" w:cs="Times New Roman"/>
          <w:sz w:val="32"/>
          <w:szCs w:val="32"/>
          <w:lang w:val="en-US" w:eastAsia="zh-CN"/>
        </w:rPr>
        <w:t>971.25</w:t>
      </w:r>
      <w:r>
        <w:rPr>
          <w:rFonts w:hint="default" w:ascii="Times New Roman" w:hAnsi="Times New Roman" w:eastAsia="仿宋_GB2312" w:cs="Times New Roman"/>
          <w:sz w:val="32"/>
          <w:szCs w:val="32"/>
          <w:lang w:val="en-US" w:eastAsia="zh-CN"/>
        </w:rPr>
        <w:t>万元，年终部门预算注销金额为0万元，结转金额为0万元，合计0万元，占比为0。</w:t>
      </w:r>
    </w:p>
    <w:p w14:paraId="2E0B5E4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综上，根据评分标准，该项指标不扣分，得2分。</w:t>
      </w:r>
    </w:p>
    <w:p w14:paraId="4CFB950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zh-CN" w:eastAsia="zh-CN"/>
        </w:rPr>
        <w:t>）严控一般性支出</w:t>
      </w:r>
    </w:p>
    <w:p w14:paraId="158804D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w:t>
      </w:r>
      <w:r>
        <w:rPr>
          <w:rFonts w:hint="default" w:ascii="Times New Roman" w:hAnsi="Times New Roman" w:eastAsia="仿宋_GB2312" w:cs="Times New Roman"/>
          <w:sz w:val="32"/>
          <w:szCs w:val="32"/>
          <w:lang w:val="zh-CN" w:eastAsia="zh-CN"/>
        </w:rPr>
        <w:t>“三公”经费、会议费、培训费等一般性支出情况</w:t>
      </w:r>
      <w:r>
        <w:rPr>
          <w:rFonts w:hint="default" w:ascii="Times New Roman" w:hAnsi="Times New Roman" w:eastAsia="仿宋_GB2312" w:cs="Times New Roman"/>
          <w:sz w:val="32"/>
          <w:szCs w:val="32"/>
          <w:lang w:val="en-US" w:eastAsia="zh-CN"/>
        </w:rPr>
        <w:t>详见下表。</w:t>
      </w:r>
    </w:p>
    <w:tbl>
      <w:tblPr>
        <w:tblStyle w:val="16"/>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3"/>
        <w:gridCol w:w="1016"/>
        <w:gridCol w:w="1350"/>
        <w:gridCol w:w="1350"/>
        <w:gridCol w:w="1350"/>
        <w:gridCol w:w="1350"/>
      </w:tblGrid>
      <w:tr w14:paraId="6A084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gridSpan w:val="6"/>
            <w:tcBorders>
              <w:top w:val="nil"/>
              <w:left w:val="nil"/>
              <w:bottom w:val="nil"/>
              <w:right w:val="nil"/>
            </w:tcBorders>
            <w:shd w:val="clear" w:color="auto" w:fill="auto"/>
            <w:noWrap/>
            <w:vAlign w:val="center"/>
          </w:tcPr>
          <w:p w14:paraId="633108E4">
            <w:pPr>
              <w:keepNext w:val="0"/>
              <w:keepLines w:val="0"/>
              <w:pageBreakBefore w:val="0"/>
              <w:widowControl/>
              <w:suppressLineNumbers w:val="0"/>
              <w:kinsoku/>
              <w:wordWrap/>
              <w:overflowPunct/>
              <w:topLinePunct w:val="0"/>
              <w:autoSpaceDE/>
              <w:autoSpaceDN/>
              <w:bidi w:val="0"/>
              <w:ind w:firstLine="723" w:firstLineChars="200"/>
              <w:jc w:val="center"/>
              <w:textAlignment w:val="center"/>
              <w:rPr>
                <w:rFonts w:hint="default" w:ascii="Times New Roman" w:hAnsi="Times New Roman" w:eastAsia="宋体" w:cs="Times New Roman"/>
                <w:b/>
                <w:bCs/>
                <w:i w:val="0"/>
                <w:iCs w:val="0"/>
                <w:color w:val="000000"/>
                <w:sz w:val="36"/>
                <w:szCs w:val="36"/>
                <w:u w:val="none"/>
              </w:rPr>
            </w:pPr>
            <w:r>
              <w:rPr>
                <w:rFonts w:hint="default" w:ascii="Times New Roman" w:hAnsi="Times New Roman" w:eastAsia="宋体" w:cs="Times New Roman"/>
                <w:b/>
                <w:bCs/>
                <w:i w:val="0"/>
                <w:iCs w:val="0"/>
                <w:color w:val="000000"/>
                <w:kern w:val="0"/>
                <w:sz w:val="36"/>
                <w:szCs w:val="36"/>
                <w:u w:val="none"/>
                <w:lang w:val="en-US" w:eastAsia="zh-CN" w:bidi="ar"/>
              </w:rPr>
              <w:t>一般性支出统计表</w:t>
            </w:r>
          </w:p>
        </w:tc>
      </w:tr>
      <w:tr w14:paraId="583AA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21860E9">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6EF704">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84B49BB">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0024630">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4275DC">
            <w:pPr>
              <w:keepNext w:val="0"/>
              <w:keepLines w:val="0"/>
              <w:pageBreakBefore w:val="0"/>
              <w:widowControl/>
              <w:suppressLineNumbers w:val="0"/>
              <w:kinsoku/>
              <w:wordWrap/>
              <w:overflowPunct/>
              <w:topLinePunct w:val="0"/>
              <w:autoSpaceDE/>
              <w:autoSpaceDN/>
              <w:bidi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单位：万元</w:t>
            </w:r>
          </w:p>
        </w:tc>
        <w:tc>
          <w:tcPr>
            <w:tcW w:w="0" w:type="auto"/>
            <w:tcBorders>
              <w:top w:val="nil"/>
              <w:left w:val="nil"/>
              <w:bottom w:val="nil"/>
              <w:right w:val="nil"/>
            </w:tcBorders>
            <w:shd w:val="clear" w:color="auto" w:fill="auto"/>
            <w:noWrap/>
            <w:vAlign w:val="center"/>
          </w:tcPr>
          <w:p w14:paraId="0E15EF8F">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sz w:val="22"/>
                <w:szCs w:val="22"/>
                <w:u w:val="none"/>
              </w:rPr>
            </w:pPr>
          </w:p>
        </w:tc>
      </w:tr>
      <w:tr w14:paraId="0A4BE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E8C23">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FF7E">
            <w:pPr>
              <w:keepNext w:val="0"/>
              <w:keepLines w:val="0"/>
              <w:pageBreakBefore w:val="0"/>
              <w:widowControl/>
              <w:suppressLineNumbers w:val="0"/>
              <w:kinsoku/>
              <w:wordWrap/>
              <w:overflowPunct/>
              <w:topLinePunct w:val="0"/>
              <w:autoSpaceDE/>
              <w:autoSpaceDN/>
              <w:bidi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F6B3A">
            <w:pPr>
              <w:keepNext w:val="0"/>
              <w:keepLines w:val="0"/>
              <w:pageBreakBefore w:val="0"/>
              <w:widowControl/>
              <w:suppressLineNumbers w:val="0"/>
              <w:kinsoku/>
              <w:wordWrap/>
              <w:overflowPunct/>
              <w:topLinePunct w:val="0"/>
              <w:autoSpaceDE/>
              <w:autoSpaceDN/>
              <w:bidi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w:t>
            </w:r>
            <w:r>
              <w:rPr>
                <w:rFonts w:hint="eastAsia" w:ascii="Times New Roman" w:hAnsi="Times New Roman" w:eastAsia="宋体" w:cs="Times New Roman"/>
                <w:i w:val="0"/>
                <w:iCs w:val="0"/>
                <w:color w:val="000000"/>
                <w:kern w:val="0"/>
                <w:sz w:val="22"/>
                <w:szCs w:val="22"/>
                <w:u w:val="none"/>
                <w:lang w:val="en-US" w:eastAsia="zh-CN" w:bidi="ar"/>
              </w:rPr>
              <w:t>3</w:t>
            </w:r>
            <w:r>
              <w:rPr>
                <w:rFonts w:hint="default" w:ascii="Times New Roman" w:hAnsi="Times New Roman" w:eastAsia="宋体" w:cs="Times New Roman"/>
                <w:i w:val="0"/>
                <w:iCs w:val="0"/>
                <w:color w:val="000000"/>
                <w:kern w:val="0"/>
                <w:sz w:val="22"/>
                <w:szCs w:val="22"/>
                <w:u w:val="none"/>
                <w:lang w:val="en-US" w:eastAsia="zh-CN" w:bidi="ar"/>
              </w:rPr>
              <w:t>年预算数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9A8B5">
            <w:pPr>
              <w:keepNext w:val="0"/>
              <w:keepLines w:val="0"/>
              <w:pageBreakBefore w:val="0"/>
              <w:widowControl/>
              <w:suppressLineNumbers w:val="0"/>
              <w:kinsoku/>
              <w:wordWrap/>
              <w:overflowPunct/>
              <w:topLinePunct w:val="0"/>
              <w:autoSpaceDE/>
              <w:autoSpaceDN/>
              <w:bidi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w:t>
            </w:r>
            <w:r>
              <w:rPr>
                <w:rFonts w:hint="eastAsia" w:ascii="Times New Roman" w:hAnsi="Times New Roman" w:eastAsia="宋体" w:cs="Times New Roman"/>
                <w:i w:val="0"/>
                <w:iCs w:val="0"/>
                <w:color w:val="000000"/>
                <w:kern w:val="0"/>
                <w:sz w:val="22"/>
                <w:szCs w:val="22"/>
                <w:u w:val="none"/>
                <w:lang w:val="en-US" w:eastAsia="zh-CN" w:bidi="ar"/>
              </w:rPr>
              <w:t>3</w:t>
            </w:r>
            <w:r>
              <w:rPr>
                <w:rFonts w:hint="default" w:ascii="Times New Roman" w:hAnsi="Times New Roman" w:eastAsia="宋体" w:cs="Times New Roman"/>
                <w:i w:val="0"/>
                <w:iCs w:val="0"/>
                <w:color w:val="000000"/>
                <w:kern w:val="0"/>
                <w:sz w:val="22"/>
                <w:szCs w:val="22"/>
                <w:u w:val="none"/>
                <w:lang w:val="en-US" w:eastAsia="zh-CN" w:bidi="ar"/>
              </w:rPr>
              <w:t>年决算数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67C97">
            <w:pPr>
              <w:keepNext w:val="0"/>
              <w:keepLines w:val="0"/>
              <w:pageBreakBefore w:val="0"/>
              <w:widowControl/>
              <w:suppressLineNumbers w:val="0"/>
              <w:kinsoku/>
              <w:wordWrap/>
              <w:overflowPunct/>
              <w:topLinePunct w:val="0"/>
              <w:autoSpaceDE/>
              <w:autoSpaceDN/>
              <w:bidi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w:t>
            </w:r>
            <w:r>
              <w:rPr>
                <w:rFonts w:hint="eastAsia" w:ascii="Times New Roman" w:hAnsi="Times New Roman" w:eastAsia="宋体" w:cs="Times New Roman"/>
                <w:i w:val="0"/>
                <w:iCs w:val="0"/>
                <w:color w:val="000000"/>
                <w:kern w:val="0"/>
                <w:sz w:val="22"/>
                <w:szCs w:val="22"/>
                <w:u w:val="none"/>
                <w:lang w:val="en-US" w:eastAsia="zh-CN" w:bidi="ar"/>
              </w:rPr>
              <w:t>4</w:t>
            </w:r>
            <w:r>
              <w:rPr>
                <w:rFonts w:hint="default" w:ascii="Times New Roman" w:hAnsi="Times New Roman" w:eastAsia="宋体" w:cs="Times New Roman"/>
                <w:i w:val="0"/>
                <w:iCs w:val="0"/>
                <w:color w:val="000000"/>
                <w:kern w:val="0"/>
                <w:sz w:val="22"/>
                <w:szCs w:val="22"/>
                <w:u w:val="none"/>
                <w:lang w:val="en-US" w:eastAsia="zh-CN" w:bidi="ar"/>
              </w:rPr>
              <w:t>年预算数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47332">
            <w:pPr>
              <w:keepNext w:val="0"/>
              <w:keepLines w:val="0"/>
              <w:pageBreakBefore w:val="0"/>
              <w:widowControl/>
              <w:suppressLineNumbers w:val="0"/>
              <w:kinsoku/>
              <w:wordWrap/>
              <w:overflowPunct/>
              <w:topLinePunct w:val="0"/>
              <w:autoSpaceDE/>
              <w:autoSpaceDN/>
              <w:bidi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w:t>
            </w:r>
            <w:r>
              <w:rPr>
                <w:rFonts w:hint="eastAsia" w:ascii="Times New Roman" w:hAnsi="Times New Roman" w:eastAsia="宋体" w:cs="Times New Roman"/>
                <w:i w:val="0"/>
                <w:iCs w:val="0"/>
                <w:color w:val="000000"/>
                <w:kern w:val="0"/>
                <w:sz w:val="22"/>
                <w:szCs w:val="22"/>
                <w:u w:val="none"/>
                <w:lang w:val="en-US" w:eastAsia="zh-CN" w:bidi="ar"/>
              </w:rPr>
              <w:t>4</w:t>
            </w:r>
            <w:r>
              <w:rPr>
                <w:rFonts w:hint="default" w:ascii="Times New Roman" w:hAnsi="Times New Roman" w:eastAsia="宋体" w:cs="Times New Roman"/>
                <w:i w:val="0"/>
                <w:iCs w:val="0"/>
                <w:color w:val="000000"/>
                <w:kern w:val="0"/>
                <w:sz w:val="22"/>
                <w:szCs w:val="22"/>
                <w:u w:val="none"/>
                <w:lang w:val="en-US" w:eastAsia="zh-CN" w:bidi="ar"/>
              </w:rPr>
              <w:t>年决算数</w:t>
            </w:r>
          </w:p>
        </w:tc>
      </w:tr>
      <w:tr w14:paraId="62EFB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35F59">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42449">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AA4A5">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30.46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4A41">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62.61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A3311">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74.97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B7023">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74.97</w:t>
            </w:r>
          </w:p>
        </w:tc>
      </w:tr>
      <w:tr w14:paraId="3AD86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46D8E">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印刷费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CEEA8">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63C0F">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42B7">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C005B">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16A08">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0.6</w:t>
            </w:r>
          </w:p>
        </w:tc>
      </w:tr>
      <w:tr w14:paraId="7FC33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E523">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咨询费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67FE8">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2255B">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1EA265">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3B5AF">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E0029">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r>
      <w:tr w14:paraId="59E2C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3FAF2">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BD4D0">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787AA">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DFA4A">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30397">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D8D30">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lang w:val="en-US" w:eastAsia="zh-CN"/>
              </w:rPr>
            </w:pPr>
          </w:p>
        </w:tc>
      </w:tr>
      <w:tr w14:paraId="0AFD3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A43DD">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1A16B">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030CC">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AA34">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2.90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B9854">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sz w:val="22"/>
                <w:szCs w:val="22"/>
                <w:u w:val="none"/>
                <w:lang w:val="en-US" w:eastAsia="zh-CN"/>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B8F9A">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sz w:val="22"/>
                <w:szCs w:val="22"/>
                <w:u w:val="none"/>
                <w:lang w:val="en-US" w:eastAsia="zh-CN"/>
              </w:rPr>
              <w:t>1.93</w:t>
            </w:r>
          </w:p>
        </w:tc>
      </w:tr>
      <w:tr w14:paraId="08F5D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4125">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0DAA">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F0EEB">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10.99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493F7">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11.59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BBFB8">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11.27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50422">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11.27</w:t>
            </w:r>
          </w:p>
        </w:tc>
      </w:tr>
      <w:tr w14:paraId="3B530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1DD07">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4E3EB">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5ACFA">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3.86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E3CB2">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8D083">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4B281">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r>
      <w:tr w14:paraId="2C6F2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D26CC">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物业管理费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33976">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C01F7">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013A5">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8A507">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9B530">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r>
      <w:tr w14:paraId="52FF3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13532">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DAB16">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9D085">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67.76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55688">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36.27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20A3">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41.59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38E6B">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41.59</w:t>
            </w:r>
          </w:p>
        </w:tc>
      </w:tr>
      <w:tr w14:paraId="47E97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E8001">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维修护费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845A9">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5B86F">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1.54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54525">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9.88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3019B">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4.79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6742A">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4.79</w:t>
            </w:r>
          </w:p>
        </w:tc>
      </w:tr>
      <w:tr w14:paraId="592AA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EF89">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租赁费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965AE">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29172">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7E692">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F5722">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A4AA">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3.6</w:t>
            </w:r>
          </w:p>
        </w:tc>
      </w:tr>
      <w:tr w14:paraId="1CC35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519E6">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会议费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126D9">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1D3A7">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A352C">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8.40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4C5D">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9.58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63E36">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9.58</w:t>
            </w:r>
          </w:p>
        </w:tc>
      </w:tr>
      <w:tr w14:paraId="53809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2ACC6">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培训费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4A35B">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7297C">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8.53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472F3">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19.84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80BE">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13.63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4DB2F">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13.63</w:t>
            </w:r>
          </w:p>
        </w:tc>
      </w:tr>
      <w:tr w14:paraId="6BA5A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DF07E">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D173D">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F08C6">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61.00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E10B8">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57.54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081EB">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63.74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48225">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63.74</w:t>
            </w:r>
          </w:p>
        </w:tc>
      </w:tr>
      <w:tr w14:paraId="06CC3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7F3F6">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委托业务费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8CA54">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C5C78">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17C95">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74.04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1B537">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58.34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6EFFC">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58.34</w:t>
            </w:r>
          </w:p>
        </w:tc>
      </w:tr>
      <w:tr w14:paraId="4758A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8247B">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基建办公设备购置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3D915">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D7FE1">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68069">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EBF7">
            <w:pPr>
              <w:keepNext w:val="0"/>
              <w:keepLines w:val="0"/>
              <w:pageBreakBefore w:val="0"/>
              <w:kinsoku/>
              <w:wordWrap/>
              <w:overflowPunct/>
              <w:topLinePunct w:val="0"/>
              <w:autoSpaceDE/>
              <w:autoSpaceDN/>
              <w:bidi w:val="0"/>
              <w:jc w:val="center"/>
              <w:rPr>
                <w:rFonts w:hint="default" w:ascii="Times New Roman" w:hAnsi="Times New Roman" w:eastAsia="宋体" w:cs="Times New Roman"/>
                <w:i w:val="0"/>
                <w:iCs w:val="0"/>
                <w:color w:val="000000"/>
                <w:sz w:val="22"/>
                <w:szCs w:val="22"/>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E797">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r>
      <w:tr w14:paraId="751EF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484B3">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办公设备购置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8E453">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03F7">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F196F">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2.63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1AA9C">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A4707">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4.78</w:t>
            </w:r>
          </w:p>
        </w:tc>
      </w:tr>
      <w:tr w14:paraId="0D987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1829">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B5ABB">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38154">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299.14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882D">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285.70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184C8">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288.82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EBD85">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288.82</w:t>
            </w:r>
          </w:p>
        </w:tc>
      </w:tr>
    </w:tbl>
    <w:p w14:paraId="6454684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楷体_GB2312" w:cs="Times New Roman"/>
          <w:color w:val="000000"/>
          <w:kern w:val="0"/>
          <w:sz w:val="32"/>
          <w:szCs w:val="32"/>
          <w:highlight w:val="none"/>
          <w:shd w:val="clear" w:color="auto" w:fill="FFFFFF"/>
          <w:lang w:val="en-US" w:eastAsia="zh-CN"/>
        </w:rPr>
      </w:pPr>
    </w:p>
    <w:tbl>
      <w:tblPr>
        <w:tblStyle w:val="16"/>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86"/>
        <w:gridCol w:w="1460"/>
        <w:gridCol w:w="1461"/>
        <w:gridCol w:w="1461"/>
        <w:gridCol w:w="1461"/>
      </w:tblGrid>
      <w:tr w14:paraId="10F16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gridSpan w:val="5"/>
            <w:tcBorders>
              <w:top w:val="nil"/>
              <w:left w:val="nil"/>
              <w:bottom w:val="nil"/>
              <w:right w:val="nil"/>
            </w:tcBorders>
            <w:shd w:val="clear" w:color="auto" w:fill="auto"/>
            <w:noWrap/>
            <w:vAlign w:val="center"/>
          </w:tcPr>
          <w:p w14:paraId="152404B4">
            <w:pPr>
              <w:keepNext w:val="0"/>
              <w:keepLines w:val="0"/>
              <w:pageBreakBefore w:val="0"/>
              <w:widowControl/>
              <w:suppressLineNumbers w:val="0"/>
              <w:kinsoku/>
              <w:wordWrap/>
              <w:overflowPunct/>
              <w:topLinePunct w:val="0"/>
              <w:autoSpaceDE/>
              <w:autoSpaceDN/>
              <w:bidi w:val="0"/>
              <w:ind w:firstLine="803" w:firstLineChars="200"/>
              <w:jc w:val="center"/>
              <w:textAlignment w:val="center"/>
              <w:rPr>
                <w:rFonts w:hint="default" w:ascii="Times New Roman" w:hAnsi="Times New Roman" w:eastAsia="宋体" w:cs="Times New Roman"/>
                <w:b/>
                <w:bCs/>
                <w:i w:val="0"/>
                <w:iCs w:val="0"/>
                <w:color w:val="000000"/>
                <w:sz w:val="40"/>
                <w:szCs w:val="40"/>
                <w:u w:val="none"/>
              </w:rPr>
            </w:pPr>
            <w:r>
              <w:rPr>
                <w:rFonts w:hint="default" w:ascii="Times New Roman" w:hAnsi="Times New Roman" w:eastAsia="宋体" w:cs="Times New Roman"/>
                <w:b/>
                <w:bCs/>
                <w:i w:val="0"/>
                <w:iCs w:val="0"/>
                <w:color w:val="000000"/>
                <w:kern w:val="0"/>
                <w:sz w:val="40"/>
                <w:szCs w:val="40"/>
                <w:u w:val="none"/>
                <w:lang w:val="en-US" w:eastAsia="zh-CN" w:bidi="ar"/>
              </w:rPr>
              <w:t>三公经费统计表</w:t>
            </w:r>
          </w:p>
        </w:tc>
      </w:tr>
      <w:tr w14:paraId="27772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4CC4C47A">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48E3EF">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F45B13">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E0BEB7">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单位：元</w:t>
            </w:r>
          </w:p>
        </w:tc>
        <w:tc>
          <w:tcPr>
            <w:tcW w:w="0" w:type="auto"/>
            <w:tcBorders>
              <w:top w:val="nil"/>
              <w:left w:val="nil"/>
              <w:bottom w:val="nil"/>
              <w:right w:val="nil"/>
            </w:tcBorders>
            <w:shd w:val="clear" w:color="auto" w:fill="auto"/>
            <w:noWrap/>
            <w:vAlign w:val="center"/>
          </w:tcPr>
          <w:p w14:paraId="18B48E18">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r>
      <w:tr w14:paraId="56AD2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558F2">
            <w:pPr>
              <w:keepNext w:val="0"/>
              <w:keepLines w:val="0"/>
              <w:pageBreakBefore w:val="0"/>
              <w:widowControl/>
              <w:suppressLineNumbers w:val="0"/>
              <w:tabs>
                <w:tab w:val="left" w:pos="1015"/>
                <w:tab w:val="center" w:pos="1482"/>
              </w:tabs>
              <w:kinsoku/>
              <w:wordWrap/>
              <w:overflowPunct/>
              <w:topLinePunct w:val="0"/>
              <w:autoSpaceDE/>
              <w:autoSpaceDN/>
              <w:bidi w:val="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科目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C5B3F">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202</w:t>
            </w:r>
            <w:r>
              <w:rPr>
                <w:rFonts w:hint="eastAsia" w:ascii="Times New Roman" w:hAnsi="Times New Roman" w:eastAsia="宋体" w:cs="Times New Roman"/>
                <w:i w:val="0"/>
                <w:iCs w:val="0"/>
                <w:color w:val="000000"/>
                <w:kern w:val="0"/>
                <w:sz w:val="28"/>
                <w:szCs w:val="28"/>
                <w:u w:val="none"/>
                <w:lang w:val="en-US" w:eastAsia="zh-CN" w:bidi="ar"/>
              </w:rPr>
              <w:t>3</w:t>
            </w:r>
            <w:r>
              <w:rPr>
                <w:rFonts w:hint="default" w:ascii="Times New Roman" w:hAnsi="Times New Roman" w:eastAsia="宋体" w:cs="Times New Roman"/>
                <w:i w:val="0"/>
                <w:iCs w:val="0"/>
                <w:color w:val="000000"/>
                <w:kern w:val="0"/>
                <w:sz w:val="28"/>
                <w:szCs w:val="28"/>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BCA9C">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202</w:t>
            </w:r>
            <w:r>
              <w:rPr>
                <w:rFonts w:hint="eastAsia" w:ascii="Times New Roman" w:hAnsi="Times New Roman" w:eastAsia="宋体" w:cs="Times New Roman"/>
                <w:i w:val="0"/>
                <w:iCs w:val="0"/>
                <w:color w:val="000000"/>
                <w:kern w:val="0"/>
                <w:sz w:val="28"/>
                <w:szCs w:val="28"/>
                <w:u w:val="none"/>
                <w:lang w:val="en-US" w:eastAsia="zh-CN" w:bidi="ar"/>
              </w:rPr>
              <w:t>3</w:t>
            </w:r>
            <w:r>
              <w:rPr>
                <w:rFonts w:hint="default" w:ascii="Times New Roman" w:hAnsi="Times New Roman" w:eastAsia="宋体" w:cs="Times New Roman"/>
                <w:i w:val="0"/>
                <w:iCs w:val="0"/>
                <w:color w:val="000000"/>
                <w:kern w:val="0"/>
                <w:sz w:val="28"/>
                <w:szCs w:val="28"/>
                <w:u w:val="none"/>
                <w:lang w:val="en-US" w:eastAsia="zh-CN"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677D2">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202</w:t>
            </w:r>
            <w:r>
              <w:rPr>
                <w:rFonts w:hint="eastAsia" w:ascii="Times New Roman" w:hAnsi="Times New Roman" w:eastAsia="宋体" w:cs="Times New Roman"/>
                <w:i w:val="0"/>
                <w:iCs w:val="0"/>
                <w:color w:val="000000"/>
                <w:kern w:val="0"/>
                <w:sz w:val="28"/>
                <w:szCs w:val="28"/>
                <w:u w:val="none"/>
                <w:lang w:val="en-US" w:eastAsia="zh-CN" w:bidi="ar"/>
              </w:rPr>
              <w:t>4</w:t>
            </w:r>
            <w:r>
              <w:rPr>
                <w:rFonts w:hint="default" w:ascii="Times New Roman" w:hAnsi="Times New Roman" w:eastAsia="宋体" w:cs="Times New Roman"/>
                <w:i w:val="0"/>
                <w:iCs w:val="0"/>
                <w:color w:val="000000"/>
                <w:kern w:val="0"/>
                <w:sz w:val="28"/>
                <w:szCs w:val="28"/>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95A9">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202</w:t>
            </w:r>
            <w:r>
              <w:rPr>
                <w:rFonts w:hint="eastAsia" w:ascii="Times New Roman" w:hAnsi="Times New Roman" w:eastAsia="宋体" w:cs="Times New Roman"/>
                <w:i w:val="0"/>
                <w:iCs w:val="0"/>
                <w:color w:val="000000"/>
                <w:kern w:val="0"/>
                <w:sz w:val="28"/>
                <w:szCs w:val="28"/>
                <w:u w:val="none"/>
                <w:lang w:val="en-US" w:eastAsia="zh-CN" w:bidi="ar"/>
              </w:rPr>
              <w:t>4</w:t>
            </w:r>
            <w:r>
              <w:rPr>
                <w:rFonts w:hint="default" w:ascii="Times New Roman" w:hAnsi="Times New Roman" w:eastAsia="宋体" w:cs="Times New Roman"/>
                <w:i w:val="0"/>
                <w:iCs w:val="0"/>
                <w:color w:val="000000"/>
                <w:kern w:val="0"/>
                <w:sz w:val="28"/>
                <w:szCs w:val="28"/>
                <w:u w:val="none"/>
                <w:lang w:val="en-US" w:eastAsia="zh-CN" w:bidi="ar"/>
              </w:rPr>
              <w:t>决算数</w:t>
            </w:r>
          </w:p>
        </w:tc>
      </w:tr>
      <w:tr w14:paraId="5411B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B1545">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公务接待费</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B543F">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rPr>
            </w:pPr>
            <w:r>
              <w:rPr>
                <w:rFonts w:hint="eastAsia" w:ascii="Times New Roman" w:hAnsi="Times New Roman" w:eastAsia="宋体" w:cs="Times New Roman"/>
                <w:i w:val="0"/>
                <w:iCs w:val="0"/>
                <w:color w:val="000000"/>
                <w:kern w:val="0"/>
                <w:sz w:val="28"/>
                <w:szCs w:val="28"/>
                <w:u w:val="none"/>
                <w:lang w:val="en-US" w:eastAsia="zh-CN" w:bidi="ar"/>
              </w:rPr>
              <w:t>1.89</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BE66E">
            <w:pPr>
              <w:keepNext w:val="0"/>
              <w:keepLines w:val="0"/>
              <w:pageBreakBefore w:val="0"/>
              <w:widowControl/>
              <w:suppressLineNumbers w:val="0"/>
              <w:kinsoku/>
              <w:wordWrap/>
              <w:overflowPunct/>
              <w:topLinePunct w:val="0"/>
              <w:autoSpaceDE/>
              <w:autoSpaceDN/>
              <w:bidi w:val="0"/>
              <w:ind w:firstLine="560" w:firstLineChars="200"/>
              <w:jc w:val="center"/>
              <w:textAlignment w:val="center"/>
              <w:rPr>
                <w:rFonts w:hint="default" w:ascii="Times New Roman" w:hAnsi="Times New Roman" w:eastAsia="宋体" w:cs="Times New Roman"/>
                <w:i w:val="0"/>
                <w:iCs w:val="0"/>
                <w:color w:val="000000"/>
                <w:sz w:val="28"/>
                <w:szCs w:val="28"/>
                <w:u w:val="none"/>
              </w:rPr>
            </w:pPr>
            <w:r>
              <w:rPr>
                <w:rFonts w:hint="eastAsia" w:ascii="Times New Roman" w:hAnsi="Times New Roman" w:eastAsia="宋体" w:cs="Times New Roman"/>
                <w:i w:val="0"/>
                <w:iCs w:val="0"/>
                <w:color w:val="000000"/>
                <w:kern w:val="0"/>
                <w:sz w:val="28"/>
                <w:szCs w:val="28"/>
                <w:u w:val="none"/>
                <w:lang w:val="en-US" w:eastAsia="zh-CN" w:bidi="ar"/>
              </w:rPr>
              <w:t>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7E569">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82B84">
            <w:pPr>
              <w:keepNext w:val="0"/>
              <w:keepLines w:val="0"/>
              <w:pageBreakBefore w:val="0"/>
              <w:widowControl/>
              <w:suppressLineNumbers w:val="0"/>
              <w:kinsoku/>
              <w:wordWrap/>
              <w:overflowPunct/>
              <w:topLinePunct w:val="0"/>
              <w:autoSpaceDE/>
              <w:autoSpaceDN/>
              <w:bidi w:val="0"/>
              <w:ind w:firstLine="560" w:firstLineChars="200"/>
              <w:jc w:val="center"/>
              <w:textAlignment w:val="center"/>
              <w:rPr>
                <w:rFonts w:hint="default"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0.08</w:t>
            </w:r>
          </w:p>
        </w:tc>
      </w:tr>
      <w:tr w14:paraId="04C22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B99D7">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公务车购置及运行费</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359D">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rPr>
            </w:pPr>
            <w:r>
              <w:rPr>
                <w:rFonts w:hint="eastAsia" w:ascii="Times New Roman" w:hAnsi="Times New Roman" w:eastAsia="宋体" w:cs="Times New Roman"/>
                <w:i w:val="0"/>
                <w:iCs w:val="0"/>
                <w:color w:val="000000"/>
                <w:kern w:val="0"/>
                <w:sz w:val="28"/>
                <w:szCs w:val="28"/>
                <w:u w:val="none"/>
                <w:lang w:val="en-US" w:eastAsia="zh-CN" w:bidi="ar"/>
              </w:rPr>
              <w:t>53.20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74D61">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rPr>
            </w:pPr>
            <w:r>
              <w:rPr>
                <w:rFonts w:hint="eastAsia" w:ascii="Times New Roman" w:hAnsi="Times New Roman" w:eastAsia="宋体" w:cs="Times New Roman"/>
                <w:i w:val="0"/>
                <w:iCs w:val="0"/>
                <w:color w:val="000000"/>
                <w:kern w:val="0"/>
                <w:sz w:val="28"/>
                <w:szCs w:val="28"/>
                <w:u w:val="none"/>
                <w:lang w:val="en-US" w:eastAsia="zh-CN" w:bidi="ar"/>
              </w:rPr>
              <w:t>26.41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2D6E8">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21.50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A8D4A">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21.50</w:t>
            </w:r>
          </w:p>
        </w:tc>
      </w:tr>
      <w:tr w14:paraId="5B6F4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47DF0">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因公出国（出境）经费</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4641E">
            <w:pPr>
              <w:keepNext w:val="0"/>
              <w:keepLines w:val="0"/>
              <w:pageBreakBefore w:val="0"/>
              <w:kinsoku/>
              <w:wordWrap/>
              <w:overflowPunct/>
              <w:topLinePunct w:val="0"/>
              <w:autoSpaceDE/>
              <w:autoSpaceDN/>
              <w:bidi w:val="0"/>
              <w:ind w:firstLine="560" w:firstLineChars="200"/>
              <w:jc w:val="center"/>
              <w:rPr>
                <w:rFonts w:hint="default" w:ascii="Times New Roman" w:hAnsi="Times New Roman" w:eastAsia="宋体" w:cs="Times New Roman"/>
                <w:i w:val="0"/>
                <w:iCs w:val="0"/>
                <w:color w:val="000000"/>
                <w:sz w:val="28"/>
                <w:szCs w:val="28"/>
                <w:u w:val="none"/>
              </w:rPr>
            </w:pP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FBFC7">
            <w:pPr>
              <w:keepNext w:val="0"/>
              <w:keepLines w:val="0"/>
              <w:pageBreakBefore w:val="0"/>
              <w:kinsoku/>
              <w:wordWrap/>
              <w:overflowPunct/>
              <w:topLinePunct w:val="0"/>
              <w:autoSpaceDE/>
              <w:autoSpaceDN/>
              <w:bidi w:val="0"/>
              <w:ind w:firstLine="560" w:firstLineChars="200"/>
              <w:jc w:val="center"/>
              <w:rPr>
                <w:rFonts w:hint="default" w:ascii="Times New Roman" w:hAnsi="Times New Roman" w:eastAsia="宋体" w:cs="Times New Roman"/>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CDE44">
            <w:pPr>
              <w:keepNext w:val="0"/>
              <w:keepLines w:val="0"/>
              <w:pageBreakBefore w:val="0"/>
              <w:kinsoku/>
              <w:wordWrap/>
              <w:overflowPunct/>
              <w:topLinePunct w:val="0"/>
              <w:autoSpaceDE/>
              <w:autoSpaceDN/>
              <w:bidi w:val="0"/>
              <w:ind w:firstLine="560" w:firstLineChars="200"/>
              <w:jc w:val="center"/>
              <w:rPr>
                <w:rFonts w:hint="default" w:ascii="Times New Roman" w:hAnsi="Times New Roman" w:eastAsia="宋体" w:cs="Times New Roman"/>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07C7B">
            <w:pPr>
              <w:keepNext w:val="0"/>
              <w:keepLines w:val="0"/>
              <w:pageBreakBefore w:val="0"/>
              <w:kinsoku/>
              <w:wordWrap/>
              <w:overflowPunct/>
              <w:topLinePunct w:val="0"/>
              <w:autoSpaceDE/>
              <w:autoSpaceDN/>
              <w:bidi w:val="0"/>
              <w:ind w:firstLine="560" w:firstLineChars="200"/>
              <w:jc w:val="center"/>
              <w:rPr>
                <w:rFonts w:hint="default" w:ascii="Times New Roman" w:hAnsi="Times New Roman" w:eastAsia="宋体" w:cs="Times New Roman"/>
                <w:i w:val="0"/>
                <w:iCs w:val="0"/>
                <w:color w:val="000000"/>
                <w:sz w:val="28"/>
                <w:szCs w:val="28"/>
                <w:u w:val="none"/>
              </w:rPr>
            </w:pPr>
          </w:p>
        </w:tc>
      </w:tr>
      <w:tr w14:paraId="10676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6F44E">
            <w:pPr>
              <w:keepNext w:val="0"/>
              <w:keepLines w:val="0"/>
              <w:pageBreakBefore w:val="0"/>
              <w:widowControl/>
              <w:suppressLineNumbers w:val="0"/>
              <w:kinsoku/>
              <w:wordWrap/>
              <w:overflowPunct/>
              <w:topLinePunct w:val="0"/>
              <w:autoSpaceDE/>
              <w:autoSpaceDN/>
              <w:bidi w:val="0"/>
              <w:ind w:firstLine="560" w:firstLineChars="20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合计</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71F5">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55.09</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BD08F">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26.88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4F23F">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21.58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CEBF">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21.58</w:t>
            </w:r>
          </w:p>
        </w:tc>
      </w:tr>
    </w:tbl>
    <w:p w14:paraId="4C5F026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综上，根据评分标准，该项指标得</w:t>
      </w:r>
      <w:r>
        <w:rPr>
          <w:rFonts w:hint="eastAsia" w:ascii="Times New Roman" w:hAnsi="Times New Roman" w:eastAsia="仿宋_GB2312" w:cs="Times New Roman"/>
          <w:sz w:val="32"/>
          <w:szCs w:val="32"/>
          <w:lang w:val="en-US" w:eastAsia="zh-CN"/>
        </w:rPr>
        <w:t>5分。</w:t>
      </w:r>
    </w:p>
    <w:p w14:paraId="133E41D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楷体_GB2312" w:cs="Times New Roman"/>
          <w:color w:val="000000"/>
          <w:kern w:val="0"/>
          <w:sz w:val="32"/>
          <w:szCs w:val="32"/>
          <w:highlight w:val="none"/>
          <w:shd w:val="clear" w:color="auto" w:fill="FFFFFF"/>
          <w:lang w:val="en-US" w:eastAsia="zh-CN"/>
        </w:rPr>
        <w:t>3</w:t>
      </w:r>
      <w:r>
        <w:rPr>
          <w:rFonts w:hint="default" w:ascii="Times New Roman" w:hAnsi="Times New Roman" w:eastAsia="楷体_GB2312" w:cs="Times New Roman"/>
          <w:color w:val="000000"/>
          <w:kern w:val="0"/>
          <w:sz w:val="32"/>
          <w:szCs w:val="32"/>
          <w:highlight w:val="none"/>
          <w:shd w:val="clear" w:color="auto" w:fill="FFFFFF"/>
          <w:lang w:val="en-US" w:eastAsia="zh-CN"/>
        </w:rPr>
        <w:t>.</w:t>
      </w:r>
      <w:r>
        <w:rPr>
          <w:rFonts w:hint="default" w:ascii="Times New Roman" w:hAnsi="Times New Roman" w:eastAsia="楷体_GB2312" w:cs="Times New Roman"/>
          <w:color w:val="000000"/>
          <w:kern w:val="0"/>
          <w:sz w:val="32"/>
          <w:szCs w:val="32"/>
          <w:highlight w:val="none"/>
          <w:shd w:val="clear" w:color="auto" w:fill="FFFFFF"/>
          <w:lang w:val="zh-CN"/>
        </w:rPr>
        <w:t>财务管理。</w:t>
      </w:r>
      <w:r>
        <w:rPr>
          <w:rFonts w:hint="default" w:ascii="Times New Roman" w:hAnsi="Times New Roman" w:eastAsia="仿宋_GB2312" w:cs="Times New Roman"/>
          <w:sz w:val="32"/>
          <w:szCs w:val="32"/>
          <w:lang w:val="en-US" w:eastAsia="zh-CN"/>
        </w:rPr>
        <w:t>我单位办公室下设财务室，设置会计岗位一名，出纳岗位一名，岗位职责明确，并严格实行不相容岗位分离，严格按照阿坝州科学技术协会财务制度报销各项费用，2万元以上支出报党组研究决策后支出，涉及政府采购严格按照政府采购要求实施采购。</w:t>
      </w:r>
    </w:p>
    <w:p w14:paraId="5A4D090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综上，根据评分标准，该项指标不扣分，得</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分。</w:t>
      </w:r>
    </w:p>
    <w:p w14:paraId="4EFB100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Chars="200"/>
        <w:contextualSpacing/>
        <w:jc w:val="both"/>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eastAsia" w:ascii="Times New Roman" w:hAnsi="Times New Roman" w:eastAsia="楷体_GB2312" w:cs="Times New Roman"/>
          <w:color w:val="000000"/>
          <w:kern w:val="0"/>
          <w:sz w:val="32"/>
          <w:szCs w:val="32"/>
          <w:highlight w:val="none"/>
          <w:shd w:val="clear" w:color="auto" w:fill="FFFFFF"/>
          <w:lang w:val="en-US" w:eastAsia="zh-CN"/>
        </w:rPr>
        <w:t>4.</w:t>
      </w:r>
      <w:r>
        <w:rPr>
          <w:rFonts w:hint="default" w:ascii="Times New Roman" w:hAnsi="Times New Roman" w:eastAsia="楷体_GB2312" w:cs="Times New Roman"/>
          <w:color w:val="000000"/>
          <w:kern w:val="0"/>
          <w:sz w:val="32"/>
          <w:szCs w:val="32"/>
          <w:highlight w:val="none"/>
          <w:shd w:val="clear" w:color="auto" w:fill="FFFFFF"/>
          <w:lang w:val="zh-CN"/>
        </w:rPr>
        <w:t>资产管理。</w:t>
      </w:r>
    </w:p>
    <w:p w14:paraId="59A655F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320" w:firstLineChars="1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zh-CN" w:eastAsia="zh-CN"/>
        </w:rPr>
        <w:t>人均资产变化率。</w:t>
      </w:r>
      <w:r>
        <w:rPr>
          <w:rFonts w:hint="default" w:ascii="Times New Roman" w:hAnsi="Times New Roman" w:eastAsia="仿宋_GB2312" w:cs="Times New Roman"/>
          <w:sz w:val="32"/>
          <w:szCs w:val="32"/>
          <w:lang w:val="en-US" w:eastAsia="zh-CN"/>
        </w:rPr>
        <w:t>根据决算报表和国有资产年报表，本单位202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年末实有人数为2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人，固定资产和无形资产净值合计</w:t>
      </w:r>
      <w:r>
        <w:rPr>
          <w:rFonts w:hint="eastAsia" w:ascii="Times New Roman" w:hAnsi="Times New Roman" w:eastAsia="仿宋_GB2312" w:cs="Times New Roman"/>
          <w:sz w:val="32"/>
          <w:szCs w:val="32"/>
          <w:lang w:val="en-US" w:eastAsia="zh-CN"/>
        </w:rPr>
        <w:t>171.93</w:t>
      </w:r>
      <w:r>
        <w:rPr>
          <w:rFonts w:hint="default" w:ascii="Times New Roman" w:hAnsi="Times New Roman" w:eastAsia="仿宋_GB2312" w:cs="Times New Roman"/>
          <w:sz w:val="32"/>
          <w:szCs w:val="32"/>
          <w:lang w:val="en-US" w:eastAsia="zh-CN"/>
        </w:rPr>
        <w:t>万元；根据202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年度决算报表和202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年度国有资产年报表，202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年末实有人数为</w:t>
      </w:r>
      <w:r>
        <w:rPr>
          <w:rFonts w:hint="eastAsia"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lang w:val="en-US" w:eastAsia="zh-CN"/>
        </w:rPr>
        <w:t>人，固定资产和无形资产净值合计</w:t>
      </w:r>
      <w:r>
        <w:rPr>
          <w:rFonts w:hint="eastAsia" w:ascii="Times New Roman" w:hAnsi="Times New Roman" w:eastAsia="仿宋_GB2312" w:cs="Times New Roman"/>
          <w:sz w:val="32"/>
          <w:szCs w:val="32"/>
          <w:lang w:val="en-US" w:eastAsia="zh-CN"/>
        </w:rPr>
        <w:t>134.11</w:t>
      </w:r>
      <w:r>
        <w:rPr>
          <w:rFonts w:hint="default" w:ascii="Times New Roman" w:hAnsi="Times New Roman" w:eastAsia="仿宋_GB2312" w:cs="Times New Roman"/>
          <w:sz w:val="32"/>
          <w:szCs w:val="32"/>
          <w:lang w:val="en-US" w:eastAsia="zh-CN"/>
        </w:rPr>
        <w:t>万元。</w:t>
      </w:r>
    </w:p>
    <w:p w14:paraId="067C86A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根据评价标准，本单位202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年人均占有资产=</w:t>
      </w:r>
      <w:r>
        <w:rPr>
          <w:rFonts w:hint="eastAsia" w:ascii="Times New Roman" w:hAnsi="Times New Roman" w:eastAsia="仿宋_GB2312" w:cs="Times New Roman"/>
          <w:sz w:val="32"/>
          <w:szCs w:val="32"/>
          <w:lang w:val="en-US" w:eastAsia="zh-CN"/>
        </w:rPr>
        <w:t>171.93</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8.19</w:t>
      </w:r>
      <w:r>
        <w:rPr>
          <w:rFonts w:hint="default" w:ascii="Times New Roman" w:hAnsi="Times New Roman" w:eastAsia="仿宋_GB2312" w:cs="Times New Roman"/>
          <w:sz w:val="32"/>
          <w:szCs w:val="32"/>
          <w:lang w:val="en-US" w:eastAsia="zh-CN"/>
        </w:rPr>
        <w:t>（万元/人），202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年人均占有资产=</w:t>
      </w:r>
      <w:r>
        <w:rPr>
          <w:rFonts w:hint="eastAsia" w:ascii="Times New Roman" w:hAnsi="Times New Roman" w:eastAsia="仿宋_GB2312" w:cs="Times New Roman"/>
          <w:sz w:val="32"/>
          <w:szCs w:val="32"/>
          <w:lang w:val="en-US" w:eastAsia="zh-CN"/>
        </w:rPr>
        <w:t>134.11</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7.89</w:t>
      </w:r>
      <w:r>
        <w:rPr>
          <w:rFonts w:hint="default" w:ascii="Times New Roman" w:hAnsi="Times New Roman" w:eastAsia="仿宋_GB2312" w:cs="Times New Roman"/>
          <w:sz w:val="32"/>
          <w:szCs w:val="32"/>
          <w:lang w:val="en-US" w:eastAsia="zh-CN"/>
        </w:rPr>
        <w:t>（万元/人），202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年本单位人均资产变化率=(</w:t>
      </w:r>
      <w:r>
        <w:rPr>
          <w:rFonts w:hint="eastAsia" w:ascii="Times New Roman" w:hAnsi="Times New Roman" w:eastAsia="仿宋_GB2312" w:cs="Times New Roman"/>
          <w:sz w:val="32"/>
          <w:szCs w:val="32"/>
          <w:lang w:val="en-US" w:eastAsia="zh-CN"/>
        </w:rPr>
        <w:t>7.89</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8.19</w:t>
      </w:r>
      <w:r>
        <w:rPr>
          <w:rFonts w:hint="default"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-3.66</w:t>
      </w:r>
      <w:r>
        <w:rPr>
          <w:rFonts w:hint="default" w:ascii="Times New Roman" w:hAnsi="Times New Roman" w:eastAsia="仿宋_GB2312" w:cs="Times New Roman"/>
          <w:sz w:val="32"/>
          <w:szCs w:val="32"/>
          <w:lang w:val="en-US" w:eastAsia="zh-CN"/>
        </w:rPr>
        <w:t>%。</w:t>
      </w:r>
    </w:p>
    <w:p w14:paraId="08D8FF4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综上，根据评分标准，该项指标不扣分，得3分</w:t>
      </w:r>
    </w:p>
    <w:p w14:paraId="77A72F2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）资产利用率</w:t>
      </w:r>
    </w:p>
    <w:p w14:paraId="308A5BB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根据公式</w:t>
      </w:r>
      <w:r>
        <w:rPr>
          <w:rFonts w:hint="default" w:ascii="Times New Roman" w:hAnsi="Times New Roman" w:eastAsia="仿宋_GB2312" w:cs="Times New Roman"/>
          <w:sz w:val="32"/>
          <w:szCs w:val="32"/>
          <w:lang w:val="zh-CN" w:eastAsia="zh-CN"/>
        </w:rPr>
        <w:t>办公家具超最低使用年限资产利用率=超最低使用年限的办公家具账面价值÷办公家具账面价值×100%</w:t>
      </w:r>
      <w:r>
        <w:rPr>
          <w:rFonts w:hint="default" w:ascii="Times New Roman" w:hAnsi="Times New Roman" w:eastAsia="仿宋_GB2312" w:cs="Times New Roman"/>
          <w:sz w:val="32"/>
          <w:szCs w:val="32"/>
          <w:lang w:val="en-US" w:eastAsia="zh-CN"/>
        </w:rPr>
        <w:t>计算，</w:t>
      </w:r>
      <w:r>
        <w:rPr>
          <w:rFonts w:hint="default" w:ascii="Times New Roman" w:hAnsi="Times New Roman" w:eastAsia="仿宋_GB2312" w:cs="Times New Roman"/>
          <w:sz w:val="32"/>
          <w:szCs w:val="32"/>
          <w:lang w:val="zh-CN" w:eastAsia="zh-CN"/>
        </w:rPr>
        <w:t>办公家具超最低使用年限资产利用率</w:t>
      </w:r>
      <w:r>
        <w:rPr>
          <w:rFonts w:hint="default" w:ascii="Times New Roman" w:hAnsi="Times New Roman" w:eastAsia="仿宋_GB2312" w:cs="Times New Roman"/>
          <w:sz w:val="32"/>
          <w:szCs w:val="32"/>
          <w:lang w:val="en-US" w:eastAsia="zh-CN"/>
        </w:rPr>
        <w:t>=13.62%。</w:t>
      </w:r>
    </w:p>
    <w:p w14:paraId="6B4D695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根据公式部门办公设备超最低使用年限资产利用率=超最低使用年限的办公设备账面价值÷办公设备账面价值×100%计算，办公设备超最低使用年限资产利用率=</w:t>
      </w:r>
      <w:r>
        <w:rPr>
          <w:rFonts w:hint="eastAsia" w:ascii="Times New Roman" w:hAnsi="Times New Roman" w:eastAsia="仿宋_GB2312" w:cs="Times New Roman"/>
          <w:sz w:val="32"/>
          <w:szCs w:val="32"/>
          <w:lang w:val="en-US" w:eastAsia="zh-CN"/>
        </w:rPr>
        <w:t>297.49</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489.74</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60.74</w:t>
      </w:r>
      <w:r>
        <w:rPr>
          <w:rFonts w:hint="default" w:ascii="Times New Roman" w:hAnsi="Times New Roman" w:eastAsia="仿宋_GB2312" w:cs="Times New Roman"/>
          <w:sz w:val="32"/>
          <w:szCs w:val="32"/>
          <w:lang w:val="en-US" w:eastAsia="zh-CN"/>
        </w:rPr>
        <w:t>%。</w:t>
      </w:r>
    </w:p>
    <w:p w14:paraId="6F57C7E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分</w:t>
      </w:r>
    </w:p>
    <w:p w14:paraId="44211E9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eastAsia="zh-CN"/>
        </w:rPr>
        <w:t>）资产盘活率进行绩效分析。</w:t>
      </w:r>
    </w:p>
    <w:p w14:paraId="6F279DE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年及202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年两年我单位均无闲置资产。</w:t>
      </w:r>
    </w:p>
    <w:p w14:paraId="06C6A90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综上，根据评分标准，该项指标不扣分，得3分。</w:t>
      </w:r>
    </w:p>
    <w:p w14:paraId="33ECDB8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Chars="200"/>
        <w:contextualSpacing/>
        <w:jc w:val="both"/>
        <w:textAlignment w:val="auto"/>
        <w:outlineLvl w:val="9"/>
        <w:rPr>
          <w:rFonts w:hint="default" w:ascii="Times New Roman" w:hAnsi="Times New Roman" w:eastAsia="仿宋_GB2312" w:cs="Times New Roman"/>
          <w:sz w:val="32"/>
          <w:szCs w:val="32"/>
          <w:lang w:val="en-US" w:eastAsia="zh-CN"/>
        </w:rPr>
      </w:pPr>
    </w:p>
    <w:p w14:paraId="5583CB2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eastAsia" w:ascii="Times New Roman" w:hAnsi="Times New Roman" w:eastAsia="楷体_GB2312" w:cs="Times New Roman"/>
          <w:color w:val="000000"/>
          <w:kern w:val="0"/>
          <w:sz w:val="32"/>
          <w:szCs w:val="32"/>
          <w:highlight w:val="none"/>
          <w:shd w:val="clear" w:color="auto" w:fill="FFFFFF"/>
          <w:lang w:val="en-US" w:eastAsia="zh-CN"/>
        </w:rPr>
        <w:t>5.</w:t>
      </w:r>
      <w:r>
        <w:rPr>
          <w:rFonts w:hint="default" w:ascii="Times New Roman" w:hAnsi="Times New Roman" w:eastAsia="楷体_GB2312" w:cs="Times New Roman"/>
          <w:color w:val="000000"/>
          <w:kern w:val="0"/>
          <w:sz w:val="32"/>
          <w:szCs w:val="32"/>
          <w:highlight w:val="none"/>
          <w:shd w:val="clear" w:color="auto" w:fill="FFFFFF"/>
          <w:lang w:val="zh-CN"/>
        </w:rPr>
        <w:t>采购管理。</w:t>
      </w:r>
    </w:p>
    <w:p w14:paraId="22108A4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支持中小企业发展。本单位严格执行政府采购促进中小企业发展相关管理办法，采用部门集中采购的形式进行采购，已预留采购份额专门面向中小企业采购，并在采购预算中单独列示，采购物资均为必需、急需，采购程序合理、合规。</w:t>
      </w:r>
    </w:p>
    <w:p w14:paraId="6B94969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综上，根据评分标准，该项指标不扣分，得3分。</w:t>
      </w:r>
    </w:p>
    <w:p w14:paraId="6B493B9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）采购执行率</w:t>
      </w:r>
    </w:p>
    <w:p w14:paraId="03B0321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年政府采购项目，根据政府采购情况表和决算报表，本单位202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年政府采购实际支付金额为</w:t>
      </w:r>
      <w:r>
        <w:rPr>
          <w:rFonts w:hint="eastAsia" w:ascii="Times New Roman" w:hAnsi="Times New Roman" w:eastAsia="仿宋_GB2312" w:cs="Times New Roman"/>
          <w:sz w:val="32"/>
          <w:szCs w:val="32"/>
          <w:lang w:val="en-US" w:eastAsia="zh-CN"/>
        </w:rPr>
        <w:t>54.58</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lang w:val="en-US" w:eastAsia="zh-CN"/>
        </w:rPr>
        <w:t>年政府采购预算为</w:t>
      </w:r>
      <w:r>
        <w:rPr>
          <w:rFonts w:hint="eastAsia" w:ascii="Times New Roman" w:hAnsi="Times New Roman" w:eastAsia="仿宋_GB2312" w:cs="Times New Roman"/>
          <w:sz w:val="32"/>
          <w:szCs w:val="32"/>
          <w:lang w:val="en-US" w:eastAsia="zh-CN"/>
        </w:rPr>
        <w:t>144.90</w:t>
      </w:r>
      <w:r>
        <w:rPr>
          <w:rFonts w:hint="default" w:ascii="Times New Roman" w:hAnsi="Times New Roman" w:eastAsia="仿宋_GB2312" w:cs="Times New Roman"/>
          <w:sz w:val="32"/>
          <w:szCs w:val="32"/>
          <w:lang w:val="en-US" w:eastAsia="zh-CN"/>
        </w:rPr>
        <w:t>万元。</w:t>
      </w:r>
    </w:p>
    <w:p w14:paraId="35E5490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54.58/（144.90-54.58）*100%*3=1.80</w:t>
      </w:r>
    </w:p>
    <w:p w14:paraId="7145728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left"/>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综上，根据评分标准，该项指标得</w:t>
      </w:r>
      <w:r>
        <w:rPr>
          <w:rFonts w:hint="eastAsia" w:ascii="Times New Roman" w:hAnsi="Times New Roman" w:eastAsia="仿宋_GB2312" w:cs="Times New Roman"/>
          <w:sz w:val="32"/>
          <w:szCs w:val="32"/>
          <w:lang w:val="en-US" w:eastAsia="zh-CN"/>
        </w:rPr>
        <w:t>1.80</w:t>
      </w:r>
      <w:r>
        <w:rPr>
          <w:rFonts w:hint="default" w:ascii="Times New Roman" w:hAnsi="Times New Roman" w:eastAsia="仿宋_GB2312" w:cs="Times New Roman"/>
          <w:sz w:val="32"/>
          <w:szCs w:val="32"/>
          <w:lang w:val="en-US" w:eastAsia="zh-CN"/>
        </w:rPr>
        <w:t>分。</w:t>
      </w:r>
    </w:p>
    <w:p w14:paraId="144A0848">
      <w:pPr>
        <w:keepNext w:val="0"/>
        <w:keepLines w:val="0"/>
        <w:pageBreakBefore w:val="0"/>
        <w:widowControl/>
        <w:numPr>
          <w:ilvl w:val="0"/>
          <w:numId w:val="5"/>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部门预算项目绩效分析。</w:t>
      </w:r>
    </w:p>
    <w:p w14:paraId="0DBB9077">
      <w:pPr>
        <w:keepNext w:val="0"/>
        <w:keepLines w:val="0"/>
        <w:pageBreakBefore w:val="0"/>
        <w:widowControl/>
        <w:numPr>
          <w:ilvl w:val="0"/>
          <w:numId w:val="5"/>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eastAsia="zh-CN"/>
        </w:rPr>
        <w:t>填报以下数据，并根据部门预算绩效评价指标体系“项目绩效”涉及二、三级指标进行逐项绩效分析并评分，依次包括项目</w:t>
      </w:r>
      <w:r>
        <w:rPr>
          <w:rFonts w:hint="default" w:ascii="Times New Roman" w:hAnsi="Times New Roman" w:eastAsia="仿宋_GB2312" w:cs="Times New Roman"/>
          <w:sz w:val="32"/>
          <w:szCs w:val="32"/>
          <w:lang w:val="en-US" w:eastAsia="zh-CN"/>
        </w:rPr>
        <w:t>决策、项目执行、目标实现等情况。</w:t>
      </w:r>
    </w:p>
    <w:p w14:paraId="042A551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常年项目绩效分析。</w:t>
      </w:r>
      <w:r>
        <w:rPr>
          <w:rFonts w:hint="default" w:ascii="Times New Roman" w:hAnsi="Times New Roman" w:eastAsia="仿宋_GB2312" w:cs="Times New Roman"/>
          <w:sz w:val="32"/>
          <w:szCs w:val="32"/>
          <w:lang w:val="zh-CN" w:eastAsia="zh-CN"/>
        </w:rPr>
        <w:t>该类项目总数</w:t>
      </w:r>
      <w:r>
        <w:rPr>
          <w:rFonts w:hint="default" w:ascii="Times New Roman" w:hAnsi="Times New Roman" w:eastAsia="仿宋_GB2312" w:cs="Times New Roman"/>
          <w:sz w:val="32"/>
          <w:szCs w:val="32"/>
          <w:lang w:val="en-US" w:eastAsia="zh-CN"/>
        </w:rPr>
        <w:t xml:space="preserve"> 6</w:t>
      </w:r>
      <w:r>
        <w:rPr>
          <w:rFonts w:hint="default" w:ascii="Times New Roman" w:hAnsi="Times New Roman" w:eastAsia="仿宋_GB2312" w:cs="Times New Roman"/>
          <w:sz w:val="32"/>
          <w:szCs w:val="32"/>
          <w:lang w:val="zh-CN" w:eastAsia="zh-CN"/>
        </w:rPr>
        <w:t>个，涉及预算总金额</w:t>
      </w:r>
      <w:r>
        <w:rPr>
          <w:rFonts w:hint="eastAsia" w:ascii="Times New Roman" w:hAnsi="Times New Roman" w:eastAsia="仿宋_GB2312" w:cs="Times New Roman"/>
          <w:sz w:val="32"/>
          <w:szCs w:val="32"/>
          <w:lang w:val="en-US" w:eastAsia="zh-CN"/>
        </w:rPr>
        <w:t>145.81</w:t>
      </w:r>
      <w:r>
        <w:rPr>
          <w:rFonts w:hint="default" w:ascii="Times New Roman" w:hAnsi="Times New Roman" w:eastAsia="仿宋_GB2312" w:cs="Times New Roman"/>
          <w:sz w:val="32"/>
          <w:szCs w:val="32"/>
          <w:lang w:val="zh-CN" w:eastAsia="zh-CN"/>
        </w:rPr>
        <w:t>万元，1—1</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月预算执行总体进度为</w:t>
      </w:r>
      <w:r>
        <w:rPr>
          <w:rFonts w:hint="default" w:ascii="Times New Roman" w:hAnsi="Times New Roman" w:eastAsia="仿宋_GB2312" w:cs="Times New Roman"/>
          <w:sz w:val="32"/>
          <w:szCs w:val="32"/>
          <w:lang w:val="en-US" w:eastAsia="zh-CN"/>
        </w:rPr>
        <w:t xml:space="preserve"> 100</w:t>
      </w:r>
      <w:r>
        <w:rPr>
          <w:rFonts w:hint="default" w:ascii="Times New Roman" w:hAnsi="Times New Roman" w:eastAsia="仿宋_GB2312" w:cs="Times New Roman"/>
          <w:sz w:val="32"/>
          <w:szCs w:val="32"/>
          <w:lang w:val="zh-CN" w:eastAsia="zh-CN"/>
        </w:rPr>
        <w:t>%，其中：预算结余率大于</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zh-CN" w:eastAsia="zh-CN"/>
        </w:rPr>
        <w:t>的项目共计</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zh-CN" w:eastAsia="zh-CN"/>
        </w:rPr>
        <w:t>个。</w:t>
      </w:r>
    </w:p>
    <w:p w14:paraId="59EE5E4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阶段（一次性）项目绩效分析。</w:t>
      </w:r>
      <w:r>
        <w:rPr>
          <w:rFonts w:hint="default" w:ascii="Times New Roman" w:hAnsi="Times New Roman" w:eastAsia="仿宋_GB2312" w:cs="Times New Roman"/>
          <w:sz w:val="32"/>
          <w:szCs w:val="32"/>
          <w:lang w:val="zh-CN" w:eastAsia="zh-CN"/>
        </w:rPr>
        <w:t>该类项目总数</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zh-CN" w:eastAsia="zh-CN"/>
        </w:rPr>
        <w:t>个，涉及预算总金额</w:t>
      </w:r>
      <w:r>
        <w:rPr>
          <w:rFonts w:hint="eastAsia" w:ascii="Times New Roman" w:hAnsi="Times New Roman" w:eastAsia="仿宋_GB2312" w:cs="Times New Roman"/>
          <w:sz w:val="32"/>
          <w:szCs w:val="32"/>
          <w:lang w:val="en-US" w:eastAsia="zh-CN"/>
        </w:rPr>
        <w:t>131.23</w:t>
      </w:r>
      <w:r>
        <w:rPr>
          <w:rFonts w:hint="default" w:ascii="Times New Roman" w:hAnsi="Times New Roman" w:eastAsia="仿宋_GB2312" w:cs="Times New Roman"/>
          <w:sz w:val="32"/>
          <w:szCs w:val="32"/>
          <w:lang w:val="zh-CN" w:eastAsia="zh-CN"/>
        </w:rPr>
        <w:t>万元，1—1</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月预算执行总体进度为</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lang w:val="zh-CN" w:eastAsia="zh-CN"/>
        </w:rPr>
        <w:t>%，其中：预算结余率大于</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zh-CN" w:eastAsia="zh-CN"/>
        </w:rPr>
        <w:t>的项目共计</w:t>
      </w:r>
      <w:r>
        <w:rPr>
          <w:rFonts w:hint="default" w:ascii="Times New Roman" w:hAnsi="Times New Roman" w:eastAsia="仿宋_GB2312" w:cs="Times New Roman"/>
          <w:sz w:val="32"/>
          <w:szCs w:val="32"/>
          <w:lang w:val="en-US" w:eastAsia="zh-CN"/>
        </w:rPr>
        <w:t xml:space="preserve"> 0  </w:t>
      </w:r>
      <w:r>
        <w:rPr>
          <w:rFonts w:hint="default" w:ascii="Times New Roman" w:hAnsi="Times New Roman" w:eastAsia="仿宋_GB2312" w:cs="Times New Roman"/>
          <w:sz w:val="32"/>
          <w:szCs w:val="32"/>
          <w:lang w:val="zh-CN" w:eastAsia="zh-CN"/>
        </w:rPr>
        <w:t>个。</w:t>
      </w:r>
    </w:p>
    <w:p w14:paraId="62568F38">
      <w:pPr>
        <w:keepNext w:val="0"/>
        <w:keepLines w:val="0"/>
        <w:pageBreakBefore w:val="0"/>
        <w:widowControl/>
        <w:numPr>
          <w:ilvl w:val="0"/>
          <w:numId w:val="6"/>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zh-CN"/>
        </w:rPr>
        <w:t>项目决策。</w:t>
      </w:r>
    </w:p>
    <w:p w14:paraId="7266335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320" w:firstLineChars="1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zh-CN" w:eastAsia="zh-CN"/>
        </w:rPr>
        <w:t>）决策程序</w:t>
      </w:r>
    </w:p>
    <w:p w14:paraId="283549A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根据可执行情况表，本单位预算阶段项目无未履行事前评估程序的部门预算阶段项目。</w:t>
      </w:r>
    </w:p>
    <w:p w14:paraId="3F92BD0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综上，根据评分标准，该项指标不扣分，得4分。</w:t>
      </w:r>
    </w:p>
    <w:p w14:paraId="7853163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）目标设置</w:t>
      </w:r>
    </w:p>
    <w:p w14:paraId="2C6C25F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本单位</w:t>
      </w:r>
      <w:r>
        <w:rPr>
          <w:rFonts w:hint="default" w:ascii="Times New Roman" w:hAnsi="Times New Roman" w:eastAsia="仿宋_GB2312" w:cs="Times New Roman"/>
          <w:sz w:val="32"/>
          <w:szCs w:val="32"/>
          <w:lang w:val="zh-CN" w:eastAsia="zh-CN"/>
        </w:rPr>
        <w:t>预算阶段项目</w:t>
      </w:r>
      <w:r>
        <w:rPr>
          <w:rFonts w:hint="default" w:ascii="Times New Roman" w:hAnsi="Times New Roman" w:eastAsia="仿宋_GB2312" w:cs="Times New Roman"/>
          <w:sz w:val="32"/>
          <w:szCs w:val="32"/>
          <w:lang w:val="en-US" w:eastAsia="zh-CN"/>
        </w:rPr>
        <w:t>无绩效目标与计划期内的任务量、预算安排不相匹配的部门预算阶段项目。</w:t>
      </w:r>
    </w:p>
    <w:p w14:paraId="169E375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综上，根据评分标准，该项指标不扣分，得4分。</w:t>
      </w:r>
    </w:p>
    <w:p w14:paraId="5B0330E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eastAsia="zh-CN"/>
        </w:rPr>
        <w:t>）项目入库</w:t>
      </w:r>
    </w:p>
    <w:p w14:paraId="56AEE98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w:t>
      </w:r>
      <w:r>
        <w:rPr>
          <w:rFonts w:hint="default" w:ascii="Times New Roman" w:hAnsi="Times New Roman" w:eastAsia="仿宋_GB2312" w:cs="Times New Roman"/>
          <w:sz w:val="32"/>
          <w:szCs w:val="32"/>
          <w:lang w:val="zh-CN" w:eastAsia="zh-CN"/>
        </w:rPr>
        <w:t>预算阶段项目</w:t>
      </w:r>
      <w:r>
        <w:rPr>
          <w:rFonts w:hint="default" w:ascii="Times New Roman" w:hAnsi="Times New Roman" w:eastAsia="仿宋_GB2312" w:cs="Times New Roman"/>
          <w:sz w:val="32"/>
          <w:szCs w:val="32"/>
          <w:lang w:val="en-US" w:eastAsia="zh-CN"/>
        </w:rPr>
        <w:t>均已在规定时间内入财政库。</w:t>
      </w:r>
    </w:p>
    <w:p w14:paraId="5946B9C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综上，根据评分标准，该项指标不扣分，得4分。</w:t>
      </w:r>
    </w:p>
    <w:p w14:paraId="00857371">
      <w:pPr>
        <w:keepNext w:val="0"/>
        <w:keepLines w:val="0"/>
        <w:pageBreakBefore w:val="0"/>
        <w:widowControl w:val="0"/>
        <w:numPr>
          <w:ilvl w:val="0"/>
          <w:numId w:val="6"/>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项目执行</w:t>
      </w:r>
      <w:r>
        <w:rPr>
          <w:rFonts w:hint="default" w:ascii="Times New Roman" w:hAnsi="Times New Roman" w:eastAsia="楷体_GB2312" w:cs="Times New Roman"/>
          <w:color w:val="000000"/>
          <w:kern w:val="0"/>
          <w:sz w:val="32"/>
          <w:szCs w:val="32"/>
          <w:highlight w:val="none"/>
          <w:shd w:val="clear" w:color="auto" w:fill="FFFFFF"/>
          <w:lang w:val="zh-CN"/>
        </w:rPr>
        <w:t>。</w:t>
      </w:r>
    </w:p>
    <w:p w14:paraId="6107841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zh-CN" w:eastAsia="zh-CN"/>
        </w:rPr>
        <w:t>资金执行同向</w:t>
      </w:r>
    </w:p>
    <w:p w14:paraId="5F07776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w:t>
      </w:r>
      <w:r>
        <w:rPr>
          <w:rFonts w:hint="default" w:ascii="Times New Roman" w:hAnsi="Times New Roman" w:eastAsia="仿宋_GB2312" w:cs="Times New Roman"/>
          <w:sz w:val="32"/>
          <w:szCs w:val="32"/>
          <w:lang w:val="zh-CN" w:eastAsia="zh-CN"/>
        </w:rPr>
        <w:t>预算阶段项目</w:t>
      </w:r>
      <w:r>
        <w:rPr>
          <w:rFonts w:hint="default" w:ascii="Times New Roman" w:hAnsi="Times New Roman" w:eastAsia="仿宋_GB2312" w:cs="Times New Roman"/>
          <w:sz w:val="32"/>
          <w:szCs w:val="32"/>
          <w:lang w:val="en-US" w:eastAsia="zh-CN"/>
        </w:rPr>
        <w:t>无实际列支内容与绩效目标设置方向不相符的部门预算阶段项目。</w:t>
      </w:r>
    </w:p>
    <w:p w14:paraId="7116FFB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综上，根据评分标准，该项指标不扣分，得4分。</w:t>
      </w:r>
    </w:p>
    <w:p w14:paraId="310A75B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）项目调整</w:t>
      </w:r>
    </w:p>
    <w:p w14:paraId="6F75E67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本单位应采取收回预算、调整目标等处置措施的部门预算项目均按程序进行预算收回和目标调整。</w:t>
      </w:r>
    </w:p>
    <w:p w14:paraId="6A7BFBD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综上，根据评分标准，该项指标不扣分，得4分。</w:t>
      </w:r>
    </w:p>
    <w:p w14:paraId="3D135C2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eastAsia="zh-CN"/>
        </w:rPr>
        <w:t>）执行结果</w:t>
      </w:r>
    </w:p>
    <w:p w14:paraId="564DE84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本单位预算项目预算结余率均小于10%。</w:t>
      </w:r>
    </w:p>
    <w:p w14:paraId="4B01FD6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sz w:val="32"/>
          <w:szCs w:val="32"/>
          <w:lang w:val="en-US" w:eastAsia="zh-CN"/>
        </w:rPr>
        <w:t>综上，根据评分标准，该项指标不扣分，得4分。</w:t>
      </w:r>
    </w:p>
    <w:p w14:paraId="4035A881">
      <w:pPr>
        <w:keepNext w:val="0"/>
        <w:keepLines w:val="0"/>
        <w:pageBreakBefore w:val="0"/>
        <w:widowControl w:val="0"/>
        <w:numPr>
          <w:ilvl w:val="0"/>
          <w:numId w:val="6"/>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zh-CN"/>
        </w:rPr>
        <w:t>目标实现。</w:t>
      </w:r>
    </w:p>
    <w:p w14:paraId="16D3EF9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zh-CN" w:eastAsia="zh-CN"/>
        </w:rPr>
        <w:t>）目标完成</w:t>
      </w:r>
    </w:p>
    <w:p w14:paraId="05FEFE0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w:t>
      </w:r>
      <w:r>
        <w:rPr>
          <w:rFonts w:hint="default" w:ascii="Times New Roman" w:hAnsi="Times New Roman" w:eastAsia="仿宋_GB2312" w:cs="Times New Roman"/>
          <w:sz w:val="32"/>
          <w:szCs w:val="32"/>
          <w:lang w:val="zh-CN" w:eastAsia="zh-CN"/>
        </w:rPr>
        <w:t>预算项目</w:t>
      </w:r>
      <w:r>
        <w:rPr>
          <w:rFonts w:hint="default" w:ascii="Times New Roman" w:hAnsi="Times New Roman" w:eastAsia="仿宋_GB2312" w:cs="Times New Roman"/>
          <w:sz w:val="32"/>
          <w:szCs w:val="32"/>
          <w:lang w:val="en-US" w:eastAsia="zh-CN"/>
        </w:rPr>
        <w:t>均已完成绩效目标数量指标。</w:t>
      </w:r>
    </w:p>
    <w:p w14:paraId="0D64637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综上，根据评分标准，该项指标不扣分，得4分。</w:t>
      </w:r>
    </w:p>
    <w:p w14:paraId="4B2C6B3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）目标偏离</w:t>
      </w:r>
    </w:p>
    <w:p w14:paraId="4D7886C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本单位已完成预期指标值的数量指标中偏离度均在30%以内。</w:t>
      </w:r>
    </w:p>
    <w:p w14:paraId="6F2EB5B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综上，根据评分标准，该项指标不扣分，得4分。</w:t>
      </w:r>
    </w:p>
    <w:p w14:paraId="3A7CC9E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eastAsia="zh-CN"/>
        </w:rPr>
        <w:t>）实现效果</w:t>
      </w:r>
    </w:p>
    <w:p w14:paraId="1C481EA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本单位预算项目绩效目标效益指标实施效果较好，均已达到设定指标值。</w:t>
      </w:r>
    </w:p>
    <w:p w14:paraId="259171A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sz w:val="32"/>
          <w:szCs w:val="32"/>
          <w:lang w:val="en-US" w:eastAsia="zh-CN"/>
        </w:rPr>
        <w:t>综上，根据评分标准，该项指标不扣分，得3分。</w:t>
      </w:r>
    </w:p>
    <w:p w14:paraId="1536F8F1">
      <w:pPr>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rPr>
        <w:t>省级部门</w:t>
      </w:r>
      <w:r>
        <w:rPr>
          <w:rFonts w:hint="eastAsia" w:ascii="Times New Roman" w:hAnsi="Times New Roman" w:eastAsia="仿宋_GB2312" w:cs="Times New Roman"/>
          <w:sz w:val="32"/>
          <w:szCs w:val="32"/>
          <w:u w:val="none"/>
          <w:lang w:eastAsia="zh-CN"/>
        </w:rPr>
        <w:t>对</w:t>
      </w:r>
      <w:r>
        <w:rPr>
          <w:rFonts w:hint="default" w:ascii="Times New Roman" w:hAnsi="Times New Roman" w:eastAsia="仿宋_GB2312" w:cs="Times New Roman"/>
          <w:sz w:val="32"/>
          <w:szCs w:val="32"/>
          <w:u w:val="none"/>
          <w:lang w:val="en-US" w:eastAsia="zh-CN"/>
        </w:rPr>
        <w:t>202</w:t>
      </w:r>
      <w:r>
        <w:rPr>
          <w:rFonts w:hint="eastAsia" w:ascii="Times New Roman" w:hAnsi="Times New Roman" w:eastAsia="仿宋_GB2312" w:cs="Times New Roman"/>
          <w:sz w:val="32"/>
          <w:szCs w:val="32"/>
          <w:u w:val="none"/>
          <w:lang w:val="en-US" w:eastAsia="zh-CN"/>
        </w:rPr>
        <w:t>4</w:t>
      </w:r>
      <w:r>
        <w:rPr>
          <w:rFonts w:hint="default" w:ascii="Times New Roman" w:hAnsi="Times New Roman" w:eastAsia="仿宋_GB2312" w:cs="Times New Roman"/>
          <w:sz w:val="32"/>
          <w:szCs w:val="32"/>
          <w:u w:val="none"/>
          <w:lang w:val="en-US" w:eastAsia="zh-CN"/>
        </w:rPr>
        <w:t>年度一般公共预算、政府性基金预算、国有资本经营预算安排的常年项目、阶段项目绩效目标完成情况</w:t>
      </w:r>
      <w:r>
        <w:rPr>
          <w:rFonts w:hint="eastAsia" w:ascii="Times New Roman" w:hAnsi="Times New Roman" w:eastAsia="仿宋_GB2312" w:cs="Times New Roman"/>
          <w:sz w:val="32"/>
          <w:szCs w:val="32"/>
          <w:u w:val="none"/>
          <w:lang w:val="en-US" w:eastAsia="zh-CN"/>
        </w:rPr>
        <w:t>，以及</w:t>
      </w:r>
      <w:r>
        <w:rPr>
          <w:rFonts w:hint="default" w:ascii="Times New Roman" w:hAnsi="Times New Roman" w:eastAsia="仿宋_GB2312" w:cs="Times New Roman"/>
          <w:sz w:val="32"/>
          <w:szCs w:val="32"/>
          <w:u w:val="none"/>
          <w:lang w:val="en-US" w:eastAsia="zh-CN"/>
        </w:rPr>
        <w:t>债券资金、政府购买服务</w:t>
      </w:r>
      <w:r>
        <w:rPr>
          <w:rFonts w:hint="eastAsia" w:ascii="Times New Roman" w:hAnsi="Times New Roman" w:eastAsia="仿宋_GB2312" w:cs="Times New Roman"/>
          <w:sz w:val="32"/>
          <w:szCs w:val="32"/>
          <w:u w:val="none"/>
          <w:lang w:val="en-US" w:eastAsia="zh-CN"/>
        </w:rPr>
        <w:t>有关情况</w:t>
      </w:r>
      <w:r>
        <w:rPr>
          <w:rFonts w:hint="default" w:ascii="Times New Roman" w:hAnsi="Times New Roman" w:eastAsia="仿宋_GB2312" w:cs="Times New Roman"/>
          <w:sz w:val="32"/>
          <w:szCs w:val="32"/>
          <w:u w:val="none"/>
          <w:lang w:val="en-US" w:eastAsia="zh-CN"/>
        </w:rPr>
        <w:t>进行梳理阐述。</w:t>
      </w:r>
    </w:p>
    <w:p w14:paraId="589A4871">
      <w:pPr>
        <w:keepNext w:val="0"/>
        <w:keepLines w:val="0"/>
        <w:pageBreakBefore w:val="0"/>
        <w:widowControl w:val="0"/>
        <w:numPr>
          <w:ilvl w:val="0"/>
          <w:numId w:val="0"/>
        </w:numPr>
        <w:kinsoku/>
        <w:wordWrap/>
        <w:overflowPunct/>
        <w:topLinePunct w:val="0"/>
        <w:autoSpaceDE/>
        <w:autoSpaceDN/>
        <w:bidi w:val="0"/>
        <w:spacing w:after="0" w:line="576" w:lineRule="exact"/>
        <w:ind w:leftChars="200" w:firstLine="643" w:firstLineChars="200"/>
        <w:jc w:val="both"/>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楷体_GB2312" w:cs="Times New Roman"/>
          <w:b/>
          <w:bCs/>
          <w:kern w:val="2"/>
          <w:sz w:val="32"/>
          <w:szCs w:val="32"/>
          <w:lang w:val="en-US" w:eastAsia="zh-CN" w:bidi="ar-SA"/>
        </w:rPr>
        <w:t>(三)</w:t>
      </w:r>
      <w:r>
        <w:rPr>
          <w:rFonts w:hint="default" w:ascii="Times New Roman" w:hAnsi="Times New Roman" w:eastAsia="楷体_GB2312" w:cs="Times New Roman"/>
          <w:b/>
          <w:bCs/>
          <w:kern w:val="2"/>
          <w:sz w:val="32"/>
          <w:szCs w:val="32"/>
          <w:lang w:val="zh-CN" w:eastAsia="zh-CN" w:bidi="ar-SA"/>
        </w:rPr>
        <w:t>绩效结果应用情况。</w:t>
      </w:r>
    </w:p>
    <w:p w14:paraId="218D1AEE">
      <w:pPr>
        <w:keepNext w:val="0"/>
        <w:keepLines w:val="0"/>
        <w:pageBreakBefore w:val="0"/>
        <w:widowControl w:val="0"/>
        <w:numPr>
          <w:ilvl w:val="0"/>
          <w:numId w:val="0"/>
        </w:numPr>
        <w:kinsoku/>
        <w:wordWrap/>
        <w:overflowPunct/>
        <w:topLinePunct w:val="0"/>
        <w:autoSpaceDE/>
        <w:autoSpaceDN/>
        <w:bidi w:val="0"/>
        <w:spacing w:after="0" w:line="576" w:lineRule="exact"/>
        <w:ind w:leftChars="200" w:firstLine="640" w:firstLineChars="200"/>
        <w:jc w:val="both"/>
        <w:textAlignment w:val="auto"/>
        <w:rPr>
          <w:rFonts w:hint="default" w:ascii="Times New Roman" w:hAnsi="Times New Roman" w:eastAsia="仿宋_GB2312" w:cs="Times New Roman"/>
          <w:b/>
          <w:bCs w:val="0"/>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w:t>
      </w:r>
      <w:r>
        <w:rPr>
          <w:rFonts w:hint="eastAsia"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en-US" w:eastAsia="zh-CN" w:bidi="ar-SA"/>
        </w:rPr>
        <w:t>年我单位从收支执行，三公经费管理，预算管理，绩效管理等方面进行了详尽单位</w:t>
      </w:r>
      <w:r>
        <w:rPr>
          <w:rFonts w:hint="default" w:ascii="Times New Roman" w:hAnsi="Times New Roman" w:eastAsia="仿宋_GB2312" w:cs="Times New Roman"/>
          <w:kern w:val="2"/>
          <w:sz w:val="32"/>
          <w:szCs w:val="32"/>
          <w:lang w:val="zh-CN" w:eastAsia="zh-CN" w:bidi="ar-SA"/>
        </w:rPr>
        <w:t>自评，</w:t>
      </w:r>
      <w:r>
        <w:rPr>
          <w:rFonts w:hint="default" w:ascii="Times New Roman" w:hAnsi="Times New Roman" w:eastAsia="仿宋_GB2312" w:cs="Times New Roman"/>
          <w:kern w:val="2"/>
          <w:sz w:val="32"/>
          <w:szCs w:val="32"/>
          <w:lang w:val="en-US" w:eastAsia="zh-CN" w:bidi="ar-SA"/>
        </w:rPr>
        <w:t>202</w:t>
      </w:r>
      <w:r>
        <w:rPr>
          <w:rFonts w:hint="eastAsia"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en-US" w:eastAsia="zh-CN" w:bidi="ar-SA"/>
        </w:rPr>
        <w:t>年预算绩效目标，项目预算绩效目标等均进行了公开，评价结果较好，对部门预算编制不够精准细化的问题将在后续预算编制和执行工作中逐步改进。</w:t>
      </w:r>
    </w:p>
    <w:p w14:paraId="0313036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lang w:eastAsia="zh-CN"/>
        </w:rPr>
        <w:t>四、</w:t>
      </w:r>
      <w:r>
        <w:rPr>
          <w:rFonts w:hint="default" w:ascii="Times New Roman" w:hAnsi="Times New Roman" w:eastAsia="黑体" w:cs="Times New Roman"/>
          <w:color w:val="000000"/>
          <w:kern w:val="0"/>
          <w:sz w:val="32"/>
          <w:szCs w:val="32"/>
          <w:highlight w:val="none"/>
          <w:shd w:val="clear" w:color="auto" w:fill="FFFFFF"/>
        </w:rPr>
        <w:t>评价结论及建议</w:t>
      </w:r>
    </w:p>
    <w:p w14:paraId="23997B3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default" w:ascii="Times New Roman" w:hAnsi="Times New Roman" w:eastAsia="仿宋_GB2312" w:cs="Times New Roman"/>
          <w:sz w:val="32"/>
          <w:szCs w:val="32"/>
          <w:lang w:val="en-US" w:eastAsia="zh-CN"/>
        </w:rPr>
        <w:t>本单位履职效果和预算管理效果较好，财务管理、资产管理、采购管理规范，项目决策程序严格</w:t>
      </w:r>
      <w:r>
        <w:rPr>
          <w:rFonts w:hint="default" w:ascii="Times New Roman" w:hAnsi="Times New Roman" w:eastAsia="仿宋_GB2312" w:cs="Times New Roman"/>
          <w:sz w:val="32"/>
          <w:szCs w:val="32"/>
          <w:lang w:val="zh-CN" w:eastAsia="zh-CN"/>
        </w:rPr>
        <w:t>，项目执行</w:t>
      </w:r>
      <w:r>
        <w:rPr>
          <w:rFonts w:hint="default" w:ascii="Times New Roman" w:hAnsi="Times New Roman" w:eastAsia="仿宋_GB2312" w:cs="Times New Roman"/>
          <w:sz w:val="32"/>
          <w:szCs w:val="32"/>
          <w:lang w:val="en-US" w:eastAsia="zh-CN"/>
        </w:rPr>
        <w:t>进度和绩效目标实现程度良好，严格按照</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阿坝州财政局 关于开展 2025 年州级部门预算绩效自评 工作的通知</w:t>
      </w:r>
      <w:r>
        <w:rPr>
          <w:rFonts w:hint="default"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阿州财监绩效</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号）要求，完成一般公共预算和阶段性项目绩效目标自评表的填报，完成专项预算项目自评工作，实现部门预算项目自评全覆盖。</w:t>
      </w:r>
      <w:r>
        <w:rPr>
          <w:rFonts w:hint="default" w:ascii="Times New Roman" w:hAnsi="Times New Roman" w:eastAsia="仿宋_GB2312" w:cs="Times New Roman"/>
          <w:sz w:val="32"/>
          <w:szCs w:val="32"/>
          <w:lang w:val="zh-CN" w:eastAsia="zh-CN"/>
        </w:rPr>
        <w:t>根据《部门整体支出绩效评价指标体系》，</w:t>
      </w:r>
      <w:r>
        <w:rPr>
          <w:rFonts w:hint="default" w:ascii="Times New Roman" w:hAnsi="Times New Roman" w:eastAsia="仿宋_GB2312" w:cs="Times New Roman"/>
          <w:sz w:val="32"/>
          <w:szCs w:val="32"/>
          <w:lang w:val="en-US" w:eastAsia="zh-CN"/>
        </w:rPr>
        <w:t>本单位</w:t>
      </w:r>
      <w:r>
        <w:rPr>
          <w:rFonts w:hint="default" w:ascii="Times New Roman" w:hAnsi="Times New Roman" w:eastAsia="仿宋_GB2312" w:cs="Times New Roman"/>
          <w:sz w:val="32"/>
          <w:szCs w:val="32"/>
          <w:lang w:val="zh-CN"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zh-CN" w:eastAsia="zh-CN"/>
        </w:rPr>
        <w:t>年度自评得分</w:t>
      </w:r>
      <w:r>
        <w:rPr>
          <w:rFonts w:hint="default" w:ascii="Times New Roman" w:hAnsi="Times New Roman" w:eastAsia="仿宋_GB2312" w:cs="Times New Roman"/>
          <w:sz w:val="32"/>
          <w:szCs w:val="32"/>
          <w:lang w:val="en-US" w:eastAsia="zh-CN"/>
        </w:rPr>
        <w:t>为</w:t>
      </w:r>
      <w:r>
        <w:rPr>
          <w:rFonts w:hint="eastAsia" w:ascii="Times New Roman" w:hAnsi="Times New Roman" w:eastAsia="仿宋_GB2312" w:cs="Times New Roman"/>
          <w:sz w:val="32"/>
          <w:szCs w:val="32"/>
          <w:lang w:val="en-US" w:eastAsia="zh-CN"/>
        </w:rPr>
        <w:t>94.38</w:t>
      </w:r>
      <w:r>
        <w:rPr>
          <w:rFonts w:hint="default" w:ascii="Times New Roman" w:hAnsi="Times New Roman" w:eastAsia="仿宋_GB2312" w:cs="Times New Roman"/>
          <w:sz w:val="32"/>
          <w:szCs w:val="32"/>
          <w:lang w:val="zh-CN" w:eastAsia="zh-CN"/>
        </w:rPr>
        <w:t>分。</w:t>
      </w:r>
    </w:p>
    <w:p w14:paraId="58D8536F">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p>
    <w:p w14:paraId="43D1970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无</w:t>
      </w:r>
    </w:p>
    <w:p w14:paraId="6CFB5555">
      <w:pPr>
        <w:keepNext w:val="0"/>
        <w:keepLines w:val="0"/>
        <w:pageBreakBefore w:val="0"/>
        <w:widowControl/>
        <w:numPr>
          <w:ilvl w:val="0"/>
          <w:numId w:val="5"/>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改进建议。</w:t>
      </w:r>
      <w:bookmarkStart w:id="145" w:name="_Hlk110546638"/>
    </w:p>
    <w:p w14:paraId="2AD9022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1.对各部门预算绩效评价工作进行指导。</w:t>
      </w:r>
    </w:p>
    <w:p w14:paraId="0D3B117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2.简化评价流程</w:t>
      </w:r>
    </w:p>
    <w:bookmarkEnd w:id="145"/>
    <w:p w14:paraId="720733B4">
      <w:pPr>
        <w:keepNext w:val="0"/>
        <w:keepLines w:val="0"/>
        <w:pageBreakBefore w:val="0"/>
        <w:kinsoku/>
        <w:wordWrap/>
        <w:overflowPunct/>
        <w:topLinePunct w:val="0"/>
        <w:autoSpaceDE/>
        <w:autoSpaceDN/>
        <w:bidi w:val="0"/>
        <w:spacing w:line="578" w:lineRule="exact"/>
        <w:contextualSpacing/>
        <w:textAlignment w:val="auto"/>
        <w:outlineLvl w:val="9"/>
        <w:rPr>
          <w:rFonts w:hint="default" w:ascii="Times New Roman" w:hAnsi="Times New Roman" w:eastAsia="黑体" w:cs="Times New Roman"/>
          <w:sz w:val="32"/>
          <w:szCs w:val="32"/>
          <w:highlight w:val="none"/>
          <w:lang w:val="en-US" w:eastAsia="zh-CN"/>
        </w:rPr>
      </w:pPr>
    </w:p>
    <w:p w14:paraId="0368E160">
      <w:pPr>
        <w:keepNext w:val="0"/>
        <w:keepLines w:val="0"/>
        <w:pageBreakBefore w:val="0"/>
        <w:widowControl/>
        <w:kinsoku/>
        <w:wordWrap/>
        <w:overflowPunct/>
        <w:topLinePunct w:val="0"/>
        <w:autoSpaceDE/>
        <w:autoSpaceDN/>
        <w:bidi w:val="0"/>
        <w:adjustRightInd w:val="0"/>
        <w:snapToGrid w:val="0"/>
        <w:spacing w:line="578" w:lineRule="exact"/>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2A482872">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14:paraId="1DFEB4FF">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14:paraId="6868CF35">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（注：按照绩效自评工作安排，各部门已在预算管理一体化系统绩效自评模块上传“部门预算项目支出绩效自评表（2024年度）”，该表格应作为附表予以公开）</w:t>
      </w:r>
    </w:p>
    <w:p w14:paraId="5E0CAB19">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43A5D6B2">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60F430D8">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653E1936">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2DD6251A">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3AE3C013">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1E4F39A1">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39E20D6D">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6299DB25">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71E23E23">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05DB3042">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1FC3BC7E">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0A86A393">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043C3C09">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274EE09E">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0795F17D">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6F62DDDA">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1"/>
        <w:gridCol w:w="692"/>
        <w:gridCol w:w="742"/>
        <w:gridCol w:w="1044"/>
        <w:gridCol w:w="431"/>
        <w:gridCol w:w="419"/>
        <w:gridCol w:w="431"/>
        <w:gridCol w:w="940"/>
        <w:gridCol w:w="504"/>
        <w:gridCol w:w="504"/>
        <w:gridCol w:w="2144"/>
      </w:tblGrid>
      <w:tr w14:paraId="4FDB5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8DED80D">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A809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7416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F2A71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51320023T000007984644-阿坝州科技馆运行经费</w:t>
            </w:r>
          </w:p>
        </w:tc>
      </w:tr>
      <w:tr w14:paraId="0A353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FE6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6573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州科协部门</w:t>
            </w:r>
          </w:p>
        </w:tc>
        <w:tc>
          <w:tcPr>
            <w:tcW w:w="0" w:type="auto"/>
            <w:tcBorders>
              <w:top w:val="nil"/>
              <w:left w:val="nil"/>
              <w:bottom w:val="nil"/>
              <w:right w:val="nil"/>
            </w:tcBorders>
            <w:shd w:val="clear" w:color="auto" w:fill="auto"/>
            <w:vAlign w:val="center"/>
          </w:tcPr>
          <w:p w14:paraId="04B5C419">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7184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w:t>
            </w:r>
          </w:p>
        </w:tc>
      </w:tr>
      <w:tr w14:paraId="3FA34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49D8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95A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C00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5B6DCA">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32908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07FBA">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86AF1">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EF63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主要提升我州社会公众科学素养，培养青少年及幼儿爱科学、学科学、用科学的兴趣</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AC6EE7">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将科技馆作为学校的校外课堂，与马一小、马二小深度开展馆校合作60余次。免费向公众开展周末科学课堂，开展手工课、创客课、机器人编程课等70余节。深入九寨沟县、金川县、理县、汶川县9所学校开展“科技馆进校园活动”，在马尔康开展学龄前科普启蒙活动2次，共计受益青少年儿童8000余人。</w:t>
            </w:r>
          </w:p>
        </w:tc>
      </w:tr>
      <w:tr w14:paraId="4F21F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762B6">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9EBF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2C489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在中国科协、省科协和省科技馆的关心关爱、帮助支持下，阿坝州科技馆围绕州委州政府中心工作树品牌、做特色，源源不断输出科学知识，为提升全州公民科学素质不懈努力。阿坝州科技馆在中央财政补助的免费开放资金上秉承廉洁节约、合理利用的宗旨，较好的完成了各项目标任务。</w:t>
            </w:r>
          </w:p>
        </w:tc>
      </w:tr>
      <w:tr w14:paraId="44390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7A1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5472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DEE1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BF84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8213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141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414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274A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2690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A415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9FB6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770E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0A81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9A02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59.91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42E8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00B1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9FA7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25CB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6244C3">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F2CE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8B0D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819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21C8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B25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59.91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519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7222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761B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EFE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9380D">
            <w:pPr>
              <w:rPr>
                <w:rFonts w:hint="default" w:ascii="黑体" w:hAnsi="黑体" w:eastAsia="黑体" w:cs="黑体"/>
                <w:i/>
                <w:iCs/>
                <w:color w:val="000000"/>
                <w:sz w:val="18"/>
                <w:szCs w:val="18"/>
                <w:u w:val="none"/>
              </w:rPr>
            </w:pPr>
          </w:p>
        </w:tc>
      </w:tr>
      <w:tr w14:paraId="52672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A100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28E2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458B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858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1FC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4E4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9D7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3454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835D3">
            <w:pPr>
              <w:rPr>
                <w:rFonts w:hint="default" w:ascii="黑体" w:hAnsi="黑体" w:eastAsia="黑体" w:cs="黑体"/>
                <w:i/>
                <w:iCs/>
                <w:color w:val="000000"/>
                <w:sz w:val="18"/>
                <w:szCs w:val="18"/>
                <w:u w:val="none"/>
              </w:rPr>
            </w:pPr>
          </w:p>
        </w:tc>
      </w:tr>
      <w:tr w14:paraId="2F052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4BA4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40D9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BDC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FFEB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F3A3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48C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C30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F08C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E4A65">
            <w:pPr>
              <w:rPr>
                <w:rFonts w:hint="default" w:ascii="黑体" w:hAnsi="黑体" w:eastAsia="黑体" w:cs="黑体"/>
                <w:i/>
                <w:iCs/>
                <w:color w:val="000000"/>
                <w:sz w:val="18"/>
                <w:szCs w:val="18"/>
                <w:u w:val="none"/>
              </w:rPr>
            </w:pPr>
          </w:p>
        </w:tc>
      </w:tr>
      <w:tr w14:paraId="43097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8D6C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877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40D793">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384FAA">
            <w:pPr>
              <w:jc w:val="center"/>
              <w:rPr>
                <w:rFonts w:hint="default"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B2B3AD">
            <w:pPr>
              <w:jc w:val="center"/>
              <w:rPr>
                <w:rFonts w:hint="default"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C11831">
            <w:pPr>
              <w:jc w:val="center"/>
              <w:rPr>
                <w:rFonts w:hint="default"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1CF9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F120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052C3">
            <w:pPr>
              <w:rPr>
                <w:rFonts w:hint="default" w:ascii="黑体" w:hAnsi="黑体" w:eastAsia="黑体" w:cs="黑体"/>
                <w:i/>
                <w:iCs/>
                <w:color w:val="000000"/>
                <w:sz w:val="18"/>
                <w:szCs w:val="18"/>
                <w:u w:val="none"/>
              </w:rPr>
            </w:pPr>
          </w:p>
        </w:tc>
      </w:tr>
      <w:tr w14:paraId="26B4F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A0E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6D88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6CE3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F874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DCDC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F18A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CDE0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A10B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320B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0F63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0C0E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C2FE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C2AD7">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A122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5C2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554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展教员培训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448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5DB8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73B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AC8078">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583E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7D1F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3B08A0">
            <w:pPr>
              <w:jc w:val="center"/>
              <w:rPr>
                <w:rFonts w:hint="default" w:ascii="微软雅黑" w:hAnsi="微软雅黑" w:eastAsia="微软雅黑" w:cs="微软雅黑"/>
                <w:i/>
                <w:iCs/>
                <w:color w:val="000000"/>
                <w:sz w:val="16"/>
                <w:szCs w:val="16"/>
                <w:u w:val="none"/>
              </w:rPr>
            </w:pPr>
          </w:p>
        </w:tc>
      </w:tr>
      <w:tr w14:paraId="05520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7D0B0">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0FB65">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D743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6159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开展进校园活动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EC3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DFF6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AE09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C37C2D">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659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A40F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E664E2">
            <w:pPr>
              <w:jc w:val="center"/>
              <w:rPr>
                <w:rFonts w:hint="default" w:ascii="微软雅黑" w:hAnsi="微软雅黑" w:eastAsia="微软雅黑" w:cs="微软雅黑"/>
                <w:i/>
                <w:iCs/>
                <w:color w:val="000000"/>
                <w:sz w:val="16"/>
                <w:szCs w:val="16"/>
                <w:u w:val="none"/>
              </w:rPr>
            </w:pPr>
          </w:p>
        </w:tc>
      </w:tr>
      <w:tr w14:paraId="794AE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206B6">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DD085">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770E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F5E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开展创客课及手工课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177C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2C5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A22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6DCA0A">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F92B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A16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30C4DF">
            <w:pPr>
              <w:jc w:val="center"/>
              <w:rPr>
                <w:rFonts w:hint="default" w:ascii="微软雅黑" w:hAnsi="微软雅黑" w:eastAsia="微软雅黑" w:cs="微软雅黑"/>
                <w:i/>
                <w:iCs/>
                <w:color w:val="000000"/>
                <w:sz w:val="16"/>
                <w:szCs w:val="16"/>
                <w:u w:val="none"/>
              </w:rPr>
            </w:pPr>
          </w:p>
        </w:tc>
      </w:tr>
      <w:tr w14:paraId="250EB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63A68">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297EB">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0118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8E7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开展主题活动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498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F02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38BA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3E9CF1">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3EB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3072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6DAC80">
            <w:pPr>
              <w:jc w:val="center"/>
              <w:rPr>
                <w:rFonts w:hint="default" w:ascii="微软雅黑" w:hAnsi="微软雅黑" w:eastAsia="微软雅黑" w:cs="微软雅黑"/>
                <w:i/>
                <w:iCs/>
                <w:color w:val="000000"/>
                <w:sz w:val="16"/>
                <w:szCs w:val="16"/>
                <w:u w:val="none"/>
              </w:rPr>
            </w:pPr>
          </w:p>
        </w:tc>
      </w:tr>
      <w:tr w14:paraId="49628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BC67E">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2A2BB">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F61A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9958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科技馆开馆率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F21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D9F2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52B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EE4D6C">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C13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AED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F76B47">
            <w:pPr>
              <w:jc w:val="center"/>
              <w:rPr>
                <w:rFonts w:hint="default" w:ascii="微软雅黑" w:hAnsi="微软雅黑" w:eastAsia="微软雅黑" w:cs="微软雅黑"/>
                <w:i/>
                <w:iCs/>
                <w:color w:val="000000"/>
                <w:sz w:val="16"/>
                <w:szCs w:val="16"/>
                <w:u w:val="none"/>
              </w:rPr>
            </w:pPr>
          </w:p>
        </w:tc>
      </w:tr>
      <w:tr w14:paraId="434BA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0DD7D">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2A9E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2C5C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2F5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9E26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A1FA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B430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08BCDA">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C77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38D8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FE1354">
            <w:pPr>
              <w:jc w:val="center"/>
              <w:rPr>
                <w:rFonts w:hint="default" w:ascii="微软雅黑" w:hAnsi="微软雅黑" w:eastAsia="微软雅黑" w:cs="微软雅黑"/>
                <w:i/>
                <w:iCs/>
                <w:color w:val="000000"/>
                <w:sz w:val="16"/>
                <w:szCs w:val="16"/>
                <w:u w:val="none"/>
              </w:rPr>
            </w:pPr>
          </w:p>
        </w:tc>
      </w:tr>
      <w:tr w14:paraId="4361E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F00A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971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C6A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685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提升我州社会公众科学素养，培养青少年及幼儿爱科学、学科学、用科学的兴趣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68E2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559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B1975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B76449">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长期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6CB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202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DF12A5">
            <w:pPr>
              <w:jc w:val="center"/>
              <w:rPr>
                <w:rFonts w:hint="default" w:ascii="微软雅黑" w:hAnsi="微软雅黑" w:eastAsia="微软雅黑" w:cs="微软雅黑"/>
                <w:i/>
                <w:iCs/>
                <w:color w:val="000000"/>
                <w:sz w:val="16"/>
                <w:szCs w:val="16"/>
                <w:u w:val="none"/>
              </w:rPr>
            </w:pPr>
          </w:p>
        </w:tc>
      </w:tr>
      <w:tr w14:paraId="60585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76C3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D0A4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B749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850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C728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F601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AC6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9A0DC5">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3028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DCF8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9DE19C">
            <w:pPr>
              <w:jc w:val="center"/>
              <w:rPr>
                <w:rFonts w:hint="default" w:ascii="微软雅黑" w:hAnsi="微软雅黑" w:eastAsia="微软雅黑" w:cs="微软雅黑"/>
                <w:i/>
                <w:iCs/>
                <w:color w:val="000000"/>
                <w:sz w:val="16"/>
                <w:szCs w:val="16"/>
                <w:u w:val="none"/>
              </w:rPr>
            </w:pPr>
          </w:p>
        </w:tc>
      </w:tr>
      <w:tr w14:paraId="62012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945F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640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9BE3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C358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聘用人员人均费用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DB7F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6E8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8B7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95B728">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7.65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9E1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412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295272">
            <w:pPr>
              <w:jc w:val="center"/>
              <w:rPr>
                <w:rFonts w:hint="default" w:ascii="微软雅黑" w:hAnsi="微软雅黑" w:eastAsia="微软雅黑" w:cs="微软雅黑"/>
                <w:i/>
                <w:iCs/>
                <w:color w:val="000000"/>
                <w:sz w:val="16"/>
                <w:szCs w:val="16"/>
                <w:u w:val="none"/>
              </w:rPr>
            </w:pPr>
          </w:p>
        </w:tc>
      </w:tr>
      <w:tr w14:paraId="49D06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FD61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E70B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B6E85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33F9E9">
            <w:pPr>
              <w:rPr>
                <w:rFonts w:hint="eastAsia" w:ascii="宋体" w:hAnsi="宋体" w:eastAsia="宋体" w:cs="宋体"/>
                <w:i w:val="0"/>
                <w:iCs w:val="0"/>
                <w:color w:val="000000"/>
                <w:sz w:val="18"/>
                <w:szCs w:val="18"/>
                <w:u w:val="none"/>
              </w:rPr>
            </w:pPr>
          </w:p>
        </w:tc>
      </w:tr>
      <w:tr w14:paraId="71134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FD6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AB5DF9">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不断加强科普公共服务能力建设，多方位、多渠道吸引观众主动进馆体验，全面累计参观人数超过5万，圆满完成各项既定目标任务，自评得分100分。</w:t>
            </w:r>
          </w:p>
        </w:tc>
      </w:tr>
      <w:tr w14:paraId="28AF3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22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4D216D">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展陈品少，维护成本高。在中科馆、省科技馆的关心指导下，利用流动科技馆展陈品成立了阿坝州科技馆，但几年来展陈品更新迭代少，观众已产生疲劳，感觉“不再新鲜”，缺乏吸引力，已无法满足群众日益增长的科技需求。加之展陈品年代久远，需经常性维护，零配件供货及维护在外省，维护费用包含了车船费、伙食费和差旅费，维修成本高，一次维修费用达上万元。</w:t>
            </w:r>
          </w:p>
        </w:tc>
      </w:tr>
      <w:tr w14:paraId="14BC0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E9AF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89D2DD2">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始终坚持把资金用在“刀刃上”，用实用活补助资金。采购展品对科技馆展陈设备进行更新补充，主要用于建馆以来的展品补充改造，提升科技馆的吸引力和拓展科普受众上创新工作模式。</w:t>
            </w:r>
          </w:p>
        </w:tc>
      </w:tr>
    </w:tbl>
    <w:p w14:paraId="62ACF588">
      <w:pPr>
        <w:pStyle w:val="8"/>
        <w:rPr>
          <w:rFonts w:hint="eastAsia" w:ascii="Times New Roman" w:hAnsi="Times New Roman" w:eastAsia="仿宋_GB2312" w:cs="宋体"/>
          <w:color w:val="FF0000"/>
          <w:kern w:val="0"/>
          <w:sz w:val="32"/>
          <w:szCs w:val="32"/>
          <w:highlight w:val="yellow"/>
          <w:shd w:val="clear" w:color="auto" w:fill="FFFFFF"/>
          <w:lang w:val="en-US" w:eastAsia="zh-CN"/>
        </w:rPr>
      </w:pPr>
    </w:p>
    <w:p w14:paraId="2830BAB0">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59"/>
        <w:gridCol w:w="891"/>
        <w:gridCol w:w="1186"/>
        <w:gridCol w:w="396"/>
        <w:gridCol w:w="831"/>
        <w:gridCol w:w="396"/>
        <w:gridCol w:w="846"/>
        <w:gridCol w:w="486"/>
        <w:gridCol w:w="486"/>
        <w:gridCol w:w="1369"/>
      </w:tblGrid>
      <w:tr w14:paraId="4DE6A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4B2F6FB">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3D37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5A2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E682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51320023T000008576900-2022年四川省科普专项资金</w:t>
            </w:r>
          </w:p>
        </w:tc>
      </w:tr>
      <w:tr w14:paraId="2E96C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FFB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9427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州科协部门</w:t>
            </w:r>
          </w:p>
        </w:tc>
        <w:tc>
          <w:tcPr>
            <w:tcW w:w="386" w:type="pct"/>
            <w:tcBorders>
              <w:top w:val="nil"/>
              <w:left w:val="nil"/>
              <w:bottom w:val="nil"/>
              <w:right w:val="nil"/>
            </w:tcBorders>
            <w:shd w:val="clear" w:color="auto" w:fill="auto"/>
            <w:vAlign w:val="center"/>
          </w:tcPr>
          <w:p w14:paraId="29145763">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2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8BC8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w:t>
            </w:r>
          </w:p>
        </w:tc>
      </w:tr>
      <w:tr w14:paraId="6E916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DE8E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5437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FD79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4D2D18">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2C0A6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B5E85">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CAB1E">
            <w:pPr>
              <w:rPr>
                <w:rFonts w:hint="eastAsia" w:ascii="宋体" w:hAnsi="宋体" w:eastAsia="宋体" w:cs="宋体"/>
                <w:i w:val="0"/>
                <w:iCs w:val="0"/>
                <w:color w:val="000000"/>
                <w:sz w:val="18"/>
                <w:szCs w:val="18"/>
                <w:u w:val="none"/>
              </w:rPr>
            </w:pP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39D4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集中将州内代表企业带入更高平台，转化科技成果，解决科技需求，持续不断做好科创会服务工作。</w:t>
            </w:r>
          </w:p>
        </w:tc>
        <w:tc>
          <w:tcPr>
            <w:tcW w:w="16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04591C">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圆满完成“第三届天府科技云服务大会”。阿坝州精心组织部分企事业单位及科技工作者代表参加，遴选2个特色项目参加现场集中推介并筛选6个科创产品参加现场展推活动，并在“云展厅”中集中展推科技项目226个。阿坝州向巴堂高原农业开发有限责任公司的“野生菌干制品及饮料系列加工制造”入选省级重大专场中的食品轻纺和能源化工重大专场并被评为特别推荐优质科创项目，并有5名“科服保姆”被评为十佳或百优“科服保姆”</w:t>
            </w:r>
          </w:p>
        </w:tc>
      </w:tr>
      <w:tr w14:paraId="30EBB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35419">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213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22489B">
            <w:pPr>
              <w:rPr>
                <w:rFonts w:hint="eastAsia" w:ascii="宋体" w:hAnsi="宋体" w:eastAsia="宋体" w:cs="宋体"/>
                <w:i w:val="0"/>
                <w:iCs w:val="0"/>
                <w:color w:val="000000"/>
                <w:sz w:val="18"/>
                <w:szCs w:val="18"/>
                <w:u w:val="none"/>
              </w:rPr>
            </w:pPr>
          </w:p>
        </w:tc>
      </w:tr>
      <w:tr w14:paraId="0EE8A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A4DA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D8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943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F73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B31E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6E7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19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71E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50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30D1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80C96">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30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3E0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E2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1FFB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A5F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80B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8C7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B9B31F">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B575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66D98">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70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B04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C7B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DF1F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B8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CBB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2E3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288C0">
            <w:pPr>
              <w:rPr>
                <w:rFonts w:hint="default" w:ascii="黑体" w:hAnsi="黑体" w:eastAsia="黑体" w:cs="黑体"/>
                <w:i/>
                <w:iCs/>
                <w:color w:val="000000"/>
                <w:sz w:val="18"/>
                <w:szCs w:val="18"/>
                <w:u w:val="none"/>
              </w:rPr>
            </w:pPr>
          </w:p>
        </w:tc>
      </w:tr>
      <w:tr w14:paraId="2D088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4CE4B">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27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69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4C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211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927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7BE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7F0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78F20">
            <w:pPr>
              <w:rPr>
                <w:rFonts w:hint="default" w:ascii="黑体" w:hAnsi="黑体" w:eastAsia="黑体" w:cs="黑体"/>
                <w:i/>
                <w:iCs/>
                <w:color w:val="000000"/>
                <w:sz w:val="18"/>
                <w:szCs w:val="18"/>
                <w:u w:val="none"/>
              </w:rPr>
            </w:pPr>
          </w:p>
        </w:tc>
      </w:tr>
      <w:tr w14:paraId="04059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301CB">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2D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23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465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5226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B6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CE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03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70604">
            <w:pPr>
              <w:rPr>
                <w:rFonts w:hint="default" w:ascii="黑体" w:hAnsi="黑体" w:eastAsia="黑体" w:cs="黑体"/>
                <w:i/>
                <w:iCs/>
                <w:color w:val="000000"/>
                <w:sz w:val="18"/>
                <w:szCs w:val="18"/>
                <w:u w:val="none"/>
              </w:rPr>
            </w:pPr>
          </w:p>
        </w:tc>
      </w:tr>
      <w:tr w14:paraId="2E4DE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22AA1">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BDB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ED155">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77792">
            <w:pPr>
              <w:jc w:val="center"/>
              <w:rPr>
                <w:rFonts w:hint="default" w:ascii="微软雅黑" w:hAnsi="微软雅黑" w:eastAsia="微软雅黑" w:cs="微软雅黑"/>
                <w:i/>
                <w:iCs/>
                <w:color w:val="000000"/>
                <w:sz w:val="16"/>
                <w:szCs w:val="16"/>
                <w:u w:val="none"/>
              </w:rPr>
            </w:pP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7E9A53">
            <w:pPr>
              <w:jc w:val="center"/>
              <w:rPr>
                <w:rFonts w:hint="default"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CCB23">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A91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E1B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70BC3">
            <w:pPr>
              <w:rPr>
                <w:rFonts w:hint="default" w:ascii="黑体" w:hAnsi="黑体" w:eastAsia="黑体" w:cs="黑体"/>
                <w:i/>
                <w:iCs/>
                <w:color w:val="000000"/>
                <w:sz w:val="18"/>
                <w:szCs w:val="18"/>
                <w:u w:val="none"/>
              </w:rPr>
            </w:pPr>
          </w:p>
        </w:tc>
      </w:tr>
      <w:tr w14:paraId="4A614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C7C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EEE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CBB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9C7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FDC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80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6CE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1BC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49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93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07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4E68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67275">
            <w:pPr>
              <w:jc w:val="center"/>
              <w:rPr>
                <w:rFonts w:hint="eastAsia" w:ascii="宋体" w:hAnsi="宋体" w:eastAsia="宋体" w:cs="宋体"/>
                <w:i w:val="0"/>
                <w:iCs w:val="0"/>
                <w:color w:val="000000"/>
                <w:sz w:val="18"/>
                <w:szCs w:val="18"/>
                <w:u w:val="none"/>
              </w:rPr>
            </w:pP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B71C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59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A54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遴选州、县科创会项目</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5B5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9B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D3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0EF95">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226</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684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48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E2F8A">
            <w:pPr>
              <w:jc w:val="center"/>
              <w:rPr>
                <w:rFonts w:hint="default" w:ascii="微软雅黑" w:hAnsi="微软雅黑" w:eastAsia="微软雅黑" w:cs="微软雅黑"/>
                <w:i/>
                <w:iCs/>
                <w:color w:val="000000"/>
                <w:sz w:val="16"/>
                <w:szCs w:val="16"/>
                <w:u w:val="none"/>
              </w:rPr>
            </w:pPr>
          </w:p>
        </w:tc>
      </w:tr>
      <w:tr w14:paraId="60285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DE484">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9BAA0">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C60C0">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CF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打造科创项目“云展厅”</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09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7DC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49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86501">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20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8D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0D0D1">
            <w:pPr>
              <w:jc w:val="center"/>
              <w:rPr>
                <w:rFonts w:hint="default" w:ascii="微软雅黑" w:hAnsi="微软雅黑" w:eastAsia="微软雅黑" w:cs="微软雅黑"/>
                <w:i/>
                <w:iCs/>
                <w:color w:val="000000"/>
                <w:sz w:val="16"/>
                <w:szCs w:val="16"/>
                <w:u w:val="none"/>
              </w:rPr>
            </w:pPr>
          </w:p>
        </w:tc>
      </w:tr>
      <w:tr w14:paraId="39DBE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79324">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0A666">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417D5">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E1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集中攻坚项目落地转化</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F2D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664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328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80AF4">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18</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74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4F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E10EB">
            <w:pPr>
              <w:jc w:val="center"/>
              <w:rPr>
                <w:rFonts w:hint="default" w:ascii="微软雅黑" w:hAnsi="微软雅黑" w:eastAsia="微软雅黑" w:cs="微软雅黑"/>
                <w:i/>
                <w:iCs/>
                <w:color w:val="000000"/>
                <w:sz w:val="16"/>
                <w:szCs w:val="16"/>
                <w:u w:val="none"/>
              </w:rPr>
            </w:pPr>
          </w:p>
        </w:tc>
      </w:tr>
      <w:tr w14:paraId="11FC5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693D1">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41EB8">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506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194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组织州内企事业及科技工作者参加大会</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0E1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486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50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6AE12">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64</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C4B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C99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FFD9C">
            <w:pPr>
              <w:jc w:val="center"/>
              <w:rPr>
                <w:rFonts w:hint="default" w:ascii="微软雅黑" w:hAnsi="微软雅黑" w:eastAsia="微软雅黑" w:cs="微软雅黑"/>
                <w:i/>
                <w:iCs/>
                <w:color w:val="000000"/>
                <w:sz w:val="16"/>
                <w:szCs w:val="16"/>
                <w:u w:val="none"/>
              </w:rPr>
            </w:pPr>
          </w:p>
        </w:tc>
      </w:tr>
      <w:tr w14:paraId="5785E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3CE83">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F835D">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4A5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413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27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E0C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1E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530C3">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12</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13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95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EA963">
            <w:pPr>
              <w:jc w:val="center"/>
              <w:rPr>
                <w:rFonts w:hint="default" w:ascii="微软雅黑" w:hAnsi="微软雅黑" w:eastAsia="微软雅黑" w:cs="微软雅黑"/>
                <w:i/>
                <w:iCs/>
                <w:color w:val="000000"/>
                <w:sz w:val="16"/>
                <w:szCs w:val="16"/>
                <w:u w:val="none"/>
              </w:rPr>
            </w:pPr>
          </w:p>
        </w:tc>
      </w:tr>
      <w:tr w14:paraId="6EEBB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83E92">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9B3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86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C7B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打造永不落幕的科创会</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F5F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F97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E8D46">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95844">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长期</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B68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EA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B610D">
            <w:pPr>
              <w:jc w:val="center"/>
              <w:rPr>
                <w:rFonts w:hint="default" w:ascii="微软雅黑" w:hAnsi="微软雅黑" w:eastAsia="微软雅黑" w:cs="微软雅黑"/>
                <w:i/>
                <w:iCs/>
                <w:color w:val="000000"/>
                <w:sz w:val="16"/>
                <w:szCs w:val="16"/>
                <w:u w:val="none"/>
              </w:rPr>
            </w:pPr>
          </w:p>
        </w:tc>
      </w:tr>
      <w:tr w14:paraId="360DA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94D8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32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25F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1F6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供需双方或对接双方满意度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E5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4A6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1D8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C0DFC">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95</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EB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0AB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D9536">
            <w:pPr>
              <w:jc w:val="center"/>
              <w:rPr>
                <w:rFonts w:hint="default" w:ascii="微软雅黑" w:hAnsi="微软雅黑" w:eastAsia="微软雅黑" w:cs="微软雅黑"/>
                <w:i/>
                <w:iCs/>
                <w:color w:val="000000"/>
                <w:sz w:val="16"/>
                <w:szCs w:val="16"/>
                <w:u w:val="none"/>
              </w:rPr>
            </w:pPr>
          </w:p>
        </w:tc>
      </w:tr>
      <w:tr w14:paraId="66E31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2E693">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49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9A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85F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BD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300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CF0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5AD1C">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10.9</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F9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99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F1C9E">
            <w:pPr>
              <w:jc w:val="center"/>
              <w:rPr>
                <w:rFonts w:hint="default" w:ascii="微软雅黑" w:hAnsi="微软雅黑" w:eastAsia="微软雅黑" w:cs="微软雅黑"/>
                <w:i/>
                <w:iCs/>
                <w:color w:val="000000"/>
                <w:sz w:val="16"/>
                <w:szCs w:val="16"/>
                <w:u w:val="none"/>
              </w:rPr>
            </w:pPr>
          </w:p>
        </w:tc>
      </w:tr>
      <w:tr w14:paraId="25AF7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B90D8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3D5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21EF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965B6">
            <w:pPr>
              <w:rPr>
                <w:rFonts w:hint="eastAsia" w:ascii="宋体" w:hAnsi="宋体" w:eastAsia="宋体" w:cs="宋体"/>
                <w:i w:val="0"/>
                <w:iCs w:val="0"/>
                <w:color w:val="000000"/>
                <w:sz w:val="18"/>
                <w:szCs w:val="18"/>
                <w:u w:val="none"/>
              </w:rPr>
            </w:pPr>
          </w:p>
        </w:tc>
      </w:tr>
      <w:tr w14:paraId="7A1F5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F6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0E6714">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该项目自评得分100分，圆满完成“第三届天府科技云服务大会”。阿坝州精心组织部分企事业单位及科技工作者代表参加，遴选2个特色项目参加现场集中推介并筛选6个科创产品参加现场展推活动，并在“云展厅”中集中展推科技项目226个。阿坝州向巴堂高原农业开发有限责任公司的“野生菌干制品及饮料系列加工制造”入选省级重大专场中的食品轻纺和能源化工重大专场并被评为特别推荐优质科创项目，并有5名“科服保姆”被评为十佳或百优“科服保姆”；同绵阳市、德阳市、广元市及重庆北碚区、潼南区等10地科协组成“涪江流域科技协同创新发展联合体”。在共同举办的第三届天府科技云服务大会集中推介洽谈活动暨2024年涪江流域科技协同创新发展活动启动仪式上四川国青川贝母生物科技股份有限公司与会推介“川贝母种植栽培的科学研究”、汶川县神州锆业科技有限公司被表彰为“先进团队”、松潘县中药材全程质量追溯体系建设被表彰为“典型案例”、金川县科学技术和农业畜牧局安德科荣获“十佳科技工作者”称号。</w:t>
            </w:r>
          </w:p>
        </w:tc>
      </w:tr>
      <w:tr w14:paraId="0BE91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623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233419">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州内企业多为粗犷性，无高端性技术进行推广。</w:t>
            </w:r>
          </w:p>
        </w:tc>
      </w:tr>
      <w:tr w14:paraId="33394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85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40D894">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深入更多企业开展挖掘，针对性开展工作。</w:t>
            </w:r>
          </w:p>
        </w:tc>
      </w:tr>
    </w:tbl>
    <w:p w14:paraId="6ECEC867">
      <w:pPr>
        <w:rPr>
          <w:rFonts w:hint="eastAsia" w:ascii="Times New Roman" w:hAnsi="Times New Roman" w:eastAsia="黑体" w:cs="黑体"/>
          <w:color w:val="auto"/>
          <w:kern w:val="0"/>
          <w:sz w:val="32"/>
          <w:szCs w:val="32"/>
          <w:highlight w:val="none"/>
          <w:shd w:val="clear" w:color="auto" w:fill="FFFFFF"/>
          <w:lang w:val="zh-CN"/>
        </w:rPr>
      </w:pPr>
    </w:p>
    <w:p w14:paraId="4082539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1821768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146"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76"/>
        <w:gridCol w:w="909"/>
        <w:gridCol w:w="1204"/>
        <w:gridCol w:w="396"/>
        <w:gridCol w:w="851"/>
        <w:gridCol w:w="396"/>
        <w:gridCol w:w="756"/>
        <w:gridCol w:w="486"/>
        <w:gridCol w:w="486"/>
        <w:gridCol w:w="1386"/>
      </w:tblGrid>
      <w:tr w14:paraId="377B6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4A24F7A">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4A0F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86B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B2B6E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51320023T000009877501-2023年科技馆免费开放补助资金</w:t>
            </w:r>
          </w:p>
        </w:tc>
      </w:tr>
      <w:tr w14:paraId="2CB12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103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41EB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州科协部门</w:t>
            </w:r>
          </w:p>
        </w:tc>
        <w:tc>
          <w:tcPr>
            <w:tcW w:w="386" w:type="pct"/>
            <w:tcBorders>
              <w:top w:val="nil"/>
              <w:left w:val="nil"/>
              <w:bottom w:val="nil"/>
              <w:right w:val="nil"/>
            </w:tcBorders>
            <w:shd w:val="clear" w:color="auto" w:fill="auto"/>
            <w:vAlign w:val="center"/>
          </w:tcPr>
          <w:p w14:paraId="5F997E6B">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2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AEB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w:t>
            </w:r>
          </w:p>
        </w:tc>
      </w:tr>
      <w:tr w14:paraId="3B793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9EB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796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59B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5578B0">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0115F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62768">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D126D">
            <w:pPr>
              <w:rPr>
                <w:rFonts w:hint="eastAsia" w:ascii="宋体" w:hAnsi="宋体" w:eastAsia="宋体" w:cs="宋体"/>
                <w:i w:val="0"/>
                <w:iCs w:val="0"/>
                <w:color w:val="000000"/>
                <w:sz w:val="18"/>
                <w:szCs w:val="18"/>
                <w:u w:val="none"/>
              </w:rPr>
            </w:pPr>
          </w:p>
        </w:tc>
        <w:tc>
          <w:tcPr>
            <w:tcW w:w="239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A3C0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让科技馆成为社会公众感受科技魅力的主阵地，作为马尔康市名片向外输出科技知识。</w:t>
            </w:r>
          </w:p>
        </w:tc>
        <w:tc>
          <w:tcPr>
            <w:tcW w:w="16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7E709E">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利用现有的1100平米实体科技馆，将科技馆作为学校的校外课堂，与驻地学校阿坝州外国语实验学校、马尔康市第二小学校深度开展馆校合作89次，参与学生2000余人；免费向公众开展周末科学课堂，开展手工制作课、创客科学课、机器人搭建课、机器人编程课等99节，参与群众329人;开展机器人表演12场次，覆盖群众8930人；开展VR互动体验，参与群众3000余人</w:t>
            </w:r>
          </w:p>
        </w:tc>
      </w:tr>
      <w:tr w14:paraId="5C405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9DD6F">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BAE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EC31B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严管理、强服务、重创新、夯基础、提专业的管理思路，常态化开展廉政文化建设，注重“提醒在前，教育在先”，通过学习案例通报，观看案件警示教育片和廉政教育专题片，增强全体干部职工的廉政意识和风险意识；定期对展教员履行岗位职责情况、遵章守纪情况开展检查考核、纳入个人绩效评估，做到防微杜渐，提高工作效能。</w:t>
            </w:r>
          </w:p>
        </w:tc>
      </w:tr>
      <w:tr w14:paraId="2B16D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28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E4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066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D85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E7AE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432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7F1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B1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9CD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BC6C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76029">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0E6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97F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47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66.19</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6C4F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10.16</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7E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15.34%</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7F2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6C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5B01D0">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本着资金节约的原则，利用免开资金更新补充科技馆展陈设备。</w:t>
            </w:r>
          </w:p>
        </w:tc>
      </w:tr>
      <w:tr w14:paraId="3518A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43F0D">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0D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728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03F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66.19</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9E74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10.16</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2E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15.34%</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AF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20B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189C8">
            <w:pPr>
              <w:rPr>
                <w:rFonts w:hint="default" w:ascii="黑体" w:hAnsi="黑体" w:eastAsia="黑体" w:cs="黑体"/>
                <w:i/>
                <w:iCs/>
                <w:color w:val="000000"/>
                <w:sz w:val="18"/>
                <w:szCs w:val="18"/>
                <w:u w:val="none"/>
              </w:rPr>
            </w:pPr>
          </w:p>
        </w:tc>
      </w:tr>
      <w:tr w14:paraId="0FBE1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6E3F3">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CF3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BC5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797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C09D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EC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1D7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C45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102A8">
            <w:pPr>
              <w:rPr>
                <w:rFonts w:hint="default" w:ascii="黑体" w:hAnsi="黑体" w:eastAsia="黑体" w:cs="黑体"/>
                <w:i/>
                <w:iCs/>
                <w:color w:val="000000"/>
                <w:sz w:val="18"/>
                <w:szCs w:val="18"/>
                <w:u w:val="none"/>
              </w:rPr>
            </w:pPr>
          </w:p>
        </w:tc>
      </w:tr>
      <w:tr w14:paraId="530BE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A832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E4E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EA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22F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884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76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85E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7FF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7A93C">
            <w:pPr>
              <w:rPr>
                <w:rFonts w:hint="default" w:ascii="黑体" w:hAnsi="黑体" w:eastAsia="黑体" w:cs="黑体"/>
                <w:i/>
                <w:iCs/>
                <w:color w:val="000000"/>
                <w:sz w:val="18"/>
                <w:szCs w:val="18"/>
                <w:u w:val="none"/>
              </w:rPr>
            </w:pPr>
          </w:p>
        </w:tc>
      </w:tr>
      <w:tr w14:paraId="71738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7105A">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C4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966CA">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69BF3">
            <w:pPr>
              <w:jc w:val="center"/>
              <w:rPr>
                <w:rFonts w:hint="default" w:ascii="微软雅黑" w:hAnsi="微软雅黑" w:eastAsia="微软雅黑" w:cs="微软雅黑"/>
                <w:i/>
                <w:iCs/>
                <w:color w:val="000000"/>
                <w:sz w:val="16"/>
                <w:szCs w:val="16"/>
                <w:u w:val="none"/>
              </w:rPr>
            </w:pP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90FE5A">
            <w:pPr>
              <w:jc w:val="center"/>
              <w:rPr>
                <w:rFonts w:hint="default"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585C7">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22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13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8698E">
            <w:pPr>
              <w:rPr>
                <w:rFonts w:hint="default" w:ascii="黑体" w:hAnsi="黑体" w:eastAsia="黑体" w:cs="黑体"/>
                <w:i/>
                <w:iCs/>
                <w:color w:val="000000"/>
                <w:sz w:val="18"/>
                <w:szCs w:val="18"/>
                <w:u w:val="none"/>
              </w:rPr>
            </w:pPr>
          </w:p>
        </w:tc>
      </w:tr>
      <w:tr w14:paraId="79510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039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A93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914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F5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D58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DF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D9F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769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320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195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B7B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291B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05A84">
            <w:pPr>
              <w:jc w:val="center"/>
              <w:rPr>
                <w:rFonts w:hint="eastAsia" w:ascii="宋体" w:hAnsi="宋体" w:eastAsia="宋体" w:cs="宋体"/>
                <w:i w:val="0"/>
                <w:iCs w:val="0"/>
                <w:color w:val="000000"/>
                <w:sz w:val="18"/>
                <w:szCs w:val="18"/>
                <w:u w:val="none"/>
              </w:rPr>
            </w:pP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27E2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862E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026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开展科技馆进校园活动</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51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F5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BB7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3EC66">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972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76E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728EF">
            <w:pPr>
              <w:jc w:val="center"/>
              <w:rPr>
                <w:rFonts w:hint="default" w:ascii="微软雅黑" w:hAnsi="微软雅黑" w:eastAsia="微软雅黑" w:cs="微软雅黑"/>
                <w:i/>
                <w:iCs/>
                <w:color w:val="000000"/>
                <w:sz w:val="16"/>
                <w:szCs w:val="16"/>
                <w:u w:val="none"/>
              </w:rPr>
            </w:pPr>
          </w:p>
        </w:tc>
      </w:tr>
      <w:tr w14:paraId="4A3BA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87ED2">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5CF38">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BBA65">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158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增加展成品</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705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F32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18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90813">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2</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3A9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33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D5A7C">
            <w:pPr>
              <w:jc w:val="center"/>
              <w:rPr>
                <w:rFonts w:hint="default" w:ascii="微软雅黑" w:hAnsi="微软雅黑" w:eastAsia="微软雅黑" w:cs="微软雅黑"/>
                <w:i/>
                <w:iCs/>
                <w:color w:val="000000"/>
                <w:sz w:val="16"/>
                <w:szCs w:val="16"/>
                <w:u w:val="none"/>
              </w:rPr>
            </w:pPr>
          </w:p>
        </w:tc>
      </w:tr>
      <w:tr w14:paraId="78320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671EC">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C03EA">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F0627">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AD9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组织全州科技辅导员培训</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0C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59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BD1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AEDA4">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4</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86F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8C5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A8A7D">
            <w:pPr>
              <w:jc w:val="center"/>
              <w:rPr>
                <w:rFonts w:hint="default" w:ascii="微软雅黑" w:hAnsi="微软雅黑" w:eastAsia="微软雅黑" w:cs="微软雅黑"/>
                <w:i/>
                <w:iCs/>
                <w:color w:val="000000"/>
                <w:sz w:val="16"/>
                <w:szCs w:val="16"/>
                <w:u w:val="none"/>
              </w:rPr>
            </w:pPr>
          </w:p>
        </w:tc>
      </w:tr>
      <w:tr w14:paraId="2BC0F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40204">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6D423">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A8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44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免费对公众开放</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1E5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76F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40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82D19">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59301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16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74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4DB90">
            <w:pPr>
              <w:jc w:val="center"/>
              <w:rPr>
                <w:rFonts w:hint="default" w:ascii="微软雅黑" w:hAnsi="微软雅黑" w:eastAsia="微软雅黑" w:cs="微软雅黑"/>
                <w:i/>
                <w:iCs/>
                <w:color w:val="000000"/>
                <w:sz w:val="16"/>
                <w:szCs w:val="16"/>
                <w:u w:val="none"/>
              </w:rPr>
            </w:pPr>
          </w:p>
        </w:tc>
      </w:tr>
      <w:tr w14:paraId="746DC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29711">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308A5">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AA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7B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37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5CC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93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24034">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12</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1B2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B9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72A59">
            <w:pPr>
              <w:jc w:val="center"/>
              <w:rPr>
                <w:rFonts w:hint="default" w:ascii="微软雅黑" w:hAnsi="微软雅黑" w:eastAsia="微软雅黑" w:cs="微软雅黑"/>
                <w:i/>
                <w:iCs/>
                <w:color w:val="000000"/>
                <w:sz w:val="16"/>
                <w:szCs w:val="16"/>
                <w:u w:val="none"/>
              </w:rPr>
            </w:pPr>
          </w:p>
        </w:tc>
      </w:tr>
      <w:tr w14:paraId="1BDC8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01126">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9A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3A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91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引导群众主动获取科普知识</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984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0AC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B73F6">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C08A3">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长期</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55E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88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448AC">
            <w:pPr>
              <w:jc w:val="center"/>
              <w:rPr>
                <w:rFonts w:hint="default" w:ascii="微软雅黑" w:hAnsi="微软雅黑" w:eastAsia="微软雅黑" w:cs="微软雅黑"/>
                <w:i/>
                <w:iCs/>
                <w:color w:val="000000"/>
                <w:sz w:val="16"/>
                <w:szCs w:val="16"/>
                <w:u w:val="none"/>
              </w:rPr>
            </w:pPr>
          </w:p>
        </w:tc>
      </w:tr>
      <w:tr w14:paraId="3D1BA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14449">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D2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14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EB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进馆群众满意度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A55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CE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B2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4569C">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95</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53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9EE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F6DED">
            <w:pPr>
              <w:jc w:val="center"/>
              <w:rPr>
                <w:rFonts w:hint="default" w:ascii="微软雅黑" w:hAnsi="微软雅黑" w:eastAsia="微软雅黑" w:cs="微软雅黑"/>
                <w:i/>
                <w:iCs/>
                <w:color w:val="000000"/>
                <w:sz w:val="16"/>
                <w:szCs w:val="16"/>
                <w:u w:val="none"/>
              </w:rPr>
            </w:pPr>
          </w:p>
        </w:tc>
      </w:tr>
      <w:tr w14:paraId="00B12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1CA5B">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473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85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78B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CC4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257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66.19</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AAB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15737">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10.16</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3F5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8D0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A6FAF">
            <w:pPr>
              <w:jc w:val="center"/>
              <w:rPr>
                <w:rFonts w:hint="default" w:ascii="微软雅黑" w:hAnsi="微软雅黑" w:eastAsia="微软雅黑" w:cs="微软雅黑"/>
                <w:i/>
                <w:iCs/>
                <w:color w:val="000000"/>
                <w:sz w:val="16"/>
                <w:szCs w:val="16"/>
                <w:u w:val="none"/>
              </w:rPr>
            </w:pPr>
          </w:p>
        </w:tc>
      </w:tr>
      <w:tr w14:paraId="77EE4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B730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DF1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A60E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DFCDC">
            <w:pPr>
              <w:rPr>
                <w:rFonts w:hint="eastAsia" w:ascii="宋体" w:hAnsi="宋体" w:eastAsia="宋体" w:cs="宋体"/>
                <w:i w:val="0"/>
                <w:iCs w:val="0"/>
                <w:color w:val="000000"/>
                <w:sz w:val="18"/>
                <w:szCs w:val="18"/>
                <w:u w:val="none"/>
              </w:rPr>
            </w:pPr>
          </w:p>
        </w:tc>
      </w:tr>
      <w:tr w14:paraId="4F2A8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D6C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200578">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自评得分100分，圆满完成了各项目标任务，将科技馆展品与县（市）共享，争取到省科技馆临时设备支持在理县设立流动科普点，把科技馆VR体验移交汶川县和松潘县3个学校使用，继续发挥展品的科普能力；开展“科普一战到底”线上科普活动1期和参加“千馆并进 筑基科素”联合行动，被中国自然科学博物馆学会评为“千馆并进 筑基科素”联合行动优秀组织单位。</w:t>
            </w:r>
          </w:p>
        </w:tc>
      </w:tr>
      <w:tr w14:paraId="12245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1BF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FCBAB0">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受众区域受限，覆盖群众单一。目前，我馆很多科普活动受现实条件的影响，主要针对所在地马尔康的幼儿和青少年在开展，但科技馆作为公益性的科普教育场所，其覆盖面不能仅限于某一地区某一社会群体，而应该是各地广大的群体需求，构筑多维多样的科普空间。</w:t>
            </w:r>
          </w:p>
        </w:tc>
      </w:tr>
      <w:tr w14:paraId="6DF7E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D7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A50EF6">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拓宽科普渠道，提升线上科普能力建设。随着科普方式的推进，线上科普也作为了一个重要方式，它集范围广、传播快等特点，更能在短时间内达到传播科技知识的目的。阿坝州科技馆将利用抖音、微视频等主流媒体，将科技馆设备科学原理通过线上输出方式，带动更多群众走进阿坝州科技馆，同时邀请行业内专家或人才分享科普知识。</w:t>
            </w:r>
          </w:p>
        </w:tc>
      </w:tr>
    </w:tbl>
    <w:p w14:paraId="2FB2B78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987"/>
        <w:gridCol w:w="824"/>
        <w:gridCol w:w="1108"/>
        <w:gridCol w:w="396"/>
        <w:gridCol w:w="766"/>
        <w:gridCol w:w="756"/>
        <w:gridCol w:w="846"/>
        <w:gridCol w:w="486"/>
        <w:gridCol w:w="487"/>
        <w:gridCol w:w="1290"/>
      </w:tblGrid>
      <w:tr w14:paraId="3A309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C38173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76D6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B7D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4804B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51320024T000010711845-国产电脑更新</w:t>
            </w:r>
          </w:p>
        </w:tc>
      </w:tr>
      <w:tr w14:paraId="50041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368F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42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2EFD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州科协部门</w:t>
            </w:r>
          </w:p>
        </w:tc>
        <w:tc>
          <w:tcPr>
            <w:tcW w:w="383" w:type="pct"/>
            <w:tcBorders>
              <w:top w:val="nil"/>
              <w:left w:val="nil"/>
              <w:bottom w:val="nil"/>
              <w:right w:val="nil"/>
            </w:tcBorders>
            <w:shd w:val="clear" w:color="auto" w:fill="auto"/>
            <w:vAlign w:val="center"/>
          </w:tcPr>
          <w:p w14:paraId="3E4F7E86">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2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3370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w:t>
            </w:r>
          </w:p>
        </w:tc>
      </w:tr>
      <w:tr w14:paraId="33C80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0E85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4B76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42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82E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21"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1E44C6">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031CC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CE970">
            <w:pPr>
              <w:rPr>
                <w:rFonts w:hint="eastAsia" w:ascii="宋体" w:hAnsi="宋体" w:eastAsia="宋体" w:cs="宋体"/>
                <w:i w:val="0"/>
                <w:iCs w:val="0"/>
                <w:color w:val="000000"/>
                <w:sz w:val="18"/>
                <w:szCs w:val="18"/>
                <w:u w:val="none"/>
              </w:rPr>
            </w:pPr>
          </w:p>
        </w:tc>
        <w:tc>
          <w:tcPr>
            <w:tcW w:w="7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140DC">
            <w:pPr>
              <w:rPr>
                <w:rFonts w:hint="eastAsia" w:ascii="宋体" w:hAnsi="宋体" w:eastAsia="宋体" w:cs="宋体"/>
                <w:i w:val="0"/>
                <w:iCs w:val="0"/>
                <w:color w:val="000000"/>
                <w:sz w:val="18"/>
                <w:szCs w:val="18"/>
                <w:u w:val="none"/>
              </w:rPr>
            </w:pPr>
          </w:p>
        </w:tc>
        <w:tc>
          <w:tcPr>
            <w:tcW w:w="242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F347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更换5台国产台式电脑</w:t>
            </w:r>
          </w:p>
        </w:tc>
        <w:tc>
          <w:tcPr>
            <w:tcW w:w="1621"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0F3F02">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完成5台国产电脑的更新</w:t>
            </w:r>
          </w:p>
        </w:tc>
      </w:tr>
      <w:tr w14:paraId="7C55B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992BC">
            <w:pP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931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CDEBF1">
            <w:pPr>
              <w:rPr>
                <w:rFonts w:hint="eastAsia" w:ascii="宋体" w:hAnsi="宋体" w:eastAsia="宋体" w:cs="宋体"/>
                <w:i w:val="0"/>
                <w:iCs w:val="0"/>
                <w:color w:val="000000"/>
                <w:sz w:val="18"/>
                <w:szCs w:val="18"/>
                <w:u w:val="none"/>
              </w:rPr>
            </w:pPr>
          </w:p>
        </w:tc>
      </w:tr>
      <w:tr w14:paraId="2587E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4F7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8BA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142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BC6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42F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931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8FD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8A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22F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049C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C0C2E">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207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A1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4.52</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656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4.37</w:t>
            </w:r>
          </w:p>
        </w:tc>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DF04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4.37</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22A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07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1C2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ADD011">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62FF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968B8">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48B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A11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4.52</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B74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4.37</w:t>
            </w:r>
          </w:p>
        </w:tc>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D07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4.37</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D63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510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1D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FA868">
            <w:pPr>
              <w:rPr>
                <w:rFonts w:hint="default" w:ascii="黑体" w:hAnsi="黑体" w:eastAsia="黑体" w:cs="黑体"/>
                <w:i/>
                <w:iCs/>
                <w:color w:val="000000"/>
                <w:sz w:val="18"/>
                <w:szCs w:val="18"/>
                <w:u w:val="none"/>
              </w:rPr>
            </w:pPr>
          </w:p>
        </w:tc>
      </w:tr>
      <w:tr w14:paraId="0AA34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6D1BD">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287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4EC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EC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8247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38B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7BF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D7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2BC96">
            <w:pPr>
              <w:rPr>
                <w:rFonts w:hint="default" w:ascii="黑体" w:hAnsi="黑体" w:eastAsia="黑体" w:cs="黑体"/>
                <w:i/>
                <w:iCs/>
                <w:color w:val="000000"/>
                <w:sz w:val="18"/>
                <w:szCs w:val="18"/>
                <w:u w:val="none"/>
              </w:rPr>
            </w:pPr>
          </w:p>
        </w:tc>
      </w:tr>
      <w:tr w14:paraId="19BF7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316F1">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040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6AA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077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436D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FA8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F9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4D4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9E5E6">
            <w:pPr>
              <w:rPr>
                <w:rFonts w:hint="default" w:ascii="黑体" w:hAnsi="黑体" w:eastAsia="黑体" w:cs="黑体"/>
                <w:i/>
                <w:iCs/>
                <w:color w:val="000000"/>
                <w:sz w:val="18"/>
                <w:szCs w:val="18"/>
                <w:u w:val="none"/>
              </w:rPr>
            </w:pPr>
          </w:p>
        </w:tc>
      </w:tr>
      <w:tr w14:paraId="38FF7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29F1E">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6C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5CC66">
            <w:pPr>
              <w:jc w:val="center"/>
              <w:rPr>
                <w:rFonts w:hint="eastAsia" w:ascii="微软雅黑" w:hAnsi="微软雅黑" w:eastAsia="微软雅黑" w:cs="微软雅黑"/>
                <w:i/>
                <w:iCs/>
                <w:color w:val="000000"/>
                <w:sz w:val="16"/>
                <w:szCs w:val="16"/>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CE0DC">
            <w:pPr>
              <w:jc w:val="center"/>
              <w:rPr>
                <w:rFonts w:hint="default" w:ascii="微软雅黑" w:hAnsi="微软雅黑" w:eastAsia="微软雅黑" w:cs="微软雅黑"/>
                <w:i/>
                <w:iCs/>
                <w:color w:val="000000"/>
                <w:sz w:val="16"/>
                <w:szCs w:val="16"/>
                <w:u w:val="none"/>
              </w:rPr>
            </w:pPr>
          </w:p>
        </w:tc>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7C6E95">
            <w:pPr>
              <w:jc w:val="center"/>
              <w:rPr>
                <w:rFonts w:hint="default" w:ascii="微软雅黑" w:hAnsi="微软雅黑" w:eastAsia="微软雅黑" w:cs="微软雅黑"/>
                <w:i/>
                <w:iCs/>
                <w:color w:val="000000"/>
                <w:sz w:val="16"/>
                <w:szCs w:val="16"/>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B1202">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247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04B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90A57">
            <w:pPr>
              <w:rPr>
                <w:rFonts w:hint="default" w:ascii="黑体" w:hAnsi="黑体" w:eastAsia="黑体" w:cs="黑体"/>
                <w:i/>
                <w:iCs/>
                <w:color w:val="000000"/>
                <w:sz w:val="18"/>
                <w:szCs w:val="18"/>
                <w:u w:val="none"/>
              </w:rPr>
            </w:pPr>
          </w:p>
        </w:tc>
      </w:tr>
      <w:tr w14:paraId="2E93A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D4B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425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CEE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94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C9E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71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F1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291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FCF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EA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99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F44A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337EF">
            <w:pPr>
              <w:jc w:val="center"/>
              <w:rPr>
                <w:rFonts w:hint="eastAsia" w:ascii="宋体" w:hAnsi="宋体" w:eastAsia="宋体" w:cs="宋体"/>
                <w:i w:val="0"/>
                <w:iCs w:val="0"/>
                <w:color w:val="000000"/>
                <w:sz w:val="18"/>
                <w:szCs w:val="18"/>
                <w:u w:val="none"/>
              </w:rPr>
            </w:pPr>
          </w:p>
        </w:tc>
        <w:tc>
          <w:tcPr>
            <w:tcW w:w="7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CB18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3D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EA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更换国产台式电脑</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8A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AFA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A11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台（套）</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A4460">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5</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7F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EEC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56EBF">
            <w:pPr>
              <w:jc w:val="center"/>
              <w:rPr>
                <w:rFonts w:hint="default" w:ascii="微软雅黑" w:hAnsi="微软雅黑" w:eastAsia="微软雅黑" w:cs="微软雅黑"/>
                <w:i/>
                <w:iCs/>
                <w:color w:val="000000"/>
                <w:sz w:val="16"/>
                <w:szCs w:val="16"/>
                <w:u w:val="none"/>
              </w:rPr>
            </w:pPr>
          </w:p>
        </w:tc>
      </w:tr>
      <w:tr w14:paraId="4637B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1435D">
            <w:pPr>
              <w:jc w:val="center"/>
              <w:rPr>
                <w:rFonts w:hint="eastAsia" w:ascii="宋体" w:hAnsi="宋体" w:eastAsia="宋体" w:cs="宋体"/>
                <w:i w:val="0"/>
                <w:iCs w:val="0"/>
                <w:color w:val="000000"/>
                <w:sz w:val="18"/>
                <w:szCs w:val="18"/>
                <w:u w:val="none"/>
              </w:rPr>
            </w:pPr>
          </w:p>
        </w:tc>
        <w:tc>
          <w:tcPr>
            <w:tcW w:w="7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AEC11">
            <w:pPr>
              <w:jc w:val="center"/>
              <w:rPr>
                <w:rFonts w:hint="eastAsia" w:ascii="宋体" w:hAnsi="宋体" w:eastAsia="宋体" w:cs="宋体"/>
                <w:i w:val="0"/>
                <w:iCs w:val="0"/>
                <w:color w:val="000000"/>
                <w:sz w:val="18"/>
                <w:szCs w:val="18"/>
                <w:u w:val="none"/>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28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DF4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电脑验收合格率</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47A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D0D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2D5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BE448">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AD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2D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FDFB4">
            <w:pPr>
              <w:jc w:val="center"/>
              <w:rPr>
                <w:rFonts w:hint="default" w:ascii="微软雅黑" w:hAnsi="微软雅黑" w:eastAsia="微软雅黑" w:cs="微软雅黑"/>
                <w:i/>
                <w:iCs/>
                <w:color w:val="000000"/>
                <w:sz w:val="16"/>
                <w:szCs w:val="16"/>
                <w:u w:val="none"/>
              </w:rPr>
            </w:pPr>
          </w:p>
        </w:tc>
      </w:tr>
      <w:tr w14:paraId="718CC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473A1">
            <w:pPr>
              <w:jc w:val="center"/>
              <w:rPr>
                <w:rFonts w:hint="eastAsia" w:ascii="宋体" w:hAnsi="宋体" w:eastAsia="宋体" w:cs="宋体"/>
                <w:i w:val="0"/>
                <w:iCs w:val="0"/>
                <w:color w:val="000000"/>
                <w:sz w:val="18"/>
                <w:szCs w:val="18"/>
                <w:u w:val="none"/>
              </w:rPr>
            </w:pPr>
          </w:p>
        </w:tc>
        <w:tc>
          <w:tcPr>
            <w:tcW w:w="7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2DC46">
            <w:pPr>
              <w:jc w:val="center"/>
              <w:rPr>
                <w:rFonts w:hint="eastAsia" w:ascii="宋体" w:hAnsi="宋体" w:eastAsia="宋体" w:cs="宋体"/>
                <w:i w:val="0"/>
                <w:iCs w:val="0"/>
                <w:color w:val="000000"/>
                <w:sz w:val="18"/>
                <w:szCs w:val="18"/>
                <w:u w:val="none"/>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9A1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FE3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AF8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EB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6782A">
            <w:pPr>
              <w:jc w:val="center"/>
              <w:rPr>
                <w:rFonts w:hint="eastAsia" w:ascii="宋体" w:hAnsi="宋体" w:eastAsia="宋体" w:cs="宋体"/>
                <w:i w:val="0"/>
                <w:iCs w:val="0"/>
                <w:color w:val="000000"/>
                <w:sz w:val="18"/>
                <w:szCs w:val="18"/>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67440">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12</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DCC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BA5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1DD5A">
            <w:pPr>
              <w:jc w:val="center"/>
              <w:rPr>
                <w:rFonts w:hint="default" w:ascii="微软雅黑" w:hAnsi="微软雅黑" w:eastAsia="微软雅黑" w:cs="微软雅黑"/>
                <w:i/>
                <w:iCs/>
                <w:color w:val="000000"/>
                <w:sz w:val="16"/>
                <w:szCs w:val="16"/>
                <w:u w:val="none"/>
              </w:rPr>
            </w:pPr>
          </w:p>
        </w:tc>
      </w:tr>
      <w:tr w14:paraId="25F52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6ED00">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94A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81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E72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保障职工正常办公</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36E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C4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FCB0F">
            <w:pPr>
              <w:jc w:val="center"/>
              <w:rPr>
                <w:rFonts w:hint="eastAsia" w:ascii="宋体" w:hAnsi="宋体" w:eastAsia="宋体" w:cs="宋体"/>
                <w:i w:val="0"/>
                <w:iCs w:val="0"/>
                <w:color w:val="000000"/>
                <w:sz w:val="18"/>
                <w:szCs w:val="18"/>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6B98C">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长期</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21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1BD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F0D7F">
            <w:pPr>
              <w:jc w:val="center"/>
              <w:rPr>
                <w:rFonts w:hint="default" w:ascii="微软雅黑" w:hAnsi="微软雅黑" w:eastAsia="微软雅黑" w:cs="微软雅黑"/>
                <w:i/>
                <w:iCs/>
                <w:color w:val="000000"/>
                <w:sz w:val="16"/>
                <w:szCs w:val="16"/>
                <w:u w:val="none"/>
              </w:rPr>
            </w:pPr>
          </w:p>
        </w:tc>
      </w:tr>
      <w:tr w14:paraId="599FB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23536">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2D5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1D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DD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职工满意度</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D1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BDA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09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92150">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BF9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A5B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5AA3B">
            <w:pPr>
              <w:jc w:val="center"/>
              <w:rPr>
                <w:rFonts w:hint="default" w:ascii="微软雅黑" w:hAnsi="微软雅黑" w:eastAsia="微软雅黑" w:cs="微软雅黑"/>
                <w:i/>
                <w:iCs/>
                <w:color w:val="000000"/>
                <w:sz w:val="16"/>
                <w:szCs w:val="16"/>
                <w:u w:val="none"/>
              </w:rPr>
            </w:pPr>
          </w:p>
        </w:tc>
      </w:tr>
      <w:tr w14:paraId="4CCC2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1EEC5">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D5F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7BD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5D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每台电脑成本</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12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FD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8430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77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7D1BE">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5943</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60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B4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810D3">
            <w:pPr>
              <w:jc w:val="center"/>
              <w:rPr>
                <w:rFonts w:hint="default" w:ascii="微软雅黑" w:hAnsi="微软雅黑" w:eastAsia="微软雅黑" w:cs="微软雅黑"/>
                <w:i/>
                <w:iCs/>
                <w:color w:val="000000"/>
                <w:sz w:val="16"/>
                <w:szCs w:val="16"/>
                <w:u w:val="none"/>
              </w:rPr>
            </w:pPr>
          </w:p>
        </w:tc>
      </w:tr>
      <w:tr w14:paraId="5D8D3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6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1828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965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9936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94C62">
            <w:pPr>
              <w:rPr>
                <w:rFonts w:hint="eastAsia" w:ascii="宋体" w:hAnsi="宋体" w:eastAsia="宋体" w:cs="宋体"/>
                <w:i w:val="0"/>
                <w:iCs w:val="0"/>
                <w:color w:val="000000"/>
                <w:sz w:val="18"/>
                <w:szCs w:val="18"/>
                <w:u w:val="none"/>
              </w:rPr>
            </w:pPr>
          </w:p>
        </w:tc>
      </w:tr>
      <w:tr w14:paraId="3100C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D54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7938AF">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自评得分100分，通过政府采购网框架协议进行购买。</w:t>
            </w:r>
          </w:p>
        </w:tc>
      </w:tr>
      <w:tr w14:paraId="3B976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15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1FA1C3">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办公软件需要单独进行购买，但列入框架协议中。</w:t>
            </w:r>
          </w:p>
        </w:tc>
      </w:tr>
      <w:tr w14:paraId="5FD61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A8A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B3E23B">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及时与相关部门做好沟通，保障工作效率</w:t>
            </w:r>
          </w:p>
        </w:tc>
      </w:tr>
    </w:tbl>
    <w:p w14:paraId="7A16BF05">
      <w:pPr>
        <w:pStyle w:val="2"/>
        <w:rPr>
          <w:rFonts w:hint="eastAsia"/>
          <w:lang w:val="en-US" w:eastAsia="zh-CN"/>
        </w:rPr>
      </w:pPr>
    </w:p>
    <w:p w14:paraId="1486B6C5">
      <w:pPr>
        <w:widowControl/>
        <w:jc w:val="center"/>
        <w:rPr>
          <w:rFonts w:hint="eastAsia" w:ascii="Times New Roman" w:hAnsi="Times New Roman" w:eastAsia="黑体"/>
          <w:color w:val="auto"/>
          <w:sz w:val="44"/>
          <w:szCs w:val="44"/>
          <w:highlight w:val="none"/>
        </w:rPr>
      </w:pPr>
    </w:p>
    <w:p w14:paraId="0381477F">
      <w:pPr>
        <w:widowControl/>
        <w:jc w:val="center"/>
        <w:rPr>
          <w:rFonts w:hint="eastAsia" w:ascii="Times New Roman" w:hAnsi="Times New Roman" w:eastAsia="黑体"/>
          <w:color w:val="auto"/>
          <w:sz w:val="44"/>
          <w:szCs w:val="44"/>
          <w:highlight w:val="none"/>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79"/>
        <w:gridCol w:w="908"/>
        <w:gridCol w:w="1205"/>
        <w:gridCol w:w="396"/>
        <w:gridCol w:w="850"/>
        <w:gridCol w:w="396"/>
        <w:gridCol w:w="846"/>
        <w:gridCol w:w="486"/>
        <w:gridCol w:w="396"/>
        <w:gridCol w:w="1384"/>
      </w:tblGrid>
      <w:tr w14:paraId="02B99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B10E46D">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321D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E10A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1D48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51320024T000012001947-阿坝州科技馆免费开放补助资金</w:t>
            </w:r>
          </w:p>
        </w:tc>
      </w:tr>
      <w:tr w14:paraId="4167B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A425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7889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州科协部门</w:t>
            </w:r>
          </w:p>
        </w:tc>
        <w:tc>
          <w:tcPr>
            <w:tcW w:w="386" w:type="pct"/>
            <w:tcBorders>
              <w:top w:val="nil"/>
              <w:left w:val="nil"/>
              <w:bottom w:val="nil"/>
              <w:right w:val="nil"/>
            </w:tcBorders>
            <w:shd w:val="clear" w:color="auto" w:fill="auto"/>
            <w:vAlign w:val="center"/>
          </w:tcPr>
          <w:p w14:paraId="20690697">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2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5A9A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w:t>
            </w:r>
          </w:p>
        </w:tc>
      </w:tr>
      <w:tr w14:paraId="56A20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4E16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1272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7BF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594D3E">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504EF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64427">
            <w:pP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7FB0F">
            <w:pPr>
              <w:rPr>
                <w:rFonts w:hint="eastAsia" w:ascii="宋体" w:hAnsi="宋体" w:eastAsia="宋体" w:cs="宋体"/>
                <w:i w:val="0"/>
                <w:iCs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C4BA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提升科技馆的科技输出能力，让全州公总能通过线上和线下获取科技资源，不断提升全州公民科学素质．</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89056C">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利用现有的1100平米实体科技馆，将科技馆作为学校的校外课堂，与驻地学校阿坝州外国语实验学校、马尔康市第二小学校深度开展馆校合作89次，参与学生2000余人；免费向公众开展周末科学课堂，开展手工制作课、创客科学课、机器人搭建课、机器人编程课等99节，参与群众329人;开展机器人表演12场次，覆盖群众8930人；开展VR互动体验，参与群众3000余人。</w:t>
            </w:r>
          </w:p>
        </w:tc>
      </w:tr>
      <w:tr w14:paraId="6DFDC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90EB5">
            <w:pP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FDB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DBEB4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把定点科普转为流动科普，丰富科普活动。拓宽科普渠道，提升线上科普能力建设。随着科普方式的推进，线上科普也作为了一个重要方式，它集范围广、传播快等特点，更能在短时间内达到传播科技知识的目的。阿坝州科技馆将利用抖音、微视频等主流媒体，将科技馆设备科学原理通过线上输出方式，带动更多群众走进阿坝州科技馆，同时邀请行业内专家或人才分享科普知识。</w:t>
            </w:r>
          </w:p>
        </w:tc>
      </w:tr>
      <w:tr w14:paraId="48A46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F379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A5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77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2C9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F18E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08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B82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A7F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72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6EA6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66C87">
            <w:pPr>
              <w:jc w:val="cente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EC7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AB1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F13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5.76</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0311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5.76</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40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67F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4EA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2568D">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本着资金节约的原则，利用免开资金更新补充科技馆展陈设备。</w:t>
            </w:r>
          </w:p>
        </w:tc>
      </w:tr>
      <w:tr w14:paraId="4A59D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EDB0B">
            <w:pPr>
              <w:jc w:val="cente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CD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04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C81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5.76</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07E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5.76</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F75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72A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BC0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8034F">
            <w:pPr>
              <w:rPr>
                <w:rFonts w:hint="default" w:ascii="黑体" w:hAnsi="黑体" w:eastAsia="黑体" w:cs="黑体"/>
                <w:i/>
                <w:iCs/>
                <w:color w:val="000000"/>
                <w:sz w:val="18"/>
                <w:szCs w:val="18"/>
                <w:u w:val="none"/>
              </w:rPr>
            </w:pPr>
          </w:p>
        </w:tc>
      </w:tr>
      <w:tr w14:paraId="4C02A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D4FF9">
            <w:pPr>
              <w:jc w:val="cente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C9B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FD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ADF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8F7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18E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44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F77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060AF">
            <w:pPr>
              <w:rPr>
                <w:rFonts w:hint="default" w:ascii="黑体" w:hAnsi="黑体" w:eastAsia="黑体" w:cs="黑体"/>
                <w:i/>
                <w:iCs/>
                <w:color w:val="000000"/>
                <w:sz w:val="18"/>
                <w:szCs w:val="18"/>
                <w:u w:val="none"/>
              </w:rPr>
            </w:pPr>
          </w:p>
        </w:tc>
      </w:tr>
      <w:tr w14:paraId="5A34B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CF0C9">
            <w:pPr>
              <w:jc w:val="cente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38D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367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9E2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7F0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81B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54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319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05E3A">
            <w:pPr>
              <w:rPr>
                <w:rFonts w:hint="default" w:ascii="黑体" w:hAnsi="黑体" w:eastAsia="黑体" w:cs="黑体"/>
                <w:i/>
                <w:iCs/>
                <w:color w:val="000000"/>
                <w:sz w:val="18"/>
                <w:szCs w:val="18"/>
                <w:u w:val="none"/>
              </w:rPr>
            </w:pPr>
          </w:p>
        </w:tc>
      </w:tr>
      <w:tr w14:paraId="4FAFA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D9F75">
            <w:pPr>
              <w:jc w:val="cente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706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D1064">
            <w:pPr>
              <w:jc w:val="center"/>
              <w:rPr>
                <w:rFonts w:hint="eastAsia" w:ascii="微软雅黑" w:hAnsi="微软雅黑" w:eastAsia="微软雅黑" w:cs="微软雅黑"/>
                <w:i/>
                <w:iCs/>
                <w:color w:val="000000"/>
                <w:sz w:val="16"/>
                <w:szCs w:val="16"/>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29EC8">
            <w:pPr>
              <w:jc w:val="center"/>
              <w:rPr>
                <w:rFonts w:hint="default" w:ascii="微软雅黑" w:hAnsi="微软雅黑" w:eastAsia="微软雅黑" w:cs="微软雅黑"/>
                <w:i/>
                <w:iCs/>
                <w:color w:val="000000"/>
                <w:sz w:val="16"/>
                <w:szCs w:val="16"/>
                <w:u w:val="none"/>
              </w:rPr>
            </w:pP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ACF78C">
            <w:pPr>
              <w:jc w:val="center"/>
              <w:rPr>
                <w:rFonts w:hint="default"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D23CE">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6EC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15E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1E1D2">
            <w:pPr>
              <w:rPr>
                <w:rFonts w:hint="default" w:ascii="黑体" w:hAnsi="黑体" w:eastAsia="黑体" w:cs="黑体"/>
                <w:i/>
                <w:iCs/>
                <w:color w:val="000000"/>
                <w:sz w:val="18"/>
                <w:szCs w:val="18"/>
                <w:u w:val="none"/>
              </w:rPr>
            </w:pPr>
          </w:p>
        </w:tc>
      </w:tr>
      <w:tr w14:paraId="39C81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3790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DC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20F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35F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F62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2F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96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D29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6E7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AF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092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FBD2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00337">
            <w:pPr>
              <w:jc w:val="center"/>
              <w:rPr>
                <w:rFonts w:hint="eastAsia" w:ascii="宋体" w:hAnsi="宋体" w:eastAsia="宋体" w:cs="宋体"/>
                <w:i w:val="0"/>
                <w:iCs w:val="0"/>
                <w:color w:val="000000"/>
                <w:sz w:val="18"/>
                <w:szCs w:val="18"/>
                <w:u w:val="none"/>
              </w:rPr>
            </w:pPr>
          </w:p>
        </w:tc>
        <w:tc>
          <w:tcPr>
            <w:tcW w:w="7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5FA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9290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479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开展视频宣传“我来讲您听”</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7A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DEB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1D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E464F">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90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9D8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B1405">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由于整治指尖形式主义要求，未开放视频号或抖音号，导致该项工作无宣传载体未开展。</w:t>
            </w:r>
          </w:p>
        </w:tc>
      </w:tr>
      <w:tr w14:paraId="446CD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73C71">
            <w:pPr>
              <w:jc w:val="cente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73356">
            <w:pPr>
              <w:jc w:val="center"/>
              <w:rPr>
                <w:rFonts w:hint="eastAsia" w:ascii="宋体" w:hAnsi="宋体" w:eastAsia="宋体" w:cs="宋体"/>
                <w:i w:val="0"/>
                <w:iCs w:val="0"/>
                <w:color w:val="000000"/>
                <w:sz w:val="18"/>
                <w:szCs w:val="18"/>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C88C2">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1F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开展馆校合作</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469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43B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D07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A9940">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79</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F11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A2E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776F6">
            <w:pPr>
              <w:jc w:val="center"/>
              <w:rPr>
                <w:rFonts w:hint="default" w:ascii="微软雅黑" w:hAnsi="微软雅黑" w:eastAsia="微软雅黑" w:cs="微软雅黑"/>
                <w:i/>
                <w:iCs/>
                <w:color w:val="000000"/>
                <w:sz w:val="16"/>
                <w:szCs w:val="16"/>
                <w:u w:val="none"/>
              </w:rPr>
            </w:pPr>
          </w:p>
        </w:tc>
      </w:tr>
      <w:tr w14:paraId="4F37C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E5946">
            <w:pPr>
              <w:jc w:val="cente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951B4">
            <w:pPr>
              <w:jc w:val="center"/>
              <w:rPr>
                <w:rFonts w:hint="eastAsia" w:ascii="宋体" w:hAnsi="宋体" w:eastAsia="宋体" w:cs="宋体"/>
                <w:i w:val="0"/>
                <w:iCs w:val="0"/>
                <w:color w:val="000000"/>
                <w:sz w:val="18"/>
                <w:szCs w:val="18"/>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A72C9">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65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开展科技馆进校园</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4F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65F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704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E3A2F">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1D1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21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EBC0F">
            <w:pPr>
              <w:jc w:val="center"/>
              <w:rPr>
                <w:rFonts w:hint="default" w:ascii="微软雅黑" w:hAnsi="微软雅黑" w:eastAsia="微软雅黑" w:cs="微软雅黑"/>
                <w:i/>
                <w:iCs/>
                <w:color w:val="000000"/>
                <w:sz w:val="16"/>
                <w:szCs w:val="16"/>
                <w:u w:val="none"/>
              </w:rPr>
            </w:pPr>
          </w:p>
        </w:tc>
      </w:tr>
      <w:tr w14:paraId="22303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B3946">
            <w:pPr>
              <w:jc w:val="cente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38BD2">
            <w:pPr>
              <w:jc w:val="center"/>
              <w:rPr>
                <w:rFonts w:hint="eastAsia" w:ascii="宋体" w:hAnsi="宋体" w:eastAsia="宋体" w:cs="宋体"/>
                <w:i w:val="0"/>
                <w:iCs w:val="0"/>
                <w:color w:val="000000"/>
                <w:sz w:val="18"/>
                <w:szCs w:val="18"/>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634E0">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C3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开展机器人搭建课及机器人编程课</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B3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B6F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049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52AA1">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52</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4A9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9E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6AC3B">
            <w:pPr>
              <w:jc w:val="center"/>
              <w:rPr>
                <w:rFonts w:hint="default" w:ascii="微软雅黑" w:hAnsi="微软雅黑" w:eastAsia="微软雅黑" w:cs="微软雅黑"/>
                <w:i/>
                <w:iCs/>
                <w:color w:val="000000"/>
                <w:sz w:val="16"/>
                <w:szCs w:val="16"/>
                <w:u w:val="none"/>
              </w:rPr>
            </w:pPr>
          </w:p>
        </w:tc>
      </w:tr>
      <w:tr w14:paraId="43D2F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0EAB1">
            <w:pPr>
              <w:jc w:val="cente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726CB">
            <w:pPr>
              <w:jc w:val="center"/>
              <w:rPr>
                <w:rFonts w:hint="eastAsia" w:ascii="宋体" w:hAnsi="宋体" w:eastAsia="宋体" w:cs="宋体"/>
                <w:i w:val="0"/>
                <w:iCs w:val="0"/>
                <w:color w:val="000000"/>
                <w:sz w:val="18"/>
                <w:szCs w:val="18"/>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5E5AE">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5C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公众号发布信息数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24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51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7B7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A50FA">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18</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AC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503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855AC">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由于整治指尖形式主义，原则上一个单位只保留一个公众号，后期对“阿坝州科技馆“公众号进行注销。</w:t>
            </w:r>
          </w:p>
        </w:tc>
      </w:tr>
      <w:tr w14:paraId="41414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26512">
            <w:pPr>
              <w:jc w:val="cente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E7002">
            <w:pPr>
              <w:jc w:val="center"/>
              <w:rPr>
                <w:rFonts w:hint="eastAsia" w:ascii="宋体" w:hAnsi="宋体" w:eastAsia="宋体" w:cs="宋体"/>
                <w:i w:val="0"/>
                <w:iCs w:val="0"/>
                <w:color w:val="000000"/>
                <w:sz w:val="18"/>
                <w:szCs w:val="18"/>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ED4F3">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845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超验空间体验人次</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B77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263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5EF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93CDD">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3077</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C1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F7F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35168">
            <w:pPr>
              <w:jc w:val="center"/>
              <w:rPr>
                <w:rFonts w:hint="default" w:ascii="微软雅黑" w:hAnsi="微软雅黑" w:eastAsia="微软雅黑" w:cs="微软雅黑"/>
                <w:i/>
                <w:iCs/>
                <w:color w:val="000000"/>
                <w:sz w:val="16"/>
                <w:szCs w:val="16"/>
                <w:u w:val="none"/>
              </w:rPr>
            </w:pPr>
          </w:p>
        </w:tc>
      </w:tr>
      <w:tr w14:paraId="09684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C5699">
            <w:pPr>
              <w:jc w:val="cente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57854">
            <w:pPr>
              <w:jc w:val="center"/>
              <w:rPr>
                <w:rFonts w:hint="eastAsia" w:ascii="宋体" w:hAnsi="宋体" w:eastAsia="宋体" w:cs="宋体"/>
                <w:i w:val="0"/>
                <w:iCs w:val="0"/>
                <w:color w:val="000000"/>
                <w:sz w:val="18"/>
                <w:szCs w:val="18"/>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747AF">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A1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科技馆进馆人数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556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03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23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C5F47">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59301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BB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00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BA4EA">
            <w:pPr>
              <w:jc w:val="center"/>
              <w:rPr>
                <w:rFonts w:hint="default" w:ascii="微软雅黑" w:hAnsi="微软雅黑" w:eastAsia="微软雅黑" w:cs="微软雅黑"/>
                <w:i/>
                <w:iCs/>
                <w:color w:val="000000"/>
                <w:sz w:val="16"/>
                <w:szCs w:val="16"/>
                <w:u w:val="none"/>
              </w:rPr>
            </w:pPr>
          </w:p>
        </w:tc>
      </w:tr>
      <w:tr w14:paraId="4BF97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3115D">
            <w:pPr>
              <w:jc w:val="cente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59EF3">
            <w:pPr>
              <w:jc w:val="cente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C7D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FA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科技馆开馆率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11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1C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E42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5BD0D">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85</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167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34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D41A9">
            <w:pPr>
              <w:jc w:val="center"/>
              <w:rPr>
                <w:rFonts w:hint="default" w:ascii="微软雅黑" w:hAnsi="微软雅黑" w:eastAsia="微软雅黑" w:cs="微软雅黑"/>
                <w:i/>
                <w:iCs/>
                <w:color w:val="000000"/>
                <w:sz w:val="16"/>
                <w:szCs w:val="16"/>
                <w:u w:val="none"/>
              </w:rPr>
            </w:pPr>
          </w:p>
        </w:tc>
      </w:tr>
      <w:tr w14:paraId="2EDC8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ACE34">
            <w:pPr>
              <w:jc w:val="cente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C5E1A">
            <w:pPr>
              <w:jc w:val="cente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E64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4E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632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98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984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C2DE1">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12</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0AC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904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AFD83">
            <w:pPr>
              <w:jc w:val="center"/>
              <w:rPr>
                <w:rFonts w:hint="default" w:ascii="微软雅黑" w:hAnsi="微软雅黑" w:eastAsia="微软雅黑" w:cs="微软雅黑"/>
                <w:i/>
                <w:iCs/>
                <w:color w:val="000000"/>
                <w:sz w:val="16"/>
                <w:szCs w:val="16"/>
                <w:u w:val="none"/>
              </w:rPr>
            </w:pPr>
          </w:p>
        </w:tc>
      </w:tr>
      <w:tr w14:paraId="2269A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0EB6F">
            <w:pPr>
              <w:jc w:val="cente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F36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C44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38C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保障科技馆正常运行</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2C5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EE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6FB56">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B266A">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长期</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3D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8FF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49F10">
            <w:pPr>
              <w:jc w:val="center"/>
              <w:rPr>
                <w:rFonts w:hint="default" w:ascii="微软雅黑" w:hAnsi="微软雅黑" w:eastAsia="微软雅黑" w:cs="微软雅黑"/>
                <w:i/>
                <w:iCs/>
                <w:color w:val="000000"/>
                <w:sz w:val="16"/>
                <w:szCs w:val="16"/>
                <w:u w:val="none"/>
              </w:rPr>
            </w:pPr>
          </w:p>
        </w:tc>
      </w:tr>
      <w:tr w14:paraId="1F2F3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57658">
            <w:pPr>
              <w:jc w:val="cente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EFC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41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81C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2E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B2C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04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64F04">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95</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EC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9D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08818">
            <w:pPr>
              <w:jc w:val="center"/>
              <w:rPr>
                <w:rFonts w:hint="default" w:ascii="微软雅黑" w:hAnsi="微软雅黑" w:eastAsia="微软雅黑" w:cs="微软雅黑"/>
                <w:i/>
                <w:iCs/>
                <w:color w:val="000000"/>
                <w:sz w:val="16"/>
                <w:szCs w:val="16"/>
                <w:u w:val="none"/>
              </w:rPr>
            </w:pPr>
          </w:p>
        </w:tc>
      </w:tr>
      <w:tr w14:paraId="04ABD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6F2D1">
            <w:pPr>
              <w:jc w:val="cente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C19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3AB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A3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634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32C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6B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D0095">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5。76</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0D7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8B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3B2FA">
            <w:pPr>
              <w:jc w:val="center"/>
              <w:rPr>
                <w:rFonts w:hint="default" w:ascii="微软雅黑" w:hAnsi="微软雅黑" w:eastAsia="微软雅黑" w:cs="微软雅黑"/>
                <w:i/>
                <w:iCs/>
                <w:color w:val="000000"/>
                <w:sz w:val="16"/>
                <w:szCs w:val="16"/>
                <w:u w:val="none"/>
              </w:rPr>
            </w:pPr>
          </w:p>
        </w:tc>
      </w:tr>
      <w:tr w14:paraId="2C7DB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5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9D16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D9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7425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6992A">
            <w:pPr>
              <w:rPr>
                <w:rFonts w:hint="eastAsia" w:ascii="宋体" w:hAnsi="宋体" w:eastAsia="宋体" w:cs="宋体"/>
                <w:i w:val="0"/>
                <w:iCs w:val="0"/>
                <w:color w:val="000000"/>
                <w:sz w:val="18"/>
                <w:szCs w:val="18"/>
                <w:u w:val="none"/>
              </w:rPr>
            </w:pPr>
          </w:p>
        </w:tc>
      </w:tr>
      <w:tr w14:paraId="7DDBB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AC3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5E2AA0">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圆满完成各项任务，自评得分100分</w:t>
            </w:r>
          </w:p>
        </w:tc>
      </w:tr>
      <w:tr w14:paraId="677E4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1D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62FBB4">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展陈品少，维护成本高。在中科馆、省科技馆的关心指导下，利用流动科技馆展陈品成立了阿坝州科技馆，但几年来展陈品更新迭代少，观众已产生疲劳，感觉“不再新鲜”，缺乏吸引力，已无法满足群众日益增长的科技需求。加之展陈品年代久远，需经常性维护，零配件供货及维护在外省，维护费用包含了车船费、伙食费和差旅费，维修成本高，一次维修费用达上万元。</w:t>
            </w:r>
          </w:p>
        </w:tc>
      </w:tr>
      <w:tr w14:paraId="777CB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DC9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FBBD46">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深化馆校合作，优化科普基地建设。阿坝州科技馆是我州为数不多的科普基地，为推动全民科学素质提升发挥着重大作用，几年来，年平均进馆人次达5万多次，进馆人数与马尔康常驻人口数相当且成上升趋势，这样的成绩得益于我们的馆校合作新模式，部分学生多次参加科技馆组织的活动，从活动中受益。尽管大部分受众为马尔康辖区群众，接下来我们将围绕州委十二届五次、六次全会精神，把科技馆作为全州学校的校外课堂或“研学”基地，打造“科普+研学”和“科普+旅游”的新科普模式。</w:t>
            </w:r>
          </w:p>
        </w:tc>
      </w:tr>
    </w:tbl>
    <w:p w14:paraId="5517DFA6">
      <w:pPr>
        <w:widowControl/>
        <w:jc w:val="center"/>
        <w:rPr>
          <w:rFonts w:hint="eastAsia" w:ascii="Times New Roman" w:hAnsi="Times New Roman" w:eastAsia="黑体"/>
          <w:color w:val="auto"/>
          <w:sz w:val="44"/>
          <w:szCs w:val="44"/>
          <w:highlight w:val="none"/>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59"/>
        <w:gridCol w:w="891"/>
        <w:gridCol w:w="1186"/>
        <w:gridCol w:w="396"/>
        <w:gridCol w:w="831"/>
        <w:gridCol w:w="396"/>
        <w:gridCol w:w="846"/>
        <w:gridCol w:w="486"/>
        <w:gridCol w:w="486"/>
        <w:gridCol w:w="1369"/>
      </w:tblGrid>
      <w:tr w14:paraId="5FF15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6A392A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A4A5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9207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C122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51320021T000000057886-科普费</w:t>
            </w:r>
          </w:p>
        </w:tc>
      </w:tr>
      <w:tr w14:paraId="12770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519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AB1D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州科协部门</w:t>
            </w:r>
          </w:p>
        </w:tc>
        <w:tc>
          <w:tcPr>
            <w:tcW w:w="386" w:type="pct"/>
            <w:tcBorders>
              <w:top w:val="nil"/>
              <w:left w:val="nil"/>
              <w:bottom w:val="nil"/>
              <w:right w:val="nil"/>
            </w:tcBorders>
            <w:shd w:val="clear" w:color="auto" w:fill="auto"/>
            <w:vAlign w:val="center"/>
          </w:tcPr>
          <w:p w14:paraId="709C1705">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2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B752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w:t>
            </w:r>
          </w:p>
        </w:tc>
      </w:tr>
      <w:tr w14:paraId="39CAD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DB6C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3289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D88E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98018A">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78C2B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38119">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D9922">
            <w:pPr>
              <w:rPr>
                <w:rFonts w:hint="eastAsia" w:ascii="宋体" w:hAnsi="宋体" w:eastAsia="宋体" w:cs="宋体"/>
                <w:i w:val="0"/>
                <w:iCs w:val="0"/>
                <w:color w:val="000000"/>
                <w:sz w:val="18"/>
                <w:szCs w:val="18"/>
                <w:u w:val="none"/>
              </w:rPr>
            </w:pP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EAA5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将科普工作融入全州经济社会发展大局，积极作为，在决策咨询、科技创新、科学普及、推动科技服务三农、助力乡村振兴等方面发挥作用。开展好“全国科普日”“科普宣传月”“科技活动周”“科普进寺庙”“防灾减灾”“食品安全”等主题科普活动。</w:t>
            </w:r>
          </w:p>
        </w:tc>
        <w:tc>
          <w:tcPr>
            <w:tcW w:w="16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ABED11">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62F6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B45C7">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2EE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F1B88F">
            <w:pPr>
              <w:rPr>
                <w:rFonts w:hint="eastAsia" w:ascii="宋体" w:hAnsi="宋体" w:eastAsia="宋体" w:cs="宋体"/>
                <w:i w:val="0"/>
                <w:iCs w:val="0"/>
                <w:color w:val="000000"/>
                <w:sz w:val="18"/>
                <w:szCs w:val="18"/>
                <w:u w:val="none"/>
              </w:rPr>
            </w:pPr>
          </w:p>
        </w:tc>
      </w:tr>
      <w:tr w14:paraId="7BF05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7C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55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472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81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BC8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CFE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03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1A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7CA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E501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1ED6C">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06E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803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03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47.74</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522F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47.74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2B5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ABA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CF01C">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DE418A">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7C30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8AD69">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3C3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67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F8F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47.74</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93E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47.74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816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8DE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263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C8734">
            <w:pPr>
              <w:rPr>
                <w:rFonts w:hint="default" w:ascii="黑体" w:hAnsi="黑体" w:eastAsia="黑体" w:cs="黑体"/>
                <w:i/>
                <w:iCs/>
                <w:color w:val="000000"/>
                <w:sz w:val="18"/>
                <w:szCs w:val="18"/>
                <w:u w:val="none"/>
              </w:rPr>
            </w:pPr>
          </w:p>
        </w:tc>
      </w:tr>
      <w:tr w14:paraId="27E9F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375FD">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2F8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C9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C8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E4B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35F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48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F7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F1065">
            <w:pPr>
              <w:rPr>
                <w:rFonts w:hint="default" w:ascii="黑体" w:hAnsi="黑体" w:eastAsia="黑体" w:cs="黑体"/>
                <w:i/>
                <w:iCs/>
                <w:color w:val="000000"/>
                <w:sz w:val="18"/>
                <w:szCs w:val="18"/>
                <w:u w:val="none"/>
              </w:rPr>
            </w:pPr>
          </w:p>
        </w:tc>
      </w:tr>
      <w:tr w14:paraId="429F4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E4842">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82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8B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733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E58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E31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65E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9E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7C63B">
            <w:pPr>
              <w:rPr>
                <w:rFonts w:hint="default" w:ascii="黑体" w:hAnsi="黑体" w:eastAsia="黑体" w:cs="黑体"/>
                <w:i/>
                <w:iCs/>
                <w:color w:val="000000"/>
                <w:sz w:val="18"/>
                <w:szCs w:val="18"/>
                <w:u w:val="none"/>
              </w:rPr>
            </w:pPr>
          </w:p>
        </w:tc>
      </w:tr>
      <w:tr w14:paraId="0F383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01D59">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6A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3ECAC">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F5145">
            <w:pPr>
              <w:jc w:val="center"/>
              <w:rPr>
                <w:rFonts w:hint="default" w:ascii="微软雅黑" w:hAnsi="微软雅黑" w:eastAsia="微软雅黑" w:cs="微软雅黑"/>
                <w:i/>
                <w:iCs/>
                <w:color w:val="000000"/>
                <w:sz w:val="16"/>
                <w:szCs w:val="16"/>
                <w:u w:val="none"/>
              </w:rPr>
            </w:pP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596A10">
            <w:pPr>
              <w:jc w:val="center"/>
              <w:rPr>
                <w:rFonts w:hint="default"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2C1DD">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4D6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E6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147EF">
            <w:pPr>
              <w:rPr>
                <w:rFonts w:hint="default" w:ascii="黑体" w:hAnsi="黑体" w:eastAsia="黑体" w:cs="黑体"/>
                <w:i/>
                <w:iCs/>
                <w:color w:val="000000"/>
                <w:sz w:val="18"/>
                <w:szCs w:val="18"/>
                <w:u w:val="none"/>
              </w:rPr>
            </w:pPr>
          </w:p>
        </w:tc>
      </w:tr>
      <w:tr w14:paraId="36C09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801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4E9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423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5A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AF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570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05E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6DD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0CD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80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28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E73A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65C5E">
            <w:pPr>
              <w:jc w:val="center"/>
              <w:rPr>
                <w:rFonts w:hint="eastAsia" w:ascii="宋体" w:hAnsi="宋体" w:eastAsia="宋体" w:cs="宋体"/>
                <w:i w:val="0"/>
                <w:iCs w:val="0"/>
                <w:color w:val="000000"/>
                <w:sz w:val="18"/>
                <w:szCs w:val="18"/>
                <w:u w:val="none"/>
              </w:rPr>
            </w:pP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1907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F9C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615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开展科普宣传</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018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AC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31E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4C540">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6</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1A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4A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1487F">
            <w:pPr>
              <w:jc w:val="center"/>
              <w:rPr>
                <w:rFonts w:hint="default" w:ascii="微软雅黑" w:hAnsi="微软雅黑" w:eastAsia="微软雅黑" w:cs="微软雅黑"/>
                <w:i/>
                <w:iCs/>
                <w:color w:val="000000"/>
                <w:sz w:val="16"/>
                <w:szCs w:val="16"/>
                <w:u w:val="none"/>
              </w:rPr>
            </w:pPr>
          </w:p>
        </w:tc>
      </w:tr>
      <w:tr w14:paraId="277F3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E8FEE">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36724">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6B99D">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5EB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开展科技培训</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42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95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6A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A8382">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C1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1A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3DB5C">
            <w:pPr>
              <w:jc w:val="center"/>
              <w:rPr>
                <w:rFonts w:hint="default" w:ascii="微软雅黑" w:hAnsi="微软雅黑" w:eastAsia="微软雅黑" w:cs="微软雅黑"/>
                <w:i/>
                <w:iCs/>
                <w:color w:val="000000"/>
                <w:sz w:val="16"/>
                <w:szCs w:val="16"/>
                <w:u w:val="none"/>
              </w:rPr>
            </w:pPr>
          </w:p>
        </w:tc>
      </w:tr>
      <w:tr w14:paraId="370AA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5484C">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E38FE">
            <w:pPr>
              <w:jc w:val="center"/>
              <w:rPr>
                <w:rFonts w:hint="eastAsia" w:ascii="宋体" w:hAnsi="宋体" w:eastAsia="宋体" w:cs="宋体"/>
                <w:i w:val="0"/>
                <w:iCs w:val="0"/>
                <w:color w:val="000000"/>
                <w:sz w:val="18"/>
                <w:szCs w:val="18"/>
                <w:u w:val="none"/>
              </w:rPr>
            </w:pPr>
          </w:p>
        </w:tc>
        <w:tc>
          <w:tcPr>
            <w:tcW w:w="6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07B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B51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每次参加人数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776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341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FC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BA010">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120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1A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17D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16F86">
            <w:pPr>
              <w:jc w:val="center"/>
              <w:rPr>
                <w:rFonts w:hint="default" w:ascii="微软雅黑" w:hAnsi="微软雅黑" w:eastAsia="微软雅黑" w:cs="微软雅黑"/>
                <w:i/>
                <w:iCs/>
                <w:color w:val="000000"/>
                <w:sz w:val="16"/>
                <w:szCs w:val="16"/>
                <w:u w:val="none"/>
              </w:rPr>
            </w:pPr>
          </w:p>
        </w:tc>
      </w:tr>
      <w:tr w14:paraId="48B98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F0333">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E107">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B94ED">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97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科普工作完成率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B1C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7D1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243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6AD40">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5E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40E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4CD42">
            <w:pPr>
              <w:jc w:val="center"/>
              <w:rPr>
                <w:rFonts w:hint="default" w:ascii="微软雅黑" w:hAnsi="微软雅黑" w:eastAsia="微软雅黑" w:cs="微软雅黑"/>
                <w:i/>
                <w:iCs/>
                <w:color w:val="000000"/>
                <w:sz w:val="16"/>
                <w:szCs w:val="16"/>
                <w:u w:val="none"/>
              </w:rPr>
            </w:pPr>
          </w:p>
        </w:tc>
      </w:tr>
      <w:tr w14:paraId="3DBFE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38EAE">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EA395">
            <w:pPr>
              <w:jc w:val="center"/>
              <w:rPr>
                <w:rFonts w:hint="eastAsia" w:ascii="宋体" w:hAnsi="宋体" w:eastAsia="宋体" w:cs="宋体"/>
                <w:i w:val="0"/>
                <w:iCs w:val="0"/>
                <w:color w:val="000000"/>
                <w:sz w:val="18"/>
                <w:szCs w:val="18"/>
                <w:u w:val="none"/>
              </w:rPr>
            </w:pPr>
          </w:p>
        </w:tc>
        <w:tc>
          <w:tcPr>
            <w:tcW w:w="6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C88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1D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402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C3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85A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E268E">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57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F9F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99D08">
            <w:pPr>
              <w:jc w:val="center"/>
              <w:rPr>
                <w:rFonts w:hint="default" w:ascii="微软雅黑" w:hAnsi="微软雅黑" w:eastAsia="微软雅黑" w:cs="微软雅黑"/>
                <w:i/>
                <w:iCs/>
                <w:color w:val="000000"/>
                <w:sz w:val="16"/>
                <w:szCs w:val="16"/>
                <w:u w:val="none"/>
              </w:rPr>
            </w:pPr>
          </w:p>
        </w:tc>
      </w:tr>
      <w:tr w14:paraId="2356F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7953E">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4B108">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48CA9">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92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12月前</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7CF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E7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C9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35856">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C7F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015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9686F">
            <w:pPr>
              <w:jc w:val="center"/>
              <w:rPr>
                <w:rFonts w:hint="default" w:ascii="微软雅黑" w:hAnsi="微软雅黑" w:eastAsia="微软雅黑" w:cs="微软雅黑"/>
                <w:i/>
                <w:iCs/>
                <w:color w:val="000000"/>
                <w:sz w:val="16"/>
                <w:szCs w:val="16"/>
                <w:u w:val="none"/>
              </w:rPr>
            </w:pPr>
          </w:p>
        </w:tc>
      </w:tr>
      <w:tr w14:paraId="7BD33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5B2DB">
            <w:pPr>
              <w:jc w:val="center"/>
              <w:rPr>
                <w:rFonts w:hint="eastAsia" w:ascii="宋体" w:hAnsi="宋体" w:eastAsia="宋体" w:cs="宋体"/>
                <w:i w:val="0"/>
                <w:iCs w:val="0"/>
                <w:color w:val="000000"/>
                <w:sz w:val="18"/>
                <w:szCs w:val="18"/>
                <w:u w:val="none"/>
              </w:rPr>
            </w:pP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DAC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89B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3CF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服务人数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242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28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51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6B8BC">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500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BBF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44E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762E8">
            <w:pPr>
              <w:jc w:val="center"/>
              <w:rPr>
                <w:rFonts w:hint="default" w:ascii="微软雅黑" w:hAnsi="微软雅黑" w:eastAsia="微软雅黑" w:cs="微软雅黑"/>
                <w:i/>
                <w:iCs/>
                <w:color w:val="000000"/>
                <w:sz w:val="16"/>
                <w:szCs w:val="16"/>
                <w:u w:val="none"/>
              </w:rPr>
            </w:pPr>
          </w:p>
        </w:tc>
      </w:tr>
      <w:tr w14:paraId="112AD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089DB">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5C1E4">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62D0E">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44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提升公民科学素质</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BA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E58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7A8F0">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8637B">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7.20%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51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36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821BE">
            <w:pPr>
              <w:jc w:val="center"/>
              <w:rPr>
                <w:rFonts w:hint="default" w:ascii="微软雅黑" w:hAnsi="微软雅黑" w:eastAsia="微软雅黑" w:cs="微软雅黑"/>
                <w:i/>
                <w:iCs/>
                <w:color w:val="000000"/>
                <w:sz w:val="16"/>
                <w:szCs w:val="16"/>
                <w:u w:val="none"/>
              </w:rPr>
            </w:pPr>
          </w:p>
        </w:tc>
      </w:tr>
      <w:tr w14:paraId="2E057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E2EDF">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48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A55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AAE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参加对象满意度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36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E4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27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885DA">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98</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86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B8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4E9D1">
            <w:pPr>
              <w:jc w:val="center"/>
              <w:rPr>
                <w:rFonts w:hint="default" w:ascii="微软雅黑" w:hAnsi="微软雅黑" w:eastAsia="微软雅黑" w:cs="微软雅黑"/>
                <w:i/>
                <w:iCs/>
                <w:color w:val="000000"/>
                <w:sz w:val="16"/>
                <w:szCs w:val="16"/>
                <w:u w:val="none"/>
              </w:rPr>
            </w:pPr>
          </w:p>
        </w:tc>
      </w:tr>
      <w:tr w14:paraId="199AD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D5852">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013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1FF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949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人均会议成本</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74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7B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81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元/天</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3F730">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130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1B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EA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290F0">
            <w:pPr>
              <w:jc w:val="center"/>
              <w:rPr>
                <w:rFonts w:hint="default" w:ascii="微软雅黑" w:hAnsi="微软雅黑" w:eastAsia="微软雅黑" w:cs="微软雅黑"/>
                <w:i/>
                <w:iCs/>
                <w:color w:val="000000"/>
                <w:sz w:val="16"/>
                <w:szCs w:val="16"/>
                <w:u w:val="none"/>
              </w:rPr>
            </w:pPr>
          </w:p>
        </w:tc>
      </w:tr>
      <w:tr w14:paraId="38F06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1C75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504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2C96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259AE">
            <w:pPr>
              <w:rPr>
                <w:rFonts w:hint="eastAsia" w:ascii="宋体" w:hAnsi="宋体" w:eastAsia="宋体" w:cs="宋体"/>
                <w:i w:val="0"/>
                <w:iCs w:val="0"/>
                <w:color w:val="000000"/>
                <w:sz w:val="18"/>
                <w:szCs w:val="18"/>
                <w:u w:val="none"/>
              </w:rPr>
            </w:pPr>
          </w:p>
        </w:tc>
      </w:tr>
      <w:tr w14:paraId="2C5CE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9D2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630165">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本年度我单位按照年初指定任务开展工作，截止2024年12越31日，完成了各项指标任务，达到了预期效果，惠及了更多的群众。</w:t>
            </w:r>
          </w:p>
        </w:tc>
      </w:tr>
      <w:tr w14:paraId="302EC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4F0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EAB592">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某些指标任务完成速度较慢。</w:t>
            </w:r>
          </w:p>
        </w:tc>
      </w:tr>
      <w:tr w14:paraId="13C57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D9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A04D6D">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在今年的工作中，提高指标任务完成速度，在年初就制定好计划，后面严格按照计划进行。</w:t>
            </w:r>
          </w:p>
        </w:tc>
      </w:tr>
    </w:tbl>
    <w:p w14:paraId="22877D15">
      <w:pPr>
        <w:widowControl/>
        <w:jc w:val="center"/>
        <w:rPr>
          <w:rFonts w:hint="eastAsia" w:ascii="Times New Roman" w:hAnsi="Times New Roman" w:eastAsia="黑体"/>
          <w:color w:val="auto"/>
          <w:sz w:val="44"/>
          <w:szCs w:val="44"/>
          <w:highlight w:val="none"/>
        </w:rPr>
      </w:pPr>
    </w:p>
    <w:p w14:paraId="239D2939">
      <w:pPr>
        <w:pStyle w:val="2"/>
        <w:rPr>
          <w:rFonts w:hint="eastAsia" w:ascii="Times New Roman" w:hAnsi="Times New Roman" w:eastAsia="黑体"/>
          <w:color w:val="auto"/>
          <w:sz w:val="44"/>
          <w:szCs w:val="44"/>
          <w:highlight w:val="none"/>
        </w:rPr>
      </w:pPr>
    </w:p>
    <w:p w14:paraId="442C895A">
      <w:pPr>
        <w:pStyle w:val="3"/>
        <w:rPr>
          <w:rFonts w:hint="eastAsia" w:ascii="Times New Roman" w:hAnsi="Times New Roman" w:eastAsia="黑体"/>
          <w:color w:val="auto"/>
          <w:sz w:val="44"/>
          <w:szCs w:val="44"/>
          <w:highlight w:val="none"/>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59"/>
        <w:gridCol w:w="891"/>
        <w:gridCol w:w="1186"/>
        <w:gridCol w:w="396"/>
        <w:gridCol w:w="831"/>
        <w:gridCol w:w="396"/>
        <w:gridCol w:w="846"/>
        <w:gridCol w:w="486"/>
        <w:gridCol w:w="486"/>
        <w:gridCol w:w="1369"/>
      </w:tblGrid>
      <w:tr w14:paraId="59CC3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6A2D09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199D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41B0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4E5F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51320021T000000057978-州院士专家工作站服务中心工作经费</w:t>
            </w:r>
          </w:p>
        </w:tc>
      </w:tr>
      <w:tr w14:paraId="33361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336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687C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州科协部门</w:t>
            </w:r>
          </w:p>
        </w:tc>
        <w:tc>
          <w:tcPr>
            <w:tcW w:w="386" w:type="pct"/>
            <w:tcBorders>
              <w:top w:val="nil"/>
              <w:left w:val="nil"/>
              <w:bottom w:val="nil"/>
              <w:right w:val="nil"/>
            </w:tcBorders>
            <w:shd w:val="clear" w:color="auto" w:fill="auto"/>
            <w:vAlign w:val="center"/>
          </w:tcPr>
          <w:p w14:paraId="2057A599">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2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8E6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w:t>
            </w:r>
          </w:p>
        </w:tc>
      </w:tr>
      <w:tr w14:paraId="3C358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DCDD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5DF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6C1E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48D6C1">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3CEEC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7C82E">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1B934">
            <w:pPr>
              <w:rPr>
                <w:rFonts w:hint="eastAsia" w:ascii="宋体" w:hAnsi="宋体" w:eastAsia="宋体" w:cs="宋体"/>
                <w:i w:val="0"/>
                <w:iCs w:val="0"/>
                <w:color w:val="000000"/>
                <w:sz w:val="18"/>
                <w:szCs w:val="18"/>
                <w:u w:val="none"/>
              </w:rPr>
            </w:pP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A9BB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新建院士（专家）工作站1—2家，通过考核对已建站单位工作起到督促和提升作用，将更好地服务我州经济社会发展。</w:t>
            </w:r>
          </w:p>
        </w:tc>
        <w:tc>
          <w:tcPr>
            <w:tcW w:w="16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385972">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1E65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DE905">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AAE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156FA4">
            <w:pPr>
              <w:rPr>
                <w:rFonts w:hint="eastAsia" w:ascii="宋体" w:hAnsi="宋体" w:eastAsia="宋体" w:cs="宋体"/>
                <w:i w:val="0"/>
                <w:iCs w:val="0"/>
                <w:color w:val="000000"/>
                <w:sz w:val="18"/>
                <w:szCs w:val="18"/>
                <w:u w:val="none"/>
              </w:rPr>
            </w:pPr>
          </w:p>
        </w:tc>
      </w:tr>
      <w:tr w14:paraId="66375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BCBA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CF7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66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03E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5E54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2F6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68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868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10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3D61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34652">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AD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13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4C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967A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55C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536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8FB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0F4275">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D3A2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05628">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3C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B32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238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9E7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47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76C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1E1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47A4E">
            <w:pPr>
              <w:rPr>
                <w:rFonts w:hint="default" w:ascii="黑体" w:hAnsi="黑体" w:eastAsia="黑体" w:cs="黑体"/>
                <w:i/>
                <w:iCs/>
                <w:color w:val="000000"/>
                <w:sz w:val="18"/>
                <w:szCs w:val="18"/>
                <w:u w:val="none"/>
              </w:rPr>
            </w:pPr>
          </w:p>
        </w:tc>
      </w:tr>
      <w:tr w14:paraId="18858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CFF33">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66A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893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547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4A6E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015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083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86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FF7C3">
            <w:pPr>
              <w:rPr>
                <w:rFonts w:hint="default" w:ascii="黑体" w:hAnsi="黑体" w:eastAsia="黑体" w:cs="黑体"/>
                <w:i/>
                <w:iCs/>
                <w:color w:val="000000"/>
                <w:sz w:val="18"/>
                <w:szCs w:val="18"/>
                <w:u w:val="none"/>
              </w:rPr>
            </w:pPr>
          </w:p>
        </w:tc>
      </w:tr>
      <w:tr w14:paraId="163CA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77B6C">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2FC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6D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D29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74AD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309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CA2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F4E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EB2F0">
            <w:pPr>
              <w:rPr>
                <w:rFonts w:hint="default" w:ascii="黑体" w:hAnsi="黑体" w:eastAsia="黑体" w:cs="黑体"/>
                <w:i/>
                <w:iCs/>
                <w:color w:val="000000"/>
                <w:sz w:val="18"/>
                <w:szCs w:val="18"/>
                <w:u w:val="none"/>
              </w:rPr>
            </w:pPr>
          </w:p>
        </w:tc>
      </w:tr>
      <w:tr w14:paraId="6C3D0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796C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A6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6BC6A">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B7CB1">
            <w:pPr>
              <w:jc w:val="center"/>
              <w:rPr>
                <w:rFonts w:hint="default" w:ascii="微软雅黑" w:hAnsi="微软雅黑" w:eastAsia="微软雅黑" w:cs="微软雅黑"/>
                <w:i/>
                <w:iCs/>
                <w:color w:val="000000"/>
                <w:sz w:val="16"/>
                <w:szCs w:val="16"/>
                <w:u w:val="none"/>
              </w:rPr>
            </w:pP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F7FC6E">
            <w:pPr>
              <w:jc w:val="center"/>
              <w:rPr>
                <w:rFonts w:hint="default"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E68EE">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884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2B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6C624">
            <w:pPr>
              <w:rPr>
                <w:rFonts w:hint="default" w:ascii="黑体" w:hAnsi="黑体" w:eastAsia="黑体" w:cs="黑体"/>
                <w:i/>
                <w:iCs/>
                <w:color w:val="000000"/>
                <w:sz w:val="18"/>
                <w:szCs w:val="18"/>
                <w:u w:val="none"/>
              </w:rPr>
            </w:pPr>
          </w:p>
        </w:tc>
      </w:tr>
      <w:tr w14:paraId="7BF5F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DDE0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63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F7D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C9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A38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F8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E1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59A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493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B6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01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7D5A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BED27">
            <w:pPr>
              <w:jc w:val="center"/>
              <w:rPr>
                <w:rFonts w:hint="eastAsia" w:ascii="宋体" w:hAnsi="宋体" w:eastAsia="宋体" w:cs="宋体"/>
                <w:i w:val="0"/>
                <w:iCs w:val="0"/>
                <w:color w:val="000000"/>
                <w:sz w:val="18"/>
                <w:szCs w:val="18"/>
                <w:u w:val="none"/>
              </w:rPr>
            </w:pP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35C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528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90F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组织授牌1次</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9AA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6D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E4D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90679">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72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130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C8964">
            <w:pPr>
              <w:jc w:val="center"/>
              <w:rPr>
                <w:rFonts w:hint="default" w:ascii="微软雅黑" w:hAnsi="微软雅黑" w:eastAsia="微软雅黑" w:cs="微软雅黑"/>
                <w:i/>
                <w:iCs/>
                <w:color w:val="000000"/>
                <w:sz w:val="16"/>
                <w:szCs w:val="16"/>
                <w:u w:val="none"/>
              </w:rPr>
            </w:pPr>
          </w:p>
        </w:tc>
      </w:tr>
      <w:tr w14:paraId="6AB26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60B5D">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CC0D6">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A28AE">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04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开展调研指导2次</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BD1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316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4D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15985">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3</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C3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8C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9FAB0">
            <w:pPr>
              <w:jc w:val="center"/>
              <w:rPr>
                <w:rFonts w:hint="default" w:ascii="微软雅黑" w:hAnsi="微软雅黑" w:eastAsia="微软雅黑" w:cs="微软雅黑"/>
                <w:i/>
                <w:iCs/>
                <w:color w:val="000000"/>
                <w:sz w:val="16"/>
                <w:szCs w:val="16"/>
                <w:u w:val="none"/>
              </w:rPr>
            </w:pPr>
          </w:p>
        </w:tc>
      </w:tr>
      <w:tr w14:paraId="0A9D8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8B110">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D657E">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76744">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BA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12月底前建站1-2家</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6D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1A6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8B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家</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8EBD4">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3</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02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876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E3E35">
            <w:pPr>
              <w:jc w:val="center"/>
              <w:rPr>
                <w:rFonts w:hint="default" w:ascii="微软雅黑" w:hAnsi="微软雅黑" w:eastAsia="微软雅黑" w:cs="微软雅黑"/>
                <w:i/>
                <w:iCs/>
                <w:color w:val="000000"/>
                <w:sz w:val="16"/>
                <w:szCs w:val="16"/>
                <w:u w:val="none"/>
              </w:rPr>
            </w:pPr>
          </w:p>
        </w:tc>
      </w:tr>
      <w:tr w14:paraId="2BA3D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80091">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FB09A">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F9E0B">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F8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召开评审会1次</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D5C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A4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F76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051A2">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79B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373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9612E">
            <w:pPr>
              <w:jc w:val="center"/>
              <w:rPr>
                <w:rFonts w:hint="default" w:ascii="微软雅黑" w:hAnsi="微软雅黑" w:eastAsia="微软雅黑" w:cs="微软雅黑"/>
                <w:i/>
                <w:iCs/>
                <w:color w:val="000000"/>
                <w:sz w:val="16"/>
                <w:szCs w:val="16"/>
                <w:u w:val="none"/>
              </w:rPr>
            </w:pPr>
          </w:p>
        </w:tc>
      </w:tr>
      <w:tr w14:paraId="26046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C4E68">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3D27A">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5B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71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建站计划完成率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85A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35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D08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C0EDD">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67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025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A173A">
            <w:pPr>
              <w:jc w:val="center"/>
              <w:rPr>
                <w:rFonts w:hint="default" w:ascii="微软雅黑" w:hAnsi="微软雅黑" w:eastAsia="微软雅黑" w:cs="微软雅黑"/>
                <w:i/>
                <w:iCs/>
                <w:color w:val="000000"/>
                <w:sz w:val="16"/>
                <w:szCs w:val="16"/>
                <w:u w:val="none"/>
              </w:rPr>
            </w:pPr>
          </w:p>
        </w:tc>
      </w:tr>
      <w:tr w14:paraId="0B678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59039">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4DC8D">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50F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91F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FC2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A6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28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31A10">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D7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81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31B0D">
            <w:pPr>
              <w:jc w:val="center"/>
              <w:rPr>
                <w:rFonts w:hint="default" w:ascii="微软雅黑" w:hAnsi="微软雅黑" w:eastAsia="微软雅黑" w:cs="微软雅黑"/>
                <w:i/>
                <w:iCs/>
                <w:color w:val="000000"/>
                <w:sz w:val="16"/>
                <w:szCs w:val="16"/>
                <w:u w:val="none"/>
              </w:rPr>
            </w:pPr>
          </w:p>
        </w:tc>
      </w:tr>
      <w:tr w14:paraId="6AE6E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2E63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CE8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E1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55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为州柔性引进人才，服务经济社会发展。</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72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13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C9396">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73598">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E0A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778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216BD">
            <w:pPr>
              <w:jc w:val="center"/>
              <w:rPr>
                <w:rFonts w:hint="default" w:ascii="微软雅黑" w:hAnsi="微软雅黑" w:eastAsia="微软雅黑" w:cs="微软雅黑"/>
                <w:i/>
                <w:iCs/>
                <w:color w:val="000000"/>
                <w:sz w:val="16"/>
                <w:szCs w:val="16"/>
                <w:u w:val="none"/>
              </w:rPr>
            </w:pPr>
          </w:p>
        </w:tc>
      </w:tr>
      <w:tr w14:paraId="1FEFB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C3F49">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77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098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E19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617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5C1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DE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4E2D7">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99</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438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F07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26C04">
            <w:pPr>
              <w:jc w:val="center"/>
              <w:rPr>
                <w:rFonts w:hint="default" w:ascii="微软雅黑" w:hAnsi="微软雅黑" w:eastAsia="微软雅黑" w:cs="微软雅黑"/>
                <w:i/>
                <w:iCs/>
                <w:color w:val="000000"/>
                <w:sz w:val="16"/>
                <w:szCs w:val="16"/>
                <w:u w:val="none"/>
              </w:rPr>
            </w:pPr>
          </w:p>
        </w:tc>
      </w:tr>
      <w:tr w14:paraId="3E4C8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5C74C">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BAE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715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11E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科协组织申报建站费用</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75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0F1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3A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F95F3">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68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8E9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9A4B8">
            <w:pPr>
              <w:jc w:val="center"/>
              <w:rPr>
                <w:rFonts w:hint="default" w:ascii="微软雅黑" w:hAnsi="微软雅黑" w:eastAsia="微软雅黑" w:cs="微软雅黑"/>
                <w:i/>
                <w:iCs/>
                <w:color w:val="000000"/>
                <w:sz w:val="16"/>
                <w:szCs w:val="16"/>
                <w:u w:val="none"/>
              </w:rPr>
            </w:pPr>
          </w:p>
        </w:tc>
      </w:tr>
      <w:tr w14:paraId="64299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EC00B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5E9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A5CE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06D47">
            <w:pPr>
              <w:rPr>
                <w:rFonts w:hint="eastAsia" w:ascii="宋体" w:hAnsi="宋体" w:eastAsia="宋体" w:cs="宋体"/>
                <w:i w:val="0"/>
                <w:iCs w:val="0"/>
                <w:color w:val="000000"/>
                <w:sz w:val="18"/>
                <w:szCs w:val="18"/>
                <w:u w:val="none"/>
              </w:rPr>
            </w:pPr>
          </w:p>
        </w:tc>
      </w:tr>
      <w:tr w14:paraId="0EA05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D6E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596DD8">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本年度按照计划，开展了院士（专家）工作站评审工作，通过预审、终审，最终评定三家专家工作站，并下达了补助资金。（200字以内）</w:t>
            </w:r>
          </w:p>
        </w:tc>
      </w:tr>
      <w:tr w14:paraId="39149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FF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ED0333">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院士（专家）工作站工作调研少，前期对建站单位调研有些不足。</w:t>
            </w:r>
          </w:p>
        </w:tc>
      </w:tr>
      <w:tr w14:paraId="60996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5FE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348488">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加大对建站单位的前期调研工作，了解清楚建站单位院士（专家）开展工作情况。</w:t>
            </w:r>
          </w:p>
        </w:tc>
      </w:tr>
    </w:tbl>
    <w:p w14:paraId="1E454C08">
      <w:pPr>
        <w:pStyle w:val="3"/>
        <w:rPr>
          <w:rFonts w:hint="eastAsia" w:ascii="Times New Roman" w:hAnsi="Times New Roman" w:eastAsia="黑体"/>
          <w:color w:val="auto"/>
          <w:sz w:val="44"/>
          <w:szCs w:val="44"/>
          <w:highlight w:val="none"/>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77"/>
        <w:gridCol w:w="908"/>
        <w:gridCol w:w="1205"/>
        <w:gridCol w:w="396"/>
        <w:gridCol w:w="850"/>
        <w:gridCol w:w="396"/>
        <w:gridCol w:w="846"/>
        <w:gridCol w:w="486"/>
        <w:gridCol w:w="397"/>
        <w:gridCol w:w="1385"/>
      </w:tblGrid>
      <w:tr w14:paraId="215BE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72E97DA">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5A0B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04D8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4CDA8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51320021T000000058003-全民科学素质纲要办公室办公经费</w:t>
            </w:r>
          </w:p>
        </w:tc>
      </w:tr>
      <w:tr w14:paraId="434BE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AC0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ED5C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州科协部门</w:t>
            </w:r>
          </w:p>
        </w:tc>
        <w:tc>
          <w:tcPr>
            <w:tcW w:w="386" w:type="pct"/>
            <w:tcBorders>
              <w:top w:val="nil"/>
              <w:left w:val="nil"/>
              <w:bottom w:val="nil"/>
              <w:right w:val="nil"/>
            </w:tcBorders>
            <w:shd w:val="clear" w:color="auto" w:fill="auto"/>
            <w:vAlign w:val="center"/>
          </w:tcPr>
          <w:p w14:paraId="7E540071">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2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CDB6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w:t>
            </w:r>
          </w:p>
        </w:tc>
      </w:tr>
      <w:tr w14:paraId="5D5C0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54B6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77D6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D361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0D09D0">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52CA6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928BD">
            <w:pP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20D58">
            <w:pPr>
              <w:rPr>
                <w:rFonts w:hint="eastAsia" w:ascii="宋体" w:hAnsi="宋体" w:eastAsia="宋体" w:cs="宋体"/>
                <w:i w:val="0"/>
                <w:iCs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D89E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借助各纲要办成员单位力量，助力公民科学素质提升。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EC2CED">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C578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D3EE4">
            <w:pP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ED3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B886307">
            <w:pPr>
              <w:rPr>
                <w:rFonts w:hint="eastAsia" w:ascii="宋体" w:hAnsi="宋体" w:eastAsia="宋体" w:cs="宋体"/>
                <w:i w:val="0"/>
                <w:iCs w:val="0"/>
                <w:color w:val="000000"/>
                <w:sz w:val="18"/>
                <w:szCs w:val="18"/>
                <w:u w:val="none"/>
              </w:rPr>
            </w:pPr>
          </w:p>
        </w:tc>
      </w:tr>
      <w:tr w14:paraId="71A03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A982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2B0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1A0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50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2C7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3D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52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ED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309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69C5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452CD">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E0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46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FBA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E0A3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6F2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BF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65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39B06">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B39A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782FA">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93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0DF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325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D91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F60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923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FA5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78103">
            <w:pPr>
              <w:rPr>
                <w:rFonts w:hint="default" w:ascii="黑体" w:hAnsi="黑体" w:eastAsia="黑体" w:cs="黑体"/>
                <w:i/>
                <w:iCs/>
                <w:color w:val="000000"/>
                <w:sz w:val="18"/>
                <w:szCs w:val="18"/>
                <w:u w:val="none"/>
              </w:rPr>
            </w:pPr>
          </w:p>
        </w:tc>
      </w:tr>
      <w:tr w14:paraId="71B09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35BF1">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189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18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4EF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6F4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A5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2CE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AF8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A5BD7">
            <w:pPr>
              <w:rPr>
                <w:rFonts w:hint="default" w:ascii="黑体" w:hAnsi="黑体" w:eastAsia="黑体" w:cs="黑体"/>
                <w:i/>
                <w:iCs/>
                <w:color w:val="000000"/>
                <w:sz w:val="18"/>
                <w:szCs w:val="18"/>
                <w:u w:val="none"/>
              </w:rPr>
            </w:pPr>
          </w:p>
        </w:tc>
      </w:tr>
      <w:tr w14:paraId="7064A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AAF02">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38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F4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7C2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153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0F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B1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589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A75B9">
            <w:pPr>
              <w:rPr>
                <w:rFonts w:hint="default" w:ascii="黑体" w:hAnsi="黑体" w:eastAsia="黑体" w:cs="黑体"/>
                <w:i/>
                <w:iCs/>
                <w:color w:val="000000"/>
                <w:sz w:val="18"/>
                <w:szCs w:val="18"/>
                <w:u w:val="none"/>
              </w:rPr>
            </w:pPr>
          </w:p>
        </w:tc>
      </w:tr>
      <w:tr w14:paraId="09871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6A7BB">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08A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D10A2">
            <w:pPr>
              <w:jc w:val="center"/>
              <w:rPr>
                <w:rFonts w:hint="eastAsia" w:ascii="微软雅黑" w:hAnsi="微软雅黑" w:eastAsia="微软雅黑" w:cs="微软雅黑"/>
                <w:i/>
                <w:iCs/>
                <w:color w:val="000000"/>
                <w:sz w:val="16"/>
                <w:szCs w:val="16"/>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0F1EB">
            <w:pPr>
              <w:jc w:val="center"/>
              <w:rPr>
                <w:rFonts w:hint="default"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F50D75">
            <w:pPr>
              <w:jc w:val="center"/>
              <w:rPr>
                <w:rFonts w:hint="default"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E47C0">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A4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83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4DD22">
            <w:pPr>
              <w:rPr>
                <w:rFonts w:hint="default" w:ascii="黑体" w:hAnsi="黑体" w:eastAsia="黑体" w:cs="黑体"/>
                <w:i/>
                <w:iCs/>
                <w:color w:val="000000"/>
                <w:sz w:val="18"/>
                <w:szCs w:val="18"/>
                <w:u w:val="none"/>
              </w:rPr>
            </w:pPr>
          </w:p>
        </w:tc>
      </w:tr>
      <w:tr w14:paraId="6F66C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6E3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8E4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D7F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DC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3FE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E7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6BE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4F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D0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80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FF3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2E44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52DA3">
            <w:pPr>
              <w:jc w:val="center"/>
              <w:rPr>
                <w:rFonts w:hint="eastAsia" w:ascii="宋体" w:hAnsi="宋体" w:eastAsia="宋体" w:cs="宋体"/>
                <w:i w:val="0"/>
                <w:iCs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EC7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93C5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0BB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召开全州全民科学素质纲要工作部署会</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355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B0E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4E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B8451">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D8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0B0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3EB8D">
            <w:pPr>
              <w:jc w:val="center"/>
              <w:rPr>
                <w:rFonts w:hint="default" w:ascii="微软雅黑" w:hAnsi="微软雅黑" w:eastAsia="微软雅黑" w:cs="微软雅黑"/>
                <w:i/>
                <w:iCs/>
                <w:color w:val="000000"/>
                <w:sz w:val="16"/>
                <w:szCs w:val="16"/>
                <w:u w:val="none"/>
              </w:rPr>
            </w:pPr>
          </w:p>
        </w:tc>
      </w:tr>
      <w:tr w14:paraId="04952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5D996">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2AFD2">
            <w:pPr>
              <w:jc w:val="center"/>
              <w:rPr>
                <w:rFonts w:hint="eastAsia" w:ascii="宋体" w:hAnsi="宋体" w:eastAsia="宋体" w:cs="宋体"/>
                <w:i w:val="0"/>
                <w:iCs w:val="0"/>
                <w:color w:val="000000"/>
                <w:sz w:val="18"/>
                <w:szCs w:val="18"/>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5C895">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295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参会人员</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97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8BD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19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2BA85">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33</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173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AC1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3CC56">
            <w:pPr>
              <w:jc w:val="center"/>
              <w:rPr>
                <w:rFonts w:hint="default" w:ascii="微软雅黑" w:hAnsi="微软雅黑" w:eastAsia="微软雅黑" w:cs="微软雅黑"/>
                <w:i/>
                <w:iCs/>
                <w:color w:val="000000"/>
                <w:sz w:val="16"/>
                <w:szCs w:val="16"/>
                <w:u w:val="none"/>
              </w:rPr>
            </w:pPr>
          </w:p>
        </w:tc>
      </w:tr>
      <w:tr w14:paraId="55554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538B5">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7BFE3">
            <w:pPr>
              <w:jc w:val="cente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172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FE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全州各县参与率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FF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2F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C8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357D8">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7FE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F5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DD27C">
            <w:pPr>
              <w:jc w:val="center"/>
              <w:rPr>
                <w:rFonts w:hint="default" w:ascii="微软雅黑" w:hAnsi="微软雅黑" w:eastAsia="微软雅黑" w:cs="微软雅黑"/>
                <w:i/>
                <w:iCs/>
                <w:color w:val="000000"/>
                <w:sz w:val="16"/>
                <w:szCs w:val="16"/>
                <w:u w:val="none"/>
              </w:rPr>
            </w:pPr>
          </w:p>
        </w:tc>
      </w:tr>
      <w:tr w14:paraId="7D413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50386">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E9E14">
            <w:pPr>
              <w:jc w:val="cente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E3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080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会议时间</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50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396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DE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3FAAC">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48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F6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50DDC">
            <w:pPr>
              <w:jc w:val="center"/>
              <w:rPr>
                <w:rFonts w:hint="default" w:ascii="微软雅黑" w:hAnsi="微软雅黑" w:eastAsia="微软雅黑" w:cs="微软雅黑"/>
                <w:i/>
                <w:iCs/>
                <w:color w:val="000000"/>
                <w:sz w:val="16"/>
                <w:szCs w:val="16"/>
                <w:u w:val="none"/>
              </w:rPr>
            </w:pPr>
          </w:p>
        </w:tc>
      </w:tr>
      <w:tr w14:paraId="2A942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0F08C">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759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2A3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D5B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提升全州公民科学素质</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AE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ECD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7909F">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D622E">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7.20%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60C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B5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C3D7F">
            <w:pPr>
              <w:jc w:val="center"/>
              <w:rPr>
                <w:rFonts w:hint="default" w:ascii="微软雅黑" w:hAnsi="微软雅黑" w:eastAsia="微软雅黑" w:cs="微软雅黑"/>
                <w:i/>
                <w:iCs/>
                <w:color w:val="000000"/>
                <w:sz w:val="16"/>
                <w:szCs w:val="16"/>
                <w:u w:val="none"/>
              </w:rPr>
            </w:pPr>
          </w:p>
        </w:tc>
      </w:tr>
      <w:tr w14:paraId="4674B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3BC48">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C4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F4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26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610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3EE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610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AA9B4">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99</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A5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D9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A58C4">
            <w:pPr>
              <w:jc w:val="center"/>
              <w:rPr>
                <w:rFonts w:hint="default" w:ascii="微软雅黑" w:hAnsi="微软雅黑" w:eastAsia="微软雅黑" w:cs="微软雅黑"/>
                <w:i/>
                <w:iCs/>
                <w:color w:val="000000"/>
                <w:sz w:val="16"/>
                <w:szCs w:val="16"/>
                <w:u w:val="none"/>
              </w:rPr>
            </w:pPr>
          </w:p>
        </w:tc>
      </w:tr>
      <w:tr w14:paraId="6A474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33025">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06A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89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653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会议每日人均费用</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64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1BF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9F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224B4">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130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F76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172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0B1AC">
            <w:pPr>
              <w:jc w:val="center"/>
              <w:rPr>
                <w:rFonts w:hint="default" w:ascii="微软雅黑" w:hAnsi="微软雅黑" w:eastAsia="微软雅黑" w:cs="微软雅黑"/>
                <w:i/>
                <w:iCs/>
                <w:color w:val="000000"/>
                <w:sz w:val="16"/>
                <w:szCs w:val="16"/>
                <w:u w:val="none"/>
              </w:rPr>
            </w:pPr>
          </w:p>
        </w:tc>
      </w:tr>
      <w:tr w14:paraId="4A6BB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5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1D2A4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13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CBB14">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2FCFC">
            <w:pPr>
              <w:rPr>
                <w:rFonts w:hint="eastAsia" w:ascii="宋体" w:hAnsi="宋体" w:eastAsia="宋体" w:cs="宋体"/>
                <w:i w:val="0"/>
                <w:iCs w:val="0"/>
                <w:color w:val="000000"/>
                <w:sz w:val="18"/>
                <w:szCs w:val="18"/>
                <w:u w:val="none"/>
              </w:rPr>
            </w:pPr>
          </w:p>
        </w:tc>
      </w:tr>
      <w:tr w14:paraId="6BA8D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3E3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80A325">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按照全民科学素质纲要工作要求，每年召开一次全民科学素质纲要工作部署会，要求各县（市）把提升全民科学素质工作作为科协重点工作开展。</w:t>
            </w:r>
          </w:p>
        </w:tc>
      </w:tr>
      <w:tr w14:paraId="4460A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DB0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32093B">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对我州全民科学素质了解不足，没有考评体系。</w:t>
            </w:r>
          </w:p>
        </w:tc>
      </w:tr>
      <w:tr w14:paraId="63C88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5F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296663">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结合我州实际，由州本级开展全民科学素质测评，详细了解我州全民科学素质情况。</w:t>
            </w:r>
          </w:p>
        </w:tc>
      </w:tr>
    </w:tbl>
    <w:p w14:paraId="599B9494">
      <w:pPr>
        <w:pStyle w:val="3"/>
        <w:rPr>
          <w:rFonts w:hint="eastAsia" w:ascii="Times New Roman" w:hAnsi="Times New Roman" w:eastAsia="黑体"/>
          <w:color w:val="auto"/>
          <w:sz w:val="44"/>
          <w:szCs w:val="44"/>
          <w:highlight w:val="none"/>
        </w:rPr>
      </w:pPr>
    </w:p>
    <w:p w14:paraId="139A2544">
      <w:pPr>
        <w:pStyle w:val="5"/>
        <w:jc w:val="center"/>
        <w:rPr>
          <w:rFonts w:hint="eastAsia" w:ascii="Times New Roman" w:hAnsi="Times New Roman" w:eastAsia="方正小标宋简体" w:cs="方正小标宋简体"/>
          <w:b w:val="0"/>
          <w:color w:val="auto"/>
          <w:highlight w:val="none"/>
        </w:rPr>
      </w:pPr>
      <w:bookmarkStart w:id="147" w:name="_Toc20834"/>
      <w:r>
        <w:rPr>
          <w:rFonts w:hint="eastAsia" w:ascii="Times New Roman" w:hAnsi="Times New Roman" w:eastAsia="方正小标宋简体" w:cs="方正小标宋简体"/>
          <w:b w:val="0"/>
          <w:color w:val="auto"/>
          <w:highlight w:val="none"/>
        </w:rPr>
        <w:t>第五部分 附表</w:t>
      </w:r>
      <w:bookmarkEnd w:id="140"/>
      <w:bookmarkEnd w:id="146"/>
      <w:bookmarkEnd w:id="147"/>
      <w:bookmarkStart w:id="148" w:name="_Toc15396619"/>
    </w:p>
    <w:p w14:paraId="11196BC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6661E96B">
      <w:pPr>
        <w:pStyle w:val="6"/>
        <w:rPr>
          <w:rFonts w:hint="eastAsia" w:ascii="Times New Roman" w:hAnsi="Times New Roman" w:eastAsia="黑体"/>
          <w:b w:val="0"/>
          <w:color w:val="auto"/>
          <w:highlight w:val="none"/>
          <w:lang w:val="en-US" w:eastAsia="zh-CN"/>
        </w:rPr>
      </w:pPr>
      <w:bookmarkStart w:id="149" w:name="_Toc18323"/>
      <w:r>
        <w:rPr>
          <w:rFonts w:hint="eastAsia" w:ascii="Times New Roman" w:hAnsi="Times New Roman" w:eastAsia="黑体"/>
          <w:b w:val="0"/>
          <w:color w:val="auto"/>
          <w:highlight w:val="none"/>
          <w:lang w:val="en-US" w:eastAsia="zh-CN"/>
        </w:rPr>
        <w:t>一、收入支出决算总表</w:t>
      </w:r>
      <w:bookmarkEnd w:id="148"/>
      <w:bookmarkEnd w:id="149"/>
    </w:p>
    <w:p w14:paraId="06F026B3">
      <w:pPr>
        <w:pStyle w:val="6"/>
        <w:rPr>
          <w:rFonts w:hint="eastAsia" w:ascii="Times New Roman" w:hAnsi="Times New Roman" w:eastAsia="黑体"/>
          <w:b w:val="0"/>
          <w:color w:val="auto"/>
          <w:highlight w:val="none"/>
          <w:lang w:val="en-US" w:eastAsia="zh-CN"/>
        </w:rPr>
      </w:pPr>
      <w:bookmarkStart w:id="150" w:name="_Toc32582"/>
      <w:bookmarkStart w:id="151" w:name="_Toc15396620"/>
      <w:r>
        <w:rPr>
          <w:rFonts w:hint="eastAsia" w:ascii="Times New Roman" w:hAnsi="Times New Roman" w:eastAsia="黑体"/>
          <w:b w:val="0"/>
          <w:color w:val="auto"/>
          <w:highlight w:val="none"/>
          <w:lang w:val="en-US" w:eastAsia="zh-CN"/>
        </w:rPr>
        <w:t>二、收入决算表</w:t>
      </w:r>
      <w:bookmarkEnd w:id="150"/>
      <w:bookmarkEnd w:id="151"/>
    </w:p>
    <w:p w14:paraId="530B88FD">
      <w:pPr>
        <w:pStyle w:val="6"/>
        <w:rPr>
          <w:rFonts w:hint="eastAsia" w:ascii="Times New Roman" w:hAnsi="Times New Roman" w:eastAsia="黑体"/>
          <w:b w:val="0"/>
          <w:color w:val="auto"/>
          <w:highlight w:val="none"/>
          <w:lang w:val="en-US" w:eastAsia="zh-CN"/>
        </w:rPr>
      </w:pPr>
      <w:bookmarkStart w:id="152" w:name="_Toc15396621"/>
      <w:bookmarkStart w:id="153" w:name="_Toc19215"/>
      <w:r>
        <w:rPr>
          <w:rFonts w:hint="eastAsia" w:ascii="Times New Roman" w:hAnsi="Times New Roman" w:eastAsia="黑体"/>
          <w:b w:val="0"/>
          <w:color w:val="auto"/>
          <w:highlight w:val="none"/>
          <w:lang w:val="en-US" w:eastAsia="zh-CN"/>
        </w:rPr>
        <w:t>三、支出决算表</w:t>
      </w:r>
      <w:bookmarkEnd w:id="152"/>
      <w:bookmarkEnd w:id="153"/>
    </w:p>
    <w:p w14:paraId="46A24E6A">
      <w:pPr>
        <w:pStyle w:val="6"/>
        <w:rPr>
          <w:rFonts w:hint="eastAsia" w:ascii="Times New Roman" w:hAnsi="Times New Roman" w:eastAsia="黑体"/>
          <w:b w:val="0"/>
          <w:color w:val="auto"/>
          <w:highlight w:val="none"/>
          <w:lang w:val="en-US" w:eastAsia="zh-CN"/>
        </w:rPr>
      </w:pPr>
      <w:bookmarkStart w:id="154" w:name="_Toc15396622"/>
      <w:bookmarkStart w:id="155" w:name="_Toc2557"/>
      <w:r>
        <w:rPr>
          <w:rFonts w:hint="eastAsia" w:ascii="Times New Roman" w:hAnsi="Times New Roman" w:eastAsia="黑体"/>
          <w:b w:val="0"/>
          <w:color w:val="auto"/>
          <w:highlight w:val="none"/>
          <w:lang w:val="en-US" w:eastAsia="zh-CN"/>
        </w:rPr>
        <w:t>四、财政拨款收入支出决算总表</w:t>
      </w:r>
      <w:bookmarkEnd w:id="154"/>
      <w:bookmarkEnd w:id="155"/>
    </w:p>
    <w:p w14:paraId="668E1655">
      <w:pPr>
        <w:pStyle w:val="6"/>
        <w:rPr>
          <w:rFonts w:hint="eastAsia" w:ascii="Times New Roman" w:hAnsi="Times New Roman" w:eastAsia="黑体"/>
          <w:b w:val="0"/>
          <w:color w:val="auto"/>
          <w:highlight w:val="none"/>
          <w:lang w:val="en-US" w:eastAsia="zh-CN"/>
        </w:rPr>
      </w:pPr>
      <w:bookmarkStart w:id="156" w:name="_Toc15396623"/>
      <w:bookmarkStart w:id="157" w:name="_Toc13699"/>
      <w:r>
        <w:rPr>
          <w:rFonts w:hint="eastAsia" w:ascii="Times New Roman" w:hAnsi="Times New Roman" w:eastAsia="黑体"/>
          <w:b w:val="0"/>
          <w:color w:val="auto"/>
          <w:highlight w:val="none"/>
          <w:lang w:val="en-US" w:eastAsia="zh-CN"/>
        </w:rPr>
        <w:t>五、财政拨款支出决算明细表</w:t>
      </w:r>
      <w:bookmarkEnd w:id="156"/>
      <w:bookmarkEnd w:id="157"/>
      <w:bookmarkStart w:id="158" w:name="_Toc15396624"/>
    </w:p>
    <w:p w14:paraId="62C25FB5">
      <w:pPr>
        <w:pStyle w:val="6"/>
        <w:rPr>
          <w:rFonts w:hint="eastAsia" w:ascii="Times New Roman" w:hAnsi="Times New Roman" w:eastAsia="黑体"/>
          <w:b w:val="0"/>
          <w:color w:val="auto"/>
          <w:highlight w:val="none"/>
          <w:lang w:val="en-US" w:eastAsia="zh-CN"/>
        </w:rPr>
      </w:pPr>
      <w:bookmarkStart w:id="159" w:name="_Toc19565"/>
      <w:r>
        <w:rPr>
          <w:rFonts w:hint="eastAsia" w:ascii="Times New Roman" w:hAnsi="Times New Roman" w:eastAsia="黑体"/>
          <w:b w:val="0"/>
          <w:color w:val="auto"/>
          <w:highlight w:val="none"/>
          <w:lang w:val="en-US" w:eastAsia="zh-CN"/>
        </w:rPr>
        <w:t>六、一般公共预算财政拨款支出决算表</w:t>
      </w:r>
      <w:bookmarkEnd w:id="158"/>
      <w:bookmarkEnd w:id="159"/>
    </w:p>
    <w:p w14:paraId="3F5BB3C4">
      <w:pPr>
        <w:pStyle w:val="6"/>
        <w:rPr>
          <w:rFonts w:hint="eastAsia" w:ascii="Times New Roman" w:hAnsi="Times New Roman" w:eastAsia="黑体"/>
          <w:b w:val="0"/>
          <w:color w:val="auto"/>
          <w:highlight w:val="none"/>
          <w:lang w:val="en-US" w:eastAsia="zh-CN"/>
        </w:rPr>
      </w:pPr>
      <w:bookmarkStart w:id="160" w:name="_Toc15396625"/>
      <w:bookmarkStart w:id="161" w:name="_Toc1007"/>
      <w:r>
        <w:rPr>
          <w:rFonts w:hint="eastAsia" w:ascii="Times New Roman" w:hAnsi="Times New Roman" w:eastAsia="黑体"/>
          <w:b w:val="0"/>
          <w:color w:val="auto"/>
          <w:highlight w:val="none"/>
          <w:lang w:val="en-US" w:eastAsia="zh-CN"/>
        </w:rPr>
        <w:t>七、一般公共预算财政拨款支出决算明细表</w:t>
      </w:r>
      <w:bookmarkEnd w:id="160"/>
      <w:bookmarkEnd w:id="161"/>
    </w:p>
    <w:p w14:paraId="13710DF9">
      <w:pPr>
        <w:pStyle w:val="6"/>
        <w:rPr>
          <w:rFonts w:hint="eastAsia" w:ascii="Times New Roman" w:hAnsi="Times New Roman" w:eastAsia="黑体"/>
          <w:b w:val="0"/>
          <w:color w:val="auto"/>
          <w:highlight w:val="none"/>
          <w:lang w:val="en-US" w:eastAsia="zh-CN"/>
        </w:rPr>
      </w:pPr>
      <w:bookmarkStart w:id="162" w:name="_Toc20119"/>
      <w:bookmarkStart w:id="163" w:name="_Toc15396626"/>
      <w:r>
        <w:rPr>
          <w:rFonts w:hint="eastAsia" w:ascii="Times New Roman" w:hAnsi="Times New Roman" w:eastAsia="黑体"/>
          <w:b w:val="0"/>
          <w:color w:val="auto"/>
          <w:highlight w:val="none"/>
          <w:lang w:val="en-US" w:eastAsia="zh-CN"/>
        </w:rPr>
        <w:t>八、一般公共预算财政拨款基本支出决算表</w:t>
      </w:r>
      <w:bookmarkEnd w:id="162"/>
      <w:bookmarkEnd w:id="163"/>
    </w:p>
    <w:p w14:paraId="0774F993">
      <w:pPr>
        <w:pStyle w:val="6"/>
        <w:rPr>
          <w:rFonts w:hint="eastAsia" w:ascii="Times New Roman" w:hAnsi="Times New Roman" w:eastAsia="黑体"/>
          <w:b w:val="0"/>
          <w:color w:val="auto"/>
          <w:highlight w:val="none"/>
          <w:lang w:val="en-US" w:eastAsia="zh-CN"/>
        </w:rPr>
      </w:pPr>
      <w:bookmarkStart w:id="164" w:name="_Toc15396627"/>
      <w:bookmarkStart w:id="165" w:name="_Toc10566"/>
      <w:r>
        <w:rPr>
          <w:rFonts w:hint="eastAsia" w:ascii="Times New Roman" w:hAnsi="Times New Roman" w:eastAsia="黑体"/>
          <w:b w:val="0"/>
          <w:color w:val="auto"/>
          <w:highlight w:val="none"/>
          <w:lang w:val="en-US" w:eastAsia="zh-CN"/>
        </w:rPr>
        <w:t>九、一般公共预算财政拨款项目支出决算表</w:t>
      </w:r>
      <w:bookmarkEnd w:id="164"/>
      <w:bookmarkEnd w:id="165"/>
    </w:p>
    <w:p w14:paraId="3B0D6D7D">
      <w:pPr>
        <w:pStyle w:val="6"/>
        <w:rPr>
          <w:rFonts w:hint="eastAsia" w:ascii="Times New Roman" w:hAnsi="Times New Roman" w:eastAsia="黑体"/>
          <w:b w:val="0"/>
          <w:color w:val="auto"/>
          <w:highlight w:val="none"/>
          <w:lang w:val="en-US" w:eastAsia="zh-CN"/>
        </w:rPr>
      </w:pPr>
      <w:bookmarkStart w:id="166" w:name="_Toc15396628"/>
      <w:bookmarkStart w:id="167" w:name="_Toc32437"/>
      <w:r>
        <w:rPr>
          <w:rFonts w:hint="eastAsia" w:ascii="Times New Roman" w:hAnsi="Times New Roman" w:eastAsia="黑体"/>
          <w:b w:val="0"/>
          <w:color w:val="auto"/>
          <w:highlight w:val="none"/>
          <w:lang w:val="en-US" w:eastAsia="zh-CN"/>
        </w:rPr>
        <w:t>十、</w:t>
      </w:r>
      <w:bookmarkEnd w:id="166"/>
      <w:r>
        <w:rPr>
          <w:rFonts w:hint="eastAsia" w:ascii="Times New Roman" w:hAnsi="Times New Roman" w:eastAsia="黑体"/>
          <w:b w:val="0"/>
          <w:color w:val="auto"/>
          <w:highlight w:val="none"/>
          <w:lang w:val="en-US" w:eastAsia="zh-CN"/>
        </w:rPr>
        <w:t>政府性基金预算财政拨款收入支出决算表</w:t>
      </w:r>
      <w:bookmarkEnd w:id="167"/>
    </w:p>
    <w:p w14:paraId="7C867337">
      <w:pPr>
        <w:pStyle w:val="6"/>
        <w:rPr>
          <w:rFonts w:hint="eastAsia" w:ascii="Times New Roman" w:hAnsi="Times New Roman" w:eastAsia="黑体"/>
          <w:b w:val="0"/>
          <w:color w:val="auto"/>
          <w:highlight w:val="none"/>
          <w:lang w:val="en-US" w:eastAsia="zh-CN"/>
        </w:rPr>
      </w:pPr>
      <w:bookmarkStart w:id="168" w:name="_Toc15396629"/>
      <w:bookmarkStart w:id="169" w:name="_Toc19875"/>
      <w:r>
        <w:rPr>
          <w:rFonts w:hint="eastAsia" w:ascii="Times New Roman" w:hAnsi="Times New Roman" w:eastAsia="黑体"/>
          <w:b w:val="0"/>
          <w:color w:val="auto"/>
          <w:highlight w:val="none"/>
          <w:lang w:val="en-US" w:eastAsia="zh-CN"/>
        </w:rPr>
        <w:t>十一、</w:t>
      </w:r>
      <w:bookmarkEnd w:id="168"/>
      <w:r>
        <w:rPr>
          <w:rFonts w:hint="eastAsia" w:ascii="Times New Roman" w:hAnsi="Times New Roman" w:eastAsia="黑体"/>
          <w:b w:val="0"/>
          <w:color w:val="auto"/>
          <w:highlight w:val="none"/>
          <w:lang w:val="en-US" w:eastAsia="zh-CN"/>
        </w:rPr>
        <w:t>国有资本经营预算财政拨款收入支出决算表</w:t>
      </w:r>
      <w:bookmarkEnd w:id="169"/>
    </w:p>
    <w:p w14:paraId="30AD9993">
      <w:pPr>
        <w:pStyle w:val="6"/>
        <w:rPr>
          <w:rFonts w:hint="eastAsia" w:ascii="Times New Roman" w:hAnsi="Times New Roman" w:eastAsia="黑体"/>
          <w:b w:val="0"/>
          <w:color w:val="auto"/>
          <w:highlight w:val="none"/>
          <w:lang w:val="en-US" w:eastAsia="zh-CN"/>
        </w:rPr>
      </w:pPr>
      <w:bookmarkStart w:id="170" w:name="_Toc15396630"/>
      <w:bookmarkStart w:id="171" w:name="_Toc13335"/>
      <w:r>
        <w:rPr>
          <w:rFonts w:hint="eastAsia" w:ascii="Times New Roman" w:hAnsi="Times New Roman" w:eastAsia="黑体"/>
          <w:b w:val="0"/>
          <w:color w:val="auto"/>
          <w:highlight w:val="none"/>
          <w:lang w:val="en-US" w:eastAsia="zh-CN"/>
        </w:rPr>
        <w:t>十二、</w:t>
      </w:r>
      <w:bookmarkEnd w:id="170"/>
      <w:r>
        <w:rPr>
          <w:rFonts w:hint="eastAsia" w:ascii="Times New Roman" w:hAnsi="Times New Roman" w:eastAsia="黑体"/>
          <w:b w:val="0"/>
          <w:color w:val="auto"/>
          <w:highlight w:val="none"/>
          <w:lang w:val="en-US" w:eastAsia="zh-CN"/>
        </w:rPr>
        <w:t>国有资本经营预算财政拨款支出决算表</w:t>
      </w:r>
      <w:bookmarkEnd w:id="171"/>
    </w:p>
    <w:p w14:paraId="74EB4946">
      <w:pPr>
        <w:pStyle w:val="6"/>
        <w:rPr>
          <w:rFonts w:hint="eastAsia" w:ascii="Times New Roman" w:hAnsi="Times New Roman" w:eastAsia="黑体"/>
          <w:b w:val="0"/>
          <w:color w:val="auto"/>
          <w:highlight w:val="none"/>
          <w:lang w:val="en-US" w:eastAsia="zh-CN"/>
        </w:rPr>
      </w:pPr>
      <w:bookmarkStart w:id="172" w:name="_Toc15396631"/>
      <w:bookmarkStart w:id="173" w:name="_Toc1074"/>
      <w:r>
        <w:rPr>
          <w:rFonts w:hint="eastAsia" w:ascii="Times New Roman" w:hAnsi="Times New Roman" w:eastAsia="黑体"/>
          <w:b w:val="0"/>
          <w:color w:val="auto"/>
          <w:highlight w:val="none"/>
          <w:lang w:val="en-US" w:eastAsia="zh-CN"/>
        </w:rPr>
        <w:t>十三、</w:t>
      </w:r>
      <w:bookmarkEnd w:id="172"/>
      <w:r>
        <w:rPr>
          <w:rFonts w:hint="eastAsia" w:ascii="Times New Roman" w:hAnsi="Times New Roman" w:eastAsia="黑体"/>
          <w:b w:val="0"/>
          <w:color w:val="auto"/>
          <w:highlight w:val="none"/>
          <w:lang w:val="en-US" w:eastAsia="zh-CN"/>
        </w:rPr>
        <w:t>财政拨款“三公”经费支出决算表</w:t>
      </w:r>
      <w:bookmarkEnd w:id="173"/>
    </w:p>
    <w:p w14:paraId="7DFF7EAE">
      <w:pPr>
        <w:rPr>
          <w:rFonts w:hint="eastAsia" w:ascii="Times New Roman" w:hAnsi="Times New Roman" w:eastAsia="黑体" w:cstheme="majorBidi"/>
          <w:b w:val="0"/>
          <w:bCs/>
          <w:color w:val="auto"/>
          <w:kern w:val="2"/>
          <w:sz w:val="32"/>
          <w:szCs w:val="32"/>
          <w:highlight w:val="none"/>
          <w:lang w:val="en-US" w:eastAsia="zh-CN" w:bidi="ar-SA"/>
        </w:rPr>
      </w:pPr>
    </w:p>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altName w:val="黑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FD630">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7DD1E0">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7DD1E0">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586DD2CA">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428CF">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799DD5">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4799DD5">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7E7AC">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8FA95D"/>
    <w:multiLevelType w:val="singleLevel"/>
    <w:tmpl w:val="898FA95D"/>
    <w:lvl w:ilvl="0" w:tentative="0">
      <w:start w:val="2"/>
      <w:numFmt w:val="chineseCounting"/>
      <w:suff w:val="nothing"/>
      <w:lvlText w:val="（%1）"/>
      <w:lvlJc w:val="left"/>
      <w:rPr>
        <w:rFonts w:hint="eastAsia"/>
      </w:rPr>
    </w:lvl>
  </w:abstractNum>
  <w:abstractNum w:abstractNumId="1">
    <w:nsid w:val="A7326F61"/>
    <w:multiLevelType w:val="singleLevel"/>
    <w:tmpl w:val="A7326F61"/>
    <w:lvl w:ilvl="0" w:tentative="0">
      <w:start w:val="1"/>
      <w:numFmt w:val="decimal"/>
      <w:lvlText w:val="%1."/>
      <w:lvlJc w:val="left"/>
      <w:pPr>
        <w:tabs>
          <w:tab w:val="left" w:pos="312"/>
        </w:tabs>
      </w:pPr>
    </w:lvl>
  </w:abstractNum>
  <w:abstractNum w:abstractNumId="2">
    <w:nsid w:val="DB3E364C"/>
    <w:multiLevelType w:val="singleLevel"/>
    <w:tmpl w:val="DB3E364C"/>
    <w:lvl w:ilvl="0" w:tentative="0">
      <w:start w:val="2"/>
      <w:numFmt w:val="decimal"/>
      <w:lvlText w:val="%1."/>
      <w:lvlJc w:val="left"/>
      <w:pPr>
        <w:tabs>
          <w:tab w:val="left" w:pos="312"/>
        </w:tabs>
      </w:pPr>
    </w:lvl>
  </w:abstractNum>
  <w:abstractNum w:abstractNumId="3">
    <w:nsid w:val="E3F16642"/>
    <w:multiLevelType w:val="singleLevel"/>
    <w:tmpl w:val="E3F16642"/>
    <w:lvl w:ilvl="0" w:tentative="0">
      <w:start w:val="1"/>
      <w:numFmt w:val="chineseCounting"/>
      <w:suff w:val="nothing"/>
      <w:lvlText w:val="%1、"/>
      <w:lvlJc w:val="left"/>
      <w:rPr>
        <w:rFonts w:hint="eastAsia"/>
      </w:rPr>
    </w:lvl>
  </w:abstractNum>
  <w:abstractNum w:abstractNumId="4">
    <w:nsid w:val="2DEED5DF"/>
    <w:multiLevelType w:val="singleLevel"/>
    <w:tmpl w:val="2DEED5DF"/>
    <w:lvl w:ilvl="0" w:tentative="0">
      <w:start w:val="1"/>
      <w:numFmt w:val="decimal"/>
      <w:lvlText w:val="%1."/>
      <w:lvlJc w:val="left"/>
      <w:pPr>
        <w:tabs>
          <w:tab w:val="left" w:pos="312"/>
        </w:tabs>
      </w:pPr>
    </w:lvl>
  </w:abstractNum>
  <w:abstractNum w:abstractNumId="5">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D76D1F"/>
    <w:rsid w:val="12E24EE2"/>
    <w:rsid w:val="132D5250"/>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3D2232B"/>
    <w:rsid w:val="240371BF"/>
    <w:rsid w:val="244F3473"/>
    <w:rsid w:val="24C97D99"/>
    <w:rsid w:val="25A718F0"/>
    <w:rsid w:val="25BB59F6"/>
    <w:rsid w:val="260F557C"/>
    <w:rsid w:val="26970054"/>
    <w:rsid w:val="281408E2"/>
    <w:rsid w:val="29FD04D3"/>
    <w:rsid w:val="2BFF7BC6"/>
    <w:rsid w:val="2C8A61B5"/>
    <w:rsid w:val="2DD32CE2"/>
    <w:rsid w:val="2DF04E50"/>
    <w:rsid w:val="2E586DFA"/>
    <w:rsid w:val="2F040D46"/>
    <w:rsid w:val="2F6B035B"/>
    <w:rsid w:val="2FAE5751"/>
    <w:rsid w:val="2FB1A395"/>
    <w:rsid w:val="2FD9A7D8"/>
    <w:rsid w:val="2FDBF714"/>
    <w:rsid w:val="30AB6865"/>
    <w:rsid w:val="319F7F4E"/>
    <w:rsid w:val="32BD1EF1"/>
    <w:rsid w:val="3304709D"/>
    <w:rsid w:val="33A773CB"/>
    <w:rsid w:val="33F3FC0F"/>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3F0CB4"/>
    <w:rsid w:val="4B4F25DA"/>
    <w:rsid w:val="4BE068DB"/>
    <w:rsid w:val="4D577224"/>
    <w:rsid w:val="4DBF1CEB"/>
    <w:rsid w:val="4DF0007C"/>
    <w:rsid w:val="4DFF0585"/>
    <w:rsid w:val="4E6E7728"/>
    <w:rsid w:val="4EAB630A"/>
    <w:rsid w:val="4ECE2238"/>
    <w:rsid w:val="4F833267"/>
    <w:rsid w:val="4FE9BD67"/>
    <w:rsid w:val="4FFB052F"/>
    <w:rsid w:val="50E742EB"/>
    <w:rsid w:val="537E6D0A"/>
    <w:rsid w:val="53F74C96"/>
    <w:rsid w:val="541A1428"/>
    <w:rsid w:val="55170BA8"/>
    <w:rsid w:val="553218C9"/>
    <w:rsid w:val="567E1AA5"/>
    <w:rsid w:val="56E47B74"/>
    <w:rsid w:val="57175D52"/>
    <w:rsid w:val="572B509F"/>
    <w:rsid w:val="57BD3DD4"/>
    <w:rsid w:val="5AF92295"/>
    <w:rsid w:val="5B250254"/>
    <w:rsid w:val="5BDD79E6"/>
    <w:rsid w:val="5BF561CA"/>
    <w:rsid w:val="5BFF5DFC"/>
    <w:rsid w:val="5CD71FC4"/>
    <w:rsid w:val="5D1F11B5"/>
    <w:rsid w:val="5D5A3849"/>
    <w:rsid w:val="5D695134"/>
    <w:rsid w:val="5DAE1B18"/>
    <w:rsid w:val="5DE7D9E5"/>
    <w:rsid w:val="5ECEC941"/>
    <w:rsid w:val="5FBF9FF3"/>
    <w:rsid w:val="5FCD4E2C"/>
    <w:rsid w:val="5FEF394A"/>
    <w:rsid w:val="5FF67715"/>
    <w:rsid w:val="619FB739"/>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9FD1F12"/>
    <w:rsid w:val="7A894339"/>
    <w:rsid w:val="7AD284E8"/>
    <w:rsid w:val="7AFF7572"/>
    <w:rsid w:val="7B6C7DFB"/>
    <w:rsid w:val="7BBFBED0"/>
    <w:rsid w:val="7BC3E394"/>
    <w:rsid w:val="7C1F3737"/>
    <w:rsid w:val="7CBFC87B"/>
    <w:rsid w:val="7CFE0F48"/>
    <w:rsid w:val="7D272ABC"/>
    <w:rsid w:val="7D7EC23E"/>
    <w:rsid w:val="7DF41323"/>
    <w:rsid w:val="7E7B44EF"/>
    <w:rsid w:val="7E8ADEBF"/>
    <w:rsid w:val="7EBEE720"/>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7FFAC55F"/>
    <w:rsid w:val="99FF2014"/>
    <w:rsid w:val="A6DD0D7F"/>
    <w:rsid w:val="ACFF4FBB"/>
    <w:rsid w:val="ADC6F725"/>
    <w:rsid w:val="AFCB57CE"/>
    <w:rsid w:val="B4F321B8"/>
    <w:rsid w:val="B7CF06AB"/>
    <w:rsid w:val="B7CFA926"/>
    <w:rsid w:val="B7F8786B"/>
    <w:rsid w:val="B7FF48FC"/>
    <w:rsid w:val="BABB6AA1"/>
    <w:rsid w:val="BB2F4199"/>
    <w:rsid w:val="BCFFB442"/>
    <w:rsid w:val="BD079C78"/>
    <w:rsid w:val="BD733540"/>
    <w:rsid w:val="BF3735D5"/>
    <w:rsid w:val="BF7F09AC"/>
    <w:rsid w:val="BFD475C3"/>
    <w:rsid w:val="BFDE5EA6"/>
    <w:rsid w:val="BFDF2D34"/>
    <w:rsid w:val="CF6FC6F3"/>
    <w:rsid w:val="CFD3D3D7"/>
    <w:rsid w:val="CFDF1009"/>
    <w:rsid w:val="D7D7B16A"/>
    <w:rsid w:val="D8D6DB89"/>
    <w:rsid w:val="DB6F4CAB"/>
    <w:rsid w:val="DB777682"/>
    <w:rsid w:val="DD1FB521"/>
    <w:rsid w:val="DDE742F7"/>
    <w:rsid w:val="DEFBFEAE"/>
    <w:rsid w:val="DF1F3B80"/>
    <w:rsid w:val="DF6F9789"/>
    <w:rsid w:val="DFE9BE81"/>
    <w:rsid w:val="DFFFA9E8"/>
    <w:rsid w:val="E5F4E9DC"/>
    <w:rsid w:val="E70FE695"/>
    <w:rsid w:val="EB2E368B"/>
    <w:rsid w:val="ECFED1BC"/>
    <w:rsid w:val="ED1D69BB"/>
    <w:rsid w:val="ED7FD312"/>
    <w:rsid w:val="EDE7D8E3"/>
    <w:rsid w:val="EF2E1AC6"/>
    <w:rsid w:val="EF53993F"/>
    <w:rsid w:val="EF6FD633"/>
    <w:rsid w:val="EFBFB2F4"/>
    <w:rsid w:val="EFBFFA21"/>
    <w:rsid w:val="EFF7FF61"/>
    <w:rsid w:val="F2BEBCB8"/>
    <w:rsid w:val="F36FB518"/>
    <w:rsid w:val="F3DE1A04"/>
    <w:rsid w:val="F3F722E5"/>
    <w:rsid w:val="F4FBCD07"/>
    <w:rsid w:val="F7F9A026"/>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649FD"/>
    <w:rsid w:val="FFEB4F0C"/>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spc="0" baseline="0">
                <a:solidFill>
                  <a:schemeClr val="tx1">
                    <a:lumMod val="65000"/>
                    <a:lumOff val="35000"/>
                  </a:schemeClr>
                </a:solidFill>
                <a:latin typeface="+mn-lt"/>
                <a:ea typeface="+mn-ea"/>
                <a:cs typeface="+mn-cs"/>
              </a:defRPr>
            </a:pPr>
            <a:r>
              <a:rPr sz="1200"/>
              <a:t>收入、支出决算总计变动情况图</a:t>
            </a:r>
            <a:r>
              <a:rPr lang="en-US" altLang="zh-CN" sz="1200"/>
              <a:t>          </a:t>
            </a:r>
            <a:endParaRPr lang="en-US" altLang="zh-CN" sz="1200"/>
          </a:p>
          <a:p>
            <a:pPr defTabSz="914400">
              <a:defRPr lang="zh-CN" sz="1200" b="0" i="0" u="none" strike="noStrike" kern="1200" spc="0" baseline="0">
                <a:solidFill>
                  <a:schemeClr val="tx1">
                    <a:lumMod val="65000"/>
                    <a:lumOff val="35000"/>
                  </a:schemeClr>
                </a:solidFill>
                <a:latin typeface="+mn-lt"/>
                <a:ea typeface="+mn-ea"/>
                <a:cs typeface="+mn-cs"/>
              </a:defRPr>
            </a:pPr>
            <a:r>
              <a:rPr lang="en-US" altLang="zh-CN" sz="1200"/>
              <a:t>  </a:t>
            </a:r>
            <a:r>
              <a:rPr altLang="en-US" sz="1200"/>
              <a:t>单位：万元</a:t>
            </a:r>
            <a:endParaRPr altLang="en-US" sz="1200"/>
          </a:p>
        </c:rich>
      </c:tx>
      <c:layout>
        <c:manualLayout>
          <c:xMode val="edge"/>
          <c:yMode val="edge"/>
          <c:x val="0.218888888888889"/>
          <c:y val="0.00694444444444444"/>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[工作簿1]Sheet1!$A$1:$B$1</c:f>
              <c:strCache>
                <c:ptCount val="2"/>
                <c:pt idx="0">
                  <c:v>2024年</c:v>
                </c:pt>
                <c:pt idx="1">
                  <c:v>2025年</c:v>
                </c:pt>
              </c:strCache>
            </c:strRef>
          </c:cat>
          <c:val>
            <c:numRef>
              <c:f>[工作簿1]Sheet1!$A$2:$B$2</c:f>
              <c:numCache>
                <c:formatCode>General</c:formatCode>
                <c:ptCount val="2"/>
                <c:pt idx="0">
                  <c:v>862.2</c:v>
                </c:pt>
                <c:pt idx="1">
                  <c:v>785.54</c:v>
                </c:pt>
              </c:numCache>
            </c:numRef>
          </c:val>
        </c:ser>
        <c:dLbls>
          <c:showLegendKey val="0"/>
          <c:showVal val="0"/>
          <c:showCatName val="0"/>
          <c:showSerName val="0"/>
          <c:showPercent val="0"/>
          <c:showBubbleSize val="0"/>
        </c:dLbls>
        <c:gapWidth val="219"/>
        <c:overlap val="-27"/>
        <c:axId val="986280034"/>
        <c:axId val="758280028"/>
      </c:barChart>
      <c:catAx>
        <c:axId val="98628003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crossAx val="758280028"/>
        <c:crosses val="autoZero"/>
        <c:auto val="1"/>
        <c:lblAlgn val="ctr"/>
        <c:lblOffset val="100"/>
        <c:noMultiLvlLbl val="0"/>
      </c:catAx>
      <c:valAx>
        <c:axId val="7582800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crossAx val="986280034"/>
        <c:crosses val="autoZero"/>
        <c:crossBetween val="between"/>
      </c:valAx>
      <c:spPr>
        <a:noFill/>
        <a:ln>
          <a:noFill/>
        </a:ln>
        <a:effectLst/>
      </c:spPr>
    </c:plotArea>
    <c:plotVisOnly val="1"/>
    <c:dispBlanksAs val="gap"/>
    <c:showDLblsOverMax val="0"/>
    <c:extLst>
      <c:ext uri="{0b15fc19-7d7d-44ad-8c2d-2c3a37ce22c3}">
        <chartProps xmlns="https://web.wps.cn/et/2018/main" chartId="{a6eb2f83-845c-4122-a390-d4438dd5dcd7}"/>
      </c:ext>
    </c:extLst>
  </c:chart>
  <c:spPr>
    <a:solidFill>
      <a:schemeClr val="bg1"/>
    </a:solidFill>
    <a:ln w="9525" cap="flat" cmpd="sng" algn="ctr">
      <a:solidFill>
        <a:schemeClr val="tx1">
          <a:lumMod val="15000"/>
          <a:lumOff val="85000"/>
        </a:schemeClr>
      </a:solidFill>
      <a:round/>
    </a:ln>
    <a:effectLst/>
  </c:spPr>
  <c:txPr>
    <a:bodyPr/>
    <a:lstStyle/>
    <a:p>
      <a:pPr>
        <a:defRPr lang="zh-CN" sz="1000"/>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[工作簿1]Sheet1!$A$1</c:f>
              <c:strCache>
                <c:ptCount val="1"/>
                <c:pt idx="0">
                  <c:v>一般公共预算财政拨款收入</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[工作簿1]Sheet1!$A$2</c:f>
              <c:numCache>
                <c:formatCode>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3d37a202-2770-40fd-a149-ae6f694db55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[工作簿1]Sheet1!$A$1:$B$1</c:f>
              <c:strCache>
                <c:ptCount val="2"/>
                <c:pt idx="0">
                  <c:v>基本支出</c:v>
                </c:pt>
                <c:pt idx="1">
                  <c:v>项目支出</c:v>
                </c:pt>
              </c:strCache>
            </c:strRef>
          </c:cat>
          <c:val>
            <c:numRef>
              <c:f>[工作簿1]Sheet1!$A$2:$B$2</c:f>
              <c:numCache>
                <c:formatCode>0.00%</c:formatCode>
                <c:ptCount val="2"/>
                <c:pt idx="0">
                  <c:v>0.7131</c:v>
                </c:pt>
                <c:pt idx="1">
                  <c:v>0.2868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06f603a-630b-4fb3-952b-e24effabebd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[工作簿1]Sheet1!$A$1:$D$1</c:f>
              <c:strCache>
                <c:ptCount val="4"/>
                <c:pt idx="0">
                  <c:v>2023年财政拨款收入</c:v>
                </c:pt>
                <c:pt idx="1">
                  <c:v>2023年财政拨款支出</c:v>
                </c:pt>
                <c:pt idx="2">
                  <c:v>2024年财政拨款收入</c:v>
                </c:pt>
                <c:pt idx="3">
                  <c:v>2024年财政拨款支出</c:v>
                </c:pt>
              </c:strCache>
            </c:strRef>
          </c:cat>
          <c:val>
            <c:numRef>
              <c:f>[工作簿1]Sheet1!$A$2:$D$2</c:f>
              <c:numCache>
                <c:formatCode>0.00_ </c:formatCode>
                <c:ptCount val="4"/>
                <c:pt idx="0">
                  <c:v>862.2</c:v>
                </c:pt>
                <c:pt idx="1">
                  <c:v>862.2</c:v>
                </c:pt>
                <c:pt idx="2">
                  <c:v>785.54</c:v>
                </c:pt>
                <c:pt idx="3">
                  <c:v>785.54</c:v>
                </c:pt>
              </c:numCache>
            </c:numRef>
          </c:val>
        </c:ser>
        <c:dLbls>
          <c:showLegendKey val="0"/>
          <c:showVal val="1"/>
          <c:showCatName val="0"/>
          <c:showSerName val="0"/>
          <c:showPercent val="0"/>
          <c:showBubbleSize val="0"/>
        </c:dLbls>
        <c:gapWidth val="219"/>
        <c:overlap val="-27"/>
        <c:axId val="22743633"/>
        <c:axId val="861062316"/>
      </c:barChart>
      <c:catAx>
        <c:axId val="2274363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1062316"/>
        <c:crosses val="autoZero"/>
        <c:auto val="1"/>
        <c:lblAlgn val="ctr"/>
        <c:lblOffset val="100"/>
        <c:noMultiLvlLbl val="0"/>
      </c:catAx>
      <c:valAx>
        <c:axId val="861062316"/>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743633"/>
        <c:crosses val="autoZero"/>
        <c:crossBetween val="between"/>
      </c:valAx>
      <c:spPr>
        <a:noFill/>
        <a:ln>
          <a:noFill/>
        </a:ln>
        <a:effectLst/>
      </c:spPr>
    </c:plotArea>
    <c:plotVisOnly val="1"/>
    <c:dispBlanksAs val="gap"/>
    <c:showDLblsOverMax val="0"/>
    <c:extLst>
      <c:ext uri="{0b15fc19-7d7d-44ad-8c2d-2c3a37ce22c3}">
        <chartProps xmlns="https://web.wps.cn/et/2018/main" chartId="{c43a808c-f15a-459d-b18c-fd2e6627a62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[工作簿1]Sheet1!$A$1:$B$1</c:f>
              <c:strCache>
                <c:ptCount val="2"/>
                <c:pt idx="0">
                  <c:v>2023年一般公共预算财政拨款支出</c:v>
                </c:pt>
                <c:pt idx="1">
                  <c:v>2024年一般公共预算财政拨款支出</c:v>
                </c:pt>
              </c:strCache>
            </c:strRef>
          </c:cat>
          <c:val>
            <c:numRef>
              <c:f>[工作簿1]Sheet1!$A$2:$B$2</c:f>
              <c:numCache>
                <c:formatCode>0.00_ </c:formatCode>
                <c:ptCount val="2"/>
                <c:pt idx="0">
                  <c:v>862.2</c:v>
                </c:pt>
                <c:pt idx="1">
                  <c:v>785.54</c:v>
                </c:pt>
              </c:numCache>
            </c:numRef>
          </c:val>
        </c:ser>
        <c:dLbls>
          <c:showLegendKey val="0"/>
          <c:showVal val="1"/>
          <c:showCatName val="0"/>
          <c:showSerName val="0"/>
          <c:showPercent val="0"/>
          <c:showBubbleSize val="0"/>
        </c:dLbls>
        <c:gapWidth val="219"/>
        <c:overlap val="-27"/>
        <c:axId val="82157194"/>
        <c:axId val="776326225"/>
      </c:barChart>
      <c:catAx>
        <c:axId val="8215719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6326225"/>
        <c:crosses val="autoZero"/>
        <c:auto val="1"/>
        <c:lblAlgn val="ctr"/>
        <c:lblOffset val="100"/>
        <c:noMultiLvlLbl val="0"/>
      </c:catAx>
      <c:valAx>
        <c:axId val="776326225"/>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157194"/>
        <c:crosses val="autoZero"/>
        <c:crossBetween val="between"/>
      </c:valAx>
      <c:spPr>
        <a:noFill/>
        <a:ln>
          <a:noFill/>
        </a:ln>
        <a:effectLst/>
      </c:spPr>
    </c:plotArea>
    <c:plotVisOnly val="1"/>
    <c:dispBlanksAs val="gap"/>
    <c:showDLblsOverMax val="0"/>
    <c:extLst>
      <c:ext uri="{0b15fc19-7d7d-44ad-8c2d-2c3a37ce22c3}">
        <chartProps xmlns="https://web.wps.cn/et/2018/main" chartId="{6bd63d54-4322-4d62-a32e-7602d18e723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2"/>
              <c:layout>
                <c:manualLayout>
                  <c:x val="-0.124325929554164"/>
                  <c:y val="-0.03341863398211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[工作簿1]Sheet1!$A$1:$D$1</c:f>
              <c:strCache>
                <c:ptCount val="4"/>
                <c:pt idx="0">
                  <c:v>科学技术支出</c:v>
                </c:pt>
                <c:pt idx="1">
                  <c:v>社会保障和就业支出</c:v>
                </c:pt>
                <c:pt idx="2">
                  <c:v>卫生健康支出</c:v>
                </c:pt>
                <c:pt idx="3">
                  <c:v>住房保障支出</c:v>
                </c:pt>
              </c:strCache>
            </c:strRef>
          </c:cat>
          <c:val>
            <c:numRef>
              <c:f>[工作簿1]Sheet1!$A$2:$D$2</c:f>
              <c:numCache>
                <c:formatCode>0.00%</c:formatCode>
                <c:ptCount val="4"/>
                <c:pt idx="0">
                  <c:v>0.8643</c:v>
                </c:pt>
                <c:pt idx="1">
                  <c:v>0.0685</c:v>
                </c:pt>
                <c:pt idx="2">
                  <c:v>0.0291</c:v>
                </c:pt>
                <c:pt idx="3">
                  <c:v>0.0381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c5b8170-e140-426e-9aaf-185c702bdc7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[工作簿1]Sheet1!$A$1:$B$1</c:f>
              <c:strCache>
                <c:ptCount val="2"/>
                <c:pt idx="0">
                  <c:v>公务用车购置及运行维护费支出</c:v>
                </c:pt>
                <c:pt idx="1">
                  <c:v>公务接待费支出</c:v>
                </c:pt>
              </c:strCache>
            </c:strRef>
          </c:cat>
          <c:val>
            <c:numRef>
              <c:f>[工作簿1]Sheet1!$A$2:$B$2</c:f>
              <c:numCache>
                <c:formatCode>0.00%</c:formatCode>
                <c:ptCount val="2"/>
                <c:pt idx="0">
                  <c:v>0.9963</c:v>
                </c:pt>
                <c:pt idx="1">
                  <c:v>0.0037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07ad39c-e3d1-4cba-b898-ec10d65e190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47</Pages>
  <Words>4597</Words>
  <Characters>5209</Characters>
  <Lines>61</Lines>
  <Paragraphs>17</Paragraphs>
  <TotalTime>0</TotalTime>
  <ScaleCrop>false</ScaleCrop>
  <LinksUpToDate>false</LinksUpToDate>
  <CharactersWithSpaces>5349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淘～小～店</cp:lastModifiedBy>
  <cp:lastPrinted>2025-08-07T01:34:00Z</cp:lastPrinted>
  <dcterms:modified xsi:type="dcterms:W3CDTF">2025-09-21T01:46:16Z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eyJoZGlkIjoiNThkMmQxNzYxNmFmODgxZDJjZGVjY2ExYjBjMGIyODMiLCJ1c2VySWQiOiI0Mjk1Mzg1ODUifQ==</vt:lpwstr>
  </property>
</Properties>
</file>