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EF0" w:rsidRDefault="00611EF0">
      <w:pPr>
        <w:spacing w:after="0" w:line="1000" w:lineRule="exact"/>
        <w:jc w:val="both"/>
        <w:outlineLvl w:val="0"/>
        <w:rPr>
          <w:rFonts w:ascii="方正小标宋简体" w:eastAsia="方正小标宋简体"/>
          <w:color w:val="000000"/>
          <w:sz w:val="72"/>
          <w:szCs w:val="72"/>
        </w:rPr>
      </w:pPr>
      <w:bookmarkStart w:id="0" w:name="_Toc15306267"/>
    </w:p>
    <w:p w:rsidR="00611EF0" w:rsidRDefault="00611EF0">
      <w:pPr>
        <w:spacing w:after="0" w:line="1000" w:lineRule="exact"/>
        <w:jc w:val="both"/>
        <w:outlineLvl w:val="0"/>
        <w:rPr>
          <w:rFonts w:ascii="黑体" w:eastAsia="黑体"/>
          <w:color w:val="000000"/>
          <w:sz w:val="72"/>
          <w:szCs w:val="72"/>
        </w:rPr>
      </w:pPr>
      <w:bookmarkStart w:id="1" w:name="_Toc15396597"/>
      <w:bookmarkStart w:id="2" w:name="_Toc15377425"/>
      <w:bookmarkStart w:id="3" w:name="_Toc15396475"/>
      <w:bookmarkStart w:id="4" w:name="_Toc15377193"/>
      <w:bookmarkStart w:id="5" w:name="_Toc15378441"/>
    </w:p>
    <w:bookmarkEnd w:id="0"/>
    <w:bookmarkEnd w:id="1"/>
    <w:bookmarkEnd w:id="2"/>
    <w:bookmarkEnd w:id="3"/>
    <w:bookmarkEnd w:id="4"/>
    <w:bookmarkEnd w:id="5"/>
    <w:p w:rsidR="00611EF0" w:rsidRDefault="00B25509">
      <w:pPr>
        <w:spacing w:after="0" w:line="1000" w:lineRule="exact"/>
        <w:jc w:val="center"/>
        <w:rPr>
          <w:rFonts w:ascii="方正小标宋简体" w:eastAsia="方正小标宋简体"/>
          <w:color w:val="000000"/>
          <w:sz w:val="36"/>
          <w:szCs w:val="36"/>
        </w:rPr>
      </w:pPr>
      <w:r>
        <w:rPr>
          <w:rFonts w:ascii="黑体" w:eastAsia="黑体" w:hint="eastAsia"/>
          <w:color w:val="000000"/>
          <w:sz w:val="72"/>
          <w:szCs w:val="72"/>
        </w:rPr>
        <w:t>2022年中共阿坝州委网信办决算公开说明</w:t>
      </w:r>
    </w:p>
    <w:p w:rsidR="00611EF0" w:rsidRDefault="00611EF0">
      <w:pPr>
        <w:spacing w:after="0" w:line="560" w:lineRule="exact"/>
        <w:jc w:val="both"/>
        <w:rPr>
          <w:rFonts w:ascii="方正小标宋简体" w:eastAsia="方正小标宋简体"/>
          <w:sz w:val="36"/>
          <w:szCs w:val="36"/>
        </w:rPr>
      </w:pPr>
    </w:p>
    <w:p w:rsidR="00611EF0" w:rsidRDefault="00611EF0">
      <w:pPr>
        <w:spacing w:after="0" w:line="560" w:lineRule="exact"/>
        <w:jc w:val="both"/>
        <w:rPr>
          <w:rFonts w:ascii="方正小标宋简体" w:eastAsia="方正小标宋简体"/>
          <w:sz w:val="36"/>
          <w:szCs w:val="36"/>
        </w:rPr>
      </w:pPr>
    </w:p>
    <w:p w:rsidR="00611EF0" w:rsidRDefault="00611EF0" w:rsidP="00180D82">
      <w:pPr>
        <w:pStyle w:val="a0"/>
        <w:ind w:left="440"/>
        <w:rPr>
          <w:rFonts w:ascii="方正小标宋简体" w:eastAsia="方正小标宋简体"/>
          <w:sz w:val="36"/>
          <w:szCs w:val="36"/>
        </w:rPr>
      </w:pPr>
    </w:p>
    <w:p w:rsidR="00611EF0" w:rsidRDefault="00611EF0" w:rsidP="00180D82">
      <w:pPr>
        <w:pStyle w:val="a0"/>
        <w:ind w:left="440"/>
        <w:rPr>
          <w:rFonts w:ascii="方正小标宋简体" w:eastAsia="方正小标宋简体"/>
          <w:sz w:val="36"/>
          <w:szCs w:val="36"/>
        </w:rPr>
      </w:pPr>
    </w:p>
    <w:p w:rsidR="00611EF0" w:rsidRDefault="00611EF0" w:rsidP="00180D82">
      <w:pPr>
        <w:pStyle w:val="a0"/>
        <w:ind w:left="440"/>
        <w:rPr>
          <w:rFonts w:ascii="方正小标宋简体" w:eastAsia="方正小标宋简体"/>
          <w:sz w:val="36"/>
          <w:szCs w:val="36"/>
        </w:rPr>
      </w:pPr>
    </w:p>
    <w:p w:rsidR="00611EF0" w:rsidRDefault="00611EF0">
      <w:pPr>
        <w:spacing w:after="0" w:line="560" w:lineRule="exact"/>
        <w:jc w:val="both"/>
        <w:rPr>
          <w:rFonts w:ascii="方正小标宋简体" w:eastAsia="方正小标宋简体"/>
          <w:sz w:val="36"/>
          <w:szCs w:val="36"/>
        </w:rPr>
      </w:pPr>
    </w:p>
    <w:p w:rsidR="00611EF0" w:rsidRDefault="00611EF0">
      <w:pPr>
        <w:spacing w:after="0" w:line="560" w:lineRule="exact"/>
        <w:jc w:val="both"/>
        <w:rPr>
          <w:rFonts w:ascii="方正小标宋简体" w:eastAsia="方正小标宋简体"/>
          <w:sz w:val="36"/>
          <w:szCs w:val="36"/>
        </w:rPr>
      </w:pPr>
    </w:p>
    <w:p w:rsidR="00611EF0" w:rsidRDefault="00611EF0">
      <w:pPr>
        <w:spacing w:after="0" w:line="560" w:lineRule="exact"/>
        <w:jc w:val="both"/>
        <w:rPr>
          <w:rFonts w:ascii="方正小标宋简体" w:eastAsia="方正小标宋简体"/>
          <w:sz w:val="36"/>
          <w:szCs w:val="36"/>
        </w:rPr>
      </w:pPr>
    </w:p>
    <w:p w:rsidR="00611EF0" w:rsidRDefault="00B25509">
      <w:pPr>
        <w:pStyle w:val="a8"/>
        <w:shd w:val="clear" w:color="auto" w:fill="FFFFFF"/>
        <w:jc w:val="center"/>
        <w:rPr>
          <w:rFonts w:ascii="仿宋_GB2312" w:eastAsia="仿宋_GB2312" w:hAnsi="Tahoma"/>
          <w:kern w:val="2"/>
          <w:sz w:val="32"/>
          <w:szCs w:val="32"/>
        </w:rPr>
      </w:pPr>
      <w:r>
        <w:rPr>
          <w:rFonts w:ascii="仿宋_GB2312" w:eastAsia="仿宋_GB2312" w:hAnsi="Tahoma" w:hint="eastAsia"/>
          <w:kern w:val="2"/>
          <w:sz w:val="32"/>
          <w:szCs w:val="32"/>
        </w:rPr>
        <w:t>已经保密审查、内容审定，同意对外公开</w:t>
      </w:r>
    </w:p>
    <w:p w:rsidR="00611EF0" w:rsidRDefault="00611EF0">
      <w:pPr>
        <w:pStyle w:val="10"/>
        <w:spacing w:before="0" w:line="560" w:lineRule="exact"/>
        <w:jc w:val="both"/>
      </w:pPr>
    </w:p>
    <w:p w:rsidR="00611EF0" w:rsidRDefault="00611EF0">
      <w:pPr>
        <w:spacing w:after="0" w:line="560" w:lineRule="exact"/>
        <w:jc w:val="both"/>
      </w:pPr>
    </w:p>
    <w:p w:rsidR="00611EF0" w:rsidRDefault="00611EF0">
      <w:pPr>
        <w:spacing w:after="0" w:line="560" w:lineRule="exact"/>
        <w:jc w:val="both"/>
        <w:rPr>
          <w:rFonts w:ascii="黑体" w:eastAsia="黑体"/>
          <w:color w:val="000000"/>
          <w:sz w:val="48"/>
          <w:szCs w:val="48"/>
        </w:rPr>
      </w:pPr>
    </w:p>
    <w:p w:rsidR="00611EF0" w:rsidRDefault="00611EF0">
      <w:pPr>
        <w:spacing w:after="0" w:line="560" w:lineRule="exact"/>
        <w:jc w:val="center"/>
        <w:rPr>
          <w:rFonts w:ascii="黑体" w:eastAsia="黑体"/>
          <w:color w:val="000000"/>
          <w:sz w:val="48"/>
          <w:szCs w:val="48"/>
        </w:rPr>
      </w:pPr>
    </w:p>
    <w:p w:rsidR="00611EF0" w:rsidRDefault="00611EF0">
      <w:pPr>
        <w:spacing w:after="0" w:line="560" w:lineRule="exact"/>
        <w:jc w:val="center"/>
        <w:rPr>
          <w:rFonts w:ascii="黑体" w:eastAsia="黑体"/>
          <w:color w:val="000000"/>
          <w:sz w:val="48"/>
          <w:szCs w:val="48"/>
        </w:rPr>
      </w:pPr>
    </w:p>
    <w:p w:rsidR="00611EF0" w:rsidRDefault="00611EF0">
      <w:pPr>
        <w:spacing w:after="0" w:line="560" w:lineRule="exact"/>
        <w:jc w:val="center"/>
        <w:rPr>
          <w:rFonts w:ascii="黑体" w:eastAsia="黑体"/>
          <w:color w:val="000000"/>
          <w:sz w:val="48"/>
          <w:szCs w:val="48"/>
        </w:rPr>
      </w:pPr>
    </w:p>
    <w:p w:rsidR="00611EF0" w:rsidRDefault="00611EF0">
      <w:pPr>
        <w:spacing w:after="0" w:line="560" w:lineRule="exact"/>
        <w:jc w:val="center"/>
        <w:rPr>
          <w:rFonts w:ascii="黑体" w:eastAsia="黑体"/>
          <w:color w:val="000000"/>
          <w:sz w:val="48"/>
          <w:szCs w:val="48"/>
        </w:rPr>
      </w:pPr>
    </w:p>
    <w:p w:rsidR="00611EF0" w:rsidRDefault="00611EF0">
      <w:pPr>
        <w:spacing w:after="0" w:line="560" w:lineRule="exact"/>
        <w:jc w:val="center"/>
        <w:rPr>
          <w:rFonts w:ascii="黑体" w:eastAsia="黑体"/>
          <w:color w:val="000000"/>
          <w:sz w:val="48"/>
          <w:szCs w:val="48"/>
        </w:rPr>
      </w:pPr>
    </w:p>
    <w:p w:rsidR="00611EF0" w:rsidRDefault="00B25509">
      <w:pPr>
        <w:spacing w:after="0" w:line="560" w:lineRule="exact"/>
        <w:jc w:val="center"/>
        <w:rPr>
          <w:rFonts w:ascii="黑体" w:eastAsia="黑体"/>
          <w:color w:val="000000"/>
          <w:sz w:val="48"/>
          <w:szCs w:val="48"/>
        </w:rPr>
      </w:pPr>
      <w:r>
        <w:rPr>
          <w:rFonts w:ascii="黑体" w:eastAsia="黑体" w:hint="eastAsia"/>
          <w:color w:val="000000"/>
          <w:sz w:val="48"/>
          <w:szCs w:val="48"/>
        </w:rPr>
        <w:lastRenderedPageBreak/>
        <w:t>目录</w:t>
      </w:r>
    </w:p>
    <w:p w:rsidR="00611EF0" w:rsidRDefault="00611EF0">
      <w:pPr>
        <w:spacing w:after="0" w:line="560" w:lineRule="exact"/>
        <w:jc w:val="both"/>
        <w:rPr>
          <w:rFonts w:ascii="黑体" w:eastAsia="黑体"/>
          <w:sz w:val="28"/>
          <w:szCs w:val="28"/>
        </w:rPr>
      </w:pPr>
    </w:p>
    <w:p w:rsidR="00611EF0" w:rsidRDefault="00B25509">
      <w:pPr>
        <w:pStyle w:val="10"/>
        <w:spacing w:before="0" w:line="560" w:lineRule="exact"/>
        <w:rPr>
          <w:rFonts w:ascii="仿宋_GB2312" w:eastAsia="仿宋_GB2312"/>
          <w:sz w:val="32"/>
          <w:szCs w:val="32"/>
        </w:rPr>
      </w:pPr>
      <w:r>
        <w:rPr>
          <w:rFonts w:ascii="仿宋_GB2312" w:eastAsia="仿宋_GB2312" w:hint="eastAsia"/>
          <w:sz w:val="32"/>
          <w:szCs w:val="32"/>
        </w:rPr>
        <w:t>公开时间：2023年9月28</w:t>
      </w:r>
      <w:bookmarkStart w:id="6" w:name="_GoBack"/>
      <w:bookmarkEnd w:id="6"/>
      <w:r>
        <w:rPr>
          <w:rFonts w:ascii="仿宋_GB2312" w:eastAsia="仿宋_GB2312" w:hint="eastAsia"/>
          <w:sz w:val="32"/>
          <w:szCs w:val="32"/>
        </w:rPr>
        <w:t>日</w:t>
      </w:r>
    </w:p>
    <w:p w:rsidR="00611EF0" w:rsidRDefault="00611EF0">
      <w:pPr>
        <w:spacing w:after="0" w:line="560" w:lineRule="exact"/>
        <w:jc w:val="both"/>
        <w:rPr>
          <w:rFonts w:ascii="仿宋_GB2312" w:eastAsia="仿宋_GB2312"/>
          <w:sz w:val="32"/>
          <w:szCs w:val="32"/>
        </w:rPr>
      </w:pPr>
    </w:p>
    <w:p w:rsidR="00611EF0" w:rsidRDefault="00B25509">
      <w:pPr>
        <w:pStyle w:val="10"/>
        <w:adjustRightInd w:val="0"/>
        <w:snapToGrid w:val="0"/>
        <w:spacing w:before="0" w:line="560" w:lineRule="exact"/>
        <w:ind w:firstLineChars="100" w:firstLine="321"/>
        <w:jc w:val="left"/>
        <w:rPr>
          <w:rFonts w:ascii="仿宋_GB2312" w:eastAsia="仿宋_GB2312" w:cs="Arial"/>
          <w:sz w:val="32"/>
          <w:szCs w:val="32"/>
        </w:rPr>
      </w:pPr>
      <w:r>
        <w:rPr>
          <w:rFonts w:ascii="仿宋_GB2312" w:eastAsia="仿宋_GB2312" w:hint="eastAsia"/>
          <w:b/>
          <w:sz w:val="32"/>
          <w:szCs w:val="32"/>
        </w:rPr>
        <w:t>第一部分 单位概况</w:t>
      </w:r>
      <w:r>
        <w:rPr>
          <w:rFonts w:ascii="仿宋_GB2312" w:eastAsia="仿宋_GB2312"/>
          <w:sz w:val="32"/>
          <w:szCs w:val="32"/>
        </w:rPr>
        <w:tab/>
      </w:r>
      <w:r>
        <w:rPr>
          <w:rFonts w:ascii="仿宋_GB2312" w:eastAsia="仿宋_GB2312" w:hint="eastAsia"/>
          <w:sz w:val="32"/>
          <w:szCs w:val="32"/>
        </w:rPr>
        <w:t>4</w:t>
      </w:r>
    </w:p>
    <w:p w:rsidR="00611EF0" w:rsidRDefault="00B25509">
      <w:pPr>
        <w:pStyle w:val="20"/>
        <w:adjustRightInd w:val="0"/>
        <w:snapToGrid w:val="0"/>
        <w:spacing w:line="560" w:lineRule="exact"/>
        <w:ind w:leftChars="0" w:left="0" w:firstLineChars="200" w:firstLine="640"/>
        <w:jc w:val="left"/>
        <w:rPr>
          <w:rFonts w:ascii="仿宋_GB2312" w:eastAsia="仿宋_GB2312"/>
          <w:sz w:val="32"/>
          <w:szCs w:val="32"/>
        </w:rPr>
      </w:pPr>
      <w:r>
        <w:rPr>
          <w:rFonts w:ascii="仿宋_GB2312" w:eastAsia="仿宋_GB2312" w:hint="eastAsia"/>
          <w:sz w:val="32"/>
          <w:szCs w:val="32"/>
        </w:rPr>
        <w:t>一、基本职能及主要工作</w:t>
      </w:r>
      <w:r>
        <w:rPr>
          <w:rFonts w:ascii="仿宋_GB2312" w:eastAsia="仿宋_GB2312"/>
          <w:sz w:val="32"/>
          <w:szCs w:val="32"/>
        </w:rPr>
        <w:tab/>
      </w:r>
      <w:r>
        <w:rPr>
          <w:rFonts w:ascii="仿宋_GB2312" w:eastAsia="仿宋_GB2312" w:hint="eastAsia"/>
          <w:sz w:val="32"/>
          <w:szCs w:val="32"/>
        </w:rPr>
        <w:t>4</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二、机构设置</w:t>
      </w:r>
      <w:r>
        <w:rPr>
          <w:rFonts w:ascii="仿宋_GB2312" w:eastAsia="仿宋_GB2312"/>
          <w:sz w:val="32"/>
          <w:szCs w:val="32"/>
        </w:rPr>
        <w:tab/>
      </w:r>
      <w:r>
        <w:rPr>
          <w:rFonts w:ascii="仿宋_GB2312" w:eastAsia="仿宋_GB2312" w:hint="eastAsia"/>
          <w:sz w:val="32"/>
          <w:szCs w:val="32"/>
        </w:rPr>
        <w:t>4</w:t>
      </w:r>
    </w:p>
    <w:p w:rsidR="00611EF0" w:rsidRDefault="00B25509">
      <w:pPr>
        <w:pStyle w:val="10"/>
        <w:adjustRightInd w:val="0"/>
        <w:snapToGrid w:val="0"/>
        <w:spacing w:before="0" w:line="560" w:lineRule="exact"/>
        <w:ind w:firstLineChars="100" w:firstLine="321"/>
        <w:jc w:val="left"/>
        <w:rPr>
          <w:rFonts w:ascii="仿宋_GB2312" w:eastAsia="仿宋_GB2312"/>
          <w:sz w:val="32"/>
          <w:szCs w:val="32"/>
        </w:rPr>
      </w:pPr>
      <w:r>
        <w:rPr>
          <w:rFonts w:ascii="仿宋_GB2312" w:eastAsia="仿宋_GB2312" w:hint="eastAsia"/>
          <w:b/>
          <w:sz w:val="32"/>
          <w:szCs w:val="32"/>
        </w:rPr>
        <w:t>第二部分 年度单位决算情况说明</w:t>
      </w:r>
      <w:r>
        <w:rPr>
          <w:rFonts w:ascii="仿宋_GB2312" w:eastAsia="仿宋_GB2312"/>
          <w:sz w:val="32"/>
          <w:szCs w:val="32"/>
        </w:rPr>
        <w:tab/>
        <w:t>5</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一、收入支出决算总体情况说明</w:t>
      </w:r>
      <w:r>
        <w:rPr>
          <w:rFonts w:ascii="仿宋_GB2312" w:eastAsia="仿宋_GB2312"/>
          <w:sz w:val="32"/>
          <w:szCs w:val="32"/>
        </w:rPr>
        <w:tab/>
      </w:r>
      <w:r>
        <w:rPr>
          <w:rFonts w:ascii="仿宋_GB2312" w:eastAsia="仿宋_GB2312" w:hint="eastAsia"/>
          <w:sz w:val="32"/>
          <w:szCs w:val="32"/>
        </w:rPr>
        <w:t>5</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二、收入决算情况说明</w:t>
      </w:r>
      <w:r>
        <w:rPr>
          <w:rFonts w:ascii="仿宋_GB2312" w:eastAsia="仿宋_GB2312"/>
          <w:sz w:val="32"/>
          <w:szCs w:val="32"/>
        </w:rPr>
        <w:tab/>
        <w:t>6</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三、支出决算情况说明</w:t>
      </w:r>
      <w:r>
        <w:rPr>
          <w:rFonts w:ascii="仿宋_GB2312" w:eastAsia="仿宋_GB2312"/>
          <w:sz w:val="32"/>
          <w:szCs w:val="32"/>
        </w:rPr>
        <w:tab/>
        <w:t>7</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四、财政拨款收入支出决算总体情况说明</w:t>
      </w:r>
      <w:r>
        <w:rPr>
          <w:rFonts w:ascii="仿宋_GB2312" w:eastAsia="仿宋_GB2312"/>
          <w:sz w:val="32"/>
          <w:szCs w:val="32"/>
        </w:rPr>
        <w:tab/>
        <w:t>7</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五、一般公共预算财政拨款支出决算情况说明</w:t>
      </w:r>
      <w:r>
        <w:rPr>
          <w:rFonts w:ascii="仿宋_GB2312" w:eastAsia="仿宋_GB2312"/>
          <w:sz w:val="32"/>
          <w:szCs w:val="32"/>
        </w:rPr>
        <w:tab/>
      </w:r>
      <w:r>
        <w:rPr>
          <w:rFonts w:ascii="仿宋_GB2312" w:eastAsia="仿宋_GB2312" w:hint="eastAsia"/>
          <w:sz w:val="32"/>
          <w:szCs w:val="32"/>
        </w:rPr>
        <w:t>9</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六、一般公共预算财政拨款基本支出决算情况说明</w:t>
      </w:r>
      <w:r>
        <w:rPr>
          <w:rFonts w:ascii="仿宋_GB2312" w:eastAsia="仿宋_GB2312"/>
          <w:sz w:val="32"/>
          <w:szCs w:val="32"/>
        </w:rPr>
        <w:tab/>
        <w:t>10</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七、“三公”经费财政拨款支出决算情况说明</w:t>
      </w:r>
      <w:r>
        <w:rPr>
          <w:rFonts w:ascii="仿宋_GB2312" w:eastAsia="仿宋_GB2312"/>
          <w:sz w:val="32"/>
          <w:szCs w:val="32"/>
        </w:rPr>
        <w:tab/>
        <w:t>1</w:t>
      </w:r>
      <w:r>
        <w:rPr>
          <w:rFonts w:ascii="仿宋_GB2312" w:eastAsia="仿宋_GB2312" w:hint="eastAsia"/>
          <w:sz w:val="32"/>
          <w:szCs w:val="32"/>
        </w:rPr>
        <w:t>1</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八、政府性基金预算支出决算情况说明</w:t>
      </w:r>
      <w:r>
        <w:rPr>
          <w:rFonts w:ascii="仿宋_GB2312" w:eastAsia="仿宋_GB2312"/>
          <w:sz w:val="32"/>
          <w:szCs w:val="32"/>
        </w:rPr>
        <w:tab/>
        <w:t>12</w:t>
      </w:r>
    </w:p>
    <w:p w:rsidR="00611EF0" w:rsidRDefault="00B25509">
      <w:pPr>
        <w:pStyle w:val="20"/>
        <w:adjustRightInd w:val="0"/>
        <w:snapToGrid w:val="0"/>
        <w:spacing w:line="560" w:lineRule="exact"/>
        <w:ind w:leftChars="0" w:left="0" w:firstLineChars="200" w:firstLine="640"/>
        <w:jc w:val="left"/>
        <w:rPr>
          <w:rFonts w:ascii="仿宋_GB2312" w:eastAsia="仿宋_GB2312"/>
          <w:sz w:val="32"/>
          <w:szCs w:val="32"/>
        </w:rPr>
      </w:pPr>
      <w:r>
        <w:rPr>
          <w:rFonts w:ascii="仿宋_GB2312" w:eastAsia="仿宋_GB2312" w:hint="eastAsia"/>
          <w:sz w:val="32"/>
          <w:szCs w:val="32"/>
        </w:rPr>
        <w:t>九、国有资本经营预算支出决算情况说明</w:t>
      </w:r>
      <w:r>
        <w:rPr>
          <w:rFonts w:ascii="仿宋_GB2312" w:eastAsia="仿宋_GB2312"/>
          <w:sz w:val="32"/>
          <w:szCs w:val="32"/>
        </w:rPr>
        <w:tab/>
        <w:t>12</w:t>
      </w:r>
    </w:p>
    <w:p w:rsidR="00611EF0" w:rsidRDefault="00B25509">
      <w:pPr>
        <w:pStyle w:val="20"/>
        <w:adjustRightInd w:val="0"/>
        <w:snapToGrid w:val="0"/>
        <w:spacing w:line="560" w:lineRule="exact"/>
        <w:ind w:leftChars="0" w:left="0" w:firstLineChars="200" w:firstLine="640"/>
        <w:jc w:val="left"/>
        <w:rPr>
          <w:rFonts w:ascii="仿宋_GB2312" w:eastAsia="仿宋_GB2312"/>
          <w:sz w:val="32"/>
          <w:szCs w:val="32"/>
        </w:rPr>
      </w:pPr>
      <w:r>
        <w:rPr>
          <w:rStyle w:val="aa"/>
          <w:rFonts w:hint="eastAsia"/>
          <w:color w:val="000000"/>
          <w:sz w:val="32"/>
          <w:szCs w:val="32"/>
          <w:u w:val="none"/>
        </w:rPr>
        <w:t>十、</w:t>
      </w:r>
      <w:r>
        <w:rPr>
          <w:rFonts w:ascii="仿宋_GB2312" w:eastAsia="仿宋_GB2312" w:hint="eastAsia"/>
          <w:sz w:val="32"/>
          <w:szCs w:val="32"/>
        </w:rPr>
        <w:t>其他重要事项的情况说明</w:t>
      </w:r>
      <w:r>
        <w:rPr>
          <w:rFonts w:ascii="仿宋_GB2312" w:eastAsia="仿宋_GB2312"/>
          <w:sz w:val="32"/>
          <w:szCs w:val="32"/>
        </w:rPr>
        <w:tab/>
        <w:t>12</w:t>
      </w:r>
    </w:p>
    <w:p w:rsidR="00611EF0" w:rsidRDefault="00B25509">
      <w:pPr>
        <w:pStyle w:val="10"/>
        <w:adjustRightInd w:val="0"/>
        <w:snapToGrid w:val="0"/>
        <w:spacing w:before="0" w:line="560" w:lineRule="exact"/>
        <w:ind w:firstLineChars="100" w:firstLine="321"/>
        <w:jc w:val="left"/>
        <w:rPr>
          <w:rFonts w:ascii="仿宋_GB2312" w:eastAsia="仿宋_GB2312" w:cs="Arial"/>
          <w:sz w:val="32"/>
          <w:szCs w:val="32"/>
        </w:rPr>
      </w:pPr>
      <w:r>
        <w:rPr>
          <w:rFonts w:ascii="仿宋_GB2312" w:eastAsia="仿宋_GB2312" w:hint="eastAsia"/>
          <w:b/>
          <w:sz w:val="32"/>
          <w:szCs w:val="32"/>
        </w:rPr>
        <w:t>第三部分 名词解释</w:t>
      </w:r>
      <w:r>
        <w:rPr>
          <w:rFonts w:ascii="仿宋_GB2312" w:eastAsia="仿宋_GB2312"/>
          <w:sz w:val="32"/>
          <w:szCs w:val="32"/>
        </w:rPr>
        <w:tab/>
      </w:r>
      <w:r>
        <w:rPr>
          <w:rFonts w:ascii="仿宋_GB2312" w:eastAsia="仿宋_GB2312" w:hint="eastAsia"/>
          <w:sz w:val="32"/>
          <w:szCs w:val="32"/>
        </w:rPr>
        <w:t>14</w:t>
      </w:r>
    </w:p>
    <w:p w:rsidR="00611EF0" w:rsidRDefault="00B25509">
      <w:pPr>
        <w:pStyle w:val="10"/>
        <w:adjustRightInd w:val="0"/>
        <w:snapToGrid w:val="0"/>
        <w:spacing w:before="0" w:line="560" w:lineRule="exact"/>
        <w:ind w:firstLineChars="100" w:firstLine="321"/>
        <w:jc w:val="left"/>
        <w:rPr>
          <w:rFonts w:ascii="仿宋_GB2312" w:eastAsia="仿宋_GB2312" w:cs="Arial"/>
          <w:sz w:val="32"/>
          <w:szCs w:val="32"/>
        </w:rPr>
      </w:pPr>
      <w:r>
        <w:rPr>
          <w:rFonts w:ascii="仿宋_GB2312" w:eastAsia="仿宋_GB2312" w:hint="eastAsia"/>
          <w:b/>
          <w:sz w:val="32"/>
          <w:szCs w:val="32"/>
        </w:rPr>
        <w:t>第四部分 附件</w:t>
      </w:r>
      <w:r>
        <w:rPr>
          <w:rFonts w:ascii="仿宋_GB2312" w:eastAsia="仿宋_GB2312"/>
          <w:sz w:val="32"/>
          <w:szCs w:val="32"/>
        </w:rPr>
        <w:tab/>
        <w:t>1</w:t>
      </w:r>
      <w:r>
        <w:rPr>
          <w:rFonts w:ascii="仿宋_GB2312" w:eastAsia="仿宋_GB2312" w:hint="eastAsia"/>
          <w:sz w:val="32"/>
          <w:szCs w:val="32"/>
        </w:rPr>
        <w:t>6</w:t>
      </w:r>
    </w:p>
    <w:p w:rsidR="00611EF0" w:rsidRDefault="00B25509">
      <w:pPr>
        <w:pStyle w:val="20"/>
        <w:adjustRightInd w:val="0"/>
        <w:snapToGrid w:val="0"/>
        <w:spacing w:line="560" w:lineRule="exact"/>
        <w:ind w:leftChars="0" w:left="0" w:firstLineChars="200" w:firstLine="640"/>
        <w:jc w:val="left"/>
        <w:rPr>
          <w:rFonts w:ascii="仿宋_GB2312" w:eastAsia="仿宋_GB2312"/>
          <w:sz w:val="32"/>
          <w:szCs w:val="32"/>
        </w:rPr>
      </w:pPr>
      <w:r>
        <w:rPr>
          <w:rFonts w:ascii="仿宋_GB2312" w:eastAsia="仿宋_GB2312" w:hint="eastAsia"/>
          <w:sz w:val="32"/>
          <w:szCs w:val="32"/>
        </w:rPr>
        <w:t>附件1</w:t>
      </w:r>
      <w:r>
        <w:rPr>
          <w:rFonts w:ascii="仿宋_GB2312" w:eastAsia="仿宋_GB2312"/>
          <w:sz w:val="32"/>
          <w:szCs w:val="32"/>
        </w:rPr>
        <w:tab/>
      </w:r>
      <w:r>
        <w:rPr>
          <w:rFonts w:ascii="仿宋_GB2312" w:eastAsia="仿宋_GB2312" w:hint="eastAsia"/>
          <w:sz w:val="32"/>
          <w:szCs w:val="32"/>
        </w:rPr>
        <w:t>16</w:t>
      </w:r>
    </w:p>
    <w:p w:rsidR="00611EF0" w:rsidRDefault="00B25509">
      <w:pPr>
        <w:pStyle w:val="20"/>
        <w:adjustRightInd w:val="0"/>
        <w:snapToGrid w:val="0"/>
        <w:spacing w:line="560" w:lineRule="exact"/>
        <w:ind w:leftChars="0" w:left="0" w:firstLineChars="200" w:firstLine="640"/>
        <w:jc w:val="left"/>
        <w:rPr>
          <w:rFonts w:ascii="仿宋_GB2312" w:eastAsia="仿宋_GB2312" w:cs="Arial"/>
          <w:sz w:val="32"/>
          <w:szCs w:val="32"/>
        </w:rPr>
      </w:pPr>
      <w:r>
        <w:rPr>
          <w:rFonts w:ascii="仿宋_GB2312" w:eastAsia="仿宋_GB2312" w:hint="eastAsia"/>
          <w:sz w:val="32"/>
          <w:szCs w:val="32"/>
        </w:rPr>
        <w:t>附件2</w:t>
      </w:r>
      <w:r>
        <w:rPr>
          <w:rFonts w:ascii="仿宋_GB2312" w:eastAsia="仿宋_GB2312"/>
          <w:sz w:val="32"/>
          <w:szCs w:val="32"/>
        </w:rPr>
        <w:tab/>
      </w:r>
      <w:r>
        <w:rPr>
          <w:rFonts w:ascii="仿宋_GB2312" w:eastAsia="仿宋_GB2312" w:hint="eastAsia"/>
          <w:sz w:val="32"/>
          <w:szCs w:val="32"/>
        </w:rPr>
        <w:t>19</w:t>
      </w:r>
    </w:p>
    <w:p w:rsidR="00611EF0" w:rsidRDefault="00B25509">
      <w:pPr>
        <w:pStyle w:val="10"/>
        <w:adjustRightInd w:val="0"/>
        <w:snapToGrid w:val="0"/>
        <w:spacing w:before="0" w:line="560" w:lineRule="exact"/>
        <w:ind w:firstLineChars="100" w:firstLine="321"/>
        <w:jc w:val="left"/>
        <w:rPr>
          <w:rFonts w:ascii="仿宋_GB2312" w:eastAsia="仿宋_GB2312" w:cs="Arial"/>
          <w:sz w:val="32"/>
          <w:szCs w:val="32"/>
        </w:rPr>
      </w:pPr>
      <w:r>
        <w:rPr>
          <w:rFonts w:ascii="仿宋_GB2312" w:eastAsia="仿宋_GB2312" w:hint="eastAsia"/>
          <w:b/>
          <w:sz w:val="32"/>
          <w:szCs w:val="32"/>
        </w:rPr>
        <w:t>第五部分 附表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Chars="0" w:firstLineChars="200" w:firstLine="640"/>
        <w:jc w:val="left"/>
        <w:rPr>
          <w:rFonts w:ascii="仿宋_GB2312" w:eastAsia="仿宋_GB2312" w:cs="Arial"/>
          <w:sz w:val="32"/>
          <w:szCs w:val="32"/>
        </w:rPr>
      </w:pPr>
      <w:r>
        <w:rPr>
          <w:rFonts w:ascii="仿宋_GB2312" w:eastAsia="仿宋_GB2312" w:hint="eastAsia"/>
          <w:sz w:val="32"/>
          <w:szCs w:val="32"/>
        </w:rPr>
        <w:t>一、收入支出决算总表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Chars="90" w:left="198" w:firstLineChars="250" w:firstLine="800"/>
        <w:jc w:val="left"/>
        <w:rPr>
          <w:rFonts w:ascii="仿宋_GB2312" w:eastAsia="仿宋_GB2312" w:cs="Arial"/>
          <w:sz w:val="32"/>
          <w:szCs w:val="32"/>
        </w:rPr>
      </w:pPr>
      <w:r>
        <w:rPr>
          <w:rFonts w:ascii="仿宋_GB2312" w:eastAsia="仿宋_GB2312" w:hint="eastAsia"/>
          <w:sz w:val="32"/>
          <w:szCs w:val="32"/>
        </w:rPr>
        <w:lastRenderedPageBreak/>
        <w:t>二、收入决算表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Chars="90" w:left="198" w:firstLineChars="250" w:firstLine="800"/>
        <w:jc w:val="left"/>
        <w:rPr>
          <w:rFonts w:ascii="仿宋_GB2312" w:eastAsia="仿宋_GB2312" w:cs="Arial"/>
          <w:sz w:val="32"/>
          <w:szCs w:val="32"/>
        </w:rPr>
      </w:pPr>
      <w:r>
        <w:rPr>
          <w:rFonts w:ascii="仿宋_GB2312" w:eastAsia="仿宋_GB2312" w:hint="eastAsia"/>
          <w:sz w:val="32"/>
          <w:szCs w:val="32"/>
        </w:rPr>
        <w:t>三、支出决算表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四、财政拨款收入支出决算总表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440" w:firstLineChars="200" w:firstLine="640"/>
        <w:jc w:val="left"/>
        <w:rPr>
          <w:rFonts w:ascii="仿宋_GB2312" w:eastAsia="仿宋_GB2312"/>
          <w:sz w:val="32"/>
          <w:szCs w:val="32"/>
        </w:rPr>
      </w:pPr>
      <w:r>
        <w:rPr>
          <w:rFonts w:ascii="仿宋_GB2312" w:eastAsia="仿宋_GB2312" w:hint="eastAsia"/>
          <w:sz w:val="32"/>
          <w:szCs w:val="32"/>
        </w:rPr>
        <w:t>五、财政拨款支出决算明细表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440" w:firstLineChars="200" w:firstLine="640"/>
        <w:jc w:val="left"/>
        <w:rPr>
          <w:rFonts w:ascii="仿宋_GB2312" w:eastAsia="仿宋_GB2312"/>
          <w:sz w:val="32"/>
          <w:szCs w:val="32"/>
        </w:rPr>
      </w:pPr>
      <w:r>
        <w:rPr>
          <w:rFonts w:ascii="仿宋_GB2312" w:eastAsia="仿宋_GB2312" w:hint="eastAsia"/>
          <w:sz w:val="32"/>
          <w:szCs w:val="32"/>
        </w:rPr>
        <w:t>六、一般公共预算财政拨款支出决算表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440" w:firstLineChars="200" w:firstLine="640"/>
        <w:jc w:val="left"/>
        <w:rPr>
          <w:rFonts w:ascii="仿宋_GB2312" w:eastAsia="仿宋_GB2312"/>
          <w:sz w:val="32"/>
          <w:szCs w:val="32"/>
        </w:rPr>
      </w:pPr>
      <w:r>
        <w:rPr>
          <w:rFonts w:ascii="仿宋_GB2312" w:eastAsia="仿宋_GB2312" w:hint="eastAsia"/>
          <w:sz w:val="32"/>
          <w:szCs w:val="32"/>
        </w:rPr>
        <w:t>七、一般公共预算财政拨款支出决算明细表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八、一般公共预算财政拨款基本支出决算表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九、一般公共预算财政拨款项目支出决算表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440" w:firstLineChars="200" w:firstLine="640"/>
        <w:jc w:val="left"/>
        <w:rPr>
          <w:rFonts w:ascii="仿宋_GB2312" w:eastAsia="仿宋_GB2312"/>
          <w:sz w:val="32"/>
          <w:szCs w:val="32"/>
        </w:rPr>
      </w:pPr>
      <w:r>
        <w:rPr>
          <w:rFonts w:ascii="仿宋_GB2312" w:eastAsia="仿宋_GB2312" w:hint="eastAsia"/>
          <w:sz w:val="32"/>
          <w:szCs w:val="32"/>
        </w:rPr>
        <w:t>十、一般公共预算财政拨款“三公”经费支出决算</w:t>
      </w:r>
    </w:p>
    <w:p w:rsidR="00611EF0" w:rsidRDefault="00B25509">
      <w:pPr>
        <w:pStyle w:val="20"/>
        <w:adjustRightInd w:val="0"/>
        <w:snapToGrid w:val="0"/>
        <w:spacing w:line="560" w:lineRule="exact"/>
        <w:ind w:left="440"/>
        <w:jc w:val="left"/>
        <w:rPr>
          <w:rFonts w:ascii="仿宋_GB2312" w:eastAsia="仿宋_GB2312" w:cs="Arial"/>
          <w:sz w:val="32"/>
          <w:szCs w:val="32"/>
        </w:rPr>
      </w:pPr>
      <w:r>
        <w:rPr>
          <w:rFonts w:ascii="仿宋_GB2312" w:eastAsia="仿宋_GB2312" w:hint="eastAsia"/>
          <w:sz w:val="32"/>
          <w:szCs w:val="32"/>
        </w:rPr>
        <w:t>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numPr>
          <w:ilvl w:val="0"/>
          <w:numId w:val="1"/>
        </w:numPr>
        <w:adjustRightInd w:val="0"/>
        <w:snapToGrid w:val="0"/>
        <w:spacing w:line="560" w:lineRule="exact"/>
        <w:ind w:leftChars="490" w:left="1078"/>
        <w:jc w:val="left"/>
        <w:rPr>
          <w:rFonts w:ascii="仿宋_GB2312" w:eastAsia="仿宋_GB2312"/>
          <w:sz w:val="32"/>
          <w:szCs w:val="32"/>
        </w:rPr>
      </w:pPr>
      <w:r>
        <w:rPr>
          <w:rFonts w:ascii="仿宋_GB2312" w:eastAsia="仿宋_GB2312" w:hint="eastAsia"/>
          <w:sz w:val="32"/>
          <w:szCs w:val="32"/>
        </w:rPr>
        <w:t>政府性基金预算财政拨款收入支出决算表</w:t>
      </w:r>
      <w:r>
        <w:rPr>
          <w:rFonts w:ascii="仿宋_GB2312" w:eastAsia="仿宋_GB2312"/>
          <w:sz w:val="32"/>
          <w:szCs w:val="32"/>
        </w:rPr>
        <w:tab/>
      </w:r>
      <w:r>
        <w:rPr>
          <w:rFonts w:ascii="仿宋_GB2312" w:eastAsia="仿宋_GB2312" w:hint="eastAsia"/>
          <w:sz w:val="32"/>
          <w:szCs w:val="32"/>
        </w:rPr>
        <w:t>..22十二、政府性基金预算财政拨款“三公”经费支出决</w:t>
      </w:r>
    </w:p>
    <w:p w:rsidR="00611EF0" w:rsidRDefault="00B25509">
      <w:pPr>
        <w:pStyle w:val="20"/>
        <w:adjustRightInd w:val="0"/>
        <w:snapToGrid w:val="0"/>
        <w:spacing w:line="560" w:lineRule="exact"/>
        <w:ind w:left="440"/>
        <w:jc w:val="left"/>
        <w:rPr>
          <w:rFonts w:ascii="仿宋_GB2312" w:eastAsia="仿宋_GB2312" w:cs="Arial"/>
          <w:sz w:val="32"/>
          <w:szCs w:val="32"/>
        </w:rPr>
      </w:pPr>
      <w:r>
        <w:rPr>
          <w:rFonts w:ascii="仿宋_GB2312" w:eastAsia="仿宋_GB2312" w:hint="eastAsia"/>
          <w:sz w:val="32"/>
          <w:szCs w:val="32"/>
        </w:rPr>
        <w:t>算表</w:t>
      </w:r>
      <w:r>
        <w:rPr>
          <w:rFonts w:ascii="仿宋_GB2312" w:eastAsia="仿宋_GB2312"/>
          <w:sz w:val="32"/>
          <w:szCs w:val="32"/>
        </w:rPr>
        <w:tab/>
      </w:r>
      <w:r>
        <w:rPr>
          <w:rFonts w:ascii="仿宋_GB2312" w:eastAsia="仿宋_GB2312" w:hint="eastAsia"/>
          <w:sz w:val="32"/>
          <w:szCs w:val="32"/>
        </w:rPr>
        <w:t>22</w:t>
      </w:r>
    </w:p>
    <w:p w:rsidR="00611EF0" w:rsidRDefault="00B25509">
      <w:pPr>
        <w:pStyle w:val="20"/>
        <w:adjustRightInd w:val="0"/>
        <w:snapToGrid w:val="0"/>
        <w:spacing w:line="560" w:lineRule="exact"/>
        <w:ind w:left="440" w:firstLineChars="200" w:firstLine="640"/>
        <w:jc w:val="left"/>
        <w:rPr>
          <w:rFonts w:ascii="仿宋_GB2312" w:eastAsia="仿宋_GB2312" w:cs="Arial"/>
          <w:sz w:val="32"/>
          <w:szCs w:val="32"/>
        </w:rPr>
      </w:pPr>
      <w:r>
        <w:rPr>
          <w:rFonts w:ascii="仿宋_GB2312" w:eastAsia="仿宋_GB2312" w:hint="eastAsia"/>
          <w:sz w:val="32"/>
          <w:szCs w:val="32"/>
        </w:rPr>
        <w:t>十三、国有资本经营预算支出决算表</w:t>
      </w:r>
      <w:r>
        <w:rPr>
          <w:rFonts w:ascii="仿宋_GB2312" w:eastAsia="仿宋_GB2312"/>
          <w:sz w:val="32"/>
          <w:szCs w:val="32"/>
        </w:rPr>
        <w:tab/>
      </w:r>
      <w:r>
        <w:rPr>
          <w:rFonts w:ascii="仿宋_GB2312" w:eastAsia="仿宋_GB2312" w:hint="eastAsia"/>
          <w:sz w:val="32"/>
          <w:szCs w:val="32"/>
        </w:rPr>
        <w:t>22</w:t>
      </w:r>
    </w:p>
    <w:p w:rsidR="00611EF0" w:rsidRDefault="00611EF0">
      <w:pPr>
        <w:spacing w:after="0" w:line="560" w:lineRule="exact"/>
        <w:jc w:val="both"/>
        <w:rPr>
          <w:rFonts w:ascii="方正小标宋简体" w:eastAsia="方正小标宋简体"/>
          <w:sz w:val="36"/>
          <w:szCs w:val="36"/>
        </w:rPr>
      </w:pPr>
    </w:p>
    <w:p w:rsidR="00611EF0" w:rsidRDefault="00B25509">
      <w:pPr>
        <w:spacing w:after="0" w:line="560" w:lineRule="exact"/>
        <w:jc w:val="both"/>
        <w:rPr>
          <w:rFonts w:ascii="黑体" w:eastAsia="黑体"/>
          <w:color w:val="000000"/>
          <w:sz w:val="48"/>
          <w:szCs w:val="48"/>
        </w:rPr>
      </w:pPr>
      <w:r>
        <w:rPr>
          <w:rFonts w:ascii="方正小标宋简体" w:eastAsia="方正小标宋简体"/>
          <w:sz w:val="36"/>
          <w:szCs w:val="36"/>
        </w:rPr>
        <w:br w:type="page"/>
      </w:r>
    </w:p>
    <w:p w:rsidR="00611EF0" w:rsidRDefault="00B25509">
      <w:pPr>
        <w:pStyle w:val="10"/>
        <w:adjustRightInd w:val="0"/>
        <w:snapToGrid w:val="0"/>
        <w:spacing w:before="0" w:line="560" w:lineRule="exact"/>
        <w:ind w:firstLineChars="150" w:firstLine="660"/>
        <w:rPr>
          <w:rFonts w:ascii="方正小标宋简体" w:eastAsia="方正小标宋简体"/>
          <w:sz w:val="44"/>
          <w:szCs w:val="44"/>
        </w:rPr>
      </w:pPr>
      <w:r>
        <w:rPr>
          <w:rFonts w:ascii="方正小标宋简体" w:eastAsia="方正小标宋简体" w:hint="eastAsia"/>
          <w:sz w:val="44"/>
          <w:szCs w:val="44"/>
        </w:rPr>
        <w:lastRenderedPageBreak/>
        <w:t>第一部分  单位概况</w:t>
      </w:r>
    </w:p>
    <w:p w:rsidR="00611EF0" w:rsidRDefault="00611EF0"/>
    <w:p w:rsidR="00611EF0" w:rsidRDefault="00B25509">
      <w:pPr>
        <w:pStyle w:val="20"/>
        <w:adjustRightInd w:val="0"/>
        <w:snapToGrid w:val="0"/>
        <w:spacing w:line="560" w:lineRule="exact"/>
        <w:ind w:left="440" w:firstLineChars="50" w:firstLine="160"/>
        <w:rPr>
          <w:rFonts w:ascii="黑体" w:eastAsia="黑体"/>
          <w:sz w:val="32"/>
          <w:szCs w:val="32"/>
        </w:rPr>
      </w:pPr>
      <w:r>
        <w:rPr>
          <w:rFonts w:ascii="黑体" w:eastAsia="黑体" w:hint="eastAsia"/>
          <w:sz w:val="32"/>
          <w:szCs w:val="32"/>
        </w:rPr>
        <w:t>一、基本职能及主要工作</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贯彻落实党和国家的方针政策和法律法规及省委、州委的决策部署，推进全州互联网信息传播法治建设，做好互联网领域信息内容管理工作，协调、组织做好网上宣传和舆论引导工作，统筹协调全州网络安全和信息化工作。</w:t>
      </w:r>
    </w:p>
    <w:p w:rsidR="00611EF0" w:rsidRDefault="00B25509">
      <w:pPr>
        <w:pStyle w:val="Default"/>
        <w:spacing w:line="560" w:lineRule="exact"/>
        <w:ind w:firstLineChars="200" w:firstLine="640"/>
        <w:jc w:val="both"/>
        <w:rPr>
          <w:rFonts w:ascii="黑体" w:eastAsia="黑体" w:cs="Times New Roman"/>
          <w:color w:val="auto"/>
          <w:kern w:val="2"/>
          <w:sz w:val="32"/>
          <w:szCs w:val="32"/>
        </w:rPr>
      </w:pPr>
      <w:r>
        <w:rPr>
          <w:rFonts w:ascii="黑体" w:eastAsia="黑体" w:cs="Times New Roman" w:hint="eastAsia"/>
          <w:color w:val="auto"/>
          <w:kern w:val="2"/>
          <w:sz w:val="32"/>
          <w:szCs w:val="32"/>
        </w:rPr>
        <w:t>二、机构设置</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从编制决算编报构成，中共阿坝州委网信办属于二级预算单位。</w:t>
      </w: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ind w:firstLineChars="200" w:firstLine="880"/>
        <w:jc w:val="both"/>
        <w:rPr>
          <w:rFonts w:ascii="黑体" w:eastAsia="黑体" w:cs="Times New Roman"/>
          <w:color w:val="auto"/>
          <w:kern w:val="2"/>
          <w:sz w:val="44"/>
          <w:szCs w:val="44"/>
        </w:rPr>
      </w:pPr>
    </w:p>
    <w:p w:rsidR="00611EF0" w:rsidRDefault="00611EF0">
      <w:pPr>
        <w:pStyle w:val="Default"/>
        <w:spacing w:line="560" w:lineRule="exact"/>
        <w:ind w:firstLineChars="200" w:firstLine="880"/>
        <w:jc w:val="both"/>
        <w:rPr>
          <w:rFonts w:ascii="黑体" w:eastAsia="黑体" w:cs="Times New Roman"/>
          <w:color w:val="auto"/>
          <w:kern w:val="2"/>
          <w:sz w:val="44"/>
          <w:szCs w:val="44"/>
        </w:rPr>
      </w:pPr>
    </w:p>
    <w:p w:rsidR="00611EF0" w:rsidRDefault="00611EF0">
      <w:pPr>
        <w:pStyle w:val="Default"/>
        <w:spacing w:line="560" w:lineRule="exact"/>
        <w:ind w:firstLineChars="200" w:firstLine="880"/>
        <w:jc w:val="both"/>
        <w:rPr>
          <w:rFonts w:ascii="方正小标宋_GBK" w:eastAsia="方正小标宋_GBK" w:cs="Times New Roman"/>
          <w:color w:val="auto"/>
          <w:kern w:val="2"/>
          <w:sz w:val="44"/>
          <w:szCs w:val="44"/>
        </w:rPr>
      </w:pPr>
    </w:p>
    <w:p w:rsidR="00611EF0" w:rsidRDefault="00B25509">
      <w:pPr>
        <w:pStyle w:val="Default"/>
        <w:spacing w:line="560" w:lineRule="exact"/>
        <w:ind w:firstLineChars="200" w:firstLine="880"/>
        <w:jc w:val="both"/>
        <w:rPr>
          <w:rFonts w:ascii="方正小标宋_GBK" w:eastAsia="方正小标宋_GBK" w:cs="Times New Roman"/>
          <w:color w:val="auto"/>
          <w:kern w:val="2"/>
          <w:sz w:val="44"/>
          <w:szCs w:val="44"/>
        </w:rPr>
      </w:pPr>
      <w:r>
        <w:rPr>
          <w:rFonts w:ascii="方正小标宋_GBK" w:eastAsia="方正小标宋_GBK" w:cs="Times New Roman" w:hint="eastAsia"/>
          <w:color w:val="auto"/>
          <w:kern w:val="2"/>
          <w:sz w:val="44"/>
          <w:szCs w:val="44"/>
        </w:rPr>
        <w:lastRenderedPageBreak/>
        <w:t>第二部分 年度单位决算情况说明</w:t>
      </w:r>
    </w:p>
    <w:p w:rsidR="00611EF0" w:rsidRDefault="00611EF0">
      <w:pPr>
        <w:pStyle w:val="Default"/>
        <w:spacing w:line="560" w:lineRule="exact"/>
        <w:ind w:firstLineChars="200" w:firstLine="880"/>
        <w:jc w:val="both"/>
        <w:rPr>
          <w:rFonts w:ascii="方正小标宋_GBK" w:eastAsia="方正小标宋_GBK" w:cs="Times New Roman"/>
          <w:color w:val="auto"/>
          <w:kern w:val="2"/>
          <w:sz w:val="44"/>
          <w:szCs w:val="44"/>
        </w:rPr>
      </w:pPr>
    </w:p>
    <w:p w:rsidR="00611EF0" w:rsidRDefault="00B25509">
      <w:pPr>
        <w:pStyle w:val="Default"/>
        <w:spacing w:line="560" w:lineRule="exact"/>
        <w:ind w:firstLineChars="200" w:firstLine="640"/>
        <w:jc w:val="both"/>
        <w:rPr>
          <w:rFonts w:ascii="黑体" w:eastAsia="黑体"/>
          <w:sz w:val="32"/>
          <w:szCs w:val="32"/>
        </w:rPr>
      </w:pPr>
      <w:r>
        <w:rPr>
          <w:rFonts w:ascii="黑体" w:eastAsia="黑体" w:hint="eastAsia"/>
          <w:sz w:val="32"/>
          <w:szCs w:val="32"/>
        </w:rPr>
        <w:t>一、单位收入支出决算总体情况说明</w:t>
      </w:r>
    </w:p>
    <w:p w:rsidR="00611EF0" w:rsidRDefault="00B25509">
      <w:pPr>
        <w:pStyle w:val="Default"/>
        <w:spacing w:line="560" w:lineRule="exact"/>
        <w:ind w:firstLineChars="150" w:firstLine="482"/>
        <w:jc w:val="both"/>
        <w:rPr>
          <w:rFonts w:ascii="仿宋_GB2312" w:eastAsia="仿宋_GB2312"/>
          <w:sz w:val="32"/>
          <w:szCs w:val="32"/>
        </w:rPr>
      </w:pPr>
      <w:r>
        <w:rPr>
          <w:rFonts w:ascii="楷体_GB2312" w:eastAsia="楷体_GB2312" w:hint="eastAsia"/>
          <w:b/>
          <w:sz w:val="32"/>
          <w:szCs w:val="32"/>
        </w:rPr>
        <w:t>（一） 单位收入情况。</w:t>
      </w:r>
      <w:r>
        <w:rPr>
          <w:rFonts w:ascii="仿宋_GB2312" w:eastAsia="仿宋_GB2312" w:hint="eastAsia"/>
          <w:sz w:val="32"/>
          <w:szCs w:val="32"/>
        </w:rPr>
        <w:t>2022年度资金总收入555.56万元，2021年度单位资金总收入946.21万元，同比减少390.65万元，同比下降41.28%。变动原因：</w:t>
      </w:r>
      <w:r w:rsidR="00180D82">
        <w:rPr>
          <w:rFonts w:ascii="仿宋_GB2312" w:eastAsia="仿宋_GB2312" w:hint="eastAsia"/>
          <w:sz w:val="32"/>
          <w:szCs w:val="32"/>
        </w:rPr>
        <w:t>本年</w:t>
      </w:r>
      <w:r>
        <w:rPr>
          <w:rFonts w:ascii="仿宋_GB2312" w:eastAsia="仿宋_GB2312" w:hint="eastAsia"/>
          <w:sz w:val="32"/>
          <w:szCs w:val="32"/>
        </w:rPr>
        <w:t>项目减少，收入同步减少。</w:t>
      </w:r>
    </w:p>
    <w:p w:rsidR="00611EF0" w:rsidRDefault="0037205D">
      <w:pPr>
        <w:pStyle w:val="Default"/>
        <w:spacing w:line="560" w:lineRule="exact"/>
        <w:jc w:val="both"/>
        <w:rPr>
          <w:rFonts w:ascii="仿宋_GB2312" w:eastAsia="仿宋_GB2312"/>
          <w:sz w:val="32"/>
          <w:szCs w:val="32"/>
        </w:rPr>
      </w:pPr>
      <w:r w:rsidRPr="0037205D">
        <w:rPr>
          <w:rFonts w:ascii="宋体" w:eastAsia="宋体" w:cs="宋体"/>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3.75pt;margin-top:12.05pt;width:379.65pt;height:209.95pt;z-index:251665408" wrapcoords="-41 0 -41 21526 21600 21526 21600 0 -41 0">
            <v:imagedata r:id="rId9" o:title=""/>
            <w10:wrap type="tight"/>
          </v:shape>
          <o:OLEObject Type="Embed" ProgID="Picture.PicObj.1" ShapeID="_x0000_s1027" DrawAspect="Content" ObjectID="_1785588559" r:id="rId10"/>
        </w:pict>
      </w: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B25509">
      <w:pPr>
        <w:pStyle w:val="Default"/>
        <w:spacing w:line="560" w:lineRule="exact"/>
        <w:ind w:firstLineChars="150" w:firstLine="480"/>
        <w:jc w:val="both"/>
        <w:rPr>
          <w:rFonts w:ascii="仿宋_GB2312" w:eastAsia="仿宋_GB2312"/>
          <w:sz w:val="32"/>
          <w:szCs w:val="32"/>
        </w:rPr>
      </w:pPr>
      <w:r>
        <w:rPr>
          <w:rFonts w:ascii="仿宋_GB2312" w:eastAsia="仿宋_GB2312" w:hint="eastAsia"/>
          <w:sz w:val="32"/>
          <w:szCs w:val="32"/>
        </w:rPr>
        <w:t>（图1：收入变动情况图）</w:t>
      </w: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B25509">
      <w:pPr>
        <w:pStyle w:val="Default"/>
        <w:numPr>
          <w:ilvl w:val="0"/>
          <w:numId w:val="2"/>
        </w:numPr>
        <w:spacing w:line="560" w:lineRule="exact"/>
        <w:ind w:firstLineChars="200" w:firstLine="643"/>
        <w:jc w:val="both"/>
        <w:rPr>
          <w:rFonts w:ascii="仿宋_GB2312" w:eastAsia="仿宋_GB2312"/>
          <w:sz w:val="32"/>
          <w:szCs w:val="32"/>
        </w:rPr>
      </w:pPr>
      <w:r>
        <w:rPr>
          <w:rFonts w:ascii="楷体_GB2312" w:eastAsia="楷体_GB2312" w:hint="eastAsia"/>
          <w:b/>
          <w:sz w:val="32"/>
          <w:szCs w:val="32"/>
        </w:rPr>
        <w:t>单位支出情况。</w:t>
      </w:r>
      <w:r>
        <w:rPr>
          <w:rFonts w:ascii="仿宋_GB2312" w:eastAsia="仿宋_GB2312" w:hint="eastAsia"/>
          <w:sz w:val="32"/>
          <w:szCs w:val="32"/>
        </w:rPr>
        <w:t>2022年总支出555.56万元，2021年总支出946.21万元，同比减少390.65万元，同比下降41.28%。变动原因：</w:t>
      </w:r>
      <w:r w:rsidR="00DA43F6">
        <w:rPr>
          <w:rFonts w:ascii="仿宋_GB2312" w:eastAsia="仿宋_GB2312" w:hint="eastAsia"/>
          <w:sz w:val="32"/>
          <w:szCs w:val="32"/>
        </w:rPr>
        <w:t>本年</w:t>
      </w:r>
      <w:r>
        <w:rPr>
          <w:rFonts w:ascii="仿宋_GB2312" w:eastAsia="仿宋_GB2312" w:hint="eastAsia"/>
          <w:sz w:val="32"/>
          <w:szCs w:val="32"/>
        </w:rPr>
        <w:t>项目减少，支出同步减少。</w:t>
      </w: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B25509">
      <w:pPr>
        <w:pStyle w:val="Default"/>
        <w:spacing w:line="560" w:lineRule="exact"/>
        <w:jc w:val="both"/>
        <w:rPr>
          <w:rFonts w:ascii="仿宋_GB2312" w:eastAsia="仿宋_GB2312"/>
          <w:sz w:val="32"/>
          <w:szCs w:val="32"/>
        </w:rPr>
      </w:pPr>
      <w:r>
        <w:rPr>
          <w:rFonts w:ascii="仿宋_GB2312" w:eastAsia="仿宋_GB2312"/>
          <w:noProof/>
          <w:sz w:val="32"/>
          <w:szCs w:val="32"/>
        </w:rPr>
        <w:lastRenderedPageBreak/>
        <w:drawing>
          <wp:anchor distT="0" distB="0" distL="114300" distR="114300" simplePos="0" relativeHeight="251660288" behindDoc="0" locked="0" layoutInCell="1" allowOverlap="1">
            <wp:simplePos x="0" y="0"/>
            <wp:positionH relativeFrom="column">
              <wp:posOffset>271780</wp:posOffset>
            </wp:positionH>
            <wp:positionV relativeFrom="paragraph">
              <wp:posOffset>132080</wp:posOffset>
            </wp:positionV>
            <wp:extent cx="4304665" cy="2191385"/>
            <wp:effectExtent l="4445" t="4445" r="15240" b="13970"/>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ind w:firstLineChars="100" w:firstLine="320"/>
        <w:jc w:val="both"/>
        <w:rPr>
          <w:rFonts w:ascii="仿宋_GB2312" w:eastAsia="仿宋_GB2312"/>
          <w:sz w:val="32"/>
          <w:szCs w:val="32"/>
        </w:rPr>
      </w:pPr>
    </w:p>
    <w:p w:rsidR="00611EF0" w:rsidRDefault="00611EF0">
      <w:pPr>
        <w:pStyle w:val="Default"/>
        <w:spacing w:line="560" w:lineRule="exact"/>
        <w:ind w:firstLineChars="100" w:firstLine="320"/>
        <w:jc w:val="both"/>
        <w:rPr>
          <w:rFonts w:ascii="仿宋_GB2312" w:eastAsia="仿宋_GB2312"/>
          <w:sz w:val="32"/>
          <w:szCs w:val="32"/>
        </w:rPr>
      </w:pPr>
    </w:p>
    <w:p w:rsidR="00611EF0" w:rsidRDefault="00611EF0">
      <w:pPr>
        <w:pStyle w:val="Default"/>
        <w:spacing w:line="560" w:lineRule="exact"/>
        <w:ind w:firstLineChars="100" w:firstLine="320"/>
        <w:jc w:val="both"/>
        <w:rPr>
          <w:rFonts w:ascii="仿宋_GB2312" w:eastAsia="仿宋_GB2312"/>
          <w:sz w:val="32"/>
          <w:szCs w:val="32"/>
        </w:rPr>
      </w:pPr>
    </w:p>
    <w:p w:rsidR="00611EF0" w:rsidRDefault="00B25509">
      <w:pPr>
        <w:pStyle w:val="Default"/>
        <w:spacing w:line="560" w:lineRule="exact"/>
        <w:ind w:firstLineChars="100" w:firstLine="320"/>
        <w:jc w:val="both"/>
        <w:rPr>
          <w:rFonts w:ascii="仿宋_GB2312" w:eastAsia="仿宋_GB2312"/>
          <w:sz w:val="32"/>
          <w:szCs w:val="32"/>
        </w:rPr>
      </w:pPr>
      <w:r>
        <w:rPr>
          <w:rFonts w:ascii="仿宋_GB2312" w:eastAsia="仿宋_GB2312" w:hint="eastAsia"/>
          <w:sz w:val="32"/>
          <w:szCs w:val="32"/>
        </w:rPr>
        <w:t>（图2：支出变动情况图）</w:t>
      </w:r>
    </w:p>
    <w:p w:rsidR="00611EF0" w:rsidRDefault="00611EF0">
      <w:pPr>
        <w:pStyle w:val="Default"/>
        <w:spacing w:line="560" w:lineRule="exact"/>
        <w:ind w:firstLineChars="100" w:firstLine="320"/>
        <w:jc w:val="both"/>
        <w:rPr>
          <w:rFonts w:ascii="仿宋_GB2312" w:eastAsia="仿宋_GB2312"/>
          <w:sz w:val="32"/>
          <w:szCs w:val="32"/>
        </w:rPr>
      </w:pPr>
    </w:p>
    <w:p w:rsidR="00611EF0" w:rsidRDefault="00611EF0">
      <w:pPr>
        <w:pStyle w:val="Default"/>
        <w:spacing w:line="14" w:lineRule="exact"/>
        <w:jc w:val="both"/>
        <w:rPr>
          <w:rFonts w:ascii="仿宋_GB2312" w:eastAsia="仿宋_GB2312"/>
          <w:sz w:val="32"/>
          <w:szCs w:val="32"/>
        </w:rPr>
      </w:pPr>
    </w:p>
    <w:p w:rsidR="00611EF0" w:rsidRDefault="00B25509">
      <w:pPr>
        <w:pStyle w:val="Default"/>
        <w:spacing w:line="14" w:lineRule="exact"/>
        <w:jc w:val="both"/>
        <w:rPr>
          <w:rFonts w:ascii="黑体" w:eastAsia="黑体"/>
          <w:sz w:val="32"/>
          <w:szCs w:val="32"/>
        </w:rPr>
      </w:pPr>
      <w:r>
        <w:rPr>
          <w:rFonts w:ascii="仿宋_GB2312" w:eastAsia="仿宋_GB2312" w:hint="eastAsia"/>
          <w:sz w:val="32"/>
          <w:szCs w:val="32"/>
        </w:rPr>
        <w:t xml:space="preserve">                                                                                                                                                                                                                                                                                                                                                                                                                          </w:t>
      </w:r>
    </w:p>
    <w:p w:rsidR="00611EF0" w:rsidRDefault="00B25509">
      <w:pPr>
        <w:pStyle w:val="Default"/>
        <w:spacing w:line="560" w:lineRule="exact"/>
        <w:ind w:firstLineChars="200" w:firstLine="640"/>
        <w:jc w:val="both"/>
        <w:rPr>
          <w:rFonts w:ascii="黑体" w:eastAsia="黑体"/>
          <w:sz w:val="32"/>
          <w:szCs w:val="32"/>
        </w:rPr>
      </w:pPr>
      <w:r>
        <w:rPr>
          <w:rFonts w:ascii="黑体" w:eastAsia="黑体" w:hint="eastAsia"/>
          <w:sz w:val="32"/>
          <w:szCs w:val="32"/>
        </w:rPr>
        <w:t>二、收入决算情况说明</w:t>
      </w:r>
    </w:p>
    <w:p w:rsidR="00611EF0" w:rsidRDefault="00B25509">
      <w:pPr>
        <w:spacing w:after="0" w:line="560" w:lineRule="exact"/>
        <w:ind w:firstLineChars="200" w:firstLine="640"/>
        <w:jc w:val="both"/>
        <w:outlineLvl w:val="1"/>
        <w:rPr>
          <w:rFonts w:ascii="仿宋_GB2312" w:eastAsia="仿宋_GB2312" w:cs="仿宋"/>
          <w:color w:val="000000"/>
          <w:sz w:val="32"/>
          <w:szCs w:val="32"/>
        </w:rPr>
      </w:pPr>
      <w:r>
        <w:rPr>
          <w:rFonts w:ascii="仿宋" w:eastAsia="仿宋" w:hint="eastAsia"/>
          <w:color w:val="000000"/>
          <w:sz w:val="32"/>
          <w:szCs w:val="32"/>
        </w:rPr>
        <w:t>2022</w:t>
      </w:r>
      <w:r>
        <w:rPr>
          <w:rFonts w:ascii="仿宋_GB2312" w:eastAsia="仿宋_GB2312" w:cs="仿宋" w:hint="eastAsia"/>
          <w:color w:val="000000"/>
          <w:sz w:val="32"/>
          <w:szCs w:val="32"/>
        </w:rPr>
        <w:t>年度单位财政资金总收入555.56万元，其中：</w:t>
      </w:r>
      <w:r>
        <w:rPr>
          <w:rFonts w:ascii="仿宋_GB2312" w:eastAsia="仿宋_GB2312" w:cs="仿宋"/>
          <w:color w:val="000000"/>
          <w:sz w:val="32"/>
          <w:szCs w:val="32"/>
        </w:rPr>
        <w:t>本年收入</w:t>
      </w:r>
      <w:r>
        <w:rPr>
          <w:rFonts w:ascii="仿宋_GB2312" w:eastAsia="仿宋_GB2312" w:cs="仿宋" w:hint="eastAsia"/>
          <w:color w:val="000000"/>
          <w:sz w:val="32"/>
          <w:szCs w:val="32"/>
        </w:rPr>
        <w:t>555.56万元，占100%；年初结转结余0万元，占0%；政府基金预算财政拨款收入0万元，占0%；上级补助收入0万元，占0%。</w:t>
      </w:r>
    </w:p>
    <w:p w:rsidR="00611EF0" w:rsidRDefault="00611EF0">
      <w:pPr>
        <w:pStyle w:val="ab"/>
      </w:pPr>
    </w:p>
    <w:p w:rsidR="00611EF0" w:rsidRDefault="00B25509">
      <w:pPr>
        <w:pStyle w:val="ab"/>
      </w:pPr>
      <w:r>
        <w:rPr>
          <w:noProof/>
        </w:rPr>
        <w:drawing>
          <wp:inline distT="0" distB="0" distL="0" distR="0">
            <wp:extent cx="3862705" cy="1910080"/>
            <wp:effectExtent l="19050" t="0" r="23495" b="0"/>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11EF0" w:rsidRDefault="00B25509">
      <w:pPr>
        <w:spacing w:after="0" w:line="560" w:lineRule="exact"/>
        <w:jc w:val="both"/>
        <w:outlineLvl w:val="1"/>
        <w:rPr>
          <w:rStyle w:val="2Char"/>
          <w:rFonts w:ascii="Times New Roman" w:eastAsia="黑体" w:hAnsi="Times New Roman" w:cs="Arial"/>
          <w:b w:val="0"/>
          <w:bCs w:val="0"/>
        </w:rPr>
      </w:pPr>
      <w:r>
        <w:rPr>
          <w:rFonts w:ascii="仿宋_GB2312" w:eastAsia="仿宋_GB2312" w:cs="仿宋" w:hint="eastAsia"/>
          <w:color w:val="000000"/>
          <w:sz w:val="32"/>
          <w:szCs w:val="32"/>
        </w:rPr>
        <w:t xml:space="preserve"> (图3：收入决算结构图）</w:t>
      </w:r>
      <w:bookmarkStart w:id="7" w:name="_Toc15396605"/>
      <w:bookmarkStart w:id="8" w:name="_Toc15377207"/>
    </w:p>
    <w:p w:rsidR="00611EF0" w:rsidRDefault="00611EF0">
      <w:pPr>
        <w:pStyle w:val="ab"/>
      </w:pPr>
    </w:p>
    <w:p w:rsidR="00611EF0" w:rsidRDefault="00611EF0">
      <w:pPr>
        <w:spacing w:after="0" w:line="560" w:lineRule="exact"/>
        <w:ind w:firstLineChars="200" w:firstLine="640"/>
        <w:jc w:val="both"/>
        <w:outlineLvl w:val="1"/>
        <w:rPr>
          <w:rStyle w:val="2Char"/>
          <w:rFonts w:ascii="黑体" w:eastAsia="黑体" w:cs="Arial"/>
          <w:b w:val="0"/>
          <w:bCs w:val="0"/>
        </w:rPr>
      </w:pPr>
    </w:p>
    <w:p w:rsidR="00611EF0" w:rsidRDefault="00B25509">
      <w:pPr>
        <w:spacing w:after="0" w:line="560" w:lineRule="exact"/>
        <w:ind w:firstLineChars="200" w:firstLine="640"/>
        <w:jc w:val="both"/>
        <w:outlineLvl w:val="1"/>
        <w:rPr>
          <w:rStyle w:val="2Char"/>
          <w:rFonts w:ascii="黑体" w:eastAsia="黑体"/>
          <w:b w:val="0"/>
          <w:bCs w:val="0"/>
        </w:rPr>
      </w:pPr>
      <w:r>
        <w:rPr>
          <w:rStyle w:val="2Char"/>
          <w:rFonts w:ascii="黑体" w:eastAsia="黑体" w:cs="Arial" w:hint="eastAsia"/>
          <w:b w:val="0"/>
          <w:bCs w:val="0"/>
        </w:rPr>
        <w:lastRenderedPageBreak/>
        <w:t>三、支</w:t>
      </w:r>
      <w:r>
        <w:rPr>
          <w:rStyle w:val="2Char"/>
          <w:rFonts w:ascii="黑体" w:eastAsia="黑体" w:hint="eastAsia"/>
          <w:b w:val="0"/>
          <w:bCs w:val="0"/>
        </w:rPr>
        <w:t>出决算情况说明</w:t>
      </w:r>
      <w:bookmarkEnd w:id="7"/>
      <w:bookmarkEnd w:id="8"/>
    </w:p>
    <w:p w:rsidR="00611EF0" w:rsidRDefault="00B25509">
      <w:pPr>
        <w:spacing w:after="0" w:line="560" w:lineRule="exact"/>
        <w:ind w:firstLineChars="200" w:firstLine="640"/>
        <w:jc w:val="both"/>
        <w:outlineLvl w:val="1"/>
        <w:rPr>
          <w:rFonts w:ascii="仿宋_GB2312" w:eastAsia="仿宋_GB2312" w:cs="仿宋"/>
          <w:color w:val="000000"/>
          <w:sz w:val="32"/>
          <w:szCs w:val="32"/>
        </w:rPr>
      </w:pPr>
      <w:r>
        <w:rPr>
          <w:rFonts w:ascii="仿宋_GB2312" w:eastAsia="仿宋_GB2312" w:hint="eastAsia"/>
          <w:sz w:val="32"/>
          <w:szCs w:val="32"/>
        </w:rPr>
        <w:t>2022年总支出</w:t>
      </w:r>
      <w:r>
        <w:rPr>
          <w:rFonts w:ascii="仿宋_GB2312" w:eastAsia="仿宋_GB2312" w:cs="仿宋" w:hint="eastAsia"/>
          <w:color w:val="000000"/>
          <w:sz w:val="32"/>
          <w:szCs w:val="32"/>
        </w:rPr>
        <w:t>555.56</w:t>
      </w:r>
      <w:r>
        <w:rPr>
          <w:rFonts w:ascii="仿宋_GB2312" w:eastAsia="仿宋_GB2312" w:hint="eastAsia"/>
          <w:sz w:val="32"/>
          <w:szCs w:val="32"/>
        </w:rPr>
        <w:t>万元,其中：</w:t>
      </w:r>
      <w:r>
        <w:rPr>
          <w:rFonts w:ascii="仿宋_GB2312" w:eastAsia="仿宋_GB2312" w:cs="仿宋" w:hint="eastAsia"/>
          <w:color w:val="000000"/>
          <w:sz w:val="32"/>
          <w:szCs w:val="32"/>
        </w:rPr>
        <w:t>基本支出252.41万元，占45.43%；项目支出303.15万元，占54.57%。</w:t>
      </w:r>
    </w:p>
    <w:p w:rsidR="00611EF0" w:rsidRDefault="00B25509">
      <w:pPr>
        <w:spacing w:after="0" w:line="560" w:lineRule="exact"/>
        <w:ind w:firstLineChars="200" w:firstLine="640"/>
        <w:jc w:val="both"/>
        <w:outlineLvl w:val="1"/>
        <w:rPr>
          <w:rFonts w:ascii="仿宋" w:eastAsia="仿宋"/>
          <w:color w:val="000000"/>
          <w:sz w:val="32"/>
          <w:szCs w:val="32"/>
        </w:rPr>
      </w:pPr>
      <w:r>
        <w:rPr>
          <w:rFonts w:ascii="仿宋_GB2312" w:eastAsia="仿宋_GB2312" w:hint="eastAsia"/>
          <w:noProof/>
          <w:sz w:val="32"/>
          <w:szCs w:val="32"/>
        </w:rPr>
        <w:drawing>
          <wp:anchor distT="0" distB="0" distL="114300" distR="114300" simplePos="0" relativeHeight="251664384" behindDoc="0" locked="0" layoutInCell="1" allowOverlap="1">
            <wp:simplePos x="0" y="0"/>
            <wp:positionH relativeFrom="column">
              <wp:posOffset>304800</wp:posOffset>
            </wp:positionH>
            <wp:positionV relativeFrom="paragraph">
              <wp:posOffset>273050</wp:posOffset>
            </wp:positionV>
            <wp:extent cx="3810000" cy="2145030"/>
            <wp:effectExtent l="0" t="0" r="0" b="7620"/>
            <wp:wrapSquare wrapText="bothSides"/>
            <wp:docPr id="11" name="图片 11" descr="169492703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94927033160"/>
                    <pic:cNvPicPr>
                      <a:picLocks noChangeAspect="1"/>
                    </pic:cNvPicPr>
                  </pic:nvPicPr>
                  <pic:blipFill>
                    <a:blip r:embed="rId13" cstate="print"/>
                    <a:stretch>
                      <a:fillRect/>
                    </a:stretch>
                  </pic:blipFill>
                  <pic:spPr>
                    <a:xfrm>
                      <a:off x="0" y="0"/>
                      <a:ext cx="3810000" cy="2145030"/>
                    </a:xfrm>
                    <a:prstGeom prst="rect">
                      <a:avLst/>
                    </a:prstGeom>
                  </pic:spPr>
                </pic:pic>
              </a:graphicData>
            </a:graphic>
          </wp:anchor>
        </w:drawing>
      </w: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14" w:lineRule="exact"/>
        <w:jc w:val="both"/>
        <w:rPr>
          <w:rFonts w:ascii="仿宋_GB2312" w:eastAsia="仿宋_GB2312"/>
          <w:sz w:val="32"/>
          <w:szCs w:val="32"/>
        </w:rPr>
      </w:pPr>
    </w:p>
    <w:p w:rsidR="00611EF0" w:rsidRDefault="00B25509">
      <w:pPr>
        <w:pStyle w:val="Default"/>
        <w:spacing w:line="560" w:lineRule="exact"/>
        <w:ind w:firstLineChars="150" w:firstLine="480"/>
        <w:jc w:val="both"/>
        <w:rPr>
          <w:rFonts w:ascii="仿宋_GB2312" w:eastAsia="仿宋_GB2312"/>
          <w:sz w:val="32"/>
          <w:szCs w:val="32"/>
        </w:rPr>
      </w:pPr>
      <w:r>
        <w:rPr>
          <w:rFonts w:ascii="仿宋_GB2312" w:eastAsia="仿宋_GB2312" w:hint="eastAsia"/>
          <w:sz w:val="32"/>
          <w:szCs w:val="32"/>
        </w:rPr>
        <w:t>（图4：支出决算结构图）</w:t>
      </w: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B25509">
      <w:pPr>
        <w:pStyle w:val="Default"/>
        <w:spacing w:line="560" w:lineRule="exact"/>
        <w:ind w:firstLineChars="200" w:firstLine="640"/>
        <w:jc w:val="both"/>
        <w:rPr>
          <w:rFonts w:ascii="黑体" w:eastAsia="黑体"/>
          <w:sz w:val="32"/>
          <w:szCs w:val="32"/>
        </w:rPr>
      </w:pPr>
      <w:r>
        <w:rPr>
          <w:rFonts w:ascii="黑体" w:eastAsia="黑体" w:hint="eastAsia"/>
          <w:sz w:val="32"/>
          <w:szCs w:val="32"/>
        </w:rPr>
        <w:t>四、财政拨款收入支出决算总体情况说明</w:t>
      </w:r>
    </w:p>
    <w:p w:rsidR="00611EF0" w:rsidRDefault="00B25509">
      <w:pPr>
        <w:pStyle w:val="Default"/>
        <w:spacing w:line="560" w:lineRule="exact"/>
        <w:ind w:firstLineChars="200" w:firstLine="643"/>
        <w:jc w:val="both"/>
        <w:rPr>
          <w:rFonts w:ascii="楷体_GB2312" w:eastAsia="楷体_GB2312"/>
          <w:b/>
          <w:sz w:val="32"/>
          <w:szCs w:val="32"/>
        </w:rPr>
      </w:pPr>
      <w:r>
        <w:rPr>
          <w:rFonts w:ascii="楷体_GB2312" w:eastAsia="楷体_GB2312" w:hint="eastAsia"/>
          <w:b/>
          <w:sz w:val="32"/>
          <w:szCs w:val="32"/>
        </w:rPr>
        <w:t>(一)财政拨款收入情况</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2022年度财政拨款收入555.56万元，2021年度财政拨款收入941.21万元，同比减少390.65万元，同比下降41.28%。变动原因：</w:t>
      </w:r>
      <w:r w:rsidR="00FB1635">
        <w:rPr>
          <w:rFonts w:ascii="仿宋_GB2312" w:eastAsia="仿宋_GB2312" w:hint="eastAsia"/>
          <w:sz w:val="32"/>
          <w:szCs w:val="32"/>
        </w:rPr>
        <w:t>本年</w:t>
      </w:r>
      <w:r>
        <w:rPr>
          <w:rFonts w:ascii="仿宋_GB2312" w:eastAsia="仿宋_GB2312" w:hint="eastAsia"/>
          <w:sz w:val="32"/>
          <w:szCs w:val="32"/>
        </w:rPr>
        <w:t>项目减少，财政拨款收入同步减少。</w:t>
      </w: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37205D">
      <w:pPr>
        <w:pStyle w:val="Default"/>
        <w:spacing w:line="560" w:lineRule="exact"/>
        <w:ind w:firstLineChars="150" w:firstLine="270"/>
        <w:jc w:val="both"/>
        <w:rPr>
          <w:rFonts w:ascii="仿宋_GB2312" w:eastAsia="仿宋_GB2312"/>
          <w:sz w:val="32"/>
          <w:szCs w:val="32"/>
        </w:rPr>
      </w:pPr>
      <w:r w:rsidRPr="0037205D">
        <w:rPr>
          <w:rFonts w:ascii="宋体" w:eastAsia="宋体" w:cs="宋体"/>
          <w:sz w:val="18"/>
          <w:szCs w:val="18"/>
        </w:rPr>
        <w:lastRenderedPageBreak/>
        <w:pict>
          <v:shape id="_x0000_s1028" type="#_x0000_t75" style="position:absolute;left:0;text-align:left;margin-left:21pt;margin-top:14.1pt;width:345pt;height:192pt;z-index:251666432" wrapcoords="-47 0 -47 21516 21600 21516 21600 0 -47 0">
            <v:imagedata r:id="rId14" o:title=""/>
            <w10:wrap type="tight"/>
          </v:shape>
          <o:OLEObject Type="Embed" ProgID="Picture.PicObj.1" ShapeID="_x0000_s1028" DrawAspect="Content" ObjectID="_1785588560" r:id="rId15"/>
        </w:pict>
      </w: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611EF0">
      <w:pPr>
        <w:pStyle w:val="Default"/>
        <w:spacing w:line="560" w:lineRule="exact"/>
        <w:jc w:val="both"/>
        <w:rPr>
          <w:rFonts w:ascii="仿宋_GB2312" w:eastAsia="仿宋_GB2312"/>
          <w:sz w:val="32"/>
          <w:szCs w:val="32"/>
        </w:rPr>
      </w:pP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B25509">
      <w:pPr>
        <w:pStyle w:val="Default"/>
        <w:spacing w:line="560" w:lineRule="exact"/>
        <w:ind w:firstLineChars="150" w:firstLine="480"/>
        <w:jc w:val="both"/>
        <w:rPr>
          <w:rFonts w:ascii="仿宋_GB2312" w:eastAsia="仿宋_GB2312"/>
          <w:sz w:val="32"/>
          <w:szCs w:val="32"/>
        </w:rPr>
      </w:pPr>
      <w:r>
        <w:rPr>
          <w:rFonts w:ascii="仿宋_GB2312" w:eastAsia="仿宋_GB2312" w:hint="eastAsia"/>
          <w:sz w:val="32"/>
          <w:szCs w:val="32"/>
        </w:rPr>
        <w:t>（图5：财政拨款收入情况图）</w:t>
      </w:r>
    </w:p>
    <w:p w:rsidR="00611EF0" w:rsidRDefault="00611EF0">
      <w:pPr>
        <w:pStyle w:val="Default"/>
        <w:spacing w:line="560" w:lineRule="exact"/>
        <w:ind w:firstLineChars="150" w:firstLine="480"/>
        <w:jc w:val="both"/>
        <w:rPr>
          <w:rFonts w:ascii="仿宋_GB2312" w:eastAsia="仿宋_GB2312"/>
          <w:sz w:val="32"/>
          <w:szCs w:val="32"/>
        </w:rPr>
      </w:pPr>
    </w:p>
    <w:p w:rsidR="00611EF0" w:rsidRDefault="00B25509">
      <w:pPr>
        <w:pStyle w:val="Default"/>
        <w:spacing w:line="560" w:lineRule="exact"/>
        <w:ind w:firstLineChars="150" w:firstLine="482"/>
        <w:jc w:val="both"/>
        <w:rPr>
          <w:rFonts w:ascii="楷体_GB2312" w:eastAsia="楷体_GB2312"/>
          <w:b/>
          <w:sz w:val="32"/>
          <w:szCs w:val="32"/>
        </w:rPr>
      </w:pPr>
      <w:r>
        <w:rPr>
          <w:rFonts w:ascii="楷体_GB2312" w:eastAsia="楷体_GB2312" w:hint="eastAsia"/>
          <w:b/>
          <w:sz w:val="32"/>
          <w:szCs w:val="32"/>
        </w:rPr>
        <w:t>（二）财政拨款支出情况</w:t>
      </w:r>
    </w:p>
    <w:p w:rsidR="00611EF0" w:rsidRDefault="00B25509">
      <w:pPr>
        <w:pStyle w:val="Default"/>
        <w:spacing w:line="560" w:lineRule="exact"/>
        <w:ind w:firstLineChars="200" w:firstLine="640"/>
        <w:jc w:val="both"/>
        <w:rPr>
          <w:rFonts w:ascii="黑体" w:eastAsia="黑体"/>
          <w:sz w:val="32"/>
          <w:szCs w:val="32"/>
        </w:rPr>
      </w:pPr>
      <w:r>
        <w:rPr>
          <w:rFonts w:ascii="仿宋_GB2312" w:eastAsia="仿宋_GB2312" w:hint="eastAsia"/>
          <w:sz w:val="32"/>
          <w:szCs w:val="32"/>
        </w:rPr>
        <w:t>2022年财政拨款支出555.56万元，2021年总支出946.21万元，同比减少390.65万元，同比下降41.28%。变动原因：</w:t>
      </w:r>
      <w:r w:rsidR="00A95561">
        <w:rPr>
          <w:rFonts w:ascii="仿宋_GB2312" w:eastAsia="仿宋_GB2312" w:hint="eastAsia"/>
          <w:sz w:val="32"/>
          <w:szCs w:val="32"/>
        </w:rPr>
        <w:t>本年</w:t>
      </w:r>
      <w:r>
        <w:rPr>
          <w:rFonts w:ascii="仿宋_GB2312" w:eastAsia="仿宋_GB2312" w:hint="eastAsia"/>
          <w:sz w:val="32"/>
          <w:szCs w:val="32"/>
        </w:rPr>
        <w:t>项目减少，支出同步减少。</w:t>
      </w:r>
      <w:r>
        <w:rPr>
          <w:rFonts w:ascii="黑体" w:eastAsia="黑体" w:hint="eastAsia"/>
          <w:sz w:val="32"/>
          <w:szCs w:val="32"/>
        </w:rPr>
        <w:t xml:space="preserve">   </w:t>
      </w:r>
    </w:p>
    <w:p w:rsidR="00611EF0" w:rsidRDefault="00611EF0">
      <w:pPr>
        <w:pStyle w:val="Default"/>
        <w:spacing w:line="560" w:lineRule="exact"/>
        <w:ind w:firstLineChars="200" w:firstLine="640"/>
        <w:jc w:val="both"/>
        <w:rPr>
          <w:rFonts w:ascii="黑体" w:eastAsia="黑体"/>
          <w:sz w:val="32"/>
          <w:szCs w:val="32"/>
        </w:rPr>
      </w:pPr>
    </w:p>
    <w:p w:rsidR="00611EF0" w:rsidRDefault="00B25509">
      <w:pPr>
        <w:pStyle w:val="Default"/>
        <w:spacing w:line="560" w:lineRule="exact"/>
        <w:ind w:firstLineChars="200" w:firstLine="640"/>
        <w:jc w:val="both"/>
        <w:rPr>
          <w:rFonts w:ascii="黑体" w:eastAsia="黑体"/>
          <w:sz w:val="32"/>
          <w:szCs w:val="32"/>
        </w:rPr>
      </w:pPr>
      <w:r>
        <w:rPr>
          <w:rFonts w:ascii="黑体" w:eastAsia="黑体"/>
          <w:noProof/>
          <w:sz w:val="32"/>
          <w:szCs w:val="32"/>
        </w:rPr>
        <w:drawing>
          <wp:anchor distT="0" distB="0" distL="114300" distR="114300" simplePos="0" relativeHeight="251661312" behindDoc="0" locked="0" layoutInCell="1" allowOverlap="1">
            <wp:simplePos x="0" y="0"/>
            <wp:positionH relativeFrom="column">
              <wp:posOffset>234950</wp:posOffset>
            </wp:positionH>
            <wp:positionV relativeFrom="paragraph">
              <wp:posOffset>35560</wp:posOffset>
            </wp:positionV>
            <wp:extent cx="4043680" cy="2567940"/>
            <wp:effectExtent l="19050" t="0" r="13970" b="3810"/>
            <wp:wrapSquare wrapText="bothSides"/>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611EF0" w:rsidRDefault="00611EF0">
      <w:pPr>
        <w:pStyle w:val="Default"/>
        <w:spacing w:line="560" w:lineRule="exact"/>
        <w:jc w:val="both"/>
        <w:rPr>
          <w:rFonts w:ascii="黑体" w:eastAsia="黑体"/>
          <w:sz w:val="32"/>
          <w:szCs w:val="32"/>
        </w:rPr>
      </w:pPr>
    </w:p>
    <w:p w:rsidR="00611EF0" w:rsidRDefault="00611EF0">
      <w:pPr>
        <w:pStyle w:val="Default"/>
        <w:spacing w:line="560" w:lineRule="exact"/>
        <w:ind w:firstLineChars="200" w:firstLine="640"/>
        <w:jc w:val="both"/>
        <w:rPr>
          <w:rFonts w:ascii="黑体" w:eastAsia="黑体"/>
          <w:sz w:val="32"/>
          <w:szCs w:val="32"/>
        </w:rPr>
      </w:pPr>
    </w:p>
    <w:p w:rsidR="00611EF0" w:rsidRDefault="00611EF0">
      <w:pPr>
        <w:pStyle w:val="Default"/>
        <w:spacing w:line="560" w:lineRule="exact"/>
        <w:ind w:firstLineChars="200" w:firstLine="640"/>
        <w:jc w:val="both"/>
        <w:rPr>
          <w:rFonts w:ascii="黑体" w:eastAsia="黑体"/>
          <w:sz w:val="32"/>
          <w:szCs w:val="32"/>
        </w:rPr>
      </w:pPr>
    </w:p>
    <w:p w:rsidR="00611EF0" w:rsidRDefault="00611EF0">
      <w:pPr>
        <w:pStyle w:val="Default"/>
        <w:spacing w:line="560" w:lineRule="exact"/>
        <w:jc w:val="both"/>
        <w:rPr>
          <w:rFonts w:ascii="黑体" w:eastAsia="黑体"/>
          <w:sz w:val="32"/>
          <w:szCs w:val="32"/>
        </w:rPr>
      </w:pPr>
    </w:p>
    <w:p w:rsidR="00611EF0" w:rsidRDefault="00611EF0">
      <w:pPr>
        <w:pStyle w:val="Default"/>
        <w:spacing w:line="560" w:lineRule="exact"/>
        <w:jc w:val="both"/>
        <w:rPr>
          <w:rFonts w:ascii="仿宋_GB2312" w:eastAsia="仿宋_GB2312" w:cs="Arial"/>
          <w:sz w:val="32"/>
          <w:szCs w:val="32"/>
        </w:rPr>
      </w:pPr>
    </w:p>
    <w:p w:rsidR="00611EF0" w:rsidRDefault="00611EF0">
      <w:pPr>
        <w:pStyle w:val="Default"/>
        <w:spacing w:line="560" w:lineRule="exact"/>
        <w:ind w:firstLineChars="100" w:firstLine="320"/>
        <w:jc w:val="both"/>
        <w:rPr>
          <w:rFonts w:ascii="仿宋_GB2312" w:eastAsia="仿宋_GB2312" w:cs="Arial"/>
          <w:sz w:val="32"/>
          <w:szCs w:val="32"/>
        </w:rPr>
      </w:pPr>
    </w:p>
    <w:p w:rsidR="00611EF0" w:rsidRDefault="00611EF0">
      <w:pPr>
        <w:pStyle w:val="Default"/>
        <w:spacing w:line="560" w:lineRule="exact"/>
        <w:ind w:firstLineChars="100" w:firstLine="320"/>
        <w:jc w:val="both"/>
        <w:rPr>
          <w:rFonts w:ascii="仿宋_GB2312" w:eastAsia="仿宋_GB2312" w:cs="Arial"/>
          <w:sz w:val="32"/>
          <w:szCs w:val="32"/>
        </w:rPr>
      </w:pPr>
    </w:p>
    <w:p w:rsidR="00611EF0" w:rsidRDefault="00B25509">
      <w:pPr>
        <w:pStyle w:val="Default"/>
        <w:spacing w:line="560" w:lineRule="exact"/>
        <w:ind w:firstLineChars="100" w:firstLine="320"/>
        <w:jc w:val="both"/>
        <w:rPr>
          <w:rFonts w:ascii="仿宋_GB2312" w:eastAsia="仿宋_GB2312" w:cs="Arial"/>
          <w:sz w:val="32"/>
          <w:szCs w:val="32"/>
        </w:rPr>
      </w:pPr>
      <w:r>
        <w:rPr>
          <w:rFonts w:ascii="仿宋_GB2312" w:eastAsia="仿宋_GB2312" w:cs="Arial" w:hint="eastAsia"/>
          <w:sz w:val="32"/>
          <w:szCs w:val="32"/>
        </w:rPr>
        <w:t>（图6：财政拨款支出情况图）</w:t>
      </w:r>
    </w:p>
    <w:p w:rsidR="00611EF0" w:rsidRDefault="00B25509">
      <w:pPr>
        <w:pStyle w:val="Default"/>
        <w:spacing w:line="560" w:lineRule="exact"/>
        <w:ind w:firstLineChars="200" w:firstLine="640"/>
        <w:jc w:val="both"/>
        <w:rPr>
          <w:rFonts w:ascii="黑体" w:eastAsia="黑体"/>
          <w:sz w:val="32"/>
          <w:szCs w:val="32"/>
        </w:rPr>
      </w:pPr>
      <w:r>
        <w:rPr>
          <w:rFonts w:ascii="黑体" w:eastAsia="黑体" w:hint="eastAsia"/>
          <w:sz w:val="32"/>
          <w:szCs w:val="32"/>
        </w:rPr>
        <w:lastRenderedPageBreak/>
        <w:t>五、一般公共预算财政拨款支出决算情况说明</w:t>
      </w:r>
    </w:p>
    <w:p w:rsidR="00611EF0" w:rsidRDefault="00B25509">
      <w:pPr>
        <w:spacing w:after="0" w:line="560" w:lineRule="exact"/>
        <w:ind w:firstLineChars="148" w:firstLine="475"/>
        <w:jc w:val="both"/>
        <w:outlineLvl w:val="2"/>
        <w:rPr>
          <w:rFonts w:ascii="楷体_GB2312" w:eastAsia="楷体_GB2312"/>
          <w:b/>
          <w:color w:val="000000"/>
          <w:sz w:val="32"/>
          <w:szCs w:val="32"/>
        </w:rPr>
      </w:pPr>
      <w:r>
        <w:rPr>
          <w:rFonts w:ascii="楷体_GB2312" w:eastAsia="楷体_GB2312" w:hint="eastAsia"/>
          <w:b/>
          <w:color w:val="000000"/>
          <w:sz w:val="32"/>
          <w:szCs w:val="32"/>
        </w:rPr>
        <w:t>（一）一般公共预算财政拨款支出决算总体情况</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2022年一般公共预算财政拨款支出555.56万元，2021年一般公共预算财政拨款支出946.21元，同比减少390.65万元，同比下降41.28%。变动原因：</w:t>
      </w:r>
      <w:r w:rsidR="00533DC8">
        <w:rPr>
          <w:rFonts w:ascii="仿宋_GB2312" w:eastAsia="仿宋_GB2312" w:hint="eastAsia"/>
          <w:sz w:val="32"/>
          <w:szCs w:val="32"/>
        </w:rPr>
        <w:t>本年</w:t>
      </w:r>
      <w:r>
        <w:rPr>
          <w:rFonts w:ascii="仿宋_GB2312" w:eastAsia="仿宋_GB2312" w:hint="eastAsia"/>
          <w:sz w:val="32"/>
          <w:szCs w:val="32"/>
        </w:rPr>
        <w:t>项目减少，一般公共预算财政拨款支出同步减少。</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noProof/>
          <w:sz w:val="32"/>
          <w:szCs w:val="32"/>
        </w:rPr>
        <w:drawing>
          <wp:anchor distT="0" distB="0" distL="114300" distR="114300" simplePos="0" relativeHeight="251662336" behindDoc="0" locked="0" layoutInCell="1" allowOverlap="1">
            <wp:simplePos x="0" y="0"/>
            <wp:positionH relativeFrom="column">
              <wp:posOffset>423545</wp:posOffset>
            </wp:positionH>
            <wp:positionV relativeFrom="paragraph">
              <wp:posOffset>125095</wp:posOffset>
            </wp:positionV>
            <wp:extent cx="4516755" cy="2510155"/>
            <wp:effectExtent l="19050" t="0" r="17145" b="4445"/>
            <wp:wrapSquare wrapText="bothSides"/>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pStyle w:val="Default"/>
        <w:spacing w:line="560" w:lineRule="exact"/>
        <w:ind w:firstLineChars="200" w:firstLine="640"/>
        <w:jc w:val="both"/>
        <w:rPr>
          <w:rFonts w:ascii="仿宋_GB2312" w:eastAsia="仿宋_GB2312"/>
          <w:sz w:val="32"/>
          <w:szCs w:val="32"/>
        </w:rPr>
      </w:pPr>
    </w:p>
    <w:p w:rsidR="00611EF0" w:rsidRDefault="00611EF0">
      <w:pPr>
        <w:spacing w:after="0" w:line="560" w:lineRule="exact"/>
        <w:jc w:val="both"/>
        <w:outlineLvl w:val="2"/>
        <w:rPr>
          <w:rFonts w:ascii="仿宋_GB2312" w:eastAsia="仿宋_GB2312"/>
          <w:color w:val="000000"/>
          <w:sz w:val="32"/>
          <w:szCs w:val="32"/>
        </w:rPr>
      </w:pPr>
    </w:p>
    <w:p w:rsidR="00611EF0" w:rsidRDefault="00611EF0">
      <w:pPr>
        <w:spacing w:after="0" w:line="560" w:lineRule="exact"/>
        <w:jc w:val="both"/>
        <w:outlineLvl w:val="2"/>
        <w:rPr>
          <w:rFonts w:ascii="仿宋_GB2312" w:eastAsia="仿宋_GB2312"/>
          <w:color w:val="000000"/>
          <w:sz w:val="32"/>
          <w:szCs w:val="32"/>
        </w:rPr>
      </w:pPr>
    </w:p>
    <w:p w:rsidR="00611EF0" w:rsidRDefault="00611EF0">
      <w:pPr>
        <w:spacing w:after="0" w:line="560" w:lineRule="exact"/>
        <w:jc w:val="both"/>
        <w:outlineLvl w:val="2"/>
        <w:rPr>
          <w:rFonts w:ascii="仿宋_GB2312" w:eastAsia="仿宋_GB2312"/>
          <w:color w:val="000000"/>
          <w:sz w:val="32"/>
          <w:szCs w:val="32"/>
        </w:rPr>
      </w:pPr>
    </w:p>
    <w:p w:rsidR="00611EF0" w:rsidRDefault="00611EF0">
      <w:pPr>
        <w:spacing w:after="0" w:line="560" w:lineRule="exact"/>
        <w:jc w:val="both"/>
        <w:outlineLvl w:val="2"/>
        <w:rPr>
          <w:rFonts w:ascii="仿宋" w:eastAsia="仿宋"/>
          <w:b/>
          <w:color w:val="000000"/>
          <w:sz w:val="32"/>
          <w:szCs w:val="32"/>
        </w:rPr>
      </w:pPr>
    </w:p>
    <w:p w:rsidR="00611EF0" w:rsidRDefault="00611EF0">
      <w:pPr>
        <w:spacing w:after="0" w:line="560" w:lineRule="exact"/>
        <w:jc w:val="both"/>
        <w:outlineLvl w:val="2"/>
        <w:rPr>
          <w:rFonts w:ascii="仿宋_GB2312" w:eastAsia="仿宋_GB2312"/>
          <w:color w:val="000000"/>
          <w:sz w:val="32"/>
          <w:szCs w:val="32"/>
        </w:rPr>
      </w:pPr>
    </w:p>
    <w:p w:rsidR="00611EF0" w:rsidRDefault="00B25509">
      <w:pPr>
        <w:spacing w:after="0" w:line="560" w:lineRule="exact"/>
        <w:ind w:firstLineChars="200" w:firstLine="640"/>
        <w:jc w:val="both"/>
        <w:outlineLvl w:val="2"/>
        <w:rPr>
          <w:rFonts w:ascii="仿宋_GB2312" w:eastAsia="仿宋_GB2312"/>
          <w:color w:val="000000"/>
          <w:sz w:val="32"/>
          <w:szCs w:val="32"/>
        </w:rPr>
      </w:pPr>
      <w:r>
        <w:rPr>
          <w:rFonts w:ascii="仿宋_GB2312" w:eastAsia="仿宋_GB2312" w:hint="eastAsia"/>
          <w:color w:val="000000"/>
          <w:sz w:val="32"/>
          <w:szCs w:val="32"/>
        </w:rPr>
        <w:t>（图7：一般公共财政拨款支出情况图）</w:t>
      </w:r>
    </w:p>
    <w:p w:rsidR="00611EF0" w:rsidRDefault="00611EF0">
      <w:pPr>
        <w:spacing w:after="0" w:line="560" w:lineRule="exact"/>
        <w:ind w:firstLineChars="146" w:firstLine="469"/>
        <w:jc w:val="both"/>
        <w:outlineLvl w:val="2"/>
        <w:rPr>
          <w:rFonts w:ascii="楷体_GB2312" w:eastAsia="楷体_GB2312"/>
          <w:b/>
          <w:color w:val="000000"/>
          <w:sz w:val="32"/>
          <w:szCs w:val="32"/>
        </w:rPr>
      </w:pPr>
    </w:p>
    <w:p w:rsidR="00611EF0" w:rsidRDefault="00B25509">
      <w:pPr>
        <w:spacing w:after="0" w:line="560" w:lineRule="exact"/>
        <w:ind w:firstLineChars="146" w:firstLine="469"/>
        <w:jc w:val="both"/>
        <w:outlineLvl w:val="2"/>
        <w:rPr>
          <w:rFonts w:ascii="楷体_GB2312" w:eastAsia="楷体_GB2312"/>
          <w:b/>
          <w:color w:val="000000"/>
          <w:sz w:val="32"/>
          <w:szCs w:val="32"/>
        </w:rPr>
      </w:pPr>
      <w:r>
        <w:rPr>
          <w:rFonts w:ascii="楷体_GB2312" w:eastAsia="楷体_GB2312" w:hint="eastAsia"/>
          <w:b/>
          <w:color w:val="000000"/>
          <w:sz w:val="32"/>
          <w:szCs w:val="32"/>
        </w:rPr>
        <w:t>（二）一般公共预算财政拨款支出决算结构情况</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2022年一般公共预算财政拨款支出555.56万元。</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主要用于以下方面: 201一般公共服务（类）支出 506.62万元，占91.19%；208社会保障和就业（类）支出25.38万元，占4.57%；210卫生健康（类）支出8.98万元，占1.61%；221住房保障（类）支出14.59万元，占2.63%。</w:t>
      </w:r>
    </w:p>
    <w:p w:rsidR="00611EF0" w:rsidRDefault="00B25509">
      <w:pPr>
        <w:pStyle w:val="ab"/>
      </w:pPr>
      <w:r>
        <w:rPr>
          <w:rFonts w:hint="eastAsia"/>
        </w:rPr>
        <w:lastRenderedPageBreak/>
        <w:t xml:space="preserve">       </w:t>
      </w:r>
      <w:r>
        <w:rPr>
          <w:noProof/>
        </w:rPr>
        <w:drawing>
          <wp:inline distT="0" distB="0" distL="0" distR="0">
            <wp:extent cx="3869055" cy="1838960"/>
            <wp:effectExtent l="4445" t="5080" r="12700" b="22860"/>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11EF0" w:rsidRDefault="00B25509">
      <w:pPr>
        <w:spacing w:after="0" w:line="560" w:lineRule="exact"/>
        <w:ind w:firstLineChars="200" w:firstLine="640"/>
        <w:jc w:val="both"/>
        <w:rPr>
          <w:rFonts w:ascii="仿宋" w:eastAsia="仿宋"/>
          <w:color w:val="000000"/>
          <w:sz w:val="32"/>
          <w:szCs w:val="32"/>
        </w:rPr>
      </w:pPr>
      <w:r>
        <w:rPr>
          <w:rFonts w:ascii="仿宋" w:eastAsia="仿宋"/>
          <w:color w:val="000000"/>
          <w:sz w:val="32"/>
          <w:szCs w:val="32"/>
        </w:rPr>
        <w:t>(</w:t>
      </w:r>
      <w:r>
        <w:rPr>
          <w:rFonts w:ascii="仿宋" w:eastAsia="仿宋" w:hint="eastAsia"/>
          <w:color w:val="000000"/>
          <w:sz w:val="32"/>
          <w:szCs w:val="32"/>
        </w:rPr>
        <w:t>图8：一般公共预算财政拨款支出决算结构情况图</w:t>
      </w:r>
      <w:r>
        <w:rPr>
          <w:rFonts w:ascii="仿宋" w:eastAsia="仿宋"/>
          <w:color w:val="000000"/>
          <w:sz w:val="32"/>
          <w:szCs w:val="32"/>
        </w:rPr>
        <w:t>)</w:t>
      </w:r>
    </w:p>
    <w:p w:rsidR="00611EF0" w:rsidRDefault="00611EF0">
      <w:pPr>
        <w:pStyle w:val="ab"/>
      </w:pPr>
    </w:p>
    <w:p w:rsidR="00611EF0" w:rsidRDefault="00B25509">
      <w:pPr>
        <w:spacing w:after="0" w:line="560" w:lineRule="exact"/>
        <w:ind w:firstLineChars="200" w:firstLine="643"/>
        <w:jc w:val="both"/>
        <w:outlineLvl w:val="2"/>
        <w:rPr>
          <w:rFonts w:ascii="楷体_GB2312" w:eastAsia="楷体_GB2312"/>
          <w:b/>
          <w:color w:val="000000"/>
          <w:sz w:val="32"/>
          <w:szCs w:val="32"/>
        </w:rPr>
      </w:pPr>
      <w:r>
        <w:rPr>
          <w:rFonts w:ascii="楷体_GB2312" w:eastAsia="楷体_GB2312" w:hint="eastAsia"/>
          <w:b/>
          <w:color w:val="000000"/>
          <w:sz w:val="32"/>
          <w:szCs w:val="32"/>
        </w:rPr>
        <w:t>（三）一般公共预算财政拨款支出决算具体情况</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2022年一般公共预算支出决算数为555.56万元，完成预算100%。其中：</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1.2013701-行政运行支出</w:t>
      </w:r>
      <w:r>
        <w:rPr>
          <w:rFonts w:ascii="仿宋_GB2312" w:eastAsia="仿宋_GB2312" w:hAnsi="Times New Roman" w:cs="仿宋"/>
          <w:color w:val="000000"/>
          <w:sz w:val="32"/>
          <w:szCs w:val="32"/>
        </w:rPr>
        <w:t>203.47</w:t>
      </w:r>
      <w:r>
        <w:rPr>
          <w:rFonts w:ascii="仿宋_GB2312" w:eastAsia="仿宋_GB2312" w:hAnsi="Times New Roman" w:cs="仿宋" w:hint="eastAsia"/>
          <w:color w:val="000000"/>
          <w:sz w:val="32"/>
          <w:szCs w:val="32"/>
        </w:rPr>
        <w:t>万元，完成预算100%；</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2.2013702-一般行政管理事务</w:t>
      </w:r>
      <w:r>
        <w:rPr>
          <w:rFonts w:ascii="仿宋_GB2312" w:eastAsia="仿宋_GB2312" w:hAnsi="Times New Roman" w:cs="仿宋"/>
          <w:color w:val="000000"/>
          <w:sz w:val="32"/>
          <w:szCs w:val="32"/>
        </w:rPr>
        <w:t>303.15</w:t>
      </w:r>
      <w:r>
        <w:rPr>
          <w:rFonts w:ascii="仿宋_GB2312" w:eastAsia="仿宋_GB2312" w:hAnsi="Times New Roman" w:cs="仿宋" w:hint="eastAsia"/>
          <w:color w:val="000000"/>
          <w:sz w:val="32"/>
          <w:szCs w:val="32"/>
        </w:rPr>
        <w:t>万元，完成预算100%；</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3.2080505-机关事业单位基本养老保险缴费支出</w:t>
      </w:r>
      <w:r>
        <w:rPr>
          <w:rFonts w:ascii="仿宋_GB2312" w:eastAsia="仿宋_GB2312" w:hAnsi="Times New Roman" w:cs="仿宋"/>
          <w:color w:val="000000"/>
          <w:sz w:val="32"/>
          <w:szCs w:val="32"/>
        </w:rPr>
        <w:t>16.81</w:t>
      </w:r>
      <w:r>
        <w:rPr>
          <w:rFonts w:ascii="仿宋_GB2312" w:eastAsia="仿宋_GB2312" w:hAnsi="Times New Roman" w:cs="仿宋" w:hint="eastAsia"/>
          <w:color w:val="000000"/>
          <w:sz w:val="32"/>
          <w:szCs w:val="32"/>
        </w:rPr>
        <w:t>万元，完成预算100%；</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4.2080506-机关事业单位职业年金缴费支出</w:t>
      </w:r>
      <w:r>
        <w:rPr>
          <w:rFonts w:ascii="仿宋_GB2312" w:eastAsia="仿宋_GB2312" w:hAnsi="Times New Roman" w:cs="仿宋"/>
          <w:color w:val="000000"/>
          <w:sz w:val="32"/>
          <w:szCs w:val="32"/>
        </w:rPr>
        <w:t>8.56</w:t>
      </w:r>
      <w:r>
        <w:rPr>
          <w:rFonts w:ascii="仿宋_GB2312" w:eastAsia="仿宋_GB2312" w:hAnsi="Times New Roman" w:cs="仿宋" w:hint="eastAsia"/>
          <w:color w:val="000000"/>
          <w:sz w:val="32"/>
          <w:szCs w:val="32"/>
        </w:rPr>
        <w:t>万元，完成预算100%；</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5.2101101-行政医疗支出</w:t>
      </w:r>
      <w:r>
        <w:rPr>
          <w:rFonts w:ascii="仿宋_GB2312" w:eastAsia="仿宋_GB2312" w:hAnsi="Times New Roman" w:cs="仿宋"/>
          <w:color w:val="000000"/>
          <w:sz w:val="32"/>
          <w:szCs w:val="32"/>
        </w:rPr>
        <w:t>7.38</w:t>
      </w:r>
      <w:r>
        <w:rPr>
          <w:rFonts w:ascii="仿宋_GB2312" w:eastAsia="仿宋_GB2312" w:hAnsi="Times New Roman" w:cs="仿宋" w:hint="eastAsia"/>
          <w:color w:val="000000"/>
          <w:sz w:val="32"/>
          <w:szCs w:val="32"/>
        </w:rPr>
        <w:t>万元，完成预算100%；</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6.2101103-公务员医疗补助</w:t>
      </w:r>
      <w:r>
        <w:rPr>
          <w:rFonts w:ascii="仿宋_GB2312" w:eastAsia="仿宋_GB2312" w:hAnsi="Times New Roman" w:cs="仿宋"/>
          <w:color w:val="000000"/>
          <w:sz w:val="32"/>
          <w:szCs w:val="32"/>
        </w:rPr>
        <w:t>1.59</w:t>
      </w:r>
      <w:r>
        <w:rPr>
          <w:rFonts w:ascii="仿宋_GB2312" w:eastAsia="仿宋_GB2312" w:hAnsi="Times New Roman" w:cs="仿宋" w:hint="eastAsia"/>
          <w:color w:val="000000"/>
          <w:sz w:val="32"/>
          <w:szCs w:val="32"/>
        </w:rPr>
        <w:t>万元，完成预算100%；</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7.2210201-住房公积金支出</w:t>
      </w:r>
      <w:r>
        <w:rPr>
          <w:rFonts w:ascii="仿宋_GB2312" w:eastAsia="仿宋_GB2312" w:hAnsi="Times New Roman" w:cs="仿宋"/>
          <w:color w:val="000000"/>
          <w:sz w:val="32"/>
          <w:szCs w:val="32"/>
        </w:rPr>
        <w:t>14.59</w:t>
      </w:r>
      <w:r>
        <w:rPr>
          <w:rFonts w:ascii="仿宋_GB2312" w:eastAsia="仿宋_GB2312" w:hAnsi="Times New Roman" w:cs="仿宋" w:hint="eastAsia"/>
          <w:color w:val="000000"/>
          <w:sz w:val="32"/>
          <w:szCs w:val="32"/>
        </w:rPr>
        <w:t>万元，完成预算100%。</w:t>
      </w:r>
    </w:p>
    <w:p w:rsidR="00611EF0" w:rsidRDefault="00B25509">
      <w:pPr>
        <w:pStyle w:val="Default"/>
        <w:spacing w:line="560" w:lineRule="exact"/>
        <w:ind w:firstLineChars="200" w:firstLine="640"/>
        <w:jc w:val="both"/>
        <w:rPr>
          <w:rFonts w:ascii="黑体" w:eastAsia="黑体"/>
          <w:sz w:val="32"/>
          <w:szCs w:val="32"/>
        </w:rPr>
      </w:pPr>
      <w:r>
        <w:rPr>
          <w:rFonts w:ascii="黑体" w:eastAsia="黑体" w:hint="eastAsia"/>
          <w:sz w:val="32"/>
          <w:szCs w:val="32"/>
        </w:rPr>
        <w:t>六、一般公共预算财政拨款基本支出决算情况说明</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2022年一般公共预算财政拨款基本支出</w:t>
      </w:r>
      <w:r>
        <w:rPr>
          <w:rFonts w:ascii="仿宋_GB2312" w:eastAsia="仿宋_GB2312"/>
          <w:sz w:val="32"/>
          <w:szCs w:val="32"/>
        </w:rPr>
        <w:t>252.41</w:t>
      </w:r>
      <w:r>
        <w:rPr>
          <w:rFonts w:ascii="仿宋_GB2312" w:eastAsia="仿宋_GB2312" w:hint="eastAsia"/>
          <w:sz w:val="32"/>
          <w:szCs w:val="32"/>
        </w:rPr>
        <w:t>万元。</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人员经费</w:t>
      </w:r>
      <w:r>
        <w:rPr>
          <w:rFonts w:ascii="仿宋_GB2312" w:eastAsia="仿宋_GB2312"/>
          <w:sz w:val="32"/>
          <w:szCs w:val="32"/>
        </w:rPr>
        <w:t>218</w:t>
      </w:r>
      <w:r>
        <w:rPr>
          <w:rFonts w:ascii="仿宋_GB2312" w:eastAsia="仿宋_GB2312" w:hint="eastAsia"/>
          <w:sz w:val="32"/>
          <w:szCs w:val="32"/>
        </w:rPr>
        <w:t>万元，其中：基本工资</w:t>
      </w:r>
      <w:r>
        <w:rPr>
          <w:rFonts w:ascii="仿宋_GB2312" w:eastAsia="仿宋_GB2312"/>
          <w:sz w:val="32"/>
          <w:szCs w:val="32"/>
        </w:rPr>
        <w:t>44.34</w:t>
      </w:r>
      <w:r>
        <w:rPr>
          <w:rFonts w:ascii="仿宋_GB2312" w:eastAsia="仿宋_GB2312" w:hint="eastAsia"/>
          <w:sz w:val="32"/>
          <w:szCs w:val="32"/>
        </w:rPr>
        <w:t>万元，津贴补</w:t>
      </w:r>
      <w:r>
        <w:rPr>
          <w:rFonts w:ascii="仿宋_GB2312" w:eastAsia="仿宋_GB2312" w:hint="eastAsia"/>
          <w:sz w:val="32"/>
          <w:szCs w:val="32"/>
        </w:rPr>
        <w:lastRenderedPageBreak/>
        <w:t>贴</w:t>
      </w:r>
      <w:r>
        <w:rPr>
          <w:rFonts w:ascii="仿宋_GB2312" w:eastAsia="仿宋_GB2312"/>
          <w:sz w:val="32"/>
          <w:szCs w:val="32"/>
        </w:rPr>
        <w:t>96.6</w:t>
      </w:r>
      <w:r>
        <w:rPr>
          <w:rFonts w:ascii="仿宋_GB2312" w:eastAsia="仿宋_GB2312" w:hint="eastAsia"/>
          <w:sz w:val="32"/>
          <w:szCs w:val="32"/>
        </w:rPr>
        <w:t>万元，奖金</w:t>
      </w:r>
      <w:r>
        <w:rPr>
          <w:rFonts w:ascii="仿宋_GB2312" w:eastAsia="仿宋_GB2312"/>
          <w:sz w:val="32"/>
          <w:szCs w:val="32"/>
        </w:rPr>
        <w:t>7.95</w:t>
      </w:r>
      <w:r>
        <w:rPr>
          <w:rFonts w:ascii="仿宋_GB2312" w:eastAsia="仿宋_GB2312" w:hint="eastAsia"/>
          <w:sz w:val="32"/>
          <w:szCs w:val="32"/>
        </w:rPr>
        <w:t>万元，伙食补助</w:t>
      </w:r>
      <w:r>
        <w:rPr>
          <w:rFonts w:ascii="仿宋_GB2312" w:eastAsia="仿宋_GB2312"/>
          <w:sz w:val="32"/>
          <w:szCs w:val="32"/>
        </w:rPr>
        <w:t>7.19</w:t>
      </w:r>
      <w:r>
        <w:rPr>
          <w:rFonts w:ascii="仿宋_GB2312" w:eastAsia="仿宋_GB2312" w:hint="eastAsia"/>
          <w:sz w:val="32"/>
          <w:szCs w:val="32"/>
        </w:rPr>
        <w:t>万元，机关事业单位养老保险缴费</w:t>
      </w:r>
      <w:r>
        <w:rPr>
          <w:rFonts w:ascii="仿宋_GB2312" w:eastAsia="仿宋_GB2312"/>
          <w:sz w:val="32"/>
          <w:szCs w:val="32"/>
        </w:rPr>
        <w:t>16.81</w:t>
      </w:r>
      <w:r>
        <w:rPr>
          <w:rFonts w:ascii="仿宋_GB2312" w:eastAsia="仿宋_GB2312" w:hint="eastAsia"/>
          <w:sz w:val="32"/>
          <w:szCs w:val="32"/>
        </w:rPr>
        <w:t>万元，职业年金缴费</w:t>
      </w:r>
      <w:r>
        <w:rPr>
          <w:rFonts w:ascii="仿宋_GB2312" w:eastAsia="仿宋_GB2312"/>
          <w:sz w:val="32"/>
          <w:szCs w:val="32"/>
        </w:rPr>
        <w:t>8.56</w:t>
      </w:r>
      <w:r>
        <w:rPr>
          <w:rFonts w:ascii="仿宋_GB2312" w:eastAsia="仿宋_GB2312" w:hint="eastAsia"/>
          <w:sz w:val="32"/>
          <w:szCs w:val="32"/>
        </w:rPr>
        <w:t>万元，职工基本医疗保险缴费</w:t>
      </w:r>
      <w:r>
        <w:rPr>
          <w:rFonts w:ascii="仿宋_GB2312" w:eastAsia="仿宋_GB2312"/>
          <w:sz w:val="32"/>
          <w:szCs w:val="32"/>
        </w:rPr>
        <w:t>7.38</w:t>
      </w:r>
      <w:r>
        <w:rPr>
          <w:rFonts w:ascii="仿宋_GB2312" w:eastAsia="仿宋_GB2312" w:hint="eastAsia"/>
          <w:sz w:val="32"/>
          <w:szCs w:val="32"/>
        </w:rPr>
        <w:t>万元，公务员医疗补助缴费</w:t>
      </w:r>
      <w:r>
        <w:rPr>
          <w:rFonts w:ascii="仿宋_GB2312" w:eastAsia="仿宋_GB2312"/>
          <w:sz w:val="32"/>
          <w:szCs w:val="32"/>
        </w:rPr>
        <w:t>1.59</w:t>
      </w:r>
      <w:r>
        <w:rPr>
          <w:rFonts w:ascii="仿宋_GB2312" w:eastAsia="仿宋_GB2312" w:hint="eastAsia"/>
          <w:sz w:val="32"/>
          <w:szCs w:val="32"/>
        </w:rPr>
        <w:t>万元，其他社会保险缴费</w:t>
      </w:r>
      <w:r>
        <w:rPr>
          <w:rFonts w:ascii="仿宋_GB2312" w:eastAsia="仿宋_GB2312"/>
          <w:sz w:val="32"/>
          <w:szCs w:val="32"/>
        </w:rPr>
        <w:t>1.22</w:t>
      </w:r>
      <w:r>
        <w:rPr>
          <w:rFonts w:ascii="仿宋_GB2312" w:eastAsia="仿宋_GB2312" w:hint="eastAsia"/>
          <w:sz w:val="32"/>
          <w:szCs w:val="32"/>
        </w:rPr>
        <w:t>万元，住房公积金</w:t>
      </w:r>
      <w:r>
        <w:rPr>
          <w:rFonts w:ascii="仿宋_GB2312" w:eastAsia="仿宋_GB2312"/>
          <w:sz w:val="32"/>
          <w:szCs w:val="32"/>
        </w:rPr>
        <w:t>14.59</w:t>
      </w:r>
      <w:r>
        <w:rPr>
          <w:rFonts w:ascii="仿宋_GB2312" w:eastAsia="仿宋_GB2312" w:hint="eastAsia"/>
          <w:sz w:val="32"/>
          <w:szCs w:val="32"/>
        </w:rPr>
        <w:t>万元，其他工资福利支出</w:t>
      </w:r>
      <w:r>
        <w:rPr>
          <w:rFonts w:ascii="仿宋_GB2312" w:eastAsia="仿宋_GB2312"/>
          <w:sz w:val="32"/>
          <w:szCs w:val="32"/>
        </w:rPr>
        <w:t>11.76</w:t>
      </w:r>
      <w:r>
        <w:rPr>
          <w:rFonts w:ascii="仿宋_GB2312" w:eastAsia="仿宋_GB2312" w:hint="eastAsia"/>
          <w:sz w:val="32"/>
          <w:szCs w:val="32"/>
        </w:rPr>
        <w:t>万元。</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日常公用经费</w:t>
      </w:r>
      <w:r>
        <w:rPr>
          <w:rFonts w:ascii="仿宋_GB2312" w:eastAsia="仿宋_GB2312"/>
          <w:sz w:val="32"/>
          <w:szCs w:val="32"/>
        </w:rPr>
        <w:t>34.41</w:t>
      </w:r>
      <w:r>
        <w:rPr>
          <w:rFonts w:ascii="仿宋_GB2312" w:eastAsia="仿宋_GB2312" w:hint="eastAsia"/>
          <w:sz w:val="32"/>
          <w:szCs w:val="32"/>
        </w:rPr>
        <w:t>万元，其中：办公费</w:t>
      </w:r>
      <w:r>
        <w:rPr>
          <w:rFonts w:ascii="仿宋_GB2312" w:eastAsia="仿宋_GB2312"/>
          <w:sz w:val="32"/>
          <w:szCs w:val="32"/>
        </w:rPr>
        <w:t>1.29</w:t>
      </w:r>
      <w:r>
        <w:rPr>
          <w:rFonts w:ascii="仿宋_GB2312" w:eastAsia="仿宋_GB2312" w:hint="eastAsia"/>
          <w:sz w:val="32"/>
          <w:szCs w:val="32"/>
        </w:rPr>
        <w:t>万元，水费0.2万元，电费</w:t>
      </w:r>
      <w:r>
        <w:rPr>
          <w:rFonts w:ascii="仿宋_GB2312" w:eastAsia="仿宋_GB2312"/>
          <w:sz w:val="32"/>
          <w:szCs w:val="32"/>
        </w:rPr>
        <w:t>1.97</w:t>
      </w:r>
      <w:r>
        <w:rPr>
          <w:rFonts w:ascii="仿宋_GB2312" w:eastAsia="仿宋_GB2312" w:hint="eastAsia"/>
          <w:sz w:val="32"/>
          <w:szCs w:val="32"/>
        </w:rPr>
        <w:t>万元，邮电费</w:t>
      </w:r>
      <w:r>
        <w:rPr>
          <w:rFonts w:ascii="仿宋_GB2312" w:eastAsia="仿宋_GB2312"/>
          <w:sz w:val="32"/>
          <w:szCs w:val="32"/>
        </w:rPr>
        <w:t>3.04</w:t>
      </w:r>
      <w:r>
        <w:rPr>
          <w:rFonts w:ascii="仿宋_GB2312" w:eastAsia="仿宋_GB2312" w:hint="eastAsia"/>
          <w:sz w:val="32"/>
          <w:szCs w:val="32"/>
        </w:rPr>
        <w:t>万元，差旅费</w:t>
      </w:r>
      <w:r>
        <w:rPr>
          <w:rFonts w:ascii="仿宋_GB2312" w:eastAsia="仿宋_GB2312"/>
          <w:sz w:val="32"/>
          <w:szCs w:val="32"/>
        </w:rPr>
        <w:t>8.71</w:t>
      </w:r>
      <w:r>
        <w:rPr>
          <w:rFonts w:ascii="仿宋_GB2312" w:eastAsia="仿宋_GB2312" w:hint="eastAsia"/>
          <w:sz w:val="32"/>
          <w:szCs w:val="32"/>
        </w:rPr>
        <w:t>万元，维修（护）费</w:t>
      </w:r>
      <w:r>
        <w:rPr>
          <w:rFonts w:ascii="仿宋_GB2312" w:eastAsia="仿宋_GB2312"/>
          <w:sz w:val="32"/>
          <w:szCs w:val="32"/>
        </w:rPr>
        <w:t>0.22</w:t>
      </w:r>
      <w:r>
        <w:rPr>
          <w:rFonts w:ascii="仿宋_GB2312" w:eastAsia="仿宋_GB2312" w:hint="eastAsia"/>
          <w:sz w:val="32"/>
          <w:szCs w:val="32"/>
        </w:rPr>
        <w:t>万元，培训费0.41万元，工会经费1.5万元，福利费1.5万元，公务用车运行维护费14.24万元，其他商品和服务支出1.33万元。</w:t>
      </w:r>
    </w:p>
    <w:p w:rsidR="00611EF0" w:rsidRDefault="00B25509">
      <w:pPr>
        <w:pStyle w:val="Default"/>
        <w:spacing w:line="560" w:lineRule="exact"/>
        <w:ind w:firstLineChars="200" w:firstLine="640"/>
        <w:jc w:val="both"/>
        <w:rPr>
          <w:rFonts w:ascii="黑体" w:eastAsia="黑体"/>
          <w:sz w:val="32"/>
          <w:szCs w:val="32"/>
        </w:rPr>
      </w:pPr>
      <w:r>
        <w:rPr>
          <w:rFonts w:ascii="黑体" w:eastAsia="黑体" w:hint="eastAsia"/>
          <w:sz w:val="32"/>
          <w:szCs w:val="32"/>
        </w:rPr>
        <w:t>七、</w:t>
      </w:r>
      <w:r>
        <w:rPr>
          <w:rFonts w:ascii="黑体" w:eastAsia="黑体"/>
          <w:sz w:val="32"/>
          <w:szCs w:val="32"/>
        </w:rPr>
        <w:t>“</w:t>
      </w:r>
      <w:r>
        <w:rPr>
          <w:rFonts w:ascii="黑体" w:eastAsia="黑体" w:hint="eastAsia"/>
          <w:sz w:val="32"/>
          <w:szCs w:val="32"/>
        </w:rPr>
        <w:t>三公”经费财政拨款支出决算情况说明</w:t>
      </w:r>
    </w:p>
    <w:p w:rsidR="00611EF0" w:rsidRDefault="00B25509">
      <w:pPr>
        <w:spacing w:after="0" w:line="560" w:lineRule="exact"/>
        <w:ind w:firstLine="640"/>
        <w:jc w:val="both"/>
        <w:outlineLvl w:val="2"/>
        <w:rPr>
          <w:rFonts w:ascii="楷体_GB2312" w:eastAsia="楷体_GB2312"/>
          <w:b/>
          <w:color w:val="000000"/>
          <w:sz w:val="32"/>
          <w:szCs w:val="32"/>
        </w:rPr>
      </w:pPr>
      <w:r>
        <w:rPr>
          <w:rFonts w:ascii="楷体_GB2312" w:eastAsia="楷体_GB2312" w:hint="eastAsia"/>
          <w:b/>
          <w:color w:val="000000"/>
          <w:sz w:val="32"/>
          <w:szCs w:val="32"/>
        </w:rPr>
        <w:t>（一）“三公”经费财政拨款支出决算总体情况说明</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2022年“三公”经费财政拨款支出决算为14.24万元，完成预算100%，决算数等于预算数，主要原因本着以收定支、厉行节约的原则。</w:t>
      </w:r>
    </w:p>
    <w:p w:rsidR="00611EF0" w:rsidRDefault="00B25509">
      <w:pPr>
        <w:spacing w:after="0" w:line="560" w:lineRule="exact"/>
        <w:ind w:firstLine="640"/>
        <w:jc w:val="both"/>
        <w:outlineLvl w:val="2"/>
        <w:rPr>
          <w:rFonts w:ascii="楷体_GB2312" w:eastAsia="楷体_GB2312"/>
          <w:b/>
          <w:color w:val="000000"/>
          <w:sz w:val="32"/>
          <w:szCs w:val="32"/>
        </w:rPr>
      </w:pPr>
      <w:r>
        <w:rPr>
          <w:rFonts w:ascii="楷体_GB2312" w:eastAsia="楷体_GB2312" w:hint="eastAsia"/>
          <w:b/>
          <w:color w:val="000000"/>
          <w:sz w:val="32"/>
          <w:szCs w:val="32"/>
        </w:rPr>
        <w:t>（二）“三公”经费财政拨款支出决算具体情况说明</w:t>
      </w:r>
    </w:p>
    <w:p w:rsidR="00611EF0" w:rsidRDefault="00B25509">
      <w:pPr>
        <w:spacing w:after="0" w:line="560" w:lineRule="exact"/>
        <w:ind w:firstLine="640"/>
        <w:jc w:val="both"/>
        <w:rPr>
          <w:rFonts w:ascii="仿宋_GB2312" w:eastAsia="仿宋_GB2312" w:hAnsi="Times New Roman" w:cs="仿宋"/>
          <w:color w:val="000000"/>
          <w:sz w:val="32"/>
          <w:szCs w:val="32"/>
        </w:rPr>
      </w:pPr>
      <w:r>
        <w:rPr>
          <w:rFonts w:ascii="仿宋_GB2312" w:eastAsia="仿宋_GB2312" w:hAnsi="Times New Roman" w:cs="仿宋" w:hint="eastAsia"/>
          <w:color w:val="000000"/>
          <w:sz w:val="32"/>
          <w:szCs w:val="32"/>
        </w:rPr>
        <w:t>2022年“三公”经费财政拨款支出合计14.24万元，其中：公务接待费0万元；因公出过（境）费0万元；公务车辆购置及运行费14.24万元，占100%。</w:t>
      </w:r>
    </w:p>
    <w:p w:rsidR="00611EF0" w:rsidRDefault="00611EF0">
      <w:pPr>
        <w:spacing w:after="0" w:line="560" w:lineRule="exact"/>
        <w:ind w:firstLine="640"/>
        <w:jc w:val="both"/>
        <w:rPr>
          <w:rFonts w:ascii="仿宋_GB2312" w:eastAsia="仿宋_GB2312"/>
          <w:sz w:val="32"/>
          <w:szCs w:val="32"/>
        </w:rPr>
      </w:pPr>
    </w:p>
    <w:p w:rsidR="00611EF0" w:rsidRDefault="00611EF0">
      <w:pPr>
        <w:spacing w:after="0" w:line="560" w:lineRule="exact"/>
        <w:jc w:val="both"/>
        <w:rPr>
          <w:rFonts w:ascii="仿宋_GB2312" w:eastAsia="仿宋_GB2312"/>
          <w:sz w:val="32"/>
          <w:szCs w:val="32"/>
        </w:rPr>
      </w:pPr>
    </w:p>
    <w:p w:rsidR="00611EF0" w:rsidRDefault="00611EF0">
      <w:pPr>
        <w:pStyle w:val="ab"/>
        <w:rPr>
          <w:rFonts w:ascii="仿宋_GB2312" w:eastAsia="仿宋_GB2312"/>
        </w:rPr>
      </w:pPr>
    </w:p>
    <w:p w:rsidR="00611EF0" w:rsidRDefault="00611EF0">
      <w:pPr>
        <w:pStyle w:val="ab"/>
        <w:rPr>
          <w:rFonts w:ascii="仿宋_GB2312" w:eastAsia="仿宋_GB2312"/>
        </w:rPr>
      </w:pPr>
    </w:p>
    <w:p w:rsidR="00611EF0" w:rsidRDefault="00611EF0">
      <w:pPr>
        <w:pStyle w:val="ab"/>
        <w:rPr>
          <w:rFonts w:ascii="仿宋_GB2312" w:eastAsia="仿宋_GB2312"/>
        </w:rPr>
      </w:pPr>
    </w:p>
    <w:p w:rsidR="00611EF0" w:rsidRDefault="00611EF0">
      <w:pPr>
        <w:pStyle w:val="ab"/>
        <w:rPr>
          <w:rFonts w:ascii="仿宋_GB2312" w:eastAsia="仿宋_GB2312"/>
        </w:rPr>
      </w:pPr>
    </w:p>
    <w:p w:rsidR="00611EF0" w:rsidRDefault="00611EF0">
      <w:pPr>
        <w:spacing w:after="0" w:line="560" w:lineRule="exact"/>
        <w:ind w:firstLine="640"/>
        <w:jc w:val="both"/>
        <w:rPr>
          <w:rFonts w:ascii="仿宋_GB2312" w:eastAsia="仿宋_GB2312"/>
          <w:sz w:val="32"/>
          <w:szCs w:val="32"/>
        </w:rPr>
      </w:pPr>
    </w:p>
    <w:p w:rsidR="00611EF0" w:rsidRDefault="00611EF0">
      <w:pPr>
        <w:spacing w:after="0" w:line="560" w:lineRule="exact"/>
        <w:jc w:val="both"/>
        <w:rPr>
          <w:rFonts w:ascii="仿宋_GB2312" w:eastAsia="仿宋_GB2312"/>
          <w:color w:val="FF0000"/>
          <w:sz w:val="32"/>
          <w:szCs w:val="32"/>
        </w:rPr>
      </w:pPr>
    </w:p>
    <w:p w:rsidR="00611EF0" w:rsidRDefault="00611EF0">
      <w:pPr>
        <w:spacing w:after="0" w:line="560" w:lineRule="exact"/>
        <w:jc w:val="both"/>
        <w:rPr>
          <w:rFonts w:ascii="仿宋_GB2312" w:eastAsia="仿宋_GB2312"/>
          <w:sz w:val="32"/>
          <w:szCs w:val="32"/>
        </w:rPr>
      </w:pPr>
    </w:p>
    <w:p w:rsidR="00611EF0" w:rsidRDefault="00611EF0">
      <w:pPr>
        <w:spacing w:after="0" w:line="560" w:lineRule="exact"/>
        <w:jc w:val="both"/>
        <w:rPr>
          <w:rFonts w:ascii="仿宋_GB2312" w:eastAsia="仿宋_GB2312"/>
          <w:sz w:val="32"/>
          <w:szCs w:val="32"/>
        </w:rPr>
      </w:pPr>
    </w:p>
    <w:p w:rsidR="00611EF0" w:rsidRDefault="00611EF0">
      <w:pPr>
        <w:spacing w:after="0" w:line="560" w:lineRule="exact"/>
        <w:jc w:val="both"/>
        <w:rPr>
          <w:rFonts w:ascii="仿宋_GB2312" w:eastAsia="仿宋_GB2312"/>
          <w:sz w:val="32"/>
          <w:szCs w:val="32"/>
        </w:rPr>
      </w:pPr>
    </w:p>
    <w:p w:rsidR="00611EF0" w:rsidRDefault="00B25509">
      <w:pPr>
        <w:spacing w:after="0" w:line="560" w:lineRule="exact"/>
        <w:jc w:val="both"/>
        <w:rPr>
          <w:rFonts w:ascii="仿宋_GB2312" w:eastAsia="仿宋_GB2312"/>
          <w:sz w:val="32"/>
          <w:szCs w:val="32"/>
        </w:rPr>
      </w:pPr>
      <w:r>
        <w:rPr>
          <w:rFonts w:ascii="仿宋_GB2312" w:eastAsia="仿宋_GB2312" w:hint="eastAsia"/>
          <w:sz w:val="32"/>
          <w:szCs w:val="32"/>
        </w:rPr>
        <w:t xml:space="preserve">   </w:t>
      </w:r>
      <w:r>
        <w:rPr>
          <w:rFonts w:ascii="仿宋_GB2312" w:eastAsia="仿宋_GB2312"/>
          <w:noProof/>
          <w:sz w:val="32"/>
          <w:szCs w:val="32"/>
        </w:rPr>
        <w:drawing>
          <wp:anchor distT="0" distB="0" distL="114300" distR="114300" simplePos="0" relativeHeight="251663360" behindDoc="0" locked="0" layoutInCell="1" allowOverlap="1">
            <wp:simplePos x="0" y="0"/>
            <wp:positionH relativeFrom="column">
              <wp:posOffset>321945</wp:posOffset>
            </wp:positionH>
            <wp:positionV relativeFrom="paragraph">
              <wp:posOffset>-2205355</wp:posOffset>
            </wp:positionV>
            <wp:extent cx="3768090" cy="2487930"/>
            <wp:effectExtent l="19050" t="0" r="22860" b="7620"/>
            <wp:wrapSquare wrapText="bothSides"/>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仿宋_GB2312" w:eastAsia="仿宋_GB2312" w:hint="eastAsia"/>
          <w:sz w:val="32"/>
          <w:szCs w:val="32"/>
        </w:rPr>
        <w:t xml:space="preserve"> </w:t>
      </w:r>
    </w:p>
    <w:p w:rsidR="00611EF0" w:rsidRDefault="00B25509">
      <w:pPr>
        <w:spacing w:after="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（图9：“三公”经费财政拨款支出情况图）</w:t>
      </w:r>
    </w:p>
    <w:p w:rsidR="00611EF0" w:rsidRDefault="00611EF0">
      <w:pPr>
        <w:pStyle w:val="ab"/>
      </w:pPr>
    </w:p>
    <w:p w:rsidR="00611EF0" w:rsidRDefault="00B25509">
      <w:pPr>
        <w:spacing w:after="0" w:line="560" w:lineRule="exact"/>
        <w:ind w:firstLine="640"/>
        <w:jc w:val="both"/>
        <w:rPr>
          <w:rFonts w:ascii="仿宋_GB2312" w:eastAsia="仿宋_GB2312"/>
          <w:b/>
          <w:bCs/>
          <w:color w:val="000000"/>
          <w:sz w:val="32"/>
          <w:szCs w:val="32"/>
        </w:rPr>
      </w:pPr>
      <w:r>
        <w:rPr>
          <w:rFonts w:ascii="仿宋_GB2312" w:eastAsia="仿宋_GB2312" w:hint="eastAsia"/>
          <w:b/>
          <w:bCs/>
          <w:color w:val="000000"/>
          <w:sz w:val="32"/>
          <w:szCs w:val="32"/>
        </w:rPr>
        <w:t>公务用车运行维护费支出14.24万元,</w:t>
      </w:r>
      <w:r>
        <w:rPr>
          <w:rStyle w:val="a9"/>
          <w:rFonts w:ascii="仿宋_GB2312" w:eastAsia="仿宋_GB2312" w:hint="eastAsia"/>
          <w:bCs/>
          <w:color w:val="000000"/>
          <w:sz w:val="32"/>
          <w:szCs w:val="32"/>
        </w:rPr>
        <w:t>完成预算100%。</w:t>
      </w:r>
    </w:p>
    <w:p w:rsidR="00611EF0" w:rsidRDefault="00B25509">
      <w:pPr>
        <w:spacing w:after="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2022年公务用车运行维护费支出14.24万元，2021公务用车运行维护费支出15.35万元，同比减少1.11万元，同比下降7.23%，变动原因：2022受疫情影响，出差次数减少，支出同比下降。</w:t>
      </w:r>
    </w:p>
    <w:p w:rsidR="00611EF0" w:rsidRDefault="00B25509">
      <w:pPr>
        <w:pStyle w:val="11"/>
        <w:spacing w:line="560" w:lineRule="exact"/>
        <w:ind w:leftChars="200" w:left="440" w:firstLineChars="50" w:firstLine="160"/>
        <w:outlineLvl w:val="1"/>
        <w:rPr>
          <w:rFonts w:ascii="黑体" w:eastAsia="黑体" w:cs="仿宋"/>
          <w:color w:val="000000"/>
          <w:sz w:val="32"/>
          <w:szCs w:val="32"/>
        </w:rPr>
      </w:pPr>
      <w:r>
        <w:rPr>
          <w:rFonts w:ascii="黑体" w:eastAsia="黑体" w:cs="仿宋" w:hint="eastAsia"/>
          <w:color w:val="000000"/>
          <w:sz w:val="32"/>
          <w:szCs w:val="32"/>
        </w:rPr>
        <w:t>八、政府性基金预算支出决算情况说明</w:t>
      </w:r>
    </w:p>
    <w:p w:rsidR="00611EF0" w:rsidRDefault="00B25509">
      <w:pPr>
        <w:spacing w:after="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2022年政府性基金预算拨款支出0元</w:t>
      </w:r>
      <w:r w:rsidR="00547158">
        <w:rPr>
          <w:rFonts w:ascii="仿宋_GB2312" w:eastAsia="仿宋_GB2312" w:hint="eastAsia"/>
          <w:color w:val="000000"/>
          <w:sz w:val="32"/>
          <w:szCs w:val="32"/>
        </w:rPr>
        <w:t>（不涉及）</w:t>
      </w:r>
      <w:r>
        <w:rPr>
          <w:rFonts w:ascii="仿宋_GB2312" w:eastAsia="仿宋_GB2312" w:hint="eastAsia"/>
          <w:color w:val="000000"/>
          <w:sz w:val="32"/>
          <w:szCs w:val="32"/>
        </w:rPr>
        <w:t>。</w:t>
      </w:r>
    </w:p>
    <w:p w:rsidR="00611EF0" w:rsidRDefault="00B25509">
      <w:pPr>
        <w:pStyle w:val="11"/>
        <w:spacing w:line="560" w:lineRule="exact"/>
        <w:ind w:leftChars="200" w:left="440" w:firstLineChars="50" w:firstLine="160"/>
        <w:outlineLvl w:val="1"/>
        <w:rPr>
          <w:rFonts w:ascii="黑体" w:eastAsia="黑体" w:cs="仿宋"/>
          <w:color w:val="000000"/>
          <w:sz w:val="32"/>
          <w:szCs w:val="32"/>
        </w:rPr>
      </w:pPr>
      <w:r>
        <w:rPr>
          <w:rFonts w:ascii="黑体" w:eastAsia="黑体" w:cs="仿宋"/>
          <w:color w:val="000000"/>
          <w:sz w:val="32"/>
          <w:szCs w:val="32"/>
        </w:rPr>
        <w:t>九、</w:t>
      </w:r>
      <w:r>
        <w:rPr>
          <w:rFonts w:ascii="黑体" w:eastAsia="黑体" w:cs="仿宋" w:hint="eastAsia"/>
          <w:color w:val="000000"/>
          <w:sz w:val="32"/>
          <w:szCs w:val="32"/>
        </w:rPr>
        <w:t>国有资本经营预算支出决算情况说明</w:t>
      </w:r>
    </w:p>
    <w:p w:rsidR="00611EF0" w:rsidRDefault="00B25509">
      <w:pPr>
        <w:spacing w:after="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2022年国有资本经营预算拨款支出0元</w:t>
      </w:r>
      <w:r w:rsidR="00547158">
        <w:rPr>
          <w:rFonts w:ascii="仿宋_GB2312" w:eastAsia="仿宋_GB2312" w:hint="eastAsia"/>
          <w:color w:val="000000"/>
          <w:sz w:val="32"/>
          <w:szCs w:val="32"/>
        </w:rPr>
        <w:t>（不涉及）</w:t>
      </w:r>
      <w:r>
        <w:rPr>
          <w:rFonts w:ascii="仿宋_GB2312" w:eastAsia="仿宋_GB2312" w:hint="eastAsia"/>
          <w:color w:val="000000"/>
          <w:sz w:val="32"/>
          <w:szCs w:val="32"/>
        </w:rPr>
        <w:t>。</w:t>
      </w:r>
    </w:p>
    <w:p w:rsidR="00611EF0" w:rsidRDefault="00B25509">
      <w:pPr>
        <w:pStyle w:val="11"/>
        <w:spacing w:line="560" w:lineRule="exact"/>
        <w:ind w:leftChars="200" w:left="440" w:firstLineChars="50" w:firstLine="160"/>
        <w:outlineLvl w:val="1"/>
        <w:rPr>
          <w:rStyle w:val="2Char"/>
          <w:rFonts w:ascii="黑体" w:eastAsia="黑体"/>
          <w:b w:val="0"/>
          <w:bCs w:val="0"/>
        </w:rPr>
      </w:pPr>
      <w:r>
        <w:rPr>
          <w:rFonts w:ascii="黑体" w:eastAsia="黑体" w:hint="eastAsia"/>
          <w:color w:val="000000"/>
          <w:sz w:val="32"/>
          <w:szCs w:val="32"/>
        </w:rPr>
        <w:t>十</w:t>
      </w:r>
      <w:r>
        <w:rPr>
          <w:rStyle w:val="2Char"/>
          <w:rFonts w:ascii="黑体" w:eastAsia="黑体" w:hint="eastAsia"/>
          <w:b w:val="0"/>
          <w:bCs w:val="0"/>
        </w:rPr>
        <w:t>、其他重要事项的情况说明</w:t>
      </w:r>
    </w:p>
    <w:p w:rsidR="00611EF0" w:rsidRDefault="00B25509">
      <w:pPr>
        <w:pStyle w:val="11"/>
        <w:spacing w:line="560" w:lineRule="exact"/>
        <w:ind w:left="420" w:firstLineChars="0" w:firstLine="0"/>
        <w:outlineLvl w:val="2"/>
        <w:rPr>
          <w:rFonts w:ascii="楷体_GB2312" w:eastAsia="楷体_GB2312"/>
          <w:b/>
          <w:color w:val="000000"/>
          <w:sz w:val="32"/>
          <w:szCs w:val="32"/>
        </w:rPr>
      </w:pPr>
      <w:r>
        <w:rPr>
          <w:rFonts w:ascii="楷体_GB2312" w:eastAsia="楷体_GB2312" w:hint="eastAsia"/>
          <w:b/>
          <w:color w:val="000000"/>
          <w:sz w:val="32"/>
          <w:szCs w:val="32"/>
        </w:rPr>
        <w:t>（一）机关运行经费支出情况</w:t>
      </w:r>
    </w:p>
    <w:p w:rsidR="006107E0" w:rsidRDefault="00B25509">
      <w:pPr>
        <w:pStyle w:val="11"/>
        <w:spacing w:line="560" w:lineRule="exact"/>
        <w:ind w:leftChars="200" w:left="440" w:firstLineChars="50" w:firstLine="160"/>
        <w:rPr>
          <w:rFonts w:ascii="仿宋_GB2312" w:eastAsia="仿宋_GB2312"/>
          <w:color w:val="000000"/>
          <w:sz w:val="32"/>
          <w:szCs w:val="32"/>
        </w:rPr>
      </w:pPr>
      <w:r>
        <w:rPr>
          <w:rFonts w:ascii="仿宋_GB2312" w:eastAsia="仿宋_GB2312" w:hint="eastAsia"/>
          <w:color w:val="000000"/>
          <w:sz w:val="32"/>
          <w:szCs w:val="32"/>
        </w:rPr>
        <w:t>2022年机关运</w:t>
      </w:r>
    </w:p>
    <w:p w:rsidR="00611EF0" w:rsidRDefault="00B25509">
      <w:pPr>
        <w:pStyle w:val="11"/>
        <w:spacing w:line="560" w:lineRule="exact"/>
        <w:ind w:leftChars="200" w:left="440" w:firstLineChars="50" w:firstLine="160"/>
        <w:rPr>
          <w:rFonts w:ascii="仿宋_GB2312" w:eastAsia="仿宋_GB2312"/>
          <w:color w:val="000000"/>
          <w:sz w:val="32"/>
          <w:szCs w:val="32"/>
        </w:rPr>
      </w:pPr>
      <w:r>
        <w:rPr>
          <w:rFonts w:ascii="仿宋_GB2312" w:eastAsia="仿宋_GB2312" w:hint="eastAsia"/>
          <w:color w:val="000000"/>
          <w:sz w:val="32"/>
          <w:szCs w:val="32"/>
        </w:rPr>
        <w:t>行经费支出34.41万元，2021年机关运行</w:t>
      </w:r>
    </w:p>
    <w:p w:rsidR="00611EF0" w:rsidRDefault="00B25509">
      <w:pPr>
        <w:pStyle w:val="11"/>
        <w:spacing w:line="560" w:lineRule="exact"/>
        <w:ind w:firstLineChars="0" w:firstLine="0"/>
        <w:rPr>
          <w:rFonts w:ascii="仿宋_GB2312" w:eastAsia="仿宋_GB2312"/>
          <w:color w:val="000000"/>
          <w:sz w:val="32"/>
          <w:szCs w:val="32"/>
        </w:rPr>
      </w:pPr>
      <w:r>
        <w:rPr>
          <w:rFonts w:ascii="仿宋_GB2312" w:eastAsia="仿宋_GB2312" w:hint="eastAsia"/>
          <w:color w:val="000000"/>
          <w:sz w:val="32"/>
          <w:szCs w:val="32"/>
        </w:rPr>
        <w:t>经费38.27万元，同比减少3.86万元，同比下降10.08%，原因：2022年受疫情影响，支出同比减少。</w:t>
      </w:r>
    </w:p>
    <w:p w:rsidR="00611EF0" w:rsidRDefault="00B25509">
      <w:pPr>
        <w:autoSpaceDE w:val="0"/>
        <w:autoSpaceDN w:val="0"/>
        <w:spacing w:after="0" w:line="560" w:lineRule="exact"/>
        <w:ind w:firstLineChars="198" w:firstLine="636"/>
        <w:jc w:val="both"/>
        <w:outlineLvl w:val="2"/>
        <w:rPr>
          <w:rFonts w:ascii="楷体_GB2312" w:eastAsia="楷体_GB2312"/>
          <w:b/>
          <w:color w:val="000000"/>
          <w:sz w:val="32"/>
          <w:szCs w:val="32"/>
        </w:rPr>
      </w:pPr>
      <w:r>
        <w:rPr>
          <w:rFonts w:ascii="楷体_GB2312" w:eastAsia="楷体_GB2312" w:hint="eastAsia"/>
          <w:b/>
          <w:color w:val="000000"/>
          <w:sz w:val="32"/>
          <w:szCs w:val="32"/>
        </w:rPr>
        <w:lastRenderedPageBreak/>
        <w:t>（二）政府采购支出情况</w:t>
      </w:r>
    </w:p>
    <w:p w:rsidR="00611EF0" w:rsidRDefault="00B25509" w:rsidP="00180D82">
      <w:pPr>
        <w:autoSpaceDE w:val="0"/>
        <w:autoSpaceDN w:val="0"/>
        <w:spacing w:after="0" w:line="560" w:lineRule="exact"/>
        <w:ind w:firstLineChars="198" w:firstLine="634"/>
        <w:jc w:val="both"/>
        <w:outlineLvl w:val="2"/>
        <w:rPr>
          <w:rFonts w:ascii="仿宋_GB2312" w:eastAsia="仿宋_GB2312"/>
          <w:color w:val="000000"/>
          <w:sz w:val="32"/>
          <w:szCs w:val="32"/>
        </w:rPr>
      </w:pPr>
      <w:r>
        <w:rPr>
          <w:rFonts w:ascii="仿宋_GB2312" w:eastAsia="仿宋_GB2312" w:hint="eastAsia"/>
          <w:color w:val="000000"/>
          <w:sz w:val="32"/>
          <w:szCs w:val="32"/>
        </w:rPr>
        <w:t>2022年，政府采购支出总额209.9万元，主要用于网信系统体系建设、网络宣传活动服务采购等。授予中小企业合同金额96.9万元，占政府采购支出总额的46.16</w:t>
      </w:r>
      <w:r>
        <w:rPr>
          <w:rFonts w:ascii="仿宋_GB2312" w:eastAsia="仿宋_GB2312"/>
          <w:color w:val="000000"/>
          <w:sz w:val="32"/>
          <w:szCs w:val="32"/>
        </w:rPr>
        <w:t>%</w:t>
      </w:r>
      <w:r>
        <w:rPr>
          <w:rFonts w:ascii="仿宋_GB2312" w:eastAsia="仿宋_GB2312" w:hint="eastAsia"/>
          <w:color w:val="000000"/>
          <w:sz w:val="32"/>
          <w:szCs w:val="32"/>
        </w:rPr>
        <w:t>，其中：授予小微企业合同金额0元。</w:t>
      </w:r>
    </w:p>
    <w:p w:rsidR="00611EF0" w:rsidRDefault="00B25509">
      <w:pPr>
        <w:pStyle w:val="11"/>
        <w:autoSpaceDE w:val="0"/>
        <w:autoSpaceDN w:val="0"/>
        <w:adjustRightInd w:val="0"/>
        <w:spacing w:line="560" w:lineRule="exact"/>
        <w:ind w:left="420" w:firstLineChars="0" w:firstLine="0"/>
        <w:outlineLvl w:val="2"/>
        <w:rPr>
          <w:rFonts w:ascii="楷体_GB2312" w:eastAsia="楷体_GB2312"/>
          <w:b/>
          <w:color w:val="000000"/>
          <w:sz w:val="32"/>
          <w:szCs w:val="32"/>
        </w:rPr>
      </w:pPr>
      <w:r>
        <w:rPr>
          <w:rFonts w:ascii="楷体_GB2312" w:eastAsia="楷体_GB2312" w:hint="eastAsia"/>
          <w:b/>
          <w:color w:val="000000"/>
          <w:sz w:val="32"/>
          <w:szCs w:val="32"/>
        </w:rPr>
        <w:t>（三）国有资产占有使用情况</w:t>
      </w:r>
    </w:p>
    <w:p w:rsidR="00611EF0" w:rsidRDefault="00B25509">
      <w:pPr>
        <w:pStyle w:val="11"/>
        <w:autoSpaceDE w:val="0"/>
        <w:autoSpaceDN w:val="0"/>
        <w:spacing w:line="560" w:lineRule="exact"/>
        <w:ind w:left="420" w:firstLineChars="50" w:firstLine="160"/>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日，州委</w:t>
      </w:r>
      <w:r>
        <w:rPr>
          <w:rFonts w:ascii="仿宋_GB2312" w:eastAsia="仿宋_GB2312"/>
          <w:color w:val="000000"/>
          <w:sz w:val="32"/>
          <w:szCs w:val="32"/>
        </w:rPr>
        <w:t>网信办</w:t>
      </w:r>
      <w:r>
        <w:rPr>
          <w:rFonts w:ascii="仿宋_GB2312" w:eastAsia="仿宋_GB2312" w:hint="eastAsia"/>
          <w:color w:val="000000"/>
          <w:sz w:val="32"/>
          <w:szCs w:val="32"/>
        </w:rPr>
        <w:t>共有车辆2辆</w:t>
      </w:r>
      <w:r>
        <w:rPr>
          <w:rFonts w:ascii="仿宋_GB2312" w:eastAsia="仿宋_GB2312"/>
          <w:color w:val="000000"/>
          <w:sz w:val="32"/>
          <w:szCs w:val="32"/>
        </w:rPr>
        <w:t>，其</w:t>
      </w:r>
      <w:r>
        <w:rPr>
          <w:rFonts w:ascii="仿宋_GB2312" w:eastAsia="仿宋_GB2312" w:hint="eastAsia"/>
          <w:color w:val="000000"/>
          <w:sz w:val="32"/>
          <w:szCs w:val="32"/>
        </w:rPr>
        <w:t>中：</w:t>
      </w:r>
    </w:p>
    <w:p w:rsidR="00611EF0" w:rsidRDefault="00B25509">
      <w:pPr>
        <w:pStyle w:val="11"/>
        <w:autoSpaceDE w:val="0"/>
        <w:autoSpaceDN w:val="0"/>
        <w:spacing w:line="560" w:lineRule="exact"/>
        <w:ind w:firstLineChars="0" w:firstLine="0"/>
        <w:rPr>
          <w:rFonts w:ascii="仿宋_GB2312" w:eastAsia="仿宋_GB2312"/>
          <w:color w:val="000000"/>
          <w:sz w:val="32"/>
          <w:szCs w:val="32"/>
        </w:rPr>
      </w:pPr>
      <w:r>
        <w:rPr>
          <w:rFonts w:ascii="仿宋_GB2312" w:eastAsia="仿宋_GB2312" w:hint="eastAsia"/>
          <w:color w:val="000000"/>
          <w:sz w:val="32"/>
          <w:szCs w:val="32"/>
        </w:rPr>
        <w:t>应急保障2辆，单价</w:t>
      </w:r>
      <w:r>
        <w:rPr>
          <w:rFonts w:ascii="仿宋_GB2312" w:eastAsia="仿宋_GB2312"/>
          <w:color w:val="000000"/>
          <w:sz w:val="32"/>
          <w:szCs w:val="32"/>
        </w:rPr>
        <w:t>50</w:t>
      </w:r>
      <w:r>
        <w:rPr>
          <w:rFonts w:ascii="仿宋_GB2312" w:eastAsia="仿宋_GB2312" w:hint="eastAsia"/>
          <w:color w:val="000000"/>
          <w:sz w:val="32"/>
          <w:szCs w:val="32"/>
        </w:rPr>
        <w:t>万元以上通用设备2辆，单价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rsidR="00611EF0" w:rsidRDefault="00B25509">
      <w:pPr>
        <w:pStyle w:val="11"/>
        <w:autoSpaceDE w:val="0"/>
        <w:autoSpaceDN w:val="0"/>
        <w:adjustRightInd w:val="0"/>
        <w:spacing w:line="560" w:lineRule="exact"/>
        <w:ind w:left="420" w:firstLineChars="0" w:firstLine="0"/>
        <w:outlineLvl w:val="2"/>
        <w:rPr>
          <w:rFonts w:ascii="楷体_GB2312" w:eastAsia="楷体_GB2312"/>
          <w:b/>
          <w:color w:val="000000"/>
          <w:sz w:val="32"/>
          <w:szCs w:val="32"/>
        </w:rPr>
      </w:pPr>
      <w:r>
        <w:rPr>
          <w:rFonts w:ascii="楷体_GB2312" w:eastAsia="楷体_GB2312" w:hint="eastAsia"/>
          <w:b/>
          <w:color w:val="000000"/>
          <w:sz w:val="32"/>
          <w:szCs w:val="32"/>
        </w:rPr>
        <w:t>（四）预算绩效管理情况</w:t>
      </w:r>
    </w:p>
    <w:p w:rsidR="00611EF0" w:rsidRDefault="00B25509">
      <w:pPr>
        <w:spacing w:after="0" w:line="56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本单位按要求对2022年单位整体支出开展绩效自评，从评价情况来看单位预算编制基础数据真实可靠，按照年度工作计划和支出标准合理编制了单位预算，严格执行“三公”经费预算管理，严格审批、严禁超预算等行为。</w:t>
      </w:r>
    </w:p>
    <w:p w:rsidR="00611EF0" w:rsidRDefault="00B25509">
      <w:pPr>
        <w:spacing w:after="0" w:line="560" w:lineRule="exact"/>
        <w:ind w:firstLineChars="200" w:firstLine="643"/>
        <w:rPr>
          <w:rFonts w:ascii="仿宋_GB2312" w:eastAsia="仿宋_GB2312" w:cs="仿宋_GB2312"/>
          <w:b/>
          <w:bCs/>
          <w:sz w:val="32"/>
          <w:szCs w:val="32"/>
        </w:rPr>
      </w:pPr>
      <w:r>
        <w:rPr>
          <w:rFonts w:ascii="仿宋_GB2312" w:eastAsia="仿宋_GB2312" w:cs="仿宋_GB2312" w:hint="eastAsia"/>
          <w:b/>
          <w:bCs/>
          <w:sz w:val="32"/>
          <w:szCs w:val="32"/>
        </w:rPr>
        <w:t>1.项目绩效目标完成情况</w:t>
      </w:r>
    </w:p>
    <w:p w:rsidR="00611EF0" w:rsidRDefault="00B25509">
      <w:pPr>
        <w:spacing w:after="0" w:line="560" w:lineRule="exact"/>
        <w:ind w:firstLineChars="200" w:firstLine="640"/>
        <w:jc w:val="both"/>
        <w:rPr>
          <w:rFonts w:ascii="仿宋_GB2312" w:eastAsia="仿宋_GB2312"/>
          <w:sz w:val="32"/>
          <w:szCs w:val="32"/>
        </w:rPr>
      </w:pPr>
      <w:r>
        <w:rPr>
          <w:rFonts w:ascii="仿宋_GB2312" w:eastAsia="仿宋_GB2312" w:cs="仿宋_GB2312" w:hint="eastAsia"/>
          <w:sz w:val="32"/>
          <w:szCs w:val="32"/>
        </w:rPr>
        <w:t>根据预算绩效管理要求，2022年对100万元以上特定目标类项目一个，对项目编制了绩效目标。预算执行过程中，开展绩效监控，年终执行完毕后，开展了绩效目标完成情况自评。</w:t>
      </w:r>
    </w:p>
    <w:p w:rsidR="00611EF0" w:rsidRDefault="00B25509">
      <w:pPr>
        <w:spacing w:after="0" w:line="560" w:lineRule="exact"/>
        <w:ind w:firstLineChars="200" w:firstLine="643"/>
        <w:jc w:val="both"/>
        <w:rPr>
          <w:rFonts w:ascii="仿宋_GB2312" w:eastAsia="仿宋_GB2312" w:cs="仿宋_GB2312"/>
          <w:b/>
          <w:bCs/>
          <w:sz w:val="32"/>
          <w:szCs w:val="32"/>
        </w:rPr>
      </w:pPr>
      <w:r>
        <w:rPr>
          <w:rFonts w:ascii="仿宋_GB2312" w:eastAsia="仿宋_GB2312" w:cs="仿宋_GB2312" w:hint="eastAsia"/>
          <w:b/>
          <w:bCs/>
          <w:sz w:val="32"/>
          <w:szCs w:val="32"/>
        </w:rPr>
        <w:t>2.单位绩效评价结果</w:t>
      </w:r>
    </w:p>
    <w:p w:rsidR="00611EF0" w:rsidRPr="00D81CFA" w:rsidRDefault="00B25509" w:rsidP="00D81CFA">
      <w:pPr>
        <w:spacing w:after="0" w:line="56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本单位按要求对2022年单位整体支出绩效评价情况开展自评，《阿坝州委网信办2022年单位整体支出绩效评价报告》详见（附件1），《2022年网信系统技术体系建设项目评估报告》详见（附件2）。</w:t>
      </w:r>
    </w:p>
    <w:p w:rsidR="00611EF0" w:rsidRDefault="00B25509">
      <w:pPr>
        <w:spacing w:after="0" w:line="560" w:lineRule="exact"/>
        <w:ind w:firstLineChars="200" w:firstLine="880"/>
        <w:jc w:val="center"/>
        <w:rPr>
          <w:rStyle w:val="1Char"/>
          <w:rFonts w:ascii="方正小标宋简体" w:eastAsia="方正小标宋简体" w:cs="仿宋_GB2312"/>
          <w:b w:val="0"/>
          <w:bCs w:val="0"/>
          <w:kern w:val="0"/>
        </w:rPr>
      </w:pPr>
      <w:r>
        <w:rPr>
          <w:rFonts w:ascii="方正小标宋简体" w:eastAsia="方正小标宋简体" w:hint="eastAsia"/>
          <w:color w:val="000000"/>
          <w:sz w:val="44"/>
          <w:szCs w:val="44"/>
        </w:rPr>
        <w:lastRenderedPageBreak/>
        <w:t>第三部分 名</w:t>
      </w:r>
      <w:r>
        <w:rPr>
          <w:rStyle w:val="1Char"/>
          <w:rFonts w:ascii="方正小标宋简体" w:eastAsia="方正小标宋简体" w:hint="eastAsia"/>
          <w:b w:val="0"/>
          <w:bCs w:val="0"/>
        </w:rPr>
        <w:t>词解释</w:t>
      </w:r>
    </w:p>
    <w:p w:rsidR="00611EF0" w:rsidRDefault="00611EF0">
      <w:pPr>
        <w:spacing w:after="0" w:line="560" w:lineRule="exact"/>
        <w:ind w:left="480"/>
        <w:jc w:val="center"/>
        <w:outlineLvl w:val="0"/>
        <w:rPr>
          <w:rFonts w:ascii="黑体" w:eastAsia="黑体"/>
          <w:b/>
          <w:bCs/>
          <w:kern w:val="44"/>
          <w:sz w:val="44"/>
          <w:szCs w:val="44"/>
        </w:rPr>
      </w:pP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1.财政拨款收入：指单位从同级财政单位取得的财政预算资金。</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3.年初结转和结余：指以前年度尚未完成、结转到本年按有关规定继续使用的资金。</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4、年末结转和结余：指单位按有关规定结转到下年或以后年度继续使用的资金。</w:t>
      </w:r>
    </w:p>
    <w:p w:rsidR="00611EF0" w:rsidRDefault="00B2550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t>5．一般公共服务支出（类）网信事务（款）行政运行（项）：指反映行政单位（包括实行公务员管理的事业单位）的基本支出。</w:t>
      </w:r>
    </w:p>
    <w:p w:rsidR="00611EF0" w:rsidRDefault="00B2550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t>6. 一般公共服务支出（类）网信事务（款）一般行政管理事务（项）：指反映行政单位（包括实行公务员管理的事业单位）未单独设置项级科目的其他项目支出。</w:t>
      </w:r>
    </w:p>
    <w:p w:rsidR="00611EF0" w:rsidRDefault="00B2550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t>7.社会保障和就业（类）行政职业单位离退休（款）机关事业单位基本养老保险（项）:指反映机关事业单位实施养老保险制度由单位缴纳的基本养老保险费的支出，主要用于养老保险缴费。</w:t>
      </w:r>
    </w:p>
    <w:p w:rsidR="00611EF0" w:rsidRDefault="00B2550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t>8.社会保障和就业（类）行政职业单位离退休（款）机关事业单位职业年金（项）：指反映机关事业单位实施养老保险制度由单位缴纳的职业年金的支出，主要用于职业年金缴费。</w:t>
      </w:r>
    </w:p>
    <w:p w:rsidR="00611EF0" w:rsidRDefault="00B25509">
      <w:pPr>
        <w:spacing w:after="0" w:line="560" w:lineRule="exact"/>
        <w:ind w:firstLineChars="200" w:firstLine="640"/>
        <w:jc w:val="both"/>
        <w:rPr>
          <w:rFonts w:ascii="仿宋_GB2312" w:eastAsia="仿宋_GB2312" w:cs="仿宋"/>
          <w:color w:val="000000"/>
          <w:sz w:val="32"/>
          <w:szCs w:val="32"/>
        </w:rPr>
      </w:pPr>
      <w:r>
        <w:rPr>
          <w:rFonts w:ascii="仿宋_GB2312" w:eastAsia="仿宋_GB2312" w:cs="仿宋" w:hint="eastAsia"/>
          <w:color w:val="000000"/>
          <w:sz w:val="32"/>
          <w:szCs w:val="32"/>
        </w:rPr>
        <w:lastRenderedPageBreak/>
        <w:t>9.医疗卫生与计划生育（类）行政事业单位医疗（款）行政单位医疗（项）:指单位人员行政单位医疗保险支出。</w:t>
      </w:r>
    </w:p>
    <w:p w:rsidR="00611EF0" w:rsidRDefault="00B25509">
      <w:pPr>
        <w:spacing w:after="0" w:line="560" w:lineRule="exact"/>
        <w:ind w:firstLine="640"/>
        <w:jc w:val="both"/>
        <w:rPr>
          <w:rFonts w:ascii="仿宋_GB2312" w:eastAsia="仿宋_GB2312" w:cs="仿宋"/>
          <w:color w:val="000000"/>
          <w:sz w:val="32"/>
          <w:szCs w:val="32"/>
        </w:rPr>
      </w:pPr>
      <w:r>
        <w:rPr>
          <w:rFonts w:ascii="仿宋_GB2312" w:eastAsia="仿宋_GB2312" w:cs="仿宋" w:hint="eastAsia"/>
          <w:color w:val="000000"/>
          <w:sz w:val="32"/>
          <w:szCs w:val="32"/>
        </w:rPr>
        <w:t>10.住房保障（类）住房改革（款）住房公积金（项）：指行政事业单位按人力资源和社会保障部、财政部规定的基本工资和津贴补贴以及规定比例为职工缴纳的住房公积金。</w:t>
      </w:r>
    </w:p>
    <w:p w:rsidR="00611EF0" w:rsidRDefault="00B2550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11.基本支出：指为保障机构正常运转、完成日常工作任务而发生的人员支出和公用支出。</w:t>
      </w:r>
    </w:p>
    <w:p w:rsidR="00611EF0" w:rsidRDefault="00B25509">
      <w:pPr>
        <w:spacing w:after="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12.项目支出：指在基本支出之外为完成特定行政任务和事业发展目标所发生的支出。</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13.“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611EF0" w:rsidRDefault="00B2550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9" w:name="_Toc15396614"/>
      <w:bookmarkStart w:id="10" w:name="_Toc15377226"/>
    </w:p>
    <w:p w:rsidR="00611EF0" w:rsidRDefault="00611EF0">
      <w:pPr>
        <w:spacing w:after="0" w:line="560" w:lineRule="exact"/>
        <w:jc w:val="both"/>
        <w:outlineLvl w:val="0"/>
        <w:rPr>
          <w:rFonts w:ascii="方正小标宋简体" w:eastAsia="方正小标宋简体"/>
          <w:color w:val="000000"/>
          <w:sz w:val="44"/>
          <w:szCs w:val="44"/>
        </w:rPr>
      </w:pPr>
    </w:p>
    <w:p w:rsidR="00611EF0" w:rsidRDefault="00B25509">
      <w:pPr>
        <w:spacing w:after="0" w:line="560" w:lineRule="exact"/>
        <w:jc w:val="center"/>
        <w:outlineLvl w:val="0"/>
        <w:rPr>
          <w:rStyle w:val="1Char"/>
          <w:rFonts w:ascii="方正小标宋简体" w:eastAsia="方正小标宋简体"/>
          <w:b w:val="0"/>
          <w:bCs w:val="0"/>
        </w:rPr>
      </w:pPr>
      <w:r>
        <w:rPr>
          <w:rFonts w:ascii="方正小标宋简体" w:eastAsia="方正小标宋简体" w:hint="eastAsia"/>
          <w:color w:val="000000"/>
          <w:sz w:val="44"/>
          <w:szCs w:val="44"/>
        </w:rPr>
        <w:lastRenderedPageBreak/>
        <w:t>第</w:t>
      </w:r>
      <w:r>
        <w:rPr>
          <w:rStyle w:val="1Char"/>
          <w:rFonts w:ascii="方正小标宋简体" w:eastAsia="方正小标宋简体" w:hint="eastAsia"/>
          <w:b w:val="0"/>
          <w:bCs w:val="0"/>
        </w:rPr>
        <w:t>四部分 附件</w:t>
      </w:r>
      <w:bookmarkEnd w:id="9"/>
    </w:p>
    <w:p w:rsidR="00611EF0" w:rsidRDefault="00B25509">
      <w:pPr>
        <w:spacing w:line="480" w:lineRule="exact"/>
        <w:rPr>
          <w:rFonts w:ascii="方正黑体_GBK" w:eastAsia="方正黑体_GBK"/>
          <w:sz w:val="32"/>
        </w:rPr>
      </w:pPr>
      <w:r>
        <w:rPr>
          <w:rFonts w:ascii="方正黑体_GBK" w:eastAsia="方正黑体_GBK" w:hint="eastAsia"/>
          <w:sz w:val="32"/>
        </w:rPr>
        <w:t>附件1</w:t>
      </w:r>
    </w:p>
    <w:p w:rsidR="00611EF0" w:rsidRDefault="00B25509">
      <w:pPr>
        <w:spacing w:line="480" w:lineRule="exact"/>
        <w:jc w:val="center"/>
        <w:rPr>
          <w:rFonts w:ascii="方正小标宋简体" w:eastAsia="方正小标宋简体"/>
          <w:sz w:val="44"/>
          <w:szCs w:val="44"/>
        </w:rPr>
      </w:pPr>
      <w:r>
        <w:rPr>
          <w:rFonts w:ascii="方正小标宋简体" w:eastAsia="方正小标宋简体" w:hint="eastAsia"/>
          <w:sz w:val="44"/>
          <w:szCs w:val="44"/>
        </w:rPr>
        <w:t>2022年阿坝州委网信办</w:t>
      </w:r>
    </w:p>
    <w:p w:rsidR="00611EF0" w:rsidRDefault="00B25509">
      <w:pPr>
        <w:spacing w:line="480" w:lineRule="exact"/>
        <w:jc w:val="center"/>
        <w:rPr>
          <w:rFonts w:ascii="方正小标宋简体" w:eastAsia="方正小标宋简体"/>
          <w:sz w:val="44"/>
          <w:szCs w:val="44"/>
        </w:rPr>
      </w:pPr>
      <w:r>
        <w:rPr>
          <w:rFonts w:ascii="方正小标宋简体" w:eastAsia="方正小标宋简体" w:hint="eastAsia"/>
          <w:sz w:val="44"/>
          <w:szCs w:val="44"/>
        </w:rPr>
        <w:t>关于整体支出绩效评价报告</w:t>
      </w:r>
    </w:p>
    <w:p w:rsidR="00611EF0" w:rsidRDefault="00B25509">
      <w:pPr>
        <w:spacing w:after="0" w:line="560" w:lineRule="exact"/>
        <w:ind w:firstLineChars="250" w:firstLine="800"/>
        <w:jc w:val="both"/>
        <w:rPr>
          <w:rFonts w:ascii="黑体" w:eastAsia="黑体" w:cs="仿宋"/>
          <w:color w:val="000000"/>
          <w:kern w:val="2"/>
          <w:sz w:val="32"/>
          <w:szCs w:val="32"/>
        </w:rPr>
      </w:pPr>
      <w:r>
        <w:rPr>
          <w:rFonts w:ascii="黑体" w:eastAsia="黑体" w:cs="仿宋" w:hint="eastAsia"/>
          <w:color w:val="000000"/>
          <w:kern w:val="2"/>
          <w:sz w:val="32"/>
          <w:szCs w:val="32"/>
        </w:rPr>
        <w:t>一、单位慨况</w:t>
      </w:r>
    </w:p>
    <w:p w:rsidR="00611EF0" w:rsidRDefault="00B25509">
      <w:pPr>
        <w:spacing w:after="0" w:line="560" w:lineRule="exact"/>
        <w:ind w:firstLineChars="200" w:firstLine="643"/>
        <w:jc w:val="both"/>
        <w:outlineLvl w:val="0"/>
        <w:rPr>
          <w:rFonts w:ascii="楷体_GB2312" w:eastAsia="楷体_GB2312"/>
          <w:b/>
          <w:color w:val="000000"/>
          <w:kern w:val="2"/>
          <w:sz w:val="32"/>
          <w:szCs w:val="32"/>
        </w:rPr>
      </w:pPr>
      <w:r>
        <w:rPr>
          <w:rFonts w:ascii="楷体_GB2312" w:eastAsia="楷体_GB2312" w:hint="eastAsia"/>
          <w:b/>
          <w:color w:val="000000"/>
          <w:kern w:val="2"/>
          <w:sz w:val="32"/>
          <w:szCs w:val="32"/>
        </w:rPr>
        <w:t>（一）单位主要职责</w:t>
      </w:r>
    </w:p>
    <w:p w:rsidR="00611EF0" w:rsidRDefault="00B25509">
      <w:pPr>
        <w:tabs>
          <w:tab w:val="left" w:pos="7020"/>
          <w:tab w:val="left" w:pos="7740"/>
        </w:tabs>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贯彻执行党和国家的方针政策和法律法规及省委、州委的决策部署，统筹协调全州网信工作。</w:t>
      </w:r>
    </w:p>
    <w:p w:rsidR="00611EF0" w:rsidRDefault="00B25509">
      <w:pPr>
        <w:spacing w:after="0" w:line="560" w:lineRule="exact"/>
        <w:ind w:firstLineChars="200" w:firstLine="643"/>
        <w:jc w:val="both"/>
        <w:rPr>
          <w:rFonts w:ascii="楷体_GB2312" w:eastAsia="楷体_GB2312"/>
          <w:b/>
          <w:color w:val="000000"/>
          <w:kern w:val="2"/>
          <w:sz w:val="32"/>
          <w:szCs w:val="32"/>
        </w:rPr>
      </w:pPr>
      <w:r>
        <w:rPr>
          <w:rFonts w:ascii="楷体_GB2312" w:eastAsia="楷体_GB2312" w:hint="eastAsia"/>
          <w:b/>
          <w:sz w:val="32"/>
          <w:szCs w:val="32"/>
        </w:rPr>
        <w:t>（</w:t>
      </w:r>
      <w:r>
        <w:rPr>
          <w:rFonts w:ascii="楷体_GB2312" w:eastAsia="楷体_GB2312" w:hint="eastAsia"/>
          <w:b/>
          <w:color w:val="000000"/>
          <w:kern w:val="2"/>
          <w:sz w:val="32"/>
          <w:szCs w:val="32"/>
        </w:rPr>
        <w:t>二）机构组成</w:t>
      </w:r>
    </w:p>
    <w:p w:rsidR="00611EF0" w:rsidRDefault="00B2550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中共阿坝州委网信办为正县级单位。</w:t>
      </w:r>
    </w:p>
    <w:p w:rsidR="00611EF0" w:rsidRDefault="00B25509">
      <w:pPr>
        <w:spacing w:after="0" w:line="560" w:lineRule="exact"/>
        <w:ind w:firstLineChars="200" w:firstLine="640"/>
        <w:jc w:val="both"/>
        <w:rPr>
          <w:rFonts w:ascii="黑体" w:eastAsia="黑体" w:cs="仿宋"/>
          <w:color w:val="000000"/>
          <w:kern w:val="2"/>
          <w:sz w:val="32"/>
          <w:szCs w:val="32"/>
        </w:rPr>
      </w:pPr>
      <w:r>
        <w:rPr>
          <w:rFonts w:ascii="黑体" w:eastAsia="黑体" w:cs="仿宋" w:hint="eastAsia"/>
          <w:color w:val="000000"/>
          <w:kern w:val="2"/>
          <w:sz w:val="32"/>
          <w:szCs w:val="32"/>
        </w:rPr>
        <w:t>二、单位财政资金收支情况</w:t>
      </w:r>
    </w:p>
    <w:p w:rsidR="00611EF0" w:rsidRDefault="00B2550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2022年度单位财政资金总收入555.56万元；支出555.56万元。</w:t>
      </w:r>
    </w:p>
    <w:p w:rsidR="00611EF0" w:rsidRDefault="00B25509">
      <w:pPr>
        <w:spacing w:after="0" w:line="560" w:lineRule="exact"/>
        <w:ind w:firstLineChars="200" w:firstLine="640"/>
        <w:jc w:val="both"/>
        <w:rPr>
          <w:rFonts w:ascii="黑体" w:eastAsia="黑体" w:cs="仿宋"/>
          <w:color w:val="000000"/>
          <w:kern w:val="2"/>
          <w:sz w:val="32"/>
          <w:szCs w:val="32"/>
        </w:rPr>
      </w:pPr>
      <w:r>
        <w:rPr>
          <w:rFonts w:ascii="黑体" w:eastAsia="黑体" w:cs="仿宋" w:hint="eastAsia"/>
          <w:color w:val="000000"/>
          <w:kern w:val="2"/>
          <w:sz w:val="32"/>
          <w:szCs w:val="32"/>
        </w:rPr>
        <w:t>三、单位财政支出管理情况</w:t>
      </w:r>
    </w:p>
    <w:p w:rsidR="00611EF0" w:rsidRDefault="00B25509">
      <w:pPr>
        <w:spacing w:after="0" w:line="560" w:lineRule="exact"/>
        <w:ind w:firstLineChars="150" w:firstLine="482"/>
        <w:jc w:val="both"/>
        <w:rPr>
          <w:rFonts w:ascii="楷体_GB2312" w:eastAsia="楷体_GB2312"/>
          <w:b/>
          <w:sz w:val="32"/>
          <w:szCs w:val="32"/>
        </w:rPr>
      </w:pPr>
      <w:r>
        <w:rPr>
          <w:rFonts w:ascii="楷体_GB2312" w:eastAsia="楷体_GB2312" w:hint="eastAsia"/>
          <w:b/>
          <w:sz w:val="32"/>
          <w:szCs w:val="32"/>
        </w:rPr>
        <w:t>（</w:t>
      </w:r>
      <w:r>
        <w:rPr>
          <w:rFonts w:ascii="楷体_GB2312" w:eastAsia="楷体_GB2312" w:hint="eastAsia"/>
          <w:b/>
          <w:color w:val="000000"/>
          <w:kern w:val="2"/>
          <w:sz w:val="32"/>
          <w:szCs w:val="32"/>
        </w:rPr>
        <w:t>一）预算编制情况</w:t>
      </w:r>
    </w:p>
    <w:p w:rsidR="00611EF0" w:rsidRDefault="00B25509">
      <w:pPr>
        <w:spacing w:after="0" w:line="560" w:lineRule="exact"/>
        <w:ind w:firstLine="720"/>
        <w:jc w:val="both"/>
        <w:rPr>
          <w:rFonts w:ascii="仿宋_GB2312" w:eastAsia="仿宋_GB2312"/>
          <w:sz w:val="32"/>
          <w:szCs w:val="32"/>
        </w:rPr>
      </w:pPr>
      <w:r>
        <w:rPr>
          <w:rFonts w:ascii="仿宋_GB2312" w:eastAsia="仿宋_GB2312" w:hint="eastAsia"/>
          <w:sz w:val="32"/>
          <w:szCs w:val="32"/>
        </w:rPr>
        <w:t>阿坝州委网信办预算编制严格按照《预算法》来编制，编制较为及时、准确，确保预算编制的全面性和科学性。</w:t>
      </w:r>
    </w:p>
    <w:p w:rsidR="00611EF0" w:rsidRDefault="00B25509">
      <w:pPr>
        <w:spacing w:after="0" w:line="560" w:lineRule="exact"/>
        <w:ind w:firstLineChars="150" w:firstLine="482"/>
        <w:jc w:val="both"/>
        <w:rPr>
          <w:rFonts w:ascii="楷体_GB2312" w:eastAsia="楷体_GB2312"/>
          <w:b/>
          <w:sz w:val="32"/>
          <w:szCs w:val="32"/>
        </w:rPr>
      </w:pPr>
      <w:r>
        <w:rPr>
          <w:rFonts w:ascii="楷体_GB2312" w:eastAsia="楷体_GB2312" w:hint="eastAsia"/>
          <w:b/>
          <w:color w:val="000000"/>
          <w:kern w:val="2"/>
          <w:sz w:val="32"/>
          <w:szCs w:val="32"/>
        </w:rPr>
        <w:t>（二）执行管理情况</w:t>
      </w:r>
      <w:r>
        <w:rPr>
          <w:rFonts w:ascii="楷体_GB2312" w:eastAsia="楷体_GB2312" w:hint="eastAsia"/>
          <w:b/>
          <w:color w:val="000000"/>
          <w:kern w:val="2"/>
          <w:sz w:val="32"/>
          <w:szCs w:val="32"/>
        </w:rPr>
        <w:tab/>
      </w:r>
    </w:p>
    <w:p w:rsidR="00611EF0" w:rsidRDefault="00B25509">
      <w:pPr>
        <w:spacing w:after="0" w:line="560" w:lineRule="exact"/>
        <w:ind w:firstLine="720"/>
        <w:jc w:val="both"/>
        <w:rPr>
          <w:rFonts w:ascii="仿宋_GB2312" w:eastAsia="仿宋_GB2312"/>
          <w:sz w:val="32"/>
          <w:szCs w:val="32"/>
        </w:rPr>
      </w:pPr>
      <w:r>
        <w:rPr>
          <w:rFonts w:ascii="仿宋_GB2312" w:eastAsia="仿宋_GB2312" w:hint="eastAsia"/>
          <w:sz w:val="32"/>
          <w:szCs w:val="32"/>
        </w:rPr>
        <w:t>严格按照要求，切实加强单位预算支出执行管理工作，努力提高财政资金使用绩效。“三公”经费使用严格按照预算进行使用，认真贯彻落实中央和省委省政府相关规定，厉行节约，严格控制“三公”经费，2022年“三公”经费财政</w:t>
      </w:r>
      <w:r>
        <w:rPr>
          <w:rFonts w:ascii="仿宋_GB2312" w:eastAsia="仿宋_GB2312" w:hint="eastAsia"/>
          <w:sz w:val="32"/>
          <w:szCs w:val="32"/>
        </w:rPr>
        <w:lastRenderedPageBreak/>
        <w:t>拨款</w:t>
      </w:r>
      <w:r>
        <w:rPr>
          <w:rFonts w:ascii="仿宋_GB2312" w:eastAsia="仿宋_GB2312" w:hAnsi="仿宋" w:cs="宋体" w:hint="eastAsia"/>
          <w:sz w:val="32"/>
          <w:szCs w:val="32"/>
        </w:rPr>
        <w:t>支出14.24万元，其中：公务用车购置及运行维护费14.24万元，无公务接待及因公出国（境）相关支出。</w:t>
      </w:r>
    </w:p>
    <w:p w:rsidR="00611EF0" w:rsidRDefault="00B25509">
      <w:pPr>
        <w:spacing w:after="0" w:line="560" w:lineRule="exact"/>
        <w:ind w:firstLineChars="200" w:firstLine="643"/>
        <w:jc w:val="both"/>
        <w:rPr>
          <w:rFonts w:ascii="楷体_GB2312" w:eastAsia="楷体_GB2312"/>
          <w:b/>
          <w:color w:val="000000"/>
          <w:kern w:val="2"/>
          <w:sz w:val="32"/>
          <w:szCs w:val="32"/>
        </w:rPr>
      </w:pPr>
      <w:r>
        <w:rPr>
          <w:rFonts w:ascii="楷体_GB2312" w:eastAsia="楷体_GB2312" w:hint="eastAsia"/>
          <w:b/>
          <w:color w:val="000000"/>
          <w:kern w:val="2"/>
          <w:sz w:val="32"/>
          <w:szCs w:val="32"/>
        </w:rPr>
        <w:t>（三）综合管理情况</w:t>
      </w:r>
    </w:p>
    <w:p w:rsidR="00611EF0" w:rsidRDefault="00B25509">
      <w:pPr>
        <w:spacing w:after="0" w:line="560" w:lineRule="exact"/>
        <w:ind w:firstLine="720"/>
        <w:jc w:val="both"/>
        <w:rPr>
          <w:rFonts w:ascii="仿宋_GB2312" w:eastAsia="仿宋_GB2312"/>
          <w:sz w:val="32"/>
          <w:szCs w:val="32"/>
        </w:rPr>
      </w:pPr>
      <w:r>
        <w:rPr>
          <w:rFonts w:ascii="仿宋_GB2312" w:eastAsia="仿宋_GB2312" w:hint="eastAsia"/>
          <w:sz w:val="32"/>
          <w:szCs w:val="32"/>
        </w:rPr>
        <w:t>财政资金均实行财政统一管理，资金的拨入和支出会计核算及时、合规合法、审批流程齐全、附件资料完整，我办根据实际情况制定了适用于我办内部的内控制度，日常支出严格按照内控制度执行。</w:t>
      </w:r>
    </w:p>
    <w:p w:rsidR="00611EF0" w:rsidRDefault="00B25509">
      <w:pPr>
        <w:spacing w:after="0" w:line="560" w:lineRule="exact"/>
        <w:ind w:firstLineChars="200" w:firstLine="643"/>
        <w:jc w:val="both"/>
        <w:rPr>
          <w:rFonts w:ascii="楷体_GB2312" w:eastAsia="楷体_GB2312"/>
          <w:b/>
          <w:sz w:val="32"/>
          <w:szCs w:val="32"/>
        </w:rPr>
      </w:pPr>
      <w:r>
        <w:rPr>
          <w:rFonts w:ascii="楷体_GB2312" w:eastAsia="楷体_GB2312" w:hint="eastAsia"/>
          <w:b/>
          <w:color w:val="000000"/>
          <w:kern w:val="2"/>
          <w:sz w:val="32"/>
          <w:szCs w:val="32"/>
        </w:rPr>
        <w:t>（四）整体绩效</w:t>
      </w:r>
    </w:p>
    <w:p w:rsidR="00611EF0" w:rsidRDefault="00B2550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2022年基本支出252.41万元，主要用于保障机构正常运转、完成日常工作任务而发生的支出，包括人员经费和公用经费，开展日常工作。</w:t>
      </w:r>
    </w:p>
    <w:p w:rsidR="00611EF0" w:rsidRDefault="00B25509">
      <w:pPr>
        <w:tabs>
          <w:tab w:val="left" w:pos="7020"/>
          <w:tab w:val="left" w:pos="7740"/>
        </w:tabs>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2022年项目支出303.15万元，主要保障网信工作的相关支出。</w:t>
      </w:r>
    </w:p>
    <w:p w:rsidR="00611EF0" w:rsidRDefault="00B25509">
      <w:pPr>
        <w:spacing w:after="0" w:line="560" w:lineRule="exact"/>
        <w:ind w:firstLineChars="200" w:firstLine="640"/>
        <w:jc w:val="both"/>
        <w:rPr>
          <w:rFonts w:ascii="黑体" w:eastAsia="黑体" w:cs="仿宋"/>
          <w:color w:val="000000"/>
          <w:kern w:val="2"/>
          <w:sz w:val="32"/>
          <w:szCs w:val="32"/>
        </w:rPr>
      </w:pPr>
      <w:r>
        <w:rPr>
          <w:rFonts w:ascii="黑体" w:eastAsia="黑体" w:cs="仿宋" w:hint="eastAsia"/>
          <w:color w:val="000000"/>
          <w:kern w:val="2"/>
          <w:sz w:val="32"/>
          <w:szCs w:val="32"/>
        </w:rPr>
        <w:t>四、评价结论及建议</w:t>
      </w:r>
    </w:p>
    <w:p w:rsidR="00611EF0" w:rsidRDefault="00B25509">
      <w:pPr>
        <w:spacing w:after="0" w:line="560" w:lineRule="exact"/>
        <w:ind w:firstLineChars="150" w:firstLine="482"/>
        <w:jc w:val="both"/>
        <w:rPr>
          <w:rFonts w:ascii="楷体_GB2312" w:eastAsia="楷体_GB2312"/>
          <w:b/>
          <w:color w:val="000000"/>
          <w:kern w:val="2"/>
          <w:sz w:val="32"/>
          <w:szCs w:val="32"/>
        </w:rPr>
      </w:pPr>
      <w:r>
        <w:rPr>
          <w:rFonts w:ascii="楷体_GB2312" w:eastAsia="楷体_GB2312" w:hint="eastAsia"/>
          <w:b/>
          <w:color w:val="000000"/>
          <w:kern w:val="2"/>
          <w:sz w:val="32"/>
          <w:szCs w:val="32"/>
        </w:rPr>
        <w:t>（一）评价结论</w:t>
      </w:r>
    </w:p>
    <w:p w:rsidR="00611EF0" w:rsidRDefault="00B2550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t>从自评情况来看，我办支出绩效水平较高，整体上完成了年初设定的绩效目标，保障了我机关工作的正常运转</w:t>
      </w:r>
      <w:r>
        <w:rPr>
          <w:rFonts w:ascii="仿宋_GB2312" w:eastAsia="仿宋_GB2312"/>
          <w:sz w:val="32"/>
          <w:szCs w:val="32"/>
        </w:rPr>
        <w:t>，</w:t>
      </w:r>
      <w:r>
        <w:rPr>
          <w:rFonts w:ascii="仿宋_GB2312" w:eastAsia="仿宋_GB2312" w:cs="宋体" w:hint="eastAsia"/>
          <w:sz w:val="32"/>
          <w:szCs w:val="32"/>
        </w:rPr>
        <w:t>圆满的完成了2022年各项工作任务。</w:t>
      </w:r>
    </w:p>
    <w:p w:rsidR="00611EF0" w:rsidRDefault="00B25509">
      <w:pPr>
        <w:spacing w:after="0" w:line="560" w:lineRule="exact"/>
        <w:ind w:firstLineChars="150" w:firstLine="482"/>
        <w:jc w:val="both"/>
        <w:rPr>
          <w:rFonts w:ascii="楷体_GB2312" w:eastAsia="楷体_GB2312"/>
          <w:b/>
          <w:color w:val="000000"/>
          <w:kern w:val="2"/>
          <w:sz w:val="32"/>
          <w:szCs w:val="32"/>
        </w:rPr>
      </w:pPr>
      <w:r>
        <w:rPr>
          <w:rFonts w:ascii="楷体_GB2312" w:eastAsia="楷体_GB2312" w:hint="eastAsia"/>
          <w:b/>
          <w:color w:val="000000"/>
          <w:kern w:val="2"/>
          <w:sz w:val="32"/>
          <w:szCs w:val="32"/>
        </w:rPr>
        <w:t>（二） 存在问题</w:t>
      </w:r>
    </w:p>
    <w:p w:rsidR="00611EF0" w:rsidRDefault="00B25509">
      <w:pPr>
        <w:spacing w:after="0" w:line="560" w:lineRule="exact"/>
        <w:ind w:firstLine="640"/>
        <w:jc w:val="both"/>
        <w:rPr>
          <w:rFonts w:ascii="仿宋_GB2312" w:eastAsia="仿宋_GB2312"/>
          <w:sz w:val="32"/>
          <w:szCs w:val="32"/>
        </w:rPr>
      </w:pPr>
      <w:r>
        <w:rPr>
          <w:rFonts w:ascii="仿宋_GB2312" w:eastAsia="仿宋_GB2312" w:hint="eastAsia"/>
          <w:sz w:val="32"/>
          <w:szCs w:val="32"/>
        </w:rPr>
        <w:t>从绩效评价看，单位支出预算和绩效评价工作还存在部分无法用量化指标来进行考评的问题</w:t>
      </w:r>
      <w:r>
        <w:rPr>
          <w:rFonts w:ascii="仿宋_GB2312" w:eastAsia="仿宋_GB2312"/>
          <w:sz w:val="32"/>
          <w:szCs w:val="32"/>
        </w:rPr>
        <w:t>；绩效评价在目标设定上存在过于简单，不能实现多元化目标等问题。</w:t>
      </w:r>
    </w:p>
    <w:p w:rsidR="00611EF0" w:rsidRDefault="00B25509">
      <w:pPr>
        <w:spacing w:after="0" w:line="560" w:lineRule="exact"/>
        <w:ind w:firstLineChars="150" w:firstLine="482"/>
        <w:jc w:val="both"/>
        <w:rPr>
          <w:rFonts w:ascii="楷体_GB2312" w:eastAsia="楷体_GB2312"/>
          <w:b/>
          <w:color w:val="000000"/>
          <w:kern w:val="2"/>
          <w:sz w:val="32"/>
          <w:szCs w:val="32"/>
        </w:rPr>
      </w:pPr>
      <w:r>
        <w:rPr>
          <w:rFonts w:ascii="楷体_GB2312" w:eastAsia="楷体_GB2312" w:hint="eastAsia"/>
          <w:b/>
          <w:color w:val="000000"/>
          <w:kern w:val="2"/>
          <w:sz w:val="32"/>
          <w:szCs w:val="32"/>
        </w:rPr>
        <w:t>（三）改进建议</w:t>
      </w:r>
    </w:p>
    <w:p w:rsidR="00611EF0" w:rsidRDefault="00B25509">
      <w:pPr>
        <w:spacing w:after="0" w:line="560" w:lineRule="exact"/>
        <w:ind w:firstLineChars="200" w:firstLine="640"/>
        <w:jc w:val="both"/>
        <w:rPr>
          <w:rFonts w:ascii="仿宋_GB2312" w:eastAsia="仿宋_GB2312"/>
          <w:sz w:val="32"/>
          <w:szCs w:val="32"/>
        </w:rPr>
      </w:pPr>
      <w:r>
        <w:rPr>
          <w:rFonts w:ascii="仿宋_GB2312" w:eastAsia="仿宋_GB2312" w:hint="eastAsia"/>
          <w:sz w:val="32"/>
          <w:szCs w:val="32"/>
        </w:rPr>
        <w:lastRenderedPageBreak/>
        <w:t>建议加强对绩效评价工作的培训和指导，</w:t>
      </w:r>
      <w:r>
        <w:rPr>
          <w:rFonts w:ascii="仿宋_GB2312" w:eastAsia="仿宋_GB2312"/>
          <w:sz w:val="32"/>
          <w:szCs w:val="32"/>
        </w:rPr>
        <w:t>构建合理的绩效评价体系，建立健全项目支出的各项制度，</w:t>
      </w:r>
      <w:r>
        <w:rPr>
          <w:rFonts w:ascii="仿宋_GB2312" w:eastAsia="仿宋_GB2312" w:hint="eastAsia"/>
          <w:sz w:val="32"/>
          <w:szCs w:val="32"/>
        </w:rPr>
        <w:t>进一步优化绩效考核指标体系。</w:t>
      </w:r>
    </w:p>
    <w:p w:rsidR="00611EF0" w:rsidRDefault="00611EF0">
      <w:pPr>
        <w:spacing w:after="0" w:line="560" w:lineRule="exact"/>
        <w:ind w:firstLineChars="250" w:firstLine="550"/>
        <w:rPr>
          <w:rFonts w:ascii="仿宋_GB2312" w:hAnsi="仿宋_GB2312"/>
        </w:rPr>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611EF0">
      <w:pPr>
        <w:pStyle w:val="ab"/>
      </w:pPr>
    </w:p>
    <w:p w:rsidR="00611EF0" w:rsidRDefault="00B25509">
      <w:pPr>
        <w:spacing w:after="0" w:line="560" w:lineRule="exact"/>
        <w:rPr>
          <w:rFonts w:ascii="方正黑体_GBK" w:eastAsia="方正黑体_GBK"/>
          <w:sz w:val="32"/>
        </w:rPr>
      </w:pPr>
      <w:r>
        <w:rPr>
          <w:rFonts w:ascii="方正黑体_GBK" w:eastAsia="方正黑体_GBK" w:hint="eastAsia"/>
          <w:sz w:val="32"/>
        </w:rPr>
        <w:lastRenderedPageBreak/>
        <w:t>附件2</w:t>
      </w:r>
    </w:p>
    <w:p w:rsidR="00611EF0" w:rsidRDefault="00611EF0">
      <w:pPr>
        <w:pStyle w:val="ab"/>
        <w:spacing w:line="560" w:lineRule="exact"/>
      </w:pPr>
    </w:p>
    <w:p w:rsidR="00611EF0" w:rsidRDefault="00B25509">
      <w:pPr>
        <w:spacing w:after="0" w:line="560" w:lineRule="exact"/>
        <w:jc w:val="center"/>
        <w:rPr>
          <w:rFonts w:ascii="方正小标宋简体" w:eastAsia="方正小标宋简体" w:hAnsi="宋体"/>
          <w:color w:val="000000"/>
          <w:w w:val="90"/>
          <w:sz w:val="44"/>
          <w:szCs w:val="44"/>
        </w:rPr>
      </w:pPr>
      <w:r>
        <w:rPr>
          <w:rFonts w:ascii="方正小标宋简体" w:eastAsia="方正小标宋简体" w:hAnsi="宋体" w:hint="eastAsia"/>
          <w:color w:val="000000"/>
          <w:w w:val="90"/>
          <w:sz w:val="44"/>
          <w:szCs w:val="44"/>
        </w:rPr>
        <w:t>2022年网信系统技术体系建设项目评估报告</w:t>
      </w:r>
    </w:p>
    <w:p w:rsidR="00611EF0" w:rsidRDefault="00611EF0">
      <w:pPr>
        <w:spacing w:after="0" w:line="560" w:lineRule="exact"/>
        <w:rPr>
          <w:rFonts w:ascii="宋体" w:hAnsi="宋体"/>
          <w:sz w:val="32"/>
          <w:lang w:val="zh-CN"/>
        </w:rPr>
      </w:pPr>
    </w:p>
    <w:p w:rsidR="00611EF0" w:rsidRDefault="00B25509">
      <w:pPr>
        <w:spacing w:after="0" w:line="560" w:lineRule="exact"/>
        <w:ind w:firstLine="720"/>
        <w:rPr>
          <w:rFonts w:ascii="黑体" w:eastAsia="黑体" w:hAnsi="宋体"/>
          <w:sz w:val="32"/>
          <w:lang w:val="zh-CN"/>
        </w:rPr>
      </w:pPr>
      <w:r>
        <w:rPr>
          <w:rFonts w:ascii="黑体" w:eastAsia="黑体" w:hAnsi="宋体" w:hint="eastAsia"/>
          <w:sz w:val="32"/>
        </w:rPr>
        <w:t>一、</w:t>
      </w:r>
      <w:r>
        <w:rPr>
          <w:rFonts w:ascii="黑体" w:eastAsia="黑体" w:hAnsi="宋体" w:hint="eastAsia"/>
          <w:sz w:val="32"/>
          <w:lang w:val="zh-CN"/>
        </w:rPr>
        <w:t>项目概况</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（一）项目基本情况</w:t>
      </w:r>
    </w:p>
    <w:p w:rsidR="00611EF0" w:rsidRDefault="00B25509">
      <w:pPr>
        <w:spacing w:after="0" w:line="560" w:lineRule="exact"/>
        <w:ind w:firstLineChars="200" w:firstLine="640"/>
        <w:rPr>
          <w:rFonts w:ascii="仿宋_GB2312" w:eastAsia="仿宋_GB2312"/>
          <w:sz w:val="32"/>
        </w:rPr>
      </w:pPr>
      <w:r>
        <w:rPr>
          <w:rFonts w:ascii="仿宋_GB2312" w:eastAsia="仿宋_GB2312" w:hAnsi="宋体" w:hint="eastAsia"/>
          <w:sz w:val="32"/>
          <w:lang w:val="zh-CN"/>
        </w:rPr>
        <w:t>1.项目内容：</w:t>
      </w:r>
      <w:r>
        <w:rPr>
          <w:rFonts w:ascii="仿宋_GB2312" w:eastAsia="仿宋_GB2312" w:hint="eastAsia"/>
          <w:sz w:val="32"/>
        </w:rPr>
        <w:t>随着信息技术的迅猛发展和互联网普及程度的不断提升，阿坝州网信系统技术体系建设建设采取统筹兼顾、分级负责，上下联动、分步实施等方式，购买网络安全态势感知、互联信息态势感知平台服务。</w:t>
      </w:r>
    </w:p>
    <w:p w:rsidR="00611EF0" w:rsidRDefault="00B25509">
      <w:pPr>
        <w:spacing w:after="0" w:line="560" w:lineRule="exact"/>
        <w:ind w:firstLine="640"/>
        <w:rPr>
          <w:rFonts w:ascii="仿宋_GB2312" w:eastAsia="仿宋_GB2312"/>
          <w:sz w:val="32"/>
        </w:rPr>
      </w:pPr>
      <w:r>
        <w:rPr>
          <w:rFonts w:ascii="仿宋_GB2312" w:eastAsia="仿宋_GB2312" w:hint="eastAsia"/>
          <w:sz w:val="32"/>
        </w:rPr>
        <w:t>2.资金来源：申请州本级财政资金113万元。</w:t>
      </w:r>
    </w:p>
    <w:p w:rsidR="00611EF0" w:rsidRDefault="00B25509">
      <w:pPr>
        <w:spacing w:after="0" w:line="560" w:lineRule="exact"/>
        <w:ind w:firstLineChars="200" w:firstLine="640"/>
        <w:rPr>
          <w:rFonts w:ascii="仿宋_GB2312" w:eastAsia="仿宋_GB2312"/>
          <w:sz w:val="32"/>
        </w:rPr>
      </w:pPr>
      <w:r>
        <w:rPr>
          <w:rFonts w:ascii="仿宋_GB2312" w:eastAsia="仿宋_GB2312" w:hint="eastAsia"/>
          <w:sz w:val="32"/>
        </w:rPr>
        <w:t>3.资金使用范围： 2022年下达我单位州级配套资金113万元，用于阿坝州网信技术体系建设费用。该专项资金全部用于相关项目，未用于其他方面。</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（二）项目绩效目标</w:t>
      </w:r>
    </w:p>
    <w:p w:rsidR="00611EF0" w:rsidRDefault="00B25509">
      <w:pPr>
        <w:spacing w:after="0" w:line="560" w:lineRule="exact"/>
        <w:ind w:firstLine="640"/>
        <w:rPr>
          <w:rFonts w:ascii="仿宋_GB2312" w:eastAsia="仿宋_GB2312"/>
          <w:sz w:val="32"/>
        </w:rPr>
      </w:pPr>
      <w:r>
        <w:rPr>
          <w:rFonts w:ascii="仿宋_GB2312" w:eastAsia="仿宋_GB2312" w:hint="eastAsia"/>
          <w:sz w:val="32"/>
        </w:rPr>
        <w:t>提高全州网信系统技术体系，为“加强互联网内容建设，建立网络综合治理体系，营造清朗的网络空间”提供技术支撑。</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（三）项目自评步骤及方法</w:t>
      </w:r>
    </w:p>
    <w:p w:rsidR="00611EF0" w:rsidRDefault="00B25509">
      <w:pPr>
        <w:pStyle w:val="a8"/>
        <w:widowControl/>
        <w:spacing w:line="560" w:lineRule="exact"/>
        <w:ind w:firstLineChars="200" w:firstLine="640"/>
        <w:jc w:val="both"/>
        <w:rPr>
          <w:rFonts w:ascii="仿宋_GB2312" w:eastAsia="仿宋_GB2312" w:hAnsi="Tahoma" w:cs="Arial"/>
          <w:sz w:val="32"/>
          <w:szCs w:val="22"/>
        </w:rPr>
      </w:pPr>
      <w:r>
        <w:rPr>
          <w:rFonts w:ascii="仿宋_GB2312" w:eastAsia="仿宋_GB2312" w:hAnsi="Tahoma" w:cs="Arial" w:hint="eastAsia"/>
          <w:sz w:val="32"/>
          <w:szCs w:val="22"/>
        </w:rPr>
        <w:t>通过严格按照项目实施流程，对项目事前、事中、事后全过程监督，依照相关制度对项目进行专门监督、管理和验收等相关工作。</w:t>
      </w:r>
    </w:p>
    <w:p w:rsidR="00611EF0" w:rsidRDefault="00B25509">
      <w:pPr>
        <w:spacing w:after="0" w:line="560" w:lineRule="exact"/>
        <w:ind w:firstLine="720"/>
        <w:rPr>
          <w:rFonts w:ascii="黑体" w:eastAsia="黑体" w:hAnsi="宋体"/>
          <w:sz w:val="32"/>
        </w:rPr>
      </w:pPr>
      <w:r>
        <w:rPr>
          <w:rFonts w:ascii="黑体" w:eastAsia="黑体" w:hAnsi="宋体" w:hint="eastAsia"/>
          <w:sz w:val="32"/>
        </w:rPr>
        <w:t>二、项目资金申报及使用情况</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（一）项目资金申报情况</w:t>
      </w:r>
    </w:p>
    <w:p w:rsidR="00611EF0" w:rsidRDefault="00B25509">
      <w:pPr>
        <w:spacing w:after="0" w:line="560" w:lineRule="exact"/>
        <w:ind w:firstLine="640"/>
        <w:rPr>
          <w:rFonts w:ascii="仿宋_GB2312" w:eastAsia="仿宋_GB2312"/>
          <w:sz w:val="32"/>
        </w:rPr>
      </w:pPr>
      <w:r>
        <w:rPr>
          <w:rFonts w:ascii="仿宋_GB2312" w:eastAsia="仿宋_GB2312" w:hint="eastAsia"/>
          <w:sz w:val="32"/>
        </w:rPr>
        <w:lastRenderedPageBreak/>
        <w:t>项目资金申报：州本级财政资金113万元。</w:t>
      </w:r>
    </w:p>
    <w:p w:rsidR="00611EF0" w:rsidRDefault="00B25509">
      <w:pPr>
        <w:spacing w:after="0" w:line="560" w:lineRule="exact"/>
        <w:ind w:firstLine="640"/>
        <w:rPr>
          <w:rFonts w:ascii="楷体_GB2312" w:eastAsia="楷体_GB2312" w:hAnsi="宋体"/>
          <w:sz w:val="32"/>
          <w:lang w:val="zh-CN"/>
        </w:rPr>
      </w:pPr>
      <w:r>
        <w:rPr>
          <w:rFonts w:ascii="楷体_GB2312" w:eastAsia="楷体_GB2312" w:hAnsi="宋体" w:hint="eastAsia"/>
          <w:sz w:val="32"/>
          <w:lang w:val="zh-CN"/>
        </w:rPr>
        <w:t>（二）资金计划、到位及使用情况</w:t>
      </w:r>
    </w:p>
    <w:p w:rsidR="00611EF0" w:rsidRDefault="00B25509">
      <w:pPr>
        <w:spacing w:after="0" w:line="560" w:lineRule="exact"/>
        <w:ind w:firstLine="720"/>
        <w:rPr>
          <w:rFonts w:ascii="仿宋_GB2312" w:hAnsi="宋体"/>
          <w:sz w:val="32"/>
          <w:lang w:val="zh-CN"/>
        </w:rPr>
      </w:pPr>
      <w:r>
        <w:rPr>
          <w:rFonts w:ascii="楷体_GB2312" w:eastAsia="楷体_GB2312" w:hAnsi="宋体" w:hint="eastAsia"/>
          <w:sz w:val="32"/>
          <w:lang w:val="zh-CN"/>
        </w:rPr>
        <w:t>1.资金计划</w:t>
      </w:r>
    </w:p>
    <w:p w:rsidR="00611EF0" w:rsidRDefault="00B25509">
      <w:pPr>
        <w:spacing w:after="0" w:line="560" w:lineRule="exact"/>
        <w:ind w:firstLine="640"/>
        <w:rPr>
          <w:rFonts w:ascii="仿宋_GB2312" w:eastAsia="仿宋_GB2312"/>
          <w:sz w:val="32"/>
        </w:rPr>
      </w:pPr>
      <w:r>
        <w:rPr>
          <w:rFonts w:ascii="仿宋_GB2312" w:eastAsia="仿宋_GB2312" w:hint="eastAsia"/>
          <w:sz w:val="32"/>
        </w:rPr>
        <w:t>网信系统技术体系建设专项费用。</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2.资金到位</w:t>
      </w:r>
    </w:p>
    <w:p w:rsidR="00611EF0" w:rsidRDefault="00B25509">
      <w:pPr>
        <w:spacing w:after="0" w:line="560" w:lineRule="exact"/>
        <w:ind w:firstLine="640"/>
        <w:rPr>
          <w:rFonts w:ascii="仿宋_GB2312" w:eastAsia="仿宋_GB2312"/>
          <w:sz w:val="32"/>
        </w:rPr>
      </w:pPr>
      <w:r>
        <w:rPr>
          <w:rFonts w:ascii="仿宋_GB2312" w:eastAsia="仿宋_GB2312" w:hint="eastAsia"/>
          <w:sz w:val="32"/>
          <w:lang w:val="zh-CN"/>
        </w:rPr>
        <w:t>2022年年初预算下达</w:t>
      </w:r>
      <w:r>
        <w:rPr>
          <w:rFonts w:ascii="仿宋_GB2312" w:eastAsia="仿宋_GB2312" w:hint="eastAsia"/>
          <w:sz w:val="32"/>
        </w:rPr>
        <w:t>网信系统技术体系建设经费113万元。</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3.资金使用</w:t>
      </w:r>
    </w:p>
    <w:p w:rsidR="00611EF0" w:rsidRDefault="00B25509">
      <w:pPr>
        <w:spacing w:after="0" w:line="560" w:lineRule="exact"/>
        <w:ind w:firstLine="640"/>
        <w:rPr>
          <w:rFonts w:ascii="仿宋_GB2312" w:eastAsia="仿宋_GB2312"/>
          <w:sz w:val="32"/>
          <w:lang w:val="zh-CN"/>
        </w:rPr>
      </w:pPr>
      <w:r>
        <w:rPr>
          <w:rFonts w:ascii="仿宋_GB2312" w:eastAsia="仿宋_GB2312" w:hint="eastAsia"/>
          <w:sz w:val="32"/>
          <w:lang w:val="zh-CN"/>
        </w:rPr>
        <w:t>按照专款专用的原则，于2022年8月完成拨付。</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（三）项目财务管理情况</w:t>
      </w:r>
    </w:p>
    <w:p w:rsidR="00611EF0" w:rsidRDefault="00B25509">
      <w:pPr>
        <w:spacing w:after="0" w:line="560" w:lineRule="exact"/>
        <w:ind w:firstLineChars="250" w:firstLine="800"/>
        <w:rPr>
          <w:rFonts w:eastAsia="方正仿宋_GBK"/>
          <w:sz w:val="32"/>
        </w:rPr>
      </w:pPr>
      <w:r>
        <w:rPr>
          <w:rFonts w:eastAsia="方正仿宋_GBK" w:hint="eastAsia"/>
          <w:sz w:val="32"/>
        </w:rPr>
        <w:t>网信系统技术体系建设项目财务管理制度健全，严格执行财务管理制度，账务处理及时，会计核算规范。</w:t>
      </w:r>
    </w:p>
    <w:p w:rsidR="00611EF0" w:rsidRDefault="00B25509">
      <w:pPr>
        <w:spacing w:after="0" w:line="560" w:lineRule="exact"/>
        <w:ind w:firstLine="720"/>
        <w:rPr>
          <w:rFonts w:ascii="黑体" w:eastAsia="黑体" w:hAnsi="宋体"/>
          <w:sz w:val="32"/>
        </w:rPr>
      </w:pPr>
      <w:r>
        <w:rPr>
          <w:rFonts w:ascii="黑体" w:eastAsia="黑体" w:hAnsi="宋体" w:hint="eastAsia"/>
          <w:sz w:val="32"/>
        </w:rPr>
        <w:t>三、项目实施及管理情况</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（一）项目管理</w:t>
      </w:r>
    </w:p>
    <w:p w:rsidR="00611EF0" w:rsidRDefault="00B25509">
      <w:pPr>
        <w:spacing w:after="0" w:line="560" w:lineRule="exact"/>
        <w:ind w:firstLine="640"/>
        <w:rPr>
          <w:rFonts w:ascii="仿宋_GB2312" w:eastAsia="仿宋_GB2312"/>
          <w:sz w:val="32"/>
          <w:lang w:val="zh-CN"/>
        </w:rPr>
      </w:pPr>
      <w:r>
        <w:rPr>
          <w:rFonts w:ascii="仿宋_GB2312" w:eastAsia="仿宋_GB2312" w:hint="eastAsia"/>
          <w:sz w:val="32"/>
          <w:lang w:val="zh-CN"/>
        </w:rPr>
        <w:t>资金分配情况：资金分配合理，不存在虚报项目套取财政资金和不符合申报条件的情况。</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（二）资金使用</w:t>
      </w:r>
    </w:p>
    <w:p w:rsidR="00611EF0" w:rsidRDefault="00B25509">
      <w:pPr>
        <w:spacing w:after="0" w:line="560" w:lineRule="exact"/>
        <w:ind w:firstLineChars="200" w:firstLine="640"/>
        <w:rPr>
          <w:rFonts w:eastAsia="方正仿宋_GBK"/>
          <w:sz w:val="32"/>
        </w:rPr>
      </w:pPr>
      <w:r>
        <w:rPr>
          <w:rFonts w:eastAsia="方正仿宋_GBK" w:hint="eastAsia"/>
          <w:sz w:val="32"/>
        </w:rPr>
        <w:t>资金使用情况：项目资金使用管理科学合理、分配要素设定及测算依据选取等科学合理。</w:t>
      </w:r>
    </w:p>
    <w:p w:rsidR="00611EF0" w:rsidRDefault="00B25509">
      <w:pPr>
        <w:spacing w:after="0" w:line="560" w:lineRule="exact"/>
        <w:ind w:firstLineChars="200" w:firstLine="640"/>
        <w:rPr>
          <w:rFonts w:ascii="仿宋_GB2312" w:hAnsi="宋体"/>
          <w:sz w:val="32"/>
          <w:lang w:val="zh-CN"/>
        </w:rPr>
      </w:pPr>
      <w:r>
        <w:rPr>
          <w:rFonts w:ascii="黑体" w:eastAsia="黑体" w:hAnsi="宋体" w:hint="eastAsia"/>
          <w:sz w:val="32"/>
        </w:rPr>
        <w:t>四、项目绩效情况</w:t>
      </w:r>
      <w:r>
        <w:rPr>
          <w:rFonts w:ascii="仿宋_GB2312" w:hAnsi="宋体" w:hint="eastAsia"/>
          <w:sz w:val="32"/>
          <w:lang w:val="zh-CN"/>
        </w:rPr>
        <w:tab/>
      </w:r>
    </w:p>
    <w:p w:rsidR="00611EF0" w:rsidRDefault="00B25509">
      <w:pPr>
        <w:spacing w:after="0" w:line="560" w:lineRule="exact"/>
        <w:ind w:firstLine="640"/>
        <w:rPr>
          <w:rFonts w:ascii="仿宋_GB2312" w:eastAsia="仿宋_GB2312"/>
          <w:sz w:val="32"/>
          <w:lang w:val="zh-CN"/>
        </w:rPr>
      </w:pPr>
      <w:r>
        <w:rPr>
          <w:rFonts w:ascii="仿宋_GB2312" w:eastAsia="仿宋_GB2312" w:hint="eastAsia"/>
          <w:sz w:val="32"/>
          <w:lang w:val="zh-CN"/>
        </w:rPr>
        <w:t>网信系统技术体系建设坚持技术先进性、前瞻性，以适应网络安全和信息化的发展趋势。能够对各种系统内信号，网络资源和相关资讯进行智能化管理，并通过网络通信技术</w:t>
      </w:r>
      <w:r>
        <w:rPr>
          <w:rFonts w:ascii="仿宋_GB2312" w:eastAsia="仿宋_GB2312" w:hint="eastAsia"/>
          <w:sz w:val="32"/>
          <w:lang w:val="zh-CN"/>
        </w:rPr>
        <w:lastRenderedPageBreak/>
        <w:t>实现应急状态下网络信息、网络安全等的调控、指挥、调度等工作。</w:t>
      </w:r>
    </w:p>
    <w:p w:rsidR="00611EF0" w:rsidRDefault="00B25509">
      <w:pPr>
        <w:spacing w:after="0" w:line="560" w:lineRule="exact"/>
        <w:ind w:firstLine="720"/>
        <w:rPr>
          <w:rFonts w:ascii="黑体" w:eastAsia="黑体" w:hAnsi="宋体"/>
          <w:sz w:val="32"/>
        </w:rPr>
      </w:pPr>
      <w:r>
        <w:rPr>
          <w:rFonts w:ascii="黑体" w:eastAsia="黑体" w:hAnsi="宋体" w:hint="eastAsia"/>
          <w:sz w:val="32"/>
        </w:rPr>
        <w:t>五、评价结论及建议</w:t>
      </w:r>
    </w:p>
    <w:p w:rsidR="00611EF0" w:rsidRDefault="00B25509">
      <w:pPr>
        <w:spacing w:after="0" w:line="560" w:lineRule="exact"/>
        <w:ind w:firstLine="720"/>
        <w:rPr>
          <w:rFonts w:ascii="楷体_GB2312" w:eastAsia="楷体_GB2312" w:hAnsi="楷体_GB2312" w:cs="楷体_GB2312"/>
          <w:sz w:val="32"/>
          <w:lang w:val="zh-CN"/>
        </w:rPr>
      </w:pPr>
      <w:r>
        <w:rPr>
          <w:rFonts w:ascii="楷体_GB2312" w:eastAsia="楷体_GB2312" w:hAnsi="楷体_GB2312" w:cs="楷体_GB2312" w:hint="eastAsia"/>
          <w:sz w:val="32"/>
          <w:lang w:val="zh-CN"/>
        </w:rPr>
        <w:t>（一）评价结论</w:t>
      </w:r>
    </w:p>
    <w:p w:rsidR="00611EF0" w:rsidRDefault="00B25509">
      <w:pPr>
        <w:spacing w:after="0" w:line="560" w:lineRule="exact"/>
        <w:ind w:firstLine="640"/>
        <w:rPr>
          <w:rFonts w:ascii="仿宋_GB2312" w:eastAsia="仿宋_GB2312"/>
          <w:sz w:val="32"/>
          <w:lang w:val="zh-CN"/>
        </w:rPr>
      </w:pPr>
      <w:r>
        <w:rPr>
          <w:rFonts w:ascii="仿宋_GB2312" w:eastAsia="仿宋_GB2312" w:hint="eastAsia"/>
          <w:sz w:val="32"/>
          <w:lang w:val="zh-CN"/>
        </w:rPr>
        <w:t>网信系统技术体系项目的建设，进一步强化技术管网能力，建立互联网信息监测分析等平台，畅通省州县三级指挥体系，对维护全州社会稳定有着重要的支撑作用。不断提高了网络信息发现力、研判力、处置力。</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（二）存在的问题</w:t>
      </w:r>
    </w:p>
    <w:p w:rsidR="00611EF0" w:rsidRDefault="00B25509">
      <w:pPr>
        <w:spacing w:after="0" w:line="560" w:lineRule="exact"/>
        <w:ind w:firstLine="640"/>
        <w:rPr>
          <w:rFonts w:ascii="仿宋_GB2312" w:eastAsia="仿宋_GB2312"/>
          <w:sz w:val="32"/>
          <w:lang w:val="zh-CN"/>
        </w:rPr>
      </w:pPr>
      <w:r>
        <w:rPr>
          <w:rFonts w:ascii="仿宋_GB2312" w:eastAsia="仿宋_GB2312" w:hint="eastAsia"/>
          <w:sz w:val="32"/>
          <w:lang w:val="zh-CN"/>
        </w:rPr>
        <w:t>1.项目预算编制精准性有待提高；</w:t>
      </w:r>
    </w:p>
    <w:p w:rsidR="00611EF0" w:rsidRDefault="00B25509">
      <w:pPr>
        <w:spacing w:after="0" w:line="560" w:lineRule="exact"/>
        <w:ind w:firstLine="640"/>
        <w:rPr>
          <w:rFonts w:ascii="仿宋_GB2312" w:eastAsia="仿宋_GB2312"/>
          <w:sz w:val="32"/>
          <w:lang w:val="zh-CN"/>
        </w:rPr>
      </w:pPr>
      <w:r>
        <w:rPr>
          <w:rFonts w:ascii="仿宋_GB2312" w:eastAsia="仿宋_GB2312" w:hint="eastAsia"/>
          <w:sz w:val="32"/>
          <w:lang w:val="zh-CN"/>
        </w:rPr>
        <w:t>2.项目预算执行力有待加强。</w:t>
      </w:r>
    </w:p>
    <w:p w:rsidR="00611EF0" w:rsidRDefault="00B25509">
      <w:pPr>
        <w:spacing w:after="0" w:line="560" w:lineRule="exact"/>
        <w:ind w:firstLine="720"/>
        <w:rPr>
          <w:rFonts w:ascii="楷体_GB2312" w:eastAsia="楷体_GB2312" w:hAnsi="宋体"/>
          <w:sz w:val="32"/>
          <w:lang w:val="zh-CN"/>
        </w:rPr>
      </w:pPr>
      <w:r>
        <w:rPr>
          <w:rFonts w:ascii="楷体_GB2312" w:eastAsia="楷体_GB2312" w:hAnsi="宋体" w:hint="eastAsia"/>
          <w:sz w:val="32"/>
          <w:lang w:val="zh-CN"/>
        </w:rPr>
        <w:t>（三）相关措施建议</w:t>
      </w:r>
    </w:p>
    <w:p w:rsidR="00611EF0" w:rsidRDefault="00B25509">
      <w:pPr>
        <w:spacing w:after="0" w:line="560" w:lineRule="exact"/>
        <w:jc w:val="both"/>
        <w:rPr>
          <w:rFonts w:ascii="仿宋_GB2312" w:eastAsia="仿宋_GB2312"/>
          <w:sz w:val="32"/>
          <w:lang w:val="zh-CN"/>
        </w:rPr>
      </w:pPr>
      <w:r>
        <w:rPr>
          <w:rFonts w:ascii="方正仿宋_GBK" w:eastAsia="方正仿宋_GBK" w:hAnsi="方正仿宋_GBK" w:cs="方正仿宋_GBK" w:hint="eastAsia"/>
          <w:sz w:val="32"/>
          <w:lang w:val="zh-CN"/>
        </w:rPr>
        <w:t xml:space="preserve">    </w:t>
      </w:r>
      <w:r>
        <w:rPr>
          <w:rFonts w:ascii="仿宋_GB2312" w:eastAsia="仿宋_GB2312" w:hint="eastAsia"/>
          <w:sz w:val="32"/>
          <w:lang w:val="zh-CN"/>
        </w:rPr>
        <w:t xml:space="preserve"> 通过此次项目绩效自评，我办较好的的完成了2022年网信系统技术体系项目年初既定绩效目标。建议财政部门进一步加强绩效评价相关工作的业务培训，组织相关单位人员学习交流相关经验及工作方法。</w:t>
      </w:r>
    </w:p>
    <w:p w:rsidR="00611EF0" w:rsidRDefault="00611EF0">
      <w:pPr>
        <w:pStyle w:val="ab"/>
      </w:pPr>
    </w:p>
    <w:p w:rsidR="00611EF0" w:rsidRDefault="00611EF0">
      <w:pPr>
        <w:spacing w:after="0" w:line="560" w:lineRule="exact"/>
        <w:ind w:firstLineChars="250" w:firstLine="800"/>
        <w:jc w:val="both"/>
        <w:rPr>
          <w:rFonts w:ascii="仿宋_GB2312" w:eastAsia="仿宋_GB2312"/>
          <w:sz w:val="32"/>
          <w:szCs w:val="32"/>
        </w:rPr>
      </w:pPr>
    </w:p>
    <w:p w:rsidR="00611EF0" w:rsidRDefault="00611EF0">
      <w:pPr>
        <w:spacing w:after="0" w:line="560" w:lineRule="exact"/>
        <w:ind w:firstLineChars="250" w:firstLine="800"/>
        <w:jc w:val="both"/>
        <w:rPr>
          <w:rFonts w:ascii="仿宋_GB2312" w:eastAsia="仿宋_GB2312"/>
          <w:sz w:val="32"/>
          <w:szCs w:val="32"/>
        </w:rPr>
      </w:pPr>
    </w:p>
    <w:p w:rsidR="00611EF0" w:rsidRDefault="00611EF0">
      <w:pPr>
        <w:spacing w:after="0" w:line="560" w:lineRule="exact"/>
        <w:ind w:firstLineChars="250" w:firstLine="800"/>
        <w:jc w:val="both"/>
        <w:rPr>
          <w:rFonts w:ascii="仿宋_GB2312" w:eastAsia="仿宋_GB2312"/>
          <w:sz w:val="32"/>
          <w:szCs w:val="32"/>
        </w:rPr>
      </w:pPr>
    </w:p>
    <w:p w:rsidR="00611EF0" w:rsidRDefault="00611EF0">
      <w:pPr>
        <w:spacing w:after="0" w:line="560" w:lineRule="exact"/>
        <w:ind w:firstLineChars="250" w:firstLine="800"/>
        <w:jc w:val="both"/>
        <w:rPr>
          <w:rFonts w:ascii="仿宋_GB2312" w:eastAsia="仿宋_GB2312"/>
          <w:sz w:val="32"/>
          <w:szCs w:val="32"/>
        </w:rPr>
      </w:pPr>
    </w:p>
    <w:p w:rsidR="00611EF0" w:rsidRDefault="00611EF0">
      <w:pPr>
        <w:spacing w:after="0" w:line="560" w:lineRule="exact"/>
        <w:jc w:val="both"/>
        <w:outlineLvl w:val="0"/>
        <w:rPr>
          <w:rFonts w:ascii="方正小标宋简体" w:eastAsia="方正小标宋简体"/>
          <w:color w:val="000000"/>
          <w:sz w:val="44"/>
          <w:szCs w:val="44"/>
        </w:rPr>
      </w:pPr>
      <w:bookmarkStart w:id="11" w:name="_Toc15396618"/>
    </w:p>
    <w:p w:rsidR="00611EF0" w:rsidRDefault="00611EF0">
      <w:pPr>
        <w:spacing w:after="0" w:line="560" w:lineRule="exact"/>
        <w:jc w:val="center"/>
        <w:outlineLvl w:val="0"/>
        <w:rPr>
          <w:rFonts w:ascii="方正小标宋简体" w:eastAsia="方正小标宋简体"/>
          <w:color w:val="000000"/>
          <w:sz w:val="44"/>
          <w:szCs w:val="44"/>
        </w:rPr>
      </w:pPr>
    </w:p>
    <w:p w:rsidR="00611EF0" w:rsidRDefault="00611EF0">
      <w:pPr>
        <w:spacing w:after="0" w:line="560" w:lineRule="exact"/>
        <w:jc w:val="center"/>
        <w:outlineLvl w:val="0"/>
        <w:rPr>
          <w:rFonts w:ascii="方正小标宋简体" w:eastAsia="方正小标宋简体"/>
          <w:color w:val="000000"/>
          <w:sz w:val="44"/>
          <w:szCs w:val="44"/>
        </w:rPr>
      </w:pPr>
    </w:p>
    <w:p w:rsidR="00611EF0" w:rsidRDefault="00611EF0">
      <w:pPr>
        <w:spacing w:after="0" w:line="560" w:lineRule="exact"/>
        <w:jc w:val="center"/>
        <w:outlineLvl w:val="0"/>
        <w:rPr>
          <w:rFonts w:ascii="方正小标宋简体" w:eastAsia="方正小标宋简体"/>
          <w:color w:val="000000"/>
          <w:sz w:val="44"/>
          <w:szCs w:val="44"/>
        </w:rPr>
      </w:pPr>
    </w:p>
    <w:p w:rsidR="00611EF0" w:rsidRDefault="00B25509">
      <w:pPr>
        <w:spacing w:after="0" w:line="560" w:lineRule="exact"/>
        <w:jc w:val="center"/>
        <w:outlineLvl w:val="0"/>
        <w:rPr>
          <w:rStyle w:val="1Char"/>
          <w:rFonts w:ascii="方正小标宋简体" w:eastAsia="方正小标宋简体"/>
          <w:b w:val="0"/>
          <w:bCs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bCs w:val="0"/>
        </w:rPr>
        <w:t>五部分 附表</w:t>
      </w:r>
      <w:bookmarkEnd w:id="10"/>
      <w:bookmarkEnd w:id="11"/>
    </w:p>
    <w:p w:rsidR="00611EF0" w:rsidRDefault="00611EF0">
      <w:pPr>
        <w:spacing w:after="0" w:line="560" w:lineRule="exact"/>
        <w:jc w:val="both"/>
        <w:outlineLvl w:val="0"/>
        <w:rPr>
          <w:rFonts w:ascii="仿宋" w:eastAsia="仿宋"/>
          <w:b/>
          <w:color w:val="000000"/>
          <w:sz w:val="44"/>
          <w:szCs w:val="44"/>
        </w:rPr>
      </w:pPr>
    </w:p>
    <w:p w:rsidR="00BD72CF" w:rsidRPr="00246C1C" w:rsidRDefault="00BD72CF" w:rsidP="00BD72CF">
      <w:pPr>
        <w:pStyle w:val="2"/>
        <w:spacing w:before="0" w:after="0" w:line="560" w:lineRule="exact"/>
        <w:rPr>
          <w:rFonts w:ascii="仿宋_GB2312" w:eastAsia="仿宋_GB2312"/>
          <w:b w:val="0"/>
          <w:color w:val="000000"/>
        </w:rPr>
      </w:pPr>
      <w:bookmarkStart w:id="12" w:name="_Toc15396619"/>
      <w:r w:rsidRPr="00246C1C">
        <w:rPr>
          <w:rFonts w:ascii="仿宋_GB2312" w:eastAsia="仿宋_GB2312" w:hint="eastAsia"/>
          <w:b w:val="0"/>
          <w:color w:val="000000"/>
        </w:rPr>
        <w:t>一、收</w:t>
      </w:r>
      <w:r w:rsidRPr="00246C1C">
        <w:rPr>
          <w:rStyle w:val="2Char"/>
          <w:rFonts w:ascii="仿宋_GB2312" w:eastAsia="仿宋_GB2312" w:hint="eastAsia"/>
        </w:rPr>
        <w:t>入支出决算总表</w:t>
      </w:r>
      <w:bookmarkEnd w:id="12"/>
    </w:p>
    <w:p w:rsidR="00BD72CF" w:rsidRPr="00246C1C" w:rsidRDefault="00BD72CF" w:rsidP="00BD72CF">
      <w:pPr>
        <w:pStyle w:val="2"/>
        <w:spacing w:before="0" w:after="0" w:line="560" w:lineRule="exact"/>
        <w:rPr>
          <w:rFonts w:ascii="仿宋_GB2312" w:eastAsia="仿宋_GB2312"/>
          <w:b w:val="0"/>
          <w:color w:val="000000"/>
        </w:rPr>
      </w:pPr>
      <w:bookmarkStart w:id="13" w:name="_Toc15396620"/>
      <w:r w:rsidRPr="00246C1C">
        <w:rPr>
          <w:rFonts w:ascii="仿宋_GB2312" w:eastAsia="仿宋_GB2312" w:hint="eastAsia"/>
          <w:b w:val="0"/>
          <w:color w:val="000000"/>
        </w:rPr>
        <w:t>二、收</w:t>
      </w:r>
      <w:r w:rsidRPr="00246C1C">
        <w:rPr>
          <w:rStyle w:val="2Char"/>
          <w:rFonts w:ascii="仿宋_GB2312" w:eastAsia="仿宋_GB2312" w:hint="eastAsia"/>
        </w:rPr>
        <w:t>入决算表</w:t>
      </w:r>
      <w:bookmarkEnd w:id="13"/>
    </w:p>
    <w:p w:rsidR="00BD72CF" w:rsidRPr="00246C1C" w:rsidRDefault="00BD72CF" w:rsidP="00BD72CF">
      <w:pPr>
        <w:pStyle w:val="2"/>
        <w:spacing w:before="0" w:after="0" w:line="560" w:lineRule="exact"/>
        <w:rPr>
          <w:rFonts w:ascii="仿宋_GB2312" w:eastAsia="仿宋_GB2312"/>
          <w:b w:val="0"/>
          <w:color w:val="000000"/>
        </w:rPr>
      </w:pPr>
      <w:bookmarkStart w:id="14" w:name="_Toc15396621"/>
      <w:r w:rsidRPr="00246C1C">
        <w:rPr>
          <w:rStyle w:val="2Char"/>
          <w:rFonts w:ascii="仿宋_GB2312" w:eastAsia="仿宋_GB2312" w:hint="eastAsia"/>
        </w:rPr>
        <w:t>三、</w:t>
      </w:r>
      <w:r w:rsidRPr="00246C1C">
        <w:rPr>
          <w:rFonts w:ascii="仿宋_GB2312" w:eastAsia="仿宋_GB2312" w:hint="eastAsia"/>
          <w:b w:val="0"/>
          <w:color w:val="000000"/>
        </w:rPr>
        <w:t>支</w:t>
      </w:r>
      <w:r w:rsidRPr="00246C1C">
        <w:rPr>
          <w:rStyle w:val="2Char"/>
          <w:rFonts w:ascii="仿宋_GB2312" w:eastAsia="仿宋_GB2312" w:hint="eastAsia"/>
        </w:rPr>
        <w:t>出决算表</w:t>
      </w:r>
      <w:bookmarkEnd w:id="14"/>
    </w:p>
    <w:p w:rsidR="00BD72CF" w:rsidRPr="00246C1C" w:rsidRDefault="00BD72CF" w:rsidP="00BD72CF">
      <w:pPr>
        <w:pStyle w:val="2"/>
        <w:spacing w:before="0" w:after="0" w:line="560" w:lineRule="exact"/>
        <w:rPr>
          <w:rFonts w:ascii="仿宋_GB2312" w:eastAsia="仿宋_GB2312"/>
          <w:b w:val="0"/>
          <w:color w:val="000000"/>
        </w:rPr>
      </w:pPr>
      <w:bookmarkStart w:id="15" w:name="_Toc15396622"/>
      <w:r w:rsidRPr="00246C1C">
        <w:rPr>
          <w:rStyle w:val="2Char"/>
          <w:rFonts w:ascii="仿宋_GB2312" w:eastAsia="仿宋_GB2312" w:hint="eastAsia"/>
        </w:rPr>
        <w:t>四、</w:t>
      </w:r>
      <w:r w:rsidRPr="00246C1C">
        <w:rPr>
          <w:rFonts w:ascii="仿宋_GB2312" w:eastAsia="仿宋_GB2312" w:hint="eastAsia"/>
          <w:b w:val="0"/>
          <w:color w:val="000000"/>
        </w:rPr>
        <w:t>财</w:t>
      </w:r>
      <w:r w:rsidRPr="00246C1C">
        <w:rPr>
          <w:rStyle w:val="2Char"/>
          <w:rFonts w:ascii="仿宋_GB2312" w:eastAsia="仿宋_GB2312" w:hint="eastAsia"/>
        </w:rPr>
        <w:t>政拨款收入支出决算总表</w:t>
      </w:r>
      <w:bookmarkEnd w:id="15"/>
    </w:p>
    <w:p w:rsidR="00BD72CF" w:rsidRPr="00246C1C" w:rsidRDefault="00BD72CF" w:rsidP="00BD72CF">
      <w:pPr>
        <w:pStyle w:val="2"/>
        <w:spacing w:before="0" w:after="0" w:line="560" w:lineRule="exact"/>
        <w:rPr>
          <w:rStyle w:val="2Char"/>
          <w:rFonts w:ascii="仿宋_GB2312" w:eastAsia="仿宋_GB2312"/>
        </w:rPr>
      </w:pPr>
      <w:bookmarkStart w:id="16" w:name="_Toc15396623"/>
      <w:r w:rsidRPr="00246C1C">
        <w:rPr>
          <w:rStyle w:val="2Char"/>
          <w:rFonts w:ascii="仿宋_GB2312" w:eastAsia="仿宋_GB2312" w:hint="eastAsia"/>
        </w:rPr>
        <w:t>五、</w:t>
      </w:r>
      <w:r w:rsidRPr="00246C1C">
        <w:rPr>
          <w:rFonts w:ascii="仿宋_GB2312" w:eastAsia="仿宋_GB2312" w:hint="eastAsia"/>
          <w:b w:val="0"/>
          <w:color w:val="000000"/>
        </w:rPr>
        <w:t>财</w:t>
      </w:r>
      <w:r w:rsidRPr="00246C1C">
        <w:rPr>
          <w:rStyle w:val="2Char"/>
          <w:rFonts w:ascii="仿宋_GB2312" w:eastAsia="仿宋_GB2312" w:hint="eastAsia"/>
        </w:rPr>
        <w:t>政拨款支出决算明细表</w:t>
      </w:r>
      <w:bookmarkStart w:id="17" w:name="_Toc15396624"/>
      <w:bookmarkEnd w:id="16"/>
    </w:p>
    <w:p w:rsidR="00BD72CF" w:rsidRPr="00246C1C" w:rsidRDefault="00BD72CF" w:rsidP="00BD72CF">
      <w:pPr>
        <w:pStyle w:val="2"/>
        <w:spacing w:before="0" w:after="0" w:line="560" w:lineRule="exact"/>
        <w:rPr>
          <w:rFonts w:ascii="仿宋_GB2312" w:eastAsia="仿宋_GB2312"/>
          <w:b w:val="0"/>
          <w:color w:val="000000"/>
        </w:rPr>
      </w:pPr>
      <w:r w:rsidRPr="00246C1C">
        <w:rPr>
          <w:rStyle w:val="2Char"/>
          <w:rFonts w:ascii="仿宋_GB2312" w:eastAsia="仿宋_GB2312" w:hint="eastAsia"/>
        </w:rPr>
        <w:t>六、</w:t>
      </w:r>
      <w:r w:rsidRPr="00246C1C">
        <w:rPr>
          <w:rFonts w:ascii="仿宋_GB2312" w:eastAsia="仿宋_GB2312" w:hint="eastAsia"/>
          <w:b w:val="0"/>
          <w:color w:val="000000"/>
        </w:rPr>
        <w:t>一</w:t>
      </w:r>
      <w:r w:rsidRPr="00246C1C">
        <w:rPr>
          <w:rStyle w:val="2Char"/>
          <w:rFonts w:ascii="仿宋_GB2312" w:eastAsia="仿宋_GB2312" w:hint="eastAsia"/>
        </w:rPr>
        <w:t>般公共预算财政拨款支出决算表</w:t>
      </w:r>
      <w:bookmarkEnd w:id="17"/>
    </w:p>
    <w:p w:rsidR="00BD72CF" w:rsidRPr="00246C1C" w:rsidRDefault="00BD72CF" w:rsidP="00BD72CF">
      <w:pPr>
        <w:pStyle w:val="2"/>
        <w:spacing w:before="0" w:after="0" w:line="560" w:lineRule="exact"/>
        <w:rPr>
          <w:rFonts w:ascii="仿宋_GB2312" w:eastAsia="仿宋_GB2312"/>
          <w:b w:val="0"/>
          <w:color w:val="000000"/>
        </w:rPr>
      </w:pPr>
      <w:bookmarkStart w:id="18" w:name="_Toc15396625"/>
      <w:r w:rsidRPr="00246C1C">
        <w:rPr>
          <w:rStyle w:val="2Char"/>
          <w:rFonts w:ascii="仿宋_GB2312" w:eastAsia="仿宋_GB2312" w:hint="eastAsia"/>
        </w:rPr>
        <w:t>七、</w:t>
      </w:r>
      <w:r w:rsidRPr="00246C1C">
        <w:rPr>
          <w:rFonts w:ascii="仿宋_GB2312" w:eastAsia="仿宋_GB2312" w:hint="eastAsia"/>
          <w:b w:val="0"/>
          <w:color w:val="000000"/>
        </w:rPr>
        <w:t>一</w:t>
      </w:r>
      <w:r w:rsidRPr="00246C1C">
        <w:rPr>
          <w:rStyle w:val="2Char"/>
          <w:rFonts w:ascii="仿宋_GB2312" w:eastAsia="仿宋_GB2312" w:hint="eastAsia"/>
        </w:rPr>
        <w:t>般公共预算财政拨款支出决算明细表</w:t>
      </w:r>
      <w:bookmarkEnd w:id="18"/>
    </w:p>
    <w:p w:rsidR="00BD72CF" w:rsidRPr="00246C1C" w:rsidRDefault="00BD72CF" w:rsidP="00BD72CF">
      <w:pPr>
        <w:pStyle w:val="2"/>
        <w:spacing w:before="0" w:after="0" w:line="560" w:lineRule="exact"/>
        <w:rPr>
          <w:rFonts w:ascii="仿宋_GB2312" w:eastAsia="仿宋_GB2312"/>
          <w:b w:val="0"/>
          <w:color w:val="000000"/>
        </w:rPr>
      </w:pPr>
      <w:bookmarkStart w:id="19" w:name="_Toc15396626"/>
      <w:r w:rsidRPr="00246C1C">
        <w:rPr>
          <w:rStyle w:val="2Char"/>
          <w:rFonts w:ascii="仿宋_GB2312" w:eastAsia="仿宋_GB2312" w:hint="eastAsia"/>
        </w:rPr>
        <w:t>八、</w:t>
      </w:r>
      <w:r w:rsidRPr="00246C1C">
        <w:rPr>
          <w:rFonts w:ascii="仿宋_GB2312" w:eastAsia="仿宋_GB2312" w:hint="eastAsia"/>
          <w:b w:val="0"/>
          <w:color w:val="000000"/>
        </w:rPr>
        <w:t>一</w:t>
      </w:r>
      <w:r w:rsidRPr="00246C1C">
        <w:rPr>
          <w:rStyle w:val="2Char"/>
          <w:rFonts w:ascii="仿宋_GB2312" w:eastAsia="仿宋_GB2312" w:hint="eastAsia"/>
        </w:rPr>
        <w:t>般公共预算财政拨款基本支出决算表</w:t>
      </w:r>
      <w:bookmarkEnd w:id="19"/>
    </w:p>
    <w:p w:rsidR="00BD72CF" w:rsidRPr="00246C1C" w:rsidRDefault="00BD72CF" w:rsidP="00BD72CF">
      <w:pPr>
        <w:pStyle w:val="2"/>
        <w:spacing w:before="0" w:after="0" w:line="560" w:lineRule="exact"/>
        <w:rPr>
          <w:rFonts w:ascii="仿宋_GB2312" w:eastAsia="仿宋_GB2312"/>
          <w:b w:val="0"/>
          <w:color w:val="000000"/>
        </w:rPr>
      </w:pPr>
      <w:bookmarkStart w:id="20" w:name="_Toc15396627"/>
      <w:r w:rsidRPr="00246C1C">
        <w:rPr>
          <w:rStyle w:val="2Char"/>
          <w:rFonts w:ascii="仿宋_GB2312" w:eastAsia="仿宋_GB2312" w:hint="eastAsia"/>
        </w:rPr>
        <w:t>九、</w:t>
      </w:r>
      <w:r w:rsidRPr="00246C1C">
        <w:rPr>
          <w:rFonts w:ascii="仿宋_GB2312" w:eastAsia="仿宋_GB2312" w:hint="eastAsia"/>
          <w:b w:val="0"/>
          <w:color w:val="000000"/>
        </w:rPr>
        <w:t>一</w:t>
      </w:r>
      <w:r w:rsidRPr="00246C1C">
        <w:rPr>
          <w:rStyle w:val="2Char"/>
          <w:rFonts w:ascii="仿宋_GB2312" w:eastAsia="仿宋_GB2312" w:hint="eastAsia"/>
        </w:rPr>
        <w:t>般公共预算财政拨款项目支出决算表</w:t>
      </w:r>
      <w:bookmarkEnd w:id="20"/>
    </w:p>
    <w:p w:rsidR="00BD72CF" w:rsidRPr="00246C1C" w:rsidRDefault="00BD72CF" w:rsidP="00BD72CF">
      <w:pPr>
        <w:pStyle w:val="2"/>
        <w:spacing w:before="0" w:after="0" w:line="560" w:lineRule="exact"/>
        <w:rPr>
          <w:rFonts w:ascii="仿宋_GB2312" w:eastAsia="仿宋_GB2312"/>
          <w:b w:val="0"/>
          <w:color w:val="000000"/>
        </w:rPr>
      </w:pPr>
      <w:bookmarkStart w:id="21" w:name="_Toc15396628"/>
      <w:r w:rsidRPr="00246C1C">
        <w:rPr>
          <w:rStyle w:val="2Char"/>
          <w:rFonts w:ascii="仿宋_GB2312" w:eastAsia="仿宋_GB2312" w:hint="eastAsia"/>
        </w:rPr>
        <w:t>十、财政拨款“三公”经费支出决算表</w:t>
      </w:r>
      <w:bookmarkEnd w:id="21"/>
    </w:p>
    <w:p w:rsidR="00BD72CF" w:rsidRPr="00246C1C" w:rsidRDefault="00BD72CF" w:rsidP="00BD72CF">
      <w:pPr>
        <w:pStyle w:val="2"/>
        <w:spacing w:before="0" w:after="0" w:line="560" w:lineRule="exact"/>
        <w:rPr>
          <w:rFonts w:ascii="仿宋_GB2312" w:eastAsia="仿宋_GB2312"/>
          <w:b w:val="0"/>
          <w:color w:val="000000"/>
        </w:rPr>
      </w:pPr>
      <w:bookmarkStart w:id="22" w:name="_Toc15396629"/>
      <w:r w:rsidRPr="00246C1C">
        <w:rPr>
          <w:rStyle w:val="2Char"/>
          <w:rFonts w:ascii="仿宋_GB2312" w:eastAsia="仿宋_GB2312" w:hint="eastAsia"/>
        </w:rPr>
        <w:t>十一、</w:t>
      </w:r>
      <w:r w:rsidRPr="00246C1C">
        <w:rPr>
          <w:rFonts w:ascii="仿宋_GB2312" w:eastAsia="仿宋_GB2312" w:hint="eastAsia"/>
          <w:b w:val="0"/>
          <w:color w:val="000000"/>
        </w:rPr>
        <w:t>政</w:t>
      </w:r>
      <w:r w:rsidRPr="00246C1C">
        <w:rPr>
          <w:rStyle w:val="2Char"/>
          <w:rFonts w:ascii="仿宋_GB2312" w:eastAsia="仿宋_GB2312" w:hint="eastAsia"/>
        </w:rPr>
        <w:t>府性基金预算财政拨款收入支出决算表</w:t>
      </w:r>
      <w:bookmarkEnd w:id="22"/>
    </w:p>
    <w:p w:rsidR="00BD72CF" w:rsidRPr="00246C1C" w:rsidRDefault="00BD72CF" w:rsidP="00BD72CF">
      <w:pPr>
        <w:pStyle w:val="2"/>
        <w:spacing w:before="0" w:after="0" w:line="560" w:lineRule="exact"/>
        <w:rPr>
          <w:rStyle w:val="2Char"/>
          <w:rFonts w:ascii="仿宋_GB2312" w:eastAsia="仿宋_GB2312"/>
        </w:rPr>
      </w:pPr>
      <w:bookmarkStart w:id="23" w:name="_Toc15396630"/>
      <w:r w:rsidRPr="00246C1C">
        <w:rPr>
          <w:rStyle w:val="2Char"/>
          <w:rFonts w:ascii="仿宋_GB2312" w:eastAsia="仿宋_GB2312" w:hint="eastAsia"/>
        </w:rPr>
        <w:t>十二、</w:t>
      </w:r>
      <w:bookmarkEnd w:id="23"/>
      <w:r w:rsidRPr="00246C1C">
        <w:rPr>
          <w:rStyle w:val="2Char"/>
          <w:rFonts w:ascii="仿宋_GB2312" w:eastAsia="仿宋_GB2312" w:hint="eastAsia"/>
        </w:rPr>
        <w:t>国有资本经营预算财政拨款收入支出决算表</w:t>
      </w:r>
    </w:p>
    <w:p w:rsidR="00BD72CF" w:rsidRPr="00246C1C" w:rsidRDefault="00BD72CF" w:rsidP="00BD72CF">
      <w:pPr>
        <w:pStyle w:val="2"/>
        <w:spacing w:before="0" w:after="0" w:line="560" w:lineRule="exact"/>
        <w:rPr>
          <w:rFonts w:ascii="仿宋_GB2312" w:eastAsia="仿宋_GB2312"/>
          <w:b w:val="0"/>
          <w:color w:val="000000"/>
        </w:rPr>
      </w:pPr>
      <w:bookmarkStart w:id="24" w:name="_Toc15396631"/>
      <w:r w:rsidRPr="00246C1C">
        <w:rPr>
          <w:rStyle w:val="2Char"/>
          <w:rFonts w:ascii="仿宋_GB2312" w:eastAsia="仿宋_GB2312" w:hint="eastAsia"/>
        </w:rPr>
        <w:t>十三、</w:t>
      </w:r>
      <w:bookmarkEnd w:id="24"/>
      <w:r w:rsidRPr="00246C1C">
        <w:rPr>
          <w:rFonts w:ascii="仿宋_GB2312" w:eastAsia="仿宋_GB2312" w:hint="eastAsia"/>
          <w:b w:val="0"/>
          <w:color w:val="000000"/>
        </w:rPr>
        <w:t>国有资本经营预算财政拨款支出决算表</w:t>
      </w:r>
    </w:p>
    <w:p w:rsidR="00611EF0" w:rsidRDefault="00611EF0">
      <w:pPr>
        <w:spacing w:after="0" w:line="560" w:lineRule="exact"/>
        <w:jc w:val="both"/>
        <w:rPr>
          <w:rFonts w:ascii="仿宋_GB2312" w:eastAsia="仿宋_GB2312"/>
        </w:rPr>
      </w:pPr>
    </w:p>
    <w:sectPr w:rsidR="00611EF0" w:rsidSect="00611EF0">
      <w:headerReference w:type="default" r:id="rId20"/>
      <w:footerReference w:type="default" r:id="rId21"/>
      <w:pgSz w:w="11906" w:h="16838"/>
      <w:pgMar w:top="1440" w:right="1558" w:bottom="1440" w:left="1800" w:header="851" w:footer="992" w:gutter="0"/>
      <w:pgNumType w:fmt="numberInDash"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464" w:rsidRDefault="005A1464" w:rsidP="00611EF0">
      <w:pPr>
        <w:spacing w:after="0"/>
      </w:pPr>
      <w:r>
        <w:separator/>
      </w:r>
    </w:p>
  </w:endnote>
  <w:endnote w:type="continuationSeparator" w:id="0">
    <w:p w:rsidR="005A1464" w:rsidRDefault="005A1464" w:rsidP="00611EF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EF0" w:rsidRDefault="0037205D">
    <w:pPr>
      <w:pStyle w:val="a6"/>
      <w:jc w:val="center"/>
    </w:pPr>
    <w:r>
      <w:pict>
        <v:rect id="文本框" o:spid="_x0000_s2049" style="position:absolute;left:0;text-align:left;margin-left:0;margin-top:0;width:37.45pt;height:23.25pt;z-index:251659264;mso-position-horizontal:center;mso-position-horizontal-relative:margin" o:gfxdata="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NJIRLWAAAAAwEAAA8AAAAAAAAAAQAgAAAAIgAAAGRycy9kb3du&#10;cmV2LnhtbFBLAQIUABQAAAAIAIdO4kC1juEwAQIAAPQDAAAOAAAAAAAAAAEAIAAAACUBAABkcnMv&#10;ZTJvRG9jLnhtbFBLBQYAAAAABgAGAFkBAACYBQAAAAA=&#10;" filled="f" stroked="f">
          <v:textbox inset="0,0,0,0">
            <w:txbxContent>
              <w:p w:rsidR="00611EF0" w:rsidRDefault="0037205D">
                <w:pPr>
                  <w:pStyle w:val="a6"/>
                  <w:jc w:val="center"/>
                  <w:rPr>
                    <w:rFonts w:ascii="宋体" w:eastAsia="宋体" w:cs="宋体"/>
                    <w:sz w:val="28"/>
                    <w:szCs w:val="28"/>
                  </w:rPr>
                </w:pPr>
                <w:r w:rsidRPr="0037205D">
                  <w:rPr>
                    <w:rFonts w:ascii="宋体" w:eastAsia="宋体" w:cs="宋体" w:hint="eastAsia"/>
                    <w:sz w:val="28"/>
                    <w:szCs w:val="28"/>
                  </w:rPr>
                  <w:fldChar w:fldCharType="begin"/>
                </w:r>
                <w:r w:rsidR="00B25509">
                  <w:rPr>
                    <w:rFonts w:ascii="宋体" w:eastAsia="宋体" w:cs="宋体" w:hint="eastAsia"/>
                    <w:sz w:val="28"/>
                    <w:szCs w:val="28"/>
                  </w:rPr>
                  <w:instrText>PAGE   \* MERGEFORMAT</w:instrText>
                </w:r>
                <w:r w:rsidRPr="0037205D">
                  <w:rPr>
                    <w:rFonts w:ascii="宋体" w:eastAsia="宋体" w:cs="宋体" w:hint="eastAsia"/>
                    <w:sz w:val="28"/>
                    <w:szCs w:val="28"/>
                  </w:rPr>
                  <w:fldChar w:fldCharType="separate"/>
                </w:r>
                <w:r w:rsidR="00BD72CF" w:rsidRPr="00BD72CF">
                  <w:rPr>
                    <w:rFonts w:ascii="宋体" w:eastAsia="宋体" w:cs="宋体"/>
                    <w:noProof/>
                    <w:sz w:val="28"/>
                    <w:szCs w:val="28"/>
                    <w:lang w:val="zh-CN"/>
                  </w:rPr>
                  <w:t>-</w:t>
                </w:r>
                <w:r w:rsidR="00BD72CF">
                  <w:rPr>
                    <w:rFonts w:ascii="宋体" w:eastAsia="宋体" w:cs="宋体"/>
                    <w:noProof/>
                    <w:sz w:val="28"/>
                    <w:szCs w:val="28"/>
                  </w:rPr>
                  <w:t xml:space="preserve"> 22 -</w:t>
                </w:r>
                <w:r>
                  <w:rPr>
                    <w:rFonts w:ascii="宋体" w:eastAsia="宋体" w:cs="宋体" w:hint="eastAsia"/>
                    <w:sz w:val="28"/>
                    <w:szCs w:val="28"/>
                    <w:lang w:val="zh-CN"/>
                  </w:rPr>
                  <w:fldChar w:fldCharType="end"/>
                </w:r>
              </w:p>
            </w:txbxContent>
          </v:textbox>
          <w10:wrap anchorx="margin"/>
        </v:rect>
      </w:pict>
    </w:r>
  </w:p>
  <w:p w:rsidR="00611EF0" w:rsidRDefault="00611EF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464" w:rsidRDefault="005A1464">
      <w:pPr>
        <w:spacing w:after="0"/>
      </w:pPr>
      <w:r>
        <w:separator/>
      </w:r>
    </w:p>
  </w:footnote>
  <w:footnote w:type="continuationSeparator" w:id="0">
    <w:p w:rsidR="005A1464" w:rsidRDefault="005A146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EF0" w:rsidRDefault="00611EF0">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7FCBC0E"/>
    <w:multiLevelType w:val="singleLevel"/>
    <w:tmpl w:val="C7FCBC0E"/>
    <w:lvl w:ilvl="0">
      <w:start w:val="2"/>
      <w:numFmt w:val="chineseCounting"/>
      <w:suff w:val="nothing"/>
      <w:lvlText w:val="（%1）"/>
      <w:lvlJc w:val="left"/>
      <w:rPr>
        <w:rFonts w:hint="eastAsia"/>
      </w:rPr>
    </w:lvl>
  </w:abstractNum>
  <w:abstractNum w:abstractNumId="1">
    <w:nsid w:val="270D4A16"/>
    <w:multiLevelType w:val="singleLevel"/>
    <w:tmpl w:val="270D4A16"/>
    <w:lvl w:ilvl="0">
      <w:start w:val="11"/>
      <w:numFmt w:val="chineseCounting"/>
      <w:suff w:val="nothing"/>
      <w:lvlText w:val="%1、"/>
      <w:lvlJc w:val="left"/>
      <w:pPr>
        <w:tabs>
          <w:tab w:val="left" w:pos="0"/>
        </w:tabs>
        <w:ind w:left="0" w:firstLine="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720"/>
  <w:drawingGridHorizontalSpacing w:val="110"/>
  <w:drawingGridVerticalSpacing w:val="156"/>
  <w:displayHorizontalDrawingGridEvery w:val="0"/>
  <w:characterSpacingControl w:val="doNotCompress"/>
  <w:hdrShapeDefaults>
    <o:shapedefaults v:ext="edit" spidmax="6146" fillcolor="white">
      <v:fill color="white"/>
    </o:shapedefaults>
    <o:shapelayout v:ext="edit">
      <o:idmap v:ext="edit" data="2"/>
    </o:shapelayout>
  </w:hdrShapeDefaults>
  <w:footnotePr>
    <w:footnote w:id="-1"/>
    <w:footnote w:id="0"/>
  </w:footnotePr>
  <w:endnotePr>
    <w:endnote w:id="-1"/>
    <w:endnote w:id="0"/>
  </w:endnotePr>
  <w:compat>
    <w:spaceForUL/>
    <w:growAutofit/>
    <w:useFELayout/>
  </w:compat>
  <w:docVars>
    <w:docVar w:name="commondata" w:val="eyJoZGlkIjoiZGU3YmRmNWM5YmQ3ZDQ1NWNlMTZkZTAwYWJmMGQ4MjUifQ=="/>
  </w:docVars>
  <w:rsids>
    <w:rsidRoot w:val="000826B8"/>
    <w:rsid w:val="000216FD"/>
    <w:rsid w:val="000570F5"/>
    <w:rsid w:val="000579F2"/>
    <w:rsid w:val="000826B8"/>
    <w:rsid w:val="000A1CAE"/>
    <w:rsid w:val="000A713A"/>
    <w:rsid w:val="000A7D2C"/>
    <w:rsid w:val="000C3BEE"/>
    <w:rsid w:val="000C63F9"/>
    <w:rsid w:val="000D4CE7"/>
    <w:rsid w:val="001178AC"/>
    <w:rsid w:val="00152997"/>
    <w:rsid w:val="0016012F"/>
    <w:rsid w:val="001658A3"/>
    <w:rsid w:val="00170FCA"/>
    <w:rsid w:val="00180D82"/>
    <w:rsid w:val="001821AA"/>
    <w:rsid w:val="0018551C"/>
    <w:rsid w:val="001E7E0D"/>
    <w:rsid w:val="00207474"/>
    <w:rsid w:val="0021127E"/>
    <w:rsid w:val="00271853"/>
    <w:rsid w:val="002A20C0"/>
    <w:rsid w:val="002B00BE"/>
    <w:rsid w:val="002B63B0"/>
    <w:rsid w:val="002D09EB"/>
    <w:rsid w:val="002E095A"/>
    <w:rsid w:val="002E3A35"/>
    <w:rsid w:val="002E7DFC"/>
    <w:rsid w:val="002F30F7"/>
    <w:rsid w:val="002F6B7D"/>
    <w:rsid w:val="00300965"/>
    <w:rsid w:val="00345200"/>
    <w:rsid w:val="0037205D"/>
    <w:rsid w:val="003961EE"/>
    <w:rsid w:val="003B2BE5"/>
    <w:rsid w:val="003C3A7C"/>
    <w:rsid w:val="003E23BC"/>
    <w:rsid w:val="004026C3"/>
    <w:rsid w:val="00414F93"/>
    <w:rsid w:val="00445564"/>
    <w:rsid w:val="0046153F"/>
    <w:rsid w:val="00461BAC"/>
    <w:rsid w:val="00464600"/>
    <w:rsid w:val="004742DE"/>
    <w:rsid w:val="0048299C"/>
    <w:rsid w:val="00483D7B"/>
    <w:rsid w:val="00485C8A"/>
    <w:rsid w:val="0049729D"/>
    <w:rsid w:val="004A0C79"/>
    <w:rsid w:val="00523642"/>
    <w:rsid w:val="00533DC8"/>
    <w:rsid w:val="00547158"/>
    <w:rsid w:val="005501FE"/>
    <w:rsid w:val="0055111C"/>
    <w:rsid w:val="00581B86"/>
    <w:rsid w:val="005A1464"/>
    <w:rsid w:val="005A5622"/>
    <w:rsid w:val="005B4CB8"/>
    <w:rsid w:val="005E2874"/>
    <w:rsid w:val="006107E0"/>
    <w:rsid w:val="00611EF0"/>
    <w:rsid w:val="006124F0"/>
    <w:rsid w:val="00627778"/>
    <w:rsid w:val="0065449F"/>
    <w:rsid w:val="006631EB"/>
    <w:rsid w:val="006A552E"/>
    <w:rsid w:val="006A7917"/>
    <w:rsid w:val="006D15A0"/>
    <w:rsid w:val="006D1A2D"/>
    <w:rsid w:val="006E44C2"/>
    <w:rsid w:val="00707A82"/>
    <w:rsid w:val="00747DD2"/>
    <w:rsid w:val="00762CA9"/>
    <w:rsid w:val="007960E1"/>
    <w:rsid w:val="007B2B11"/>
    <w:rsid w:val="0083084B"/>
    <w:rsid w:val="00884DCA"/>
    <w:rsid w:val="008B0F23"/>
    <w:rsid w:val="008D2B7A"/>
    <w:rsid w:val="008D53DD"/>
    <w:rsid w:val="008D7B37"/>
    <w:rsid w:val="008E4C1B"/>
    <w:rsid w:val="008E657B"/>
    <w:rsid w:val="0092752B"/>
    <w:rsid w:val="00935CF2"/>
    <w:rsid w:val="00980497"/>
    <w:rsid w:val="009965AF"/>
    <w:rsid w:val="009A0F97"/>
    <w:rsid w:val="009C399C"/>
    <w:rsid w:val="009D4CB6"/>
    <w:rsid w:val="009D6BF0"/>
    <w:rsid w:val="009F17CA"/>
    <w:rsid w:val="00A0141F"/>
    <w:rsid w:val="00A0204C"/>
    <w:rsid w:val="00A512CB"/>
    <w:rsid w:val="00A61FD0"/>
    <w:rsid w:val="00A944C4"/>
    <w:rsid w:val="00A95561"/>
    <w:rsid w:val="00B25509"/>
    <w:rsid w:val="00B27AF6"/>
    <w:rsid w:val="00B27E51"/>
    <w:rsid w:val="00B35283"/>
    <w:rsid w:val="00B57389"/>
    <w:rsid w:val="00B60824"/>
    <w:rsid w:val="00B67628"/>
    <w:rsid w:val="00B8567F"/>
    <w:rsid w:val="00B90400"/>
    <w:rsid w:val="00B95FD7"/>
    <w:rsid w:val="00BA25BC"/>
    <w:rsid w:val="00BD72CF"/>
    <w:rsid w:val="00BE2FC3"/>
    <w:rsid w:val="00C0002A"/>
    <w:rsid w:val="00C10B1A"/>
    <w:rsid w:val="00C14B07"/>
    <w:rsid w:val="00C459EE"/>
    <w:rsid w:val="00C46B13"/>
    <w:rsid w:val="00C83E76"/>
    <w:rsid w:val="00C966D9"/>
    <w:rsid w:val="00CA62D8"/>
    <w:rsid w:val="00CA6C4D"/>
    <w:rsid w:val="00CB7FB2"/>
    <w:rsid w:val="00CC74A3"/>
    <w:rsid w:val="00CD49D2"/>
    <w:rsid w:val="00CE1295"/>
    <w:rsid w:val="00CE7BAE"/>
    <w:rsid w:val="00D00DFF"/>
    <w:rsid w:val="00D0261E"/>
    <w:rsid w:val="00D17ACE"/>
    <w:rsid w:val="00D72970"/>
    <w:rsid w:val="00D8050D"/>
    <w:rsid w:val="00D81CFA"/>
    <w:rsid w:val="00DA43F6"/>
    <w:rsid w:val="00DB6D60"/>
    <w:rsid w:val="00DF6BEC"/>
    <w:rsid w:val="00E03AD3"/>
    <w:rsid w:val="00E403D8"/>
    <w:rsid w:val="00E45DF1"/>
    <w:rsid w:val="00E50CAA"/>
    <w:rsid w:val="00E53012"/>
    <w:rsid w:val="00E535D3"/>
    <w:rsid w:val="00E61862"/>
    <w:rsid w:val="00E6436A"/>
    <w:rsid w:val="00E70691"/>
    <w:rsid w:val="00E916CF"/>
    <w:rsid w:val="00EF6CC0"/>
    <w:rsid w:val="00F17899"/>
    <w:rsid w:val="00F961D6"/>
    <w:rsid w:val="00FB1635"/>
    <w:rsid w:val="00FC7D81"/>
    <w:rsid w:val="00FD53B4"/>
    <w:rsid w:val="00FF3ED4"/>
    <w:rsid w:val="01CC36BF"/>
    <w:rsid w:val="0744414B"/>
    <w:rsid w:val="07A15C6C"/>
    <w:rsid w:val="0E523417"/>
    <w:rsid w:val="0E8D6415"/>
    <w:rsid w:val="12CE060B"/>
    <w:rsid w:val="1A404921"/>
    <w:rsid w:val="1A7615BE"/>
    <w:rsid w:val="1B905398"/>
    <w:rsid w:val="1CCC06EE"/>
    <w:rsid w:val="238278ED"/>
    <w:rsid w:val="2F261EE0"/>
    <w:rsid w:val="306C20F1"/>
    <w:rsid w:val="33184971"/>
    <w:rsid w:val="37607F59"/>
    <w:rsid w:val="382A117C"/>
    <w:rsid w:val="3C5D75E7"/>
    <w:rsid w:val="3C8C0CE5"/>
    <w:rsid w:val="3D21566D"/>
    <w:rsid w:val="3DF80EEB"/>
    <w:rsid w:val="3E9949E4"/>
    <w:rsid w:val="3FC84AA2"/>
    <w:rsid w:val="42F46F57"/>
    <w:rsid w:val="459A7B50"/>
    <w:rsid w:val="45A335F1"/>
    <w:rsid w:val="45DA17B8"/>
    <w:rsid w:val="522D51B0"/>
    <w:rsid w:val="536F3295"/>
    <w:rsid w:val="53C95070"/>
    <w:rsid w:val="5A7B0A82"/>
    <w:rsid w:val="5CA020BB"/>
    <w:rsid w:val="6457780C"/>
    <w:rsid w:val="67F51E74"/>
    <w:rsid w:val="6F125A01"/>
    <w:rsid w:val="70EC5DDE"/>
    <w:rsid w:val="74E460D3"/>
    <w:rsid w:val="75BD7D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611EF0"/>
    <w:pPr>
      <w:adjustRightInd w:val="0"/>
      <w:snapToGrid w:val="0"/>
      <w:spacing w:after="200"/>
    </w:pPr>
    <w:rPr>
      <w:rFonts w:ascii="Tahoma" w:eastAsia="微软雅黑" w:hAnsi="Tahoma" w:cs="Arial"/>
      <w:sz w:val="22"/>
      <w:szCs w:val="22"/>
    </w:rPr>
  </w:style>
  <w:style w:type="paragraph" w:styleId="1">
    <w:name w:val="heading 1"/>
    <w:basedOn w:val="a"/>
    <w:next w:val="a"/>
    <w:link w:val="1Char"/>
    <w:qFormat/>
    <w:rsid w:val="00611EF0"/>
    <w:pPr>
      <w:keepNext/>
      <w:keepLines/>
      <w:widowControl w:val="0"/>
      <w:adjustRightInd/>
      <w:snapToGrid/>
      <w:spacing w:before="340" w:after="330" w:line="578" w:lineRule="auto"/>
      <w:jc w:val="both"/>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611EF0"/>
    <w:pPr>
      <w:keepNext/>
      <w:keepLines/>
      <w:widowControl w:val="0"/>
      <w:adjustRightInd/>
      <w:snapToGrid/>
      <w:spacing w:before="260" w:after="260" w:line="415" w:lineRule="auto"/>
      <w:jc w:val="both"/>
      <w:outlineLvl w:val="1"/>
    </w:pPr>
    <w:rPr>
      <w:rFonts w:ascii="Cambria" w:eastAsia="宋体" w:hAnsi="Cambria" w:cs="Times New Roman"/>
      <w:b/>
      <w:bCs/>
      <w:kern w:val="2"/>
      <w:sz w:val="32"/>
      <w:szCs w:val="32"/>
    </w:rPr>
  </w:style>
  <w:style w:type="paragraph" w:styleId="3">
    <w:name w:val="heading 3"/>
    <w:basedOn w:val="a"/>
    <w:next w:val="a"/>
    <w:rsid w:val="00611EF0"/>
    <w:pPr>
      <w:keepNext/>
      <w:keepLines/>
      <w:widowControl w:val="0"/>
      <w:adjustRightInd/>
      <w:snapToGrid/>
      <w:spacing w:before="260" w:after="260" w:line="415" w:lineRule="auto"/>
      <w:jc w:val="both"/>
      <w:outlineLvl w:val="2"/>
    </w:pPr>
    <w:rPr>
      <w:rFonts w:ascii="Times New Roman" w:eastAsia="宋体" w:hAnsi="Times New Roman" w:cs="Times New Roman"/>
      <w:b/>
      <w:bCs/>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rsid w:val="00611EF0"/>
    <w:pPr>
      <w:spacing w:after="120"/>
      <w:ind w:leftChars="200" w:left="200"/>
    </w:pPr>
  </w:style>
  <w:style w:type="paragraph" w:styleId="a4">
    <w:name w:val="Body Text"/>
    <w:basedOn w:val="a"/>
    <w:qFormat/>
    <w:rsid w:val="00611EF0"/>
    <w:pPr>
      <w:widowControl w:val="0"/>
      <w:adjustRightInd/>
      <w:snapToGrid/>
      <w:spacing w:beforeLines="30" w:after="0"/>
      <w:jc w:val="both"/>
    </w:pPr>
    <w:rPr>
      <w:rFonts w:ascii="仿宋_GB2312" w:eastAsia="仿宋_GB2312" w:cs="Times New Roman"/>
      <w:sz w:val="30"/>
      <w:szCs w:val="24"/>
    </w:rPr>
  </w:style>
  <w:style w:type="paragraph" w:styleId="30">
    <w:name w:val="toc 3"/>
    <w:basedOn w:val="a"/>
    <w:next w:val="a"/>
    <w:qFormat/>
    <w:rsid w:val="00611EF0"/>
    <w:pPr>
      <w:widowControl w:val="0"/>
      <w:tabs>
        <w:tab w:val="right" w:leader="dot" w:pos="8296"/>
      </w:tabs>
      <w:adjustRightInd/>
      <w:snapToGrid/>
      <w:spacing w:after="0"/>
      <w:ind w:leftChars="400" w:left="400"/>
      <w:jc w:val="both"/>
    </w:pPr>
    <w:rPr>
      <w:rFonts w:ascii="Times New Roman" w:eastAsia="宋体" w:hAnsi="Times New Roman" w:cs="Times New Roman"/>
      <w:kern w:val="2"/>
      <w:sz w:val="21"/>
      <w:szCs w:val="24"/>
    </w:rPr>
  </w:style>
  <w:style w:type="paragraph" w:styleId="a5">
    <w:name w:val="Balloon Text"/>
    <w:basedOn w:val="a"/>
    <w:qFormat/>
    <w:rsid w:val="00611EF0"/>
    <w:pPr>
      <w:widowControl w:val="0"/>
      <w:adjustRightInd/>
      <w:snapToGrid/>
      <w:spacing w:after="0"/>
      <w:jc w:val="both"/>
    </w:pPr>
    <w:rPr>
      <w:rFonts w:ascii="Times New Roman" w:eastAsia="宋体" w:hAnsi="Times New Roman" w:cs="Times New Roman"/>
      <w:kern w:val="2"/>
      <w:sz w:val="18"/>
      <w:szCs w:val="18"/>
    </w:rPr>
  </w:style>
  <w:style w:type="paragraph" w:styleId="a6">
    <w:name w:val="footer"/>
    <w:basedOn w:val="a"/>
    <w:qFormat/>
    <w:rsid w:val="00611EF0"/>
    <w:pPr>
      <w:tabs>
        <w:tab w:val="center" w:pos="4153"/>
        <w:tab w:val="right" w:pos="8306"/>
      </w:tabs>
    </w:pPr>
    <w:rPr>
      <w:sz w:val="18"/>
      <w:szCs w:val="18"/>
    </w:rPr>
  </w:style>
  <w:style w:type="paragraph" w:styleId="a7">
    <w:name w:val="header"/>
    <w:basedOn w:val="a"/>
    <w:qFormat/>
    <w:rsid w:val="00611EF0"/>
    <w:pPr>
      <w:pBdr>
        <w:bottom w:val="single" w:sz="6" w:space="1" w:color="auto"/>
      </w:pBdr>
      <w:tabs>
        <w:tab w:val="center" w:pos="4153"/>
        <w:tab w:val="right" w:pos="8306"/>
      </w:tabs>
      <w:jc w:val="center"/>
    </w:pPr>
    <w:rPr>
      <w:sz w:val="18"/>
      <w:szCs w:val="18"/>
    </w:rPr>
  </w:style>
  <w:style w:type="paragraph" w:styleId="10">
    <w:name w:val="toc 1"/>
    <w:basedOn w:val="a"/>
    <w:next w:val="a"/>
    <w:qFormat/>
    <w:rsid w:val="00611EF0"/>
    <w:pPr>
      <w:widowControl w:val="0"/>
      <w:tabs>
        <w:tab w:val="right" w:leader="dot" w:pos="8296"/>
      </w:tabs>
      <w:adjustRightInd/>
      <w:snapToGrid/>
      <w:spacing w:before="93" w:after="0"/>
      <w:jc w:val="center"/>
    </w:pPr>
    <w:rPr>
      <w:rFonts w:ascii="仿宋" w:eastAsia="仿宋" w:cs="Times New Roman"/>
      <w:kern w:val="2"/>
      <w:sz w:val="28"/>
      <w:szCs w:val="28"/>
    </w:rPr>
  </w:style>
  <w:style w:type="paragraph" w:styleId="20">
    <w:name w:val="toc 2"/>
    <w:basedOn w:val="a"/>
    <w:next w:val="a"/>
    <w:qFormat/>
    <w:rsid w:val="00611EF0"/>
    <w:pPr>
      <w:widowControl w:val="0"/>
      <w:tabs>
        <w:tab w:val="right" w:leader="dot" w:pos="8296"/>
      </w:tabs>
      <w:adjustRightInd/>
      <w:snapToGrid/>
      <w:spacing w:after="0"/>
      <w:ind w:leftChars="200" w:left="200"/>
      <w:jc w:val="both"/>
    </w:pPr>
    <w:rPr>
      <w:rFonts w:ascii="Times New Roman" w:eastAsia="宋体" w:hAnsi="Times New Roman" w:cs="Times New Roman"/>
      <w:kern w:val="2"/>
      <w:sz w:val="21"/>
      <w:szCs w:val="24"/>
    </w:rPr>
  </w:style>
  <w:style w:type="paragraph" w:styleId="a8">
    <w:name w:val="Normal (Web)"/>
    <w:basedOn w:val="a"/>
    <w:uiPriority w:val="99"/>
    <w:qFormat/>
    <w:rsid w:val="00611EF0"/>
    <w:pPr>
      <w:widowControl w:val="0"/>
      <w:adjustRightInd/>
      <w:snapToGrid/>
      <w:spacing w:after="0"/>
    </w:pPr>
    <w:rPr>
      <w:rFonts w:ascii="Calibri" w:eastAsia="宋体" w:hAnsi="Calibri" w:cs="Times New Roman"/>
      <w:sz w:val="24"/>
      <w:szCs w:val="24"/>
    </w:rPr>
  </w:style>
  <w:style w:type="character" w:styleId="a9">
    <w:name w:val="Strong"/>
    <w:basedOn w:val="a1"/>
    <w:qFormat/>
    <w:rsid w:val="00611EF0"/>
    <w:rPr>
      <w:b/>
    </w:rPr>
  </w:style>
  <w:style w:type="character" w:styleId="aa">
    <w:name w:val="Hyperlink"/>
    <w:basedOn w:val="a1"/>
    <w:qFormat/>
    <w:rsid w:val="00611EF0"/>
    <w:rPr>
      <w:color w:val="0000FF"/>
      <w:u w:val="single"/>
    </w:rPr>
  </w:style>
  <w:style w:type="paragraph" w:customStyle="1" w:styleId="ab">
    <w:name w:val="文档正文"/>
    <w:basedOn w:val="a"/>
    <w:qFormat/>
    <w:rsid w:val="00611EF0"/>
    <w:pPr>
      <w:widowControl w:val="0"/>
      <w:snapToGrid/>
      <w:spacing w:after="0" w:line="480" w:lineRule="atLeast"/>
      <w:jc w:val="both"/>
      <w:textAlignment w:val="baseline"/>
    </w:pPr>
    <w:rPr>
      <w:rFonts w:ascii="Arial" w:eastAsia="宋体" w:hAnsi="Arial" w:cs="Times New Roman"/>
      <w:sz w:val="32"/>
      <w:szCs w:val="32"/>
    </w:rPr>
  </w:style>
  <w:style w:type="character" w:customStyle="1" w:styleId="1Char">
    <w:name w:val="标题 1 Char"/>
    <w:basedOn w:val="a1"/>
    <w:link w:val="1"/>
    <w:qFormat/>
    <w:rsid w:val="00611EF0"/>
    <w:rPr>
      <w:rFonts w:ascii="Times New Roman" w:eastAsia="宋体" w:hAnsi="Times New Roman" w:cs="Times New Roman"/>
      <w:b/>
      <w:bCs/>
      <w:kern w:val="44"/>
      <w:sz w:val="44"/>
      <w:szCs w:val="44"/>
      <w:lang w:val="en-US" w:eastAsia="zh-CN" w:bidi="ar-SA"/>
    </w:rPr>
  </w:style>
  <w:style w:type="character" w:customStyle="1" w:styleId="2Char">
    <w:name w:val="标题 2 Char"/>
    <w:basedOn w:val="a1"/>
    <w:link w:val="2"/>
    <w:qFormat/>
    <w:rsid w:val="00611EF0"/>
    <w:rPr>
      <w:rFonts w:ascii="Cambria" w:eastAsia="宋体" w:hAnsi="Cambria" w:cs="Times New Roman"/>
      <w:b/>
      <w:bCs/>
      <w:kern w:val="2"/>
      <w:sz w:val="32"/>
      <w:szCs w:val="32"/>
      <w:lang w:val="en-US" w:eastAsia="zh-CN" w:bidi="ar-SA"/>
    </w:rPr>
  </w:style>
  <w:style w:type="character" w:customStyle="1" w:styleId="HeaderChar">
    <w:name w:val="Header Char"/>
    <w:basedOn w:val="a1"/>
    <w:qFormat/>
    <w:rsid w:val="00611EF0"/>
    <w:rPr>
      <w:rFonts w:ascii="Times New Roman" w:hAnsi="Times New Roman"/>
      <w:sz w:val="18"/>
      <w:szCs w:val="18"/>
    </w:rPr>
  </w:style>
  <w:style w:type="character" w:customStyle="1" w:styleId="FooterChar">
    <w:name w:val="Footer Char"/>
    <w:basedOn w:val="a1"/>
    <w:qFormat/>
    <w:rsid w:val="00611EF0"/>
    <w:rPr>
      <w:rFonts w:ascii="Times New Roman" w:hAnsi="Times New Roman"/>
      <w:sz w:val="18"/>
      <w:szCs w:val="18"/>
    </w:rPr>
  </w:style>
  <w:style w:type="character" w:customStyle="1" w:styleId="BodyTextChar">
    <w:name w:val="Body Text Char"/>
    <w:basedOn w:val="a1"/>
    <w:qFormat/>
    <w:rsid w:val="00611EF0"/>
    <w:rPr>
      <w:rFonts w:ascii="Times New Roman" w:hAnsi="Times New Roman"/>
      <w:szCs w:val="24"/>
    </w:rPr>
  </w:style>
  <w:style w:type="paragraph" w:customStyle="1" w:styleId="Default">
    <w:name w:val="Default"/>
    <w:qFormat/>
    <w:rsid w:val="00611EF0"/>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qFormat/>
    <w:rsid w:val="00611EF0"/>
    <w:pPr>
      <w:widowControl w:val="0"/>
      <w:adjustRightInd/>
      <w:snapToGrid/>
      <w:spacing w:after="0"/>
      <w:ind w:firstLineChars="200" w:firstLine="200"/>
      <w:jc w:val="both"/>
    </w:pPr>
    <w:rPr>
      <w:rFonts w:ascii="Times New Roman" w:eastAsia="宋体" w:hAnsi="Times New Roman" w:cs="Times New Roman"/>
      <w:kern w:val="2"/>
      <w:sz w:val="21"/>
      <w:szCs w:val="24"/>
    </w:rPr>
  </w:style>
  <w:style w:type="paragraph" w:customStyle="1" w:styleId="TOC1">
    <w:name w:val="TOC 标题1"/>
    <w:basedOn w:val="1"/>
    <w:next w:val="a"/>
    <w:qFormat/>
    <w:rsid w:val="00611EF0"/>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qFormat/>
    <w:rsid w:val="00611EF0"/>
    <w:pPr>
      <w:widowControl/>
      <w:spacing w:before="480" w:after="0" w:line="276" w:lineRule="auto"/>
      <w:jc w:val="left"/>
      <w:outlineLvl w:val="9"/>
    </w:pPr>
    <w:rPr>
      <w:rFonts w:ascii="Cambria" w:hAnsi="Cambria"/>
      <w:color w:val="365F91"/>
      <w:kern w:val="0"/>
      <w:sz w:val="28"/>
      <w:szCs w:val="28"/>
    </w:rPr>
  </w:style>
  <w:style w:type="paragraph" w:customStyle="1" w:styleId="ql-align-center">
    <w:name w:val="ql-align-center"/>
    <w:basedOn w:val="a"/>
    <w:qFormat/>
    <w:rsid w:val="00611EF0"/>
    <w:pPr>
      <w:adjustRightInd/>
      <w:snapToGrid/>
      <w:spacing w:before="100" w:beforeAutospacing="1" w:after="100" w:afterAutospacing="1"/>
    </w:pPr>
    <w:rPr>
      <w:rFonts w:ascii="宋体" w:eastAsia="宋体" w:cs="宋体"/>
      <w:sz w:val="24"/>
      <w:szCs w:val="24"/>
    </w:rPr>
  </w:style>
  <w:style w:type="character" w:customStyle="1" w:styleId="12">
    <w:name w:val="标题 1 字符"/>
    <w:basedOn w:val="a1"/>
    <w:qFormat/>
    <w:rsid w:val="00611EF0"/>
    <w:rPr>
      <w:rFonts w:ascii="Times New Roman" w:hAnsi="Times New Roman"/>
      <w:b/>
      <w:bCs/>
      <w:kern w:val="44"/>
      <w:sz w:val="44"/>
      <w:szCs w:val="44"/>
    </w:rPr>
  </w:style>
  <w:style w:type="paragraph" w:customStyle="1" w:styleId="21">
    <w:name w:val="列出段落2"/>
    <w:basedOn w:val="a"/>
    <w:qFormat/>
    <w:rsid w:val="00611EF0"/>
    <w:pPr>
      <w:ind w:firstLineChars="200" w:firstLine="200"/>
    </w:pPr>
    <w:rPr>
      <w:rFonts w:eastAsia="宋体"/>
      <w:sz w:val="21"/>
      <w:szCs w:val="24"/>
    </w:rPr>
  </w:style>
  <w:style w:type="paragraph" w:styleId="ac">
    <w:name w:val="List Paragraph"/>
    <w:basedOn w:val="a"/>
    <w:uiPriority w:val="34"/>
    <w:qFormat/>
    <w:rsid w:val="00611EF0"/>
    <w:pPr>
      <w:widowControl w:val="0"/>
      <w:adjustRightInd/>
      <w:snapToGrid/>
      <w:spacing w:after="0"/>
      <w:ind w:firstLineChars="200" w:firstLine="420"/>
      <w:jc w:val="both"/>
    </w:pPr>
    <w:rPr>
      <w:rFonts w:ascii="Times New Roman" w:eastAsia="宋体" w:hAnsi="Times New Roman" w:cs="Times New Roman"/>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chart" Target="charts/chart5.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chart" Target="charts/chart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36130;&#21153;\2023&#24180;\2022&#24180;&#20915;&#31639;&#20844;&#24320;\&#20013;&#20849;&#38463;&#22365;&#24030;&#22996;&#32593;&#20449;&#21150;2022&#24180;&#20915;&#31639;&#20844;&#24320;\&#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36130;&#21153;\2023&#24180;\2022&#24180;&#20915;&#31639;&#20844;&#24320;\&#20013;&#20849;&#38463;&#22365;&#24030;&#22996;&#32593;&#20449;&#21150;2022&#24180;&#20915;&#31639;&#20844;&#24320;\&#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36130;&#21153;\2023&#24180;\2022&#24180;&#20915;&#31639;&#20844;&#24320;\&#20013;&#20849;&#38463;&#22365;&#24030;&#22996;&#32593;&#20449;&#21150;2022&#24180;&#20915;&#31639;&#20844;&#24320;\&#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36130;&#21153;\2023&#24180;\2022&#24180;&#20915;&#31639;&#20844;&#24320;\&#20013;&#20849;&#38463;&#22365;&#24030;&#22996;&#32593;&#20449;&#21150;2022&#24180;&#20915;&#31639;&#20844;&#24320;\&#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36130;&#21153;\2023&#24180;\2022&#24180;&#20915;&#31639;&#20844;&#24320;\&#20013;&#20849;&#38463;&#22365;&#24030;&#22996;&#32593;&#20449;&#21150;2022&#24180;&#20915;&#31639;&#20844;&#24320;\&#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36130;&#21153;\2023&#24180;\2022&#24180;&#20915;&#31639;&#20844;&#24320;\&#20013;&#20849;&#38463;&#22365;&#24030;&#22996;&#32593;&#20449;&#21150;2022&#24180;&#20915;&#31639;&#20844;&#24320;\&#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plotArea>
      <c:layout/>
      <c:barChart>
        <c:barDir val="col"/>
        <c:grouping val="stacked"/>
        <c:ser>
          <c:idx val="0"/>
          <c:order val="0"/>
          <c:tx>
            <c:strRef>
              <c:f>Sheet1!$B$23</c:f>
              <c:strCache>
                <c:ptCount val="1"/>
                <c:pt idx="0">
                  <c:v>单位支出</c:v>
                </c:pt>
              </c:strCache>
            </c:strRef>
          </c:tx>
          <c:dLbls>
            <c:dLbl>
              <c:idx val="0"/>
              <c:layout>
                <c:manualLayout>
                  <c:x val="9.7799511002444987E-3"/>
                  <c:y val="-0.35593220338983245"/>
                </c:manualLayout>
              </c:layout>
              <c:dLblPos val="ctr"/>
              <c:showVal val="1"/>
              <c:extLst>
                <c:ext xmlns:c15="http://schemas.microsoft.com/office/drawing/2012/chart" uri="{CE6537A1-D6FC-4f65-9D91-7224C49458BB}">
                  <c15:layout/>
                </c:ext>
              </c:extLst>
            </c:dLbl>
            <c:dLbl>
              <c:idx val="1"/>
              <c:layout>
                <c:manualLayout>
                  <c:x val="2.2819885900570613E-2"/>
                  <c:y val="-0.2316384180790961"/>
                </c:manualLayout>
              </c:layout>
              <c:dLblPos val="ctr"/>
              <c:showVal val="1"/>
              <c:extLst>
                <c:ext xmlns:c15="http://schemas.microsoft.com/office/drawing/2012/chart" uri="{CE6537A1-D6FC-4f65-9D91-7224C49458BB}">
                  <c15:layout/>
                </c:ext>
              </c:extLst>
            </c:dLbl>
            <c:delete val="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ctr"/>
            <c:extLst>
              <c:ext xmlns:c15="http://schemas.microsoft.com/office/drawing/2012/chart" uri="{CE6537A1-D6FC-4f65-9D91-7224C49458BB}">
                <c15:layout/>
                <c15:showLeaderLines val="0"/>
                <c15:leaderLines/>
              </c:ext>
            </c:extLst>
          </c:dLbls>
          <c:cat>
            <c:strRef>
              <c:f>Sheet1!$A$24:$A$25</c:f>
              <c:strCache>
                <c:ptCount val="2"/>
                <c:pt idx="0">
                  <c:v>2021年（万元）</c:v>
                </c:pt>
                <c:pt idx="1">
                  <c:v>2022年（万元）</c:v>
                </c:pt>
              </c:strCache>
            </c:strRef>
          </c:cat>
          <c:val>
            <c:numRef>
              <c:f>Sheet1!$B$24:$B$25</c:f>
              <c:numCache>
                <c:formatCode>General</c:formatCode>
                <c:ptCount val="2"/>
                <c:pt idx="0">
                  <c:v>946.21</c:v>
                </c:pt>
                <c:pt idx="1">
                  <c:v>555.55999999999858</c:v>
                </c:pt>
              </c:numCache>
            </c:numRef>
          </c:val>
        </c:ser>
        <c:overlap val="100"/>
        <c:axId val="55565312"/>
        <c:axId val="104117760"/>
      </c:barChart>
      <c:catAx>
        <c:axId val="55565312"/>
        <c:scaling>
          <c:orientation val="minMax"/>
        </c:scaling>
        <c:axPos val="b"/>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04117760"/>
        <c:crosses val="autoZero"/>
        <c:auto val="1"/>
        <c:lblAlgn val="ctr"/>
        <c:lblOffset val="100"/>
      </c:catAx>
      <c:valAx>
        <c:axId val="104117760"/>
        <c:scaling>
          <c:orientation val="minMax"/>
          <c:min val="0"/>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55565312"/>
        <c:crosses val="autoZero"/>
        <c:crossBetween val="between"/>
      </c:valAx>
      <c:spPr>
        <a:solidFill>
          <a:schemeClr val="bg1"/>
        </a:solidFill>
        <a:ln>
          <a:noFill/>
        </a:ln>
        <a:effectLst/>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dLbls>
            <c:dLbl>
              <c:idx val="0"/>
              <c:tx>
                <c:rich>
                  <a:bodyPr/>
                  <a:lstStyle/>
                  <a:p>
                    <a:r>
                      <a:rPr lang="en-US" altLang="en-US"/>
                      <a:t>100</a:t>
                    </a:r>
                    <a:r>
                      <a:rPr lang="en-US" altLang="zh-CN"/>
                      <a:t>%</a:t>
                    </a:r>
                    <a:endParaRPr lang="en-US" altLang="en-US"/>
                  </a:p>
                </c:rich>
              </c:tx>
              <c:dLblPos val="bestFit"/>
              <c:showVal val="1"/>
              <c:extLst>
                <c:ext xmlns:c15="http://schemas.microsoft.com/office/drawing/2012/chart" uri="{CE6537A1-D6FC-4f65-9D91-7224C49458BB}"/>
              </c:extLst>
            </c:dLbl>
            <c:dLbl>
              <c:idx val="1"/>
              <c:tx>
                <c:rich>
                  <a:bodyPr/>
                  <a:lstStyle/>
                  <a:p>
                    <a:r>
                      <a:rPr lang="en-US" altLang="en-US"/>
                      <a:t>0</a:t>
                    </a:r>
                    <a:r>
                      <a:rPr lang="en-US" altLang="zh-CN"/>
                      <a:t>%</a:t>
                    </a:r>
                    <a:endParaRPr lang="en-US" altLang="en-US"/>
                  </a:p>
                </c:rich>
              </c:tx>
              <c:dLblPos val="bestFit"/>
              <c:showVal val="1"/>
              <c:extLst>
                <c:ext xmlns:c15="http://schemas.microsoft.com/office/drawing/2012/chart" uri="{CE6537A1-D6FC-4f65-9D91-7224C49458BB}"/>
              </c:extLst>
            </c:dLbl>
            <c:dLbl>
              <c:idx val="2"/>
              <c:layout>
                <c:manualLayout>
                  <c:x val="7.6019247594050696E-2"/>
                  <c:y val="2.7985928842228138E-2"/>
                </c:manualLayout>
              </c:layout>
              <c:tx>
                <c:rich>
                  <a:bodyPr/>
                  <a:lstStyle/>
                  <a:p>
                    <a:r>
                      <a:rPr lang="en-US" altLang="en-US"/>
                      <a:t>0</a:t>
                    </a:r>
                    <a:r>
                      <a:rPr lang="en-US" altLang="zh-CN"/>
                      <a:t>%</a:t>
                    </a:r>
                    <a:endParaRPr lang="en-US" altLang="en-US"/>
                  </a:p>
                </c:rich>
              </c:tx>
              <c:dLblPos val="bestFit"/>
              <c:showVal val="1"/>
              <c:extLst>
                <c:ext xmlns:c15="http://schemas.microsoft.com/office/drawing/2012/chart" uri="{CE6537A1-D6FC-4f65-9D91-7224C49458BB}">
                  <c15:layout/>
                </c:ext>
              </c:extLst>
            </c:dLbl>
            <c:dLbl>
              <c:idx val="3"/>
              <c:layout>
                <c:manualLayout>
                  <c:x val="-9.3425196850393744E-2"/>
                  <c:y val="4.3032225138524532E-2"/>
                </c:manualLayout>
              </c:layout>
              <c:tx>
                <c:rich>
                  <a:bodyPr/>
                  <a:lstStyle/>
                  <a:p>
                    <a:r>
                      <a:rPr lang="en-US" altLang="en-US"/>
                      <a:t>0</a:t>
                    </a:r>
                    <a:r>
                      <a:rPr lang="en-US" altLang="zh-CN"/>
                      <a:t>%</a:t>
                    </a:r>
                    <a:endParaRPr lang="en-US" altLang="en-US"/>
                  </a:p>
                </c:rich>
              </c:tx>
              <c:dLblPos val="bestFit"/>
              <c:showVal val="1"/>
              <c:extLst>
                <c:ext xmlns:c15="http://schemas.microsoft.com/office/drawing/2012/chart" uri="{CE6537A1-D6FC-4f65-9D91-7224C49458BB}">
                  <c15:layout/>
                </c:ext>
              </c:extLst>
            </c:dLbl>
            <c:dLbl>
              <c:idx val="4"/>
              <c:layout>
                <c:manualLayout>
                  <c:x val="0.13122758092738401"/>
                  <c:y val="8.1226669582968827E-2"/>
                </c:manualLayout>
              </c:layout>
              <c:tx>
                <c:rich>
                  <a:bodyPr/>
                  <a:lstStyle/>
                  <a:p>
                    <a:r>
                      <a:rPr lang="en-US" altLang="en-US"/>
                      <a:t>0</a:t>
                    </a:r>
                    <a:r>
                      <a:rPr lang="en-US" altLang="zh-CN"/>
                      <a:t>%</a:t>
                    </a:r>
                    <a:endParaRPr lang="en-US" altLang="en-US"/>
                  </a:p>
                </c:rich>
              </c:tx>
              <c:dLblPos val="bestFit"/>
              <c:showVal val="1"/>
              <c:extLst>
                <c:ext xmlns:c15="http://schemas.microsoft.com/office/drawing/2012/chart" uri="{CE6537A1-D6FC-4f65-9D91-7224C49458BB}">
                  <c15:layout/>
                </c:ext>
              </c:extLst>
            </c:dLbl>
            <c:dLbl>
              <c:idx val="5"/>
              <c:layout>
                <c:manualLayout>
                  <c:x val="0.22115813648294011"/>
                  <c:y val="0.18192111402741418"/>
                </c:manualLayout>
              </c:layout>
              <c:tx>
                <c:rich>
                  <a:bodyPr/>
                  <a:lstStyle/>
                  <a:p>
                    <a:r>
                      <a:rPr lang="en-US" altLang="en-US"/>
                      <a:t>0</a:t>
                    </a:r>
                    <a:r>
                      <a:rPr lang="en-US" altLang="zh-CN"/>
                      <a:t>%</a:t>
                    </a:r>
                    <a:endParaRPr lang="en-US" altLang="en-US"/>
                  </a:p>
                </c:rich>
              </c:tx>
              <c:dLblPos val="bestFit"/>
              <c:showVal val="1"/>
              <c:extLst>
                <c:ext xmlns:c15="http://schemas.microsoft.com/office/drawing/2012/chart" uri="{CE6537A1-D6FC-4f65-9D91-7224C49458BB}">
                  <c15:layout/>
                </c:ext>
              </c:extLst>
            </c:dLbl>
            <c:dLbl>
              <c:idx val="6"/>
              <c:layout>
                <c:manualLayout>
                  <c:x val="0.24858869203849618"/>
                  <c:y val="0.36131926217556237"/>
                </c:manualLayout>
              </c:layout>
              <c:tx>
                <c:rich>
                  <a:bodyPr/>
                  <a:lstStyle/>
                  <a:p>
                    <a:r>
                      <a:rPr lang="en-US" altLang="en-US"/>
                      <a:t>0</a:t>
                    </a:r>
                    <a:r>
                      <a:rPr lang="en-US" altLang="zh-CN"/>
                      <a:t>%</a:t>
                    </a:r>
                    <a:endParaRPr lang="en-US" altLang="en-US"/>
                  </a:p>
                </c:rich>
              </c:tx>
              <c:dLblPos val="bestFit"/>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Sheet1!$A$31:$A$37</c:f>
              <c:strCache>
                <c:ptCount val="7"/>
                <c:pt idx="0">
                  <c:v>一般公共预算财政拨款收入</c:v>
                </c:pt>
                <c:pt idx="1">
                  <c:v>年初结转结余</c:v>
                </c:pt>
                <c:pt idx="2">
                  <c:v>政府基金预算财政拨款收入</c:v>
                </c:pt>
                <c:pt idx="3">
                  <c:v>上级补助收入</c:v>
                </c:pt>
                <c:pt idx="4">
                  <c:v>事业收入</c:v>
                </c:pt>
                <c:pt idx="5">
                  <c:v>经营收入</c:v>
                </c:pt>
                <c:pt idx="6">
                  <c:v>其他收入</c:v>
                </c:pt>
              </c:strCache>
            </c:strRef>
          </c:cat>
          <c:val>
            <c:numRef>
              <c:f>Sheet1!$B$31:$B$37</c:f>
              <c:numCache>
                <c:formatCode>General</c:formatCode>
                <c:ptCount val="7"/>
                <c:pt idx="0">
                  <c:v>100</c:v>
                </c:pt>
                <c:pt idx="1">
                  <c:v>0</c:v>
                </c:pt>
                <c:pt idx="2">
                  <c:v>0</c:v>
                </c:pt>
                <c:pt idx="3">
                  <c:v>0</c:v>
                </c:pt>
                <c:pt idx="4">
                  <c:v>0</c:v>
                </c:pt>
                <c:pt idx="5">
                  <c:v>0</c:v>
                </c:pt>
                <c:pt idx="6">
                  <c:v>0</c:v>
                </c:pt>
              </c:numCache>
            </c:numRef>
          </c:val>
        </c:ser>
        <c:dLbls>
          <c:showVal val="1"/>
        </c:dLbls>
        <c:firstSliceAng val="0"/>
      </c:pieChart>
      <c:spPr>
        <a:noFill/>
        <a:ln w="25400">
          <a:noFill/>
        </a:ln>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plotArea>
      <c:layout/>
      <c:barChart>
        <c:barDir val="col"/>
        <c:grouping val="stacked"/>
        <c:ser>
          <c:idx val="0"/>
          <c:order val="0"/>
          <c:tx>
            <c:strRef>
              <c:f>Sheet1!$B$23</c:f>
              <c:strCache>
                <c:ptCount val="1"/>
                <c:pt idx="0">
                  <c:v>财政拨款支出</c:v>
                </c:pt>
              </c:strCache>
            </c:strRef>
          </c:tx>
          <c:dLbls>
            <c:dLbl>
              <c:idx val="0"/>
              <c:layout>
                <c:manualLayout>
                  <c:x val="9.7799511002444987E-3"/>
                  <c:y val="-0.35593220338983245"/>
                </c:manualLayout>
              </c:layout>
              <c:dLblPos val="ctr"/>
              <c:showVal val="1"/>
              <c:extLst>
                <c:ext xmlns:c15="http://schemas.microsoft.com/office/drawing/2012/chart" uri="{CE6537A1-D6FC-4f65-9D91-7224C49458BB}">
                  <c15:layout/>
                </c:ext>
              </c:extLst>
            </c:dLbl>
            <c:dLbl>
              <c:idx val="1"/>
              <c:layout>
                <c:manualLayout>
                  <c:x val="2.2819885900570613E-2"/>
                  <c:y val="-0.2316384180790961"/>
                </c:manualLayout>
              </c:layout>
              <c:dLblPos val="ctr"/>
              <c:showVal val="1"/>
              <c:extLst>
                <c:ext xmlns:c15="http://schemas.microsoft.com/office/drawing/2012/chart" uri="{CE6537A1-D6FC-4f65-9D91-7224C49458BB}">
                  <c15:layout/>
                </c:ext>
              </c:extLst>
            </c:dLbl>
            <c:delete val="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ctr"/>
            <c:extLst>
              <c:ext xmlns:c15="http://schemas.microsoft.com/office/drawing/2012/chart" uri="{CE6537A1-D6FC-4f65-9D91-7224C49458BB}">
                <c15:layout/>
                <c15:showLeaderLines val="0"/>
                <c15:leaderLines/>
              </c:ext>
            </c:extLst>
          </c:dLbls>
          <c:cat>
            <c:strRef>
              <c:f>Sheet1!$A$24:$A$25</c:f>
              <c:strCache>
                <c:ptCount val="2"/>
                <c:pt idx="0">
                  <c:v>2021年（万元）</c:v>
                </c:pt>
                <c:pt idx="1">
                  <c:v>2022年（万元）</c:v>
                </c:pt>
              </c:strCache>
            </c:strRef>
          </c:cat>
          <c:val>
            <c:numRef>
              <c:f>Sheet1!$B$24:$B$25</c:f>
              <c:numCache>
                <c:formatCode>General</c:formatCode>
                <c:ptCount val="2"/>
                <c:pt idx="0">
                  <c:v>946.21</c:v>
                </c:pt>
                <c:pt idx="1">
                  <c:v>555.55999999999858</c:v>
                </c:pt>
              </c:numCache>
            </c:numRef>
          </c:val>
        </c:ser>
        <c:overlap val="100"/>
        <c:axId val="119331840"/>
        <c:axId val="119547008"/>
      </c:barChart>
      <c:catAx>
        <c:axId val="119331840"/>
        <c:scaling>
          <c:orientation val="minMax"/>
        </c:scaling>
        <c:axPos val="b"/>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19547008"/>
        <c:crosses val="autoZero"/>
        <c:auto val="1"/>
        <c:lblAlgn val="ctr"/>
        <c:lblOffset val="100"/>
      </c:catAx>
      <c:valAx>
        <c:axId val="119547008"/>
        <c:scaling>
          <c:orientation val="minMax"/>
          <c:min val="0"/>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19331840"/>
        <c:crosses val="autoZero"/>
        <c:crossBetween val="between"/>
      </c:valAx>
      <c:spPr>
        <a:solidFill>
          <a:schemeClr val="bg1"/>
        </a:solidFill>
        <a:ln>
          <a:noFill/>
        </a:ln>
        <a:effectLst/>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plotArea>
      <c:layout/>
      <c:barChart>
        <c:barDir val="col"/>
        <c:grouping val="stacked"/>
        <c:ser>
          <c:idx val="0"/>
          <c:order val="0"/>
          <c:tx>
            <c:strRef>
              <c:f>Sheet1!$B$23</c:f>
              <c:strCache>
                <c:ptCount val="1"/>
                <c:pt idx="0">
                  <c:v>一般公共预算财政拨款支出</c:v>
                </c:pt>
              </c:strCache>
            </c:strRef>
          </c:tx>
          <c:dLbls>
            <c:dLbl>
              <c:idx val="0"/>
              <c:layout>
                <c:manualLayout>
                  <c:x val="9.7799511002444987E-3"/>
                  <c:y val="-0.35593220338983245"/>
                </c:manualLayout>
              </c:layout>
              <c:dLblPos val="ctr"/>
              <c:showVal val="1"/>
              <c:extLst>
                <c:ext xmlns:c15="http://schemas.microsoft.com/office/drawing/2012/chart" uri="{CE6537A1-D6FC-4f65-9D91-7224C49458BB}">
                  <c15:layout/>
                </c:ext>
              </c:extLst>
            </c:dLbl>
            <c:dLbl>
              <c:idx val="1"/>
              <c:layout>
                <c:manualLayout>
                  <c:x val="2.2819885900570613E-2"/>
                  <c:y val="-0.2316384180790961"/>
                </c:manualLayout>
              </c:layout>
              <c:dLblPos val="ctr"/>
              <c:showVal val="1"/>
              <c:extLst>
                <c:ext xmlns:c15="http://schemas.microsoft.com/office/drawing/2012/chart" uri="{CE6537A1-D6FC-4f65-9D91-7224C49458BB}">
                  <c15:layout/>
                </c:ext>
              </c:extLst>
            </c:dLbl>
            <c:delete val="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ctr"/>
            <c:extLst>
              <c:ext xmlns:c15="http://schemas.microsoft.com/office/drawing/2012/chart" uri="{CE6537A1-D6FC-4f65-9D91-7224C49458BB}">
                <c15:layout/>
                <c15:showLeaderLines val="0"/>
                <c15:leaderLines/>
              </c:ext>
            </c:extLst>
          </c:dLbls>
          <c:cat>
            <c:strRef>
              <c:f>Sheet1!$A$24:$A$25</c:f>
              <c:strCache>
                <c:ptCount val="2"/>
                <c:pt idx="0">
                  <c:v>2021年（万元）</c:v>
                </c:pt>
                <c:pt idx="1">
                  <c:v>2022年（万元）</c:v>
                </c:pt>
              </c:strCache>
            </c:strRef>
          </c:cat>
          <c:val>
            <c:numRef>
              <c:f>Sheet1!$B$24:$B$25</c:f>
              <c:numCache>
                <c:formatCode>General</c:formatCode>
                <c:ptCount val="2"/>
                <c:pt idx="0">
                  <c:v>946.21</c:v>
                </c:pt>
                <c:pt idx="1">
                  <c:v>555.55999999999858</c:v>
                </c:pt>
              </c:numCache>
            </c:numRef>
          </c:val>
        </c:ser>
        <c:overlap val="100"/>
        <c:axId val="60327424"/>
        <c:axId val="60328960"/>
      </c:barChart>
      <c:catAx>
        <c:axId val="60327424"/>
        <c:scaling>
          <c:orientation val="minMax"/>
        </c:scaling>
        <c:axPos val="b"/>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0328960"/>
        <c:crosses val="autoZero"/>
        <c:auto val="1"/>
        <c:lblAlgn val="ctr"/>
        <c:lblOffset val="100"/>
      </c:catAx>
      <c:valAx>
        <c:axId val="60328960"/>
        <c:scaling>
          <c:orientation val="minMax"/>
          <c:min val="0"/>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0327424"/>
        <c:crosses val="autoZero"/>
        <c:crossBetween val="between"/>
      </c:valAx>
      <c:spPr>
        <a:solidFill>
          <a:schemeClr val="bg1"/>
        </a:solidFill>
        <a:ln>
          <a:noFill/>
        </a:ln>
        <a:effectLst/>
      </c:spPr>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dLbls>
            <c:dLbl>
              <c:idx val="1"/>
              <c:tx>
                <c:rich>
                  <a:bodyPr/>
                  <a:lstStyle/>
                  <a:p>
                    <a:r>
                      <a:rPr lang="en-US" altLang="en-US"/>
                      <a:t>91.19</a:t>
                    </a:r>
                    <a:r>
                      <a:rPr lang="en-US" altLang="zh-CN"/>
                      <a:t>%</a:t>
                    </a:r>
                    <a:endParaRPr lang="en-US" altLang="en-US"/>
                  </a:p>
                </c:rich>
              </c:tx>
              <c:dLblPos val="bestFit"/>
              <c:showVal val="1"/>
              <c:extLst>
                <c:ext xmlns:c15="http://schemas.microsoft.com/office/drawing/2012/chart" uri="{CE6537A1-D6FC-4f65-9D91-7224C49458BB}"/>
              </c:extLst>
            </c:dLbl>
            <c:dLbl>
              <c:idx val="2"/>
              <c:layout>
                <c:manualLayout>
                  <c:x val="-8.5428696412948417E-3"/>
                  <c:y val="4.4437882764654379E-2"/>
                </c:manualLayout>
              </c:layout>
              <c:tx>
                <c:rich>
                  <a:bodyPr/>
                  <a:lstStyle/>
                  <a:p>
                    <a:r>
                      <a:rPr lang="en-US" altLang="en-US"/>
                      <a:t>4.57</a:t>
                    </a:r>
                    <a:r>
                      <a:rPr lang="en-US" altLang="zh-CN"/>
                      <a:t>%</a:t>
                    </a:r>
                    <a:endParaRPr lang="en-US" altLang="en-US"/>
                  </a:p>
                </c:rich>
              </c:tx>
              <c:dLblPos val="bestFit"/>
              <c:showVal val="1"/>
              <c:extLst>
                <c:ext xmlns:c15="http://schemas.microsoft.com/office/drawing/2012/chart" uri="{CE6537A1-D6FC-4f65-9D91-7224C49458BB}">
                  <c15:layout/>
                </c:ext>
              </c:extLst>
            </c:dLbl>
            <c:dLbl>
              <c:idx val="3"/>
              <c:tx>
                <c:rich>
                  <a:bodyPr/>
                  <a:lstStyle/>
                  <a:p>
                    <a:r>
                      <a:rPr lang="en-US" altLang="en-US"/>
                      <a:t>1.61</a:t>
                    </a:r>
                    <a:r>
                      <a:rPr lang="en-US" altLang="zh-CN"/>
                      <a:t>%</a:t>
                    </a:r>
                    <a:endParaRPr lang="en-US" altLang="en-US"/>
                  </a:p>
                </c:rich>
              </c:tx>
              <c:dLblPos val="bestFit"/>
              <c:showVal val="1"/>
              <c:extLst>
                <c:ext xmlns:c15="http://schemas.microsoft.com/office/drawing/2012/chart" uri="{CE6537A1-D6FC-4f65-9D91-7224C49458BB}"/>
              </c:extLst>
            </c:dLbl>
            <c:dLbl>
              <c:idx val="4"/>
              <c:layout>
                <c:manualLayout>
                  <c:x val="7.422353455818069E-2"/>
                  <c:y val="1.7355643044619406E-2"/>
                </c:manualLayout>
              </c:layout>
              <c:tx>
                <c:rich>
                  <a:bodyPr/>
                  <a:lstStyle/>
                  <a:p>
                    <a:r>
                      <a:rPr lang="en-US" altLang="en-US"/>
                      <a:t>2.63</a:t>
                    </a:r>
                    <a:r>
                      <a:rPr lang="en-US" altLang="zh-CN"/>
                      <a:t>%</a:t>
                    </a:r>
                    <a:endParaRPr lang="en-US" altLang="en-US"/>
                  </a:p>
                </c:rich>
              </c:tx>
              <c:dLblPos val="bestFit"/>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Sheet1!$A$58:$A$62</c:f>
              <c:strCache>
                <c:ptCount val="5"/>
                <c:pt idx="0">
                  <c:v>一般公共预算财政拨款支出结构</c:v>
                </c:pt>
                <c:pt idx="1">
                  <c:v>201一般公共服务（类）支出 </c:v>
                </c:pt>
                <c:pt idx="2">
                  <c:v>208社会保障和就业（类）支出</c:v>
                </c:pt>
                <c:pt idx="3">
                  <c:v>210卫生健康（类）支出</c:v>
                </c:pt>
                <c:pt idx="4">
                  <c:v>221住房保障（类）支出14.59万元</c:v>
                </c:pt>
              </c:strCache>
            </c:strRef>
          </c:cat>
          <c:val>
            <c:numRef>
              <c:f>Sheet1!$B$58:$B$62</c:f>
              <c:numCache>
                <c:formatCode>General</c:formatCode>
                <c:ptCount val="5"/>
                <c:pt idx="1">
                  <c:v>91.19</c:v>
                </c:pt>
                <c:pt idx="2">
                  <c:v>4.57</c:v>
                </c:pt>
                <c:pt idx="3">
                  <c:v>1.61</c:v>
                </c:pt>
                <c:pt idx="4">
                  <c:v>2.63</c:v>
                </c:pt>
              </c:numCache>
            </c:numRef>
          </c:val>
        </c:ser>
        <c:dLbls>
          <c:showVal val="1"/>
        </c:dLbls>
        <c:firstSliceAng val="0"/>
      </c:pieChart>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explosion val="11"/>
          <c:dLbls>
            <c:dLbl>
              <c:idx val="0"/>
              <c:delete val="1"/>
            </c:dLbl>
            <c:dLbl>
              <c:idx val="1"/>
              <c:layout>
                <c:manualLayout>
                  <c:x val="-0.11158770093071002"/>
                  <c:y val="0.14759177308043211"/>
                </c:manualLayout>
              </c:layout>
              <c:tx>
                <c:rich>
                  <a:bodyPr/>
                  <a:lstStyle/>
                  <a:p>
                    <a:r>
                      <a:rPr altLang="en-US">
                        <a:solidFill>
                          <a:schemeClr val="bg1"/>
                        </a:solidFill>
                      </a:rPr>
                      <a:t>0</a:t>
                    </a:r>
                  </a:p>
                </c:rich>
              </c:tx>
              <c:dLblPos val="bestFit"/>
              <c:showVal val="1"/>
              <c:extLst>
                <c:ext xmlns:c15="http://schemas.microsoft.com/office/drawing/2012/chart" uri="{CE6537A1-D6FC-4f65-9D91-7224C49458BB}">
                  <c15:layout/>
                </c:ext>
              </c:extLst>
            </c:dLbl>
            <c:dLbl>
              <c:idx val="2"/>
              <c:delete val="1"/>
            </c:dLbl>
            <c:dLbl>
              <c:idx val="3"/>
              <c:tx>
                <c:rich>
                  <a:bodyPr/>
                  <a:lstStyle/>
                  <a:p>
                    <a:r>
                      <a:rPr lang="en-US" altLang="en-US"/>
                      <a:t>100</a:t>
                    </a:r>
                    <a:r>
                      <a:rPr lang="en-US" altLang="zh-CN"/>
                      <a:t>%</a:t>
                    </a:r>
                    <a:endParaRPr lang="en-US" altLang="en-US"/>
                  </a:p>
                </c:rich>
              </c:tx>
              <c:dLblPos val="bestFit"/>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Sheet1!$A$70:$A$73</c:f>
              <c:strCache>
                <c:ptCount val="4"/>
                <c:pt idx="0">
                  <c:v>“三公”经费财政拨款支出结构</c:v>
                </c:pt>
                <c:pt idx="1">
                  <c:v>公务接待</c:v>
                </c:pt>
                <c:pt idx="2">
                  <c:v>因公出过（境）</c:v>
                </c:pt>
                <c:pt idx="3">
                  <c:v>公务车辆购置及运行费</c:v>
                </c:pt>
              </c:strCache>
            </c:strRef>
          </c:cat>
          <c:val>
            <c:numRef>
              <c:f>Sheet1!$B$70:$B$73</c:f>
              <c:numCache>
                <c:formatCode>General</c:formatCode>
                <c:ptCount val="4"/>
                <c:pt idx="1">
                  <c:v>0</c:v>
                </c:pt>
                <c:pt idx="2">
                  <c:v>0</c:v>
                </c:pt>
                <c:pt idx="3">
                  <c:v>100</c:v>
                </c:pt>
              </c:numCache>
            </c:numRef>
          </c:val>
        </c:ser>
        <c:dLbls>
          <c:showVal val="1"/>
        </c:dLbls>
        <c:firstSliceAng val="0"/>
      </c:pieChart>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05258D-7984-4ADF-A1BA-5F991D5B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1091</Words>
  <Characters>6223</Characters>
  <Application>Microsoft Office Word</Application>
  <DocSecurity>0</DocSecurity>
  <Lines>51</Lines>
  <Paragraphs>14</Paragraphs>
  <ScaleCrop>false</ScaleCrop>
  <Company/>
  <LinksUpToDate>false</LinksUpToDate>
  <CharactersWithSpaces>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2023-09-25T06:12:00Z</cp:lastPrinted>
  <dcterms:created xsi:type="dcterms:W3CDTF">2024-08-19T08:03:00Z</dcterms:created>
  <dcterms:modified xsi:type="dcterms:W3CDTF">2024-08-19T08:03:00Z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7268EC9E704245D7957D61DC254F54E6</vt:lpwstr>
  </property>
  <property fmtid="{D5CDD505-2E9C-101B-9397-08002B2CF9AE}" pid="4" name="KSOSaveFontToCloudKey">
    <vt:lpwstr>639476831_btnclosed</vt:lpwstr>
  </property>
</Properties>
</file>