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1000" w:lineRule="exact"/>
        <w:jc w:val="both"/>
        <w:outlineLvl w:val="0"/>
        <w:rPr>
          <w:rFonts w:ascii="方正小标宋简体" w:eastAsia="方正小标宋简体"/>
          <w:color w:val="000000"/>
          <w:sz w:val="72"/>
          <w:szCs w:val="72"/>
        </w:rPr>
      </w:pPr>
      <w:bookmarkStart w:id="0" w:name="_Toc15306267"/>
    </w:p>
    <w:p>
      <w:pPr>
        <w:spacing w:after="0" w:line="1000" w:lineRule="exact"/>
        <w:jc w:val="center"/>
        <w:outlineLvl w:val="0"/>
        <w:rPr>
          <w:rFonts w:ascii="黑体" w:eastAsia="黑体"/>
          <w:color w:val="000000"/>
          <w:sz w:val="72"/>
          <w:szCs w:val="72"/>
        </w:rPr>
      </w:pPr>
      <w:bookmarkStart w:id="1" w:name="_Toc15396475"/>
      <w:bookmarkStart w:id="2" w:name="_Toc15378441"/>
      <w:bookmarkStart w:id="3" w:name="_Toc15396597"/>
      <w:bookmarkStart w:id="4" w:name="_Toc15377193"/>
      <w:bookmarkStart w:id="5" w:name="_Toc15377425"/>
    </w:p>
    <w:p>
      <w:pPr>
        <w:spacing w:after="0" w:line="1000" w:lineRule="exact"/>
        <w:jc w:val="center"/>
        <w:outlineLvl w:val="0"/>
        <w:rPr>
          <w:rFonts w:ascii="黑体" w:eastAsia="黑体"/>
          <w:color w:val="000000"/>
          <w:sz w:val="72"/>
          <w:szCs w:val="72"/>
        </w:rPr>
      </w:pPr>
    </w:p>
    <w:p>
      <w:pPr>
        <w:spacing w:after="0" w:line="1000" w:lineRule="exact"/>
        <w:jc w:val="center"/>
        <w:outlineLvl w:val="0"/>
        <w:rPr>
          <w:rFonts w:ascii="方正小标宋简体" w:eastAsia="方正小标宋简体"/>
          <w:color w:val="000000"/>
          <w:sz w:val="72"/>
          <w:szCs w:val="72"/>
        </w:rPr>
      </w:pPr>
      <w:r>
        <w:rPr>
          <w:rFonts w:ascii="黑体" w:eastAsia="黑体"/>
          <w:color w:val="000000"/>
          <w:sz w:val="72"/>
          <w:szCs w:val="72"/>
        </w:rPr>
        <w:t>20</w:t>
      </w:r>
      <w:r>
        <w:rPr>
          <w:rFonts w:hint="eastAsia" w:ascii="黑体" w:eastAsia="黑体"/>
          <w:color w:val="000000"/>
          <w:sz w:val="72"/>
          <w:szCs w:val="72"/>
        </w:rPr>
        <w:t>21</w:t>
      </w:r>
      <w:r>
        <w:rPr>
          <w:rFonts w:hint="eastAsia" w:ascii="方正小标宋简体" w:eastAsia="方正小标宋简体"/>
          <w:color w:val="000000"/>
          <w:sz w:val="72"/>
          <w:szCs w:val="72"/>
        </w:rPr>
        <w:t>年度</w:t>
      </w:r>
      <w:bookmarkEnd w:id="1"/>
      <w:bookmarkEnd w:id="2"/>
      <w:bookmarkEnd w:id="3"/>
      <w:bookmarkEnd w:id="4"/>
      <w:bookmarkEnd w:id="5"/>
    </w:p>
    <w:p>
      <w:pPr>
        <w:spacing w:after="0" w:line="1000" w:lineRule="exact"/>
        <w:jc w:val="center"/>
        <w:outlineLvl w:val="0"/>
        <w:rPr>
          <w:rFonts w:hint="eastAsia" w:ascii="方正小标宋简体" w:eastAsia="方正小标宋简体"/>
          <w:color w:val="000000"/>
          <w:w w:val="90"/>
          <w:sz w:val="72"/>
          <w:szCs w:val="72"/>
          <w:lang w:val="en-US" w:eastAsia="zh-CN"/>
        </w:rPr>
      </w:pPr>
      <w:bookmarkStart w:id="6" w:name="_Toc15396476"/>
      <w:bookmarkStart w:id="7" w:name="_Toc15377194"/>
      <w:bookmarkStart w:id="8" w:name="_Toc15396598"/>
      <w:bookmarkStart w:id="9" w:name="_Toc15378442"/>
      <w:bookmarkStart w:id="10" w:name="_Toc15377426"/>
      <w:r>
        <w:rPr>
          <w:rFonts w:hint="eastAsia" w:ascii="方正小标宋简体" w:eastAsia="方正小标宋简体"/>
          <w:color w:val="000000"/>
          <w:w w:val="90"/>
          <w:sz w:val="72"/>
          <w:szCs w:val="72"/>
        </w:rPr>
        <w:t>中共阿坝州</w:t>
      </w:r>
      <w:bookmarkEnd w:id="0"/>
      <w:bookmarkStart w:id="11" w:name="_Toc15306268"/>
      <w:r>
        <w:rPr>
          <w:rFonts w:hint="eastAsia" w:ascii="方正小标宋简体" w:eastAsia="方正小标宋简体"/>
          <w:color w:val="000000"/>
          <w:w w:val="90"/>
          <w:sz w:val="72"/>
          <w:szCs w:val="72"/>
        </w:rPr>
        <w:t>委网网络安全和信息化委员会办公室</w:t>
      </w:r>
      <w:r>
        <w:rPr>
          <w:rFonts w:hint="eastAsia" w:ascii="方正小标宋简体" w:eastAsia="方正小标宋简体"/>
          <w:color w:val="000000"/>
          <w:w w:val="90"/>
          <w:sz w:val="72"/>
          <w:szCs w:val="72"/>
          <w:lang w:val="en-US" w:eastAsia="zh-CN"/>
        </w:rPr>
        <w:t>部门</w:t>
      </w:r>
    </w:p>
    <w:p>
      <w:pPr>
        <w:spacing w:after="0" w:line="1000" w:lineRule="exact"/>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决  算</w:t>
      </w:r>
      <w:bookmarkEnd w:id="6"/>
      <w:bookmarkEnd w:id="7"/>
      <w:bookmarkEnd w:id="8"/>
      <w:bookmarkEnd w:id="9"/>
      <w:bookmarkEnd w:id="10"/>
      <w:bookmarkEnd w:id="11"/>
    </w:p>
    <w:p>
      <w:pPr>
        <w:spacing w:after="0" w:line="1000" w:lineRule="exact"/>
        <w:jc w:val="both"/>
        <w:rPr>
          <w:rFonts w:ascii="方正小标宋简体" w:eastAsia="方正小标宋简体"/>
          <w:color w:val="000000"/>
          <w:sz w:val="36"/>
          <w:szCs w:val="36"/>
        </w:rPr>
      </w:pPr>
    </w:p>
    <w:p>
      <w:pPr>
        <w:spacing w:after="0" w:line="560" w:lineRule="exact"/>
        <w:jc w:val="both"/>
        <w:rPr>
          <w:rFonts w:ascii="方正小标宋简体" w:eastAsia="方正小标宋简体"/>
          <w:sz w:val="36"/>
          <w:szCs w:val="36"/>
        </w:rPr>
      </w:pPr>
    </w:p>
    <w:p>
      <w:pPr>
        <w:spacing w:after="0" w:line="560" w:lineRule="exact"/>
        <w:jc w:val="both"/>
        <w:rPr>
          <w:rFonts w:ascii="方正小标宋简体" w:eastAsia="方正小标宋简体"/>
          <w:sz w:val="36"/>
          <w:szCs w:val="36"/>
        </w:rPr>
      </w:pPr>
    </w:p>
    <w:p>
      <w:pPr>
        <w:spacing w:after="0" w:line="560" w:lineRule="exact"/>
        <w:jc w:val="both"/>
        <w:rPr>
          <w:rFonts w:ascii="方正小标宋简体" w:eastAsia="方正小标宋简体"/>
          <w:sz w:val="36"/>
          <w:szCs w:val="36"/>
        </w:rPr>
      </w:pPr>
    </w:p>
    <w:p>
      <w:pPr>
        <w:spacing w:after="0" w:line="560" w:lineRule="exact"/>
        <w:jc w:val="both"/>
        <w:rPr>
          <w:rFonts w:ascii="方正小标宋简体" w:eastAsia="方正小标宋简体"/>
          <w:sz w:val="36"/>
          <w:szCs w:val="36"/>
        </w:rPr>
      </w:pPr>
    </w:p>
    <w:p>
      <w:pPr>
        <w:spacing w:after="0" w:line="560" w:lineRule="exact"/>
        <w:jc w:val="both"/>
        <w:rPr>
          <w:rFonts w:ascii="方正小标宋简体" w:eastAsia="方正小标宋简体"/>
          <w:sz w:val="36"/>
          <w:szCs w:val="36"/>
        </w:rPr>
      </w:pPr>
    </w:p>
    <w:p>
      <w:pPr>
        <w:autoSpaceDE w:val="0"/>
        <w:autoSpaceDN w:val="0"/>
        <w:spacing w:after="0" w:line="560" w:lineRule="exact"/>
        <w:ind w:firstLine="640" w:firstLineChars="200"/>
        <w:jc w:val="both"/>
        <w:rPr>
          <w:rFonts w:eastAsia="仿宋_GB2312"/>
          <w:sz w:val="32"/>
          <w:szCs w:val="32"/>
        </w:rPr>
      </w:pPr>
      <w:r>
        <w:rPr>
          <w:rFonts w:hint="eastAsia" w:ascii="仿宋_GB2312" w:eastAsia="仿宋_GB2312" w:cs="仿宋_GB2312"/>
          <w:sz w:val="32"/>
          <w:szCs w:val="32"/>
        </w:rPr>
        <w:t>保密审查情况：已审查，内容审定</w:t>
      </w:r>
    </w:p>
    <w:p>
      <w:pPr>
        <w:autoSpaceDE w:val="0"/>
        <w:autoSpaceDN w:val="0"/>
        <w:spacing w:after="0" w:line="560"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部门主要负责人审签情况：已审签，同意对外公开</w:t>
      </w:r>
    </w:p>
    <w:p>
      <w:pPr>
        <w:pStyle w:val="11"/>
        <w:spacing w:before="0" w:line="560" w:lineRule="exact"/>
        <w:jc w:val="both"/>
      </w:pPr>
    </w:p>
    <w:p>
      <w:pPr>
        <w:spacing w:after="0" w:line="560" w:lineRule="exact"/>
        <w:jc w:val="both"/>
      </w:pPr>
    </w:p>
    <w:p>
      <w:pPr>
        <w:spacing w:after="0" w:line="560" w:lineRule="exact"/>
        <w:jc w:val="both"/>
        <w:rPr>
          <w:rFonts w:ascii="黑体" w:eastAsia="黑体"/>
          <w:color w:val="000000"/>
          <w:sz w:val="48"/>
          <w:szCs w:val="48"/>
        </w:rPr>
      </w:pPr>
    </w:p>
    <w:p>
      <w:pPr>
        <w:spacing w:after="0" w:line="560" w:lineRule="exact"/>
        <w:jc w:val="center"/>
        <w:rPr>
          <w:rFonts w:ascii="黑体" w:eastAsia="黑体"/>
          <w:color w:val="000000"/>
          <w:sz w:val="48"/>
          <w:szCs w:val="48"/>
        </w:rPr>
      </w:pPr>
      <w:r>
        <w:rPr>
          <w:rFonts w:hint="eastAsia" w:ascii="黑体" w:eastAsia="黑体"/>
          <w:color w:val="000000"/>
          <w:sz w:val="48"/>
          <w:szCs w:val="48"/>
        </w:rPr>
        <w:t>目录</w:t>
      </w:r>
    </w:p>
    <w:p>
      <w:pPr>
        <w:spacing w:after="0" w:line="560" w:lineRule="exact"/>
        <w:jc w:val="both"/>
        <w:rPr>
          <w:rFonts w:ascii="黑体" w:eastAsia="黑体"/>
          <w:sz w:val="28"/>
          <w:szCs w:val="28"/>
        </w:rPr>
      </w:pPr>
    </w:p>
    <w:p>
      <w:pPr>
        <w:pStyle w:val="11"/>
        <w:spacing w:before="0" w:line="560" w:lineRule="exact"/>
        <w:rPr>
          <w:rFonts w:ascii="仿宋_GB2312" w:eastAsia="仿宋_GB2312"/>
          <w:sz w:val="32"/>
          <w:szCs w:val="32"/>
        </w:rPr>
      </w:pPr>
      <w:r>
        <w:rPr>
          <w:rFonts w:hint="eastAsia" w:ascii="仿宋_GB2312" w:eastAsia="仿宋_GB2312"/>
          <w:sz w:val="32"/>
          <w:szCs w:val="32"/>
        </w:rPr>
        <w:t>公开时间：202</w:t>
      </w:r>
      <w:r>
        <w:rPr>
          <w:rFonts w:hint="eastAsia" w:ascii="仿宋_GB2312" w:eastAsia="仿宋_GB2312"/>
          <w:sz w:val="32"/>
          <w:szCs w:val="32"/>
          <w:lang w:val="en-US" w:eastAsia="zh-CN"/>
        </w:rPr>
        <w:t>2</w:t>
      </w:r>
      <w:r>
        <w:rPr>
          <w:rFonts w:hint="eastAsia" w:ascii="仿宋_GB2312" w:eastAsia="仿宋_GB2312"/>
          <w:sz w:val="32"/>
          <w:szCs w:val="32"/>
        </w:rPr>
        <w:t>年9月</w:t>
      </w:r>
      <w:r>
        <w:rPr>
          <w:rFonts w:hint="eastAsia" w:ascii="仿宋_GB2312" w:eastAsia="仿宋_GB2312"/>
          <w:sz w:val="32"/>
          <w:szCs w:val="32"/>
          <w:lang w:val="en-US" w:eastAsia="zh-CN"/>
        </w:rPr>
        <w:t>28</w:t>
      </w:r>
      <w:r>
        <w:rPr>
          <w:rFonts w:hint="eastAsia" w:ascii="仿宋_GB2312" w:eastAsia="仿宋_GB2312"/>
          <w:sz w:val="32"/>
          <w:szCs w:val="32"/>
        </w:rPr>
        <w:t>日</w:t>
      </w:r>
    </w:p>
    <w:p>
      <w:pPr>
        <w:spacing w:after="0" w:line="560" w:lineRule="exact"/>
        <w:jc w:val="both"/>
        <w:rPr>
          <w:rFonts w:ascii="仿宋_GB2312" w:eastAsia="仿宋_GB2312"/>
          <w:sz w:val="32"/>
          <w:szCs w:val="32"/>
        </w:rPr>
      </w:pPr>
    </w:p>
    <w:p>
      <w:pPr>
        <w:pStyle w:val="11"/>
        <w:adjustRightInd w:val="0"/>
        <w:snapToGrid w:val="0"/>
        <w:spacing w:before="0" w:line="560" w:lineRule="exact"/>
        <w:ind w:firstLine="321" w:firstLineChars="100"/>
        <w:jc w:val="left"/>
        <w:rPr>
          <w:rFonts w:ascii="仿宋_GB2312" w:eastAsia="仿宋_GB2312" w:cs="Arial"/>
          <w:sz w:val="32"/>
          <w:szCs w:val="32"/>
        </w:rPr>
      </w:pPr>
      <w:r>
        <w:rPr>
          <w:rFonts w:hint="eastAsia" w:ascii="仿宋_GB2312" w:eastAsia="仿宋_GB2312"/>
          <w:b/>
          <w:sz w:val="32"/>
          <w:szCs w:val="32"/>
        </w:rPr>
        <w:t>第一部分 部门概况</w:t>
      </w:r>
      <w:r>
        <w:rPr>
          <w:rFonts w:ascii="仿宋_GB2312" w:eastAsia="仿宋_GB2312"/>
          <w:sz w:val="32"/>
          <w:szCs w:val="32"/>
        </w:rPr>
        <w:tab/>
      </w:r>
      <w:r>
        <w:rPr>
          <w:rFonts w:hint="eastAsia" w:ascii="仿宋_GB2312" w:eastAsia="仿宋_GB2312"/>
          <w:sz w:val="32"/>
          <w:szCs w:val="32"/>
        </w:rPr>
        <w:t>4</w:t>
      </w:r>
    </w:p>
    <w:p>
      <w:pPr>
        <w:pStyle w:val="12"/>
        <w:adjustRightInd w:val="0"/>
        <w:snapToGrid w:val="0"/>
        <w:spacing w:line="560" w:lineRule="exact"/>
        <w:ind w:left="0" w:leftChars="0" w:firstLine="640" w:firstLineChars="200"/>
        <w:jc w:val="left"/>
        <w:rPr>
          <w:rFonts w:ascii="仿宋_GB2312" w:eastAsia="仿宋_GB2312"/>
          <w:sz w:val="32"/>
          <w:szCs w:val="32"/>
        </w:rPr>
      </w:pPr>
      <w:r>
        <w:rPr>
          <w:rFonts w:hint="eastAsia" w:ascii="仿宋_GB2312" w:eastAsia="仿宋_GB2312"/>
          <w:sz w:val="32"/>
          <w:szCs w:val="32"/>
        </w:rPr>
        <w:t>一、基本职能及主要工作</w:t>
      </w:r>
      <w:r>
        <w:rPr>
          <w:rFonts w:ascii="仿宋_GB2312" w:eastAsia="仿宋_GB2312"/>
          <w:sz w:val="32"/>
          <w:szCs w:val="32"/>
        </w:rPr>
        <w:tab/>
      </w:r>
      <w:r>
        <w:rPr>
          <w:rFonts w:hint="eastAsia" w:ascii="仿宋_GB2312" w:eastAsia="仿宋_GB2312"/>
          <w:sz w:val="32"/>
          <w:szCs w:val="32"/>
        </w:rPr>
        <w:t>4</w:t>
      </w:r>
    </w:p>
    <w:p>
      <w:pPr>
        <w:pStyle w:val="12"/>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二、机构设置</w:t>
      </w:r>
      <w:r>
        <w:rPr>
          <w:rFonts w:ascii="仿宋_GB2312" w:eastAsia="仿宋_GB2312"/>
          <w:sz w:val="32"/>
          <w:szCs w:val="32"/>
        </w:rPr>
        <w:tab/>
      </w:r>
      <w:r>
        <w:rPr>
          <w:rFonts w:hint="eastAsia" w:ascii="仿宋_GB2312" w:eastAsia="仿宋_GB2312"/>
          <w:sz w:val="32"/>
          <w:szCs w:val="32"/>
        </w:rPr>
        <w:t>4</w:t>
      </w:r>
    </w:p>
    <w:p>
      <w:pPr>
        <w:pStyle w:val="11"/>
        <w:adjustRightInd w:val="0"/>
        <w:snapToGrid w:val="0"/>
        <w:spacing w:before="0" w:line="560" w:lineRule="exact"/>
        <w:ind w:firstLine="321" w:firstLineChars="100"/>
        <w:jc w:val="left"/>
        <w:rPr>
          <w:rFonts w:ascii="仿宋_GB2312" w:eastAsia="仿宋_GB2312"/>
          <w:sz w:val="32"/>
          <w:szCs w:val="32"/>
        </w:rPr>
      </w:pPr>
      <w:r>
        <w:rPr>
          <w:rFonts w:hint="eastAsia" w:ascii="仿宋_GB2312" w:eastAsia="仿宋_GB2312"/>
          <w:b/>
          <w:sz w:val="32"/>
          <w:szCs w:val="32"/>
        </w:rPr>
        <w:t>第二部分 年度部门决算情况说明</w:t>
      </w:r>
      <w:r>
        <w:rPr>
          <w:rFonts w:ascii="仿宋_GB2312" w:eastAsia="仿宋_GB2312"/>
          <w:sz w:val="32"/>
          <w:szCs w:val="32"/>
        </w:rPr>
        <w:tab/>
      </w:r>
      <w:r>
        <w:rPr>
          <w:rFonts w:ascii="仿宋_GB2312" w:eastAsia="仿宋_GB2312"/>
          <w:sz w:val="32"/>
          <w:szCs w:val="32"/>
        </w:rPr>
        <w:t>5</w:t>
      </w:r>
    </w:p>
    <w:p>
      <w:pPr>
        <w:pStyle w:val="12"/>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一、收入支出决算总体情况说明</w:t>
      </w:r>
      <w:r>
        <w:rPr>
          <w:rFonts w:ascii="仿宋_GB2312" w:eastAsia="仿宋_GB2312"/>
          <w:sz w:val="32"/>
          <w:szCs w:val="32"/>
        </w:rPr>
        <w:tab/>
      </w:r>
      <w:r>
        <w:rPr>
          <w:rFonts w:hint="eastAsia" w:ascii="仿宋_GB2312" w:eastAsia="仿宋_GB2312"/>
          <w:sz w:val="32"/>
          <w:szCs w:val="32"/>
        </w:rPr>
        <w:t>5</w:t>
      </w:r>
    </w:p>
    <w:p>
      <w:pPr>
        <w:pStyle w:val="12"/>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二、收入决算情况说明</w:t>
      </w:r>
      <w:r>
        <w:rPr>
          <w:rFonts w:ascii="仿宋_GB2312" w:eastAsia="仿宋_GB2312"/>
          <w:sz w:val="32"/>
          <w:szCs w:val="32"/>
        </w:rPr>
        <w:tab/>
      </w:r>
      <w:r>
        <w:rPr>
          <w:rFonts w:ascii="仿宋_GB2312" w:eastAsia="仿宋_GB2312"/>
          <w:sz w:val="32"/>
          <w:szCs w:val="32"/>
        </w:rPr>
        <w:t>6</w:t>
      </w:r>
    </w:p>
    <w:p>
      <w:pPr>
        <w:pStyle w:val="12"/>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三、支出决算情况说明</w:t>
      </w:r>
      <w:r>
        <w:rPr>
          <w:rFonts w:ascii="仿宋_GB2312" w:eastAsia="仿宋_GB2312"/>
          <w:sz w:val="32"/>
          <w:szCs w:val="32"/>
        </w:rPr>
        <w:tab/>
      </w:r>
      <w:r>
        <w:rPr>
          <w:rFonts w:ascii="仿宋_GB2312" w:eastAsia="仿宋_GB2312"/>
          <w:sz w:val="32"/>
          <w:szCs w:val="32"/>
        </w:rPr>
        <w:t>7</w:t>
      </w:r>
    </w:p>
    <w:p>
      <w:pPr>
        <w:pStyle w:val="12"/>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四、财政拨款收入支出决算总体情况说明</w:t>
      </w:r>
      <w:r>
        <w:rPr>
          <w:rFonts w:ascii="仿宋_GB2312" w:eastAsia="仿宋_GB2312"/>
          <w:sz w:val="32"/>
          <w:szCs w:val="32"/>
        </w:rPr>
        <w:tab/>
      </w:r>
      <w:r>
        <w:rPr>
          <w:rFonts w:ascii="仿宋_GB2312" w:eastAsia="仿宋_GB2312"/>
          <w:sz w:val="32"/>
          <w:szCs w:val="32"/>
        </w:rPr>
        <w:t>7</w:t>
      </w:r>
    </w:p>
    <w:p>
      <w:pPr>
        <w:pStyle w:val="12"/>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五、一般公共预算财政拨款支出决算情况说明</w:t>
      </w:r>
      <w:r>
        <w:rPr>
          <w:rFonts w:ascii="仿宋_GB2312" w:eastAsia="仿宋_GB2312"/>
          <w:sz w:val="32"/>
          <w:szCs w:val="32"/>
        </w:rPr>
        <w:tab/>
      </w:r>
      <w:r>
        <w:rPr>
          <w:rFonts w:ascii="仿宋_GB2312" w:eastAsia="仿宋_GB2312"/>
          <w:sz w:val="32"/>
          <w:szCs w:val="32"/>
        </w:rPr>
        <w:t>8</w:t>
      </w:r>
    </w:p>
    <w:p>
      <w:pPr>
        <w:pStyle w:val="12"/>
        <w:adjustRightInd w:val="0"/>
        <w:snapToGrid w:val="0"/>
        <w:spacing w:line="560" w:lineRule="exact"/>
        <w:ind w:left="0" w:leftChars="0" w:firstLine="640" w:firstLineChars="200"/>
        <w:jc w:val="left"/>
        <w:rPr>
          <w:rFonts w:hint="eastAsia" w:ascii="仿宋_GB2312" w:eastAsia="仿宋_GB2312" w:cs="Arial"/>
          <w:sz w:val="32"/>
          <w:szCs w:val="32"/>
          <w:lang w:eastAsia="zh-CN"/>
        </w:rPr>
      </w:pPr>
      <w:r>
        <w:rPr>
          <w:rFonts w:hint="eastAsia" w:ascii="仿宋_GB2312" w:eastAsia="仿宋_GB2312"/>
          <w:sz w:val="32"/>
          <w:szCs w:val="32"/>
        </w:rPr>
        <w:t>六、一般公共预算财政拨款基本支出决算情况说明</w:t>
      </w:r>
      <w:r>
        <w:rPr>
          <w:rFonts w:ascii="仿宋_GB2312" w:eastAsia="仿宋_GB2312"/>
          <w:sz w:val="32"/>
          <w:szCs w:val="32"/>
        </w:rPr>
        <w:tab/>
      </w:r>
      <w:r>
        <w:rPr>
          <w:rFonts w:ascii="仿宋_GB2312" w:eastAsia="仿宋_GB2312"/>
          <w:sz w:val="32"/>
          <w:szCs w:val="32"/>
        </w:rPr>
        <w:t>1</w:t>
      </w:r>
      <w:r>
        <w:rPr>
          <w:rFonts w:hint="eastAsia" w:ascii="仿宋_GB2312" w:eastAsia="仿宋_GB2312"/>
          <w:sz w:val="32"/>
          <w:szCs w:val="32"/>
          <w:lang w:val="en-US" w:eastAsia="zh-CN"/>
        </w:rPr>
        <w:t>1</w:t>
      </w:r>
    </w:p>
    <w:p>
      <w:pPr>
        <w:pStyle w:val="12"/>
        <w:adjustRightInd w:val="0"/>
        <w:snapToGrid w:val="0"/>
        <w:spacing w:line="560" w:lineRule="exact"/>
        <w:ind w:left="0" w:leftChars="0" w:firstLine="640" w:firstLineChars="200"/>
        <w:jc w:val="left"/>
        <w:rPr>
          <w:rFonts w:hint="eastAsia" w:ascii="仿宋_GB2312" w:eastAsia="仿宋_GB2312" w:cs="Arial"/>
          <w:sz w:val="32"/>
          <w:szCs w:val="32"/>
          <w:lang w:eastAsia="zh-CN"/>
        </w:rPr>
      </w:pPr>
      <w:r>
        <w:rPr>
          <w:rFonts w:hint="eastAsia" w:ascii="仿宋_GB2312" w:eastAsia="仿宋_GB2312"/>
          <w:sz w:val="32"/>
          <w:szCs w:val="32"/>
        </w:rPr>
        <w:t>七、“三公”经费财政拨款支出决算情况说明</w:t>
      </w:r>
      <w:r>
        <w:rPr>
          <w:rFonts w:ascii="仿宋_GB2312" w:eastAsia="仿宋_GB2312"/>
          <w:sz w:val="32"/>
          <w:szCs w:val="32"/>
        </w:rPr>
        <w:tab/>
      </w:r>
      <w:r>
        <w:rPr>
          <w:rFonts w:ascii="仿宋_GB2312" w:eastAsia="仿宋_GB2312"/>
          <w:sz w:val="32"/>
          <w:szCs w:val="32"/>
        </w:rPr>
        <w:t>1</w:t>
      </w:r>
      <w:r>
        <w:rPr>
          <w:rFonts w:hint="eastAsia" w:ascii="仿宋_GB2312" w:eastAsia="仿宋_GB2312"/>
          <w:sz w:val="32"/>
          <w:szCs w:val="32"/>
          <w:lang w:val="en-US" w:eastAsia="zh-CN"/>
        </w:rPr>
        <w:t>1</w:t>
      </w:r>
    </w:p>
    <w:p>
      <w:pPr>
        <w:pStyle w:val="12"/>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八、政府性基金预算支出决算情况说明</w:t>
      </w:r>
      <w:r>
        <w:rPr>
          <w:rFonts w:ascii="仿宋_GB2312" w:eastAsia="仿宋_GB2312"/>
          <w:sz w:val="32"/>
          <w:szCs w:val="32"/>
        </w:rPr>
        <w:tab/>
      </w:r>
      <w:r>
        <w:rPr>
          <w:rFonts w:ascii="仿宋_GB2312" w:eastAsia="仿宋_GB2312"/>
          <w:sz w:val="32"/>
          <w:szCs w:val="32"/>
        </w:rPr>
        <w:t>12</w:t>
      </w:r>
    </w:p>
    <w:p>
      <w:pPr>
        <w:pStyle w:val="12"/>
        <w:adjustRightInd w:val="0"/>
        <w:snapToGrid w:val="0"/>
        <w:spacing w:line="560" w:lineRule="exact"/>
        <w:ind w:left="0" w:leftChars="0" w:firstLine="640" w:firstLineChars="200"/>
        <w:jc w:val="left"/>
        <w:rPr>
          <w:rFonts w:ascii="仿宋_GB2312" w:eastAsia="仿宋_GB2312"/>
          <w:sz w:val="32"/>
          <w:szCs w:val="32"/>
        </w:rPr>
      </w:pPr>
      <w:r>
        <w:rPr>
          <w:rFonts w:hint="eastAsia" w:ascii="仿宋_GB2312" w:eastAsia="仿宋_GB2312"/>
          <w:sz w:val="32"/>
          <w:szCs w:val="32"/>
        </w:rPr>
        <w:t>九、国有资本经营预算支出决算情况说明</w:t>
      </w:r>
      <w:r>
        <w:rPr>
          <w:rFonts w:ascii="仿宋_GB2312" w:eastAsia="仿宋_GB2312"/>
          <w:sz w:val="32"/>
          <w:szCs w:val="32"/>
        </w:rPr>
        <w:tab/>
      </w:r>
      <w:r>
        <w:rPr>
          <w:rFonts w:ascii="仿宋_GB2312" w:eastAsia="仿宋_GB2312"/>
          <w:sz w:val="32"/>
          <w:szCs w:val="32"/>
        </w:rPr>
        <w:t>12</w:t>
      </w:r>
    </w:p>
    <w:p>
      <w:pPr>
        <w:pStyle w:val="12"/>
        <w:adjustRightInd w:val="0"/>
        <w:snapToGrid w:val="0"/>
        <w:spacing w:line="560" w:lineRule="exact"/>
        <w:ind w:left="0" w:leftChars="0" w:firstLine="640" w:firstLineChars="200"/>
        <w:jc w:val="left"/>
        <w:rPr>
          <w:rFonts w:hint="eastAsia" w:ascii="仿宋_GB2312" w:eastAsia="仿宋_GB2312"/>
          <w:sz w:val="32"/>
          <w:szCs w:val="32"/>
          <w:lang w:eastAsia="zh-CN"/>
        </w:rPr>
      </w:pPr>
      <w:r>
        <w:rPr>
          <w:rStyle w:val="17"/>
          <w:rFonts w:hint="eastAsia"/>
          <w:color w:val="000000"/>
          <w:sz w:val="32"/>
          <w:szCs w:val="32"/>
          <w:u w:val="none"/>
        </w:rPr>
        <w:t>十、</w:t>
      </w:r>
      <w:r>
        <w:rPr>
          <w:rFonts w:hint="eastAsia" w:ascii="仿宋_GB2312" w:eastAsia="仿宋_GB2312"/>
          <w:sz w:val="32"/>
          <w:szCs w:val="32"/>
        </w:rPr>
        <w:t>其他重要事项的情况说明</w:t>
      </w:r>
      <w:r>
        <w:rPr>
          <w:rFonts w:ascii="仿宋_GB2312" w:eastAsia="仿宋_GB2312"/>
          <w:sz w:val="32"/>
          <w:szCs w:val="32"/>
        </w:rPr>
        <w:tab/>
      </w:r>
      <w:r>
        <w:rPr>
          <w:rFonts w:ascii="仿宋_GB2312" w:eastAsia="仿宋_GB2312"/>
          <w:sz w:val="32"/>
          <w:szCs w:val="32"/>
        </w:rPr>
        <w:t>1</w:t>
      </w:r>
      <w:r>
        <w:rPr>
          <w:rFonts w:hint="eastAsia" w:ascii="仿宋_GB2312" w:eastAsia="仿宋_GB2312"/>
          <w:sz w:val="32"/>
          <w:szCs w:val="32"/>
          <w:lang w:val="en-US" w:eastAsia="zh-CN"/>
        </w:rPr>
        <w:t>3</w:t>
      </w:r>
    </w:p>
    <w:p>
      <w:pPr>
        <w:pStyle w:val="11"/>
        <w:adjustRightInd w:val="0"/>
        <w:snapToGrid w:val="0"/>
        <w:spacing w:before="0" w:line="560" w:lineRule="exact"/>
        <w:ind w:firstLine="321" w:firstLineChars="100"/>
        <w:jc w:val="left"/>
        <w:rPr>
          <w:rFonts w:ascii="仿宋_GB2312" w:eastAsia="仿宋_GB2312" w:cs="Arial"/>
          <w:sz w:val="32"/>
          <w:szCs w:val="32"/>
        </w:rPr>
      </w:pPr>
      <w:r>
        <w:rPr>
          <w:rFonts w:hint="eastAsia" w:ascii="仿宋_GB2312" w:eastAsia="仿宋_GB2312"/>
          <w:b/>
          <w:sz w:val="32"/>
          <w:szCs w:val="32"/>
        </w:rPr>
        <w:t>第三部分 名词解释</w:t>
      </w:r>
      <w:r>
        <w:rPr>
          <w:rFonts w:ascii="仿宋_GB2312" w:eastAsia="仿宋_GB2312"/>
          <w:sz w:val="32"/>
          <w:szCs w:val="32"/>
        </w:rPr>
        <w:tab/>
      </w:r>
      <w:r>
        <w:rPr>
          <w:rFonts w:hint="eastAsia" w:ascii="仿宋_GB2312" w:eastAsia="仿宋_GB2312"/>
          <w:sz w:val="32"/>
          <w:szCs w:val="32"/>
        </w:rPr>
        <w:t>1</w:t>
      </w:r>
      <w:r>
        <w:rPr>
          <w:rFonts w:ascii="仿宋_GB2312" w:eastAsia="仿宋_GB2312"/>
          <w:sz w:val="32"/>
          <w:szCs w:val="32"/>
        </w:rPr>
        <w:t>5</w:t>
      </w:r>
    </w:p>
    <w:p>
      <w:pPr>
        <w:pStyle w:val="11"/>
        <w:adjustRightInd w:val="0"/>
        <w:snapToGrid w:val="0"/>
        <w:spacing w:before="0" w:line="560" w:lineRule="exact"/>
        <w:ind w:firstLine="321" w:firstLineChars="100"/>
        <w:jc w:val="left"/>
        <w:rPr>
          <w:rFonts w:ascii="仿宋_GB2312" w:eastAsia="仿宋_GB2312" w:cs="Arial"/>
          <w:sz w:val="32"/>
          <w:szCs w:val="32"/>
        </w:rPr>
      </w:pPr>
      <w:r>
        <w:rPr>
          <w:rFonts w:hint="eastAsia" w:ascii="仿宋_GB2312" w:eastAsia="仿宋_GB2312"/>
          <w:b/>
          <w:sz w:val="32"/>
          <w:szCs w:val="32"/>
        </w:rPr>
        <w:t>第四部分 附件</w:t>
      </w:r>
      <w:r>
        <w:rPr>
          <w:rFonts w:ascii="仿宋_GB2312" w:eastAsia="仿宋_GB2312"/>
          <w:sz w:val="32"/>
          <w:szCs w:val="32"/>
        </w:rPr>
        <w:tab/>
      </w:r>
      <w:r>
        <w:rPr>
          <w:rFonts w:ascii="仿宋_GB2312" w:eastAsia="仿宋_GB2312"/>
          <w:sz w:val="32"/>
          <w:szCs w:val="32"/>
        </w:rPr>
        <w:t>17</w:t>
      </w:r>
    </w:p>
    <w:p>
      <w:pPr>
        <w:pStyle w:val="12"/>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附件</w:t>
      </w:r>
      <w:r>
        <w:rPr>
          <w:rFonts w:ascii="仿宋_GB2312" w:eastAsia="仿宋_GB2312"/>
          <w:sz w:val="32"/>
          <w:szCs w:val="32"/>
        </w:rPr>
        <w:tab/>
      </w:r>
      <w:r>
        <w:rPr>
          <w:rFonts w:hint="eastAsia" w:ascii="仿宋_GB2312" w:eastAsia="仿宋_GB2312"/>
          <w:sz w:val="32"/>
          <w:szCs w:val="32"/>
        </w:rPr>
        <w:t>1</w:t>
      </w:r>
      <w:r>
        <w:rPr>
          <w:rFonts w:ascii="仿宋_GB2312" w:eastAsia="仿宋_GB2312"/>
          <w:sz w:val="32"/>
          <w:szCs w:val="32"/>
        </w:rPr>
        <w:t>7</w:t>
      </w:r>
    </w:p>
    <w:p>
      <w:pPr>
        <w:pStyle w:val="11"/>
        <w:adjustRightInd w:val="0"/>
        <w:snapToGrid w:val="0"/>
        <w:spacing w:before="0" w:line="560" w:lineRule="exact"/>
        <w:ind w:firstLine="321" w:firstLineChars="100"/>
        <w:jc w:val="left"/>
        <w:rPr>
          <w:rFonts w:hint="default" w:ascii="仿宋_GB2312" w:eastAsia="仿宋_GB2312" w:cs="Arial"/>
          <w:sz w:val="32"/>
          <w:szCs w:val="32"/>
          <w:lang w:val="en-US" w:eastAsia="zh-CN"/>
        </w:rPr>
      </w:pPr>
      <w:r>
        <w:rPr>
          <w:rFonts w:hint="eastAsia" w:ascii="仿宋_GB2312" w:eastAsia="仿宋_GB2312"/>
          <w:b/>
          <w:sz w:val="32"/>
          <w:szCs w:val="32"/>
        </w:rPr>
        <w:t>第五部分 附表</w:t>
      </w:r>
      <w:r>
        <w:rPr>
          <w:rFonts w:ascii="仿宋_GB2312" w:eastAsia="仿宋_GB2312"/>
          <w:sz w:val="32"/>
          <w:szCs w:val="32"/>
        </w:rPr>
        <w:tab/>
      </w:r>
      <w:r>
        <w:rPr>
          <w:rFonts w:hint="eastAsia" w:ascii="仿宋_GB2312" w:eastAsia="仿宋_GB2312"/>
          <w:sz w:val="32"/>
          <w:szCs w:val="32"/>
          <w:lang w:val="en-US" w:eastAsia="zh-CN"/>
        </w:rPr>
        <w:t>20</w:t>
      </w:r>
    </w:p>
    <w:p>
      <w:pPr>
        <w:pStyle w:val="12"/>
        <w:adjustRightInd w:val="0"/>
        <w:snapToGrid w:val="0"/>
        <w:spacing w:line="560" w:lineRule="exact"/>
        <w:ind w:left="0" w:leftChars="0" w:firstLine="1120" w:firstLineChars="350"/>
        <w:jc w:val="left"/>
        <w:rPr>
          <w:rFonts w:hint="default" w:ascii="仿宋_GB2312" w:eastAsia="仿宋_GB2312" w:cs="Arial"/>
          <w:sz w:val="32"/>
          <w:szCs w:val="32"/>
          <w:lang w:val="en-US" w:eastAsia="zh-CN"/>
        </w:rPr>
      </w:pPr>
      <w:r>
        <w:rPr>
          <w:rFonts w:hint="eastAsia" w:ascii="仿宋_GB2312" w:eastAsia="仿宋_GB2312"/>
          <w:sz w:val="32"/>
          <w:szCs w:val="32"/>
        </w:rPr>
        <w:t>一、收入支出决算总表</w:t>
      </w:r>
      <w:r>
        <w:rPr>
          <w:rFonts w:ascii="仿宋_GB2312" w:eastAsia="仿宋_GB2312"/>
          <w:sz w:val="32"/>
          <w:szCs w:val="32"/>
        </w:rPr>
        <w:tab/>
      </w:r>
      <w:r>
        <w:rPr>
          <w:rFonts w:hint="eastAsia" w:ascii="仿宋_GB2312" w:eastAsia="仿宋_GB2312"/>
          <w:sz w:val="32"/>
          <w:szCs w:val="32"/>
          <w:lang w:val="en-US" w:eastAsia="zh-CN"/>
        </w:rPr>
        <w:t>20</w:t>
      </w:r>
    </w:p>
    <w:p>
      <w:pPr>
        <w:pStyle w:val="12"/>
        <w:adjustRightInd w:val="0"/>
        <w:snapToGrid w:val="0"/>
        <w:spacing w:line="560" w:lineRule="exact"/>
        <w:ind w:left="440" w:firstLine="640" w:firstLineChars="200"/>
        <w:jc w:val="left"/>
        <w:rPr>
          <w:rFonts w:hint="default" w:ascii="仿宋_GB2312" w:eastAsia="仿宋_GB2312" w:cs="Arial"/>
          <w:sz w:val="32"/>
          <w:szCs w:val="32"/>
          <w:lang w:val="en-US" w:eastAsia="zh-CN"/>
        </w:rPr>
      </w:pPr>
      <w:r>
        <w:rPr>
          <w:rFonts w:hint="eastAsia" w:ascii="仿宋_GB2312" w:eastAsia="仿宋_GB2312"/>
          <w:sz w:val="32"/>
          <w:szCs w:val="32"/>
        </w:rPr>
        <w:t>二、收入决算表</w:t>
      </w:r>
      <w:r>
        <w:rPr>
          <w:rFonts w:ascii="仿宋_GB2312" w:eastAsia="仿宋_GB2312"/>
          <w:sz w:val="32"/>
          <w:szCs w:val="32"/>
        </w:rPr>
        <w:tab/>
      </w:r>
      <w:r>
        <w:rPr>
          <w:rFonts w:hint="eastAsia" w:ascii="仿宋_GB2312" w:eastAsia="仿宋_GB2312"/>
          <w:sz w:val="32"/>
          <w:szCs w:val="32"/>
          <w:lang w:val="en-US" w:eastAsia="zh-CN"/>
        </w:rPr>
        <w:t>20</w:t>
      </w:r>
    </w:p>
    <w:p>
      <w:pPr>
        <w:pStyle w:val="12"/>
        <w:adjustRightInd w:val="0"/>
        <w:snapToGrid w:val="0"/>
        <w:spacing w:line="560" w:lineRule="exact"/>
        <w:ind w:left="440" w:firstLine="640" w:firstLineChars="200"/>
        <w:jc w:val="left"/>
        <w:rPr>
          <w:rFonts w:hint="default" w:ascii="仿宋_GB2312" w:eastAsia="仿宋_GB2312" w:cs="Arial"/>
          <w:sz w:val="32"/>
          <w:szCs w:val="32"/>
          <w:lang w:val="en-US" w:eastAsia="zh-CN"/>
        </w:rPr>
      </w:pPr>
      <w:r>
        <w:rPr>
          <w:rFonts w:hint="eastAsia" w:ascii="仿宋_GB2312" w:eastAsia="仿宋_GB2312"/>
          <w:sz w:val="32"/>
          <w:szCs w:val="32"/>
        </w:rPr>
        <w:t>三、支出决算表</w:t>
      </w:r>
      <w:r>
        <w:rPr>
          <w:rFonts w:ascii="仿宋_GB2312" w:eastAsia="仿宋_GB2312"/>
          <w:sz w:val="32"/>
          <w:szCs w:val="32"/>
        </w:rPr>
        <w:tab/>
      </w:r>
      <w:r>
        <w:rPr>
          <w:rFonts w:hint="eastAsia" w:ascii="仿宋_GB2312" w:eastAsia="仿宋_GB2312"/>
          <w:sz w:val="32"/>
          <w:szCs w:val="32"/>
          <w:lang w:val="en-US" w:eastAsia="zh-CN"/>
        </w:rPr>
        <w:t>20</w:t>
      </w:r>
    </w:p>
    <w:p>
      <w:pPr>
        <w:pStyle w:val="12"/>
        <w:adjustRightInd w:val="0"/>
        <w:snapToGrid w:val="0"/>
        <w:spacing w:line="560" w:lineRule="exact"/>
        <w:ind w:left="440" w:firstLine="640" w:firstLineChars="200"/>
        <w:jc w:val="left"/>
        <w:rPr>
          <w:rFonts w:hint="eastAsia" w:ascii="仿宋_GB2312" w:eastAsia="仿宋_GB2312" w:cs="Arial"/>
          <w:sz w:val="32"/>
          <w:szCs w:val="32"/>
          <w:lang w:val="en-US" w:eastAsia="zh-CN"/>
        </w:rPr>
      </w:pPr>
      <w:r>
        <w:rPr>
          <w:rFonts w:hint="eastAsia" w:ascii="仿宋_GB2312" w:eastAsia="仿宋_GB2312"/>
          <w:sz w:val="32"/>
          <w:szCs w:val="32"/>
        </w:rPr>
        <w:t>四、财政拨款收入支出决算总表</w:t>
      </w:r>
      <w:r>
        <w:rPr>
          <w:rFonts w:ascii="仿宋_GB2312" w:eastAsia="仿宋_GB2312"/>
          <w:sz w:val="32"/>
          <w:szCs w:val="32"/>
        </w:rPr>
        <w:tab/>
      </w:r>
      <w:r>
        <w:rPr>
          <w:rFonts w:hint="eastAsia" w:ascii="仿宋_GB2312" w:eastAsia="仿宋_GB2312"/>
          <w:sz w:val="32"/>
          <w:szCs w:val="32"/>
          <w:lang w:val="en-US" w:eastAsia="zh-CN"/>
        </w:rPr>
        <w:t>20</w:t>
      </w:r>
    </w:p>
    <w:p>
      <w:pPr>
        <w:pStyle w:val="12"/>
        <w:adjustRightInd w:val="0"/>
        <w:snapToGrid w:val="0"/>
        <w:spacing w:line="560" w:lineRule="exact"/>
        <w:ind w:left="440" w:firstLine="640" w:firstLineChars="200"/>
        <w:jc w:val="left"/>
        <w:rPr>
          <w:rFonts w:hint="default" w:ascii="仿宋_GB2312" w:eastAsia="仿宋_GB2312"/>
          <w:sz w:val="32"/>
          <w:szCs w:val="32"/>
          <w:lang w:val="en-US" w:eastAsia="zh-CN"/>
        </w:rPr>
      </w:pPr>
      <w:r>
        <w:rPr>
          <w:rFonts w:hint="eastAsia" w:ascii="仿宋_GB2312" w:eastAsia="仿宋_GB2312"/>
          <w:sz w:val="32"/>
          <w:szCs w:val="32"/>
        </w:rPr>
        <w:t>五、财政拨款支出决算明细表</w:t>
      </w:r>
      <w:r>
        <w:rPr>
          <w:rFonts w:ascii="仿宋_GB2312" w:eastAsia="仿宋_GB2312"/>
          <w:sz w:val="32"/>
          <w:szCs w:val="32"/>
        </w:rPr>
        <w:tab/>
      </w:r>
      <w:r>
        <w:rPr>
          <w:rFonts w:hint="eastAsia" w:ascii="仿宋_GB2312" w:eastAsia="仿宋_GB2312"/>
          <w:sz w:val="32"/>
          <w:szCs w:val="32"/>
          <w:lang w:val="en-US" w:eastAsia="zh-CN"/>
        </w:rPr>
        <w:t>20</w:t>
      </w:r>
    </w:p>
    <w:p>
      <w:pPr>
        <w:pStyle w:val="12"/>
        <w:adjustRightInd w:val="0"/>
        <w:snapToGrid w:val="0"/>
        <w:spacing w:line="560" w:lineRule="exact"/>
        <w:ind w:left="440" w:firstLine="640" w:firstLineChars="200"/>
        <w:jc w:val="left"/>
        <w:rPr>
          <w:rFonts w:hint="default" w:ascii="仿宋_GB2312" w:eastAsia="仿宋_GB2312" w:cs="Arial"/>
          <w:sz w:val="32"/>
          <w:szCs w:val="32"/>
          <w:lang w:val="en-US" w:eastAsia="zh-CN"/>
        </w:rPr>
      </w:pPr>
      <w:r>
        <w:rPr>
          <w:rFonts w:hint="eastAsia" w:ascii="仿宋_GB2312" w:eastAsia="仿宋_GB2312"/>
          <w:sz w:val="32"/>
          <w:szCs w:val="32"/>
        </w:rPr>
        <w:t>六、一般公共预算财政拨款支出决算表</w:t>
      </w:r>
      <w:r>
        <w:rPr>
          <w:rFonts w:ascii="仿宋_GB2312" w:eastAsia="仿宋_GB2312"/>
          <w:sz w:val="32"/>
          <w:szCs w:val="32"/>
        </w:rPr>
        <w:tab/>
      </w:r>
      <w:r>
        <w:rPr>
          <w:rFonts w:hint="eastAsia" w:ascii="仿宋_GB2312" w:eastAsia="仿宋_GB2312"/>
          <w:sz w:val="32"/>
          <w:szCs w:val="32"/>
          <w:lang w:val="en-US" w:eastAsia="zh-CN"/>
        </w:rPr>
        <w:t>20</w:t>
      </w:r>
    </w:p>
    <w:p>
      <w:pPr>
        <w:pStyle w:val="12"/>
        <w:adjustRightInd w:val="0"/>
        <w:snapToGrid w:val="0"/>
        <w:spacing w:line="560" w:lineRule="exact"/>
        <w:ind w:left="440" w:firstLine="640" w:firstLineChars="200"/>
        <w:jc w:val="left"/>
        <w:rPr>
          <w:rFonts w:hint="default" w:ascii="仿宋_GB2312" w:eastAsia="仿宋_GB2312" w:cs="Arial"/>
          <w:sz w:val="32"/>
          <w:szCs w:val="32"/>
          <w:lang w:val="en-US" w:eastAsia="zh-CN"/>
        </w:rPr>
      </w:pPr>
      <w:r>
        <w:rPr>
          <w:rFonts w:hint="eastAsia" w:ascii="仿宋_GB2312" w:eastAsia="仿宋_GB2312"/>
          <w:sz w:val="32"/>
          <w:szCs w:val="32"/>
        </w:rPr>
        <w:t>七、一般公共预算财政拨款支出决算明细表</w:t>
      </w:r>
      <w:r>
        <w:rPr>
          <w:rFonts w:ascii="仿宋_GB2312" w:eastAsia="仿宋_GB2312"/>
          <w:sz w:val="32"/>
          <w:szCs w:val="32"/>
        </w:rPr>
        <w:tab/>
      </w:r>
      <w:r>
        <w:rPr>
          <w:rFonts w:hint="eastAsia" w:ascii="仿宋_GB2312" w:eastAsia="仿宋_GB2312"/>
          <w:sz w:val="32"/>
          <w:szCs w:val="32"/>
          <w:lang w:val="en-US" w:eastAsia="zh-CN"/>
        </w:rPr>
        <w:t>20</w:t>
      </w:r>
    </w:p>
    <w:p>
      <w:pPr>
        <w:pStyle w:val="12"/>
        <w:adjustRightInd w:val="0"/>
        <w:snapToGrid w:val="0"/>
        <w:spacing w:line="560" w:lineRule="exact"/>
        <w:ind w:left="440" w:firstLine="640" w:firstLineChars="200"/>
        <w:jc w:val="left"/>
        <w:rPr>
          <w:rFonts w:hint="default" w:ascii="仿宋_GB2312" w:eastAsia="仿宋_GB2312" w:cs="Arial"/>
          <w:sz w:val="32"/>
          <w:szCs w:val="32"/>
          <w:lang w:val="en-US" w:eastAsia="zh-CN"/>
        </w:rPr>
      </w:pPr>
      <w:r>
        <w:rPr>
          <w:rFonts w:hint="eastAsia" w:ascii="仿宋_GB2312" w:eastAsia="仿宋_GB2312"/>
          <w:sz w:val="32"/>
          <w:szCs w:val="32"/>
        </w:rPr>
        <w:t>八、一般公共预算财政拨款基本支出决算表</w:t>
      </w:r>
      <w:r>
        <w:rPr>
          <w:rFonts w:ascii="仿宋_GB2312" w:eastAsia="仿宋_GB2312"/>
          <w:sz w:val="32"/>
          <w:szCs w:val="32"/>
        </w:rPr>
        <w:tab/>
      </w:r>
      <w:r>
        <w:rPr>
          <w:rFonts w:hint="eastAsia" w:ascii="仿宋_GB2312" w:eastAsia="仿宋_GB2312"/>
          <w:sz w:val="32"/>
          <w:szCs w:val="32"/>
          <w:lang w:val="en-US" w:eastAsia="zh-CN"/>
        </w:rPr>
        <w:t>20</w:t>
      </w:r>
    </w:p>
    <w:p>
      <w:pPr>
        <w:pStyle w:val="12"/>
        <w:adjustRightInd w:val="0"/>
        <w:snapToGrid w:val="0"/>
        <w:spacing w:line="560" w:lineRule="exact"/>
        <w:ind w:left="440" w:firstLine="640" w:firstLineChars="200"/>
        <w:jc w:val="left"/>
        <w:rPr>
          <w:rFonts w:hint="default" w:ascii="仿宋_GB2312" w:eastAsia="仿宋_GB2312" w:cs="Arial"/>
          <w:sz w:val="32"/>
          <w:szCs w:val="32"/>
          <w:lang w:val="en-US" w:eastAsia="zh-CN"/>
        </w:rPr>
      </w:pPr>
      <w:r>
        <w:rPr>
          <w:rFonts w:hint="eastAsia" w:ascii="仿宋_GB2312" w:eastAsia="仿宋_GB2312"/>
          <w:sz w:val="32"/>
          <w:szCs w:val="32"/>
        </w:rPr>
        <w:t>九、一般公共预算财政拨款项目支出决算表</w:t>
      </w:r>
      <w:r>
        <w:rPr>
          <w:rFonts w:ascii="仿宋_GB2312" w:eastAsia="仿宋_GB2312"/>
          <w:sz w:val="32"/>
          <w:szCs w:val="32"/>
        </w:rPr>
        <w:tab/>
      </w:r>
      <w:r>
        <w:rPr>
          <w:rFonts w:hint="eastAsia" w:ascii="仿宋_GB2312" w:eastAsia="仿宋_GB2312"/>
          <w:sz w:val="32"/>
          <w:szCs w:val="32"/>
          <w:lang w:val="en-US" w:eastAsia="zh-CN"/>
        </w:rPr>
        <w:t>20</w:t>
      </w:r>
    </w:p>
    <w:p>
      <w:pPr>
        <w:pStyle w:val="12"/>
        <w:adjustRightInd w:val="0"/>
        <w:snapToGrid w:val="0"/>
        <w:spacing w:line="560" w:lineRule="exact"/>
        <w:ind w:left="440" w:firstLine="640" w:firstLineChars="200"/>
        <w:jc w:val="left"/>
        <w:rPr>
          <w:rFonts w:ascii="仿宋_GB2312" w:eastAsia="仿宋_GB2312"/>
          <w:sz w:val="32"/>
          <w:szCs w:val="32"/>
        </w:rPr>
      </w:pPr>
      <w:r>
        <w:rPr>
          <w:rFonts w:hint="eastAsia" w:ascii="仿宋_GB2312" w:eastAsia="仿宋_GB2312"/>
          <w:sz w:val="32"/>
          <w:szCs w:val="32"/>
        </w:rPr>
        <w:t>十、一般公共预算财政拨款“三公”经费支出决算</w:t>
      </w:r>
    </w:p>
    <w:p>
      <w:pPr>
        <w:pStyle w:val="12"/>
        <w:adjustRightInd w:val="0"/>
        <w:snapToGrid w:val="0"/>
        <w:spacing w:line="560" w:lineRule="exact"/>
        <w:ind w:left="440"/>
        <w:jc w:val="left"/>
        <w:rPr>
          <w:rFonts w:hint="default" w:ascii="仿宋_GB2312" w:eastAsia="仿宋_GB2312" w:cs="Arial"/>
          <w:sz w:val="32"/>
          <w:szCs w:val="32"/>
          <w:lang w:val="en-US" w:eastAsia="zh-CN"/>
        </w:rPr>
      </w:pPr>
      <w:r>
        <w:rPr>
          <w:rFonts w:hint="eastAsia" w:ascii="仿宋_GB2312" w:eastAsia="仿宋_GB2312"/>
          <w:sz w:val="32"/>
          <w:szCs w:val="32"/>
        </w:rPr>
        <w:t>表</w:t>
      </w:r>
      <w:r>
        <w:rPr>
          <w:rFonts w:ascii="仿宋_GB2312" w:eastAsia="仿宋_GB2312"/>
          <w:sz w:val="32"/>
          <w:szCs w:val="32"/>
        </w:rPr>
        <w:tab/>
      </w:r>
      <w:r>
        <w:rPr>
          <w:rFonts w:hint="eastAsia" w:ascii="仿宋_GB2312" w:eastAsia="仿宋_GB2312"/>
          <w:sz w:val="32"/>
          <w:szCs w:val="32"/>
          <w:lang w:val="en-US" w:eastAsia="zh-CN"/>
        </w:rPr>
        <w:t>20</w:t>
      </w:r>
    </w:p>
    <w:p>
      <w:pPr>
        <w:pStyle w:val="12"/>
        <w:adjustRightInd w:val="0"/>
        <w:snapToGrid w:val="0"/>
        <w:spacing w:line="560" w:lineRule="exact"/>
        <w:ind w:left="440" w:firstLine="640" w:firstLineChars="200"/>
        <w:jc w:val="left"/>
        <w:rPr>
          <w:rFonts w:hint="default" w:ascii="仿宋_GB2312" w:eastAsia="仿宋_GB2312" w:cs="Arial"/>
          <w:sz w:val="32"/>
          <w:szCs w:val="32"/>
          <w:lang w:val="en-US" w:eastAsia="zh-CN"/>
        </w:rPr>
      </w:pPr>
      <w:r>
        <w:rPr>
          <w:rFonts w:hint="eastAsia" w:ascii="仿宋_GB2312" w:eastAsia="仿宋_GB2312"/>
          <w:sz w:val="32"/>
          <w:szCs w:val="32"/>
        </w:rPr>
        <w:t>十一、政府性基金预算财政拨款收入支出决算表</w:t>
      </w:r>
      <w:r>
        <w:rPr>
          <w:rFonts w:ascii="仿宋_GB2312" w:eastAsia="仿宋_GB2312"/>
          <w:sz w:val="32"/>
          <w:szCs w:val="32"/>
        </w:rPr>
        <w:tab/>
      </w:r>
      <w:r>
        <w:rPr>
          <w:rFonts w:hint="eastAsia" w:ascii="仿宋_GB2312" w:eastAsia="仿宋_GB2312"/>
          <w:sz w:val="32"/>
          <w:szCs w:val="32"/>
        </w:rPr>
        <w:t>..</w:t>
      </w:r>
      <w:r>
        <w:rPr>
          <w:rFonts w:hint="eastAsia" w:ascii="仿宋_GB2312" w:eastAsia="仿宋_GB2312"/>
          <w:sz w:val="32"/>
          <w:szCs w:val="32"/>
          <w:lang w:val="en-US" w:eastAsia="zh-CN"/>
        </w:rPr>
        <w:t>20</w:t>
      </w:r>
    </w:p>
    <w:p>
      <w:pPr>
        <w:pStyle w:val="12"/>
        <w:adjustRightInd w:val="0"/>
        <w:snapToGrid w:val="0"/>
        <w:spacing w:line="560" w:lineRule="exact"/>
        <w:ind w:left="440" w:firstLine="640" w:firstLineChars="200"/>
        <w:jc w:val="left"/>
        <w:rPr>
          <w:rFonts w:hint="default" w:ascii="仿宋_GB2312" w:eastAsia="仿宋_GB2312" w:cs="Arial"/>
          <w:sz w:val="32"/>
          <w:szCs w:val="32"/>
          <w:lang w:val="en-US" w:eastAsia="zh-CN"/>
        </w:rPr>
      </w:pPr>
      <w:r>
        <w:rPr>
          <w:rFonts w:hint="eastAsia" w:ascii="仿宋_GB2312" w:eastAsia="仿宋_GB2312"/>
          <w:sz w:val="32"/>
          <w:szCs w:val="32"/>
        </w:rPr>
        <w:t>十二、政府性基金预算财政拨款“三公”经费支出决算表</w:t>
      </w:r>
      <w:r>
        <w:rPr>
          <w:rFonts w:ascii="仿宋_GB2312" w:eastAsia="仿宋_GB2312"/>
          <w:sz w:val="32"/>
          <w:szCs w:val="32"/>
        </w:rPr>
        <w:tab/>
      </w:r>
      <w:r>
        <w:rPr>
          <w:rFonts w:hint="eastAsia" w:ascii="仿宋_GB2312" w:eastAsia="仿宋_GB2312"/>
          <w:sz w:val="32"/>
          <w:szCs w:val="32"/>
          <w:lang w:val="en-US" w:eastAsia="zh-CN"/>
        </w:rPr>
        <w:t>20</w:t>
      </w:r>
    </w:p>
    <w:p>
      <w:pPr>
        <w:pStyle w:val="12"/>
        <w:adjustRightInd w:val="0"/>
        <w:snapToGrid w:val="0"/>
        <w:spacing w:line="560" w:lineRule="exact"/>
        <w:ind w:left="440" w:firstLine="640" w:firstLineChars="200"/>
        <w:jc w:val="left"/>
        <w:rPr>
          <w:rFonts w:hint="default" w:ascii="仿宋_GB2312" w:eastAsia="仿宋_GB2312" w:cs="Arial"/>
          <w:sz w:val="32"/>
          <w:szCs w:val="32"/>
          <w:lang w:val="en-US" w:eastAsia="zh-CN"/>
        </w:rPr>
      </w:pPr>
      <w:r>
        <w:rPr>
          <w:rFonts w:hint="eastAsia" w:ascii="仿宋_GB2312" w:eastAsia="仿宋_GB2312"/>
          <w:sz w:val="32"/>
          <w:szCs w:val="32"/>
        </w:rPr>
        <w:t>十三、国有资本经营预算支出决算表</w:t>
      </w:r>
      <w:r>
        <w:rPr>
          <w:rFonts w:ascii="仿宋_GB2312" w:eastAsia="仿宋_GB2312"/>
          <w:sz w:val="32"/>
          <w:szCs w:val="32"/>
        </w:rPr>
        <w:tab/>
      </w:r>
      <w:r>
        <w:rPr>
          <w:rFonts w:hint="eastAsia" w:ascii="仿宋_GB2312" w:eastAsia="仿宋_GB2312"/>
          <w:sz w:val="32"/>
          <w:szCs w:val="32"/>
          <w:lang w:val="en-US" w:eastAsia="zh-CN"/>
        </w:rPr>
        <w:t>20</w:t>
      </w:r>
    </w:p>
    <w:p>
      <w:pPr>
        <w:spacing w:after="0" w:line="560" w:lineRule="exact"/>
        <w:jc w:val="both"/>
        <w:rPr>
          <w:rFonts w:ascii="方正小标宋简体" w:eastAsia="方正小标宋简体"/>
          <w:sz w:val="36"/>
          <w:szCs w:val="36"/>
        </w:rPr>
      </w:pPr>
    </w:p>
    <w:p>
      <w:pPr>
        <w:spacing w:after="0" w:line="560" w:lineRule="exact"/>
        <w:jc w:val="both"/>
        <w:rPr>
          <w:rFonts w:ascii="黑体" w:eastAsia="黑体"/>
          <w:color w:val="000000"/>
          <w:sz w:val="48"/>
          <w:szCs w:val="48"/>
        </w:rPr>
      </w:pPr>
      <w:r>
        <w:rPr>
          <w:rFonts w:ascii="方正小标宋简体" w:eastAsia="方正小标宋简体"/>
          <w:sz w:val="36"/>
          <w:szCs w:val="36"/>
        </w:rPr>
        <w:br w:type="page"/>
      </w:r>
    </w:p>
    <w:p>
      <w:pPr>
        <w:pStyle w:val="11"/>
        <w:adjustRightInd w:val="0"/>
        <w:snapToGrid w:val="0"/>
        <w:spacing w:before="0" w:line="560" w:lineRule="exact"/>
        <w:ind w:firstLine="660" w:firstLineChars="150"/>
        <w:rPr>
          <w:rFonts w:ascii="方正小标宋简体" w:eastAsia="方正小标宋简体"/>
          <w:sz w:val="44"/>
          <w:szCs w:val="44"/>
        </w:rPr>
      </w:pPr>
      <w:r>
        <w:rPr>
          <w:rFonts w:hint="eastAsia" w:ascii="方正小标宋简体" w:eastAsia="方正小标宋简体"/>
          <w:sz w:val="44"/>
          <w:szCs w:val="44"/>
        </w:rPr>
        <w:t>第一部分  部门概况</w:t>
      </w:r>
    </w:p>
    <w:p/>
    <w:p>
      <w:pPr>
        <w:pStyle w:val="12"/>
        <w:adjustRightInd w:val="0"/>
        <w:snapToGrid w:val="0"/>
        <w:spacing w:line="560" w:lineRule="exact"/>
        <w:ind w:left="440" w:firstLine="160" w:firstLineChars="50"/>
        <w:rPr>
          <w:rFonts w:ascii="黑体" w:eastAsia="黑体"/>
          <w:sz w:val="32"/>
          <w:szCs w:val="32"/>
        </w:rPr>
      </w:pPr>
      <w:r>
        <w:rPr>
          <w:rFonts w:hint="eastAsia" w:ascii="黑体" w:eastAsia="黑体"/>
          <w:sz w:val="32"/>
          <w:szCs w:val="32"/>
        </w:rPr>
        <w:t>一、基本职能及主要工作</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贯彻执行党和国家的方针政策和法律法规及省委、州委的决策部署，统筹协调全州网络安全和信息化工作，强化网络宣传，加强网络安全防护和风险防控，统筹协调全州网络安全</w:t>
      </w:r>
      <w:r>
        <w:rPr>
          <w:rFonts w:hint="eastAsia" w:ascii="仿宋_GB2312" w:eastAsia="仿宋_GB2312"/>
          <w:sz w:val="32"/>
          <w:szCs w:val="32"/>
          <w:lang w:eastAsia="zh-CN"/>
        </w:rPr>
        <w:t>、</w:t>
      </w:r>
      <w:r>
        <w:rPr>
          <w:rFonts w:hint="eastAsia" w:ascii="仿宋_GB2312" w:eastAsia="仿宋_GB2312"/>
          <w:sz w:val="32"/>
          <w:szCs w:val="32"/>
          <w:lang w:val="en-US" w:eastAsia="zh-CN"/>
        </w:rPr>
        <w:t>信息管控等</w:t>
      </w:r>
      <w:r>
        <w:rPr>
          <w:rFonts w:hint="eastAsia" w:ascii="仿宋_GB2312" w:eastAsia="仿宋_GB2312"/>
          <w:sz w:val="32"/>
          <w:szCs w:val="32"/>
        </w:rPr>
        <w:t>工作。</w:t>
      </w:r>
    </w:p>
    <w:p>
      <w:pPr>
        <w:pStyle w:val="23"/>
        <w:spacing w:line="560" w:lineRule="exact"/>
        <w:ind w:firstLine="640" w:firstLineChars="200"/>
        <w:jc w:val="both"/>
        <w:rPr>
          <w:rFonts w:ascii="黑体" w:eastAsia="黑体" w:cs="Times New Roman"/>
          <w:color w:val="auto"/>
          <w:kern w:val="2"/>
          <w:sz w:val="32"/>
          <w:szCs w:val="32"/>
        </w:rPr>
      </w:pPr>
      <w:r>
        <w:rPr>
          <w:rFonts w:hint="eastAsia" w:ascii="黑体" w:eastAsia="黑体" w:cs="Times New Roman"/>
          <w:color w:val="auto"/>
          <w:kern w:val="2"/>
          <w:sz w:val="32"/>
          <w:szCs w:val="32"/>
        </w:rPr>
        <w:t>二、机构设置</w:t>
      </w:r>
    </w:p>
    <w:p>
      <w:pPr>
        <w:pStyle w:val="23"/>
        <w:spacing w:line="560"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从决算部门构成看</w:t>
      </w:r>
      <w:r>
        <w:rPr>
          <w:rFonts w:ascii="宋体" w:hAnsi="宋体" w:eastAsia="宋体" w:cs="宋体"/>
          <w:sz w:val="24"/>
          <w:szCs w:val="24"/>
        </w:rPr>
        <w:t>，</w:t>
      </w:r>
      <w:r>
        <w:rPr>
          <w:rFonts w:hint="eastAsia" w:ascii="仿宋_GB2312" w:eastAsia="仿宋_GB2312"/>
          <w:sz w:val="32"/>
          <w:szCs w:val="32"/>
          <w:lang w:val="en-US" w:eastAsia="zh-CN"/>
        </w:rPr>
        <w:t>州委网信办</w:t>
      </w:r>
      <w:r>
        <w:rPr>
          <w:rFonts w:hint="eastAsia" w:ascii="仿宋_GB2312" w:eastAsia="仿宋_GB2312"/>
          <w:sz w:val="32"/>
          <w:szCs w:val="32"/>
        </w:rPr>
        <w:t>部门决算包括：</w:t>
      </w:r>
      <w:r>
        <w:rPr>
          <w:rFonts w:hint="eastAsia" w:ascii="仿宋_GB2312" w:eastAsia="仿宋_GB2312"/>
          <w:sz w:val="32"/>
          <w:szCs w:val="32"/>
          <w:lang w:val="en-US" w:eastAsia="zh-CN"/>
        </w:rPr>
        <w:t>州委网信办</w:t>
      </w:r>
      <w:r>
        <w:rPr>
          <w:rFonts w:hint="eastAsia" w:ascii="仿宋_GB2312" w:eastAsia="仿宋_GB2312"/>
          <w:sz w:val="32"/>
          <w:szCs w:val="32"/>
        </w:rPr>
        <w:t>本级决算</w:t>
      </w:r>
      <w:r>
        <w:rPr>
          <w:rFonts w:hint="eastAsia" w:ascii="仿宋_GB2312" w:eastAsia="仿宋_GB2312"/>
          <w:sz w:val="32"/>
          <w:szCs w:val="32"/>
          <w:lang w:val="en-US" w:eastAsia="zh-CN"/>
        </w:rPr>
        <w:t>和</w:t>
      </w:r>
      <w:r>
        <w:rPr>
          <w:rFonts w:hint="eastAsia" w:ascii="仿宋_GB2312" w:eastAsia="仿宋_GB2312"/>
          <w:sz w:val="32"/>
          <w:szCs w:val="32"/>
        </w:rPr>
        <w:t>阿坝州网络舆情中心</w:t>
      </w:r>
      <w:r>
        <w:rPr>
          <w:rFonts w:hint="eastAsia" w:ascii="仿宋_GB2312" w:eastAsia="仿宋_GB2312"/>
          <w:sz w:val="32"/>
          <w:szCs w:val="32"/>
          <w:lang w:val="en-US" w:eastAsia="zh-CN"/>
        </w:rPr>
        <w:t>决算。</w:t>
      </w: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ind w:firstLine="880" w:firstLineChars="200"/>
        <w:jc w:val="both"/>
        <w:rPr>
          <w:rFonts w:ascii="黑体" w:eastAsia="黑体" w:cs="Times New Roman"/>
          <w:color w:val="auto"/>
          <w:kern w:val="2"/>
          <w:sz w:val="44"/>
          <w:szCs w:val="44"/>
        </w:rPr>
      </w:pPr>
    </w:p>
    <w:p>
      <w:pPr>
        <w:pStyle w:val="23"/>
        <w:spacing w:line="560" w:lineRule="exact"/>
        <w:ind w:firstLine="880" w:firstLineChars="200"/>
        <w:jc w:val="both"/>
        <w:rPr>
          <w:rFonts w:ascii="黑体" w:eastAsia="黑体" w:cs="Times New Roman"/>
          <w:color w:val="auto"/>
          <w:kern w:val="2"/>
          <w:sz w:val="44"/>
          <w:szCs w:val="44"/>
        </w:rPr>
      </w:pPr>
    </w:p>
    <w:p>
      <w:pPr>
        <w:pStyle w:val="23"/>
        <w:spacing w:line="560" w:lineRule="exact"/>
        <w:ind w:firstLine="880" w:firstLineChars="200"/>
        <w:jc w:val="both"/>
        <w:rPr>
          <w:rFonts w:hint="eastAsia" w:ascii="方正小标宋_GBK" w:eastAsia="方正小标宋_GBK" w:cs="Times New Roman"/>
          <w:color w:val="auto"/>
          <w:kern w:val="2"/>
          <w:sz w:val="44"/>
          <w:szCs w:val="44"/>
        </w:rPr>
      </w:pPr>
    </w:p>
    <w:p>
      <w:pPr>
        <w:pStyle w:val="23"/>
        <w:spacing w:line="560" w:lineRule="exact"/>
        <w:ind w:firstLine="880" w:firstLineChars="200"/>
        <w:jc w:val="both"/>
        <w:rPr>
          <w:rFonts w:hint="eastAsia" w:ascii="方正小标宋_GBK" w:eastAsia="方正小标宋_GBK" w:cs="Times New Roman"/>
          <w:color w:val="auto"/>
          <w:kern w:val="2"/>
          <w:sz w:val="44"/>
          <w:szCs w:val="44"/>
        </w:rPr>
      </w:pPr>
    </w:p>
    <w:p>
      <w:pPr>
        <w:pStyle w:val="23"/>
        <w:spacing w:line="560" w:lineRule="exact"/>
        <w:ind w:firstLine="880" w:firstLineChars="200"/>
        <w:jc w:val="both"/>
        <w:rPr>
          <w:rFonts w:ascii="方正小标宋_GBK" w:eastAsia="方正小标宋_GBK" w:cs="Times New Roman"/>
          <w:color w:val="auto"/>
          <w:kern w:val="2"/>
          <w:sz w:val="44"/>
          <w:szCs w:val="44"/>
        </w:rPr>
      </w:pPr>
      <w:r>
        <w:rPr>
          <w:rFonts w:hint="eastAsia" w:ascii="方正小标宋_GBK" w:eastAsia="方正小标宋_GBK" w:cs="Times New Roman"/>
          <w:color w:val="auto"/>
          <w:kern w:val="2"/>
          <w:sz w:val="44"/>
          <w:szCs w:val="44"/>
        </w:rPr>
        <w:t>第二部分 年度部门决算情况说明</w:t>
      </w:r>
    </w:p>
    <w:p>
      <w:pPr>
        <w:pStyle w:val="23"/>
        <w:spacing w:line="560" w:lineRule="exact"/>
        <w:ind w:firstLine="880" w:firstLineChars="200"/>
        <w:jc w:val="both"/>
        <w:rPr>
          <w:rFonts w:ascii="方正小标宋_GBK" w:eastAsia="方正小标宋_GBK" w:cs="Times New Roman"/>
          <w:color w:val="auto"/>
          <w:kern w:val="2"/>
          <w:sz w:val="44"/>
          <w:szCs w:val="44"/>
        </w:rPr>
      </w:pPr>
    </w:p>
    <w:p>
      <w:pPr>
        <w:pStyle w:val="23"/>
        <w:spacing w:line="560" w:lineRule="exact"/>
        <w:ind w:firstLine="640" w:firstLineChars="200"/>
        <w:jc w:val="both"/>
        <w:rPr>
          <w:rFonts w:ascii="黑体" w:eastAsia="黑体"/>
          <w:sz w:val="32"/>
          <w:szCs w:val="32"/>
        </w:rPr>
      </w:pPr>
      <w:r>
        <w:rPr>
          <w:rFonts w:hint="eastAsia" w:ascii="黑体" w:eastAsia="黑体"/>
          <w:sz w:val="32"/>
          <w:szCs w:val="32"/>
        </w:rPr>
        <w:t>一、部门收入支出决算总体情况说明</w:t>
      </w:r>
    </w:p>
    <w:p>
      <w:pPr>
        <w:pStyle w:val="23"/>
        <w:spacing w:line="560" w:lineRule="exact"/>
        <w:ind w:firstLine="482" w:firstLineChars="150"/>
        <w:jc w:val="both"/>
        <w:rPr>
          <w:rFonts w:hint="eastAsia" w:ascii="仿宋_GB2312" w:eastAsia="仿宋_GB2312"/>
          <w:sz w:val="32"/>
          <w:szCs w:val="32"/>
        </w:rPr>
      </w:pPr>
      <w:r>
        <w:rPr>
          <w:rFonts w:hint="eastAsia" w:ascii="楷体_GB2312" w:eastAsia="楷体_GB2312"/>
          <w:b/>
          <w:sz w:val="32"/>
          <w:szCs w:val="32"/>
        </w:rPr>
        <w:t>（一） 部门收入情况。</w:t>
      </w:r>
      <w:r>
        <w:rPr>
          <w:rFonts w:hint="eastAsia" w:ascii="仿宋_GB2312" w:eastAsia="仿宋_GB2312"/>
          <w:sz w:val="32"/>
          <w:szCs w:val="32"/>
        </w:rPr>
        <w:t>2021年度资金总收入1021.27万元（本年财政拨款544.45万元，年初结转结余476.82万元），2020年度部门资金总收入914.19万元，同比增长11.71%。变动原因：</w:t>
      </w:r>
      <w:r>
        <w:rPr>
          <w:rFonts w:hint="eastAsia" w:ascii="仿宋_GB2312" w:eastAsia="仿宋_GB2312"/>
          <w:sz w:val="32"/>
          <w:szCs w:val="32"/>
          <w:lang w:val="en-US" w:eastAsia="zh-CN"/>
        </w:rPr>
        <w:t>增加</w:t>
      </w:r>
      <w:r>
        <w:rPr>
          <w:rFonts w:hint="eastAsia" w:ascii="仿宋_GB2312" w:eastAsia="仿宋_GB2312"/>
          <w:sz w:val="32"/>
          <w:szCs w:val="32"/>
        </w:rPr>
        <w:t>人员</w:t>
      </w:r>
      <w:r>
        <w:rPr>
          <w:rFonts w:hint="eastAsia" w:ascii="仿宋_GB2312" w:eastAsia="仿宋_GB2312"/>
          <w:sz w:val="32"/>
          <w:szCs w:val="32"/>
          <w:lang w:val="en-US" w:eastAsia="zh-CN"/>
        </w:rPr>
        <w:t>经费收入</w:t>
      </w:r>
      <w:r>
        <w:rPr>
          <w:rFonts w:hint="eastAsia" w:ascii="仿宋_GB2312" w:eastAsia="仿宋_GB2312"/>
          <w:sz w:val="32"/>
          <w:szCs w:val="32"/>
        </w:rPr>
        <w:t>。</w:t>
      </w:r>
    </w:p>
    <w:p>
      <w:pPr>
        <w:pStyle w:val="23"/>
        <w:spacing w:line="560" w:lineRule="exact"/>
        <w:ind w:firstLine="360" w:firstLineChars="150"/>
        <w:jc w:val="both"/>
        <w:rPr>
          <w:rFonts w:hint="eastAsia" w:ascii="仿宋_GB2312" w:eastAsia="仿宋_GB2312"/>
          <w:sz w:val="32"/>
          <w:szCs w:val="32"/>
        </w:rPr>
      </w:pPr>
      <w:r>
        <w:drawing>
          <wp:anchor distT="0" distB="0" distL="114300" distR="114300" simplePos="0" relativeHeight="251659264" behindDoc="0" locked="0" layoutInCell="1" allowOverlap="1">
            <wp:simplePos x="0" y="0"/>
            <wp:positionH relativeFrom="column">
              <wp:posOffset>27305</wp:posOffset>
            </wp:positionH>
            <wp:positionV relativeFrom="paragraph">
              <wp:posOffset>185420</wp:posOffset>
            </wp:positionV>
            <wp:extent cx="4441190" cy="2921635"/>
            <wp:effectExtent l="4445" t="4445" r="19685" b="15240"/>
            <wp:wrapSquare wrapText="bothSides"/>
            <wp:docPr id="1026"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3"/>
        <w:spacing w:line="560" w:lineRule="exact"/>
        <w:ind w:firstLine="480" w:firstLineChars="150"/>
        <w:jc w:val="both"/>
        <w:rPr>
          <w:rFonts w:ascii="仿宋_GB2312" w:eastAsia="仿宋_GB2312"/>
          <w:sz w:val="32"/>
          <w:szCs w:val="32"/>
        </w:rPr>
      </w:pPr>
    </w:p>
    <w:p>
      <w:pPr>
        <w:pStyle w:val="23"/>
        <w:spacing w:line="560" w:lineRule="exact"/>
        <w:ind w:firstLine="480" w:firstLineChars="150"/>
        <w:jc w:val="both"/>
        <w:rPr>
          <w:rFonts w:ascii="仿宋_GB2312" w:eastAsia="仿宋_GB2312"/>
          <w:sz w:val="32"/>
          <w:szCs w:val="32"/>
        </w:rPr>
      </w:pPr>
    </w:p>
    <w:p>
      <w:pPr>
        <w:pStyle w:val="23"/>
        <w:spacing w:line="560" w:lineRule="exact"/>
        <w:ind w:firstLine="480" w:firstLineChars="150"/>
        <w:jc w:val="both"/>
        <w:rPr>
          <w:rFonts w:ascii="仿宋_GB2312" w:eastAsia="仿宋_GB2312"/>
          <w:sz w:val="32"/>
          <w:szCs w:val="32"/>
        </w:rPr>
      </w:pPr>
    </w:p>
    <w:p>
      <w:pPr>
        <w:pStyle w:val="23"/>
        <w:spacing w:line="560" w:lineRule="exact"/>
        <w:ind w:firstLine="480" w:firstLineChars="150"/>
        <w:jc w:val="both"/>
        <w:rPr>
          <w:rFonts w:ascii="仿宋_GB2312" w:eastAsia="仿宋_GB2312"/>
          <w:sz w:val="32"/>
          <w:szCs w:val="32"/>
        </w:rPr>
      </w:pPr>
    </w:p>
    <w:p>
      <w:pPr>
        <w:pStyle w:val="23"/>
        <w:spacing w:line="560" w:lineRule="exact"/>
        <w:ind w:firstLine="480" w:firstLineChars="150"/>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（图1：收入变动情况图）</w:t>
      </w:r>
    </w:p>
    <w:p>
      <w:pPr>
        <w:pStyle w:val="23"/>
        <w:spacing w:line="560" w:lineRule="exact"/>
        <w:ind w:firstLine="482" w:firstLineChars="150"/>
        <w:jc w:val="both"/>
        <w:rPr>
          <w:rFonts w:ascii="仿宋_GB2312" w:eastAsia="仿宋_GB2312"/>
          <w:sz w:val="32"/>
          <w:szCs w:val="32"/>
        </w:rPr>
      </w:pPr>
      <w:r>
        <w:rPr>
          <w:rFonts w:hint="eastAsia" w:ascii="楷体_GB2312" w:eastAsia="楷体_GB2312"/>
          <w:b/>
          <w:sz w:val="32"/>
          <w:szCs w:val="32"/>
        </w:rPr>
        <w:t>（二）部门支出情况。</w:t>
      </w:r>
      <w:r>
        <w:rPr>
          <w:rFonts w:hint="eastAsia" w:ascii="仿宋_GB2312" w:eastAsia="仿宋_GB2312"/>
          <w:sz w:val="32"/>
          <w:szCs w:val="32"/>
        </w:rPr>
        <w:t>2021年总支出1021.27万元，2020年总支出</w:t>
      </w:r>
      <w:r>
        <w:rPr>
          <w:rFonts w:hint="eastAsia" w:ascii="仿宋_GB2312" w:eastAsia="仿宋_GB2312"/>
          <w:sz w:val="32"/>
          <w:szCs w:val="32"/>
          <w:lang w:val="en-US" w:eastAsia="zh-CN"/>
        </w:rPr>
        <w:t>431.18</w:t>
      </w:r>
      <w:r>
        <w:rPr>
          <w:rFonts w:hint="eastAsia" w:ascii="仿宋_GB2312" w:eastAsia="仿宋_GB2312"/>
          <w:sz w:val="32"/>
          <w:szCs w:val="32"/>
        </w:rPr>
        <w:t>万元，同比增长</w:t>
      </w:r>
      <w:r>
        <w:rPr>
          <w:rFonts w:hint="eastAsia" w:ascii="仿宋_GB2312" w:eastAsia="仿宋_GB2312"/>
          <w:sz w:val="32"/>
          <w:szCs w:val="32"/>
          <w:lang w:val="en-US" w:eastAsia="zh-CN"/>
        </w:rPr>
        <w:t>136.85</w:t>
      </w:r>
      <w:r>
        <w:rPr>
          <w:rFonts w:hint="eastAsia" w:ascii="仿宋_GB2312" w:eastAsia="仿宋_GB2312"/>
          <w:sz w:val="32"/>
          <w:szCs w:val="32"/>
        </w:rPr>
        <w:t>%。变动原因：</w:t>
      </w:r>
      <w:r>
        <w:rPr>
          <w:rFonts w:hint="eastAsia" w:ascii="仿宋_GB2312" w:eastAsia="仿宋_GB2312"/>
          <w:sz w:val="32"/>
          <w:szCs w:val="32"/>
          <w:lang w:val="en-US" w:eastAsia="zh-CN"/>
        </w:rPr>
        <w:t>部门</w:t>
      </w:r>
      <w:r>
        <w:rPr>
          <w:rFonts w:hint="eastAsia" w:ascii="仿宋_GB2312" w:eastAsia="仿宋_GB2312"/>
          <w:sz w:val="32"/>
          <w:szCs w:val="32"/>
        </w:rPr>
        <w:t>新增</w:t>
      </w:r>
      <w:r>
        <w:rPr>
          <w:rFonts w:hint="eastAsia" w:ascii="仿宋_GB2312" w:eastAsia="仿宋_GB2312"/>
          <w:sz w:val="32"/>
          <w:szCs w:val="32"/>
          <w:lang w:val="en-US" w:eastAsia="zh-CN"/>
        </w:rPr>
        <w:t>项目支出</w:t>
      </w:r>
      <w:r>
        <w:rPr>
          <w:rFonts w:hint="eastAsia" w:ascii="仿宋_GB2312" w:eastAsia="仿宋_GB2312"/>
          <w:sz w:val="32"/>
          <w:szCs w:val="32"/>
        </w:rPr>
        <w:t>及</w:t>
      </w:r>
      <w:r>
        <w:rPr>
          <w:rFonts w:hint="eastAsia" w:ascii="仿宋_GB2312" w:eastAsia="仿宋_GB2312"/>
          <w:sz w:val="32"/>
          <w:szCs w:val="32"/>
          <w:lang w:val="en-US" w:eastAsia="zh-CN"/>
        </w:rPr>
        <w:t>增加</w:t>
      </w:r>
      <w:r>
        <w:rPr>
          <w:rFonts w:hint="eastAsia" w:ascii="仿宋_GB2312" w:eastAsia="仿宋_GB2312"/>
          <w:sz w:val="32"/>
          <w:szCs w:val="32"/>
        </w:rPr>
        <w:t>人员</w:t>
      </w:r>
      <w:r>
        <w:rPr>
          <w:rFonts w:hint="eastAsia" w:ascii="仿宋_GB2312" w:eastAsia="仿宋_GB2312"/>
          <w:sz w:val="32"/>
          <w:szCs w:val="32"/>
          <w:lang w:val="en-US" w:eastAsia="zh-CN"/>
        </w:rPr>
        <w:t>经费支出</w:t>
      </w:r>
      <w:r>
        <w:rPr>
          <w:rFonts w:hint="eastAsia" w:ascii="仿宋_GB2312" w:eastAsia="仿宋_GB2312"/>
          <w:sz w:val="32"/>
          <w:szCs w:val="32"/>
        </w:rPr>
        <w:t>。</w:t>
      </w: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r>
        <w:drawing>
          <wp:anchor distT="0" distB="0" distL="114300" distR="114300" simplePos="0" relativeHeight="251660288" behindDoc="0" locked="0" layoutInCell="1" allowOverlap="1">
            <wp:simplePos x="0" y="0"/>
            <wp:positionH relativeFrom="column">
              <wp:posOffset>323850</wp:posOffset>
            </wp:positionH>
            <wp:positionV relativeFrom="paragraph">
              <wp:posOffset>241300</wp:posOffset>
            </wp:positionV>
            <wp:extent cx="3917315" cy="2541905"/>
            <wp:effectExtent l="4445" t="4445" r="10160" b="13970"/>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ind w:firstLine="320" w:firstLineChars="100"/>
        <w:jc w:val="both"/>
        <w:rPr>
          <w:rFonts w:ascii="仿宋_GB2312" w:eastAsia="仿宋_GB2312"/>
          <w:sz w:val="32"/>
          <w:szCs w:val="32"/>
        </w:rPr>
      </w:pPr>
      <w:r>
        <w:rPr>
          <w:rFonts w:hint="eastAsia" w:ascii="仿宋_GB2312" w:eastAsia="仿宋_GB2312"/>
          <w:sz w:val="32"/>
          <w:szCs w:val="32"/>
        </w:rPr>
        <w:t>（图2：支出变动情况图）</w:t>
      </w:r>
    </w:p>
    <w:p>
      <w:pPr>
        <w:pStyle w:val="23"/>
        <w:spacing w:line="560" w:lineRule="exact"/>
        <w:ind w:firstLine="640" w:firstLineChars="200"/>
        <w:jc w:val="both"/>
        <w:rPr>
          <w:rFonts w:ascii="黑体" w:eastAsia="黑体"/>
          <w:sz w:val="32"/>
          <w:szCs w:val="32"/>
        </w:rPr>
      </w:pPr>
      <w:r>
        <w:rPr>
          <w:rFonts w:hint="eastAsia" w:ascii="黑体" w:eastAsia="黑体"/>
          <w:sz w:val="32"/>
          <w:szCs w:val="32"/>
        </w:rPr>
        <w:t>二、收入决算情况说明</w:t>
      </w:r>
    </w:p>
    <w:p>
      <w:pPr>
        <w:spacing w:after="0" w:line="560" w:lineRule="exact"/>
        <w:ind w:firstLine="640" w:firstLineChars="200"/>
        <w:jc w:val="both"/>
        <w:outlineLvl w:val="1"/>
        <w:rPr>
          <w:rFonts w:ascii="仿宋_GB2312" w:eastAsia="仿宋_GB2312" w:cs="仿宋"/>
          <w:color w:val="000000"/>
          <w:sz w:val="32"/>
          <w:szCs w:val="32"/>
        </w:rPr>
      </w:pPr>
      <w:r>
        <w:rPr>
          <w:rFonts w:hint="eastAsia" w:ascii="仿宋" w:eastAsia="仿宋"/>
          <w:color w:val="000000"/>
          <w:sz w:val="32"/>
          <w:szCs w:val="32"/>
        </w:rPr>
        <w:t>2021</w:t>
      </w:r>
      <w:r>
        <w:rPr>
          <w:rFonts w:hint="eastAsia" w:ascii="仿宋_GB2312" w:eastAsia="仿宋_GB2312" w:cs="仿宋"/>
          <w:color w:val="000000"/>
          <w:sz w:val="32"/>
          <w:szCs w:val="32"/>
        </w:rPr>
        <w:t>年度部门财政资金总收入</w:t>
      </w:r>
      <w:r>
        <w:rPr>
          <w:rFonts w:hint="eastAsia" w:ascii="仿宋_GB2312" w:eastAsia="仿宋_GB2312"/>
          <w:sz w:val="32"/>
          <w:szCs w:val="32"/>
        </w:rPr>
        <w:t>1021.27</w:t>
      </w:r>
      <w:r>
        <w:rPr>
          <w:rFonts w:hint="eastAsia" w:ascii="仿宋_GB2312" w:eastAsia="仿宋_GB2312" w:cs="仿宋"/>
          <w:color w:val="000000"/>
          <w:sz w:val="32"/>
          <w:szCs w:val="32"/>
        </w:rPr>
        <w:t>万元，其中：</w:t>
      </w:r>
      <w:r>
        <w:rPr>
          <w:rFonts w:hint="eastAsia" w:ascii="仿宋_GB2312" w:eastAsia="仿宋_GB2312" w:cs="仿宋"/>
          <w:color w:val="000000"/>
          <w:sz w:val="32"/>
          <w:szCs w:val="32"/>
          <w:lang w:val="en-US" w:eastAsia="zh-CN"/>
        </w:rPr>
        <w:t>本年收入</w:t>
      </w:r>
      <w:r>
        <w:rPr>
          <w:rFonts w:hint="eastAsia" w:ascii="仿宋_GB2312" w:eastAsia="仿宋_GB2312" w:cs="仿宋"/>
          <w:color w:val="000000"/>
          <w:sz w:val="32"/>
          <w:szCs w:val="32"/>
        </w:rPr>
        <w:t>544.45万元，占</w:t>
      </w:r>
      <w:r>
        <w:rPr>
          <w:rFonts w:hint="eastAsia" w:ascii="仿宋_GB2312" w:eastAsia="仿宋_GB2312" w:cs="仿宋"/>
          <w:color w:val="000000"/>
          <w:sz w:val="32"/>
          <w:szCs w:val="32"/>
          <w:lang w:val="en-US" w:eastAsia="zh-CN"/>
        </w:rPr>
        <w:t>53.31</w:t>
      </w:r>
      <w:r>
        <w:rPr>
          <w:rFonts w:hint="eastAsia" w:ascii="仿宋_GB2312" w:eastAsia="仿宋_GB2312" w:cs="仿宋"/>
          <w:color w:val="000000"/>
          <w:sz w:val="32"/>
          <w:szCs w:val="32"/>
        </w:rPr>
        <w:t>%；年初结转结余476.82万元，占</w:t>
      </w:r>
      <w:r>
        <w:rPr>
          <w:rFonts w:hint="eastAsia" w:ascii="仿宋_GB2312" w:eastAsia="仿宋_GB2312" w:cs="仿宋"/>
          <w:color w:val="000000"/>
          <w:sz w:val="32"/>
          <w:szCs w:val="32"/>
          <w:lang w:val="en-US" w:eastAsia="zh-CN"/>
        </w:rPr>
        <w:t>46.69</w:t>
      </w:r>
      <w:r>
        <w:rPr>
          <w:rFonts w:hint="eastAsia" w:ascii="仿宋_GB2312" w:eastAsia="仿宋_GB2312" w:cs="仿宋"/>
          <w:color w:val="000000"/>
          <w:sz w:val="32"/>
          <w:szCs w:val="32"/>
        </w:rPr>
        <w:t>%。</w:t>
      </w:r>
    </w:p>
    <w:p>
      <w:pPr>
        <w:spacing w:after="0" w:line="560" w:lineRule="exact"/>
        <w:jc w:val="both"/>
        <w:outlineLvl w:val="1"/>
        <w:rPr>
          <w:rFonts w:ascii="仿宋_GB2312" w:eastAsia="仿宋_GB2312" w:cs="仿宋"/>
          <w:color w:val="000000"/>
          <w:sz w:val="32"/>
          <w:szCs w:val="32"/>
        </w:rPr>
      </w:pPr>
    </w:p>
    <w:p>
      <w:pPr>
        <w:spacing w:after="0" w:line="560" w:lineRule="exact"/>
        <w:jc w:val="both"/>
        <w:outlineLvl w:val="1"/>
        <w:rPr>
          <w:rFonts w:ascii="仿宋_GB2312" w:eastAsia="仿宋_GB2312" w:cs="仿宋"/>
          <w:color w:val="000000"/>
          <w:sz w:val="32"/>
          <w:szCs w:val="32"/>
        </w:rPr>
      </w:pPr>
    </w:p>
    <w:p>
      <w:pPr>
        <w:spacing w:after="0" w:line="560" w:lineRule="exact"/>
        <w:jc w:val="both"/>
        <w:outlineLvl w:val="1"/>
        <w:rPr>
          <w:rFonts w:ascii="仿宋_GB2312" w:eastAsia="仿宋_GB2312" w:cs="仿宋"/>
          <w:color w:val="000000"/>
          <w:sz w:val="32"/>
          <w:szCs w:val="32"/>
        </w:rPr>
      </w:pPr>
    </w:p>
    <w:p>
      <w:pPr>
        <w:spacing w:after="0" w:line="560" w:lineRule="exact"/>
        <w:jc w:val="both"/>
        <w:outlineLvl w:val="1"/>
        <w:rPr>
          <w:rFonts w:ascii="仿宋_GB2312" w:eastAsia="仿宋_GB2312" w:cs="仿宋"/>
          <w:color w:val="000000"/>
          <w:sz w:val="32"/>
          <w:szCs w:val="32"/>
        </w:rPr>
      </w:pPr>
    </w:p>
    <w:p>
      <w:pPr>
        <w:spacing w:after="0" w:line="560" w:lineRule="exact"/>
        <w:jc w:val="both"/>
        <w:outlineLvl w:val="1"/>
        <w:rPr>
          <w:rFonts w:ascii="仿宋_GB2312" w:eastAsia="仿宋_GB2312" w:cs="仿宋"/>
          <w:color w:val="000000"/>
          <w:sz w:val="32"/>
          <w:szCs w:val="32"/>
        </w:rPr>
      </w:pPr>
    </w:p>
    <w:p>
      <w:pPr>
        <w:spacing w:after="0" w:line="560" w:lineRule="exact"/>
        <w:jc w:val="both"/>
        <w:outlineLvl w:val="1"/>
        <w:rPr>
          <w:rFonts w:ascii="仿宋_GB2312" w:eastAsia="仿宋_GB2312" w:cs="仿宋"/>
          <w:color w:val="000000"/>
          <w:sz w:val="32"/>
          <w:szCs w:val="32"/>
        </w:rPr>
      </w:pPr>
    </w:p>
    <w:p>
      <w:pPr>
        <w:spacing w:after="0" w:line="560" w:lineRule="exact"/>
        <w:jc w:val="both"/>
        <w:outlineLvl w:val="1"/>
        <w:rPr>
          <w:rFonts w:ascii="仿宋_GB2312" w:eastAsia="仿宋_GB2312" w:cs="仿宋"/>
          <w:color w:val="000000"/>
          <w:sz w:val="32"/>
          <w:szCs w:val="32"/>
        </w:rPr>
      </w:pPr>
    </w:p>
    <w:p>
      <w:pPr>
        <w:spacing w:after="0" w:line="560" w:lineRule="exact"/>
        <w:jc w:val="both"/>
        <w:outlineLvl w:val="1"/>
        <w:rPr>
          <w:rFonts w:ascii="仿宋_GB2312" w:eastAsia="仿宋_GB2312" w:cs="仿宋"/>
          <w:color w:val="000000"/>
          <w:sz w:val="32"/>
          <w:szCs w:val="32"/>
        </w:rPr>
      </w:pPr>
    </w:p>
    <w:p>
      <w:pPr>
        <w:spacing w:after="0" w:line="560" w:lineRule="exact"/>
        <w:ind w:firstLine="550" w:firstLineChars="250"/>
        <w:jc w:val="both"/>
        <w:outlineLvl w:val="1"/>
        <w:rPr>
          <w:rFonts w:ascii="仿宋_GB2312" w:eastAsia="仿宋_GB2312" w:cs="仿宋"/>
          <w:color w:val="000000"/>
          <w:sz w:val="32"/>
          <w:szCs w:val="32"/>
        </w:rPr>
      </w:pPr>
      <w:r>
        <w:drawing>
          <wp:anchor distT="0" distB="0" distL="114300" distR="114300" simplePos="0" relativeHeight="251661312" behindDoc="0" locked="0" layoutInCell="1" allowOverlap="1">
            <wp:simplePos x="0" y="0"/>
            <wp:positionH relativeFrom="column">
              <wp:posOffset>353695</wp:posOffset>
            </wp:positionH>
            <wp:positionV relativeFrom="paragraph">
              <wp:posOffset>-2469515</wp:posOffset>
            </wp:positionV>
            <wp:extent cx="4572000" cy="2743200"/>
            <wp:effectExtent l="4445" t="4445" r="10795" b="10795"/>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after="0" w:line="560" w:lineRule="exact"/>
        <w:ind w:firstLine="800" w:firstLineChars="250"/>
        <w:jc w:val="both"/>
        <w:outlineLvl w:val="1"/>
        <w:rPr>
          <w:rFonts w:ascii="仿宋_GB2312" w:eastAsia="仿宋_GB2312" w:cs="仿宋"/>
          <w:color w:val="000000"/>
          <w:sz w:val="32"/>
          <w:szCs w:val="32"/>
        </w:rPr>
      </w:pPr>
      <w:r>
        <w:rPr>
          <w:rFonts w:hint="eastAsia" w:ascii="仿宋_GB2312" w:eastAsia="仿宋_GB2312" w:cs="仿宋"/>
          <w:color w:val="000000"/>
          <w:sz w:val="32"/>
          <w:szCs w:val="32"/>
        </w:rPr>
        <w:t>(图3：收入决算结构图）</w:t>
      </w:r>
    </w:p>
    <w:p>
      <w:pPr>
        <w:spacing w:after="0" w:line="560" w:lineRule="exact"/>
        <w:ind w:firstLine="640" w:firstLineChars="200"/>
        <w:jc w:val="both"/>
        <w:outlineLvl w:val="1"/>
        <w:rPr>
          <w:rStyle w:val="19"/>
          <w:rFonts w:ascii="黑体" w:eastAsia="黑体" w:cs="Arial"/>
          <w:b w:val="0"/>
          <w:bCs w:val="0"/>
        </w:rPr>
      </w:pPr>
      <w:bookmarkStart w:id="12" w:name="_Toc15377207"/>
      <w:bookmarkStart w:id="13" w:name="_Toc15396605"/>
    </w:p>
    <w:p>
      <w:pPr>
        <w:spacing w:after="0" w:line="560" w:lineRule="exact"/>
        <w:ind w:firstLine="640" w:firstLineChars="200"/>
        <w:jc w:val="both"/>
        <w:outlineLvl w:val="1"/>
        <w:rPr>
          <w:rStyle w:val="19"/>
          <w:rFonts w:ascii="黑体" w:eastAsia="黑体"/>
          <w:b w:val="0"/>
          <w:bCs w:val="0"/>
        </w:rPr>
      </w:pPr>
      <w:r>
        <w:rPr>
          <w:rStyle w:val="19"/>
          <w:rFonts w:hint="eastAsia" w:ascii="黑体" w:eastAsia="黑体" w:cs="Arial"/>
          <w:b w:val="0"/>
          <w:bCs w:val="0"/>
        </w:rPr>
        <w:t>三、支</w:t>
      </w:r>
      <w:r>
        <w:rPr>
          <w:rStyle w:val="19"/>
          <w:rFonts w:hint="eastAsia" w:ascii="黑体" w:eastAsia="黑体"/>
          <w:b w:val="0"/>
          <w:bCs w:val="0"/>
        </w:rPr>
        <w:t>出决算情况说明</w:t>
      </w:r>
      <w:bookmarkEnd w:id="12"/>
      <w:bookmarkEnd w:id="13"/>
    </w:p>
    <w:p>
      <w:pPr>
        <w:spacing w:after="0" w:line="560" w:lineRule="exact"/>
        <w:ind w:firstLine="640" w:firstLineChars="200"/>
        <w:jc w:val="both"/>
        <w:outlineLvl w:val="1"/>
        <w:rPr>
          <w:rFonts w:ascii="仿宋_GB2312" w:eastAsia="仿宋_GB2312" w:cs="仿宋"/>
          <w:color w:val="000000"/>
          <w:sz w:val="32"/>
          <w:szCs w:val="32"/>
        </w:rPr>
      </w:pPr>
      <w:r>
        <w:rPr>
          <w:rFonts w:hint="eastAsia" w:ascii="仿宋_GB2312" w:eastAsia="仿宋_GB2312"/>
          <w:sz w:val="32"/>
          <w:szCs w:val="32"/>
        </w:rPr>
        <w:t>2021年</w:t>
      </w:r>
      <w:r>
        <w:rPr>
          <w:rFonts w:hint="eastAsia" w:ascii="仿宋_GB2312" w:eastAsia="仿宋_GB2312"/>
          <w:sz w:val="32"/>
          <w:szCs w:val="32"/>
          <w:lang w:val="en-US" w:eastAsia="zh-CN"/>
        </w:rPr>
        <w:t>部门</w:t>
      </w:r>
      <w:r>
        <w:rPr>
          <w:rFonts w:hint="eastAsia" w:ascii="仿宋_GB2312" w:eastAsia="仿宋_GB2312"/>
          <w:sz w:val="32"/>
          <w:szCs w:val="32"/>
        </w:rPr>
        <w:t>总支出1021.27万元,其中：</w:t>
      </w:r>
      <w:r>
        <w:rPr>
          <w:rFonts w:hint="eastAsia" w:ascii="仿宋_GB2312" w:eastAsia="仿宋_GB2312" w:cs="仿宋"/>
          <w:color w:val="000000"/>
          <w:sz w:val="32"/>
          <w:szCs w:val="32"/>
        </w:rPr>
        <w:t>基本支出</w:t>
      </w:r>
      <w:r>
        <w:rPr>
          <w:rFonts w:hint="eastAsia" w:ascii="仿宋_GB2312" w:eastAsia="仿宋_GB2312" w:cs="仿宋"/>
          <w:color w:val="000000"/>
          <w:sz w:val="32"/>
          <w:szCs w:val="32"/>
          <w:lang w:val="en-US" w:eastAsia="zh-CN"/>
        </w:rPr>
        <w:t>299.16</w:t>
      </w:r>
      <w:r>
        <w:rPr>
          <w:rFonts w:hint="eastAsia" w:ascii="仿宋_GB2312" w:eastAsia="仿宋_GB2312" w:cs="仿宋"/>
          <w:color w:val="000000"/>
          <w:sz w:val="32"/>
          <w:szCs w:val="32"/>
        </w:rPr>
        <w:t>万元，占</w:t>
      </w:r>
      <w:r>
        <w:rPr>
          <w:rFonts w:hint="eastAsia" w:ascii="仿宋_GB2312" w:eastAsia="仿宋_GB2312" w:cs="仿宋"/>
          <w:color w:val="000000"/>
          <w:sz w:val="32"/>
          <w:szCs w:val="32"/>
          <w:lang w:val="en-US" w:eastAsia="zh-CN"/>
        </w:rPr>
        <w:t>29.30</w:t>
      </w:r>
      <w:r>
        <w:rPr>
          <w:rFonts w:hint="eastAsia" w:ascii="仿宋_GB2312" w:eastAsia="仿宋_GB2312" w:cs="仿宋"/>
          <w:color w:val="000000"/>
          <w:sz w:val="32"/>
          <w:szCs w:val="32"/>
        </w:rPr>
        <w:t>%；项目支出722.11万元，占</w:t>
      </w:r>
      <w:r>
        <w:rPr>
          <w:rFonts w:hint="eastAsia" w:ascii="仿宋_GB2312" w:eastAsia="仿宋_GB2312" w:cs="仿宋"/>
          <w:color w:val="000000"/>
          <w:sz w:val="32"/>
          <w:szCs w:val="32"/>
          <w:lang w:val="en-US" w:eastAsia="zh-CN"/>
        </w:rPr>
        <w:t>70.70</w:t>
      </w:r>
      <w:r>
        <w:rPr>
          <w:rFonts w:hint="eastAsia" w:ascii="仿宋_GB2312" w:eastAsia="仿宋_GB2312" w:cs="仿宋"/>
          <w:color w:val="000000"/>
          <w:sz w:val="32"/>
          <w:szCs w:val="32"/>
        </w:rPr>
        <w:t>%。</w:t>
      </w:r>
    </w:p>
    <w:p>
      <w:pPr>
        <w:spacing w:after="0" w:line="560" w:lineRule="exact"/>
        <w:ind w:firstLine="640" w:firstLineChars="200"/>
        <w:jc w:val="both"/>
        <w:outlineLvl w:val="1"/>
        <w:rPr>
          <w:rFonts w:ascii="仿宋" w:eastAsia="仿宋"/>
          <w:color w:val="000000"/>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r>
        <w:drawing>
          <wp:anchor distT="0" distB="0" distL="114300" distR="114300" simplePos="0" relativeHeight="251662336" behindDoc="0" locked="0" layoutInCell="1" allowOverlap="1">
            <wp:simplePos x="0" y="0"/>
            <wp:positionH relativeFrom="column">
              <wp:posOffset>4445</wp:posOffset>
            </wp:positionH>
            <wp:positionV relativeFrom="paragraph">
              <wp:posOffset>-2362835</wp:posOffset>
            </wp:positionV>
            <wp:extent cx="4549775" cy="2636520"/>
            <wp:effectExtent l="4445" t="4445" r="17780" b="10795"/>
            <wp:wrapSquare wrapText="bothSides"/>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3"/>
        <w:spacing w:line="560" w:lineRule="exact"/>
        <w:ind w:firstLine="480" w:firstLineChars="150"/>
        <w:jc w:val="both"/>
        <w:rPr>
          <w:rFonts w:ascii="仿宋_GB2312" w:eastAsia="仿宋_GB2312"/>
          <w:sz w:val="32"/>
          <w:szCs w:val="32"/>
        </w:rPr>
      </w:pPr>
      <w:r>
        <w:rPr>
          <w:rFonts w:hint="eastAsia" w:ascii="仿宋_GB2312" w:eastAsia="仿宋_GB2312"/>
          <w:sz w:val="32"/>
          <w:szCs w:val="32"/>
        </w:rPr>
        <w:t>（图4：支出决算结构图）</w:t>
      </w:r>
    </w:p>
    <w:p>
      <w:pPr>
        <w:pStyle w:val="23"/>
        <w:spacing w:line="560" w:lineRule="exact"/>
        <w:ind w:firstLine="640" w:firstLineChars="200"/>
        <w:jc w:val="both"/>
        <w:rPr>
          <w:rFonts w:ascii="黑体" w:eastAsia="黑体"/>
          <w:sz w:val="32"/>
          <w:szCs w:val="32"/>
        </w:rPr>
      </w:pPr>
      <w:r>
        <w:rPr>
          <w:rFonts w:hint="eastAsia" w:ascii="黑体" w:eastAsia="黑体"/>
          <w:sz w:val="32"/>
          <w:szCs w:val="32"/>
        </w:rPr>
        <w:t>四、财政拨款收入支出决算总体情况说明</w:t>
      </w:r>
    </w:p>
    <w:p>
      <w:pPr>
        <w:pStyle w:val="23"/>
        <w:spacing w:line="560" w:lineRule="exact"/>
        <w:ind w:firstLine="643" w:firstLineChars="200"/>
        <w:jc w:val="both"/>
        <w:rPr>
          <w:rFonts w:ascii="楷体_GB2312" w:eastAsia="楷体_GB2312"/>
          <w:b/>
          <w:sz w:val="32"/>
          <w:szCs w:val="32"/>
        </w:rPr>
      </w:pPr>
      <w:r>
        <w:rPr>
          <w:rFonts w:hint="eastAsia" w:ascii="楷体_GB2312" w:eastAsia="楷体_GB2312"/>
          <w:b/>
          <w:sz w:val="32"/>
          <w:szCs w:val="32"/>
        </w:rPr>
        <w:t>(一)财政拨款收入情况</w:t>
      </w:r>
    </w:p>
    <w:p>
      <w:pPr>
        <w:pStyle w:val="23"/>
        <w:spacing w:line="560" w:lineRule="exact"/>
        <w:ind w:firstLine="480" w:firstLineChars="150"/>
        <w:jc w:val="both"/>
        <w:rPr>
          <w:rFonts w:hint="eastAsia" w:ascii="仿宋_GB2312" w:eastAsia="仿宋_GB2312"/>
          <w:sz w:val="32"/>
          <w:szCs w:val="32"/>
        </w:rPr>
      </w:pPr>
      <w:r>
        <w:rPr>
          <w:rFonts w:hint="eastAsia" w:ascii="仿宋_GB2312" w:eastAsia="仿宋_GB2312"/>
          <w:sz w:val="32"/>
          <w:szCs w:val="32"/>
        </w:rPr>
        <w:t>2021年度</w:t>
      </w:r>
      <w:r>
        <w:rPr>
          <w:rFonts w:hint="eastAsia" w:ascii="仿宋_GB2312" w:eastAsia="仿宋_GB2312"/>
          <w:sz w:val="32"/>
          <w:szCs w:val="32"/>
          <w:lang w:val="en-US" w:eastAsia="zh-CN"/>
        </w:rPr>
        <w:t>部门</w:t>
      </w:r>
      <w:r>
        <w:rPr>
          <w:rFonts w:hint="eastAsia" w:ascii="仿宋_GB2312" w:eastAsia="仿宋_GB2312"/>
          <w:sz w:val="32"/>
          <w:szCs w:val="32"/>
        </w:rPr>
        <w:t>资金总收入1021.27万元（本年财政拨款544.45万元，年初结转结余476.82万元），2020年度部门资金总收入914.19万元，同比增长11.71%。变动原因：</w:t>
      </w:r>
      <w:r>
        <w:rPr>
          <w:rFonts w:hint="eastAsia" w:ascii="仿宋_GB2312" w:eastAsia="仿宋_GB2312"/>
          <w:sz w:val="32"/>
          <w:szCs w:val="32"/>
          <w:lang w:val="en-US" w:eastAsia="zh-CN"/>
        </w:rPr>
        <w:t>增加</w:t>
      </w:r>
      <w:r>
        <w:rPr>
          <w:rFonts w:hint="eastAsia" w:ascii="仿宋_GB2312" w:eastAsia="仿宋_GB2312"/>
          <w:sz w:val="32"/>
          <w:szCs w:val="32"/>
        </w:rPr>
        <w:t>人员</w:t>
      </w:r>
      <w:r>
        <w:rPr>
          <w:rFonts w:hint="eastAsia" w:ascii="仿宋_GB2312" w:eastAsia="仿宋_GB2312"/>
          <w:sz w:val="32"/>
          <w:szCs w:val="32"/>
          <w:lang w:val="en-US" w:eastAsia="zh-CN"/>
        </w:rPr>
        <w:t>经费收入</w:t>
      </w:r>
      <w:r>
        <w:rPr>
          <w:rFonts w:hint="eastAsia" w:ascii="仿宋_GB2312" w:eastAsia="仿宋_GB2312"/>
          <w:sz w:val="32"/>
          <w:szCs w:val="32"/>
        </w:rPr>
        <w:t>。</w:t>
      </w:r>
    </w:p>
    <w:p>
      <w:pPr>
        <w:pStyle w:val="23"/>
        <w:spacing w:line="560" w:lineRule="exact"/>
        <w:ind w:firstLine="480" w:firstLineChars="150"/>
        <w:jc w:val="both"/>
        <w:rPr>
          <w:rFonts w:hint="eastAsia"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ind w:firstLine="480" w:firstLineChars="150"/>
        <w:jc w:val="both"/>
        <w:rPr>
          <w:rFonts w:ascii="仿宋_GB2312" w:eastAsia="仿宋_GB2312"/>
          <w:sz w:val="32"/>
          <w:szCs w:val="32"/>
        </w:rPr>
      </w:pPr>
    </w:p>
    <w:p>
      <w:pPr>
        <w:pStyle w:val="23"/>
        <w:spacing w:line="560" w:lineRule="exact"/>
        <w:ind w:firstLine="360" w:firstLineChars="150"/>
        <w:jc w:val="both"/>
        <w:rPr>
          <w:rFonts w:ascii="仿宋_GB2312" w:eastAsia="仿宋_GB2312"/>
          <w:sz w:val="32"/>
          <w:szCs w:val="32"/>
        </w:rPr>
      </w:pPr>
      <w:r>
        <w:drawing>
          <wp:anchor distT="0" distB="0" distL="114300" distR="114300" simplePos="0" relativeHeight="251663360" behindDoc="0" locked="0" layoutInCell="1" allowOverlap="1">
            <wp:simplePos x="0" y="0"/>
            <wp:positionH relativeFrom="column">
              <wp:posOffset>233045</wp:posOffset>
            </wp:positionH>
            <wp:positionV relativeFrom="paragraph">
              <wp:posOffset>-2256155</wp:posOffset>
            </wp:positionV>
            <wp:extent cx="3916680" cy="2487295"/>
            <wp:effectExtent l="4445" t="4445" r="10795" b="762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3"/>
        <w:spacing w:line="560" w:lineRule="exact"/>
        <w:ind w:firstLine="480" w:firstLineChars="150"/>
        <w:jc w:val="both"/>
        <w:rPr>
          <w:rFonts w:ascii="仿宋_GB2312" w:eastAsia="仿宋_GB2312"/>
          <w:sz w:val="32"/>
          <w:szCs w:val="32"/>
        </w:rPr>
      </w:pPr>
      <w:r>
        <w:rPr>
          <w:rFonts w:hint="eastAsia" w:ascii="仿宋_GB2312" w:eastAsia="仿宋_GB2312"/>
          <w:sz w:val="32"/>
          <w:szCs w:val="32"/>
        </w:rPr>
        <w:t>（图5：财政拨款收入情况图）</w:t>
      </w:r>
    </w:p>
    <w:p>
      <w:pPr>
        <w:pStyle w:val="23"/>
        <w:spacing w:line="560" w:lineRule="exact"/>
        <w:ind w:firstLine="482" w:firstLineChars="150"/>
        <w:jc w:val="both"/>
        <w:rPr>
          <w:rFonts w:ascii="楷体_GB2312" w:eastAsia="楷体_GB2312"/>
          <w:b/>
          <w:sz w:val="32"/>
          <w:szCs w:val="32"/>
        </w:rPr>
      </w:pPr>
      <w:r>
        <w:rPr>
          <w:rFonts w:hint="eastAsia" w:ascii="楷体_GB2312" w:eastAsia="楷体_GB2312"/>
          <w:b/>
          <w:sz w:val="32"/>
          <w:szCs w:val="32"/>
        </w:rPr>
        <w:t>（二）财政拨款支出情况</w:t>
      </w:r>
    </w:p>
    <w:p>
      <w:pPr>
        <w:pStyle w:val="23"/>
        <w:spacing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2021年</w:t>
      </w:r>
      <w:r>
        <w:rPr>
          <w:rFonts w:hint="eastAsia" w:ascii="仿宋_GB2312" w:eastAsia="仿宋_GB2312"/>
          <w:sz w:val="32"/>
          <w:szCs w:val="32"/>
          <w:lang w:val="en-US" w:eastAsia="zh-CN"/>
        </w:rPr>
        <w:t>部门</w:t>
      </w:r>
      <w:r>
        <w:rPr>
          <w:rFonts w:hint="eastAsia" w:ascii="仿宋_GB2312" w:eastAsia="仿宋_GB2312"/>
          <w:sz w:val="32"/>
          <w:szCs w:val="32"/>
        </w:rPr>
        <w:t>总支出</w:t>
      </w:r>
      <w:r>
        <w:rPr>
          <w:rFonts w:hint="eastAsia" w:ascii="仿宋_GB2312" w:eastAsia="仿宋_GB2312"/>
          <w:sz w:val="32"/>
          <w:szCs w:val="32"/>
          <w:lang w:val="en-US" w:eastAsia="zh-CN"/>
        </w:rPr>
        <w:t>1021.27</w:t>
      </w:r>
      <w:r>
        <w:rPr>
          <w:rFonts w:hint="eastAsia" w:ascii="仿宋_GB2312" w:eastAsia="仿宋_GB2312"/>
          <w:sz w:val="32"/>
          <w:szCs w:val="32"/>
        </w:rPr>
        <w:t>万元，2020年</w:t>
      </w:r>
      <w:r>
        <w:rPr>
          <w:rFonts w:hint="eastAsia" w:ascii="仿宋_GB2312" w:eastAsia="仿宋_GB2312"/>
          <w:sz w:val="32"/>
          <w:szCs w:val="32"/>
          <w:lang w:val="en-US" w:eastAsia="zh-CN"/>
        </w:rPr>
        <w:t>部门</w:t>
      </w:r>
      <w:r>
        <w:rPr>
          <w:rFonts w:hint="eastAsia" w:ascii="仿宋_GB2312" w:eastAsia="仿宋_GB2312"/>
          <w:sz w:val="32"/>
          <w:szCs w:val="32"/>
        </w:rPr>
        <w:t>总支出</w:t>
      </w:r>
      <w:r>
        <w:rPr>
          <w:rFonts w:hint="eastAsia" w:ascii="仿宋_GB2312" w:eastAsia="仿宋_GB2312"/>
          <w:sz w:val="32"/>
          <w:szCs w:val="32"/>
          <w:lang w:val="en-US" w:eastAsia="zh-CN"/>
        </w:rPr>
        <w:t>431.18</w:t>
      </w:r>
      <w:r>
        <w:rPr>
          <w:rFonts w:hint="eastAsia" w:ascii="仿宋_GB2312" w:eastAsia="仿宋_GB2312"/>
          <w:sz w:val="32"/>
          <w:szCs w:val="32"/>
        </w:rPr>
        <w:t>万元，同比增长</w:t>
      </w:r>
      <w:r>
        <w:rPr>
          <w:rFonts w:hint="eastAsia" w:ascii="仿宋_GB2312" w:eastAsia="仿宋_GB2312"/>
          <w:sz w:val="32"/>
          <w:szCs w:val="32"/>
          <w:lang w:val="en-US" w:eastAsia="zh-CN"/>
        </w:rPr>
        <w:t>136.85</w:t>
      </w:r>
      <w:r>
        <w:rPr>
          <w:rFonts w:hint="eastAsia" w:ascii="仿宋_GB2312" w:eastAsia="仿宋_GB2312"/>
          <w:sz w:val="32"/>
          <w:szCs w:val="32"/>
        </w:rPr>
        <w:t>%。变动原因：</w:t>
      </w:r>
      <w:r>
        <w:rPr>
          <w:rFonts w:hint="eastAsia" w:ascii="仿宋_GB2312" w:eastAsia="仿宋_GB2312"/>
          <w:sz w:val="32"/>
          <w:szCs w:val="32"/>
          <w:lang w:val="en-US" w:eastAsia="zh-CN"/>
        </w:rPr>
        <w:t>部门</w:t>
      </w:r>
      <w:r>
        <w:rPr>
          <w:rFonts w:hint="eastAsia" w:ascii="仿宋_GB2312" w:eastAsia="仿宋_GB2312"/>
          <w:sz w:val="32"/>
          <w:szCs w:val="32"/>
        </w:rPr>
        <w:t>新增</w:t>
      </w:r>
      <w:r>
        <w:rPr>
          <w:rFonts w:hint="eastAsia" w:ascii="仿宋_GB2312" w:eastAsia="仿宋_GB2312"/>
          <w:sz w:val="32"/>
          <w:szCs w:val="32"/>
          <w:lang w:val="en-US" w:eastAsia="zh-CN"/>
        </w:rPr>
        <w:t>项目支出</w:t>
      </w:r>
      <w:r>
        <w:rPr>
          <w:rFonts w:hint="eastAsia" w:ascii="仿宋_GB2312" w:eastAsia="仿宋_GB2312"/>
          <w:sz w:val="32"/>
          <w:szCs w:val="32"/>
        </w:rPr>
        <w:t>及</w:t>
      </w:r>
      <w:r>
        <w:rPr>
          <w:rFonts w:hint="eastAsia" w:ascii="仿宋_GB2312" w:eastAsia="仿宋_GB2312"/>
          <w:sz w:val="32"/>
          <w:szCs w:val="32"/>
          <w:lang w:val="en-US" w:eastAsia="zh-CN"/>
        </w:rPr>
        <w:t>增加</w:t>
      </w:r>
      <w:r>
        <w:rPr>
          <w:rFonts w:hint="eastAsia" w:ascii="仿宋_GB2312" w:eastAsia="仿宋_GB2312"/>
          <w:sz w:val="32"/>
          <w:szCs w:val="32"/>
        </w:rPr>
        <w:t>人员</w:t>
      </w:r>
      <w:r>
        <w:rPr>
          <w:rFonts w:hint="eastAsia" w:ascii="仿宋_GB2312" w:eastAsia="仿宋_GB2312"/>
          <w:sz w:val="32"/>
          <w:szCs w:val="32"/>
          <w:lang w:val="en-US" w:eastAsia="zh-CN"/>
        </w:rPr>
        <w:t>经费支出</w:t>
      </w:r>
      <w:r>
        <w:rPr>
          <w:rFonts w:hint="eastAsia" w:ascii="仿宋_GB2312" w:eastAsia="仿宋_GB2312"/>
          <w:sz w:val="32"/>
          <w:szCs w:val="32"/>
        </w:rPr>
        <w:t>。</w:t>
      </w:r>
    </w:p>
    <w:p>
      <w:pPr>
        <w:pStyle w:val="23"/>
        <w:spacing w:line="560" w:lineRule="exact"/>
        <w:ind w:firstLine="480" w:firstLineChars="200"/>
        <w:jc w:val="both"/>
        <w:rPr>
          <w:rFonts w:ascii="黑体" w:eastAsia="黑体"/>
          <w:sz w:val="32"/>
          <w:szCs w:val="32"/>
        </w:rPr>
      </w:pPr>
      <w:r>
        <w:drawing>
          <wp:anchor distT="0" distB="0" distL="114300" distR="114300" simplePos="0" relativeHeight="251664384" behindDoc="0" locked="0" layoutInCell="1" allowOverlap="1">
            <wp:simplePos x="0" y="0"/>
            <wp:positionH relativeFrom="column">
              <wp:posOffset>308610</wp:posOffset>
            </wp:positionH>
            <wp:positionV relativeFrom="paragraph">
              <wp:posOffset>46990</wp:posOffset>
            </wp:positionV>
            <wp:extent cx="4663440" cy="2712085"/>
            <wp:effectExtent l="4445" t="4445" r="5715" b="13970"/>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3"/>
        <w:spacing w:line="560" w:lineRule="exact"/>
        <w:ind w:firstLine="640" w:firstLineChars="200"/>
        <w:jc w:val="both"/>
        <w:rPr>
          <w:rFonts w:ascii="黑体" w:eastAsia="黑体"/>
          <w:sz w:val="32"/>
          <w:szCs w:val="32"/>
        </w:rPr>
      </w:pPr>
    </w:p>
    <w:p>
      <w:pPr>
        <w:pStyle w:val="23"/>
        <w:spacing w:line="560" w:lineRule="exact"/>
        <w:ind w:firstLine="640" w:firstLineChars="200"/>
        <w:jc w:val="both"/>
        <w:rPr>
          <w:rFonts w:ascii="黑体" w:eastAsia="黑体"/>
          <w:sz w:val="32"/>
          <w:szCs w:val="32"/>
        </w:rPr>
      </w:pPr>
    </w:p>
    <w:p>
      <w:pPr>
        <w:pStyle w:val="23"/>
        <w:spacing w:line="560" w:lineRule="exact"/>
        <w:jc w:val="both"/>
        <w:rPr>
          <w:rFonts w:ascii="黑体" w:eastAsia="黑体"/>
          <w:sz w:val="32"/>
          <w:szCs w:val="32"/>
        </w:rPr>
      </w:pPr>
    </w:p>
    <w:p>
      <w:pPr>
        <w:pStyle w:val="23"/>
        <w:spacing w:line="560" w:lineRule="exact"/>
        <w:ind w:firstLine="640" w:firstLineChars="200"/>
        <w:jc w:val="both"/>
        <w:rPr>
          <w:rFonts w:ascii="黑体" w:eastAsia="黑体"/>
          <w:sz w:val="32"/>
          <w:szCs w:val="32"/>
        </w:rPr>
      </w:pPr>
    </w:p>
    <w:p>
      <w:pPr>
        <w:pStyle w:val="23"/>
        <w:spacing w:line="560" w:lineRule="exact"/>
        <w:ind w:firstLine="640" w:firstLineChars="200"/>
        <w:jc w:val="both"/>
        <w:rPr>
          <w:rFonts w:ascii="黑体" w:eastAsia="黑体"/>
          <w:sz w:val="32"/>
          <w:szCs w:val="32"/>
        </w:rPr>
      </w:pPr>
    </w:p>
    <w:p>
      <w:pPr>
        <w:pStyle w:val="23"/>
        <w:spacing w:line="560" w:lineRule="exact"/>
        <w:jc w:val="both"/>
        <w:rPr>
          <w:rFonts w:ascii="黑体" w:eastAsia="黑体"/>
          <w:sz w:val="32"/>
          <w:szCs w:val="32"/>
        </w:rPr>
      </w:pPr>
    </w:p>
    <w:p>
      <w:pPr>
        <w:pStyle w:val="23"/>
        <w:spacing w:line="560" w:lineRule="exact"/>
        <w:jc w:val="both"/>
        <w:rPr>
          <w:rFonts w:ascii="黑体" w:eastAsia="黑体"/>
          <w:sz w:val="32"/>
          <w:szCs w:val="32"/>
        </w:rPr>
      </w:pPr>
    </w:p>
    <w:p>
      <w:pPr>
        <w:pStyle w:val="23"/>
        <w:spacing w:line="560" w:lineRule="exact"/>
        <w:ind w:firstLine="320" w:firstLineChars="100"/>
        <w:jc w:val="both"/>
        <w:rPr>
          <w:rFonts w:ascii="仿宋_GB2312" w:eastAsia="仿宋_GB2312" w:cs="Arial"/>
          <w:sz w:val="32"/>
          <w:szCs w:val="32"/>
        </w:rPr>
      </w:pPr>
      <w:r>
        <w:rPr>
          <w:rFonts w:hint="eastAsia" w:ascii="仿宋_GB2312" w:eastAsia="仿宋_GB2312" w:cs="Arial"/>
          <w:sz w:val="32"/>
          <w:szCs w:val="32"/>
        </w:rPr>
        <w:t>（图6：财政拨款支出情况图）</w:t>
      </w:r>
    </w:p>
    <w:p>
      <w:pPr>
        <w:pStyle w:val="23"/>
        <w:spacing w:line="560" w:lineRule="exact"/>
        <w:ind w:firstLine="640" w:firstLineChars="200"/>
        <w:jc w:val="both"/>
        <w:rPr>
          <w:rFonts w:ascii="黑体" w:eastAsia="黑体"/>
          <w:sz w:val="32"/>
          <w:szCs w:val="32"/>
        </w:rPr>
      </w:pPr>
      <w:r>
        <w:rPr>
          <w:rFonts w:hint="eastAsia" w:ascii="黑体" w:eastAsia="黑体"/>
          <w:sz w:val="32"/>
          <w:szCs w:val="32"/>
        </w:rPr>
        <w:t>五、一般公共预算财政拨款支出决算情况说明</w:t>
      </w:r>
    </w:p>
    <w:p>
      <w:pPr>
        <w:spacing w:after="0" w:line="560" w:lineRule="exact"/>
        <w:ind w:firstLine="475" w:firstLineChars="148"/>
        <w:jc w:val="both"/>
        <w:outlineLvl w:val="2"/>
        <w:rPr>
          <w:rFonts w:ascii="楷体_GB2312" w:eastAsia="楷体_GB2312"/>
          <w:b/>
          <w:color w:val="000000"/>
          <w:sz w:val="32"/>
          <w:szCs w:val="32"/>
        </w:rPr>
      </w:pPr>
      <w:r>
        <w:rPr>
          <w:rFonts w:hint="eastAsia" w:ascii="楷体_GB2312" w:eastAsia="楷体_GB2312"/>
          <w:b/>
          <w:color w:val="000000"/>
          <w:sz w:val="32"/>
          <w:szCs w:val="32"/>
        </w:rPr>
        <w:t>（一）一般公共预算财政拨款支出决算总体情况</w:t>
      </w:r>
    </w:p>
    <w:p>
      <w:pPr>
        <w:pStyle w:val="23"/>
        <w:spacing w:line="560" w:lineRule="exact"/>
        <w:ind w:firstLine="800" w:firstLineChars="250"/>
        <w:jc w:val="both"/>
        <w:rPr>
          <w:rFonts w:hint="eastAsia" w:ascii="仿宋_GB2312" w:eastAsia="仿宋_GB2312"/>
          <w:sz w:val="32"/>
          <w:szCs w:val="32"/>
        </w:rPr>
      </w:pPr>
      <w:r>
        <w:rPr>
          <w:rFonts w:hint="eastAsia" w:ascii="仿宋_GB2312" w:eastAsia="仿宋_GB2312"/>
          <w:sz w:val="32"/>
          <w:szCs w:val="32"/>
        </w:rPr>
        <w:t>2021年一般公共预算财政拨款支出</w:t>
      </w:r>
      <w:r>
        <w:rPr>
          <w:rFonts w:hint="eastAsia" w:ascii="仿宋_GB2312" w:eastAsia="仿宋_GB2312"/>
          <w:sz w:val="32"/>
          <w:szCs w:val="32"/>
          <w:lang w:val="en-US" w:eastAsia="zh-CN"/>
        </w:rPr>
        <w:t>1021.27</w:t>
      </w:r>
      <w:r>
        <w:rPr>
          <w:rFonts w:hint="eastAsia" w:ascii="仿宋_GB2312" w:eastAsia="仿宋_GB2312"/>
          <w:sz w:val="32"/>
          <w:szCs w:val="32"/>
        </w:rPr>
        <w:t>万元，2020年一般公共预算财政拨款支出</w:t>
      </w:r>
      <w:r>
        <w:rPr>
          <w:rFonts w:hint="eastAsia" w:ascii="仿宋_GB2312" w:eastAsia="仿宋_GB2312"/>
          <w:sz w:val="32"/>
          <w:szCs w:val="32"/>
          <w:lang w:val="en-US" w:eastAsia="zh-CN"/>
        </w:rPr>
        <w:t>431.18</w:t>
      </w:r>
      <w:r>
        <w:rPr>
          <w:rFonts w:hint="eastAsia" w:ascii="仿宋_GB2312" w:eastAsia="仿宋_GB2312"/>
          <w:sz w:val="32"/>
          <w:szCs w:val="32"/>
        </w:rPr>
        <w:t>万元，同比增长</w:t>
      </w:r>
      <w:r>
        <w:rPr>
          <w:rFonts w:hint="eastAsia" w:ascii="仿宋_GB2312" w:eastAsia="仿宋_GB2312"/>
          <w:sz w:val="32"/>
          <w:szCs w:val="32"/>
          <w:lang w:val="en-US" w:eastAsia="zh-CN"/>
        </w:rPr>
        <w:t>136.85</w:t>
      </w:r>
      <w:r>
        <w:rPr>
          <w:rFonts w:hint="eastAsia" w:ascii="仿宋_GB2312" w:eastAsia="仿宋_GB2312"/>
          <w:sz w:val="32"/>
          <w:szCs w:val="32"/>
        </w:rPr>
        <w:t>%。变动原因：</w:t>
      </w:r>
      <w:r>
        <w:rPr>
          <w:rFonts w:hint="eastAsia" w:ascii="仿宋_GB2312" w:eastAsia="仿宋_GB2312"/>
          <w:sz w:val="32"/>
          <w:szCs w:val="32"/>
          <w:lang w:val="en-US" w:eastAsia="zh-CN"/>
        </w:rPr>
        <w:t>部门</w:t>
      </w:r>
      <w:r>
        <w:rPr>
          <w:rFonts w:hint="eastAsia" w:ascii="仿宋_GB2312" w:eastAsia="仿宋_GB2312"/>
          <w:sz w:val="32"/>
          <w:szCs w:val="32"/>
        </w:rPr>
        <w:t>新增</w:t>
      </w:r>
      <w:r>
        <w:rPr>
          <w:rFonts w:hint="eastAsia" w:ascii="仿宋_GB2312" w:eastAsia="仿宋_GB2312"/>
          <w:sz w:val="32"/>
          <w:szCs w:val="32"/>
          <w:lang w:val="en-US" w:eastAsia="zh-CN"/>
        </w:rPr>
        <w:t>项目支出</w:t>
      </w:r>
      <w:r>
        <w:rPr>
          <w:rFonts w:hint="eastAsia" w:ascii="仿宋_GB2312" w:eastAsia="仿宋_GB2312"/>
          <w:sz w:val="32"/>
          <w:szCs w:val="32"/>
        </w:rPr>
        <w:t>及</w:t>
      </w:r>
      <w:r>
        <w:rPr>
          <w:rFonts w:hint="eastAsia" w:ascii="仿宋_GB2312" w:eastAsia="仿宋_GB2312"/>
          <w:sz w:val="32"/>
          <w:szCs w:val="32"/>
          <w:lang w:val="en-US" w:eastAsia="zh-CN"/>
        </w:rPr>
        <w:t>增加</w:t>
      </w:r>
      <w:r>
        <w:rPr>
          <w:rFonts w:hint="eastAsia" w:ascii="仿宋_GB2312" w:eastAsia="仿宋_GB2312"/>
          <w:sz w:val="32"/>
          <w:szCs w:val="32"/>
        </w:rPr>
        <w:t>人员</w:t>
      </w:r>
      <w:r>
        <w:rPr>
          <w:rFonts w:hint="eastAsia" w:ascii="仿宋_GB2312" w:eastAsia="仿宋_GB2312"/>
          <w:sz w:val="32"/>
          <w:szCs w:val="32"/>
          <w:lang w:val="en-US" w:eastAsia="zh-CN"/>
        </w:rPr>
        <w:t>经费支出</w:t>
      </w:r>
      <w:r>
        <w:rPr>
          <w:rFonts w:hint="eastAsia" w:ascii="仿宋_GB2312" w:eastAsia="仿宋_GB2312"/>
          <w:sz w:val="32"/>
          <w:szCs w:val="32"/>
        </w:rPr>
        <w:t>。</w:t>
      </w:r>
    </w:p>
    <w:p>
      <w:pPr>
        <w:pStyle w:val="23"/>
        <w:spacing w:line="560" w:lineRule="exact"/>
        <w:ind w:firstLine="480" w:firstLineChars="15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spacing w:after="0" w:line="560" w:lineRule="exact"/>
        <w:jc w:val="both"/>
        <w:outlineLvl w:val="2"/>
        <w:rPr>
          <w:rFonts w:ascii="仿宋_GB2312" w:eastAsia="仿宋_GB2312"/>
          <w:color w:val="000000"/>
          <w:sz w:val="32"/>
          <w:szCs w:val="32"/>
        </w:rPr>
      </w:pPr>
    </w:p>
    <w:p>
      <w:pPr>
        <w:spacing w:after="0" w:line="560" w:lineRule="exact"/>
        <w:jc w:val="both"/>
        <w:outlineLvl w:val="2"/>
        <w:rPr>
          <w:rFonts w:ascii="仿宋_GB2312" w:eastAsia="仿宋_GB2312"/>
          <w:color w:val="000000"/>
          <w:sz w:val="32"/>
          <w:szCs w:val="32"/>
        </w:rPr>
      </w:pPr>
    </w:p>
    <w:p>
      <w:pPr>
        <w:spacing w:after="0" w:line="560" w:lineRule="exact"/>
        <w:jc w:val="both"/>
        <w:outlineLvl w:val="2"/>
        <w:rPr>
          <w:rFonts w:ascii="仿宋_GB2312" w:eastAsia="仿宋_GB2312"/>
          <w:color w:val="000000"/>
          <w:sz w:val="32"/>
          <w:szCs w:val="32"/>
        </w:rPr>
      </w:pPr>
    </w:p>
    <w:p>
      <w:pPr>
        <w:spacing w:after="0" w:line="560" w:lineRule="exact"/>
        <w:jc w:val="both"/>
        <w:outlineLvl w:val="2"/>
        <w:rPr>
          <w:rFonts w:ascii="仿宋" w:eastAsia="仿宋"/>
          <w:b/>
          <w:color w:val="000000"/>
          <w:sz w:val="32"/>
          <w:szCs w:val="32"/>
        </w:rPr>
      </w:pPr>
    </w:p>
    <w:p>
      <w:pPr>
        <w:spacing w:after="0" w:line="560" w:lineRule="exact"/>
        <w:ind w:firstLine="467" w:firstLineChars="146"/>
        <w:jc w:val="both"/>
        <w:outlineLvl w:val="2"/>
        <w:rPr>
          <w:rFonts w:ascii="仿宋_GB2312" w:eastAsia="仿宋_GB2312"/>
          <w:color w:val="000000"/>
          <w:sz w:val="32"/>
          <w:szCs w:val="32"/>
        </w:rPr>
      </w:pPr>
    </w:p>
    <w:p>
      <w:pPr>
        <w:spacing w:after="0" w:line="560" w:lineRule="exact"/>
        <w:ind w:firstLine="467" w:firstLineChars="146"/>
        <w:jc w:val="both"/>
        <w:outlineLvl w:val="2"/>
        <w:rPr>
          <w:rFonts w:ascii="仿宋_GB2312" w:eastAsia="仿宋_GB2312"/>
          <w:color w:val="000000"/>
          <w:sz w:val="32"/>
          <w:szCs w:val="32"/>
        </w:rPr>
      </w:pPr>
    </w:p>
    <w:p>
      <w:pPr>
        <w:spacing w:after="0" w:line="560" w:lineRule="exact"/>
        <w:ind w:firstLine="321" w:firstLineChars="146"/>
        <w:jc w:val="both"/>
        <w:outlineLvl w:val="2"/>
        <w:rPr>
          <w:rFonts w:ascii="仿宋_GB2312" w:eastAsia="仿宋_GB2312"/>
          <w:color w:val="000000"/>
          <w:sz w:val="32"/>
          <w:szCs w:val="32"/>
        </w:rPr>
      </w:pPr>
      <w:r>
        <w:drawing>
          <wp:anchor distT="0" distB="0" distL="114300" distR="114300" simplePos="0" relativeHeight="251665408" behindDoc="0" locked="0" layoutInCell="1" allowOverlap="1">
            <wp:simplePos x="0" y="0"/>
            <wp:positionH relativeFrom="column">
              <wp:posOffset>208280</wp:posOffset>
            </wp:positionH>
            <wp:positionV relativeFrom="paragraph">
              <wp:posOffset>-2441575</wp:posOffset>
            </wp:positionV>
            <wp:extent cx="4180840" cy="2717800"/>
            <wp:effectExtent l="4445" t="4445" r="5715" b="8255"/>
            <wp:wrapSquare wrapText="bothSides"/>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after="0" w:line="560" w:lineRule="exact"/>
        <w:ind w:firstLine="467" w:firstLineChars="146"/>
        <w:jc w:val="both"/>
        <w:outlineLvl w:val="2"/>
        <w:rPr>
          <w:rFonts w:ascii="仿宋_GB2312" w:eastAsia="仿宋_GB2312"/>
          <w:color w:val="000000"/>
          <w:sz w:val="32"/>
          <w:szCs w:val="32"/>
        </w:rPr>
      </w:pPr>
      <w:r>
        <w:rPr>
          <w:rFonts w:hint="eastAsia" w:ascii="仿宋_GB2312" w:eastAsia="仿宋_GB2312"/>
          <w:color w:val="000000"/>
          <w:sz w:val="32"/>
          <w:szCs w:val="32"/>
        </w:rPr>
        <w:t>（图7：一般公共财政拨款支出情况图）</w:t>
      </w:r>
    </w:p>
    <w:p>
      <w:pPr>
        <w:spacing w:after="0" w:line="560" w:lineRule="exact"/>
        <w:ind w:firstLine="469" w:firstLineChars="146"/>
        <w:jc w:val="both"/>
        <w:outlineLvl w:val="2"/>
        <w:rPr>
          <w:rFonts w:ascii="楷体_GB2312" w:eastAsia="楷体_GB2312"/>
          <w:b/>
          <w:color w:val="000000"/>
          <w:sz w:val="32"/>
          <w:szCs w:val="32"/>
        </w:rPr>
      </w:pPr>
      <w:r>
        <w:rPr>
          <w:rFonts w:hint="eastAsia" w:ascii="楷体_GB2312" w:eastAsia="楷体_GB2312"/>
          <w:b/>
          <w:color w:val="000000"/>
          <w:sz w:val="32"/>
          <w:szCs w:val="32"/>
        </w:rPr>
        <w:t>（二）一般公共预算财政拨款支出决算结构情况</w:t>
      </w:r>
    </w:p>
    <w:p>
      <w:pPr>
        <w:spacing w:after="0" w:line="560" w:lineRule="exact"/>
        <w:ind w:firstLine="640"/>
        <w:jc w:val="both"/>
        <w:rPr>
          <w:rFonts w:ascii="仿宋_GB2312" w:eastAsia="仿宋_GB2312"/>
          <w:color w:val="000000"/>
          <w:sz w:val="32"/>
          <w:szCs w:val="32"/>
        </w:rPr>
      </w:pPr>
      <w:r>
        <w:rPr>
          <w:rFonts w:hint="eastAsia" w:ascii="仿宋" w:eastAsia="仿宋"/>
          <w:color w:val="000000"/>
          <w:sz w:val="32"/>
          <w:szCs w:val="32"/>
        </w:rPr>
        <w:t>2021年一般公共预算财政拨款</w:t>
      </w:r>
      <w:r>
        <w:rPr>
          <w:rFonts w:ascii="仿宋" w:eastAsia="仿宋"/>
          <w:color w:val="000000"/>
          <w:sz w:val="32"/>
          <w:szCs w:val="32"/>
        </w:rPr>
        <w:t>支出</w:t>
      </w:r>
      <w:r>
        <w:rPr>
          <w:rFonts w:hint="eastAsia" w:ascii="仿宋" w:eastAsia="仿宋"/>
          <w:color w:val="000000"/>
          <w:sz w:val="32"/>
          <w:szCs w:val="32"/>
        </w:rPr>
        <w:t>1021.27万元</w:t>
      </w:r>
      <w:r>
        <w:rPr>
          <w:rFonts w:hint="eastAsia" w:ascii="仿宋_GB2312" w:eastAsia="仿宋_GB2312"/>
          <w:color w:val="000000"/>
          <w:sz w:val="32"/>
          <w:szCs w:val="32"/>
        </w:rPr>
        <w:t>。</w:t>
      </w:r>
    </w:p>
    <w:p>
      <w:pPr>
        <w:spacing w:after="0" w:line="560" w:lineRule="exact"/>
        <w:ind w:firstLine="640"/>
        <w:jc w:val="both"/>
        <w:rPr>
          <w:rFonts w:ascii="仿宋" w:eastAsia="仿宋"/>
          <w:color w:val="000000"/>
          <w:sz w:val="32"/>
          <w:szCs w:val="32"/>
        </w:rPr>
      </w:pPr>
      <w:r>
        <w:rPr>
          <w:rFonts w:hint="eastAsia" w:ascii="仿宋" w:eastAsia="仿宋"/>
          <w:color w:val="000000"/>
          <w:sz w:val="32"/>
          <w:szCs w:val="32"/>
        </w:rPr>
        <w:t>主要用于以下方面</w:t>
      </w:r>
      <w:r>
        <w:rPr>
          <w:rFonts w:ascii="仿宋" w:eastAsia="仿宋"/>
          <w:color w:val="000000"/>
          <w:sz w:val="32"/>
          <w:szCs w:val="32"/>
        </w:rPr>
        <w:t>:</w:t>
      </w:r>
      <w:r>
        <w:rPr>
          <w:rFonts w:hint="eastAsia" w:ascii="仿宋" w:eastAsia="仿宋"/>
          <w:color w:val="000000"/>
          <w:sz w:val="32"/>
          <w:szCs w:val="32"/>
        </w:rPr>
        <w:t xml:space="preserve"> 201一般公共服务（类）支出 957.23万元，占9</w:t>
      </w:r>
      <w:r>
        <w:rPr>
          <w:rFonts w:hint="eastAsia" w:ascii="仿宋" w:eastAsia="仿宋"/>
          <w:color w:val="000000"/>
          <w:sz w:val="32"/>
          <w:szCs w:val="32"/>
          <w:lang w:val="en-US" w:eastAsia="zh-CN"/>
        </w:rPr>
        <w:t>3.73</w:t>
      </w:r>
      <w:r>
        <w:rPr>
          <w:rFonts w:hint="eastAsia" w:ascii="仿宋" w:eastAsia="仿宋"/>
          <w:color w:val="000000"/>
          <w:sz w:val="32"/>
          <w:szCs w:val="32"/>
        </w:rPr>
        <w:t>%；208社会保障和就业（类）支出30.47万元，占2.</w:t>
      </w:r>
      <w:r>
        <w:rPr>
          <w:rFonts w:hint="eastAsia" w:ascii="仿宋" w:eastAsia="仿宋"/>
          <w:color w:val="000000"/>
          <w:sz w:val="32"/>
          <w:szCs w:val="32"/>
          <w:lang w:val="en-US" w:eastAsia="zh-CN"/>
        </w:rPr>
        <w:t>98</w:t>
      </w:r>
      <w:r>
        <w:rPr>
          <w:rFonts w:hint="eastAsia" w:ascii="仿宋" w:eastAsia="仿宋"/>
          <w:color w:val="000000"/>
          <w:sz w:val="32"/>
          <w:szCs w:val="32"/>
        </w:rPr>
        <w:t>%；210卫生健康（类）支出12.91万元，占</w:t>
      </w:r>
      <w:r>
        <w:rPr>
          <w:rFonts w:hint="eastAsia" w:ascii="仿宋" w:eastAsia="仿宋"/>
          <w:color w:val="000000"/>
          <w:sz w:val="32"/>
          <w:szCs w:val="32"/>
          <w:lang w:val="en-US" w:eastAsia="zh-CN"/>
        </w:rPr>
        <w:t>1.26</w:t>
      </w:r>
      <w:r>
        <w:rPr>
          <w:rFonts w:hint="eastAsia" w:ascii="仿宋" w:eastAsia="仿宋"/>
          <w:color w:val="000000"/>
          <w:sz w:val="32"/>
          <w:szCs w:val="32"/>
        </w:rPr>
        <w:t>%；221住房保障（类）支出20.66万元，占</w:t>
      </w:r>
      <w:r>
        <w:rPr>
          <w:rFonts w:hint="eastAsia" w:ascii="仿宋" w:eastAsia="仿宋"/>
          <w:color w:val="000000"/>
          <w:sz w:val="32"/>
          <w:szCs w:val="32"/>
          <w:lang w:val="en-US" w:eastAsia="zh-CN"/>
        </w:rPr>
        <w:t>2.03</w:t>
      </w:r>
      <w:r>
        <w:rPr>
          <w:rFonts w:hint="eastAsia" w:ascii="仿宋" w:eastAsia="仿宋"/>
          <w:color w:val="000000"/>
          <w:sz w:val="32"/>
          <w:szCs w:val="32"/>
        </w:rPr>
        <w:t>%。</w:t>
      </w:r>
    </w:p>
    <w:p>
      <w:pPr>
        <w:spacing w:after="0" w:line="560" w:lineRule="exact"/>
        <w:ind w:firstLine="640"/>
        <w:jc w:val="both"/>
        <w:rPr>
          <w:rFonts w:ascii="仿宋" w:eastAsia="仿宋"/>
          <w:color w:val="000000"/>
          <w:sz w:val="32"/>
          <w:szCs w:val="32"/>
        </w:rPr>
      </w:pPr>
    </w:p>
    <w:p>
      <w:pPr>
        <w:spacing w:after="0" w:line="560" w:lineRule="exact"/>
        <w:ind w:firstLine="640"/>
        <w:jc w:val="both"/>
        <w:rPr>
          <w:rFonts w:ascii="仿宋" w:eastAsia="仿宋"/>
          <w:color w:val="000000"/>
          <w:sz w:val="32"/>
          <w:szCs w:val="32"/>
        </w:rPr>
      </w:pPr>
    </w:p>
    <w:p>
      <w:pPr>
        <w:spacing w:after="0" w:line="560" w:lineRule="exact"/>
        <w:ind w:firstLine="640"/>
        <w:jc w:val="both"/>
        <w:rPr>
          <w:rFonts w:ascii="仿宋" w:eastAsia="仿宋"/>
          <w:color w:val="000000"/>
          <w:sz w:val="32"/>
          <w:szCs w:val="32"/>
        </w:rPr>
      </w:pPr>
    </w:p>
    <w:p>
      <w:pPr>
        <w:spacing w:after="0" w:line="560" w:lineRule="exact"/>
        <w:ind w:firstLine="640"/>
        <w:jc w:val="both"/>
        <w:rPr>
          <w:rFonts w:ascii="仿宋" w:eastAsia="仿宋"/>
          <w:color w:val="000000"/>
          <w:sz w:val="32"/>
          <w:szCs w:val="32"/>
        </w:rPr>
      </w:pPr>
    </w:p>
    <w:p>
      <w:pPr>
        <w:spacing w:after="0" w:line="560" w:lineRule="exact"/>
        <w:jc w:val="both"/>
      </w:pPr>
    </w:p>
    <w:p>
      <w:pPr>
        <w:spacing w:after="0" w:line="560" w:lineRule="exact"/>
        <w:jc w:val="both"/>
      </w:pPr>
    </w:p>
    <w:p>
      <w:pPr>
        <w:spacing w:after="0" w:line="560" w:lineRule="exact"/>
        <w:ind w:firstLine="640" w:firstLineChars="200"/>
        <w:jc w:val="both"/>
        <w:rPr>
          <w:rFonts w:ascii="仿宋" w:eastAsia="仿宋"/>
          <w:color w:val="000000"/>
          <w:sz w:val="32"/>
          <w:szCs w:val="32"/>
        </w:rPr>
      </w:pPr>
    </w:p>
    <w:p>
      <w:pPr>
        <w:spacing w:after="0" w:line="560" w:lineRule="exact"/>
        <w:ind w:firstLine="640" w:firstLineChars="200"/>
        <w:jc w:val="both"/>
        <w:rPr>
          <w:rFonts w:ascii="仿宋" w:eastAsia="仿宋"/>
          <w:color w:val="000000"/>
          <w:sz w:val="32"/>
          <w:szCs w:val="32"/>
        </w:rPr>
      </w:pPr>
    </w:p>
    <w:p>
      <w:pPr>
        <w:spacing w:after="0" w:line="560" w:lineRule="exact"/>
        <w:ind w:firstLine="640" w:firstLineChars="200"/>
        <w:jc w:val="both"/>
        <w:rPr>
          <w:rFonts w:ascii="仿宋" w:eastAsia="仿宋"/>
          <w:color w:val="000000"/>
          <w:sz w:val="32"/>
          <w:szCs w:val="32"/>
        </w:rPr>
      </w:pPr>
    </w:p>
    <w:p>
      <w:pPr>
        <w:spacing w:after="0" w:line="560" w:lineRule="exact"/>
        <w:ind w:firstLine="640" w:firstLineChars="200"/>
        <w:jc w:val="both"/>
        <w:rPr>
          <w:rFonts w:ascii="仿宋" w:eastAsia="仿宋"/>
          <w:color w:val="000000"/>
          <w:sz w:val="32"/>
          <w:szCs w:val="32"/>
        </w:rPr>
      </w:pPr>
    </w:p>
    <w:p>
      <w:pPr>
        <w:spacing w:after="0" w:line="560" w:lineRule="exact"/>
        <w:ind w:firstLine="640" w:firstLineChars="200"/>
        <w:jc w:val="both"/>
        <w:rPr>
          <w:rFonts w:ascii="仿宋" w:eastAsia="仿宋"/>
          <w:color w:val="000000"/>
          <w:sz w:val="32"/>
          <w:szCs w:val="32"/>
        </w:rPr>
      </w:pPr>
    </w:p>
    <w:p>
      <w:pPr>
        <w:spacing w:after="0" w:line="560" w:lineRule="exact"/>
        <w:ind w:firstLine="640" w:firstLineChars="200"/>
        <w:jc w:val="both"/>
        <w:rPr>
          <w:rFonts w:ascii="仿宋" w:eastAsia="仿宋"/>
          <w:color w:val="000000"/>
          <w:sz w:val="32"/>
          <w:szCs w:val="32"/>
        </w:rPr>
      </w:pPr>
    </w:p>
    <w:p>
      <w:pPr>
        <w:spacing w:after="0" w:line="560" w:lineRule="exact"/>
        <w:ind w:firstLine="640" w:firstLineChars="200"/>
        <w:jc w:val="both"/>
        <w:rPr>
          <w:rFonts w:ascii="仿宋" w:eastAsia="仿宋"/>
          <w:color w:val="000000"/>
          <w:sz w:val="32"/>
          <w:szCs w:val="32"/>
        </w:rPr>
      </w:pPr>
    </w:p>
    <w:p>
      <w:pPr>
        <w:spacing w:after="0" w:line="560" w:lineRule="exact"/>
        <w:ind w:firstLine="440" w:firstLineChars="200"/>
        <w:jc w:val="both"/>
        <w:rPr>
          <w:rFonts w:ascii="仿宋" w:eastAsia="仿宋"/>
          <w:color w:val="000000"/>
          <w:sz w:val="32"/>
          <w:szCs w:val="32"/>
        </w:rPr>
      </w:pPr>
      <w:r>
        <w:drawing>
          <wp:anchor distT="0" distB="0" distL="114300" distR="114300" simplePos="0" relativeHeight="251666432" behindDoc="0" locked="0" layoutInCell="1" allowOverlap="1">
            <wp:simplePos x="0" y="0"/>
            <wp:positionH relativeFrom="column">
              <wp:posOffset>283845</wp:posOffset>
            </wp:positionH>
            <wp:positionV relativeFrom="paragraph">
              <wp:posOffset>-2469515</wp:posOffset>
            </wp:positionV>
            <wp:extent cx="4259580" cy="2735580"/>
            <wp:effectExtent l="4445" t="4445" r="18415" b="18415"/>
            <wp:wrapSquare wrapText="bothSides"/>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after="0" w:line="560" w:lineRule="exact"/>
        <w:ind w:firstLine="800" w:firstLineChars="250"/>
        <w:jc w:val="both"/>
        <w:rPr>
          <w:rFonts w:ascii="仿宋" w:eastAsia="仿宋"/>
          <w:color w:val="000000"/>
          <w:sz w:val="32"/>
          <w:szCs w:val="32"/>
        </w:rPr>
      </w:pPr>
      <w:r>
        <w:rPr>
          <w:rFonts w:ascii="仿宋" w:eastAsia="仿宋"/>
          <w:color w:val="000000"/>
          <w:sz w:val="32"/>
          <w:szCs w:val="32"/>
        </w:rPr>
        <w:t>(</w:t>
      </w:r>
      <w:r>
        <w:rPr>
          <w:rFonts w:hint="eastAsia" w:ascii="仿宋" w:eastAsia="仿宋"/>
          <w:color w:val="000000"/>
          <w:sz w:val="32"/>
          <w:szCs w:val="32"/>
        </w:rPr>
        <w:t>图8：一般公共预算财政拨款支出决算结构情况图</w:t>
      </w:r>
      <w:r>
        <w:rPr>
          <w:rFonts w:ascii="仿宋" w:eastAsia="仿宋"/>
          <w:color w:val="000000"/>
          <w:sz w:val="32"/>
          <w:szCs w:val="32"/>
        </w:rPr>
        <w:t>)</w:t>
      </w:r>
    </w:p>
    <w:p>
      <w:pPr>
        <w:spacing w:after="0" w:line="560" w:lineRule="exact"/>
        <w:ind w:firstLine="643" w:firstLineChars="200"/>
        <w:jc w:val="both"/>
        <w:outlineLvl w:val="2"/>
        <w:rPr>
          <w:rFonts w:ascii="楷体_GB2312" w:eastAsia="楷体_GB2312"/>
          <w:b/>
          <w:color w:val="000000"/>
          <w:sz w:val="32"/>
          <w:szCs w:val="32"/>
        </w:rPr>
      </w:pPr>
      <w:r>
        <w:rPr>
          <w:rFonts w:hint="eastAsia" w:ascii="楷体_GB2312" w:eastAsia="楷体_GB2312"/>
          <w:b/>
          <w:color w:val="000000"/>
          <w:sz w:val="32"/>
          <w:szCs w:val="32"/>
        </w:rPr>
        <w:t>（三）一般公共预算财政拨款支出决算具体情况</w:t>
      </w:r>
    </w:p>
    <w:p>
      <w:pPr>
        <w:spacing w:after="0" w:line="560"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2021年一般公共预算支出决算数为</w:t>
      </w:r>
      <w:r>
        <w:rPr>
          <w:rFonts w:hint="eastAsia" w:ascii="仿宋_GB2312" w:eastAsia="仿宋_GB2312"/>
          <w:color w:val="000000"/>
          <w:sz w:val="32"/>
          <w:szCs w:val="32"/>
          <w:lang w:val="en-US" w:eastAsia="zh-CN"/>
        </w:rPr>
        <w:t>1021.27</w:t>
      </w:r>
      <w:r>
        <w:rPr>
          <w:rFonts w:hint="eastAsia" w:ascii="仿宋_GB2312" w:eastAsia="仿宋_GB2312"/>
          <w:color w:val="000000"/>
          <w:sz w:val="32"/>
          <w:szCs w:val="32"/>
        </w:rPr>
        <w:t>万元，完成预算100%。其中：</w:t>
      </w:r>
    </w:p>
    <w:p>
      <w:pPr>
        <w:spacing w:after="0" w:line="560"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1.2013701-行政运行支出</w:t>
      </w:r>
      <w:r>
        <w:rPr>
          <w:rFonts w:hint="eastAsia" w:ascii="仿宋_GB2312" w:eastAsia="仿宋_GB2312"/>
          <w:color w:val="000000"/>
          <w:sz w:val="32"/>
          <w:szCs w:val="32"/>
          <w:lang w:val="en-US" w:eastAsia="zh-CN"/>
        </w:rPr>
        <w:t>180.36</w:t>
      </w:r>
      <w:r>
        <w:rPr>
          <w:rFonts w:hint="eastAsia" w:ascii="仿宋_GB2312" w:eastAsia="仿宋_GB2312"/>
          <w:color w:val="000000"/>
          <w:sz w:val="32"/>
          <w:szCs w:val="32"/>
        </w:rPr>
        <w:t>万元，完成预算100%；</w:t>
      </w:r>
    </w:p>
    <w:p>
      <w:pPr>
        <w:spacing w:after="0" w:line="560"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2.2013702-一般行政管理事务</w:t>
      </w:r>
      <w:r>
        <w:rPr>
          <w:rFonts w:hint="eastAsia" w:ascii="仿宋_GB2312" w:eastAsia="仿宋_GB2312"/>
          <w:color w:val="000000"/>
          <w:sz w:val="32"/>
          <w:szCs w:val="32"/>
          <w:lang w:val="en-US" w:eastAsia="zh-CN"/>
        </w:rPr>
        <w:t>722.11</w:t>
      </w:r>
      <w:r>
        <w:rPr>
          <w:rFonts w:hint="eastAsia" w:ascii="仿宋_GB2312" w:eastAsia="仿宋_GB2312"/>
          <w:color w:val="000000"/>
          <w:sz w:val="32"/>
          <w:szCs w:val="32"/>
        </w:rPr>
        <w:t>万元，完成预算100%；</w:t>
      </w:r>
    </w:p>
    <w:p>
      <w:pPr>
        <w:spacing w:after="0" w:line="560" w:lineRule="exact"/>
        <w:ind w:firstLine="640" w:firstLineChars="200"/>
        <w:jc w:val="both"/>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2013750-事业运行支出</w:t>
      </w:r>
      <w:r>
        <w:rPr>
          <w:rFonts w:hint="eastAsia" w:ascii="仿宋_GB2312" w:eastAsia="仿宋_GB2312"/>
          <w:color w:val="000000"/>
          <w:sz w:val="32"/>
          <w:szCs w:val="32"/>
          <w:lang w:val="en-US" w:eastAsia="zh-CN"/>
        </w:rPr>
        <w:t>54.76</w:t>
      </w:r>
      <w:r>
        <w:rPr>
          <w:rFonts w:hint="eastAsia" w:ascii="仿宋_GB2312" w:eastAsia="仿宋_GB2312"/>
          <w:color w:val="000000"/>
          <w:sz w:val="32"/>
          <w:szCs w:val="32"/>
        </w:rPr>
        <w:t>万元，完成预算100%</w:t>
      </w:r>
    </w:p>
    <w:p>
      <w:pPr>
        <w:spacing w:after="0" w:line="560"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.2080505-机关事业</w:t>
      </w:r>
      <w:r>
        <w:rPr>
          <w:rFonts w:hint="eastAsia" w:ascii="仿宋_GB2312" w:eastAsia="仿宋_GB2312"/>
          <w:color w:val="000000"/>
          <w:sz w:val="32"/>
          <w:szCs w:val="32"/>
          <w:lang w:eastAsia="zh-CN"/>
        </w:rPr>
        <w:t>部门</w:t>
      </w:r>
      <w:r>
        <w:rPr>
          <w:rFonts w:hint="eastAsia" w:ascii="仿宋_GB2312" w:eastAsia="仿宋_GB2312"/>
          <w:color w:val="000000"/>
          <w:sz w:val="32"/>
          <w:szCs w:val="32"/>
        </w:rPr>
        <w:t>基本养老保险缴费支出</w:t>
      </w:r>
      <w:r>
        <w:rPr>
          <w:rFonts w:hint="eastAsia" w:ascii="仿宋_GB2312" w:eastAsia="仿宋_GB2312"/>
          <w:color w:val="000000"/>
          <w:sz w:val="32"/>
          <w:szCs w:val="32"/>
          <w:lang w:val="en-US" w:eastAsia="zh-CN"/>
        </w:rPr>
        <w:t>20.33</w:t>
      </w:r>
      <w:r>
        <w:rPr>
          <w:rFonts w:hint="eastAsia" w:ascii="仿宋_GB2312" w:eastAsia="仿宋_GB2312"/>
          <w:color w:val="000000"/>
          <w:sz w:val="32"/>
          <w:szCs w:val="32"/>
        </w:rPr>
        <w:t>万元，完成预算100%；</w:t>
      </w:r>
    </w:p>
    <w:p>
      <w:pPr>
        <w:spacing w:after="0" w:line="560"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.2080506-机关事业</w:t>
      </w:r>
      <w:r>
        <w:rPr>
          <w:rFonts w:hint="eastAsia" w:ascii="仿宋_GB2312" w:eastAsia="仿宋_GB2312"/>
          <w:color w:val="000000"/>
          <w:sz w:val="32"/>
          <w:szCs w:val="32"/>
          <w:lang w:eastAsia="zh-CN"/>
        </w:rPr>
        <w:t>部门</w:t>
      </w:r>
      <w:r>
        <w:rPr>
          <w:rFonts w:hint="eastAsia" w:ascii="仿宋_GB2312" w:eastAsia="仿宋_GB2312"/>
          <w:color w:val="000000"/>
          <w:sz w:val="32"/>
          <w:szCs w:val="32"/>
        </w:rPr>
        <w:t>职业年金缴费支出</w:t>
      </w:r>
      <w:r>
        <w:rPr>
          <w:rFonts w:hint="eastAsia" w:ascii="仿宋_GB2312" w:eastAsia="仿宋_GB2312"/>
          <w:color w:val="000000"/>
          <w:sz w:val="32"/>
          <w:szCs w:val="32"/>
          <w:lang w:val="en-US" w:eastAsia="zh-CN"/>
        </w:rPr>
        <w:t>10.14</w:t>
      </w:r>
      <w:r>
        <w:rPr>
          <w:rFonts w:hint="eastAsia" w:ascii="仿宋_GB2312" w:eastAsia="仿宋_GB2312"/>
          <w:color w:val="000000"/>
          <w:sz w:val="32"/>
          <w:szCs w:val="32"/>
        </w:rPr>
        <w:t>万元，完成预算100%；</w:t>
      </w:r>
    </w:p>
    <w:p>
      <w:pPr>
        <w:spacing w:after="0" w:line="560"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.2101101-行政医疗支出6.</w:t>
      </w:r>
      <w:r>
        <w:rPr>
          <w:rFonts w:hint="eastAsia" w:ascii="仿宋_GB2312" w:eastAsia="仿宋_GB2312"/>
          <w:color w:val="000000"/>
          <w:sz w:val="32"/>
          <w:szCs w:val="32"/>
          <w:lang w:val="en-US" w:eastAsia="zh-CN"/>
        </w:rPr>
        <w:t>82</w:t>
      </w:r>
      <w:r>
        <w:rPr>
          <w:rFonts w:hint="eastAsia" w:ascii="仿宋_GB2312" w:eastAsia="仿宋_GB2312"/>
          <w:color w:val="000000"/>
          <w:sz w:val="32"/>
          <w:szCs w:val="32"/>
        </w:rPr>
        <w:t>万元，完成预算100%；</w:t>
      </w:r>
    </w:p>
    <w:p>
      <w:pPr>
        <w:spacing w:after="0" w:line="560"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.2101102-事业医疗支出</w:t>
      </w:r>
      <w:r>
        <w:rPr>
          <w:rFonts w:hint="eastAsia" w:ascii="仿宋_GB2312" w:eastAsia="仿宋_GB2312"/>
          <w:color w:val="000000"/>
          <w:sz w:val="32"/>
          <w:szCs w:val="32"/>
          <w:lang w:val="en-US" w:eastAsia="zh-CN"/>
        </w:rPr>
        <w:t>3.52</w:t>
      </w:r>
      <w:r>
        <w:rPr>
          <w:rFonts w:hint="eastAsia" w:ascii="仿宋_GB2312" w:eastAsia="仿宋_GB2312"/>
          <w:color w:val="000000"/>
          <w:sz w:val="32"/>
          <w:szCs w:val="32"/>
        </w:rPr>
        <w:t>万元，完成预算100%</w:t>
      </w:r>
    </w:p>
    <w:p>
      <w:pPr>
        <w:spacing w:after="0" w:line="560"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.2101103-公务员医疗补助</w:t>
      </w:r>
      <w:r>
        <w:rPr>
          <w:rFonts w:hint="eastAsia" w:ascii="仿宋_GB2312" w:eastAsia="仿宋_GB2312"/>
          <w:color w:val="000000"/>
          <w:sz w:val="32"/>
          <w:szCs w:val="32"/>
          <w:lang w:val="en-US" w:eastAsia="zh-CN"/>
        </w:rPr>
        <w:t>1.63</w:t>
      </w:r>
      <w:r>
        <w:rPr>
          <w:rFonts w:hint="eastAsia" w:ascii="仿宋_GB2312" w:eastAsia="仿宋_GB2312"/>
          <w:color w:val="000000"/>
          <w:sz w:val="32"/>
          <w:szCs w:val="32"/>
        </w:rPr>
        <w:t>万元，完成预算100%；</w:t>
      </w:r>
    </w:p>
    <w:p>
      <w:pPr>
        <w:spacing w:after="0" w:line="560"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2101199-其他行政事业</w:t>
      </w:r>
      <w:r>
        <w:rPr>
          <w:rFonts w:hint="eastAsia" w:ascii="仿宋_GB2312" w:eastAsia="仿宋_GB2312"/>
          <w:color w:val="000000"/>
          <w:sz w:val="32"/>
          <w:szCs w:val="32"/>
          <w:lang w:eastAsia="zh-CN"/>
        </w:rPr>
        <w:t>部门</w:t>
      </w:r>
      <w:r>
        <w:rPr>
          <w:rFonts w:hint="eastAsia" w:ascii="仿宋_GB2312" w:eastAsia="仿宋_GB2312"/>
          <w:color w:val="000000"/>
          <w:sz w:val="32"/>
          <w:szCs w:val="32"/>
        </w:rPr>
        <w:t>医疗支出</w:t>
      </w:r>
      <w:r>
        <w:rPr>
          <w:rFonts w:hint="eastAsia" w:ascii="仿宋_GB2312" w:eastAsia="仿宋_GB2312"/>
          <w:color w:val="000000"/>
          <w:sz w:val="32"/>
          <w:szCs w:val="32"/>
          <w:lang w:val="en-US" w:eastAsia="zh-CN"/>
        </w:rPr>
        <w:t>0.94</w:t>
      </w:r>
      <w:r>
        <w:rPr>
          <w:rFonts w:hint="eastAsia" w:ascii="仿宋_GB2312" w:eastAsia="仿宋_GB2312"/>
          <w:color w:val="000000"/>
          <w:sz w:val="32"/>
          <w:szCs w:val="32"/>
        </w:rPr>
        <w:t>万元，完成预算100%</w:t>
      </w:r>
    </w:p>
    <w:p>
      <w:pPr>
        <w:spacing w:after="0" w:line="560"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.2210201-住房公积金支出</w:t>
      </w:r>
      <w:r>
        <w:rPr>
          <w:rFonts w:hint="eastAsia" w:ascii="仿宋_GB2312" w:eastAsia="仿宋_GB2312"/>
          <w:color w:val="000000"/>
          <w:sz w:val="32"/>
          <w:szCs w:val="32"/>
          <w:lang w:val="en-US" w:eastAsia="zh-CN"/>
        </w:rPr>
        <w:t>20.66</w:t>
      </w:r>
      <w:r>
        <w:rPr>
          <w:rFonts w:hint="eastAsia" w:ascii="仿宋_GB2312" w:eastAsia="仿宋_GB2312"/>
          <w:color w:val="000000"/>
          <w:sz w:val="32"/>
          <w:szCs w:val="32"/>
        </w:rPr>
        <w:t>万元，完成预算100%。</w:t>
      </w:r>
    </w:p>
    <w:p>
      <w:pPr>
        <w:pStyle w:val="23"/>
        <w:spacing w:line="560" w:lineRule="exact"/>
        <w:ind w:firstLine="640" w:firstLineChars="200"/>
        <w:jc w:val="both"/>
        <w:rPr>
          <w:rFonts w:ascii="黑体" w:eastAsia="黑体"/>
          <w:sz w:val="32"/>
          <w:szCs w:val="32"/>
        </w:rPr>
      </w:pPr>
      <w:r>
        <w:rPr>
          <w:rFonts w:hint="eastAsia" w:ascii="黑体" w:eastAsia="黑体"/>
          <w:sz w:val="32"/>
          <w:szCs w:val="32"/>
        </w:rPr>
        <w:t>六、一般公共预算财政拨款基本支出决算情况说明</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2021年一般公共预算财政拨款基本支出</w:t>
      </w:r>
      <w:r>
        <w:rPr>
          <w:rFonts w:hint="eastAsia" w:ascii="仿宋_GB2312" w:eastAsia="仿宋_GB2312"/>
          <w:sz w:val="32"/>
          <w:szCs w:val="32"/>
          <w:lang w:val="en-US" w:eastAsia="zh-CN"/>
        </w:rPr>
        <w:t>299.16</w:t>
      </w:r>
      <w:r>
        <w:rPr>
          <w:rFonts w:hint="eastAsia" w:ascii="仿宋_GB2312" w:eastAsia="仿宋_GB2312"/>
          <w:sz w:val="32"/>
          <w:szCs w:val="32"/>
        </w:rPr>
        <w:t>万元。</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人员经费</w:t>
      </w:r>
      <w:r>
        <w:rPr>
          <w:rFonts w:hint="eastAsia" w:ascii="仿宋_GB2312" w:eastAsia="仿宋_GB2312"/>
          <w:sz w:val="32"/>
          <w:szCs w:val="32"/>
          <w:lang w:val="en-US" w:eastAsia="zh-CN"/>
        </w:rPr>
        <w:t>260.89</w:t>
      </w:r>
      <w:r>
        <w:rPr>
          <w:rFonts w:hint="eastAsia" w:ascii="仿宋_GB2312" w:eastAsia="仿宋_GB2312"/>
          <w:sz w:val="32"/>
          <w:szCs w:val="32"/>
        </w:rPr>
        <w:t>万元，其中：基本工资56.66万元，津贴补贴112万元，</w:t>
      </w:r>
      <w:r>
        <w:rPr>
          <w:rFonts w:hint="eastAsia" w:ascii="仿宋_GB2312" w:eastAsia="仿宋_GB2312"/>
          <w:sz w:val="32"/>
          <w:szCs w:val="32"/>
          <w:lang w:val="en-US" w:eastAsia="zh-CN"/>
        </w:rPr>
        <w:t>奖金1.35万元，</w:t>
      </w:r>
      <w:r>
        <w:rPr>
          <w:rFonts w:hint="eastAsia" w:ascii="仿宋_GB2312" w:eastAsia="仿宋_GB2312"/>
          <w:sz w:val="32"/>
          <w:szCs w:val="32"/>
        </w:rPr>
        <w:t>伙食补助4.17万元，</w:t>
      </w:r>
      <w:r>
        <w:rPr>
          <w:rFonts w:hint="eastAsia" w:ascii="仿宋_GB2312" w:eastAsia="仿宋_GB2312"/>
          <w:sz w:val="32"/>
          <w:szCs w:val="32"/>
          <w:lang w:val="en-US" w:eastAsia="zh-CN"/>
        </w:rPr>
        <w:t>绩效工资16.51万元，</w:t>
      </w:r>
      <w:r>
        <w:rPr>
          <w:rFonts w:hint="eastAsia" w:ascii="仿宋_GB2312" w:eastAsia="仿宋_GB2312"/>
          <w:sz w:val="32"/>
          <w:szCs w:val="32"/>
        </w:rPr>
        <w:t>机关事业</w:t>
      </w:r>
      <w:r>
        <w:rPr>
          <w:rFonts w:hint="eastAsia" w:ascii="仿宋_GB2312" w:eastAsia="仿宋_GB2312"/>
          <w:sz w:val="32"/>
          <w:szCs w:val="32"/>
          <w:lang w:eastAsia="zh-CN"/>
        </w:rPr>
        <w:t>部门</w:t>
      </w:r>
      <w:r>
        <w:rPr>
          <w:rFonts w:hint="eastAsia" w:ascii="仿宋_GB2312" w:eastAsia="仿宋_GB2312"/>
          <w:sz w:val="32"/>
          <w:szCs w:val="32"/>
        </w:rPr>
        <w:t>养老保险缴费20.33万元，职业年金缴费10.14万元，职工基本医疗保险缴费10.34万元，公务员医疗补助缴费1.63万元，其他社会保险缴费2.9万元，住房公积金20.66万元，其他工作和福利4.2万元。</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日常公用经费38.27万元，其中：办公费6.81万元，电费0.48万元，邮电费3.48万元，差旅费9.22万元，培训费0.48万元，公务接待费0.52万元，公务公车运行维护费12.52万元</w:t>
      </w:r>
      <w:r>
        <w:rPr>
          <w:rFonts w:hint="eastAsia" w:ascii="仿宋_GB2312" w:eastAsia="仿宋_GB2312"/>
          <w:sz w:val="32"/>
          <w:szCs w:val="32"/>
          <w:lang w:eastAsia="zh-CN"/>
        </w:rPr>
        <w:t>，</w:t>
      </w:r>
      <w:r>
        <w:rPr>
          <w:rFonts w:hint="eastAsia" w:ascii="仿宋_GB2312" w:eastAsia="仿宋_GB2312"/>
          <w:sz w:val="32"/>
          <w:szCs w:val="32"/>
          <w:lang w:val="en-US" w:eastAsia="zh-CN"/>
        </w:rPr>
        <w:t>劳务费0.53万元，工会经费2.15万元，福利费1.75万元，其他商品和服务支出0.35万元</w:t>
      </w:r>
      <w:r>
        <w:rPr>
          <w:rFonts w:hint="eastAsia" w:ascii="仿宋_GB2312" w:eastAsia="仿宋_GB2312"/>
          <w:sz w:val="32"/>
          <w:szCs w:val="32"/>
        </w:rPr>
        <w:t>。</w:t>
      </w:r>
    </w:p>
    <w:p>
      <w:pPr>
        <w:pStyle w:val="23"/>
        <w:spacing w:line="560" w:lineRule="exact"/>
        <w:ind w:firstLine="640" w:firstLineChars="200"/>
        <w:jc w:val="both"/>
        <w:rPr>
          <w:rFonts w:ascii="黑体" w:eastAsia="黑体"/>
          <w:sz w:val="32"/>
          <w:szCs w:val="32"/>
        </w:rPr>
      </w:pPr>
      <w:r>
        <w:rPr>
          <w:rFonts w:hint="eastAsia" w:ascii="黑体" w:eastAsia="黑体"/>
          <w:sz w:val="32"/>
          <w:szCs w:val="32"/>
        </w:rPr>
        <w:t>七、</w:t>
      </w:r>
      <w:r>
        <w:rPr>
          <w:rFonts w:ascii="黑体" w:eastAsia="黑体"/>
          <w:sz w:val="32"/>
          <w:szCs w:val="32"/>
        </w:rPr>
        <w:t>“</w:t>
      </w:r>
      <w:r>
        <w:rPr>
          <w:rFonts w:hint="eastAsia" w:ascii="黑体" w:eastAsia="黑体"/>
          <w:sz w:val="32"/>
          <w:szCs w:val="32"/>
        </w:rPr>
        <w:t>三公”经费财政拨款支出决算情况说明</w:t>
      </w:r>
    </w:p>
    <w:p>
      <w:pPr>
        <w:spacing w:after="0" w:line="560" w:lineRule="exact"/>
        <w:ind w:firstLine="640"/>
        <w:jc w:val="both"/>
        <w:outlineLvl w:val="2"/>
        <w:rPr>
          <w:rFonts w:ascii="楷体_GB2312" w:eastAsia="楷体_GB2312"/>
          <w:b/>
          <w:color w:val="000000"/>
          <w:sz w:val="32"/>
          <w:szCs w:val="32"/>
        </w:rPr>
      </w:pPr>
      <w:r>
        <w:rPr>
          <w:rFonts w:hint="eastAsia" w:ascii="楷体_GB2312" w:eastAsia="楷体_GB2312"/>
          <w:b/>
          <w:color w:val="000000"/>
          <w:sz w:val="32"/>
          <w:szCs w:val="32"/>
        </w:rPr>
        <w:t>（一）“三公”经费财政拨款支出决算总体情况说明</w:t>
      </w:r>
    </w:p>
    <w:p>
      <w:pPr>
        <w:spacing w:after="0" w:line="560" w:lineRule="exact"/>
        <w:ind w:firstLine="640"/>
        <w:jc w:val="both"/>
        <w:rPr>
          <w:rFonts w:hint="eastAsia" w:ascii="仿宋_GB2312" w:hAnsi="Times New Roman" w:eastAsia="仿宋_GB2312" w:cs="仿宋"/>
          <w:color w:val="000000"/>
          <w:sz w:val="32"/>
          <w:szCs w:val="32"/>
          <w:lang w:val="en-US" w:eastAsia="zh-CN" w:bidi="ar-SA"/>
        </w:rPr>
      </w:pPr>
      <w:r>
        <w:rPr>
          <w:rFonts w:hint="eastAsia" w:ascii="仿宋_GB2312" w:hAnsi="Times New Roman" w:eastAsia="仿宋_GB2312" w:cs="仿宋"/>
          <w:color w:val="000000"/>
          <w:sz w:val="32"/>
          <w:szCs w:val="32"/>
          <w:lang w:val="en-US" w:eastAsia="zh-CN" w:bidi="ar-SA"/>
        </w:rPr>
        <w:t>2021年“三公”经费财政拨款支出决算为15.87万元，完成预算100%，决算数等于预算数，主要原因本着以收定支、厉行节约的原则。</w:t>
      </w:r>
    </w:p>
    <w:p>
      <w:pPr>
        <w:spacing w:after="0" w:line="560" w:lineRule="exact"/>
        <w:ind w:firstLine="640"/>
        <w:jc w:val="both"/>
        <w:outlineLvl w:val="2"/>
        <w:rPr>
          <w:rFonts w:ascii="楷体_GB2312" w:eastAsia="楷体_GB2312"/>
          <w:b/>
          <w:color w:val="000000"/>
          <w:sz w:val="32"/>
          <w:szCs w:val="32"/>
        </w:rPr>
      </w:pPr>
      <w:r>
        <w:rPr>
          <w:rFonts w:hint="eastAsia" w:ascii="楷体_GB2312" w:eastAsia="楷体_GB2312"/>
          <w:b/>
          <w:color w:val="000000"/>
          <w:sz w:val="32"/>
          <w:szCs w:val="32"/>
        </w:rPr>
        <w:t>（二）“三公”经费财政拨款支出决算具体情况说明</w:t>
      </w:r>
    </w:p>
    <w:p>
      <w:pPr>
        <w:spacing w:after="0" w:line="560" w:lineRule="exact"/>
        <w:ind w:firstLine="640"/>
        <w:jc w:val="both"/>
        <w:rPr>
          <w:rFonts w:ascii="仿宋_GB2312" w:eastAsia="仿宋_GB2312"/>
          <w:sz w:val="32"/>
          <w:szCs w:val="32"/>
        </w:rPr>
      </w:pPr>
      <w:r>
        <w:rPr>
          <w:rFonts w:hint="eastAsia" w:ascii="仿宋_GB2312" w:eastAsia="仿宋_GB2312"/>
          <w:sz w:val="32"/>
          <w:szCs w:val="32"/>
        </w:rPr>
        <w:t>2021年“三公”经费财政拨款支出合计15.87万元，其中：公务接待0.52万元，占</w:t>
      </w:r>
      <w:r>
        <w:rPr>
          <w:rFonts w:hint="eastAsia" w:ascii="仿宋_GB2312" w:eastAsia="仿宋_GB2312"/>
          <w:sz w:val="32"/>
          <w:szCs w:val="32"/>
          <w:lang w:val="en-US" w:eastAsia="zh-CN"/>
        </w:rPr>
        <w:t>3.28</w:t>
      </w:r>
      <w:r>
        <w:rPr>
          <w:rFonts w:hint="eastAsia" w:ascii="仿宋_GB2312" w:eastAsia="仿宋_GB2312"/>
          <w:sz w:val="32"/>
          <w:szCs w:val="32"/>
        </w:rPr>
        <w:t>%；公务车辆购置及公务用车运行维护费15.35万元，占</w:t>
      </w:r>
      <w:r>
        <w:rPr>
          <w:rFonts w:hint="eastAsia" w:ascii="仿宋_GB2312" w:eastAsia="仿宋_GB2312"/>
          <w:sz w:val="32"/>
          <w:szCs w:val="32"/>
          <w:lang w:val="en-US" w:eastAsia="zh-CN"/>
        </w:rPr>
        <w:t>96.72</w:t>
      </w:r>
      <w:r>
        <w:rPr>
          <w:rFonts w:hint="eastAsia" w:ascii="仿宋_GB2312" w:eastAsia="仿宋_GB2312"/>
          <w:sz w:val="32"/>
          <w:szCs w:val="32"/>
        </w:rPr>
        <w:t>%。</w:t>
      </w:r>
    </w:p>
    <w:p>
      <w:pPr>
        <w:spacing w:after="0" w:line="560" w:lineRule="exact"/>
        <w:ind w:firstLine="640"/>
        <w:jc w:val="both"/>
        <w:rPr>
          <w:rFonts w:ascii="仿宋_GB2312" w:eastAsia="仿宋_GB2312"/>
          <w:sz w:val="32"/>
          <w:szCs w:val="32"/>
        </w:rPr>
      </w:pPr>
      <w:r>
        <w:drawing>
          <wp:anchor distT="0" distB="0" distL="114300" distR="114300" simplePos="0" relativeHeight="251667456" behindDoc="0" locked="0" layoutInCell="1" allowOverlap="1">
            <wp:simplePos x="0" y="0"/>
            <wp:positionH relativeFrom="column">
              <wp:posOffset>392430</wp:posOffset>
            </wp:positionH>
            <wp:positionV relativeFrom="paragraph">
              <wp:posOffset>155575</wp:posOffset>
            </wp:positionV>
            <wp:extent cx="4564380" cy="2392680"/>
            <wp:effectExtent l="4445" t="4445" r="18415" b="10795"/>
            <wp:wrapSquare wrapText="bothSides"/>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after="0" w:line="560" w:lineRule="exact"/>
        <w:ind w:firstLine="640"/>
        <w:jc w:val="both"/>
        <w:rPr>
          <w:rFonts w:ascii="仿宋_GB2312" w:eastAsia="仿宋_GB2312"/>
          <w:sz w:val="32"/>
          <w:szCs w:val="32"/>
        </w:rPr>
      </w:pPr>
    </w:p>
    <w:p>
      <w:pPr>
        <w:spacing w:after="0" w:line="560" w:lineRule="exact"/>
        <w:ind w:firstLine="640"/>
        <w:jc w:val="both"/>
        <w:rPr>
          <w:rFonts w:ascii="仿宋_GB2312" w:eastAsia="仿宋_GB2312"/>
          <w:sz w:val="32"/>
          <w:szCs w:val="32"/>
        </w:rPr>
      </w:pPr>
    </w:p>
    <w:p>
      <w:pPr>
        <w:spacing w:after="0" w:line="560" w:lineRule="exact"/>
        <w:ind w:firstLine="640"/>
        <w:jc w:val="both"/>
        <w:rPr>
          <w:rFonts w:ascii="仿宋_GB2312" w:eastAsia="仿宋_GB2312"/>
          <w:sz w:val="32"/>
          <w:szCs w:val="32"/>
        </w:rPr>
      </w:pPr>
    </w:p>
    <w:p>
      <w:pPr>
        <w:spacing w:after="0" w:line="560" w:lineRule="exact"/>
        <w:jc w:val="both"/>
        <w:rPr>
          <w:rFonts w:ascii="仿宋_GB2312" w:eastAsia="仿宋_GB2312"/>
          <w:sz w:val="32"/>
          <w:szCs w:val="32"/>
        </w:rPr>
      </w:pPr>
    </w:p>
    <w:p>
      <w:pPr>
        <w:spacing w:after="0" w:line="560" w:lineRule="exact"/>
        <w:jc w:val="both"/>
        <w:rPr>
          <w:rFonts w:ascii="仿宋_GB2312" w:eastAsia="仿宋_GB2312"/>
          <w:sz w:val="32"/>
          <w:szCs w:val="32"/>
        </w:rPr>
      </w:pPr>
    </w:p>
    <w:p>
      <w:pPr>
        <w:spacing w:after="0" w:line="560" w:lineRule="exact"/>
        <w:jc w:val="both"/>
        <w:rPr>
          <w:rFonts w:ascii="仿宋_GB2312" w:eastAsia="仿宋_GB2312"/>
          <w:sz w:val="32"/>
          <w:szCs w:val="32"/>
        </w:rPr>
      </w:pPr>
    </w:p>
    <w:p>
      <w:pPr>
        <w:spacing w:after="0" w:line="560" w:lineRule="exact"/>
        <w:jc w:val="both"/>
        <w:rPr>
          <w:rFonts w:ascii="仿宋_GB2312" w:eastAsia="仿宋_GB2312"/>
          <w:sz w:val="32"/>
          <w:szCs w:val="32"/>
        </w:rPr>
      </w:pPr>
    </w:p>
    <w:p>
      <w:pPr>
        <w:spacing w:after="0" w:line="560" w:lineRule="exact"/>
        <w:ind w:firstLine="640"/>
        <w:jc w:val="both"/>
        <w:rPr>
          <w:rFonts w:ascii="仿宋_GB2312" w:eastAsia="仿宋_GB2312"/>
          <w:color w:val="000000"/>
          <w:sz w:val="32"/>
          <w:szCs w:val="32"/>
        </w:rPr>
      </w:pPr>
      <w:r>
        <w:rPr>
          <w:rFonts w:hint="eastAsia" w:ascii="仿宋_GB2312" w:eastAsia="仿宋_GB2312"/>
          <w:color w:val="000000"/>
          <w:sz w:val="32"/>
          <w:szCs w:val="32"/>
        </w:rPr>
        <w:t>（图9：“三公”经费财政拨款支出情况图）</w:t>
      </w:r>
    </w:p>
    <w:p>
      <w:pPr>
        <w:spacing w:after="0" w:line="560" w:lineRule="exact"/>
        <w:ind w:firstLine="640"/>
        <w:jc w:val="both"/>
        <w:rPr>
          <w:rFonts w:ascii="仿宋_GB2312" w:eastAsia="仿宋_GB2312"/>
          <w:b/>
          <w:bCs/>
          <w:color w:val="000000"/>
          <w:sz w:val="32"/>
          <w:szCs w:val="32"/>
        </w:rPr>
      </w:pPr>
      <w:r>
        <w:rPr>
          <w:rFonts w:hint="eastAsia" w:ascii="仿宋_GB2312" w:eastAsia="仿宋_GB2312"/>
          <w:b/>
          <w:bCs/>
          <w:color w:val="000000"/>
          <w:sz w:val="32"/>
          <w:szCs w:val="32"/>
        </w:rPr>
        <w:t>1.公务用车运行维护费支出15.35万元,</w:t>
      </w:r>
      <w:r>
        <w:rPr>
          <w:rStyle w:val="16"/>
          <w:rFonts w:hint="eastAsia" w:ascii="仿宋_GB2312" w:eastAsia="仿宋_GB2312"/>
          <w:bCs/>
          <w:color w:val="000000"/>
          <w:sz w:val="32"/>
          <w:szCs w:val="32"/>
        </w:rPr>
        <w:t>完成预算100%。</w:t>
      </w:r>
    </w:p>
    <w:p>
      <w:pPr>
        <w:spacing w:after="0" w:line="560" w:lineRule="exact"/>
        <w:ind w:firstLine="640"/>
        <w:jc w:val="both"/>
        <w:rPr>
          <w:rFonts w:ascii="仿宋_GB2312" w:eastAsia="仿宋_GB2312"/>
          <w:color w:val="000000"/>
          <w:sz w:val="32"/>
          <w:szCs w:val="32"/>
        </w:rPr>
      </w:pPr>
      <w:r>
        <w:rPr>
          <w:rFonts w:hint="eastAsia" w:ascii="仿宋_GB2312" w:eastAsia="仿宋_GB2312"/>
          <w:color w:val="000000"/>
          <w:sz w:val="32"/>
          <w:szCs w:val="32"/>
        </w:rPr>
        <w:t>2021年公务用车运行维护费支出</w:t>
      </w:r>
      <w:r>
        <w:rPr>
          <w:rFonts w:hint="eastAsia" w:ascii="仿宋_GB2312" w:eastAsia="仿宋_GB2312"/>
          <w:color w:val="000000"/>
          <w:sz w:val="32"/>
          <w:szCs w:val="32"/>
          <w:lang w:val="en-US" w:eastAsia="zh-CN"/>
        </w:rPr>
        <w:t>15.35</w:t>
      </w:r>
      <w:r>
        <w:rPr>
          <w:rFonts w:hint="eastAsia" w:ascii="仿宋_GB2312" w:eastAsia="仿宋_GB2312"/>
          <w:color w:val="000000"/>
          <w:sz w:val="32"/>
          <w:szCs w:val="32"/>
        </w:rPr>
        <w:t>万元，2020公务用车运行维护费支出11.79万元，较2020年增长</w:t>
      </w:r>
      <w:r>
        <w:rPr>
          <w:rFonts w:hint="eastAsia" w:ascii="仿宋_GB2312" w:eastAsia="仿宋_GB2312"/>
          <w:color w:val="000000"/>
          <w:sz w:val="32"/>
          <w:szCs w:val="32"/>
          <w:lang w:val="en-US" w:eastAsia="zh-CN"/>
        </w:rPr>
        <w:t>30.19</w:t>
      </w:r>
      <w:r>
        <w:rPr>
          <w:rFonts w:hint="eastAsia" w:ascii="仿宋_GB2312" w:eastAsia="仿宋_GB2312"/>
          <w:color w:val="000000"/>
          <w:sz w:val="32"/>
          <w:szCs w:val="32"/>
        </w:rPr>
        <w:t>%，变动原因：</w:t>
      </w:r>
      <w:r>
        <w:rPr>
          <w:rFonts w:hint="eastAsia" w:ascii="仿宋_GB2312" w:eastAsia="仿宋_GB2312"/>
          <w:color w:val="000000"/>
          <w:sz w:val="32"/>
          <w:szCs w:val="32"/>
          <w:lang w:val="en-US" w:eastAsia="zh-CN"/>
        </w:rPr>
        <w:t>2021开展州县工作增加，出差较2020年增加</w:t>
      </w:r>
      <w:r>
        <w:rPr>
          <w:rFonts w:hint="eastAsia" w:ascii="仿宋_GB2312" w:eastAsia="仿宋_GB2312"/>
          <w:color w:val="000000"/>
          <w:sz w:val="32"/>
          <w:szCs w:val="32"/>
        </w:rPr>
        <w:t>。</w:t>
      </w:r>
    </w:p>
    <w:p>
      <w:pPr>
        <w:spacing w:after="0" w:line="560" w:lineRule="exact"/>
        <w:ind w:firstLine="640"/>
        <w:jc w:val="both"/>
        <w:rPr>
          <w:rStyle w:val="16"/>
          <w:rFonts w:ascii="仿宋" w:eastAsia="仿宋"/>
          <w:bCs/>
          <w:color w:val="000000"/>
          <w:sz w:val="32"/>
          <w:szCs w:val="32"/>
        </w:rPr>
      </w:pPr>
      <w:r>
        <w:rPr>
          <w:rFonts w:hint="eastAsia" w:ascii="仿宋_GB2312" w:eastAsia="仿宋_GB2312"/>
          <w:b/>
          <w:color w:val="000000"/>
          <w:sz w:val="32"/>
          <w:szCs w:val="32"/>
        </w:rPr>
        <w:t>2</w:t>
      </w:r>
      <w:r>
        <w:rPr>
          <w:rFonts w:ascii="仿宋_GB2312" w:eastAsia="仿宋_GB2312"/>
          <w:b/>
          <w:color w:val="000000"/>
          <w:sz w:val="32"/>
          <w:szCs w:val="32"/>
        </w:rPr>
        <w:t>.</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0.52</w:t>
      </w:r>
      <w:r>
        <w:rPr>
          <w:rFonts w:hint="eastAsia" w:ascii="仿宋_GB2312" w:eastAsia="仿宋_GB2312"/>
          <w:b/>
          <w:color w:val="000000"/>
          <w:sz w:val="32"/>
          <w:szCs w:val="32"/>
        </w:rPr>
        <w:t>万元，</w:t>
      </w:r>
      <w:r>
        <w:rPr>
          <w:rStyle w:val="16"/>
          <w:rFonts w:hint="eastAsia" w:ascii="仿宋" w:eastAsia="仿宋"/>
          <w:bCs/>
          <w:color w:val="000000"/>
          <w:sz w:val="32"/>
          <w:szCs w:val="32"/>
        </w:rPr>
        <w:t>完成预算100</w:t>
      </w:r>
      <w:r>
        <w:rPr>
          <w:rStyle w:val="16"/>
          <w:rFonts w:ascii="仿宋" w:eastAsia="仿宋"/>
          <w:bCs/>
          <w:color w:val="000000"/>
          <w:sz w:val="32"/>
          <w:szCs w:val="32"/>
        </w:rPr>
        <w:t>%</w:t>
      </w:r>
      <w:r>
        <w:rPr>
          <w:rStyle w:val="16"/>
          <w:rFonts w:hint="eastAsia" w:ascii="仿宋" w:eastAsia="仿宋"/>
          <w:bCs/>
          <w:color w:val="000000"/>
          <w:sz w:val="32"/>
          <w:szCs w:val="32"/>
        </w:rPr>
        <w:t>。</w:t>
      </w:r>
    </w:p>
    <w:p>
      <w:pPr>
        <w:spacing w:after="0" w:line="560" w:lineRule="exact"/>
        <w:ind w:firstLine="640"/>
        <w:jc w:val="both"/>
        <w:rPr>
          <w:rFonts w:ascii="仿宋" w:eastAsia="仿宋"/>
          <w:b/>
          <w:bCs/>
          <w:color w:val="000000"/>
          <w:sz w:val="32"/>
          <w:szCs w:val="32"/>
        </w:rPr>
      </w:pPr>
      <w:r>
        <w:rPr>
          <w:rFonts w:hint="eastAsia" w:ascii="仿宋" w:eastAsia="仿宋"/>
          <w:color w:val="000000"/>
          <w:sz w:val="32"/>
          <w:szCs w:val="32"/>
        </w:rPr>
        <w:t>2021年公务接待支出0.</w:t>
      </w:r>
      <w:r>
        <w:rPr>
          <w:rFonts w:hint="eastAsia" w:ascii="仿宋" w:eastAsia="仿宋"/>
          <w:color w:val="000000"/>
          <w:sz w:val="32"/>
          <w:szCs w:val="32"/>
          <w:lang w:val="en-US" w:eastAsia="zh-CN"/>
        </w:rPr>
        <w:t>52</w:t>
      </w:r>
      <w:r>
        <w:rPr>
          <w:rFonts w:hint="eastAsia" w:ascii="仿宋" w:eastAsia="仿宋"/>
          <w:color w:val="000000"/>
          <w:sz w:val="32"/>
          <w:szCs w:val="32"/>
        </w:rPr>
        <w:t>万元，2020年公务接待支出0.12万元，</w:t>
      </w:r>
      <w:r>
        <w:rPr>
          <w:rFonts w:hint="eastAsia" w:ascii="仿宋" w:eastAsia="仿宋"/>
          <w:color w:val="000000"/>
          <w:sz w:val="32"/>
          <w:szCs w:val="32"/>
          <w:lang w:val="en-US" w:eastAsia="zh-CN"/>
        </w:rPr>
        <w:t>较2020年增加333.33%。</w:t>
      </w:r>
      <w:r>
        <w:rPr>
          <w:rFonts w:hint="eastAsia" w:ascii="仿宋" w:eastAsia="仿宋"/>
          <w:color w:val="000000"/>
          <w:sz w:val="32"/>
          <w:szCs w:val="32"/>
        </w:rPr>
        <w:t>主要用于开展</w:t>
      </w:r>
      <w:r>
        <w:rPr>
          <w:rFonts w:hint="eastAsia" w:ascii="仿宋_GB2312" w:eastAsia="仿宋_GB2312"/>
          <w:color w:val="000000"/>
          <w:sz w:val="32"/>
          <w:szCs w:val="32"/>
        </w:rPr>
        <w:t>业务活动用餐费，国内公务接待</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36</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0.52</w:t>
      </w:r>
      <w:r>
        <w:rPr>
          <w:rFonts w:hint="eastAsia" w:ascii="仿宋_GB2312" w:eastAsia="仿宋_GB2312"/>
          <w:color w:val="000000"/>
          <w:sz w:val="32"/>
          <w:szCs w:val="32"/>
        </w:rPr>
        <w:t>万元。</w:t>
      </w:r>
    </w:p>
    <w:p>
      <w:pPr>
        <w:pStyle w:val="24"/>
        <w:spacing w:line="560" w:lineRule="exact"/>
        <w:ind w:left="440" w:leftChars="200" w:firstLine="160" w:firstLineChars="50"/>
        <w:outlineLvl w:val="1"/>
        <w:rPr>
          <w:rFonts w:ascii="黑体" w:eastAsia="黑体" w:cs="仿宋"/>
          <w:color w:val="000000"/>
          <w:sz w:val="32"/>
          <w:szCs w:val="32"/>
        </w:rPr>
      </w:pPr>
      <w:r>
        <w:rPr>
          <w:rFonts w:hint="eastAsia" w:ascii="黑体" w:eastAsia="黑体" w:cs="仿宋"/>
          <w:color w:val="000000"/>
          <w:sz w:val="32"/>
          <w:szCs w:val="32"/>
        </w:rPr>
        <w:t>八、政府性基金预算支出决算情况说明</w:t>
      </w:r>
    </w:p>
    <w:p>
      <w:pPr>
        <w:spacing w:after="0" w:line="560" w:lineRule="exact"/>
        <w:ind w:firstLine="640"/>
        <w:jc w:val="both"/>
        <w:rPr>
          <w:rFonts w:ascii="仿宋_GB2312" w:eastAsia="仿宋_GB2312"/>
          <w:color w:val="000000"/>
          <w:sz w:val="32"/>
          <w:szCs w:val="32"/>
        </w:rPr>
      </w:pPr>
      <w:r>
        <w:rPr>
          <w:rFonts w:hint="eastAsia" w:ascii="仿宋_GB2312" w:eastAsia="仿宋_GB2312"/>
          <w:color w:val="000000"/>
          <w:sz w:val="32"/>
          <w:szCs w:val="32"/>
        </w:rPr>
        <w:t>2021年政府性基金预算拨款支出0元。</w:t>
      </w:r>
    </w:p>
    <w:p>
      <w:pPr>
        <w:pStyle w:val="24"/>
        <w:spacing w:line="560" w:lineRule="exact"/>
        <w:ind w:left="440" w:leftChars="200" w:firstLine="160" w:firstLineChars="50"/>
        <w:outlineLvl w:val="1"/>
        <w:rPr>
          <w:rFonts w:ascii="黑体" w:eastAsia="黑体" w:cs="仿宋"/>
          <w:color w:val="000000"/>
          <w:sz w:val="32"/>
          <w:szCs w:val="32"/>
        </w:rPr>
      </w:pPr>
      <w:r>
        <w:rPr>
          <w:rFonts w:ascii="黑体" w:eastAsia="黑体" w:cs="仿宋"/>
          <w:color w:val="000000"/>
          <w:sz w:val="32"/>
          <w:szCs w:val="32"/>
        </w:rPr>
        <w:t>九、</w:t>
      </w:r>
      <w:r>
        <w:rPr>
          <w:rFonts w:hint="eastAsia" w:ascii="黑体" w:eastAsia="黑体" w:cs="仿宋"/>
          <w:color w:val="000000"/>
          <w:sz w:val="32"/>
          <w:szCs w:val="32"/>
        </w:rPr>
        <w:t>国有资本经营预算支出决算情况说明</w:t>
      </w:r>
    </w:p>
    <w:p>
      <w:pPr>
        <w:spacing w:after="0" w:line="560" w:lineRule="exact"/>
        <w:ind w:firstLine="640"/>
        <w:jc w:val="both"/>
        <w:rPr>
          <w:rFonts w:ascii="仿宋_GB2312" w:eastAsia="仿宋_GB2312"/>
          <w:color w:val="000000"/>
          <w:sz w:val="32"/>
          <w:szCs w:val="32"/>
        </w:rPr>
      </w:pPr>
      <w:r>
        <w:rPr>
          <w:rFonts w:hint="eastAsia" w:ascii="仿宋_GB2312" w:eastAsia="仿宋_GB2312"/>
          <w:color w:val="000000"/>
          <w:sz w:val="32"/>
          <w:szCs w:val="32"/>
        </w:rPr>
        <w:t>2021年国有资本经营预算拨款支出0元。</w:t>
      </w:r>
    </w:p>
    <w:p>
      <w:pPr>
        <w:pStyle w:val="24"/>
        <w:spacing w:line="560" w:lineRule="exact"/>
        <w:ind w:left="440" w:leftChars="200" w:firstLine="160" w:firstLineChars="50"/>
        <w:outlineLvl w:val="1"/>
        <w:rPr>
          <w:rStyle w:val="19"/>
          <w:rFonts w:ascii="黑体" w:eastAsia="黑体"/>
          <w:b w:val="0"/>
          <w:bCs w:val="0"/>
        </w:rPr>
      </w:pPr>
      <w:r>
        <w:rPr>
          <w:rFonts w:hint="eastAsia" w:ascii="黑体" w:eastAsia="黑体"/>
          <w:color w:val="000000"/>
          <w:sz w:val="32"/>
          <w:szCs w:val="32"/>
        </w:rPr>
        <w:t>十</w:t>
      </w:r>
      <w:r>
        <w:rPr>
          <w:rStyle w:val="19"/>
          <w:rFonts w:hint="eastAsia" w:ascii="黑体" w:eastAsia="黑体"/>
          <w:b w:val="0"/>
          <w:bCs w:val="0"/>
        </w:rPr>
        <w:t>、其他重要事项的情况说明</w:t>
      </w:r>
    </w:p>
    <w:p>
      <w:pPr>
        <w:pStyle w:val="24"/>
        <w:spacing w:line="560" w:lineRule="exact"/>
        <w:ind w:left="420" w:firstLine="0" w:firstLineChars="0"/>
        <w:outlineLvl w:val="2"/>
        <w:rPr>
          <w:rFonts w:ascii="楷体_GB2312" w:eastAsia="楷体_GB2312"/>
          <w:b/>
          <w:color w:val="000000"/>
          <w:sz w:val="32"/>
          <w:szCs w:val="32"/>
        </w:rPr>
      </w:pPr>
      <w:r>
        <w:rPr>
          <w:rFonts w:hint="eastAsia" w:ascii="楷体_GB2312" w:eastAsia="楷体_GB2312"/>
          <w:b/>
          <w:color w:val="000000"/>
          <w:sz w:val="32"/>
          <w:szCs w:val="32"/>
        </w:rPr>
        <w:t>（一）机关运行经费支出情况</w:t>
      </w:r>
    </w:p>
    <w:p>
      <w:pPr>
        <w:pStyle w:val="24"/>
        <w:spacing w:line="560" w:lineRule="exact"/>
        <w:ind w:left="440" w:leftChars="200" w:firstLine="160" w:firstLineChars="50"/>
        <w:rPr>
          <w:rFonts w:hint="eastAsia" w:ascii="仿宋_GB2312" w:eastAsia="仿宋_GB2312"/>
          <w:color w:val="000000"/>
          <w:sz w:val="32"/>
          <w:szCs w:val="32"/>
        </w:rPr>
      </w:pPr>
      <w:r>
        <w:rPr>
          <w:rFonts w:hint="eastAsia" w:ascii="仿宋_GB2312" w:eastAsia="仿宋_GB2312"/>
          <w:color w:val="000000"/>
          <w:sz w:val="32"/>
          <w:szCs w:val="32"/>
        </w:rPr>
        <w:t>2021年机关运行经费支出38.27万元，2020年机关运行</w:t>
      </w:r>
    </w:p>
    <w:p>
      <w:pPr>
        <w:pStyle w:val="24"/>
        <w:spacing w:line="560" w:lineRule="exact"/>
        <w:ind w:left="0" w:leftChars="0" w:firstLine="0" w:firstLineChars="0"/>
        <w:rPr>
          <w:rFonts w:ascii="仿宋_GB2312" w:eastAsia="仿宋_GB2312"/>
          <w:color w:val="000000"/>
          <w:sz w:val="32"/>
          <w:szCs w:val="32"/>
        </w:rPr>
      </w:pPr>
      <w:r>
        <w:rPr>
          <w:rFonts w:hint="eastAsia" w:ascii="仿宋_GB2312" w:eastAsia="仿宋_GB2312"/>
          <w:color w:val="000000"/>
          <w:sz w:val="32"/>
          <w:szCs w:val="32"/>
        </w:rPr>
        <w:t>经费22.31万元，较2020年</w:t>
      </w:r>
      <w:r>
        <w:rPr>
          <w:rFonts w:hint="eastAsia" w:ascii="仿宋_GB2312" w:eastAsia="仿宋_GB2312"/>
          <w:color w:val="000000"/>
          <w:sz w:val="32"/>
          <w:szCs w:val="32"/>
          <w:lang w:val="en-US" w:eastAsia="zh-CN"/>
        </w:rPr>
        <w:t>增加</w:t>
      </w:r>
      <w:r>
        <w:rPr>
          <w:rFonts w:hint="eastAsia" w:ascii="仿宋_GB2312" w:eastAsia="仿宋_GB2312"/>
          <w:color w:val="000000"/>
          <w:sz w:val="32"/>
          <w:szCs w:val="32"/>
        </w:rPr>
        <w:t>7</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54</w:t>
      </w:r>
      <w:r>
        <w:rPr>
          <w:rFonts w:hint="eastAsia" w:ascii="仿宋_GB2312" w:eastAsia="仿宋_GB2312"/>
          <w:color w:val="000000"/>
          <w:sz w:val="32"/>
          <w:szCs w:val="32"/>
        </w:rPr>
        <w:t>%，原因</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2021开展州县工作增加，出差较2020年增加。</w:t>
      </w:r>
    </w:p>
    <w:p>
      <w:pPr>
        <w:autoSpaceDE w:val="0"/>
        <w:autoSpaceDN w:val="0"/>
        <w:spacing w:after="0" w:line="560" w:lineRule="exact"/>
        <w:ind w:firstLine="636" w:firstLineChars="198"/>
        <w:jc w:val="both"/>
        <w:outlineLvl w:val="2"/>
        <w:rPr>
          <w:rFonts w:ascii="楷体_GB2312" w:eastAsia="楷体_GB2312"/>
          <w:b/>
          <w:color w:val="000000"/>
          <w:sz w:val="32"/>
          <w:szCs w:val="32"/>
        </w:rPr>
      </w:pPr>
      <w:r>
        <w:rPr>
          <w:rFonts w:hint="eastAsia" w:ascii="楷体_GB2312" w:eastAsia="楷体_GB2312"/>
          <w:b/>
          <w:color w:val="000000"/>
          <w:sz w:val="32"/>
          <w:szCs w:val="32"/>
        </w:rPr>
        <w:t>（二）政府采购支出情况</w:t>
      </w:r>
    </w:p>
    <w:p>
      <w:pPr>
        <w:autoSpaceDE w:val="0"/>
        <w:autoSpaceDN w:val="0"/>
        <w:spacing w:after="0" w:line="560" w:lineRule="exact"/>
        <w:ind w:firstLine="633" w:firstLineChars="198"/>
        <w:jc w:val="both"/>
        <w:outlineLvl w:val="2"/>
        <w:rPr>
          <w:rFonts w:ascii="仿宋_GB2312" w:eastAsia="仿宋_GB2312"/>
          <w:color w:val="000000"/>
          <w:sz w:val="32"/>
          <w:szCs w:val="32"/>
        </w:rPr>
      </w:pPr>
      <w:r>
        <w:rPr>
          <w:rFonts w:hint="eastAsia" w:ascii="仿宋_GB2312" w:eastAsia="仿宋_GB2312"/>
          <w:color w:val="000000"/>
          <w:sz w:val="32"/>
          <w:szCs w:val="32"/>
        </w:rPr>
        <w:t>2021年，政府采购支出总额</w:t>
      </w:r>
      <w:r>
        <w:rPr>
          <w:rFonts w:hint="eastAsia" w:ascii="仿宋_GB2312" w:eastAsia="仿宋_GB2312"/>
          <w:color w:val="000000"/>
          <w:sz w:val="32"/>
          <w:szCs w:val="32"/>
          <w:lang w:val="en-US" w:eastAsia="zh-CN"/>
        </w:rPr>
        <w:t>540.53</w:t>
      </w:r>
      <w:r>
        <w:rPr>
          <w:rFonts w:hint="eastAsia" w:ascii="仿宋_GB2312" w:eastAsia="仿宋_GB2312"/>
          <w:color w:val="000000"/>
          <w:sz w:val="32"/>
          <w:szCs w:val="32"/>
        </w:rPr>
        <w:t>万元，主要用于业务</w:t>
      </w:r>
      <w:r>
        <w:rPr>
          <w:rFonts w:hint="eastAsia" w:ascii="仿宋_GB2312" w:eastAsia="仿宋_GB2312"/>
          <w:color w:val="000000"/>
          <w:sz w:val="32"/>
          <w:szCs w:val="32"/>
          <w:lang w:val="en-US" w:eastAsia="zh-CN"/>
        </w:rPr>
        <w:t>体系建设及</w:t>
      </w:r>
      <w:r>
        <w:rPr>
          <w:rFonts w:hint="eastAsia" w:ascii="仿宋_GB2312" w:eastAsia="仿宋_GB2312"/>
          <w:color w:val="000000"/>
          <w:sz w:val="32"/>
          <w:szCs w:val="32"/>
        </w:rPr>
        <w:t>软件服务采购。授予中小企业合同金额</w:t>
      </w:r>
      <w:r>
        <w:rPr>
          <w:rFonts w:hint="eastAsia" w:ascii="仿宋_GB2312" w:eastAsia="仿宋_GB2312"/>
          <w:color w:val="000000"/>
          <w:sz w:val="32"/>
          <w:szCs w:val="32"/>
          <w:lang w:val="en-US" w:eastAsia="zh-CN"/>
        </w:rPr>
        <w:t>372.53</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68.92</w:t>
      </w:r>
      <w:r>
        <w:rPr>
          <w:rFonts w:ascii="仿宋_GB2312" w:eastAsia="仿宋_GB2312"/>
          <w:color w:val="000000"/>
          <w:sz w:val="32"/>
          <w:szCs w:val="32"/>
        </w:rPr>
        <w:t>%</w:t>
      </w:r>
      <w:r>
        <w:rPr>
          <w:rFonts w:hint="eastAsia" w:ascii="仿宋_GB2312" w:eastAsia="仿宋_GB2312"/>
          <w:color w:val="000000"/>
          <w:sz w:val="32"/>
          <w:szCs w:val="32"/>
        </w:rPr>
        <w:t>，其中：授予小微企业合同金额0元。</w:t>
      </w:r>
    </w:p>
    <w:p>
      <w:pPr>
        <w:pStyle w:val="24"/>
        <w:autoSpaceDE w:val="0"/>
        <w:autoSpaceDN w:val="0"/>
        <w:adjustRightInd w:val="0"/>
        <w:spacing w:line="560" w:lineRule="exact"/>
        <w:ind w:left="420" w:firstLine="0" w:firstLineChars="0"/>
        <w:outlineLvl w:val="2"/>
        <w:rPr>
          <w:rFonts w:ascii="楷体_GB2312" w:eastAsia="楷体_GB2312"/>
          <w:b/>
          <w:color w:val="000000"/>
          <w:sz w:val="32"/>
          <w:szCs w:val="32"/>
        </w:rPr>
      </w:pPr>
      <w:r>
        <w:rPr>
          <w:rFonts w:hint="eastAsia" w:ascii="楷体_GB2312" w:eastAsia="楷体_GB2312"/>
          <w:b/>
          <w:color w:val="000000"/>
          <w:sz w:val="32"/>
          <w:szCs w:val="32"/>
        </w:rPr>
        <w:t>（三）国有资产占有使用情况</w:t>
      </w:r>
    </w:p>
    <w:p>
      <w:pPr>
        <w:pStyle w:val="24"/>
        <w:autoSpaceDE w:val="0"/>
        <w:autoSpaceDN w:val="0"/>
        <w:spacing w:line="560" w:lineRule="exact"/>
        <w:ind w:left="420" w:firstLine="160" w:firstLineChars="50"/>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日，州委</w:t>
      </w:r>
      <w:r>
        <w:rPr>
          <w:rFonts w:ascii="仿宋_GB2312" w:eastAsia="仿宋_GB2312"/>
          <w:color w:val="000000"/>
          <w:sz w:val="32"/>
          <w:szCs w:val="32"/>
        </w:rPr>
        <w:t>网信办</w:t>
      </w:r>
      <w:r>
        <w:rPr>
          <w:rFonts w:hint="eastAsia" w:ascii="仿宋_GB2312" w:eastAsia="仿宋_GB2312"/>
          <w:color w:val="000000"/>
          <w:sz w:val="32"/>
          <w:szCs w:val="32"/>
        </w:rPr>
        <w:t>共有车辆2辆</w:t>
      </w:r>
      <w:r>
        <w:rPr>
          <w:rFonts w:ascii="仿宋_GB2312" w:eastAsia="仿宋_GB2312"/>
          <w:color w:val="000000"/>
          <w:sz w:val="32"/>
          <w:szCs w:val="32"/>
        </w:rPr>
        <w:t>，其</w:t>
      </w:r>
      <w:r>
        <w:rPr>
          <w:rFonts w:hint="eastAsia" w:ascii="仿宋_GB2312" w:eastAsia="仿宋_GB2312"/>
          <w:color w:val="000000"/>
          <w:sz w:val="32"/>
          <w:szCs w:val="32"/>
        </w:rPr>
        <w:t>中：</w:t>
      </w:r>
    </w:p>
    <w:p>
      <w:pPr>
        <w:pStyle w:val="24"/>
        <w:autoSpaceDE w:val="0"/>
        <w:autoSpaceDN w:val="0"/>
        <w:spacing w:line="560" w:lineRule="exact"/>
        <w:ind w:left="0" w:leftChars="0" w:firstLine="0" w:firstLineChars="0"/>
        <w:rPr>
          <w:rFonts w:hint="eastAsia" w:ascii="仿宋_GB2312" w:eastAsia="仿宋_GB2312"/>
          <w:color w:val="000000"/>
          <w:sz w:val="32"/>
          <w:szCs w:val="32"/>
        </w:rPr>
      </w:pPr>
      <w:r>
        <w:rPr>
          <w:rFonts w:hint="eastAsia" w:ascii="仿宋_GB2312" w:eastAsia="仿宋_GB2312"/>
          <w:color w:val="000000"/>
          <w:sz w:val="32"/>
          <w:szCs w:val="32"/>
        </w:rPr>
        <w:t>应急保障2辆，单价</w:t>
      </w:r>
      <w:r>
        <w:rPr>
          <w:rFonts w:ascii="仿宋_GB2312" w:eastAsia="仿宋_GB2312"/>
          <w:color w:val="000000"/>
          <w:sz w:val="32"/>
          <w:szCs w:val="32"/>
        </w:rPr>
        <w:t>50</w:t>
      </w:r>
      <w:r>
        <w:rPr>
          <w:rFonts w:hint="eastAsia" w:ascii="仿宋_GB2312" w:eastAsia="仿宋_GB2312"/>
          <w:color w:val="000000"/>
          <w:sz w:val="32"/>
          <w:szCs w:val="32"/>
        </w:rPr>
        <w:t>万元以上通用设备2辆，单价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pStyle w:val="24"/>
        <w:numPr>
          <w:ilvl w:val="0"/>
          <w:numId w:val="1"/>
        </w:numPr>
        <w:autoSpaceDE w:val="0"/>
        <w:autoSpaceDN w:val="0"/>
        <w:spacing w:line="560" w:lineRule="exact"/>
        <w:ind w:left="17" w:leftChars="0" w:firstLine="643" w:firstLineChars="0"/>
        <w:rPr>
          <w:rFonts w:hint="eastAsia" w:ascii="仿宋_GB2312" w:hAnsi="仿宋" w:eastAsia="仿宋_GB2312"/>
          <w:b/>
          <w:color w:val="000000"/>
          <w:sz w:val="32"/>
          <w:szCs w:val="32"/>
        </w:rPr>
      </w:pPr>
      <w:r>
        <w:rPr>
          <w:rFonts w:hint="eastAsia" w:ascii="仿宋_GB2312" w:hAnsi="仿宋" w:eastAsia="仿宋_GB2312"/>
          <w:b/>
          <w:color w:val="000000"/>
          <w:sz w:val="32"/>
          <w:szCs w:val="32"/>
        </w:rPr>
        <w:t>预算绩效管理情况</w:t>
      </w:r>
    </w:p>
    <w:p>
      <w:pPr>
        <w:spacing w:after="0" w:line="560" w:lineRule="exact"/>
        <w:ind w:firstLine="640" w:firstLineChars="200"/>
        <w:jc w:val="both"/>
        <w:rPr>
          <w:rFonts w:hint="eastAsia" w:ascii="仿宋_GB2312" w:eastAsia="仿宋_GB2312" w:cs="宋体"/>
          <w:sz w:val="32"/>
          <w:szCs w:val="32"/>
        </w:rPr>
      </w:pPr>
      <w:r>
        <w:rPr>
          <w:rFonts w:hint="eastAsia" w:ascii="仿宋_GB2312" w:eastAsia="仿宋_GB2312" w:cs="仿宋_GB2312"/>
          <w:sz w:val="32"/>
          <w:szCs w:val="32"/>
        </w:rPr>
        <w:t>本</w:t>
      </w:r>
      <w:r>
        <w:rPr>
          <w:rFonts w:hint="eastAsia" w:ascii="仿宋_GB2312" w:eastAsia="仿宋_GB2312" w:cs="仿宋_GB2312"/>
          <w:sz w:val="32"/>
          <w:szCs w:val="32"/>
          <w:lang w:eastAsia="zh-CN"/>
        </w:rPr>
        <w:t>部门</w:t>
      </w:r>
      <w:r>
        <w:rPr>
          <w:rFonts w:hint="eastAsia" w:ascii="仿宋_GB2312" w:eastAsia="仿宋_GB2312" w:cs="仿宋_GB2312"/>
          <w:sz w:val="32"/>
          <w:szCs w:val="32"/>
        </w:rPr>
        <w:t>按要求对2021年</w:t>
      </w:r>
      <w:r>
        <w:rPr>
          <w:rFonts w:hint="eastAsia" w:ascii="仿宋_GB2312" w:eastAsia="仿宋_GB2312" w:cs="仿宋_GB2312"/>
          <w:sz w:val="32"/>
          <w:szCs w:val="32"/>
          <w:lang w:eastAsia="zh-CN"/>
        </w:rPr>
        <w:t>部门</w:t>
      </w:r>
      <w:r>
        <w:rPr>
          <w:rFonts w:hint="eastAsia" w:ascii="仿宋_GB2312" w:eastAsia="仿宋_GB2312" w:cs="仿宋_GB2312"/>
          <w:sz w:val="32"/>
          <w:szCs w:val="32"/>
        </w:rPr>
        <w:t>整体支出开展绩效自</w:t>
      </w:r>
      <w:bookmarkStart w:id="30" w:name="_GoBack"/>
      <w:bookmarkEnd w:id="30"/>
      <w:r>
        <w:rPr>
          <w:rFonts w:hint="eastAsia" w:ascii="仿宋_GB2312" w:eastAsia="仿宋_GB2312" w:cs="仿宋_GB2312"/>
          <w:sz w:val="32"/>
          <w:szCs w:val="32"/>
        </w:rPr>
        <w:t>评，从评价情况来看</w:t>
      </w:r>
      <w:r>
        <w:rPr>
          <w:rFonts w:hint="eastAsia" w:ascii="仿宋_GB2312" w:eastAsia="仿宋_GB2312" w:cs="仿宋_GB2312"/>
          <w:sz w:val="32"/>
          <w:szCs w:val="32"/>
          <w:lang w:eastAsia="zh-CN"/>
        </w:rPr>
        <w:t>部门</w:t>
      </w:r>
      <w:r>
        <w:rPr>
          <w:rFonts w:hint="eastAsia" w:ascii="仿宋_GB2312" w:eastAsia="仿宋_GB2312" w:cs="仿宋_GB2312"/>
          <w:sz w:val="32"/>
          <w:szCs w:val="32"/>
        </w:rPr>
        <w:t>预算编制基础数据真实可靠，按照年度工作计划和支出标准合理编制了</w:t>
      </w:r>
      <w:r>
        <w:rPr>
          <w:rFonts w:hint="eastAsia" w:ascii="仿宋_GB2312" w:eastAsia="仿宋_GB2312" w:cs="仿宋_GB2312"/>
          <w:sz w:val="32"/>
          <w:szCs w:val="32"/>
          <w:lang w:eastAsia="zh-CN"/>
        </w:rPr>
        <w:t>部门</w:t>
      </w:r>
      <w:r>
        <w:rPr>
          <w:rFonts w:hint="eastAsia" w:ascii="仿宋_GB2312" w:eastAsia="仿宋_GB2312" w:cs="仿宋_GB2312"/>
          <w:sz w:val="32"/>
          <w:szCs w:val="32"/>
        </w:rPr>
        <w:t>预算，严格执行“三公经费” 预算管理，严格审批、严禁超预算等行为。</w:t>
      </w:r>
    </w:p>
    <w:p>
      <w:pPr>
        <w:pStyle w:val="24"/>
        <w:numPr>
          <w:ilvl w:val="0"/>
          <w:numId w:val="0"/>
        </w:numPr>
        <w:autoSpaceDE w:val="0"/>
        <w:autoSpaceDN w:val="0"/>
        <w:spacing w:line="560" w:lineRule="exact"/>
        <w:ind w:firstLine="643" w:firstLineChars="200"/>
        <w:rPr>
          <w:rFonts w:hint="eastAsia" w:ascii="仿宋_GB2312" w:hAnsi="仿宋" w:eastAsia="仿宋_GB2312"/>
          <w:b/>
          <w:color w:val="000000"/>
          <w:sz w:val="32"/>
          <w:szCs w:val="32"/>
        </w:rPr>
      </w:pPr>
      <w:r>
        <w:rPr>
          <w:rFonts w:hint="eastAsia" w:ascii="仿宋_GB2312" w:eastAsia="仿宋_GB2312" w:cs="仿宋_GB2312"/>
          <w:b/>
          <w:bCs/>
          <w:sz w:val="32"/>
          <w:szCs w:val="32"/>
        </w:rPr>
        <w:t>1.项目绩效目标完成情况</w:t>
      </w:r>
    </w:p>
    <w:p>
      <w:pPr>
        <w:spacing w:after="0" w:line="560" w:lineRule="exact"/>
        <w:ind w:firstLine="640" w:firstLineChars="200"/>
        <w:jc w:val="both"/>
        <w:rPr>
          <w:rFonts w:hint="eastAsia" w:ascii="仿宋_GB2312" w:eastAsia="仿宋_GB2312" w:cs="仿宋_GB2312"/>
          <w:sz w:val="32"/>
          <w:szCs w:val="32"/>
        </w:rPr>
      </w:pPr>
      <w:r>
        <w:rPr>
          <w:rFonts w:hint="eastAsia" w:ascii="仿宋_GB2312" w:eastAsia="仿宋_GB2312" w:cs="仿宋_GB2312"/>
          <w:sz w:val="32"/>
          <w:szCs w:val="32"/>
        </w:rPr>
        <w:t>根据预算绩效管理要求，2021年</w:t>
      </w:r>
      <w:r>
        <w:rPr>
          <w:rFonts w:hint="eastAsia" w:ascii="仿宋_GB2312" w:eastAsia="仿宋_GB2312" w:cs="仿宋_GB2312"/>
          <w:sz w:val="32"/>
          <w:szCs w:val="32"/>
          <w:lang w:val="en-US" w:eastAsia="zh-CN"/>
        </w:rPr>
        <w:t>对100万元以上特定目标类项目一个，</w:t>
      </w:r>
      <w:r>
        <w:rPr>
          <w:rFonts w:hint="eastAsia" w:ascii="仿宋_GB2312" w:eastAsia="仿宋_GB2312" w:cs="仿宋_GB2312"/>
          <w:sz w:val="32"/>
          <w:szCs w:val="32"/>
        </w:rPr>
        <w:t>对项目编制了绩效目标。预算执行过程中，开展绩效监控，年终执行完毕后，开展了绩效目标完成情况自评</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项目涉敏感信息，不予公开</w:t>
      </w:r>
      <w:r>
        <w:rPr>
          <w:rFonts w:hint="eastAsia" w:ascii="仿宋_GB2312" w:eastAsia="仿宋_GB2312" w:cs="仿宋_GB2312"/>
          <w:sz w:val="32"/>
          <w:szCs w:val="32"/>
          <w:lang w:eastAsia="zh-CN"/>
        </w:rPr>
        <w:t>）</w:t>
      </w:r>
      <w:r>
        <w:rPr>
          <w:rFonts w:hint="eastAsia" w:ascii="仿宋_GB2312" w:eastAsia="仿宋_GB2312" w:cs="仿宋_GB2312"/>
          <w:sz w:val="32"/>
          <w:szCs w:val="32"/>
        </w:rPr>
        <w:t>。</w:t>
      </w:r>
    </w:p>
    <w:p>
      <w:pPr>
        <w:spacing w:after="0" w:line="560" w:lineRule="exact"/>
        <w:ind w:firstLine="643" w:firstLineChars="200"/>
        <w:jc w:val="both"/>
        <w:rPr>
          <w:rFonts w:ascii="仿宋_GB2312" w:eastAsia="仿宋_GB2312" w:cs="仿宋_GB2312"/>
          <w:b/>
          <w:bCs/>
          <w:sz w:val="32"/>
          <w:szCs w:val="32"/>
        </w:rPr>
      </w:pPr>
      <w:r>
        <w:rPr>
          <w:rFonts w:hint="eastAsia" w:ascii="仿宋_GB2312" w:eastAsia="仿宋_GB2312" w:cs="仿宋_GB2312"/>
          <w:b/>
          <w:bCs/>
          <w:sz w:val="32"/>
          <w:szCs w:val="32"/>
        </w:rPr>
        <w:t>2.</w:t>
      </w:r>
      <w:r>
        <w:rPr>
          <w:rFonts w:hint="eastAsia" w:ascii="仿宋_GB2312" w:eastAsia="仿宋_GB2312" w:cs="仿宋_GB2312"/>
          <w:b/>
          <w:bCs/>
          <w:sz w:val="32"/>
          <w:szCs w:val="32"/>
          <w:lang w:eastAsia="zh-CN"/>
        </w:rPr>
        <w:t>部门</w:t>
      </w:r>
      <w:r>
        <w:rPr>
          <w:rFonts w:hint="eastAsia" w:ascii="仿宋_GB2312" w:eastAsia="仿宋_GB2312" w:cs="仿宋_GB2312"/>
          <w:b/>
          <w:bCs/>
          <w:sz w:val="32"/>
          <w:szCs w:val="32"/>
        </w:rPr>
        <w:t>绩效评价结果</w:t>
      </w:r>
    </w:p>
    <w:p>
      <w:pPr>
        <w:spacing w:after="0" w:line="560" w:lineRule="exact"/>
        <w:ind w:firstLine="640" w:firstLineChars="200"/>
        <w:jc w:val="both"/>
        <w:rPr>
          <w:rFonts w:hint="eastAsia" w:ascii="方正小标宋简体" w:eastAsia="方正小标宋简体"/>
          <w:color w:val="000000"/>
          <w:sz w:val="44"/>
          <w:szCs w:val="44"/>
        </w:rPr>
      </w:pPr>
      <w:r>
        <w:rPr>
          <w:rFonts w:hint="eastAsia" w:ascii="仿宋_GB2312" w:eastAsia="仿宋_GB2312" w:cs="仿宋_GB2312"/>
          <w:sz w:val="32"/>
          <w:szCs w:val="32"/>
        </w:rPr>
        <w:t>本</w:t>
      </w:r>
      <w:r>
        <w:rPr>
          <w:rFonts w:hint="eastAsia" w:ascii="仿宋_GB2312" w:eastAsia="仿宋_GB2312" w:cs="仿宋_GB2312"/>
          <w:sz w:val="32"/>
          <w:szCs w:val="32"/>
          <w:lang w:eastAsia="zh-CN"/>
        </w:rPr>
        <w:t>部门</w:t>
      </w:r>
      <w:r>
        <w:rPr>
          <w:rFonts w:hint="eastAsia" w:ascii="仿宋_GB2312" w:eastAsia="仿宋_GB2312" w:cs="仿宋_GB2312"/>
          <w:sz w:val="32"/>
          <w:szCs w:val="32"/>
        </w:rPr>
        <w:t>按要求对2021年</w:t>
      </w:r>
      <w:r>
        <w:rPr>
          <w:rFonts w:hint="eastAsia" w:ascii="仿宋_GB2312" w:eastAsia="仿宋_GB2312" w:cs="仿宋_GB2312"/>
          <w:sz w:val="32"/>
          <w:szCs w:val="32"/>
          <w:lang w:eastAsia="zh-CN"/>
        </w:rPr>
        <w:t>部门</w:t>
      </w:r>
      <w:r>
        <w:rPr>
          <w:rFonts w:hint="eastAsia" w:ascii="仿宋_GB2312" w:eastAsia="仿宋_GB2312" w:cs="仿宋_GB2312"/>
          <w:sz w:val="32"/>
          <w:szCs w:val="32"/>
        </w:rPr>
        <w:t>整体支出绩效评价情况开展自评，《阿坝州委网信办2021年</w:t>
      </w:r>
      <w:r>
        <w:rPr>
          <w:rFonts w:hint="eastAsia" w:ascii="仿宋_GB2312" w:eastAsia="仿宋_GB2312" w:cs="仿宋_GB2312"/>
          <w:sz w:val="32"/>
          <w:szCs w:val="32"/>
          <w:lang w:eastAsia="zh-CN"/>
        </w:rPr>
        <w:t>部门</w:t>
      </w:r>
      <w:r>
        <w:rPr>
          <w:rFonts w:hint="eastAsia" w:ascii="仿宋_GB2312" w:eastAsia="仿宋_GB2312" w:cs="仿宋_GB2312"/>
          <w:sz w:val="32"/>
          <w:szCs w:val="32"/>
        </w:rPr>
        <w:t>整体支出绩效评价报告》详见（附件）。</w:t>
      </w:r>
    </w:p>
    <w:p>
      <w:pPr>
        <w:spacing w:after="0" w:line="560" w:lineRule="exact"/>
        <w:ind w:firstLine="880" w:firstLineChars="200"/>
        <w:jc w:val="center"/>
        <w:rPr>
          <w:rFonts w:hint="eastAsia" w:ascii="方正小标宋简体" w:eastAsia="方正小标宋简体"/>
          <w:color w:val="000000"/>
          <w:sz w:val="44"/>
          <w:szCs w:val="44"/>
        </w:rPr>
      </w:pPr>
    </w:p>
    <w:p>
      <w:pPr>
        <w:spacing w:after="0" w:line="560" w:lineRule="exact"/>
        <w:ind w:firstLine="880" w:firstLineChars="200"/>
        <w:jc w:val="center"/>
        <w:rPr>
          <w:rFonts w:hint="eastAsia" w:ascii="方正小标宋简体" w:eastAsia="方正小标宋简体"/>
          <w:color w:val="000000"/>
          <w:sz w:val="44"/>
          <w:szCs w:val="44"/>
        </w:rPr>
      </w:pPr>
    </w:p>
    <w:p>
      <w:pPr>
        <w:spacing w:after="0" w:line="560" w:lineRule="exact"/>
        <w:ind w:firstLine="880" w:firstLineChars="200"/>
        <w:jc w:val="center"/>
        <w:rPr>
          <w:rFonts w:hint="eastAsia" w:ascii="方正小标宋简体" w:eastAsia="方正小标宋简体"/>
          <w:color w:val="000000"/>
          <w:sz w:val="44"/>
          <w:szCs w:val="44"/>
        </w:rPr>
      </w:pPr>
    </w:p>
    <w:p>
      <w:pPr>
        <w:spacing w:after="0" w:line="560" w:lineRule="exact"/>
        <w:ind w:firstLine="880" w:firstLineChars="200"/>
        <w:jc w:val="center"/>
        <w:rPr>
          <w:rFonts w:hint="eastAsia" w:ascii="方正小标宋简体" w:eastAsia="方正小标宋简体"/>
          <w:color w:val="000000"/>
          <w:sz w:val="44"/>
          <w:szCs w:val="44"/>
        </w:rPr>
      </w:pPr>
    </w:p>
    <w:p>
      <w:pPr>
        <w:pStyle w:val="2"/>
        <w:rPr>
          <w:rFonts w:hint="eastAsia" w:ascii="方正小标宋简体" w:eastAsia="方正小标宋简体"/>
          <w:color w:val="000000"/>
          <w:sz w:val="44"/>
          <w:szCs w:val="44"/>
        </w:rPr>
      </w:pPr>
    </w:p>
    <w:p>
      <w:pPr>
        <w:pStyle w:val="2"/>
        <w:rPr>
          <w:rFonts w:hint="eastAsia" w:ascii="方正小标宋简体" w:eastAsia="方正小标宋简体"/>
          <w:color w:val="000000"/>
          <w:sz w:val="44"/>
          <w:szCs w:val="44"/>
        </w:rPr>
      </w:pPr>
    </w:p>
    <w:p>
      <w:pPr>
        <w:pStyle w:val="2"/>
        <w:rPr>
          <w:rFonts w:hint="eastAsia" w:ascii="方正小标宋简体" w:eastAsia="方正小标宋简体"/>
          <w:color w:val="000000"/>
          <w:sz w:val="44"/>
          <w:szCs w:val="44"/>
        </w:rPr>
      </w:pPr>
    </w:p>
    <w:p>
      <w:pPr>
        <w:pStyle w:val="2"/>
        <w:rPr>
          <w:rFonts w:hint="eastAsia" w:ascii="方正小标宋简体" w:eastAsia="方正小标宋简体"/>
          <w:color w:val="000000"/>
          <w:sz w:val="44"/>
          <w:szCs w:val="44"/>
        </w:rPr>
      </w:pPr>
    </w:p>
    <w:p>
      <w:pPr>
        <w:pStyle w:val="2"/>
        <w:rPr>
          <w:rFonts w:hint="eastAsia" w:ascii="方正小标宋简体" w:eastAsia="方正小标宋简体"/>
          <w:color w:val="000000"/>
          <w:sz w:val="44"/>
          <w:szCs w:val="44"/>
        </w:rPr>
      </w:pPr>
    </w:p>
    <w:p>
      <w:pPr>
        <w:pStyle w:val="2"/>
        <w:rPr>
          <w:rFonts w:hint="eastAsia" w:ascii="方正小标宋简体" w:eastAsia="方正小标宋简体"/>
          <w:color w:val="000000"/>
          <w:sz w:val="44"/>
          <w:szCs w:val="44"/>
        </w:rPr>
      </w:pPr>
    </w:p>
    <w:p>
      <w:pPr>
        <w:pStyle w:val="2"/>
        <w:rPr>
          <w:rFonts w:hint="eastAsia" w:ascii="方正小标宋简体" w:eastAsia="方正小标宋简体"/>
          <w:color w:val="000000"/>
          <w:sz w:val="44"/>
          <w:szCs w:val="44"/>
        </w:rPr>
      </w:pPr>
    </w:p>
    <w:p>
      <w:pPr>
        <w:pStyle w:val="2"/>
        <w:rPr>
          <w:rFonts w:hint="eastAsia" w:ascii="方正小标宋简体" w:eastAsia="方正小标宋简体"/>
          <w:color w:val="000000"/>
          <w:sz w:val="44"/>
          <w:szCs w:val="44"/>
        </w:rPr>
      </w:pPr>
    </w:p>
    <w:p>
      <w:pPr>
        <w:spacing w:after="0" w:line="560" w:lineRule="exact"/>
        <w:ind w:firstLine="880" w:firstLineChars="200"/>
        <w:jc w:val="center"/>
        <w:rPr>
          <w:rFonts w:hint="eastAsia" w:ascii="方正小标宋简体" w:eastAsia="方正小标宋简体"/>
          <w:color w:val="000000"/>
          <w:sz w:val="44"/>
          <w:szCs w:val="44"/>
        </w:rPr>
      </w:pPr>
    </w:p>
    <w:p>
      <w:pPr>
        <w:spacing w:after="0" w:line="560" w:lineRule="exact"/>
        <w:ind w:firstLine="880" w:firstLineChars="200"/>
        <w:jc w:val="center"/>
        <w:rPr>
          <w:rFonts w:hint="eastAsia" w:ascii="方正小标宋简体" w:eastAsia="方正小标宋简体"/>
          <w:color w:val="000000"/>
          <w:sz w:val="44"/>
          <w:szCs w:val="44"/>
        </w:rPr>
      </w:pPr>
    </w:p>
    <w:p>
      <w:pPr>
        <w:spacing w:after="0" w:line="560" w:lineRule="exact"/>
        <w:ind w:firstLine="880" w:firstLineChars="200"/>
        <w:jc w:val="center"/>
        <w:rPr>
          <w:rStyle w:val="29"/>
          <w:rFonts w:ascii="方正小标宋简体" w:eastAsia="方正小标宋简体" w:cs="仿宋_GB2312"/>
          <w:b w:val="0"/>
          <w:bCs w:val="0"/>
          <w:kern w:val="0"/>
        </w:rPr>
      </w:pPr>
      <w:r>
        <w:rPr>
          <w:rFonts w:hint="eastAsia" w:ascii="方正小标宋简体" w:eastAsia="方正小标宋简体"/>
          <w:color w:val="000000"/>
          <w:sz w:val="44"/>
          <w:szCs w:val="44"/>
        </w:rPr>
        <w:t>第三部分 名</w:t>
      </w:r>
      <w:r>
        <w:rPr>
          <w:rStyle w:val="29"/>
          <w:rFonts w:hint="eastAsia" w:ascii="方正小标宋简体" w:eastAsia="方正小标宋简体"/>
          <w:b w:val="0"/>
          <w:bCs w:val="0"/>
        </w:rPr>
        <w:t>词解释</w:t>
      </w:r>
    </w:p>
    <w:p>
      <w:pPr>
        <w:spacing w:after="0" w:line="560" w:lineRule="exact"/>
        <w:ind w:left="480"/>
        <w:jc w:val="center"/>
        <w:outlineLvl w:val="0"/>
        <w:rPr>
          <w:rFonts w:ascii="黑体" w:eastAsia="黑体"/>
          <w:b/>
          <w:bCs/>
          <w:kern w:val="44"/>
          <w:sz w:val="44"/>
          <w:szCs w:val="44"/>
        </w:rPr>
      </w:pP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1.财政拨款收入：指</w:t>
      </w:r>
      <w:r>
        <w:rPr>
          <w:rFonts w:hint="eastAsia" w:ascii="仿宋_GB2312" w:eastAsia="仿宋_GB2312"/>
          <w:sz w:val="32"/>
          <w:szCs w:val="32"/>
          <w:lang w:eastAsia="zh-CN"/>
        </w:rPr>
        <w:t>部门</w:t>
      </w:r>
      <w:r>
        <w:rPr>
          <w:rFonts w:hint="eastAsia" w:ascii="仿宋_GB2312" w:eastAsia="仿宋_GB2312"/>
          <w:sz w:val="32"/>
          <w:szCs w:val="32"/>
        </w:rPr>
        <w:t>从同级财政</w:t>
      </w:r>
      <w:r>
        <w:rPr>
          <w:rFonts w:hint="eastAsia" w:ascii="仿宋_GB2312" w:eastAsia="仿宋_GB2312"/>
          <w:sz w:val="32"/>
          <w:szCs w:val="32"/>
          <w:lang w:eastAsia="zh-CN"/>
        </w:rPr>
        <w:t>部门</w:t>
      </w:r>
      <w:r>
        <w:rPr>
          <w:rFonts w:hint="eastAsia" w:ascii="仿宋_GB2312" w:eastAsia="仿宋_GB2312"/>
          <w:sz w:val="32"/>
          <w:szCs w:val="32"/>
        </w:rPr>
        <w:t>取得的财政预算资金。</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2.事业收入：指事业</w:t>
      </w:r>
      <w:r>
        <w:rPr>
          <w:rFonts w:hint="eastAsia" w:ascii="仿宋_GB2312" w:eastAsia="仿宋_GB2312"/>
          <w:sz w:val="32"/>
          <w:szCs w:val="32"/>
          <w:lang w:eastAsia="zh-CN"/>
        </w:rPr>
        <w:t>部门</w:t>
      </w:r>
      <w:r>
        <w:rPr>
          <w:rFonts w:hint="eastAsia" w:ascii="仿宋_GB2312" w:eastAsia="仿宋_GB2312"/>
          <w:sz w:val="32"/>
          <w:szCs w:val="32"/>
        </w:rPr>
        <w:t>开展专业业务活动及辅助活动取得的收入。</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3.年初结转和结余：指以前年度尚未完成、结转到本年按有关规定继续使用的资金。</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4、年末结转和结余：指</w:t>
      </w:r>
      <w:r>
        <w:rPr>
          <w:rFonts w:hint="eastAsia" w:ascii="仿宋_GB2312" w:eastAsia="仿宋_GB2312"/>
          <w:sz w:val="32"/>
          <w:szCs w:val="32"/>
          <w:lang w:eastAsia="zh-CN"/>
        </w:rPr>
        <w:t>部门</w:t>
      </w:r>
      <w:r>
        <w:rPr>
          <w:rFonts w:hint="eastAsia" w:ascii="仿宋_GB2312" w:eastAsia="仿宋_GB2312"/>
          <w:sz w:val="32"/>
          <w:szCs w:val="32"/>
        </w:rPr>
        <w:t>按有关规定结转到下年或以后年度继续使用的资金。</w:t>
      </w:r>
    </w:p>
    <w:p>
      <w:pPr>
        <w:spacing w:after="0" w:line="560" w:lineRule="exact"/>
        <w:ind w:firstLine="640" w:firstLineChars="200"/>
        <w:jc w:val="both"/>
        <w:rPr>
          <w:rFonts w:ascii="仿宋_GB2312" w:eastAsia="仿宋_GB2312" w:cs="仿宋"/>
          <w:color w:val="000000"/>
          <w:sz w:val="32"/>
          <w:szCs w:val="32"/>
        </w:rPr>
      </w:pPr>
      <w:r>
        <w:rPr>
          <w:rFonts w:hint="eastAsia" w:ascii="仿宋_GB2312" w:eastAsia="仿宋_GB2312" w:cs="仿宋"/>
          <w:color w:val="000000"/>
          <w:sz w:val="32"/>
          <w:szCs w:val="32"/>
        </w:rPr>
        <w:t>5．一般公共服务支出（类）网信事务（款）行政运行（项）：指反映行政</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（包括实行公务员管理的事业</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）的基本支出。</w:t>
      </w:r>
    </w:p>
    <w:p>
      <w:pPr>
        <w:spacing w:after="0" w:line="560" w:lineRule="exact"/>
        <w:ind w:firstLine="640" w:firstLineChars="200"/>
        <w:jc w:val="both"/>
        <w:rPr>
          <w:rFonts w:ascii="仿宋_GB2312" w:eastAsia="仿宋_GB2312" w:cs="仿宋"/>
          <w:color w:val="000000"/>
          <w:sz w:val="32"/>
          <w:szCs w:val="32"/>
        </w:rPr>
      </w:pPr>
      <w:r>
        <w:rPr>
          <w:rFonts w:hint="eastAsia" w:ascii="仿宋_GB2312" w:eastAsia="仿宋_GB2312" w:cs="仿宋"/>
          <w:color w:val="000000"/>
          <w:sz w:val="32"/>
          <w:szCs w:val="32"/>
        </w:rPr>
        <w:t>6. 一般公共服务支出（类）网信事务（款）一般行政管理事务（项）：指反映行政</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（包括实行公务员管理的事业</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）未单独设置项级科目的其他项目支出。</w:t>
      </w:r>
    </w:p>
    <w:p>
      <w:pPr>
        <w:spacing w:after="0" w:line="560" w:lineRule="exact"/>
        <w:ind w:firstLine="640" w:firstLineChars="200"/>
        <w:jc w:val="both"/>
        <w:rPr>
          <w:rFonts w:ascii="仿宋_GB2312" w:eastAsia="仿宋_GB2312" w:cs="仿宋"/>
          <w:color w:val="000000"/>
          <w:sz w:val="32"/>
          <w:szCs w:val="32"/>
        </w:rPr>
      </w:pPr>
      <w:r>
        <w:rPr>
          <w:rFonts w:hint="eastAsia" w:ascii="仿宋_GB2312" w:eastAsia="仿宋_GB2312" w:cs="仿宋"/>
          <w:color w:val="000000"/>
          <w:sz w:val="32"/>
          <w:szCs w:val="32"/>
        </w:rPr>
        <w:t>7.社会保障和就业（类）行政职业</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离退休（款）机关事业</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基本养老保险（项）:指反映机关事业</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实施养老保险制度由</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缴纳的基本养老保险费的支出，主要用于养老保险缴费。</w:t>
      </w:r>
    </w:p>
    <w:p>
      <w:pPr>
        <w:spacing w:after="0" w:line="560" w:lineRule="exact"/>
        <w:ind w:firstLine="640" w:firstLineChars="200"/>
        <w:jc w:val="both"/>
        <w:rPr>
          <w:rFonts w:ascii="仿宋_GB2312" w:eastAsia="仿宋_GB2312" w:cs="仿宋"/>
          <w:color w:val="000000"/>
          <w:sz w:val="32"/>
          <w:szCs w:val="32"/>
        </w:rPr>
      </w:pPr>
      <w:r>
        <w:rPr>
          <w:rFonts w:hint="eastAsia" w:ascii="仿宋_GB2312" w:eastAsia="仿宋_GB2312" w:cs="仿宋"/>
          <w:color w:val="000000"/>
          <w:sz w:val="32"/>
          <w:szCs w:val="32"/>
        </w:rPr>
        <w:t>8.社会保障和就业（类）行政职业</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离退休（款）机关事业</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职业年金（项）：指反映机关事业</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实施养老保险制度由</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缴纳的职业年金的支出，主要用于职业年金缴费。</w:t>
      </w:r>
    </w:p>
    <w:p>
      <w:pPr>
        <w:spacing w:after="0" w:line="560" w:lineRule="exact"/>
        <w:ind w:firstLine="640" w:firstLineChars="200"/>
        <w:jc w:val="both"/>
        <w:rPr>
          <w:rFonts w:ascii="仿宋_GB2312" w:eastAsia="仿宋_GB2312" w:cs="仿宋"/>
          <w:color w:val="000000"/>
          <w:sz w:val="32"/>
          <w:szCs w:val="32"/>
        </w:rPr>
      </w:pPr>
      <w:r>
        <w:rPr>
          <w:rFonts w:hint="eastAsia" w:ascii="仿宋_GB2312" w:eastAsia="仿宋_GB2312" w:cs="仿宋"/>
          <w:color w:val="000000"/>
          <w:sz w:val="32"/>
          <w:szCs w:val="32"/>
        </w:rPr>
        <w:t>9.医疗卫生与计划生育（类）行政事业</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医疗（款）行政</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医疗（项）:指</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人员行政</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医疗保险支出。</w:t>
      </w:r>
    </w:p>
    <w:p>
      <w:pPr>
        <w:spacing w:after="0" w:line="560" w:lineRule="exact"/>
        <w:ind w:firstLine="640"/>
        <w:jc w:val="both"/>
        <w:rPr>
          <w:rFonts w:ascii="仿宋_GB2312" w:eastAsia="仿宋_GB2312" w:cs="仿宋"/>
          <w:color w:val="000000"/>
          <w:sz w:val="32"/>
          <w:szCs w:val="32"/>
        </w:rPr>
      </w:pPr>
      <w:r>
        <w:rPr>
          <w:rFonts w:hint="eastAsia" w:ascii="仿宋_GB2312" w:eastAsia="仿宋_GB2312" w:cs="仿宋"/>
          <w:color w:val="000000"/>
          <w:sz w:val="32"/>
          <w:szCs w:val="32"/>
        </w:rPr>
        <w:t>10.住房保障（类）住房改革（款）住房公积金（项）：指行政事业</w:t>
      </w:r>
      <w:r>
        <w:rPr>
          <w:rFonts w:hint="eastAsia" w:ascii="仿宋_GB2312" w:eastAsia="仿宋_GB2312" w:cs="仿宋"/>
          <w:color w:val="000000"/>
          <w:sz w:val="32"/>
          <w:szCs w:val="32"/>
          <w:lang w:eastAsia="zh-CN"/>
        </w:rPr>
        <w:t>部门</w:t>
      </w:r>
      <w:r>
        <w:rPr>
          <w:rFonts w:hint="eastAsia" w:ascii="仿宋_GB2312" w:eastAsia="仿宋_GB2312" w:cs="仿宋"/>
          <w:color w:val="000000"/>
          <w:sz w:val="32"/>
          <w:szCs w:val="32"/>
        </w:rPr>
        <w:t>按人力资源和社会保障部、财政部规定的基本工资和津贴补贴以及规定比例为职工缴纳的住房公积金。</w:t>
      </w:r>
    </w:p>
    <w:p>
      <w:pPr>
        <w:spacing w:after="0" w:line="560"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11.基本支出：指为保障机构正常运转、完成日常工作任务而发生的人员支出和公用支出。</w:t>
      </w:r>
    </w:p>
    <w:p>
      <w:pPr>
        <w:spacing w:after="0" w:line="560"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12.项目支出：指在基本支出之外为完成特定行政任务和事业发展目标所发生的支出。</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13.“三公”经费：指</w:t>
      </w:r>
      <w:r>
        <w:rPr>
          <w:rFonts w:hint="eastAsia" w:ascii="仿宋_GB2312" w:eastAsia="仿宋_GB2312"/>
          <w:sz w:val="32"/>
          <w:szCs w:val="32"/>
          <w:lang w:eastAsia="zh-CN"/>
        </w:rPr>
        <w:t>部门</w:t>
      </w:r>
      <w:r>
        <w:rPr>
          <w:rFonts w:hint="eastAsia" w:ascii="仿宋_GB2312" w:eastAsia="仿宋_GB2312"/>
          <w:sz w:val="32"/>
          <w:szCs w:val="32"/>
        </w:rPr>
        <w:t>用财政拨款安排的因公出国（境）费、公务用车购置及运行费和公务接待费。其中，因公出国（境）费反映</w:t>
      </w:r>
      <w:r>
        <w:rPr>
          <w:rFonts w:hint="eastAsia" w:ascii="仿宋_GB2312" w:eastAsia="仿宋_GB2312"/>
          <w:sz w:val="32"/>
          <w:szCs w:val="32"/>
          <w:lang w:eastAsia="zh-CN"/>
        </w:rPr>
        <w:t>部门</w:t>
      </w:r>
      <w:r>
        <w:rPr>
          <w:rFonts w:hint="eastAsia" w:ascii="仿宋_GB2312" w:eastAsia="仿宋_GB2312"/>
          <w:sz w:val="32"/>
          <w:szCs w:val="32"/>
        </w:rPr>
        <w:t>公务出国（境）的国际旅费、国外城市间交通费、住宿费、伙食费、培训费、公杂费等支出；公务用车购置及运行费反映</w:t>
      </w:r>
      <w:r>
        <w:rPr>
          <w:rFonts w:hint="eastAsia" w:ascii="仿宋_GB2312" w:eastAsia="仿宋_GB2312"/>
          <w:sz w:val="32"/>
          <w:szCs w:val="32"/>
          <w:lang w:eastAsia="zh-CN"/>
        </w:rPr>
        <w:t>部门</w:t>
      </w:r>
      <w:r>
        <w:rPr>
          <w:rFonts w:hint="eastAsia" w:ascii="仿宋_GB2312" w:eastAsia="仿宋_GB2312"/>
          <w:sz w:val="32"/>
          <w:szCs w:val="32"/>
        </w:rPr>
        <w:t>公务用车车辆购置支出（含车辆购置税）及租用费、燃料费、维修费、过路过桥费、保险费等支出；公务接待费反映</w:t>
      </w:r>
      <w:r>
        <w:rPr>
          <w:rFonts w:hint="eastAsia" w:ascii="仿宋_GB2312" w:eastAsia="仿宋_GB2312"/>
          <w:sz w:val="32"/>
          <w:szCs w:val="32"/>
          <w:lang w:eastAsia="zh-CN"/>
        </w:rPr>
        <w:t>部门</w:t>
      </w:r>
      <w:r>
        <w:rPr>
          <w:rFonts w:hint="eastAsia" w:ascii="仿宋_GB2312" w:eastAsia="仿宋_GB2312"/>
          <w:sz w:val="32"/>
          <w:szCs w:val="32"/>
        </w:rPr>
        <w:t>按规定开支的各类公务接待（含外宾接待）支出。</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14.机关运行经费：为保障行政</w:t>
      </w:r>
      <w:r>
        <w:rPr>
          <w:rFonts w:hint="eastAsia" w:ascii="仿宋_GB2312" w:eastAsia="仿宋_GB2312"/>
          <w:sz w:val="32"/>
          <w:szCs w:val="32"/>
          <w:lang w:eastAsia="zh-CN"/>
        </w:rPr>
        <w:t>部门</w:t>
      </w:r>
      <w:r>
        <w:rPr>
          <w:rFonts w:hint="eastAsia" w:ascii="仿宋_GB2312" w:eastAsia="仿宋_GB2312"/>
          <w:sz w:val="32"/>
          <w:szCs w:val="32"/>
        </w:rPr>
        <w:t>（含参照公务员法管理的事业</w:t>
      </w:r>
      <w:r>
        <w:rPr>
          <w:rFonts w:hint="eastAsia" w:ascii="仿宋_GB2312" w:eastAsia="仿宋_GB2312"/>
          <w:sz w:val="32"/>
          <w:szCs w:val="32"/>
          <w:lang w:eastAsia="zh-CN"/>
        </w:rPr>
        <w:t>部门</w:t>
      </w:r>
      <w:r>
        <w:rPr>
          <w:rFonts w:hint="eastAsia" w:ascii="仿宋_GB2312" w:eastAsia="仿宋_GB2312"/>
          <w:sz w:val="32"/>
          <w:szCs w:val="32"/>
        </w:rPr>
        <w:t>）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4" w:name="_Toc15396614"/>
      <w:bookmarkStart w:id="15" w:name="_Toc15377226"/>
    </w:p>
    <w:p>
      <w:pPr>
        <w:spacing w:after="0" w:line="560" w:lineRule="exact"/>
        <w:jc w:val="both"/>
        <w:outlineLvl w:val="0"/>
        <w:rPr>
          <w:rFonts w:hint="eastAsia" w:ascii="方正小标宋简体" w:eastAsia="方正小标宋简体"/>
          <w:color w:val="000000"/>
          <w:sz w:val="44"/>
          <w:szCs w:val="44"/>
        </w:rPr>
      </w:pPr>
    </w:p>
    <w:p>
      <w:pPr>
        <w:spacing w:after="0" w:line="560" w:lineRule="exact"/>
        <w:jc w:val="center"/>
        <w:outlineLvl w:val="0"/>
        <w:rPr>
          <w:rStyle w:val="29"/>
          <w:rFonts w:ascii="方正小标宋简体" w:eastAsia="方正小标宋简体"/>
          <w:b w:val="0"/>
          <w:bCs w:val="0"/>
        </w:rPr>
      </w:pPr>
      <w:r>
        <w:rPr>
          <w:rFonts w:hint="eastAsia" w:ascii="方正小标宋简体" w:eastAsia="方正小标宋简体"/>
          <w:color w:val="000000"/>
          <w:sz w:val="44"/>
          <w:szCs w:val="44"/>
        </w:rPr>
        <w:t>第</w:t>
      </w:r>
      <w:r>
        <w:rPr>
          <w:rStyle w:val="29"/>
          <w:rFonts w:hint="eastAsia" w:ascii="方正小标宋简体" w:eastAsia="方正小标宋简体"/>
          <w:b w:val="0"/>
          <w:bCs w:val="0"/>
        </w:rPr>
        <w:t>四部分 附件</w:t>
      </w:r>
      <w:bookmarkEnd w:id="14"/>
    </w:p>
    <w:p>
      <w:pPr>
        <w:spacing w:line="600" w:lineRule="exact"/>
        <w:rPr>
          <w:rFonts w:hint="eastAsia" w:ascii="方正小标宋简体" w:eastAsia="方正小标宋简体"/>
          <w:sz w:val="44"/>
          <w:szCs w:val="44"/>
        </w:rPr>
      </w:pPr>
      <w:r>
        <w:rPr>
          <w:rFonts w:hint="eastAsia" w:ascii="仿宋_GB2312" w:eastAsia="仿宋_GB2312"/>
          <w:sz w:val="30"/>
          <w:szCs w:val="30"/>
        </w:rPr>
        <w:t>附件</w:t>
      </w:r>
    </w:p>
    <w:p>
      <w:pPr>
        <w:spacing w:line="480" w:lineRule="exact"/>
        <w:jc w:val="center"/>
        <w:rPr>
          <w:rFonts w:hint="eastAsia" w:ascii="方正小标宋简体" w:eastAsia="方正小标宋简体"/>
          <w:sz w:val="44"/>
          <w:szCs w:val="44"/>
          <w:lang w:val="en-US" w:eastAsia="zh-CN"/>
        </w:rPr>
      </w:pPr>
      <w:r>
        <w:rPr>
          <w:rFonts w:hint="eastAsia" w:ascii="方正小标宋简体" w:eastAsia="方正小标宋简体"/>
          <w:sz w:val="44"/>
          <w:szCs w:val="44"/>
        </w:rPr>
        <w:t>2021年阿坝州委网信办</w:t>
      </w:r>
      <w:r>
        <w:rPr>
          <w:rFonts w:hint="eastAsia" w:ascii="方正小标宋简体" w:eastAsia="方正小标宋简体"/>
          <w:sz w:val="44"/>
          <w:szCs w:val="44"/>
          <w:lang w:val="en-US" w:eastAsia="zh-CN"/>
        </w:rPr>
        <w:t>部门</w:t>
      </w:r>
    </w:p>
    <w:p>
      <w:pPr>
        <w:spacing w:line="480" w:lineRule="exact"/>
        <w:jc w:val="center"/>
        <w:rPr>
          <w:rFonts w:ascii="方正小标宋简体" w:eastAsia="方正小标宋简体"/>
          <w:sz w:val="44"/>
          <w:szCs w:val="44"/>
        </w:rPr>
      </w:pPr>
      <w:r>
        <w:rPr>
          <w:rFonts w:hint="eastAsia" w:ascii="方正小标宋简体" w:eastAsia="方正小标宋简体"/>
          <w:sz w:val="44"/>
          <w:szCs w:val="44"/>
        </w:rPr>
        <w:t>整体支出绩效评价报告</w:t>
      </w:r>
    </w:p>
    <w:p>
      <w:pPr>
        <w:spacing w:after="0" w:line="560" w:lineRule="exact"/>
        <w:ind w:firstLine="800" w:firstLineChars="250"/>
        <w:jc w:val="both"/>
        <w:rPr>
          <w:rFonts w:ascii="黑体" w:eastAsia="黑体" w:cs="仿宋"/>
          <w:color w:val="000000"/>
          <w:kern w:val="2"/>
          <w:sz w:val="32"/>
          <w:szCs w:val="32"/>
        </w:rPr>
      </w:pPr>
      <w:r>
        <w:rPr>
          <w:rFonts w:hint="eastAsia" w:ascii="黑体" w:eastAsia="黑体" w:cs="仿宋"/>
          <w:color w:val="000000"/>
          <w:kern w:val="2"/>
          <w:sz w:val="32"/>
          <w:szCs w:val="32"/>
        </w:rPr>
        <w:t>一、</w:t>
      </w:r>
      <w:r>
        <w:rPr>
          <w:rFonts w:hint="eastAsia" w:ascii="黑体" w:eastAsia="黑体" w:cs="仿宋"/>
          <w:color w:val="000000"/>
          <w:kern w:val="2"/>
          <w:sz w:val="32"/>
          <w:szCs w:val="32"/>
          <w:lang w:eastAsia="zh-CN"/>
        </w:rPr>
        <w:t>部门</w:t>
      </w:r>
      <w:r>
        <w:rPr>
          <w:rFonts w:hint="eastAsia" w:ascii="黑体" w:eastAsia="黑体" w:cs="仿宋"/>
          <w:color w:val="000000"/>
          <w:kern w:val="2"/>
          <w:sz w:val="32"/>
          <w:szCs w:val="32"/>
        </w:rPr>
        <w:t>慨况</w:t>
      </w:r>
    </w:p>
    <w:p>
      <w:pPr>
        <w:spacing w:after="0" w:line="560" w:lineRule="exact"/>
        <w:ind w:firstLine="643" w:firstLineChars="200"/>
        <w:jc w:val="both"/>
        <w:outlineLvl w:val="0"/>
        <w:rPr>
          <w:rFonts w:ascii="楷体_GB2312" w:eastAsia="楷体_GB2312"/>
          <w:b/>
          <w:color w:val="000000"/>
          <w:kern w:val="2"/>
          <w:sz w:val="32"/>
          <w:szCs w:val="32"/>
        </w:rPr>
      </w:pPr>
      <w:r>
        <w:rPr>
          <w:rFonts w:hint="eastAsia" w:ascii="楷体_GB2312" w:eastAsia="楷体_GB2312"/>
          <w:b/>
          <w:color w:val="000000"/>
          <w:kern w:val="2"/>
          <w:sz w:val="32"/>
          <w:szCs w:val="32"/>
        </w:rPr>
        <w:t>（一）</w:t>
      </w:r>
      <w:r>
        <w:rPr>
          <w:rFonts w:hint="eastAsia" w:ascii="楷体_GB2312" w:eastAsia="楷体_GB2312"/>
          <w:b/>
          <w:color w:val="000000"/>
          <w:kern w:val="2"/>
          <w:sz w:val="32"/>
          <w:szCs w:val="32"/>
          <w:lang w:eastAsia="zh-CN"/>
        </w:rPr>
        <w:t>部门</w:t>
      </w:r>
      <w:r>
        <w:rPr>
          <w:rFonts w:hint="eastAsia" w:ascii="楷体_GB2312" w:eastAsia="楷体_GB2312"/>
          <w:b/>
          <w:color w:val="000000"/>
          <w:kern w:val="2"/>
          <w:sz w:val="32"/>
          <w:szCs w:val="32"/>
        </w:rPr>
        <w:t>主要职责</w:t>
      </w:r>
    </w:p>
    <w:p>
      <w:pPr>
        <w:tabs>
          <w:tab w:val="left" w:pos="7020"/>
          <w:tab w:val="left" w:pos="7740"/>
        </w:tabs>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贯彻执行党和国家的方针政策和法律法规及省委、州委的决策部署，统筹协调全州网信工作。</w:t>
      </w:r>
    </w:p>
    <w:p>
      <w:pPr>
        <w:spacing w:after="0" w:line="560" w:lineRule="exact"/>
        <w:ind w:firstLine="643" w:firstLineChars="200"/>
        <w:jc w:val="both"/>
        <w:rPr>
          <w:rFonts w:ascii="楷体_GB2312" w:eastAsia="楷体_GB2312"/>
          <w:b/>
          <w:color w:val="000000"/>
          <w:kern w:val="2"/>
          <w:sz w:val="32"/>
          <w:szCs w:val="32"/>
        </w:rPr>
      </w:pPr>
      <w:r>
        <w:rPr>
          <w:rFonts w:hint="eastAsia" w:ascii="楷体_GB2312" w:eastAsia="楷体_GB2312"/>
          <w:b/>
          <w:sz w:val="32"/>
          <w:szCs w:val="32"/>
        </w:rPr>
        <w:t>（</w:t>
      </w:r>
      <w:r>
        <w:rPr>
          <w:rFonts w:hint="eastAsia" w:ascii="楷体_GB2312" w:eastAsia="楷体_GB2312"/>
          <w:b/>
          <w:color w:val="000000"/>
          <w:kern w:val="2"/>
          <w:sz w:val="32"/>
          <w:szCs w:val="32"/>
        </w:rPr>
        <w:t>二）机构组成及人员概况</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中共阿坝州委网信办正县级</w:t>
      </w:r>
      <w:r>
        <w:rPr>
          <w:rFonts w:hint="eastAsia" w:ascii="仿宋_GB2312" w:eastAsia="仿宋_GB2312"/>
          <w:sz w:val="32"/>
          <w:szCs w:val="32"/>
          <w:lang w:eastAsia="zh-CN"/>
        </w:rPr>
        <w:t>，</w:t>
      </w:r>
      <w:r>
        <w:rPr>
          <w:rFonts w:hint="eastAsia" w:ascii="仿宋_GB2312" w:eastAsia="仿宋_GB2312"/>
          <w:sz w:val="32"/>
          <w:szCs w:val="32"/>
          <w:lang w:val="en-US" w:eastAsia="zh-CN"/>
        </w:rPr>
        <w:t>下设正科级阿坝网络舆情中心</w:t>
      </w:r>
      <w:r>
        <w:rPr>
          <w:rFonts w:hint="eastAsia" w:ascii="仿宋_GB2312" w:eastAsia="仿宋_GB2312"/>
          <w:sz w:val="32"/>
          <w:szCs w:val="32"/>
        </w:rPr>
        <w:t>，2021年末在职人员</w:t>
      </w:r>
      <w:r>
        <w:rPr>
          <w:rFonts w:hint="eastAsia" w:ascii="仿宋_GB2312" w:eastAsia="仿宋_GB2312"/>
          <w:sz w:val="32"/>
          <w:szCs w:val="32"/>
          <w:lang w:val="en-US" w:eastAsia="zh-CN"/>
        </w:rPr>
        <w:t>14</w:t>
      </w:r>
      <w:r>
        <w:rPr>
          <w:rFonts w:hint="eastAsia" w:ascii="仿宋_GB2312" w:eastAsia="仿宋_GB2312"/>
          <w:sz w:val="32"/>
          <w:szCs w:val="32"/>
        </w:rPr>
        <w:t>名。</w:t>
      </w:r>
    </w:p>
    <w:p>
      <w:pPr>
        <w:spacing w:after="0" w:line="560" w:lineRule="exact"/>
        <w:ind w:firstLine="640" w:firstLineChars="200"/>
        <w:jc w:val="both"/>
        <w:rPr>
          <w:rFonts w:ascii="黑体" w:eastAsia="黑体" w:cs="仿宋"/>
          <w:color w:val="000000"/>
          <w:kern w:val="2"/>
          <w:sz w:val="32"/>
          <w:szCs w:val="32"/>
        </w:rPr>
      </w:pPr>
      <w:r>
        <w:rPr>
          <w:rFonts w:hint="eastAsia" w:ascii="黑体" w:eastAsia="黑体" w:cs="仿宋"/>
          <w:color w:val="000000"/>
          <w:kern w:val="2"/>
          <w:sz w:val="32"/>
          <w:szCs w:val="32"/>
        </w:rPr>
        <w:t>二、</w:t>
      </w:r>
      <w:r>
        <w:rPr>
          <w:rFonts w:hint="eastAsia" w:ascii="黑体" w:eastAsia="黑体" w:cs="仿宋"/>
          <w:color w:val="000000"/>
          <w:kern w:val="2"/>
          <w:sz w:val="32"/>
          <w:szCs w:val="32"/>
          <w:lang w:eastAsia="zh-CN"/>
        </w:rPr>
        <w:t>部门</w:t>
      </w:r>
      <w:r>
        <w:rPr>
          <w:rFonts w:hint="eastAsia" w:ascii="黑体" w:eastAsia="黑体" w:cs="仿宋"/>
          <w:color w:val="000000"/>
          <w:kern w:val="2"/>
          <w:sz w:val="32"/>
          <w:szCs w:val="32"/>
        </w:rPr>
        <w:t>财政资金收支情况</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2021年度</w:t>
      </w:r>
      <w:r>
        <w:rPr>
          <w:rFonts w:hint="eastAsia" w:ascii="仿宋_GB2312" w:eastAsia="仿宋_GB2312"/>
          <w:sz w:val="32"/>
          <w:szCs w:val="32"/>
          <w:lang w:eastAsia="zh-CN"/>
        </w:rPr>
        <w:t>部门</w:t>
      </w:r>
      <w:r>
        <w:rPr>
          <w:rFonts w:hint="eastAsia" w:ascii="仿宋_GB2312" w:eastAsia="仿宋_GB2312"/>
          <w:sz w:val="32"/>
          <w:szCs w:val="32"/>
        </w:rPr>
        <w:t>财政资金总收入1021.27万元（本年财政拨款544.45万元，年初结转结余476.82万元）；支出1021.27万元。</w:t>
      </w:r>
    </w:p>
    <w:p>
      <w:pPr>
        <w:spacing w:after="0" w:line="560" w:lineRule="exact"/>
        <w:ind w:firstLine="640" w:firstLineChars="200"/>
        <w:jc w:val="both"/>
        <w:rPr>
          <w:rFonts w:ascii="黑体" w:eastAsia="黑体" w:cs="仿宋"/>
          <w:color w:val="000000"/>
          <w:kern w:val="2"/>
          <w:sz w:val="32"/>
          <w:szCs w:val="32"/>
        </w:rPr>
      </w:pPr>
      <w:r>
        <w:rPr>
          <w:rFonts w:hint="eastAsia" w:ascii="黑体" w:eastAsia="黑体" w:cs="仿宋"/>
          <w:color w:val="000000"/>
          <w:kern w:val="2"/>
          <w:sz w:val="32"/>
          <w:szCs w:val="32"/>
        </w:rPr>
        <w:t>三、</w:t>
      </w:r>
      <w:r>
        <w:rPr>
          <w:rFonts w:hint="eastAsia" w:ascii="黑体" w:eastAsia="黑体" w:cs="仿宋"/>
          <w:color w:val="000000"/>
          <w:kern w:val="2"/>
          <w:sz w:val="32"/>
          <w:szCs w:val="32"/>
          <w:lang w:eastAsia="zh-CN"/>
        </w:rPr>
        <w:t>部门</w:t>
      </w:r>
      <w:r>
        <w:rPr>
          <w:rFonts w:hint="eastAsia" w:ascii="黑体" w:eastAsia="黑体" w:cs="仿宋"/>
          <w:color w:val="000000"/>
          <w:kern w:val="2"/>
          <w:sz w:val="32"/>
          <w:szCs w:val="32"/>
        </w:rPr>
        <w:t>财政支出管理情况</w:t>
      </w:r>
    </w:p>
    <w:p>
      <w:pPr>
        <w:spacing w:after="0" w:line="560" w:lineRule="exact"/>
        <w:ind w:firstLine="482" w:firstLineChars="150"/>
        <w:jc w:val="both"/>
        <w:rPr>
          <w:rFonts w:ascii="楷体_GB2312" w:eastAsia="楷体_GB2312"/>
          <w:b/>
          <w:sz w:val="32"/>
          <w:szCs w:val="32"/>
        </w:rPr>
      </w:pPr>
      <w:r>
        <w:rPr>
          <w:rFonts w:hint="eastAsia" w:ascii="楷体_GB2312" w:eastAsia="楷体_GB2312"/>
          <w:b/>
          <w:sz w:val="32"/>
          <w:szCs w:val="32"/>
        </w:rPr>
        <w:t>（</w:t>
      </w:r>
      <w:r>
        <w:rPr>
          <w:rFonts w:hint="eastAsia" w:ascii="楷体_GB2312" w:eastAsia="楷体_GB2312"/>
          <w:b/>
          <w:color w:val="000000"/>
          <w:kern w:val="2"/>
          <w:sz w:val="32"/>
          <w:szCs w:val="32"/>
        </w:rPr>
        <w:t>一）预算编制情况</w:t>
      </w:r>
    </w:p>
    <w:p>
      <w:pPr>
        <w:spacing w:after="0" w:line="560" w:lineRule="exact"/>
        <w:ind w:firstLine="720"/>
        <w:jc w:val="both"/>
        <w:rPr>
          <w:rFonts w:ascii="仿宋_GB2312" w:eastAsia="仿宋_GB2312"/>
          <w:sz w:val="32"/>
          <w:szCs w:val="32"/>
        </w:rPr>
      </w:pPr>
      <w:r>
        <w:rPr>
          <w:rFonts w:hint="eastAsia" w:ascii="仿宋_GB2312" w:eastAsia="仿宋_GB2312"/>
          <w:sz w:val="32"/>
          <w:szCs w:val="32"/>
        </w:rPr>
        <w:t>阿坝州委网信办预算编制严格按照《预算法》来编制，编制较为及时、准确，确保预算编制的全面性和科学性。</w:t>
      </w:r>
    </w:p>
    <w:p>
      <w:pPr>
        <w:spacing w:after="0" w:line="560" w:lineRule="exact"/>
        <w:ind w:firstLine="482" w:firstLineChars="150"/>
        <w:jc w:val="both"/>
        <w:rPr>
          <w:rFonts w:ascii="楷体_GB2312" w:eastAsia="楷体_GB2312"/>
          <w:b/>
          <w:sz w:val="32"/>
          <w:szCs w:val="32"/>
        </w:rPr>
      </w:pPr>
      <w:r>
        <w:rPr>
          <w:rFonts w:hint="eastAsia" w:ascii="楷体_GB2312" w:eastAsia="楷体_GB2312"/>
          <w:b/>
          <w:color w:val="000000"/>
          <w:kern w:val="2"/>
          <w:sz w:val="32"/>
          <w:szCs w:val="32"/>
        </w:rPr>
        <w:t>（二）执行管理情况</w:t>
      </w:r>
      <w:r>
        <w:rPr>
          <w:rFonts w:hint="eastAsia" w:ascii="楷体_GB2312" w:eastAsia="楷体_GB2312"/>
          <w:b/>
          <w:color w:val="000000"/>
          <w:kern w:val="2"/>
          <w:sz w:val="32"/>
          <w:szCs w:val="32"/>
        </w:rPr>
        <w:tab/>
      </w:r>
    </w:p>
    <w:p>
      <w:pPr>
        <w:spacing w:after="0" w:line="560" w:lineRule="exact"/>
        <w:ind w:firstLine="720"/>
        <w:jc w:val="both"/>
        <w:rPr>
          <w:rFonts w:ascii="仿宋_GB2312" w:eastAsia="仿宋_GB2312"/>
          <w:sz w:val="32"/>
          <w:szCs w:val="32"/>
        </w:rPr>
      </w:pPr>
      <w:r>
        <w:rPr>
          <w:rFonts w:hint="eastAsia" w:ascii="仿宋_GB2312" w:eastAsia="仿宋_GB2312"/>
          <w:sz w:val="32"/>
          <w:szCs w:val="32"/>
        </w:rPr>
        <w:t>严格按照要求，切实加强</w:t>
      </w:r>
      <w:r>
        <w:rPr>
          <w:rFonts w:hint="eastAsia" w:ascii="仿宋_GB2312" w:eastAsia="仿宋_GB2312"/>
          <w:sz w:val="32"/>
          <w:szCs w:val="32"/>
          <w:lang w:eastAsia="zh-CN"/>
        </w:rPr>
        <w:t>部门</w:t>
      </w:r>
      <w:r>
        <w:rPr>
          <w:rFonts w:hint="eastAsia" w:ascii="仿宋_GB2312" w:eastAsia="仿宋_GB2312"/>
          <w:sz w:val="32"/>
          <w:szCs w:val="32"/>
        </w:rPr>
        <w:t>预算支出执行管理工作，努力提高财政资金使用绩效。“三公”经费使用严格按照预算进行使用，认真贯彻落实中央和省委省政府相关规定，厉行节约，严格控制三公经费，2021年“三公”经费财政拨款预算数15.87万元，其中：公务车辆购置、车运行维护费15.35万元；公务接待费0.</w:t>
      </w:r>
      <w:r>
        <w:rPr>
          <w:rFonts w:hint="eastAsia" w:ascii="仿宋_GB2312" w:eastAsia="仿宋_GB2312"/>
          <w:sz w:val="32"/>
          <w:szCs w:val="32"/>
          <w:lang w:val="en-US" w:eastAsia="zh-CN"/>
        </w:rPr>
        <w:t>52</w:t>
      </w:r>
      <w:r>
        <w:rPr>
          <w:rFonts w:hint="eastAsia" w:ascii="仿宋_GB2312" w:eastAsia="仿宋_GB2312"/>
          <w:sz w:val="32"/>
          <w:szCs w:val="32"/>
        </w:rPr>
        <w:t>万元。</w:t>
      </w:r>
    </w:p>
    <w:p>
      <w:pPr>
        <w:spacing w:after="0" w:line="560" w:lineRule="exact"/>
        <w:ind w:firstLine="482" w:firstLineChars="150"/>
        <w:jc w:val="both"/>
        <w:rPr>
          <w:rFonts w:ascii="楷体_GB2312" w:eastAsia="楷体_GB2312"/>
          <w:b/>
          <w:color w:val="000000"/>
          <w:kern w:val="2"/>
          <w:sz w:val="32"/>
          <w:szCs w:val="32"/>
        </w:rPr>
      </w:pPr>
      <w:r>
        <w:rPr>
          <w:rFonts w:hint="eastAsia" w:ascii="楷体_GB2312" w:eastAsia="楷体_GB2312"/>
          <w:b/>
          <w:color w:val="000000"/>
          <w:kern w:val="2"/>
          <w:sz w:val="32"/>
          <w:szCs w:val="32"/>
        </w:rPr>
        <w:t>（三）综合管理情况</w:t>
      </w:r>
    </w:p>
    <w:p>
      <w:pPr>
        <w:spacing w:after="0" w:line="560" w:lineRule="exact"/>
        <w:ind w:firstLine="720"/>
        <w:jc w:val="both"/>
        <w:rPr>
          <w:rFonts w:ascii="仿宋_GB2312" w:eastAsia="仿宋_GB2312"/>
          <w:sz w:val="32"/>
          <w:szCs w:val="32"/>
        </w:rPr>
      </w:pPr>
      <w:r>
        <w:rPr>
          <w:rFonts w:hint="eastAsia" w:ascii="仿宋_GB2312" w:eastAsia="仿宋_GB2312"/>
          <w:sz w:val="32"/>
          <w:szCs w:val="32"/>
        </w:rPr>
        <w:t>财政资金均实行财政统一管理，资金的拨入和支出会计核算及时、合规合法、审批流程齐全、附件资料完整，我办根据实际情况制定了适用于我办内部的内控制度，日常支出严格按照内控制度执行。</w:t>
      </w:r>
    </w:p>
    <w:p>
      <w:pPr>
        <w:spacing w:after="0" w:line="560" w:lineRule="exact"/>
        <w:ind w:firstLine="321" w:firstLineChars="100"/>
        <w:jc w:val="both"/>
        <w:rPr>
          <w:rFonts w:ascii="楷体_GB2312" w:eastAsia="楷体_GB2312"/>
          <w:b/>
          <w:sz w:val="32"/>
          <w:szCs w:val="32"/>
        </w:rPr>
      </w:pPr>
      <w:r>
        <w:rPr>
          <w:rFonts w:hint="eastAsia" w:ascii="楷体_GB2312" w:eastAsia="楷体_GB2312"/>
          <w:b/>
          <w:color w:val="000000"/>
          <w:kern w:val="2"/>
          <w:sz w:val="32"/>
          <w:szCs w:val="32"/>
        </w:rPr>
        <w:t>（四）整体绩效</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2021年基本支出299.16万元，主要用于保障机构正常运转、完成日常工作任务而发生的支出，包括人员经费和公用经费，开展日常工作。</w:t>
      </w:r>
    </w:p>
    <w:p>
      <w:pPr>
        <w:tabs>
          <w:tab w:val="left" w:pos="7020"/>
          <w:tab w:val="left" w:pos="7740"/>
        </w:tabs>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2021年项目支出722.11万元，主要保障网信工作的相关支出。</w:t>
      </w:r>
    </w:p>
    <w:p>
      <w:pPr>
        <w:spacing w:after="0" w:line="560" w:lineRule="exact"/>
        <w:ind w:firstLine="640" w:firstLineChars="200"/>
        <w:jc w:val="both"/>
        <w:rPr>
          <w:rFonts w:ascii="黑体" w:eastAsia="黑体" w:cs="仿宋"/>
          <w:color w:val="000000"/>
          <w:kern w:val="2"/>
          <w:sz w:val="32"/>
          <w:szCs w:val="32"/>
        </w:rPr>
      </w:pPr>
      <w:r>
        <w:rPr>
          <w:rFonts w:hint="eastAsia" w:ascii="黑体" w:eastAsia="黑体" w:cs="仿宋"/>
          <w:color w:val="000000"/>
          <w:kern w:val="2"/>
          <w:sz w:val="32"/>
          <w:szCs w:val="32"/>
        </w:rPr>
        <w:t>四、评价结论及建议</w:t>
      </w:r>
    </w:p>
    <w:p>
      <w:pPr>
        <w:spacing w:after="0" w:line="560" w:lineRule="exact"/>
        <w:ind w:firstLine="482" w:firstLineChars="150"/>
        <w:jc w:val="both"/>
        <w:rPr>
          <w:rFonts w:ascii="楷体_GB2312" w:eastAsia="楷体_GB2312"/>
          <w:b/>
          <w:color w:val="000000"/>
          <w:kern w:val="2"/>
          <w:sz w:val="32"/>
          <w:szCs w:val="32"/>
        </w:rPr>
      </w:pPr>
      <w:r>
        <w:rPr>
          <w:rFonts w:hint="eastAsia" w:ascii="楷体_GB2312" w:eastAsia="楷体_GB2312"/>
          <w:b/>
          <w:color w:val="000000"/>
          <w:kern w:val="2"/>
          <w:sz w:val="32"/>
          <w:szCs w:val="32"/>
        </w:rPr>
        <w:t>（一）评价结论</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从自评情况来看，我办支出绩效水平较高，整体上完成了年初设定的绩效目标，保障了我机关工作的正常运转</w:t>
      </w:r>
      <w:r>
        <w:rPr>
          <w:rFonts w:ascii="仿宋_GB2312" w:eastAsia="仿宋_GB2312"/>
          <w:sz w:val="32"/>
          <w:szCs w:val="32"/>
        </w:rPr>
        <w:t>，</w:t>
      </w:r>
      <w:r>
        <w:rPr>
          <w:rFonts w:hint="eastAsia" w:ascii="仿宋_GB2312" w:eastAsia="仿宋_GB2312" w:cs="宋体"/>
          <w:sz w:val="32"/>
          <w:szCs w:val="32"/>
        </w:rPr>
        <w:t>圆满的完成了2021年各项工作任务。</w:t>
      </w:r>
    </w:p>
    <w:p>
      <w:pPr>
        <w:spacing w:after="0" w:line="560" w:lineRule="exact"/>
        <w:ind w:firstLine="482" w:firstLineChars="150"/>
        <w:jc w:val="both"/>
        <w:rPr>
          <w:rFonts w:ascii="楷体_GB2312" w:eastAsia="楷体_GB2312"/>
          <w:b/>
          <w:color w:val="000000"/>
          <w:kern w:val="2"/>
          <w:sz w:val="32"/>
          <w:szCs w:val="32"/>
        </w:rPr>
      </w:pPr>
      <w:r>
        <w:rPr>
          <w:rFonts w:hint="eastAsia" w:ascii="楷体_GB2312" w:eastAsia="楷体_GB2312"/>
          <w:b/>
          <w:color w:val="000000"/>
          <w:kern w:val="2"/>
          <w:sz w:val="32"/>
          <w:szCs w:val="32"/>
        </w:rPr>
        <w:t>（二） 存在问题</w:t>
      </w:r>
    </w:p>
    <w:p>
      <w:pPr>
        <w:spacing w:after="0" w:line="560" w:lineRule="exact"/>
        <w:ind w:firstLine="640"/>
        <w:jc w:val="both"/>
        <w:rPr>
          <w:rFonts w:ascii="仿宋_GB2312" w:eastAsia="仿宋_GB2312"/>
          <w:sz w:val="32"/>
          <w:szCs w:val="32"/>
        </w:rPr>
      </w:pPr>
      <w:r>
        <w:rPr>
          <w:rFonts w:hint="eastAsia" w:ascii="仿宋_GB2312" w:eastAsia="仿宋_GB2312"/>
          <w:sz w:val="32"/>
          <w:szCs w:val="32"/>
        </w:rPr>
        <w:t>从绩效评价看，</w:t>
      </w:r>
      <w:r>
        <w:rPr>
          <w:rFonts w:hint="eastAsia" w:ascii="仿宋_GB2312" w:eastAsia="仿宋_GB2312"/>
          <w:sz w:val="32"/>
          <w:szCs w:val="32"/>
          <w:lang w:eastAsia="zh-CN"/>
        </w:rPr>
        <w:t>部门</w:t>
      </w:r>
      <w:r>
        <w:rPr>
          <w:rFonts w:hint="eastAsia" w:ascii="仿宋_GB2312" w:eastAsia="仿宋_GB2312"/>
          <w:sz w:val="32"/>
          <w:szCs w:val="32"/>
        </w:rPr>
        <w:t>支出预算和绩效评价工作还存在部分无法用量化指标来进行考评的问题</w:t>
      </w:r>
      <w:r>
        <w:rPr>
          <w:rFonts w:ascii="仿宋_GB2312" w:eastAsia="仿宋_GB2312"/>
          <w:sz w:val="32"/>
          <w:szCs w:val="32"/>
        </w:rPr>
        <w:t>；绩效评价在目标设定上存在过于简单，不能实现多元化目标等问题。</w:t>
      </w:r>
    </w:p>
    <w:p>
      <w:pPr>
        <w:spacing w:after="0" w:line="560" w:lineRule="exact"/>
        <w:ind w:firstLine="482" w:firstLineChars="150"/>
        <w:jc w:val="both"/>
        <w:rPr>
          <w:rFonts w:ascii="楷体_GB2312" w:eastAsia="楷体_GB2312"/>
          <w:b/>
          <w:color w:val="000000"/>
          <w:kern w:val="2"/>
          <w:sz w:val="32"/>
          <w:szCs w:val="32"/>
        </w:rPr>
      </w:pPr>
      <w:r>
        <w:rPr>
          <w:rFonts w:hint="eastAsia" w:ascii="楷体_GB2312" w:eastAsia="楷体_GB2312"/>
          <w:b/>
          <w:color w:val="000000"/>
          <w:kern w:val="2"/>
          <w:sz w:val="32"/>
          <w:szCs w:val="32"/>
        </w:rPr>
        <w:t>（三）改进建议</w:t>
      </w:r>
    </w:p>
    <w:p>
      <w:pPr>
        <w:spacing w:after="0" w:line="560" w:lineRule="exact"/>
        <w:ind w:firstLine="800" w:firstLineChars="250"/>
        <w:jc w:val="both"/>
        <w:rPr>
          <w:rFonts w:ascii="仿宋_GB2312" w:eastAsia="仿宋_GB2312"/>
          <w:sz w:val="32"/>
          <w:szCs w:val="32"/>
        </w:rPr>
      </w:pPr>
      <w:r>
        <w:rPr>
          <w:rFonts w:hint="eastAsia" w:ascii="仿宋_GB2312" w:eastAsia="仿宋_GB2312"/>
          <w:sz w:val="32"/>
          <w:szCs w:val="32"/>
        </w:rPr>
        <w:t>建议加强对绩效评价工作的培训和指导，</w:t>
      </w:r>
      <w:r>
        <w:rPr>
          <w:rFonts w:ascii="仿宋_GB2312" w:eastAsia="仿宋_GB2312"/>
          <w:sz w:val="32"/>
          <w:szCs w:val="32"/>
        </w:rPr>
        <w:t>构建合理的绩效评价体系，建立健全项目支出的各项制度，</w:t>
      </w:r>
      <w:r>
        <w:rPr>
          <w:rFonts w:hint="eastAsia" w:ascii="仿宋_GB2312" w:eastAsia="仿宋_GB2312"/>
          <w:sz w:val="32"/>
          <w:szCs w:val="32"/>
        </w:rPr>
        <w:t>进一步优化绩效考核指标体系。</w:t>
      </w:r>
    </w:p>
    <w:p>
      <w:pPr>
        <w:spacing w:after="0" w:line="560" w:lineRule="exact"/>
        <w:ind w:firstLine="550" w:firstLineChars="250"/>
        <w:rPr>
          <w:rFonts w:ascii="仿宋_GB2312" w:hAnsi="仿宋_GB231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jc w:val="both"/>
        <w:outlineLvl w:val="0"/>
        <w:rPr>
          <w:rFonts w:hint="eastAsia" w:ascii="方正小标宋简体" w:eastAsia="方正小标宋简体"/>
          <w:color w:val="000000"/>
          <w:sz w:val="44"/>
          <w:szCs w:val="44"/>
        </w:rPr>
      </w:pPr>
      <w:bookmarkStart w:id="16" w:name="_Toc15396618"/>
    </w:p>
    <w:p>
      <w:pPr>
        <w:spacing w:after="0" w:line="560" w:lineRule="exact"/>
        <w:jc w:val="both"/>
        <w:outlineLvl w:val="0"/>
        <w:rPr>
          <w:rFonts w:hint="eastAsia" w:ascii="方正小标宋简体" w:eastAsia="方正小标宋简体"/>
          <w:color w:val="000000"/>
          <w:sz w:val="44"/>
          <w:szCs w:val="44"/>
        </w:rPr>
      </w:pPr>
    </w:p>
    <w:p>
      <w:pPr>
        <w:spacing w:after="0" w:line="560" w:lineRule="exact"/>
        <w:jc w:val="center"/>
        <w:outlineLvl w:val="0"/>
        <w:rPr>
          <w:rStyle w:val="29"/>
          <w:rFonts w:ascii="方正小标宋简体" w:eastAsia="方正小标宋简体"/>
          <w:b w:val="0"/>
          <w:bCs w:val="0"/>
        </w:rPr>
      </w:pPr>
      <w:r>
        <w:rPr>
          <w:rFonts w:hint="eastAsia" w:ascii="方正小标宋简体" w:eastAsia="方正小标宋简体"/>
          <w:color w:val="000000"/>
          <w:sz w:val="44"/>
          <w:szCs w:val="44"/>
        </w:rPr>
        <w:t>第</w:t>
      </w:r>
      <w:r>
        <w:rPr>
          <w:rStyle w:val="29"/>
          <w:rFonts w:hint="eastAsia" w:ascii="方正小标宋简体" w:eastAsia="方正小标宋简体"/>
          <w:b w:val="0"/>
          <w:bCs w:val="0"/>
        </w:rPr>
        <w:t>五部分 附表</w:t>
      </w:r>
      <w:bookmarkEnd w:id="15"/>
      <w:bookmarkEnd w:id="16"/>
    </w:p>
    <w:p>
      <w:pPr>
        <w:spacing w:after="0" w:line="560" w:lineRule="exact"/>
        <w:jc w:val="both"/>
        <w:outlineLvl w:val="0"/>
        <w:rPr>
          <w:rFonts w:ascii="仿宋" w:eastAsia="仿宋"/>
          <w:b/>
          <w:color w:val="000000"/>
          <w:sz w:val="44"/>
          <w:szCs w:val="44"/>
        </w:rPr>
      </w:pPr>
    </w:p>
    <w:p>
      <w:pPr>
        <w:pStyle w:val="4"/>
        <w:spacing w:before="0" w:after="0" w:line="560" w:lineRule="exact"/>
        <w:rPr>
          <w:rFonts w:ascii="仿宋_GB2312" w:eastAsia="仿宋_GB2312"/>
          <w:b w:val="0"/>
          <w:bCs w:val="0"/>
          <w:color w:val="000000"/>
        </w:rPr>
      </w:pPr>
      <w:bookmarkStart w:id="17" w:name="_Toc15396619"/>
      <w:r>
        <w:rPr>
          <w:rFonts w:hint="eastAsia" w:ascii="仿宋_GB2312" w:eastAsia="仿宋_GB2312"/>
          <w:b w:val="0"/>
          <w:bCs w:val="0"/>
          <w:color w:val="000000"/>
        </w:rPr>
        <w:t>一、收</w:t>
      </w:r>
      <w:r>
        <w:rPr>
          <w:rStyle w:val="30"/>
          <w:rFonts w:hint="eastAsia" w:ascii="仿宋_GB2312" w:eastAsia="仿宋_GB2312"/>
          <w:b w:val="0"/>
          <w:bCs w:val="0"/>
        </w:rPr>
        <w:t>入支出决算总表</w:t>
      </w:r>
      <w:bookmarkEnd w:id="17"/>
    </w:p>
    <w:p>
      <w:pPr>
        <w:pStyle w:val="4"/>
        <w:spacing w:before="0" w:after="0" w:line="560" w:lineRule="exact"/>
        <w:rPr>
          <w:rFonts w:ascii="仿宋_GB2312" w:eastAsia="仿宋_GB2312"/>
          <w:b w:val="0"/>
          <w:bCs w:val="0"/>
          <w:color w:val="000000"/>
        </w:rPr>
      </w:pPr>
      <w:bookmarkStart w:id="18" w:name="_Toc15396620"/>
      <w:r>
        <w:rPr>
          <w:rFonts w:hint="eastAsia" w:ascii="仿宋_GB2312" w:eastAsia="仿宋_GB2312"/>
          <w:b w:val="0"/>
          <w:bCs w:val="0"/>
          <w:color w:val="000000"/>
        </w:rPr>
        <w:t>二、收</w:t>
      </w:r>
      <w:r>
        <w:rPr>
          <w:rStyle w:val="30"/>
          <w:rFonts w:hint="eastAsia" w:ascii="仿宋_GB2312" w:eastAsia="仿宋_GB2312"/>
          <w:b w:val="0"/>
          <w:bCs w:val="0"/>
        </w:rPr>
        <w:t>入决算表</w:t>
      </w:r>
      <w:bookmarkEnd w:id="18"/>
    </w:p>
    <w:p>
      <w:pPr>
        <w:pStyle w:val="4"/>
        <w:spacing w:before="0" w:after="0" w:line="560" w:lineRule="exact"/>
        <w:rPr>
          <w:rFonts w:ascii="仿宋_GB2312" w:eastAsia="仿宋_GB2312"/>
          <w:b w:val="0"/>
          <w:bCs w:val="0"/>
          <w:color w:val="000000"/>
        </w:rPr>
      </w:pPr>
      <w:bookmarkStart w:id="19" w:name="_Toc15396621"/>
      <w:r>
        <w:rPr>
          <w:rStyle w:val="30"/>
          <w:rFonts w:hint="eastAsia" w:ascii="仿宋_GB2312" w:eastAsia="仿宋_GB2312"/>
          <w:b w:val="0"/>
          <w:bCs w:val="0"/>
        </w:rPr>
        <w:t>三、</w:t>
      </w:r>
      <w:r>
        <w:rPr>
          <w:rFonts w:hint="eastAsia" w:ascii="仿宋_GB2312" w:eastAsia="仿宋_GB2312"/>
          <w:b w:val="0"/>
          <w:bCs w:val="0"/>
          <w:color w:val="000000"/>
        </w:rPr>
        <w:t>支</w:t>
      </w:r>
      <w:r>
        <w:rPr>
          <w:rStyle w:val="30"/>
          <w:rFonts w:hint="eastAsia" w:ascii="仿宋_GB2312" w:eastAsia="仿宋_GB2312"/>
          <w:b w:val="0"/>
          <w:bCs w:val="0"/>
        </w:rPr>
        <w:t>出决算表</w:t>
      </w:r>
      <w:bookmarkEnd w:id="19"/>
    </w:p>
    <w:p>
      <w:pPr>
        <w:pStyle w:val="4"/>
        <w:spacing w:before="0" w:after="0" w:line="560" w:lineRule="exact"/>
        <w:rPr>
          <w:rFonts w:ascii="仿宋_GB2312" w:eastAsia="仿宋_GB2312"/>
          <w:b w:val="0"/>
          <w:bCs w:val="0"/>
          <w:color w:val="000000"/>
        </w:rPr>
      </w:pPr>
      <w:bookmarkStart w:id="20" w:name="_Toc15396622"/>
      <w:r>
        <w:rPr>
          <w:rStyle w:val="30"/>
          <w:rFonts w:hint="eastAsia" w:ascii="仿宋_GB2312" w:eastAsia="仿宋_GB2312"/>
          <w:b w:val="0"/>
          <w:bCs w:val="0"/>
        </w:rPr>
        <w:t>四、</w:t>
      </w:r>
      <w:r>
        <w:rPr>
          <w:rFonts w:hint="eastAsia" w:ascii="仿宋_GB2312" w:eastAsia="仿宋_GB2312"/>
          <w:b w:val="0"/>
          <w:bCs w:val="0"/>
          <w:color w:val="000000"/>
        </w:rPr>
        <w:t>财</w:t>
      </w:r>
      <w:r>
        <w:rPr>
          <w:rStyle w:val="30"/>
          <w:rFonts w:hint="eastAsia" w:ascii="仿宋_GB2312" w:eastAsia="仿宋_GB2312"/>
          <w:b w:val="0"/>
          <w:bCs w:val="0"/>
        </w:rPr>
        <w:t>政拨款收入支出决算总表</w:t>
      </w:r>
      <w:bookmarkEnd w:id="20"/>
    </w:p>
    <w:p>
      <w:pPr>
        <w:pStyle w:val="4"/>
        <w:spacing w:before="0" w:after="0" w:line="560" w:lineRule="exact"/>
        <w:rPr>
          <w:rStyle w:val="30"/>
          <w:rFonts w:ascii="仿宋_GB2312" w:eastAsia="仿宋_GB2312"/>
          <w:b w:val="0"/>
          <w:bCs w:val="0"/>
        </w:rPr>
      </w:pPr>
      <w:bookmarkStart w:id="21" w:name="_Toc15396623"/>
      <w:r>
        <w:rPr>
          <w:rStyle w:val="30"/>
          <w:rFonts w:hint="eastAsia" w:ascii="仿宋_GB2312" w:eastAsia="仿宋_GB2312"/>
          <w:b w:val="0"/>
          <w:bCs w:val="0"/>
        </w:rPr>
        <w:t>五、</w:t>
      </w:r>
      <w:r>
        <w:rPr>
          <w:rFonts w:hint="eastAsia" w:ascii="仿宋_GB2312" w:eastAsia="仿宋_GB2312"/>
          <w:b w:val="0"/>
          <w:bCs w:val="0"/>
          <w:color w:val="000000"/>
        </w:rPr>
        <w:t>财</w:t>
      </w:r>
      <w:r>
        <w:rPr>
          <w:rStyle w:val="30"/>
          <w:rFonts w:hint="eastAsia" w:ascii="仿宋_GB2312" w:eastAsia="仿宋_GB2312"/>
          <w:b w:val="0"/>
          <w:bCs w:val="0"/>
        </w:rPr>
        <w:t>政拨款支出决算明细表</w:t>
      </w:r>
      <w:bookmarkEnd w:id="21"/>
      <w:bookmarkStart w:id="22" w:name="_Toc15396624"/>
    </w:p>
    <w:p>
      <w:pPr>
        <w:pStyle w:val="4"/>
        <w:spacing w:before="0" w:after="0" w:line="560" w:lineRule="exact"/>
        <w:rPr>
          <w:rFonts w:ascii="仿宋_GB2312" w:eastAsia="仿宋_GB2312"/>
          <w:b w:val="0"/>
          <w:bCs w:val="0"/>
          <w:color w:val="000000"/>
        </w:rPr>
      </w:pPr>
      <w:r>
        <w:rPr>
          <w:rStyle w:val="30"/>
          <w:rFonts w:hint="eastAsia" w:ascii="仿宋_GB2312" w:eastAsia="仿宋_GB2312"/>
          <w:b w:val="0"/>
          <w:bCs w:val="0"/>
        </w:rPr>
        <w:t>六、</w:t>
      </w:r>
      <w:r>
        <w:rPr>
          <w:rFonts w:hint="eastAsia" w:ascii="仿宋_GB2312" w:eastAsia="仿宋_GB2312"/>
          <w:b w:val="0"/>
          <w:bCs w:val="0"/>
          <w:color w:val="000000"/>
        </w:rPr>
        <w:t>一</w:t>
      </w:r>
      <w:r>
        <w:rPr>
          <w:rStyle w:val="30"/>
          <w:rFonts w:hint="eastAsia" w:ascii="仿宋_GB2312" w:eastAsia="仿宋_GB2312"/>
          <w:b w:val="0"/>
          <w:bCs w:val="0"/>
        </w:rPr>
        <w:t>般公共预算财政拨款支出决算表</w:t>
      </w:r>
      <w:bookmarkEnd w:id="22"/>
    </w:p>
    <w:p>
      <w:pPr>
        <w:pStyle w:val="4"/>
        <w:spacing w:before="0" w:after="0" w:line="560" w:lineRule="exact"/>
        <w:rPr>
          <w:rFonts w:ascii="仿宋_GB2312" w:eastAsia="仿宋_GB2312"/>
          <w:b w:val="0"/>
          <w:bCs w:val="0"/>
          <w:color w:val="000000"/>
        </w:rPr>
      </w:pPr>
      <w:bookmarkStart w:id="23" w:name="_Toc15396625"/>
      <w:r>
        <w:rPr>
          <w:rStyle w:val="30"/>
          <w:rFonts w:hint="eastAsia" w:ascii="仿宋_GB2312" w:eastAsia="仿宋_GB2312"/>
          <w:b w:val="0"/>
          <w:bCs w:val="0"/>
        </w:rPr>
        <w:t>七、</w:t>
      </w:r>
      <w:r>
        <w:rPr>
          <w:rFonts w:hint="eastAsia" w:ascii="仿宋_GB2312" w:eastAsia="仿宋_GB2312"/>
          <w:b w:val="0"/>
          <w:bCs w:val="0"/>
          <w:color w:val="000000"/>
        </w:rPr>
        <w:t>一</w:t>
      </w:r>
      <w:r>
        <w:rPr>
          <w:rStyle w:val="30"/>
          <w:rFonts w:hint="eastAsia" w:ascii="仿宋_GB2312" w:eastAsia="仿宋_GB2312"/>
          <w:b w:val="0"/>
          <w:bCs w:val="0"/>
        </w:rPr>
        <w:t>般公共预算财政拨款支出决算明细表</w:t>
      </w:r>
      <w:bookmarkEnd w:id="23"/>
    </w:p>
    <w:p>
      <w:pPr>
        <w:pStyle w:val="4"/>
        <w:spacing w:before="0" w:after="0" w:line="560" w:lineRule="exact"/>
        <w:rPr>
          <w:rFonts w:ascii="仿宋_GB2312" w:eastAsia="仿宋_GB2312"/>
          <w:b w:val="0"/>
          <w:bCs w:val="0"/>
          <w:color w:val="000000"/>
        </w:rPr>
      </w:pPr>
      <w:bookmarkStart w:id="24" w:name="_Toc15396626"/>
      <w:r>
        <w:rPr>
          <w:rStyle w:val="30"/>
          <w:rFonts w:hint="eastAsia" w:ascii="仿宋_GB2312" w:eastAsia="仿宋_GB2312"/>
          <w:b w:val="0"/>
          <w:bCs w:val="0"/>
        </w:rPr>
        <w:t>八、</w:t>
      </w:r>
      <w:r>
        <w:rPr>
          <w:rFonts w:hint="eastAsia" w:ascii="仿宋_GB2312" w:eastAsia="仿宋_GB2312"/>
          <w:b w:val="0"/>
          <w:bCs w:val="0"/>
          <w:color w:val="000000"/>
        </w:rPr>
        <w:t>一</w:t>
      </w:r>
      <w:r>
        <w:rPr>
          <w:rStyle w:val="30"/>
          <w:rFonts w:hint="eastAsia" w:ascii="仿宋_GB2312" w:eastAsia="仿宋_GB2312"/>
          <w:b w:val="0"/>
          <w:bCs w:val="0"/>
        </w:rPr>
        <w:t>般公共预算财政拨款基本支出决算表</w:t>
      </w:r>
      <w:bookmarkEnd w:id="24"/>
    </w:p>
    <w:p>
      <w:pPr>
        <w:pStyle w:val="4"/>
        <w:spacing w:before="0" w:after="0" w:line="560" w:lineRule="exact"/>
        <w:rPr>
          <w:rFonts w:ascii="仿宋_GB2312" w:eastAsia="仿宋_GB2312"/>
          <w:b w:val="0"/>
          <w:bCs w:val="0"/>
          <w:color w:val="000000"/>
        </w:rPr>
      </w:pPr>
      <w:bookmarkStart w:id="25" w:name="_Toc15396627"/>
      <w:r>
        <w:rPr>
          <w:rStyle w:val="30"/>
          <w:rFonts w:hint="eastAsia" w:ascii="仿宋_GB2312" w:eastAsia="仿宋_GB2312"/>
          <w:b w:val="0"/>
          <w:bCs w:val="0"/>
        </w:rPr>
        <w:t>九、</w:t>
      </w:r>
      <w:r>
        <w:rPr>
          <w:rFonts w:hint="eastAsia" w:ascii="仿宋_GB2312" w:eastAsia="仿宋_GB2312"/>
          <w:b w:val="0"/>
          <w:bCs w:val="0"/>
          <w:color w:val="000000"/>
        </w:rPr>
        <w:t>一</w:t>
      </w:r>
      <w:r>
        <w:rPr>
          <w:rStyle w:val="30"/>
          <w:rFonts w:hint="eastAsia" w:ascii="仿宋_GB2312" w:eastAsia="仿宋_GB2312"/>
          <w:b w:val="0"/>
          <w:bCs w:val="0"/>
        </w:rPr>
        <w:t>般公共预算财政拨款项目支出决算表</w:t>
      </w:r>
      <w:bookmarkEnd w:id="25"/>
    </w:p>
    <w:p>
      <w:pPr>
        <w:pStyle w:val="4"/>
        <w:spacing w:before="0" w:after="0" w:line="560" w:lineRule="exact"/>
        <w:rPr>
          <w:rFonts w:ascii="仿宋_GB2312" w:eastAsia="仿宋_GB2312"/>
          <w:b w:val="0"/>
          <w:bCs w:val="0"/>
          <w:color w:val="000000"/>
        </w:rPr>
      </w:pPr>
      <w:bookmarkStart w:id="26" w:name="_Toc15396628"/>
      <w:r>
        <w:rPr>
          <w:rStyle w:val="30"/>
          <w:rFonts w:hint="eastAsia" w:ascii="仿宋_GB2312" w:eastAsia="仿宋_GB2312"/>
          <w:b w:val="0"/>
          <w:bCs w:val="0"/>
        </w:rPr>
        <w:t>十、</w:t>
      </w:r>
      <w:r>
        <w:rPr>
          <w:rFonts w:hint="eastAsia" w:ascii="仿宋_GB2312" w:eastAsia="仿宋_GB2312"/>
          <w:b w:val="0"/>
          <w:bCs w:val="0"/>
          <w:color w:val="000000"/>
        </w:rPr>
        <w:t>一</w:t>
      </w:r>
      <w:r>
        <w:rPr>
          <w:rStyle w:val="30"/>
          <w:rFonts w:hint="eastAsia" w:ascii="仿宋_GB2312" w:eastAsia="仿宋_GB2312"/>
          <w:b w:val="0"/>
          <w:bCs w:val="0"/>
        </w:rPr>
        <w:t>般公共预算财政拨款“三公”经费支出决算表</w:t>
      </w:r>
      <w:bookmarkEnd w:id="26"/>
    </w:p>
    <w:p>
      <w:pPr>
        <w:pStyle w:val="4"/>
        <w:spacing w:before="0" w:after="0" w:line="560" w:lineRule="exact"/>
        <w:rPr>
          <w:rFonts w:ascii="仿宋_GB2312" w:eastAsia="仿宋_GB2312"/>
          <w:b w:val="0"/>
          <w:bCs w:val="0"/>
          <w:color w:val="000000"/>
        </w:rPr>
      </w:pPr>
      <w:bookmarkStart w:id="27" w:name="_Toc15396629"/>
      <w:r>
        <w:rPr>
          <w:rStyle w:val="30"/>
          <w:rFonts w:hint="eastAsia" w:ascii="仿宋_GB2312" w:eastAsia="仿宋_GB2312"/>
          <w:b w:val="0"/>
          <w:bCs w:val="0"/>
        </w:rPr>
        <w:t>十一、</w:t>
      </w:r>
      <w:r>
        <w:rPr>
          <w:rFonts w:hint="eastAsia" w:ascii="仿宋_GB2312" w:eastAsia="仿宋_GB2312"/>
          <w:b w:val="0"/>
          <w:bCs w:val="0"/>
          <w:color w:val="000000"/>
        </w:rPr>
        <w:t>政</w:t>
      </w:r>
      <w:r>
        <w:rPr>
          <w:rStyle w:val="30"/>
          <w:rFonts w:hint="eastAsia" w:ascii="仿宋_GB2312" w:eastAsia="仿宋_GB2312"/>
          <w:b w:val="0"/>
          <w:bCs w:val="0"/>
        </w:rPr>
        <w:t>府性基金预算财政拨款收入支出决算表</w:t>
      </w:r>
      <w:bookmarkEnd w:id="27"/>
    </w:p>
    <w:p>
      <w:pPr>
        <w:pStyle w:val="4"/>
        <w:spacing w:before="0" w:after="0" w:line="560" w:lineRule="exact"/>
        <w:rPr>
          <w:rFonts w:ascii="仿宋_GB2312" w:eastAsia="仿宋_GB2312"/>
          <w:b w:val="0"/>
          <w:bCs w:val="0"/>
          <w:color w:val="000000"/>
        </w:rPr>
      </w:pPr>
      <w:bookmarkStart w:id="28" w:name="_Toc15396630"/>
      <w:r>
        <w:rPr>
          <w:rStyle w:val="30"/>
          <w:rFonts w:hint="eastAsia" w:ascii="仿宋_GB2312" w:eastAsia="仿宋_GB2312"/>
          <w:b w:val="0"/>
          <w:bCs w:val="0"/>
        </w:rPr>
        <w:t>十二、</w:t>
      </w:r>
      <w:r>
        <w:rPr>
          <w:rFonts w:hint="eastAsia" w:ascii="仿宋_GB2312" w:eastAsia="仿宋_GB2312"/>
          <w:b w:val="0"/>
          <w:bCs w:val="0"/>
          <w:color w:val="000000"/>
        </w:rPr>
        <w:t>政</w:t>
      </w:r>
      <w:r>
        <w:rPr>
          <w:rStyle w:val="30"/>
          <w:rFonts w:hint="eastAsia" w:ascii="仿宋_GB2312" w:eastAsia="仿宋_GB2312"/>
          <w:b w:val="0"/>
          <w:bCs w:val="0"/>
        </w:rPr>
        <w:t>府性基金预算财政拨款“三公”经费支出决算表</w:t>
      </w:r>
      <w:bookmarkEnd w:id="28"/>
    </w:p>
    <w:p>
      <w:pPr>
        <w:pStyle w:val="4"/>
        <w:spacing w:before="0" w:after="0" w:line="560" w:lineRule="exact"/>
        <w:rPr>
          <w:rFonts w:ascii="仿宋_GB2312" w:eastAsia="仿宋_GB2312"/>
          <w:b w:val="0"/>
          <w:bCs w:val="0"/>
          <w:color w:val="000000"/>
        </w:rPr>
      </w:pPr>
      <w:bookmarkStart w:id="29" w:name="_Toc15396631"/>
      <w:r>
        <w:rPr>
          <w:rStyle w:val="30"/>
          <w:rFonts w:hint="eastAsia" w:ascii="仿宋_GB2312" w:eastAsia="仿宋_GB2312"/>
          <w:b w:val="0"/>
          <w:bCs w:val="0"/>
        </w:rPr>
        <w:t>十三、</w:t>
      </w:r>
      <w:r>
        <w:rPr>
          <w:rFonts w:hint="eastAsia" w:ascii="仿宋_GB2312" w:eastAsia="仿宋_GB2312"/>
          <w:b w:val="0"/>
          <w:bCs w:val="0"/>
          <w:color w:val="000000"/>
        </w:rPr>
        <w:t>国</w:t>
      </w:r>
      <w:r>
        <w:rPr>
          <w:rStyle w:val="30"/>
          <w:rFonts w:hint="eastAsia" w:ascii="仿宋_GB2312" w:eastAsia="仿宋_GB2312"/>
          <w:b w:val="0"/>
          <w:bCs w:val="0"/>
        </w:rPr>
        <w:t>有资本经营预算支出决算表</w:t>
      </w:r>
      <w:bookmarkEnd w:id="29"/>
    </w:p>
    <w:p>
      <w:pPr>
        <w:spacing w:after="0" w:line="560" w:lineRule="exact"/>
        <w:jc w:val="both"/>
        <w:rPr>
          <w:rFonts w:ascii="仿宋_GB2312" w:eastAsia="仿宋_GB2312"/>
        </w:rPr>
      </w:pPr>
    </w:p>
    <w:p>
      <w:pPr>
        <w:spacing w:after="0" w:line="560" w:lineRule="exact"/>
        <w:jc w:val="both"/>
        <w:rPr>
          <w:rFonts w:ascii="仿宋_GB2312" w:eastAsia="仿宋_GB2312"/>
        </w:rPr>
      </w:pPr>
    </w:p>
    <w:sectPr>
      <w:headerReference r:id="rId4" w:type="default"/>
      <w:footerReference r:id="rId5" w:type="default"/>
      <w:pgSz w:w="11906" w:h="16838"/>
      <w:pgMar w:top="1440" w:right="1558"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34</w:t>
    </w:r>
    <w:r>
      <w:rPr>
        <w:lang w:val="zh-CN"/>
      </w:rPr>
      <w:fldChar w:fldCharType="end"/>
    </w: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5A52A2"/>
    <w:multiLevelType w:val="singleLevel"/>
    <w:tmpl w:val="4B5A52A2"/>
    <w:lvl w:ilvl="0" w:tentative="0">
      <w:start w:val="4"/>
      <w:numFmt w:val="chineseCounting"/>
      <w:suff w:val="nothing"/>
      <w:lvlText w:val="（%1）"/>
      <w:lvlJc w:val="left"/>
      <w:pPr>
        <w:ind w:left="1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footnotePr>
    <w:footnote w:id="0"/>
    <w:footnote w:id="1"/>
  </w:footnotePr>
  <w:compat>
    <w:spaceForUL/>
    <w:doNotExpandShiftReturn/>
    <w:doNotWrapTextWithPunct/>
    <w:doNotUseEastAsianBreakRules/>
    <w:growAutofit/>
    <w:useFELayout/>
    <w:doNotUseIndentAsNumberingTabStop/>
    <w:compatSetting w:name="compatibilityMode" w:uri="http://schemas.microsoft.com/office/word" w:val="12"/>
  </w:compat>
  <w:docVars>
    <w:docVar w:name="commondata" w:val="eyJoZGlkIjoiNmU0ZjcwMzIxYTI2ZWZmZDlmNjY2MjllY2UyZTc2MTQifQ=="/>
  </w:docVars>
  <w:rsids>
    <w:rsidRoot w:val="00342756"/>
    <w:rsid w:val="00030A37"/>
    <w:rsid w:val="000628CA"/>
    <w:rsid w:val="00081FD9"/>
    <w:rsid w:val="000F00AA"/>
    <w:rsid w:val="001C1AAD"/>
    <w:rsid w:val="002618F3"/>
    <w:rsid w:val="00266A19"/>
    <w:rsid w:val="00267E87"/>
    <w:rsid w:val="002823FE"/>
    <w:rsid w:val="0029578F"/>
    <w:rsid w:val="002E255A"/>
    <w:rsid w:val="002F3F3B"/>
    <w:rsid w:val="00342756"/>
    <w:rsid w:val="0043641D"/>
    <w:rsid w:val="00454712"/>
    <w:rsid w:val="004A0BC7"/>
    <w:rsid w:val="00512876"/>
    <w:rsid w:val="005730AC"/>
    <w:rsid w:val="005C7509"/>
    <w:rsid w:val="005F6FAA"/>
    <w:rsid w:val="00631002"/>
    <w:rsid w:val="006E1FE5"/>
    <w:rsid w:val="006F3173"/>
    <w:rsid w:val="006F7E4E"/>
    <w:rsid w:val="007579AC"/>
    <w:rsid w:val="0082435F"/>
    <w:rsid w:val="008902D4"/>
    <w:rsid w:val="008E05EB"/>
    <w:rsid w:val="008F5DE9"/>
    <w:rsid w:val="00915E20"/>
    <w:rsid w:val="00942BA3"/>
    <w:rsid w:val="00994265"/>
    <w:rsid w:val="009B1C04"/>
    <w:rsid w:val="009E3D67"/>
    <w:rsid w:val="00A15BEA"/>
    <w:rsid w:val="00A34997"/>
    <w:rsid w:val="00A36047"/>
    <w:rsid w:val="00AB2475"/>
    <w:rsid w:val="00B335AC"/>
    <w:rsid w:val="00B672CD"/>
    <w:rsid w:val="00BC09E2"/>
    <w:rsid w:val="00BC37D0"/>
    <w:rsid w:val="00BC600E"/>
    <w:rsid w:val="00C20944"/>
    <w:rsid w:val="00C93978"/>
    <w:rsid w:val="00CB00B8"/>
    <w:rsid w:val="00CF6CBF"/>
    <w:rsid w:val="00D16BCD"/>
    <w:rsid w:val="00D3417E"/>
    <w:rsid w:val="00D85D51"/>
    <w:rsid w:val="00E25EE2"/>
    <w:rsid w:val="00E27FFC"/>
    <w:rsid w:val="00E64DB8"/>
    <w:rsid w:val="00E82D19"/>
    <w:rsid w:val="00E8508B"/>
    <w:rsid w:val="00EB0E62"/>
    <w:rsid w:val="00EE3353"/>
    <w:rsid w:val="00F2708E"/>
    <w:rsid w:val="00FB1312"/>
    <w:rsid w:val="00FC3CBB"/>
    <w:rsid w:val="00FD1263"/>
    <w:rsid w:val="04BF04F6"/>
    <w:rsid w:val="0688066B"/>
    <w:rsid w:val="0C2974B8"/>
    <w:rsid w:val="1040459C"/>
    <w:rsid w:val="13A554C5"/>
    <w:rsid w:val="13BD7764"/>
    <w:rsid w:val="145B0BE6"/>
    <w:rsid w:val="16A3500D"/>
    <w:rsid w:val="2165359F"/>
    <w:rsid w:val="23354C10"/>
    <w:rsid w:val="26804A23"/>
    <w:rsid w:val="2FDE1121"/>
    <w:rsid w:val="34515801"/>
    <w:rsid w:val="3890025D"/>
    <w:rsid w:val="3BCE7B87"/>
    <w:rsid w:val="3E867780"/>
    <w:rsid w:val="3F8974CF"/>
    <w:rsid w:val="425F63D2"/>
    <w:rsid w:val="4450467C"/>
    <w:rsid w:val="480838D9"/>
    <w:rsid w:val="48F15C4F"/>
    <w:rsid w:val="558371E5"/>
    <w:rsid w:val="5B516A9C"/>
    <w:rsid w:val="5D5705E1"/>
    <w:rsid w:val="62F67E60"/>
    <w:rsid w:val="668242E0"/>
    <w:rsid w:val="673021E3"/>
    <w:rsid w:val="6B597A34"/>
    <w:rsid w:val="6C852335"/>
    <w:rsid w:val="6D432798"/>
    <w:rsid w:val="6DF41203"/>
    <w:rsid w:val="71DC1925"/>
    <w:rsid w:val="73D55D4D"/>
    <w:rsid w:val="757E1818"/>
    <w:rsid w:val="78693C3B"/>
    <w:rsid w:val="7BA7160E"/>
    <w:rsid w:val="7F24128B"/>
    <w:rsid w:val="7FBD5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adjustRightInd w:val="0"/>
      <w:snapToGrid w:val="0"/>
      <w:spacing w:after="200"/>
    </w:pPr>
    <w:rPr>
      <w:rFonts w:ascii="Tahoma" w:hAnsi="Tahoma" w:eastAsia="微软雅黑" w:cs="Arial"/>
      <w:sz w:val="22"/>
      <w:szCs w:val="22"/>
      <w:lang w:val="en-US" w:eastAsia="zh-CN" w:bidi="ar-SA"/>
    </w:rPr>
  </w:style>
  <w:style w:type="paragraph" w:styleId="3">
    <w:name w:val="heading 1"/>
    <w:basedOn w:val="1"/>
    <w:next w:val="1"/>
    <w:link w:val="29"/>
    <w:qFormat/>
    <w:uiPriority w:val="0"/>
    <w:pPr>
      <w:keepNext/>
      <w:keepLines/>
      <w:widowControl w:val="0"/>
      <w:adjustRightInd/>
      <w:snapToGrid/>
      <w:spacing w:before="340" w:after="330" w:line="578" w:lineRule="auto"/>
      <w:jc w:val="both"/>
      <w:outlineLvl w:val="0"/>
    </w:pPr>
    <w:rPr>
      <w:rFonts w:ascii="Times New Roman" w:hAnsi="Times New Roman" w:eastAsia="宋体" w:cs="Times New Roman"/>
      <w:b/>
      <w:bCs/>
      <w:kern w:val="44"/>
      <w:sz w:val="44"/>
      <w:szCs w:val="44"/>
    </w:rPr>
  </w:style>
  <w:style w:type="paragraph" w:styleId="4">
    <w:name w:val="heading 2"/>
    <w:basedOn w:val="1"/>
    <w:next w:val="1"/>
    <w:link w:val="30"/>
    <w:uiPriority w:val="0"/>
    <w:pPr>
      <w:keepNext/>
      <w:keepLines/>
      <w:widowControl w:val="0"/>
      <w:adjustRightInd/>
      <w:snapToGrid/>
      <w:spacing w:before="260" w:after="260" w:line="415" w:lineRule="auto"/>
      <w:jc w:val="both"/>
      <w:outlineLvl w:val="1"/>
    </w:pPr>
    <w:rPr>
      <w:rFonts w:ascii="Cambria" w:hAnsi="Cambria" w:eastAsia="宋体" w:cs="Times New Roman"/>
      <w:b/>
      <w:bCs/>
      <w:kern w:val="2"/>
      <w:sz w:val="32"/>
      <w:szCs w:val="32"/>
    </w:rPr>
  </w:style>
  <w:style w:type="paragraph" w:styleId="5">
    <w:name w:val="heading 3"/>
    <w:basedOn w:val="1"/>
    <w:next w:val="1"/>
    <w:qFormat/>
    <w:uiPriority w:val="0"/>
    <w:pPr>
      <w:keepNext/>
      <w:keepLines/>
      <w:widowControl w:val="0"/>
      <w:adjustRightInd/>
      <w:snapToGrid/>
      <w:spacing w:before="260" w:after="260" w:line="415" w:lineRule="auto"/>
      <w:jc w:val="both"/>
      <w:outlineLvl w:val="2"/>
    </w:pPr>
    <w:rPr>
      <w:rFonts w:ascii="Times New Roman" w:hAnsi="Times New Roman" w:eastAsia="宋体" w:cs="Times New Roman"/>
      <w:b/>
      <w:bCs/>
      <w:kern w:val="2"/>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widowControl w:val="0"/>
      <w:snapToGrid/>
      <w:spacing w:after="0" w:line="480" w:lineRule="atLeast"/>
      <w:jc w:val="both"/>
      <w:textAlignment w:val="baseline"/>
    </w:pPr>
    <w:rPr>
      <w:rFonts w:ascii="Arial" w:hAnsi="Arial" w:eastAsia="宋体" w:cs="Times New Roman"/>
      <w:sz w:val="32"/>
      <w:szCs w:val="32"/>
    </w:rPr>
  </w:style>
  <w:style w:type="paragraph" w:styleId="6">
    <w:name w:val="Body Text"/>
    <w:basedOn w:val="1"/>
    <w:qFormat/>
    <w:uiPriority w:val="0"/>
    <w:pPr>
      <w:widowControl w:val="0"/>
      <w:adjustRightInd/>
      <w:snapToGrid/>
      <w:spacing w:beforeLines="30" w:after="0"/>
      <w:jc w:val="both"/>
    </w:pPr>
    <w:rPr>
      <w:rFonts w:ascii="仿宋_GB2312" w:eastAsia="仿宋_GB2312" w:cs="Times New Roman"/>
      <w:sz w:val="30"/>
      <w:szCs w:val="24"/>
    </w:rPr>
  </w:style>
  <w:style w:type="paragraph" w:styleId="7">
    <w:name w:val="toc 3"/>
    <w:basedOn w:val="1"/>
    <w:next w:val="1"/>
    <w:qFormat/>
    <w:uiPriority w:val="0"/>
    <w:pPr>
      <w:widowControl w:val="0"/>
      <w:tabs>
        <w:tab w:val="right" w:leader="dot" w:pos="8296"/>
      </w:tabs>
      <w:adjustRightInd/>
      <w:snapToGrid/>
      <w:spacing w:after="0"/>
      <w:ind w:left="400" w:leftChars="400"/>
      <w:jc w:val="both"/>
    </w:pPr>
    <w:rPr>
      <w:rFonts w:ascii="Times New Roman" w:hAnsi="Times New Roman" w:eastAsia="宋体" w:cs="Times New Roman"/>
      <w:kern w:val="2"/>
      <w:sz w:val="21"/>
      <w:szCs w:val="24"/>
    </w:rPr>
  </w:style>
  <w:style w:type="paragraph" w:styleId="8">
    <w:name w:val="Balloon Text"/>
    <w:basedOn w:val="1"/>
    <w:qFormat/>
    <w:uiPriority w:val="0"/>
    <w:pPr>
      <w:widowControl w:val="0"/>
      <w:adjustRightInd/>
      <w:snapToGrid/>
      <w:spacing w:after="0"/>
      <w:jc w:val="both"/>
    </w:pPr>
    <w:rPr>
      <w:rFonts w:ascii="Times New Roman" w:hAnsi="Times New Roman" w:eastAsia="宋体" w:cs="Times New Roman"/>
      <w:kern w:val="2"/>
      <w:sz w:val="18"/>
      <w:szCs w:val="18"/>
    </w:rPr>
  </w:style>
  <w:style w:type="paragraph" w:styleId="9">
    <w:name w:val="footer"/>
    <w:basedOn w:val="1"/>
    <w:qFormat/>
    <w:uiPriority w:val="0"/>
    <w:pPr>
      <w:tabs>
        <w:tab w:val="center" w:pos="4153"/>
        <w:tab w:val="right" w:pos="8306"/>
      </w:tabs>
    </w:pPr>
    <w:rPr>
      <w:sz w:val="18"/>
      <w:szCs w:val="18"/>
    </w:rPr>
  </w:style>
  <w:style w:type="paragraph" w:styleId="10">
    <w:name w:val="header"/>
    <w:basedOn w:val="1"/>
    <w:qFormat/>
    <w:uiPriority w:val="0"/>
    <w:pPr>
      <w:pBdr>
        <w:bottom w:val="single" w:color="auto" w:sz="6" w:space="1"/>
      </w:pBdr>
      <w:tabs>
        <w:tab w:val="center" w:pos="4153"/>
        <w:tab w:val="right" w:pos="8306"/>
      </w:tabs>
      <w:jc w:val="center"/>
    </w:pPr>
    <w:rPr>
      <w:sz w:val="18"/>
      <w:szCs w:val="18"/>
    </w:rPr>
  </w:style>
  <w:style w:type="paragraph" w:styleId="11">
    <w:name w:val="toc 1"/>
    <w:basedOn w:val="1"/>
    <w:next w:val="1"/>
    <w:uiPriority w:val="0"/>
    <w:pPr>
      <w:widowControl w:val="0"/>
      <w:tabs>
        <w:tab w:val="right" w:leader="dot" w:pos="8296"/>
      </w:tabs>
      <w:adjustRightInd/>
      <w:snapToGrid/>
      <w:spacing w:before="93" w:after="0"/>
      <w:jc w:val="center"/>
    </w:pPr>
    <w:rPr>
      <w:rFonts w:ascii="仿宋" w:eastAsia="仿宋" w:cs="Times New Roman"/>
      <w:kern w:val="2"/>
      <w:sz w:val="28"/>
      <w:szCs w:val="28"/>
    </w:rPr>
  </w:style>
  <w:style w:type="paragraph" w:styleId="12">
    <w:name w:val="toc 2"/>
    <w:basedOn w:val="1"/>
    <w:next w:val="1"/>
    <w:uiPriority w:val="0"/>
    <w:pPr>
      <w:widowControl w:val="0"/>
      <w:tabs>
        <w:tab w:val="right" w:leader="dot" w:pos="8296"/>
      </w:tabs>
      <w:adjustRightInd/>
      <w:snapToGrid/>
      <w:spacing w:after="0"/>
      <w:ind w:left="200" w:leftChars="200"/>
      <w:jc w:val="both"/>
    </w:pPr>
    <w:rPr>
      <w:rFonts w:ascii="Times New Roman" w:hAnsi="Times New Roman" w:eastAsia="宋体" w:cs="Times New Roman"/>
      <w:kern w:val="2"/>
      <w:sz w:val="21"/>
      <w:szCs w:val="24"/>
    </w:rPr>
  </w:style>
  <w:style w:type="paragraph" w:styleId="13">
    <w:name w:val="Normal (Web)"/>
    <w:basedOn w:val="1"/>
    <w:qFormat/>
    <w:uiPriority w:val="0"/>
    <w:pPr>
      <w:widowControl w:val="0"/>
      <w:adjustRightInd/>
      <w:snapToGrid/>
      <w:spacing w:after="0"/>
    </w:pPr>
    <w:rPr>
      <w:rFonts w:ascii="Calibri" w:hAnsi="Calibri" w:eastAsia="宋体" w:cs="Times New Roman"/>
      <w:sz w:val="24"/>
      <w:szCs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uiPriority w:val="0"/>
    <w:rPr>
      <w:rFonts w:ascii="Times New Roman" w:hAnsi="Times New Roman"/>
      <w:sz w:val="18"/>
      <w:szCs w:val="18"/>
    </w:rPr>
  </w:style>
  <w:style w:type="character" w:customStyle="1" w:styleId="22">
    <w:name w:val="Body Text Char"/>
    <w:basedOn w:val="15"/>
    <w:uiPriority w:val="0"/>
    <w:rPr>
      <w:rFonts w:ascii="Times New Roman" w:hAnsi="Times New Roman"/>
      <w:szCs w:val="24"/>
    </w:rPr>
  </w:style>
  <w:style w:type="paragraph" w:customStyle="1" w:styleId="23">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4">
    <w:name w:val="列出段落1"/>
    <w:basedOn w:val="1"/>
    <w:uiPriority w:val="0"/>
    <w:pPr>
      <w:widowControl w:val="0"/>
      <w:adjustRightInd/>
      <w:snapToGrid/>
      <w:spacing w:after="0"/>
      <w:ind w:firstLine="200" w:firstLineChars="200"/>
      <w:jc w:val="both"/>
    </w:pPr>
    <w:rPr>
      <w:rFonts w:ascii="Times New Roman" w:hAnsi="Times New Roman" w:eastAsia="宋体" w:cs="Times New Roman"/>
      <w:kern w:val="2"/>
      <w:sz w:val="21"/>
      <w:szCs w:val="24"/>
    </w:rPr>
  </w:style>
  <w:style w:type="paragraph" w:customStyle="1" w:styleId="25">
    <w:name w:val="TOC 标题1"/>
    <w:basedOn w:val="3"/>
    <w:next w:val="1"/>
    <w:uiPriority w:val="0"/>
    <w:pPr>
      <w:widowControl/>
      <w:spacing w:before="480" w:after="0" w:line="276" w:lineRule="auto"/>
      <w:jc w:val="left"/>
      <w:outlineLvl w:val="9"/>
    </w:pPr>
    <w:rPr>
      <w:rFonts w:ascii="Cambria" w:hAnsi="Cambria"/>
      <w:color w:val="365F91"/>
      <w:kern w:val="0"/>
      <w:sz w:val="28"/>
      <w:szCs w:val="28"/>
    </w:rPr>
  </w:style>
  <w:style w:type="paragraph" w:customStyle="1" w:styleId="26">
    <w:name w:val="TOC 标题2"/>
    <w:basedOn w:val="3"/>
    <w:next w:val="1"/>
    <w:uiPriority w:val="0"/>
    <w:pPr>
      <w:widowControl/>
      <w:spacing w:before="480" w:after="0" w:line="276" w:lineRule="auto"/>
      <w:jc w:val="left"/>
      <w:outlineLvl w:val="9"/>
    </w:pPr>
    <w:rPr>
      <w:rFonts w:ascii="Cambria" w:hAnsi="Cambria"/>
      <w:color w:val="365F91"/>
      <w:kern w:val="0"/>
      <w:sz w:val="28"/>
      <w:szCs w:val="28"/>
    </w:rPr>
  </w:style>
  <w:style w:type="paragraph" w:customStyle="1" w:styleId="27">
    <w:name w:val="ql-align-center"/>
    <w:basedOn w:val="1"/>
    <w:uiPriority w:val="0"/>
    <w:pPr>
      <w:adjustRightInd/>
      <w:snapToGrid/>
      <w:spacing w:before="100" w:beforeAutospacing="1" w:after="100" w:afterAutospacing="1"/>
    </w:pPr>
    <w:rPr>
      <w:rFonts w:ascii="宋体" w:eastAsia="宋体" w:cs="宋体"/>
      <w:sz w:val="24"/>
      <w:szCs w:val="24"/>
    </w:rPr>
  </w:style>
  <w:style w:type="character" w:customStyle="1" w:styleId="28">
    <w:name w:val="标题 1 字符"/>
    <w:basedOn w:val="15"/>
    <w:uiPriority w:val="0"/>
    <w:rPr>
      <w:rFonts w:ascii="Times New Roman" w:hAnsi="Times New Roman"/>
      <w:b/>
      <w:bCs/>
      <w:kern w:val="44"/>
      <w:sz w:val="44"/>
      <w:szCs w:val="44"/>
    </w:rPr>
  </w:style>
  <w:style w:type="character" w:customStyle="1" w:styleId="29">
    <w:name w:val="heading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30">
    <w:name w:val="heading 2 Char"/>
    <w:basedOn w:val="15"/>
    <w:link w:val="4"/>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hart" Target="charts/chart9.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G:\2021&#24180;&#20915;&#31639;&#20844;&#24320;\&#38463;&#22365;&#24030;&#22996;&#32593;&#32476;&#23433;&#20840;&#21644;&#20449;&#24687;&#21270;&#22996;&#21592;&#20250;&#21150;&#20844;&#23460;&#65288;&#27719;&#24635;&#65289;\&#26032;&#24314;%20Microsoft%20Office%20Excel%2097-2003%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G:\2021&#24180;&#20915;&#31639;&#20844;&#24320;\&#38463;&#22365;&#24030;&#22996;&#32593;&#32476;&#23433;&#20840;&#21644;&#20449;&#24687;&#21270;&#22996;&#21592;&#20250;&#21150;&#20844;&#23460;&#65288;&#27719;&#24635;&#65289;\&#26032;&#24314;%20Microsoft%20Office%20Excel%2097-2003%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G:\2021&#24180;&#20915;&#31639;&#20844;&#24320;\&#38463;&#22365;&#24030;&#22996;&#32593;&#32476;&#23433;&#20840;&#21644;&#20449;&#24687;&#21270;&#22996;&#21592;&#20250;&#21150;&#20844;&#23460;&#65288;&#27719;&#24635;&#65289;\&#26032;&#24314;%20Microsoft%20Office%20Excel%2097-2003%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G:\2021&#24180;&#20915;&#31639;&#20844;&#24320;\&#38463;&#22365;&#24030;&#22996;&#32593;&#32476;&#23433;&#20840;&#21644;&#20449;&#24687;&#21270;&#22996;&#21592;&#20250;&#21150;&#20844;&#23460;&#65288;&#27719;&#24635;&#65289;\&#26032;&#24314;%20Microsoft%20Office%20Excel%2097-2003%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G:\2021&#24180;&#20915;&#31639;&#20844;&#24320;\&#38463;&#22365;&#24030;&#22996;&#32593;&#32476;&#23433;&#20840;&#21644;&#20449;&#24687;&#21270;&#22996;&#21592;&#20250;&#21150;&#20844;&#23460;&#65288;&#27719;&#24635;&#65289;\&#26032;&#24314;%20Microsoft%20Office%20Excel%2097-2003%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2021&#24180;&#20915;&#31639;&#20844;&#24320;\&#38463;&#22365;&#24030;&#22996;&#32593;&#32476;&#23433;&#20840;&#21644;&#20449;&#24687;&#21270;&#22996;&#21592;&#20250;&#21150;&#20844;&#23460;&#65288;&#27719;&#24635;&#65289;\&#26032;&#24314;%20Microsoft%20Office%20Excel%2097-2003%20&#24037;&#20316;&#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E:\2021&#24180;&#20915;&#31639;&#20844;&#24320;\&#38463;&#22365;&#24030;&#22996;&#32593;&#32476;&#23433;&#20840;&#21644;&#20449;&#24687;&#21270;&#22996;&#21592;&#20250;&#21150;&#20844;&#23460;&#65288;&#27719;&#24635;&#65289;\&#26032;&#24314;%20Microsoft%20Office%20Excel%2097-2003%20&#24037;&#20316;&#34920;.xls"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E:\2021&#24180;&#20915;&#31639;&#20844;&#24320;\&#38463;&#22365;&#24030;&#22996;&#32593;&#32476;&#23433;&#20840;&#21644;&#20449;&#24687;&#21270;&#22996;&#21592;&#20250;&#21150;&#20844;&#23460;&#65288;&#27719;&#24635;&#65289;\&#26032;&#24314;%20Microsoft%20Office%20Excel%2097-2003%20&#24037;&#20316;&#34920;.xls"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E:\2021&#24180;&#20915;&#31639;&#20844;&#24320;\&#38463;&#22365;&#24030;&#22996;&#32593;&#32476;&#23433;&#20840;&#21644;&#20449;&#24687;&#21270;&#22996;&#21592;&#20250;&#21150;&#20844;&#23460;&#65288;&#27719;&#24635;&#65289;\&#26032;&#24314;%20Microsoft%20Office%20Excel%2097-2003%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'[新建 Microsoft Office Excel 97-2003 工作表.xls]Sheet1'!$B$1</c:f>
              <c:strCache>
                <c:ptCount val="1"/>
                <c:pt idx="0">
                  <c:v>部门收入</c:v>
                </c:pt>
              </c:strCache>
            </c:strRef>
          </c:tx>
          <c:invertIfNegative val="0"/>
          <c:dLbls>
            <c:dLbl>
              <c:idx val="0"/>
              <c:layout>
                <c:manualLayout>
                  <c:x val="0.0187473370259906"/>
                  <c:y val="-0.34064516129032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852151682999574"/>
                  <c:y val="-0.327741935483871"/>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107949671146697"/>
                      <c:h val="0.109541404042599"/>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'[新建 Microsoft Office Excel 97-2003 工作表.xls]Sheet1'!$A$2:$A$3</c:f>
              <c:strCache>
                <c:ptCount val="2"/>
                <c:pt idx="0">
                  <c:v>2020（万元）</c:v>
                </c:pt>
                <c:pt idx="1">
                  <c:v>2021（万元）</c:v>
                </c:pt>
              </c:strCache>
            </c:strRef>
          </c:cat>
          <c:val>
            <c:numRef>
              <c:f>'[新建 Microsoft Office Excel 97-2003 工作表.xls]Sheet1'!$B$2:$B$3</c:f>
              <c:numCache>
                <c:formatCode>General</c:formatCode>
                <c:ptCount val="2"/>
                <c:pt idx="0">
                  <c:v>1021.27</c:v>
                </c:pt>
                <c:pt idx="1">
                  <c:v>914.19</c:v>
                </c:pt>
              </c:numCache>
            </c:numRef>
          </c:val>
        </c:ser>
        <c:dLbls>
          <c:showLegendKey val="0"/>
          <c:showVal val="0"/>
          <c:showCatName val="0"/>
          <c:showSerName val="0"/>
          <c:showPercent val="0"/>
          <c:showBubbleSize val="0"/>
        </c:dLbls>
        <c:gapWidth val="150"/>
        <c:overlap val="100"/>
        <c:axId val="547576435"/>
        <c:axId val="489166448"/>
      </c:barChart>
      <c:catAx>
        <c:axId val="547576435"/>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89166448"/>
        <c:crosses val="autoZero"/>
        <c:auto val="1"/>
        <c:lblAlgn val="ctr"/>
        <c:lblOffset val="100"/>
        <c:noMultiLvlLbl val="0"/>
      </c:catAx>
      <c:valAx>
        <c:axId val="489166448"/>
        <c:scaling>
          <c:orientation val="minMax"/>
          <c:min val="0"/>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7576435"/>
        <c:crosses val="autoZero"/>
        <c:crossBetween val="between"/>
      </c:valAx>
      <c:spPr>
        <a:solidFill>
          <a:schemeClr val="bg1"/>
        </a:solidFill>
        <a:ln>
          <a:noFill/>
        </a:ln>
        <a:effectLst/>
      </c:spPr>
    </c:plotArea>
    <c:legend>
      <c:legendPos val="r"/>
      <c:layout>
        <c:manualLayout>
          <c:xMode val="edge"/>
          <c:yMode val="edge"/>
          <c:x val="0.83025"/>
          <c:y val="0.53025"/>
          <c:w val="0.155232155232155"/>
          <c:h val="0.078431372549019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26111111111111"/>
          <c:y val="0.025"/>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'[新建 Microsoft Office Excel 97-2003 工作表.xls]Sheet1'!$B$19</c:f>
              <c:strCache>
                <c:ptCount val="1"/>
                <c:pt idx="0">
                  <c:v>部门支出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97-2003 工作表.xls]Sheet1'!$A$20:$A$21</c:f>
              <c:strCache>
                <c:ptCount val="2"/>
                <c:pt idx="0">
                  <c:v>2020（万元）</c:v>
                </c:pt>
                <c:pt idx="1">
                  <c:v>2021（万元）</c:v>
                </c:pt>
              </c:strCache>
            </c:strRef>
          </c:cat>
          <c:val>
            <c:numRef>
              <c:f>'[新建 Microsoft Office Excel 97-2003 工作表.xls]Sheet1'!$B$20:$B$21</c:f>
              <c:numCache>
                <c:formatCode>General</c:formatCode>
                <c:ptCount val="2"/>
                <c:pt idx="0">
                  <c:v>431.18</c:v>
                </c:pt>
                <c:pt idx="1">
                  <c:v>1021.27</c:v>
                </c:pt>
              </c:numCache>
            </c:numRef>
          </c:val>
        </c:ser>
        <c:dLbls>
          <c:showLegendKey val="0"/>
          <c:showVal val="1"/>
          <c:showCatName val="0"/>
          <c:showSerName val="0"/>
          <c:showPercent val="0"/>
          <c:showBubbleSize val="0"/>
        </c:dLbls>
        <c:gapWidth val="219"/>
        <c:overlap val="-27"/>
        <c:axId val="710842657"/>
        <c:axId val="354378942"/>
      </c:barChart>
      <c:catAx>
        <c:axId val="7108426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4378942"/>
        <c:crosses val="autoZero"/>
        <c:auto val="1"/>
        <c:lblAlgn val="ctr"/>
        <c:lblOffset val="100"/>
        <c:noMultiLvlLbl val="0"/>
      </c:catAx>
      <c:valAx>
        <c:axId val="35437894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084265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Microsoft Office Excel 97-2003 工作表.xls]Sheet1'!$B$38</c:f>
              <c:strCache>
                <c:ptCount val="1"/>
                <c:pt idx="0">
                  <c:v>2021年度部门财政总收入结构图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53.31</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46.69</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97-2003 工作表.xls]Sheet1'!$A$39:$A$40</c:f>
              <c:strCache>
                <c:ptCount val="2"/>
                <c:pt idx="0">
                  <c:v>本年收入合计</c:v>
                </c:pt>
                <c:pt idx="1">
                  <c:v>  年初结转和结余</c:v>
                </c:pt>
              </c:strCache>
            </c:strRef>
          </c:cat>
          <c:val>
            <c:numRef>
              <c:f>'[新建 Microsoft Office Excel 97-2003 工作表.xls]Sheet1'!$B$39:$B$40</c:f>
              <c:numCache>
                <c:formatCode>General</c:formatCode>
                <c:ptCount val="2"/>
                <c:pt idx="0">
                  <c:v>53.31</c:v>
                </c:pt>
                <c:pt idx="1">
                  <c:v>46.69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Microsoft Office Excel 97-2003 工作表.xls]Sheet1'!$B$56</c:f>
              <c:strCache>
                <c:ptCount val="1"/>
                <c:pt idx="0">
                  <c:v>2021年部门总支出结构图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29.3</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0893055555555556"/>
                      <c:h val="0.0731481481481481"/>
                    </c:manualLayout>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70.7</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15972222222222"/>
                      <c:h val="0.0365740740740741"/>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97-2003 工作表.xls]Sheet1'!$A$57:$A$58</c:f>
              <c:strCache>
                <c:ptCount val="2"/>
                <c:pt idx="0">
                  <c:v>基本支出</c:v>
                </c:pt>
                <c:pt idx="1">
                  <c:v>项目支出</c:v>
                </c:pt>
              </c:strCache>
            </c:strRef>
          </c:cat>
          <c:val>
            <c:numRef>
              <c:f>'[新建 Microsoft Office Excel 97-2003 工作表.xls]Sheet1'!$B$57:$B$58</c:f>
              <c:numCache>
                <c:formatCode>General</c:formatCode>
                <c:ptCount val="2"/>
                <c:pt idx="0">
                  <c:v>29.3</c:v>
                </c:pt>
                <c:pt idx="1">
                  <c:v>70.7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610555555555556"/>
          <c:y val="0.22037037037037"/>
          <c:w val="0.882"/>
          <c:h val="0.711666666666667"/>
        </c:manualLayout>
      </c:layout>
      <c:barChart>
        <c:barDir val="col"/>
        <c:grouping val="clustered"/>
        <c:varyColors val="0"/>
        <c:ser>
          <c:idx val="0"/>
          <c:order val="0"/>
          <c:tx>
            <c:strRef>
              <c:f>'[新建 Microsoft Office Excel 97-2003 工作表.xls]Sheet1'!$B$72</c:f>
              <c:strCache>
                <c:ptCount val="1"/>
                <c:pt idx="0">
                  <c:v>财政拨款收入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97-2003 工作表.xls]Sheet1'!$A$73:$A$74</c:f>
              <c:strCache>
                <c:ptCount val="2"/>
                <c:pt idx="0">
                  <c:v>2020年（万元）</c:v>
                </c:pt>
                <c:pt idx="1">
                  <c:v>2021年（万元）</c:v>
                </c:pt>
              </c:strCache>
            </c:strRef>
          </c:cat>
          <c:val>
            <c:numRef>
              <c:f>'[新建 Microsoft Office Excel 97-2003 工作表.xls]Sheet1'!$B$73:$B$74</c:f>
              <c:numCache>
                <c:formatCode>General</c:formatCode>
                <c:ptCount val="2"/>
                <c:pt idx="0">
                  <c:v>1021.27</c:v>
                </c:pt>
                <c:pt idx="1">
                  <c:v>914.19</c:v>
                </c:pt>
              </c:numCache>
            </c:numRef>
          </c:val>
        </c:ser>
        <c:dLbls>
          <c:showLegendKey val="0"/>
          <c:showVal val="1"/>
          <c:showCatName val="0"/>
          <c:showSerName val="0"/>
          <c:showPercent val="0"/>
          <c:showBubbleSize val="0"/>
        </c:dLbls>
        <c:gapWidth val="219"/>
        <c:overlap val="-27"/>
        <c:axId val="232317626"/>
        <c:axId val="959136073"/>
      </c:barChart>
      <c:catAx>
        <c:axId val="2323176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9136073"/>
        <c:crosses val="autoZero"/>
        <c:auto val="1"/>
        <c:lblAlgn val="ctr"/>
        <c:lblOffset val="100"/>
        <c:noMultiLvlLbl val="0"/>
      </c:catAx>
      <c:valAx>
        <c:axId val="959136073"/>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231762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7777777777778"/>
          <c:y val="0.0393518518518519"/>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'[新建 Microsoft Office Excel 97-2003 工作表.xls]Sheet1'!$B$115</c:f>
              <c:strCache>
                <c:ptCount val="1"/>
                <c:pt idx="0">
                  <c:v>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97-2003 工作表.xls]Sheet1'!$A$116:$A$117</c:f>
              <c:strCache>
                <c:ptCount val="2"/>
                <c:pt idx="0">
                  <c:v>2020年（万元）</c:v>
                </c:pt>
                <c:pt idx="1">
                  <c:v>2021年（万元）</c:v>
                </c:pt>
              </c:strCache>
            </c:strRef>
          </c:cat>
          <c:val>
            <c:numRef>
              <c:f>'[新建 Microsoft Office Excel 97-2003 工作表.xls]Sheet1'!$B$116:$B$117</c:f>
              <c:numCache>
                <c:formatCode>General</c:formatCode>
                <c:ptCount val="2"/>
                <c:pt idx="0">
                  <c:v>431.18</c:v>
                </c:pt>
                <c:pt idx="1">
                  <c:v>1021.27</c:v>
                </c:pt>
              </c:numCache>
            </c:numRef>
          </c:val>
        </c:ser>
        <c:dLbls>
          <c:showLegendKey val="0"/>
          <c:showVal val="1"/>
          <c:showCatName val="0"/>
          <c:showSerName val="0"/>
          <c:showPercent val="0"/>
          <c:showBubbleSize val="0"/>
        </c:dLbls>
        <c:gapWidth val="219"/>
        <c:overlap val="-27"/>
        <c:axId val="829252019"/>
        <c:axId val="520566154"/>
      </c:barChart>
      <c:catAx>
        <c:axId val="82925201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0566154"/>
        <c:crosses val="autoZero"/>
        <c:auto val="1"/>
        <c:lblAlgn val="ctr"/>
        <c:lblOffset val="100"/>
        <c:noMultiLvlLbl val="0"/>
      </c:catAx>
      <c:valAx>
        <c:axId val="52056615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92520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68611111111111"/>
          <c:y val="0.0324074074074074"/>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'[新建 Microsoft Office Excel 97-2003 工作表.xls]Sheet1'!$B$131</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97-2003 工作表.xls]Sheet1'!$A$132:$A$133</c:f>
              <c:strCache>
                <c:ptCount val="2"/>
                <c:pt idx="0">
                  <c:v>2020年（万元）</c:v>
                </c:pt>
                <c:pt idx="1">
                  <c:v>2021年（万元）</c:v>
                </c:pt>
              </c:strCache>
            </c:strRef>
          </c:cat>
          <c:val>
            <c:numRef>
              <c:f>'[新建 Microsoft Office Excel 97-2003 工作表.xls]Sheet1'!$B$132:$B$133</c:f>
              <c:numCache>
                <c:formatCode>General</c:formatCode>
                <c:ptCount val="2"/>
                <c:pt idx="0">
                  <c:v>431.18</c:v>
                </c:pt>
                <c:pt idx="1">
                  <c:v>1021.27</c:v>
                </c:pt>
              </c:numCache>
            </c:numRef>
          </c:val>
        </c:ser>
        <c:dLbls>
          <c:showLegendKey val="0"/>
          <c:showVal val="1"/>
          <c:showCatName val="0"/>
          <c:showSerName val="0"/>
          <c:showPercent val="0"/>
          <c:showBubbleSize val="0"/>
        </c:dLbls>
        <c:gapWidth val="219"/>
        <c:overlap val="-27"/>
        <c:axId val="547685671"/>
        <c:axId val="957184508"/>
      </c:barChart>
      <c:catAx>
        <c:axId val="5476856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7184508"/>
        <c:crosses val="autoZero"/>
        <c:auto val="1"/>
        <c:lblAlgn val="ctr"/>
        <c:lblOffset val="100"/>
        <c:noMultiLvlLbl val="0"/>
      </c:catAx>
      <c:valAx>
        <c:axId val="9571845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76856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Microsoft Office Excel 97-2003 工作表.xls]Sheet1'!$B$155</c:f>
              <c:strCache>
                <c:ptCount val="1"/>
                <c:pt idx="0">
                  <c:v>一般公共预算财政拨款支出决算结构情况图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1"/>
              <c:layout>
                <c:manualLayout>
                  <c:x val="-0.0786767846489893"/>
                  <c:y val="0.027055848296694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2.98</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601305658387364"/>
                  <c:y val="0.0049117415186860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1.26</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11484073671808"/>
                  <c:y val="0.0049418976019703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2.03</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97-2003 工作表.xls]Sheet1'!$A$156:$A$159</c:f>
              <c:strCache>
                <c:ptCount val="4"/>
                <c:pt idx="0">
                  <c:v>201一般公共服务（类）支出</c:v>
                </c:pt>
                <c:pt idx="1">
                  <c:v>208社会保障和就业（类）</c:v>
                </c:pt>
                <c:pt idx="2">
                  <c:v>210卫生健康（类）</c:v>
                </c:pt>
                <c:pt idx="3">
                  <c:v>221住房保障（类）</c:v>
                </c:pt>
              </c:strCache>
            </c:strRef>
          </c:cat>
          <c:val>
            <c:numRef>
              <c:f>'[新建 Microsoft Office Excel 97-2003 工作表.xls]Sheet1'!$B$156:$B$159</c:f>
              <c:numCache>
                <c:formatCode>General</c:formatCode>
                <c:ptCount val="4"/>
                <c:pt idx="0">
                  <c:v>93.73</c:v>
                </c:pt>
                <c:pt idx="1">
                  <c:v>2.98</c:v>
                </c:pt>
                <c:pt idx="2">
                  <c:v>1.26</c:v>
                </c:pt>
                <c:pt idx="3">
                  <c:v>2.03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60555555555556"/>
          <c:y val="0.025"/>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Microsoft Office Excel 97-2003 工作表.xls]Sheet1'!$B$168</c:f>
              <c:strCache>
                <c:ptCount val="1"/>
                <c:pt idx="0">
                  <c:v>“三公”经费财政拨款支出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3.28</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79444444444444"/>
                      <c:h val="0.105092592592593"/>
                    </c:manualLayout>
                  </c15:layout>
                </c:ext>
              </c:extLst>
            </c:dLbl>
            <c:dLbl>
              <c:idx val="1"/>
              <c:layout>
                <c:manualLayout>
                  <c:x val="-0.0425289053226106"/>
                  <c:y val="-0.17868725884672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96.72</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2375"/>
                      <c:h val="0.0655092592592593"/>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97-2003 工作表.xls]Sheet1'!$A$169:$A$170</c:f>
              <c:strCache>
                <c:ptCount val="2"/>
                <c:pt idx="0">
                  <c:v>公务接待</c:v>
                </c:pt>
                <c:pt idx="1">
                  <c:v>公务车辆购置及公务用车运行维护费</c:v>
                </c:pt>
              </c:strCache>
            </c:strRef>
          </c:cat>
          <c:val>
            <c:numRef>
              <c:f>'[新建 Microsoft Office Excel 97-2003 工作表.xls]Sheet1'!$B$169:$B$170</c:f>
              <c:numCache>
                <c:formatCode>General</c:formatCode>
                <c:ptCount val="2"/>
                <c:pt idx="0">
                  <c:v>3.28</c:v>
                </c:pt>
                <c:pt idx="1">
                  <c:v>96.72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4922</Words>
  <Characters>5715</Characters>
  <Lines>89</Lines>
  <Paragraphs>25</Paragraphs>
  <TotalTime>0</TotalTime>
  <ScaleCrop>false</ScaleCrop>
  <LinksUpToDate>false</LinksUpToDate>
  <CharactersWithSpaces>5766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2022-09-19T09:19:00Z</dcterms:created>
  <dc:creator>Administrator</dc:creator>
  <cp:lastModifiedBy>哈斯杰</cp:lastModifiedBy>
  <cp:lastPrinted>2022-10-08T10:59:00Z</cp:lastPrinted>
  <dcterms:modified xsi:type="dcterms:W3CDTF">2022-10-10T06:48:15Z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7268EC9E704245D7957D61DC254F54E6</vt:lpwstr>
  </property>
</Properties>
</file>