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1000" w:lineRule="exact"/>
        <w:jc w:val="both"/>
        <w:outlineLvl w:val="0"/>
        <w:rPr>
          <w:rFonts w:ascii="方正小标宋简体" w:eastAsia="方正小标宋简体"/>
          <w:color w:val="000000"/>
          <w:sz w:val="72"/>
          <w:szCs w:val="72"/>
        </w:rPr>
      </w:pPr>
      <w:bookmarkStart w:id="0" w:name="_Toc15306267"/>
    </w:p>
    <w:p>
      <w:pPr>
        <w:spacing w:after="0" w:line="1000" w:lineRule="exact"/>
        <w:jc w:val="center"/>
        <w:outlineLvl w:val="0"/>
        <w:rPr>
          <w:rFonts w:ascii="黑体" w:eastAsia="黑体"/>
          <w:color w:val="000000"/>
          <w:sz w:val="72"/>
          <w:szCs w:val="72"/>
        </w:rPr>
      </w:pPr>
      <w:bookmarkStart w:id="1" w:name="_Toc15378441"/>
      <w:bookmarkStart w:id="2" w:name="_Toc15377425"/>
      <w:bookmarkStart w:id="3" w:name="_Toc15377193"/>
      <w:bookmarkStart w:id="4" w:name="_Toc15396475"/>
      <w:bookmarkStart w:id="5" w:name="_Toc15396597"/>
    </w:p>
    <w:p>
      <w:pPr>
        <w:spacing w:after="0" w:line="1000" w:lineRule="exact"/>
        <w:jc w:val="center"/>
        <w:outlineLvl w:val="0"/>
        <w:rPr>
          <w:rFonts w:ascii="黑体" w:eastAsia="黑体"/>
          <w:color w:val="000000"/>
          <w:sz w:val="72"/>
          <w:szCs w:val="72"/>
        </w:rPr>
      </w:pPr>
    </w:p>
    <w:p>
      <w:pPr>
        <w:spacing w:after="0" w:line="1000" w:lineRule="exact"/>
        <w:jc w:val="center"/>
        <w:outlineLvl w:val="0"/>
        <w:rPr>
          <w:rFonts w:ascii="方正小标宋简体" w:eastAsia="方正小标宋简体"/>
          <w:color w:val="000000"/>
          <w:sz w:val="72"/>
          <w:szCs w:val="72"/>
        </w:rPr>
      </w:pPr>
      <w:r>
        <w:rPr>
          <w:rFonts w:ascii="黑体" w:eastAsia="黑体"/>
          <w:color w:val="000000"/>
          <w:sz w:val="72"/>
          <w:szCs w:val="72"/>
        </w:rPr>
        <w:t>2021</w:t>
      </w:r>
      <w:r>
        <w:rPr>
          <w:rFonts w:hint="eastAsia" w:ascii="方正小标宋简体" w:eastAsia="方正小标宋简体"/>
          <w:color w:val="000000"/>
          <w:sz w:val="72"/>
          <w:szCs w:val="72"/>
        </w:rPr>
        <w:t>年度</w:t>
      </w:r>
      <w:bookmarkEnd w:id="1"/>
      <w:bookmarkEnd w:id="2"/>
      <w:bookmarkEnd w:id="3"/>
      <w:bookmarkEnd w:id="4"/>
      <w:bookmarkEnd w:id="5"/>
    </w:p>
    <w:p>
      <w:pPr>
        <w:spacing w:after="0" w:line="1000" w:lineRule="exact"/>
        <w:jc w:val="center"/>
        <w:outlineLvl w:val="0"/>
        <w:rPr>
          <w:rFonts w:ascii="方正小标宋简体" w:eastAsia="方正小标宋简体"/>
          <w:color w:val="000000"/>
          <w:sz w:val="72"/>
          <w:szCs w:val="72"/>
        </w:rPr>
      </w:pPr>
      <w:bookmarkStart w:id="6" w:name="_Toc15396598"/>
      <w:bookmarkStart w:id="7" w:name="_Toc15377194"/>
      <w:bookmarkStart w:id="8" w:name="_Toc15378442"/>
      <w:bookmarkStart w:id="9" w:name="_Toc15377426"/>
      <w:bookmarkStart w:id="10" w:name="_Toc15396476"/>
      <w:r>
        <w:rPr>
          <w:rFonts w:hint="eastAsia" w:ascii="方正小标宋简体" w:eastAsia="方正小标宋简体"/>
          <w:color w:val="000000"/>
          <w:sz w:val="72"/>
          <w:szCs w:val="72"/>
        </w:rPr>
        <w:t>中共阿坝州</w:t>
      </w:r>
      <w:bookmarkEnd w:id="0"/>
      <w:bookmarkStart w:id="11" w:name="_Toc15306268"/>
      <w:r>
        <w:rPr>
          <w:rFonts w:hint="eastAsia" w:ascii="方正小标宋简体" w:eastAsia="方正小标宋简体"/>
          <w:color w:val="000000"/>
          <w:sz w:val="72"/>
          <w:szCs w:val="72"/>
        </w:rPr>
        <w:t>委网网络安全和信息化委员会办公室</w:t>
      </w:r>
    </w:p>
    <w:p>
      <w:pPr>
        <w:spacing w:after="0" w:line="1000" w:lineRule="exact"/>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决  算</w:t>
      </w:r>
      <w:bookmarkEnd w:id="6"/>
      <w:bookmarkEnd w:id="7"/>
      <w:bookmarkEnd w:id="8"/>
      <w:bookmarkEnd w:id="9"/>
      <w:bookmarkEnd w:id="10"/>
      <w:bookmarkEnd w:id="11"/>
    </w:p>
    <w:p>
      <w:pPr>
        <w:spacing w:after="0" w:line="1000" w:lineRule="exact"/>
        <w:jc w:val="both"/>
        <w:rPr>
          <w:rFonts w:ascii="方正小标宋简体" w:eastAsia="方正小标宋简体"/>
          <w:color w:val="000000"/>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autoSpaceDE w:val="0"/>
        <w:autoSpaceDN w:val="0"/>
        <w:spacing w:after="0" w:line="560" w:lineRule="exact"/>
        <w:ind w:firstLine="640" w:firstLineChars="200"/>
        <w:jc w:val="both"/>
        <w:rPr>
          <w:rFonts w:eastAsia="仿宋_GB2312"/>
          <w:sz w:val="32"/>
          <w:szCs w:val="32"/>
        </w:rPr>
      </w:pPr>
      <w:r>
        <w:rPr>
          <w:rFonts w:hint="eastAsia" w:ascii="仿宋_GB2312" w:eastAsia="仿宋_GB2312" w:cs="仿宋_GB2312"/>
          <w:sz w:val="32"/>
          <w:szCs w:val="32"/>
        </w:rPr>
        <w:t>保密审查情况：已审查，内容审定</w:t>
      </w:r>
    </w:p>
    <w:p>
      <w:pPr>
        <w:autoSpaceDE w:val="0"/>
        <w:autoSpaceDN w:val="0"/>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单位主要负责人审签情况：已审签，同意对外公开</w:t>
      </w:r>
    </w:p>
    <w:p>
      <w:pPr>
        <w:pStyle w:val="11"/>
        <w:spacing w:before="0" w:line="560" w:lineRule="exact"/>
        <w:jc w:val="both"/>
      </w:pPr>
    </w:p>
    <w:p>
      <w:pPr>
        <w:spacing w:after="0" w:line="560" w:lineRule="exact"/>
        <w:jc w:val="both"/>
      </w:pPr>
    </w:p>
    <w:p>
      <w:pPr>
        <w:spacing w:after="0" w:line="560" w:lineRule="exact"/>
        <w:jc w:val="both"/>
        <w:rPr>
          <w:rFonts w:ascii="黑体" w:eastAsia="黑体"/>
          <w:color w:val="000000"/>
          <w:sz w:val="48"/>
          <w:szCs w:val="48"/>
        </w:rPr>
      </w:pPr>
    </w:p>
    <w:p>
      <w:pPr>
        <w:spacing w:after="0" w:line="560" w:lineRule="exact"/>
        <w:jc w:val="center"/>
        <w:rPr>
          <w:rFonts w:ascii="黑体" w:eastAsia="黑体"/>
          <w:color w:val="000000"/>
          <w:sz w:val="48"/>
          <w:szCs w:val="48"/>
        </w:rPr>
      </w:pPr>
      <w:r>
        <w:rPr>
          <w:rFonts w:hint="eastAsia" w:ascii="黑体" w:eastAsia="黑体"/>
          <w:color w:val="000000"/>
          <w:sz w:val="48"/>
          <w:szCs w:val="48"/>
        </w:rPr>
        <w:t>目录</w:t>
      </w:r>
    </w:p>
    <w:p>
      <w:pPr>
        <w:spacing w:after="0" w:line="560" w:lineRule="exact"/>
        <w:jc w:val="both"/>
        <w:rPr>
          <w:rFonts w:ascii="黑体" w:eastAsia="黑体"/>
          <w:sz w:val="28"/>
          <w:szCs w:val="28"/>
        </w:rPr>
      </w:pPr>
    </w:p>
    <w:p>
      <w:pPr>
        <w:pStyle w:val="11"/>
        <w:spacing w:before="0" w:line="560" w:lineRule="exact"/>
        <w:rPr>
          <w:rFonts w:ascii="仿宋_GB2312" w:eastAsia="仿宋_GB2312"/>
          <w:sz w:val="32"/>
          <w:szCs w:val="32"/>
        </w:rPr>
      </w:pPr>
      <w:r>
        <w:rPr>
          <w:rFonts w:hint="eastAsia" w:ascii="仿宋_GB2312" w:eastAsia="仿宋_GB2312"/>
          <w:sz w:val="32"/>
          <w:szCs w:val="32"/>
        </w:rPr>
        <w:t>公开时间：2022年9月2</w:t>
      </w:r>
      <w:r>
        <w:rPr>
          <w:rFonts w:hint="eastAsia" w:ascii="仿宋_GB2312" w:eastAsia="仿宋_GB2312"/>
          <w:sz w:val="32"/>
          <w:szCs w:val="32"/>
          <w:lang w:val="en-US" w:eastAsia="zh-CN"/>
        </w:rPr>
        <w:t>8</w:t>
      </w:r>
      <w:r>
        <w:rPr>
          <w:rFonts w:hint="eastAsia" w:ascii="仿宋_GB2312" w:eastAsia="仿宋_GB2312"/>
          <w:sz w:val="32"/>
          <w:szCs w:val="32"/>
        </w:rPr>
        <w:t>日</w:t>
      </w:r>
    </w:p>
    <w:p>
      <w:pPr>
        <w:spacing w:after="0" w:line="560" w:lineRule="exact"/>
        <w:jc w:val="both"/>
        <w:rPr>
          <w:rFonts w:ascii="仿宋_GB2312" w:eastAsia="仿宋_GB2312"/>
          <w:sz w:val="32"/>
          <w:szCs w:val="32"/>
        </w:rPr>
      </w:pPr>
    </w:p>
    <w:p>
      <w:pPr>
        <w:pStyle w:val="11"/>
        <w:adjustRightInd w:val="0"/>
        <w:snapToGrid w:val="0"/>
        <w:spacing w:before="0" w:line="560" w:lineRule="exact"/>
        <w:ind w:firstLine="321" w:firstLineChars="100"/>
        <w:jc w:val="left"/>
        <w:rPr>
          <w:rFonts w:ascii="仿宋_GB2312" w:eastAsia="仿宋_GB2312" w:cs="Arial"/>
          <w:sz w:val="32"/>
          <w:szCs w:val="32"/>
        </w:rPr>
      </w:pPr>
      <w:r>
        <w:rPr>
          <w:rFonts w:hint="eastAsia" w:ascii="仿宋_GB2312" w:eastAsia="仿宋_GB2312"/>
          <w:b/>
          <w:sz w:val="32"/>
          <w:szCs w:val="32"/>
        </w:rPr>
        <w:t>第一部分 单位概况</w:t>
      </w:r>
      <w:r>
        <w:rPr>
          <w:rFonts w:ascii="仿宋_GB2312" w:eastAsia="仿宋_GB2312"/>
          <w:sz w:val="32"/>
          <w:szCs w:val="32"/>
        </w:rPr>
        <w:tab/>
      </w:r>
      <w:r>
        <w:rPr>
          <w:rFonts w:hint="eastAsia" w:ascii="仿宋_GB2312" w:eastAsia="仿宋_GB2312"/>
          <w:sz w:val="32"/>
          <w:szCs w:val="32"/>
        </w:rPr>
        <w:t>4</w:t>
      </w:r>
    </w:p>
    <w:p>
      <w:pPr>
        <w:pStyle w:val="12"/>
        <w:adjustRightInd w:val="0"/>
        <w:snapToGrid w:val="0"/>
        <w:spacing w:line="560" w:lineRule="exact"/>
        <w:ind w:left="0" w:leftChars="0" w:firstLine="640" w:firstLineChars="200"/>
        <w:jc w:val="left"/>
        <w:rPr>
          <w:rFonts w:ascii="仿宋_GB2312" w:eastAsia="仿宋_GB2312"/>
          <w:sz w:val="32"/>
          <w:szCs w:val="32"/>
        </w:rPr>
      </w:pPr>
      <w:r>
        <w:rPr>
          <w:rFonts w:hint="eastAsia" w:ascii="仿宋_GB2312" w:eastAsia="仿宋_GB2312"/>
          <w:sz w:val="32"/>
          <w:szCs w:val="32"/>
        </w:rPr>
        <w:t>一、基本职能及主要工作</w:t>
      </w:r>
      <w:r>
        <w:rPr>
          <w:rFonts w:ascii="仿宋_GB2312" w:eastAsia="仿宋_GB2312"/>
          <w:sz w:val="32"/>
          <w:szCs w:val="32"/>
        </w:rPr>
        <w:tab/>
      </w:r>
      <w:r>
        <w:rPr>
          <w:rFonts w:hint="eastAsia" w:ascii="仿宋_GB2312" w:eastAsia="仿宋_GB2312"/>
          <w:sz w:val="32"/>
          <w:szCs w:val="32"/>
        </w:rPr>
        <w:t>4</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二、</w:t>
      </w:r>
      <w:r>
        <w:rPr>
          <w:rFonts w:hint="eastAsia" w:ascii="仿宋_GB2312" w:eastAsia="仿宋_GB2312"/>
          <w:sz w:val="32"/>
          <w:szCs w:val="32"/>
          <w:lang w:val="en-US" w:eastAsia="zh-CN"/>
        </w:rPr>
        <w:t>单位概况</w:t>
      </w:r>
      <w:r>
        <w:rPr>
          <w:rFonts w:ascii="仿宋_GB2312" w:eastAsia="仿宋_GB2312"/>
          <w:sz w:val="32"/>
          <w:szCs w:val="32"/>
        </w:rPr>
        <w:tab/>
      </w:r>
      <w:r>
        <w:rPr>
          <w:rFonts w:hint="eastAsia" w:ascii="仿宋_GB2312" w:eastAsia="仿宋_GB2312"/>
          <w:sz w:val="32"/>
          <w:szCs w:val="32"/>
        </w:rPr>
        <w:t>4</w:t>
      </w:r>
    </w:p>
    <w:p>
      <w:pPr>
        <w:pStyle w:val="11"/>
        <w:adjustRightInd w:val="0"/>
        <w:snapToGrid w:val="0"/>
        <w:spacing w:before="0" w:line="560" w:lineRule="exact"/>
        <w:ind w:firstLine="321" w:firstLineChars="100"/>
        <w:jc w:val="left"/>
        <w:rPr>
          <w:rFonts w:ascii="仿宋_GB2312" w:eastAsia="仿宋_GB2312"/>
          <w:sz w:val="32"/>
          <w:szCs w:val="32"/>
        </w:rPr>
      </w:pPr>
      <w:r>
        <w:rPr>
          <w:rFonts w:hint="eastAsia" w:ascii="仿宋_GB2312" w:eastAsia="仿宋_GB2312"/>
          <w:b/>
          <w:sz w:val="32"/>
          <w:szCs w:val="32"/>
        </w:rPr>
        <w:t>第二部分 年度单位决算情况说明</w:t>
      </w:r>
      <w:r>
        <w:rPr>
          <w:rFonts w:ascii="仿宋_GB2312" w:eastAsia="仿宋_GB2312"/>
          <w:sz w:val="32"/>
          <w:szCs w:val="32"/>
        </w:rPr>
        <w:tab/>
      </w:r>
      <w:r>
        <w:rPr>
          <w:rFonts w:ascii="仿宋_GB2312" w:eastAsia="仿宋_GB2312"/>
          <w:sz w:val="32"/>
          <w:szCs w:val="32"/>
        </w:rPr>
        <w:t>5</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一、收入支出决算总体情况说明</w:t>
      </w:r>
      <w:r>
        <w:rPr>
          <w:rFonts w:ascii="仿宋_GB2312" w:eastAsia="仿宋_GB2312"/>
          <w:sz w:val="32"/>
          <w:szCs w:val="32"/>
        </w:rPr>
        <w:tab/>
      </w:r>
      <w:r>
        <w:rPr>
          <w:rFonts w:hint="eastAsia" w:ascii="仿宋_GB2312" w:eastAsia="仿宋_GB2312"/>
          <w:sz w:val="32"/>
          <w:szCs w:val="32"/>
        </w:rPr>
        <w:t>5</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二、收入决算情况说明</w:t>
      </w:r>
      <w:r>
        <w:rPr>
          <w:rFonts w:ascii="仿宋_GB2312" w:eastAsia="仿宋_GB2312"/>
          <w:sz w:val="32"/>
          <w:szCs w:val="32"/>
        </w:rPr>
        <w:tab/>
      </w:r>
      <w:r>
        <w:rPr>
          <w:rFonts w:ascii="仿宋_GB2312" w:eastAsia="仿宋_GB2312"/>
          <w:sz w:val="32"/>
          <w:szCs w:val="32"/>
        </w:rPr>
        <w:t>6</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三、支出决算情况说明</w:t>
      </w:r>
      <w:r>
        <w:rPr>
          <w:rFonts w:ascii="仿宋_GB2312" w:eastAsia="仿宋_GB2312"/>
          <w:sz w:val="32"/>
          <w:szCs w:val="32"/>
        </w:rPr>
        <w:tab/>
      </w:r>
      <w:r>
        <w:rPr>
          <w:rFonts w:ascii="仿宋_GB2312" w:eastAsia="仿宋_GB2312"/>
          <w:sz w:val="32"/>
          <w:szCs w:val="32"/>
        </w:rPr>
        <w:t>7</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四、财政拨款收入支出决算总体情况说明</w:t>
      </w:r>
      <w:r>
        <w:rPr>
          <w:rFonts w:ascii="仿宋_GB2312" w:eastAsia="仿宋_GB2312"/>
          <w:sz w:val="32"/>
          <w:szCs w:val="32"/>
        </w:rPr>
        <w:tab/>
      </w:r>
      <w:r>
        <w:rPr>
          <w:rFonts w:ascii="仿宋_GB2312" w:eastAsia="仿宋_GB2312"/>
          <w:sz w:val="32"/>
          <w:szCs w:val="32"/>
        </w:rPr>
        <w:t>7</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五、一般公共预算财政拨款支出决算情况说明</w:t>
      </w:r>
      <w:r>
        <w:rPr>
          <w:rFonts w:ascii="仿宋_GB2312" w:eastAsia="仿宋_GB2312"/>
          <w:sz w:val="32"/>
          <w:szCs w:val="32"/>
        </w:rPr>
        <w:tab/>
      </w:r>
      <w:r>
        <w:rPr>
          <w:rFonts w:ascii="仿宋_GB2312" w:eastAsia="仿宋_GB2312"/>
          <w:sz w:val="32"/>
          <w:szCs w:val="32"/>
        </w:rPr>
        <w:t>8</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六、一般公共预算财政拨款基本支出决算情况说明</w:t>
      </w:r>
      <w:r>
        <w:rPr>
          <w:rFonts w:ascii="仿宋_GB2312" w:eastAsia="仿宋_GB2312"/>
          <w:sz w:val="32"/>
          <w:szCs w:val="32"/>
        </w:rPr>
        <w:tab/>
      </w:r>
      <w:r>
        <w:rPr>
          <w:rFonts w:ascii="仿宋_GB2312" w:eastAsia="仿宋_GB2312"/>
          <w:sz w:val="32"/>
          <w:szCs w:val="32"/>
        </w:rPr>
        <w:t>10</w:t>
      </w:r>
    </w:p>
    <w:p>
      <w:pPr>
        <w:pStyle w:val="12"/>
        <w:adjustRightInd w:val="0"/>
        <w:snapToGrid w:val="0"/>
        <w:spacing w:line="560" w:lineRule="exact"/>
        <w:ind w:left="0" w:leftChars="0" w:firstLine="640" w:firstLineChars="200"/>
        <w:jc w:val="left"/>
        <w:rPr>
          <w:rFonts w:hint="eastAsia" w:ascii="仿宋_GB2312" w:eastAsia="仿宋_GB2312" w:cs="Arial"/>
          <w:sz w:val="32"/>
          <w:szCs w:val="32"/>
          <w:lang w:val="en-US" w:eastAsia="zh-CN"/>
        </w:rPr>
      </w:pPr>
      <w:r>
        <w:rPr>
          <w:rFonts w:hint="eastAsia" w:ascii="仿宋_GB2312" w:eastAsia="仿宋_GB2312"/>
          <w:sz w:val="32"/>
          <w:szCs w:val="32"/>
        </w:rPr>
        <w:t>七、“三公”经费财政拨款支出决算情况说明</w:t>
      </w:r>
      <w:r>
        <w:rPr>
          <w:rFonts w:ascii="仿宋_GB2312" w:eastAsia="仿宋_GB2312"/>
          <w:sz w:val="32"/>
          <w:szCs w:val="32"/>
        </w:rPr>
        <w:tab/>
      </w:r>
      <w:r>
        <w:rPr>
          <w:rFonts w:ascii="仿宋_GB2312" w:eastAsia="仿宋_GB2312"/>
          <w:sz w:val="32"/>
          <w:szCs w:val="32"/>
        </w:rPr>
        <w:t>1</w:t>
      </w:r>
      <w:r>
        <w:rPr>
          <w:rFonts w:hint="eastAsia" w:ascii="仿宋_GB2312" w:eastAsia="仿宋_GB2312"/>
          <w:sz w:val="32"/>
          <w:szCs w:val="32"/>
          <w:lang w:val="en-US" w:eastAsia="zh-CN"/>
        </w:rPr>
        <w:t>1</w:t>
      </w:r>
    </w:p>
    <w:p>
      <w:pPr>
        <w:pStyle w:val="12"/>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八、政府性基金预算支出决算情况说明</w:t>
      </w:r>
      <w:r>
        <w:rPr>
          <w:rFonts w:ascii="仿宋_GB2312" w:eastAsia="仿宋_GB2312"/>
          <w:sz w:val="32"/>
          <w:szCs w:val="32"/>
        </w:rPr>
        <w:tab/>
      </w:r>
      <w:r>
        <w:rPr>
          <w:rFonts w:ascii="仿宋_GB2312" w:eastAsia="仿宋_GB2312"/>
          <w:sz w:val="32"/>
          <w:szCs w:val="32"/>
        </w:rPr>
        <w:t>12</w:t>
      </w:r>
    </w:p>
    <w:p>
      <w:pPr>
        <w:pStyle w:val="12"/>
        <w:adjustRightInd w:val="0"/>
        <w:snapToGrid w:val="0"/>
        <w:spacing w:line="560" w:lineRule="exact"/>
        <w:ind w:left="0" w:leftChars="0" w:firstLine="640" w:firstLineChars="200"/>
        <w:jc w:val="left"/>
        <w:rPr>
          <w:rFonts w:ascii="仿宋_GB2312" w:eastAsia="仿宋_GB2312"/>
          <w:sz w:val="32"/>
          <w:szCs w:val="32"/>
        </w:rPr>
      </w:pPr>
      <w:r>
        <w:rPr>
          <w:rFonts w:hint="eastAsia" w:ascii="仿宋_GB2312" w:eastAsia="仿宋_GB2312"/>
          <w:sz w:val="32"/>
          <w:szCs w:val="32"/>
        </w:rPr>
        <w:t>九、国有资本经营预算支出决算情况说明</w:t>
      </w:r>
      <w:r>
        <w:rPr>
          <w:rFonts w:ascii="仿宋_GB2312" w:eastAsia="仿宋_GB2312"/>
          <w:sz w:val="32"/>
          <w:szCs w:val="32"/>
        </w:rPr>
        <w:tab/>
      </w:r>
      <w:r>
        <w:rPr>
          <w:rFonts w:ascii="仿宋_GB2312" w:eastAsia="仿宋_GB2312"/>
          <w:sz w:val="32"/>
          <w:szCs w:val="32"/>
        </w:rPr>
        <w:t>12</w:t>
      </w:r>
    </w:p>
    <w:p>
      <w:pPr>
        <w:pStyle w:val="12"/>
        <w:adjustRightInd w:val="0"/>
        <w:snapToGrid w:val="0"/>
        <w:spacing w:line="560" w:lineRule="exact"/>
        <w:ind w:left="0" w:leftChars="0" w:firstLine="640" w:firstLineChars="200"/>
        <w:jc w:val="left"/>
        <w:rPr>
          <w:rFonts w:ascii="仿宋_GB2312" w:eastAsia="仿宋_GB2312"/>
          <w:sz w:val="32"/>
          <w:szCs w:val="32"/>
        </w:rPr>
      </w:pPr>
      <w:r>
        <w:rPr>
          <w:rStyle w:val="17"/>
          <w:rFonts w:hint="eastAsia"/>
          <w:color w:val="000000"/>
          <w:sz w:val="32"/>
          <w:szCs w:val="32"/>
          <w:u w:val="none"/>
        </w:rPr>
        <w:t>十、</w:t>
      </w:r>
      <w:r>
        <w:rPr>
          <w:rFonts w:hint="eastAsia" w:ascii="仿宋_GB2312" w:eastAsia="仿宋_GB2312"/>
          <w:sz w:val="32"/>
          <w:szCs w:val="32"/>
        </w:rPr>
        <w:t>其他重要事项的情况说明</w:t>
      </w:r>
      <w:r>
        <w:rPr>
          <w:rFonts w:ascii="仿宋_GB2312" w:eastAsia="仿宋_GB2312"/>
          <w:sz w:val="32"/>
          <w:szCs w:val="32"/>
        </w:rPr>
        <w:tab/>
      </w:r>
      <w:r>
        <w:rPr>
          <w:rFonts w:ascii="仿宋_GB2312" w:eastAsia="仿宋_GB2312"/>
          <w:sz w:val="32"/>
          <w:szCs w:val="32"/>
        </w:rPr>
        <w:t>12</w:t>
      </w:r>
    </w:p>
    <w:p>
      <w:pPr>
        <w:pStyle w:val="11"/>
        <w:adjustRightInd w:val="0"/>
        <w:snapToGrid w:val="0"/>
        <w:spacing w:before="0" w:line="560" w:lineRule="exact"/>
        <w:ind w:firstLine="321" w:firstLineChars="100"/>
        <w:jc w:val="left"/>
        <w:rPr>
          <w:rFonts w:hint="eastAsia" w:ascii="仿宋_GB2312" w:eastAsia="仿宋_GB2312" w:cs="Arial"/>
          <w:sz w:val="32"/>
          <w:szCs w:val="32"/>
          <w:lang w:val="en-US" w:eastAsia="zh-CN"/>
        </w:rPr>
      </w:pPr>
      <w:r>
        <w:rPr>
          <w:rFonts w:hint="eastAsia" w:ascii="仿宋_GB2312" w:eastAsia="仿宋_GB2312"/>
          <w:b/>
          <w:sz w:val="32"/>
          <w:szCs w:val="32"/>
        </w:rPr>
        <w:t>第三部分 名词解释</w:t>
      </w:r>
      <w:r>
        <w:rPr>
          <w:rFonts w:ascii="仿宋_GB2312" w:eastAsia="仿宋_GB2312"/>
          <w:sz w:val="32"/>
          <w:szCs w:val="32"/>
        </w:rPr>
        <w:tab/>
      </w:r>
      <w:r>
        <w:rPr>
          <w:rFonts w:hint="eastAsia" w:ascii="仿宋_GB2312" w:eastAsia="仿宋_GB2312"/>
          <w:sz w:val="32"/>
          <w:szCs w:val="32"/>
        </w:rPr>
        <w:t>1</w:t>
      </w:r>
      <w:r>
        <w:rPr>
          <w:rFonts w:hint="eastAsia" w:ascii="仿宋_GB2312" w:eastAsia="仿宋_GB2312"/>
          <w:sz w:val="32"/>
          <w:szCs w:val="32"/>
          <w:lang w:val="en-US" w:eastAsia="zh-CN"/>
        </w:rPr>
        <w:t>4</w:t>
      </w:r>
    </w:p>
    <w:p>
      <w:pPr>
        <w:pStyle w:val="11"/>
        <w:adjustRightInd w:val="0"/>
        <w:snapToGrid w:val="0"/>
        <w:spacing w:before="0" w:line="560" w:lineRule="exact"/>
        <w:ind w:firstLine="321" w:firstLineChars="100"/>
        <w:jc w:val="left"/>
        <w:rPr>
          <w:rFonts w:hint="eastAsia" w:ascii="仿宋_GB2312" w:eastAsia="仿宋_GB2312" w:cs="Arial"/>
          <w:sz w:val="32"/>
          <w:szCs w:val="32"/>
          <w:lang w:val="en-US" w:eastAsia="zh-CN"/>
        </w:rPr>
      </w:pPr>
      <w:r>
        <w:rPr>
          <w:rFonts w:hint="eastAsia" w:ascii="仿宋_GB2312" w:eastAsia="仿宋_GB2312"/>
          <w:b/>
          <w:sz w:val="32"/>
          <w:szCs w:val="32"/>
        </w:rPr>
        <w:t>第四部分 附件</w:t>
      </w:r>
      <w:r>
        <w:rPr>
          <w:rFonts w:ascii="仿宋_GB2312" w:eastAsia="仿宋_GB2312"/>
          <w:sz w:val="32"/>
          <w:szCs w:val="32"/>
        </w:rPr>
        <w:tab/>
      </w:r>
      <w:r>
        <w:rPr>
          <w:rFonts w:ascii="仿宋_GB2312" w:eastAsia="仿宋_GB2312"/>
          <w:sz w:val="32"/>
          <w:szCs w:val="32"/>
        </w:rPr>
        <w:t>1</w:t>
      </w:r>
      <w:r>
        <w:rPr>
          <w:rFonts w:hint="eastAsia" w:ascii="仿宋_GB2312" w:eastAsia="仿宋_GB2312"/>
          <w:sz w:val="32"/>
          <w:szCs w:val="32"/>
          <w:lang w:val="en-US" w:eastAsia="zh-CN"/>
        </w:rPr>
        <w:t>6</w:t>
      </w:r>
    </w:p>
    <w:p>
      <w:pPr>
        <w:pStyle w:val="12"/>
        <w:adjustRightInd w:val="0"/>
        <w:snapToGrid w:val="0"/>
        <w:spacing w:line="560" w:lineRule="exact"/>
        <w:ind w:left="0" w:leftChars="0" w:firstLine="640" w:firstLineChars="200"/>
        <w:jc w:val="left"/>
        <w:rPr>
          <w:rFonts w:hint="eastAsia" w:ascii="仿宋_GB2312" w:eastAsia="仿宋_GB2312" w:cs="Arial"/>
          <w:sz w:val="32"/>
          <w:szCs w:val="32"/>
          <w:lang w:val="en-US" w:eastAsia="zh-CN"/>
        </w:rPr>
      </w:pPr>
      <w:r>
        <w:rPr>
          <w:rFonts w:hint="eastAsia" w:ascii="仿宋_GB2312" w:eastAsia="仿宋_GB2312"/>
          <w:sz w:val="32"/>
          <w:szCs w:val="32"/>
        </w:rPr>
        <w:t>附件</w:t>
      </w:r>
      <w:r>
        <w:rPr>
          <w:rFonts w:ascii="仿宋_GB2312" w:eastAsia="仿宋_GB2312"/>
          <w:sz w:val="32"/>
          <w:szCs w:val="32"/>
        </w:rPr>
        <w:tab/>
      </w:r>
      <w:r>
        <w:rPr>
          <w:rFonts w:hint="eastAsia" w:ascii="仿宋_GB2312" w:eastAsia="仿宋_GB2312"/>
          <w:sz w:val="32"/>
          <w:szCs w:val="32"/>
        </w:rPr>
        <w:t>1</w:t>
      </w:r>
      <w:r>
        <w:rPr>
          <w:rFonts w:hint="eastAsia" w:ascii="仿宋_GB2312" w:eastAsia="仿宋_GB2312"/>
          <w:sz w:val="32"/>
          <w:szCs w:val="32"/>
          <w:lang w:val="en-US" w:eastAsia="zh-CN"/>
        </w:rPr>
        <w:t>6</w:t>
      </w:r>
    </w:p>
    <w:p>
      <w:pPr>
        <w:pStyle w:val="11"/>
        <w:adjustRightInd w:val="0"/>
        <w:snapToGrid w:val="0"/>
        <w:spacing w:before="0" w:line="560" w:lineRule="exact"/>
        <w:ind w:firstLine="321" w:firstLineChars="100"/>
        <w:jc w:val="left"/>
        <w:rPr>
          <w:rFonts w:hint="default" w:ascii="仿宋_GB2312" w:eastAsia="仿宋_GB2312" w:cs="Arial"/>
          <w:sz w:val="32"/>
          <w:szCs w:val="32"/>
          <w:lang w:val="en-US" w:eastAsia="zh-CN"/>
        </w:rPr>
      </w:pPr>
      <w:r>
        <w:rPr>
          <w:rFonts w:hint="eastAsia" w:ascii="仿宋_GB2312" w:eastAsia="仿宋_GB2312"/>
          <w:b/>
          <w:sz w:val="32"/>
          <w:szCs w:val="32"/>
        </w:rPr>
        <w:t>第五部分 附表</w:t>
      </w:r>
      <w:r>
        <w:rPr>
          <w:rFonts w:ascii="仿宋_GB2312" w:eastAsia="仿宋_GB2312"/>
          <w:sz w:val="32"/>
          <w:szCs w:val="32"/>
        </w:rPr>
        <w:tab/>
      </w:r>
      <w:r>
        <w:rPr>
          <w:rFonts w:hint="eastAsia" w:ascii="仿宋_GB2312" w:eastAsia="仿宋_GB2312"/>
          <w:sz w:val="32"/>
          <w:szCs w:val="32"/>
          <w:lang w:val="en-US" w:eastAsia="zh-CN"/>
        </w:rPr>
        <w:t>19</w:t>
      </w:r>
    </w:p>
    <w:p>
      <w:pPr>
        <w:pStyle w:val="12"/>
        <w:adjustRightInd w:val="0"/>
        <w:snapToGrid w:val="0"/>
        <w:spacing w:line="560" w:lineRule="exact"/>
        <w:ind w:left="0" w:leftChars="0" w:firstLine="1120" w:firstLineChars="350"/>
        <w:jc w:val="left"/>
        <w:rPr>
          <w:rFonts w:hint="default" w:ascii="仿宋_GB2312" w:eastAsia="仿宋_GB2312" w:cs="Arial"/>
          <w:sz w:val="32"/>
          <w:szCs w:val="32"/>
          <w:lang w:val="en-US" w:eastAsia="zh-CN"/>
        </w:rPr>
      </w:pPr>
      <w:r>
        <w:rPr>
          <w:rFonts w:hint="eastAsia" w:ascii="仿宋_GB2312" w:eastAsia="仿宋_GB2312"/>
          <w:sz w:val="32"/>
          <w:szCs w:val="32"/>
        </w:rPr>
        <w:t>一、收入支出决算总表</w:t>
      </w:r>
      <w:r>
        <w:rPr>
          <w:rFonts w:ascii="仿宋_GB2312" w:eastAsia="仿宋_GB2312"/>
          <w:sz w:val="32"/>
          <w:szCs w:val="32"/>
        </w:rPr>
        <w:tab/>
      </w:r>
      <w:r>
        <w:rPr>
          <w:rFonts w:hint="eastAsia" w:ascii="仿宋_GB2312" w:eastAsia="仿宋_GB2312"/>
          <w:sz w:val="32"/>
          <w:szCs w:val="32"/>
          <w:lang w:val="en-US" w:eastAsia="zh-CN"/>
        </w:rPr>
        <w:t>19</w:t>
      </w:r>
    </w:p>
    <w:p>
      <w:pPr>
        <w:pStyle w:val="12"/>
        <w:adjustRightInd w:val="0"/>
        <w:snapToGrid w:val="0"/>
        <w:spacing w:line="560" w:lineRule="exact"/>
        <w:ind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二、收入决算表</w:t>
      </w:r>
      <w:r>
        <w:rPr>
          <w:rFonts w:ascii="仿宋_GB2312" w:eastAsia="仿宋_GB2312"/>
          <w:sz w:val="32"/>
          <w:szCs w:val="32"/>
        </w:rPr>
        <w:tab/>
      </w:r>
      <w:r>
        <w:rPr>
          <w:rFonts w:hint="eastAsia" w:ascii="仿宋_GB2312" w:eastAsia="仿宋_GB2312"/>
          <w:sz w:val="32"/>
          <w:szCs w:val="32"/>
          <w:lang w:val="en-US" w:eastAsia="zh-CN"/>
        </w:rPr>
        <w:t>19</w:t>
      </w:r>
    </w:p>
    <w:p>
      <w:pPr>
        <w:pStyle w:val="12"/>
        <w:adjustRightInd w:val="0"/>
        <w:snapToGrid w:val="0"/>
        <w:spacing w:line="560" w:lineRule="exact"/>
        <w:ind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三、支出决算表</w:t>
      </w:r>
      <w:r>
        <w:rPr>
          <w:rFonts w:ascii="仿宋_GB2312" w:eastAsia="仿宋_GB2312"/>
          <w:sz w:val="32"/>
          <w:szCs w:val="32"/>
        </w:rPr>
        <w:tab/>
      </w:r>
      <w:r>
        <w:rPr>
          <w:rFonts w:hint="eastAsia" w:ascii="仿宋_GB2312" w:eastAsia="仿宋_GB2312"/>
          <w:sz w:val="32"/>
          <w:szCs w:val="32"/>
          <w:lang w:val="en-US" w:eastAsia="zh-CN"/>
        </w:rPr>
        <w:t>19</w:t>
      </w:r>
    </w:p>
    <w:p>
      <w:pPr>
        <w:pStyle w:val="12"/>
        <w:adjustRightInd w:val="0"/>
        <w:snapToGrid w:val="0"/>
        <w:spacing w:line="560" w:lineRule="exact"/>
        <w:ind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四、财政拨款收入支出决算总表</w:t>
      </w:r>
      <w:r>
        <w:rPr>
          <w:rFonts w:ascii="仿宋_GB2312" w:eastAsia="仿宋_GB2312"/>
          <w:sz w:val="32"/>
          <w:szCs w:val="32"/>
        </w:rPr>
        <w:tab/>
      </w:r>
      <w:r>
        <w:rPr>
          <w:rFonts w:hint="eastAsia" w:ascii="仿宋_GB2312" w:eastAsia="仿宋_GB2312"/>
          <w:sz w:val="32"/>
          <w:szCs w:val="32"/>
          <w:lang w:val="en-US" w:eastAsia="zh-CN"/>
        </w:rPr>
        <w:t>19</w:t>
      </w:r>
    </w:p>
    <w:p>
      <w:pPr>
        <w:pStyle w:val="12"/>
        <w:adjustRightInd w:val="0"/>
        <w:snapToGrid w:val="0"/>
        <w:spacing w:line="560" w:lineRule="exact"/>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rPr>
        <w:t>五、财政拨款支出决算明细表</w:t>
      </w:r>
      <w:r>
        <w:rPr>
          <w:rFonts w:ascii="仿宋_GB2312" w:eastAsia="仿宋_GB2312"/>
          <w:sz w:val="32"/>
          <w:szCs w:val="32"/>
        </w:rPr>
        <w:tab/>
      </w:r>
      <w:r>
        <w:rPr>
          <w:rFonts w:hint="eastAsia" w:ascii="仿宋_GB2312" w:eastAsia="仿宋_GB2312"/>
          <w:sz w:val="32"/>
          <w:szCs w:val="32"/>
          <w:lang w:val="en-US" w:eastAsia="zh-CN"/>
        </w:rPr>
        <w:t>19</w:t>
      </w:r>
    </w:p>
    <w:p>
      <w:pPr>
        <w:pStyle w:val="12"/>
        <w:adjustRightInd w:val="0"/>
        <w:snapToGrid w:val="0"/>
        <w:spacing w:line="560" w:lineRule="exact"/>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rPr>
        <w:t>六、一般公共预算财政拨款支出决算表</w:t>
      </w:r>
      <w:r>
        <w:rPr>
          <w:rFonts w:ascii="仿宋_GB2312" w:eastAsia="仿宋_GB2312"/>
          <w:sz w:val="32"/>
          <w:szCs w:val="32"/>
        </w:rPr>
        <w:tab/>
      </w:r>
      <w:r>
        <w:rPr>
          <w:rFonts w:hint="eastAsia" w:ascii="仿宋_GB2312" w:eastAsia="仿宋_GB2312"/>
          <w:sz w:val="32"/>
          <w:szCs w:val="32"/>
          <w:lang w:val="en-US" w:eastAsia="zh-CN"/>
        </w:rPr>
        <w:t>19</w:t>
      </w:r>
    </w:p>
    <w:p>
      <w:pPr>
        <w:pStyle w:val="12"/>
        <w:adjustRightInd w:val="0"/>
        <w:snapToGrid w:val="0"/>
        <w:spacing w:line="560" w:lineRule="exact"/>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rPr>
        <w:t>七、一般公共预算财政拨款支出决算明细表</w:t>
      </w:r>
      <w:r>
        <w:rPr>
          <w:rFonts w:ascii="仿宋_GB2312" w:eastAsia="仿宋_GB2312"/>
          <w:sz w:val="32"/>
          <w:szCs w:val="32"/>
        </w:rPr>
        <w:tab/>
      </w:r>
      <w:r>
        <w:rPr>
          <w:rFonts w:hint="eastAsia" w:ascii="仿宋_GB2312" w:eastAsia="仿宋_GB2312"/>
          <w:sz w:val="32"/>
          <w:szCs w:val="32"/>
          <w:lang w:val="en-US" w:eastAsia="zh-CN"/>
        </w:rPr>
        <w:t>19</w:t>
      </w:r>
    </w:p>
    <w:p>
      <w:pPr>
        <w:pStyle w:val="12"/>
        <w:adjustRightInd w:val="0"/>
        <w:snapToGrid w:val="0"/>
        <w:spacing w:line="560" w:lineRule="exact"/>
        <w:ind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八、一般公共预算财政拨款基本支出决算表</w:t>
      </w:r>
      <w:r>
        <w:rPr>
          <w:rFonts w:ascii="仿宋_GB2312" w:eastAsia="仿宋_GB2312"/>
          <w:sz w:val="32"/>
          <w:szCs w:val="32"/>
        </w:rPr>
        <w:tab/>
      </w:r>
      <w:r>
        <w:rPr>
          <w:rFonts w:hint="eastAsia" w:ascii="仿宋_GB2312" w:eastAsia="仿宋_GB2312"/>
          <w:sz w:val="32"/>
          <w:szCs w:val="32"/>
          <w:lang w:val="en-US" w:eastAsia="zh-CN"/>
        </w:rPr>
        <w:t>19</w:t>
      </w:r>
    </w:p>
    <w:p>
      <w:pPr>
        <w:pStyle w:val="12"/>
        <w:adjustRightInd w:val="0"/>
        <w:snapToGrid w:val="0"/>
        <w:spacing w:line="560" w:lineRule="exact"/>
        <w:ind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九、一般公共预算财政拨款项目支出决算表</w:t>
      </w:r>
      <w:r>
        <w:rPr>
          <w:rFonts w:ascii="仿宋_GB2312" w:eastAsia="仿宋_GB2312"/>
          <w:sz w:val="32"/>
          <w:szCs w:val="32"/>
        </w:rPr>
        <w:tab/>
      </w:r>
      <w:r>
        <w:rPr>
          <w:rFonts w:hint="eastAsia" w:ascii="仿宋_GB2312" w:eastAsia="仿宋_GB2312"/>
          <w:sz w:val="32"/>
          <w:szCs w:val="32"/>
          <w:lang w:val="en-US" w:eastAsia="zh-CN"/>
        </w:rPr>
        <w:t>19</w:t>
      </w:r>
    </w:p>
    <w:p>
      <w:pPr>
        <w:pStyle w:val="12"/>
        <w:adjustRightInd w:val="0"/>
        <w:snapToGri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十、一般公共预算财政拨款“三公”经费支出决算</w:t>
      </w:r>
    </w:p>
    <w:p>
      <w:pPr>
        <w:pStyle w:val="12"/>
        <w:adjustRightInd w:val="0"/>
        <w:snapToGrid w:val="0"/>
        <w:spacing w:line="560" w:lineRule="exact"/>
        <w:jc w:val="left"/>
        <w:rPr>
          <w:rFonts w:hint="default" w:ascii="仿宋_GB2312" w:eastAsia="仿宋_GB2312" w:cs="Arial"/>
          <w:sz w:val="32"/>
          <w:szCs w:val="32"/>
          <w:lang w:val="en-US" w:eastAsia="zh-CN"/>
        </w:rPr>
      </w:pPr>
      <w:r>
        <w:rPr>
          <w:rFonts w:hint="eastAsia" w:ascii="仿宋_GB2312" w:eastAsia="仿宋_GB2312"/>
          <w:sz w:val="32"/>
          <w:szCs w:val="32"/>
        </w:rPr>
        <w:t>表</w:t>
      </w:r>
      <w:r>
        <w:rPr>
          <w:rFonts w:ascii="仿宋_GB2312" w:eastAsia="仿宋_GB2312"/>
          <w:sz w:val="32"/>
          <w:szCs w:val="32"/>
        </w:rPr>
        <w:tab/>
      </w:r>
      <w:r>
        <w:rPr>
          <w:rFonts w:hint="eastAsia" w:ascii="仿宋_GB2312" w:eastAsia="仿宋_GB2312"/>
          <w:sz w:val="32"/>
          <w:szCs w:val="32"/>
          <w:lang w:val="en-US" w:eastAsia="zh-CN"/>
        </w:rPr>
        <w:t>19</w:t>
      </w:r>
    </w:p>
    <w:p>
      <w:pPr>
        <w:pStyle w:val="12"/>
        <w:numPr>
          <w:ilvl w:val="0"/>
          <w:numId w:val="1"/>
        </w:numPr>
        <w:adjustRightInd w:val="0"/>
        <w:snapToGrid w:val="0"/>
        <w:spacing w:line="560" w:lineRule="exact"/>
        <w:ind w:left="1078" w:leftChars="490" w:firstLine="0"/>
        <w:jc w:val="left"/>
        <w:rPr>
          <w:rFonts w:hint="eastAsia" w:ascii="仿宋_GB2312" w:eastAsia="仿宋_GB2312"/>
          <w:sz w:val="32"/>
          <w:szCs w:val="32"/>
        </w:rPr>
      </w:pPr>
      <w:r>
        <w:rPr>
          <w:rFonts w:hint="eastAsia" w:ascii="仿宋_GB2312" w:eastAsia="仿宋_GB2312"/>
          <w:sz w:val="32"/>
          <w:szCs w:val="32"/>
        </w:rPr>
        <w:t>政府性基金预算财政拨款收入支出决算表</w:t>
      </w:r>
      <w:r>
        <w:rPr>
          <w:rFonts w:ascii="仿宋_GB2312" w:eastAsia="仿宋_GB2312"/>
          <w:sz w:val="32"/>
          <w:szCs w:val="32"/>
        </w:rPr>
        <w:tab/>
      </w:r>
      <w:r>
        <w:rPr>
          <w:rFonts w:hint="eastAsia" w:ascii="仿宋_GB2312" w:eastAsia="仿宋_GB2312"/>
          <w:sz w:val="32"/>
          <w:szCs w:val="32"/>
        </w:rPr>
        <w:t>..</w:t>
      </w:r>
      <w:r>
        <w:rPr>
          <w:rFonts w:hint="eastAsia" w:ascii="仿宋_GB2312" w:eastAsia="仿宋_GB2312"/>
          <w:sz w:val="32"/>
          <w:szCs w:val="32"/>
          <w:lang w:val="en-US" w:eastAsia="zh-CN"/>
        </w:rPr>
        <w:t>19</w:t>
      </w:r>
      <w:r>
        <w:rPr>
          <w:rFonts w:hint="eastAsia" w:ascii="仿宋_GB2312" w:eastAsia="仿宋_GB2312"/>
          <w:sz w:val="32"/>
          <w:szCs w:val="32"/>
        </w:rPr>
        <w:t>十二、政府性基金预算财政拨款“三公”经费支出决</w:t>
      </w:r>
    </w:p>
    <w:p>
      <w:pPr>
        <w:pStyle w:val="12"/>
        <w:adjustRightInd w:val="0"/>
        <w:snapToGrid w:val="0"/>
        <w:spacing w:line="560" w:lineRule="exact"/>
        <w:jc w:val="left"/>
        <w:rPr>
          <w:rFonts w:hint="default" w:ascii="仿宋_GB2312" w:eastAsia="仿宋_GB2312" w:cs="Arial"/>
          <w:sz w:val="32"/>
          <w:szCs w:val="32"/>
          <w:lang w:val="en-US" w:eastAsia="zh-CN"/>
        </w:rPr>
      </w:pPr>
      <w:r>
        <w:rPr>
          <w:rFonts w:hint="eastAsia" w:ascii="仿宋_GB2312" w:eastAsia="仿宋_GB2312"/>
          <w:sz w:val="32"/>
          <w:szCs w:val="32"/>
        </w:rPr>
        <w:t>算表</w:t>
      </w:r>
      <w:r>
        <w:rPr>
          <w:rFonts w:ascii="仿宋_GB2312" w:eastAsia="仿宋_GB2312"/>
          <w:sz w:val="32"/>
          <w:szCs w:val="32"/>
        </w:rPr>
        <w:tab/>
      </w:r>
      <w:r>
        <w:rPr>
          <w:rFonts w:hint="eastAsia" w:ascii="仿宋_GB2312" w:eastAsia="仿宋_GB2312"/>
          <w:sz w:val="32"/>
          <w:szCs w:val="32"/>
          <w:lang w:val="en-US" w:eastAsia="zh-CN"/>
        </w:rPr>
        <w:t>19</w:t>
      </w:r>
    </w:p>
    <w:p>
      <w:pPr>
        <w:pStyle w:val="12"/>
        <w:adjustRightInd w:val="0"/>
        <w:snapToGrid w:val="0"/>
        <w:spacing w:line="560" w:lineRule="exact"/>
        <w:ind w:firstLine="640" w:firstLineChars="200"/>
        <w:jc w:val="left"/>
        <w:rPr>
          <w:rFonts w:hint="default" w:ascii="仿宋_GB2312" w:eastAsia="仿宋_GB2312" w:cs="Arial"/>
          <w:sz w:val="32"/>
          <w:szCs w:val="32"/>
          <w:lang w:val="en-US" w:eastAsia="zh-CN"/>
        </w:rPr>
      </w:pPr>
      <w:r>
        <w:rPr>
          <w:rFonts w:hint="eastAsia" w:ascii="仿宋_GB2312" w:eastAsia="仿宋_GB2312"/>
          <w:sz w:val="32"/>
          <w:szCs w:val="32"/>
        </w:rPr>
        <w:t>十三、国有资本经营预算支出决算表</w:t>
      </w:r>
      <w:r>
        <w:rPr>
          <w:rFonts w:ascii="仿宋_GB2312" w:eastAsia="仿宋_GB2312"/>
          <w:sz w:val="32"/>
          <w:szCs w:val="32"/>
        </w:rPr>
        <w:tab/>
      </w:r>
      <w:r>
        <w:rPr>
          <w:rFonts w:hint="eastAsia" w:ascii="仿宋_GB2312" w:eastAsia="仿宋_GB2312"/>
          <w:sz w:val="32"/>
          <w:szCs w:val="32"/>
          <w:lang w:val="en-US" w:eastAsia="zh-CN"/>
        </w:rPr>
        <w:t>19</w:t>
      </w:r>
    </w:p>
    <w:p>
      <w:pPr>
        <w:spacing w:after="0" w:line="560" w:lineRule="exact"/>
        <w:jc w:val="both"/>
        <w:rPr>
          <w:rFonts w:ascii="方正小标宋简体" w:eastAsia="方正小标宋简体"/>
          <w:sz w:val="36"/>
          <w:szCs w:val="36"/>
        </w:rPr>
      </w:pPr>
    </w:p>
    <w:p>
      <w:pPr>
        <w:spacing w:after="0" w:line="560" w:lineRule="exact"/>
        <w:jc w:val="both"/>
        <w:rPr>
          <w:rFonts w:ascii="黑体" w:eastAsia="黑体"/>
          <w:color w:val="000000"/>
          <w:sz w:val="48"/>
          <w:szCs w:val="48"/>
        </w:rPr>
      </w:pPr>
      <w:r>
        <w:rPr>
          <w:rFonts w:ascii="方正小标宋简体" w:eastAsia="方正小标宋简体"/>
          <w:sz w:val="36"/>
          <w:szCs w:val="36"/>
        </w:rPr>
        <w:br w:type="page"/>
      </w:r>
    </w:p>
    <w:p>
      <w:pPr>
        <w:pStyle w:val="11"/>
        <w:adjustRightInd w:val="0"/>
        <w:snapToGrid w:val="0"/>
        <w:spacing w:before="0" w:line="560" w:lineRule="exact"/>
        <w:ind w:firstLine="660" w:firstLineChars="150"/>
        <w:rPr>
          <w:rFonts w:ascii="方正小标宋简体" w:eastAsia="方正小标宋简体"/>
          <w:sz w:val="44"/>
          <w:szCs w:val="44"/>
        </w:rPr>
      </w:pPr>
      <w:r>
        <w:rPr>
          <w:rFonts w:hint="eastAsia" w:ascii="方正小标宋简体" w:eastAsia="方正小标宋简体"/>
          <w:sz w:val="44"/>
          <w:szCs w:val="44"/>
        </w:rPr>
        <w:t>第一部分  单位概况</w:t>
      </w:r>
    </w:p>
    <w:p/>
    <w:p>
      <w:pPr>
        <w:pStyle w:val="12"/>
        <w:adjustRightInd w:val="0"/>
        <w:snapToGrid w:val="0"/>
        <w:spacing w:line="560" w:lineRule="exact"/>
        <w:ind w:firstLine="160" w:firstLineChars="50"/>
        <w:rPr>
          <w:rFonts w:ascii="黑体" w:eastAsia="黑体"/>
          <w:sz w:val="32"/>
          <w:szCs w:val="32"/>
        </w:rPr>
      </w:pPr>
      <w:r>
        <w:rPr>
          <w:rFonts w:hint="eastAsia" w:ascii="黑体" w:eastAsia="黑体"/>
          <w:sz w:val="32"/>
          <w:szCs w:val="32"/>
        </w:rPr>
        <w:t>一、基本职能及主要工作</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贯彻执行党和国家的方针政策和法律法规及省委、州委的决策部署，统筹协调全州网络安全和信息化工作，强化网络宣传，加强网络安全防护和风险防控，统筹协调全州网络安全和信息化工作。</w:t>
      </w:r>
    </w:p>
    <w:p>
      <w:pPr>
        <w:pStyle w:val="23"/>
        <w:spacing w:line="560" w:lineRule="exact"/>
        <w:ind w:firstLine="640" w:firstLineChars="200"/>
        <w:jc w:val="both"/>
        <w:rPr>
          <w:rFonts w:ascii="黑体" w:eastAsia="黑体" w:cs="Times New Roman"/>
          <w:color w:val="auto"/>
          <w:kern w:val="2"/>
          <w:sz w:val="32"/>
          <w:szCs w:val="32"/>
        </w:rPr>
      </w:pPr>
      <w:r>
        <w:rPr>
          <w:rFonts w:hint="eastAsia" w:ascii="黑体" w:eastAsia="黑体" w:cs="Times New Roman"/>
          <w:color w:val="auto"/>
          <w:kern w:val="2"/>
          <w:sz w:val="32"/>
          <w:szCs w:val="32"/>
        </w:rPr>
        <w:t>二、机构设置</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中共阿坝州委网信办是正县级单位，2021年末在职人员</w:t>
      </w:r>
      <w:r>
        <w:rPr>
          <w:rFonts w:hint="eastAsia" w:ascii="仿宋_GB2312" w:eastAsia="仿宋_GB2312"/>
          <w:sz w:val="32"/>
          <w:szCs w:val="32"/>
          <w:lang w:val="en-US" w:eastAsia="zh-CN"/>
        </w:rPr>
        <w:t>8</w:t>
      </w:r>
      <w:r>
        <w:rPr>
          <w:rFonts w:hint="eastAsia" w:ascii="仿宋_GB2312" w:eastAsia="仿宋_GB2312"/>
          <w:sz w:val="32"/>
          <w:szCs w:val="32"/>
        </w:rPr>
        <w:t>名。</w:t>
      </w: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ind w:firstLine="880" w:firstLineChars="200"/>
        <w:jc w:val="both"/>
        <w:rPr>
          <w:rFonts w:ascii="黑体" w:eastAsia="黑体" w:cs="Times New Roman"/>
          <w:color w:val="auto"/>
          <w:kern w:val="2"/>
          <w:sz w:val="44"/>
          <w:szCs w:val="44"/>
        </w:rPr>
      </w:pPr>
    </w:p>
    <w:p>
      <w:pPr>
        <w:pStyle w:val="23"/>
        <w:spacing w:line="560" w:lineRule="exact"/>
        <w:ind w:firstLine="880" w:firstLineChars="200"/>
        <w:jc w:val="both"/>
        <w:rPr>
          <w:rFonts w:ascii="黑体" w:eastAsia="黑体" w:cs="Times New Roman"/>
          <w:color w:val="auto"/>
          <w:kern w:val="2"/>
          <w:sz w:val="44"/>
          <w:szCs w:val="44"/>
        </w:rPr>
      </w:pPr>
    </w:p>
    <w:p>
      <w:pPr>
        <w:pStyle w:val="23"/>
        <w:spacing w:line="560" w:lineRule="exact"/>
        <w:ind w:firstLine="880" w:firstLineChars="200"/>
        <w:jc w:val="both"/>
        <w:rPr>
          <w:rFonts w:hint="eastAsia" w:ascii="方正小标宋_GBK" w:eastAsia="方正小标宋_GBK" w:cs="Times New Roman"/>
          <w:color w:val="auto"/>
          <w:kern w:val="2"/>
          <w:sz w:val="44"/>
          <w:szCs w:val="44"/>
        </w:rPr>
      </w:pPr>
    </w:p>
    <w:p>
      <w:pPr>
        <w:pStyle w:val="23"/>
        <w:spacing w:line="560" w:lineRule="exact"/>
        <w:ind w:firstLine="880" w:firstLineChars="200"/>
        <w:jc w:val="both"/>
        <w:rPr>
          <w:rFonts w:ascii="方正小标宋_GBK" w:eastAsia="方正小标宋_GBK" w:cs="Times New Roman"/>
          <w:color w:val="auto"/>
          <w:kern w:val="2"/>
          <w:sz w:val="44"/>
          <w:szCs w:val="44"/>
        </w:rPr>
      </w:pPr>
      <w:r>
        <w:rPr>
          <w:rFonts w:hint="eastAsia" w:ascii="方正小标宋_GBK" w:eastAsia="方正小标宋_GBK" w:cs="Times New Roman"/>
          <w:color w:val="auto"/>
          <w:kern w:val="2"/>
          <w:sz w:val="44"/>
          <w:szCs w:val="44"/>
        </w:rPr>
        <w:t>第二部分 年度单位决算情况说明</w:t>
      </w:r>
    </w:p>
    <w:p>
      <w:pPr>
        <w:pStyle w:val="23"/>
        <w:spacing w:line="560" w:lineRule="exact"/>
        <w:ind w:firstLine="880" w:firstLineChars="200"/>
        <w:jc w:val="both"/>
        <w:rPr>
          <w:rFonts w:ascii="方正小标宋_GBK" w:eastAsia="方正小标宋_GBK" w:cs="Times New Roman"/>
          <w:color w:val="auto"/>
          <w:kern w:val="2"/>
          <w:sz w:val="44"/>
          <w:szCs w:val="44"/>
        </w:rPr>
      </w:pPr>
    </w:p>
    <w:p>
      <w:pPr>
        <w:pStyle w:val="23"/>
        <w:spacing w:line="560" w:lineRule="exact"/>
        <w:ind w:firstLine="640" w:firstLineChars="200"/>
        <w:jc w:val="both"/>
        <w:rPr>
          <w:rFonts w:ascii="黑体" w:eastAsia="黑体"/>
          <w:sz w:val="32"/>
          <w:szCs w:val="32"/>
        </w:rPr>
      </w:pPr>
      <w:r>
        <w:rPr>
          <w:rFonts w:hint="eastAsia" w:ascii="黑体" w:eastAsia="黑体"/>
          <w:sz w:val="32"/>
          <w:szCs w:val="32"/>
        </w:rPr>
        <w:t>一、单位收入支出决算总体情况说明</w:t>
      </w:r>
    </w:p>
    <w:p>
      <w:pPr>
        <w:pStyle w:val="23"/>
        <w:spacing w:line="560" w:lineRule="exact"/>
        <w:ind w:firstLine="482" w:firstLineChars="150"/>
        <w:jc w:val="both"/>
        <w:rPr>
          <w:rFonts w:hint="eastAsia" w:ascii="仿宋_GB2312" w:eastAsia="仿宋_GB2312"/>
          <w:sz w:val="32"/>
          <w:szCs w:val="32"/>
        </w:rPr>
      </w:pPr>
      <w:r>
        <w:rPr>
          <w:rFonts w:hint="eastAsia" w:ascii="楷体_GB2312" w:eastAsia="楷体_GB2312"/>
          <w:b/>
          <w:sz w:val="32"/>
          <w:szCs w:val="32"/>
        </w:rPr>
        <w:t>（一） 单位收入情况。</w:t>
      </w:r>
      <w:r>
        <w:rPr>
          <w:rFonts w:hint="eastAsia" w:ascii="仿宋_GB2312" w:eastAsia="仿宋_GB2312"/>
          <w:sz w:val="32"/>
          <w:szCs w:val="32"/>
        </w:rPr>
        <w:t>2021年度资金总收入946.21万元（本年财政拨款469.40万元，年初结转结余476.82万元），2020年度单位资金总收入877.14万元，同比增长7.87%。变动原因：</w:t>
      </w:r>
      <w:r>
        <w:rPr>
          <w:rFonts w:hint="eastAsia" w:ascii="仿宋_GB2312" w:eastAsia="仿宋_GB2312"/>
          <w:sz w:val="32"/>
          <w:szCs w:val="32"/>
          <w:lang w:val="en-US" w:eastAsia="zh-CN"/>
        </w:rPr>
        <w:t>增加人员经费收入</w:t>
      </w:r>
      <w:r>
        <w:rPr>
          <w:rFonts w:hint="eastAsia" w:ascii="仿宋_GB2312" w:eastAsia="仿宋_GB2312"/>
          <w:sz w:val="32"/>
          <w:szCs w:val="32"/>
        </w:rPr>
        <w:t>。</w:t>
      </w:r>
    </w:p>
    <w:p>
      <w:pPr>
        <w:pStyle w:val="23"/>
        <w:spacing w:line="560" w:lineRule="exact"/>
        <w:ind w:firstLine="480" w:firstLineChars="150"/>
        <w:jc w:val="both"/>
        <w:rPr>
          <w:rFonts w:hint="eastAsia"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r>
        <w:rPr>
          <w:rFonts w:ascii="仿宋_GB2312" w:eastAsia="仿宋_GB2312"/>
          <w:sz w:val="32"/>
          <w:szCs w:val="32"/>
        </w:rPr>
        <w:pict>
          <v:shape id="_x0000_s1026" o:spid="_x0000_s1026" o:spt="75" type="#_x0000_t75" style="position:absolute;left:0pt;margin-left:42.95pt;margin-top:-53.4pt;height:194.05pt;width:303.85pt;mso-wrap-distance-bottom:0pt;mso-wrap-distance-left:8.95pt;mso-wrap-distance-right:8.95pt;mso-wrap-distance-top:0pt;z-index:251659264;mso-width-relative:page;mso-height-relative:page;" o:ole="t" filled="f" o:preferrelative="t" stroked="t" coordsize="21600,21600">
            <v:path/>
            <v:fill on="f" focussize="0,0"/>
            <v:stroke color="#000000"/>
            <v:imagedata r:id="rId8" o:title="6655798541664698785209"/>
            <o:lock v:ext="edit" aspectratio="t"/>
            <w10:wrap type="square"/>
          </v:shape>
          <o:OLEObject Type="Embed" ProgID="Package" ShapeID="_x0000_s1026" DrawAspect="Icon" ObjectID="_1468075725" r:id="rId7">
            <o:LockedField>false</o:LockedField>
          </o:OLEObject>
        </w:pict>
      </w:r>
    </w:p>
    <w:p>
      <w:pPr>
        <w:pStyle w:val="23"/>
        <w:spacing w:line="560" w:lineRule="exact"/>
        <w:ind w:firstLine="480" w:firstLineChars="150"/>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（图1：收入变动情况图）</w:t>
      </w:r>
    </w:p>
    <w:p>
      <w:pPr>
        <w:pStyle w:val="23"/>
        <w:numPr>
          <w:numId w:val="0"/>
        </w:numPr>
        <w:spacing w:line="560" w:lineRule="exact"/>
        <w:ind w:firstLine="643" w:firstLineChars="200"/>
        <w:jc w:val="both"/>
        <w:rPr>
          <w:rFonts w:hint="eastAsia" w:ascii="仿宋_GB2312" w:eastAsia="仿宋_GB2312"/>
          <w:sz w:val="32"/>
          <w:szCs w:val="32"/>
          <w:lang w:val="en-US" w:eastAsia="zh-CN"/>
        </w:rPr>
      </w:pPr>
      <w:r>
        <w:rPr>
          <w:rFonts w:hint="eastAsia" w:ascii="楷体_GB2312" w:eastAsia="楷体_GB2312"/>
          <w:b/>
          <w:sz w:val="32"/>
          <w:szCs w:val="32"/>
          <w:lang w:eastAsia="zh-CN"/>
        </w:rPr>
        <w:t>（</w:t>
      </w:r>
      <w:r>
        <w:rPr>
          <w:rFonts w:hint="eastAsia" w:ascii="楷体_GB2312" w:eastAsia="楷体_GB2312"/>
          <w:b/>
          <w:sz w:val="32"/>
          <w:szCs w:val="32"/>
          <w:lang w:val="en-US" w:eastAsia="zh-CN"/>
        </w:rPr>
        <w:t>二</w:t>
      </w:r>
      <w:r>
        <w:rPr>
          <w:rFonts w:hint="eastAsia" w:ascii="楷体_GB2312" w:eastAsia="楷体_GB2312"/>
          <w:b/>
          <w:sz w:val="32"/>
          <w:szCs w:val="32"/>
          <w:lang w:eastAsia="zh-CN"/>
        </w:rPr>
        <w:t>）</w:t>
      </w:r>
      <w:r>
        <w:rPr>
          <w:rFonts w:hint="eastAsia" w:ascii="楷体_GB2312" w:eastAsia="楷体_GB2312"/>
          <w:b/>
          <w:sz w:val="32"/>
          <w:szCs w:val="32"/>
        </w:rPr>
        <w:t>单位支出情况。</w:t>
      </w:r>
      <w:r>
        <w:rPr>
          <w:rFonts w:hint="eastAsia" w:ascii="仿宋_GB2312" w:eastAsia="仿宋_GB2312"/>
          <w:sz w:val="32"/>
          <w:szCs w:val="32"/>
        </w:rPr>
        <w:t>2021年总支出946.21万元，2020年总支出</w:t>
      </w:r>
      <w:r>
        <w:rPr>
          <w:rFonts w:hint="eastAsia" w:ascii="仿宋_GB2312" w:eastAsia="仿宋_GB2312"/>
          <w:sz w:val="32"/>
          <w:szCs w:val="32"/>
          <w:lang w:val="en-US" w:eastAsia="zh-CN"/>
        </w:rPr>
        <w:t>394.13</w:t>
      </w:r>
      <w:r>
        <w:rPr>
          <w:rFonts w:hint="eastAsia" w:ascii="仿宋_GB2312" w:eastAsia="仿宋_GB2312"/>
          <w:sz w:val="32"/>
          <w:szCs w:val="32"/>
        </w:rPr>
        <w:t>万元，同比增长</w:t>
      </w:r>
      <w:r>
        <w:rPr>
          <w:rFonts w:hint="eastAsia" w:ascii="仿宋_GB2312" w:eastAsia="仿宋_GB2312"/>
          <w:sz w:val="32"/>
          <w:szCs w:val="32"/>
          <w:lang w:val="en-US" w:eastAsia="zh-CN"/>
        </w:rPr>
        <w:t>140.08</w:t>
      </w:r>
      <w:r>
        <w:rPr>
          <w:rFonts w:hint="eastAsia" w:ascii="仿宋_GB2312" w:eastAsia="仿宋_GB2312"/>
          <w:sz w:val="32"/>
          <w:szCs w:val="32"/>
        </w:rPr>
        <w:t>%。变动原因：</w:t>
      </w:r>
      <w:r>
        <w:rPr>
          <w:rFonts w:hint="eastAsia" w:ascii="仿宋_GB2312" w:eastAsia="仿宋_GB2312"/>
          <w:sz w:val="32"/>
          <w:szCs w:val="32"/>
          <w:lang w:val="en-US" w:eastAsia="zh-CN"/>
        </w:rPr>
        <w:t>新增项目经费支出及增加人员经费支出。</w:t>
      </w:r>
    </w:p>
    <w:p>
      <w:pPr>
        <w:pStyle w:val="23"/>
        <w:widowControl w:val="0"/>
        <w:numPr>
          <w:ilvl w:val="0"/>
          <w:numId w:val="0"/>
        </w:numPr>
        <w:autoSpaceDE w:val="0"/>
        <w:autoSpaceDN w:val="0"/>
        <w:adjustRightInd w:val="0"/>
        <w:spacing w:line="560" w:lineRule="exact"/>
        <w:jc w:val="both"/>
        <w:rPr>
          <w:rFonts w:hint="eastAsia" w:ascii="仿宋_GB2312" w:eastAsia="仿宋_GB2312"/>
          <w:sz w:val="32"/>
          <w:szCs w:val="32"/>
          <w:lang w:val="en-US" w:eastAsia="zh-CN"/>
        </w:rPr>
      </w:pPr>
    </w:p>
    <w:p>
      <w:pPr>
        <w:pStyle w:val="23"/>
        <w:widowControl w:val="0"/>
        <w:numPr>
          <w:ilvl w:val="0"/>
          <w:numId w:val="0"/>
        </w:numPr>
        <w:autoSpaceDE w:val="0"/>
        <w:autoSpaceDN w:val="0"/>
        <w:adjustRightInd w:val="0"/>
        <w:spacing w:line="560" w:lineRule="exact"/>
        <w:jc w:val="both"/>
        <w:rPr>
          <w:rFonts w:hint="eastAsia" w:ascii="仿宋_GB2312" w:eastAsia="仿宋_GB2312"/>
          <w:sz w:val="32"/>
          <w:szCs w:val="32"/>
          <w:lang w:val="en-US" w:eastAsia="zh-CN"/>
        </w:rPr>
      </w:pPr>
    </w:p>
    <w:p>
      <w:pPr>
        <w:pStyle w:val="23"/>
        <w:widowControl w:val="0"/>
        <w:numPr>
          <w:ilvl w:val="0"/>
          <w:numId w:val="0"/>
        </w:numPr>
        <w:autoSpaceDE w:val="0"/>
        <w:autoSpaceDN w:val="0"/>
        <w:adjustRightInd w:val="0"/>
        <w:spacing w:line="560" w:lineRule="exact"/>
        <w:jc w:val="both"/>
        <w:rPr>
          <w:rFonts w:hint="eastAsia" w:ascii="仿宋_GB2312" w:eastAsia="仿宋_GB2312"/>
          <w:sz w:val="32"/>
          <w:szCs w:val="32"/>
          <w:lang w:val="en-US" w:eastAsia="zh-CN"/>
        </w:rPr>
      </w:pPr>
    </w:p>
    <w:p>
      <w:pPr>
        <w:pStyle w:val="23"/>
        <w:spacing w:line="560" w:lineRule="exact"/>
        <w:ind w:firstLine="480" w:firstLineChars="150"/>
        <w:jc w:val="both"/>
        <w:rPr>
          <w:rFonts w:ascii="仿宋_GB2312" w:eastAsia="仿宋_GB2312"/>
          <w:sz w:val="32"/>
          <w:szCs w:val="32"/>
        </w:rPr>
      </w:pPr>
    </w:p>
    <w:p>
      <w:pPr>
        <w:pStyle w:val="23"/>
        <w:spacing w:line="560" w:lineRule="exact"/>
        <w:jc w:val="both"/>
        <w:rPr>
          <w:rFonts w:ascii="仿宋_GB2312" w:eastAsia="仿宋_GB2312"/>
          <w:sz w:val="32"/>
          <w:szCs w:val="32"/>
        </w:rPr>
      </w:pPr>
      <w:r>
        <w:pict>
          <v:shape id="_x0000_s1027" o:spid="_x0000_s1027" o:spt="75" alt="6724604601664698785230" type="#_x0000_t75" style="position:absolute;left:0pt;margin-left:31.15pt;margin-top:7.9pt;height:211.1pt;width:339.75pt;mso-wrap-distance-bottom:0pt;mso-wrap-distance-left:8.95pt;mso-wrap-distance-right:8.95pt;mso-wrap-distance-top:0pt;z-index:251659264;mso-width-relative:page;mso-height-relative:page;" o:ole="t" filled="f" o:preferrelative="t" stroked="t" coordsize="21600,21600">
            <v:path/>
            <v:fill on="f" focussize="0,0"/>
            <v:stroke color="#000000" joinstyle="miter"/>
            <v:imagedata r:id="rId10" o:title="6724604601664698785230"/>
            <o:lock v:ext="edit" aspectratio="t"/>
            <w10:wrap type="square"/>
          </v:shape>
          <o:OLEObject Type="Embed" ProgID="Package" ShapeID="_x0000_s1027" DrawAspect="Icon" ObjectID="_1468075726" r:id="rId9">
            <o:LockedField>false</o:LockedField>
          </o:OLEObject>
        </w:pict>
      </w: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ind w:firstLine="320" w:firstLineChars="100"/>
        <w:jc w:val="both"/>
        <w:rPr>
          <w:rFonts w:hint="eastAsia" w:ascii="仿宋_GB2312" w:eastAsia="仿宋_GB2312"/>
          <w:sz w:val="32"/>
          <w:szCs w:val="32"/>
        </w:rPr>
      </w:pPr>
    </w:p>
    <w:p>
      <w:pPr>
        <w:pStyle w:val="23"/>
        <w:spacing w:line="560" w:lineRule="exact"/>
        <w:ind w:firstLine="320" w:firstLineChars="100"/>
        <w:jc w:val="both"/>
        <w:rPr>
          <w:rFonts w:hint="eastAsia" w:ascii="仿宋_GB2312" w:eastAsia="仿宋_GB2312"/>
          <w:sz w:val="32"/>
          <w:szCs w:val="32"/>
        </w:rPr>
      </w:pPr>
    </w:p>
    <w:p>
      <w:pPr>
        <w:pStyle w:val="23"/>
        <w:spacing w:line="560" w:lineRule="exact"/>
        <w:jc w:val="both"/>
        <w:rPr>
          <w:rFonts w:hint="eastAsia" w:ascii="仿宋_GB2312" w:eastAsia="仿宋_GB2312"/>
          <w:sz w:val="32"/>
          <w:szCs w:val="32"/>
        </w:rPr>
      </w:pPr>
    </w:p>
    <w:p>
      <w:pPr>
        <w:pStyle w:val="23"/>
        <w:spacing w:line="560" w:lineRule="exact"/>
        <w:ind w:firstLine="320" w:firstLineChars="100"/>
        <w:jc w:val="both"/>
        <w:rPr>
          <w:rFonts w:ascii="仿宋_GB2312" w:eastAsia="仿宋_GB2312"/>
          <w:sz w:val="32"/>
          <w:szCs w:val="32"/>
        </w:rPr>
      </w:pPr>
      <w:r>
        <w:rPr>
          <w:rFonts w:hint="eastAsia" w:ascii="仿宋_GB2312" w:eastAsia="仿宋_GB2312"/>
          <w:sz w:val="32"/>
          <w:szCs w:val="32"/>
        </w:rPr>
        <w:t>（图2：支出变动情况图）</w:t>
      </w:r>
    </w:p>
    <w:p>
      <w:pPr>
        <w:pStyle w:val="23"/>
        <w:spacing w:line="14" w:lineRule="exact"/>
        <w:jc w:val="both"/>
        <w:rPr>
          <w:rFonts w:ascii="仿宋_GB2312" w:eastAsia="仿宋_GB2312"/>
          <w:sz w:val="32"/>
          <w:szCs w:val="32"/>
        </w:rPr>
      </w:pPr>
    </w:p>
    <w:p>
      <w:pPr>
        <w:pStyle w:val="23"/>
        <w:spacing w:line="14" w:lineRule="exact"/>
        <w:jc w:val="both"/>
        <w:rPr>
          <w:rFonts w:hint="eastAsia" w:ascii="黑体" w:eastAsia="黑体"/>
          <w:sz w:val="32"/>
          <w:szCs w:val="32"/>
        </w:rPr>
      </w:pPr>
      <w:r>
        <w:rPr>
          <w:rFonts w:hint="eastAsia" w:ascii="仿宋_GB2312" w:eastAsia="仿宋_GB2312"/>
          <w:sz w:val="32"/>
          <w:szCs w:val="32"/>
        </w:rPr>
        <w:t xml:space="preserve">                                                                                                                                                                                                                                                                                                                                                                                                                          </w:t>
      </w:r>
    </w:p>
    <w:p>
      <w:pPr>
        <w:pStyle w:val="23"/>
        <w:spacing w:line="560" w:lineRule="exact"/>
        <w:ind w:firstLine="640" w:firstLineChars="200"/>
        <w:jc w:val="both"/>
        <w:rPr>
          <w:rFonts w:ascii="黑体" w:eastAsia="黑体"/>
          <w:sz w:val="32"/>
          <w:szCs w:val="32"/>
        </w:rPr>
      </w:pPr>
      <w:r>
        <w:rPr>
          <w:rFonts w:hint="eastAsia" w:ascii="黑体" w:eastAsia="黑体"/>
          <w:sz w:val="32"/>
          <w:szCs w:val="32"/>
        </w:rPr>
        <w:t>二、收入决算情况说明</w:t>
      </w:r>
    </w:p>
    <w:p>
      <w:pPr>
        <w:spacing w:after="0" w:line="560" w:lineRule="exact"/>
        <w:ind w:firstLine="640" w:firstLineChars="200"/>
        <w:jc w:val="both"/>
        <w:outlineLvl w:val="1"/>
        <w:rPr>
          <w:rFonts w:hint="eastAsia" w:ascii="仿宋_GB2312" w:eastAsia="仿宋_GB2312" w:cs="仿宋"/>
          <w:color w:val="000000"/>
          <w:sz w:val="32"/>
          <w:szCs w:val="32"/>
        </w:rPr>
      </w:pPr>
      <w:r>
        <w:rPr>
          <w:rFonts w:hint="eastAsia" w:ascii="仿宋" w:eastAsia="仿宋"/>
          <w:color w:val="000000"/>
          <w:sz w:val="32"/>
          <w:szCs w:val="32"/>
        </w:rPr>
        <w:t>2021</w:t>
      </w:r>
      <w:r>
        <w:rPr>
          <w:rFonts w:hint="eastAsia" w:ascii="仿宋_GB2312" w:eastAsia="仿宋_GB2312" w:cs="仿宋"/>
          <w:color w:val="000000"/>
          <w:sz w:val="32"/>
          <w:szCs w:val="32"/>
        </w:rPr>
        <w:t>年度单位财政资金</w:t>
      </w:r>
      <w:r>
        <w:rPr>
          <w:rFonts w:hint="eastAsia" w:ascii="仿宋_GB2312" w:eastAsia="仿宋_GB2312" w:cs="仿宋"/>
          <w:color w:val="000000"/>
          <w:sz w:val="32"/>
          <w:szCs w:val="32"/>
          <w:lang w:val="en-US" w:eastAsia="zh-CN"/>
        </w:rPr>
        <w:t>总</w:t>
      </w:r>
      <w:r>
        <w:rPr>
          <w:rFonts w:hint="eastAsia" w:ascii="仿宋_GB2312" w:eastAsia="仿宋_GB2312" w:cs="仿宋"/>
          <w:color w:val="000000"/>
          <w:sz w:val="32"/>
          <w:szCs w:val="32"/>
        </w:rPr>
        <w:t>收入946.21万元，其中：</w:t>
      </w:r>
      <w:r>
        <w:rPr>
          <w:rFonts w:ascii="仿宋_GB2312" w:eastAsia="仿宋_GB2312" w:cs="仿宋"/>
          <w:color w:val="000000"/>
          <w:sz w:val="32"/>
          <w:szCs w:val="32"/>
        </w:rPr>
        <w:t>本年收入</w:t>
      </w:r>
      <w:r>
        <w:rPr>
          <w:rFonts w:hint="eastAsia" w:ascii="仿宋_GB2312" w:eastAsia="仿宋_GB2312" w:cs="仿宋"/>
          <w:color w:val="000000"/>
          <w:sz w:val="32"/>
          <w:szCs w:val="32"/>
        </w:rPr>
        <w:t>469.40万元，占49.61%；年初结转结余476.82万元，占50.39%；政府基金预算财政拨款收入0万元，占0%；上级补助收入0万元，占0%；事业收入0万元，占0%；经营收入0万元，占0%；其他收入0万元，占0%。</w:t>
      </w:r>
    </w:p>
    <w:p>
      <w:pPr>
        <w:spacing w:after="0" w:line="560" w:lineRule="exact"/>
        <w:ind w:firstLine="640" w:firstLineChars="200"/>
        <w:jc w:val="both"/>
        <w:outlineLvl w:val="1"/>
        <w:rPr>
          <w:rFonts w:hint="eastAsia" w:ascii="仿宋_GB2312" w:eastAsia="仿宋_GB2312" w:cs="仿宋"/>
          <w:color w:val="000000"/>
          <w:sz w:val="32"/>
          <w:szCs w:val="32"/>
        </w:rPr>
      </w:pPr>
      <w:r>
        <w:rPr>
          <w:rFonts w:hint="eastAsia" w:ascii="仿宋_GB2312" w:eastAsia="仿宋_GB2312" w:cs="仿宋"/>
          <w:color w:val="000000"/>
          <w:sz w:val="32"/>
          <w:szCs w:val="32"/>
        </w:rPr>
        <w:pict>
          <v:shape id="_x0000_s1028" o:spid="_x0000_s1028" o:spt="75" type="#_x0000_t75" style="position:absolute;left:0pt;margin-left:11.15pt;margin-top:23.9pt;height:197.85pt;width:342.8pt;mso-wrap-distance-bottom:0pt;mso-wrap-distance-left:8.95pt;mso-wrap-distance-right:8.95pt;mso-wrap-distance-top:0pt;z-index:251659264;mso-width-relative:page;mso-height-relative:page;" o:ole="t" filled="f" o:preferrelative="t" stroked="t" coordsize="21600,21600">
            <v:path/>
            <v:fill on="f" focussize="0,0"/>
            <v:stroke color="#000000"/>
            <v:imagedata r:id="rId12" o:title="3574824051664698785249"/>
            <o:lock v:ext="edit" aspectratio="t"/>
            <w10:wrap type="square"/>
          </v:shape>
          <o:OLEObject Type="Embed" ProgID="Package" ShapeID="_x0000_s1028" DrawAspect="Icon" ObjectID="_1468075727" r:id="rId11">
            <o:LockedField>false</o:LockedField>
          </o:OLEObject>
        </w:pict>
      </w:r>
    </w:p>
    <w:p>
      <w:pPr>
        <w:spacing w:after="0" w:line="560" w:lineRule="exact"/>
        <w:ind w:firstLine="640" w:firstLineChars="200"/>
        <w:jc w:val="both"/>
        <w:outlineLvl w:val="1"/>
        <w:rPr>
          <w:rFonts w:hint="eastAsia" w:ascii="仿宋_GB2312" w:eastAsia="仿宋_GB2312" w:cs="仿宋"/>
          <w:color w:val="000000"/>
          <w:sz w:val="32"/>
          <w:szCs w:val="32"/>
        </w:rPr>
      </w:pPr>
    </w:p>
    <w:p>
      <w:pPr>
        <w:spacing w:after="0" w:line="560" w:lineRule="exact"/>
        <w:ind w:firstLine="640" w:firstLineChars="200"/>
        <w:jc w:val="both"/>
        <w:outlineLvl w:val="1"/>
        <w:rPr>
          <w:rFonts w:hint="eastAsia" w:ascii="仿宋_GB2312" w:eastAsia="仿宋_GB2312" w:cs="仿宋"/>
          <w:color w:val="000000"/>
          <w:sz w:val="32"/>
          <w:szCs w:val="32"/>
        </w:rPr>
      </w:pPr>
    </w:p>
    <w:p>
      <w:pPr>
        <w:spacing w:after="0" w:line="560" w:lineRule="exact"/>
        <w:ind w:firstLine="640" w:firstLineChars="200"/>
        <w:jc w:val="both"/>
        <w:outlineLvl w:val="1"/>
        <w:rPr>
          <w:rFonts w:hint="eastAsia" w:ascii="仿宋_GB2312" w:eastAsia="仿宋_GB2312" w:cs="仿宋"/>
          <w:color w:val="000000"/>
          <w:sz w:val="32"/>
          <w:szCs w:val="32"/>
        </w:rPr>
      </w:pPr>
    </w:p>
    <w:p>
      <w:pPr>
        <w:spacing w:after="0" w:line="560" w:lineRule="exact"/>
        <w:ind w:firstLine="640" w:firstLineChars="200"/>
        <w:jc w:val="both"/>
        <w:outlineLvl w:val="1"/>
        <w:rPr>
          <w:rFonts w:hint="eastAsia" w:ascii="仿宋_GB2312" w:eastAsia="仿宋_GB2312" w:cs="仿宋"/>
          <w:color w:val="000000"/>
          <w:sz w:val="32"/>
          <w:szCs w:val="32"/>
        </w:rPr>
      </w:pPr>
    </w:p>
    <w:p>
      <w:pPr>
        <w:spacing w:after="0" w:line="560" w:lineRule="exact"/>
        <w:ind w:firstLine="640" w:firstLineChars="200"/>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hint="eastAsia" w:ascii="仿宋_GB2312" w:eastAsia="仿宋_GB2312" w:cs="仿宋"/>
          <w:color w:val="000000"/>
          <w:sz w:val="32"/>
          <w:szCs w:val="32"/>
        </w:rPr>
      </w:pPr>
    </w:p>
    <w:p>
      <w:pPr>
        <w:spacing w:after="0" w:line="560" w:lineRule="exact"/>
        <w:ind w:firstLine="640" w:firstLineChars="200"/>
        <w:jc w:val="both"/>
        <w:outlineLvl w:val="1"/>
        <w:rPr>
          <w:rStyle w:val="19"/>
          <w:rFonts w:ascii="Times New Roman" w:hAnsi="Times New Roman" w:eastAsia="黑体" w:cs="Arial"/>
          <w:b w:val="0"/>
          <w:bCs w:val="0"/>
        </w:rPr>
      </w:pPr>
      <w:r>
        <w:rPr>
          <w:rFonts w:hint="eastAsia" w:ascii="仿宋_GB2312" w:eastAsia="仿宋_GB2312" w:cs="仿宋"/>
          <w:color w:val="000000"/>
          <w:sz w:val="32"/>
          <w:szCs w:val="32"/>
        </w:rPr>
        <w:t>(图3：收入决算结构图）</w:t>
      </w:r>
      <w:bookmarkStart w:id="12" w:name="_Toc15396605"/>
      <w:bookmarkStart w:id="13" w:name="_Toc15377207"/>
    </w:p>
    <w:p>
      <w:pPr>
        <w:pStyle w:val="2"/>
        <w:spacing w:after="0" w:line="480" w:lineRule="atLeast"/>
        <w:jc w:val="both"/>
      </w:pPr>
    </w:p>
    <w:p>
      <w:pPr>
        <w:spacing w:after="0" w:line="560" w:lineRule="exact"/>
        <w:ind w:firstLine="640" w:firstLineChars="200"/>
        <w:jc w:val="both"/>
        <w:outlineLvl w:val="1"/>
        <w:rPr>
          <w:rStyle w:val="19"/>
          <w:rFonts w:hint="eastAsia" w:ascii="黑体" w:eastAsia="黑体" w:cs="Arial"/>
          <w:b w:val="0"/>
          <w:bCs w:val="0"/>
        </w:rPr>
      </w:pPr>
    </w:p>
    <w:p>
      <w:pPr>
        <w:spacing w:after="0" w:line="560" w:lineRule="exact"/>
        <w:ind w:firstLine="640" w:firstLineChars="200"/>
        <w:jc w:val="both"/>
        <w:outlineLvl w:val="1"/>
        <w:rPr>
          <w:rStyle w:val="19"/>
          <w:rFonts w:ascii="黑体" w:eastAsia="黑体"/>
          <w:b w:val="0"/>
          <w:bCs w:val="0"/>
        </w:rPr>
      </w:pPr>
      <w:r>
        <w:rPr>
          <w:rStyle w:val="19"/>
          <w:rFonts w:hint="eastAsia" w:ascii="黑体" w:eastAsia="黑体" w:cs="Arial"/>
          <w:b w:val="0"/>
          <w:bCs w:val="0"/>
        </w:rPr>
        <w:t>三、支</w:t>
      </w:r>
      <w:r>
        <w:rPr>
          <w:rStyle w:val="19"/>
          <w:rFonts w:hint="eastAsia" w:ascii="黑体" w:eastAsia="黑体"/>
          <w:b w:val="0"/>
          <w:bCs w:val="0"/>
        </w:rPr>
        <w:t>出决算情况说明</w:t>
      </w:r>
      <w:bookmarkEnd w:id="12"/>
      <w:bookmarkEnd w:id="13"/>
    </w:p>
    <w:p>
      <w:pPr>
        <w:spacing w:after="0" w:line="560" w:lineRule="exact"/>
        <w:ind w:firstLine="640" w:firstLineChars="200"/>
        <w:jc w:val="both"/>
        <w:outlineLvl w:val="1"/>
        <w:rPr>
          <w:rFonts w:hint="eastAsia" w:ascii="仿宋_GB2312" w:eastAsia="仿宋_GB2312" w:cs="仿宋"/>
          <w:color w:val="000000"/>
          <w:sz w:val="32"/>
          <w:szCs w:val="32"/>
        </w:rPr>
      </w:pPr>
      <w:r>
        <w:rPr>
          <w:rFonts w:hint="eastAsia" w:ascii="仿宋_GB2312" w:eastAsia="仿宋_GB2312"/>
          <w:sz w:val="32"/>
          <w:szCs w:val="32"/>
        </w:rPr>
        <w:t>2021年总支出</w:t>
      </w:r>
      <w:r>
        <w:rPr>
          <w:rFonts w:hint="eastAsia" w:ascii="仿宋_GB2312" w:eastAsia="仿宋_GB2312" w:cs="仿宋"/>
          <w:color w:val="000000"/>
          <w:sz w:val="32"/>
          <w:szCs w:val="32"/>
        </w:rPr>
        <w:t>946.21</w:t>
      </w:r>
      <w:r>
        <w:rPr>
          <w:rFonts w:hint="eastAsia" w:ascii="仿宋_GB2312" w:eastAsia="仿宋_GB2312"/>
          <w:sz w:val="32"/>
          <w:szCs w:val="32"/>
        </w:rPr>
        <w:t>万元,其中：</w:t>
      </w:r>
      <w:r>
        <w:rPr>
          <w:rFonts w:hint="eastAsia" w:ascii="仿宋_GB2312" w:eastAsia="仿宋_GB2312" w:cs="仿宋"/>
          <w:color w:val="000000"/>
          <w:sz w:val="32"/>
          <w:szCs w:val="32"/>
        </w:rPr>
        <w:t>基本支出224.10万元，占23.69%；项目支出722.11万元，占76.31%。</w:t>
      </w:r>
    </w:p>
    <w:p>
      <w:pPr>
        <w:spacing w:after="0" w:line="560" w:lineRule="exact"/>
        <w:ind w:firstLine="640" w:firstLineChars="200"/>
        <w:jc w:val="both"/>
        <w:outlineLvl w:val="1"/>
        <w:rPr>
          <w:rFonts w:ascii="仿宋_GB2312" w:eastAsia="仿宋_GB2312" w:cs="仿宋"/>
          <w:color w:val="000000"/>
          <w:sz w:val="32"/>
          <w:szCs w:val="32"/>
        </w:rPr>
      </w:pPr>
    </w:p>
    <w:p>
      <w:pPr>
        <w:spacing w:after="0" w:line="560" w:lineRule="exact"/>
        <w:ind w:firstLine="640" w:firstLineChars="200"/>
        <w:jc w:val="both"/>
        <w:outlineLvl w:val="1"/>
        <w:rPr>
          <w:rFonts w:ascii="仿宋" w:eastAsia="仿宋"/>
          <w:color w:val="000000"/>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jc w:val="both"/>
        <w:rPr>
          <w:rFonts w:hint="eastAsia" w:ascii="仿宋_GB2312" w:eastAsia="仿宋_GB2312"/>
          <w:sz w:val="32"/>
          <w:szCs w:val="32"/>
        </w:rPr>
      </w:pPr>
    </w:p>
    <w:p>
      <w:pPr>
        <w:pStyle w:val="23"/>
        <w:spacing w:line="14" w:lineRule="exact"/>
        <w:jc w:val="both"/>
        <w:rPr>
          <w:rFonts w:hint="eastAsia" w:ascii="仿宋_GB2312" w:eastAsia="仿宋_GB2312"/>
          <w:sz w:val="32"/>
          <w:szCs w:val="32"/>
        </w:rPr>
      </w:pPr>
      <w:r>
        <w:rPr>
          <w:rFonts w:ascii="仿宋_GB2312" w:eastAsia="仿宋_GB2312"/>
          <w:sz w:val="32"/>
          <w:szCs w:val="32"/>
        </w:rPr>
        <w:pict>
          <v:shape id="_x0000_s1029" o:spid="_x0000_s1029" o:spt="75" type="#_x0000_t75" style="position:absolute;left:0pt;margin-left:33.55pt;margin-top:-207.45pt;height:192.8pt;width:305.1pt;mso-wrap-distance-bottom:0pt;mso-wrap-distance-left:8.95pt;mso-wrap-distance-right:8.95pt;mso-wrap-distance-top:0pt;z-index:251659264;mso-width-relative:page;mso-height-relative:page;" o:ole="t" filled="f" o:preferrelative="t" stroked="t" coordsize="21600,21600">
            <v:path/>
            <v:fill on="f" focussize="0,0"/>
            <v:stroke color="#000000"/>
            <v:imagedata r:id="rId14" o:title="8620712301664698785268"/>
            <o:lock v:ext="edit" aspectratio="t"/>
            <w10:wrap type="square"/>
          </v:shape>
          <o:OLEObject Type="Embed" ProgID="Package" ShapeID="_x0000_s1029" DrawAspect="Icon" ObjectID="_1468075728" r:id="rId13">
            <o:LockedField>false</o:LockedField>
          </o:OLEObject>
        </w:pict>
      </w:r>
    </w:p>
    <w:p>
      <w:pPr>
        <w:pStyle w:val="23"/>
        <w:spacing w:line="560" w:lineRule="exact"/>
        <w:ind w:firstLine="480" w:firstLineChars="150"/>
        <w:jc w:val="both"/>
        <w:rPr>
          <w:rFonts w:ascii="仿宋_GB2312" w:eastAsia="仿宋_GB2312"/>
          <w:sz w:val="32"/>
          <w:szCs w:val="32"/>
        </w:rPr>
      </w:pPr>
      <w:r>
        <w:rPr>
          <w:rFonts w:hint="eastAsia" w:ascii="仿宋_GB2312" w:eastAsia="仿宋_GB2312"/>
          <w:sz w:val="32"/>
          <w:szCs w:val="32"/>
        </w:rPr>
        <w:t>（图4：支出决算结构图）</w:t>
      </w:r>
    </w:p>
    <w:p>
      <w:pPr>
        <w:pStyle w:val="23"/>
        <w:spacing w:line="560" w:lineRule="exact"/>
        <w:ind w:firstLine="640" w:firstLineChars="200"/>
        <w:jc w:val="both"/>
        <w:rPr>
          <w:rFonts w:ascii="黑体" w:eastAsia="黑体"/>
          <w:sz w:val="32"/>
          <w:szCs w:val="32"/>
        </w:rPr>
      </w:pPr>
      <w:r>
        <w:rPr>
          <w:rFonts w:hint="eastAsia" w:ascii="黑体" w:eastAsia="黑体"/>
          <w:sz w:val="32"/>
          <w:szCs w:val="32"/>
        </w:rPr>
        <w:t>四、财政拨款收入支出决算总体情况说明</w:t>
      </w:r>
    </w:p>
    <w:p>
      <w:pPr>
        <w:pStyle w:val="23"/>
        <w:spacing w:line="560" w:lineRule="exact"/>
        <w:ind w:firstLine="643" w:firstLineChars="200"/>
        <w:jc w:val="both"/>
        <w:rPr>
          <w:rFonts w:ascii="楷体_GB2312" w:eastAsia="楷体_GB2312"/>
          <w:b/>
          <w:sz w:val="32"/>
          <w:szCs w:val="32"/>
        </w:rPr>
      </w:pPr>
      <w:r>
        <w:rPr>
          <w:rFonts w:hint="eastAsia" w:ascii="楷体_GB2312" w:eastAsia="楷体_GB2312"/>
          <w:b/>
          <w:sz w:val="32"/>
          <w:szCs w:val="32"/>
        </w:rPr>
        <w:t>(一)财政拨款收入情况</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2021年度资金总收入</w:t>
      </w:r>
      <w:r>
        <w:rPr>
          <w:rFonts w:hint="eastAsia" w:ascii="仿宋_GB2312" w:eastAsia="仿宋_GB2312" w:cs="仿宋"/>
          <w:color w:val="000000"/>
          <w:sz w:val="32"/>
          <w:szCs w:val="32"/>
        </w:rPr>
        <w:t>946.21</w:t>
      </w:r>
      <w:r>
        <w:rPr>
          <w:rFonts w:hint="eastAsia" w:ascii="仿宋_GB2312" w:eastAsia="仿宋_GB2312"/>
          <w:sz w:val="32"/>
          <w:szCs w:val="32"/>
        </w:rPr>
        <w:t>万元，2020年度单位资金总收入877.14万元，同比增长7.87%。变动原因：</w:t>
      </w:r>
      <w:r>
        <w:rPr>
          <w:rFonts w:hint="eastAsia" w:ascii="仿宋_GB2312" w:eastAsia="仿宋_GB2312"/>
          <w:sz w:val="32"/>
          <w:szCs w:val="32"/>
          <w:lang w:val="en-US" w:eastAsia="zh-CN"/>
        </w:rPr>
        <w:t>增加人员经费收入。</w:t>
      </w: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ind w:firstLine="640" w:firstLineChars="200"/>
        <w:jc w:val="both"/>
        <w:rPr>
          <w:rFonts w:ascii="仿宋_GB2312" w:eastAsia="仿宋_GB2312"/>
          <w:sz w:val="32"/>
          <w:szCs w:val="32"/>
        </w:rPr>
      </w:pPr>
    </w:p>
    <w:p>
      <w:pPr>
        <w:pStyle w:val="23"/>
        <w:spacing w:line="560" w:lineRule="exact"/>
        <w:jc w:val="both"/>
        <w:rPr>
          <w:rFonts w:ascii="仿宋_GB2312" w:eastAsia="仿宋_GB2312"/>
          <w:sz w:val="32"/>
          <w:szCs w:val="32"/>
        </w:rPr>
      </w:pPr>
    </w:p>
    <w:p>
      <w:pPr>
        <w:pStyle w:val="23"/>
        <w:spacing w:line="560" w:lineRule="exact"/>
        <w:ind w:firstLine="480" w:firstLineChars="150"/>
        <w:jc w:val="both"/>
        <w:rPr>
          <w:rFonts w:ascii="仿宋_GB2312" w:eastAsia="仿宋_GB2312"/>
          <w:sz w:val="32"/>
          <w:szCs w:val="32"/>
        </w:rPr>
      </w:pPr>
    </w:p>
    <w:p>
      <w:pPr>
        <w:pStyle w:val="23"/>
        <w:spacing w:line="560" w:lineRule="exact"/>
        <w:ind w:firstLine="480" w:firstLineChars="150"/>
        <w:jc w:val="both"/>
        <w:rPr>
          <w:rFonts w:hint="eastAsia" w:ascii="仿宋_GB2312" w:eastAsia="仿宋_GB2312"/>
          <w:sz w:val="32"/>
          <w:szCs w:val="32"/>
        </w:rPr>
      </w:pPr>
    </w:p>
    <w:p>
      <w:pPr>
        <w:pStyle w:val="23"/>
        <w:spacing w:line="560" w:lineRule="exact"/>
        <w:ind w:firstLine="360" w:firstLineChars="150"/>
        <w:jc w:val="both"/>
        <w:rPr>
          <w:rFonts w:hint="eastAsia" w:ascii="仿宋_GB2312" w:eastAsia="仿宋_GB2312"/>
          <w:sz w:val="32"/>
          <w:szCs w:val="32"/>
        </w:rPr>
      </w:pPr>
      <w:r>
        <w:pict>
          <v:shape id="_x0000_s1030" o:spid="_x0000_s1030" o:spt="75" type="#_x0000_t75" style="position:absolute;left:0pt;margin-left:18.35pt;margin-top:-189.25pt;height:210.55pt;width:331.55pt;mso-wrap-distance-bottom:0pt;mso-wrap-distance-left:8.95pt;mso-wrap-distance-right:8.95pt;mso-wrap-distance-top:0pt;z-index:251659264;mso-width-relative:page;mso-height-relative:page;" o:ole="t" filled="f" o:preferrelative="t" stroked="t" coordsize="21600,21600">
            <v:path/>
            <v:fill on="f" focussize="0,0"/>
            <v:stroke color="#000000"/>
            <v:imagedata r:id="rId16" o:title="3811766081664698785288"/>
            <o:lock v:ext="edit" aspectratio="t"/>
            <w10:wrap type="square"/>
          </v:shape>
          <o:OLEObject Type="Embed" ProgID="Package" ShapeID="_x0000_s1030" DrawAspect="Icon" ObjectID="_1468075729" r:id="rId15">
            <o:LockedField>false</o:LockedField>
          </o:OLEObject>
        </w:pict>
      </w:r>
    </w:p>
    <w:p>
      <w:pPr>
        <w:pStyle w:val="23"/>
        <w:spacing w:line="560" w:lineRule="exact"/>
        <w:ind w:firstLine="480" w:firstLineChars="150"/>
        <w:jc w:val="both"/>
        <w:rPr>
          <w:rFonts w:ascii="仿宋_GB2312" w:eastAsia="仿宋_GB2312"/>
          <w:sz w:val="32"/>
          <w:szCs w:val="32"/>
        </w:rPr>
      </w:pPr>
      <w:r>
        <w:rPr>
          <w:rFonts w:hint="eastAsia" w:ascii="仿宋_GB2312" w:eastAsia="仿宋_GB2312"/>
          <w:sz w:val="32"/>
          <w:szCs w:val="32"/>
        </w:rPr>
        <w:t>（图5：财政拨款收入情况图）</w:t>
      </w:r>
    </w:p>
    <w:p>
      <w:pPr>
        <w:pStyle w:val="23"/>
        <w:spacing w:line="560" w:lineRule="exact"/>
        <w:ind w:firstLine="482" w:firstLineChars="150"/>
        <w:jc w:val="both"/>
        <w:rPr>
          <w:rFonts w:ascii="楷体_GB2312" w:eastAsia="楷体_GB2312"/>
          <w:b/>
          <w:sz w:val="32"/>
          <w:szCs w:val="32"/>
        </w:rPr>
      </w:pPr>
      <w:r>
        <w:rPr>
          <w:rFonts w:hint="eastAsia" w:ascii="楷体_GB2312" w:eastAsia="楷体_GB2312"/>
          <w:b/>
          <w:sz w:val="32"/>
          <w:szCs w:val="32"/>
        </w:rPr>
        <w:t>（二）财政拨款支出情况</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2021年</w:t>
      </w:r>
      <w:r>
        <w:rPr>
          <w:rFonts w:hint="eastAsia" w:ascii="仿宋_GB2312" w:eastAsia="仿宋_GB2312"/>
          <w:sz w:val="32"/>
          <w:szCs w:val="32"/>
          <w:lang w:val="en-US" w:eastAsia="zh-CN"/>
        </w:rPr>
        <w:t>财政拨款</w:t>
      </w:r>
      <w:r>
        <w:rPr>
          <w:rFonts w:hint="eastAsia" w:ascii="仿宋_GB2312" w:eastAsia="仿宋_GB2312"/>
          <w:sz w:val="32"/>
          <w:szCs w:val="32"/>
        </w:rPr>
        <w:t>支出</w:t>
      </w:r>
      <w:r>
        <w:rPr>
          <w:rFonts w:hint="eastAsia" w:ascii="仿宋_GB2312" w:eastAsia="仿宋_GB2312" w:cs="仿宋"/>
          <w:color w:val="000000"/>
          <w:sz w:val="32"/>
          <w:szCs w:val="32"/>
        </w:rPr>
        <w:t>946.21</w:t>
      </w:r>
      <w:r>
        <w:rPr>
          <w:rFonts w:hint="eastAsia" w:ascii="仿宋_GB2312" w:eastAsia="仿宋_GB2312"/>
          <w:sz w:val="32"/>
          <w:szCs w:val="32"/>
        </w:rPr>
        <w:t>万元，2020年总支出394.13万元，同比增长</w:t>
      </w:r>
      <w:r>
        <w:rPr>
          <w:rFonts w:hint="eastAsia" w:ascii="仿宋_GB2312" w:eastAsia="仿宋_GB2312"/>
          <w:sz w:val="32"/>
          <w:szCs w:val="32"/>
          <w:lang w:val="en-US" w:eastAsia="zh-CN"/>
        </w:rPr>
        <w:t>140.08</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原因：新增项目经费支出及增加人员经费支出。</w:t>
      </w:r>
    </w:p>
    <w:p>
      <w:pPr>
        <w:pStyle w:val="23"/>
        <w:spacing w:line="560" w:lineRule="exact"/>
        <w:ind w:firstLine="640" w:firstLineChars="200"/>
        <w:jc w:val="both"/>
        <w:rPr>
          <w:rFonts w:ascii="黑体" w:eastAsia="黑体"/>
          <w:sz w:val="32"/>
          <w:szCs w:val="32"/>
        </w:rPr>
      </w:pPr>
    </w:p>
    <w:p>
      <w:pPr>
        <w:pStyle w:val="23"/>
        <w:spacing w:line="560" w:lineRule="exact"/>
        <w:ind w:firstLine="640" w:firstLineChars="200"/>
        <w:jc w:val="both"/>
        <w:rPr>
          <w:rFonts w:ascii="黑体" w:eastAsia="黑体"/>
          <w:sz w:val="32"/>
          <w:szCs w:val="32"/>
        </w:rPr>
      </w:pPr>
    </w:p>
    <w:p>
      <w:pPr>
        <w:pStyle w:val="23"/>
        <w:spacing w:line="560" w:lineRule="exact"/>
        <w:jc w:val="both"/>
        <w:rPr>
          <w:rFonts w:ascii="黑体" w:eastAsia="黑体"/>
          <w:sz w:val="32"/>
          <w:szCs w:val="32"/>
        </w:rPr>
      </w:pPr>
    </w:p>
    <w:p>
      <w:pPr>
        <w:pStyle w:val="23"/>
        <w:spacing w:line="560" w:lineRule="exact"/>
        <w:ind w:firstLine="640" w:firstLineChars="200"/>
        <w:jc w:val="both"/>
        <w:rPr>
          <w:rFonts w:ascii="黑体" w:eastAsia="黑体"/>
          <w:sz w:val="32"/>
          <w:szCs w:val="32"/>
        </w:rPr>
      </w:pPr>
    </w:p>
    <w:p>
      <w:pPr>
        <w:pStyle w:val="23"/>
        <w:spacing w:line="560" w:lineRule="exact"/>
        <w:ind w:firstLine="640" w:firstLineChars="200"/>
        <w:jc w:val="both"/>
        <w:rPr>
          <w:rFonts w:ascii="黑体" w:eastAsia="黑体"/>
          <w:sz w:val="32"/>
          <w:szCs w:val="32"/>
        </w:rPr>
      </w:pPr>
    </w:p>
    <w:p>
      <w:pPr>
        <w:pStyle w:val="23"/>
        <w:spacing w:line="560" w:lineRule="exact"/>
        <w:jc w:val="both"/>
        <w:rPr>
          <w:rFonts w:ascii="黑体" w:eastAsia="黑体"/>
          <w:sz w:val="32"/>
          <w:szCs w:val="32"/>
        </w:rPr>
      </w:pPr>
    </w:p>
    <w:p>
      <w:pPr>
        <w:pStyle w:val="23"/>
        <w:spacing w:line="560" w:lineRule="exact"/>
        <w:jc w:val="both"/>
        <w:rPr>
          <w:rFonts w:ascii="黑体" w:eastAsia="黑体"/>
          <w:sz w:val="32"/>
          <w:szCs w:val="32"/>
        </w:rPr>
      </w:pPr>
    </w:p>
    <w:p>
      <w:pPr>
        <w:pStyle w:val="23"/>
        <w:spacing w:line="560" w:lineRule="exact"/>
        <w:ind w:firstLine="240" w:firstLineChars="100"/>
        <w:jc w:val="both"/>
        <w:rPr>
          <w:rFonts w:hint="eastAsia" w:ascii="仿宋_GB2312" w:eastAsia="仿宋_GB2312" w:cs="Arial"/>
          <w:sz w:val="32"/>
          <w:szCs w:val="32"/>
        </w:rPr>
      </w:pPr>
      <w:r>
        <w:pict>
          <v:shape id="_x0000_s1031" o:spid="_x0000_s1031" o:spt="75" type="#_x0000_t75" style="position:absolute;left:0pt;margin-left:12.3pt;margin-top:-193.25pt;height:214.5pt;width:343.5pt;mso-wrap-distance-bottom:0pt;mso-wrap-distance-left:8.95pt;mso-wrap-distance-right:8.95pt;mso-wrap-distance-top:0pt;z-index:251659264;mso-width-relative:page;mso-height-relative:page;" o:ole="t" filled="f" o:preferrelative="t" stroked="t" coordsize="21600,21600">
            <v:path/>
            <v:fill on="f" focussize="0,0"/>
            <v:stroke color="#000000"/>
            <v:imagedata r:id="rId18" o:title="3275698251664698785304"/>
            <o:lock v:ext="edit" aspectratio="t"/>
            <w10:wrap type="square"/>
          </v:shape>
          <o:OLEObject Type="Embed" ProgID="Package" ShapeID="_x0000_s1031" DrawAspect="Icon" ObjectID="_1468075730" r:id="rId17">
            <o:LockedField>false</o:LockedField>
          </o:OLEObject>
        </w:pict>
      </w:r>
    </w:p>
    <w:p>
      <w:pPr>
        <w:pStyle w:val="23"/>
        <w:spacing w:line="560" w:lineRule="exact"/>
        <w:ind w:firstLine="320" w:firstLineChars="100"/>
        <w:jc w:val="both"/>
        <w:rPr>
          <w:rFonts w:ascii="仿宋_GB2312" w:eastAsia="仿宋_GB2312" w:cs="Arial"/>
          <w:sz w:val="32"/>
          <w:szCs w:val="32"/>
        </w:rPr>
      </w:pPr>
      <w:r>
        <w:rPr>
          <w:rFonts w:hint="eastAsia" w:ascii="仿宋_GB2312" w:eastAsia="仿宋_GB2312" w:cs="Arial"/>
          <w:sz w:val="32"/>
          <w:szCs w:val="32"/>
        </w:rPr>
        <w:t>（图6：财政拨款支出情况图）</w:t>
      </w:r>
    </w:p>
    <w:p>
      <w:pPr>
        <w:pStyle w:val="23"/>
        <w:spacing w:line="560" w:lineRule="exact"/>
        <w:ind w:firstLine="640" w:firstLineChars="200"/>
        <w:jc w:val="both"/>
        <w:rPr>
          <w:rFonts w:ascii="黑体" w:eastAsia="黑体"/>
          <w:sz w:val="32"/>
          <w:szCs w:val="32"/>
        </w:rPr>
      </w:pPr>
      <w:r>
        <w:rPr>
          <w:rFonts w:hint="eastAsia" w:ascii="黑体" w:eastAsia="黑体"/>
          <w:sz w:val="32"/>
          <w:szCs w:val="32"/>
        </w:rPr>
        <w:t>五、一般公共预算财政拨款支出决算情况说明</w:t>
      </w:r>
    </w:p>
    <w:p>
      <w:pPr>
        <w:spacing w:after="0" w:line="560" w:lineRule="exact"/>
        <w:ind w:firstLine="475" w:firstLineChars="148"/>
        <w:jc w:val="both"/>
        <w:outlineLvl w:val="2"/>
        <w:rPr>
          <w:rFonts w:ascii="楷体_GB2312" w:eastAsia="楷体_GB2312"/>
          <w:b/>
          <w:color w:val="000000"/>
          <w:sz w:val="32"/>
          <w:szCs w:val="32"/>
        </w:rPr>
      </w:pPr>
      <w:r>
        <w:rPr>
          <w:rFonts w:hint="eastAsia" w:ascii="楷体_GB2312" w:eastAsia="楷体_GB2312"/>
          <w:b/>
          <w:color w:val="000000"/>
          <w:sz w:val="32"/>
          <w:szCs w:val="32"/>
        </w:rPr>
        <w:t>（一）一般公共预算财政拨款支出决算总体情况</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2021年一般公共预算财政拨款支出</w:t>
      </w:r>
      <w:r>
        <w:rPr>
          <w:rFonts w:hint="eastAsia" w:ascii="仿宋_GB2312" w:eastAsia="仿宋_GB2312" w:cs="仿宋"/>
          <w:color w:val="000000"/>
          <w:sz w:val="32"/>
          <w:szCs w:val="32"/>
        </w:rPr>
        <w:t>946.21</w:t>
      </w:r>
      <w:r>
        <w:rPr>
          <w:rFonts w:hint="eastAsia" w:ascii="仿宋_GB2312" w:eastAsia="仿宋_GB2312"/>
          <w:sz w:val="32"/>
          <w:szCs w:val="32"/>
        </w:rPr>
        <w:t>万元，2020年一般公共预算财政拨款支出394.13万元，同比增长</w:t>
      </w:r>
      <w:r>
        <w:rPr>
          <w:rFonts w:hint="eastAsia" w:ascii="仿宋_GB2312" w:eastAsia="仿宋_GB2312"/>
          <w:sz w:val="32"/>
          <w:szCs w:val="32"/>
          <w:lang w:val="en-US" w:eastAsia="zh-CN"/>
        </w:rPr>
        <w:t>140.08</w:t>
      </w:r>
      <w:r>
        <w:rPr>
          <w:rFonts w:hint="eastAsia" w:ascii="仿宋_GB2312" w:eastAsia="仿宋_GB2312"/>
          <w:sz w:val="32"/>
          <w:szCs w:val="32"/>
        </w:rPr>
        <w:t>%。变动原因：</w:t>
      </w:r>
      <w:r>
        <w:rPr>
          <w:rFonts w:hint="eastAsia" w:ascii="仿宋_GB2312" w:eastAsia="仿宋_GB2312"/>
          <w:sz w:val="32"/>
          <w:szCs w:val="32"/>
          <w:lang w:val="en-US" w:eastAsia="zh-CN"/>
        </w:rPr>
        <w:t>新增项目经费支出及增加人员经费支出</w:t>
      </w:r>
      <w:r>
        <w:rPr>
          <w:rFonts w:hint="eastAsia" w:ascii="仿宋_GB2312" w:eastAsia="仿宋_GB2312"/>
          <w:sz w:val="32"/>
          <w:szCs w:val="32"/>
        </w:rPr>
        <w:t>。</w:t>
      </w:r>
    </w:p>
    <w:p>
      <w:pPr>
        <w:pStyle w:val="23"/>
        <w:spacing w:line="560" w:lineRule="exact"/>
        <w:ind w:firstLine="640" w:firstLineChars="200"/>
        <w:jc w:val="both"/>
        <w:rPr>
          <w:rFonts w:ascii="仿宋_GB2312" w:eastAsia="仿宋_GB2312"/>
          <w:sz w:val="32"/>
          <w:szCs w:val="32"/>
        </w:rPr>
      </w:pPr>
    </w:p>
    <w:p>
      <w:pPr>
        <w:spacing w:after="0" w:line="560" w:lineRule="exact"/>
        <w:jc w:val="both"/>
        <w:outlineLvl w:val="2"/>
        <w:rPr>
          <w:rFonts w:ascii="仿宋_GB2312" w:eastAsia="仿宋_GB2312"/>
          <w:color w:val="000000"/>
          <w:sz w:val="32"/>
          <w:szCs w:val="32"/>
        </w:rPr>
      </w:pPr>
    </w:p>
    <w:p>
      <w:pPr>
        <w:spacing w:after="0" w:line="560" w:lineRule="exact"/>
        <w:jc w:val="both"/>
        <w:outlineLvl w:val="2"/>
        <w:rPr>
          <w:rFonts w:ascii="仿宋_GB2312" w:eastAsia="仿宋_GB2312"/>
          <w:color w:val="000000"/>
          <w:sz w:val="32"/>
          <w:szCs w:val="32"/>
        </w:rPr>
      </w:pPr>
    </w:p>
    <w:p>
      <w:pPr>
        <w:spacing w:after="0" w:line="560" w:lineRule="exact"/>
        <w:jc w:val="both"/>
        <w:outlineLvl w:val="2"/>
        <w:rPr>
          <w:rFonts w:ascii="仿宋_GB2312" w:eastAsia="仿宋_GB2312"/>
          <w:color w:val="000000"/>
          <w:sz w:val="32"/>
          <w:szCs w:val="32"/>
        </w:rPr>
      </w:pPr>
    </w:p>
    <w:p>
      <w:pPr>
        <w:spacing w:after="0" w:line="560" w:lineRule="exact"/>
        <w:jc w:val="both"/>
        <w:outlineLvl w:val="2"/>
        <w:rPr>
          <w:rFonts w:ascii="仿宋" w:eastAsia="仿宋"/>
          <w:b/>
          <w:color w:val="000000"/>
          <w:sz w:val="32"/>
          <w:szCs w:val="32"/>
        </w:rPr>
      </w:pPr>
    </w:p>
    <w:p>
      <w:pPr>
        <w:spacing w:after="0" w:line="560" w:lineRule="exact"/>
        <w:ind w:firstLine="467" w:firstLineChars="146"/>
        <w:jc w:val="both"/>
        <w:outlineLvl w:val="2"/>
        <w:rPr>
          <w:rFonts w:ascii="仿宋_GB2312" w:eastAsia="仿宋_GB2312"/>
          <w:color w:val="000000"/>
          <w:sz w:val="32"/>
          <w:szCs w:val="32"/>
        </w:rPr>
      </w:pPr>
    </w:p>
    <w:p>
      <w:pPr>
        <w:spacing w:after="0" w:line="560" w:lineRule="exact"/>
        <w:jc w:val="both"/>
        <w:outlineLvl w:val="2"/>
        <w:rPr>
          <w:rFonts w:hint="eastAsia" w:ascii="仿宋_GB2312" w:eastAsia="仿宋_GB2312"/>
          <w:color w:val="000000"/>
          <w:sz w:val="32"/>
          <w:szCs w:val="32"/>
        </w:rPr>
      </w:pPr>
    </w:p>
    <w:p>
      <w:pPr>
        <w:spacing w:after="0" w:line="560" w:lineRule="exact"/>
        <w:ind w:firstLine="440" w:firstLineChars="200"/>
        <w:jc w:val="both"/>
        <w:outlineLvl w:val="2"/>
        <w:rPr>
          <w:rFonts w:ascii="仿宋_GB2312" w:eastAsia="仿宋_GB2312"/>
          <w:color w:val="000000"/>
          <w:sz w:val="32"/>
          <w:szCs w:val="32"/>
        </w:rPr>
      </w:pPr>
      <w:r>
        <w:pict>
          <v:shape id="_x0000_s1032" o:spid="_x0000_s1032" o:spt="75" type="#_x0000_t75" style="position:absolute;left:0pt;margin-left:16.4pt;margin-top:-187.25pt;height:182.45pt;width:319.3pt;mso-wrap-distance-bottom:0pt;mso-wrap-distance-left:8.95pt;mso-wrap-distance-right:8.95pt;mso-wrap-distance-top:0pt;z-index:251659264;mso-width-relative:page;mso-height-relative:page;" o:ole="t" filled="f" o:preferrelative="t" stroked="t" coordsize="21600,21600">
            <v:path/>
            <v:fill on="f" focussize="0,0"/>
            <v:stroke color="#000000"/>
            <v:imagedata r:id="rId20" o:title="288597871664698785327"/>
            <o:lock v:ext="edit" aspectratio="t"/>
            <w10:wrap type="square"/>
          </v:shape>
          <o:OLEObject Type="Embed" ProgID="Package" ShapeID="_x0000_s1032" DrawAspect="Icon" ObjectID="_1468075731" r:id="rId19">
            <o:LockedField>false</o:LockedField>
          </o:OLEObject>
        </w:pict>
      </w:r>
      <w:r>
        <w:rPr>
          <w:rFonts w:hint="eastAsia" w:ascii="仿宋_GB2312" w:eastAsia="仿宋_GB2312"/>
          <w:color w:val="000000"/>
          <w:sz w:val="32"/>
          <w:szCs w:val="32"/>
        </w:rPr>
        <w:t>（图7：一般公共财政拨款支出情况图）</w:t>
      </w:r>
    </w:p>
    <w:p>
      <w:pPr>
        <w:spacing w:after="0" w:line="560" w:lineRule="exact"/>
        <w:ind w:firstLine="469" w:firstLineChars="146"/>
        <w:jc w:val="both"/>
        <w:outlineLvl w:val="2"/>
        <w:rPr>
          <w:rFonts w:ascii="楷体_GB2312" w:eastAsia="楷体_GB2312"/>
          <w:b/>
          <w:color w:val="000000"/>
          <w:sz w:val="32"/>
          <w:szCs w:val="32"/>
        </w:rPr>
      </w:pPr>
      <w:r>
        <w:rPr>
          <w:rFonts w:hint="eastAsia" w:ascii="楷体_GB2312" w:eastAsia="楷体_GB2312"/>
          <w:b/>
          <w:color w:val="000000"/>
          <w:sz w:val="32"/>
          <w:szCs w:val="32"/>
        </w:rPr>
        <w:t>（二）一般公共预算财政拨款支出决算结构情况</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2021年一般公共预算财政拨款支出946.21万元。</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主要用于以下方面: 201一般公共服务（类）支出 902.47万元，占95.38%；208社会保障和就业（类）支出21.09万元，占2.23%；210卫生健康（类）支出8.45万元，占0.89%；221住房保障（类）支出14.20万元，占1.50%。</w:t>
      </w:r>
    </w:p>
    <w:p>
      <w:pPr>
        <w:spacing w:after="0" w:line="560" w:lineRule="exact"/>
        <w:jc w:val="both"/>
        <w:rPr>
          <w:rFonts w:ascii="仿宋" w:eastAsia="仿宋"/>
          <w:color w:val="000000"/>
          <w:sz w:val="32"/>
          <w:szCs w:val="32"/>
        </w:rPr>
      </w:pPr>
    </w:p>
    <w:p>
      <w:pPr>
        <w:spacing w:after="0" w:line="560" w:lineRule="exact"/>
        <w:ind w:firstLine="640"/>
        <w:jc w:val="both"/>
        <w:rPr>
          <w:rFonts w:ascii="仿宋" w:eastAsia="仿宋"/>
          <w:color w:val="000000"/>
          <w:sz w:val="32"/>
          <w:szCs w:val="32"/>
        </w:rPr>
      </w:pPr>
    </w:p>
    <w:p>
      <w:pPr>
        <w:spacing w:after="0" w:line="560" w:lineRule="exact"/>
        <w:ind w:firstLine="640"/>
        <w:jc w:val="both"/>
        <w:rPr>
          <w:rFonts w:ascii="仿宋" w:eastAsia="仿宋"/>
          <w:color w:val="000000"/>
          <w:sz w:val="32"/>
          <w:szCs w:val="32"/>
        </w:rPr>
      </w:pPr>
    </w:p>
    <w:p>
      <w:pPr>
        <w:spacing w:after="0" w:line="560" w:lineRule="exact"/>
        <w:ind w:firstLine="640"/>
        <w:jc w:val="both"/>
        <w:rPr>
          <w:rFonts w:ascii="仿宋" w:eastAsia="仿宋"/>
          <w:color w:val="000000"/>
          <w:sz w:val="32"/>
          <w:szCs w:val="32"/>
        </w:rPr>
      </w:pPr>
    </w:p>
    <w:p>
      <w:pPr>
        <w:spacing w:after="0" w:line="560" w:lineRule="exact"/>
        <w:ind w:firstLine="640"/>
        <w:jc w:val="both"/>
        <w:rPr>
          <w:rFonts w:ascii="仿宋" w:eastAsia="仿宋"/>
          <w:color w:val="000000"/>
          <w:sz w:val="32"/>
          <w:szCs w:val="32"/>
        </w:rPr>
      </w:pPr>
    </w:p>
    <w:p>
      <w:pPr>
        <w:spacing w:after="0" w:line="560" w:lineRule="exact"/>
        <w:jc w:val="both"/>
        <w:rPr>
          <w:rFonts w:ascii="仿宋" w:eastAsia="仿宋"/>
          <w:color w:val="000000"/>
          <w:sz w:val="32"/>
          <w:szCs w:val="32"/>
        </w:rPr>
      </w:pPr>
      <w:r>
        <w:pict>
          <v:shape id="_x0000_s1033" o:spid="_x0000_s1033" o:spt="75" type="#_x0000_t75" style="position:absolute;left:0pt;margin-left:0.35pt;margin-top:-134.7pt;height:156pt;width:349.45pt;mso-wrap-distance-bottom:0pt;mso-wrap-distance-left:8.95pt;mso-wrap-distance-right:8.95pt;mso-wrap-distance-top:0pt;z-index:251659264;mso-width-relative:page;mso-height-relative:page;" o:ole="t" filled="f" o:preferrelative="t" stroked="t" coordsize="21600,21600">
            <v:path/>
            <v:fill on="f" focussize="0,0"/>
            <v:stroke color="#000000"/>
            <v:imagedata r:id="rId22" o:title="3091164341664698785352"/>
            <o:lock v:ext="edit" aspectratio="t"/>
            <w10:wrap type="square"/>
          </v:shape>
          <o:OLEObject Type="Embed" ProgID="Package" ShapeID="_x0000_s1033" DrawAspect="Icon" ObjectID="_1468075732" r:id="rId21">
            <o:LockedField>false</o:LockedField>
          </o:OLEObject>
        </w:pict>
      </w:r>
    </w:p>
    <w:p>
      <w:pPr>
        <w:spacing w:after="0" w:line="560" w:lineRule="exact"/>
        <w:jc w:val="both"/>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图8：一般公共预算财政拨款支出决算结构情况图</w:t>
      </w:r>
      <w:r>
        <w:rPr>
          <w:rFonts w:ascii="仿宋" w:eastAsia="仿宋"/>
          <w:color w:val="000000"/>
          <w:sz w:val="32"/>
          <w:szCs w:val="32"/>
        </w:rPr>
        <w:t>)</w:t>
      </w:r>
    </w:p>
    <w:p>
      <w:pPr>
        <w:spacing w:after="0" w:line="560" w:lineRule="exact"/>
        <w:ind w:firstLine="643" w:firstLineChars="200"/>
        <w:jc w:val="both"/>
        <w:outlineLvl w:val="2"/>
        <w:rPr>
          <w:rFonts w:ascii="楷体_GB2312" w:eastAsia="楷体_GB2312"/>
          <w:b/>
          <w:color w:val="000000"/>
          <w:sz w:val="32"/>
          <w:szCs w:val="32"/>
        </w:rPr>
      </w:pPr>
      <w:r>
        <w:rPr>
          <w:rFonts w:hint="eastAsia" w:ascii="楷体_GB2312" w:eastAsia="楷体_GB2312"/>
          <w:b/>
          <w:color w:val="000000"/>
          <w:sz w:val="32"/>
          <w:szCs w:val="32"/>
        </w:rPr>
        <w:t>（三）一般公共预算财政拨款支出决算具体情况</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2021年一般公共预算支出决算数为946.21万元，完成预算100%。其中：</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1.2013701-行政运行支出180.36万元，完成预算100%；</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2.2013702-一般行政管理事务722.11万元，完成预算100%；</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3.2080505-机关事业单位基本养老保险缴费支出14.01万元，完成预算100%；</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4.2080506-机关事业单位职业年金缴费支出7.08万元，完成预算100%；</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5.2101101-行政医疗支出6.82万元，完成预算100%；</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6.2101103-公务员医疗补助1.63万元，完成预算100%；</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7.2210201-住房公积金支出14.2万元，完成预算100%。</w:t>
      </w:r>
    </w:p>
    <w:p>
      <w:pPr>
        <w:pStyle w:val="23"/>
        <w:spacing w:line="560" w:lineRule="exact"/>
        <w:ind w:firstLine="640" w:firstLineChars="200"/>
        <w:jc w:val="both"/>
        <w:rPr>
          <w:rFonts w:ascii="黑体" w:eastAsia="黑体"/>
          <w:sz w:val="32"/>
          <w:szCs w:val="32"/>
        </w:rPr>
      </w:pPr>
      <w:r>
        <w:rPr>
          <w:rFonts w:hint="eastAsia" w:ascii="黑体" w:eastAsia="黑体"/>
          <w:sz w:val="32"/>
          <w:szCs w:val="32"/>
        </w:rPr>
        <w:t>六、一般公共预算财政拨款基本支出决算情况说明</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2021年一般公共预算财政拨款基本支出</w:t>
      </w:r>
      <w:r>
        <w:rPr>
          <w:rFonts w:hint="eastAsia" w:ascii="仿宋_GB2312" w:eastAsia="仿宋_GB2312"/>
          <w:sz w:val="32"/>
          <w:szCs w:val="32"/>
          <w:lang w:val="en-US" w:eastAsia="zh-CN"/>
        </w:rPr>
        <w:t>224.1</w:t>
      </w:r>
      <w:r>
        <w:rPr>
          <w:rFonts w:hint="eastAsia" w:ascii="仿宋_GB2312" w:eastAsia="仿宋_GB2312"/>
          <w:sz w:val="32"/>
          <w:szCs w:val="32"/>
        </w:rPr>
        <w:t>万元。</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人员经费</w:t>
      </w:r>
      <w:r>
        <w:rPr>
          <w:rFonts w:hint="eastAsia" w:ascii="仿宋_GB2312" w:eastAsia="仿宋_GB2312"/>
          <w:sz w:val="32"/>
          <w:szCs w:val="32"/>
          <w:lang w:val="en-US" w:eastAsia="zh-CN"/>
        </w:rPr>
        <w:t>190.92</w:t>
      </w:r>
      <w:r>
        <w:rPr>
          <w:rFonts w:hint="eastAsia" w:ascii="仿宋_GB2312" w:eastAsia="仿宋_GB2312"/>
          <w:sz w:val="32"/>
          <w:szCs w:val="32"/>
        </w:rPr>
        <w:t>万元，其中：基本工资40.78万元，津贴补贴96.37万元，</w:t>
      </w:r>
      <w:r>
        <w:rPr>
          <w:rFonts w:hint="eastAsia" w:ascii="仿宋_GB2312" w:eastAsia="仿宋_GB2312"/>
          <w:sz w:val="32"/>
          <w:szCs w:val="32"/>
          <w:lang w:val="en-US" w:eastAsia="zh-CN"/>
        </w:rPr>
        <w:t>奖金0.9万元，</w:t>
      </w:r>
      <w:r>
        <w:rPr>
          <w:rFonts w:hint="eastAsia" w:ascii="仿宋_GB2312" w:eastAsia="仿宋_GB2312"/>
          <w:sz w:val="32"/>
          <w:szCs w:val="32"/>
        </w:rPr>
        <w:t>伙食补助3.58万元，机关事业单位养老保险缴费14.01万元，职业年金缴费7.08万元，职工基本医疗保险缴费6.82万元，公务员医疗补助缴费1.63万元，其他社会保险缴费1.36万元，住房公积金</w:t>
      </w:r>
      <w:r>
        <w:rPr>
          <w:rFonts w:hint="eastAsia" w:ascii="仿宋_GB2312" w:eastAsia="仿宋_GB2312"/>
          <w:sz w:val="32"/>
          <w:szCs w:val="32"/>
          <w:lang w:val="en-US" w:eastAsia="zh-CN"/>
        </w:rPr>
        <w:t>14.2</w:t>
      </w:r>
      <w:r>
        <w:rPr>
          <w:rFonts w:hint="eastAsia" w:ascii="仿宋_GB2312" w:eastAsia="仿宋_GB2312"/>
          <w:sz w:val="32"/>
          <w:szCs w:val="32"/>
        </w:rPr>
        <w:t>万元，其他</w:t>
      </w:r>
      <w:r>
        <w:rPr>
          <w:rFonts w:hint="eastAsia" w:ascii="仿宋_GB2312" w:eastAsia="仿宋_GB2312"/>
          <w:sz w:val="32"/>
          <w:szCs w:val="32"/>
          <w:lang w:val="en-US" w:eastAsia="zh-CN"/>
        </w:rPr>
        <w:t>商品</w:t>
      </w:r>
      <w:r>
        <w:rPr>
          <w:rFonts w:hint="eastAsia" w:ascii="仿宋_GB2312" w:eastAsia="仿宋_GB2312"/>
          <w:sz w:val="32"/>
          <w:szCs w:val="32"/>
        </w:rPr>
        <w:t>和福利</w:t>
      </w:r>
      <w:r>
        <w:rPr>
          <w:rFonts w:hint="eastAsia" w:ascii="仿宋_GB2312" w:eastAsia="仿宋_GB2312"/>
          <w:sz w:val="32"/>
          <w:szCs w:val="32"/>
          <w:lang w:val="en-US" w:eastAsia="zh-CN"/>
        </w:rPr>
        <w:t>4.2</w:t>
      </w:r>
      <w:r>
        <w:rPr>
          <w:rFonts w:hint="eastAsia" w:ascii="仿宋_GB2312" w:eastAsia="仿宋_GB2312"/>
          <w:sz w:val="32"/>
          <w:szCs w:val="32"/>
        </w:rPr>
        <w:t>万元。</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日常公用经费</w:t>
      </w:r>
      <w:r>
        <w:rPr>
          <w:rFonts w:hint="eastAsia" w:ascii="仿宋_GB2312" w:eastAsia="仿宋_GB2312"/>
          <w:sz w:val="32"/>
          <w:szCs w:val="32"/>
          <w:lang w:val="en-US" w:eastAsia="zh-CN"/>
        </w:rPr>
        <w:t>33.18</w:t>
      </w:r>
      <w:r>
        <w:rPr>
          <w:rFonts w:hint="eastAsia" w:ascii="仿宋_GB2312" w:eastAsia="仿宋_GB2312"/>
          <w:sz w:val="32"/>
          <w:szCs w:val="32"/>
        </w:rPr>
        <w:t>万元，其中：办公费6.43万元，电费0.48万元，邮电费</w:t>
      </w:r>
      <w:r>
        <w:rPr>
          <w:rFonts w:hint="eastAsia" w:ascii="仿宋_GB2312" w:eastAsia="仿宋_GB2312"/>
          <w:sz w:val="32"/>
          <w:szCs w:val="32"/>
          <w:lang w:val="en-US" w:eastAsia="zh-CN"/>
        </w:rPr>
        <w:t>2.49</w:t>
      </w:r>
      <w:r>
        <w:rPr>
          <w:rFonts w:hint="eastAsia" w:ascii="仿宋_GB2312" w:eastAsia="仿宋_GB2312"/>
          <w:sz w:val="32"/>
          <w:szCs w:val="32"/>
        </w:rPr>
        <w:t>万元，差旅费7.48万元，公务接待费0.</w:t>
      </w:r>
      <w:r>
        <w:rPr>
          <w:rFonts w:hint="eastAsia" w:ascii="仿宋_GB2312" w:eastAsia="仿宋_GB2312"/>
          <w:sz w:val="32"/>
          <w:szCs w:val="32"/>
          <w:lang w:val="en-US" w:eastAsia="zh-CN"/>
        </w:rPr>
        <w:t>5</w:t>
      </w:r>
      <w:r>
        <w:rPr>
          <w:rFonts w:hint="eastAsia" w:ascii="仿宋_GB2312" w:eastAsia="仿宋_GB2312"/>
          <w:sz w:val="32"/>
          <w:szCs w:val="32"/>
        </w:rPr>
        <w:t>2万元，</w:t>
      </w:r>
      <w:r>
        <w:rPr>
          <w:rFonts w:hint="eastAsia" w:ascii="仿宋_GB2312" w:eastAsia="仿宋_GB2312"/>
          <w:sz w:val="32"/>
          <w:szCs w:val="32"/>
          <w:lang w:val="en-US" w:eastAsia="zh-CN"/>
        </w:rPr>
        <w:t>劳务费0.53万元，工会经费1.57万元，福利费0.82万元，</w:t>
      </w:r>
      <w:r>
        <w:rPr>
          <w:rFonts w:hint="eastAsia" w:ascii="仿宋_GB2312" w:eastAsia="仿宋_GB2312"/>
          <w:sz w:val="32"/>
          <w:szCs w:val="32"/>
        </w:rPr>
        <w:t>公务公车运行维护费12.52万元</w:t>
      </w:r>
      <w:r>
        <w:rPr>
          <w:rFonts w:hint="eastAsia" w:ascii="仿宋_GB2312" w:eastAsia="仿宋_GB2312"/>
          <w:sz w:val="32"/>
          <w:szCs w:val="32"/>
          <w:lang w:eastAsia="zh-CN"/>
        </w:rPr>
        <w:t>，</w:t>
      </w:r>
      <w:r>
        <w:rPr>
          <w:rFonts w:hint="eastAsia" w:ascii="仿宋_GB2312" w:eastAsia="仿宋_GB2312"/>
          <w:sz w:val="32"/>
          <w:szCs w:val="32"/>
          <w:lang w:val="en-US" w:eastAsia="zh-CN"/>
        </w:rPr>
        <w:t>其他商品和服务支出0.35万元</w:t>
      </w:r>
      <w:r>
        <w:rPr>
          <w:rFonts w:hint="eastAsia" w:ascii="仿宋_GB2312" w:eastAsia="仿宋_GB2312"/>
          <w:sz w:val="32"/>
          <w:szCs w:val="32"/>
        </w:rPr>
        <w:t>。</w:t>
      </w:r>
    </w:p>
    <w:p>
      <w:pPr>
        <w:pStyle w:val="23"/>
        <w:spacing w:line="560" w:lineRule="exact"/>
        <w:ind w:firstLine="640" w:firstLineChars="200"/>
        <w:jc w:val="both"/>
        <w:rPr>
          <w:rFonts w:ascii="黑体" w:eastAsia="黑体"/>
          <w:sz w:val="32"/>
          <w:szCs w:val="32"/>
        </w:rPr>
      </w:pPr>
      <w:r>
        <w:rPr>
          <w:rFonts w:hint="eastAsia" w:ascii="黑体" w:eastAsia="黑体"/>
          <w:sz w:val="32"/>
          <w:szCs w:val="32"/>
        </w:rPr>
        <w:t>七、</w:t>
      </w:r>
      <w:r>
        <w:rPr>
          <w:rFonts w:ascii="黑体" w:eastAsia="黑体"/>
          <w:sz w:val="32"/>
          <w:szCs w:val="32"/>
        </w:rPr>
        <w:t>“</w:t>
      </w:r>
      <w:r>
        <w:rPr>
          <w:rFonts w:hint="eastAsia" w:ascii="黑体" w:eastAsia="黑体"/>
          <w:sz w:val="32"/>
          <w:szCs w:val="32"/>
        </w:rPr>
        <w:t>三公”经费财政拨款支出决算情况说明</w:t>
      </w:r>
    </w:p>
    <w:p>
      <w:pPr>
        <w:spacing w:after="0" w:line="560" w:lineRule="exact"/>
        <w:ind w:firstLine="640"/>
        <w:jc w:val="both"/>
        <w:outlineLvl w:val="2"/>
        <w:rPr>
          <w:rFonts w:ascii="楷体_GB2312" w:eastAsia="楷体_GB2312"/>
          <w:b/>
          <w:color w:val="000000"/>
          <w:sz w:val="32"/>
          <w:szCs w:val="32"/>
        </w:rPr>
      </w:pPr>
      <w:r>
        <w:rPr>
          <w:rFonts w:hint="eastAsia" w:ascii="楷体_GB2312" w:eastAsia="楷体_GB2312"/>
          <w:b/>
          <w:color w:val="000000"/>
          <w:sz w:val="32"/>
          <w:szCs w:val="32"/>
        </w:rPr>
        <w:t>（一）“三公”经费财政拨款支出决算总体情况说明</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2021年“三公”经费财政拨款支出决算为15.87万元，完成预算100%，决算数等于预算数，主要原因本着以收定支、厉行节约的原则。</w:t>
      </w:r>
    </w:p>
    <w:p>
      <w:pPr>
        <w:spacing w:after="0" w:line="560" w:lineRule="exact"/>
        <w:ind w:firstLine="640"/>
        <w:jc w:val="both"/>
        <w:outlineLvl w:val="2"/>
        <w:rPr>
          <w:rFonts w:ascii="楷体_GB2312" w:eastAsia="楷体_GB2312"/>
          <w:b/>
          <w:color w:val="000000"/>
          <w:sz w:val="32"/>
          <w:szCs w:val="32"/>
        </w:rPr>
      </w:pPr>
      <w:r>
        <w:rPr>
          <w:rFonts w:hint="eastAsia" w:ascii="楷体_GB2312" w:eastAsia="楷体_GB2312"/>
          <w:b/>
          <w:color w:val="000000"/>
          <w:sz w:val="32"/>
          <w:szCs w:val="32"/>
        </w:rPr>
        <w:t>（二）“三公”经费财政拨款支出决算具体情况说明</w:t>
      </w:r>
    </w:p>
    <w:p>
      <w:pPr>
        <w:spacing w:after="0" w:line="560" w:lineRule="exact"/>
        <w:ind w:firstLine="640"/>
        <w:jc w:val="both"/>
        <w:rPr>
          <w:rFonts w:hint="eastAsia" w:ascii="仿宋_GB2312" w:hAnsi="Times New Roman" w:eastAsia="仿宋_GB2312" w:cs="仿宋"/>
          <w:color w:val="000000"/>
          <w:sz w:val="32"/>
          <w:szCs w:val="32"/>
          <w:lang w:val="en-US" w:eastAsia="zh-CN" w:bidi="ar-SA"/>
        </w:rPr>
      </w:pPr>
      <w:r>
        <w:rPr>
          <w:rFonts w:hint="eastAsia" w:ascii="仿宋_GB2312" w:hAnsi="Times New Roman" w:eastAsia="仿宋_GB2312" w:cs="仿宋"/>
          <w:color w:val="000000"/>
          <w:sz w:val="32"/>
          <w:szCs w:val="32"/>
          <w:lang w:val="en-US" w:eastAsia="zh-CN" w:bidi="ar-SA"/>
        </w:rPr>
        <w:t>2021年“三公”经费财政拨款支出合计15.87万元，其中：公务接待费0.52万元，占3.28%；因公出过（境）费0万元；公务车辆购置及运行费15.35万元，占96.72%。</w:t>
      </w:r>
    </w:p>
    <w:p>
      <w:pPr>
        <w:spacing w:after="0" w:line="560" w:lineRule="exact"/>
        <w:ind w:firstLine="640"/>
        <w:jc w:val="both"/>
        <w:rPr>
          <w:rFonts w:ascii="仿宋_GB2312" w:eastAsia="仿宋_GB2312"/>
          <w:sz w:val="32"/>
          <w:szCs w:val="32"/>
        </w:rPr>
      </w:pPr>
      <w:r>
        <w:pict>
          <v:shape id="_x0000_s1034" o:spid="_x0000_s1034" o:spt="75" type="#_x0000_t75" style="position:absolute;left:0pt;margin-left:23.65pt;margin-top:13.2pt;height:216.55pt;width:288.45pt;mso-wrap-distance-bottom:0pt;mso-wrap-distance-left:8.95pt;mso-wrap-distance-right:8.95pt;mso-wrap-distance-top:0pt;z-index:251659264;mso-width-relative:page;mso-height-relative:page;" o:ole="t" filled="f" o:preferrelative="t" stroked="t" coordsize="21600,21600">
            <v:path/>
            <v:fill on="f" focussize="0,0"/>
            <v:stroke color="#000000"/>
            <v:imagedata r:id="rId24" o:title="1399851541664698785406"/>
            <o:lock v:ext="edit" aspectratio="t"/>
            <w10:wrap type="square"/>
          </v:shape>
          <o:OLEObject Type="Embed" ProgID="Package" ShapeID="_x0000_s1034" DrawAspect="Icon" ObjectID="_1468075733" r:id="rId23">
            <o:LockedField>false</o:LockedField>
          </o:OLEObject>
        </w:pict>
      </w:r>
    </w:p>
    <w:p>
      <w:pPr>
        <w:spacing w:after="0" w:line="560" w:lineRule="exact"/>
        <w:ind w:firstLine="640"/>
        <w:jc w:val="both"/>
        <w:rPr>
          <w:rFonts w:ascii="仿宋_GB2312" w:eastAsia="仿宋_GB2312"/>
          <w:sz w:val="32"/>
          <w:szCs w:val="32"/>
        </w:rPr>
      </w:pPr>
    </w:p>
    <w:p>
      <w:pPr>
        <w:spacing w:after="0" w:line="560" w:lineRule="exact"/>
        <w:ind w:firstLine="640"/>
        <w:jc w:val="both"/>
        <w:rPr>
          <w:rFonts w:ascii="仿宋_GB2312" w:eastAsia="仿宋_GB2312"/>
          <w:sz w:val="32"/>
          <w:szCs w:val="32"/>
        </w:rPr>
      </w:pPr>
    </w:p>
    <w:p>
      <w:pPr>
        <w:spacing w:after="0" w:line="560" w:lineRule="exact"/>
        <w:ind w:firstLine="640"/>
        <w:jc w:val="both"/>
        <w:rPr>
          <w:rFonts w:ascii="仿宋_GB2312" w:eastAsia="仿宋_GB2312"/>
          <w:sz w:val="32"/>
          <w:szCs w:val="32"/>
        </w:rPr>
      </w:pPr>
    </w:p>
    <w:p>
      <w:pPr>
        <w:spacing w:after="0" w:line="560" w:lineRule="exact"/>
        <w:jc w:val="both"/>
        <w:rPr>
          <w:rFonts w:ascii="仿宋_GB2312" w:eastAsia="仿宋_GB2312"/>
          <w:sz w:val="32"/>
          <w:szCs w:val="32"/>
        </w:rPr>
      </w:pPr>
    </w:p>
    <w:p>
      <w:pPr>
        <w:spacing w:after="0" w:line="560" w:lineRule="exact"/>
        <w:jc w:val="both"/>
        <w:rPr>
          <w:rFonts w:ascii="仿宋_GB2312" w:eastAsia="仿宋_GB2312"/>
          <w:sz w:val="32"/>
          <w:szCs w:val="32"/>
        </w:rPr>
      </w:pPr>
    </w:p>
    <w:p>
      <w:pPr>
        <w:spacing w:after="0" w:line="560" w:lineRule="exact"/>
        <w:jc w:val="both"/>
        <w:rPr>
          <w:rFonts w:ascii="仿宋_GB2312" w:eastAsia="仿宋_GB2312"/>
          <w:sz w:val="32"/>
          <w:szCs w:val="32"/>
        </w:rPr>
      </w:pPr>
    </w:p>
    <w:p>
      <w:pPr>
        <w:spacing w:after="0" w:line="560" w:lineRule="exact"/>
        <w:jc w:val="both"/>
        <w:rPr>
          <w:rFonts w:ascii="仿宋_GB2312" w:eastAsia="仿宋_GB2312"/>
          <w:sz w:val="32"/>
          <w:szCs w:val="32"/>
        </w:rPr>
      </w:pPr>
    </w:p>
    <w:p>
      <w:pPr>
        <w:spacing w:after="0" w:line="560" w:lineRule="exact"/>
        <w:jc w:val="both"/>
        <w:rPr>
          <w:rFonts w:ascii="仿宋_GB2312" w:eastAsia="仿宋_GB2312"/>
          <w:sz w:val="32"/>
          <w:szCs w:val="32"/>
        </w:rPr>
      </w:pP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（图9：“三公”经费财政拨款支出情况图）</w:t>
      </w:r>
    </w:p>
    <w:p>
      <w:pPr>
        <w:spacing w:after="0" w:line="560" w:lineRule="exact"/>
        <w:ind w:firstLine="640"/>
        <w:jc w:val="both"/>
        <w:rPr>
          <w:rFonts w:ascii="仿宋_GB2312" w:eastAsia="仿宋_GB2312"/>
          <w:b/>
          <w:bCs/>
          <w:color w:val="000000"/>
          <w:sz w:val="32"/>
          <w:szCs w:val="32"/>
        </w:rPr>
      </w:pPr>
      <w:r>
        <w:rPr>
          <w:rFonts w:hint="eastAsia" w:ascii="仿宋_GB2312" w:eastAsia="仿宋_GB2312"/>
          <w:b/>
          <w:bCs/>
          <w:color w:val="000000"/>
          <w:sz w:val="32"/>
          <w:szCs w:val="32"/>
        </w:rPr>
        <w:t>1.公务用车运行维护费支出1</w:t>
      </w:r>
      <w:r>
        <w:rPr>
          <w:rFonts w:hint="eastAsia" w:ascii="仿宋_GB2312" w:eastAsia="仿宋_GB2312"/>
          <w:b/>
          <w:bCs/>
          <w:color w:val="000000"/>
          <w:sz w:val="32"/>
          <w:szCs w:val="32"/>
          <w:lang w:val="en-US" w:eastAsia="zh-CN"/>
        </w:rPr>
        <w:t>5.35</w:t>
      </w:r>
      <w:r>
        <w:rPr>
          <w:rFonts w:hint="eastAsia" w:ascii="仿宋_GB2312" w:eastAsia="仿宋_GB2312"/>
          <w:b/>
          <w:bCs/>
          <w:color w:val="000000"/>
          <w:sz w:val="32"/>
          <w:szCs w:val="32"/>
        </w:rPr>
        <w:t>万元,</w:t>
      </w:r>
      <w:r>
        <w:rPr>
          <w:rStyle w:val="16"/>
          <w:rFonts w:hint="eastAsia" w:ascii="仿宋_GB2312" w:eastAsia="仿宋_GB2312"/>
          <w:bCs/>
          <w:color w:val="000000"/>
          <w:sz w:val="32"/>
          <w:szCs w:val="32"/>
        </w:rPr>
        <w:t>完成预算100%。</w:t>
      </w: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2021年公务用车运行维护费支出</w:t>
      </w:r>
      <w:r>
        <w:rPr>
          <w:rFonts w:hint="eastAsia" w:ascii="仿宋_GB2312" w:eastAsia="仿宋_GB2312"/>
          <w:color w:val="000000"/>
          <w:sz w:val="32"/>
          <w:szCs w:val="32"/>
          <w:lang w:val="en-US" w:eastAsia="zh-CN"/>
        </w:rPr>
        <w:t>15.35</w:t>
      </w:r>
      <w:r>
        <w:rPr>
          <w:rFonts w:hint="eastAsia" w:ascii="仿宋_GB2312" w:eastAsia="仿宋_GB2312"/>
          <w:color w:val="000000"/>
          <w:sz w:val="32"/>
          <w:szCs w:val="32"/>
        </w:rPr>
        <w:t>万元，2020公务用车运行维护费支出11.79万元，较2020年增长</w:t>
      </w:r>
      <w:r>
        <w:rPr>
          <w:rFonts w:hint="eastAsia" w:ascii="仿宋_GB2312" w:eastAsia="仿宋_GB2312"/>
          <w:color w:val="000000"/>
          <w:sz w:val="32"/>
          <w:szCs w:val="32"/>
          <w:lang w:val="en-US" w:eastAsia="zh-CN"/>
        </w:rPr>
        <w:t>20.19</w:t>
      </w:r>
      <w:r>
        <w:rPr>
          <w:rFonts w:hint="eastAsia" w:ascii="仿宋_GB2312" w:eastAsia="仿宋_GB2312"/>
          <w:color w:val="000000"/>
          <w:sz w:val="32"/>
          <w:szCs w:val="32"/>
        </w:rPr>
        <w:t>%，变动原因：</w:t>
      </w:r>
      <w:r>
        <w:rPr>
          <w:rFonts w:hint="eastAsia" w:ascii="仿宋_GB2312" w:eastAsia="仿宋_GB2312"/>
          <w:color w:val="000000"/>
          <w:sz w:val="32"/>
          <w:szCs w:val="32"/>
          <w:lang w:val="en-US" w:eastAsia="zh-CN"/>
        </w:rPr>
        <w:t>2021开展州县工作增加，出差较2020年增加</w:t>
      </w:r>
      <w:r>
        <w:rPr>
          <w:rFonts w:hint="eastAsia" w:ascii="仿宋_GB2312" w:eastAsia="仿宋_GB2312"/>
          <w:color w:val="000000"/>
          <w:sz w:val="32"/>
          <w:szCs w:val="32"/>
        </w:rPr>
        <w:t>。</w:t>
      </w:r>
    </w:p>
    <w:p>
      <w:pPr>
        <w:spacing w:after="0" w:line="560" w:lineRule="exact"/>
        <w:ind w:firstLine="640"/>
        <w:jc w:val="both"/>
        <w:rPr>
          <w:rStyle w:val="16"/>
          <w:rFonts w:ascii="仿宋" w:eastAsia="仿宋"/>
          <w:bCs/>
          <w:color w:val="000000"/>
          <w:sz w:val="32"/>
          <w:szCs w:val="32"/>
        </w:rPr>
      </w:pPr>
      <w:r>
        <w:rPr>
          <w:rFonts w:hint="eastAsia" w:ascii="仿宋_GB2312" w:eastAsia="仿宋_GB2312"/>
          <w:b/>
          <w:color w:val="000000"/>
          <w:sz w:val="32"/>
          <w:szCs w:val="32"/>
        </w:rPr>
        <w:t>2</w:t>
      </w:r>
      <w:r>
        <w:rPr>
          <w:rFonts w:ascii="仿宋_GB2312" w:eastAsia="仿宋_GB2312"/>
          <w:b/>
          <w:color w:val="000000"/>
          <w:sz w:val="32"/>
          <w:szCs w:val="32"/>
        </w:rPr>
        <w:t>.</w:t>
      </w:r>
      <w:r>
        <w:rPr>
          <w:rFonts w:hint="eastAsia" w:ascii="仿宋_GB2312" w:eastAsia="仿宋_GB2312"/>
          <w:b/>
          <w:color w:val="000000"/>
          <w:sz w:val="32"/>
          <w:szCs w:val="32"/>
        </w:rPr>
        <w:t>公务接待费支出0.</w:t>
      </w:r>
      <w:r>
        <w:rPr>
          <w:rFonts w:hint="eastAsia" w:ascii="仿宋_GB2312" w:eastAsia="仿宋_GB2312"/>
          <w:b/>
          <w:color w:val="000000"/>
          <w:sz w:val="32"/>
          <w:szCs w:val="32"/>
          <w:lang w:val="en-US" w:eastAsia="zh-CN"/>
        </w:rPr>
        <w:t>52</w:t>
      </w:r>
      <w:r>
        <w:rPr>
          <w:rFonts w:hint="eastAsia" w:ascii="仿宋_GB2312" w:eastAsia="仿宋_GB2312"/>
          <w:b/>
          <w:color w:val="000000"/>
          <w:sz w:val="32"/>
          <w:szCs w:val="32"/>
        </w:rPr>
        <w:t>万元，</w:t>
      </w:r>
      <w:r>
        <w:rPr>
          <w:rStyle w:val="16"/>
          <w:rFonts w:hint="eastAsia" w:ascii="仿宋" w:eastAsia="仿宋"/>
          <w:bCs/>
          <w:color w:val="000000"/>
          <w:sz w:val="32"/>
          <w:szCs w:val="32"/>
        </w:rPr>
        <w:t>完成预算100</w:t>
      </w:r>
      <w:r>
        <w:rPr>
          <w:rStyle w:val="16"/>
          <w:rFonts w:ascii="仿宋" w:eastAsia="仿宋"/>
          <w:bCs/>
          <w:color w:val="000000"/>
          <w:sz w:val="32"/>
          <w:szCs w:val="32"/>
        </w:rPr>
        <w:t>%</w:t>
      </w:r>
      <w:r>
        <w:rPr>
          <w:rStyle w:val="16"/>
          <w:rFonts w:hint="eastAsia" w:ascii="仿宋" w:eastAsia="仿宋"/>
          <w:bCs/>
          <w:color w:val="000000"/>
          <w:sz w:val="32"/>
          <w:szCs w:val="32"/>
        </w:rPr>
        <w:t>。</w:t>
      </w:r>
    </w:p>
    <w:p>
      <w:pPr>
        <w:spacing w:after="0" w:line="560" w:lineRule="exact"/>
        <w:ind w:firstLine="640"/>
        <w:jc w:val="both"/>
        <w:rPr>
          <w:rFonts w:hint="eastAsia" w:ascii="仿宋_GB2312" w:eastAsia="仿宋_GB2312"/>
          <w:color w:val="000000"/>
          <w:sz w:val="32"/>
          <w:szCs w:val="32"/>
        </w:rPr>
      </w:pPr>
      <w:r>
        <w:rPr>
          <w:rFonts w:hint="eastAsia" w:ascii="仿宋_GB2312" w:eastAsia="仿宋_GB2312"/>
          <w:color w:val="000000"/>
          <w:sz w:val="32"/>
          <w:szCs w:val="32"/>
        </w:rPr>
        <w:t>2021年公务接待支出</w:t>
      </w:r>
      <w:r>
        <w:rPr>
          <w:rFonts w:hint="eastAsia" w:ascii="仿宋_GB2312" w:eastAsia="仿宋_GB2312"/>
          <w:color w:val="000000"/>
          <w:sz w:val="32"/>
          <w:szCs w:val="32"/>
          <w:lang w:val="en-US" w:eastAsia="zh-CN"/>
        </w:rPr>
        <w:t>0.52</w:t>
      </w:r>
      <w:r>
        <w:rPr>
          <w:rFonts w:hint="eastAsia" w:ascii="仿宋_GB2312" w:eastAsia="仿宋_GB2312"/>
          <w:color w:val="000000"/>
          <w:sz w:val="32"/>
          <w:szCs w:val="32"/>
        </w:rPr>
        <w:t>万元，2020年公务接待支出0.12万元，</w:t>
      </w:r>
      <w:r>
        <w:rPr>
          <w:rFonts w:hint="eastAsia" w:ascii="仿宋_GB2312" w:eastAsia="仿宋_GB2312"/>
          <w:color w:val="000000"/>
          <w:sz w:val="32"/>
          <w:szCs w:val="32"/>
          <w:lang w:val="en-US" w:eastAsia="zh-CN"/>
        </w:rPr>
        <w:t>较2020年增加333.33%。</w:t>
      </w:r>
      <w:r>
        <w:rPr>
          <w:rFonts w:hint="eastAsia" w:ascii="仿宋_GB2312" w:eastAsia="仿宋_GB2312"/>
          <w:color w:val="000000"/>
          <w:sz w:val="32"/>
          <w:szCs w:val="32"/>
        </w:rPr>
        <w:t>主要用于开展业务活动用餐费，国内公务接待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0.52</w:t>
      </w:r>
      <w:r>
        <w:rPr>
          <w:rFonts w:hint="eastAsia" w:ascii="仿宋_GB2312" w:eastAsia="仿宋_GB2312"/>
          <w:color w:val="000000"/>
          <w:sz w:val="32"/>
          <w:szCs w:val="32"/>
        </w:rPr>
        <w:t>万元。</w:t>
      </w:r>
    </w:p>
    <w:p>
      <w:pPr>
        <w:pStyle w:val="24"/>
        <w:spacing w:line="560" w:lineRule="exact"/>
        <w:ind w:left="440" w:leftChars="200" w:firstLine="160" w:firstLineChars="50"/>
        <w:outlineLvl w:val="1"/>
        <w:rPr>
          <w:rFonts w:ascii="黑体" w:eastAsia="黑体" w:cs="仿宋"/>
          <w:color w:val="000000"/>
          <w:sz w:val="32"/>
          <w:szCs w:val="32"/>
        </w:rPr>
      </w:pPr>
      <w:r>
        <w:rPr>
          <w:rFonts w:hint="eastAsia" w:ascii="黑体" w:eastAsia="黑体" w:cs="仿宋"/>
          <w:color w:val="000000"/>
          <w:sz w:val="32"/>
          <w:szCs w:val="32"/>
        </w:rPr>
        <w:t>八、政府性基金预算支出决算情况说明</w:t>
      </w: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2021年政府性基金预算拨款支出0元。</w:t>
      </w:r>
    </w:p>
    <w:p>
      <w:pPr>
        <w:pStyle w:val="24"/>
        <w:spacing w:line="560" w:lineRule="exact"/>
        <w:ind w:left="440" w:leftChars="200" w:firstLine="160" w:firstLineChars="50"/>
        <w:outlineLvl w:val="1"/>
        <w:rPr>
          <w:rFonts w:ascii="黑体" w:eastAsia="黑体" w:cs="仿宋"/>
          <w:color w:val="000000"/>
          <w:sz w:val="32"/>
          <w:szCs w:val="32"/>
        </w:rPr>
      </w:pPr>
      <w:r>
        <w:rPr>
          <w:rFonts w:ascii="黑体" w:eastAsia="黑体" w:cs="仿宋"/>
          <w:color w:val="000000"/>
          <w:sz w:val="32"/>
          <w:szCs w:val="32"/>
        </w:rPr>
        <w:t>九、</w:t>
      </w:r>
      <w:r>
        <w:rPr>
          <w:rFonts w:hint="eastAsia" w:ascii="黑体" w:eastAsia="黑体" w:cs="仿宋"/>
          <w:color w:val="000000"/>
          <w:sz w:val="32"/>
          <w:szCs w:val="32"/>
        </w:rPr>
        <w:t>国有资本经营预算支出决算情况说明</w:t>
      </w: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2021年国有资本经营预算拨款支出0元。</w:t>
      </w:r>
    </w:p>
    <w:p>
      <w:pPr>
        <w:pStyle w:val="24"/>
        <w:spacing w:line="560" w:lineRule="exact"/>
        <w:ind w:left="440" w:leftChars="200" w:firstLine="160" w:firstLineChars="50"/>
        <w:outlineLvl w:val="1"/>
        <w:rPr>
          <w:rStyle w:val="19"/>
          <w:rFonts w:ascii="黑体" w:eastAsia="黑体"/>
          <w:b w:val="0"/>
          <w:bCs w:val="0"/>
        </w:rPr>
      </w:pPr>
      <w:r>
        <w:rPr>
          <w:rFonts w:hint="eastAsia" w:ascii="黑体" w:eastAsia="黑体"/>
          <w:color w:val="000000"/>
          <w:sz w:val="32"/>
          <w:szCs w:val="32"/>
        </w:rPr>
        <w:t>十</w:t>
      </w:r>
      <w:r>
        <w:rPr>
          <w:rStyle w:val="19"/>
          <w:rFonts w:hint="eastAsia" w:ascii="黑体" w:eastAsia="黑体"/>
          <w:b w:val="0"/>
          <w:bCs w:val="0"/>
        </w:rPr>
        <w:t>、其他重要事项的情况说明</w:t>
      </w:r>
    </w:p>
    <w:p>
      <w:pPr>
        <w:pStyle w:val="24"/>
        <w:spacing w:line="560" w:lineRule="exact"/>
        <w:ind w:left="420" w:firstLine="0" w:firstLineChars="0"/>
        <w:outlineLvl w:val="2"/>
        <w:rPr>
          <w:rFonts w:ascii="楷体_GB2312" w:eastAsia="楷体_GB2312"/>
          <w:b/>
          <w:color w:val="000000"/>
          <w:sz w:val="32"/>
          <w:szCs w:val="32"/>
        </w:rPr>
      </w:pPr>
      <w:r>
        <w:rPr>
          <w:rFonts w:hint="eastAsia" w:ascii="楷体_GB2312" w:eastAsia="楷体_GB2312"/>
          <w:b/>
          <w:color w:val="000000"/>
          <w:sz w:val="32"/>
          <w:szCs w:val="32"/>
        </w:rPr>
        <w:t>（一）机关运行经费支出情况</w:t>
      </w:r>
    </w:p>
    <w:p>
      <w:pPr>
        <w:pStyle w:val="24"/>
        <w:spacing w:line="560" w:lineRule="exact"/>
        <w:ind w:left="440" w:leftChars="200" w:firstLine="160" w:firstLineChars="50"/>
        <w:rPr>
          <w:rFonts w:hint="eastAsia" w:ascii="仿宋_GB2312" w:eastAsia="仿宋_GB2312"/>
          <w:color w:val="000000"/>
          <w:sz w:val="32"/>
          <w:szCs w:val="32"/>
        </w:rPr>
      </w:pPr>
      <w:r>
        <w:rPr>
          <w:rFonts w:hint="eastAsia" w:ascii="仿宋_GB2312" w:eastAsia="仿宋_GB2312"/>
          <w:color w:val="000000"/>
          <w:sz w:val="32"/>
          <w:szCs w:val="32"/>
        </w:rPr>
        <w:t>2021年机关运行经费支出</w:t>
      </w:r>
      <w:r>
        <w:rPr>
          <w:rFonts w:hint="eastAsia" w:ascii="仿宋_GB2312" w:eastAsia="仿宋_GB2312"/>
          <w:color w:val="000000"/>
          <w:sz w:val="32"/>
          <w:szCs w:val="32"/>
          <w:lang w:val="en-US" w:eastAsia="zh-CN"/>
        </w:rPr>
        <w:t>33.18</w:t>
      </w:r>
      <w:r>
        <w:rPr>
          <w:rFonts w:hint="eastAsia" w:ascii="仿宋_GB2312" w:eastAsia="仿宋_GB2312"/>
          <w:color w:val="000000"/>
          <w:sz w:val="32"/>
          <w:szCs w:val="32"/>
        </w:rPr>
        <w:t>万元，2020年机关运行</w:t>
      </w:r>
    </w:p>
    <w:p>
      <w:pPr>
        <w:pStyle w:val="24"/>
        <w:spacing w:line="560" w:lineRule="exact"/>
        <w:ind w:left="0" w:firstLine="0" w:firstLineChars="0"/>
        <w:rPr>
          <w:rFonts w:ascii="仿宋_GB2312" w:eastAsia="仿宋_GB2312"/>
          <w:color w:val="000000"/>
          <w:sz w:val="32"/>
          <w:szCs w:val="32"/>
        </w:rPr>
      </w:pPr>
      <w:r>
        <w:rPr>
          <w:rFonts w:hint="eastAsia" w:ascii="仿宋_GB2312" w:eastAsia="仿宋_GB2312"/>
          <w:color w:val="000000"/>
          <w:sz w:val="32"/>
          <w:szCs w:val="32"/>
        </w:rPr>
        <w:t>经费22.31万元，较2020年</w:t>
      </w:r>
      <w:r>
        <w:rPr>
          <w:rFonts w:hint="eastAsia" w:ascii="仿宋_GB2312" w:eastAsia="仿宋_GB2312"/>
          <w:color w:val="000000"/>
          <w:sz w:val="32"/>
          <w:szCs w:val="32"/>
          <w:lang w:val="en-US" w:eastAsia="zh-CN"/>
        </w:rPr>
        <w:t>增加48.72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主要</w:t>
      </w:r>
      <w:r>
        <w:rPr>
          <w:rFonts w:hint="eastAsia" w:ascii="仿宋_GB2312" w:eastAsia="仿宋_GB2312"/>
          <w:color w:val="000000"/>
          <w:sz w:val="32"/>
          <w:szCs w:val="32"/>
        </w:rPr>
        <w:t>原因</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2021年开展工作业务增多</w:t>
      </w:r>
      <w:r>
        <w:rPr>
          <w:rFonts w:hint="eastAsia" w:ascii="仿宋_GB2312" w:eastAsia="仿宋_GB2312"/>
          <w:color w:val="000000"/>
          <w:sz w:val="32"/>
          <w:szCs w:val="32"/>
        </w:rPr>
        <w:t>。</w:t>
      </w:r>
    </w:p>
    <w:p>
      <w:pPr>
        <w:autoSpaceDE w:val="0"/>
        <w:autoSpaceDN w:val="0"/>
        <w:spacing w:after="0" w:line="560" w:lineRule="exact"/>
        <w:ind w:firstLine="636" w:firstLineChars="198"/>
        <w:jc w:val="both"/>
        <w:outlineLvl w:val="2"/>
        <w:rPr>
          <w:rFonts w:ascii="楷体_GB2312" w:eastAsia="楷体_GB2312"/>
          <w:b/>
          <w:color w:val="000000"/>
          <w:sz w:val="32"/>
          <w:szCs w:val="32"/>
        </w:rPr>
      </w:pPr>
      <w:r>
        <w:rPr>
          <w:rFonts w:hint="eastAsia" w:ascii="楷体_GB2312" w:eastAsia="楷体_GB2312"/>
          <w:b/>
          <w:color w:val="000000"/>
          <w:sz w:val="32"/>
          <w:szCs w:val="32"/>
        </w:rPr>
        <w:t>（二）政府采购支出情况</w:t>
      </w:r>
    </w:p>
    <w:p>
      <w:pPr>
        <w:autoSpaceDE w:val="0"/>
        <w:autoSpaceDN w:val="0"/>
        <w:spacing w:after="0" w:line="560" w:lineRule="exact"/>
        <w:ind w:firstLine="633" w:firstLineChars="198"/>
        <w:jc w:val="both"/>
        <w:outlineLvl w:val="2"/>
        <w:rPr>
          <w:rFonts w:ascii="仿宋_GB2312" w:eastAsia="仿宋_GB2312"/>
          <w:color w:val="000000"/>
          <w:sz w:val="32"/>
          <w:szCs w:val="32"/>
        </w:rPr>
      </w:pPr>
      <w:r>
        <w:rPr>
          <w:rFonts w:hint="eastAsia" w:ascii="仿宋_GB2312" w:eastAsia="仿宋_GB2312"/>
          <w:color w:val="000000"/>
          <w:sz w:val="32"/>
          <w:szCs w:val="32"/>
        </w:rPr>
        <w:t>2021年，政府采购支出总额</w:t>
      </w:r>
      <w:r>
        <w:rPr>
          <w:rFonts w:hint="eastAsia" w:ascii="仿宋_GB2312" w:eastAsia="仿宋_GB2312"/>
          <w:color w:val="000000"/>
          <w:sz w:val="32"/>
          <w:szCs w:val="32"/>
          <w:lang w:val="en-US" w:eastAsia="zh-CN"/>
        </w:rPr>
        <w:t>540.53</w:t>
      </w:r>
      <w:r>
        <w:rPr>
          <w:rFonts w:hint="eastAsia" w:ascii="仿宋_GB2312" w:eastAsia="仿宋_GB2312"/>
          <w:color w:val="000000"/>
          <w:sz w:val="32"/>
          <w:szCs w:val="32"/>
        </w:rPr>
        <w:t>万元，主要用于业务</w:t>
      </w:r>
      <w:r>
        <w:rPr>
          <w:rFonts w:hint="eastAsia" w:ascii="仿宋_GB2312" w:eastAsia="仿宋_GB2312"/>
          <w:color w:val="000000"/>
          <w:sz w:val="32"/>
          <w:szCs w:val="32"/>
          <w:lang w:val="en-US" w:eastAsia="zh-CN"/>
        </w:rPr>
        <w:t>体系建设及</w:t>
      </w:r>
      <w:r>
        <w:rPr>
          <w:rFonts w:hint="eastAsia" w:ascii="仿宋_GB2312" w:eastAsia="仿宋_GB2312"/>
          <w:color w:val="000000"/>
          <w:sz w:val="32"/>
          <w:szCs w:val="32"/>
        </w:rPr>
        <w:t>软件服务采购。授予中小企业合同金额</w:t>
      </w:r>
      <w:r>
        <w:rPr>
          <w:rFonts w:hint="eastAsia" w:ascii="仿宋_GB2312" w:eastAsia="仿宋_GB2312"/>
          <w:color w:val="000000"/>
          <w:sz w:val="32"/>
          <w:szCs w:val="32"/>
          <w:lang w:val="en-US" w:eastAsia="zh-CN"/>
        </w:rPr>
        <w:t>372.53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68.92</w:t>
      </w:r>
      <w:r>
        <w:rPr>
          <w:rFonts w:ascii="仿宋_GB2312" w:eastAsia="仿宋_GB2312"/>
          <w:color w:val="000000"/>
          <w:sz w:val="32"/>
          <w:szCs w:val="32"/>
        </w:rPr>
        <w:t>%</w:t>
      </w:r>
      <w:r>
        <w:rPr>
          <w:rFonts w:hint="eastAsia" w:ascii="仿宋_GB2312" w:eastAsia="仿宋_GB2312"/>
          <w:color w:val="000000"/>
          <w:sz w:val="32"/>
          <w:szCs w:val="32"/>
        </w:rPr>
        <w:t>，其中：授予小微企业合同金额0元。</w:t>
      </w:r>
    </w:p>
    <w:p>
      <w:pPr>
        <w:pStyle w:val="24"/>
        <w:autoSpaceDE w:val="0"/>
        <w:autoSpaceDN w:val="0"/>
        <w:adjustRightInd w:val="0"/>
        <w:snapToGrid/>
        <w:spacing w:line="560" w:lineRule="exact"/>
        <w:ind w:left="420" w:firstLine="0" w:firstLineChars="0"/>
        <w:outlineLvl w:val="2"/>
        <w:rPr>
          <w:rFonts w:ascii="楷体_GB2312" w:eastAsia="楷体_GB2312"/>
          <w:b/>
          <w:color w:val="000000"/>
          <w:sz w:val="32"/>
          <w:szCs w:val="32"/>
        </w:rPr>
      </w:pPr>
      <w:r>
        <w:rPr>
          <w:rFonts w:hint="eastAsia" w:ascii="楷体_GB2312" w:eastAsia="楷体_GB2312"/>
          <w:b/>
          <w:color w:val="000000"/>
          <w:sz w:val="32"/>
          <w:szCs w:val="32"/>
        </w:rPr>
        <w:t>（三）国有资产占有使用情况</w:t>
      </w:r>
      <w:bookmarkStart w:id="30" w:name="_GoBack"/>
      <w:bookmarkEnd w:id="30"/>
    </w:p>
    <w:p>
      <w:pPr>
        <w:pStyle w:val="24"/>
        <w:autoSpaceDE w:val="0"/>
        <w:autoSpaceDN w:val="0"/>
        <w:spacing w:line="560" w:lineRule="exact"/>
        <w:ind w:left="420" w:firstLine="160" w:firstLineChars="5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日，州委</w:t>
      </w:r>
      <w:r>
        <w:rPr>
          <w:rFonts w:ascii="仿宋_GB2312" w:eastAsia="仿宋_GB2312"/>
          <w:color w:val="000000"/>
          <w:sz w:val="32"/>
          <w:szCs w:val="32"/>
        </w:rPr>
        <w:t>网信办</w:t>
      </w:r>
      <w:r>
        <w:rPr>
          <w:rFonts w:hint="eastAsia" w:ascii="仿宋_GB2312" w:eastAsia="仿宋_GB2312"/>
          <w:color w:val="000000"/>
          <w:sz w:val="32"/>
          <w:szCs w:val="32"/>
        </w:rPr>
        <w:t>共有车辆2辆</w:t>
      </w:r>
      <w:r>
        <w:rPr>
          <w:rFonts w:ascii="仿宋_GB2312" w:eastAsia="仿宋_GB2312"/>
          <w:color w:val="000000"/>
          <w:sz w:val="32"/>
          <w:szCs w:val="32"/>
        </w:rPr>
        <w:t>，其</w:t>
      </w:r>
      <w:r>
        <w:rPr>
          <w:rFonts w:hint="eastAsia" w:ascii="仿宋_GB2312" w:eastAsia="仿宋_GB2312"/>
          <w:color w:val="000000"/>
          <w:sz w:val="32"/>
          <w:szCs w:val="32"/>
        </w:rPr>
        <w:t>中：</w:t>
      </w:r>
    </w:p>
    <w:p>
      <w:pPr>
        <w:pStyle w:val="24"/>
        <w:autoSpaceDE w:val="0"/>
        <w:autoSpaceDN w:val="0"/>
        <w:spacing w:line="560" w:lineRule="exact"/>
        <w:ind w:firstLine="0" w:firstLineChars="0"/>
        <w:rPr>
          <w:rFonts w:ascii="仿宋_GB2312" w:eastAsia="仿宋_GB2312"/>
          <w:color w:val="000000"/>
          <w:sz w:val="32"/>
          <w:szCs w:val="32"/>
        </w:rPr>
      </w:pPr>
      <w:r>
        <w:rPr>
          <w:rFonts w:hint="eastAsia" w:ascii="仿宋_GB2312" w:eastAsia="仿宋_GB2312"/>
          <w:color w:val="000000"/>
          <w:sz w:val="32"/>
          <w:szCs w:val="32"/>
        </w:rPr>
        <w:t>应急保障2辆，单价</w:t>
      </w:r>
      <w:r>
        <w:rPr>
          <w:rFonts w:ascii="仿宋_GB2312" w:eastAsia="仿宋_GB2312"/>
          <w:color w:val="000000"/>
          <w:sz w:val="32"/>
          <w:szCs w:val="32"/>
        </w:rPr>
        <w:t>50</w:t>
      </w:r>
      <w:r>
        <w:rPr>
          <w:rFonts w:hint="eastAsia" w:ascii="仿宋_GB2312" w:eastAsia="仿宋_GB2312"/>
          <w:color w:val="000000"/>
          <w:sz w:val="32"/>
          <w:szCs w:val="32"/>
        </w:rPr>
        <w:t>万元以上通用设备2辆，单价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pStyle w:val="24"/>
        <w:autoSpaceDE w:val="0"/>
        <w:autoSpaceDN w:val="0"/>
        <w:adjustRightInd w:val="0"/>
        <w:snapToGrid/>
        <w:spacing w:line="560" w:lineRule="exact"/>
        <w:ind w:left="420" w:firstLine="0" w:firstLineChars="0"/>
        <w:outlineLvl w:val="2"/>
        <w:rPr>
          <w:rFonts w:ascii="楷体_GB2312" w:eastAsia="楷体_GB2312"/>
          <w:b/>
          <w:color w:val="000000"/>
          <w:sz w:val="32"/>
          <w:szCs w:val="32"/>
        </w:rPr>
      </w:pPr>
      <w:r>
        <w:rPr>
          <w:rFonts w:hint="eastAsia" w:ascii="楷体_GB2312" w:eastAsia="楷体_GB2312"/>
          <w:b/>
          <w:color w:val="000000"/>
          <w:sz w:val="32"/>
          <w:szCs w:val="32"/>
        </w:rPr>
        <w:t>（四）预算绩效管理情况</w:t>
      </w:r>
    </w:p>
    <w:p>
      <w:pPr>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本单位按要求对2021年单位整体支出开展绩效自评，从评价情况来看单位预算编制基础数据真实可靠，按照年度工作计划和支出标准合理编制了单位预算，严格执行“三公经费” 预算管理，严格审批、严禁超预算等行为。</w:t>
      </w:r>
    </w:p>
    <w:p>
      <w:pPr>
        <w:spacing w:after="0" w:line="560" w:lineRule="exact"/>
        <w:ind w:firstLine="643" w:firstLineChars="200"/>
        <w:rPr>
          <w:rFonts w:hint="eastAsia" w:ascii="仿宋_GB2312" w:eastAsia="仿宋_GB2312" w:cs="仿宋_GB2312"/>
          <w:b/>
          <w:bCs/>
          <w:sz w:val="32"/>
          <w:szCs w:val="32"/>
          <w:lang w:eastAsia="zh-CN"/>
        </w:rPr>
      </w:pPr>
      <w:r>
        <w:rPr>
          <w:rFonts w:hint="eastAsia" w:ascii="仿宋_GB2312" w:eastAsia="仿宋_GB2312" w:cs="仿宋_GB2312"/>
          <w:b/>
          <w:bCs/>
          <w:sz w:val="32"/>
          <w:szCs w:val="32"/>
        </w:rPr>
        <w:t>1.项目绩效目标完成情况</w:t>
      </w:r>
    </w:p>
    <w:p>
      <w:pPr>
        <w:spacing w:after="0" w:line="560" w:lineRule="exact"/>
        <w:ind w:firstLine="640" w:firstLineChars="200"/>
        <w:rPr>
          <w:rFonts w:hint="eastAsia" w:ascii="仿宋_GB2312" w:eastAsia="仿宋_GB2312"/>
          <w:sz w:val="32"/>
          <w:szCs w:val="32"/>
        </w:rPr>
      </w:pPr>
      <w:r>
        <w:rPr>
          <w:rFonts w:hint="eastAsia" w:ascii="仿宋_GB2312" w:eastAsia="仿宋_GB2312" w:cs="仿宋_GB2312"/>
          <w:sz w:val="32"/>
          <w:szCs w:val="32"/>
        </w:rPr>
        <w:t>根据预算绩效管理要求，2021年</w:t>
      </w:r>
      <w:r>
        <w:rPr>
          <w:rFonts w:hint="eastAsia" w:ascii="仿宋_GB2312" w:eastAsia="仿宋_GB2312" w:cs="仿宋_GB2312"/>
          <w:sz w:val="32"/>
          <w:szCs w:val="32"/>
          <w:lang w:val="en-US" w:eastAsia="zh-CN"/>
        </w:rPr>
        <w:t>对100万元以上特定目标类项目一个，</w:t>
      </w:r>
      <w:r>
        <w:rPr>
          <w:rFonts w:hint="eastAsia" w:ascii="仿宋_GB2312" w:eastAsia="仿宋_GB2312" w:cs="仿宋_GB2312"/>
          <w:sz w:val="32"/>
          <w:szCs w:val="32"/>
        </w:rPr>
        <w:t>对项目编制了绩效目标。预算执行过程中，开展绩效监控，年终执行完毕后，开展了绩效目标完成情况自评</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项目涉敏感信息，不予公开</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p>
    <w:p>
      <w:pPr>
        <w:spacing w:after="0" w:line="560" w:lineRule="exact"/>
        <w:ind w:firstLine="643" w:firstLineChars="200"/>
        <w:jc w:val="both"/>
        <w:rPr>
          <w:rFonts w:ascii="仿宋_GB2312" w:eastAsia="仿宋_GB2312" w:cs="仿宋_GB2312"/>
          <w:b/>
          <w:bCs/>
          <w:sz w:val="32"/>
          <w:szCs w:val="32"/>
        </w:rPr>
      </w:pPr>
      <w:r>
        <w:rPr>
          <w:rFonts w:hint="eastAsia" w:ascii="仿宋_GB2312" w:eastAsia="仿宋_GB2312" w:cs="仿宋_GB2312"/>
          <w:b/>
          <w:bCs/>
          <w:sz w:val="32"/>
          <w:szCs w:val="32"/>
        </w:rPr>
        <w:t>2.单位绩效评价结果</w:t>
      </w:r>
    </w:p>
    <w:p>
      <w:pPr>
        <w:spacing w:after="0" w:line="560" w:lineRule="exact"/>
        <w:ind w:firstLine="640" w:firstLineChars="200"/>
        <w:jc w:val="both"/>
        <w:rPr>
          <w:rFonts w:hint="eastAsia" w:ascii="方正小标宋简体" w:eastAsia="方正小标宋简体"/>
          <w:color w:val="000000"/>
          <w:sz w:val="44"/>
          <w:szCs w:val="44"/>
        </w:rPr>
      </w:pPr>
      <w:r>
        <w:rPr>
          <w:rFonts w:hint="eastAsia" w:ascii="仿宋_GB2312" w:eastAsia="仿宋_GB2312" w:cs="仿宋_GB2312"/>
          <w:sz w:val="32"/>
          <w:szCs w:val="32"/>
        </w:rPr>
        <w:t>本单位按要求对2021年单位整体支出绩效评价情况开展自评，《阿坝州委网信办2021年单位整体支出绩效评价报告》详见（附件）。</w:t>
      </w: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Fonts w:hint="eastAsia" w:ascii="方正小标宋简体" w:eastAsia="方正小标宋简体"/>
          <w:color w:val="000000"/>
          <w:sz w:val="44"/>
          <w:szCs w:val="44"/>
        </w:rPr>
      </w:pPr>
    </w:p>
    <w:p>
      <w:pPr>
        <w:spacing w:after="0" w:line="560" w:lineRule="exact"/>
        <w:ind w:firstLine="880" w:firstLineChars="200"/>
        <w:jc w:val="center"/>
        <w:rPr>
          <w:rStyle w:val="18"/>
          <w:rFonts w:ascii="方正小标宋简体" w:eastAsia="方正小标宋简体" w:cs="仿宋_GB2312"/>
          <w:b w:val="0"/>
          <w:bCs w:val="0"/>
          <w:kern w:val="0"/>
        </w:rPr>
      </w:pPr>
      <w:r>
        <w:rPr>
          <w:rFonts w:hint="eastAsia" w:ascii="方正小标宋简体" w:eastAsia="方正小标宋简体"/>
          <w:color w:val="000000"/>
          <w:sz w:val="44"/>
          <w:szCs w:val="44"/>
        </w:rPr>
        <w:t>第三部分 名</w:t>
      </w:r>
      <w:r>
        <w:rPr>
          <w:rStyle w:val="18"/>
          <w:rFonts w:hint="eastAsia" w:ascii="方正小标宋简体" w:eastAsia="方正小标宋简体"/>
          <w:b w:val="0"/>
          <w:bCs w:val="0"/>
        </w:rPr>
        <w:t>词解释</w:t>
      </w:r>
    </w:p>
    <w:p>
      <w:pPr>
        <w:spacing w:after="0" w:line="560" w:lineRule="exact"/>
        <w:ind w:left="480"/>
        <w:jc w:val="center"/>
        <w:outlineLvl w:val="0"/>
        <w:rPr>
          <w:rFonts w:ascii="黑体" w:eastAsia="黑体"/>
          <w:b/>
          <w:bCs/>
          <w:kern w:val="44"/>
          <w:sz w:val="44"/>
          <w:szCs w:val="44"/>
        </w:rPr>
      </w:pP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1.财政拨款收入：指单位从同级财政单位取得的财政预算资金。</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3.年初结转和结余：指以前年度尚未完成、结转到本年按有关规定继续使用的资金。</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4、年末结转和结余：指单位按有关规定结转到下年或以后年度继续使用的资金。</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5．一般公共服务支出（类）网信事务（款）行政运行（项）：指反映行政单位（包括实行公务员管理的事业单位）的基本支出。</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6. 一般公共服务支出（类）网信事务（款）一般行政管理事务（项）：指反映行政单位（包括实行公务员管理的事业单位）未单独设置项级科目的其他项目支出。</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7.社会保障和就业（类）行政职业单位离退休（款）机关事业单位基本养老保险（项）:指反映机关事业单位实施养老保险制度由单位缴纳的基本养老保险费的支出，主要用于养老保险缴费。</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8.社会保障和就业（类）行政职业单位离退休（款）机关事业单位职业年金（项）：指反映机关事业单位实施养老保险制度由单位缴纳的职业年金的支出，主要用于职业年金缴费。</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9.医疗卫生与计划生育（类）行政事业单位医疗（款）行政单位医疗（项）:指单位人员行政单位医疗保险支出。</w:t>
      </w:r>
    </w:p>
    <w:p>
      <w:pPr>
        <w:spacing w:after="0" w:line="560" w:lineRule="exact"/>
        <w:ind w:firstLine="640"/>
        <w:jc w:val="both"/>
        <w:rPr>
          <w:rFonts w:ascii="仿宋_GB2312" w:eastAsia="仿宋_GB2312" w:cs="仿宋"/>
          <w:color w:val="000000"/>
          <w:sz w:val="32"/>
          <w:szCs w:val="32"/>
        </w:rPr>
      </w:pPr>
      <w:r>
        <w:rPr>
          <w:rFonts w:hint="eastAsia" w:ascii="仿宋_GB2312" w:eastAsia="仿宋_GB2312" w:cs="仿宋"/>
          <w:color w:val="000000"/>
          <w:sz w:val="32"/>
          <w:szCs w:val="32"/>
        </w:rPr>
        <w:t>10.住房保障（类）住房改革（款）住房公积金（项）：指行政事业单位按人力资源和社会保障部、财政部规定的基本工资和津贴补贴以及规定比例为职工缴纳的住房公积金。</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11.基本支出：指为保障机构正常运转、完成日常工作任务而发生的人员支出和公用支出。</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12.项目支出：指在基本支出之外为完成特定行政任务和事业发展目标所发生的支出。</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13.“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jc w:val="both"/>
        <w:rPr>
          <w:rFonts w:ascii="仿宋_GB2312" w:eastAsia="仿宋_GB2312"/>
          <w:sz w:val="32"/>
          <w:szCs w:val="32"/>
        </w:rPr>
      </w:pPr>
      <w:r>
        <w:rPr>
          <w:rFonts w:hint="eastAsia" w:ascii="仿宋_GB2312" w:eastAsia="仿宋_GB2312"/>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4" w:name="_Toc15396614"/>
      <w:bookmarkStart w:id="15" w:name="_Toc15377226"/>
    </w:p>
    <w:p>
      <w:pPr>
        <w:spacing w:after="0" w:line="560" w:lineRule="exact"/>
        <w:jc w:val="both"/>
        <w:outlineLvl w:val="0"/>
        <w:rPr>
          <w:rFonts w:hint="eastAsia" w:ascii="方正小标宋简体" w:eastAsia="方正小标宋简体"/>
          <w:color w:val="000000"/>
          <w:sz w:val="44"/>
          <w:szCs w:val="44"/>
        </w:rPr>
      </w:pPr>
    </w:p>
    <w:p>
      <w:pPr>
        <w:spacing w:after="0" w:line="560" w:lineRule="exact"/>
        <w:jc w:val="center"/>
        <w:outlineLvl w:val="0"/>
        <w:rPr>
          <w:rStyle w:val="18"/>
          <w:rFonts w:ascii="方正小标宋简体" w:eastAsia="方正小标宋简体"/>
          <w:b w:val="0"/>
          <w:bCs w:val="0"/>
        </w:rPr>
      </w:pPr>
      <w:r>
        <w:rPr>
          <w:rFonts w:hint="eastAsia" w:ascii="方正小标宋简体" w:eastAsia="方正小标宋简体"/>
          <w:color w:val="000000"/>
          <w:sz w:val="44"/>
          <w:szCs w:val="44"/>
        </w:rPr>
        <w:t>第</w:t>
      </w:r>
      <w:r>
        <w:rPr>
          <w:rStyle w:val="18"/>
          <w:rFonts w:hint="eastAsia" w:ascii="方正小标宋简体" w:eastAsia="方正小标宋简体"/>
          <w:b w:val="0"/>
          <w:bCs w:val="0"/>
        </w:rPr>
        <w:t>四部分 附件</w:t>
      </w:r>
      <w:bookmarkEnd w:id="14"/>
    </w:p>
    <w:p>
      <w:pPr>
        <w:spacing w:line="480" w:lineRule="exact"/>
        <w:rPr>
          <w:rFonts w:ascii="方正小标宋简体" w:eastAsia="方正小标宋简体"/>
          <w:sz w:val="30"/>
          <w:szCs w:val="30"/>
        </w:rPr>
      </w:pPr>
      <w:r>
        <w:rPr>
          <w:rFonts w:hint="eastAsia" w:ascii="仿宋_GB2312" w:eastAsia="仿宋_GB2312"/>
          <w:sz w:val="30"/>
          <w:szCs w:val="30"/>
        </w:rPr>
        <w:t>附件</w:t>
      </w:r>
    </w:p>
    <w:p>
      <w:pPr>
        <w:spacing w:line="480" w:lineRule="exact"/>
        <w:jc w:val="center"/>
        <w:rPr>
          <w:rFonts w:ascii="方正小标宋简体" w:eastAsia="方正小标宋简体"/>
          <w:sz w:val="44"/>
          <w:szCs w:val="44"/>
        </w:rPr>
      </w:pPr>
      <w:r>
        <w:rPr>
          <w:rFonts w:hint="eastAsia" w:ascii="方正小标宋简体" w:eastAsia="方正小标宋简体"/>
          <w:sz w:val="44"/>
          <w:szCs w:val="44"/>
        </w:rPr>
        <w:t>2021年阿坝州委网信办</w:t>
      </w:r>
    </w:p>
    <w:p>
      <w:pPr>
        <w:spacing w:line="480" w:lineRule="exact"/>
        <w:jc w:val="center"/>
        <w:rPr>
          <w:rFonts w:ascii="方正小标宋简体" w:eastAsia="方正小标宋简体"/>
          <w:sz w:val="44"/>
          <w:szCs w:val="44"/>
        </w:rPr>
      </w:pPr>
      <w:r>
        <w:rPr>
          <w:rFonts w:hint="eastAsia" w:ascii="方正小标宋简体" w:eastAsia="方正小标宋简体"/>
          <w:sz w:val="44"/>
          <w:szCs w:val="44"/>
        </w:rPr>
        <w:t>关于整体支出绩效评价报告</w:t>
      </w:r>
    </w:p>
    <w:p>
      <w:pPr>
        <w:spacing w:after="0" w:line="560" w:lineRule="exact"/>
        <w:ind w:firstLine="800" w:firstLineChars="250"/>
        <w:jc w:val="both"/>
        <w:rPr>
          <w:rFonts w:ascii="黑体" w:eastAsia="黑体" w:cs="仿宋"/>
          <w:color w:val="000000"/>
          <w:kern w:val="2"/>
          <w:sz w:val="32"/>
          <w:szCs w:val="32"/>
        </w:rPr>
      </w:pPr>
      <w:r>
        <w:rPr>
          <w:rFonts w:hint="eastAsia" w:ascii="黑体" w:eastAsia="黑体" w:cs="仿宋"/>
          <w:color w:val="000000"/>
          <w:kern w:val="2"/>
          <w:sz w:val="32"/>
          <w:szCs w:val="32"/>
        </w:rPr>
        <w:t>一、单位慨况</w:t>
      </w:r>
    </w:p>
    <w:p>
      <w:pPr>
        <w:spacing w:after="0" w:line="560" w:lineRule="exact"/>
        <w:ind w:firstLine="643" w:firstLineChars="200"/>
        <w:jc w:val="both"/>
        <w:outlineLvl w:val="0"/>
        <w:rPr>
          <w:rFonts w:ascii="楷体_GB2312" w:eastAsia="楷体_GB2312"/>
          <w:b/>
          <w:color w:val="000000"/>
          <w:kern w:val="2"/>
          <w:sz w:val="32"/>
          <w:szCs w:val="32"/>
        </w:rPr>
      </w:pPr>
      <w:r>
        <w:rPr>
          <w:rFonts w:hint="eastAsia" w:ascii="楷体_GB2312" w:eastAsia="楷体_GB2312"/>
          <w:b/>
          <w:color w:val="000000"/>
          <w:kern w:val="2"/>
          <w:sz w:val="32"/>
          <w:szCs w:val="32"/>
        </w:rPr>
        <w:t>（一）单位主要职责</w:t>
      </w:r>
    </w:p>
    <w:p>
      <w:pPr>
        <w:tabs>
          <w:tab w:val="left" w:pos="7020"/>
          <w:tab w:val="left" w:pos="7740"/>
        </w:tabs>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贯彻执行党和国家的方针政策和法律法规及省委、州委的决策部署，统筹协调全州网信工作。</w:t>
      </w:r>
    </w:p>
    <w:p>
      <w:pPr>
        <w:spacing w:after="0" w:line="560" w:lineRule="exact"/>
        <w:ind w:firstLine="643" w:firstLineChars="200"/>
        <w:jc w:val="both"/>
        <w:rPr>
          <w:rFonts w:ascii="楷体_GB2312" w:eastAsia="楷体_GB2312"/>
          <w:b/>
          <w:color w:val="000000"/>
          <w:kern w:val="2"/>
          <w:sz w:val="32"/>
          <w:szCs w:val="32"/>
        </w:rPr>
      </w:pPr>
      <w:r>
        <w:rPr>
          <w:rFonts w:hint="eastAsia" w:ascii="楷体_GB2312" w:eastAsia="楷体_GB2312"/>
          <w:b/>
          <w:sz w:val="32"/>
          <w:szCs w:val="32"/>
        </w:rPr>
        <w:t>（</w:t>
      </w:r>
      <w:r>
        <w:rPr>
          <w:rFonts w:hint="eastAsia" w:ascii="楷体_GB2312" w:eastAsia="楷体_GB2312"/>
          <w:b/>
          <w:color w:val="000000"/>
          <w:kern w:val="2"/>
          <w:sz w:val="32"/>
          <w:szCs w:val="32"/>
        </w:rPr>
        <w:t>二）机构组成及人员概况</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中共阿坝州委网信办</w:t>
      </w:r>
      <w:r>
        <w:rPr>
          <w:rFonts w:hint="eastAsia" w:ascii="仿宋_GB2312" w:eastAsia="仿宋_GB2312"/>
          <w:sz w:val="32"/>
          <w:szCs w:val="32"/>
          <w:lang w:val="en-US" w:eastAsia="zh-CN"/>
        </w:rPr>
        <w:t>为</w:t>
      </w:r>
      <w:r>
        <w:rPr>
          <w:rFonts w:hint="eastAsia" w:ascii="仿宋_GB2312" w:eastAsia="仿宋_GB2312"/>
          <w:sz w:val="32"/>
          <w:szCs w:val="32"/>
        </w:rPr>
        <w:t>正县级单位，2021年末在职人员9名。</w:t>
      </w:r>
    </w:p>
    <w:p>
      <w:pPr>
        <w:spacing w:after="0" w:line="560" w:lineRule="exact"/>
        <w:ind w:firstLine="640" w:firstLineChars="200"/>
        <w:jc w:val="both"/>
        <w:rPr>
          <w:rFonts w:ascii="黑体" w:eastAsia="黑体" w:cs="仿宋"/>
          <w:color w:val="000000"/>
          <w:kern w:val="2"/>
          <w:sz w:val="32"/>
          <w:szCs w:val="32"/>
        </w:rPr>
      </w:pPr>
      <w:r>
        <w:rPr>
          <w:rFonts w:hint="eastAsia" w:ascii="黑体" w:eastAsia="黑体" w:cs="仿宋"/>
          <w:color w:val="000000"/>
          <w:kern w:val="2"/>
          <w:sz w:val="32"/>
          <w:szCs w:val="32"/>
        </w:rPr>
        <w:t>二、单位财政资金收支情况</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2021年度单位财政资金总收入946.21万元（本年财政拨款469.40万元，年初结转结余476.82万元）；支出946.21万元。</w:t>
      </w:r>
    </w:p>
    <w:p>
      <w:pPr>
        <w:spacing w:after="0" w:line="560" w:lineRule="exact"/>
        <w:ind w:firstLine="640" w:firstLineChars="200"/>
        <w:jc w:val="both"/>
        <w:rPr>
          <w:rFonts w:ascii="黑体" w:eastAsia="黑体" w:cs="仿宋"/>
          <w:color w:val="000000"/>
          <w:kern w:val="2"/>
          <w:sz w:val="32"/>
          <w:szCs w:val="32"/>
        </w:rPr>
      </w:pPr>
      <w:r>
        <w:rPr>
          <w:rFonts w:hint="eastAsia" w:ascii="黑体" w:eastAsia="黑体" w:cs="仿宋"/>
          <w:color w:val="000000"/>
          <w:kern w:val="2"/>
          <w:sz w:val="32"/>
          <w:szCs w:val="32"/>
        </w:rPr>
        <w:t>三、单位财政支出管理情况</w:t>
      </w:r>
    </w:p>
    <w:p>
      <w:pPr>
        <w:spacing w:after="0" w:line="560" w:lineRule="exact"/>
        <w:ind w:firstLine="482" w:firstLineChars="150"/>
        <w:jc w:val="both"/>
        <w:rPr>
          <w:rFonts w:ascii="楷体_GB2312" w:eastAsia="楷体_GB2312"/>
          <w:b/>
          <w:sz w:val="32"/>
          <w:szCs w:val="32"/>
        </w:rPr>
      </w:pPr>
      <w:r>
        <w:rPr>
          <w:rFonts w:hint="eastAsia" w:ascii="楷体_GB2312" w:eastAsia="楷体_GB2312"/>
          <w:b/>
          <w:sz w:val="32"/>
          <w:szCs w:val="32"/>
        </w:rPr>
        <w:t>（</w:t>
      </w:r>
      <w:r>
        <w:rPr>
          <w:rFonts w:hint="eastAsia" w:ascii="楷体_GB2312" w:eastAsia="楷体_GB2312"/>
          <w:b/>
          <w:color w:val="000000"/>
          <w:kern w:val="2"/>
          <w:sz w:val="32"/>
          <w:szCs w:val="32"/>
        </w:rPr>
        <w:t>一）预算编制情况</w:t>
      </w:r>
    </w:p>
    <w:p>
      <w:pPr>
        <w:spacing w:after="0" w:line="560" w:lineRule="exact"/>
        <w:ind w:firstLine="720"/>
        <w:jc w:val="both"/>
        <w:rPr>
          <w:rFonts w:ascii="仿宋_GB2312" w:eastAsia="仿宋_GB2312"/>
          <w:sz w:val="32"/>
          <w:szCs w:val="32"/>
        </w:rPr>
      </w:pPr>
      <w:r>
        <w:rPr>
          <w:rFonts w:hint="eastAsia" w:ascii="仿宋_GB2312" w:eastAsia="仿宋_GB2312"/>
          <w:sz w:val="32"/>
          <w:szCs w:val="32"/>
        </w:rPr>
        <w:t>阿坝州委网信办预算编制严格按照《预算法》来编制，编制较为及时、准确，确保预算编制的全面性和科学性。</w:t>
      </w:r>
    </w:p>
    <w:p>
      <w:pPr>
        <w:spacing w:after="0" w:line="560" w:lineRule="exact"/>
        <w:ind w:firstLine="482" w:firstLineChars="150"/>
        <w:jc w:val="both"/>
        <w:rPr>
          <w:rFonts w:ascii="楷体_GB2312" w:eastAsia="楷体_GB2312"/>
          <w:b/>
          <w:sz w:val="32"/>
          <w:szCs w:val="32"/>
        </w:rPr>
      </w:pPr>
      <w:r>
        <w:rPr>
          <w:rFonts w:hint="eastAsia" w:ascii="楷体_GB2312" w:eastAsia="楷体_GB2312"/>
          <w:b/>
          <w:color w:val="000000"/>
          <w:kern w:val="2"/>
          <w:sz w:val="32"/>
          <w:szCs w:val="32"/>
        </w:rPr>
        <w:t>（二）执行管理情况</w:t>
      </w:r>
      <w:r>
        <w:rPr>
          <w:rFonts w:hint="eastAsia" w:ascii="楷体_GB2312" w:eastAsia="楷体_GB2312"/>
          <w:b/>
          <w:color w:val="000000"/>
          <w:kern w:val="2"/>
          <w:sz w:val="32"/>
          <w:szCs w:val="32"/>
        </w:rPr>
        <w:tab/>
      </w:r>
    </w:p>
    <w:p>
      <w:pPr>
        <w:spacing w:after="0" w:line="560" w:lineRule="exact"/>
        <w:ind w:firstLine="720"/>
        <w:jc w:val="both"/>
        <w:rPr>
          <w:rFonts w:ascii="仿宋_GB2312" w:eastAsia="仿宋_GB2312"/>
          <w:sz w:val="32"/>
          <w:szCs w:val="32"/>
        </w:rPr>
      </w:pPr>
      <w:r>
        <w:rPr>
          <w:rFonts w:hint="eastAsia" w:ascii="仿宋_GB2312" w:eastAsia="仿宋_GB2312"/>
          <w:sz w:val="32"/>
          <w:szCs w:val="32"/>
        </w:rPr>
        <w:t>严格按照要求，切实加强单位预算支出执行管理工作，努力提高财政资金使用绩效。“三公”经费使用严格按照预算进行使用，认真贯彻落实中央和省委省政府相关规定，厉行节约，严格控制三公经费，2021年“三公”经费财政拨款预算数</w:t>
      </w:r>
      <w:r>
        <w:rPr>
          <w:rFonts w:hint="eastAsia" w:ascii="仿宋_GB2312" w:eastAsia="仿宋_GB2312"/>
          <w:sz w:val="32"/>
          <w:szCs w:val="32"/>
          <w:lang w:val="en-US" w:eastAsia="zh-CN"/>
        </w:rPr>
        <w:t>15.87</w:t>
      </w:r>
      <w:r>
        <w:rPr>
          <w:rFonts w:hint="eastAsia" w:ascii="仿宋_GB2312" w:eastAsia="仿宋_GB2312"/>
          <w:sz w:val="32"/>
          <w:szCs w:val="32"/>
        </w:rPr>
        <w:t>万元，其中：公务车辆购置、车运行维护费</w:t>
      </w:r>
      <w:r>
        <w:rPr>
          <w:rFonts w:hint="eastAsia" w:ascii="仿宋_GB2312" w:eastAsia="仿宋_GB2312"/>
          <w:sz w:val="32"/>
          <w:szCs w:val="32"/>
          <w:lang w:val="en-US" w:eastAsia="zh-CN"/>
        </w:rPr>
        <w:t>15.35</w:t>
      </w:r>
      <w:r>
        <w:rPr>
          <w:rFonts w:hint="eastAsia" w:ascii="仿宋_GB2312" w:eastAsia="仿宋_GB2312"/>
          <w:sz w:val="32"/>
          <w:szCs w:val="32"/>
        </w:rPr>
        <w:t>万元；公务接待费</w:t>
      </w:r>
      <w:r>
        <w:rPr>
          <w:rFonts w:hint="eastAsia" w:ascii="仿宋_GB2312" w:eastAsia="仿宋_GB2312"/>
          <w:sz w:val="32"/>
          <w:szCs w:val="32"/>
          <w:lang w:val="en-US" w:eastAsia="zh-CN"/>
        </w:rPr>
        <w:t>0.52</w:t>
      </w:r>
      <w:r>
        <w:rPr>
          <w:rFonts w:hint="eastAsia" w:ascii="仿宋_GB2312" w:eastAsia="仿宋_GB2312"/>
          <w:sz w:val="32"/>
          <w:szCs w:val="32"/>
        </w:rPr>
        <w:t>万元。</w:t>
      </w:r>
    </w:p>
    <w:p>
      <w:pPr>
        <w:spacing w:after="0" w:line="560" w:lineRule="exact"/>
        <w:ind w:firstLine="643" w:firstLineChars="200"/>
        <w:jc w:val="both"/>
        <w:rPr>
          <w:rFonts w:ascii="楷体_GB2312" w:eastAsia="楷体_GB2312"/>
          <w:b/>
          <w:color w:val="000000"/>
          <w:kern w:val="2"/>
          <w:sz w:val="32"/>
          <w:szCs w:val="32"/>
        </w:rPr>
      </w:pPr>
      <w:r>
        <w:rPr>
          <w:rFonts w:hint="eastAsia" w:ascii="楷体_GB2312" w:eastAsia="楷体_GB2312"/>
          <w:b/>
          <w:color w:val="000000"/>
          <w:kern w:val="2"/>
          <w:sz w:val="32"/>
          <w:szCs w:val="32"/>
        </w:rPr>
        <w:t>（三）综合管理情况</w:t>
      </w:r>
    </w:p>
    <w:p>
      <w:pPr>
        <w:spacing w:after="0" w:line="560" w:lineRule="exact"/>
        <w:ind w:firstLine="720"/>
        <w:jc w:val="both"/>
        <w:rPr>
          <w:rFonts w:ascii="仿宋_GB2312" w:eastAsia="仿宋_GB2312"/>
          <w:sz w:val="32"/>
          <w:szCs w:val="32"/>
        </w:rPr>
      </w:pPr>
      <w:r>
        <w:rPr>
          <w:rFonts w:hint="eastAsia" w:ascii="仿宋_GB2312" w:eastAsia="仿宋_GB2312"/>
          <w:sz w:val="32"/>
          <w:szCs w:val="32"/>
        </w:rPr>
        <w:t>财政资金均实行财政统一管理，资金的拨入和支出会计核算及时、合规合法、审批流程齐全、附件资料完整，我办根据实际情况制定了适用于我办内部的内控制度，日常支出严格按照内控制度执行。</w:t>
      </w:r>
    </w:p>
    <w:p>
      <w:pPr>
        <w:spacing w:after="0" w:line="560" w:lineRule="exact"/>
        <w:ind w:firstLine="643" w:firstLineChars="200"/>
        <w:jc w:val="both"/>
        <w:rPr>
          <w:rFonts w:ascii="楷体_GB2312" w:eastAsia="楷体_GB2312"/>
          <w:b/>
          <w:sz w:val="32"/>
          <w:szCs w:val="32"/>
        </w:rPr>
      </w:pPr>
      <w:r>
        <w:rPr>
          <w:rFonts w:hint="eastAsia" w:ascii="楷体_GB2312" w:eastAsia="楷体_GB2312"/>
          <w:b/>
          <w:color w:val="000000"/>
          <w:kern w:val="2"/>
          <w:sz w:val="32"/>
          <w:szCs w:val="32"/>
        </w:rPr>
        <w:t>（四）整体绩效</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2021年基本支出224.1万元，主要用于保障机构正常运转、完成日常工作任务而发生的支出，包括人员经费和公用经费，开展日常工作。</w:t>
      </w:r>
    </w:p>
    <w:p>
      <w:pPr>
        <w:tabs>
          <w:tab w:val="left" w:pos="7020"/>
          <w:tab w:val="left" w:pos="7740"/>
        </w:tabs>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2021年项目支出722.11万元，主要保障网信工作的相关支出。</w:t>
      </w:r>
    </w:p>
    <w:p>
      <w:pPr>
        <w:spacing w:after="0" w:line="560" w:lineRule="exact"/>
        <w:ind w:firstLine="640" w:firstLineChars="200"/>
        <w:jc w:val="both"/>
        <w:rPr>
          <w:rFonts w:ascii="黑体" w:eastAsia="黑体" w:cs="仿宋"/>
          <w:color w:val="000000"/>
          <w:kern w:val="2"/>
          <w:sz w:val="32"/>
          <w:szCs w:val="32"/>
        </w:rPr>
      </w:pPr>
      <w:r>
        <w:rPr>
          <w:rFonts w:hint="eastAsia" w:ascii="黑体" w:eastAsia="黑体" w:cs="仿宋"/>
          <w:color w:val="000000"/>
          <w:kern w:val="2"/>
          <w:sz w:val="32"/>
          <w:szCs w:val="32"/>
        </w:rPr>
        <w:t>四、评价结论及建议</w:t>
      </w:r>
    </w:p>
    <w:p>
      <w:pPr>
        <w:spacing w:after="0" w:line="560" w:lineRule="exact"/>
        <w:ind w:firstLine="482" w:firstLineChars="150"/>
        <w:jc w:val="both"/>
        <w:rPr>
          <w:rFonts w:ascii="楷体_GB2312" w:eastAsia="楷体_GB2312"/>
          <w:b/>
          <w:color w:val="000000"/>
          <w:kern w:val="2"/>
          <w:sz w:val="32"/>
          <w:szCs w:val="32"/>
        </w:rPr>
      </w:pPr>
      <w:r>
        <w:rPr>
          <w:rFonts w:hint="eastAsia" w:ascii="楷体_GB2312" w:eastAsia="楷体_GB2312"/>
          <w:b/>
          <w:color w:val="000000"/>
          <w:kern w:val="2"/>
          <w:sz w:val="32"/>
          <w:szCs w:val="32"/>
        </w:rPr>
        <w:t>（一）评价结论</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从自评情况来看，我办支出绩效水平较高，整体上完成了年初设定的绩效目标，保障了我机关工作的正常运转</w:t>
      </w:r>
      <w:r>
        <w:rPr>
          <w:rFonts w:ascii="仿宋_GB2312" w:eastAsia="仿宋_GB2312"/>
          <w:sz w:val="32"/>
          <w:szCs w:val="32"/>
        </w:rPr>
        <w:t>，</w:t>
      </w:r>
      <w:r>
        <w:rPr>
          <w:rFonts w:hint="eastAsia" w:ascii="仿宋_GB2312" w:eastAsia="仿宋_GB2312" w:cs="宋体"/>
          <w:sz w:val="32"/>
          <w:szCs w:val="32"/>
        </w:rPr>
        <w:t>圆满的完成了2021年各项工作任务。</w:t>
      </w:r>
    </w:p>
    <w:p>
      <w:pPr>
        <w:spacing w:after="0" w:line="560" w:lineRule="exact"/>
        <w:ind w:firstLine="482" w:firstLineChars="150"/>
        <w:jc w:val="both"/>
        <w:rPr>
          <w:rFonts w:ascii="楷体_GB2312" w:eastAsia="楷体_GB2312"/>
          <w:b/>
          <w:color w:val="000000"/>
          <w:kern w:val="2"/>
          <w:sz w:val="32"/>
          <w:szCs w:val="32"/>
        </w:rPr>
      </w:pPr>
      <w:r>
        <w:rPr>
          <w:rFonts w:hint="eastAsia" w:ascii="楷体_GB2312" w:eastAsia="楷体_GB2312"/>
          <w:b/>
          <w:color w:val="000000"/>
          <w:kern w:val="2"/>
          <w:sz w:val="32"/>
          <w:szCs w:val="32"/>
        </w:rPr>
        <w:t>（二） 存在问题</w:t>
      </w:r>
    </w:p>
    <w:p>
      <w:pPr>
        <w:spacing w:after="0" w:line="560" w:lineRule="exact"/>
        <w:ind w:firstLine="640"/>
        <w:jc w:val="both"/>
        <w:rPr>
          <w:rFonts w:ascii="仿宋_GB2312" w:eastAsia="仿宋_GB2312"/>
          <w:sz w:val="32"/>
          <w:szCs w:val="32"/>
        </w:rPr>
      </w:pPr>
      <w:r>
        <w:rPr>
          <w:rFonts w:hint="eastAsia" w:ascii="仿宋_GB2312" w:eastAsia="仿宋_GB2312"/>
          <w:sz w:val="32"/>
          <w:szCs w:val="32"/>
        </w:rPr>
        <w:t>从绩效评价看，单位支出预算和绩效评价工作还存在部分无法用量化指标来进行考评的问题</w:t>
      </w:r>
      <w:r>
        <w:rPr>
          <w:rFonts w:ascii="仿宋_GB2312" w:eastAsia="仿宋_GB2312"/>
          <w:sz w:val="32"/>
          <w:szCs w:val="32"/>
        </w:rPr>
        <w:t>；绩效评价在目标设定上存在过于简单，不能实现多元化目标等问题。</w:t>
      </w:r>
    </w:p>
    <w:p>
      <w:pPr>
        <w:spacing w:after="0" w:line="560" w:lineRule="exact"/>
        <w:ind w:firstLine="482" w:firstLineChars="150"/>
        <w:jc w:val="both"/>
        <w:rPr>
          <w:rFonts w:ascii="楷体_GB2312" w:eastAsia="楷体_GB2312"/>
          <w:b/>
          <w:color w:val="000000"/>
          <w:kern w:val="2"/>
          <w:sz w:val="32"/>
          <w:szCs w:val="32"/>
        </w:rPr>
      </w:pPr>
      <w:r>
        <w:rPr>
          <w:rFonts w:hint="eastAsia" w:ascii="楷体_GB2312" w:eastAsia="楷体_GB2312"/>
          <w:b/>
          <w:color w:val="000000"/>
          <w:kern w:val="2"/>
          <w:sz w:val="32"/>
          <w:szCs w:val="32"/>
        </w:rPr>
        <w:t>（三）改进建议</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建议加强对绩效评价工作的培训和指导，</w:t>
      </w:r>
      <w:r>
        <w:rPr>
          <w:rFonts w:ascii="仿宋_GB2312" w:eastAsia="仿宋_GB2312"/>
          <w:sz w:val="32"/>
          <w:szCs w:val="32"/>
        </w:rPr>
        <w:t>构建合理的绩效评价体系，建立健全项目支出的各项制度，</w:t>
      </w:r>
      <w:r>
        <w:rPr>
          <w:rFonts w:hint="eastAsia" w:ascii="仿宋_GB2312" w:eastAsia="仿宋_GB2312"/>
          <w:sz w:val="32"/>
          <w:szCs w:val="32"/>
        </w:rPr>
        <w:t>进一步优化绩效考核指标体系。</w:t>
      </w:r>
    </w:p>
    <w:p>
      <w:pPr>
        <w:spacing w:after="0" w:line="560" w:lineRule="exact"/>
        <w:ind w:firstLine="550" w:firstLineChars="250"/>
        <w:rPr>
          <w:rFonts w:ascii="仿宋_GB2312" w:hAnsi="仿宋_GB231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jc w:val="both"/>
        <w:outlineLvl w:val="0"/>
        <w:rPr>
          <w:rFonts w:hint="eastAsia" w:ascii="方正小标宋简体" w:eastAsia="方正小标宋简体"/>
          <w:color w:val="000000"/>
          <w:sz w:val="44"/>
          <w:szCs w:val="44"/>
        </w:rPr>
      </w:pPr>
      <w:bookmarkStart w:id="16" w:name="_Toc15396618"/>
    </w:p>
    <w:p>
      <w:pPr>
        <w:spacing w:after="0" w:line="560" w:lineRule="exact"/>
        <w:jc w:val="both"/>
        <w:outlineLvl w:val="0"/>
        <w:rPr>
          <w:rFonts w:hint="eastAsia" w:ascii="方正小标宋简体" w:eastAsia="方正小标宋简体"/>
          <w:color w:val="000000"/>
          <w:sz w:val="44"/>
          <w:szCs w:val="44"/>
        </w:rPr>
      </w:pPr>
    </w:p>
    <w:p>
      <w:pPr>
        <w:spacing w:after="0" w:line="560" w:lineRule="exact"/>
        <w:jc w:val="center"/>
        <w:outlineLvl w:val="0"/>
        <w:rPr>
          <w:rStyle w:val="18"/>
          <w:rFonts w:ascii="方正小标宋简体" w:eastAsia="方正小标宋简体"/>
          <w:b w:val="0"/>
          <w:bCs w:val="0"/>
        </w:rPr>
      </w:pPr>
      <w:r>
        <w:rPr>
          <w:rFonts w:hint="eastAsia" w:ascii="方正小标宋简体" w:eastAsia="方正小标宋简体"/>
          <w:color w:val="000000"/>
          <w:sz w:val="44"/>
          <w:szCs w:val="44"/>
        </w:rPr>
        <w:t>第</w:t>
      </w:r>
      <w:r>
        <w:rPr>
          <w:rStyle w:val="18"/>
          <w:rFonts w:hint="eastAsia" w:ascii="方正小标宋简体" w:eastAsia="方正小标宋简体"/>
          <w:b w:val="0"/>
          <w:bCs w:val="0"/>
        </w:rPr>
        <w:t>五部分 附表</w:t>
      </w:r>
      <w:bookmarkEnd w:id="15"/>
      <w:bookmarkEnd w:id="16"/>
    </w:p>
    <w:p>
      <w:pPr>
        <w:spacing w:after="0" w:line="560" w:lineRule="exact"/>
        <w:jc w:val="both"/>
        <w:outlineLvl w:val="0"/>
        <w:rPr>
          <w:rFonts w:ascii="仿宋" w:eastAsia="仿宋"/>
          <w:b/>
          <w:color w:val="000000"/>
          <w:sz w:val="44"/>
          <w:szCs w:val="44"/>
        </w:rPr>
      </w:pPr>
    </w:p>
    <w:p>
      <w:pPr>
        <w:pStyle w:val="4"/>
        <w:spacing w:before="0" w:after="0" w:line="560" w:lineRule="exact"/>
        <w:rPr>
          <w:rFonts w:ascii="仿宋_GB2312" w:eastAsia="仿宋_GB2312"/>
          <w:b w:val="0"/>
          <w:bCs w:val="0"/>
          <w:color w:val="000000"/>
        </w:rPr>
      </w:pPr>
      <w:bookmarkStart w:id="17" w:name="_Toc15396619"/>
      <w:r>
        <w:rPr>
          <w:rFonts w:hint="eastAsia" w:ascii="仿宋_GB2312" w:eastAsia="仿宋_GB2312"/>
          <w:b w:val="0"/>
          <w:bCs w:val="0"/>
          <w:color w:val="000000"/>
        </w:rPr>
        <w:t>一、收</w:t>
      </w:r>
      <w:r>
        <w:rPr>
          <w:rStyle w:val="19"/>
          <w:rFonts w:hint="eastAsia" w:ascii="仿宋_GB2312" w:eastAsia="仿宋_GB2312"/>
          <w:b w:val="0"/>
          <w:bCs w:val="0"/>
        </w:rPr>
        <w:t>入支出决算总表</w:t>
      </w:r>
      <w:bookmarkEnd w:id="17"/>
    </w:p>
    <w:p>
      <w:pPr>
        <w:pStyle w:val="4"/>
        <w:spacing w:before="0" w:after="0" w:line="560" w:lineRule="exact"/>
        <w:rPr>
          <w:rFonts w:ascii="仿宋_GB2312" w:eastAsia="仿宋_GB2312"/>
          <w:b w:val="0"/>
          <w:bCs w:val="0"/>
          <w:color w:val="000000"/>
        </w:rPr>
      </w:pPr>
      <w:bookmarkStart w:id="18" w:name="_Toc15396620"/>
      <w:r>
        <w:rPr>
          <w:rFonts w:hint="eastAsia" w:ascii="仿宋_GB2312" w:eastAsia="仿宋_GB2312"/>
          <w:b w:val="0"/>
          <w:bCs w:val="0"/>
          <w:color w:val="000000"/>
        </w:rPr>
        <w:t>二、收</w:t>
      </w:r>
      <w:r>
        <w:rPr>
          <w:rStyle w:val="19"/>
          <w:rFonts w:hint="eastAsia" w:ascii="仿宋_GB2312" w:eastAsia="仿宋_GB2312"/>
          <w:b w:val="0"/>
          <w:bCs w:val="0"/>
        </w:rPr>
        <w:t>入决算表</w:t>
      </w:r>
      <w:bookmarkEnd w:id="18"/>
    </w:p>
    <w:p>
      <w:pPr>
        <w:pStyle w:val="4"/>
        <w:spacing w:before="0" w:after="0" w:line="560" w:lineRule="exact"/>
        <w:rPr>
          <w:rFonts w:ascii="仿宋_GB2312" w:eastAsia="仿宋_GB2312"/>
          <w:b w:val="0"/>
          <w:bCs w:val="0"/>
          <w:color w:val="000000"/>
        </w:rPr>
      </w:pPr>
      <w:bookmarkStart w:id="19" w:name="_Toc15396621"/>
      <w:r>
        <w:rPr>
          <w:rStyle w:val="19"/>
          <w:rFonts w:hint="eastAsia" w:ascii="仿宋_GB2312" w:eastAsia="仿宋_GB2312"/>
          <w:b w:val="0"/>
          <w:bCs w:val="0"/>
        </w:rPr>
        <w:t>三、</w:t>
      </w:r>
      <w:r>
        <w:rPr>
          <w:rFonts w:hint="eastAsia" w:ascii="仿宋_GB2312" w:eastAsia="仿宋_GB2312"/>
          <w:b w:val="0"/>
          <w:bCs w:val="0"/>
          <w:color w:val="000000"/>
        </w:rPr>
        <w:t>支</w:t>
      </w:r>
      <w:r>
        <w:rPr>
          <w:rStyle w:val="19"/>
          <w:rFonts w:hint="eastAsia" w:ascii="仿宋_GB2312" w:eastAsia="仿宋_GB2312"/>
          <w:b w:val="0"/>
          <w:bCs w:val="0"/>
        </w:rPr>
        <w:t>出决算表</w:t>
      </w:r>
      <w:bookmarkEnd w:id="19"/>
    </w:p>
    <w:p>
      <w:pPr>
        <w:pStyle w:val="4"/>
        <w:spacing w:before="0" w:after="0" w:line="560" w:lineRule="exact"/>
        <w:rPr>
          <w:rFonts w:ascii="仿宋_GB2312" w:eastAsia="仿宋_GB2312"/>
          <w:b w:val="0"/>
          <w:bCs w:val="0"/>
          <w:color w:val="000000"/>
        </w:rPr>
      </w:pPr>
      <w:bookmarkStart w:id="20" w:name="_Toc15396622"/>
      <w:r>
        <w:rPr>
          <w:rStyle w:val="19"/>
          <w:rFonts w:hint="eastAsia" w:ascii="仿宋_GB2312" w:eastAsia="仿宋_GB2312"/>
          <w:b w:val="0"/>
          <w:bCs w:val="0"/>
        </w:rPr>
        <w:t>四、</w:t>
      </w:r>
      <w:r>
        <w:rPr>
          <w:rFonts w:hint="eastAsia" w:ascii="仿宋_GB2312" w:eastAsia="仿宋_GB2312"/>
          <w:b w:val="0"/>
          <w:bCs w:val="0"/>
          <w:color w:val="000000"/>
        </w:rPr>
        <w:t>财</w:t>
      </w:r>
      <w:r>
        <w:rPr>
          <w:rStyle w:val="19"/>
          <w:rFonts w:hint="eastAsia" w:ascii="仿宋_GB2312" w:eastAsia="仿宋_GB2312"/>
          <w:b w:val="0"/>
          <w:bCs w:val="0"/>
        </w:rPr>
        <w:t>政拨款收入支出决算总表</w:t>
      </w:r>
      <w:bookmarkEnd w:id="20"/>
    </w:p>
    <w:p>
      <w:pPr>
        <w:pStyle w:val="4"/>
        <w:spacing w:before="0" w:after="0" w:line="560" w:lineRule="exact"/>
        <w:rPr>
          <w:rStyle w:val="19"/>
          <w:rFonts w:ascii="仿宋_GB2312" w:eastAsia="仿宋_GB2312"/>
          <w:b w:val="0"/>
          <w:bCs w:val="0"/>
        </w:rPr>
      </w:pPr>
      <w:bookmarkStart w:id="21" w:name="_Toc15396623"/>
      <w:r>
        <w:rPr>
          <w:rStyle w:val="19"/>
          <w:rFonts w:hint="eastAsia" w:ascii="仿宋_GB2312" w:eastAsia="仿宋_GB2312"/>
          <w:b w:val="0"/>
          <w:bCs w:val="0"/>
        </w:rPr>
        <w:t>五、</w:t>
      </w:r>
      <w:r>
        <w:rPr>
          <w:rFonts w:hint="eastAsia" w:ascii="仿宋_GB2312" w:eastAsia="仿宋_GB2312"/>
          <w:b w:val="0"/>
          <w:bCs w:val="0"/>
          <w:color w:val="000000"/>
        </w:rPr>
        <w:t>财</w:t>
      </w:r>
      <w:r>
        <w:rPr>
          <w:rStyle w:val="19"/>
          <w:rFonts w:hint="eastAsia" w:ascii="仿宋_GB2312" w:eastAsia="仿宋_GB2312"/>
          <w:b w:val="0"/>
          <w:bCs w:val="0"/>
        </w:rPr>
        <w:t>政拨款支出决算明细表</w:t>
      </w:r>
      <w:bookmarkEnd w:id="21"/>
      <w:bookmarkStart w:id="22" w:name="_Toc15396624"/>
    </w:p>
    <w:p>
      <w:pPr>
        <w:pStyle w:val="4"/>
        <w:spacing w:before="0" w:after="0" w:line="560" w:lineRule="exact"/>
        <w:rPr>
          <w:rFonts w:ascii="仿宋_GB2312" w:eastAsia="仿宋_GB2312"/>
          <w:b w:val="0"/>
          <w:bCs w:val="0"/>
          <w:color w:val="000000"/>
        </w:rPr>
      </w:pPr>
      <w:r>
        <w:rPr>
          <w:rStyle w:val="19"/>
          <w:rFonts w:hint="eastAsia" w:ascii="仿宋_GB2312" w:eastAsia="仿宋_GB2312"/>
          <w:b w:val="0"/>
          <w:bCs w:val="0"/>
        </w:rPr>
        <w:t>六、</w:t>
      </w:r>
      <w:r>
        <w:rPr>
          <w:rFonts w:hint="eastAsia" w:ascii="仿宋_GB2312" w:eastAsia="仿宋_GB2312"/>
          <w:b w:val="0"/>
          <w:bCs w:val="0"/>
          <w:color w:val="000000"/>
        </w:rPr>
        <w:t>一</w:t>
      </w:r>
      <w:r>
        <w:rPr>
          <w:rStyle w:val="19"/>
          <w:rFonts w:hint="eastAsia" w:ascii="仿宋_GB2312" w:eastAsia="仿宋_GB2312"/>
          <w:b w:val="0"/>
          <w:bCs w:val="0"/>
        </w:rPr>
        <w:t>般公共预算财政拨款支出决算表</w:t>
      </w:r>
      <w:bookmarkEnd w:id="22"/>
    </w:p>
    <w:p>
      <w:pPr>
        <w:pStyle w:val="4"/>
        <w:spacing w:before="0" w:after="0" w:line="560" w:lineRule="exact"/>
        <w:rPr>
          <w:rFonts w:ascii="仿宋_GB2312" w:eastAsia="仿宋_GB2312"/>
          <w:b w:val="0"/>
          <w:bCs w:val="0"/>
          <w:color w:val="000000"/>
        </w:rPr>
      </w:pPr>
      <w:bookmarkStart w:id="23" w:name="_Toc15396625"/>
      <w:r>
        <w:rPr>
          <w:rStyle w:val="19"/>
          <w:rFonts w:hint="eastAsia" w:ascii="仿宋_GB2312" w:eastAsia="仿宋_GB2312"/>
          <w:b w:val="0"/>
          <w:bCs w:val="0"/>
        </w:rPr>
        <w:t>七、</w:t>
      </w:r>
      <w:r>
        <w:rPr>
          <w:rFonts w:hint="eastAsia" w:ascii="仿宋_GB2312" w:eastAsia="仿宋_GB2312"/>
          <w:b w:val="0"/>
          <w:bCs w:val="0"/>
          <w:color w:val="000000"/>
        </w:rPr>
        <w:t>一</w:t>
      </w:r>
      <w:r>
        <w:rPr>
          <w:rStyle w:val="19"/>
          <w:rFonts w:hint="eastAsia" w:ascii="仿宋_GB2312" w:eastAsia="仿宋_GB2312"/>
          <w:b w:val="0"/>
          <w:bCs w:val="0"/>
        </w:rPr>
        <w:t>般公共预算财政拨款支出决算明细表</w:t>
      </w:r>
      <w:bookmarkEnd w:id="23"/>
    </w:p>
    <w:p>
      <w:pPr>
        <w:pStyle w:val="4"/>
        <w:spacing w:before="0" w:after="0" w:line="560" w:lineRule="exact"/>
        <w:rPr>
          <w:rFonts w:ascii="仿宋_GB2312" w:eastAsia="仿宋_GB2312"/>
          <w:b w:val="0"/>
          <w:bCs w:val="0"/>
          <w:color w:val="000000"/>
        </w:rPr>
      </w:pPr>
      <w:bookmarkStart w:id="24" w:name="_Toc15396626"/>
      <w:r>
        <w:rPr>
          <w:rStyle w:val="19"/>
          <w:rFonts w:hint="eastAsia" w:ascii="仿宋_GB2312" w:eastAsia="仿宋_GB2312"/>
          <w:b w:val="0"/>
          <w:bCs w:val="0"/>
        </w:rPr>
        <w:t>八、</w:t>
      </w:r>
      <w:r>
        <w:rPr>
          <w:rFonts w:hint="eastAsia" w:ascii="仿宋_GB2312" w:eastAsia="仿宋_GB2312"/>
          <w:b w:val="0"/>
          <w:bCs w:val="0"/>
          <w:color w:val="000000"/>
        </w:rPr>
        <w:t>一</w:t>
      </w:r>
      <w:r>
        <w:rPr>
          <w:rStyle w:val="19"/>
          <w:rFonts w:hint="eastAsia" w:ascii="仿宋_GB2312" w:eastAsia="仿宋_GB2312"/>
          <w:b w:val="0"/>
          <w:bCs w:val="0"/>
        </w:rPr>
        <w:t>般公共预算财政拨款基本支出决算表</w:t>
      </w:r>
      <w:bookmarkEnd w:id="24"/>
    </w:p>
    <w:p>
      <w:pPr>
        <w:pStyle w:val="4"/>
        <w:spacing w:before="0" w:after="0" w:line="560" w:lineRule="exact"/>
        <w:rPr>
          <w:rFonts w:ascii="仿宋_GB2312" w:eastAsia="仿宋_GB2312"/>
          <w:b w:val="0"/>
          <w:bCs w:val="0"/>
          <w:color w:val="000000"/>
        </w:rPr>
      </w:pPr>
      <w:bookmarkStart w:id="25" w:name="_Toc15396627"/>
      <w:r>
        <w:rPr>
          <w:rStyle w:val="19"/>
          <w:rFonts w:hint="eastAsia" w:ascii="仿宋_GB2312" w:eastAsia="仿宋_GB2312"/>
          <w:b w:val="0"/>
          <w:bCs w:val="0"/>
        </w:rPr>
        <w:t>九、</w:t>
      </w:r>
      <w:r>
        <w:rPr>
          <w:rFonts w:hint="eastAsia" w:ascii="仿宋_GB2312" w:eastAsia="仿宋_GB2312"/>
          <w:b w:val="0"/>
          <w:bCs w:val="0"/>
          <w:color w:val="000000"/>
        </w:rPr>
        <w:t>一</w:t>
      </w:r>
      <w:r>
        <w:rPr>
          <w:rStyle w:val="19"/>
          <w:rFonts w:hint="eastAsia" w:ascii="仿宋_GB2312" w:eastAsia="仿宋_GB2312"/>
          <w:b w:val="0"/>
          <w:bCs w:val="0"/>
        </w:rPr>
        <w:t>般公共预算财政拨款项目支出决算表</w:t>
      </w:r>
      <w:bookmarkEnd w:id="25"/>
    </w:p>
    <w:p>
      <w:pPr>
        <w:pStyle w:val="4"/>
        <w:spacing w:before="0" w:after="0" w:line="560" w:lineRule="exact"/>
        <w:rPr>
          <w:rFonts w:ascii="仿宋_GB2312" w:eastAsia="仿宋_GB2312"/>
          <w:b w:val="0"/>
          <w:bCs w:val="0"/>
          <w:color w:val="000000"/>
        </w:rPr>
      </w:pPr>
      <w:bookmarkStart w:id="26" w:name="_Toc15396628"/>
      <w:r>
        <w:rPr>
          <w:rStyle w:val="19"/>
          <w:rFonts w:hint="eastAsia" w:ascii="仿宋_GB2312" w:eastAsia="仿宋_GB2312"/>
          <w:b w:val="0"/>
          <w:bCs w:val="0"/>
        </w:rPr>
        <w:t>十、</w:t>
      </w:r>
      <w:r>
        <w:rPr>
          <w:rFonts w:hint="eastAsia" w:ascii="仿宋_GB2312" w:eastAsia="仿宋_GB2312"/>
          <w:b w:val="0"/>
          <w:bCs w:val="0"/>
          <w:color w:val="000000"/>
        </w:rPr>
        <w:t>一</w:t>
      </w:r>
      <w:r>
        <w:rPr>
          <w:rStyle w:val="19"/>
          <w:rFonts w:hint="eastAsia" w:ascii="仿宋_GB2312" w:eastAsia="仿宋_GB2312"/>
          <w:b w:val="0"/>
          <w:bCs w:val="0"/>
        </w:rPr>
        <w:t>般公共预算财政拨款“三公”经费支出决算表</w:t>
      </w:r>
      <w:bookmarkEnd w:id="26"/>
    </w:p>
    <w:p>
      <w:pPr>
        <w:pStyle w:val="4"/>
        <w:spacing w:before="0" w:after="0" w:line="560" w:lineRule="exact"/>
        <w:rPr>
          <w:rFonts w:ascii="仿宋_GB2312" w:eastAsia="仿宋_GB2312"/>
          <w:b w:val="0"/>
          <w:bCs w:val="0"/>
          <w:color w:val="000000"/>
        </w:rPr>
      </w:pPr>
      <w:bookmarkStart w:id="27" w:name="_Toc15396629"/>
      <w:r>
        <w:rPr>
          <w:rStyle w:val="19"/>
          <w:rFonts w:hint="eastAsia" w:ascii="仿宋_GB2312" w:eastAsia="仿宋_GB2312"/>
          <w:b w:val="0"/>
          <w:bCs w:val="0"/>
        </w:rPr>
        <w:t>十一、</w:t>
      </w:r>
      <w:r>
        <w:rPr>
          <w:rFonts w:hint="eastAsia" w:ascii="仿宋_GB2312" w:eastAsia="仿宋_GB2312"/>
          <w:b w:val="0"/>
          <w:bCs w:val="0"/>
          <w:color w:val="000000"/>
        </w:rPr>
        <w:t>政</w:t>
      </w:r>
      <w:r>
        <w:rPr>
          <w:rStyle w:val="19"/>
          <w:rFonts w:hint="eastAsia" w:ascii="仿宋_GB2312" w:eastAsia="仿宋_GB2312"/>
          <w:b w:val="0"/>
          <w:bCs w:val="0"/>
        </w:rPr>
        <w:t>府性基金预算财政拨款收入支出决算表</w:t>
      </w:r>
      <w:bookmarkEnd w:id="27"/>
    </w:p>
    <w:p>
      <w:pPr>
        <w:pStyle w:val="4"/>
        <w:spacing w:before="0" w:after="0" w:line="560" w:lineRule="exact"/>
        <w:rPr>
          <w:rFonts w:ascii="仿宋_GB2312" w:eastAsia="仿宋_GB2312"/>
          <w:b w:val="0"/>
          <w:bCs w:val="0"/>
          <w:color w:val="000000"/>
        </w:rPr>
      </w:pPr>
      <w:bookmarkStart w:id="28" w:name="_Toc15396630"/>
      <w:r>
        <w:rPr>
          <w:rStyle w:val="19"/>
          <w:rFonts w:hint="eastAsia" w:ascii="仿宋_GB2312" w:eastAsia="仿宋_GB2312"/>
          <w:b w:val="0"/>
          <w:bCs w:val="0"/>
        </w:rPr>
        <w:t>十二、</w:t>
      </w:r>
      <w:r>
        <w:rPr>
          <w:rFonts w:hint="eastAsia" w:ascii="仿宋_GB2312" w:eastAsia="仿宋_GB2312"/>
          <w:b w:val="0"/>
          <w:bCs w:val="0"/>
          <w:color w:val="000000"/>
        </w:rPr>
        <w:t>政</w:t>
      </w:r>
      <w:r>
        <w:rPr>
          <w:rStyle w:val="19"/>
          <w:rFonts w:hint="eastAsia" w:ascii="仿宋_GB2312" w:eastAsia="仿宋_GB2312"/>
          <w:b w:val="0"/>
          <w:bCs w:val="0"/>
        </w:rPr>
        <w:t>府性基金预算财政拨款“三公”经费支出决算表</w:t>
      </w:r>
      <w:bookmarkEnd w:id="28"/>
    </w:p>
    <w:p>
      <w:pPr>
        <w:pStyle w:val="4"/>
        <w:spacing w:before="0" w:after="0" w:line="560" w:lineRule="exact"/>
        <w:rPr>
          <w:rFonts w:ascii="仿宋_GB2312" w:eastAsia="仿宋_GB2312"/>
          <w:b w:val="0"/>
          <w:bCs w:val="0"/>
          <w:color w:val="000000"/>
        </w:rPr>
      </w:pPr>
      <w:bookmarkStart w:id="29" w:name="_Toc15396631"/>
      <w:r>
        <w:rPr>
          <w:rStyle w:val="19"/>
          <w:rFonts w:hint="eastAsia" w:ascii="仿宋_GB2312" w:eastAsia="仿宋_GB2312"/>
          <w:b w:val="0"/>
          <w:bCs w:val="0"/>
        </w:rPr>
        <w:t>十三、</w:t>
      </w:r>
      <w:r>
        <w:rPr>
          <w:rFonts w:hint="eastAsia" w:ascii="仿宋_GB2312" w:eastAsia="仿宋_GB2312"/>
          <w:b w:val="0"/>
          <w:bCs w:val="0"/>
          <w:color w:val="000000"/>
        </w:rPr>
        <w:t>国</w:t>
      </w:r>
      <w:r>
        <w:rPr>
          <w:rStyle w:val="19"/>
          <w:rFonts w:hint="eastAsia" w:ascii="仿宋_GB2312" w:eastAsia="仿宋_GB2312"/>
          <w:b w:val="0"/>
          <w:bCs w:val="0"/>
        </w:rPr>
        <w:t>有资本经营预算支出决算表</w:t>
      </w:r>
      <w:bookmarkEnd w:id="29"/>
    </w:p>
    <w:p>
      <w:pPr>
        <w:spacing w:after="0" w:line="560" w:lineRule="exact"/>
        <w:jc w:val="both"/>
        <w:rPr>
          <w:rFonts w:ascii="仿宋_GB2312" w:eastAsia="仿宋_GB2312"/>
        </w:rPr>
      </w:pPr>
    </w:p>
    <w:sectPr>
      <w:headerReference r:id="rId4" w:type="default"/>
      <w:footerReference r:id="rId5" w:type="default"/>
      <w:pgSz w:w="11906" w:h="16838"/>
      <w:pgMar w:top="1440" w:right="1558" w:bottom="1440" w:left="180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475615" cy="295275"/>
              <wp:effectExtent l="0" t="0" r="0" b="0"/>
              <wp:wrapNone/>
              <wp:docPr id="1" name="文本框"/>
              <wp:cNvGraphicFramePr/>
              <a:graphic xmlns:a="http://schemas.openxmlformats.org/drawingml/2006/main">
                <a:graphicData uri="http://schemas.microsoft.com/office/word/2010/wordprocessingShape">
                  <wps:wsp>
                    <wps:cNvSpPr/>
                    <wps:spPr>
                      <a:xfrm>
                        <a:off x="0" y="0"/>
                        <a:ext cx="475615" cy="295275"/>
                      </a:xfrm>
                      <a:prstGeom prst="rect">
                        <a:avLst/>
                      </a:prstGeom>
                      <a:noFill/>
                      <a:ln w="9525" cap="flat" cmpd="sng">
                        <a:noFill/>
                        <a:prstDash val="solid"/>
                        <a:miter/>
                      </a:ln>
                    </wps:spPr>
                    <wps:txbx>
                      <w:txbxContent>
                        <w:p>
                          <w:pPr>
                            <w:pStyle w:val="9"/>
                            <w:jc w:val="center"/>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PAGE   \* MERGEFORMAT</w:instrText>
                          </w:r>
                          <w:r>
                            <w:rPr>
                              <w:rFonts w:hint="eastAsia" w:ascii="宋体" w:eastAsia="宋体" w:cs="宋体"/>
                              <w:sz w:val="28"/>
                              <w:szCs w:val="28"/>
                            </w:rPr>
                            <w:fldChar w:fldCharType="separate"/>
                          </w:r>
                          <w:r>
                            <w:rPr>
                              <w:rFonts w:hint="eastAsia" w:ascii="宋体" w:eastAsia="宋体" w:cs="宋体"/>
                              <w:sz w:val="28"/>
                              <w:szCs w:val="28"/>
                              <w:lang w:val="zh-CN"/>
                            </w:rPr>
                            <w:t>4</w:t>
                          </w:r>
                          <w:r>
                            <w:rPr>
                              <w:rFonts w:hint="eastAsia" w:ascii="宋体" w:eastAsia="宋体" w:cs="宋体"/>
                              <w:sz w:val="28"/>
                              <w:szCs w:val="28"/>
                              <w:lang w:val="zh-CN"/>
                            </w:rPr>
                            <w:fldChar w:fldCharType="end"/>
                          </w:r>
                        </w:p>
                      </w:txbxContent>
                    </wps:txbx>
                    <wps:bodyPr vert="horz" wrap="square" lIns="0" tIns="0" rIns="0" bIns="0" anchor="t" anchorCtr="0" upright="1">
                      <a:noAutofit/>
                    </wps:bodyPr>
                  </wps:wsp>
                </a:graphicData>
              </a:graphic>
            </wp:anchor>
          </w:drawing>
        </mc:Choice>
        <mc:Fallback>
          <w:pict>
            <v:rect id="文本框" o:spid="_x0000_s1026" o:spt="1" style="position:absolute;left:0pt;margin-top:0pt;height:23.25pt;width:37.45pt;mso-position-horizontal:center;mso-position-horizontal-relative:margin;z-index:251659264;mso-width-relative:page;mso-height-relative:page;" filled="f" stroked="f" coordsize="21600,21600" o:gfxdata="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NJIRLWAAAAAwEAAA8AAAAAAAAAAQAgAAAAIgAAAGRycy9kb3du&#10;cmV2LnhtbFBLAQIUABQAAAAIAIdO4kC1juEwAQIAAPQDAAAOAAAAAAAAAAEAIAAAACUBAABkcnMv&#10;ZTJvRG9jLnhtbFBLBQYAAAAABgAGAFkBAACYBQAAAAA=&#10;">
              <v:fill on="f" focussize="0,0"/>
              <v:stroke on="f" joinstyle="miter"/>
              <v:imagedata o:title=""/>
              <o:lock v:ext="edit" aspectratio="f"/>
              <v:textbox inset="0mm,0mm,0mm,0mm">
                <w:txbxContent>
                  <w:p>
                    <w:pPr>
                      <w:pStyle w:val="9"/>
                      <w:jc w:val="center"/>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PAGE   \* MERGEFORMAT</w:instrText>
                    </w:r>
                    <w:r>
                      <w:rPr>
                        <w:rFonts w:hint="eastAsia" w:ascii="宋体" w:eastAsia="宋体" w:cs="宋体"/>
                        <w:sz w:val="28"/>
                        <w:szCs w:val="28"/>
                      </w:rPr>
                      <w:fldChar w:fldCharType="separate"/>
                    </w:r>
                    <w:r>
                      <w:rPr>
                        <w:rFonts w:hint="eastAsia" w:ascii="宋体" w:eastAsia="宋体" w:cs="宋体"/>
                        <w:sz w:val="28"/>
                        <w:szCs w:val="28"/>
                        <w:lang w:val="zh-CN"/>
                      </w:rPr>
                      <w:t>4</w:t>
                    </w:r>
                    <w:r>
                      <w:rPr>
                        <w:rFonts w:hint="eastAsia" w:ascii="宋体" w:eastAsia="宋体" w:cs="宋体"/>
                        <w:sz w:val="28"/>
                        <w:szCs w:val="28"/>
                        <w:lang w:val="zh-CN"/>
                      </w:rPr>
                      <w:fldChar w:fldCharType="end"/>
                    </w:r>
                  </w:p>
                </w:txbxContent>
              </v:textbox>
            </v:rect>
          </w:pict>
        </mc:Fallback>
      </mc:AlternateContent>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0D4A16"/>
    <w:multiLevelType w:val="singleLevel"/>
    <w:tmpl w:val="270D4A16"/>
    <w:lvl w:ilvl="0" w:tentative="0">
      <w:start w:val="11"/>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720"/>
  <w:drawingGridHorizontalSpacing w:val="110"/>
  <w:drawingGridVerticalSpacing w:val="156"/>
  <w:displayHorizontalDrawingGridEvery w:val="0"/>
  <w:displayVerticalDrawingGridEvery w:val="1"/>
  <w:footnotePr>
    <w:footnote w:id="0"/>
    <w:footnote w:id="1"/>
  </w:footnotePr>
  <w:compat>
    <w:spaceForUL/>
    <w:growAutofit/>
    <w:useFELayout/>
    <w:compatSetting w:name="compatibilityMode" w:uri="http://schemas.microsoft.com/office/word" w:val="14"/>
  </w:compat>
  <w:docVars>
    <w:docVar w:name="commondata" w:val="eyJoZGlkIjoiYzFmOWQ1OTE5YjMwMDBiYWI2YzU2ZDI5MzNiODRiMGYifQ=="/>
  </w:docVars>
  <w:rsids>
    <w:rsidRoot w:val="00000000"/>
    <w:rsid w:val="0E523417"/>
    <w:rsid w:val="0E8D6415"/>
    <w:rsid w:val="12CE060B"/>
    <w:rsid w:val="2F261EE0"/>
    <w:rsid w:val="3C5D75E7"/>
    <w:rsid w:val="3C8C0CE5"/>
    <w:rsid w:val="3FC84AA2"/>
    <w:rsid w:val="42F46F57"/>
    <w:rsid w:val="459A7B50"/>
    <w:rsid w:val="45A335F1"/>
    <w:rsid w:val="45DA17B8"/>
    <w:rsid w:val="536F3295"/>
    <w:rsid w:val="6457780C"/>
    <w:rsid w:val="70EC5D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Arial"/>
      <w:sz w:val="22"/>
      <w:szCs w:val="22"/>
      <w:lang w:val="en-US" w:eastAsia="zh-CN" w:bidi="ar-SA"/>
    </w:rPr>
  </w:style>
  <w:style w:type="paragraph" w:styleId="3">
    <w:name w:val="heading 1"/>
    <w:basedOn w:val="1"/>
    <w:next w:val="1"/>
    <w:link w:val="18"/>
    <w:qFormat/>
    <w:uiPriority w:val="0"/>
    <w:pPr>
      <w:keepNext/>
      <w:keepLines/>
      <w:widowControl w:val="0"/>
      <w:adjustRightInd/>
      <w:snapToGrid/>
      <w:spacing w:before="340" w:after="330" w:line="578" w:lineRule="auto"/>
      <w:jc w:val="both"/>
      <w:outlineLvl w:val="0"/>
    </w:pPr>
    <w:rPr>
      <w:rFonts w:ascii="Times New Roman" w:hAnsi="Times New Roman" w:eastAsia="宋体" w:cs="Times New Roman"/>
      <w:b/>
      <w:bCs/>
      <w:kern w:val="44"/>
      <w:sz w:val="44"/>
      <w:szCs w:val="44"/>
    </w:rPr>
  </w:style>
  <w:style w:type="paragraph" w:styleId="4">
    <w:name w:val="heading 2"/>
    <w:basedOn w:val="1"/>
    <w:next w:val="1"/>
    <w:link w:val="19"/>
    <w:qFormat/>
    <w:uiPriority w:val="0"/>
    <w:pPr>
      <w:keepNext/>
      <w:keepLines/>
      <w:widowControl w:val="0"/>
      <w:adjustRightInd/>
      <w:snapToGrid/>
      <w:spacing w:before="260" w:after="260" w:line="415" w:lineRule="auto"/>
      <w:jc w:val="both"/>
      <w:outlineLvl w:val="1"/>
    </w:pPr>
    <w:rPr>
      <w:rFonts w:ascii="Cambria" w:hAnsi="Cambria" w:eastAsia="宋体" w:cs="Times New Roman"/>
      <w:b/>
      <w:bCs/>
      <w:kern w:val="2"/>
      <w:sz w:val="32"/>
      <w:szCs w:val="32"/>
    </w:rPr>
  </w:style>
  <w:style w:type="paragraph" w:styleId="5">
    <w:name w:val="heading 3"/>
    <w:basedOn w:val="1"/>
    <w:next w:val="1"/>
    <w:uiPriority w:val="0"/>
    <w:pPr>
      <w:keepNext/>
      <w:keepLines/>
      <w:widowControl w:val="0"/>
      <w:adjustRightInd/>
      <w:snapToGrid/>
      <w:spacing w:before="260" w:after="260" w:line="415" w:lineRule="auto"/>
      <w:jc w:val="both"/>
      <w:outlineLvl w:val="2"/>
    </w:pPr>
    <w:rPr>
      <w:rFonts w:ascii="Times New Roman" w:hAnsi="Times New Roman" w:eastAsia="宋体" w:cs="Times New Roman"/>
      <w:b/>
      <w:bCs/>
      <w:kern w:val="2"/>
      <w:sz w:val="32"/>
      <w:szCs w:val="32"/>
    </w:rPr>
  </w:style>
  <w:style w:type="character" w:default="1" w:styleId="15">
    <w:name w:val="Default Paragraph Font"/>
    <w:uiPriority w:val="0"/>
  </w:style>
  <w:style w:type="table" w:default="1" w:styleId="14">
    <w:name w:val="Normal Table"/>
    <w:semiHidden/>
    <w:uiPriority w:val="0"/>
    <w:tblPr>
      <w:tblCellMar>
        <w:top w:w="0" w:type="dxa"/>
        <w:left w:w="108" w:type="dxa"/>
        <w:bottom w:w="0" w:type="dxa"/>
        <w:right w:w="108" w:type="dxa"/>
      </w:tblCellMar>
    </w:tblPr>
  </w:style>
  <w:style w:type="paragraph" w:customStyle="1" w:styleId="2">
    <w:name w:val="文档正文"/>
    <w:basedOn w:val="1"/>
    <w:qFormat/>
    <w:uiPriority w:val="0"/>
    <w:pPr>
      <w:widowControl w:val="0"/>
      <w:adjustRightInd w:val="0"/>
      <w:snapToGrid/>
      <w:spacing w:after="0" w:line="480" w:lineRule="atLeast"/>
      <w:jc w:val="both"/>
      <w:textAlignment w:val="baseline"/>
    </w:pPr>
    <w:rPr>
      <w:rFonts w:ascii="Arial" w:hAnsi="Arial" w:eastAsia="宋体" w:cs="Times New Roman"/>
      <w:sz w:val="32"/>
      <w:szCs w:val="32"/>
    </w:rPr>
  </w:style>
  <w:style w:type="paragraph" w:styleId="6">
    <w:name w:val="Body Text"/>
    <w:basedOn w:val="1"/>
    <w:qFormat/>
    <w:uiPriority w:val="0"/>
    <w:pPr>
      <w:widowControl w:val="0"/>
      <w:adjustRightInd/>
      <w:snapToGrid/>
      <w:spacing w:before="30" w:beforeLines="30" w:after="0"/>
      <w:jc w:val="both"/>
    </w:pPr>
    <w:rPr>
      <w:rFonts w:ascii="仿宋_GB2312" w:eastAsia="仿宋_GB2312" w:cs="Times New Roman"/>
      <w:sz w:val="30"/>
      <w:szCs w:val="24"/>
    </w:rPr>
  </w:style>
  <w:style w:type="paragraph" w:styleId="7">
    <w:name w:val="toc 3"/>
    <w:basedOn w:val="1"/>
    <w:next w:val="1"/>
    <w:uiPriority w:val="0"/>
    <w:pPr>
      <w:widowControl w:val="0"/>
      <w:tabs>
        <w:tab w:val="right" w:leader="dot" w:pos="8296"/>
      </w:tabs>
      <w:adjustRightInd/>
      <w:snapToGrid/>
      <w:spacing w:after="0"/>
      <w:ind w:left="400" w:leftChars="400"/>
      <w:jc w:val="both"/>
    </w:pPr>
    <w:rPr>
      <w:rFonts w:ascii="Times New Roman" w:hAnsi="Times New Roman" w:eastAsia="宋体" w:cs="Times New Roman"/>
      <w:kern w:val="2"/>
      <w:sz w:val="21"/>
      <w:szCs w:val="24"/>
    </w:rPr>
  </w:style>
  <w:style w:type="paragraph" w:styleId="8">
    <w:name w:val="Balloon Text"/>
    <w:basedOn w:val="1"/>
    <w:qFormat/>
    <w:uiPriority w:val="0"/>
    <w:pPr>
      <w:widowControl w:val="0"/>
      <w:adjustRightInd/>
      <w:snapToGrid/>
      <w:spacing w:after="0"/>
      <w:jc w:val="both"/>
    </w:pPr>
    <w:rPr>
      <w:rFonts w:ascii="Times New Roman" w:hAnsi="Times New Roman" w:eastAsia="宋体" w:cs="Times New Roman"/>
      <w:kern w:val="2"/>
      <w:sz w:val="18"/>
      <w:szCs w:val="18"/>
    </w:rPr>
  </w:style>
  <w:style w:type="paragraph" w:styleId="9">
    <w:name w:val="footer"/>
    <w:basedOn w:val="1"/>
    <w:qFormat/>
    <w:uiPriority w:val="0"/>
    <w:pPr>
      <w:tabs>
        <w:tab w:val="center" w:pos="4153"/>
        <w:tab w:val="right" w:pos="8306"/>
      </w:tabs>
    </w:pPr>
    <w:rPr>
      <w:sz w:val="18"/>
      <w:szCs w:val="18"/>
    </w:rPr>
  </w:style>
  <w:style w:type="paragraph" w:styleId="10">
    <w:name w:val="header"/>
    <w:basedOn w:val="1"/>
    <w:qFormat/>
    <w:uiPriority w:val="0"/>
    <w:pPr>
      <w:pBdr>
        <w:bottom w:val="single" w:color="auto" w:sz="6" w:space="1"/>
      </w:pBdr>
      <w:tabs>
        <w:tab w:val="center" w:pos="4153"/>
        <w:tab w:val="right" w:pos="8306"/>
      </w:tabs>
      <w:jc w:val="center"/>
    </w:pPr>
    <w:rPr>
      <w:sz w:val="18"/>
      <w:szCs w:val="18"/>
    </w:rPr>
  </w:style>
  <w:style w:type="paragraph" w:styleId="11">
    <w:name w:val="toc 1"/>
    <w:basedOn w:val="1"/>
    <w:next w:val="1"/>
    <w:uiPriority w:val="0"/>
    <w:pPr>
      <w:widowControl w:val="0"/>
      <w:tabs>
        <w:tab w:val="right" w:leader="dot" w:pos="8296"/>
      </w:tabs>
      <w:adjustRightInd/>
      <w:snapToGrid/>
      <w:spacing w:before="93" w:after="0"/>
      <w:jc w:val="center"/>
    </w:pPr>
    <w:rPr>
      <w:rFonts w:ascii="仿宋" w:eastAsia="仿宋" w:cs="Times New Roman"/>
      <w:kern w:val="2"/>
      <w:sz w:val="28"/>
      <w:szCs w:val="28"/>
    </w:rPr>
  </w:style>
  <w:style w:type="paragraph" w:styleId="12">
    <w:name w:val="toc 2"/>
    <w:basedOn w:val="1"/>
    <w:next w:val="1"/>
    <w:qFormat/>
    <w:uiPriority w:val="0"/>
    <w:pPr>
      <w:widowControl w:val="0"/>
      <w:tabs>
        <w:tab w:val="right" w:leader="dot" w:pos="8296"/>
      </w:tabs>
      <w:adjustRightInd/>
      <w:snapToGrid/>
      <w:spacing w:after="0"/>
      <w:ind w:left="200" w:leftChars="200"/>
      <w:jc w:val="both"/>
    </w:pPr>
    <w:rPr>
      <w:rFonts w:ascii="Times New Roman" w:hAnsi="Times New Roman" w:eastAsia="宋体" w:cs="Times New Roman"/>
      <w:kern w:val="2"/>
      <w:sz w:val="21"/>
      <w:szCs w:val="24"/>
    </w:rPr>
  </w:style>
  <w:style w:type="paragraph" w:styleId="13">
    <w:name w:val="Normal (Web)"/>
    <w:basedOn w:val="1"/>
    <w:qFormat/>
    <w:uiPriority w:val="0"/>
    <w:pPr>
      <w:widowControl w:val="0"/>
      <w:adjustRightInd/>
      <w:snapToGrid/>
      <w:spacing w:after="0"/>
    </w:pPr>
    <w:rPr>
      <w:rFonts w:ascii="Calibri" w:hAnsi="Calibri" w:eastAsia="宋体" w:cs="Times New Roman"/>
      <w:sz w:val="24"/>
      <w:szCs w:val="24"/>
    </w:rPr>
  </w:style>
  <w:style w:type="character" w:styleId="16">
    <w:name w:val="Strong"/>
    <w:basedOn w:val="15"/>
    <w:uiPriority w:val="0"/>
    <w:rPr>
      <w:b/>
    </w:rPr>
  </w:style>
  <w:style w:type="character" w:styleId="17">
    <w:name w:val="Hyperlink"/>
    <w:basedOn w:val="15"/>
    <w:qFormat/>
    <w:uiPriority w:val="0"/>
    <w:rPr>
      <w:color w:val="0000FF"/>
      <w:u w:val="single"/>
    </w:rPr>
  </w:style>
  <w:style w:type="character" w:customStyle="1" w:styleId="18">
    <w:name w:val="heading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4">
    <w:name w:val="列出段落1"/>
    <w:basedOn w:val="1"/>
    <w:uiPriority w:val="0"/>
    <w:pPr>
      <w:widowControl w:val="0"/>
      <w:adjustRightInd/>
      <w:snapToGrid/>
      <w:spacing w:after="0"/>
      <w:ind w:firstLine="200" w:firstLineChars="200"/>
      <w:jc w:val="both"/>
    </w:pPr>
    <w:rPr>
      <w:rFonts w:ascii="Times New Roman" w:hAnsi="Times New Roman" w:eastAsia="宋体" w:cs="Times New Roman"/>
      <w:kern w:val="2"/>
      <w:sz w:val="21"/>
      <w:szCs w:val="24"/>
    </w:rPr>
  </w:style>
  <w:style w:type="paragraph" w:customStyle="1" w:styleId="25">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6">
    <w:name w:val="TOC 标题2"/>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7">
    <w:name w:val="ql-align-center"/>
    <w:basedOn w:val="1"/>
    <w:qFormat/>
    <w:uiPriority w:val="0"/>
    <w:pPr>
      <w:adjustRightInd/>
      <w:snapToGrid/>
      <w:spacing w:before="100" w:beforeAutospacing="1" w:after="100" w:afterAutospacing="1"/>
    </w:pPr>
    <w:rPr>
      <w:rFonts w:ascii="宋体" w:eastAsia="宋体" w:cs="宋体"/>
      <w:sz w:val="24"/>
      <w:szCs w:val="24"/>
    </w:rPr>
  </w:style>
  <w:style w:type="character" w:customStyle="1" w:styleId="28">
    <w:name w:val="标题 1 字符"/>
    <w:basedOn w:val="15"/>
    <w:qFormat/>
    <w:uiPriority w:val="0"/>
    <w:rPr>
      <w:rFonts w:ascii="Times New Roman" w:hAnsi="Times New Roman"/>
      <w:b/>
      <w:bCs/>
      <w:kern w:val="44"/>
      <w:sz w:val="44"/>
      <w:szCs w:val="44"/>
    </w:rPr>
  </w:style>
  <w:style w:type="paragraph" w:customStyle="1" w:styleId="29">
    <w:name w:val="List Paragraph"/>
    <w:basedOn w:val="1"/>
    <w:qFormat/>
    <w:uiPriority w:val="0"/>
    <w:pPr>
      <w:ind w:firstLine="200" w:firstLineChars="200"/>
    </w:pPr>
    <w:rPr>
      <w:rFonts w:eastAsia="宋体"/>
      <w:sz w:val="21"/>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9.png"/><Relationship Id="rId23" Type="http://schemas.openxmlformats.org/officeDocument/2006/relationships/oleObject" Target="embeddings/oleObject9.bin"/><Relationship Id="rId22" Type="http://schemas.openxmlformats.org/officeDocument/2006/relationships/image" Target="media/image8.png"/><Relationship Id="rId21" Type="http://schemas.openxmlformats.org/officeDocument/2006/relationships/oleObject" Target="embeddings/oleObject8.bin"/><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6.png"/><Relationship Id="rId17" Type="http://schemas.openxmlformats.org/officeDocument/2006/relationships/oleObject" Target="embeddings/oleObject6.bin"/><Relationship Id="rId16" Type="http://schemas.openxmlformats.org/officeDocument/2006/relationships/image" Target="media/image5.png"/><Relationship Id="rId15" Type="http://schemas.openxmlformats.org/officeDocument/2006/relationships/oleObject" Target="embeddings/oleObject5.bin"/><Relationship Id="rId14" Type="http://schemas.openxmlformats.org/officeDocument/2006/relationships/image" Target="media/image4.png"/><Relationship Id="rId13" Type="http://schemas.openxmlformats.org/officeDocument/2006/relationships/oleObject" Target="embeddings/oleObject4.bin"/><Relationship Id="rId12" Type="http://schemas.openxmlformats.org/officeDocument/2006/relationships/image" Target="media/image3.png"/><Relationship Id="rId11" Type="http://schemas.openxmlformats.org/officeDocument/2006/relationships/oleObject" Target="embeddings/oleObject3.bin"/><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19</Pages>
  <Words>4860</Words>
  <Characters>5574</Characters>
  <Lines>605</Lines>
  <Paragraphs>267</Paragraphs>
  <TotalTime>0</TotalTime>
  <ScaleCrop>false</ScaleCrop>
  <LinksUpToDate>false</LinksUpToDate>
  <CharactersWithSpaces>6035</CharactersWithSpaces>
  <Application>WPS Office_11.1.0.12358_F1E327BC-269C-435d-A152-05C5408002CA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2022-09-22T10:39:00Z</dcterms:created>
  <dc:creator>Administrator</dc:creator>
  <cp:lastModifiedBy>值班</cp:lastModifiedBy>
  <cp:lastPrinted>2022-10-02T02:48:00Z</cp:lastPrinted>
  <dcterms:modified xsi:type="dcterms:W3CDTF">2022-10-10T07:12:40Z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7268EC9E704245D7957D61DC254F54E6</vt:lpwstr>
  </property>
  <property fmtid="{D5CDD505-2E9C-101B-9397-08002B2CF9AE}" pid="4" name="KSOSaveFontToCloudKey">
    <vt:lpwstr>639476831_btnclosed</vt:lpwstr>
  </property>
</Properties>
</file>