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1000" w:lineRule="exact"/>
        <w:jc w:val="both"/>
        <w:outlineLvl w:val="0"/>
        <w:rPr>
          <w:rFonts w:ascii="方正小标宋简体" w:eastAsia="方正小标宋简体"/>
          <w:color w:val="000000"/>
          <w:sz w:val="72"/>
          <w:szCs w:val="72"/>
        </w:rPr>
      </w:pPr>
      <w:bookmarkStart w:id="0" w:name="_Toc15306267"/>
    </w:p>
    <w:p>
      <w:pPr>
        <w:spacing w:after="0" w:line="1000" w:lineRule="exact"/>
        <w:jc w:val="center"/>
        <w:outlineLvl w:val="0"/>
        <w:rPr>
          <w:rFonts w:ascii="黑体" w:eastAsia="黑体"/>
          <w:color w:val="000000"/>
          <w:sz w:val="72"/>
          <w:szCs w:val="72"/>
        </w:rPr>
      </w:pPr>
      <w:bookmarkStart w:id="1" w:name="_Toc15377193"/>
      <w:bookmarkStart w:id="2" w:name="_Toc15396475"/>
      <w:bookmarkStart w:id="3" w:name="_Toc15396597"/>
      <w:bookmarkStart w:id="4" w:name="_Toc15378441"/>
      <w:bookmarkStart w:id="5" w:name="_Toc15377425"/>
    </w:p>
    <w:p>
      <w:pPr>
        <w:spacing w:after="0" w:line="1000" w:lineRule="exact"/>
        <w:jc w:val="center"/>
        <w:outlineLvl w:val="0"/>
        <w:rPr>
          <w:rFonts w:ascii="黑体" w:eastAsia="黑体"/>
          <w:color w:val="000000"/>
          <w:sz w:val="72"/>
          <w:szCs w:val="72"/>
        </w:rPr>
      </w:pPr>
    </w:p>
    <w:p>
      <w:pPr>
        <w:spacing w:after="0" w:line="1000" w:lineRule="exact"/>
        <w:jc w:val="center"/>
        <w:outlineLvl w:val="0"/>
        <w:rPr>
          <w:rFonts w:ascii="方正小标宋简体" w:eastAsia="方正小标宋简体"/>
          <w:color w:val="000000"/>
          <w:sz w:val="72"/>
          <w:szCs w:val="72"/>
        </w:rPr>
      </w:pPr>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spacing w:after="0" w:line="1000" w:lineRule="exact"/>
        <w:jc w:val="center"/>
        <w:outlineLvl w:val="0"/>
        <w:rPr>
          <w:rFonts w:ascii="方正小标宋简体" w:eastAsia="方正小标宋简体"/>
          <w:color w:val="000000"/>
          <w:sz w:val="72"/>
          <w:szCs w:val="72"/>
        </w:rPr>
      </w:pPr>
      <w:bookmarkStart w:id="6" w:name="_Toc15396476"/>
      <w:bookmarkStart w:id="7" w:name="_Toc15378442"/>
      <w:bookmarkStart w:id="8" w:name="_Toc15396598"/>
      <w:bookmarkStart w:id="9" w:name="_Toc15377426"/>
      <w:bookmarkStart w:id="10" w:name="_Toc15377194"/>
      <w:r>
        <w:rPr>
          <w:rFonts w:hint="eastAsia" w:ascii="方正小标宋简体" w:eastAsia="方正小标宋简体"/>
          <w:color w:val="000000"/>
          <w:sz w:val="72"/>
          <w:szCs w:val="72"/>
        </w:rPr>
        <w:t>中共阿坝州</w:t>
      </w:r>
      <w:bookmarkEnd w:id="0"/>
      <w:bookmarkStart w:id="11" w:name="_Toc15306268"/>
      <w:r>
        <w:rPr>
          <w:rFonts w:hint="eastAsia" w:ascii="方正小标宋简体" w:eastAsia="方正小标宋简体"/>
          <w:color w:val="000000"/>
          <w:sz w:val="72"/>
          <w:szCs w:val="72"/>
        </w:rPr>
        <w:t>委网网络安全和信息化委员会办公室</w:t>
      </w:r>
    </w:p>
    <w:p>
      <w:pPr>
        <w:spacing w:after="0" w:line="1000" w:lineRule="exact"/>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决  算</w:t>
      </w:r>
      <w:bookmarkEnd w:id="6"/>
      <w:bookmarkEnd w:id="7"/>
      <w:bookmarkEnd w:id="8"/>
      <w:bookmarkEnd w:id="9"/>
      <w:bookmarkEnd w:id="10"/>
      <w:bookmarkEnd w:id="11"/>
    </w:p>
    <w:p>
      <w:pPr>
        <w:spacing w:after="0" w:line="1000" w:lineRule="exact"/>
        <w:jc w:val="both"/>
        <w:rPr>
          <w:rFonts w:ascii="方正小标宋简体" w:eastAsia="方正小标宋简体"/>
          <w:color w:val="000000"/>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spacing w:after="0" w:line="560" w:lineRule="exact"/>
        <w:jc w:val="both"/>
        <w:rPr>
          <w:rFonts w:ascii="方正小标宋简体" w:eastAsia="方正小标宋简体"/>
          <w:sz w:val="36"/>
          <w:szCs w:val="36"/>
        </w:rPr>
      </w:pPr>
    </w:p>
    <w:p>
      <w:pPr>
        <w:autoSpaceDE w:val="0"/>
        <w:autoSpaceDN w:val="0"/>
        <w:spacing w:after="0" w:line="560" w:lineRule="exact"/>
        <w:ind w:firstLine="640" w:firstLineChars="200"/>
        <w:jc w:val="both"/>
        <w:rPr>
          <w:rFonts w:eastAsia="仿宋_GB2312"/>
          <w:sz w:val="32"/>
          <w:szCs w:val="32"/>
        </w:rPr>
      </w:pPr>
      <w:r>
        <w:rPr>
          <w:rFonts w:hint="eastAsia" w:ascii="仿宋_GB2312" w:eastAsia="仿宋_GB2312" w:cs="仿宋_GB2312"/>
          <w:sz w:val="32"/>
          <w:szCs w:val="32"/>
        </w:rPr>
        <w:t>保密审查情况：已审查，内容审定</w:t>
      </w:r>
    </w:p>
    <w:p>
      <w:pPr>
        <w:autoSpaceDE w:val="0"/>
        <w:autoSpaceDN w:val="0"/>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部门主要负责人审签情况：已审签，同意对外公开</w:t>
      </w:r>
    </w:p>
    <w:p>
      <w:pPr>
        <w:pStyle w:val="10"/>
        <w:spacing w:before="0" w:line="560" w:lineRule="exact"/>
        <w:jc w:val="both"/>
      </w:pPr>
    </w:p>
    <w:p>
      <w:pPr>
        <w:spacing w:after="0" w:line="560" w:lineRule="exact"/>
        <w:jc w:val="both"/>
      </w:pPr>
    </w:p>
    <w:p>
      <w:pPr>
        <w:spacing w:after="0" w:line="560" w:lineRule="exact"/>
        <w:jc w:val="both"/>
        <w:rPr>
          <w:rFonts w:ascii="黑体" w:eastAsia="黑体"/>
          <w:color w:val="000000"/>
          <w:sz w:val="48"/>
          <w:szCs w:val="48"/>
        </w:rPr>
      </w:pPr>
    </w:p>
    <w:p>
      <w:pPr>
        <w:spacing w:after="0" w:line="560" w:lineRule="exact"/>
        <w:jc w:val="center"/>
        <w:rPr>
          <w:rFonts w:ascii="黑体" w:eastAsia="黑体"/>
          <w:color w:val="000000"/>
          <w:sz w:val="48"/>
          <w:szCs w:val="48"/>
        </w:rPr>
      </w:pPr>
      <w:r>
        <w:rPr>
          <w:rFonts w:hint="eastAsia" w:ascii="黑体" w:eastAsia="黑体"/>
          <w:color w:val="000000"/>
          <w:sz w:val="48"/>
          <w:szCs w:val="48"/>
        </w:rPr>
        <w:t>目录</w:t>
      </w:r>
    </w:p>
    <w:p>
      <w:pPr>
        <w:spacing w:after="0" w:line="560" w:lineRule="exact"/>
        <w:jc w:val="both"/>
        <w:rPr>
          <w:rFonts w:ascii="黑体" w:eastAsia="黑体"/>
          <w:sz w:val="28"/>
          <w:szCs w:val="28"/>
        </w:rPr>
      </w:pPr>
    </w:p>
    <w:p>
      <w:pPr>
        <w:pStyle w:val="10"/>
        <w:spacing w:before="0" w:line="560" w:lineRule="exact"/>
        <w:rPr>
          <w:rFonts w:ascii="仿宋_GB2312" w:eastAsia="仿宋_GB2312"/>
          <w:sz w:val="32"/>
          <w:szCs w:val="32"/>
        </w:rPr>
      </w:pPr>
      <w:r>
        <w:rPr>
          <w:rFonts w:hint="eastAsia" w:ascii="仿宋_GB2312" w:eastAsia="仿宋_GB2312"/>
          <w:sz w:val="32"/>
          <w:szCs w:val="32"/>
        </w:rPr>
        <w:t>公开时间：2021年9月24日</w:t>
      </w:r>
    </w:p>
    <w:p>
      <w:pPr>
        <w:spacing w:after="0" w:line="560" w:lineRule="exact"/>
        <w:jc w:val="both"/>
        <w:rPr>
          <w:rFonts w:ascii="仿宋_GB2312" w:eastAsia="仿宋_GB2312"/>
          <w:sz w:val="32"/>
          <w:szCs w:val="32"/>
        </w:rPr>
      </w:pPr>
    </w:p>
    <w:p>
      <w:pPr>
        <w:pStyle w:val="10"/>
        <w:adjustRightInd w:val="0"/>
        <w:snapToGrid w:val="0"/>
        <w:spacing w:before="0" w:line="560" w:lineRule="exact"/>
        <w:ind w:firstLine="321" w:firstLineChars="100"/>
        <w:jc w:val="left"/>
        <w:rPr>
          <w:rFonts w:ascii="仿宋_GB2312" w:eastAsia="仿宋_GB2312" w:cs="Arial"/>
          <w:sz w:val="32"/>
          <w:szCs w:val="32"/>
        </w:rPr>
      </w:pPr>
      <w:r>
        <w:rPr>
          <w:rFonts w:hint="eastAsia" w:ascii="仿宋_GB2312" w:eastAsia="仿宋_GB2312"/>
          <w:b/>
          <w:sz w:val="32"/>
          <w:szCs w:val="32"/>
        </w:rPr>
        <w:t>第一部分 部门概况</w:t>
      </w:r>
      <w:r>
        <w:rPr>
          <w:rFonts w:ascii="仿宋_GB2312" w:eastAsia="仿宋_GB2312"/>
          <w:sz w:val="32"/>
          <w:szCs w:val="32"/>
        </w:rPr>
        <w:tab/>
      </w:r>
      <w:r>
        <w:rPr>
          <w:rFonts w:hint="eastAsia" w:ascii="仿宋_GB2312" w:eastAsia="仿宋_GB2312"/>
          <w:sz w:val="32"/>
          <w:szCs w:val="32"/>
        </w:rPr>
        <w:t>4</w:t>
      </w:r>
    </w:p>
    <w:p>
      <w:pPr>
        <w:pStyle w:val="11"/>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一、基本职能及主要工作</w:t>
      </w:r>
      <w:r>
        <w:rPr>
          <w:rFonts w:ascii="仿宋_GB2312" w:eastAsia="仿宋_GB2312"/>
          <w:sz w:val="32"/>
          <w:szCs w:val="32"/>
        </w:rPr>
        <w:tab/>
      </w:r>
      <w:r>
        <w:rPr>
          <w:rFonts w:hint="eastAsia" w:ascii="仿宋_GB2312" w:eastAsia="仿宋_GB2312"/>
          <w:sz w:val="32"/>
          <w:szCs w:val="32"/>
        </w:rPr>
        <w:t>4</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二、机构设置</w:t>
      </w:r>
      <w:r>
        <w:rPr>
          <w:rFonts w:ascii="仿宋_GB2312" w:eastAsia="仿宋_GB2312"/>
          <w:sz w:val="32"/>
          <w:szCs w:val="32"/>
        </w:rPr>
        <w:tab/>
      </w:r>
      <w:r>
        <w:rPr>
          <w:rFonts w:hint="eastAsia" w:ascii="仿宋_GB2312" w:eastAsia="仿宋_GB2312"/>
          <w:sz w:val="32"/>
          <w:szCs w:val="32"/>
        </w:rPr>
        <w:t>4</w:t>
      </w:r>
    </w:p>
    <w:p>
      <w:pPr>
        <w:pStyle w:val="10"/>
        <w:adjustRightInd w:val="0"/>
        <w:snapToGrid w:val="0"/>
        <w:spacing w:before="0" w:line="560" w:lineRule="exact"/>
        <w:ind w:firstLine="321" w:firstLineChars="100"/>
        <w:jc w:val="left"/>
        <w:rPr>
          <w:rFonts w:ascii="仿宋_GB2312" w:eastAsia="仿宋_GB2312"/>
          <w:sz w:val="32"/>
          <w:szCs w:val="32"/>
        </w:rPr>
      </w:pPr>
      <w:r>
        <w:rPr>
          <w:rFonts w:hint="eastAsia" w:ascii="仿宋_GB2312" w:eastAsia="仿宋_GB2312"/>
          <w:b/>
          <w:sz w:val="32"/>
          <w:szCs w:val="32"/>
        </w:rPr>
        <w:t>第二部分 年度部门决算情况说明</w:t>
      </w:r>
      <w:r>
        <w:rPr>
          <w:rFonts w:ascii="仿宋_GB2312" w:eastAsia="仿宋_GB2312"/>
          <w:sz w:val="32"/>
          <w:szCs w:val="32"/>
        </w:rPr>
        <w:tab/>
      </w:r>
      <w:r>
        <w:rPr>
          <w:rFonts w:ascii="仿宋_GB2312" w:eastAsia="仿宋_GB2312"/>
          <w:sz w:val="32"/>
          <w:szCs w:val="32"/>
        </w:rPr>
        <w:t>5</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一、收入支出决算总体情况说明</w:t>
      </w:r>
      <w:r>
        <w:rPr>
          <w:rFonts w:ascii="仿宋_GB2312" w:eastAsia="仿宋_GB2312"/>
          <w:sz w:val="32"/>
          <w:szCs w:val="32"/>
        </w:rPr>
        <w:tab/>
      </w:r>
      <w:r>
        <w:rPr>
          <w:rFonts w:hint="eastAsia" w:ascii="仿宋_GB2312" w:eastAsia="仿宋_GB2312"/>
          <w:sz w:val="32"/>
          <w:szCs w:val="32"/>
        </w:rPr>
        <w:t>5</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二、收入决算情况说明</w:t>
      </w:r>
      <w:r>
        <w:rPr>
          <w:rFonts w:ascii="仿宋_GB2312" w:eastAsia="仿宋_GB2312"/>
          <w:sz w:val="32"/>
          <w:szCs w:val="32"/>
        </w:rPr>
        <w:tab/>
      </w:r>
      <w:r>
        <w:rPr>
          <w:rFonts w:ascii="仿宋_GB2312" w:eastAsia="仿宋_GB2312"/>
          <w:sz w:val="32"/>
          <w:szCs w:val="32"/>
        </w:rPr>
        <w:t>6</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三、支出决算情况说明</w:t>
      </w:r>
      <w:r>
        <w:rPr>
          <w:rFonts w:ascii="仿宋_GB2312" w:eastAsia="仿宋_GB2312"/>
          <w:sz w:val="32"/>
          <w:szCs w:val="32"/>
        </w:rPr>
        <w:tab/>
      </w:r>
      <w:r>
        <w:rPr>
          <w:rFonts w:ascii="仿宋_GB2312" w:eastAsia="仿宋_GB2312"/>
          <w:sz w:val="32"/>
          <w:szCs w:val="32"/>
        </w:rPr>
        <w:t>7</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四、财政拨款收入支出决算总体情况说明</w:t>
      </w:r>
      <w:r>
        <w:rPr>
          <w:rFonts w:ascii="仿宋_GB2312" w:eastAsia="仿宋_GB2312"/>
          <w:sz w:val="32"/>
          <w:szCs w:val="32"/>
        </w:rPr>
        <w:tab/>
      </w:r>
      <w:r>
        <w:rPr>
          <w:rFonts w:ascii="仿宋_GB2312" w:eastAsia="仿宋_GB2312"/>
          <w:sz w:val="32"/>
          <w:szCs w:val="32"/>
        </w:rPr>
        <w:t>7</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五、一般公共预算财政拨款支出决算情况说明</w:t>
      </w:r>
      <w:r>
        <w:rPr>
          <w:rFonts w:ascii="仿宋_GB2312" w:eastAsia="仿宋_GB2312"/>
          <w:sz w:val="32"/>
          <w:szCs w:val="32"/>
        </w:rPr>
        <w:tab/>
      </w:r>
      <w:r>
        <w:rPr>
          <w:rFonts w:ascii="仿宋_GB2312" w:eastAsia="仿宋_GB2312"/>
          <w:sz w:val="32"/>
          <w:szCs w:val="32"/>
        </w:rPr>
        <w:t>8</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六、一般公共预算财政拨款基本支出决算情况说明</w:t>
      </w:r>
      <w:r>
        <w:rPr>
          <w:rFonts w:ascii="仿宋_GB2312" w:eastAsia="仿宋_GB2312"/>
          <w:sz w:val="32"/>
          <w:szCs w:val="32"/>
        </w:rPr>
        <w:tab/>
      </w:r>
      <w:r>
        <w:rPr>
          <w:rFonts w:ascii="仿宋_GB2312" w:eastAsia="仿宋_GB2312"/>
          <w:sz w:val="32"/>
          <w:szCs w:val="32"/>
        </w:rPr>
        <w:t>10</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七、“三公”经费财政拨款支出决算情况说明</w:t>
      </w:r>
      <w:r>
        <w:rPr>
          <w:rFonts w:ascii="仿宋_GB2312" w:eastAsia="仿宋_GB2312"/>
          <w:sz w:val="32"/>
          <w:szCs w:val="32"/>
        </w:rPr>
        <w:tab/>
      </w:r>
      <w:r>
        <w:rPr>
          <w:rFonts w:ascii="仿宋_GB2312" w:eastAsia="仿宋_GB2312"/>
          <w:sz w:val="32"/>
          <w:szCs w:val="32"/>
        </w:rPr>
        <w:t>10</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八、政府性基金预算支出决算情况说明</w:t>
      </w:r>
      <w:r>
        <w:rPr>
          <w:rFonts w:ascii="仿宋_GB2312" w:eastAsia="仿宋_GB2312"/>
          <w:sz w:val="32"/>
          <w:szCs w:val="32"/>
        </w:rPr>
        <w:tab/>
      </w:r>
      <w:r>
        <w:rPr>
          <w:rFonts w:ascii="仿宋_GB2312" w:eastAsia="仿宋_GB2312"/>
          <w:sz w:val="32"/>
          <w:szCs w:val="32"/>
        </w:rPr>
        <w:t>12</w:t>
      </w:r>
    </w:p>
    <w:p>
      <w:pPr>
        <w:pStyle w:val="11"/>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九、国有资本经营预算支出决算情况说明</w:t>
      </w:r>
      <w:r>
        <w:rPr>
          <w:rFonts w:ascii="仿宋_GB2312" w:eastAsia="仿宋_GB2312"/>
          <w:sz w:val="32"/>
          <w:szCs w:val="32"/>
        </w:rPr>
        <w:tab/>
      </w:r>
      <w:r>
        <w:rPr>
          <w:rFonts w:ascii="仿宋_GB2312" w:eastAsia="仿宋_GB2312"/>
          <w:sz w:val="32"/>
          <w:szCs w:val="32"/>
        </w:rPr>
        <w:t>12</w:t>
      </w:r>
    </w:p>
    <w:p>
      <w:pPr>
        <w:pStyle w:val="11"/>
        <w:adjustRightInd w:val="0"/>
        <w:snapToGrid w:val="0"/>
        <w:spacing w:line="560" w:lineRule="exact"/>
        <w:ind w:left="0" w:leftChars="0" w:firstLine="640" w:firstLineChars="200"/>
        <w:jc w:val="left"/>
        <w:rPr>
          <w:rFonts w:ascii="仿宋_GB2312" w:eastAsia="仿宋_GB2312"/>
          <w:sz w:val="32"/>
          <w:szCs w:val="32"/>
        </w:rPr>
      </w:pPr>
      <w:r>
        <w:rPr>
          <w:rStyle w:val="16"/>
          <w:rFonts w:hint="eastAsia"/>
          <w:color w:val="000000"/>
          <w:sz w:val="32"/>
          <w:szCs w:val="32"/>
          <w:u w:val="none"/>
        </w:rPr>
        <w:t>十、</w:t>
      </w:r>
      <w:r>
        <w:rPr>
          <w:rFonts w:hint="eastAsia" w:ascii="仿宋_GB2312" w:eastAsia="仿宋_GB2312"/>
          <w:sz w:val="32"/>
          <w:szCs w:val="32"/>
        </w:rPr>
        <w:t>其他重要事项的情况说明</w:t>
      </w:r>
      <w:r>
        <w:rPr>
          <w:rFonts w:ascii="仿宋_GB2312" w:eastAsia="仿宋_GB2312"/>
          <w:sz w:val="32"/>
          <w:szCs w:val="32"/>
        </w:rPr>
        <w:tab/>
      </w:r>
      <w:r>
        <w:rPr>
          <w:rFonts w:ascii="仿宋_GB2312" w:eastAsia="仿宋_GB2312"/>
          <w:sz w:val="32"/>
          <w:szCs w:val="32"/>
        </w:rPr>
        <w:t>12</w:t>
      </w:r>
    </w:p>
    <w:p>
      <w:pPr>
        <w:pStyle w:val="10"/>
        <w:adjustRightInd w:val="0"/>
        <w:snapToGrid w:val="0"/>
        <w:spacing w:before="0" w:line="560" w:lineRule="exact"/>
        <w:ind w:firstLine="321" w:firstLineChars="100"/>
        <w:jc w:val="left"/>
        <w:rPr>
          <w:rFonts w:ascii="仿宋_GB2312" w:eastAsia="仿宋_GB2312" w:cs="Arial"/>
          <w:sz w:val="32"/>
          <w:szCs w:val="32"/>
        </w:rPr>
      </w:pPr>
      <w:r>
        <w:rPr>
          <w:rFonts w:hint="eastAsia" w:ascii="仿宋_GB2312" w:eastAsia="仿宋_GB2312"/>
          <w:b/>
          <w:sz w:val="32"/>
          <w:szCs w:val="32"/>
        </w:rPr>
        <w:t>第三部分 名词解释</w:t>
      </w:r>
      <w:r>
        <w:rPr>
          <w:rFonts w:ascii="仿宋_GB2312" w:eastAsia="仿宋_GB2312"/>
          <w:sz w:val="32"/>
          <w:szCs w:val="32"/>
        </w:rPr>
        <w:tab/>
      </w:r>
      <w:r>
        <w:rPr>
          <w:rFonts w:hint="eastAsia" w:ascii="仿宋_GB2312" w:eastAsia="仿宋_GB2312"/>
          <w:sz w:val="32"/>
          <w:szCs w:val="32"/>
        </w:rPr>
        <w:t>1</w:t>
      </w:r>
      <w:r>
        <w:rPr>
          <w:rFonts w:ascii="仿宋_GB2312" w:eastAsia="仿宋_GB2312"/>
          <w:sz w:val="32"/>
          <w:szCs w:val="32"/>
        </w:rPr>
        <w:t>5</w:t>
      </w:r>
    </w:p>
    <w:p>
      <w:pPr>
        <w:pStyle w:val="10"/>
        <w:adjustRightInd w:val="0"/>
        <w:snapToGrid w:val="0"/>
        <w:spacing w:before="0" w:line="560" w:lineRule="exact"/>
        <w:ind w:firstLine="321" w:firstLineChars="100"/>
        <w:jc w:val="left"/>
        <w:rPr>
          <w:rFonts w:ascii="仿宋_GB2312" w:eastAsia="仿宋_GB2312" w:cs="Arial"/>
          <w:sz w:val="32"/>
          <w:szCs w:val="32"/>
        </w:rPr>
      </w:pPr>
      <w:r>
        <w:rPr>
          <w:rFonts w:hint="eastAsia" w:ascii="仿宋_GB2312" w:eastAsia="仿宋_GB2312"/>
          <w:b/>
          <w:sz w:val="32"/>
          <w:szCs w:val="32"/>
        </w:rPr>
        <w:t>第四部分 附件</w:t>
      </w:r>
      <w:r>
        <w:rPr>
          <w:rFonts w:ascii="仿宋_GB2312" w:eastAsia="仿宋_GB2312"/>
          <w:sz w:val="32"/>
          <w:szCs w:val="32"/>
        </w:rPr>
        <w:tab/>
      </w:r>
      <w:r>
        <w:rPr>
          <w:rFonts w:ascii="仿宋_GB2312" w:eastAsia="仿宋_GB2312"/>
          <w:sz w:val="32"/>
          <w:szCs w:val="32"/>
        </w:rPr>
        <w:t>17</w:t>
      </w:r>
    </w:p>
    <w:p>
      <w:pPr>
        <w:pStyle w:val="11"/>
        <w:adjustRightInd w:val="0"/>
        <w:snapToGrid w:val="0"/>
        <w:spacing w:line="560" w:lineRule="exact"/>
        <w:ind w:left="0" w:leftChars="0" w:firstLine="640" w:firstLineChars="200"/>
        <w:jc w:val="left"/>
        <w:rPr>
          <w:rFonts w:ascii="仿宋_GB2312" w:eastAsia="仿宋_GB2312" w:cs="Arial"/>
          <w:sz w:val="32"/>
          <w:szCs w:val="32"/>
        </w:rPr>
      </w:pPr>
      <w:r>
        <w:rPr>
          <w:rFonts w:hint="eastAsia" w:ascii="仿宋_GB2312" w:eastAsia="仿宋_GB2312"/>
          <w:sz w:val="32"/>
          <w:szCs w:val="32"/>
        </w:rPr>
        <w:t>附件1</w:t>
      </w:r>
      <w:r>
        <w:rPr>
          <w:rFonts w:ascii="仿宋_GB2312" w:eastAsia="仿宋_GB2312"/>
          <w:sz w:val="32"/>
          <w:szCs w:val="32"/>
        </w:rPr>
        <w:tab/>
      </w:r>
      <w:r>
        <w:rPr>
          <w:rFonts w:hint="eastAsia" w:ascii="仿宋_GB2312" w:eastAsia="仿宋_GB2312"/>
          <w:sz w:val="32"/>
          <w:szCs w:val="32"/>
        </w:rPr>
        <w:t>1</w:t>
      </w:r>
      <w:r>
        <w:rPr>
          <w:rFonts w:ascii="仿宋_GB2312" w:eastAsia="仿宋_GB2312"/>
          <w:sz w:val="32"/>
          <w:szCs w:val="32"/>
        </w:rPr>
        <w:t>7</w:t>
      </w:r>
    </w:p>
    <w:p>
      <w:pPr>
        <w:pStyle w:val="11"/>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附件2</w:t>
      </w:r>
      <w:r>
        <w:rPr>
          <w:rFonts w:ascii="仿宋_GB2312" w:eastAsia="仿宋_GB2312"/>
          <w:sz w:val="32"/>
          <w:szCs w:val="32"/>
        </w:rPr>
        <w:tab/>
      </w:r>
      <w:r>
        <w:rPr>
          <w:rFonts w:ascii="仿宋_GB2312" w:eastAsia="仿宋_GB2312"/>
          <w:sz w:val="32"/>
          <w:szCs w:val="32"/>
        </w:rPr>
        <w:t>20</w:t>
      </w:r>
    </w:p>
    <w:p>
      <w:pPr>
        <w:pStyle w:val="11"/>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附件3</w:t>
      </w:r>
      <w:r>
        <w:rPr>
          <w:rFonts w:ascii="仿宋_GB2312" w:eastAsia="仿宋_GB2312"/>
          <w:sz w:val="32"/>
          <w:szCs w:val="32"/>
        </w:rPr>
        <w:tab/>
      </w:r>
      <w:r>
        <w:rPr>
          <w:rFonts w:ascii="仿宋_GB2312" w:eastAsia="仿宋_GB2312"/>
          <w:sz w:val="32"/>
          <w:szCs w:val="32"/>
        </w:rPr>
        <w:t>25</w:t>
      </w:r>
    </w:p>
    <w:p>
      <w:pPr>
        <w:pStyle w:val="11"/>
        <w:adjustRightInd w:val="0"/>
        <w:snapToGrid w:val="0"/>
        <w:spacing w:line="560" w:lineRule="exact"/>
        <w:ind w:left="0" w:leftChars="0" w:firstLine="640" w:firstLineChars="200"/>
        <w:jc w:val="left"/>
        <w:rPr>
          <w:rFonts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4</w:t>
      </w:r>
      <w:r>
        <w:rPr>
          <w:rFonts w:ascii="仿宋_GB2312" w:eastAsia="仿宋_GB2312"/>
          <w:sz w:val="32"/>
          <w:szCs w:val="32"/>
        </w:rPr>
        <w:tab/>
      </w:r>
      <w:r>
        <w:rPr>
          <w:rFonts w:ascii="仿宋_GB2312" w:eastAsia="仿宋_GB2312"/>
          <w:sz w:val="32"/>
          <w:szCs w:val="32"/>
        </w:rPr>
        <w:t>30</w:t>
      </w:r>
    </w:p>
    <w:p>
      <w:pPr>
        <w:pStyle w:val="10"/>
        <w:adjustRightInd w:val="0"/>
        <w:snapToGrid w:val="0"/>
        <w:spacing w:before="0" w:line="560" w:lineRule="exact"/>
        <w:ind w:firstLine="321" w:firstLineChars="100"/>
        <w:jc w:val="left"/>
        <w:rPr>
          <w:rFonts w:ascii="仿宋_GB2312" w:eastAsia="仿宋_GB2312" w:cs="Arial"/>
          <w:sz w:val="32"/>
          <w:szCs w:val="32"/>
        </w:rPr>
      </w:pPr>
      <w:r>
        <w:rPr>
          <w:rFonts w:hint="eastAsia" w:ascii="仿宋_GB2312" w:eastAsia="仿宋_GB2312"/>
          <w:b/>
          <w:sz w:val="32"/>
          <w:szCs w:val="32"/>
        </w:rPr>
        <w:t>第五部分 附表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0" w:leftChars="0" w:firstLine="1120" w:firstLineChars="350"/>
        <w:jc w:val="left"/>
        <w:rPr>
          <w:rFonts w:ascii="仿宋_GB2312" w:eastAsia="仿宋_GB2312" w:cs="Arial"/>
          <w:sz w:val="32"/>
          <w:szCs w:val="32"/>
        </w:rPr>
      </w:pPr>
      <w:r>
        <w:rPr>
          <w:rFonts w:hint="eastAsia" w:ascii="仿宋_GB2312" w:eastAsia="仿宋_GB2312"/>
          <w:sz w:val="32"/>
          <w:szCs w:val="32"/>
        </w:rPr>
        <w:t>一、收入支出决算总表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二、收入决算表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三、支出决算表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四、财政拨款收入支出决算总表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sz w:val="32"/>
          <w:szCs w:val="32"/>
        </w:rPr>
      </w:pPr>
      <w:r>
        <w:rPr>
          <w:rFonts w:hint="eastAsia" w:ascii="仿宋_GB2312" w:eastAsia="仿宋_GB2312"/>
          <w:sz w:val="32"/>
          <w:szCs w:val="32"/>
        </w:rPr>
        <w:t>五、财政拨款支出决算明细表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六、一般公共预算财政拨款支出决算表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七、一般公共预算财政拨款支出决算明细表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八、一般公共预算财政拨款基本支出决算表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九、一般公共预算财政拨款项目支出决算表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sz w:val="32"/>
          <w:szCs w:val="32"/>
        </w:rPr>
      </w:pPr>
      <w:r>
        <w:rPr>
          <w:rFonts w:hint="eastAsia" w:ascii="仿宋_GB2312" w:eastAsia="仿宋_GB2312"/>
          <w:sz w:val="32"/>
          <w:szCs w:val="32"/>
        </w:rPr>
        <w:t>十、一般公共预算财政拨款“三公”经费支出决算</w:t>
      </w:r>
    </w:p>
    <w:p>
      <w:pPr>
        <w:pStyle w:val="11"/>
        <w:adjustRightInd w:val="0"/>
        <w:snapToGrid w:val="0"/>
        <w:spacing w:line="560" w:lineRule="exact"/>
        <w:ind w:left="440"/>
        <w:jc w:val="left"/>
        <w:rPr>
          <w:rFonts w:ascii="仿宋_GB2312" w:eastAsia="仿宋_GB2312" w:cs="Arial"/>
          <w:sz w:val="32"/>
          <w:szCs w:val="32"/>
        </w:rPr>
      </w:pPr>
      <w:r>
        <w:rPr>
          <w:rFonts w:hint="eastAsia" w:ascii="仿宋_GB2312" w:eastAsia="仿宋_GB2312"/>
          <w:sz w:val="32"/>
          <w:szCs w:val="32"/>
        </w:rPr>
        <w:t>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十一、政府性基金预算财政拨款收入支出决算表</w:t>
      </w:r>
      <w:r>
        <w:rPr>
          <w:rFonts w:ascii="仿宋_GB2312" w:eastAsia="仿宋_GB2312"/>
          <w:sz w:val="32"/>
          <w:szCs w:val="32"/>
        </w:rPr>
        <w:tab/>
      </w:r>
      <w:r>
        <w:rPr>
          <w:rFonts w:hint="eastAsia" w:ascii="仿宋_GB2312" w:eastAsia="仿宋_GB2312"/>
          <w:sz w:val="32"/>
          <w:szCs w:val="32"/>
        </w:rPr>
        <w:t>..</w:t>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十二、政府性基金预算财政拨款“三公”经费支出决算表</w:t>
      </w:r>
      <w:r>
        <w:rPr>
          <w:rFonts w:ascii="仿宋_GB2312" w:eastAsia="仿宋_GB2312"/>
          <w:sz w:val="32"/>
          <w:szCs w:val="32"/>
        </w:rPr>
        <w:tab/>
      </w:r>
      <w:r>
        <w:rPr>
          <w:rFonts w:ascii="仿宋_GB2312" w:eastAsia="仿宋_GB2312"/>
          <w:sz w:val="32"/>
          <w:szCs w:val="32"/>
        </w:rPr>
        <w:t>35</w:t>
      </w:r>
    </w:p>
    <w:p>
      <w:pPr>
        <w:pStyle w:val="11"/>
        <w:adjustRightInd w:val="0"/>
        <w:snapToGrid w:val="0"/>
        <w:spacing w:line="560" w:lineRule="exact"/>
        <w:ind w:left="440" w:firstLine="640" w:firstLineChars="200"/>
        <w:jc w:val="left"/>
        <w:rPr>
          <w:rFonts w:ascii="仿宋_GB2312" w:eastAsia="仿宋_GB2312" w:cs="Arial"/>
          <w:sz w:val="32"/>
          <w:szCs w:val="32"/>
        </w:rPr>
      </w:pPr>
      <w:r>
        <w:rPr>
          <w:rFonts w:hint="eastAsia" w:ascii="仿宋_GB2312" w:eastAsia="仿宋_GB2312"/>
          <w:sz w:val="32"/>
          <w:szCs w:val="32"/>
        </w:rPr>
        <w:t>十三、国有资本经营预算支出决算表</w:t>
      </w:r>
      <w:r>
        <w:rPr>
          <w:rFonts w:ascii="仿宋_GB2312" w:eastAsia="仿宋_GB2312"/>
          <w:sz w:val="32"/>
          <w:szCs w:val="32"/>
        </w:rPr>
        <w:tab/>
      </w:r>
      <w:r>
        <w:rPr>
          <w:rFonts w:ascii="仿宋_GB2312" w:eastAsia="仿宋_GB2312"/>
          <w:sz w:val="32"/>
          <w:szCs w:val="32"/>
        </w:rPr>
        <w:t>35</w:t>
      </w:r>
    </w:p>
    <w:p>
      <w:pPr>
        <w:spacing w:after="0" w:line="560" w:lineRule="exact"/>
        <w:jc w:val="both"/>
        <w:rPr>
          <w:rFonts w:ascii="方正小标宋简体" w:eastAsia="方正小标宋简体"/>
          <w:sz w:val="36"/>
          <w:szCs w:val="36"/>
        </w:rPr>
      </w:pPr>
    </w:p>
    <w:p>
      <w:pPr>
        <w:spacing w:after="0" w:line="560" w:lineRule="exact"/>
        <w:jc w:val="both"/>
        <w:rPr>
          <w:rFonts w:ascii="黑体" w:eastAsia="黑体"/>
          <w:color w:val="000000"/>
          <w:sz w:val="48"/>
          <w:szCs w:val="48"/>
        </w:rPr>
      </w:pPr>
      <w:r>
        <w:rPr>
          <w:rFonts w:ascii="方正小标宋简体" w:eastAsia="方正小标宋简体"/>
          <w:sz w:val="36"/>
          <w:szCs w:val="36"/>
        </w:rPr>
        <w:br w:type="page"/>
      </w:r>
    </w:p>
    <w:p>
      <w:pPr>
        <w:pStyle w:val="10"/>
        <w:adjustRightInd w:val="0"/>
        <w:snapToGrid w:val="0"/>
        <w:spacing w:before="0" w:line="560" w:lineRule="exact"/>
        <w:ind w:firstLine="660" w:firstLineChars="150"/>
        <w:rPr>
          <w:rFonts w:ascii="方正小标宋简体" w:eastAsia="方正小标宋简体"/>
          <w:sz w:val="44"/>
          <w:szCs w:val="44"/>
        </w:rPr>
      </w:pPr>
      <w:r>
        <w:rPr>
          <w:rFonts w:hint="eastAsia" w:ascii="方正小标宋简体" w:eastAsia="方正小标宋简体"/>
          <w:sz w:val="44"/>
          <w:szCs w:val="44"/>
        </w:rPr>
        <w:t>第一部分  部门概况</w:t>
      </w:r>
    </w:p>
    <w:p/>
    <w:p>
      <w:pPr>
        <w:pStyle w:val="11"/>
        <w:adjustRightInd w:val="0"/>
        <w:snapToGrid w:val="0"/>
        <w:spacing w:line="560" w:lineRule="exact"/>
        <w:ind w:left="440" w:firstLine="160" w:firstLineChars="50"/>
        <w:rPr>
          <w:rFonts w:ascii="黑体" w:eastAsia="黑体"/>
          <w:sz w:val="32"/>
          <w:szCs w:val="32"/>
        </w:rPr>
      </w:pPr>
      <w:r>
        <w:rPr>
          <w:rFonts w:hint="eastAsia" w:ascii="黑体" w:eastAsia="黑体"/>
          <w:sz w:val="32"/>
          <w:szCs w:val="32"/>
        </w:rPr>
        <w:t>一、基本职能及主要工作</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贯彻执行党和国家的方针政策和法律法规及省委、州委的决策部署，统筹协调全州网络安全和信息化工作，强化网络宣传，加强网络安全防护和风险防控，统筹协调全州网络安全和信息化工作。</w:t>
      </w:r>
    </w:p>
    <w:p>
      <w:pPr>
        <w:pStyle w:val="22"/>
        <w:spacing w:line="560" w:lineRule="exact"/>
        <w:ind w:firstLine="640" w:firstLineChars="200"/>
        <w:jc w:val="both"/>
        <w:rPr>
          <w:rFonts w:ascii="黑体" w:eastAsia="黑体" w:cs="Times New Roman"/>
          <w:color w:val="auto"/>
          <w:kern w:val="2"/>
          <w:sz w:val="32"/>
          <w:szCs w:val="32"/>
        </w:rPr>
      </w:pPr>
      <w:r>
        <w:rPr>
          <w:rFonts w:hint="eastAsia" w:ascii="黑体" w:eastAsia="黑体" w:cs="Times New Roman"/>
          <w:color w:val="auto"/>
          <w:kern w:val="2"/>
          <w:sz w:val="32"/>
          <w:szCs w:val="32"/>
        </w:rPr>
        <w:t>二、机构设置</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中共阿坝州委网信办是正县级单位，行政编制7名，机关工勤事业编制2名，2020年末在职人员9名（其中：行政编制7名，行政工勤2名）。</w:t>
      </w: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ind w:firstLine="880" w:firstLineChars="200"/>
        <w:jc w:val="both"/>
        <w:rPr>
          <w:rFonts w:ascii="黑体" w:eastAsia="黑体" w:cs="Times New Roman"/>
          <w:color w:val="auto"/>
          <w:kern w:val="2"/>
          <w:sz w:val="44"/>
          <w:szCs w:val="44"/>
        </w:rPr>
      </w:pPr>
    </w:p>
    <w:p>
      <w:pPr>
        <w:pStyle w:val="22"/>
        <w:spacing w:line="560" w:lineRule="exact"/>
        <w:ind w:firstLine="880" w:firstLineChars="200"/>
        <w:jc w:val="both"/>
        <w:rPr>
          <w:rFonts w:ascii="黑体" w:eastAsia="黑体" w:cs="Times New Roman"/>
          <w:color w:val="auto"/>
          <w:kern w:val="2"/>
          <w:sz w:val="44"/>
          <w:szCs w:val="44"/>
        </w:rPr>
      </w:pPr>
    </w:p>
    <w:p>
      <w:pPr>
        <w:pStyle w:val="22"/>
        <w:spacing w:line="560" w:lineRule="exact"/>
        <w:ind w:firstLine="880" w:firstLineChars="200"/>
        <w:jc w:val="both"/>
        <w:rPr>
          <w:rFonts w:ascii="方正小标宋_GBK" w:eastAsia="方正小标宋_GBK" w:cs="Times New Roman"/>
          <w:color w:val="auto"/>
          <w:kern w:val="2"/>
          <w:sz w:val="44"/>
          <w:szCs w:val="44"/>
        </w:rPr>
      </w:pPr>
      <w:r>
        <w:rPr>
          <w:rFonts w:hint="eastAsia" w:ascii="方正小标宋_GBK" w:eastAsia="方正小标宋_GBK" w:cs="Times New Roman"/>
          <w:color w:val="auto"/>
          <w:kern w:val="2"/>
          <w:sz w:val="44"/>
          <w:szCs w:val="44"/>
        </w:rPr>
        <w:t>第二部分 年度部门决算情况说明</w:t>
      </w:r>
    </w:p>
    <w:p>
      <w:pPr>
        <w:pStyle w:val="22"/>
        <w:spacing w:line="560" w:lineRule="exact"/>
        <w:ind w:firstLine="880" w:firstLineChars="200"/>
        <w:jc w:val="both"/>
        <w:rPr>
          <w:rFonts w:ascii="方正小标宋_GBK" w:eastAsia="方正小标宋_GBK" w:cs="Times New Roman"/>
          <w:color w:val="auto"/>
          <w:kern w:val="2"/>
          <w:sz w:val="44"/>
          <w:szCs w:val="44"/>
        </w:rPr>
      </w:pPr>
    </w:p>
    <w:p>
      <w:pPr>
        <w:pStyle w:val="22"/>
        <w:spacing w:line="560" w:lineRule="exact"/>
        <w:ind w:firstLine="640" w:firstLineChars="200"/>
        <w:jc w:val="both"/>
        <w:rPr>
          <w:rFonts w:ascii="黑体" w:eastAsia="黑体"/>
          <w:sz w:val="32"/>
          <w:szCs w:val="32"/>
        </w:rPr>
      </w:pPr>
      <w:r>
        <w:rPr>
          <w:rFonts w:hint="eastAsia" w:ascii="黑体" w:eastAsia="黑体"/>
          <w:sz w:val="32"/>
          <w:szCs w:val="32"/>
        </w:rPr>
        <w:t>一、部门收入支出决算总体情况说明</w:t>
      </w:r>
    </w:p>
    <w:p>
      <w:pPr>
        <w:pStyle w:val="22"/>
        <w:spacing w:line="560" w:lineRule="exact"/>
        <w:ind w:firstLine="482" w:firstLineChars="150"/>
        <w:jc w:val="both"/>
        <w:rPr>
          <w:rFonts w:ascii="仿宋_GB2312" w:eastAsia="仿宋_GB2312"/>
          <w:sz w:val="32"/>
          <w:szCs w:val="32"/>
        </w:rPr>
      </w:pPr>
      <w:r>
        <w:rPr>
          <w:rFonts w:hint="eastAsia" w:ascii="楷体_GB2312" w:eastAsia="楷体_GB2312"/>
          <w:b/>
          <w:sz w:val="32"/>
          <w:szCs w:val="32"/>
        </w:rPr>
        <w:t>（一） 部门收入情况。</w:t>
      </w:r>
      <w:r>
        <w:rPr>
          <w:rFonts w:hint="eastAsia" w:ascii="仿宋_GB2312" w:eastAsia="仿宋_GB2312"/>
          <w:sz w:val="32"/>
          <w:szCs w:val="32"/>
        </w:rPr>
        <w:t>2020年度资金总收入877.14万元（本年财政拨款863.68万元，年初结转结余13.46万元），2019年度部门资金总收入275.46万元，同比增长218.42%。变动原因：一是州委网信办是2019年新增单位，2019年5月独立核算；二是2020年我办新增业务工作及人员增加。</w:t>
      </w:r>
    </w:p>
    <w:p>
      <w:pPr>
        <w:pStyle w:val="22"/>
        <w:spacing w:line="560" w:lineRule="exact"/>
        <w:ind w:firstLine="480" w:firstLineChars="150"/>
        <w:jc w:val="both"/>
        <w:rPr>
          <w:rFonts w:ascii="仿宋_GB2312" w:eastAsia="仿宋_GB2312"/>
          <w:sz w:val="32"/>
          <w:szCs w:val="32"/>
        </w:rPr>
      </w:pPr>
    </w:p>
    <w:p>
      <w:pPr>
        <w:pStyle w:val="22"/>
        <w:spacing w:line="560" w:lineRule="exact"/>
        <w:ind w:firstLine="480" w:firstLineChars="150"/>
        <w:jc w:val="both"/>
        <w:rPr>
          <w:rFonts w:ascii="仿宋_GB2312" w:eastAsia="仿宋_GB2312"/>
          <w:sz w:val="32"/>
          <w:szCs w:val="32"/>
        </w:rPr>
      </w:pPr>
    </w:p>
    <w:p>
      <w:pPr>
        <w:pStyle w:val="22"/>
        <w:spacing w:line="560" w:lineRule="exact"/>
        <w:ind w:firstLine="480" w:firstLineChars="150"/>
        <w:jc w:val="both"/>
        <w:rPr>
          <w:rFonts w:ascii="仿宋_GB2312" w:eastAsia="仿宋_GB2312"/>
          <w:sz w:val="32"/>
          <w:szCs w:val="32"/>
        </w:rPr>
      </w:pPr>
    </w:p>
    <w:p>
      <w:pPr>
        <w:pStyle w:val="22"/>
        <w:spacing w:line="560" w:lineRule="exact"/>
        <w:ind w:firstLine="480" w:firstLineChars="150"/>
        <w:jc w:val="both"/>
        <w:rPr>
          <w:rFonts w:ascii="仿宋_GB2312" w:eastAsia="仿宋_GB2312"/>
          <w:sz w:val="32"/>
          <w:szCs w:val="32"/>
        </w:rPr>
      </w:pPr>
    </w:p>
    <w:p>
      <w:pPr>
        <w:pStyle w:val="22"/>
        <w:spacing w:line="560" w:lineRule="exact"/>
        <w:ind w:firstLine="480" w:firstLineChars="150"/>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r>
        <w:rPr>
          <w:rFonts w:ascii="仿宋_GB2312" w:eastAsia="仿宋_GB2312"/>
          <w:sz w:val="32"/>
          <w:szCs w:val="32"/>
        </w:rPr>
        <w:drawing>
          <wp:anchor distT="0" distB="0" distL="114300" distR="114300" simplePos="0" relativeHeight="251660288" behindDoc="0" locked="0" layoutInCell="1" allowOverlap="1">
            <wp:simplePos x="0" y="0"/>
            <wp:positionH relativeFrom="column">
              <wp:posOffset>15875</wp:posOffset>
            </wp:positionH>
            <wp:positionV relativeFrom="paragraph">
              <wp:posOffset>-2281555</wp:posOffset>
            </wp:positionV>
            <wp:extent cx="4406265" cy="2570480"/>
            <wp:effectExtent l="19050" t="0" r="13343" b="1154"/>
            <wp:wrapSquare wrapText="bothSides"/>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（图1：收入变动情况图）</w:t>
      </w:r>
    </w:p>
    <w:p>
      <w:pPr>
        <w:pStyle w:val="22"/>
        <w:spacing w:line="560" w:lineRule="exact"/>
        <w:ind w:firstLine="482" w:firstLineChars="150"/>
        <w:jc w:val="both"/>
        <w:rPr>
          <w:rFonts w:ascii="仿宋_GB2312" w:eastAsia="仿宋_GB2312"/>
          <w:sz w:val="32"/>
          <w:szCs w:val="32"/>
        </w:rPr>
      </w:pPr>
      <w:r>
        <w:rPr>
          <w:rFonts w:hint="eastAsia" w:ascii="楷体_GB2312" w:eastAsia="楷体_GB2312"/>
          <w:b/>
          <w:sz w:val="32"/>
          <w:szCs w:val="32"/>
        </w:rPr>
        <w:t>（二）部门支出情况。</w:t>
      </w:r>
      <w:r>
        <w:rPr>
          <w:rFonts w:hint="eastAsia" w:ascii="仿宋_GB2312" w:eastAsia="仿宋_GB2312"/>
          <w:sz w:val="32"/>
          <w:szCs w:val="32"/>
        </w:rPr>
        <w:t>2020年总支出394.13万元，2019年总支出275.46万元，同比增长43.08%。变动原因：一是州委网信办是2019年新增单位，2019年5月独立核算；二是2020年我办新增工作业务及人员增加。</w:t>
      </w: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r>
        <w:rPr>
          <w:rFonts w:ascii="仿宋_GB2312" w:eastAsia="仿宋_GB2312"/>
          <w:sz w:val="32"/>
          <w:szCs w:val="32"/>
        </w:rPr>
        <w:drawing>
          <wp:anchor distT="0" distB="0" distL="114300" distR="114300" simplePos="0" relativeHeight="251661312" behindDoc="0" locked="0" layoutInCell="1" allowOverlap="1">
            <wp:simplePos x="0" y="0"/>
            <wp:positionH relativeFrom="column">
              <wp:posOffset>15875</wp:posOffset>
            </wp:positionH>
            <wp:positionV relativeFrom="paragraph">
              <wp:posOffset>-2381250</wp:posOffset>
            </wp:positionV>
            <wp:extent cx="4353560" cy="2672080"/>
            <wp:effectExtent l="19050" t="0" r="28080" b="0"/>
            <wp:wrapSquare wrapText="bothSides"/>
            <wp:docPr id="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2"/>
        <w:spacing w:line="560" w:lineRule="exact"/>
        <w:ind w:firstLine="320" w:firstLineChars="100"/>
        <w:jc w:val="both"/>
        <w:rPr>
          <w:rFonts w:ascii="仿宋_GB2312" w:eastAsia="仿宋_GB2312"/>
          <w:sz w:val="32"/>
          <w:szCs w:val="32"/>
        </w:rPr>
      </w:pPr>
      <w:r>
        <w:rPr>
          <w:rFonts w:hint="eastAsia" w:ascii="仿宋_GB2312" w:eastAsia="仿宋_GB2312"/>
          <w:sz w:val="32"/>
          <w:szCs w:val="32"/>
        </w:rPr>
        <w:t>（图2：支出变动情况图）</w:t>
      </w:r>
    </w:p>
    <w:p>
      <w:pPr>
        <w:pStyle w:val="22"/>
        <w:spacing w:line="560" w:lineRule="exact"/>
        <w:ind w:firstLine="640" w:firstLineChars="200"/>
        <w:jc w:val="both"/>
        <w:rPr>
          <w:rFonts w:ascii="黑体" w:eastAsia="黑体"/>
          <w:sz w:val="32"/>
          <w:szCs w:val="32"/>
        </w:rPr>
      </w:pPr>
      <w:r>
        <w:rPr>
          <w:rFonts w:hint="eastAsia" w:ascii="黑体" w:eastAsia="黑体"/>
          <w:sz w:val="32"/>
          <w:szCs w:val="32"/>
        </w:rPr>
        <w:t>二、收入决算情况说明</w:t>
      </w:r>
    </w:p>
    <w:p>
      <w:pPr>
        <w:spacing w:after="0" w:line="560" w:lineRule="exact"/>
        <w:ind w:firstLine="640" w:firstLineChars="200"/>
        <w:jc w:val="both"/>
        <w:outlineLvl w:val="1"/>
        <w:rPr>
          <w:rFonts w:ascii="仿宋_GB2312" w:eastAsia="仿宋_GB2312" w:cs="仿宋"/>
          <w:color w:val="000000"/>
          <w:sz w:val="32"/>
          <w:szCs w:val="32"/>
        </w:rPr>
      </w:pPr>
      <w:r>
        <w:rPr>
          <w:rFonts w:hint="eastAsia" w:ascii="仿宋" w:eastAsia="仿宋"/>
          <w:color w:val="000000"/>
          <w:sz w:val="32"/>
          <w:szCs w:val="32"/>
        </w:rPr>
        <w:t>2020</w:t>
      </w:r>
      <w:r>
        <w:rPr>
          <w:rFonts w:hint="eastAsia" w:ascii="仿宋_GB2312" w:eastAsia="仿宋_GB2312" w:cs="仿宋"/>
          <w:color w:val="000000"/>
          <w:sz w:val="32"/>
          <w:szCs w:val="32"/>
        </w:rPr>
        <w:t>年度部门财政资金总收入877.14万元，其中：一般公共预算财政拨款收入863.68万元，占98.46%；年初结转结余13.46万元，占1.54%；政府基金预算财政拨款收入0万元，占0%；上级补助收入0万元，占0%；事业收入0万元，占0%；经营收入0万元，占0%；其他收入0万元，占0%。</w:t>
      </w:r>
    </w:p>
    <w:p>
      <w:pPr>
        <w:spacing w:after="0" w:line="560" w:lineRule="exact"/>
        <w:jc w:val="both"/>
        <w:outlineLvl w:val="1"/>
        <w:rPr>
          <w:rFonts w:ascii="仿宋_GB2312" w:eastAsia="仿宋_GB2312" w:cs="仿宋"/>
          <w:color w:val="000000"/>
          <w:sz w:val="32"/>
          <w:szCs w:val="32"/>
        </w:rPr>
      </w:pPr>
      <w:r>
        <w:rPr>
          <w:rFonts w:ascii="仿宋_GB2312" w:eastAsia="仿宋_GB2312" w:cs="仿宋"/>
          <w:color w:val="000000"/>
          <w:sz w:val="32"/>
          <w:szCs w:val="32"/>
        </w:rPr>
        <w:pict>
          <v:shape id="_x0000_s1032" o:spid="_x0000_s1032" o:spt="75" type="#_x0000_t75" style="position:absolute;left:0pt;margin-left:4.2pt;margin-top:12.2pt;height:181.65pt;width:318.15pt;mso-wrap-distance-bottom:0pt;mso-wrap-distance-left:9pt;mso-wrap-distance-right:9pt;mso-wrap-distance-top:0pt;z-index:251659264;mso-width-relative:page;mso-height-relative:page;" filled="f" o:preferrelative="t" stroked="t" coordsize="21600,21600">
            <v:path/>
            <v:fill on="f" focussize="0,0"/>
            <v:stroke joinstyle="miter"/>
            <v:imagedata r:id="rId9" o:title=""/>
            <o:lock v:ext="edit" aspectratio="t"/>
            <w10:wrap type="square"/>
          </v:shape>
        </w:pict>
      </w: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jc w:val="both"/>
        <w:outlineLvl w:val="1"/>
        <w:rPr>
          <w:rFonts w:ascii="仿宋_GB2312" w:eastAsia="仿宋_GB2312" w:cs="仿宋"/>
          <w:color w:val="000000"/>
          <w:sz w:val="32"/>
          <w:szCs w:val="32"/>
        </w:rPr>
      </w:pPr>
    </w:p>
    <w:p>
      <w:pPr>
        <w:spacing w:after="0" w:line="560" w:lineRule="exact"/>
        <w:ind w:firstLine="800" w:firstLineChars="250"/>
        <w:jc w:val="both"/>
        <w:outlineLvl w:val="1"/>
        <w:rPr>
          <w:rFonts w:ascii="仿宋_GB2312" w:eastAsia="仿宋_GB2312" w:cs="仿宋"/>
          <w:color w:val="000000"/>
          <w:sz w:val="32"/>
          <w:szCs w:val="32"/>
        </w:rPr>
      </w:pPr>
    </w:p>
    <w:p>
      <w:pPr>
        <w:spacing w:after="0" w:line="560" w:lineRule="exact"/>
        <w:ind w:firstLine="800" w:firstLineChars="250"/>
        <w:jc w:val="both"/>
        <w:outlineLvl w:val="1"/>
        <w:rPr>
          <w:rFonts w:ascii="仿宋_GB2312" w:eastAsia="仿宋_GB2312" w:cs="仿宋"/>
          <w:color w:val="000000"/>
          <w:sz w:val="32"/>
          <w:szCs w:val="32"/>
        </w:rPr>
      </w:pPr>
      <w:r>
        <w:rPr>
          <w:rFonts w:hint="eastAsia" w:ascii="仿宋_GB2312" w:eastAsia="仿宋_GB2312" w:cs="仿宋"/>
          <w:color w:val="000000"/>
          <w:sz w:val="32"/>
          <w:szCs w:val="32"/>
        </w:rPr>
        <w:t>(图3：收入决算结构图）</w:t>
      </w:r>
    </w:p>
    <w:p>
      <w:pPr>
        <w:spacing w:after="0" w:line="560" w:lineRule="exact"/>
        <w:ind w:firstLine="640" w:firstLineChars="200"/>
        <w:jc w:val="both"/>
        <w:outlineLvl w:val="1"/>
        <w:rPr>
          <w:rStyle w:val="18"/>
          <w:rFonts w:ascii="黑体" w:eastAsia="黑体" w:cs="Arial"/>
          <w:b w:val="0"/>
          <w:bCs w:val="0"/>
        </w:rPr>
      </w:pPr>
      <w:bookmarkStart w:id="12" w:name="_Toc15396605"/>
      <w:bookmarkStart w:id="13" w:name="_Toc15377207"/>
    </w:p>
    <w:p>
      <w:pPr>
        <w:spacing w:after="0" w:line="560" w:lineRule="exact"/>
        <w:ind w:firstLine="640" w:firstLineChars="200"/>
        <w:jc w:val="both"/>
        <w:outlineLvl w:val="1"/>
        <w:rPr>
          <w:rStyle w:val="18"/>
          <w:rFonts w:ascii="黑体" w:eastAsia="黑体"/>
          <w:b w:val="0"/>
          <w:bCs w:val="0"/>
        </w:rPr>
      </w:pPr>
      <w:r>
        <w:rPr>
          <w:rStyle w:val="18"/>
          <w:rFonts w:hint="eastAsia" w:ascii="黑体" w:eastAsia="黑体" w:cs="Arial"/>
          <w:b w:val="0"/>
          <w:bCs w:val="0"/>
        </w:rPr>
        <w:t>三、支</w:t>
      </w:r>
      <w:r>
        <w:rPr>
          <w:rStyle w:val="18"/>
          <w:rFonts w:hint="eastAsia" w:ascii="黑体" w:eastAsia="黑体"/>
          <w:b w:val="0"/>
          <w:bCs w:val="0"/>
        </w:rPr>
        <w:t>出决算情况说明</w:t>
      </w:r>
      <w:bookmarkEnd w:id="12"/>
      <w:bookmarkEnd w:id="13"/>
    </w:p>
    <w:p>
      <w:pPr>
        <w:spacing w:after="0" w:line="560" w:lineRule="exact"/>
        <w:ind w:firstLine="640" w:firstLineChars="200"/>
        <w:jc w:val="both"/>
        <w:outlineLvl w:val="1"/>
        <w:rPr>
          <w:rFonts w:ascii="仿宋_GB2312" w:eastAsia="仿宋_GB2312" w:cs="仿宋"/>
          <w:color w:val="000000"/>
          <w:sz w:val="32"/>
          <w:szCs w:val="32"/>
        </w:rPr>
      </w:pPr>
      <w:r>
        <w:rPr>
          <w:rFonts w:hint="eastAsia" w:ascii="仿宋_GB2312" w:eastAsia="仿宋_GB2312"/>
          <w:sz w:val="32"/>
          <w:szCs w:val="32"/>
        </w:rPr>
        <w:t>2020年总支出394.13万元,其中：</w:t>
      </w:r>
      <w:r>
        <w:rPr>
          <w:rFonts w:hint="eastAsia" w:ascii="仿宋_GB2312" w:eastAsia="仿宋_GB2312" w:cs="仿宋"/>
          <w:color w:val="000000"/>
          <w:sz w:val="32"/>
          <w:szCs w:val="32"/>
        </w:rPr>
        <w:t>基本支出179.64万元，占45.58%；项目支出214.49万元，占54.42%。</w:t>
      </w:r>
    </w:p>
    <w:p>
      <w:pPr>
        <w:spacing w:after="0" w:line="560" w:lineRule="exact"/>
        <w:ind w:firstLine="640" w:firstLineChars="200"/>
        <w:jc w:val="both"/>
        <w:outlineLvl w:val="1"/>
        <w:rPr>
          <w:rFonts w:ascii="仿宋" w:eastAsia="仿宋"/>
          <w:color w:val="000000"/>
          <w:sz w:val="32"/>
          <w:szCs w:val="32"/>
        </w:rPr>
      </w:pPr>
      <w:r>
        <w:rPr>
          <w:rFonts w:ascii="仿宋" w:eastAsia="仿宋"/>
          <w:color w:val="000000"/>
          <w:sz w:val="32"/>
          <w:szCs w:val="32"/>
        </w:rPr>
        <w:pict>
          <v:shape id="_x0000_s1031" o:spid="_x0000_s1031" o:spt="75" type="#_x0000_t75" style="position:absolute;left:0pt;margin-left:5.95pt;margin-top:5.25pt;height:186pt;width:318.15pt;mso-wrap-distance-bottom:0pt;mso-wrap-distance-left:9pt;mso-wrap-distance-right:9pt;mso-wrap-distance-top:0pt;z-index:251659264;mso-width-relative:page;mso-height-relative:page;" filled="f" o:preferrelative="t" stroked="t" coordsize="21600,21600">
            <v:path/>
            <v:fill on="f" focussize="0,0"/>
            <v:stroke joinstyle="miter"/>
            <v:imagedata r:id="rId10" o:title=""/>
            <o:lock v:ext="edit" aspectratio="t"/>
            <w10:wrap type="square"/>
          </v:shape>
        </w:pict>
      </w: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ind w:firstLine="480" w:firstLineChars="150"/>
        <w:jc w:val="both"/>
        <w:rPr>
          <w:rFonts w:ascii="仿宋_GB2312" w:eastAsia="仿宋_GB2312"/>
          <w:sz w:val="32"/>
          <w:szCs w:val="32"/>
        </w:rPr>
      </w:pPr>
      <w:r>
        <w:rPr>
          <w:rFonts w:hint="eastAsia" w:ascii="仿宋_GB2312" w:eastAsia="仿宋_GB2312"/>
          <w:sz w:val="32"/>
          <w:szCs w:val="32"/>
        </w:rPr>
        <w:t>（图4：支出决算结构图）</w:t>
      </w:r>
    </w:p>
    <w:p>
      <w:pPr>
        <w:pStyle w:val="22"/>
        <w:spacing w:line="560" w:lineRule="exact"/>
        <w:ind w:firstLine="640" w:firstLineChars="200"/>
        <w:jc w:val="both"/>
        <w:rPr>
          <w:rFonts w:ascii="黑体" w:eastAsia="黑体"/>
          <w:sz w:val="32"/>
          <w:szCs w:val="32"/>
        </w:rPr>
      </w:pPr>
      <w:r>
        <w:rPr>
          <w:rFonts w:hint="eastAsia" w:ascii="黑体" w:eastAsia="黑体"/>
          <w:sz w:val="32"/>
          <w:szCs w:val="32"/>
        </w:rPr>
        <w:t>四、财政拨款收入支出决算总体情况说明</w:t>
      </w:r>
    </w:p>
    <w:p>
      <w:pPr>
        <w:pStyle w:val="22"/>
        <w:spacing w:line="560" w:lineRule="exact"/>
        <w:ind w:firstLine="643" w:firstLineChars="200"/>
        <w:jc w:val="both"/>
        <w:rPr>
          <w:rFonts w:ascii="楷体_GB2312" w:eastAsia="楷体_GB2312"/>
          <w:b/>
          <w:sz w:val="32"/>
          <w:szCs w:val="32"/>
        </w:rPr>
      </w:pPr>
      <w:r>
        <w:rPr>
          <w:rFonts w:hint="eastAsia" w:ascii="楷体_GB2312" w:eastAsia="楷体_GB2312"/>
          <w:b/>
          <w:sz w:val="32"/>
          <w:szCs w:val="32"/>
        </w:rPr>
        <w:t>(一)财政拨款收入情况</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2020年度资金总收入877.14万元（本年财政拨款863.68万元，年初结转结余13.46万元），2019年度部门资金总收入275.46万元，同比增长218.42%。变动原因：一是州委网信办是2019年新增单位，2019年5月独立核算；二是2020年我办新增工作业务及人员增加。</w:t>
      </w: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r>
        <w:rPr>
          <w:rFonts w:ascii="仿宋_GB2312" w:eastAsia="仿宋_GB2312"/>
          <w:sz w:val="32"/>
          <w:szCs w:val="32"/>
        </w:rPr>
        <w:pict>
          <v:shape id="_x0000_s1030" o:spid="_x0000_s1030" o:spt="75" type="#_x0000_t75" style="position:absolute;left:0pt;margin-left:11.1pt;margin-top:15.3pt;height:179.35pt;width:353.35pt;mso-wrap-distance-bottom:0pt;mso-wrap-distance-left:9pt;mso-wrap-distance-right:9pt;mso-wrap-distance-top:0pt;z-index:251659264;mso-width-relative:page;mso-height-relative:page;" filled="f" o:preferrelative="t" stroked="t" coordsize="21600,21600">
            <v:path/>
            <v:fill on="f" focussize="0,0"/>
            <v:stroke joinstyle="miter"/>
            <v:imagedata r:id="rId11" o:title=""/>
            <o:lock v:ext="edit" aspectratio="t"/>
            <w10:wrap type="square"/>
          </v:shape>
        </w:pict>
      </w: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ind w:firstLine="640" w:firstLineChars="200"/>
        <w:jc w:val="both"/>
        <w:rPr>
          <w:rFonts w:ascii="仿宋_GB2312" w:eastAsia="仿宋_GB2312"/>
          <w:sz w:val="32"/>
          <w:szCs w:val="32"/>
        </w:rPr>
      </w:pPr>
    </w:p>
    <w:p>
      <w:pPr>
        <w:pStyle w:val="22"/>
        <w:spacing w:line="560" w:lineRule="exact"/>
        <w:jc w:val="both"/>
        <w:rPr>
          <w:rFonts w:ascii="仿宋_GB2312" w:eastAsia="仿宋_GB2312"/>
          <w:sz w:val="32"/>
          <w:szCs w:val="32"/>
        </w:rPr>
      </w:pPr>
    </w:p>
    <w:p>
      <w:pPr>
        <w:pStyle w:val="22"/>
        <w:spacing w:line="560" w:lineRule="exact"/>
        <w:ind w:firstLine="480" w:firstLineChars="150"/>
        <w:jc w:val="both"/>
        <w:rPr>
          <w:rFonts w:ascii="仿宋_GB2312" w:eastAsia="仿宋_GB2312"/>
          <w:sz w:val="32"/>
          <w:szCs w:val="32"/>
        </w:rPr>
      </w:pPr>
    </w:p>
    <w:p>
      <w:pPr>
        <w:pStyle w:val="22"/>
        <w:spacing w:line="560" w:lineRule="exact"/>
        <w:ind w:firstLine="480" w:firstLineChars="150"/>
        <w:jc w:val="both"/>
        <w:rPr>
          <w:rFonts w:ascii="仿宋_GB2312" w:eastAsia="仿宋_GB2312"/>
          <w:sz w:val="32"/>
          <w:szCs w:val="32"/>
        </w:rPr>
      </w:pPr>
      <w:r>
        <w:rPr>
          <w:rFonts w:hint="eastAsia" w:ascii="仿宋_GB2312" w:eastAsia="仿宋_GB2312"/>
          <w:sz w:val="32"/>
          <w:szCs w:val="32"/>
        </w:rPr>
        <w:t>（图5：财政拨款收入情况图）</w:t>
      </w:r>
    </w:p>
    <w:p>
      <w:pPr>
        <w:pStyle w:val="22"/>
        <w:spacing w:line="560" w:lineRule="exact"/>
        <w:ind w:firstLine="482" w:firstLineChars="150"/>
        <w:jc w:val="both"/>
        <w:rPr>
          <w:rFonts w:ascii="楷体_GB2312" w:eastAsia="楷体_GB2312"/>
          <w:b/>
          <w:sz w:val="32"/>
          <w:szCs w:val="32"/>
        </w:rPr>
      </w:pPr>
      <w:r>
        <w:rPr>
          <w:rFonts w:hint="eastAsia" w:ascii="楷体_GB2312" w:eastAsia="楷体_GB2312"/>
          <w:b/>
          <w:sz w:val="32"/>
          <w:szCs w:val="32"/>
        </w:rPr>
        <w:t>（二）财政拨款支出情况</w:t>
      </w:r>
    </w:p>
    <w:p>
      <w:pPr>
        <w:pStyle w:val="22"/>
        <w:spacing w:line="560" w:lineRule="exact"/>
        <w:ind w:firstLine="480" w:firstLineChars="150"/>
        <w:jc w:val="both"/>
        <w:rPr>
          <w:rFonts w:ascii="黑体" w:eastAsia="黑体"/>
          <w:sz w:val="32"/>
          <w:szCs w:val="32"/>
        </w:rPr>
      </w:pPr>
      <w:r>
        <w:rPr>
          <w:rFonts w:hint="eastAsia" w:ascii="仿宋_GB2312" w:eastAsia="仿宋_GB2312"/>
          <w:sz w:val="32"/>
          <w:szCs w:val="32"/>
        </w:rPr>
        <w:t>2020年总支出394.13万元，2019年总支出275.46万元，同比增长43.08%。</w:t>
      </w:r>
    </w:p>
    <w:p>
      <w:pPr>
        <w:pStyle w:val="22"/>
        <w:spacing w:line="560" w:lineRule="exact"/>
        <w:ind w:firstLine="640" w:firstLineChars="200"/>
        <w:jc w:val="both"/>
        <w:rPr>
          <w:rFonts w:ascii="黑体" w:eastAsia="黑体"/>
          <w:sz w:val="32"/>
          <w:szCs w:val="32"/>
        </w:rPr>
      </w:pPr>
      <w:r>
        <w:rPr>
          <w:rFonts w:ascii="黑体" w:eastAsia="黑体"/>
          <w:sz w:val="32"/>
          <w:szCs w:val="32"/>
        </w:rPr>
        <w:pict>
          <v:shape id="_x0000_s1029" o:spid="_x0000_s1029" o:spt="75" type="#_x0000_t75" style="position:absolute;left:0pt;margin-left:16.3pt;margin-top:12.4pt;height:199.3pt;width:348.15pt;mso-wrap-distance-bottom:0pt;mso-wrap-distance-left:9pt;mso-wrap-distance-right:9pt;mso-wrap-distance-top:0pt;z-index:251659264;mso-width-relative:page;mso-height-relative:page;" filled="f" o:preferrelative="t" stroked="t" coordsize="21600,21600">
            <v:path/>
            <v:fill on="f" focussize="0,0"/>
            <v:stroke joinstyle="miter"/>
            <v:imagedata r:id="rId12" o:title=""/>
            <o:lock v:ext="edit" aspectratio="t"/>
            <w10:wrap type="square"/>
          </v:shape>
        </w:pict>
      </w:r>
    </w:p>
    <w:p>
      <w:pPr>
        <w:pStyle w:val="22"/>
        <w:spacing w:line="560" w:lineRule="exact"/>
        <w:ind w:firstLine="640" w:firstLineChars="200"/>
        <w:jc w:val="both"/>
        <w:rPr>
          <w:rFonts w:ascii="黑体" w:eastAsia="黑体"/>
          <w:sz w:val="32"/>
          <w:szCs w:val="32"/>
        </w:rPr>
      </w:pPr>
    </w:p>
    <w:p>
      <w:pPr>
        <w:pStyle w:val="22"/>
        <w:spacing w:line="560" w:lineRule="exact"/>
        <w:ind w:firstLine="640" w:firstLineChars="200"/>
        <w:jc w:val="both"/>
        <w:rPr>
          <w:rFonts w:ascii="黑体" w:eastAsia="黑体"/>
          <w:sz w:val="32"/>
          <w:szCs w:val="32"/>
        </w:rPr>
      </w:pPr>
    </w:p>
    <w:p>
      <w:pPr>
        <w:pStyle w:val="22"/>
        <w:spacing w:line="560" w:lineRule="exact"/>
        <w:jc w:val="both"/>
        <w:rPr>
          <w:rFonts w:ascii="黑体" w:eastAsia="黑体"/>
          <w:sz w:val="32"/>
          <w:szCs w:val="32"/>
        </w:rPr>
      </w:pPr>
    </w:p>
    <w:p>
      <w:pPr>
        <w:pStyle w:val="22"/>
        <w:spacing w:line="560" w:lineRule="exact"/>
        <w:ind w:firstLine="640" w:firstLineChars="200"/>
        <w:jc w:val="both"/>
        <w:rPr>
          <w:rFonts w:ascii="黑体" w:eastAsia="黑体"/>
          <w:sz w:val="32"/>
          <w:szCs w:val="32"/>
        </w:rPr>
      </w:pPr>
    </w:p>
    <w:p>
      <w:pPr>
        <w:pStyle w:val="22"/>
        <w:spacing w:line="560" w:lineRule="exact"/>
        <w:ind w:firstLine="640" w:firstLineChars="200"/>
        <w:jc w:val="both"/>
        <w:rPr>
          <w:rFonts w:ascii="黑体" w:eastAsia="黑体"/>
          <w:sz w:val="32"/>
          <w:szCs w:val="32"/>
        </w:rPr>
      </w:pPr>
    </w:p>
    <w:p>
      <w:pPr>
        <w:pStyle w:val="22"/>
        <w:spacing w:line="560" w:lineRule="exact"/>
        <w:jc w:val="both"/>
        <w:rPr>
          <w:rFonts w:ascii="黑体" w:eastAsia="黑体"/>
          <w:sz w:val="32"/>
          <w:szCs w:val="32"/>
        </w:rPr>
      </w:pPr>
    </w:p>
    <w:p>
      <w:pPr>
        <w:pStyle w:val="22"/>
        <w:spacing w:line="560" w:lineRule="exact"/>
        <w:jc w:val="both"/>
        <w:rPr>
          <w:rFonts w:ascii="黑体" w:eastAsia="黑体"/>
          <w:sz w:val="32"/>
          <w:szCs w:val="32"/>
        </w:rPr>
      </w:pPr>
    </w:p>
    <w:p>
      <w:pPr>
        <w:pStyle w:val="22"/>
        <w:spacing w:line="560" w:lineRule="exact"/>
        <w:ind w:firstLine="320" w:firstLineChars="100"/>
        <w:jc w:val="both"/>
        <w:rPr>
          <w:rFonts w:ascii="仿宋_GB2312" w:eastAsia="仿宋_GB2312" w:cs="Arial"/>
          <w:sz w:val="32"/>
          <w:szCs w:val="32"/>
        </w:rPr>
      </w:pPr>
      <w:r>
        <w:rPr>
          <w:rFonts w:hint="eastAsia" w:ascii="仿宋_GB2312" w:eastAsia="仿宋_GB2312" w:cs="Arial"/>
          <w:sz w:val="32"/>
          <w:szCs w:val="32"/>
        </w:rPr>
        <w:t>（图6：财政拨款支出情况图）</w:t>
      </w:r>
    </w:p>
    <w:p>
      <w:pPr>
        <w:pStyle w:val="22"/>
        <w:spacing w:line="560" w:lineRule="exact"/>
        <w:ind w:firstLine="640" w:firstLineChars="200"/>
        <w:jc w:val="both"/>
        <w:rPr>
          <w:rFonts w:ascii="黑体" w:eastAsia="黑体"/>
          <w:sz w:val="32"/>
          <w:szCs w:val="32"/>
        </w:rPr>
      </w:pPr>
      <w:r>
        <w:rPr>
          <w:rFonts w:hint="eastAsia" w:ascii="黑体" w:eastAsia="黑体"/>
          <w:sz w:val="32"/>
          <w:szCs w:val="32"/>
        </w:rPr>
        <w:t>五、一般公共预算财政拨款支出决算情况说明</w:t>
      </w:r>
    </w:p>
    <w:p>
      <w:pPr>
        <w:spacing w:after="0" w:line="560" w:lineRule="exact"/>
        <w:ind w:firstLine="475" w:firstLineChars="148"/>
        <w:jc w:val="both"/>
        <w:outlineLvl w:val="2"/>
        <w:rPr>
          <w:rFonts w:ascii="楷体_GB2312" w:eastAsia="楷体_GB2312"/>
          <w:b/>
          <w:color w:val="000000"/>
          <w:sz w:val="32"/>
          <w:szCs w:val="32"/>
        </w:rPr>
      </w:pPr>
      <w:r>
        <w:rPr>
          <w:rFonts w:hint="eastAsia" w:ascii="楷体_GB2312" w:eastAsia="楷体_GB2312"/>
          <w:b/>
          <w:color w:val="000000"/>
          <w:sz w:val="32"/>
          <w:szCs w:val="32"/>
        </w:rPr>
        <w:t>（一）一般公共预算财政拨款支出决算总体情况</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2020年一般公共预算财政拨款支出394.13万元，2019年一般公共预算财政拨款支出275.46万元，同比增长43.08%</w:t>
      </w:r>
      <w:r>
        <w:rPr>
          <w:rFonts w:ascii="仿宋_GB2312" w:eastAsia="仿宋_GB2312"/>
          <w:sz w:val="32"/>
          <w:szCs w:val="32"/>
        </w:rPr>
        <w:t>，</w:t>
      </w:r>
      <w:r>
        <w:rPr>
          <w:rFonts w:hint="eastAsia" w:ascii="仿宋_GB2312" w:eastAsia="仿宋_GB2312"/>
          <w:sz w:val="32"/>
          <w:szCs w:val="32"/>
        </w:rPr>
        <w:t>占本年支出合计的100%。</w:t>
      </w:r>
    </w:p>
    <w:p>
      <w:pPr>
        <w:pStyle w:val="22"/>
        <w:spacing w:line="560" w:lineRule="exact"/>
        <w:ind w:firstLine="640" w:firstLineChars="200"/>
        <w:jc w:val="both"/>
        <w:rPr>
          <w:rFonts w:ascii="仿宋_GB2312" w:eastAsia="仿宋_GB2312"/>
          <w:sz w:val="32"/>
          <w:szCs w:val="32"/>
        </w:rPr>
      </w:pPr>
      <w:r>
        <w:rPr>
          <w:rFonts w:ascii="仿宋_GB2312" w:eastAsia="仿宋_GB2312"/>
          <w:sz w:val="32"/>
          <w:szCs w:val="32"/>
        </w:rPr>
        <w:pict>
          <v:shape id="_x0000_s1028" o:spid="_x0000_s1028" o:spt="75" type="#_x0000_t75" style="position:absolute;left:0pt;margin-left:1.35pt;margin-top:17.8pt;height:195.3pt;width:360.9pt;mso-wrap-distance-bottom:0pt;mso-wrap-distance-left:9pt;mso-wrap-distance-right:9pt;mso-wrap-distance-top:0pt;z-index:251659264;mso-width-relative:page;mso-height-relative:page;" filled="f" o:preferrelative="t" stroked="t" coordsize="21600,21600">
            <v:path/>
            <v:fill on="f" focussize="0,0"/>
            <v:stroke joinstyle="miter"/>
            <v:imagedata r:id="rId13" o:title=""/>
            <o:lock v:ext="edit" aspectratio="t"/>
            <w10:wrap type="square"/>
          </v:shape>
        </w:pict>
      </w: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_GB2312" w:eastAsia="仿宋_GB2312"/>
          <w:color w:val="000000"/>
          <w:sz w:val="32"/>
          <w:szCs w:val="32"/>
        </w:rPr>
      </w:pPr>
    </w:p>
    <w:p>
      <w:pPr>
        <w:spacing w:after="0" w:line="560" w:lineRule="exact"/>
        <w:jc w:val="both"/>
        <w:outlineLvl w:val="2"/>
        <w:rPr>
          <w:rFonts w:ascii="仿宋" w:eastAsia="仿宋"/>
          <w:b/>
          <w:color w:val="000000"/>
          <w:sz w:val="32"/>
          <w:szCs w:val="32"/>
        </w:rPr>
      </w:pPr>
    </w:p>
    <w:p>
      <w:pPr>
        <w:spacing w:after="0" w:line="560" w:lineRule="exact"/>
        <w:ind w:firstLine="467" w:firstLineChars="146"/>
        <w:jc w:val="both"/>
        <w:outlineLvl w:val="2"/>
        <w:rPr>
          <w:rFonts w:ascii="仿宋_GB2312" w:eastAsia="仿宋_GB2312"/>
          <w:color w:val="000000"/>
          <w:sz w:val="32"/>
          <w:szCs w:val="32"/>
        </w:rPr>
      </w:pPr>
    </w:p>
    <w:p>
      <w:pPr>
        <w:spacing w:after="0" w:line="560" w:lineRule="exact"/>
        <w:ind w:firstLine="467" w:firstLineChars="146"/>
        <w:jc w:val="both"/>
        <w:outlineLvl w:val="2"/>
        <w:rPr>
          <w:rFonts w:ascii="仿宋_GB2312" w:eastAsia="仿宋_GB2312"/>
          <w:color w:val="000000"/>
          <w:sz w:val="32"/>
          <w:szCs w:val="32"/>
        </w:rPr>
      </w:pPr>
    </w:p>
    <w:p>
      <w:pPr>
        <w:spacing w:after="0" w:line="560" w:lineRule="exact"/>
        <w:ind w:firstLine="467" w:firstLineChars="146"/>
        <w:jc w:val="both"/>
        <w:outlineLvl w:val="2"/>
        <w:rPr>
          <w:rFonts w:ascii="仿宋_GB2312" w:eastAsia="仿宋_GB2312"/>
          <w:color w:val="000000"/>
          <w:sz w:val="32"/>
          <w:szCs w:val="32"/>
        </w:rPr>
      </w:pPr>
    </w:p>
    <w:p>
      <w:pPr>
        <w:spacing w:after="0" w:line="560" w:lineRule="exact"/>
        <w:ind w:firstLine="467" w:firstLineChars="146"/>
        <w:jc w:val="both"/>
        <w:outlineLvl w:val="2"/>
        <w:rPr>
          <w:rFonts w:ascii="仿宋_GB2312" w:eastAsia="仿宋_GB2312"/>
          <w:color w:val="000000"/>
          <w:sz w:val="32"/>
          <w:szCs w:val="32"/>
        </w:rPr>
      </w:pPr>
      <w:r>
        <w:rPr>
          <w:rFonts w:hint="eastAsia" w:ascii="仿宋_GB2312" w:eastAsia="仿宋_GB2312"/>
          <w:color w:val="000000"/>
          <w:sz w:val="32"/>
          <w:szCs w:val="32"/>
        </w:rPr>
        <w:t>（图7：一般公共财政拨款支出情况图）</w:t>
      </w:r>
    </w:p>
    <w:p>
      <w:pPr>
        <w:spacing w:after="0" w:line="560" w:lineRule="exact"/>
        <w:ind w:firstLine="469" w:firstLineChars="146"/>
        <w:jc w:val="both"/>
        <w:outlineLvl w:val="2"/>
        <w:rPr>
          <w:rFonts w:ascii="楷体_GB2312" w:eastAsia="楷体_GB2312"/>
          <w:b/>
          <w:color w:val="000000"/>
          <w:sz w:val="32"/>
          <w:szCs w:val="32"/>
        </w:rPr>
      </w:pPr>
      <w:r>
        <w:rPr>
          <w:rFonts w:hint="eastAsia" w:ascii="楷体_GB2312" w:eastAsia="楷体_GB2312"/>
          <w:b/>
          <w:color w:val="000000"/>
          <w:sz w:val="32"/>
          <w:szCs w:val="32"/>
        </w:rPr>
        <w:t>（二）一般公共预算财政拨款支出决算结构情况</w:t>
      </w:r>
    </w:p>
    <w:p>
      <w:pPr>
        <w:spacing w:after="0" w:line="560" w:lineRule="exact"/>
        <w:ind w:firstLine="640"/>
        <w:jc w:val="both"/>
        <w:rPr>
          <w:rFonts w:ascii="仿宋_GB2312" w:eastAsia="仿宋_GB2312"/>
          <w:color w:val="000000"/>
          <w:sz w:val="32"/>
          <w:szCs w:val="32"/>
        </w:rPr>
      </w:pPr>
      <w:r>
        <w:rPr>
          <w:rFonts w:hint="eastAsia" w:ascii="仿宋" w:eastAsia="仿宋"/>
          <w:color w:val="000000"/>
          <w:sz w:val="32"/>
          <w:szCs w:val="32"/>
        </w:rPr>
        <w:t>2020年一般公共预算财政拨款</w:t>
      </w:r>
      <w:r>
        <w:rPr>
          <w:rFonts w:ascii="仿宋" w:eastAsia="仿宋"/>
          <w:color w:val="000000"/>
          <w:sz w:val="32"/>
          <w:szCs w:val="32"/>
        </w:rPr>
        <w:t>支出</w:t>
      </w:r>
      <w:r>
        <w:rPr>
          <w:rFonts w:hint="eastAsia" w:ascii="仿宋" w:eastAsia="仿宋"/>
          <w:color w:val="000000"/>
          <w:sz w:val="32"/>
          <w:szCs w:val="32"/>
        </w:rPr>
        <w:t>394.13万元</w:t>
      </w:r>
      <w:r>
        <w:rPr>
          <w:rFonts w:hint="eastAsia" w:ascii="仿宋_GB2312" w:eastAsia="仿宋_GB2312"/>
          <w:color w:val="000000"/>
          <w:sz w:val="32"/>
          <w:szCs w:val="32"/>
        </w:rPr>
        <w:t>。</w:t>
      </w:r>
    </w:p>
    <w:p>
      <w:pPr>
        <w:spacing w:after="0" w:line="560" w:lineRule="exact"/>
        <w:ind w:firstLine="640"/>
        <w:jc w:val="both"/>
        <w:rPr>
          <w:rFonts w:ascii="仿宋" w:eastAsia="仿宋"/>
          <w:color w:val="000000"/>
          <w:sz w:val="32"/>
          <w:szCs w:val="32"/>
        </w:rPr>
      </w:pP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color w:val="000000"/>
          <w:sz w:val="32"/>
          <w:szCs w:val="32"/>
        </w:rPr>
        <w:t xml:space="preserve"> 201一般公共服务（类）支出 353.78万元，占94.25%；208社会保障和就业（类）18.93万元，占2.79%；210卫生健康（类）支出8.1万元，占0.97%；221住房保障（类）支出13.32万元，占1.99%。</w:t>
      </w:r>
    </w:p>
    <w:p>
      <w:pPr>
        <w:spacing w:after="0" w:line="560" w:lineRule="exact"/>
        <w:ind w:firstLine="640"/>
        <w:jc w:val="both"/>
        <w:rPr>
          <w:rFonts w:ascii="仿宋" w:eastAsia="仿宋"/>
          <w:color w:val="000000"/>
          <w:sz w:val="32"/>
          <w:szCs w:val="32"/>
        </w:rPr>
      </w:pPr>
      <w:r>
        <w:rPr>
          <w:rFonts w:ascii="仿宋" w:eastAsia="仿宋"/>
          <w:color w:val="000000"/>
          <w:sz w:val="32"/>
          <w:szCs w:val="32"/>
        </w:rPr>
        <w:pict>
          <v:shape id="_x0000_s1027" o:spid="_x0000_s1027" o:spt="75" type="#_x0000_t75" style="position:absolute;left:0pt;margin-left:6.5pt;margin-top:17.8pt;height:168.65pt;width:301.4pt;mso-wrap-distance-bottom:0pt;mso-wrap-distance-left:9pt;mso-wrap-distance-right:9pt;mso-wrap-distance-top:0pt;z-index:251659264;mso-width-relative:page;mso-height-relative:page;" filled="f" o:preferrelative="t" stroked="t" coordsize="21600,21600">
            <v:path/>
            <v:fill on="f" focussize="0,0"/>
            <v:stroke joinstyle="miter"/>
            <v:imagedata r:id="rId14" o:title=""/>
            <o:lock v:ext="edit" aspectratio="t"/>
            <w10:wrap type="square"/>
          </v:shape>
        </w:pict>
      </w:r>
    </w:p>
    <w:p>
      <w:pPr>
        <w:spacing w:after="0" w:line="560" w:lineRule="exact"/>
        <w:ind w:firstLine="640"/>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ind w:firstLine="640"/>
        <w:jc w:val="both"/>
        <w:rPr>
          <w:rFonts w:ascii="仿宋" w:eastAsia="仿宋"/>
          <w:color w:val="000000"/>
          <w:sz w:val="32"/>
          <w:szCs w:val="32"/>
        </w:rPr>
      </w:pPr>
    </w:p>
    <w:p>
      <w:pPr>
        <w:spacing w:after="0" w:line="560" w:lineRule="exact"/>
        <w:jc w:val="both"/>
      </w:pPr>
    </w:p>
    <w:p>
      <w:pPr>
        <w:spacing w:after="0" w:line="560" w:lineRule="exact"/>
        <w:ind w:firstLine="640" w:firstLineChars="200"/>
        <w:jc w:val="both"/>
        <w:rPr>
          <w:rFonts w:ascii="仿宋" w:eastAsia="仿宋"/>
          <w:color w:val="000000"/>
          <w:sz w:val="32"/>
          <w:szCs w:val="32"/>
        </w:rPr>
      </w:pPr>
    </w:p>
    <w:p>
      <w:pPr>
        <w:spacing w:after="0" w:line="560" w:lineRule="exact"/>
        <w:ind w:firstLine="640" w:firstLineChars="200"/>
        <w:jc w:val="both"/>
        <w:rPr>
          <w:rFonts w:ascii="仿宋" w:eastAsia="仿宋"/>
          <w:color w:val="000000"/>
          <w:sz w:val="32"/>
          <w:szCs w:val="32"/>
        </w:rPr>
      </w:pPr>
    </w:p>
    <w:p>
      <w:pPr>
        <w:spacing w:after="0" w:line="560" w:lineRule="exact"/>
        <w:ind w:firstLine="800" w:firstLineChars="250"/>
        <w:jc w:val="both"/>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图8：一般公共预算财政拨款支出决算结构情况图</w:t>
      </w:r>
      <w:r>
        <w:rPr>
          <w:rFonts w:ascii="仿宋" w:eastAsia="仿宋"/>
          <w:color w:val="000000"/>
          <w:sz w:val="32"/>
          <w:szCs w:val="32"/>
        </w:rPr>
        <w:t>)</w:t>
      </w:r>
    </w:p>
    <w:p>
      <w:pPr>
        <w:spacing w:after="0" w:line="560" w:lineRule="exact"/>
        <w:ind w:firstLine="643" w:firstLineChars="200"/>
        <w:jc w:val="both"/>
        <w:outlineLvl w:val="2"/>
        <w:rPr>
          <w:rFonts w:ascii="楷体_GB2312" w:eastAsia="楷体_GB2312"/>
          <w:b/>
          <w:color w:val="000000"/>
          <w:sz w:val="32"/>
          <w:szCs w:val="32"/>
        </w:rPr>
      </w:pPr>
      <w:r>
        <w:rPr>
          <w:rFonts w:hint="eastAsia" w:ascii="楷体_GB2312" w:eastAsia="楷体_GB2312"/>
          <w:b/>
          <w:color w:val="000000"/>
          <w:sz w:val="32"/>
          <w:szCs w:val="32"/>
        </w:rPr>
        <w:t>（三）一般公共预算财政拨款支出决算具体情况</w:t>
      </w:r>
    </w:p>
    <w:p>
      <w:pPr>
        <w:spacing w:after="0" w:line="560" w:lineRule="exact"/>
        <w:ind w:firstLine="640" w:firstLineChars="200"/>
        <w:jc w:val="both"/>
        <w:outlineLvl w:val="2"/>
        <w:rPr>
          <w:rFonts w:ascii="仿宋" w:eastAsia="仿宋"/>
          <w:color w:val="000000"/>
          <w:sz w:val="32"/>
          <w:szCs w:val="32"/>
        </w:rPr>
      </w:pPr>
      <w:r>
        <w:rPr>
          <w:rFonts w:hint="eastAsia" w:ascii="仿宋" w:eastAsia="仿宋"/>
          <w:color w:val="000000"/>
          <w:sz w:val="32"/>
          <w:szCs w:val="32"/>
        </w:rPr>
        <w:t>2020年一般公共预算支出决算数为394.13万元，</w:t>
      </w:r>
      <w:r>
        <w:rPr>
          <w:rStyle w:val="15"/>
          <w:rFonts w:hint="eastAsia" w:ascii="仿宋" w:eastAsia="仿宋"/>
          <w:b w:val="0"/>
          <w:color w:val="000000"/>
          <w:sz w:val="32"/>
          <w:szCs w:val="32"/>
        </w:rPr>
        <w:t>完成预算100</w:t>
      </w:r>
      <w:r>
        <w:rPr>
          <w:rStyle w:val="15"/>
          <w:rFonts w:ascii="仿宋" w:eastAsia="仿宋"/>
          <w:b w:val="0"/>
          <w:color w:val="000000"/>
          <w:sz w:val="32"/>
          <w:szCs w:val="32"/>
        </w:rPr>
        <w:t>%</w:t>
      </w:r>
      <w:r>
        <w:rPr>
          <w:rStyle w:val="15"/>
          <w:rFonts w:hint="eastAsia" w:ascii="仿宋" w:eastAsia="仿宋"/>
          <w:b w:val="0"/>
          <w:color w:val="000000"/>
          <w:sz w:val="32"/>
          <w:szCs w:val="32"/>
        </w:rPr>
        <w:t>。其中：</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1.2013701-行政运行支出139.29万元，完成预算100%；</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2.2013702-一般行政管理事务214.49万元，完成预算100%；</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3.2080505-机关事业单位基本养老保险缴费支出12.62万元，完成预算100%；</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4.2080506-机关事业单位职业年金缴费支出6.31万元，完成预算100%；</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5.2101101-行政医疗支出6.72万元，完成预算100%；</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6.2101103-公务员医疗补助1.38万元，完成预算100%；</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7.2210201-住房公积金支出13.32万元，完成预算100%。</w:t>
      </w:r>
    </w:p>
    <w:p>
      <w:pPr>
        <w:pStyle w:val="22"/>
        <w:spacing w:line="560" w:lineRule="exact"/>
        <w:ind w:firstLine="640" w:firstLineChars="200"/>
        <w:jc w:val="both"/>
        <w:rPr>
          <w:rFonts w:ascii="黑体" w:eastAsia="黑体"/>
          <w:sz w:val="32"/>
          <w:szCs w:val="32"/>
        </w:rPr>
      </w:pPr>
      <w:r>
        <w:rPr>
          <w:rFonts w:hint="eastAsia" w:ascii="黑体" w:eastAsia="黑体"/>
          <w:sz w:val="32"/>
          <w:szCs w:val="32"/>
        </w:rPr>
        <w:t>六、一般公共预算财政拨款基本支出决算情况说明</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2020年一般公共预算财政拨款基本支出179.64万元。</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人员经费157.33万元，其中：基本工资38.07万元，津贴补贴60.88万元，伙食补助2.76万元，机关事业单位养老保险缴费12.62万元，职业年金缴费6.31万元，职工基本医疗保险缴费6.72万元，公务员医疗补助缴费１.３８万元，其他社会保险缴费1.07万元，医疗费0.72万元，住房公积金13.32万元，其他工作和福利13.48万元。</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日常公用经费22.31万元，其中：办公费4.12万元，水费0.12万元，电费0.17万元，邮电费1.19万元，差旅费6.15万元，培训费0.17万元，会议费0.36万元，公务接待费0.12万元，公务公车运行维护费9.91万元。</w:t>
      </w:r>
    </w:p>
    <w:p>
      <w:pPr>
        <w:pStyle w:val="22"/>
        <w:spacing w:line="560" w:lineRule="exact"/>
        <w:ind w:firstLine="640" w:firstLineChars="200"/>
        <w:jc w:val="both"/>
        <w:rPr>
          <w:rFonts w:ascii="黑体" w:eastAsia="黑体"/>
          <w:sz w:val="32"/>
          <w:szCs w:val="32"/>
        </w:rPr>
      </w:pPr>
      <w:r>
        <w:rPr>
          <w:rFonts w:hint="eastAsia" w:ascii="黑体" w:eastAsia="黑体"/>
          <w:sz w:val="32"/>
          <w:szCs w:val="32"/>
        </w:rPr>
        <w:t>七、</w:t>
      </w:r>
      <w:r>
        <w:rPr>
          <w:rFonts w:ascii="黑体" w:eastAsia="黑体"/>
          <w:sz w:val="32"/>
          <w:szCs w:val="32"/>
        </w:rPr>
        <w:t>“</w:t>
      </w:r>
      <w:r>
        <w:rPr>
          <w:rFonts w:hint="eastAsia" w:ascii="黑体" w:eastAsia="黑体"/>
          <w:sz w:val="32"/>
          <w:szCs w:val="32"/>
        </w:rPr>
        <w:t>三公”经费财政拨款支出决算情况说明</w:t>
      </w:r>
    </w:p>
    <w:p>
      <w:pPr>
        <w:spacing w:after="0" w:line="560" w:lineRule="exact"/>
        <w:ind w:firstLine="640"/>
        <w:jc w:val="both"/>
        <w:outlineLvl w:val="2"/>
        <w:rPr>
          <w:rFonts w:ascii="楷体_GB2312" w:eastAsia="楷体_GB2312"/>
          <w:b/>
          <w:color w:val="000000"/>
          <w:sz w:val="32"/>
          <w:szCs w:val="32"/>
        </w:rPr>
      </w:pPr>
      <w:r>
        <w:rPr>
          <w:rFonts w:hint="eastAsia" w:ascii="楷体_GB2312" w:eastAsia="楷体_GB2312"/>
          <w:b/>
          <w:color w:val="000000"/>
          <w:sz w:val="32"/>
          <w:szCs w:val="32"/>
        </w:rPr>
        <w:t>（一）“三公”经费财政拨款支出决算总体情况说明</w:t>
      </w:r>
    </w:p>
    <w:p>
      <w:pPr>
        <w:spacing w:after="0" w:line="560" w:lineRule="exact"/>
        <w:ind w:firstLine="640"/>
        <w:jc w:val="both"/>
        <w:rPr>
          <w:rFonts w:ascii="仿宋" w:eastAsia="仿宋"/>
          <w:color w:val="000000"/>
          <w:sz w:val="32"/>
          <w:szCs w:val="32"/>
        </w:rPr>
      </w:pPr>
      <w:r>
        <w:rPr>
          <w:rFonts w:hint="eastAsia" w:ascii="仿宋" w:eastAsia="仿宋"/>
          <w:color w:val="000000"/>
          <w:sz w:val="32"/>
          <w:szCs w:val="32"/>
        </w:rPr>
        <w:t>2020年“三公”经费财政拨款支出决算为11.91万元，完成预算100</w:t>
      </w:r>
      <w:r>
        <w:rPr>
          <w:rFonts w:ascii="仿宋" w:eastAsia="仿宋"/>
          <w:color w:val="000000"/>
          <w:sz w:val="32"/>
          <w:szCs w:val="32"/>
        </w:rPr>
        <w:t>%</w:t>
      </w:r>
      <w:r>
        <w:rPr>
          <w:rFonts w:hint="eastAsia" w:ascii="仿宋" w:eastAsia="仿宋"/>
          <w:color w:val="000000"/>
          <w:sz w:val="32"/>
          <w:szCs w:val="32"/>
        </w:rPr>
        <w:t>，决算数等于预算数，主要原因本着以收定支、厉行节约的原则。</w:t>
      </w:r>
    </w:p>
    <w:p>
      <w:pPr>
        <w:spacing w:after="0" w:line="560" w:lineRule="exact"/>
        <w:ind w:firstLine="640"/>
        <w:jc w:val="both"/>
        <w:outlineLvl w:val="2"/>
        <w:rPr>
          <w:rFonts w:ascii="楷体_GB2312" w:eastAsia="楷体_GB2312"/>
          <w:b/>
          <w:color w:val="000000"/>
          <w:sz w:val="32"/>
          <w:szCs w:val="32"/>
        </w:rPr>
      </w:pPr>
      <w:r>
        <w:rPr>
          <w:rFonts w:hint="eastAsia" w:ascii="楷体_GB2312" w:eastAsia="楷体_GB2312"/>
          <w:b/>
          <w:color w:val="000000"/>
          <w:sz w:val="32"/>
          <w:szCs w:val="32"/>
        </w:rPr>
        <w:t>（二）“三公”经费财政拨款支出决算具体情况说明</w:t>
      </w:r>
    </w:p>
    <w:p>
      <w:pPr>
        <w:spacing w:after="0" w:line="560" w:lineRule="exact"/>
        <w:ind w:firstLine="640"/>
        <w:jc w:val="both"/>
        <w:rPr>
          <w:rFonts w:ascii="仿宋_GB2312" w:eastAsia="仿宋_GB2312"/>
          <w:sz w:val="32"/>
          <w:szCs w:val="32"/>
        </w:rPr>
      </w:pPr>
      <w:r>
        <w:rPr>
          <w:rFonts w:hint="eastAsia" w:ascii="仿宋_GB2312" w:eastAsia="仿宋_GB2312"/>
          <w:sz w:val="32"/>
          <w:szCs w:val="32"/>
        </w:rPr>
        <w:t>2020年“三公”经费财政拨款支出合计11.91万元，其中：公务接待0.12万元，占1.01%；公务车辆购置及公务用车运行维护费11.79万元，占98.99%。</w:t>
      </w:r>
    </w:p>
    <w:p>
      <w:pPr>
        <w:spacing w:after="0" w:line="560" w:lineRule="exact"/>
        <w:ind w:firstLine="640"/>
        <w:jc w:val="both"/>
        <w:rPr>
          <w:rFonts w:ascii="仿宋_GB2312" w:eastAsia="仿宋_GB2312"/>
          <w:sz w:val="32"/>
          <w:szCs w:val="32"/>
        </w:rPr>
      </w:pPr>
    </w:p>
    <w:p>
      <w:pPr>
        <w:spacing w:after="0" w:line="560" w:lineRule="exact"/>
        <w:ind w:firstLine="640"/>
        <w:jc w:val="both"/>
        <w:rPr>
          <w:rFonts w:ascii="仿宋_GB2312" w:eastAsia="仿宋_GB2312"/>
          <w:sz w:val="32"/>
          <w:szCs w:val="32"/>
        </w:rPr>
      </w:pPr>
    </w:p>
    <w:p>
      <w:pPr>
        <w:spacing w:after="0" w:line="560" w:lineRule="exact"/>
        <w:ind w:firstLine="640"/>
        <w:jc w:val="both"/>
        <w:rPr>
          <w:rFonts w:ascii="仿宋_GB2312" w:eastAsia="仿宋_GB2312"/>
          <w:sz w:val="32"/>
          <w:szCs w:val="32"/>
        </w:rPr>
      </w:pPr>
    </w:p>
    <w:p>
      <w:pPr>
        <w:spacing w:after="0" w:line="560" w:lineRule="exact"/>
        <w:ind w:firstLine="640"/>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after="0" w:line="560" w:lineRule="exact"/>
        <w:jc w:val="both"/>
        <w:rPr>
          <w:rFonts w:ascii="仿宋_GB2312" w:eastAsia="仿宋_GB2312"/>
          <w:sz w:val="32"/>
          <w:szCs w:val="32"/>
        </w:rPr>
      </w:pPr>
      <w:r>
        <w:rPr>
          <w:rFonts w:ascii="仿宋_GB2312" w:eastAsia="仿宋_GB2312"/>
          <w:sz w:val="32"/>
          <w:szCs w:val="32"/>
        </w:rPr>
        <w:pict>
          <v:shape id="_x0000_s1026" o:spid="_x0000_s1026" o:spt="75" type="#_x0000_t75" style="position:absolute;left:0pt;margin-left:1.35pt;margin-top:-131.35pt;height:153.8pt;width:299.45pt;mso-wrap-distance-bottom:0pt;mso-wrap-distance-left:9pt;mso-wrap-distance-right:9pt;mso-wrap-distance-top:0pt;z-index:251659264;mso-width-relative:page;mso-height-relative:page;" filled="f" o:preferrelative="t" stroked="t" coordsize="21600,21600">
            <v:path/>
            <v:fill on="f" focussize="0,0"/>
            <v:stroke joinstyle="miter"/>
            <v:imagedata r:id="rId15" o:title=""/>
            <o:lock v:ext="edit" aspectratio="t"/>
            <w10:wrap type="square"/>
          </v:shape>
        </w:pic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（图9：“三公”经费财政拨款支出情况图）</w:t>
      </w:r>
    </w:p>
    <w:p>
      <w:pPr>
        <w:spacing w:after="0" w:line="560" w:lineRule="exact"/>
        <w:ind w:firstLine="640"/>
        <w:jc w:val="both"/>
        <w:rPr>
          <w:rFonts w:ascii="仿宋_GB2312" w:eastAsia="仿宋_GB2312"/>
          <w:b/>
          <w:bCs/>
          <w:color w:val="000000"/>
          <w:sz w:val="32"/>
          <w:szCs w:val="32"/>
        </w:rPr>
      </w:pPr>
      <w:r>
        <w:rPr>
          <w:rFonts w:hint="eastAsia" w:ascii="仿宋_GB2312" w:eastAsia="仿宋_GB2312"/>
          <w:b/>
          <w:bCs/>
          <w:color w:val="000000"/>
          <w:sz w:val="32"/>
          <w:szCs w:val="32"/>
        </w:rPr>
        <w:t>1.公务用车运行维护费支出11.79万元,</w:t>
      </w:r>
      <w:r>
        <w:rPr>
          <w:rStyle w:val="15"/>
          <w:rFonts w:hint="eastAsia" w:ascii="仿宋_GB2312" w:eastAsia="仿宋_GB2312"/>
          <w:bCs/>
          <w:color w:val="000000"/>
          <w:sz w:val="32"/>
          <w:szCs w:val="32"/>
        </w:rPr>
        <w:t>完成预算100%。</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2020年公务用车运行维护费支出11.79万元，2019公务用车运行维护费支出7.17万元，较2019年增长64.43%，变动原因：2020年从原州委督查室调拨一台公务车。2020年公务用车运行维护费支出主要用于工作所需的公务用车燃料费、维修费、过路过桥费、保险费等支出。</w:t>
      </w:r>
    </w:p>
    <w:p>
      <w:pPr>
        <w:spacing w:after="0" w:line="560" w:lineRule="exact"/>
        <w:ind w:firstLine="640"/>
        <w:jc w:val="both"/>
        <w:rPr>
          <w:rStyle w:val="15"/>
          <w:rFonts w:ascii="仿宋" w:eastAsia="仿宋"/>
          <w:bCs/>
          <w:color w:val="000000"/>
          <w:sz w:val="32"/>
          <w:szCs w:val="32"/>
        </w:rPr>
      </w:pPr>
      <w:r>
        <w:rPr>
          <w:rFonts w:hint="eastAsia" w:ascii="仿宋_GB2312"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公务接待费支出0.12万元，</w:t>
      </w:r>
      <w:r>
        <w:rPr>
          <w:rStyle w:val="15"/>
          <w:rFonts w:hint="eastAsia" w:ascii="仿宋" w:eastAsia="仿宋"/>
          <w:bCs/>
          <w:color w:val="000000"/>
          <w:sz w:val="32"/>
          <w:szCs w:val="32"/>
        </w:rPr>
        <w:t>完成预算100</w:t>
      </w:r>
      <w:r>
        <w:rPr>
          <w:rStyle w:val="15"/>
          <w:rFonts w:ascii="仿宋" w:eastAsia="仿宋"/>
          <w:bCs/>
          <w:color w:val="000000"/>
          <w:sz w:val="32"/>
          <w:szCs w:val="32"/>
        </w:rPr>
        <w:t>%</w:t>
      </w:r>
      <w:r>
        <w:rPr>
          <w:rStyle w:val="15"/>
          <w:rFonts w:hint="eastAsia" w:ascii="仿宋" w:eastAsia="仿宋"/>
          <w:bCs/>
          <w:color w:val="000000"/>
          <w:sz w:val="32"/>
          <w:szCs w:val="32"/>
        </w:rPr>
        <w:t>。</w:t>
      </w:r>
    </w:p>
    <w:p>
      <w:pPr>
        <w:spacing w:after="0" w:line="560" w:lineRule="exact"/>
        <w:ind w:firstLine="640"/>
        <w:jc w:val="both"/>
        <w:rPr>
          <w:rFonts w:ascii="仿宋" w:eastAsia="仿宋"/>
          <w:b/>
          <w:bCs/>
          <w:color w:val="000000"/>
          <w:sz w:val="32"/>
          <w:szCs w:val="32"/>
        </w:rPr>
      </w:pPr>
      <w:r>
        <w:rPr>
          <w:rFonts w:hint="eastAsia" w:ascii="仿宋" w:eastAsia="仿宋"/>
          <w:color w:val="000000"/>
          <w:sz w:val="32"/>
          <w:szCs w:val="32"/>
        </w:rPr>
        <w:t>2020年公务接待支出0.12万元，2019年公务接待支出0.12万元，无变化，原因：厉行节约。主要用于开展</w:t>
      </w:r>
      <w:r>
        <w:rPr>
          <w:rFonts w:hint="eastAsia" w:ascii="仿宋_GB2312" w:eastAsia="仿宋_GB2312"/>
          <w:color w:val="000000"/>
          <w:sz w:val="32"/>
          <w:szCs w:val="32"/>
        </w:rPr>
        <w:t>业务活动用餐费，国内公务接待1批次8人次，共计支出0.12万元。</w:t>
      </w:r>
    </w:p>
    <w:p>
      <w:pPr>
        <w:pStyle w:val="23"/>
        <w:spacing w:line="560" w:lineRule="exact"/>
        <w:ind w:left="440" w:leftChars="200" w:firstLine="160" w:firstLineChars="50"/>
        <w:outlineLvl w:val="1"/>
        <w:rPr>
          <w:rFonts w:ascii="黑体" w:eastAsia="黑体" w:cs="仿宋"/>
          <w:color w:val="000000"/>
          <w:sz w:val="32"/>
          <w:szCs w:val="32"/>
        </w:rPr>
      </w:pPr>
      <w:r>
        <w:rPr>
          <w:rFonts w:hint="eastAsia" w:ascii="黑体" w:eastAsia="黑体" w:cs="仿宋"/>
          <w:color w:val="000000"/>
          <w:sz w:val="32"/>
          <w:szCs w:val="32"/>
        </w:rPr>
        <w:t>八、政府性基金预算支出决算情况说明</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2020年政府性基金预算拨款支出0元。</w:t>
      </w:r>
    </w:p>
    <w:p>
      <w:pPr>
        <w:pStyle w:val="23"/>
        <w:spacing w:line="560" w:lineRule="exact"/>
        <w:ind w:left="440" w:leftChars="200" w:firstLine="160" w:firstLineChars="50"/>
        <w:outlineLvl w:val="1"/>
        <w:rPr>
          <w:rFonts w:ascii="黑体" w:eastAsia="黑体" w:cs="仿宋"/>
          <w:color w:val="000000"/>
          <w:sz w:val="32"/>
          <w:szCs w:val="32"/>
        </w:rPr>
      </w:pPr>
      <w:r>
        <w:rPr>
          <w:rFonts w:ascii="黑体" w:eastAsia="黑体" w:cs="仿宋"/>
          <w:color w:val="000000"/>
          <w:sz w:val="32"/>
          <w:szCs w:val="32"/>
        </w:rPr>
        <w:t>九、</w:t>
      </w:r>
      <w:r>
        <w:rPr>
          <w:rFonts w:hint="eastAsia" w:ascii="黑体" w:eastAsia="黑体" w:cs="仿宋"/>
          <w:color w:val="000000"/>
          <w:sz w:val="32"/>
          <w:szCs w:val="32"/>
        </w:rPr>
        <w:t>国有资本经营预算支出决算情况说明</w:t>
      </w:r>
    </w:p>
    <w:p>
      <w:pPr>
        <w:spacing w:after="0" w:line="560" w:lineRule="exact"/>
        <w:ind w:firstLine="640"/>
        <w:jc w:val="both"/>
        <w:rPr>
          <w:rFonts w:ascii="仿宋_GB2312" w:eastAsia="仿宋_GB2312"/>
          <w:color w:val="000000"/>
          <w:sz w:val="32"/>
          <w:szCs w:val="32"/>
        </w:rPr>
      </w:pPr>
      <w:r>
        <w:rPr>
          <w:rFonts w:hint="eastAsia" w:ascii="仿宋_GB2312" w:eastAsia="仿宋_GB2312"/>
          <w:color w:val="000000"/>
          <w:sz w:val="32"/>
          <w:szCs w:val="32"/>
        </w:rPr>
        <w:t>2020年国有资本经营预算拨款支出0元。</w:t>
      </w:r>
    </w:p>
    <w:p>
      <w:pPr>
        <w:pStyle w:val="23"/>
        <w:spacing w:line="560" w:lineRule="exact"/>
        <w:ind w:left="440" w:leftChars="200" w:firstLine="160" w:firstLineChars="50"/>
        <w:outlineLvl w:val="1"/>
        <w:rPr>
          <w:rStyle w:val="18"/>
          <w:rFonts w:ascii="黑体" w:eastAsia="黑体"/>
          <w:b w:val="0"/>
          <w:bCs w:val="0"/>
        </w:rPr>
      </w:pPr>
      <w:r>
        <w:rPr>
          <w:rFonts w:hint="eastAsia" w:ascii="黑体" w:eastAsia="黑体"/>
          <w:color w:val="000000"/>
          <w:sz w:val="32"/>
          <w:szCs w:val="32"/>
        </w:rPr>
        <w:t>十</w:t>
      </w:r>
      <w:r>
        <w:rPr>
          <w:rStyle w:val="18"/>
          <w:rFonts w:hint="eastAsia" w:ascii="黑体" w:eastAsia="黑体"/>
          <w:b w:val="0"/>
          <w:bCs w:val="0"/>
        </w:rPr>
        <w:t>、其他重要事项的情况说明</w:t>
      </w:r>
    </w:p>
    <w:p>
      <w:pPr>
        <w:pStyle w:val="23"/>
        <w:spacing w:line="560" w:lineRule="exact"/>
        <w:ind w:left="420" w:firstLine="0" w:firstLineChars="0"/>
        <w:outlineLvl w:val="2"/>
        <w:rPr>
          <w:rFonts w:ascii="楷体_GB2312" w:eastAsia="楷体_GB2312"/>
          <w:b/>
          <w:color w:val="000000"/>
          <w:sz w:val="32"/>
          <w:szCs w:val="32"/>
        </w:rPr>
      </w:pPr>
      <w:r>
        <w:rPr>
          <w:rFonts w:hint="eastAsia" w:ascii="楷体_GB2312" w:eastAsia="楷体_GB2312"/>
          <w:b/>
          <w:color w:val="000000"/>
          <w:sz w:val="32"/>
          <w:szCs w:val="32"/>
        </w:rPr>
        <w:t>（一）机关运行经费支出情况</w:t>
      </w:r>
    </w:p>
    <w:p>
      <w:pPr>
        <w:pStyle w:val="23"/>
        <w:spacing w:line="560" w:lineRule="exact"/>
        <w:ind w:left="440" w:leftChars="200" w:firstLine="160" w:firstLineChars="50"/>
        <w:rPr>
          <w:rFonts w:ascii="仿宋_GB2312" w:eastAsia="仿宋_GB2312"/>
          <w:color w:val="000000"/>
          <w:sz w:val="32"/>
          <w:szCs w:val="32"/>
        </w:rPr>
      </w:pPr>
      <w:r>
        <w:rPr>
          <w:rFonts w:hint="eastAsia" w:ascii="仿宋_GB2312" w:eastAsia="仿宋_GB2312"/>
          <w:color w:val="000000"/>
          <w:sz w:val="32"/>
          <w:szCs w:val="32"/>
        </w:rPr>
        <w:t>2020年机关运行经费支出22.31万元，2019年机关运</w:t>
      </w:r>
    </w:p>
    <w:p>
      <w:pPr>
        <w:spacing w:after="0" w:line="560" w:lineRule="exact"/>
        <w:jc w:val="both"/>
        <w:rPr>
          <w:rFonts w:ascii="仿宋_GB2312" w:eastAsia="仿宋_GB2312"/>
          <w:color w:val="000000"/>
          <w:sz w:val="32"/>
          <w:szCs w:val="32"/>
        </w:rPr>
      </w:pPr>
      <w:r>
        <w:rPr>
          <w:rFonts w:hint="eastAsia" w:ascii="仿宋_GB2312" w:eastAsia="仿宋_GB2312"/>
          <w:color w:val="000000"/>
          <w:sz w:val="32"/>
          <w:szCs w:val="32"/>
        </w:rPr>
        <w:t>行经费82.34万元，较2019年减少72.90%，原因是州委网信办2019年新购置了一台公务公车。</w:t>
      </w:r>
    </w:p>
    <w:p>
      <w:pPr>
        <w:autoSpaceDE w:val="0"/>
        <w:autoSpaceDN w:val="0"/>
        <w:spacing w:after="0" w:line="560" w:lineRule="exact"/>
        <w:ind w:firstLine="636" w:firstLineChars="198"/>
        <w:jc w:val="both"/>
        <w:outlineLvl w:val="2"/>
        <w:rPr>
          <w:rFonts w:ascii="楷体_GB2312" w:eastAsia="楷体_GB2312"/>
          <w:b/>
          <w:color w:val="000000"/>
          <w:sz w:val="32"/>
          <w:szCs w:val="32"/>
        </w:rPr>
      </w:pPr>
      <w:r>
        <w:rPr>
          <w:rFonts w:hint="eastAsia" w:ascii="楷体_GB2312" w:eastAsia="楷体_GB2312"/>
          <w:b/>
          <w:color w:val="000000"/>
          <w:sz w:val="32"/>
          <w:szCs w:val="32"/>
        </w:rPr>
        <w:t>（二）政府采购支出情况</w:t>
      </w:r>
    </w:p>
    <w:p>
      <w:pPr>
        <w:autoSpaceDE w:val="0"/>
        <w:autoSpaceDN w:val="0"/>
        <w:spacing w:after="0" w:line="560" w:lineRule="exact"/>
        <w:ind w:firstLine="633" w:firstLineChars="198"/>
        <w:jc w:val="both"/>
        <w:outlineLvl w:val="2"/>
        <w:rPr>
          <w:rFonts w:ascii="仿宋_GB2312" w:eastAsia="仿宋_GB2312"/>
          <w:color w:val="000000"/>
          <w:sz w:val="32"/>
          <w:szCs w:val="32"/>
        </w:rPr>
      </w:pPr>
      <w:r>
        <w:rPr>
          <w:rFonts w:hint="eastAsia" w:ascii="仿宋_GB2312" w:eastAsia="仿宋_GB2312"/>
          <w:color w:val="000000"/>
          <w:sz w:val="32"/>
          <w:szCs w:val="32"/>
        </w:rPr>
        <w:t>2020年，政府采购支出总额81万元，主要用于业务软件服务采购。授予中小企业合同金额81万元，占政府采购支出总额的100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，其中：授予小微企业合同金额0元。</w:t>
      </w:r>
    </w:p>
    <w:p>
      <w:pPr>
        <w:pStyle w:val="23"/>
        <w:autoSpaceDE w:val="0"/>
        <w:autoSpaceDN w:val="0"/>
        <w:adjustRightInd w:val="0"/>
        <w:spacing w:line="560" w:lineRule="exact"/>
        <w:ind w:left="420" w:firstLine="0" w:firstLineChars="0"/>
        <w:outlineLvl w:val="2"/>
        <w:rPr>
          <w:rFonts w:ascii="楷体_GB2312" w:eastAsia="楷体_GB2312"/>
          <w:b/>
          <w:color w:val="000000"/>
          <w:sz w:val="32"/>
          <w:szCs w:val="32"/>
        </w:rPr>
      </w:pPr>
      <w:r>
        <w:rPr>
          <w:rFonts w:hint="eastAsia" w:ascii="楷体_GB2312" w:eastAsia="楷体_GB2312"/>
          <w:b/>
          <w:color w:val="000000"/>
          <w:sz w:val="32"/>
          <w:szCs w:val="32"/>
        </w:rPr>
        <w:t>（三）国有资产占有使用情况</w:t>
      </w:r>
    </w:p>
    <w:p>
      <w:pPr>
        <w:pStyle w:val="23"/>
        <w:autoSpaceDE w:val="0"/>
        <w:autoSpaceDN w:val="0"/>
        <w:spacing w:line="560" w:lineRule="exact"/>
        <w:ind w:left="420" w:firstLine="160" w:firstLineChars="5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日，州委</w:t>
      </w:r>
      <w:r>
        <w:rPr>
          <w:rFonts w:ascii="仿宋_GB2312" w:eastAsia="仿宋_GB2312"/>
          <w:color w:val="000000"/>
          <w:sz w:val="32"/>
          <w:szCs w:val="32"/>
        </w:rPr>
        <w:t>网信办</w:t>
      </w:r>
      <w:r>
        <w:rPr>
          <w:rFonts w:hint="eastAsia" w:ascii="仿宋_GB2312" w:eastAsia="仿宋_GB2312"/>
          <w:color w:val="000000"/>
          <w:sz w:val="32"/>
          <w:szCs w:val="32"/>
        </w:rPr>
        <w:t>共有车辆2辆</w:t>
      </w:r>
      <w:r>
        <w:rPr>
          <w:rFonts w:ascii="仿宋_GB2312" w:eastAsia="仿宋_GB2312"/>
          <w:color w:val="000000"/>
          <w:sz w:val="32"/>
          <w:szCs w:val="32"/>
        </w:rPr>
        <w:t>，其</w:t>
      </w:r>
      <w:r>
        <w:rPr>
          <w:rFonts w:hint="eastAsia" w:ascii="仿宋_GB2312" w:eastAsia="仿宋_GB2312"/>
          <w:color w:val="000000"/>
          <w:sz w:val="32"/>
          <w:szCs w:val="32"/>
        </w:rPr>
        <w:t>中：</w:t>
      </w:r>
    </w:p>
    <w:p>
      <w:pPr>
        <w:pStyle w:val="23"/>
        <w:autoSpaceDE w:val="0"/>
        <w:autoSpaceDN w:val="0"/>
        <w:spacing w:line="560" w:lineRule="exact"/>
        <w:ind w:firstLine="0" w:firstLineChars="0"/>
        <w:rPr>
          <w:rFonts w:ascii="仿宋_GB2312" w:eastAsia="仿宋_GB2312"/>
          <w:color w:val="000000"/>
          <w:sz w:val="32"/>
          <w:szCs w:val="32"/>
        </w:rPr>
      </w:pPr>
      <w:r>
        <w:rPr>
          <w:rFonts w:hint="eastAsia" w:ascii="仿宋_GB2312" w:eastAsia="仿宋_GB2312"/>
          <w:color w:val="000000"/>
          <w:sz w:val="32"/>
          <w:szCs w:val="32"/>
        </w:rPr>
        <w:t>应急保障2辆，单价</w:t>
      </w:r>
      <w:r>
        <w:rPr>
          <w:rFonts w:ascii="仿宋_GB2312" w:eastAsia="仿宋_GB2312"/>
          <w:color w:val="000000"/>
          <w:sz w:val="32"/>
          <w:szCs w:val="32"/>
        </w:rPr>
        <w:t>50</w:t>
      </w:r>
      <w:r>
        <w:rPr>
          <w:rFonts w:hint="eastAsia" w:ascii="仿宋_GB2312" w:eastAsia="仿宋_GB2312"/>
          <w:color w:val="000000"/>
          <w:sz w:val="32"/>
          <w:szCs w:val="32"/>
        </w:rPr>
        <w:t>万元以上通用设备2台（套），单价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pStyle w:val="23"/>
        <w:autoSpaceDE w:val="0"/>
        <w:autoSpaceDN w:val="0"/>
        <w:adjustRightInd w:val="0"/>
        <w:spacing w:line="560" w:lineRule="exact"/>
        <w:ind w:left="420" w:firstLine="0" w:firstLineChars="0"/>
        <w:outlineLvl w:val="2"/>
        <w:rPr>
          <w:rFonts w:ascii="楷体_GB2312" w:eastAsia="楷体_GB2312"/>
          <w:b/>
          <w:color w:val="000000"/>
          <w:sz w:val="32"/>
          <w:szCs w:val="32"/>
        </w:rPr>
      </w:pPr>
      <w:r>
        <w:rPr>
          <w:rFonts w:hint="eastAsia" w:ascii="楷体_GB2312" w:eastAsia="楷体_GB2312"/>
          <w:b/>
          <w:color w:val="000000"/>
          <w:sz w:val="32"/>
          <w:szCs w:val="32"/>
        </w:rPr>
        <w:t>（四）预算绩效管理情况</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根据预算绩效管理要求，对2020年网络安全检查项目、2020年网络安全宣传周项目、2020年网络安全应急演练项目、2020年阿坝州网络宣传服务采购项目开展了预算事前绩效评估，对项目编制了绩效目标。预算执行过程中，选取3个项目开展绩效监控，年终执行完毕后，对3个项目开展了绩效目标完成情况自评。</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本单位按要求对2020年部门整体支出开展绩效自评，从评价情况来看单位部门预算编制基础数据真实可靠，按照年度工作计划和支出标准合理编制了单位预算，严格执行“三公经费” 预算管理，严格审批、严禁超预算等行为。</w:t>
      </w:r>
      <w:r>
        <w:rPr>
          <w:rFonts w:hint="eastAsia" w:ascii="仿宋_GB2312" w:eastAsia="仿宋_GB2312" w:cs="宋体"/>
          <w:sz w:val="32"/>
          <w:szCs w:val="32"/>
        </w:rPr>
        <w:t>圆满的完成了2020年各项工作任务。</w:t>
      </w:r>
    </w:p>
    <w:p>
      <w:pPr>
        <w:spacing w:after="0" w:line="560" w:lineRule="exact"/>
        <w:ind w:firstLine="643" w:firstLineChars="200"/>
        <w:rPr>
          <w:rFonts w:ascii="仿宋_GB2312" w:eastAsia="仿宋_GB2312" w:cs="仿宋_GB2312"/>
          <w:sz w:val="32"/>
          <w:szCs w:val="32"/>
        </w:rPr>
      </w:pPr>
      <w:r>
        <w:rPr>
          <w:rFonts w:hint="eastAsia" w:ascii="仿宋_GB2312" w:eastAsia="仿宋_GB2312" w:cs="仿宋_GB2312"/>
          <w:b/>
          <w:bCs/>
          <w:sz w:val="32"/>
          <w:szCs w:val="32"/>
        </w:rPr>
        <w:t>1.项目绩效目标完成情况</w:t>
      </w:r>
      <w:r>
        <w:rPr>
          <w:rFonts w:hint="eastAsia" w:ascii="仿宋_GB2312" w:eastAsia="仿宋_GB2312" w:cs="仿宋_GB2312"/>
          <w:b/>
          <w:bCs/>
          <w:sz w:val="32"/>
          <w:szCs w:val="32"/>
        </w:rPr>
        <w:br w:type="textWrapping"/>
      </w:r>
      <w:r>
        <w:rPr>
          <w:rFonts w:hint="eastAsia" w:ascii="仿宋_GB2312" w:eastAsia="仿宋_GB2312" w:cs="仿宋_GB2312"/>
          <w:sz w:val="32"/>
          <w:szCs w:val="32"/>
        </w:rPr>
        <w:t xml:space="preserve">    我办在2020年度部门决算中反映的2020年网络安全检查项目、2020年网络安全宣传周项目、2020年网络安全应急演练项目、2020年阿坝州网络宣传服务采购项目3个项目绩效目标实际完成情况。</w:t>
      </w:r>
    </w:p>
    <w:p>
      <w:pPr>
        <w:pStyle w:val="26"/>
        <w:spacing w:before="0" w:beforeAutospacing="0" w:after="0" w:afterAutospacing="0" w:line="560" w:lineRule="exact"/>
        <w:ind w:firstLine="640" w:firstLineChars="200"/>
        <w:jc w:val="both"/>
        <w:rPr>
          <w:rFonts w:ascii="Times New Roman" w:hAnsi="Times New Roman" w:eastAsia="仿宋_GB2312" w:cs="Times New Roman"/>
          <w:color w:val="000000"/>
          <w:kern w:val="2"/>
          <w:sz w:val="32"/>
          <w:szCs w:val="32"/>
        </w:rPr>
      </w:pPr>
      <w:r>
        <w:rPr>
          <w:rFonts w:hint="eastAsia" w:ascii="仿宋_GB2312" w:eastAsia="仿宋_GB2312" w:cs="仿宋_GB2312"/>
          <w:sz w:val="32"/>
          <w:szCs w:val="32"/>
        </w:rPr>
        <w:t>（1）2020年网络安全检查项目绩效目标完成情况综述。项目全年预算数20万元，执行数为20万元，完成预算的100%。</w:t>
      </w:r>
      <w:r>
        <w:rPr>
          <w:rFonts w:hint="eastAsia" w:ascii="Times New Roman" w:hAnsi="Times New Roman" w:eastAsia="仿宋_GB2312" w:cs="Times New Roman"/>
          <w:color w:val="000000"/>
          <w:kern w:val="2"/>
          <w:sz w:val="32"/>
          <w:szCs w:val="32"/>
        </w:rPr>
        <w:t>通</w:t>
      </w:r>
      <w:r>
        <w:rPr>
          <w:rFonts w:hint="eastAsia" w:ascii="仿宋_GB2312" w:eastAsia="仿宋_GB2312" w:cs="Times New Roman"/>
          <w:color w:val="000000"/>
          <w:kern w:val="2"/>
          <w:sz w:val="32"/>
          <w:szCs w:val="32"/>
        </w:rPr>
        <w:t>过2020年网</w:t>
      </w:r>
      <w:r>
        <w:rPr>
          <w:rFonts w:hint="eastAsia" w:ascii="Times New Roman" w:hAnsi="Times New Roman" w:eastAsia="仿宋_GB2312" w:cs="Times New Roman"/>
          <w:color w:val="000000"/>
          <w:kern w:val="2"/>
          <w:sz w:val="32"/>
          <w:szCs w:val="32"/>
        </w:rPr>
        <w:t>络安全检查</w:t>
      </w:r>
      <w:r>
        <w:rPr>
          <w:rFonts w:ascii="Times New Roman" w:hAnsi="Times New Roman" w:eastAsia="仿宋_GB2312" w:cs="Times New Roman"/>
          <w:color w:val="000000"/>
          <w:sz w:val="32"/>
          <w:szCs w:val="32"/>
        </w:rPr>
        <w:t>，进一步强化了对我州网络安全工作的统筹协调及监督管理，强化我州重要数据和个人信息保护，保障州内关键信息基础设施更加健康、平稳运行</w:t>
      </w:r>
      <w:r>
        <w:rPr>
          <w:rFonts w:hint="eastAsia" w:ascii="Times New Roman" w:hAnsi="Times New Roman" w:eastAsia="仿宋_GB2312" w:cs="Times New Roman"/>
          <w:color w:val="000000"/>
          <w:sz w:val="32"/>
          <w:szCs w:val="32"/>
        </w:rPr>
        <w:t>。</w:t>
      </w:r>
    </w:p>
    <w:p>
      <w:pPr>
        <w:spacing w:after="0" w:line="560" w:lineRule="exact"/>
        <w:ind w:firstLine="640" w:firstLineChars="200"/>
        <w:jc w:val="both"/>
        <w:rPr>
          <w:rFonts w:ascii="仿宋_GB2312" w:eastAsia="仿宋_GB2312" w:cs="仿宋_GB2312"/>
          <w:color w:val="000000"/>
          <w:sz w:val="32"/>
          <w:szCs w:val="32"/>
          <w:shd w:val="clear" w:color="auto" w:fill="FFFFFF"/>
        </w:rPr>
      </w:pPr>
      <w:r>
        <w:rPr>
          <w:rFonts w:hint="eastAsia" w:ascii="仿宋_GB2312" w:eastAsia="仿宋_GB2312" w:cs="仿宋_GB2312"/>
          <w:sz w:val="32"/>
          <w:szCs w:val="32"/>
        </w:rPr>
        <w:t>（2）2020年网络安全宣传周项目绩效目标完成情况综述。项目全年预算数10万元，执行数为9.77万元，完成预算的97.7%。</w:t>
      </w:r>
      <w:r>
        <w:rPr>
          <w:rFonts w:hint="eastAsia" w:ascii="仿宋_GB2312" w:eastAsia="仿宋_GB2312" w:cs="仿宋_GB2312"/>
          <w:bCs/>
          <w:color w:val="000000"/>
          <w:sz w:val="32"/>
          <w:szCs w:val="32"/>
          <w:shd w:val="clear" w:color="auto" w:fill="FFFFFF"/>
        </w:rPr>
        <w:t>通过</w:t>
      </w:r>
      <w:r>
        <w:rPr>
          <w:rFonts w:hint="eastAsia" w:ascii="仿宋_GB2312" w:eastAsia="仿宋_GB2312" w:cs="仿宋_GB2312"/>
          <w:sz w:val="32"/>
          <w:szCs w:val="32"/>
        </w:rPr>
        <w:t>组织各部门业务骨干和双语干部</w:t>
      </w:r>
      <w:r>
        <w:rPr>
          <w:rFonts w:hint="eastAsia" w:ascii="仿宋_GB2312" w:eastAsia="仿宋_GB2312" w:cs="仿宋_GB2312"/>
          <w:color w:val="000000"/>
          <w:sz w:val="32"/>
          <w:szCs w:val="32"/>
          <w:shd w:val="clear" w:color="auto" w:fill="FFFFFF"/>
        </w:rPr>
        <w:t>深入村社区、校园、寺庙等地开展宣传活动，为学生、当地农牧民群众、寺庙僧侣讲解个人信息安全保护、金融网络安全等知识，使网络安全意识深入到了广大人民群众心中，进一步增强群众的安全意识和防范能力。</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color w:val="000000"/>
          <w:sz w:val="32"/>
          <w:szCs w:val="32"/>
          <w:shd w:val="clear" w:color="auto" w:fill="FFFFFF"/>
        </w:rPr>
        <w:t>（3）</w:t>
      </w:r>
      <w:r>
        <w:rPr>
          <w:rFonts w:hint="eastAsia" w:ascii="仿宋_GB2312" w:eastAsia="仿宋_GB2312" w:cs="仿宋_GB2312"/>
          <w:sz w:val="32"/>
          <w:szCs w:val="32"/>
        </w:rPr>
        <w:t>阿坝州网络宣传服务采购项目绩效目标完成情况综述。项目全年预算数35万元，执行数为35万元，完成预算的100%。通过以上网络宣传</w:t>
      </w:r>
      <w:r>
        <w:rPr>
          <w:rFonts w:ascii="仿宋_GB2312" w:eastAsia="仿宋_GB2312" w:cs="仿宋_GB2312"/>
          <w:sz w:val="32"/>
          <w:szCs w:val="32"/>
        </w:rPr>
        <w:t>着力营造了强信心、暖人心、聚民心的网上舆论氛围</w:t>
      </w:r>
      <w:r>
        <w:rPr>
          <w:rFonts w:hint="eastAsia" w:ascii="仿宋_GB2312" w:eastAsia="仿宋_GB2312" w:cs="仿宋_GB2312"/>
          <w:sz w:val="32"/>
          <w:szCs w:val="32"/>
        </w:rPr>
        <w:t>。</w:t>
      </w:r>
    </w:p>
    <w:p>
      <w:pPr>
        <w:spacing w:after="0" w:line="560" w:lineRule="exact"/>
        <w:ind w:firstLine="643" w:firstLineChars="200"/>
        <w:jc w:val="both"/>
        <w:rPr>
          <w:rFonts w:ascii="仿宋_GB2312" w:eastAsia="仿宋_GB2312" w:cs="仿宋_GB2312"/>
          <w:b/>
          <w:bCs/>
          <w:sz w:val="32"/>
          <w:szCs w:val="32"/>
        </w:rPr>
      </w:pPr>
      <w:r>
        <w:rPr>
          <w:rFonts w:hint="eastAsia" w:ascii="仿宋_GB2312" w:eastAsia="仿宋_GB2312" w:cs="仿宋_GB2312"/>
          <w:b/>
          <w:bCs/>
          <w:sz w:val="32"/>
          <w:szCs w:val="32"/>
        </w:rPr>
        <w:t>2.部门绩效评价结果</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本部门按要求对2020年部门整体支出绩效评价情况开展自评，《阿坝州委网信办2020年部门整体支出绩效评价报告》详见（附件1）。</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我办自行组织对2020年网络安全检查项目、2020年网络安全宣传周项目、2020年阿坝州网络宣传服务采购项目3个项目项目开展了绩效评价。《2020年网络安全检查项目绩效评价报告》详见（附件2），《2020年网络安全宣传周项目绩效评价报告》详见（附件3），《2020年阿坝州网络宣传服务采购项目绩效评价报告》详见（附件4）。</w:t>
      </w:r>
      <w:r>
        <w:rPr>
          <w:rFonts w:hint="eastAsia" w:ascii="仿宋_GB2312" w:eastAsia="仿宋_GB2312" w:cs="仿宋_GB2312"/>
          <w:sz w:val="32"/>
          <w:szCs w:val="32"/>
        </w:rPr>
        <w:tab/>
      </w:r>
    </w:p>
    <w:p>
      <w:pPr>
        <w:spacing w:after="0" w:line="560" w:lineRule="exact"/>
        <w:ind w:firstLine="880" w:firstLineChars="200"/>
        <w:jc w:val="center"/>
        <w:rPr>
          <w:rFonts w:ascii="方正小标宋简体" w:eastAsia="方正小标宋简体"/>
          <w:color w:val="000000"/>
          <w:sz w:val="44"/>
          <w:szCs w:val="44"/>
        </w:rPr>
      </w:pPr>
    </w:p>
    <w:p>
      <w:pPr>
        <w:spacing w:after="0" w:line="560" w:lineRule="exact"/>
        <w:ind w:firstLine="880" w:firstLineChars="200"/>
        <w:jc w:val="center"/>
        <w:rPr>
          <w:rFonts w:ascii="方正小标宋简体" w:eastAsia="方正小标宋简体"/>
          <w:color w:val="000000"/>
          <w:sz w:val="44"/>
          <w:szCs w:val="44"/>
        </w:rPr>
      </w:pPr>
    </w:p>
    <w:p>
      <w:pPr>
        <w:spacing w:after="0" w:line="560" w:lineRule="exact"/>
        <w:ind w:firstLine="880" w:firstLineChars="200"/>
        <w:jc w:val="center"/>
        <w:rPr>
          <w:rFonts w:ascii="方正小标宋简体" w:eastAsia="方正小标宋简体"/>
          <w:color w:val="000000"/>
          <w:sz w:val="44"/>
          <w:szCs w:val="44"/>
        </w:rPr>
      </w:pPr>
    </w:p>
    <w:p>
      <w:pPr>
        <w:spacing w:after="0" w:line="560" w:lineRule="exact"/>
        <w:rPr>
          <w:rFonts w:ascii="方正小标宋简体" w:eastAsia="方正小标宋简体"/>
          <w:color w:val="000000"/>
          <w:sz w:val="44"/>
          <w:szCs w:val="44"/>
        </w:rPr>
      </w:pPr>
    </w:p>
    <w:p>
      <w:pPr>
        <w:spacing w:after="0" w:line="560" w:lineRule="exact"/>
        <w:rPr>
          <w:rFonts w:ascii="方正小标宋简体" w:eastAsia="方正小标宋简体"/>
          <w:color w:val="000000"/>
          <w:sz w:val="44"/>
          <w:szCs w:val="44"/>
        </w:rPr>
      </w:pPr>
    </w:p>
    <w:p>
      <w:pPr>
        <w:spacing w:after="0" w:line="560" w:lineRule="exact"/>
        <w:rPr>
          <w:rFonts w:ascii="方正小标宋简体" w:eastAsia="方正小标宋简体"/>
          <w:color w:val="000000"/>
          <w:sz w:val="44"/>
          <w:szCs w:val="44"/>
        </w:rPr>
      </w:pPr>
    </w:p>
    <w:p>
      <w:pPr>
        <w:spacing w:after="0" w:line="560" w:lineRule="exact"/>
        <w:rPr>
          <w:rFonts w:ascii="方正小标宋简体" w:eastAsia="方正小标宋简体"/>
          <w:color w:val="000000"/>
          <w:sz w:val="44"/>
          <w:szCs w:val="44"/>
        </w:rPr>
      </w:pPr>
    </w:p>
    <w:p>
      <w:pPr>
        <w:spacing w:after="0" w:line="560" w:lineRule="exact"/>
        <w:rPr>
          <w:rFonts w:ascii="方正小标宋简体" w:eastAsia="方正小标宋简体"/>
          <w:color w:val="000000"/>
          <w:sz w:val="44"/>
          <w:szCs w:val="44"/>
        </w:rPr>
      </w:pPr>
    </w:p>
    <w:p>
      <w:pPr>
        <w:spacing w:after="0" w:line="560" w:lineRule="exact"/>
        <w:ind w:firstLine="880" w:firstLineChars="200"/>
        <w:jc w:val="center"/>
        <w:rPr>
          <w:rStyle w:val="17"/>
          <w:rFonts w:ascii="方正小标宋简体" w:eastAsia="方正小标宋简体" w:cs="仿宋_GB2312"/>
          <w:b w:val="0"/>
          <w:bCs w:val="0"/>
          <w:kern w:val="0"/>
        </w:rPr>
      </w:pPr>
      <w:r>
        <w:rPr>
          <w:rFonts w:hint="eastAsia" w:ascii="方正小标宋简体" w:eastAsia="方正小标宋简体"/>
          <w:color w:val="000000"/>
          <w:sz w:val="44"/>
          <w:szCs w:val="44"/>
        </w:rPr>
        <w:t>第三部分 名</w:t>
      </w:r>
      <w:r>
        <w:rPr>
          <w:rStyle w:val="17"/>
          <w:rFonts w:hint="eastAsia" w:ascii="方正小标宋简体" w:eastAsia="方正小标宋简体"/>
          <w:b w:val="0"/>
          <w:bCs w:val="0"/>
        </w:rPr>
        <w:t>词解释</w:t>
      </w:r>
    </w:p>
    <w:p>
      <w:pPr>
        <w:spacing w:after="0" w:line="560" w:lineRule="exact"/>
        <w:ind w:left="480"/>
        <w:jc w:val="center"/>
        <w:outlineLvl w:val="0"/>
        <w:rPr>
          <w:rFonts w:ascii="黑体" w:eastAsia="黑体"/>
          <w:b/>
          <w:bCs/>
          <w:kern w:val="44"/>
          <w:sz w:val="44"/>
          <w:szCs w:val="44"/>
        </w:rPr>
      </w:pP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3.年初结转和结余：指以前年度尚未完成、结转到本年按有关规定继续使用的资金。</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5．一般公共服务支出（类）网信事务（款）行政运行（项）：指反映行政单位（包括实行公务员管理的事业单位）的基本支出。</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6. 一般公共服务支出（类）网信事务（款）一般行政管理事务（项）：指反映行政单位（包括实行公务员管理的事业单位）未单独设置项级科目的其他项目支出。</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7.社会保障和就业（类）行政职业单位离退休（款）机关事业单位基本养老保险（项）:指反映机关事业单位实施养老保险制度由单位缴纳的基本养老保险费的支出，主要用于养老保险缴费。</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8.社会保障和就业（类）行政职业单位离退休（款）机关事业单位职业年金（项）：指反映机关事业单位实施养老保险制度由单位缴纳的职业年金的支出，主要用于职业年金缴费。</w:t>
      </w:r>
    </w:p>
    <w:p>
      <w:pPr>
        <w:spacing w:after="0" w:line="560" w:lineRule="exact"/>
        <w:ind w:firstLine="640" w:firstLineChars="200"/>
        <w:jc w:val="both"/>
        <w:rPr>
          <w:rFonts w:ascii="仿宋_GB2312" w:eastAsia="仿宋_GB2312" w:cs="仿宋"/>
          <w:color w:val="000000"/>
          <w:sz w:val="32"/>
          <w:szCs w:val="32"/>
        </w:rPr>
      </w:pPr>
      <w:r>
        <w:rPr>
          <w:rFonts w:hint="eastAsia" w:ascii="仿宋_GB2312" w:eastAsia="仿宋_GB2312" w:cs="仿宋"/>
          <w:color w:val="000000"/>
          <w:sz w:val="32"/>
          <w:szCs w:val="32"/>
        </w:rPr>
        <w:t>9.医疗卫生与计划生育（类）行政事业单位医疗（款）行政单位医疗（项）:指单位人员行政单位医疗保险支出。</w:t>
      </w:r>
    </w:p>
    <w:p>
      <w:pPr>
        <w:spacing w:after="0" w:line="560" w:lineRule="exact"/>
        <w:ind w:firstLine="640"/>
        <w:jc w:val="both"/>
        <w:rPr>
          <w:rFonts w:ascii="仿宋_GB2312" w:eastAsia="仿宋_GB2312" w:cs="仿宋"/>
          <w:color w:val="000000"/>
          <w:sz w:val="32"/>
          <w:szCs w:val="32"/>
        </w:rPr>
      </w:pPr>
      <w:r>
        <w:rPr>
          <w:rFonts w:hint="eastAsia" w:ascii="仿宋_GB2312" w:eastAsia="仿宋_GB2312" w:cs="仿宋"/>
          <w:color w:val="000000"/>
          <w:sz w:val="32"/>
          <w:szCs w:val="32"/>
        </w:rPr>
        <w:t>10.住房保障（类）住房改革（款）住房公积金（项）：指行政事业单位按人力资源和社会保障部、财政部规定的基本工资和津贴补贴以及规定比例为职工缴纳的住房公积金。</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11.基本支出：指为保障机构正常运转、完成日常工作任务而发生的人员支出和公用支出。</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12.项目支出：指在基本支出之外为完成特定行政任务和事业发展目标所发生的支出。</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4" w:name="_Toc15396614"/>
      <w:bookmarkStart w:id="15" w:name="_Toc15377226"/>
    </w:p>
    <w:p>
      <w:pPr>
        <w:spacing w:after="0" w:line="560" w:lineRule="exact"/>
        <w:jc w:val="both"/>
        <w:outlineLvl w:val="0"/>
        <w:rPr>
          <w:rFonts w:ascii="黑体" w:eastAsia="黑体"/>
          <w:color w:val="000000"/>
          <w:sz w:val="44"/>
          <w:szCs w:val="44"/>
        </w:rPr>
      </w:pPr>
    </w:p>
    <w:p>
      <w:pPr>
        <w:spacing w:after="0" w:line="560" w:lineRule="exact"/>
        <w:jc w:val="center"/>
        <w:outlineLvl w:val="0"/>
        <w:rPr>
          <w:rStyle w:val="17"/>
          <w:rFonts w:ascii="方正小标宋简体" w:eastAsia="方正小标宋简体"/>
          <w:b w:val="0"/>
          <w:bCs w:val="0"/>
        </w:rPr>
      </w:pPr>
      <w:r>
        <w:rPr>
          <w:rFonts w:hint="eastAsia" w:ascii="方正小标宋简体" w:eastAsia="方正小标宋简体"/>
          <w:color w:val="000000"/>
          <w:sz w:val="44"/>
          <w:szCs w:val="44"/>
        </w:rPr>
        <w:t>第</w:t>
      </w:r>
      <w:r>
        <w:rPr>
          <w:rStyle w:val="17"/>
          <w:rFonts w:hint="eastAsia" w:ascii="方正小标宋简体" w:eastAsia="方正小标宋简体"/>
          <w:b w:val="0"/>
          <w:bCs w:val="0"/>
        </w:rPr>
        <w:t>四部分 附件</w:t>
      </w:r>
      <w:bookmarkEnd w:id="14"/>
    </w:p>
    <w:p>
      <w:pPr>
        <w:spacing w:line="480" w:lineRule="exact"/>
        <w:rPr>
          <w:rFonts w:ascii="方正小标宋简体" w:eastAsia="方正小标宋简体"/>
          <w:sz w:val="30"/>
          <w:szCs w:val="30"/>
        </w:rPr>
      </w:pPr>
      <w:r>
        <w:rPr>
          <w:rFonts w:hint="eastAsia" w:ascii="仿宋_GB2312" w:eastAsia="仿宋_GB2312"/>
          <w:sz w:val="30"/>
          <w:szCs w:val="30"/>
        </w:rPr>
        <w:t>附件1</w:t>
      </w:r>
    </w:p>
    <w:p>
      <w:pPr>
        <w:spacing w:line="480" w:lineRule="exact"/>
        <w:jc w:val="center"/>
        <w:rPr>
          <w:rFonts w:ascii="方正小标宋简体" w:eastAsia="方正小标宋简体"/>
          <w:sz w:val="44"/>
          <w:szCs w:val="44"/>
        </w:rPr>
      </w:pPr>
      <w:r>
        <w:rPr>
          <w:rFonts w:hint="eastAsia" w:ascii="方正小标宋简体" w:eastAsia="方正小标宋简体"/>
          <w:sz w:val="44"/>
          <w:szCs w:val="44"/>
        </w:rPr>
        <w:t>2020年阿坝州委网信办</w:t>
      </w:r>
    </w:p>
    <w:p>
      <w:pPr>
        <w:spacing w:line="480" w:lineRule="exact"/>
        <w:jc w:val="center"/>
        <w:rPr>
          <w:rFonts w:ascii="方正小标宋简体" w:eastAsia="方正小标宋简体"/>
          <w:sz w:val="44"/>
          <w:szCs w:val="44"/>
        </w:rPr>
      </w:pPr>
      <w:r>
        <w:rPr>
          <w:rFonts w:hint="eastAsia" w:ascii="方正小标宋简体" w:eastAsia="方正小标宋简体"/>
          <w:sz w:val="44"/>
          <w:szCs w:val="44"/>
        </w:rPr>
        <w:t>关于整体支出绩效评价报告</w:t>
      </w:r>
    </w:p>
    <w:p>
      <w:pPr>
        <w:spacing w:after="0" w:line="560" w:lineRule="exact"/>
        <w:ind w:firstLine="800" w:firstLineChars="250"/>
        <w:jc w:val="both"/>
        <w:rPr>
          <w:rFonts w:ascii="黑体" w:eastAsia="黑体" w:cs="仿宋"/>
          <w:color w:val="000000"/>
          <w:kern w:val="2"/>
          <w:sz w:val="32"/>
          <w:szCs w:val="32"/>
        </w:rPr>
      </w:pPr>
      <w:r>
        <w:rPr>
          <w:rFonts w:hint="eastAsia" w:ascii="黑体" w:eastAsia="黑体" w:cs="仿宋"/>
          <w:color w:val="000000"/>
          <w:kern w:val="2"/>
          <w:sz w:val="32"/>
          <w:szCs w:val="32"/>
        </w:rPr>
        <w:t>一、部门慨况</w:t>
      </w:r>
    </w:p>
    <w:p>
      <w:pPr>
        <w:spacing w:after="0" w:line="560" w:lineRule="exact"/>
        <w:ind w:firstLine="643" w:firstLineChars="200"/>
        <w:jc w:val="both"/>
        <w:outlineLvl w:val="0"/>
        <w:rPr>
          <w:rFonts w:ascii="楷体_GB2312" w:eastAsia="楷体_GB2312"/>
          <w:b/>
          <w:color w:val="000000"/>
          <w:kern w:val="2"/>
          <w:sz w:val="32"/>
          <w:szCs w:val="32"/>
        </w:rPr>
      </w:pPr>
      <w:r>
        <w:rPr>
          <w:rFonts w:hint="eastAsia" w:ascii="楷体_GB2312" w:eastAsia="楷体_GB2312"/>
          <w:b/>
          <w:color w:val="000000"/>
          <w:kern w:val="2"/>
          <w:sz w:val="32"/>
          <w:szCs w:val="32"/>
        </w:rPr>
        <w:t>（一）部门主要职责</w:t>
      </w:r>
    </w:p>
    <w:p>
      <w:pPr>
        <w:tabs>
          <w:tab w:val="left" w:pos="7020"/>
          <w:tab w:val="left" w:pos="7740"/>
        </w:tabs>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贯彻执行党和国家的方针政策和法律法规及省委、州委的决策部署，统筹协调全州网信工作。</w:t>
      </w:r>
    </w:p>
    <w:p>
      <w:pPr>
        <w:spacing w:after="0" w:line="560" w:lineRule="exact"/>
        <w:ind w:firstLine="643" w:firstLineChars="200"/>
        <w:jc w:val="both"/>
        <w:rPr>
          <w:rFonts w:ascii="楷体_GB2312" w:eastAsia="楷体_GB2312"/>
          <w:b/>
          <w:color w:val="000000"/>
          <w:kern w:val="2"/>
          <w:sz w:val="32"/>
          <w:szCs w:val="32"/>
        </w:rPr>
      </w:pPr>
      <w:r>
        <w:rPr>
          <w:rFonts w:hint="eastAsia" w:ascii="楷体_GB2312" w:eastAsia="楷体_GB2312"/>
          <w:b/>
          <w:sz w:val="32"/>
          <w:szCs w:val="32"/>
        </w:rPr>
        <w:t>（</w:t>
      </w:r>
      <w:r>
        <w:rPr>
          <w:rFonts w:hint="eastAsia" w:ascii="楷体_GB2312" w:eastAsia="楷体_GB2312"/>
          <w:b/>
          <w:color w:val="000000"/>
          <w:kern w:val="2"/>
          <w:sz w:val="32"/>
          <w:szCs w:val="32"/>
        </w:rPr>
        <w:t>二）机构组成及人员概况</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中共阿坝州委网信办2020年新增正县级单位，行政编制7名，机关工勤事业编制2名，2020年末在职人员9名（其中：行政编制7名，行政工勤1名）。</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二、部门财政资金收支情况</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2020年度部门财政资金总收入877.14万元（本年财政拨款863.68万元，年初结转结余13.46万元）；支出394.13万元，年底结转结余483.01万元。</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三、部门财政支出管理情况</w:t>
      </w:r>
    </w:p>
    <w:p>
      <w:pPr>
        <w:spacing w:after="0" w:line="560" w:lineRule="exact"/>
        <w:ind w:firstLine="482" w:firstLineChars="150"/>
        <w:jc w:val="both"/>
        <w:rPr>
          <w:rFonts w:ascii="楷体_GB2312" w:eastAsia="楷体_GB2312"/>
          <w:b/>
          <w:sz w:val="32"/>
          <w:szCs w:val="32"/>
        </w:rPr>
      </w:pPr>
      <w:r>
        <w:rPr>
          <w:rFonts w:hint="eastAsia" w:ascii="楷体_GB2312" w:eastAsia="楷体_GB2312"/>
          <w:b/>
          <w:sz w:val="32"/>
          <w:szCs w:val="32"/>
        </w:rPr>
        <w:t>（</w:t>
      </w:r>
      <w:r>
        <w:rPr>
          <w:rFonts w:hint="eastAsia" w:ascii="楷体_GB2312" w:eastAsia="楷体_GB2312"/>
          <w:b/>
          <w:color w:val="000000"/>
          <w:kern w:val="2"/>
          <w:sz w:val="32"/>
          <w:szCs w:val="32"/>
        </w:rPr>
        <w:t>一）预算编制情况</w:t>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阿坝州委网信办预算编制严格按照《预算法》来编制，编制较为及时、准确，确保预算编制的全面性和科学性。</w:t>
      </w:r>
    </w:p>
    <w:p>
      <w:pPr>
        <w:spacing w:after="0" w:line="560" w:lineRule="exact"/>
        <w:ind w:firstLine="482" w:firstLineChars="150"/>
        <w:jc w:val="both"/>
        <w:rPr>
          <w:rFonts w:ascii="楷体_GB2312" w:eastAsia="楷体_GB2312"/>
          <w:b/>
          <w:sz w:val="32"/>
          <w:szCs w:val="32"/>
        </w:rPr>
      </w:pPr>
      <w:r>
        <w:rPr>
          <w:rFonts w:hint="eastAsia" w:ascii="楷体_GB2312" w:eastAsia="楷体_GB2312"/>
          <w:b/>
          <w:color w:val="000000"/>
          <w:kern w:val="2"/>
          <w:sz w:val="32"/>
          <w:szCs w:val="32"/>
        </w:rPr>
        <w:t>（二）执行管理情况</w:t>
      </w:r>
      <w:r>
        <w:rPr>
          <w:rFonts w:hint="eastAsia" w:ascii="楷体_GB2312" w:eastAsia="楷体_GB2312"/>
          <w:b/>
          <w:color w:val="000000"/>
          <w:kern w:val="2"/>
          <w:sz w:val="32"/>
          <w:szCs w:val="32"/>
        </w:rPr>
        <w:tab/>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严格按照要求，切实加强部门预算支出执行管理工作，努力提高财政资金使用绩效。“三公”经费使用严格按照预算进行使用，认真贯彻落实中央和省委省政府相关规定，厉行节约，严格控制三公经费，2020年“三公”经费财政拨款预算数11.91万元，其中：公务车辆购置、车运行维护费11.79万元；公务接待费0.12万元。</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（三）综合管理情况</w:t>
      </w:r>
    </w:p>
    <w:p>
      <w:pPr>
        <w:spacing w:after="0" w:line="560" w:lineRule="exact"/>
        <w:ind w:firstLine="720"/>
        <w:jc w:val="both"/>
        <w:rPr>
          <w:rFonts w:ascii="仿宋_GB2312" w:eastAsia="仿宋_GB2312"/>
          <w:sz w:val="32"/>
          <w:szCs w:val="32"/>
        </w:rPr>
      </w:pPr>
      <w:r>
        <w:rPr>
          <w:rFonts w:hint="eastAsia" w:ascii="仿宋_GB2312" w:eastAsia="仿宋_GB2312"/>
          <w:sz w:val="32"/>
          <w:szCs w:val="32"/>
        </w:rPr>
        <w:t>财政资金均实行财政统一管理，资金的拨入和支出会计核算及时、合规合法、审批流程齐全、附件资料完整，我办根据实际情况制定了适用于我办内部的内控制度，日常支出严格按照内控制度执行。</w:t>
      </w:r>
    </w:p>
    <w:p>
      <w:pPr>
        <w:spacing w:after="0" w:line="560" w:lineRule="exact"/>
        <w:ind w:firstLine="321" w:firstLineChars="100"/>
        <w:jc w:val="both"/>
        <w:rPr>
          <w:rFonts w:ascii="楷体_GB2312" w:eastAsia="楷体_GB2312"/>
          <w:b/>
          <w:sz w:val="32"/>
          <w:szCs w:val="32"/>
        </w:rPr>
      </w:pPr>
      <w:r>
        <w:rPr>
          <w:rFonts w:hint="eastAsia" w:ascii="楷体_GB2312" w:eastAsia="楷体_GB2312"/>
          <w:b/>
          <w:color w:val="000000"/>
          <w:kern w:val="2"/>
          <w:sz w:val="32"/>
          <w:szCs w:val="32"/>
        </w:rPr>
        <w:t>（四）整体绩效</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2020年基本支出179.64万元，主要用于保障机构正常运转、完成日常工作任务而发生的支出，包括人员经费和公用经费，开展日常工作。</w:t>
      </w:r>
    </w:p>
    <w:p>
      <w:pPr>
        <w:tabs>
          <w:tab w:val="left" w:pos="7020"/>
          <w:tab w:val="left" w:pos="7740"/>
        </w:tabs>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2020年项目支出214.49万元，主要保障网信工作的相关支出。</w:t>
      </w:r>
    </w:p>
    <w:p>
      <w:pPr>
        <w:spacing w:after="0" w:line="560" w:lineRule="exact"/>
        <w:ind w:firstLine="640" w:firstLineChars="200"/>
        <w:jc w:val="both"/>
        <w:rPr>
          <w:rFonts w:ascii="黑体" w:eastAsia="黑体" w:cs="仿宋"/>
          <w:color w:val="000000"/>
          <w:kern w:val="2"/>
          <w:sz w:val="32"/>
          <w:szCs w:val="32"/>
        </w:rPr>
      </w:pPr>
      <w:r>
        <w:rPr>
          <w:rFonts w:hint="eastAsia" w:ascii="黑体" w:eastAsia="黑体" w:cs="仿宋"/>
          <w:color w:val="000000"/>
          <w:kern w:val="2"/>
          <w:sz w:val="32"/>
          <w:szCs w:val="32"/>
        </w:rPr>
        <w:t>四、评价结论及建议</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（一）评价结论</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从自评情况来看，我</w:t>
      </w:r>
      <w:r>
        <w:rPr>
          <w:rFonts w:hint="eastAsia" w:ascii="仿宋_GB2312" w:eastAsia="仿宋_GB2312"/>
          <w:sz w:val="32"/>
          <w:szCs w:val="32"/>
          <w:lang w:val="en-US" w:eastAsia="zh-CN"/>
        </w:rPr>
        <w:t>办</w:t>
      </w:r>
      <w:r>
        <w:rPr>
          <w:rFonts w:hint="eastAsia" w:ascii="仿宋_GB2312" w:eastAsia="仿宋_GB2312"/>
          <w:sz w:val="32"/>
          <w:szCs w:val="32"/>
        </w:rPr>
        <w:t>支出绩效水平较高，整体上完成了年初设定的绩效目标，保障了我</w:t>
      </w:r>
      <w:r>
        <w:rPr>
          <w:rFonts w:hint="eastAsia" w:ascii="仿宋_GB2312" w:eastAsia="仿宋_GB2312"/>
          <w:sz w:val="32"/>
          <w:szCs w:val="32"/>
          <w:lang w:val="en-US" w:eastAsia="zh-CN"/>
        </w:rPr>
        <w:t>机关</w:t>
      </w:r>
      <w:r>
        <w:rPr>
          <w:rFonts w:hint="eastAsia" w:ascii="仿宋_GB2312" w:eastAsia="仿宋_GB2312"/>
          <w:sz w:val="32"/>
          <w:szCs w:val="32"/>
        </w:rPr>
        <w:t>工作的正常运转</w:t>
      </w:r>
      <w:r>
        <w:rPr>
          <w:rFonts w:ascii="仿宋_GB2312" w:eastAsia="仿宋_GB2312"/>
          <w:sz w:val="32"/>
          <w:szCs w:val="32"/>
        </w:rPr>
        <w:t>，</w:t>
      </w:r>
      <w:r>
        <w:rPr>
          <w:rFonts w:hint="eastAsia" w:ascii="仿宋_GB2312" w:eastAsia="仿宋_GB2312" w:cs="宋体"/>
          <w:sz w:val="32"/>
          <w:szCs w:val="32"/>
        </w:rPr>
        <w:t>圆满的完成了2020年各项工作任务。</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（二） 存在问题</w:t>
      </w:r>
      <w:bookmarkStart w:id="30" w:name="_GoBack"/>
      <w:bookmarkEnd w:id="30"/>
    </w:p>
    <w:p>
      <w:pPr>
        <w:spacing w:after="0" w:line="560" w:lineRule="exact"/>
        <w:ind w:firstLine="640"/>
        <w:jc w:val="both"/>
        <w:rPr>
          <w:rFonts w:ascii="仿宋_GB2312" w:eastAsia="仿宋_GB2312"/>
          <w:sz w:val="32"/>
          <w:szCs w:val="32"/>
        </w:rPr>
      </w:pPr>
      <w:r>
        <w:rPr>
          <w:rFonts w:hint="eastAsia" w:ascii="仿宋_GB2312" w:eastAsia="仿宋_GB2312"/>
          <w:sz w:val="32"/>
          <w:szCs w:val="32"/>
        </w:rPr>
        <w:t>从绩效评价看，部门支出预算和绩效评价工作还存在部分无法用量化指标来进行考评的问题</w:t>
      </w:r>
      <w:r>
        <w:rPr>
          <w:rFonts w:ascii="仿宋_GB2312" w:eastAsia="仿宋_GB2312"/>
          <w:sz w:val="32"/>
          <w:szCs w:val="32"/>
        </w:rPr>
        <w:t>；绩效评价在目标设定上存在过于简单，不能实现多元化目标等问题。</w:t>
      </w:r>
    </w:p>
    <w:p>
      <w:pPr>
        <w:spacing w:after="0" w:line="560" w:lineRule="exact"/>
        <w:ind w:firstLine="482" w:firstLineChars="150"/>
        <w:jc w:val="both"/>
        <w:rPr>
          <w:rFonts w:ascii="楷体_GB2312" w:eastAsia="楷体_GB2312"/>
          <w:b/>
          <w:color w:val="000000"/>
          <w:kern w:val="2"/>
          <w:sz w:val="32"/>
          <w:szCs w:val="32"/>
        </w:rPr>
      </w:pPr>
      <w:r>
        <w:rPr>
          <w:rFonts w:hint="eastAsia" w:ascii="楷体_GB2312" w:eastAsia="楷体_GB2312"/>
          <w:b/>
          <w:color w:val="000000"/>
          <w:kern w:val="2"/>
          <w:sz w:val="32"/>
          <w:szCs w:val="32"/>
        </w:rPr>
        <w:t>（三）改进建议</w:t>
      </w:r>
    </w:p>
    <w:p>
      <w:pPr>
        <w:spacing w:after="0" w:line="560" w:lineRule="exact"/>
        <w:ind w:firstLine="800" w:firstLineChars="250"/>
        <w:jc w:val="both"/>
        <w:rPr>
          <w:rFonts w:ascii="仿宋_GB2312" w:eastAsia="仿宋_GB2312"/>
          <w:sz w:val="32"/>
          <w:szCs w:val="32"/>
        </w:rPr>
      </w:pPr>
      <w:r>
        <w:rPr>
          <w:rFonts w:hint="eastAsia" w:ascii="仿宋_GB2312" w:eastAsia="仿宋_GB2312"/>
          <w:sz w:val="32"/>
          <w:szCs w:val="32"/>
        </w:rPr>
        <w:t>建议加强对绩效评价工作的培训和指导，</w:t>
      </w:r>
      <w:r>
        <w:rPr>
          <w:rFonts w:ascii="仿宋_GB2312" w:eastAsia="仿宋_GB2312"/>
          <w:sz w:val="32"/>
          <w:szCs w:val="32"/>
        </w:rPr>
        <w:t>构建合理的绩效评价体系，建立健全项目支出的各项制度，</w:t>
      </w:r>
      <w:r>
        <w:rPr>
          <w:rFonts w:hint="eastAsia" w:ascii="仿宋_GB2312" w:eastAsia="仿宋_GB2312"/>
          <w:sz w:val="32"/>
          <w:szCs w:val="32"/>
        </w:rPr>
        <w:t>进一步优化绩效考核指标体系。</w:t>
      </w:r>
    </w:p>
    <w:p>
      <w:pPr>
        <w:spacing w:after="0" w:line="560" w:lineRule="exact"/>
        <w:ind w:firstLine="550" w:firstLineChars="250"/>
        <w:rPr>
          <w:rFonts w:ascii="仿宋_GB2312" w:hAnsi="仿宋_GB231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ind w:firstLine="800" w:firstLineChars="250"/>
        <w:jc w:val="both"/>
        <w:rPr>
          <w:rFonts w:ascii="仿宋_GB2312" w:eastAsia="仿宋_GB2312"/>
          <w:sz w:val="32"/>
          <w:szCs w:val="32"/>
        </w:rPr>
      </w:pPr>
    </w:p>
    <w:p>
      <w:pPr>
        <w:spacing w:after="0" w:line="560" w:lineRule="exact"/>
        <w:jc w:val="both"/>
        <w:rPr>
          <w:rFonts w:ascii="仿宋_GB2312" w:eastAsia="仿宋_GB2312"/>
          <w:sz w:val="32"/>
          <w:szCs w:val="32"/>
        </w:rPr>
      </w:pPr>
    </w:p>
    <w:p>
      <w:pPr>
        <w:spacing w:line="600" w:lineRule="exact"/>
        <w:rPr>
          <w:rFonts w:ascii="仿宋_GB2312" w:hAnsi="仿宋_GB2312" w:eastAsia="仿宋_GB2312"/>
          <w:sz w:val="30"/>
          <w:szCs w:val="30"/>
        </w:rPr>
      </w:pPr>
      <w:bookmarkStart w:id="16" w:name="_Toc15396618"/>
      <w:r>
        <w:rPr>
          <w:rFonts w:hint="eastAsia" w:ascii="仿宋_GB2312" w:hAnsi="仿宋_GB2312" w:eastAsia="仿宋_GB2312"/>
          <w:sz w:val="30"/>
          <w:szCs w:val="30"/>
        </w:rPr>
        <w:t>附件2</w:t>
      </w:r>
    </w:p>
    <w:p>
      <w:pPr>
        <w:spacing w:line="600" w:lineRule="exact"/>
        <w:jc w:val="center"/>
        <w:rPr>
          <w:rFonts w:ascii="方正小标宋简体" w:eastAsia="方正小标宋简体"/>
          <w:color w:val="000000"/>
          <w:sz w:val="44"/>
          <w:szCs w:val="44"/>
          <w:lang w:val="zh-CN"/>
        </w:rPr>
      </w:pPr>
      <w:r>
        <w:rPr>
          <w:rFonts w:hint="eastAsia" w:ascii="方正小标宋简体" w:eastAsia="方正小标宋简体"/>
          <w:color w:val="000000"/>
          <w:sz w:val="44"/>
          <w:szCs w:val="44"/>
        </w:rPr>
        <w:t>2020年网络安全检查</w:t>
      </w:r>
      <w:r>
        <w:rPr>
          <w:rFonts w:hint="eastAsia" w:ascii="方正小标宋简体" w:eastAsia="方正小标宋简体"/>
          <w:color w:val="000000"/>
          <w:sz w:val="44"/>
          <w:szCs w:val="44"/>
          <w:lang w:val="zh-CN"/>
        </w:rPr>
        <w:t>绩效评价报告</w:t>
      </w:r>
    </w:p>
    <w:p>
      <w:pPr>
        <w:spacing w:after="0" w:line="560" w:lineRule="exact"/>
        <w:ind w:firstLine="720"/>
        <w:rPr>
          <w:rFonts w:ascii="黑体" w:eastAsia="黑体" w:cs="仿宋"/>
          <w:color w:val="000000"/>
          <w:kern w:val="2"/>
          <w:sz w:val="32"/>
          <w:szCs w:val="32"/>
          <w:lang w:val="zh-CN"/>
        </w:rPr>
      </w:pPr>
      <w:r>
        <w:rPr>
          <w:rFonts w:hint="eastAsia" w:ascii="黑体" w:eastAsia="黑体" w:cs="仿宋"/>
          <w:color w:val="000000"/>
          <w:kern w:val="2"/>
          <w:sz w:val="32"/>
          <w:szCs w:val="32"/>
        </w:rPr>
        <w:t>一、</w:t>
      </w:r>
      <w:r>
        <w:rPr>
          <w:rFonts w:hint="eastAsia" w:ascii="黑体" w:eastAsia="黑体" w:cs="仿宋"/>
          <w:color w:val="000000"/>
          <w:kern w:val="2"/>
          <w:sz w:val="32"/>
          <w:szCs w:val="32"/>
          <w:lang w:val="zh-CN"/>
        </w:rPr>
        <w:t>项目概况</w:t>
      </w:r>
    </w:p>
    <w:p>
      <w:pPr>
        <w:spacing w:after="0" w:line="56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spacing w:after="0" w:line="560" w:lineRule="exact"/>
        <w:ind w:firstLine="640" w:firstLineChars="200"/>
        <w:jc w:val="both"/>
        <w:rPr>
          <w:rFonts w:ascii="仿宋_GB2312" w:eastAsia="仿宋_GB2312"/>
          <w:color w:val="000000"/>
          <w:sz w:val="32"/>
          <w:szCs w:val="32"/>
        </w:rPr>
      </w:pPr>
      <w:r>
        <w:rPr>
          <w:rFonts w:hint="eastAsia" w:ascii="仿宋_GB2312" w:eastAsia="仿宋_GB2312"/>
          <w:sz w:val="32"/>
          <w:szCs w:val="32"/>
          <w:lang w:val="zh-CN"/>
        </w:rPr>
        <w:t>1</w:t>
      </w:r>
      <w:r>
        <w:rPr>
          <w:rFonts w:ascii="仿宋_GB2312" w:eastAsia="仿宋_GB2312"/>
          <w:sz w:val="32"/>
          <w:szCs w:val="32"/>
          <w:lang w:val="zh-CN"/>
        </w:rPr>
        <w:t>.</w:t>
      </w:r>
      <w:r>
        <w:rPr>
          <w:rFonts w:hint="eastAsia" w:ascii="仿宋_GB2312" w:eastAsia="仿宋_GB2312"/>
          <w:color w:val="000000"/>
          <w:sz w:val="32"/>
          <w:szCs w:val="32"/>
        </w:rPr>
        <w:t>2020年6月对州级10家单位信息系统开展现场网络安全检查，在被检查单位相关工作人员的鼎力支持和协助下，圆满完成2020年网络安全检查工作，强化了对我州网络安全工作的统筹协调及监督管理。</w:t>
      </w:r>
    </w:p>
    <w:p>
      <w:pPr>
        <w:spacing w:after="0" w:line="560" w:lineRule="exact"/>
        <w:ind w:firstLine="640" w:firstLineChars="200"/>
        <w:rPr>
          <w:rFonts w:ascii="仿宋_GB2312" w:eastAsia="仿宋_GB2312"/>
          <w:color w:val="000000"/>
          <w:sz w:val="32"/>
          <w:szCs w:val="32"/>
        </w:rPr>
      </w:pPr>
      <w:r>
        <w:rPr>
          <w:rFonts w:hint="eastAsia" w:ascii="仿宋_GB2312" w:eastAsia="仿宋_GB2312"/>
          <w:sz w:val="32"/>
          <w:szCs w:val="32"/>
          <w:lang w:val="zh-CN"/>
        </w:rPr>
        <w:t>2.资金来源：州级配套专项资金20万元。</w:t>
      </w:r>
    </w:p>
    <w:p>
      <w:pPr>
        <w:spacing w:after="0" w:line="560" w:lineRule="exact"/>
        <w:ind w:firstLine="640" w:firstLineChars="200"/>
        <w:jc w:val="both"/>
        <w:rPr>
          <w:rFonts w:ascii="仿宋_GB2312" w:eastAsia="仿宋_GB2312"/>
          <w:sz w:val="32"/>
          <w:szCs w:val="32"/>
          <w:lang w:val="zh-CN"/>
        </w:rPr>
      </w:pPr>
      <w:r>
        <w:rPr>
          <w:rFonts w:hint="eastAsia" w:ascii="仿宋_GB2312" w:eastAsia="仿宋_GB2312"/>
          <w:sz w:val="32"/>
          <w:szCs w:val="32"/>
          <w:lang w:val="zh-CN"/>
        </w:rPr>
        <w:t>3</w:t>
      </w:r>
      <w:r>
        <w:rPr>
          <w:rFonts w:ascii="仿宋_GB2312" w:eastAsia="仿宋_GB2312"/>
          <w:sz w:val="32"/>
          <w:szCs w:val="32"/>
          <w:lang w:val="zh-CN"/>
        </w:rPr>
        <w:t>.</w:t>
      </w:r>
      <w:r>
        <w:rPr>
          <w:rFonts w:hint="eastAsia" w:ascii="仿宋_GB2312" w:eastAsia="仿宋_GB2312"/>
          <w:sz w:val="32"/>
          <w:szCs w:val="32"/>
          <w:lang w:val="zh-CN"/>
        </w:rPr>
        <w:t>资金管理办法制定情况</w:t>
      </w:r>
      <w:r>
        <w:rPr>
          <w:rFonts w:ascii="仿宋_GB2312" w:eastAsia="仿宋_GB2312"/>
          <w:sz w:val="32"/>
          <w:szCs w:val="32"/>
          <w:lang w:val="zh-CN"/>
        </w:rPr>
        <w:t>：</w:t>
      </w:r>
      <w:r>
        <w:rPr>
          <w:rFonts w:hint="eastAsia" w:ascii="仿宋_GB2312" w:eastAsia="仿宋_GB2312"/>
          <w:sz w:val="32"/>
          <w:szCs w:val="32"/>
          <w:lang w:val="zh-CN"/>
        </w:rPr>
        <w:t>2020年下达我单位州级配套专项资金</w:t>
      </w:r>
      <w:r>
        <w:rPr>
          <w:rFonts w:hint="eastAsia" w:ascii="仿宋_GB2312" w:eastAsia="仿宋_GB2312"/>
          <w:sz w:val="32"/>
          <w:szCs w:val="32"/>
        </w:rPr>
        <w:t>20</w:t>
      </w:r>
      <w:r>
        <w:rPr>
          <w:rFonts w:hint="eastAsia" w:ascii="仿宋_GB2312" w:eastAsia="仿宋_GB2312"/>
          <w:sz w:val="32"/>
          <w:szCs w:val="32"/>
          <w:lang w:val="zh-CN"/>
        </w:rPr>
        <w:t>万元，用于2020年网络安全检查费用。该专项资金全部用于相关项目，未用于其他方面</w:t>
      </w:r>
      <w:r>
        <w:rPr>
          <w:rFonts w:ascii="仿宋_GB2312" w:eastAsia="仿宋_GB2312"/>
          <w:sz w:val="32"/>
          <w:szCs w:val="32"/>
          <w:lang w:val="zh-CN"/>
        </w:rPr>
        <w:t>。</w:t>
      </w:r>
    </w:p>
    <w:p>
      <w:pPr>
        <w:spacing w:after="0" w:line="56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spacing w:after="0" w:line="560" w:lineRule="exact"/>
        <w:ind w:firstLine="720"/>
        <w:jc w:val="both"/>
        <w:rPr>
          <w:rFonts w:ascii="仿宋_GB2312" w:eastAsia="仿宋_GB2312"/>
          <w:sz w:val="32"/>
          <w:szCs w:val="32"/>
          <w:lang w:val="zh-CN"/>
        </w:rPr>
      </w:pPr>
      <w:r>
        <w:rPr>
          <w:rFonts w:hint="eastAsia" w:ascii="仿宋_GB2312" w:eastAsia="仿宋_GB2312"/>
          <w:color w:val="000000"/>
          <w:sz w:val="32"/>
          <w:szCs w:val="32"/>
        </w:rPr>
        <w:t>通过2020年网络安全检查，进一步强化了对我州网络安全工作的统筹协调及监督管理，强化我州重要数据和个人信息保护，保障州内关键信息基础设施更加健康、平稳运行</w:t>
      </w:r>
      <w:r>
        <w:rPr>
          <w:rFonts w:hint="eastAsia" w:ascii="仿宋_GB2312" w:eastAsia="仿宋_GB2312"/>
          <w:sz w:val="32"/>
          <w:szCs w:val="32"/>
          <w:lang w:val="zh-CN"/>
        </w:rPr>
        <w:t>。</w:t>
      </w:r>
    </w:p>
    <w:p>
      <w:pPr>
        <w:spacing w:after="0" w:line="56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pStyle w:val="12"/>
        <w:widowControl/>
        <w:spacing w:line="560" w:lineRule="exact"/>
        <w:ind w:firstLine="640" w:firstLineChars="200"/>
        <w:jc w:val="both"/>
        <w:rPr>
          <w:rFonts w:ascii="仿宋_GB2312" w:eastAsia="仿宋_GB2312" w:cs="仿宋"/>
          <w:color w:val="333333"/>
          <w:sz w:val="32"/>
          <w:szCs w:val="32"/>
        </w:rPr>
      </w:pPr>
      <w:r>
        <w:rPr>
          <w:rFonts w:hint="eastAsia" w:ascii="仿宋_GB2312" w:eastAsia="仿宋_GB2312"/>
          <w:sz w:val="32"/>
          <w:szCs w:val="32"/>
          <w:lang w:val="zh-CN"/>
        </w:rPr>
        <w:t>通过</w:t>
      </w:r>
      <w:r>
        <w:rPr>
          <w:rFonts w:hint="eastAsia" w:ascii="仿宋_GB2312" w:eastAsia="仿宋_GB2312" w:cs="仿宋"/>
          <w:color w:val="333333"/>
          <w:sz w:val="32"/>
          <w:szCs w:val="32"/>
        </w:rPr>
        <w:t>严格按照项目实施流程，组建了由分管副主任任组长的2020年网络安全检查项目绩效评价工作领导小组，依照相关制度对项目进行专门监督和管理。</w:t>
      </w:r>
    </w:p>
    <w:p>
      <w:pPr>
        <w:spacing w:after="0" w:line="560" w:lineRule="exact"/>
        <w:ind w:firstLine="720"/>
        <w:rPr>
          <w:rFonts w:ascii="黑体" w:eastAsia="黑体" w:cs="仿宋"/>
          <w:color w:val="000000"/>
          <w:kern w:val="2"/>
          <w:sz w:val="32"/>
          <w:szCs w:val="32"/>
        </w:rPr>
      </w:pPr>
      <w:r>
        <w:rPr>
          <w:rFonts w:hint="eastAsia" w:ascii="黑体" w:eastAsia="黑体" w:cs="仿宋"/>
          <w:color w:val="000000"/>
          <w:kern w:val="2"/>
          <w:sz w:val="32"/>
          <w:szCs w:val="32"/>
        </w:rPr>
        <w:t>二、项目资金申报及使用情况</w:t>
      </w:r>
    </w:p>
    <w:p>
      <w:pPr>
        <w:spacing w:after="0" w:line="56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项目资金申报：州级配套专项资金20万元。</w:t>
      </w:r>
    </w:p>
    <w:p>
      <w:pPr>
        <w:spacing w:after="0" w:line="560" w:lineRule="exact"/>
        <w:ind w:firstLine="720"/>
        <w:rPr>
          <w:rFonts w:ascii="楷体_GB2312" w:eastAsia="楷体_GB2312"/>
          <w:b/>
          <w:sz w:val="32"/>
          <w:szCs w:val="32"/>
          <w:lang w:val="zh-CN"/>
        </w:rPr>
      </w:pPr>
      <w:r>
        <w:rPr>
          <w:rFonts w:hint="eastAsia" w:ascii="楷体_GB2312" w:eastAsia="楷体_GB2312"/>
          <w:b/>
          <w:sz w:val="32"/>
          <w:szCs w:val="32"/>
          <w:lang w:val="zh-CN"/>
        </w:rPr>
        <w:t>（二）资金计划、到位及使用情况</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1.资金计划</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2020年网络安全检查项目专项费用。</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2.资金到位</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2020年年初预算下达网络安全检查专项费用20万元。</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3.资金使用</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按照专款专用的原则,于2020年9月拨付2020年网络安全检查专项费用20万元。</w:t>
      </w:r>
    </w:p>
    <w:p>
      <w:pPr>
        <w:spacing w:after="0" w:line="560" w:lineRule="exact"/>
        <w:ind w:firstLine="720"/>
        <w:jc w:val="both"/>
        <w:rPr>
          <w:rFonts w:ascii="楷体_GB2312" w:eastAsia="楷体_GB2312"/>
          <w:sz w:val="32"/>
          <w:szCs w:val="32"/>
          <w:lang w:val="zh-CN"/>
        </w:rPr>
      </w:pPr>
      <w:r>
        <w:rPr>
          <w:rFonts w:hint="eastAsia" w:ascii="楷体_GB2312" w:eastAsia="楷体_GB2312"/>
          <w:sz w:val="32"/>
          <w:szCs w:val="32"/>
          <w:lang w:val="zh-CN"/>
        </w:rPr>
        <w:t>（三）项目财务管理情况</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总体评价2020年网络安全检查项目财务管理制度健全，严格执行财务管理制度，账务处理及时，会计核算规范。</w:t>
      </w:r>
    </w:p>
    <w:p>
      <w:pPr>
        <w:spacing w:after="0" w:line="560" w:lineRule="exact"/>
        <w:ind w:firstLine="720"/>
        <w:rPr>
          <w:rFonts w:ascii="黑体" w:eastAsia="黑体" w:cs="仿宋"/>
          <w:color w:val="000000"/>
          <w:kern w:val="2"/>
          <w:sz w:val="32"/>
          <w:szCs w:val="32"/>
        </w:rPr>
      </w:pPr>
      <w:r>
        <w:rPr>
          <w:rFonts w:hint="eastAsia" w:ascii="黑体" w:eastAsia="黑体" w:cs="仿宋"/>
          <w:color w:val="000000"/>
          <w:kern w:val="2"/>
          <w:sz w:val="32"/>
          <w:szCs w:val="32"/>
        </w:rPr>
        <w:t>三、项目实施及管理情况</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（一）项目管理</w:t>
      </w:r>
    </w:p>
    <w:p>
      <w:pPr>
        <w:spacing w:after="0"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资金分配情况：资金分配合理，不存在虚报项目套取财政资金和不符合申报条件的情况。</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（二）资金使用</w:t>
      </w:r>
    </w:p>
    <w:p>
      <w:pPr>
        <w:spacing w:after="0"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资金使用情况：项目资金使用管理科学合理、分配要素设定及测算依据选取等科学合理。</w:t>
      </w:r>
    </w:p>
    <w:p>
      <w:pPr>
        <w:spacing w:after="0" w:line="560" w:lineRule="exact"/>
        <w:ind w:firstLine="720"/>
        <w:rPr>
          <w:rFonts w:ascii="黑体" w:eastAsia="黑体" w:cs="仿宋"/>
          <w:color w:val="000000"/>
          <w:kern w:val="2"/>
          <w:sz w:val="32"/>
          <w:szCs w:val="32"/>
          <w:lang w:val="zh-CN"/>
        </w:rPr>
      </w:pPr>
      <w:r>
        <w:rPr>
          <w:rFonts w:hint="eastAsia" w:ascii="黑体" w:eastAsia="黑体" w:cs="仿宋"/>
          <w:color w:val="000000"/>
          <w:kern w:val="2"/>
          <w:sz w:val="32"/>
          <w:szCs w:val="32"/>
        </w:rPr>
        <w:t>四、项目绩效情况</w:t>
      </w:r>
      <w:r>
        <w:rPr>
          <w:rFonts w:hint="eastAsia" w:ascii="黑体" w:eastAsia="黑体" w:cs="仿宋"/>
          <w:color w:val="000000"/>
          <w:kern w:val="2"/>
          <w:sz w:val="32"/>
          <w:szCs w:val="32"/>
          <w:lang w:val="zh-CN"/>
        </w:rPr>
        <w:tab/>
      </w:r>
    </w:p>
    <w:p>
      <w:pPr>
        <w:pStyle w:val="23"/>
        <w:adjustRightInd w:val="0"/>
        <w:snapToGrid w:val="0"/>
        <w:spacing w:line="560" w:lineRule="exact"/>
        <w:ind w:left="167" w:leftChars="76" w:firstLine="640"/>
        <w:rPr>
          <w:rFonts w:ascii="仿宋_GB2312" w:eastAsia="仿宋_GB2312"/>
          <w:color w:val="000000"/>
          <w:sz w:val="32"/>
          <w:szCs w:val="32"/>
        </w:rPr>
      </w:pPr>
      <w:r>
        <w:rPr>
          <w:rFonts w:hint="eastAsia" w:ascii="仿宋_GB2312" w:eastAsia="仿宋_GB2312"/>
          <w:color w:val="000000"/>
          <w:sz w:val="32"/>
          <w:szCs w:val="32"/>
        </w:rPr>
        <w:t>按照项目实施计划于</w:t>
      </w:r>
      <w:r>
        <w:rPr>
          <w:rFonts w:hint="eastAsia" w:ascii="仿宋_GB2312" w:eastAsia="仿宋_GB2312"/>
          <w:sz w:val="32"/>
          <w:szCs w:val="32"/>
          <w:lang w:val="zh-CN"/>
        </w:rPr>
        <w:t>2020年6月</w:t>
      </w:r>
      <w:r>
        <w:rPr>
          <w:rFonts w:hint="eastAsia" w:ascii="仿宋_GB2312" w:eastAsia="仿宋_GB2312"/>
          <w:color w:val="000000"/>
          <w:sz w:val="32"/>
          <w:szCs w:val="32"/>
        </w:rPr>
        <w:t>完成了</w:t>
      </w:r>
      <w:r>
        <w:rPr>
          <w:rFonts w:hint="eastAsia" w:ascii="仿宋_GB2312" w:eastAsia="仿宋_GB2312"/>
          <w:sz w:val="32"/>
          <w:szCs w:val="32"/>
          <w:lang w:val="zh-CN"/>
        </w:rPr>
        <w:t>网络安全检查项目</w:t>
      </w:r>
      <w:r>
        <w:rPr>
          <w:rFonts w:hint="eastAsia" w:ascii="仿宋_GB2312" w:eastAsia="仿宋_GB2312"/>
          <w:color w:val="000000"/>
          <w:sz w:val="32"/>
          <w:szCs w:val="32"/>
        </w:rPr>
        <w:t>，强化了我州重要数据和个人信息的保护，强化了对我州网络安全工作的统筹协调及监督管理。</w:t>
      </w:r>
    </w:p>
    <w:p>
      <w:pPr>
        <w:spacing w:after="0" w:line="560" w:lineRule="exact"/>
        <w:ind w:firstLine="720"/>
        <w:rPr>
          <w:rFonts w:ascii="黑体" w:eastAsia="黑体" w:cs="仿宋"/>
          <w:color w:val="000000"/>
          <w:kern w:val="2"/>
          <w:sz w:val="32"/>
          <w:szCs w:val="32"/>
        </w:rPr>
      </w:pPr>
      <w:r>
        <w:rPr>
          <w:rFonts w:hint="eastAsia" w:ascii="黑体" w:eastAsia="黑体" w:cs="仿宋"/>
          <w:color w:val="000000"/>
          <w:kern w:val="2"/>
          <w:sz w:val="32"/>
          <w:szCs w:val="32"/>
        </w:rPr>
        <w:t>五、评价结论及建议</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（一）评价结论</w:t>
      </w:r>
    </w:p>
    <w:p>
      <w:pPr>
        <w:pStyle w:val="23"/>
        <w:adjustRightInd w:val="0"/>
        <w:snapToGrid w:val="0"/>
        <w:spacing w:line="560" w:lineRule="exact"/>
        <w:ind w:left="167" w:leftChars="76" w:firstLine="640"/>
        <w:rPr>
          <w:rFonts w:ascii="仿宋_GB2312" w:eastAsia="仿宋_GB2312"/>
          <w:color w:val="000000"/>
          <w:sz w:val="32"/>
          <w:szCs w:val="32"/>
        </w:rPr>
      </w:pPr>
      <w:r>
        <w:rPr>
          <w:rFonts w:hint="eastAsia" w:ascii="仿宋_GB2312" w:eastAsia="仿宋_GB2312"/>
          <w:color w:val="000000"/>
          <w:sz w:val="32"/>
          <w:szCs w:val="32"/>
        </w:rPr>
        <w:t>通过2020年网络安全检查，进一步强化了对我州网络安全工作的统筹协调及监督管理，强化我州重要数据和个人信息保护，保障州内关键信息基础设施更加健康、平稳运行。</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（二）存在的问题</w:t>
      </w:r>
    </w:p>
    <w:p>
      <w:pPr>
        <w:pStyle w:val="26"/>
        <w:spacing w:before="0" w:beforeAutospacing="0" w:after="0" w:afterAutospacing="0" w:line="560" w:lineRule="exact"/>
        <w:ind w:firstLine="800" w:firstLineChars="250"/>
        <w:rPr>
          <w:rFonts w:ascii="仿宋_GB2312" w:eastAsia="仿宋_GB2312" w:cs="Times New Roman"/>
          <w:color w:val="000000"/>
          <w:kern w:val="2"/>
          <w:sz w:val="32"/>
          <w:szCs w:val="32"/>
        </w:rPr>
      </w:pPr>
      <w:r>
        <w:rPr>
          <w:rFonts w:hint="eastAsia" w:ascii="仿宋_GB2312" w:eastAsia="仿宋_GB2312" w:cs="仿宋_GB2312"/>
          <w:color w:val="000000"/>
          <w:sz w:val="32"/>
          <w:szCs w:val="32"/>
        </w:rPr>
        <w:t>1.</w:t>
      </w:r>
      <w:r>
        <w:rPr>
          <w:rFonts w:hint="eastAsia" w:ascii="仿宋_GB2312" w:eastAsia="仿宋_GB2312" w:cs="仿宋_GB2312"/>
          <w:color w:val="000000"/>
          <w:kern w:val="2"/>
          <w:sz w:val="32"/>
          <w:szCs w:val="32"/>
        </w:rPr>
        <w:t>网络安全检查覆盖面相对较低，尚未完全实现“以查代</w:t>
      </w:r>
      <w:r>
        <w:rPr>
          <w:rFonts w:hint="eastAsia" w:ascii="仿宋_GB2312" w:eastAsia="仿宋_GB2312" w:cs="Times New Roman"/>
          <w:color w:val="000000"/>
          <w:sz w:val="32"/>
          <w:szCs w:val="32"/>
        </w:rPr>
        <w:t>促”的目的；</w:t>
      </w:r>
    </w:p>
    <w:p>
      <w:pPr>
        <w:spacing w:after="0" w:line="560" w:lineRule="exact"/>
        <w:ind w:firstLine="800" w:firstLineChars="250"/>
        <w:rPr>
          <w:rFonts w:ascii="仿宋_GB2312" w:eastAsia="仿宋_GB2312"/>
          <w:sz w:val="32"/>
          <w:szCs w:val="32"/>
          <w:lang w:val="zh-CN"/>
        </w:rPr>
      </w:pPr>
      <w:r>
        <w:rPr>
          <w:rFonts w:hint="eastAsia" w:ascii="仿宋_GB2312" w:eastAsia="仿宋_GB2312" w:cs="仿宋_GB2312"/>
          <w:color w:val="000000"/>
          <w:sz w:val="32"/>
          <w:szCs w:val="32"/>
        </w:rPr>
        <w:t>2.项目预算编制精准性有待提高；</w:t>
      </w:r>
    </w:p>
    <w:p>
      <w:pPr>
        <w:tabs>
          <w:tab w:val="left" w:pos="961"/>
        </w:tabs>
        <w:spacing w:after="0" w:line="560" w:lineRule="exact"/>
        <w:ind w:firstLine="800" w:firstLineChars="250"/>
        <w:rPr>
          <w:rFonts w:ascii="仿宋_GB2312" w:eastAsia="仿宋_GB2312" w:cs="仿宋_GB2312"/>
          <w:sz w:val="32"/>
          <w:szCs w:val="32"/>
        </w:rPr>
      </w:pPr>
      <w:r>
        <w:rPr>
          <w:rFonts w:hint="eastAsia" w:ascii="仿宋_GB2312" w:eastAsia="仿宋_GB2312" w:cs="仿宋_GB2312"/>
          <w:color w:val="000000"/>
          <w:sz w:val="32"/>
          <w:szCs w:val="32"/>
        </w:rPr>
        <w:t>3.项目预算执行力有待加强。</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（三）相关措施建议</w:t>
      </w:r>
    </w:p>
    <w:p>
      <w:pPr>
        <w:spacing w:after="0"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建议财政部门加强绩效评价相关工作的业务培训，组织相关单位人员学习交流相关经验及工作方法，达到更科学的编制预决算。</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36"/>
        <w:gridCol w:w="2450"/>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spacing w:after="0" w:line="700" w:lineRule="exact"/>
              <w:jc w:val="center"/>
              <w:textAlignment w:val="center"/>
              <w:rPr>
                <w:rFonts w:ascii="仿宋_GB2312" w:eastAsia="仿宋_GB2312" w:cs="宋体"/>
                <w:color w:val="000000"/>
                <w:sz w:val="32"/>
                <w:szCs w:val="32"/>
              </w:rPr>
            </w:pPr>
            <w:r>
              <w:rPr>
                <w:rFonts w:hint="eastAsia" w:ascii="方正小标宋简体" w:eastAsia="方正小标宋简体" w:cs="宋体"/>
                <w:b/>
                <w:bCs/>
                <w:color w:val="000000"/>
                <w:sz w:val="44"/>
                <w:szCs w:val="44"/>
              </w:rPr>
              <w:t>项目绩效目标完成情况表</w:t>
            </w:r>
            <w:r>
              <w:rPr>
                <w:rFonts w:hint="eastAsia" w:ascii="方正小标宋简体" w:eastAsia="方正小标宋简体" w:cs="宋体"/>
                <w:b/>
                <w:bCs/>
                <w:color w:val="000000"/>
                <w:sz w:val="44"/>
                <w:szCs w:val="44"/>
              </w:rPr>
              <w:br w:type="textWrapping"/>
            </w:r>
            <w:r>
              <w:rPr>
                <w:rFonts w:hint="eastAsia" w:ascii="仿宋_GB2312" w:eastAsia="仿宋_GB2312" w:cs="宋体"/>
                <w:color w:val="000000"/>
                <w:sz w:val="32"/>
                <w:szCs w:val="32"/>
              </w:rPr>
              <w:t>(2020 年度)</w:t>
            </w:r>
          </w:p>
          <w:p>
            <w:pPr>
              <w:spacing w:after="0" w:line="700" w:lineRule="exact"/>
              <w:textAlignment w:val="center"/>
              <w:rPr>
                <w:rFonts w:ascii="仿宋_GB2312" w:eastAsia="仿宋_GB2312" w:cs="宋体"/>
                <w:color w:val="000000"/>
                <w:sz w:val="36"/>
                <w:szCs w:val="36"/>
              </w:rPr>
            </w:pP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2020年网络安全检查</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中共阿坝州委网信办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20万元</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20万元</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20万元</w:t>
            </w:r>
          </w:p>
        </w:tc>
      </w:tr>
      <w:tr>
        <w:tblPrEx>
          <w:tblCellMar>
            <w:top w:w="0" w:type="dxa"/>
            <w:left w:w="0" w:type="dxa"/>
            <w:bottom w:w="0" w:type="dxa"/>
            <w:right w:w="0" w:type="dxa"/>
          </w:tblCellMar>
        </w:tblPrEx>
        <w:trPr>
          <w:trHeight w:val="2212"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0</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rPr>
                <w:rFonts w:ascii="仿宋_GB2312" w:eastAsia="仿宋_GB2312" w:cs="宋体"/>
                <w:color w:val="000000"/>
                <w:sz w:val="21"/>
                <w:szCs w:val="21"/>
              </w:rPr>
            </w:pPr>
            <w:r>
              <w:rPr>
                <w:rFonts w:hint="eastAsia" w:ascii="仿宋_GB2312" w:eastAsia="仿宋_GB2312" w:cs="宋体"/>
                <w:color w:val="000000"/>
                <w:sz w:val="21"/>
                <w:szCs w:val="21"/>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预期目标</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rPr>
                <w:rFonts w:ascii="仿宋_GB2312" w:eastAsia="仿宋_GB2312"/>
                <w:color w:val="000000"/>
                <w:sz w:val="21"/>
                <w:szCs w:val="21"/>
              </w:rPr>
            </w:pPr>
            <w:r>
              <w:rPr>
                <w:rFonts w:hint="eastAsia" w:ascii="仿宋_GB2312" w:eastAsia="仿宋_GB2312" w:cs="宋体"/>
                <w:color w:val="000000"/>
                <w:sz w:val="21"/>
                <w:szCs w:val="21"/>
              </w:rPr>
              <w:t>2020年计划对州级单位信息系统开展现场网络安全检查，强化我州重要数据和个人信息保护，保障州内关键信息基础设施更加健康、平稳运行。</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rPr>
                <w:rFonts w:ascii="仿宋_GB2312" w:eastAsia="仿宋_GB2312"/>
                <w:color w:val="000000"/>
                <w:sz w:val="21"/>
                <w:szCs w:val="21"/>
              </w:rPr>
            </w:pPr>
            <w:r>
              <w:rPr>
                <w:rFonts w:hint="eastAsia" w:ascii="仿宋_GB2312" w:eastAsia="仿宋_GB2312" w:cs="宋体"/>
                <w:color w:val="000000"/>
                <w:sz w:val="21"/>
                <w:szCs w:val="21"/>
              </w:rPr>
              <w:t>2020年6月对州级单位信息系统开展现场网络安全检查，在被检查单位相关工作人员的鼎力支持和协助下，圆满完成2020年网络安全检查工作，强化了对我州网络安全工作的统筹协调及监督管理。</w:t>
            </w:r>
          </w:p>
        </w:tc>
      </w:tr>
      <w:tr>
        <w:tblPrEx>
          <w:tblCellMar>
            <w:top w:w="0" w:type="dxa"/>
            <w:left w:w="0" w:type="dxa"/>
            <w:bottom w:w="0" w:type="dxa"/>
            <w:right w:w="0" w:type="dxa"/>
          </w:tblCellMar>
        </w:tblPrEx>
        <w:trPr>
          <w:trHeight w:val="797"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实际完成指标值(包含数字及文字描述)</w:t>
            </w:r>
          </w:p>
        </w:tc>
      </w:tr>
      <w:tr>
        <w:tblPrEx>
          <w:tblCellMar>
            <w:top w:w="0" w:type="dxa"/>
            <w:left w:w="0" w:type="dxa"/>
            <w:bottom w:w="0" w:type="dxa"/>
            <w:right w:w="0" w:type="dxa"/>
          </w:tblCellMar>
        </w:tblPrEx>
        <w:trPr>
          <w:trHeight w:val="554"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开展网路安全检查工作</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2020年全年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2020年全年</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质量指标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2020年网络安全检查方案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rPr>
                <w:rFonts w:ascii="仿宋_GB2312" w:eastAsia="仿宋_GB2312" w:cs="宋体"/>
                <w:color w:val="000000"/>
                <w:sz w:val="21"/>
                <w:szCs w:val="21"/>
              </w:rPr>
            </w:pPr>
            <w:r>
              <w:rPr>
                <w:rFonts w:hint="eastAsia" w:ascii="仿宋_GB2312" w:eastAsia="仿宋_GB2312" w:cs="宋体"/>
                <w:color w:val="000000"/>
                <w:sz w:val="21"/>
                <w:szCs w:val="21"/>
              </w:rPr>
              <w:t>2020年计划对州级单位信息系统开展现场网络安全检查</w:t>
            </w:r>
            <w:r>
              <w:rPr>
                <w:rFonts w:ascii="仿宋_GB2312" w:eastAsia="仿宋_GB2312" w:cs="宋体"/>
                <w:color w:val="000000"/>
                <w:sz w:val="21"/>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rPr>
                <w:rFonts w:ascii="仿宋_GB2312" w:eastAsia="仿宋_GB2312" w:cs="宋体"/>
                <w:color w:val="000000"/>
                <w:sz w:val="21"/>
                <w:szCs w:val="21"/>
              </w:rPr>
            </w:pPr>
            <w:r>
              <w:rPr>
                <w:rFonts w:hint="eastAsia" w:ascii="仿宋_GB2312" w:eastAsia="仿宋_GB2312" w:cs="宋体"/>
                <w:color w:val="000000"/>
                <w:sz w:val="21"/>
                <w:szCs w:val="21"/>
              </w:rPr>
              <w:t>2020年6月对州级单位信息系统开展现场网络安全检查，在被检查单位相关工作人员的鼎力支持和协助下，圆满完成2020年网络安全检查工作，强化了对我州网络安全工作的统筹协调及监督管理。</w:t>
            </w:r>
          </w:p>
        </w:tc>
      </w:tr>
      <w:tr>
        <w:tblPrEx>
          <w:tblCellMar>
            <w:top w:w="0" w:type="dxa"/>
            <w:left w:w="0" w:type="dxa"/>
            <w:bottom w:w="0" w:type="dxa"/>
            <w:right w:w="0" w:type="dxa"/>
          </w:tblCellMar>
        </w:tblPrEx>
        <w:trPr>
          <w:trHeight w:val="779"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成本指标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20万元内</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20万元</w:t>
            </w:r>
          </w:p>
        </w:tc>
      </w:tr>
      <w:tr>
        <w:tblPrEx>
          <w:tblCellMar>
            <w:top w:w="0" w:type="dxa"/>
            <w:left w:w="0" w:type="dxa"/>
            <w:bottom w:w="0" w:type="dxa"/>
            <w:right w:w="0" w:type="dxa"/>
          </w:tblCellMar>
        </w:tblPrEx>
        <w:trPr>
          <w:trHeight w:val="69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效益</w:t>
            </w:r>
          </w:p>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textAlignment w:val="center"/>
              <w:rPr>
                <w:rFonts w:ascii="仿宋_GB2312" w:eastAsia="仿宋_GB2312" w:cs="宋体"/>
                <w:color w:val="000000"/>
                <w:sz w:val="21"/>
                <w:szCs w:val="21"/>
              </w:rPr>
            </w:pPr>
            <w:r>
              <w:rPr>
                <w:rFonts w:hint="eastAsia" w:ascii="仿宋_GB2312" w:eastAsia="仿宋_GB2312" w:cs="宋体"/>
                <w:color w:val="000000"/>
                <w:sz w:val="21"/>
                <w:szCs w:val="21"/>
              </w:rPr>
              <w:t>社会效益</w:t>
            </w:r>
          </w:p>
          <w:p>
            <w:pPr>
              <w:spacing w:after="0" w:line="560" w:lineRule="exact"/>
              <w:textAlignment w:val="center"/>
              <w:rPr>
                <w:rFonts w:ascii="仿宋_GB2312" w:eastAsia="仿宋_GB2312" w:cs="宋体"/>
                <w:color w:val="000000"/>
                <w:sz w:val="21"/>
                <w:szCs w:val="21"/>
              </w:rPr>
            </w:pPr>
            <w:r>
              <w:rPr>
                <w:rFonts w:hint="eastAsia" w:ascii="仿宋_GB2312" w:eastAsia="仿宋_GB2312" w:cs="宋体"/>
                <w:color w:val="000000"/>
                <w:sz w:val="21"/>
                <w:szCs w:val="21"/>
              </w:rPr>
              <w:t>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社会效益</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强化我州重要数据和个人信息保护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强化我州重要数据和个人信息保护</w:t>
            </w:r>
          </w:p>
        </w:tc>
      </w:tr>
      <w:tr>
        <w:tblPrEx>
          <w:tblCellMar>
            <w:top w:w="0" w:type="dxa"/>
            <w:left w:w="0" w:type="dxa"/>
            <w:bottom w:w="0" w:type="dxa"/>
            <w:right w:w="0" w:type="dxa"/>
          </w:tblCellMar>
        </w:tblPrEx>
        <w:trPr>
          <w:trHeight w:val="684"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textAlignment w:val="center"/>
              <w:rPr>
                <w:rFonts w:ascii="仿宋_GB2312" w:eastAsia="仿宋_GB2312" w:cs="宋体"/>
                <w:color w:val="000000"/>
                <w:sz w:val="21"/>
                <w:szCs w:val="21"/>
              </w:rPr>
            </w:pPr>
            <w:r>
              <w:rPr>
                <w:rFonts w:hint="eastAsia" w:ascii="仿宋_GB2312" w:eastAsia="仿宋_GB2312" w:cs="宋体"/>
                <w:color w:val="000000"/>
                <w:sz w:val="21"/>
                <w:szCs w:val="21"/>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群众满意度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90%</w:t>
            </w:r>
          </w:p>
        </w:tc>
      </w:tr>
    </w:tbl>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jc w:val="both"/>
        <w:rPr>
          <w:rFonts w:ascii="黑体" w:eastAsia="黑体"/>
          <w:color w:val="000000"/>
          <w:sz w:val="32"/>
          <w:szCs w:val="32"/>
        </w:rPr>
      </w:pPr>
    </w:p>
    <w:p>
      <w:pPr>
        <w:spacing w:after="0" w:line="560" w:lineRule="exact"/>
        <w:rPr>
          <w:rFonts w:ascii="仿宋_GB2312" w:eastAsia="仿宋_GB2312" w:cs="仿宋_GB2312"/>
          <w:sz w:val="30"/>
          <w:szCs w:val="30"/>
        </w:rPr>
      </w:pPr>
    </w:p>
    <w:p>
      <w:pPr>
        <w:spacing w:after="0" w:line="560" w:lineRule="exact"/>
        <w:rPr>
          <w:rFonts w:ascii="仿宋_GB2312" w:eastAsia="仿宋_GB2312" w:cs="仿宋_GB2312"/>
          <w:sz w:val="30"/>
          <w:szCs w:val="30"/>
        </w:rPr>
      </w:pPr>
    </w:p>
    <w:p>
      <w:pPr>
        <w:spacing w:after="0" w:line="560" w:lineRule="exact"/>
        <w:rPr>
          <w:rFonts w:hint="eastAsia" w:ascii="仿宋_GB2312" w:eastAsia="仿宋_GB2312" w:cs="仿宋_GB2312"/>
          <w:sz w:val="30"/>
          <w:szCs w:val="30"/>
        </w:rPr>
      </w:pPr>
    </w:p>
    <w:p>
      <w:pPr>
        <w:spacing w:after="0" w:line="560" w:lineRule="exact"/>
        <w:rPr>
          <w:rFonts w:ascii="仿宋_GB2312" w:eastAsia="仿宋_GB2312" w:cs="仿宋_GB2312"/>
          <w:sz w:val="30"/>
          <w:szCs w:val="30"/>
        </w:rPr>
      </w:pPr>
    </w:p>
    <w:p>
      <w:pPr>
        <w:spacing w:after="0" w:line="560" w:lineRule="exact"/>
        <w:rPr>
          <w:rFonts w:ascii="仿宋_GB2312" w:eastAsia="仿宋_GB2312" w:cs="仿宋_GB2312"/>
          <w:sz w:val="30"/>
          <w:szCs w:val="30"/>
        </w:rPr>
      </w:pPr>
      <w:r>
        <w:rPr>
          <w:rFonts w:hint="eastAsia" w:ascii="仿宋_GB2312" w:eastAsia="仿宋_GB2312" w:cs="仿宋_GB2312"/>
          <w:sz w:val="30"/>
          <w:szCs w:val="30"/>
        </w:rPr>
        <w:t>附加3</w:t>
      </w:r>
    </w:p>
    <w:p>
      <w:pPr>
        <w:spacing w:after="0" w:line="560" w:lineRule="exact"/>
        <w:jc w:val="center"/>
        <w:rPr>
          <w:rFonts w:ascii="方正小标宋简体" w:eastAsia="方正小标宋简体" w:cs="仿宋_GB2312"/>
          <w:sz w:val="44"/>
          <w:szCs w:val="44"/>
        </w:rPr>
      </w:pPr>
      <w:r>
        <w:rPr>
          <w:rFonts w:hint="eastAsia" w:ascii="方正小标宋简体" w:eastAsia="方正小标宋简体" w:cs="仿宋_GB2312"/>
          <w:sz w:val="44"/>
          <w:szCs w:val="44"/>
        </w:rPr>
        <w:t>2020年阿坝州网络安全宣传周</w:t>
      </w:r>
    </w:p>
    <w:p>
      <w:pPr>
        <w:spacing w:after="0" w:line="560" w:lineRule="exact"/>
        <w:jc w:val="center"/>
        <w:rPr>
          <w:rFonts w:ascii="方正小标宋简体" w:eastAsia="方正小标宋简体" w:cs="仿宋_GB2312"/>
          <w:sz w:val="44"/>
          <w:szCs w:val="44"/>
        </w:rPr>
      </w:pPr>
      <w:r>
        <w:rPr>
          <w:rFonts w:hint="eastAsia" w:ascii="方正小标宋简体" w:eastAsia="方正小标宋简体" w:cs="仿宋_GB2312"/>
          <w:sz w:val="44"/>
          <w:szCs w:val="44"/>
        </w:rPr>
        <w:t>项目绩效评价报告</w:t>
      </w:r>
    </w:p>
    <w:p>
      <w:pPr>
        <w:spacing w:after="0" w:line="560" w:lineRule="exact"/>
        <w:jc w:val="center"/>
        <w:rPr>
          <w:rFonts w:ascii="黑体" w:eastAsia="黑体"/>
          <w:sz w:val="44"/>
          <w:szCs w:val="44"/>
          <w:lang w:val="zh-CN"/>
        </w:rPr>
      </w:pPr>
    </w:p>
    <w:p>
      <w:pPr>
        <w:spacing w:after="0" w:line="56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（一）项目基本情况</w:t>
      </w:r>
    </w:p>
    <w:p>
      <w:pPr>
        <w:spacing w:after="0" w:line="560" w:lineRule="exact"/>
        <w:ind w:firstLine="800" w:firstLineChars="250"/>
        <w:jc w:val="both"/>
        <w:rPr>
          <w:rFonts w:ascii="仿宋_GB2312" w:eastAsia="仿宋_GB2312"/>
          <w:sz w:val="32"/>
          <w:szCs w:val="32"/>
          <w:lang w:val="zh-CN"/>
        </w:rPr>
      </w:pPr>
      <w:r>
        <w:rPr>
          <w:rFonts w:hint="eastAsia" w:ascii="仿宋_GB2312" w:eastAsia="仿宋_GB2312" w:cs="仿宋_GB2312"/>
          <w:bCs/>
          <w:color w:val="000000"/>
          <w:sz w:val="32"/>
          <w:szCs w:val="32"/>
          <w:shd w:val="clear" w:color="auto" w:fill="FFFFFF"/>
        </w:rPr>
        <w:t>1.</w:t>
      </w:r>
      <w:r>
        <w:rPr>
          <w:rFonts w:hint="eastAsia" w:ascii="仿宋_GB2312" w:eastAsia="仿宋_GB2312" w:cs="仿宋_GB2312"/>
          <w:sz w:val="32"/>
          <w:szCs w:val="32"/>
        </w:rPr>
        <w:t>组织各部门业务骨干和双语干部</w:t>
      </w:r>
      <w:r>
        <w:rPr>
          <w:rFonts w:hint="eastAsia" w:ascii="仿宋_GB2312" w:eastAsia="仿宋_GB2312" w:cs="仿宋_GB2312"/>
          <w:color w:val="000000"/>
          <w:sz w:val="32"/>
          <w:szCs w:val="32"/>
          <w:shd w:val="clear" w:color="auto" w:fill="FFFFFF"/>
        </w:rPr>
        <w:t>村社区、校园、寺庙等地开展宣传活动，为学生、当地农牧民群众、寺庙僧侣讲解个人信息安全保护、金融网络安全等知识，使网络安全意识深入到了广大人民群众心中，进一步增强群众的安全意识和防范能力</w:t>
      </w:r>
      <w:r>
        <w:rPr>
          <w:rFonts w:hint="eastAsia" w:ascii="仿宋_GB2312" w:eastAsia="仿宋_GB2312"/>
          <w:sz w:val="32"/>
          <w:szCs w:val="32"/>
          <w:lang w:val="zh-CN"/>
        </w:rPr>
        <w:t>。</w:t>
      </w:r>
    </w:p>
    <w:p>
      <w:pPr>
        <w:spacing w:after="0" w:line="560" w:lineRule="exact"/>
        <w:ind w:firstLine="800" w:firstLineChars="250"/>
        <w:jc w:val="both"/>
        <w:rPr>
          <w:rFonts w:eastAsia="仿宋_GB2312"/>
          <w:color w:val="000000"/>
          <w:sz w:val="32"/>
          <w:szCs w:val="32"/>
        </w:rPr>
      </w:pPr>
      <w:r>
        <w:rPr>
          <w:rFonts w:hint="eastAsia" w:ascii="仿宋_GB2312" w:eastAsia="仿宋_GB2312"/>
          <w:sz w:val="32"/>
          <w:szCs w:val="32"/>
          <w:lang w:val="zh-CN"/>
        </w:rPr>
        <w:t>2.资金来源：州级配套专项资金10万元。</w:t>
      </w:r>
    </w:p>
    <w:p>
      <w:pPr>
        <w:spacing w:after="0" w:line="560" w:lineRule="exact"/>
        <w:ind w:firstLine="800" w:firstLineChars="250"/>
        <w:jc w:val="both"/>
        <w:rPr>
          <w:rFonts w:ascii="仿宋_GB2312" w:eastAsia="仿宋_GB2312"/>
          <w:sz w:val="32"/>
          <w:szCs w:val="32"/>
          <w:lang w:val="zh-CN"/>
        </w:rPr>
      </w:pPr>
      <w:r>
        <w:rPr>
          <w:rFonts w:hint="eastAsia" w:ascii="仿宋_GB2312" w:eastAsia="仿宋_GB2312"/>
          <w:sz w:val="32"/>
          <w:szCs w:val="32"/>
          <w:lang w:val="zh-CN"/>
        </w:rPr>
        <w:t>3</w:t>
      </w:r>
      <w:r>
        <w:rPr>
          <w:rFonts w:ascii="仿宋_GB2312" w:eastAsia="仿宋_GB2312"/>
          <w:sz w:val="32"/>
          <w:szCs w:val="32"/>
          <w:lang w:val="zh-CN"/>
        </w:rPr>
        <w:t>.</w:t>
      </w:r>
      <w:r>
        <w:rPr>
          <w:rFonts w:hint="eastAsia" w:ascii="仿宋_GB2312" w:eastAsia="仿宋_GB2312"/>
          <w:sz w:val="32"/>
          <w:szCs w:val="32"/>
          <w:lang w:val="zh-CN"/>
        </w:rPr>
        <w:t>资金管理办法制定情况:2020年下达我单位州级配套专项资金</w:t>
      </w:r>
      <w:r>
        <w:rPr>
          <w:rFonts w:hint="eastAsia" w:ascii="仿宋_GB2312" w:eastAsia="仿宋_GB2312"/>
          <w:sz w:val="32"/>
          <w:szCs w:val="32"/>
        </w:rPr>
        <w:t>10</w:t>
      </w:r>
      <w:r>
        <w:rPr>
          <w:rFonts w:hint="eastAsia" w:ascii="仿宋_GB2312" w:eastAsia="仿宋_GB2312"/>
          <w:sz w:val="32"/>
          <w:szCs w:val="32"/>
          <w:lang w:val="zh-CN"/>
        </w:rPr>
        <w:t>万元，用于阿坝州网络安全宣传周项目费用。该专项资金全部用于相关项目，未用于其他方面。</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（二）项目绩效目标</w:t>
      </w:r>
    </w:p>
    <w:p>
      <w:pPr>
        <w:spacing w:after="0" w:line="560" w:lineRule="exact"/>
        <w:ind w:firstLine="640" w:firstLineChars="200"/>
        <w:jc w:val="both"/>
        <w:rPr>
          <w:rFonts w:ascii="仿宋_GB2312" w:eastAsia="仿宋_GB2312" w:cs="仿宋_GB2312"/>
          <w:color w:val="000000"/>
          <w:sz w:val="32"/>
          <w:szCs w:val="32"/>
          <w:shd w:val="clear" w:color="auto" w:fill="FFFFFF"/>
        </w:rPr>
      </w:pPr>
      <w:r>
        <w:rPr>
          <w:rFonts w:hint="eastAsia" w:ascii="仿宋_GB2312" w:eastAsia="仿宋_GB2312" w:cs="仿宋_GB2312"/>
          <w:bCs/>
          <w:color w:val="000000"/>
          <w:sz w:val="32"/>
          <w:szCs w:val="32"/>
          <w:shd w:val="clear" w:color="auto" w:fill="FFFFFF"/>
        </w:rPr>
        <w:t>2020年网络安全宣传周开展活动，</w:t>
      </w:r>
      <w:r>
        <w:rPr>
          <w:rFonts w:hint="eastAsia" w:ascii="仿宋_GB2312" w:eastAsia="仿宋_GB2312" w:cs="仿宋_GB2312"/>
          <w:color w:val="000000"/>
          <w:sz w:val="32"/>
          <w:szCs w:val="32"/>
          <w:shd w:val="clear" w:color="auto" w:fill="FFFFFF"/>
        </w:rPr>
        <w:t>使网络安全意识深入到广大人民群众心中，进一步增强群众的安全意识和防范能力。</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（三）项目自评步骤及方法</w:t>
      </w:r>
    </w:p>
    <w:p>
      <w:pPr>
        <w:shd w:val="clear" w:color="auto" w:fill="FFFFFF"/>
        <w:spacing w:after="0" w:line="560" w:lineRule="exact"/>
        <w:ind w:firstLine="640" w:firstLineChars="200"/>
        <w:rPr>
          <w:rFonts w:ascii="楷体_GB2312" w:eastAsia="楷体_GB2312"/>
          <w:b/>
          <w:sz w:val="32"/>
          <w:szCs w:val="32"/>
          <w:lang w:val="zh-CN"/>
        </w:rPr>
      </w:pPr>
      <w:r>
        <w:rPr>
          <w:rFonts w:hint="eastAsia" w:ascii="仿宋_GB2312" w:eastAsia="仿宋_GB2312"/>
          <w:sz w:val="32"/>
          <w:szCs w:val="32"/>
          <w:lang w:val="zh-CN"/>
        </w:rPr>
        <w:t>通过</w:t>
      </w:r>
      <w:r>
        <w:rPr>
          <w:rFonts w:hint="eastAsia" w:ascii="仿宋_GB2312" w:eastAsia="仿宋_GB2312" w:cs="仿宋"/>
          <w:color w:val="333333"/>
          <w:sz w:val="32"/>
          <w:szCs w:val="32"/>
        </w:rPr>
        <w:t>严格按照项目实施流程，组建了由分管副主任任组长的</w:t>
      </w:r>
      <w:r>
        <w:rPr>
          <w:rFonts w:hint="eastAsia" w:ascii="仿宋_GB2312" w:eastAsia="仿宋_GB2312" w:cs="仿宋_GB2312"/>
          <w:sz w:val="32"/>
          <w:szCs w:val="32"/>
        </w:rPr>
        <w:t>阿坝州网络安全宣传周项目</w:t>
      </w:r>
      <w:r>
        <w:rPr>
          <w:rFonts w:hint="eastAsia" w:ascii="仿宋_GB2312" w:eastAsia="仿宋_GB2312" w:cs="仿宋"/>
          <w:color w:val="333333"/>
          <w:sz w:val="32"/>
          <w:szCs w:val="32"/>
        </w:rPr>
        <w:t>的绩效评价领导小组，依照相关制度对项目进行专门监督和管理。</w:t>
      </w:r>
    </w:p>
    <w:p>
      <w:pPr>
        <w:spacing w:after="0" w:line="560" w:lineRule="exact"/>
        <w:ind w:firstLine="720"/>
        <w:rPr>
          <w:rFonts w:ascii="黑体" w:eastAsia="黑体"/>
          <w:sz w:val="32"/>
          <w:szCs w:val="32"/>
        </w:rPr>
      </w:pPr>
      <w:r>
        <w:rPr>
          <w:rFonts w:hint="eastAsia" w:ascii="黑体" w:eastAsia="黑体"/>
          <w:sz w:val="32"/>
          <w:szCs w:val="32"/>
        </w:rPr>
        <w:t>二、项目资金申报及使用情况</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（一）项目资金申报及批复情况</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项目资金申报：州级配套专项资金10万元。</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（二）资金计划、到位及使用情况</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1.资金计划</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资金专项使用于</w:t>
      </w:r>
      <w:r>
        <w:rPr>
          <w:rFonts w:hint="eastAsia" w:ascii="仿宋_GB2312" w:eastAsia="仿宋_GB2312" w:cs="仿宋_GB2312"/>
          <w:sz w:val="32"/>
          <w:szCs w:val="32"/>
        </w:rPr>
        <w:t>阿坝州网络安全宣传周项目</w:t>
      </w:r>
      <w:r>
        <w:rPr>
          <w:rFonts w:hint="eastAsia" w:ascii="仿宋_GB2312" w:eastAsia="仿宋_GB2312"/>
          <w:sz w:val="32"/>
          <w:szCs w:val="32"/>
          <w:lang w:val="zh-CN"/>
        </w:rPr>
        <w:t>的相关活动。</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2.资金到位</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2020年年初下达预算经费项目费用10万元。</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3.资金使用</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按照专款专用的原则，于2020年11月拨付</w:t>
      </w:r>
      <w:r>
        <w:rPr>
          <w:rFonts w:hint="eastAsia" w:ascii="仿宋_GB2312" w:eastAsia="仿宋_GB2312" w:cs="仿宋_GB2312"/>
          <w:sz w:val="32"/>
          <w:szCs w:val="32"/>
        </w:rPr>
        <w:t>阿坝州网络宣传服务采购项目</w:t>
      </w:r>
      <w:r>
        <w:rPr>
          <w:rFonts w:hint="eastAsia" w:ascii="仿宋_GB2312" w:eastAsia="仿宋_GB2312"/>
          <w:sz w:val="32"/>
          <w:szCs w:val="32"/>
          <w:lang w:val="zh-CN"/>
        </w:rPr>
        <w:t>专项费用9.77万元。</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（三）项目财务管理情况</w:t>
      </w:r>
    </w:p>
    <w:p>
      <w:pPr>
        <w:spacing w:after="0" w:line="560" w:lineRule="exact"/>
        <w:ind w:firstLine="720"/>
        <w:rPr>
          <w:rFonts w:ascii="仿宋_GB2312" w:eastAsia="仿宋_GB2312"/>
          <w:sz w:val="32"/>
          <w:szCs w:val="32"/>
          <w:lang w:val="zh-CN"/>
        </w:rPr>
      </w:pPr>
      <w:r>
        <w:rPr>
          <w:rFonts w:hint="eastAsia" w:ascii="仿宋_GB2312" w:eastAsia="仿宋_GB2312"/>
          <w:sz w:val="32"/>
          <w:szCs w:val="32"/>
          <w:lang w:val="zh-CN"/>
        </w:rPr>
        <w:t>总体评价</w:t>
      </w:r>
      <w:r>
        <w:rPr>
          <w:rFonts w:hint="eastAsia" w:ascii="仿宋_GB2312" w:eastAsia="仿宋_GB2312" w:cs="仿宋_GB2312"/>
          <w:sz w:val="32"/>
          <w:szCs w:val="32"/>
        </w:rPr>
        <w:t>阿坝州网络安全宣传周项目</w:t>
      </w:r>
      <w:r>
        <w:rPr>
          <w:rFonts w:hint="eastAsia" w:ascii="仿宋_GB2312" w:eastAsia="仿宋_GB2312"/>
          <w:sz w:val="32"/>
          <w:szCs w:val="32"/>
          <w:lang w:val="zh-CN"/>
        </w:rPr>
        <w:t>财务管理制度健全，严格执行财务管理制度，账务处理及时，会计核算规范。</w:t>
      </w:r>
    </w:p>
    <w:p>
      <w:pPr>
        <w:spacing w:after="0" w:line="560" w:lineRule="exact"/>
        <w:ind w:firstLine="720"/>
        <w:rPr>
          <w:rFonts w:ascii="黑体" w:eastAsia="黑体"/>
          <w:sz w:val="32"/>
          <w:szCs w:val="32"/>
        </w:rPr>
      </w:pPr>
      <w:r>
        <w:rPr>
          <w:rFonts w:hint="eastAsia" w:ascii="黑体" w:eastAsia="黑体"/>
          <w:sz w:val="32"/>
          <w:szCs w:val="32"/>
        </w:rPr>
        <w:t>三、项目实施及管理情况</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（一）项目管理</w:t>
      </w:r>
    </w:p>
    <w:p>
      <w:pPr>
        <w:spacing w:after="0"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资金分配情况：资金分配合理，不存在虚报项目套取财政资金和不符合申报条件的情况。</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rPr>
        <w:t>（</w:t>
      </w:r>
      <w:r>
        <w:rPr>
          <w:rFonts w:hint="eastAsia" w:ascii="楷体_GB2312" w:eastAsia="楷体_GB2312" w:cs="仿宋_GB2312"/>
          <w:b/>
          <w:sz w:val="32"/>
          <w:szCs w:val="32"/>
          <w:lang w:val="zh-CN"/>
        </w:rPr>
        <w:t>二）资金使用</w:t>
      </w:r>
    </w:p>
    <w:p>
      <w:pPr>
        <w:spacing w:after="0"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资金使用情况：项目资金使用管理科学合理、分配要素设定及测算依据选取等科学合理。</w:t>
      </w:r>
    </w:p>
    <w:p>
      <w:pPr>
        <w:spacing w:after="0" w:line="560" w:lineRule="exact"/>
        <w:ind w:firstLine="880" w:firstLineChars="275"/>
        <w:rPr>
          <w:rFonts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pPr>
        <w:spacing w:after="0" w:line="560" w:lineRule="exact"/>
        <w:ind w:firstLine="640" w:firstLineChars="200"/>
        <w:jc w:val="both"/>
        <w:rPr>
          <w:rFonts w:ascii="仿宋_GB2312" w:eastAsia="仿宋_GB2312" w:cs="仿宋_GB2312"/>
          <w:color w:val="000000"/>
          <w:sz w:val="32"/>
          <w:szCs w:val="32"/>
          <w:shd w:val="clear" w:color="auto" w:fill="FFFFFF"/>
        </w:rPr>
      </w:pPr>
      <w:r>
        <w:rPr>
          <w:rFonts w:hint="eastAsia" w:ascii="仿宋_GB2312" w:eastAsia="仿宋_GB2312" w:cs="仿宋_GB2312"/>
          <w:bCs/>
          <w:color w:val="000000"/>
          <w:sz w:val="32"/>
          <w:szCs w:val="32"/>
          <w:shd w:val="clear" w:color="auto" w:fill="FFFFFF"/>
        </w:rPr>
        <w:t>2020年网络安全宣传周启动仪式当天，全州各地在广场、街区等人员</w:t>
      </w:r>
      <w:r>
        <w:rPr>
          <w:rFonts w:hint="eastAsia" w:ascii="仿宋_GB2312" w:eastAsia="仿宋_GB2312" w:cs="仿宋_GB2312"/>
          <w:color w:val="000000"/>
          <w:sz w:val="32"/>
          <w:szCs w:val="32"/>
          <w:shd w:val="clear" w:color="auto" w:fill="FFFFFF"/>
        </w:rPr>
        <w:t>集中地开展启动仪式及宣传活动，设立咨询台、悬挂横幅，</w:t>
      </w:r>
      <w:r>
        <w:rPr>
          <w:rFonts w:hint="eastAsia" w:ascii="仿宋_GB2312" w:eastAsia="仿宋_GB2312" w:cs="仿宋_GB2312"/>
          <w:bCs/>
          <w:color w:val="000000"/>
          <w:sz w:val="32"/>
          <w:szCs w:val="32"/>
          <w:shd w:val="clear" w:color="auto" w:fill="FFFFFF"/>
        </w:rPr>
        <w:t>布置宣传墙</w:t>
      </w:r>
      <w:r>
        <w:rPr>
          <w:rFonts w:hint="eastAsia" w:ascii="仿宋_GB2312" w:eastAsia="仿宋_GB2312" w:cs="仿宋_GB2312"/>
          <w:color w:val="000000"/>
          <w:sz w:val="32"/>
          <w:szCs w:val="32"/>
          <w:shd w:val="clear" w:color="auto" w:fill="FFFFFF"/>
        </w:rPr>
        <w:t>，发放</w:t>
      </w:r>
      <w:r>
        <w:rPr>
          <w:rFonts w:hint="eastAsia" w:ascii="仿宋_GB2312" w:eastAsia="仿宋_GB2312" w:cs="仿宋_GB2312"/>
          <w:sz w:val="32"/>
          <w:szCs w:val="32"/>
        </w:rPr>
        <w:t>漫画图解</w:t>
      </w:r>
      <w:r>
        <w:rPr>
          <w:rFonts w:hint="eastAsia" w:ascii="仿宋_GB2312" w:eastAsia="仿宋_GB2312" w:cs="仿宋_GB2312"/>
          <w:color w:val="000000"/>
          <w:sz w:val="32"/>
          <w:szCs w:val="32"/>
          <w:shd w:val="clear" w:color="auto" w:fill="FFFFFF"/>
        </w:rPr>
        <w:t>等宣传资料，现场解答群众咨询；同时</w:t>
      </w:r>
      <w:r>
        <w:rPr>
          <w:rFonts w:hint="eastAsia" w:ascii="仿宋_GB2312" w:eastAsia="仿宋_GB2312" w:cs="仿宋_GB2312"/>
          <w:sz w:val="32"/>
          <w:szCs w:val="32"/>
        </w:rPr>
        <w:t>邀请藏族明星容中尔甲、蒲巴甲及藏区牧民、僧人、公安干警等录制网络安全公益小视频</w:t>
      </w:r>
      <w:r>
        <w:rPr>
          <w:rFonts w:hint="eastAsia" w:ascii="仿宋_GB2312" w:eastAsia="仿宋_GB2312" w:cs="仿宋_GB2312"/>
          <w:color w:val="000000"/>
          <w:sz w:val="32"/>
          <w:szCs w:val="32"/>
          <w:shd w:val="clear" w:color="auto" w:fill="FFFFFF"/>
        </w:rPr>
        <w:t>。</w:t>
      </w:r>
      <w:r>
        <w:rPr>
          <w:rFonts w:hint="eastAsia" w:ascii="仿宋_GB2312" w:eastAsia="仿宋_GB2312" w:cs="仿宋_GB2312"/>
          <w:sz w:val="32"/>
          <w:szCs w:val="32"/>
        </w:rPr>
        <w:t>组织各部门业务骨干和双语干部</w:t>
      </w:r>
      <w:r>
        <w:rPr>
          <w:rFonts w:hint="eastAsia" w:ascii="仿宋_GB2312" w:eastAsia="仿宋_GB2312" w:cs="仿宋_GB2312"/>
          <w:color w:val="000000"/>
          <w:sz w:val="32"/>
          <w:szCs w:val="32"/>
          <w:shd w:val="clear" w:color="auto" w:fill="FFFFFF"/>
        </w:rPr>
        <w:t>深入村社区、校园、寺庙等地开展宣传活动，为学生、当地农牧民群众、寺庙僧侣讲解个人信息安全保护、金融网络安全等知识，使网络安全意识深入到了广大人民群众心中，进一步增强群众的安全意识和防范能力。</w:t>
      </w:r>
    </w:p>
    <w:p>
      <w:pPr>
        <w:spacing w:after="0" w:line="560" w:lineRule="exact"/>
        <w:ind w:firstLine="880" w:firstLineChars="275"/>
        <w:rPr>
          <w:rFonts w:ascii="黑体" w:eastAsia="黑体" w:cs="仿宋_GB2312"/>
          <w:sz w:val="32"/>
          <w:szCs w:val="32"/>
          <w:lang w:val="zh-CN"/>
        </w:rPr>
      </w:pPr>
      <w:r>
        <w:rPr>
          <w:rFonts w:hint="eastAsia" w:ascii="黑体" w:eastAsia="黑体" w:cs="仿宋_GB2312"/>
          <w:sz w:val="32"/>
          <w:szCs w:val="32"/>
          <w:lang w:val="zh-CN"/>
        </w:rPr>
        <w:t>五、评价结论及建议</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（一）评价结论</w:t>
      </w:r>
    </w:p>
    <w:p>
      <w:pPr>
        <w:spacing w:after="0" w:line="560" w:lineRule="exact"/>
        <w:ind w:firstLine="720"/>
        <w:jc w:val="both"/>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通过2020年网络安全宣传周多种形式的宣传为学生、当地农牧民群众、寺庙僧侣讲解个人信息安全保护、金融网络安全等知识，使网络安全意识深入到广大人民群众心中，进一步增强群众的安全意识和防范能力。</w:t>
      </w:r>
    </w:p>
    <w:p>
      <w:pPr>
        <w:spacing w:after="0" w:line="560" w:lineRule="exact"/>
        <w:ind w:firstLine="720"/>
        <w:rPr>
          <w:rFonts w:ascii="楷体_GB2312" w:eastAsia="楷体_GB2312" w:cs="仿宋_GB2312"/>
          <w:b/>
          <w:sz w:val="32"/>
          <w:szCs w:val="32"/>
          <w:lang w:val="zh-CN"/>
        </w:rPr>
      </w:pPr>
      <w:r>
        <w:rPr>
          <w:rFonts w:hint="eastAsia" w:ascii="楷体_GB2312" w:eastAsia="楷体_GB2312" w:cs="仿宋_GB2312"/>
          <w:b/>
          <w:sz w:val="32"/>
          <w:szCs w:val="32"/>
          <w:lang w:val="zh-CN"/>
        </w:rPr>
        <w:t>（二）存在的问题</w:t>
      </w:r>
    </w:p>
    <w:p>
      <w:pPr>
        <w:spacing w:after="0"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1.2020年阿坝州安全宣传周在一定的基础上，还存在一定的局限性，无法达到100%的传播率；</w:t>
      </w:r>
    </w:p>
    <w:p>
      <w:pPr>
        <w:spacing w:after="0"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2.项目预算编制精准性有待提高；</w:t>
      </w:r>
    </w:p>
    <w:p>
      <w:pPr>
        <w:spacing w:after="0" w:line="560" w:lineRule="exact"/>
        <w:ind w:firstLine="640" w:firstLineChars="200"/>
        <w:rPr>
          <w:rFonts w:ascii="仿宋_GB2312" w:eastAsia="仿宋_GB2312" w:cs="仿宋_GB2312"/>
        </w:rPr>
      </w:pPr>
      <w:r>
        <w:rPr>
          <w:rFonts w:hint="eastAsia" w:ascii="仿宋_GB2312" w:eastAsia="仿宋_GB2312" w:cs="仿宋_GB2312"/>
          <w:color w:val="000000"/>
          <w:sz w:val="32"/>
          <w:szCs w:val="32"/>
        </w:rPr>
        <w:t>3.项目预算执行力有待加强。</w:t>
      </w:r>
    </w:p>
    <w:p>
      <w:pPr>
        <w:spacing w:after="0" w:line="560" w:lineRule="exact"/>
        <w:ind w:firstLine="643" w:firstLineChars="200"/>
        <w:rPr>
          <w:rFonts w:ascii="楷体_GB2312" w:eastAsia="楷体_GB2312" w:cs="仿宋_GB2312"/>
          <w:b/>
          <w:sz w:val="32"/>
          <w:szCs w:val="32"/>
          <w:lang w:val="zh-CN"/>
        </w:rPr>
      </w:pPr>
      <w:r>
        <w:rPr>
          <w:rFonts w:hint="eastAsia" w:ascii="楷体_GB2312" w:eastAsia="楷体_GB2312" w:cs="仿宋_GB2312"/>
          <w:b/>
          <w:sz w:val="32"/>
          <w:szCs w:val="32"/>
          <w:lang w:val="zh-CN"/>
        </w:rPr>
        <w:t>（三）相关措施建议</w:t>
      </w:r>
    </w:p>
    <w:p>
      <w:pPr>
        <w:spacing w:after="0" w:line="560" w:lineRule="exact"/>
        <w:ind w:left="752" w:leftChars="342"/>
        <w:rPr>
          <w:rFonts w:ascii="仿宋_GB2312" w:eastAsia="仿宋_GB2312" w:cs="宋体"/>
          <w:color w:val="333333"/>
          <w:sz w:val="32"/>
          <w:szCs w:val="32"/>
        </w:rPr>
      </w:pPr>
      <w:r>
        <w:rPr>
          <w:rFonts w:hint="eastAsia" w:ascii="仿宋_GB2312" w:eastAsia="仿宋_GB2312" w:cs="宋体"/>
          <w:color w:val="333333"/>
          <w:sz w:val="32"/>
          <w:szCs w:val="32"/>
        </w:rPr>
        <w:t>建议财政部门加强绩效评价相关工作的业务培训，组</w:t>
      </w:r>
    </w:p>
    <w:p>
      <w:pPr>
        <w:spacing w:after="0" w:line="560" w:lineRule="exact"/>
        <w:rPr>
          <w:rFonts w:ascii="仿宋_GB2312" w:eastAsia="仿宋_GB2312" w:cs="宋体"/>
          <w:color w:val="333333"/>
          <w:sz w:val="32"/>
          <w:szCs w:val="32"/>
        </w:rPr>
      </w:pPr>
      <w:r>
        <w:rPr>
          <w:rFonts w:hint="eastAsia" w:ascii="仿宋_GB2312" w:eastAsia="仿宋_GB2312" w:cs="宋体"/>
          <w:color w:val="333333"/>
          <w:sz w:val="32"/>
          <w:szCs w:val="32"/>
        </w:rPr>
        <w:t>织相关单位人员学习交流相关经验及工作方法，达到更科学的项目绩效评价报告。</w:t>
      </w:r>
    </w:p>
    <w:tbl>
      <w:tblPr>
        <w:tblStyle w:val="13"/>
        <w:tblpPr w:leftFromText="180" w:rightFromText="180" w:vertAnchor="text" w:horzAnchor="page" w:tblpXSpec="center" w:tblpY="423"/>
        <w:tblOverlap w:val="never"/>
        <w:tblW w:w="9654" w:type="dxa"/>
        <w:tblInd w:w="0" w:type="dxa"/>
        <w:tblLayout w:type="fixed"/>
        <w:tblCellMar>
          <w:top w:w="0" w:type="dxa"/>
          <w:left w:w="0" w:type="dxa"/>
          <w:bottom w:w="0" w:type="dxa"/>
          <w:right w:w="0" w:type="dxa"/>
        </w:tblCellMar>
      </w:tblPr>
      <w:tblGrid>
        <w:gridCol w:w="390"/>
        <w:gridCol w:w="1367"/>
        <w:gridCol w:w="1025"/>
        <w:gridCol w:w="2336"/>
        <w:gridCol w:w="2450"/>
        <w:gridCol w:w="2086"/>
      </w:tblGrid>
      <w:tr>
        <w:tblPrEx>
          <w:tblCellMar>
            <w:top w:w="0" w:type="dxa"/>
            <w:left w:w="0" w:type="dxa"/>
            <w:bottom w:w="0" w:type="dxa"/>
            <w:right w:w="0" w:type="dxa"/>
          </w:tblCellMar>
        </w:tblPrEx>
        <w:trPr>
          <w:trHeight w:val="1034" w:hRule="atLeast"/>
        </w:trPr>
        <w:tc>
          <w:tcPr>
            <w:tcW w:w="9654" w:type="dxa"/>
            <w:gridSpan w:val="6"/>
            <w:tcBorders>
              <w:top w:val="nil"/>
              <w:left w:val="nil"/>
              <w:bottom w:val="nil"/>
              <w:right w:val="nil"/>
            </w:tcBorders>
            <w:tcMar>
              <w:top w:w="15" w:type="dxa"/>
              <w:left w:w="15" w:type="dxa"/>
              <w:right w:w="15" w:type="dxa"/>
            </w:tcMar>
            <w:vAlign w:val="center"/>
          </w:tcPr>
          <w:p>
            <w:pPr>
              <w:jc w:val="center"/>
              <w:textAlignment w:val="center"/>
              <w:rPr>
                <w:rFonts w:ascii="方正小标宋简体" w:eastAsia="方正小标宋简体" w:cs="宋体"/>
                <w:b/>
                <w:bCs/>
                <w:color w:val="000000"/>
                <w:sz w:val="44"/>
                <w:szCs w:val="44"/>
              </w:rPr>
            </w:pPr>
          </w:p>
          <w:p>
            <w:pPr>
              <w:jc w:val="center"/>
              <w:textAlignment w:val="center"/>
              <w:rPr>
                <w:rFonts w:ascii="宋体" w:hAnsi="宋体" w:cs="宋体"/>
                <w:color w:val="000000"/>
                <w:sz w:val="36"/>
                <w:szCs w:val="36"/>
              </w:rPr>
            </w:pPr>
            <w:r>
              <w:rPr>
                <w:rFonts w:hint="eastAsia" w:ascii="方正小标宋简体" w:eastAsia="方正小标宋简体" w:cs="宋体"/>
                <w:b/>
                <w:bCs/>
                <w:color w:val="000000"/>
                <w:sz w:val="44"/>
                <w:szCs w:val="44"/>
              </w:rPr>
              <w:t>项目绩效目标完成情况表</w:t>
            </w:r>
            <w:r>
              <w:rPr>
                <w:rFonts w:hint="eastAsia" w:ascii="方正小标宋简体" w:eastAsia="方正小标宋简体" w:cs="宋体"/>
                <w:b/>
                <w:bCs/>
                <w:color w:val="000000"/>
                <w:sz w:val="44"/>
                <w:szCs w:val="44"/>
              </w:rPr>
              <w:br w:type="textWrapping"/>
            </w:r>
            <w:r>
              <w:rPr>
                <w:rFonts w:hint="eastAsia" w:ascii="宋体" w:hAnsi="宋体" w:cs="宋体"/>
                <w:color w:val="000000"/>
                <w:sz w:val="36"/>
                <w:szCs w:val="36"/>
              </w:rPr>
              <w:t>(2020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项目名称</w:t>
            </w:r>
          </w:p>
        </w:tc>
        <w:tc>
          <w:tcPr>
            <w:tcW w:w="687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2020年度阿坝州网络安全宣传周</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预算单位</w:t>
            </w:r>
          </w:p>
        </w:tc>
        <w:tc>
          <w:tcPr>
            <w:tcW w:w="687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中共阿坝州委网信办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10万元</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执行数:</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9.77万元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10万元</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其中-财政拨款:</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9.77万元</w:t>
            </w:r>
          </w:p>
        </w:tc>
      </w:tr>
      <w:tr>
        <w:tblPrEx>
          <w:tblCellMar>
            <w:top w:w="0" w:type="dxa"/>
            <w:left w:w="0" w:type="dxa"/>
            <w:bottom w:w="0" w:type="dxa"/>
            <w:right w:w="0" w:type="dxa"/>
          </w:tblCellMar>
        </w:tblPrEx>
        <w:trPr>
          <w:trHeight w:val="1472"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0</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其它资金:</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 w:val="21"/>
                <w:szCs w:val="21"/>
              </w:rPr>
            </w:pPr>
            <w:r>
              <w:rPr>
                <w:rFonts w:hint="eastAsia" w:ascii="仿宋_GB2312" w:eastAsia="仿宋_GB2312" w:cs="宋体"/>
                <w:color w:val="000000"/>
                <w:sz w:val="21"/>
                <w:szCs w:val="21"/>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预期目标</w:t>
            </w:r>
          </w:p>
        </w:tc>
        <w:tc>
          <w:tcPr>
            <w:tcW w:w="45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实际完成目标</w:t>
            </w:r>
          </w:p>
        </w:tc>
      </w:tr>
      <w:tr>
        <w:tblPrEx>
          <w:tblCellMar>
            <w:top w:w="0" w:type="dxa"/>
            <w:left w:w="0" w:type="dxa"/>
            <w:bottom w:w="0" w:type="dxa"/>
            <w:right w:w="0" w:type="dxa"/>
          </w:tblCellMar>
        </w:tblPrEx>
        <w:trPr>
          <w:trHeight w:val="282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eastAsia="仿宋_GB2312"/>
                <w:color w:val="000000"/>
                <w:sz w:val="21"/>
                <w:szCs w:val="21"/>
              </w:rPr>
            </w:pPr>
            <w:r>
              <w:rPr>
                <w:rFonts w:hint="eastAsia" w:ascii="仿宋_GB2312" w:eastAsia="仿宋_GB2312"/>
                <w:color w:val="000000"/>
                <w:sz w:val="21"/>
                <w:szCs w:val="21"/>
              </w:rPr>
              <w:t>通过2020年网络安全宣传周使网络安全意识深入到了广大人民群众心中，进一步增强群众的安全意识和防范能力。</w:t>
            </w:r>
          </w:p>
          <w:p>
            <w:pPr>
              <w:spacing w:line="560" w:lineRule="exact"/>
              <w:ind w:left="752" w:leftChars="342"/>
              <w:rPr>
                <w:rFonts w:ascii="仿宋_GB2312" w:eastAsia="仿宋_GB2312"/>
                <w:color w:val="000000"/>
                <w:sz w:val="21"/>
                <w:szCs w:val="21"/>
              </w:rPr>
            </w:pPr>
          </w:p>
        </w:tc>
        <w:tc>
          <w:tcPr>
            <w:tcW w:w="45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hd w:val="clear" w:color="auto" w:fill="FFFFFF"/>
              <w:spacing w:line="560" w:lineRule="exact"/>
              <w:rPr>
                <w:rFonts w:ascii="仿宋_GB2312" w:eastAsia="仿宋_GB2312"/>
                <w:color w:val="000000"/>
                <w:sz w:val="21"/>
                <w:szCs w:val="21"/>
              </w:rPr>
            </w:pPr>
            <w:r>
              <w:rPr>
                <w:rFonts w:hint="eastAsia" w:ascii="仿宋_GB2312" w:eastAsia="仿宋_GB2312"/>
                <w:color w:val="000000"/>
                <w:sz w:val="21"/>
                <w:szCs w:val="21"/>
              </w:rPr>
              <w:t>通过2020年9月网络安全宣传周进村社区、校园、寺庙等地为学生、当地农牧民群众、寺庙僧侣讲解个人信息安全保护、金融网络安全等知识，使网络安全意识深入到了广大人民群众心中，进一步增强群众的安全意识和防范能力。</w:t>
            </w:r>
          </w:p>
          <w:p>
            <w:pPr>
              <w:spacing w:line="400" w:lineRule="exact"/>
              <w:rPr>
                <w:rFonts w:ascii="仿宋_GB2312" w:eastAsia="仿宋_GB2312"/>
                <w:color w:val="000000"/>
                <w:sz w:val="21"/>
                <w:szCs w:val="21"/>
              </w:rPr>
            </w:pPr>
          </w:p>
        </w:tc>
      </w:tr>
      <w:tr>
        <w:tblPrEx>
          <w:tblCellMar>
            <w:top w:w="0" w:type="dxa"/>
            <w:left w:w="0" w:type="dxa"/>
            <w:bottom w:w="0" w:type="dxa"/>
            <w:right w:w="0" w:type="dxa"/>
          </w:tblCellMar>
        </w:tblPrEx>
        <w:trPr>
          <w:trHeight w:val="797"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预期指标值(包含数字及文字描述)</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实际完成指标值(包含数字及文字描述)</w:t>
            </w:r>
          </w:p>
        </w:tc>
      </w:tr>
      <w:tr>
        <w:tblPrEx>
          <w:tblCellMar>
            <w:top w:w="0" w:type="dxa"/>
            <w:left w:w="0" w:type="dxa"/>
            <w:bottom w:w="0" w:type="dxa"/>
            <w:right w:w="0" w:type="dxa"/>
          </w:tblCellMar>
        </w:tblPrEx>
        <w:trPr>
          <w:trHeight w:val="554"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阿坝州网络安全宣传周</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质量指标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2020年阿坝州网络安全宣传周方案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仿宋_GB2312" w:eastAsia="仿宋_GB2312"/>
                <w:sz w:val="21"/>
                <w:szCs w:val="21"/>
              </w:rPr>
            </w:pPr>
            <w:r>
              <w:rPr>
                <w:rFonts w:hint="eastAsia" w:ascii="仿宋_GB2312" w:eastAsia="仿宋_GB2312"/>
                <w:color w:val="000000"/>
                <w:sz w:val="21"/>
                <w:szCs w:val="21"/>
              </w:rPr>
              <w:t>通过2020年网络安全宣传周使网络安全意识深入到了广大人民群众心中，进一步增强群众的安全意识和防范能力。</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仿宋_GB2312" w:eastAsia="仿宋_GB2312"/>
                <w:sz w:val="21"/>
                <w:szCs w:val="21"/>
              </w:rPr>
            </w:pPr>
            <w:r>
              <w:rPr>
                <w:rFonts w:hint="eastAsia" w:ascii="仿宋_GB2312" w:eastAsia="仿宋_GB2312"/>
                <w:color w:val="000000"/>
                <w:sz w:val="21"/>
                <w:szCs w:val="21"/>
              </w:rPr>
              <w:t>通过2020年9月网络安全宣传周进村社区、校园、寺庙等地为学生、当地农牧民群众、寺庙僧侣讲解个人信息安全保护、金融网络安全等知识，使网络安全意识深入到了广大人民群众心中，进一步增强群众的安全意识和防范能力。</w:t>
            </w:r>
          </w:p>
        </w:tc>
      </w:tr>
      <w:tr>
        <w:tblPrEx>
          <w:tblCellMar>
            <w:top w:w="0" w:type="dxa"/>
            <w:left w:w="0" w:type="dxa"/>
            <w:bottom w:w="0" w:type="dxa"/>
            <w:right w:w="0" w:type="dxa"/>
          </w:tblCellMar>
        </w:tblPrEx>
        <w:trPr>
          <w:trHeight w:val="779"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成本指标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10万元内</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olor w:val="000000"/>
                <w:sz w:val="21"/>
                <w:szCs w:val="21"/>
              </w:rPr>
            </w:pPr>
            <w:r>
              <w:rPr>
                <w:rFonts w:hint="eastAsia" w:ascii="仿宋_GB2312" w:eastAsia="仿宋_GB2312"/>
                <w:color w:val="000000"/>
                <w:sz w:val="21"/>
                <w:szCs w:val="21"/>
              </w:rPr>
              <w:t>9.77万元</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olor w:val="000000"/>
                <w:sz w:val="21"/>
                <w:szCs w:val="21"/>
              </w:rPr>
            </w:pPr>
            <w:r>
              <w:rPr>
                <w:rFonts w:hint="eastAsia" w:ascii="仿宋_GB2312" w:eastAsia="仿宋_GB2312"/>
                <w:color w:val="000000"/>
                <w:sz w:val="21"/>
                <w:szCs w:val="21"/>
              </w:rPr>
              <w:t>9.77万元</w:t>
            </w:r>
          </w:p>
        </w:tc>
      </w:tr>
      <w:tr>
        <w:tblPrEx>
          <w:tblCellMar>
            <w:top w:w="0" w:type="dxa"/>
            <w:left w:w="0" w:type="dxa"/>
            <w:bottom w:w="0" w:type="dxa"/>
            <w:right w:w="0" w:type="dxa"/>
          </w:tblCellMar>
        </w:tblPrEx>
        <w:trPr>
          <w:trHeight w:val="684"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textAlignment w:val="center"/>
              <w:rPr>
                <w:rFonts w:ascii="仿宋_GB2312" w:eastAsia="仿宋_GB2312" w:cs="宋体"/>
                <w:color w:val="000000"/>
                <w:sz w:val="21"/>
                <w:szCs w:val="21"/>
              </w:rPr>
            </w:pPr>
            <w:r>
              <w:rPr>
                <w:rFonts w:hint="eastAsia" w:ascii="仿宋_GB2312" w:eastAsia="仿宋_GB2312" w:cs="宋体"/>
                <w:color w:val="000000"/>
                <w:sz w:val="21"/>
                <w:szCs w:val="21"/>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群众满意度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olor w:val="000000"/>
                <w:sz w:val="21"/>
                <w:szCs w:val="21"/>
              </w:rPr>
            </w:pPr>
            <w:r>
              <w:rPr>
                <w:rFonts w:hint="eastAsia" w:ascii="仿宋_GB2312" w:eastAsia="仿宋_GB2312"/>
                <w:color w:val="000000"/>
                <w:sz w:val="21"/>
                <w:szCs w:val="21"/>
              </w:rPr>
              <w:t>90%</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olor w:val="000000"/>
                <w:sz w:val="21"/>
                <w:szCs w:val="21"/>
              </w:rPr>
            </w:pPr>
            <w:r>
              <w:rPr>
                <w:rFonts w:hint="eastAsia" w:ascii="仿宋_GB2312" w:eastAsia="仿宋_GB2312"/>
                <w:color w:val="000000"/>
                <w:sz w:val="21"/>
                <w:szCs w:val="21"/>
              </w:rPr>
              <w:t>90%</w:t>
            </w:r>
          </w:p>
        </w:tc>
      </w:tr>
    </w:tbl>
    <w:p>
      <w:pPr>
        <w:rPr>
          <w:rFonts w:ascii="仿宋_GB2312" w:eastAsia="仿宋_GB2312" w:cs="宋体"/>
          <w:sz w:val="32"/>
          <w:szCs w:val="32"/>
        </w:rPr>
      </w:pPr>
    </w:p>
    <w:p>
      <w:pPr>
        <w:rPr>
          <w:rFonts w:ascii="仿宋_GB2312" w:eastAsia="仿宋_GB2312" w:cs="宋体"/>
          <w:sz w:val="32"/>
          <w:szCs w:val="32"/>
        </w:rPr>
      </w:pPr>
    </w:p>
    <w:p>
      <w:pPr>
        <w:rPr>
          <w:rFonts w:ascii="仿宋_GB2312" w:eastAsia="仿宋_GB2312" w:cs="宋体"/>
          <w:sz w:val="32"/>
          <w:szCs w:val="32"/>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jc w:val="both"/>
        <w:outlineLvl w:val="0"/>
        <w:rPr>
          <w:rFonts w:ascii="黑体" w:eastAsia="黑体"/>
          <w:color w:val="000000"/>
          <w:sz w:val="44"/>
          <w:szCs w:val="44"/>
        </w:rPr>
      </w:pPr>
    </w:p>
    <w:p>
      <w:pPr>
        <w:spacing w:after="0" w:line="560" w:lineRule="exact"/>
        <w:rPr>
          <w:rFonts w:ascii="仿宋_GB2312" w:eastAsia="仿宋_GB2312"/>
          <w:sz w:val="30"/>
          <w:szCs w:val="30"/>
        </w:rPr>
      </w:pPr>
      <w:r>
        <w:rPr>
          <w:rFonts w:hint="eastAsia" w:ascii="仿宋_GB2312" w:eastAsia="仿宋_GB2312"/>
          <w:sz w:val="30"/>
          <w:szCs w:val="30"/>
        </w:rPr>
        <w:t>附件4</w:t>
      </w:r>
    </w:p>
    <w:p>
      <w:pPr>
        <w:spacing w:after="0" w:line="560" w:lineRule="exact"/>
        <w:jc w:val="center"/>
        <w:rPr>
          <w:rFonts w:ascii="方正小标宋简体" w:eastAsia="方正小标宋简体" w:cs="仿宋_GB2312"/>
          <w:sz w:val="44"/>
          <w:szCs w:val="44"/>
        </w:rPr>
      </w:pPr>
      <w:r>
        <w:rPr>
          <w:rFonts w:hint="eastAsia" w:ascii="方正小标宋简体" w:eastAsia="方正小标宋简体" w:cs="仿宋_GB2312"/>
          <w:sz w:val="44"/>
          <w:szCs w:val="44"/>
        </w:rPr>
        <w:t>2020年阿坝州网络宣传服务采购</w:t>
      </w:r>
    </w:p>
    <w:p>
      <w:pPr>
        <w:spacing w:after="0" w:line="560" w:lineRule="exact"/>
        <w:jc w:val="center"/>
        <w:rPr>
          <w:rFonts w:ascii="方正小标宋简体" w:eastAsia="方正小标宋简体" w:cs="仿宋_GB2312"/>
          <w:sz w:val="44"/>
          <w:szCs w:val="44"/>
        </w:rPr>
      </w:pPr>
      <w:r>
        <w:rPr>
          <w:rFonts w:hint="eastAsia" w:ascii="方正小标宋简体" w:eastAsia="方正小标宋简体" w:cs="仿宋_GB2312"/>
          <w:sz w:val="44"/>
          <w:szCs w:val="44"/>
        </w:rPr>
        <w:t>项目绩效评价报告</w:t>
      </w:r>
    </w:p>
    <w:p>
      <w:pPr>
        <w:spacing w:after="0" w:line="560" w:lineRule="exact"/>
        <w:jc w:val="both"/>
        <w:rPr>
          <w:rFonts w:ascii="黑体" w:eastAsia="黑体"/>
          <w:sz w:val="44"/>
          <w:szCs w:val="44"/>
          <w:lang w:val="zh-CN"/>
        </w:rPr>
      </w:pPr>
    </w:p>
    <w:p>
      <w:pPr>
        <w:spacing w:after="0" w:line="560" w:lineRule="exact"/>
        <w:ind w:firstLine="720"/>
        <w:jc w:val="both"/>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spacing w:after="0" w:line="560" w:lineRule="exact"/>
        <w:ind w:firstLine="720"/>
        <w:jc w:val="both"/>
        <w:rPr>
          <w:rFonts w:ascii="楷体_GB2312" w:eastAsia="楷体_GB2312"/>
          <w:b/>
          <w:sz w:val="32"/>
          <w:szCs w:val="32"/>
          <w:lang w:val="zh-CN"/>
        </w:rPr>
      </w:pPr>
      <w:r>
        <w:rPr>
          <w:rFonts w:hint="eastAsia" w:ascii="楷体_GB2312" w:eastAsia="楷体_GB2312"/>
          <w:b/>
          <w:sz w:val="32"/>
          <w:szCs w:val="32"/>
          <w:lang w:val="zh-CN"/>
        </w:rPr>
        <w:t>（一）项目基本情况</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sz w:val="32"/>
          <w:szCs w:val="32"/>
          <w:lang w:val="zh-CN"/>
        </w:rPr>
        <w:t>1.</w:t>
      </w:r>
      <w:r>
        <w:rPr>
          <w:rFonts w:hint="eastAsia" w:ascii="仿宋_GB2312" w:eastAsia="仿宋_GB2312" w:cs="仿宋_GB2312"/>
          <w:sz w:val="32"/>
          <w:szCs w:val="32"/>
        </w:rPr>
        <w:t>2020年是脱贫攻坚的决战决胜之年，也是全面建成小</w:t>
      </w:r>
    </w:p>
    <w:p>
      <w:pPr>
        <w:spacing w:after="0" w:line="560" w:lineRule="exact"/>
        <w:jc w:val="both"/>
        <w:rPr>
          <w:rFonts w:ascii="仿宋_GB2312" w:eastAsia="仿宋_GB2312" w:cs="仿宋_GB2312"/>
          <w:sz w:val="32"/>
          <w:szCs w:val="32"/>
        </w:rPr>
      </w:pPr>
      <w:r>
        <w:rPr>
          <w:rFonts w:hint="eastAsia" w:ascii="仿宋_GB2312" w:eastAsia="仿宋_GB2312" w:cs="仿宋_GB2312"/>
          <w:sz w:val="32"/>
          <w:szCs w:val="32"/>
        </w:rPr>
        <w:t>康的收官之年。为将各项政策更好的传递到基层，也将阿坝州崭新风貌呈现</w:t>
      </w:r>
      <w:r>
        <w:rPr>
          <w:rFonts w:ascii="仿宋_GB2312" w:eastAsia="仿宋_GB2312" w:cs="仿宋_GB2312"/>
          <w:sz w:val="32"/>
          <w:szCs w:val="32"/>
        </w:rPr>
        <w:t>，通过开展系列网络主题活动充分</w:t>
      </w:r>
      <w:r>
        <w:rPr>
          <w:rFonts w:hint="eastAsia" w:ascii="仿宋_GB2312" w:eastAsia="仿宋_GB2312" w:cs="仿宋_GB2312"/>
          <w:sz w:val="32"/>
          <w:szCs w:val="32"/>
        </w:rPr>
        <w:t>展现阿坝脱贫攻坚、全面建成小康社会的成就</w:t>
      </w:r>
      <w:r>
        <w:rPr>
          <w:rFonts w:ascii="仿宋_GB2312" w:eastAsia="仿宋_GB2312" w:cs="仿宋_GB2312"/>
          <w:sz w:val="32"/>
          <w:szCs w:val="32"/>
        </w:rPr>
        <w:t>。</w:t>
      </w:r>
    </w:p>
    <w:p>
      <w:pPr>
        <w:spacing w:after="0" w:line="560" w:lineRule="exact"/>
        <w:ind w:firstLine="640" w:firstLineChars="200"/>
        <w:jc w:val="both"/>
        <w:rPr>
          <w:rFonts w:eastAsia="仿宋_GB2312"/>
          <w:color w:val="000000"/>
          <w:sz w:val="32"/>
          <w:szCs w:val="32"/>
        </w:rPr>
      </w:pPr>
      <w:r>
        <w:rPr>
          <w:rFonts w:hint="eastAsia" w:ascii="仿宋_GB2312" w:eastAsia="仿宋_GB2312"/>
          <w:sz w:val="32"/>
          <w:szCs w:val="32"/>
          <w:lang w:val="zh-CN"/>
        </w:rPr>
        <w:t>2.资金来源：州级配套专项资金35万元。</w:t>
      </w:r>
    </w:p>
    <w:p>
      <w:pPr>
        <w:spacing w:after="0" w:line="560" w:lineRule="exact"/>
        <w:ind w:firstLine="640" w:firstLineChars="200"/>
        <w:jc w:val="both"/>
        <w:rPr>
          <w:rFonts w:ascii="仿宋_GB2312" w:eastAsia="仿宋_GB2312"/>
          <w:sz w:val="32"/>
          <w:szCs w:val="32"/>
          <w:lang w:val="zh-CN"/>
        </w:rPr>
      </w:pPr>
      <w:r>
        <w:rPr>
          <w:rFonts w:hint="eastAsia" w:ascii="仿宋_GB2312" w:eastAsia="仿宋_GB2312"/>
          <w:sz w:val="32"/>
          <w:szCs w:val="32"/>
          <w:lang w:val="zh-CN"/>
        </w:rPr>
        <w:t>3</w:t>
      </w:r>
      <w:r>
        <w:rPr>
          <w:rFonts w:ascii="仿宋_GB2312" w:eastAsia="仿宋_GB2312"/>
          <w:sz w:val="32"/>
          <w:szCs w:val="32"/>
          <w:lang w:val="zh-CN"/>
        </w:rPr>
        <w:t>.</w:t>
      </w:r>
      <w:r>
        <w:rPr>
          <w:rFonts w:hint="eastAsia" w:ascii="仿宋_GB2312" w:eastAsia="仿宋_GB2312"/>
          <w:sz w:val="32"/>
          <w:szCs w:val="32"/>
          <w:lang w:val="zh-CN"/>
        </w:rPr>
        <w:t>资金管理办法制定情况:2020年下达我单位州级配套专项资金</w:t>
      </w:r>
      <w:r>
        <w:rPr>
          <w:rFonts w:hint="eastAsia" w:ascii="仿宋_GB2312" w:eastAsia="仿宋_GB2312"/>
          <w:sz w:val="32"/>
          <w:szCs w:val="32"/>
        </w:rPr>
        <w:t>35</w:t>
      </w:r>
      <w:r>
        <w:rPr>
          <w:rFonts w:hint="eastAsia" w:ascii="仿宋_GB2312" w:eastAsia="仿宋_GB2312"/>
          <w:sz w:val="32"/>
          <w:szCs w:val="32"/>
          <w:lang w:val="zh-CN"/>
        </w:rPr>
        <w:t>万元</w:t>
      </w:r>
      <w:r>
        <w:rPr>
          <w:rFonts w:ascii="仿宋_GB2312" w:eastAsia="仿宋_GB2312"/>
          <w:sz w:val="32"/>
          <w:szCs w:val="32"/>
          <w:lang w:val="zh-CN"/>
        </w:rPr>
        <w:t>用于</w:t>
      </w:r>
      <w:r>
        <w:rPr>
          <w:rFonts w:hint="eastAsia" w:ascii="仿宋_GB2312" w:eastAsia="仿宋_GB2312"/>
          <w:sz w:val="32"/>
          <w:szCs w:val="32"/>
          <w:lang w:val="zh-CN"/>
        </w:rPr>
        <w:t>阿坝州网络宣传服务项目费用。该专项资金全部用于相关项目，未用于其他方面。</w:t>
      </w:r>
    </w:p>
    <w:p>
      <w:pPr>
        <w:spacing w:after="0" w:line="560" w:lineRule="exact"/>
        <w:ind w:firstLine="643" w:firstLineChars="200"/>
        <w:jc w:val="both"/>
        <w:rPr>
          <w:rFonts w:ascii="楷体_GB2312" w:eastAsia="楷体_GB2312"/>
          <w:b/>
          <w:sz w:val="32"/>
          <w:szCs w:val="32"/>
          <w:lang w:val="zh-CN"/>
        </w:rPr>
      </w:pPr>
      <w:r>
        <w:rPr>
          <w:rFonts w:hint="eastAsia" w:ascii="楷体_GB2312" w:eastAsia="楷体_GB2312"/>
          <w:b/>
          <w:sz w:val="32"/>
          <w:szCs w:val="32"/>
          <w:lang w:val="zh-CN"/>
        </w:rPr>
        <w:t>（二）项目绩效目标</w:t>
      </w:r>
    </w:p>
    <w:p>
      <w:pPr>
        <w:spacing w:after="0" w:line="560" w:lineRule="exact"/>
        <w:ind w:firstLine="800" w:firstLineChars="250"/>
        <w:jc w:val="both"/>
        <w:rPr>
          <w:rFonts w:ascii="仿宋_GB2312" w:eastAsia="仿宋_GB2312" w:cs="仿宋_GB2312"/>
          <w:sz w:val="32"/>
          <w:szCs w:val="32"/>
        </w:rPr>
      </w:pPr>
      <w:r>
        <w:rPr>
          <w:rFonts w:hint="eastAsia" w:ascii="仿宋_GB2312" w:eastAsia="仿宋_GB2312" w:cs="仿宋_GB2312"/>
          <w:sz w:val="32"/>
          <w:szCs w:val="32"/>
        </w:rPr>
        <w:t>2020年，在确保打赢疫情防控的人民战争、总体战、</w:t>
      </w:r>
    </w:p>
    <w:p>
      <w:pPr>
        <w:spacing w:after="0" w:line="560" w:lineRule="exact"/>
        <w:jc w:val="both"/>
        <w:rPr>
          <w:rFonts w:eastAsia="仿宋_GB2312"/>
          <w:color w:val="000000"/>
          <w:sz w:val="32"/>
          <w:szCs w:val="32"/>
        </w:rPr>
      </w:pPr>
      <w:r>
        <w:rPr>
          <w:rFonts w:hint="eastAsia" w:ascii="仿宋_GB2312" w:eastAsia="仿宋_GB2312" w:cs="仿宋_GB2312"/>
          <w:sz w:val="32"/>
          <w:szCs w:val="32"/>
        </w:rPr>
        <w:t>阻击战基础上，阿坝州基础设施建设、环境保护、全域旅游、两联一进等方面工作有序推进，为全面建成小康社会奠定了坚实的基础。</w:t>
      </w:r>
      <w:r>
        <w:rPr>
          <w:rFonts w:ascii="仿宋_GB2312" w:eastAsia="仿宋_GB2312" w:cs="仿宋_GB2312"/>
          <w:sz w:val="32"/>
          <w:szCs w:val="32"/>
        </w:rPr>
        <w:t>通过推出系列</w:t>
      </w:r>
      <w:r>
        <w:rPr>
          <w:rFonts w:hint="eastAsia" w:ascii="仿宋_GB2312" w:eastAsia="仿宋_GB2312" w:cs="仿宋_GB2312"/>
          <w:sz w:val="32"/>
          <w:szCs w:val="32"/>
        </w:rPr>
        <w:t>网络主题活动，展现阿坝脱贫攻坚、全面建成小康社会的成就，奏响全面建成小康社会“网络交响曲”。</w:t>
      </w:r>
    </w:p>
    <w:p>
      <w:pPr>
        <w:shd w:val="clear" w:color="auto" w:fill="FFFFFF"/>
        <w:spacing w:after="0" w:line="560" w:lineRule="exact"/>
        <w:ind w:firstLine="643" w:firstLineChars="200"/>
        <w:jc w:val="both"/>
        <w:rPr>
          <w:rFonts w:ascii="楷体_GB2312" w:eastAsia="楷体_GB2312"/>
          <w:b/>
          <w:sz w:val="32"/>
          <w:szCs w:val="32"/>
          <w:lang w:val="zh-CN"/>
        </w:rPr>
      </w:pPr>
      <w:r>
        <w:rPr>
          <w:rFonts w:hint="eastAsia" w:ascii="楷体_GB2312" w:eastAsia="楷体_GB2312"/>
          <w:b/>
          <w:sz w:val="32"/>
          <w:szCs w:val="32"/>
          <w:lang w:val="zh-CN"/>
        </w:rPr>
        <w:t>（三）项目自评步骤及方法</w:t>
      </w:r>
    </w:p>
    <w:p>
      <w:pPr>
        <w:pStyle w:val="12"/>
        <w:widowControl/>
        <w:spacing w:line="560" w:lineRule="exact"/>
        <w:ind w:firstLine="640" w:firstLineChars="200"/>
        <w:jc w:val="both"/>
        <w:rPr>
          <w:rFonts w:ascii="仿宋_GB2312" w:eastAsia="仿宋_GB2312" w:cs="仿宋"/>
          <w:color w:val="333333"/>
          <w:sz w:val="32"/>
          <w:szCs w:val="32"/>
        </w:rPr>
      </w:pPr>
      <w:r>
        <w:rPr>
          <w:rFonts w:hint="eastAsia" w:ascii="仿宋_GB2312" w:eastAsia="仿宋_GB2312"/>
          <w:sz w:val="32"/>
          <w:szCs w:val="32"/>
          <w:lang w:val="zh-CN"/>
        </w:rPr>
        <w:t>通过</w:t>
      </w:r>
      <w:r>
        <w:rPr>
          <w:rFonts w:hint="eastAsia" w:ascii="仿宋_GB2312" w:eastAsia="仿宋_GB2312" w:cs="仿宋"/>
          <w:color w:val="333333"/>
          <w:sz w:val="32"/>
          <w:szCs w:val="32"/>
        </w:rPr>
        <w:t>严格按照项目实施流程，组建了由分管副主任任组长的</w:t>
      </w:r>
      <w:r>
        <w:rPr>
          <w:rFonts w:hint="eastAsia" w:ascii="仿宋_GB2312" w:eastAsia="仿宋_GB2312" w:cs="仿宋_GB2312"/>
          <w:sz w:val="32"/>
          <w:szCs w:val="32"/>
        </w:rPr>
        <w:t>阿坝州网络宣传服务采购项目</w:t>
      </w:r>
      <w:r>
        <w:rPr>
          <w:rFonts w:hint="eastAsia" w:ascii="仿宋_GB2312" w:eastAsia="仿宋_GB2312" w:cs="仿宋"/>
          <w:color w:val="333333"/>
          <w:sz w:val="32"/>
          <w:szCs w:val="32"/>
        </w:rPr>
        <w:t>的绩效评价领导小组，依照相关制度对项目进行专门监督和管理。</w:t>
      </w:r>
    </w:p>
    <w:p>
      <w:pPr>
        <w:spacing w:after="0" w:line="560" w:lineRule="exact"/>
        <w:ind w:firstLine="720"/>
        <w:jc w:val="both"/>
        <w:rPr>
          <w:rFonts w:ascii="黑体" w:eastAsia="黑体"/>
          <w:sz w:val="32"/>
          <w:szCs w:val="32"/>
        </w:rPr>
      </w:pPr>
      <w:r>
        <w:rPr>
          <w:rFonts w:hint="eastAsia" w:ascii="黑体" w:eastAsia="黑体"/>
          <w:sz w:val="32"/>
          <w:szCs w:val="32"/>
        </w:rPr>
        <w:t>二、项目资金申报及使用情况</w:t>
      </w:r>
    </w:p>
    <w:p>
      <w:pPr>
        <w:spacing w:after="0" w:line="560" w:lineRule="exact"/>
        <w:ind w:firstLine="720"/>
        <w:jc w:val="both"/>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项目资金申报：州级配套专项资金35万元。</w:t>
      </w:r>
    </w:p>
    <w:p>
      <w:pPr>
        <w:spacing w:after="0" w:line="560" w:lineRule="exact"/>
        <w:ind w:firstLine="720"/>
        <w:jc w:val="both"/>
        <w:rPr>
          <w:rFonts w:ascii="楷体_GB2312" w:eastAsia="楷体_GB2312"/>
          <w:b/>
          <w:sz w:val="32"/>
          <w:szCs w:val="32"/>
          <w:lang w:val="zh-CN"/>
        </w:rPr>
      </w:pPr>
      <w:r>
        <w:rPr>
          <w:rFonts w:hint="eastAsia" w:ascii="楷体_GB2312" w:eastAsia="楷体_GB2312"/>
          <w:b/>
          <w:sz w:val="32"/>
          <w:szCs w:val="32"/>
          <w:lang w:val="zh-CN"/>
        </w:rPr>
        <w:t>（二）资金计划、到位及使用情况</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1.资金计划</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资金专项使用于</w:t>
      </w:r>
      <w:r>
        <w:rPr>
          <w:rFonts w:hint="eastAsia" w:ascii="仿宋_GB2312" w:eastAsia="仿宋_GB2312" w:cs="仿宋_GB2312"/>
          <w:sz w:val="32"/>
          <w:szCs w:val="32"/>
        </w:rPr>
        <w:t>阿坝州网络宣传服务采购项目</w:t>
      </w:r>
      <w:r>
        <w:rPr>
          <w:rFonts w:hint="eastAsia" w:ascii="仿宋_GB2312" w:eastAsia="仿宋_GB2312"/>
          <w:sz w:val="32"/>
          <w:szCs w:val="32"/>
          <w:lang w:val="zh-CN"/>
        </w:rPr>
        <w:t>的相关活动。</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2.资金到位</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2020年年初下达预算经费项目费用35万元。</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3.资金使用</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按照专款专用的原则，于2020年10月拨付</w:t>
      </w:r>
      <w:r>
        <w:rPr>
          <w:rFonts w:hint="eastAsia" w:ascii="仿宋_GB2312" w:eastAsia="仿宋_GB2312" w:cs="仿宋_GB2312"/>
          <w:sz w:val="32"/>
          <w:szCs w:val="32"/>
        </w:rPr>
        <w:t>阿坝州网络宣传服务采购项目</w:t>
      </w:r>
      <w:r>
        <w:rPr>
          <w:rFonts w:hint="eastAsia" w:ascii="仿宋_GB2312" w:eastAsia="仿宋_GB2312"/>
          <w:sz w:val="32"/>
          <w:szCs w:val="32"/>
          <w:lang w:val="zh-CN"/>
        </w:rPr>
        <w:t>专项费用35万元。</w:t>
      </w:r>
    </w:p>
    <w:p>
      <w:pPr>
        <w:spacing w:after="0" w:line="560" w:lineRule="exact"/>
        <w:ind w:firstLine="720"/>
        <w:jc w:val="both"/>
        <w:rPr>
          <w:rFonts w:ascii="楷体_GB2312" w:eastAsia="楷体_GB2312"/>
          <w:b/>
          <w:sz w:val="32"/>
          <w:szCs w:val="32"/>
          <w:lang w:val="zh-CN"/>
        </w:rPr>
      </w:pPr>
      <w:r>
        <w:rPr>
          <w:rFonts w:hint="eastAsia" w:ascii="楷体_GB2312" w:eastAsia="楷体_GB2312"/>
          <w:b/>
          <w:sz w:val="32"/>
          <w:szCs w:val="32"/>
          <w:lang w:val="zh-CN"/>
        </w:rPr>
        <w:t>（三）项目财务管理情况</w:t>
      </w:r>
    </w:p>
    <w:p>
      <w:pPr>
        <w:spacing w:after="0" w:line="560" w:lineRule="exact"/>
        <w:ind w:firstLine="720"/>
        <w:jc w:val="both"/>
        <w:rPr>
          <w:rFonts w:ascii="仿宋_GB2312" w:eastAsia="仿宋_GB2312"/>
          <w:sz w:val="32"/>
          <w:szCs w:val="32"/>
          <w:lang w:val="zh-CN"/>
        </w:rPr>
      </w:pPr>
      <w:r>
        <w:rPr>
          <w:rFonts w:hint="eastAsia" w:ascii="仿宋_GB2312" w:eastAsia="仿宋_GB2312"/>
          <w:sz w:val="32"/>
          <w:szCs w:val="32"/>
          <w:lang w:val="zh-CN"/>
        </w:rPr>
        <w:t>总体评价</w:t>
      </w:r>
      <w:r>
        <w:rPr>
          <w:rFonts w:hint="eastAsia" w:ascii="仿宋_GB2312" w:eastAsia="仿宋_GB2312" w:cs="仿宋_GB2312"/>
          <w:sz w:val="32"/>
          <w:szCs w:val="32"/>
        </w:rPr>
        <w:t>阿坝州网络宣传服务采购项目</w:t>
      </w:r>
      <w:r>
        <w:rPr>
          <w:rFonts w:hint="eastAsia" w:ascii="仿宋_GB2312" w:eastAsia="仿宋_GB2312"/>
          <w:sz w:val="32"/>
          <w:szCs w:val="32"/>
          <w:lang w:val="zh-CN"/>
        </w:rPr>
        <w:t>财务管理制度健全，严格执行财务管理制度，账务处理及时，会计核算规范。</w:t>
      </w:r>
    </w:p>
    <w:p>
      <w:pPr>
        <w:spacing w:after="0" w:line="560" w:lineRule="exact"/>
        <w:ind w:firstLine="720"/>
        <w:jc w:val="both"/>
        <w:rPr>
          <w:rFonts w:ascii="黑体" w:eastAsia="黑体"/>
          <w:sz w:val="32"/>
          <w:szCs w:val="32"/>
        </w:rPr>
      </w:pPr>
      <w:r>
        <w:rPr>
          <w:rFonts w:hint="eastAsia" w:ascii="黑体" w:eastAsia="黑体"/>
          <w:sz w:val="32"/>
          <w:szCs w:val="32"/>
        </w:rPr>
        <w:t>三、项目实施及管理情况</w:t>
      </w:r>
    </w:p>
    <w:p>
      <w:pPr>
        <w:spacing w:after="0" w:line="560" w:lineRule="exact"/>
        <w:ind w:firstLine="643" w:firstLineChars="200"/>
        <w:jc w:val="both"/>
        <w:rPr>
          <w:rFonts w:ascii="楷体_GB2312" w:eastAsia="楷体_GB2312" w:cs="仿宋_GB2312"/>
          <w:b/>
          <w:sz w:val="32"/>
          <w:szCs w:val="32"/>
          <w:lang w:val="zh-CN"/>
        </w:rPr>
      </w:pPr>
      <w:r>
        <w:rPr>
          <w:rFonts w:hint="eastAsia" w:ascii="楷体_GB2312" w:eastAsia="楷体_GB2312" w:cs="仿宋_GB2312"/>
          <w:b/>
          <w:sz w:val="32"/>
          <w:szCs w:val="32"/>
          <w:lang w:val="zh-CN"/>
        </w:rPr>
        <w:t>（一）项目管理</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资金分配情况：资金分配合理，不存在虚报项目套取财政资金和不符合申报条件的情况。</w:t>
      </w:r>
    </w:p>
    <w:p>
      <w:pPr>
        <w:spacing w:after="0" w:line="560" w:lineRule="exact"/>
        <w:ind w:firstLine="643" w:firstLineChars="200"/>
        <w:jc w:val="both"/>
        <w:rPr>
          <w:rFonts w:ascii="楷体_GB2312" w:eastAsia="楷体_GB2312" w:cs="仿宋_GB2312"/>
          <w:b/>
          <w:sz w:val="32"/>
          <w:szCs w:val="32"/>
          <w:lang w:val="zh-CN"/>
        </w:rPr>
      </w:pPr>
      <w:r>
        <w:rPr>
          <w:rFonts w:hint="eastAsia" w:ascii="楷体_GB2312" w:eastAsia="楷体_GB2312" w:cs="仿宋_GB2312"/>
          <w:b/>
          <w:sz w:val="32"/>
          <w:szCs w:val="32"/>
          <w:lang w:val="zh-CN"/>
        </w:rPr>
        <w:t>（二）资金使用</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资金使用情况：项目资金使用管理科学合理、分配要素设定及测算依据选取等科学合理。</w:t>
      </w:r>
    </w:p>
    <w:p>
      <w:pPr>
        <w:spacing w:after="0" w:line="560" w:lineRule="exact"/>
        <w:ind w:firstLine="880" w:firstLineChars="275"/>
        <w:jc w:val="both"/>
        <w:rPr>
          <w:rFonts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pPr>
        <w:spacing w:after="0" w:line="560" w:lineRule="exact"/>
        <w:ind w:firstLine="800" w:firstLineChars="250"/>
        <w:jc w:val="both"/>
        <w:rPr>
          <w:rFonts w:ascii="仿宋_GB2312" w:eastAsia="仿宋_GB2312" w:cs="仿宋_GB2312"/>
          <w:sz w:val="32"/>
          <w:szCs w:val="32"/>
        </w:rPr>
      </w:pPr>
      <w:r>
        <w:rPr>
          <w:rFonts w:hint="eastAsia" w:ascii="仿宋_GB2312" w:eastAsia="仿宋_GB2312" w:cs="仿宋_GB2312"/>
          <w:sz w:val="32"/>
          <w:szCs w:val="32"/>
        </w:rPr>
        <w:t>通过</w:t>
      </w:r>
      <w:r>
        <w:rPr>
          <w:rFonts w:hint="eastAsia" w:eastAsia="仿宋_GB2312"/>
          <w:color w:val="000000"/>
          <w:sz w:val="32"/>
          <w:szCs w:val="32"/>
        </w:rPr>
        <w:t>网络宣传活动全面展示了我州经济发展、民族团结、文化繁荣、生态文明等方面所取得的显著成效</w:t>
      </w:r>
      <w:r>
        <w:rPr>
          <w:rFonts w:eastAsia="仿宋_GB2312"/>
          <w:color w:val="000000"/>
          <w:sz w:val="32"/>
          <w:szCs w:val="32"/>
        </w:rPr>
        <w:t>，着</w:t>
      </w:r>
      <w:r>
        <w:rPr>
          <w:rFonts w:ascii="仿宋_GB2312" w:eastAsia="仿宋_GB2312" w:cs="仿宋_GB2312"/>
          <w:sz w:val="32"/>
          <w:szCs w:val="32"/>
        </w:rPr>
        <w:t>力营造了强信心、暖人心、聚民心的网上舆论氛围</w:t>
      </w:r>
      <w:r>
        <w:rPr>
          <w:rFonts w:hint="eastAsia" w:ascii="仿宋_GB2312" w:eastAsia="仿宋_GB2312" w:cs="仿宋_GB2312"/>
          <w:sz w:val="32"/>
          <w:szCs w:val="32"/>
        </w:rPr>
        <w:t>。</w:t>
      </w:r>
    </w:p>
    <w:p>
      <w:pPr>
        <w:spacing w:after="0" w:line="560" w:lineRule="exact"/>
        <w:ind w:firstLine="800" w:firstLineChars="250"/>
        <w:jc w:val="both"/>
        <w:rPr>
          <w:rFonts w:ascii="黑体" w:eastAsia="黑体"/>
          <w:sz w:val="32"/>
          <w:szCs w:val="32"/>
        </w:rPr>
      </w:pPr>
      <w:r>
        <w:rPr>
          <w:rFonts w:hint="eastAsia" w:ascii="黑体" w:eastAsia="黑体"/>
          <w:sz w:val="32"/>
          <w:szCs w:val="32"/>
        </w:rPr>
        <w:t>五、评价结论及建议</w:t>
      </w:r>
    </w:p>
    <w:p>
      <w:pPr>
        <w:spacing w:after="0" w:line="560" w:lineRule="exact"/>
        <w:ind w:firstLine="643" w:firstLineChars="200"/>
        <w:jc w:val="both"/>
        <w:rPr>
          <w:rFonts w:ascii="楷体_GB2312" w:eastAsia="楷体_GB2312" w:cs="仿宋_GB2312"/>
          <w:b/>
          <w:sz w:val="32"/>
          <w:szCs w:val="32"/>
          <w:lang w:val="zh-CN"/>
        </w:rPr>
      </w:pPr>
      <w:r>
        <w:rPr>
          <w:rFonts w:hint="eastAsia" w:ascii="楷体_GB2312" w:eastAsia="楷体_GB2312" w:cs="仿宋_GB2312"/>
          <w:b/>
          <w:sz w:val="32"/>
          <w:szCs w:val="32"/>
          <w:lang w:val="zh-CN"/>
        </w:rPr>
        <w:t>（一）评价结论</w:t>
      </w:r>
    </w:p>
    <w:p>
      <w:pPr>
        <w:spacing w:after="0" w:line="560" w:lineRule="exact"/>
        <w:ind w:firstLine="800" w:firstLineChars="250"/>
        <w:jc w:val="both"/>
        <w:rPr>
          <w:rFonts w:ascii="仿宋_GB2312" w:eastAsia="仿宋_GB2312"/>
          <w:sz w:val="32"/>
          <w:szCs w:val="32"/>
          <w:lang w:val="zh-CN"/>
        </w:rPr>
      </w:pPr>
      <w:r>
        <w:rPr>
          <w:rFonts w:hint="eastAsia" w:ascii="仿宋_GB2312" w:eastAsia="仿宋_GB2312" w:cs="仿宋_GB2312"/>
          <w:sz w:val="32"/>
          <w:szCs w:val="32"/>
        </w:rPr>
        <w:t>2020年通过</w:t>
      </w:r>
      <w:r>
        <w:rPr>
          <w:rFonts w:hint="eastAsia" w:eastAsia="仿宋_GB2312"/>
          <w:color w:val="000000"/>
          <w:sz w:val="32"/>
          <w:szCs w:val="32"/>
        </w:rPr>
        <w:t>网络宣传活动全面展示了我州经济发展、民族团结、文化繁荣、生态文明等方面所取得的显著成效，充分展现了全州各族群众守望相助、水乳交融、生活富裕的和谐场景，营造了良好的网络舆论氛围。</w:t>
      </w:r>
    </w:p>
    <w:p>
      <w:pPr>
        <w:spacing w:after="0" w:line="560" w:lineRule="exact"/>
        <w:ind w:firstLine="643" w:firstLineChars="200"/>
        <w:jc w:val="both"/>
        <w:rPr>
          <w:rFonts w:ascii="楷体_GB2312" w:eastAsia="楷体_GB2312" w:cs="仿宋_GB2312"/>
          <w:b/>
          <w:sz w:val="32"/>
          <w:szCs w:val="32"/>
          <w:lang w:val="zh-CN"/>
        </w:rPr>
      </w:pPr>
      <w:r>
        <w:rPr>
          <w:rFonts w:hint="eastAsia" w:ascii="楷体_GB2312" w:eastAsia="楷体_GB2312" w:cs="仿宋_GB2312"/>
          <w:b/>
          <w:sz w:val="32"/>
          <w:szCs w:val="32"/>
          <w:lang w:val="zh-CN"/>
        </w:rPr>
        <w:t>（二）存在的问题</w:t>
      </w:r>
    </w:p>
    <w:p>
      <w:pPr>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1.2020年阿坝州网络宣传在一定的基础上，还存在一定的局限性，无法达到100%的传播率；</w:t>
      </w:r>
    </w:p>
    <w:p>
      <w:pPr>
        <w:spacing w:after="0" w:line="560" w:lineRule="exact"/>
        <w:ind w:firstLine="640" w:firstLineChars="200"/>
        <w:jc w:val="both"/>
        <w:rPr>
          <w:rFonts w:ascii="仿宋_GB2312" w:eastAsia="仿宋_GB2312" w:cs="仿宋_GB2312"/>
          <w:color w:val="000000"/>
          <w:sz w:val="32"/>
          <w:szCs w:val="32"/>
        </w:rPr>
      </w:pPr>
      <w:r>
        <w:rPr>
          <w:rFonts w:hint="eastAsia" w:ascii="仿宋_GB2312" w:eastAsia="仿宋_GB2312" w:cs="仿宋_GB2312"/>
          <w:color w:val="000000"/>
          <w:sz w:val="32"/>
          <w:szCs w:val="32"/>
        </w:rPr>
        <w:t>2.项目预算编制精准性有待提高；</w:t>
      </w:r>
    </w:p>
    <w:p>
      <w:pPr>
        <w:spacing w:after="0" w:line="560" w:lineRule="exact"/>
        <w:ind w:firstLine="640" w:firstLineChars="200"/>
        <w:jc w:val="both"/>
        <w:rPr>
          <w:rFonts w:ascii="仿宋_GB2312" w:eastAsia="仿宋_GB2312" w:cs="仿宋_GB2312"/>
        </w:rPr>
      </w:pPr>
      <w:r>
        <w:rPr>
          <w:rFonts w:hint="eastAsia" w:ascii="仿宋_GB2312" w:eastAsia="仿宋_GB2312" w:cs="仿宋_GB2312"/>
          <w:color w:val="000000"/>
          <w:sz w:val="32"/>
          <w:szCs w:val="32"/>
        </w:rPr>
        <w:t>3.项目预算执行力有待加强。</w:t>
      </w:r>
    </w:p>
    <w:p>
      <w:pPr>
        <w:spacing w:after="0" w:line="560" w:lineRule="exact"/>
        <w:ind w:firstLine="643" w:firstLineChars="200"/>
        <w:jc w:val="both"/>
        <w:rPr>
          <w:rFonts w:ascii="楷体_GB2312" w:eastAsia="楷体_GB2312" w:cs="仿宋_GB2312"/>
          <w:b/>
          <w:sz w:val="32"/>
          <w:szCs w:val="32"/>
          <w:lang w:val="zh-CN"/>
        </w:rPr>
      </w:pPr>
      <w:r>
        <w:rPr>
          <w:rFonts w:hint="eastAsia" w:ascii="楷体_GB2312" w:eastAsia="楷体_GB2312" w:cs="仿宋_GB2312"/>
          <w:b/>
          <w:sz w:val="32"/>
          <w:szCs w:val="32"/>
          <w:lang w:val="zh-CN"/>
        </w:rPr>
        <w:t>（三）相关措施建议</w:t>
      </w:r>
    </w:p>
    <w:p>
      <w:pPr>
        <w:spacing w:after="0" w:line="560" w:lineRule="exact"/>
        <w:ind w:firstLine="640" w:firstLineChars="200"/>
        <w:jc w:val="both"/>
        <w:rPr>
          <w:rFonts w:ascii="仿宋_GB2312" w:eastAsia="仿宋_GB2312" w:cs="宋体"/>
          <w:color w:val="333333"/>
          <w:sz w:val="32"/>
          <w:szCs w:val="32"/>
        </w:rPr>
      </w:pPr>
      <w:r>
        <w:rPr>
          <w:rFonts w:hint="eastAsia" w:ascii="仿宋_GB2312" w:eastAsia="仿宋_GB2312" w:cs="宋体"/>
          <w:color w:val="333333"/>
          <w:sz w:val="32"/>
          <w:szCs w:val="32"/>
        </w:rPr>
        <w:t>建议财政部门加强绩效评价相关工作的业务培训，组织相关单位人员学习交流相关经验及工作方法，达到更科学的项目绩效评价报告。</w:t>
      </w:r>
    </w:p>
    <w:tbl>
      <w:tblPr>
        <w:tblStyle w:val="13"/>
        <w:tblpPr w:leftFromText="180" w:rightFromText="180" w:vertAnchor="text" w:horzAnchor="page" w:tblpXSpec="center" w:tblpY="423"/>
        <w:tblOverlap w:val="never"/>
        <w:tblW w:w="9945" w:type="dxa"/>
        <w:tblInd w:w="0" w:type="dxa"/>
        <w:tblLayout w:type="fixed"/>
        <w:tblCellMar>
          <w:top w:w="0" w:type="dxa"/>
          <w:left w:w="0" w:type="dxa"/>
          <w:bottom w:w="0" w:type="dxa"/>
          <w:right w:w="0" w:type="dxa"/>
        </w:tblCellMar>
      </w:tblPr>
      <w:tblGrid>
        <w:gridCol w:w="375"/>
        <w:gridCol w:w="1367"/>
        <w:gridCol w:w="1025"/>
        <w:gridCol w:w="2336"/>
        <w:gridCol w:w="2450"/>
        <w:gridCol w:w="2392"/>
      </w:tblGrid>
      <w:tr>
        <w:tblPrEx>
          <w:tblCellMar>
            <w:top w:w="0" w:type="dxa"/>
            <w:left w:w="0" w:type="dxa"/>
            <w:bottom w:w="0" w:type="dxa"/>
            <w:right w:w="0" w:type="dxa"/>
          </w:tblCellMar>
        </w:tblPrEx>
        <w:trPr>
          <w:trHeight w:val="1034" w:hRule="atLeast"/>
        </w:trPr>
        <w:tc>
          <w:tcPr>
            <w:tcW w:w="9945" w:type="dxa"/>
            <w:gridSpan w:val="6"/>
            <w:tcBorders>
              <w:top w:val="nil"/>
              <w:left w:val="nil"/>
              <w:bottom w:val="nil"/>
              <w:right w:val="nil"/>
            </w:tcBorders>
            <w:tcMar>
              <w:top w:w="15" w:type="dxa"/>
              <w:left w:w="15" w:type="dxa"/>
              <w:right w:w="15" w:type="dxa"/>
            </w:tcMar>
            <w:vAlign w:val="center"/>
          </w:tcPr>
          <w:p>
            <w:pPr>
              <w:jc w:val="center"/>
              <w:textAlignment w:val="center"/>
              <w:rPr>
                <w:rFonts w:ascii="方正小标宋简体" w:eastAsia="方正小标宋简体" w:cs="宋体"/>
                <w:b/>
                <w:bCs/>
                <w:color w:val="000000"/>
                <w:sz w:val="44"/>
                <w:szCs w:val="44"/>
              </w:rPr>
            </w:pPr>
          </w:p>
          <w:p>
            <w:pPr>
              <w:jc w:val="center"/>
              <w:textAlignment w:val="center"/>
              <w:rPr>
                <w:rFonts w:ascii="宋体" w:hAnsi="宋体" w:cs="宋体"/>
                <w:color w:val="000000"/>
                <w:sz w:val="36"/>
                <w:szCs w:val="36"/>
              </w:rPr>
            </w:pPr>
            <w:r>
              <w:rPr>
                <w:rFonts w:hint="eastAsia" w:ascii="方正小标宋简体" w:eastAsia="方正小标宋简体" w:cs="宋体"/>
                <w:b/>
                <w:bCs/>
                <w:color w:val="000000"/>
                <w:sz w:val="44"/>
                <w:szCs w:val="44"/>
              </w:rPr>
              <w:t>项目绩效目标完成情况表</w:t>
            </w:r>
            <w:r>
              <w:rPr>
                <w:rFonts w:hint="eastAsia" w:ascii="方正小标宋简体" w:eastAsia="方正小标宋简体" w:cs="宋体"/>
                <w:b/>
                <w:bCs/>
                <w:color w:val="000000"/>
                <w:sz w:val="44"/>
                <w:szCs w:val="44"/>
              </w:rPr>
              <w:br w:type="textWrapping"/>
            </w:r>
            <w:r>
              <w:rPr>
                <w:rFonts w:hint="eastAsia" w:ascii="宋体" w:hAnsi="宋体" w:cs="宋体"/>
                <w:color w:val="000000"/>
                <w:sz w:val="36"/>
                <w:szCs w:val="36"/>
              </w:rPr>
              <w:t>(2020 年度)</w:t>
            </w:r>
          </w:p>
        </w:tc>
      </w:tr>
      <w:tr>
        <w:tblPrEx>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after="0" w:line="560" w:lineRule="exact"/>
              <w:jc w:val="center"/>
              <w:rPr>
                <w:rFonts w:ascii="仿宋_GB2312" w:eastAsia="仿宋_GB2312" w:cs="宋体"/>
                <w:color w:val="000000"/>
                <w:sz w:val="21"/>
                <w:szCs w:val="21"/>
              </w:rPr>
            </w:pPr>
            <w:r>
              <w:rPr>
                <w:rFonts w:hint="eastAsia" w:ascii="仿宋_GB2312" w:eastAsia="仿宋_GB2312" w:cs="宋体"/>
                <w:color w:val="000000"/>
                <w:sz w:val="21"/>
                <w:szCs w:val="21"/>
              </w:rPr>
              <w:t>2020年度阿坝州阿坝州网络宣传服务采购</w:t>
            </w:r>
          </w:p>
        </w:tc>
      </w:tr>
      <w:tr>
        <w:tblPrEx>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中共阿坝州委网信办</w:t>
            </w:r>
          </w:p>
        </w:tc>
      </w:tr>
      <w:tr>
        <w:tblPrEx>
          <w:tblCellMar>
            <w:top w:w="0" w:type="dxa"/>
            <w:left w:w="0" w:type="dxa"/>
            <w:bottom w:w="0" w:type="dxa"/>
            <w:right w:w="0" w:type="dxa"/>
          </w:tblCellMar>
        </w:tblPrEx>
        <w:trPr>
          <w:trHeight w:val="27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35万元</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35万元</w:t>
            </w:r>
          </w:p>
        </w:tc>
      </w:tr>
      <w:tr>
        <w:tblPrEx>
          <w:tblCellMar>
            <w:top w:w="0" w:type="dxa"/>
            <w:left w:w="0" w:type="dxa"/>
            <w:bottom w:w="0" w:type="dxa"/>
            <w:right w:w="0" w:type="dxa"/>
          </w:tblCellMar>
        </w:tblPrEx>
        <w:trPr>
          <w:trHeight w:val="276" w:hRule="atLeast"/>
        </w:trPr>
        <w:tc>
          <w:tcPr>
            <w:tcW w:w="3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35万元</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35万元</w:t>
            </w:r>
          </w:p>
        </w:tc>
      </w:tr>
      <w:tr>
        <w:tblPrEx>
          <w:tblCellMar>
            <w:top w:w="0" w:type="dxa"/>
            <w:left w:w="0" w:type="dxa"/>
            <w:bottom w:w="0" w:type="dxa"/>
            <w:right w:w="0" w:type="dxa"/>
          </w:tblCellMar>
        </w:tblPrEx>
        <w:trPr>
          <w:trHeight w:val="1511" w:hRule="atLeast"/>
        </w:trPr>
        <w:tc>
          <w:tcPr>
            <w:tcW w:w="3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both"/>
              <w:textAlignment w:val="center"/>
              <w:rPr>
                <w:rFonts w:ascii="仿宋_GB2312" w:eastAsia="仿宋_GB2312" w:cs="宋体"/>
                <w:color w:val="000000"/>
                <w:sz w:val="21"/>
                <w:szCs w:val="21"/>
              </w:rPr>
            </w:pPr>
            <w:r>
              <w:rPr>
                <w:rFonts w:hint="eastAsia" w:ascii="仿宋_GB2312" w:eastAsia="仿宋_GB2312" w:cs="宋体"/>
                <w:color w:val="000000"/>
                <w:sz w:val="21"/>
                <w:szCs w:val="21"/>
              </w:rPr>
              <w:t>0</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宋体"/>
                <w:color w:val="000000"/>
                <w:sz w:val="21"/>
                <w:szCs w:val="21"/>
              </w:rPr>
            </w:pPr>
            <w:r>
              <w:rPr>
                <w:rFonts w:hint="eastAsia" w:ascii="仿宋_GB2312" w:eastAsia="仿宋_GB2312" w:cs="宋体"/>
                <w:color w:val="000000"/>
                <w:sz w:val="21"/>
                <w:szCs w:val="21"/>
              </w:rPr>
              <w:t>0</w:t>
            </w:r>
          </w:p>
        </w:tc>
      </w:tr>
      <w:tr>
        <w:tblPrEx>
          <w:tblCellMar>
            <w:top w:w="0" w:type="dxa"/>
            <w:left w:w="0" w:type="dxa"/>
            <w:bottom w:w="0" w:type="dxa"/>
            <w:right w:w="0" w:type="dxa"/>
          </w:tblCellMar>
        </w:tblPrEx>
        <w:trPr>
          <w:trHeight w:val="27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预期目标</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实际完成目标</w:t>
            </w:r>
          </w:p>
        </w:tc>
      </w:tr>
      <w:tr>
        <w:tblPrEx>
          <w:tblCellMar>
            <w:top w:w="0" w:type="dxa"/>
            <w:left w:w="0" w:type="dxa"/>
            <w:bottom w:w="0" w:type="dxa"/>
            <w:right w:w="0" w:type="dxa"/>
          </w:tblCellMar>
        </w:tblPrEx>
        <w:trPr>
          <w:trHeight w:val="1159" w:hRule="atLeast"/>
        </w:trPr>
        <w:tc>
          <w:tcPr>
            <w:tcW w:w="3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eastAsia="仿宋_GB2312" w:cs="仿宋_GB2312"/>
                <w:color w:val="000000"/>
                <w:sz w:val="21"/>
                <w:szCs w:val="21"/>
              </w:rPr>
            </w:pPr>
            <w:r>
              <w:rPr>
                <w:rFonts w:ascii="仿宋_GB2312" w:eastAsia="仿宋_GB2312" w:cs="仿宋_GB2312"/>
                <w:color w:val="000000"/>
                <w:sz w:val="21"/>
                <w:szCs w:val="21"/>
              </w:rPr>
              <w:t>通</w:t>
            </w:r>
            <w:r>
              <w:rPr>
                <w:rFonts w:hint="eastAsia" w:ascii="仿宋_GB2312" w:eastAsia="仿宋_GB2312" w:cs="仿宋_GB2312"/>
                <w:color w:val="000000"/>
                <w:sz w:val="21"/>
                <w:szCs w:val="21"/>
              </w:rPr>
              <w:t>过</w:t>
            </w:r>
            <w:r>
              <w:rPr>
                <w:rFonts w:hint="eastAsia" w:ascii="仿宋_GB2312" w:eastAsia="仿宋_GB2312"/>
                <w:color w:val="000000"/>
                <w:sz w:val="21"/>
                <w:szCs w:val="21"/>
              </w:rPr>
              <w:t>网络宣传活动全面展示了我州经济发展、民族团结、文化繁荣、生态文明等方面所取得的显著成效，充分展现了全州各族群众守望相助、水乳交融、</w:t>
            </w:r>
            <w:r>
              <w:rPr>
                <w:rFonts w:hint="eastAsia" w:ascii="仿宋_GB2312" w:eastAsia="仿宋_GB2312" w:cs="仿宋_GB2312"/>
                <w:color w:val="000000"/>
                <w:sz w:val="21"/>
                <w:szCs w:val="21"/>
              </w:rPr>
              <w:t>生活富裕的和谐场景，营造了良好的网络舆论氛围通</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eastAsia="仿宋_GB2312"/>
                <w:color w:val="000000"/>
                <w:sz w:val="21"/>
                <w:szCs w:val="21"/>
              </w:rPr>
            </w:pPr>
            <w:r>
              <w:rPr>
                <w:rFonts w:ascii="仿宋_GB2312" w:eastAsia="仿宋_GB2312" w:cs="仿宋_GB2312"/>
                <w:color w:val="000000"/>
                <w:sz w:val="21"/>
                <w:szCs w:val="21"/>
              </w:rPr>
              <w:t>通过系列</w:t>
            </w:r>
            <w:r>
              <w:rPr>
                <w:rFonts w:hint="eastAsia" w:ascii="仿宋_GB2312" w:eastAsia="仿宋_GB2312" w:cs="仿宋_GB2312"/>
                <w:color w:val="000000"/>
                <w:sz w:val="21"/>
                <w:szCs w:val="21"/>
              </w:rPr>
              <w:t>网络宣传活动全面展示了我</w:t>
            </w:r>
            <w:r>
              <w:rPr>
                <w:rFonts w:hint="eastAsia" w:ascii="仿宋_GB2312" w:eastAsia="仿宋_GB2312"/>
                <w:color w:val="000000"/>
                <w:sz w:val="21"/>
                <w:szCs w:val="21"/>
              </w:rPr>
              <w:t>州经济发展、民族团结、文化繁荣、生态文明等方面所取得的显著成效，充分展现了全州各族群众守望相助、水乳交融、生活富裕的和谐场景，营造了良好的网络舆论氛围。</w:t>
            </w:r>
          </w:p>
          <w:p>
            <w:pPr>
              <w:spacing w:line="400" w:lineRule="exact"/>
              <w:rPr>
                <w:rFonts w:ascii="仿宋_GB2312" w:eastAsia="仿宋_GB2312"/>
                <w:color w:val="000000"/>
                <w:sz w:val="21"/>
                <w:szCs w:val="21"/>
              </w:rPr>
            </w:pPr>
          </w:p>
        </w:tc>
      </w:tr>
      <w:tr>
        <w:tblPrEx>
          <w:tblCellMar>
            <w:top w:w="0" w:type="dxa"/>
            <w:left w:w="0" w:type="dxa"/>
            <w:bottom w:w="0" w:type="dxa"/>
            <w:right w:w="0" w:type="dxa"/>
          </w:tblCellMar>
        </w:tblPrEx>
        <w:trPr>
          <w:trHeight w:val="797" w:hRule="atLeast"/>
        </w:trPr>
        <w:tc>
          <w:tcPr>
            <w:tcW w:w="37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实际完成指标值(包含数字及文字描述)</w:t>
            </w:r>
          </w:p>
        </w:tc>
      </w:tr>
      <w:tr>
        <w:tblPrEx>
          <w:tblCellMar>
            <w:top w:w="0" w:type="dxa"/>
            <w:left w:w="0" w:type="dxa"/>
            <w:bottom w:w="0" w:type="dxa"/>
            <w:right w:w="0" w:type="dxa"/>
          </w:tblCellMar>
        </w:tblPrEx>
        <w:trPr>
          <w:trHeight w:val="554" w:hRule="atLeast"/>
        </w:trPr>
        <w:tc>
          <w:tcPr>
            <w:tcW w:w="375"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阿坝州网络宣传</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w:t>
            </w:r>
          </w:p>
        </w:tc>
      </w:tr>
      <w:tr>
        <w:tblPrEx>
          <w:tblCellMar>
            <w:top w:w="0" w:type="dxa"/>
            <w:left w:w="0" w:type="dxa"/>
            <w:bottom w:w="0" w:type="dxa"/>
            <w:right w:w="0" w:type="dxa"/>
          </w:tblCellMar>
        </w:tblPrEx>
        <w:trPr>
          <w:trHeight w:val="1297" w:hRule="atLeast"/>
        </w:trPr>
        <w:tc>
          <w:tcPr>
            <w:tcW w:w="375"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质量指标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2020年阿坝州网络宣传服务方案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eastAsia="仿宋_GB2312"/>
                <w:color w:val="000000"/>
                <w:sz w:val="21"/>
                <w:szCs w:val="21"/>
              </w:rPr>
            </w:pPr>
            <w:r>
              <w:rPr>
                <w:rFonts w:hint="eastAsia" w:ascii="仿宋_GB2312" w:eastAsia="仿宋_GB2312"/>
                <w:color w:val="000000"/>
                <w:sz w:val="21"/>
                <w:szCs w:val="21"/>
              </w:rPr>
              <w:t>2020年，在确保打赢疫情防控的人民战争、总体战、阻击战基础上，阿坝州基础设施建设、环境保护、全域旅游、两联一进等方面工作有序推进，为全面建成小康社会奠定了坚实的基础。</w:t>
            </w:r>
          </w:p>
          <w:p>
            <w:pPr>
              <w:spacing w:line="320" w:lineRule="exact"/>
              <w:rPr>
                <w:rFonts w:ascii="仿宋_GB2312" w:eastAsia="仿宋_GB2312"/>
                <w:color w:val="000000"/>
                <w:sz w:val="21"/>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eastAsia="仿宋_GB2312"/>
                <w:color w:val="000000"/>
                <w:sz w:val="21"/>
                <w:szCs w:val="21"/>
              </w:rPr>
            </w:pPr>
            <w:r>
              <w:rPr>
                <w:rFonts w:hint="eastAsia" w:ascii="仿宋_GB2312" w:eastAsia="仿宋_GB2312"/>
                <w:color w:val="000000"/>
                <w:sz w:val="21"/>
                <w:szCs w:val="21"/>
              </w:rPr>
              <w:t>2020年通过</w:t>
            </w:r>
            <w:r>
              <w:rPr>
                <w:rFonts w:ascii="仿宋_GB2312" w:eastAsia="仿宋_GB2312"/>
                <w:color w:val="000000"/>
                <w:sz w:val="21"/>
                <w:szCs w:val="21"/>
              </w:rPr>
              <w:t>系列</w:t>
            </w:r>
            <w:r>
              <w:rPr>
                <w:rFonts w:hint="eastAsia" w:ascii="仿宋_GB2312" w:eastAsia="仿宋_GB2312"/>
                <w:color w:val="000000"/>
                <w:sz w:val="21"/>
                <w:szCs w:val="21"/>
              </w:rPr>
              <w:t>网络宣传活动全面展示了我州经济发展、民族团结、文化繁荣、生态文明等方面所取得的显著成效，充分展现了全州各族群众守望相助、水乳交融、生活富裕的和谐场景，营造了良好的网络舆论氛围。</w:t>
            </w:r>
          </w:p>
          <w:p>
            <w:pPr>
              <w:spacing w:line="320" w:lineRule="exact"/>
              <w:rPr>
                <w:rFonts w:ascii="仿宋_GB2312" w:eastAsia="仿宋_GB2312" w:cs="宋体"/>
                <w:color w:val="000000"/>
                <w:sz w:val="21"/>
                <w:szCs w:val="21"/>
              </w:rPr>
            </w:pPr>
          </w:p>
        </w:tc>
      </w:tr>
      <w:tr>
        <w:tblPrEx>
          <w:tblCellMar>
            <w:top w:w="0" w:type="dxa"/>
            <w:left w:w="0" w:type="dxa"/>
            <w:bottom w:w="0" w:type="dxa"/>
            <w:right w:w="0" w:type="dxa"/>
          </w:tblCellMar>
        </w:tblPrEx>
        <w:trPr>
          <w:trHeight w:val="779" w:hRule="atLeast"/>
        </w:trPr>
        <w:tc>
          <w:tcPr>
            <w:tcW w:w="375"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成本指标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35万元内</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highlight w:val="yellow"/>
              </w:rPr>
            </w:pPr>
            <w:r>
              <w:rPr>
                <w:rFonts w:hint="eastAsia" w:ascii="仿宋_GB2312" w:eastAsia="仿宋_GB2312" w:cs="宋体"/>
                <w:color w:val="000000"/>
                <w:sz w:val="21"/>
                <w:szCs w:val="21"/>
              </w:rPr>
              <w:t>35万元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highlight w:val="yellow"/>
              </w:rPr>
            </w:pPr>
            <w:r>
              <w:rPr>
                <w:rFonts w:hint="eastAsia" w:ascii="仿宋_GB2312" w:eastAsia="仿宋_GB2312" w:cs="宋体"/>
                <w:color w:val="000000"/>
                <w:sz w:val="21"/>
                <w:szCs w:val="21"/>
              </w:rPr>
              <w:t>35万元</w:t>
            </w:r>
          </w:p>
        </w:tc>
      </w:tr>
      <w:tr>
        <w:tblPrEx>
          <w:tblCellMar>
            <w:top w:w="0" w:type="dxa"/>
            <w:left w:w="0" w:type="dxa"/>
            <w:bottom w:w="0" w:type="dxa"/>
            <w:right w:w="0" w:type="dxa"/>
          </w:tblCellMar>
        </w:tblPrEx>
        <w:trPr>
          <w:trHeight w:val="691" w:hRule="atLeast"/>
        </w:trPr>
        <w:tc>
          <w:tcPr>
            <w:tcW w:w="375"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效益</w:t>
            </w:r>
          </w:p>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textAlignment w:val="center"/>
              <w:rPr>
                <w:rFonts w:ascii="仿宋_GB2312" w:eastAsia="仿宋_GB2312" w:cs="宋体"/>
                <w:color w:val="000000"/>
                <w:sz w:val="21"/>
                <w:szCs w:val="21"/>
              </w:rPr>
            </w:pPr>
            <w:r>
              <w:rPr>
                <w:rFonts w:hint="eastAsia" w:ascii="仿宋_GB2312" w:eastAsia="仿宋_GB2312" w:cs="宋体"/>
                <w:color w:val="000000"/>
                <w:sz w:val="21"/>
                <w:szCs w:val="21"/>
              </w:rPr>
              <w:t>社会效益</w:t>
            </w:r>
          </w:p>
          <w:p>
            <w:pPr>
              <w:spacing w:line="320" w:lineRule="exact"/>
              <w:textAlignment w:val="center"/>
              <w:rPr>
                <w:rFonts w:ascii="仿宋_GB2312" w:eastAsia="仿宋_GB2312" w:cs="宋体"/>
                <w:color w:val="000000"/>
                <w:sz w:val="21"/>
                <w:szCs w:val="21"/>
              </w:rPr>
            </w:pPr>
            <w:r>
              <w:rPr>
                <w:rFonts w:hint="eastAsia" w:ascii="仿宋_GB2312" w:eastAsia="仿宋_GB2312" w:cs="宋体"/>
                <w:color w:val="000000"/>
                <w:sz w:val="21"/>
                <w:szCs w:val="21"/>
              </w:rPr>
              <w:t>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社会效益</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仿宋_GB2312" w:eastAsia="仿宋_GB2312"/>
                <w:color w:val="000000"/>
                <w:sz w:val="21"/>
                <w:szCs w:val="21"/>
              </w:rPr>
            </w:pPr>
          </w:p>
          <w:p>
            <w:pPr>
              <w:spacing w:line="320" w:lineRule="exact"/>
              <w:textAlignment w:val="center"/>
              <w:rPr>
                <w:rFonts w:ascii="仿宋_GB2312" w:eastAsia="仿宋_GB2312" w:cs="宋体"/>
                <w:color w:val="000000"/>
                <w:sz w:val="21"/>
                <w:szCs w:val="21"/>
              </w:rPr>
            </w:pPr>
            <w:r>
              <w:rPr>
                <w:rFonts w:hint="eastAsia" w:ascii="仿宋_GB2312" w:eastAsia="仿宋_GB2312"/>
                <w:color w:val="000000"/>
                <w:sz w:val="21"/>
                <w:szCs w:val="21"/>
              </w:rPr>
              <w:t>通过网络宣传充分展现阿坝脱贫攻坚、全面建成小康社会的成就，奏响全面建成小康社“网络交响曲”。</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通过网络宣传</w:t>
            </w:r>
            <w:r>
              <w:rPr>
                <w:rFonts w:hint="eastAsia" w:ascii="仿宋_GB2312" w:eastAsia="仿宋_GB2312"/>
                <w:color w:val="000000"/>
                <w:sz w:val="21"/>
                <w:szCs w:val="21"/>
              </w:rPr>
              <w:t>营造了良好的网络舆论氛围。</w:t>
            </w:r>
          </w:p>
        </w:tc>
      </w:tr>
      <w:tr>
        <w:tblPrEx>
          <w:tblCellMar>
            <w:top w:w="0" w:type="dxa"/>
            <w:left w:w="0" w:type="dxa"/>
            <w:bottom w:w="0" w:type="dxa"/>
            <w:right w:w="0" w:type="dxa"/>
          </w:tblCellMar>
        </w:tblPrEx>
        <w:trPr>
          <w:trHeight w:val="684" w:hRule="atLeast"/>
        </w:trPr>
        <w:tc>
          <w:tcPr>
            <w:tcW w:w="375"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textAlignment w:val="center"/>
              <w:rPr>
                <w:rFonts w:ascii="仿宋_GB2312" w:eastAsia="仿宋_GB2312" w:cs="宋体"/>
                <w:color w:val="000000"/>
                <w:sz w:val="21"/>
                <w:szCs w:val="21"/>
              </w:rPr>
            </w:pPr>
            <w:r>
              <w:rPr>
                <w:rFonts w:hint="eastAsia" w:ascii="仿宋_GB2312" w:eastAsia="仿宋_GB2312" w:cs="宋体"/>
                <w:color w:val="000000"/>
                <w:sz w:val="21"/>
                <w:szCs w:val="21"/>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群众满意度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jc w:val="center"/>
              <w:textAlignment w:val="center"/>
              <w:rPr>
                <w:rFonts w:ascii="仿宋_GB2312" w:eastAsia="仿宋_GB2312" w:cs="宋体"/>
                <w:color w:val="000000"/>
                <w:sz w:val="21"/>
                <w:szCs w:val="21"/>
              </w:rPr>
            </w:pPr>
            <w:r>
              <w:rPr>
                <w:rFonts w:hint="eastAsia" w:ascii="仿宋_GB2312" w:eastAsia="仿宋_GB2312" w:cs="宋体"/>
                <w:color w:val="000000"/>
                <w:sz w:val="21"/>
                <w:szCs w:val="21"/>
              </w:rPr>
              <w:t>90%</w:t>
            </w:r>
          </w:p>
        </w:tc>
      </w:tr>
    </w:tbl>
    <w:p>
      <w:pPr>
        <w:rPr>
          <w:rFonts w:ascii="仿宋_GB2312" w:eastAsia="仿宋_GB2312" w:cs="宋体"/>
          <w:sz w:val="32"/>
          <w:szCs w:val="32"/>
        </w:rPr>
      </w:pPr>
    </w:p>
    <w:p>
      <w:pPr>
        <w:rPr>
          <w:rFonts w:ascii="仿宋_GB2312" w:eastAsia="仿宋_GB2312" w:cs="宋体"/>
          <w:sz w:val="32"/>
          <w:szCs w:val="32"/>
        </w:rPr>
      </w:pPr>
    </w:p>
    <w:p>
      <w:pPr>
        <w:rPr>
          <w:rFonts w:ascii="仿宋_GB2312" w:eastAsia="仿宋_GB2312" w:cs="宋体"/>
          <w:sz w:val="32"/>
          <w:szCs w:val="32"/>
        </w:rPr>
      </w:pPr>
    </w:p>
    <w:p>
      <w:pPr>
        <w:rPr>
          <w:rFonts w:ascii="仿宋_GB2312" w:eastAsia="仿宋_GB2312" w:cs="宋体"/>
          <w:sz w:val="32"/>
          <w:szCs w:val="32"/>
        </w:rPr>
      </w:pPr>
    </w:p>
    <w:p>
      <w:pPr>
        <w:jc w:val="center"/>
        <w:rPr>
          <w:rFonts w:ascii="仿宋_GB2312" w:eastAsia="仿宋_GB2312" w:cs="宋体"/>
          <w:sz w:val="32"/>
          <w:szCs w:val="32"/>
        </w:rPr>
      </w:pPr>
    </w:p>
    <w:p>
      <w:pPr>
        <w:rPr>
          <w:rFonts w:ascii="仿宋_GB2312" w:eastAsia="仿宋_GB2312" w:cs="宋体"/>
          <w:sz w:val="32"/>
          <w:szCs w:val="32"/>
        </w:rPr>
      </w:pPr>
    </w:p>
    <w:p>
      <w:pPr>
        <w:spacing w:after="0" w:line="560" w:lineRule="exact"/>
        <w:jc w:val="both"/>
        <w:outlineLvl w:val="0"/>
        <w:rPr>
          <w:rFonts w:ascii="黑体" w:eastAsia="黑体"/>
          <w:color w:val="000000"/>
          <w:sz w:val="44"/>
          <w:szCs w:val="44"/>
        </w:rPr>
      </w:pPr>
    </w:p>
    <w:p>
      <w:pPr>
        <w:spacing w:after="0" w:line="560" w:lineRule="exact"/>
        <w:jc w:val="center"/>
        <w:outlineLvl w:val="0"/>
        <w:rPr>
          <w:rFonts w:ascii="黑体" w:eastAsia="黑体"/>
          <w:color w:val="000000"/>
          <w:sz w:val="44"/>
          <w:szCs w:val="44"/>
        </w:rPr>
      </w:pPr>
    </w:p>
    <w:p>
      <w:pPr>
        <w:spacing w:after="0" w:line="560" w:lineRule="exact"/>
        <w:jc w:val="center"/>
        <w:outlineLvl w:val="0"/>
        <w:rPr>
          <w:rFonts w:ascii="黑体" w:eastAsia="黑体"/>
          <w:color w:val="000000"/>
          <w:sz w:val="44"/>
          <w:szCs w:val="44"/>
        </w:rPr>
      </w:pPr>
    </w:p>
    <w:p>
      <w:pPr>
        <w:spacing w:after="0" w:line="560" w:lineRule="exact"/>
        <w:jc w:val="center"/>
        <w:outlineLvl w:val="0"/>
        <w:rPr>
          <w:rFonts w:ascii="方正小标宋简体" w:eastAsia="方正小标宋简体"/>
          <w:color w:val="000000"/>
          <w:sz w:val="44"/>
          <w:szCs w:val="44"/>
        </w:rPr>
      </w:pPr>
    </w:p>
    <w:p>
      <w:pPr>
        <w:spacing w:after="0" w:line="560" w:lineRule="exact"/>
        <w:outlineLvl w:val="0"/>
        <w:rPr>
          <w:rFonts w:ascii="方正小标宋简体" w:eastAsia="方正小标宋简体"/>
          <w:color w:val="000000"/>
          <w:sz w:val="44"/>
          <w:szCs w:val="44"/>
        </w:rPr>
      </w:pPr>
    </w:p>
    <w:p>
      <w:pPr>
        <w:spacing w:after="0" w:line="560" w:lineRule="exact"/>
        <w:jc w:val="center"/>
        <w:outlineLvl w:val="0"/>
        <w:rPr>
          <w:rStyle w:val="17"/>
          <w:rFonts w:ascii="方正小标宋简体" w:eastAsia="方正小标宋简体"/>
          <w:b w:val="0"/>
          <w:bCs w:val="0"/>
        </w:rPr>
      </w:pPr>
      <w:r>
        <w:rPr>
          <w:rFonts w:hint="eastAsia" w:ascii="方正小标宋简体" w:eastAsia="方正小标宋简体"/>
          <w:color w:val="000000"/>
          <w:sz w:val="44"/>
          <w:szCs w:val="44"/>
        </w:rPr>
        <w:t>第</w:t>
      </w:r>
      <w:r>
        <w:rPr>
          <w:rStyle w:val="17"/>
          <w:rFonts w:hint="eastAsia" w:ascii="方正小标宋简体" w:eastAsia="方正小标宋简体"/>
          <w:b w:val="0"/>
          <w:bCs w:val="0"/>
        </w:rPr>
        <w:t>五部分 附表</w:t>
      </w:r>
      <w:bookmarkEnd w:id="15"/>
      <w:bookmarkEnd w:id="16"/>
    </w:p>
    <w:p>
      <w:pPr>
        <w:spacing w:after="0" w:line="560" w:lineRule="exact"/>
        <w:jc w:val="both"/>
        <w:outlineLvl w:val="0"/>
        <w:rPr>
          <w:rFonts w:ascii="仿宋" w:eastAsia="仿宋"/>
          <w:b/>
          <w:color w:val="000000"/>
          <w:sz w:val="44"/>
          <w:szCs w:val="44"/>
        </w:rPr>
      </w:pPr>
    </w:p>
    <w:p>
      <w:pPr>
        <w:pStyle w:val="3"/>
        <w:spacing w:before="0" w:after="0" w:line="560" w:lineRule="exact"/>
        <w:rPr>
          <w:rFonts w:ascii="仿宋_GB2312" w:eastAsia="仿宋_GB2312"/>
          <w:b w:val="0"/>
          <w:bCs w:val="0"/>
          <w:color w:val="000000"/>
        </w:rPr>
      </w:pPr>
      <w:bookmarkStart w:id="17" w:name="_Toc15396619"/>
      <w:r>
        <w:rPr>
          <w:rFonts w:hint="eastAsia" w:ascii="仿宋_GB2312" w:eastAsia="仿宋_GB2312"/>
          <w:b w:val="0"/>
          <w:bCs w:val="0"/>
          <w:color w:val="000000"/>
        </w:rPr>
        <w:t>一、收</w:t>
      </w:r>
      <w:r>
        <w:rPr>
          <w:rStyle w:val="18"/>
          <w:rFonts w:hint="eastAsia" w:ascii="仿宋_GB2312" w:eastAsia="仿宋_GB2312"/>
          <w:b w:val="0"/>
          <w:bCs w:val="0"/>
        </w:rPr>
        <w:t>入支出决算总表</w:t>
      </w:r>
      <w:bookmarkEnd w:id="17"/>
    </w:p>
    <w:p>
      <w:pPr>
        <w:pStyle w:val="3"/>
        <w:spacing w:before="0" w:after="0" w:line="560" w:lineRule="exact"/>
        <w:rPr>
          <w:rFonts w:ascii="仿宋_GB2312" w:eastAsia="仿宋_GB2312"/>
          <w:b w:val="0"/>
          <w:bCs w:val="0"/>
          <w:color w:val="000000"/>
        </w:rPr>
      </w:pPr>
      <w:bookmarkStart w:id="18" w:name="_Toc15396620"/>
      <w:r>
        <w:rPr>
          <w:rFonts w:hint="eastAsia" w:ascii="仿宋_GB2312" w:eastAsia="仿宋_GB2312"/>
          <w:b w:val="0"/>
          <w:bCs w:val="0"/>
          <w:color w:val="000000"/>
        </w:rPr>
        <w:t>二、收</w:t>
      </w:r>
      <w:r>
        <w:rPr>
          <w:rStyle w:val="18"/>
          <w:rFonts w:hint="eastAsia" w:ascii="仿宋_GB2312" w:eastAsia="仿宋_GB2312"/>
          <w:b w:val="0"/>
          <w:bCs w:val="0"/>
        </w:rPr>
        <w:t>入决算表</w:t>
      </w:r>
      <w:bookmarkEnd w:id="18"/>
    </w:p>
    <w:p>
      <w:pPr>
        <w:pStyle w:val="3"/>
        <w:spacing w:before="0" w:after="0" w:line="560" w:lineRule="exact"/>
        <w:rPr>
          <w:rFonts w:ascii="仿宋_GB2312" w:eastAsia="仿宋_GB2312"/>
          <w:b w:val="0"/>
          <w:bCs w:val="0"/>
          <w:color w:val="000000"/>
        </w:rPr>
      </w:pPr>
      <w:bookmarkStart w:id="19" w:name="_Toc15396621"/>
      <w:r>
        <w:rPr>
          <w:rStyle w:val="18"/>
          <w:rFonts w:hint="eastAsia" w:ascii="仿宋_GB2312" w:eastAsia="仿宋_GB2312"/>
          <w:b w:val="0"/>
          <w:bCs w:val="0"/>
        </w:rPr>
        <w:t>三、</w:t>
      </w:r>
      <w:r>
        <w:rPr>
          <w:rFonts w:hint="eastAsia" w:ascii="仿宋_GB2312" w:eastAsia="仿宋_GB2312"/>
          <w:b w:val="0"/>
          <w:bCs w:val="0"/>
          <w:color w:val="000000"/>
        </w:rPr>
        <w:t>支</w:t>
      </w:r>
      <w:r>
        <w:rPr>
          <w:rStyle w:val="18"/>
          <w:rFonts w:hint="eastAsia" w:ascii="仿宋_GB2312" w:eastAsia="仿宋_GB2312"/>
          <w:b w:val="0"/>
          <w:bCs w:val="0"/>
        </w:rPr>
        <w:t>出决算表</w:t>
      </w:r>
      <w:bookmarkEnd w:id="19"/>
    </w:p>
    <w:p>
      <w:pPr>
        <w:pStyle w:val="3"/>
        <w:spacing w:before="0" w:after="0" w:line="560" w:lineRule="exact"/>
        <w:rPr>
          <w:rFonts w:ascii="仿宋_GB2312" w:eastAsia="仿宋_GB2312"/>
          <w:b w:val="0"/>
          <w:bCs w:val="0"/>
          <w:color w:val="000000"/>
        </w:rPr>
      </w:pPr>
      <w:bookmarkStart w:id="20" w:name="_Toc15396622"/>
      <w:r>
        <w:rPr>
          <w:rStyle w:val="18"/>
          <w:rFonts w:hint="eastAsia" w:ascii="仿宋_GB2312" w:eastAsia="仿宋_GB2312"/>
          <w:b w:val="0"/>
          <w:bCs w:val="0"/>
        </w:rPr>
        <w:t>四、</w:t>
      </w:r>
      <w:r>
        <w:rPr>
          <w:rFonts w:hint="eastAsia" w:ascii="仿宋_GB2312" w:eastAsia="仿宋_GB2312"/>
          <w:b w:val="0"/>
          <w:bCs w:val="0"/>
          <w:color w:val="000000"/>
        </w:rPr>
        <w:t>财</w:t>
      </w:r>
      <w:r>
        <w:rPr>
          <w:rStyle w:val="18"/>
          <w:rFonts w:hint="eastAsia" w:ascii="仿宋_GB2312" w:eastAsia="仿宋_GB2312"/>
          <w:b w:val="0"/>
          <w:bCs w:val="0"/>
        </w:rPr>
        <w:t>政拨款收入支出决算总表</w:t>
      </w:r>
      <w:bookmarkEnd w:id="20"/>
    </w:p>
    <w:p>
      <w:pPr>
        <w:pStyle w:val="3"/>
        <w:spacing w:before="0" w:after="0" w:line="560" w:lineRule="exact"/>
        <w:rPr>
          <w:rStyle w:val="18"/>
          <w:rFonts w:ascii="仿宋_GB2312" w:eastAsia="仿宋_GB2312"/>
          <w:b w:val="0"/>
          <w:bCs w:val="0"/>
        </w:rPr>
      </w:pPr>
      <w:bookmarkStart w:id="21" w:name="_Toc15396623"/>
      <w:r>
        <w:rPr>
          <w:rStyle w:val="18"/>
          <w:rFonts w:hint="eastAsia" w:ascii="仿宋_GB2312" w:eastAsia="仿宋_GB2312"/>
          <w:b w:val="0"/>
          <w:bCs w:val="0"/>
        </w:rPr>
        <w:t>五、</w:t>
      </w:r>
      <w:r>
        <w:rPr>
          <w:rFonts w:hint="eastAsia" w:ascii="仿宋_GB2312" w:eastAsia="仿宋_GB2312"/>
          <w:b w:val="0"/>
          <w:bCs w:val="0"/>
          <w:color w:val="000000"/>
        </w:rPr>
        <w:t>财</w:t>
      </w:r>
      <w:r>
        <w:rPr>
          <w:rStyle w:val="18"/>
          <w:rFonts w:hint="eastAsia" w:ascii="仿宋_GB2312" w:eastAsia="仿宋_GB2312"/>
          <w:b w:val="0"/>
          <w:bCs w:val="0"/>
        </w:rPr>
        <w:t>政拨款支出决算明细表</w:t>
      </w:r>
      <w:bookmarkEnd w:id="21"/>
      <w:bookmarkStart w:id="22" w:name="_Toc15396624"/>
    </w:p>
    <w:p>
      <w:pPr>
        <w:pStyle w:val="3"/>
        <w:spacing w:before="0" w:after="0" w:line="560" w:lineRule="exact"/>
        <w:rPr>
          <w:rFonts w:ascii="仿宋_GB2312" w:eastAsia="仿宋_GB2312"/>
          <w:b w:val="0"/>
          <w:bCs w:val="0"/>
          <w:color w:val="000000"/>
        </w:rPr>
      </w:pPr>
      <w:r>
        <w:rPr>
          <w:rStyle w:val="18"/>
          <w:rFonts w:hint="eastAsia" w:ascii="仿宋_GB2312" w:eastAsia="仿宋_GB2312"/>
          <w:b w:val="0"/>
          <w:bCs w:val="0"/>
        </w:rPr>
        <w:t>六、</w:t>
      </w:r>
      <w:r>
        <w:rPr>
          <w:rFonts w:hint="eastAsia" w:ascii="仿宋_GB2312" w:eastAsia="仿宋_GB2312"/>
          <w:b w:val="0"/>
          <w:bCs w:val="0"/>
          <w:color w:val="000000"/>
        </w:rPr>
        <w:t>一</w:t>
      </w:r>
      <w:r>
        <w:rPr>
          <w:rStyle w:val="18"/>
          <w:rFonts w:hint="eastAsia" w:ascii="仿宋_GB2312" w:eastAsia="仿宋_GB2312"/>
          <w:b w:val="0"/>
          <w:bCs w:val="0"/>
        </w:rPr>
        <w:t>般公共预算财政拨款支出决算表</w:t>
      </w:r>
      <w:bookmarkEnd w:id="22"/>
    </w:p>
    <w:p>
      <w:pPr>
        <w:pStyle w:val="3"/>
        <w:spacing w:before="0" w:after="0" w:line="560" w:lineRule="exact"/>
        <w:rPr>
          <w:rFonts w:ascii="仿宋_GB2312" w:eastAsia="仿宋_GB2312"/>
          <w:b w:val="0"/>
          <w:bCs w:val="0"/>
          <w:color w:val="000000"/>
        </w:rPr>
      </w:pPr>
      <w:bookmarkStart w:id="23" w:name="_Toc15396625"/>
      <w:r>
        <w:rPr>
          <w:rStyle w:val="18"/>
          <w:rFonts w:hint="eastAsia" w:ascii="仿宋_GB2312" w:eastAsia="仿宋_GB2312"/>
          <w:b w:val="0"/>
          <w:bCs w:val="0"/>
        </w:rPr>
        <w:t>七、</w:t>
      </w:r>
      <w:r>
        <w:rPr>
          <w:rFonts w:hint="eastAsia" w:ascii="仿宋_GB2312" w:eastAsia="仿宋_GB2312"/>
          <w:b w:val="0"/>
          <w:bCs w:val="0"/>
          <w:color w:val="000000"/>
        </w:rPr>
        <w:t>一</w:t>
      </w:r>
      <w:r>
        <w:rPr>
          <w:rStyle w:val="18"/>
          <w:rFonts w:hint="eastAsia" w:ascii="仿宋_GB2312" w:eastAsia="仿宋_GB2312"/>
          <w:b w:val="0"/>
          <w:bCs w:val="0"/>
        </w:rPr>
        <w:t>般公共预算财政拨款支出决算明细表</w:t>
      </w:r>
      <w:bookmarkEnd w:id="23"/>
    </w:p>
    <w:p>
      <w:pPr>
        <w:pStyle w:val="3"/>
        <w:spacing w:before="0" w:after="0" w:line="560" w:lineRule="exact"/>
        <w:rPr>
          <w:rFonts w:ascii="仿宋_GB2312" w:eastAsia="仿宋_GB2312"/>
          <w:b w:val="0"/>
          <w:bCs w:val="0"/>
          <w:color w:val="000000"/>
        </w:rPr>
      </w:pPr>
      <w:bookmarkStart w:id="24" w:name="_Toc15396626"/>
      <w:r>
        <w:rPr>
          <w:rStyle w:val="18"/>
          <w:rFonts w:hint="eastAsia" w:ascii="仿宋_GB2312" w:eastAsia="仿宋_GB2312"/>
          <w:b w:val="0"/>
          <w:bCs w:val="0"/>
        </w:rPr>
        <w:t>八、</w:t>
      </w:r>
      <w:r>
        <w:rPr>
          <w:rFonts w:hint="eastAsia" w:ascii="仿宋_GB2312" w:eastAsia="仿宋_GB2312"/>
          <w:b w:val="0"/>
          <w:bCs w:val="0"/>
          <w:color w:val="000000"/>
        </w:rPr>
        <w:t>一</w:t>
      </w:r>
      <w:r>
        <w:rPr>
          <w:rStyle w:val="18"/>
          <w:rFonts w:hint="eastAsia" w:ascii="仿宋_GB2312" w:eastAsia="仿宋_GB2312"/>
          <w:b w:val="0"/>
          <w:bCs w:val="0"/>
        </w:rPr>
        <w:t>般公共预算财政拨款基本支出决算表</w:t>
      </w:r>
      <w:bookmarkEnd w:id="24"/>
    </w:p>
    <w:p>
      <w:pPr>
        <w:pStyle w:val="3"/>
        <w:spacing w:before="0" w:after="0" w:line="560" w:lineRule="exact"/>
        <w:rPr>
          <w:rFonts w:ascii="仿宋_GB2312" w:eastAsia="仿宋_GB2312"/>
          <w:b w:val="0"/>
          <w:bCs w:val="0"/>
          <w:color w:val="000000"/>
        </w:rPr>
      </w:pPr>
      <w:bookmarkStart w:id="25" w:name="_Toc15396627"/>
      <w:r>
        <w:rPr>
          <w:rStyle w:val="18"/>
          <w:rFonts w:hint="eastAsia" w:ascii="仿宋_GB2312" w:eastAsia="仿宋_GB2312"/>
          <w:b w:val="0"/>
          <w:bCs w:val="0"/>
        </w:rPr>
        <w:t>九、</w:t>
      </w:r>
      <w:r>
        <w:rPr>
          <w:rFonts w:hint="eastAsia" w:ascii="仿宋_GB2312" w:eastAsia="仿宋_GB2312"/>
          <w:b w:val="0"/>
          <w:bCs w:val="0"/>
          <w:color w:val="000000"/>
        </w:rPr>
        <w:t>一</w:t>
      </w:r>
      <w:r>
        <w:rPr>
          <w:rStyle w:val="18"/>
          <w:rFonts w:hint="eastAsia" w:ascii="仿宋_GB2312" w:eastAsia="仿宋_GB2312"/>
          <w:b w:val="0"/>
          <w:bCs w:val="0"/>
        </w:rPr>
        <w:t>般公共预算财政拨款项目支出决算表</w:t>
      </w:r>
      <w:bookmarkEnd w:id="25"/>
    </w:p>
    <w:p>
      <w:pPr>
        <w:pStyle w:val="3"/>
        <w:spacing w:before="0" w:after="0" w:line="560" w:lineRule="exact"/>
        <w:rPr>
          <w:rFonts w:ascii="仿宋_GB2312" w:eastAsia="仿宋_GB2312"/>
          <w:b w:val="0"/>
          <w:bCs w:val="0"/>
          <w:color w:val="000000"/>
        </w:rPr>
      </w:pPr>
      <w:bookmarkStart w:id="26" w:name="_Toc15396628"/>
      <w:r>
        <w:rPr>
          <w:rStyle w:val="18"/>
          <w:rFonts w:hint="eastAsia" w:ascii="仿宋_GB2312" w:eastAsia="仿宋_GB2312"/>
          <w:b w:val="0"/>
          <w:bCs w:val="0"/>
        </w:rPr>
        <w:t>十、</w:t>
      </w:r>
      <w:r>
        <w:rPr>
          <w:rFonts w:hint="eastAsia" w:ascii="仿宋_GB2312" w:eastAsia="仿宋_GB2312"/>
          <w:b w:val="0"/>
          <w:bCs w:val="0"/>
          <w:color w:val="000000"/>
        </w:rPr>
        <w:t>一</w:t>
      </w:r>
      <w:r>
        <w:rPr>
          <w:rStyle w:val="18"/>
          <w:rFonts w:hint="eastAsia" w:ascii="仿宋_GB2312" w:eastAsia="仿宋_GB2312"/>
          <w:b w:val="0"/>
          <w:bCs w:val="0"/>
        </w:rPr>
        <w:t>般公共预算财政拨款“三公”经费支出决算表</w:t>
      </w:r>
      <w:bookmarkEnd w:id="26"/>
    </w:p>
    <w:p>
      <w:pPr>
        <w:pStyle w:val="3"/>
        <w:spacing w:before="0" w:after="0" w:line="560" w:lineRule="exact"/>
        <w:rPr>
          <w:rFonts w:ascii="仿宋_GB2312" w:eastAsia="仿宋_GB2312"/>
          <w:b w:val="0"/>
          <w:bCs w:val="0"/>
          <w:color w:val="000000"/>
        </w:rPr>
      </w:pPr>
      <w:bookmarkStart w:id="27" w:name="_Toc15396629"/>
      <w:r>
        <w:rPr>
          <w:rStyle w:val="18"/>
          <w:rFonts w:hint="eastAsia" w:ascii="仿宋_GB2312" w:eastAsia="仿宋_GB2312"/>
          <w:b w:val="0"/>
          <w:bCs w:val="0"/>
        </w:rPr>
        <w:t>十一、</w:t>
      </w:r>
      <w:r>
        <w:rPr>
          <w:rFonts w:hint="eastAsia" w:ascii="仿宋_GB2312" w:eastAsia="仿宋_GB2312"/>
          <w:b w:val="0"/>
          <w:bCs w:val="0"/>
          <w:color w:val="000000"/>
        </w:rPr>
        <w:t>政</w:t>
      </w:r>
      <w:r>
        <w:rPr>
          <w:rStyle w:val="18"/>
          <w:rFonts w:hint="eastAsia" w:ascii="仿宋_GB2312" w:eastAsia="仿宋_GB2312"/>
          <w:b w:val="0"/>
          <w:bCs w:val="0"/>
        </w:rPr>
        <w:t>府性基金预算财政拨款收入支出决算表</w:t>
      </w:r>
      <w:bookmarkEnd w:id="27"/>
    </w:p>
    <w:p>
      <w:pPr>
        <w:pStyle w:val="3"/>
        <w:spacing w:before="0" w:after="0" w:line="560" w:lineRule="exact"/>
        <w:rPr>
          <w:rFonts w:ascii="仿宋_GB2312" w:eastAsia="仿宋_GB2312"/>
          <w:b w:val="0"/>
          <w:bCs w:val="0"/>
          <w:color w:val="000000"/>
        </w:rPr>
      </w:pPr>
      <w:bookmarkStart w:id="28" w:name="_Toc15396630"/>
      <w:r>
        <w:rPr>
          <w:rStyle w:val="18"/>
          <w:rFonts w:hint="eastAsia" w:ascii="仿宋_GB2312" w:eastAsia="仿宋_GB2312"/>
          <w:b w:val="0"/>
          <w:bCs w:val="0"/>
        </w:rPr>
        <w:t>十二、</w:t>
      </w:r>
      <w:r>
        <w:rPr>
          <w:rFonts w:hint="eastAsia" w:ascii="仿宋_GB2312" w:eastAsia="仿宋_GB2312"/>
          <w:b w:val="0"/>
          <w:bCs w:val="0"/>
          <w:color w:val="000000"/>
        </w:rPr>
        <w:t>政</w:t>
      </w:r>
      <w:r>
        <w:rPr>
          <w:rStyle w:val="18"/>
          <w:rFonts w:hint="eastAsia" w:ascii="仿宋_GB2312" w:eastAsia="仿宋_GB2312"/>
          <w:b w:val="0"/>
          <w:bCs w:val="0"/>
        </w:rPr>
        <w:t>府性基金预算财政拨款“三公”经费支出决算表</w:t>
      </w:r>
      <w:bookmarkEnd w:id="28"/>
    </w:p>
    <w:p>
      <w:pPr>
        <w:pStyle w:val="3"/>
        <w:spacing w:before="0" w:after="0" w:line="560" w:lineRule="exact"/>
        <w:rPr>
          <w:rFonts w:ascii="仿宋_GB2312" w:eastAsia="仿宋_GB2312"/>
          <w:b w:val="0"/>
          <w:bCs w:val="0"/>
          <w:color w:val="000000"/>
        </w:rPr>
      </w:pPr>
      <w:bookmarkStart w:id="29" w:name="_Toc15396631"/>
      <w:r>
        <w:rPr>
          <w:rStyle w:val="18"/>
          <w:rFonts w:hint="eastAsia" w:ascii="仿宋_GB2312" w:eastAsia="仿宋_GB2312"/>
          <w:b w:val="0"/>
          <w:bCs w:val="0"/>
        </w:rPr>
        <w:t>十三、</w:t>
      </w:r>
      <w:r>
        <w:rPr>
          <w:rFonts w:hint="eastAsia" w:ascii="仿宋_GB2312" w:eastAsia="仿宋_GB2312"/>
          <w:b w:val="0"/>
          <w:bCs w:val="0"/>
          <w:color w:val="000000"/>
        </w:rPr>
        <w:t>国</w:t>
      </w:r>
      <w:r>
        <w:rPr>
          <w:rStyle w:val="18"/>
          <w:rFonts w:hint="eastAsia" w:ascii="仿宋_GB2312" w:eastAsia="仿宋_GB2312"/>
          <w:b w:val="0"/>
          <w:bCs w:val="0"/>
        </w:rPr>
        <w:t>有资本经营预算支出决算表</w:t>
      </w:r>
      <w:bookmarkEnd w:id="29"/>
    </w:p>
    <w:p>
      <w:pPr>
        <w:spacing w:after="0" w:line="560" w:lineRule="exact"/>
        <w:jc w:val="both"/>
        <w:rPr>
          <w:rFonts w:ascii="仿宋_GB2312" w:eastAsia="仿宋_GB2312"/>
        </w:rPr>
      </w:pPr>
    </w:p>
    <w:sectPr>
      <w:headerReference r:id="rId4" w:type="default"/>
      <w:footerReference r:id="rId5" w:type="default"/>
      <w:pgSz w:w="11906" w:h="16838"/>
      <w:pgMar w:top="1440" w:right="1558"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43" w:usb2="00000009" w:usb3="00000000" w:csb0="400001FF" w:csb1="FFFF0000"/>
  </w:font>
  <w:font w:name="Cambria">
    <w:panose1 w:val="02040503050406030204"/>
    <w:charset w:val="00"/>
    <w:family w:val="roman"/>
    <w:pitch w:val="default"/>
    <w:sig w:usb0="E00006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35</w:t>
    </w:r>
    <w:r>
      <w:rPr>
        <w:lang w:val="zh-CN"/>
      </w:rP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bordersDoNotSurroundHeader w:val="1"/>
  <w:bordersDoNotSurroundFooter w:val="1"/>
  <w:documentProtection w:enforcement="0"/>
  <w:defaultTabStop w:val="720"/>
  <w:drawingGridHorizontalSpacing w:val="110"/>
  <w:drawingGridVerticalSpacing w:val="156"/>
  <w:displayHorizontalDrawingGridEvery w:val="0"/>
  <w:characterSpacingControl w:val="doNotCompress"/>
  <w:footnotePr>
    <w:footnote w:id="0"/>
    <w:footnote w:id="1"/>
  </w:footnotePr>
  <w:compat>
    <w:spaceForUL/>
    <w:growAutofit/>
    <w:useFELayout/>
    <w:compatSetting w:name="compatibilityMode" w:uri="http://schemas.microsoft.com/office/word" w:val="12"/>
  </w:compat>
  <w:rsids>
    <w:rsidRoot w:val="00342756"/>
    <w:rsid w:val="00030A37"/>
    <w:rsid w:val="000628CA"/>
    <w:rsid w:val="00081FD9"/>
    <w:rsid w:val="000F00AA"/>
    <w:rsid w:val="001C1AAD"/>
    <w:rsid w:val="002618F3"/>
    <w:rsid w:val="00266A19"/>
    <w:rsid w:val="00267E87"/>
    <w:rsid w:val="002823FE"/>
    <w:rsid w:val="002F3F3B"/>
    <w:rsid w:val="00342756"/>
    <w:rsid w:val="0043641D"/>
    <w:rsid w:val="00454712"/>
    <w:rsid w:val="004A0BC7"/>
    <w:rsid w:val="00512876"/>
    <w:rsid w:val="005730AC"/>
    <w:rsid w:val="005C7509"/>
    <w:rsid w:val="006F3173"/>
    <w:rsid w:val="006F7E4E"/>
    <w:rsid w:val="007579AC"/>
    <w:rsid w:val="0082435F"/>
    <w:rsid w:val="008E05EB"/>
    <w:rsid w:val="008F5DE9"/>
    <w:rsid w:val="00915E20"/>
    <w:rsid w:val="00942BA3"/>
    <w:rsid w:val="00994265"/>
    <w:rsid w:val="009B1C04"/>
    <w:rsid w:val="009E3D67"/>
    <w:rsid w:val="00A15BEA"/>
    <w:rsid w:val="00A34997"/>
    <w:rsid w:val="00AB2475"/>
    <w:rsid w:val="00B335AC"/>
    <w:rsid w:val="00BC09E2"/>
    <w:rsid w:val="00BC37D0"/>
    <w:rsid w:val="00BC600E"/>
    <w:rsid w:val="00C20944"/>
    <w:rsid w:val="00C93978"/>
    <w:rsid w:val="00CF6CBF"/>
    <w:rsid w:val="00D16BCD"/>
    <w:rsid w:val="00D3417E"/>
    <w:rsid w:val="00D85D51"/>
    <w:rsid w:val="00E25EE2"/>
    <w:rsid w:val="00E27FFC"/>
    <w:rsid w:val="00E64DB8"/>
    <w:rsid w:val="00E82D19"/>
    <w:rsid w:val="00EB0E62"/>
    <w:rsid w:val="00EE3353"/>
    <w:rsid w:val="00F2708E"/>
    <w:rsid w:val="00FB1312"/>
    <w:rsid w:val="00FC3CBB"/>
    <w:rsid w:val="00FD1263"/>
    <w:rsid w:val="425F6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adjustRightInd w:val="0"/>
      <w:snapToGrid w:val="0"/>
      <w:spacing w:after="200"/>
    </w:pPr>
    <w:rPr>
      <w:rFonts w:ascii="Tahoma" w:hAnsi="Tahoma" w:eastAsia="微软雅黑" w:cs="Arial"/>
      <w:sz w:val="22"/>
      <w:szCs w:val="22"/>
      <w:lang w:val="en-US" w:eastAsia="zh-CN" w:bidi="ar-SA"/>
    </w:rPr>
  </w:style>
  <w:style w:type="paragraph" w:styleId="2">
    <w:name w:val="heading 1"/>
    <w:basedOn w:val="1"/>
    <w:next w:val="1"/>
    <w:link w:val="17"/>
    <w:uiPriority w:val="0"/>
    <w:pPr>
      <w:keepNext/>
      <w:keepLines/>
      <w:widowControl w:val="0"/>
      <w:adjustRightInd/>
      <w:snapToGrid/>
      <w:spacing w:before="340" w:after="330" w:line="578" w:lineRule="auto"/>
      <w:jc w:val="both"/>
      <w:outlineLvl w:val="0"/>
    </w:pPr>
    <w:rPr>
      <w:rFonts w:ascii="Times New Roman" w:hAnsi="Times New Roman" w:eastAsia="宋体" w:cs="Times New Roman"/>
      <w:b/>
      <w:bCs/>
      <w:kern w:val="44"/>
      <w:sz w:val="44"/>
      <w:szCs w:val="44"/>
    </w:rPr>
  </w:style>
  <w:style w:type="paragraph" w:styleId="3">
    <w:name w:val="heading 2"/>
    <w:basedOn w:val="1"/>
    <w:next w:val="1"/>
    <w:link w:val="18"/>
    <w:uiPriority w:val="0"/>
    <w:pPr>
      <w:keepNext/>
      <w:keepLines/>
      <w:widowControl w:val="0"/>
      <w:adjustRightInd/>
      <w:snapToGrid/>
      <w:spacing w:before="260" w:after="260" w:line="415" w:lineRule="auto"/>
      <w:jc w:val="both"/>
      <w:outlineLvl w:val="1"/>
    </w:pPr>
    <w:rPr>
      <w:rFonts w:ascii="Cambria" w:hAnsi="Cambria" w:eastAsia="宋体" w:cs="Times New Roman"/>
      <w:b/>
      <w:bCs/>
      <w:kern w:val="2"/>
      <w:sz w:val="32"/>
      <w:szCs w:val="32"/>
    </w:rPr>
  </w:style>
  <w:style w:type="paragraph" w:styleId="4">
    <w:name w:val="heading 3"/>
    <w:basedOn w:val="1"/>
    <w:next w:val="1"/>
    <w:uiPriority w:val="0"/>
    <w:pPr>
      <w:keepNext/>
      <w:keepLines/>
      <w:widowControl w:val="0"/>
      <w:adjustRightInd/>
      <w:snapToGrid/>
      <w:spacing w:before="260" w:after="260" w:line="415" w:lineRule="auto"/>
      <w:jc w:val="both"/>
      <w:outlineLvl w:val="2"/>
    </w:pPr>
    <w:rPr>
      <w:rFonts w:ascii="Times New Roman" w:hAnsi="Times New Roman" w:eastAsia="宋体" w:cs="Times New Roman"/>
      <w:b/>
      <w:bCs/>
      <w:kern w:val="2"/>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widowControl w:val="0"/>
      <w:adjustRightInd/>
      <w:snapToGrid/>
      <w:spacing w:beforeLines="30" w:after="0"/>
      <w:jc w:val="both"/>
    </w:pPr>
    <w:rPr>
      <w:rFonts w:ascii="仿宋_GB2312" w:eastAsia="仿宋_GB2312" w:cs="Times New Roman"/>
      <w:sz w:val="30"/>
      <w:szCs w:val="24"/>
    </w:rPr>
  </w:style>
  <w:style w:type="paragraph" w:styleId="6">
    <w:name w:val="toc 3"/>
    <w:basedOn w:val="1"/>
    <w:next w:val="1"/>
    <w:uiPriority w:val="0"/>
    <w:pPr>
      <w:widowControl w:val="0"/>
      <w:tabs>
        <w:tab w:val="right" w:leader="dot" w:pos="8296"/>
      </w:tabs>
      <w:adjustRightInd/>
      <w:snapToGrid/>
      <w:spacing w:after="0"/>
      <w:ind w:left="400" w:leftChars="400"/>
      <w:jc w:val="both"/>
    </w:pPr>
    <w:rPr>
      <w:rFonts w:ascii="Times New Roman" w:hAnsi="Times New Roman" w:eastAsia="宋体" w:cs="Times New Roman"/>
      <w:kern w:val="2"/>
      <w:sz w:val="21"/>
      <w:szCs w:val="24"/>
    </w:rPr>
  </w:style>
  <w:style w:type="paragraph" w:styleId="7">
    <w:name w:val="Balloon Text"/>
    <w:basedOn w:val="1"/>
    <w:uiPriority w:val="0"/>
    <w:pPr>
      <w:widowControl w:val="0"/>
      <w:adjustRightInd/>
      <w:snapToGrid/>
      <w:spacing w:after="0"/>
      <w:jc w:val="both"/>
    </w:pPr>
    <w:rPr>
      <w:rFonts w:ascii="Times New Roman" w:hAnsi="Times New Roman" w:eastAsia="宋体" w:cs="Times New Roman"/>
      <w:kern w:val="2"/>
      <w:sz w:val="18"/>
      <w:szCs w:val="18"/>
    </w:rPr>
  </w:style>
  <w:style w:type="paragraph" w:styleId="8">
    <w:name w:val="footer"/>
    <w:basedOn w:val="1"/>
    <w:uiPriority w:val="0"/>
    <w:pPr>
      <w:tabs>
        <w:tab w:val="center" w:pos="4153"/>
        <w:tab w:val="right" w:pos="8306"/>
      </w:tabs>
    </w:pPr>
    <w:rPr>
      <w:sz w:val="18"/>
      <w:szCs w:val="18"/>
    </w:rPr>
  </w:style>
  <w:style w:type="paragraph" w:styleId="9">
    <w:name w:val="header"/>
    <w:basedOn w:val="1"/>
    <w:uiPriority w:val="0"/>
    <w:pPr>
      <w:pBdr>
        <w:bottom w:val="single" w:color="auto" w:sz="6" w:space="1"/>
      </w:pBdr>
      <w:tabs>
        <w:tab w:val="center" w:pos="4153"/>
        <w:tab w:val="right" w:pos="8306"/>
      </w:tabs>
      <w:jc w:val="center"/>
    </w:pPr>
    <w:rPr>
      <w:sz w:val="18"/>
      <w:szCs w:val="18"/>
    </w:rPr>
  </w:style>
  <w:style w:type="paragraph" w:styleId="10">
    <w:name w:val="toc 1"/>
    <w:basedOn w:val="1"/>
    <w:next w:val="1"/>
    <w:uiPriority w:val="0"/>
    <w:pPr>
      <w:widowControl w:val="0"/>
      <w:tabs>
        <w:tab w:val="right" w:leader="dot" w:pos="8296"/>
      </w:tabs>
      <w:adjustRightInd/>
      <w:snapToGrid/>
      <w:spacing w:before="93" w:after="0"/>
      <w:jc w:val="center"/>
    </w:pPr>
    <w:rPr>
      <w:rFonts w:ascii="仿宋" w:eastAsia="仿宋" w:cs="Times New Roman"/>
      <w:kern w:val="2"/>
      <w:sz w:val="28"/>
      <w:szCs w:val="28"/>
    </w:rPr>
  </w:style>
  <w:style w:type="paragraph" w:styleId="11">
    <w:name w:val="toc 2"/>
    <w:basedOn w:val="1"/>
    <w:next w:val="1"/>
    <w:uiPriority w:val="0"/>
    <w:pPr>
      <w:widowControl w:val="0"/>
      <w:tabs>
        <w:tab w:val="right" w:leader="dot" w:pos="8296"/>
      </w:tabs>
      <w:adjustRightInd/>
      <w:snapToGrid/>
      <w:spacing w:after="0"/>
      <w:ind w:left="200" w:leftChars="200"/>
      <w:jc w:val="both"/>
    </w:pPr>
    <w:rPr>
      <w:rFonts w:ascii="Times New Roman" w:hAnsi="Times New Roman" w:eastAsia="宋体" w:cs="Times New Roman"/>
      <w:kern w:val="2"/>
      <w:sz w:val="21"/>
      <w:szCs w:val="24"/>
    </w:rPr>
  </w:style>
  <w:style w:type="paragraph" w:styleId="12">
    <w:name w:val="Normal (Web)"/>
    <w:basedOn w:val="1"/>
    <w:uiPriority w:val="0"/>
    <w:pPr>
      <w:widowControl w:val="0"/>
      <w:adjustRightInd/>
      <w:snapToGrid/>
      <w:spacing w:after="0"/>
    </w:pPr>
    <w:rPr>
      <w:rFonts w:ascii="Calibri" w:hAnsi="Calibri" w:eastAsia="宋体" w:cs="Times New Roman"/>
      <w:sz w:val="24"/>
      <w:szCs w:val="24"/>
    </w:rPr>
  </w:style>
  <w:style w:type="character" w:styleId="15">
    <w:name w:val="Strong"/>
    <w:basedOn w:val="14"/>
    <w:uiPriority w:val="0"/>
    <w:rPr>
      <w:b/>
    </w:rPr>
  </w:style>
  <w:style w:type="character" w:styleId="16">
    <w:name w:val="Hyperlink"/>
    <w:basedOn w:val="14"/>
    <w:uiPriority w:val="0"/>
    <w:rPr>
      <w:color w:val="0000FF"/>
      <w:u w:val="single"/>
    </w:rPr>
  </w:style>
  <w:style w:type="character" w:customStyle="1" w:styleId="17">
    <w:name w:val="标题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uiPriority w:val="0"/>
    <w:rPr>
      <w:rFonts w:ascii="Cambria" w:hAnsi="Cambria" w:eastAsia="宋体" w:cs="Times New Roman"/>
      <w:b/>
      <w:bCs/>
      <w:kern w:val="2"/>
      <w:sz w:val="32"/>
      <w:szCs w:val="32"/>
      <w:lang w:val="en-US" w:eastAsia="zh-CN" w:bidi="ar-SA"/>
    </w:rPr>
  </w:style>
  <w:style w:type="character" w:customStyle="1" w:styleId="19">
    <w:name w:val="Header Char"/>
    <w:basedOn w:val="14"/>
    <w:uiPriority w:val="0"/>
    <w:rPr>
      <w:rFonts w:ascii="Times New Roman" w:hAnsi="Times New Roman"/>
      <w:sz w:val="18"/>
      <w:szCs w:val="18"/>
    </w:rPr>
  </w:style>
  <w:style w:type="character" w:customStyle="1" w:styleId="20">
    <w:name w:val="Footer Char"/>
    <w:basedOn w:val="14"/>
    <w:uiPriority w:val="0"/>
    <w:rPr>
      <w:rFonts w:ascii="Times New Roman" w:hAnsi="Times New Roman"/>
      <w:sz w:val="18"/>
      <w:szCs w:val="18"/>
    </w:rPr>
  </w:style>
  <w:style w:type="character" w:customStyle="1" w:styleId="21">
    <w:name w:val="Body Text Char"/>
    <w:basedOn w:val="14"/>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3">
    <w:name w:val="列出段落1"/>
    <w:basedOn w:val="1"/>
    <w:uiPriority w:val="0"/>
    <w:pPr>
      <w:widowControl w:val="0"/>
      <w:adjustRightInd/>
      <w:snapToGrid/>
      <w:spacing w:after="0"/>
      <w:ind w:firstLine="200" w:firstLineChars="200"/>
      <w:jc w:val="both"/>
    </w:pPr>
    <w:rPr>
      <w:rFonts w:ascii="Times New Roman" w:hAnsi="Times New Roman" w:eastAsia="宋体" w:cs="Times New Roman"/>
      <w:kern w:val="2"/>
      <w:sz w:val="21"/>
      <w:szCs w:val="24"/>
    </w:rPr>
  </w:style>
  <w:style w:type="paragraph" w:customStyle="1" w:styleId="24">
    <w:name w:val="TOC 标题1"/>
    <w:basedOn w:val="2"/>
    <w:next w:val="1"/>
    <w:uiPriority w:val="0"/>
    <w:pPr>
      <w:widowControl/>
      <w:spacing w:before="480" w:after="0" w:line="276" w:lineRule="auto"/>
      <w:jc w:val="left"/>
      <w:outlineLvl w:val="9"/>
    </w:pPr>
    <w:rPr>
      <w:rFonts w:ascii="Cambria" w:hAnsi="Cambria"/>
      <w:color w:val="365F91"/>
      <w:kern w:val="0"/>
      <w:sz w:val="28"/>
      <w:szCs w:val="28"/>
    </w:rPr>
  </w:style>
  <w:style w:type="paragraph" w:customStyle="1" w:styleId="25">
    <w:name w:val="TOC 标题2"/>
    <w:basedOn w:val="2"/>
    <w:next w:val="1"/>
    <w:uiPriority w:val="0"/>
    <w:pPr>
      <w:widowControl/>
      <w:spacing w:before="480" w:after="0" w:line="276" w:lineRule="auto"/>
      <w:jc w:val="left"/>
      <w:outlineLvl w:val="9"/>
    </w:pPr>
    <w:rPr>
      <w:rFonts w:ascii="Cambria" w:hAnsi="Cambria"/>
      <w:color w:val="365F91"/>
      <w:kern w:val="0"/>
      <w:sz w:val="28"/>
      <w:szCs w:val="28"/>
    </w:rPr>
  </w:style>
  <w:style w:type="paragraph" w:customStyle="1" w:styleId="26">
    <w:name w:val="ql-align-center"/>
    <w:basedOn w:val="1"/>
    <w:uiPriority w:val="0"/>
    <w:pPr>
      <w:adjustRightInd/>
      <w:snapToGrid/>
      <w:spacing w:before="100" w:beforeAutospacing="1" w:after="100" w:afterAutospacing="1"/>
    </w:pPr>
    <w:rPr>
      <w:rFonts w:ascii="宋体" w:eastAsia="宋体" w:cs="宋体"/>
      <w:sz w:val="24"/>
      <w:szCs w:val="24"/>
    </w:rPr>
  </w:style>
  <w:style w:type="character" w:customStyle="1" w:styleId="27">
    <w:name w:val="标题 1 字符"/>
    <w:basedOn w:val="14"/>
    <w:uiPriority w:val="0"/>
    <w:rPr>
      <w:rFonts w:ascii="Times New Roman" w:hAnsi="Times New Roman"/>
      <w:b/>
      <w:bCs/>
      <w:kern w:val="44"/>
      <w:sz w:val="44"/>
      <w:szCs w:val="44"/>
    </w:rPr>
  </w:style>
  <w:style w:type="paragraph" w:customStyle="1" w:styleId="28">
    <w:name w:val="文档正文"/>
    <w:basedOn w:val="1"/>
    <w:uiPriority w:val="0"/>
    <w:pPr>
      <w:widowControl w:val="0"/>
      <w:snapToGrid/>
      <w:spacing w:after="0" w:line="480" w:lineRule="atLeast"/>
      <w:jc w:val="both"/>
      <w:textAlignment w:val="baseline"/>
    </w:pPr>
    <w:rPr>
      <w:rFonts w:ascii="Arial" w:hAnsi="Arial" w:eastAsia="宋体"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2020&#24180;&#20915;&#31639;&#20844;&#24320;\&#38463;&#22365;&#24030;&#32593;&#32476;&#33286;&#24773;&#20013;&#24515;2020&#24180;&#20915;&#31639;&#20844;&#24320;\&#26032;&#24314;%20Microsoft%20Office%20Excel%2097-2003%20&#24037;&#20316;&#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020&#24180;&#20915;&#31639;&#20844;&#24320;\&#38463;&#22365;&#24030;&#32593;&#32476;&#33286;&#24773;&#20013;&#24515;2020&#24180;&#20915;&#31639;&#20844;&#24320;\&#26032;&#24314;%20Microsoft%20Office%20Excel%2097-2003%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'[新建 Microsoft Office Excel 97-2003 工作表.xls]Sheet1'!$L$3</c:f>
              <c:strCache>
                <c:ptCount val="1"/>
                <c:pt idx="0">
                  <c:v>部门收入</c:v>
                </c:pt>
              </c:strCache>
            </c:strRef>
          </c:tx>
          <c:invertIfNegative val="0"/>
          <c:dLbls>
            <c:dLbl>
              <c:idx val="0"/>
              <c:layout>
                <c:manualLayout>
                  <c:x val="0.00555555555555556"/>
                  <c:y val="-0.12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66666666666667"/>
                  <c:y val="-0.31018518518518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'[新建 Microsoft Office Excel 97-2003 工作表.xls]Sheet1'!$M$1:$N$2</c:f>
              <c:strCache>
                <c:ptCount val="2"/>
                <c:pt idx="0">
                  <c:v>2019（万元）</c:v>
                </c:pt>
                <c:pt idx="1">
                  <c:v>2020（万元）</c:v>
                </c:pt>
              </c:strCache>
            </c:strRef>
          </c:cat>
          <c:val>
            <c:numRef>
              <c:f>'[新建 Microsoft Office Excel 97-2003 工作表.xls]Sheet1'!$M$3:$N$3</c:f>
              <c:numCache>
                <c:formatCode>General</c:formatCode>
                <c:ptCount val="2"/>
                <c:pt idx="0">
                  <c:v>275.46</c:v>
                </c:pt>
                <c:pt idx="1">
                  <c:v>877.14</c:v>
                </c:pt>
              </c:numCache>
            </c:numRef>
          </c:val>
        </c:ser>
        <c:dLbls>
          <c:showLegendKey val="0"/>
          <c:showVal val="1"/>
          <c:showCatName val="0"/>
          <c:showSerName val="0"/>
          <c:showPercent val="0"/>
          <c:showBubbleSize val="0"/>
        </c:dLbls>
        <c:gapWidth val="150"/>
        <c:overlap val="100"/>
        <c:axId val="69231744"/>
        <c:axId val="69233280"/>
      </c:barChart>
      <c:catAx>
        <c:axId val="6923174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233280"/>
        <c:crosses val="autoZero"/>
        <c:auto val="1"/>
        <c:lblAlgn val="ctr"/>
        <c:lblOffset val="100"/>
        <c:noMultiLvlLbl val="0"/>
      </c:catAx>
      <c:valAx>
        <c:axId val="692332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231744"/>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'[新建 Microsoft Office Excel 97-2003 工作表.xls]Sheet1'!$A$2</c:f>
              <c:strCache>
                <c:ptCount val="1"/>
                <c:pt idx="0">
                  <c:v>部门支出</c:v>
                </c:pt>
              </c:strCache>
            </c:strRef>
          </c:tx>
          <c:invertIfNegative val="0"/>
          <c:dLbls>
            <c:dLbl>
              <c:idx val="0"/>
              <c:layout>
                <c:manualLayout>
                  <c:x val="0.0222222222222223"/>
                  <c:y val="-0.27777777777777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22222222222223"/>
                  <c:y val="-0.36111111111111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'[新建 Microsoft Office Excel 97-2003 工作表.xls]Sheet1'!$B$1:$C$1</c:f>
              <c:strCache>
                <c:ptCount val="2"/>
                <c:pt idx="0">
                  <c:v>2019（万元）</c:v>
                </c:pt>
                <c:pt idx="1">
                  <c:v>2020（万元）</c:v>
                </c:pt>
              </c:strCache>
            </c:strRef>
          </c:cat>
          <c:val>
            <c:numRef>
              <c:f>'[新建 Microsoft Office Excel 97-2003 工作表.xls]Sheet1'!$B$2:$C$2</c:f>
              <c:numCache>
                <c:formatCode>General</c:formatCode>
                <c:ptCount val="2"/>
                <c:pt idx="0">
                  <c:v>275.46</c:v>
                </c:pt>
                <c:pt idx="1">
                  <c:v>394.13</c:v>
                </c:pt>
              </c:numCache>
            </c:numRef>
          </c:val>
        </c:ser>
        <c:dLbls>
          <c:showLegendKey val="0"/>
          <c:showVal val="1"/>
          <c:showCatName val="0"/>
          <c:showSerName val="0"/>
          <c:showPercent val="0"/>
          <c:showBubbleSize val="0"/>
        </c:dLbls>
        <c:gapWidth val="150"/>
        <c:overlap val="100"/>
        <c:axId val="248215424"/>
        <c:axId val="269533184"/>
      </c:barChart>
      <c:catAx>
        <c:axId val="24821542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9533184"/>
        <c:crosses val="autoZero"/>
        <c:auto val="1"/>
        <c:lblAlgn val="ctr"/>
        <c:lblOffset val="100"/>
        <c:noMultiLvlLbl val="0"/>
      </c:catAx>
      <c:valAx>
        <c:axId val="2695331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8215424"/>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1889</Words>
  <Characters>10773</Characters>
  <Lines>89</Lines>
  <Paragraphs>25</Paragraphs>
  <TotalTime>83</TotalTime>
  <ScaleCrop>false</ScaleCrop>
  <LinksUpToDate>false</LinksUpToDate>
  <CharactersWithSpaces>12637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2021-09-24T03:34:00Z</dcterms:created>
  <dc:creator>Administrator</dc:creator>
  <cp:lastModifiedBy>Administrator</cp:lastModifiedBy>
  <cp:lastPrinted>2021-09-24T09:24:00Z</cp:lastPrinted>
  <dcterms:modified xsi:type="dcterms:W3CDTF">2021-09-28T04:31:15Z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7268EC9E704245D7957D61DC254F54E6</vt:lpwstr>
  </property>
</Properties>
</file>