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32"/>
          <w:szCs w:val="32"/>
        </w:rPr>
      </w:pPr>
      <w:bookmarkStart w:id="0" w:name="_Toc15306267"/>
      <w:r>
        <w:rPr>
          <w:rFonts w:hint="eastAsia" w:ascii="仿宋_GB2312" w:eastAsia="仿宋_GB2312"/>
          <w:sz w:val="32"/>
          <w:szCs w:val="32"/>
        </w:rPr>
        <w:t>附件3</w:t>
      </w: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1" w:name="_Toc15378441"/>
      <w:bookmarkStart w:id="2" w:name="_Toc15377425"/>
      <w:bookmarkStart w:id="3" w:name="_Toc15396597"/>
      <w:bookmarkStart w:id="4" w:name="_Toc15396475"/>
      <w:bookmarkStart w:id="5" w:name="_Toc15377193"/>
      <w:bookmarkStart w:id="6" w:name="_Toc115799726"/>
      <w:r>
        <w:rPr>
          <w:rFonts w:hint="eastAsia" w:ascii="方正小标宋简体" w:eastAsia="方正小标宋简体" w:cs="方正小标宋简体"/>
          <w:sz w:val="72"/>
          <w:szCs w:val="72"/>
        </w:rPr>
        <w:t>2021年度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s="方正小标宋简体"/>
          <w:w w:val="90"/>
          <w:sz w:val="72"/>
          <w:szCs w:val="72"/>
        </w:rPr>
      </w:pPr>
      <w:bookmarkStart w:id="7" w:name="_Toc15396598"/>
      <w:bookmarkStart w:id="8" w:name="_Toc15377426"/>
      <w:bookmarkStart w:id="9" w:name="_Toc15378442"/>
      <w:bookmarkStart w:id="10" w:name="_Toc15396476"/>
      <w:bookmarkStart w:id="11" w:name="_Toc15377194"/>
      <w:bookmarkStart w:id="12" w:name="_Toc115799727"/>
      <w:r>
        <w:rPr>
          <w:rFonts w:hint="eastAsia" w:ascii="方正小标宋简体" w:eastAsia="方正小标宋简体" w:cs="方正小标宋简体"/>
          <w:w w:val="90"/>
          <w:sz w:val="72"/>
          <w:szCs w:val="72"/>
        </w:rPr>
        <w:t>中共四川省</w:t>
      </w:r>
      <w:r>
        <w:rPr>
          <w:rFonts w:ascii="方正小标宋简体" w:eastAsia="方正小标宋简体" w:cs="方正小标宋简体"/>
          <w:w w:val="90"/>
          <w:sz w:val="72"/>
          <w:szCs w:val="72"/>
        </w:rPr>
        <w:t>阿坝州</w:t>
      </w:r>
      <w:bookmarkEnd w:id="0"/>
      <w:bookmarkStart w:id="13" w:name="_Toc15306268"/>
      <w:r>
        <w:rPr>
          <w:rFonts w:hint="eastAsia" w:ascii="方正小标宋简体" w:eastAsia="方正小标宋简体" w:cs="方正小标宋简体"/>
          <w:w w:val="90"/>
          <w:sz w:val="72"/>
          <w:szCs w:val="72"/>
        </w:rPr>
        <w:t>委宣传部</w:t>
      </w:r>
      <w:r>
        <w:rPr>
          <w:rFonts w:hint="eastAsia" w:ascii="方正小标宋简体" w:eastAsia="方正小标宋简体" w:cs="方正小标宋简体"/>
          <w:w w:val="90"/>
          <w:sz w:val="72"/>
          <w:szCs w:val="72"/>
          <w:lang w:val="en-US" w:eastAsia="zh-CN"/>
        </w:rPr>
        <w:t>(本级)</w:t>
      </w:r>
      <w:r>
        <w:rPr>
          <w:rFonts w:hint="eastAsia" w:ascii="方正小标宋简体" w:eastAsia="方正小标宋简体" w:cs="方正小标宋简体"/>
          <w:w w:val="90"/>
          <w:sz w:val="72"/>
          <w:szCs w:val="72"/>
        </w:rPr>
        <w:t>单位决算</w:t>
      </w:r>
      <w:bookmarkEnd w:id="7"/>
      <w:bookmarkEnd w:id="8"/>
      <w:bookmarkEnd w:id="9"/>
      <w:bookmarkEnd w:id="10"/>
      <w:bookmarkEnd w:id="11"/>
      <w:bookmarkEnd w:id="12"/>
      <w:bookmarkEnd w:id="13"/>
    </w:p>
    <w:p>
      <w:pPr>
        <w:pStyle w:val="6"/>
        <w:spacing w:before="93"/>
      </w:pPr>
    </w:p>
    <w:p>
      <w:pPr>
        <w:pStyle w:val="6"/>
        <w:spacing w:before="93"/>
      </w:pPr>
    </w:p>
    <w:p>
      <w:pPr>
        <w:pStyle w:val="6"/>
        <w:spacing w:before="93"/>
      </w:pPr>
    </w:p>
    <w:p>
      <w:pPr>
        <w:pStyle w:val="6"/>
        <w:spacing w:before="93"/>
      </w:pPr>
    </w:p>
    <w:p>
      <w:pPr>
        <w:pStyle w:val="6"/>
        <w:spacing w:before="93"/>
      </w:pPr>
    </w:p>
    <w:p>
      <w:pPr>
        <w:pStyle w:val="6"/>
        <w:spacing w:before="93"/>
      </w:pPr>
    </w:p>
    <w:p>
      <w:pPr>
        <w:pStyle w:val="6"/>
        <w:spacing w:before="93"/>
      </w:pPr>
      <w:r>
        <w:rPr>
          <w:rFonts w:hint="eastAsia" w:ascii="仿宋_GB2312" w:eastAsia="仿宋_GB2312" w:cs="仿宋_GB2312"/>
          <w:sz w:val="32"/>
          <w:szCs w:val="32"/>
        </w:rPr>
        <w:t>已经保密审查、内容审定，同意对外公开</w:t>
      </w:r>
    </w:p>
    <w:p>
      <w:pPr>
        <w:widowControl/>
        <w:jc w:val="center"/>
        <w:rPr>
          <w:sz w:val="24"/>
        </w:rPr>
      </w:pPr>
      <w:r>
        <w:rPr>
          <w:rFonts w:ascii="方正小标宋简体" w:eastAsia="方正小标宋简体"/>
          <w:sz w:val="36"/>
          <w:szCs w:val="36"/>
        </w:rPr>
        <w:br w:type="page"/>
      </w:r>
    </w:p>
    <w:sdt>
      <w:sdtPr>
        <w:rPr>
          <w:lang w:val="zh-CN"/>
        </w:rPr>
        <w:id w:val="-1889787008"/>
        <w:docPartObj>
          <w:docPartGallery w:val="Table of Contents"/>
          <w:docPartUnique/>
        </w:docPartObj>
      </w:sdtPr>
      <w:sdtEndPr>
        <w:rPr>
          <w:rFonts w:ascii="Times New Roman" w:hAnsi="Times New Roman" w:eastAsia="宋体" w:cs="Times New Roman"/>
          <w:color w:val="auto"/>
          <w:kern w:val="2"/>
          <w:sz w:val="21"/>
          <w:szCs w:val="24"/>
          <w:lang w:val="zh-CN"/>
        </w:rPr>
      </w:sdtEndPr>
      <w:sdtContent>
        <w:p>
          <w:pPr>
            <w:pStyle w:val="30"/>
            <w:jc w:val="center"/>
            <w:rPr>
              <w:rFonts w:hint="eastAsia" w:ascii="仿宋_GB2312" w:eastAsia="仿宋_GB2312"/>
              <w:color w:val="auto"/>
            </w:rPr>
          </w:pPr>
          <w:r>
            <w:rPr>
              <w:rFonts w:hint="eastAsia" w:ascii="仿宋_GB2312" w:eastAsia="仿宋_GB2312"/>
              <w:color w:val="auto"/>
              <w:lang w:val="zh-CN"/>
            </w:rPr>
            <w:t>目 录</w:t>
          </w:r>
        </w:p>
        <w:p>
          <w:pPr>
            <w:pStyle w:val="13"/>
            <w:rPr>
              <w:rFonts w:hint="eastAsia" w:ascii="仿宋_GB2312" w:eastAsia="仿宋_GB2312" w:hAnsiTheme="minorHAnsi" w:cstheme="minorBidi"/>
            </w:rPr>
          </w:pPr>
          <w:r>
            <w:t>公开时间：</w:t>
          </w:r>
          <w:r>
            <w:rPr>
              <w:rFonts w:hint="eastAsia"/>
            </w:rPr>
            <w:t>2022年9月2</w:t>
          </w:r>
          <w:r>
            <w:rPr>
              <w:rFonts w:hint="eastAsia"/>
              <w:lang w:val="en-US" w:eastAsia="zh-CN"/>
            </w:rPr>
            <w:t>8</w:t>
          </w:r>
          <w:r>
            <w:rPr>
              <w:rFonts w:hint="eastAsia"/>
            </w:rPr>
            <w:t>日</w:t>
          </w:r>
          <w:r>
            <w:rPr>
              <w:rFonts w:hint="eastAsia" w:ascii="仿宋_GB2312" w:eastAsia="仿宋_GB2312"/>
            </w:rPr>
            <w:fldChar w:fldCharType="begin"/>
          </w:r>
          <w:r>
            <w:rPr>
              <w:rFonts w:hint="eastAsia" w:ascii="仿宋_GB2312" w:eastAsia="仿宋_GB2312"/>
            </w:rPr>
            <w:instrText xml:space="preserve"> TOC \o "1-3" \h \z \u </w:instrText>
          </w:r>
          <w:r>
            <w:rPr>
              <w:rFonts w:hint="eastAsia" w:ascii="仿宋_GB2312" w:eastAsia="仿宋_GB2312"/>
            </w:rPr>
            <w:fldChar w:fldCharType="separate"/>
          </w:r>
        </w:p>
        <w:p>
          <w:pPr>
            <w:pStyle w:val="13"/>
            <w:rPr>
              <w:rFonts w:hint="eastAsia" w:ascii="仿宋_GB2312" w:eastAsia="仿宋_GB2312" w:hAnsiTheme="minorHAnsi" w:cstheme="minorBidi"/>
            </w:rPr>
          </w:pPr>
          <w:r>
            <w:fldChar w:fldCharType="begin"/>
          </w:r>
          <w:r>
            <w:instrText xml:space="preserve"> HYPERLINK \l "_Toc115799728" </w:instrText>
          </w:r>
          <w:r>
            <w:fldChar w:fldCharType="separate"/>
          </w:r>
          <w:r>
            <w:rPr>
              <w:rStyle w:val="20"/>
              <w:rFonts w:hint="eastAsia" w:ascii="仿宋_GB2312" w:eastAsia="仿宋_GB2312"/>
            </w:rPr>
            <w:t>第一部分 单位概况</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_Toc115799728 \h </w:instrText>
          </w:r>
          <w:r>
            <w:rPr>
              <w:rFonts w:hint="eastAsia" w:ascii="仿宋_GB2312" w:eastAsia="仿宋_GB2312"/>
            </w:rPr>
            <w:fldChar w:fldCharType="separate"/>
          </w:r>
          <w:r>
            <w:rPr>
              <w:rFonts w:hint="eastAsia" w:ascii="仿宋_GB2312" w:eastAsia="仿宋_GB2312"/>
            </w:rPr>
            <w:t>1</w:t>
          </w:r>
          <w:r>
            <w:rPr>
              <w:rFonts w:hint="eastAsia" w:ascii="仿宋_GB2312" w:eastAsia="仿宋_GB2312"/>
            </w:rPr>
            <w:fldChar w:fldCharType="end"/>
          </w:r>
          <w:r>
            <w:rPr>
              <w:rFonts w:hint="eastAsia" w:ascii="仿宋_GB2312" w:eastAsia="仿宋_GB2312"/>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"_Toc115799729" </w:instrText>
          </w:r>
          <w:r>
            <w:fldChar w:fldCharType="separate"/>
          </w:r>
          <w:r>
            <w:rPr>
              <w:rStyle w:val="20"/>
              <w:rFonts w:hint="eastAsia" w:ascii="仿宋_GB2312" w:eastAsia="仿宋_GB2312"/>
              <w:sz w:val="28"/>
              <w:szCs w:val="28"/>
            </w:rPr>
            <w:t>一、职能简介</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_Toc115799729 \h </w:instrText>
          </w:r>
          <w:r>
            <w:rPr>
              <w:rFonts w:hint="eastAsia" w:ascii="仿宋_GB2312" w:eastAsia="仿宋_GB2312"/>
              <w:sz w:val="28"/>
              <w:szCs w:val="28"/>
            </w:rPr>
            <w:fldChar w:fldCharType="separate"/>
          </w:r>
          <w:r>
            <w:rPr>
              <w:rFonts w:hint="eastAsia" w:ascii="仿宋_GB2312" w:eastAsia="仿宋_GB2312"/>
              <w:sz w:val="28"/>
              <w:szCs w:val="28"/>
            </w:rPr>
            <w:t>1</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"_Toc115799730" </w:instrText>
          </w:r>
          <w:r>
            <w:fldChar w:fldCharType="separate"/>
          </w:r>
          <w:r>
            <w:rPr>
              <w:rStyle w:val="20"/>
              <w:rFonts w:hint="eastAsia" w:ascii="仿宋_GB2312" w:eastAsia="仿宋_GB2312"/>
              <w:sz w:val="28"/>
              <w:szCs w:val="28"/>
            </w:rPr>
            <w:t>二、2021年重点工作完成情况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_Toc115799730 \h </w:instrText>
          </w:r>
          <w:r>
            <w:rPr>
              <w:rFonts w:hint="eastAsia" w:ascii="仿宋_GB2312" w:eastAsia="仿宋_GB2312"/>
              <w:sz w:val="28"/>
              <w:szCs w:val="28"/>
            </w:rPr>
            <w:fldChar w:fldCharType="separate"/>
          </w:r>
          <w:r>
            <w:rPr>
              <w:rFonts w:hint="eastAsia" w:ascii="仿宋_GB2312" w:eastAsia="仿宋_GB2312"/>
              <w:sz w:val="28"/>
              <w:szCs w:val="28"/>
            </w:rPr>
            <w:t>1</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3"/>
            <w:rPr>
              <w:rFonts w:hint="eastAsia" w:ascii="仿宋_GB2312" w:eastAsia="仿宋_GB2312" w:hAnsiTheme="minorHAnsi" w:cstheme="minorBidi"/>
            </w:rPr>
          </w:pPr>
          <w:r>
            <w:fldChar w:fldCharType="begin"/>
          </w:r>
          <w:r>
            <w:instrText xml:space="preserve"> HYPERLINK \l "_Toc115799731" </w:instrText>
          </w:r>
          <w:r>
            <w:fldChar w:fldCharType="separate"/>
          </w:r>
          <w:r>
            <w:rPr>
              <w:rStyle w:val="20"/>
              <w:rFonts w:hint="eastAsia" w:ascii="仿宋_GB2312" w:eastAsia="仿宋_GB2312"/>
            </w:rPr>
            <w:t>第二部分 2021年度单位决算情况说明</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_Toc115799731 \h </w:instrText>
          </w:r>
          <w:r>
            <w:rPr>
              <w:rFonts w:hint="eastAsia" w:ascii="仿宋_GB2312" w:eastAsia="仿宋_GB2312"/>
            </w:rPr>
            <w:fldChar w:fldCharType="separate"/>
          </w:r>
          <w:r>
            <w:rPr>
              <w:rFonts w:hint="eastAsia" w:ascii="仿宋_GB2312" w:eastAsia="仿宋_GB2312"/>
            </w:rPr>
            <w:t>3</w:t>
          </w:r>
          <w:r>
            <w:rPr>
              <w:rFonts w:hint="eastAsia" w:ascii="仿宋_GB2312" w:eastAsia="仿宋_GB2312"/>
            </w:rPr>
            <w:fldChar w:fldCharType="end"/>
          </w:r>
          <w:r>
            <w:rPr>
              <w:rFonts w:hint="eastAsia" w:ascii="仿宋_GB2312" w:eastAsia="仿宋_GB2312"/>
            </w:rPr>
            <w:fldChar w:fldCharType="end"/>
          </w:r>
        </w:p>
        <w:p>
          <w:pPr>
            <w:pStyle w:val="14"/>
            <w:tabs>
              <w:tab w:val="left" w:pos="1260"/>
            </w:tabs>
            <w:ind w:left="420"/>
            <w:rPr>
              <w:rFonts w:hint="eastAsia" w:ascii="仿宋_GB2312" w:eastAsia="仿宋_GB2312" w:hAnsiTheme="minorHAnsi" w:cstheme="minorBidi"/>
              <w:sz w:val="28"/>
              <w:szCs w:val="28"/>
            </w:rPr>
          </w:pPr>
          <w:r>
            <w:fldChar w:fldCharType="begin"/>
          </w:r>
          <w:r>
            <w:instrText xml:space="preserve"> HYPERLINK \l "_Toc115799732" </w:instrText>
          </w:r>
          <w:r>
            <w:fldChar w:fldCharType="separate"/>
          </w:r>
          <w:r>
            <w:rPr>
              <w:rStyle w:val="20"/>
              <w:rFonts w:hint="eastAsia" w:ascii="仿宋_GB2312" w:hAnsi="Cambria" w:eastAsia="仿宋_GB2312"/>
              <w:bCs/>
              <w:sz w:val="28"/>
              <w:szCs w:val="28"/>
            </w:rPr>
            <w:t>一、</w:t>
          </w:r>
          <w:r>
            <w:rPr>
              <w:rStyle w:val="20"/>
              <w:rFonts w:hint="eastAsia" w:ascii="仿宋_GB2312" w:eastAsia="仿宋_GB2312"/>
              <w:sz w:val="28"/>
              <w:szCs w:val="28"/>
            </w:rPr>
            <w:t>收</w:t>
          </w:r>
          <w:r>
            <w:rPr>
              <w:rStyle w:val="20"/>
              <w:rFonts w:hint="eastAsia" w:ascii="仿宋_GB2312" w:hAnsi="Cambria" w:eastAsia="仿宋_GB2312"/>
              <w:bCs/>
              <w:sz w:val="28"/>
              <w:szCs w:val="28"/>
            </w:rPr>
            <w:t>入支出决算总体情况说明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_Toc115799732 \h </w:instrText>
          </w:r>
          <w:r>
            <w:rPr>
              <w:rFonts w:hint="eastAsia" w:ascii="仿宋_GB2312" w:eastAsia="仿宋_GB2312"/>
              <w:sz w:val="28"/>
              <w:szCs w:val="28"/>
            </w:rPr>
            <w:fldChar w:fldCharType="separate"/>
          </w:r>
          <w:r>
            <w:rPr>
              <w:rFonts w:hint="eastAsia" w:ascii="仿宋_GB2312" w:eastAsia="仿宋_GB2312"/>
              <w:sz w:val="28"/>
              <w:szCs w:val="28"/>
            </w:rPr>
            <w:t>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tabs>
              <w:tab w:val="left" w:pos="1260"/>
            </w:tabs>
            <w:ind w:left="420"/>
            <w:rPr>
              <w:rFonts w:hint="eastAsia" w:ascii="仿宋_GB2312" w:eastAsia="仿宋_GB2312" w:hAnsiTheme="minorHAnsi" w:cstheme="minorBidi"/>
              <w:sz w:val="28"/>
              <w:szCs w:val="28"/>
            </w:rPr>
          </w:pPr>
          <w:r>
            <w:fldChar w:fldCharType="begin"/>
          </w:r>
          <w:r>
            <w:instrText xml:space="preserve"> HYPERLINK \l "_Toc115799733" </w:instrText>
          </w:r>
          <w:r>
            <w:fldChar w:fldCharType="separate"/>
          </w:r>
          <w:r>
            <w:rPr>
              <w:rStyle w:val="20"/>
              <w:rFonts w:hint="eastAsia" w:ascii="仿宋_GB2312" w:hAnsi="Cambria" w:eastAsia="仿宋_GB2312"/>
              <w:bCs/>
              <w:sz w:val="28"/>
              <w:szCs w:val="28"/>
            </w:rPr>
            <w:t>二、</w:t>
          </w:r>
          <w:r>
            <w:rPr>
              <w:rStyle w:val="20"/>
              <w:rFonts w:hint="eastAsia" w:ascii="仿宋_GB2312" w:eastAsia="仿宋_GB2312"/>
              <w:sz w:val="28"/>
              <w:szCs w:val="28"/>
            </w:rPr>
            <w:t>收</w:t>
          </w:r>
          <w:r>
            <w:rPr>
              <w:rStyle w:val="20"/>
              <w:rFonts w:hint="eastAsia" w:ascii="仿宋_GB2312" w:hAnsi="Cambria" w:eastAsia="仿宋_GB2312"/>
              <w:bCs/>
              <w:sz w:val="28"/>
              <w:szCs w:val="28"/>
            </w:rPr>
            <w:t>入决算情况说明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_Toc115799733 \h </w:instrText>
          </w:r>
          <w:r>
            <w:rPr>
              <w:rFonts w:hint="eastAsia" w:ascii="仿宋_GB2312" w:eastAsia="仿宋_GB2312"/>
              <w:sz w:val="28"/>
              <w:szCs w:val="28"/>
            </w:rPr>
            <w:fldChar w:fldCharType="separate"/>
          </w:r>
          <w:r>
            <w:rPr>
              <w:rFonts w:hint="eastAsia" w:ascii="仿宋_GB2312" w:eastAsia="仿宋_GB2312"/>
              <w:sz w:val="28"/>
              <w:szCs w:val="28"/>
            </w:rPr>
            <w:t>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tabs>
              <w:tab w:val="left" w:pos="1260"/>
            </w:tabs>
            <w:ind w:left="420"/>
            <w:rPr>
              <w:rFonts w:hint="eastAsia" w:ascii="仿宋_GB2312" w:eastAsia="仿宋_GB2312" w:hAnsiTheme="minorHAnsi" w:cstheme="minorBidi"/>
              <w:sz w:val="28"/>
              <w:szCs w:val="28"/>
            </w:rPr>
          </w:pPr>
          <w:r>
            <w:fldChar w:fldCharType="begin"/>
          </w:r>
          <w:r>
            <w:instrText xml:space="preserve"> HYPERLINK \l "_Toc115799734" </w:instrText>
          </w:r>
          <w:r>
            <w:fldChar w:fldCharType="separate"/>
          </w:r>
          <w:r>
            <w:rPr>
              <w:rStyle w:val="20"/>
              <w:rFonts w:hint="eastAsia" w:ascii="仿宋_GB2312" w:hAnsi="Cambria" w:eastAsia="仿宋_GB2312"/>
              <w:bCs/>
              <w:sz w:val="28"/>
              <w:szCs w:val="28"/>
            </w:rPr>
            <w:t>三、</w:t>
          </w:r>
          <w:r>
            <w:rPr>
              <w:rStyle w:val="20"/>
              <w:rFonts w:hint="eastAsia" w:ascii="仿宋_GB2312" w:eastAsia="仿宋_GB2312"/>
              <w:sz w:val="28"/>
              <w:szCs w:val="28"/>
            </w:rPr>
            <w:t>支</w:t>
          </w:r>
          <w:r>
            <w:rPr>
              <w:rStyle w:val="20"/>
              <w:rFonts w:hint="eastAsia" w:ascii="仿宋_GB2312" w:hAnsi="Cambria" w:eastAsia="仿宋_GB2312"/>
              <w:bCs/>
              <w:sz w:val="28"/>
              <w:szCs w:val="28"/>
            </w:rPr>
            <w:t>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_Toc115799734 \h </w:instrText>
          </w:r>
          <w:r>
            <w:rPr>
              <w:rFonts w:hint="eastAsia" w:ascii="仿宋_GB2312" w:eastAsia="仿宋_GB2312"/>
              <w:sz w:val="28"/>
              <w:szCs w:val="28"/>
            </w:rPr>
            <w:fldChar w:fldCharType="separate"/>
          </w:r>
          <w:r>
            <w:rPr>
              <w:rFonts w:hint="eastAsia" w:ascii="仿宋_GB2312" w:eastAsia="仿宋_GB2312"/>
              <w:sz w:val="28"/>
              <w:szCs w:val="28"/>
            </w:rPr>
            <w:t>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"_Toc115799735" </w:instrText>
          </w:r>
          <w:r>
            <w:fldChar w:fldCharType="separate"/>
          </w:r>
          <w:r>
            <w:rPr>
              <w:rStyle w:val="20"/>
              <w:rFonts w:hint="eastAsia" w:ascii="仿宋_GB2312" w:eastAsia="仿宋_GB2312"/>
              <w:sz w:val="28"/>
              <w:szCs w:val="28"/>
            </w:rPr>
            <w:t>四、财</w:t>
          </w:r>
          <w:r>
            <w:rPr>
              <w:rStyle w:val="20"/>
              <w:rFonts w:hint="eastAsia" w:ascii="仿宋_GB2312" w:hAnsi="Cambria" w:eastAsia="仿宋_GB2312"/>
              <w:bCs/>
              <w:sz w:val="28"/>
              <w:szCs w:val="28"/>
            </w:rPr>
            <w:t>政拨款收入支出决算总体情况说明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_Toc115799735 \h </w:instrText>
          </w:r>
          <w:r>
            <w:rPr>
              <w:rFonts w:hint="eastAsia" w:ascii="仿宋_GB2312" w:eastAsia="仿宋_GB2312"/>
              <w:sz w:val="28"/>
              <w:szCs w:val="28"/>
            </w:rPr>
            <w:fldChar w:fldCharType="separate"/>
          </w:r>
          <w:r>
            <w:rPr>
              <w:rFonts w:hint="eastAsia" w:ascii="仿宋_GB2312" w:eastAsia="仿宋_GB2312"/>
              <w:sz w:val="28"/>
              <w:szCs w:val="28"/>
            </w:rPr>
            <w:t>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"_Toc115799736" </w:instrText>
          </w:r>
          <w:r>
            <w:fldChar w:fldCharType="separate"/>
          </w:r>
          <w:r>
            <w:rPr>
              <w:rStyle w:val="20"/>
              <w:rFonts w:hint="eastAsia" w:ascii="仿宋_GB2312" w:eastAsia="仿宋_GB2312"/>
              <w:sz w:val="28"/>
              <w:szCs w:val="28"/>
            </w:rPr>
            <w:t>五、一</w:t>
          </w:r>
          <w:r>
            <w:rPr>
              <w:rStyle w:val="20"/>
              <w:rFonts w:hint="eastAsia" w:ascii="仿宋_GB2312" w:hAnsi="Cambria" w:eastAsia="仿宋_GB2312"/>
              <w:bCs/>
              <w:sz w:val="28"/>
              <w:szCs w:val="28"/>
            </w:rPr>
            <w:t>般公共预算财政拨款支出决算情况说明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_Toc115799736 \h </w:instrText>
          </w:r>
          <w:r>
            <w:rPr>
              <w:rFonts w:hint="eastAsia" w:ascii="仿宋_GB2312" w:eastAsia="仿宋_GB2312"/>
              <w:sz w:val="28"/>
              <w:szCs w:val="28"/>
            </w:rPr>
            <w:fldChar w:fldCharType="separate"/>
          </w:r>
          <w:r>
            <w:rPr>
              <w:rFonts w:hint="eastAsia" w:ascii="仿宋_GB2312" w:eastAsia="仿宋_GB2312"/>
              <w:sz w:val="28"/>
              <w:szCs w:val="28"/>
            </w:rPr>
            <w:t>5</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"_Toc115799737" </w:instrText>
          </w:r>
          <w:r>
            <w:fldChar w:fldCharType="separate"/>
          </w:r>
          <w:r>
            <w:rPr>
              <w:rStyle w:val="20"/>
              <w:rFonts w:hint="eastAsia" w:ascii="仿宋_GB2312" w:eastAsia="仿宋_GB2312"/>
              <w:sz w:val="28"/>
              <w:szCs w:val="28"/>
            </w:rPr>
            <w:t>（一）一般公共预算财政拨款支出决算总体情况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_Toc115799737 \h </w:instrText>
          </w:r>
          <w:r>
            <w:rPr>
              <w:rFonts w:hint="eastAsia" w:ascii="仿宋_GB2312" w:eastAsia="仿宋_GB2312"/>
              <w:sz w:val="28"/>
              <w:szCs w:val="28"/>
            </w:rPr>
            <w:fldChar w:fldCharType="separate"/>
          </w:r>
          <w:r>
            <w:rPr>
              <w:rFonts w:hint="eastAsia" w:ascii="仿宋_GB2312" w:eastAsia="仿宋_GB2312"/>
              <w:sz w:val="28"/>
              <w:szCs w:val="28"/>
            </w:rPr>
            <w:t>5</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"_Toc115799738" </w:instrText>
          </w:r>
          <w:r>
            <w:fldChar w:fldCharType="separate"/>
          </w:r>
          <w:r>
            <w:rPr>
              <w:rStyle w:val="20"/>
              <w:rFonts w:hint="eastAsia" w:ascii="仿宋_GB2312" w:eastAsia="仿宋_GB2312"/>
              <w:sz w:val="28"/>
              <w:szCs w:val="28"/>
            </w:rPr>
            <w:t>（二）一般公共预算财政拨款支出决算结构情况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_Toc115799738 \h </w:instrText>
          </w:r>
          <w:r>
            <w:rPr>
              <w:rFonts w:hint="eastAsia" w:ascii="仿宋_GB2312" w:eastAsia="仿宋_GB2312"/>
              <w:sz w:val="28"/>
              <w:szCs w:val="28"/>
            </w:rPr>
            <w:fldChar w:fldCharType="separate"/>
          </w:r>
          <w:r>
            <w:rPr>
              <w:rFonts w:hint="eastAsia" w:ascii="仿宋_GB2312" w:eastAsia="仿宋_GB2312"/>
              <w:sz w:val="28"/>
              <w:szCs w:val="28"/>
            </w:rPr>
            <w:t>5</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"_Toc115799739" </w:instrText>
          </w:r>
          <w:r>
            <w:fldChar w:fldCharType="separate"/>
          </w:r>
          <w:r>
            <w:rPr>
              <w:rStyle w:val="20"/>
              <w:rFonts w:hint="eastAsia" w:ascii="仿宋_GB2312" w:eastAsia="仿宋_GB2312"/>
              <w:sz w:val="28"/>
              <w:szCs w:val="28"/>
            </w:rPr>
            <w:t>（三）一般公共预算财政拨款支出决算具体情况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_Toc115799739 \h </w:instrText>
          </w:r>
          <w:r>
            <w:rPr>
              <w:rFonts w:hint="eastAsia" w:ascii="仿宋_GB2312" w:eastAsia="仿宋_GB2312"/>
              <w:sz w:val="28"/>
              <w:szCs w:val="28"/>
            </w:rPr>
            <w:fldChar w:fldCharType="separate"/>
          </w:r>
          <w:r>
            <w:rPr>
              <w:rFonts w:hint="eastAsia" w:ascii="仿宋_GB2312" w:eastAsia="仿宋_GB2312"/>
              <w:sz w:val="28"/>
              <w:szCs w:val="28"/>
            </w:rPr>
            <w:t>6</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"_Toc115799740" </w:instrText>
          </w:r>
          <w:r>
            <w:fldChar w:fldCharType="separate"/>
          </w:r>
          <w:r>
            <w:rPr>
              <w:rStyle w:val="20"/>
              <w:rFonts w:hint="eastAsia" w:ascii="仿宋_GB2312" w:eastAsia="仿宋_GB2312"/>
              <w:sz w:val="28"/>
              <w:szCs w:val="28"/>
            </w:rPr>
            <w:t>六、一</w:t>
          </w:r>
          <w:r>
            <w:rPr>
              <w:rStyle w:val="20"/>
              <w:rFonts w:hint="eastAsia" w:ascii="仿宋_GB2312" w:hAnsi="Cambria" w:eastAsia="仿宋_GB2312"/>
              <w:bCs/>
              <w:sz w:val="28"/>
              <w:szCs w:val="28"/>
            </w:rPr>
            <w:t>般公共预算财政拨款基本支出决算情况说明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_Toc115799740 \h </w:instrText>
          </w:r>
          <w:r>
            <w:rPr>
              <w:rFonts w:hint="eastAsia" w:ascii="仿宋_GB2312" w:eastAsia="仿宋_GB2312"/>
              <w:sz w:val="28"/>
              <w:szCs w:val="28"/>
            </w:rPr>
            <w:fldChar w:fldCharType="separate"/>
          </w:r>
          <w:r>
            <w:rPr>
              <w:rFonts w:hint="eastAsia" w:ascii="仿宋_GB2312" w:eastAsia="仿宋_GB2312"/>
              <w:sz w:val="28"/>
              <w:szCs w:val="28"/>
            </w:rPr>
            <w:t>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"_Toc115799741" </w:instrText>
          </w:r>
          <w:r>
            <w:fldChar w:fldCharType="separate"/>
          </w:r>
          <w:r>
            <w:rPr>
              <w:rStyle w:val="20"/>
              <w:rFonts w:hint="eastAsia" w:ascii="仿宋_GB2312" w:eastAsia="仿宋_GB2312"/>
              <w:sz w:val="28"/>
              <w:szCs w:val="28"/>
            </w:rPr>
            <w:t>七、</w:t>
          </w:r>
          <w:r>
            <w:rPr>
              <w:rStyle w:val="20"/>
              <w:rFonts w:hint="eastAsia" w:ascii="仿宋_GB2312" w:hAnsi="Cambria" w:eastAsia="仿宋_GB2312"/>
              <w:bCs/>
              <w:sz w:val="28"/>
              <w:szCs w:val="28"/>
            </w:rPr>
            <w:t>“三公”经费财政拨款支出决算情况说明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_Toc115799741 \h </w:instrText>
          </w:r>
          <w:r>
            <w:rPr>
              <w:rFonts w:hint="eastAsia" w:ascii="仿宋_GB2312" w:eastAsia="仿宋_GB2312"/>
              <w:sz w:val="28"/>
              <w:szCs w:val="28"/>
            </w:rPr>
            <w:fldChar w:fldCharType="separate"/>
          </w:r>
          <w:r>
            <w:rPr>
              <w:rFonts w:hint="eastAsia" w:ascii="仿宋_GB2312" w:eastAsia="仿宋_GB2312"/>
              <w:sz w:val="28"/>
              <w:szCs w:val="28"/>
            </w:rPr>
            <w:t>8</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"_Toc115799742" </w:instrText>
          </w:r>
          <w:r>
            <w:fldChar w:fldCharType="separate"/>
          </w:r>
          <w:r>
            <w:rPr>
              <w:rStyle w:val="20"/>
              <w:rFonts w:hint="eastAsia" w:ascii="仿宋_GB2312" w:eastAsia="仿宋_GB2312"/>
              <w:sz w:val="28"/>
              <w:szCs w:val="28"/>
            </w:rPr>
            <w:t>（一）“三公”经费财政拨款支出决算总体情况说明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_Toc115799742 \h </w:instrText>
          </w:r>
          <w:r>
            <w:rPr>
              <w:rFonts w:hint="eastAsia" w:ascii="仿宋_GB2312" w:eastAsia="仿宋_GB2312"/>
              <w:sz w:val="28"/>
              <w:szCs w:val="28"/>
            </w:rPr>
            <w:fldChar w:fldCharType="separate"/>
          </w:r>
          <w:r>
            <w:rPr>
              <w:rFonts w:hint="eastAsia" w:ascii="仿宋_GB2312" w:eastAsia="仿宋_GB2312"/>
              <w:sz w:val="28"/>
              <w:szCs w:val="28"/>
            </w:rPr>
            <w:t>8</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"_Toc115799743" </w:instrText>
          </w:r>
          <w:r>
            <w:fldChar w:fldCharType="separate"/>
          </w:r>
          <w:r>
            <w:rPr>
              <w:rStyle w:val="20"/>
              <w:rFonts w:hint="eastAsia" w:ascii="仿宋_GB2312" w:eastAsia="仿宋_GB2312"/>
              <w:sz w:val="28"/>
              <w:szCs w:val="28"/>
            </w:rPr>
            <w:t>（二）“三公”经费财政拨款支出决算具体情况说明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_Toc115799743 \h </w:instrText>
          </w:r>
          <w:r>
            <w:rPr>
              <w:rFonts w:hint="eastAsia" w:ascii="仿宋_GB2312" w:eastAsia="仿宋_GB2312"/>
              <w:sz w:val="28"/>
              <w:szCs w:val="28"/>
            </w:rPr>
            <w:fldChar w:fldCharType="separate"/>
          </w:r>
          <w:r>
            <w:rPr>
              <w:rFonts w:hint="eastAsia" w:ascii="仿宋_GB2312" w:eastAsia="仿宋_GB2312"/>
              <w:sz w:val="28"/>
              <w:szCs w:val="28"/>
            </w:rPr>
            <w:t>8</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"_Toc115799744" </w:instrText>
          </w:r>
          <w:r>
            <w:fldChar w:fldCharType="separate"/>
          </w:r>
          <w:r>
            <w:rPr>
              <w:rStyle w:val="20"/>
              <w:rFonts w:hint="eastAsia" w:ascii="仿宋_GB2312" w:eastAsia="仿宋_GB2312"/>
              <w:sz w:val="28"/>
              <w:szCs w:val="28"/>
            </w:rPr>
            <w:t>八、</w:t>
          </w:r>
          <w:r>
            <w:rPr>
              <w:rStyle w:val="20"/>
              <w:rFonts w:hint="eastAsia" w:ascii="仿宋_GB2312" w:hAnsi="Cambria" w:eastAsia="仿宋_GB2312"/>
              <w:bCs/>
              <w:sz w:val="28"/>
              <w:szCs w:val="28"/>
            </w:rPr>
            <w:t>政府性基金预算支出决算情况说明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_Toc115799744 \h </w:instrText>
          </w:r>
          <w:r>
            <w:rPr>
              <w:rFonts w:hint="eastAsia" w:ascii="仿宋_GB2312" w:eastAsia="仿宋_GB2312"/>
              <w:sz w:val="28"/>
              <w:szCs w:val="28"/>
            </w:rPr>
            <w:fldChar w:fldCharType="separate"/>
          </w:r>
          <w:r>
            <w:rPr>
              <w:rFonts w:hint="eastAsia" w:ascii="仿宋_GB2312" w:eastAsia="仿宋_GB2312"/>
              <w:sz w:val="28"/>
              <w:szCs w:val="28"/>
            </w:rPr>
            <w:t>10</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"_Toc115799745" </w:instrText>
          </w:r>
          <w:r>
            <w:fldChar w:fldCharType="separate"/>
          </w:r>
          <w:r>
            <w:rPr>
              <w:rStyle w:val="20"/>
              <w:rFonts w:hint="eastAsia" w:ascii="仿宋_GB2312" w:hAnsi="Cambria" w:eastAsia="仿宋_GB2312"/>
              <w:bCs/>
              <w:sz w:val="28"/>
              <w:szCs w:val="28"/>
            </w:rPr>
            <w:t>九、国有资本经营预算支出决算情况说明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_Toc115799745 \h </w:instrText>
          </w:r>
          <w:r>
            <w:rPr>
              <w:rFonts w:hint="eastAsia" w:ascii="仿宋_GB2312" w:eastAsia="仿宋_GB2312"/>
              <w:sz w:val="28"/>
              <w:szCs w:val="28"/>
            </w:rPr>
            <w:fldChar w:fldCharType="separate"/>
          </w:r>
          <w:r>
            <w:rPr>
              <w:rFonts w:hint="eastAsia" w:ascii="仿宋_GB2312" w:eastAsia="仿宋_GB2312"/>
              <w:sz w:val="28"/>
              <w:szCs w:val="28"/>
            </w:rPr>
            <w:t>10</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"_Toc115799746" </w:instrText>
          </w:r>
          <w:r>
            <w:fldChar w:fldCharType="separate"/>
          </w:r>
          <w:r>
            <w:rPr>
              <w:rStyle w:val="20"/>
              <w:rFonts w:hint="eastAsia" w:ascii="仿宋_GB2312" w:hAnsi="Cambria" w:eastAsia="仿宋_GB2312"/>
              <w:bCs/>
              <w:sz w:val="28"/>
              <w:szCs w:val="28"/>
            </w:rPr>
            <w:t>十、其他重要事项的情况说明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_Toc115799746 \h </w:instrText>
          </w:r>
          <w:r>
            <w:rPr>
              <w:rFonts w:hint="eastAsia" w:ascii="仿宋_GB2312" w:eastAsia="仿宋_GB2312"/>
              <w:sz w:val="28"/>
              <w:szCs w:val="28"/>
            </w:rPr>
            <w:fldChar w:fldCharType="separate"/>
          </w:r>
          <w:r>
            <w:rPr>
              <w:rFonts w:hint="eastAsia" w:ascii="仿宋_GB2312" w:eastAsia="仿宋_GB2312"/>
              <w:sz w:val="28"/>
              <w:szCs w:val="28"/>
            </w:rPr>
            <w:t>10</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"_Toc115799747" </w:instrText>
          </w:r>
          <w:r>
            <w:fldChar w:fldCharType="separate"/>
          </w:r>
          <w:r>
            <w:rPr>
              <w:rStyle w:val="20"/>
              <w:rFonts w:hint="eastAsia" w:ascii="仿宋_GB2312" w:eastAsia="仿宋_GB2312"/>
              <w:sz w:val="28"/>
              <w:szCs w:val="28"/>
            </w:rPr>
            <w:t>（一）机关运行经费支出情况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_Toc115799747 \h </w:instrText>
          </w:r>
          <w:r>
            <w:rPr>
              <w:rFonts w:hint="eastAsia" w:ascii="仿宋_GB2312" w:eastAsia="仿宋_GB2312"/>
              <w:sz w:val="28"/>
              <w:szCs w:val="28"/>
            </w:rPr>
            <w:fldChar w:fldCharType="separate"/>
          </w:r>
          <w:r>
            <w:rPr>
              <w:rFonts w:hint="eastAsia" w:ascii="仿宋_GB2312" w:eastAsia="仿宋_GB2312"/>
              <w:sz w:val="28"/>
              <w:szCs w:val="28"/>
            </w:rPr>
            <w:t>10</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"_Toc115799748" </w:instrText>
          </w:r>
          <w:r>
            <w:fldChar w:fldCharType="separate"/>
          </w:r>
          <w:r>
            <w:rPr>
              <w:rStyle w:val="20"/>
              <w:rFonts w:hint="eastAsia" w:ascii="仿宋_GB2312" w:eastAsia="仿宋_GB2312"/>
              <w:sz w:val="28"/>
              <w:szCs w:val="28"/>
            </w:rPr>
            <w:t>（二）政府采购支出情况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_Toc115799748 \h </w:instrText>
          </w:r>
          <w:r>
            <w:rPr>
              <w:rFonts w:hint="eastAsia" w:ascii="仿宋_GB2312" w:eastAsia="仿宋_GB2312"/>
              <w:sz w:val="28"/>
              <w:szCs w:val="28"/>
            </w:rPr>
            <w:fldChar w:fldCharType="separate"/>
          </w:r>
          <w:r>
            <w:rPr>
              <w:rFonts w:hint="eastAsia" w:ascii="仿宋_GB2312" w:eastAsia="仿宋_GB2312"/>
              <w:sz w:val="28"/>
              <w:szCs w:val="28"/>
            </w:rPr>
            <w:t>11</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"_Toc115799749" </w:instrText>
          </w:r>
          <w:r>
            <w:fldChar w:fldCharType="separate"/>
          </w:r>
          <w:r>
            <w:rPr>
              <w:rStyle w:val="20"/>
              <w:rFonts w:hint="eastAsia" w:ascii="仿宋_GB2312" w:eastAsia="仿宋_GB2312"/>
              <w:sz w:val="28"/>
              <w:szCs w:val="28"/>
            </w:rPr>
            <w:t>（三）国有资产占有使用情况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_Toc115799749 \h </w:instrText>
          </w:r>
          <w:r>
            <w:rPr>
              <w:rFonts w:hint="eastAsia" w:ascii="仿宋_GB2312" w:eastAsia="仿宋_GB2312"/>
              <w:sz w:val="28"/>
              <w:szCs w:val="28"/>
            </w:rPr>
            <w:fldChar w:fldCharType="separate"/>
          </w:r>
          <w:r>
            <w:rPr>
              <w:rFonts w:hint="eastAsia" w:ascii="仿宋_GB2312" w:eastAsia="仿宋_GB2312"/>
              <w:sz w:val="28"/>
              <w:szCs w:val="28"/>
            </w:rPr>
            <w:t>11</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"_Toc115799750" </w:instrText>
          </w:r>
          <w:r>
            <w:fldChar w:fldCharType="separate"/>
          </w:r>
          <w:r>
            <w:rPr>
              <w:rStyle w:val="20"/>
              <w:rFonts w:hint="eastAsia" w:ascii="仿宋_GB2312" w:eastAsia="仿宋_GB2312"/>
              <w:sz w:val="28"/>
              <w:szCs w:val="28"/>
            </w:rPr>
            <w:t>（四）预算绩效管理情况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_Toc115799750 \h </w:instrText>
          </w:r>
          <w:r>
            <w:rPr>
              <w:rFonts w:hint="eastAsia" w:ascii="仿宋_GB2312" w:eastAsia="仿宋_GB2312"/>
              <w:sz w:val="28"/>
              <w:szCs w:val="28"/>
            </w:rPr>
            <w:fldChar w:fldCharType="separate"/>
          </w:r>
          <w:r>
            <w:rPr>
              <w:rFonts w:hint="eastAsia" w:ascii="仿宋_GB2312" w:eastAsia="仿宋_GB2312"/>
              <w:sz w:val="28"/>
              <w:szCs w:val="28"/>
            </w:rPr>
            <w:t>11</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3"/>
            <w:rPr>
              <w:rFonts w:hint="eastAsia" w:ascii="仿宋_GB2312" w:eastAsia="仿宋_GB2312" w:hAnsiTheme="minorHAnsi" w:cstheme="minorBidi"/>
            </w:rPr>
          </w:pPr>
          <w:r>
            <w:fldChar w:fldCharType="begin"/>
          </w:r>
          <w:r>
            <w:instrText xml:space="preserve"> HYPERLINK \l "_Toc115799751" </w:instrText>
          </w:r>
          <w:r>
            <w:fldChar w:fldCharType="separate"/>
          </w:r>
          <w:r>
            <w:rPr>
              <w:rStyle w:val="20"/>
              <w:rFonts w:hint="eastAsia" w:ascii="仿宋_GB2312" w:hAnsi="黑体" w:eastAsia="仿宋_GB2312" w:cs="黑体"/>
              <w:bCs/>
              <w:kern w:val="44"/>
            </w:rPr>
            <w:t>第三部分</w:t>
          </w:r>
          <w:r>
            <w:rPr>
              <w:rStyle w:val="20"/>
              <w:rFonts w:hint="eastAsia" w:ascii="仿宋_GB2312" w:eastAsia="仿宋_GB2312"/>
            </w:rPr>
            <w:t xml:space="preserve"> 名</w:t>
          </w:r>
          <w:r>
            <w:rPr>
              <w:rStyle w:val="20"/>
              <w:rFonts w:hint="eastAsia" w:ascii="仿宋_GB2312" w:eastAsia="仿宋_GB2312"/>
              <w:bCs/>
              <w:kern w:val="44"/>
            </w:rPr>
            <w:t>词解释</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_Toc115799751 \h </w:instrText>
          </w:r>
          <w:r>
            <w:rPr>
              <w:rFonts w:hint="eastAsia" w:ascii="仿宋_GB2312" w:eastAsia="仿宋_GB2312"/>
            </w:rPr>
            <w:fldChar w:fldCharType="separate"/>
          </w:r>
          <w:r>
            <w:rPr>
              <w:rFonts w:hint="eastAsia" w:ascii="仿宋_GB2312" w:eastAsia="仿宋_GB2312"/>
            </w:rPr>
            <w:t>12</w:t>
          </w:r>
          <w:r>
            <w:rPr>
              <w:rFonts w:hint="eastAsia" w:ascii="仿宋_GB2312" w:eastAsia="仿宋_GB2312"/>
            </w:rPr>
            <w:fldChar w:fldCharType="end"/>
          </w:r>
          <w:r>
            <w:rPr>
              <w:rFonts w:hint="eastAsia" w:ascii="仿宋_GB2312" w:eastAsia="仿宋_GB2312"/>
            </w:rPr>
            <w:fldChar w:fldCharType="end"/>
          </w:r>
          <w:bookmarkStart w:id="109" w:name="_GoBack"/>
          <w:bookmarkEnd w:id="109"/>
        </w:p>
        <w:p>
          <w:pPr>
            <w:pStyle w:val="13"/>
            <w:rPr>
              <w:rFonts w:hint="eastAsia" w:ascii="仿宋_GB2312" w:eastAsia="仿宋_GB2312" w:hAnsiTheme="minorHAnsi" w:cstheme="minorBidi"/>
            </w:rPr>
          </w:pPr>
          <w:r>
            <w:fldChar w:fldCharType="begin"/>
          </w:r>
          <w:r>
            <w:instrText xml:space="preserve"> HYPERLINK \l "_Toc115799752" </w:instrText>
          </w:r>
          <w:r>
            <w:fldChar w:fldCharType="separate"/>
          </w:r>
          <w:r>
            <w:rPr>
              <w:rStyle w:val="20"/>
              <w:rFonts w:hint="eastAsia" w:ascii="仿宋_GB2312" w:eastAsia="仿宋_GB2312"/>
            </w:rPr>
            <w:t>第</w:t>
          </w:r>
          <w:r>
            <w:rPr>
              <w:rStyle w:val="20"/>
              <w:rFonts w:hint="eastAsia" w:ascii="仿宋_GB2312" w:eastAsia="仿宋_GB2312"/>
              <w:bCs/>
              <w:kern w:val="44"/>
            </w:rPr>
            <w:t>四部分 附件</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_Toc115799752 \h </w:instrText>
          </w:r>
          <w:r>
            <w:rPr>
              <w:rFonts w:hint="eastAsia" w:ascii="仿宋_GB2312" w:eastAsia="仿宋_GB2312"/>
            </w:rPr>
            <w:fldChar w:fldCharType="separate"/>
          </w:r>
          <w:r>
            <w:rPr>
              <w:rFonts w:hint="eastAsia" w:ascii="仿宋_GB2312" w:eastAsia="仿宋_GB2312"/>
            </w:rPr>
            <w:t>16</w:t>
          </w:r>
          <w:r>
            <w:rPr>
              <w:rFonts w:hint="eastAsia" w:ascii="仿宋_GB2312" w:eastAsia="仿宋_GB2312"/>
            </w:rPr>
            <w:fldChar w:fldCharType="end"/>
          </w:r>
          <w:r>
            <w:rPr>
              <w:rFonts w:hint="eastAsia" w:ascii="仿宋_GB2312" w:eastAsia="仿宋_GB2312"/>
            </w:rPr>
            <w:fldChar w:fldCharType="end"/>
          </w:r>
        </w:p>
        <w:p>
          <w:pPr>
            <w:pStyle w:val="13"/>
            <w:rPr>
              <w:rFonts w:hint="eastAsia" w:ascii="仿宋_GB2312" w:eastAsia="仿宋_GB2312" w:hAnsiTheme="minorHAnsi" w:cstheme="minorBidi"/>
            </w:rPr>
          </w:pPr>
          <w:r>
            <w:fldChar w:fldCharType="begin"/>
          </w:r>
          <w:r>
            <w:instrText xml:space="preserve"> HYPERLINK \l "_Toc115799753" </w:instrText>
          </w:r>
          <w:r>
            <w:fldChar w:fldCharType="separate"/>
          </w:r>
          <w:r>
            <w:rPr>
              <w:rStyle w:val="20"/>
              <w:rFonts w:hint="eastAsia" w:ascii="仿宋_GB2312" w:eastAsia="仿宋_GB2312"/>
            </w:rPr>
            <w:t>第</w:t>
          </w:r>
          <w:r>
            <w:rPr>
              <w:rStyle w:val="20"/>
              <w:rFonts w:hint="eastAsia" w:ascii="仿宋_GB2312" w:eastAsia="仿宋_GB2312"/>
              <w:bCs/>
              <w:kern w:val="44"/>
            </w:rPr>
            <w:t>五部分 附表</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_Toc115799753 \h </w:instrText>
          </w:r>
          <w:r>
            <w:rPr>
              <w:rFonts w:hint="eastAsia" w:ascii="仿宋_GB2312" w:eastAsia="仿宋_GB2312"/>
            </w:rPr>
            <w:fldChar w:fldCharType="separate"/>
          </w:r>
          <w:r>
            <w:rPr>
              <w:rFonts w:hint="eastAsia" w:ascii="仿宋_GB2312" w:eastAsia="仿宋_GB2312"/>
            </w:rPr>
            <w:t>27</w:t>
          </w:r>
          <w:r>
            <w:rPr>
              <w:rFonts w:hint="eastAsia" w:ascii="仿宋_GB2312" w:eastAsia="仿宋_GB2312"/>
            </w:rPr>
            <w:fldChar w:fldCharType="end"/>
          </w:r>
          <w:r>
            <w:rPr>
              <w:rFonts w:hint="eastAsia" w:ascii="仿宋_GB2312" w:eastAsia="仿宋_GB2312"/>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"_Toc115799754" </w:instrText>
          </w:r>
          <w:r>
            <w:fldChar w:fldCharType="separate"/>
          </w:r>
          <w:r>
            <w:rPr>
              <w:rStyle w:val="20"/>
              <w:rFonts w:hint="eastAsia" w:ascii="仿宋_GB2312" w:eastAsia="仿宋_GB2312"/>
              <w:sz w:val="28"/>
              <w:szCs w:val="28"/>
            </w:rPr>
            <w:t>一、收入支出决算总表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_Toc115799754 \h </w:instrText>
          </w:r>
          <w:r>
            <w:rPr>
              <w:rFonts w:hint="eastAsia" w:ascii="仿宋_GB2312" w:eastAsia="仿宋_GB2312"/>
              <w:sz w:val="28"/>
              <w:szCs w:val="28"/>
            </w:rPr>
            <w:fldChar w:fldCharType="separate"/>
          </w:r>
          <w:r>
            <w:rPr>
              <w:rFonts w:hint="eastAsia" w:ascii="仿宋_GB2312" w:eastAsia="仿宋_GB2312"/>
              <w:sz w:val="28"/>
              <w:szCs w:val="28"/>
            </w:rPr>
            <w:t>27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"_Toc115799755" </w:instrText>
          </w:r>
          <w:r>
            <w:fldChar w:fldCharType="separate"/>
          </w:r>
          <w:r>
            <w:rPr>
              <w:rStyle w:val="20"/>
              <w:rFonts w:hint="eastAsia" w:ascii="仿宋_GB2312" w:eastAsia="仿宋_GB2312"/>
              <w:sz w:val="28"/>
              <w:szCs w:val="28"/>
            </w:rPr>
            <w:t>二、收入决算表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_Toc115799755 \h </w:instrText>
          </w:r>
          <w:r>
            <w:rPr>
              <w:rFonts w:hint="eastAsia" w:ascii="仿宋_GB2312" w:eastAsia="仿宋_GB2312"/>
              <w:sz w:val="28"/>
              <w:szCs w:val="28"/>
            </w:rPr>
            <w:fldChar w:fldCharType="separate"/>
          </w:r>
          <w:r>
            <w:rPr>
              <w:rFonts w:hint="eastAsia" w:ascii="仿宋_GB2312" w:eastAsia="仿宋_GB2312"/>
              <w:sz w:val="28"/>
              <w:szCs w:val="28"/>
            </w:rPr>
            <w:t>27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"_Toc115799756" </w:instrText>
          </w:r>
          <w:r>
            <w:fldChar w:fldCharType="separate"/>
          </w:r>
          <w:r>
            <w:rPr>
              <w:rStyle w:val="20"/>
              <w:rFonts w:hint="eastAsia" w:ascii="仿宋_GB2312" w:eastAsia="仿宋_GB2312"/>
              <w:sz w:val="28"/>
              <w:szCs w:val="28"/>
            </w:rPr>
            <w:t>三、支出决算表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_Toc115799756 \h </w:instrText>
          </w:r>
          <w:r>
            <w:rPr>
              <w:rFonts w:hint="eastAsia" w:ascii="仿宋_GB2312" w:eastAsia="仿宋_GB2312"/>
              <w:sz w:val="28"/>
              <w:szCs w:val="28"/>
            </w:rPr>
            <w:fldChar w:fldCharType="separate"/>
          </w:r>
          <w:r>
            <w:rPr>
              <w:rFonts w:hint="eastAsia" w:ascii="仿宋_GB2312" w:eastAsia="仿宋_GB2312"/>
              <w:sz w:val="28"/>
              <w:szCs w:val="28"/>
            </w:rPr>
            <w:t>27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"_Toc115799757" </w:instrText>
          </w:r>
          <w:r>
            <w:fldChar w:fldCharType="separate"/>
          </w:r>
          <w:r>
            <w:rPr>
              <w:rStyle w:val="20"/>
              <w:rFonts w:hint="eastAsia" w:ascii="仿宋_GB2312" w:eastAsia="仿宋_GB2312"/>
              <w:sz w:val="28"/>
              <w:szCs w:val="28"/>
            </w:rPr>
            <w:t>四、财政拨款收入支出决算总表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_Toc115799757 \h </w:instrText>
          </w:r>
          <w:r>
            <w:rPr>
              <w:rFonts w:hint="eastAsia" w:ascii="仿宋_GB2312" w:eastAsia="仿宋_GB2312"/>
              <w:sz w:val="28"/>
              <w:szCs w:val="28"/>
            </w:rPr>
            <w:fldChar w:fldCharType="separate"/>
          </w:r>
          <w:r>
            <w:rPr>
              <w:rFonts w:hint="eastAsia" w:ascii="仿宋_GB2312" w:eastAsia="仿宋_GB2312"/>
              <w:sz w:val="28"/>
              <w:szCs w:val="28"/>
            </w:rPr>
            <w:t>27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"_Toc115799758" </w:instrText>
          </w:r>
          <w:r>
            <w:fldChar w:fldCharType="separate"/>
          </w:r>
          <w:r>
            <w:rPr>
              <w:rStyle w:val="20"/>
              <w:rFonts w:hint="eastAsia" w:ascii="仿宋_GB2312" w:eastAsia="仿宋_GB2312"/>
              <w:sz w:val="28"/>
              <w:szCs w:val="28"/>
            </w:rPr>
            <w:t>五、财政拨款支出决算明细表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_Toc115799758 \h </w:instrText>
          </w:r>
          <w:r>
            <w:rPr>
              <w:rFonts w:hint="eastAsia" w:ascii="仿宋_GB2312" w:eastAsia="仿宋_GB2312"/>
              <w:sz w:val="28"/>
              <w:szCs w:val="28"/>
            </w:rPr>
            <w:fldChar w:fldCharType="separate"/>
          </w:r>
          <w:r>
            <w:rPr>
              <w:rFonts w:hint="eastAsia" w:ascii="仿宋_GB2312" w:eastAsia="仿宋_GB2312"/>
              <w:sz w:val="28"/>
              <w:szCs w:val="28"/>
            </w:rPr>
            <w:t>27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"_Toc115799759" </w:instrText>
          </w:r>
          <w:r>
            <w:fldChar w:fldCharType="separate"/>
          </w:r>
          <w:r>
            <w:rPr>
              <w:rStyle w:val="20"/>
              <w:rFonts w:hint="eastAsia" w:ascii="仿宋_GB2312" w:eastAsia="仿宋_GB2312"/>
              <w:sz w:val="28"/>
              <w:szCs w:val="28"/>
            </w:rPr>
            <w:t>六、一般公共预算财政拨款支出决算表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_Toc115799759 \h </w:instrText>
          </w:r>
          <w:r>
            <w:rPr>
              <w:rFonts w:hint="eastAsia" w:ascii="仿宋_GB2312" w:eastAsia="仿宋_GB2312"/>
              <w:sz w:val="28"/>
              <w:szCs w:val="28"/>
            </w:rPr>
            <w:fldChar w:fldCharType="separate"/>
          </w:r>
          <w:r>
            <w:rPr>
              <w:rFonts w:hint="eastAsia" w:ascii="仿宋_GB2312" w:eastAsia="仿宋_GB2312"/>
              <w:sz w:val="28"/>
              <w:szCs w:val="28"/>
            </w:rPr>
            <w:t>27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"_Toc115799760" </w:instrText>
          </w:r>
          <w:r>
            <w:fldChar w:fldCharType="separate"/>
          </w:r>
          <w:r>
            <w:rPr>
              <w:rStyle w:val="20"/>
              <w:rFonts w:hint="eastAsia" w:ascii="仿宋_GB2312" w:eastAsia="仿宋_GB2312"/>
              <w:sz w:val="28"/>
              <w:szCs w:val="28"/>
            </w:rPr>
            <w:t>七、一般公共预算财政拨款支出决算明细表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_Toc115799760 \h </w:instrText>
          </w:r>
          <w:r>
            <w:rPr>
              <w:rFonts w:hint="eastAsia" w:ascii="仿宋_GB2312" w:eastAsia="仿宋_GB2312"/>
              <w:sz w:val="28"/>
              <w:szCs w:val="28"/>
            </w:rPr>
            <w:fldChar w:fldCharType="separate"/>
          </w:r>
          <w:r>
            <w:rPr>
              <w:rFonts w:hint="eastAsia" w:ascii="仿宋_GB2312" w:eastAsia="仿宋_GB2312"/>
              <w:sz w:val="28"/>
              <w:szCs w:val="28"/>
            </w:rPr>
            <w:t>27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"_Toc115799761" </w:instrText>
          </w:r>
          <w:r>
            <w:fldChar w:fldCharType="separate"/>
          </w:r>
          <w:r>
            <w:rPr>
              <w:rStyle w:val="20"/>
              <w:rFonts w:hint="eastAsia" w:ascii="仿宋_GB2312" w:eastAsia="仿宋_GB2312"/>
              <w:sz w:val="28"/>
              <w:szCs w:val="28"/>
            </w:rPr>
            <w:t>八、一般公共预算财政拨款基本支出决算表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_Toc115799761 \h </w:instrText>
          </w:r>
          <w:r>
            <w:rPr>
              <w:rFonts w:hint="eastAsia" w:ascii="仿宋_GB2312" w:eastAsia="仿宋_GB2312"/>
              <w:sz w:val="28"/>
              <w:szCs w:val="28"/>
            </w:rPr>
            <w:fldChar w:fldCharType="separate"/>
          </w:r>
          <w:r>
            <w:rPr>
              <w:rFonts w:hint="eastAsia" w:ascii="仿宋_GB2312" w:eastAsia="仿宋_GB2312"/>
              <w:sz w:val="28"/>
              <w:szCs w:val="28"/>
            </w:rPr>
            <w:t>27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"_Toc115799762" </w:instrText>
          </w:r>
          <w:r>
            <w:fldChar w:fldCharType="separate"/>
          </w:r>
          <w:r>
            <w:rPr>
              <w:rStyle w:val="20"/>
              <w:rFonts w:hint="eastAsia" w:ascii="仿宋_GB2312" w:eastAsia="仿宋_GB2312"/>
              <w:sz w:val="28"/>
              <w:szCs w:val="28"/>
            </w:rPr>
            <w:t>九、一般公共预算财政拨款项目支出决算表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_Toc115799762 \h </w:instrText>
          </w:r>
          <w:r>
            <w:rPr>
              <w:rFonts w:hint="eastAsia" w:ascii="仿宋_GB2312" w:eastAsia="仿宋_GB2312"/>
              <w:sz w:val="28"/>
              <w:szCs w:val="28"/>
            </w:rPr>
            <w:fldChar w:fldCharType="separate"/>
          </w:r>
          <w:r>
            <w:rPr>
              <w:rFonts w:hint="eastAsia" w:ascii="仿宋_GB2312" w:eastAsia="仿宋_GB2312"/>
              <w:sz w:val="28"/>
              <w:szCs w:val="28"/>
            </w:rPr>
            <w:t>27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"_Toc115799763" </w:instrText>
          </w:r>
          <w:r>
            <w:fldChar w:fldCharType="separate"/>
          </w:r>
          <w:r>
            <w:rPr>
              <w:rStyle w:val="20"/>
              <w:rFonts w:hint="eastAsia" w:ascii="仿宋_GB2312" w:eastAsia="仿宋_GB2312"/>
              <w:sz w:val="28"/>
              <w:szCs w:val="28"/>
            </w:rPr>
            <w:t>十、一般公共预算财政拨款“三公”经费支出决算表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_Toc115799763 \h </w:instrText>
          </w:r>
          <w:r>
            <w:rPr>
              <w:rFonts w:hint="eastAsia" w:ascii="仿宋_GB2312" w:eastAsia="仿宋_GB2312"/>
              <w:sz w:val="28"/>
              <w:szCs w:val="28"/>
            </w:rPr>
            <w:fldChar w:fldCharType="separate"/>
          </w:r>
          <w:r>
            <w:rPr>
              <w:rFonts w:hint="eastAsia" w:ascii="仿宋_GB2312" w:eastAsia="仿宋_GB2312"/>
              <w:sz w:val="28"/>
              <w:szCs w:val="28"/>
            </w:rPr>
            <w:t>27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"_Toc115799764" </w:instrText>
          </w:r>
          <w:r>
            <w:fldChar w:fldCharType="separate"/>
          </w:r>
          <w:r>
            <w:rPr>
              <w:rStyle w:val="20"/>
              <w:rFonts w:hint="eastAsia" w:ascii="仿宋_GB2312" w:eastAsia="仿宋_GB2312"/>
              <w:sz w:val="28"/>
              <w:szCs w:val="28"/>
            </w:rPr>
            <w:t>十一、政府性基金预算财政拨款收入支出决算表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_Toc115799764 \h </w:instrText>
          </w:r>
          <w:r>
            <w:rPr>
              <w:rFonts w:hint="eastAsia" w:ascii="仿宋_GB2312" w:eastAsia="仿宋_GB2312"/>
              <w:sz w:val="28"/>
              <w:szCs w:val="28"/>
            </w:rPr>
            <w:fldChar w:fldCharType="separate"/>
          </w:r>
          <w:r>
            <w:rPr>
              <w:rFonts w:hint="eastAsia" w:ascii="仿宋_GB2312" w:eastAsia="仿宋_GB2312"/>
              <w:sz w:val="28"/>
              <w:szCs w:val="28"/>
            </w:rPr>
            <w:t>27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"_Toc115799765" </w:instrText>
          </w:r>
          <w:r>
            <w:fldChar w:fldCharType="separate"/>
          </w:r>
          <w:r>
            <w:rPr>
              <w:rStyle w:val="20"/>
              <w:rFonts w:hint="eastAsia" w:ascii="仿宋_GB2312" w:eastAsia="仿宋_GB2312"/>
              <w:sz w:val="28"/>
              <w:szCs w:val="28"/>
            </w:rPr>
            <w:t>十二、政府性基金预算财政拨款“三公”经费支出决算表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_Toc115799765 \h </w:instrText>
          </w:r>
          <w:r>
            <w:rPr>
              <w:rFonts w:hint="eastAsia" w:ascii="仿宋_GB2312" w:eastAsia="仿宋_GB2312"/>
              <w:sz w:val="28"/>
              <w:szCs w:val="28"/>
            </w:rPr>
            <w:fldChar w:fldCharType="separate"/>
          </w:r>
          <w:r>
            <w:rPr>
              <w:rFonts w:hint="eastAsia" w:ascii="仿宋_GB2312" w:eastAsia="仿宋_GB2312"/>
              <w:sz w:val="28"/>
              <w:szCs w:val="28"/>
            </w:rPr>
            <w:t>27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"_Toc115799766" </w:instrText>
          </w:r>
          <w:r>
            <w:fldChar w:fldCharType="separate"/>
          </w:r>
          <w:r>
            <w:rPr>
              <w:rStyle w:val="20"/>
              <w:rFonts w:hint="eastAsia" w:ascii="仿宋_GB2312" w:eastAsia="仿宋_GB2312"/>
              <w:sz w:val="28"/>
              <w:szCs w:val="28"/>
            </w:rPr>
            <w:t>十三、国有资本经营预算财政拨款收入支出决算表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_Toc115799766 \h </w:instrText>
          </w:r>
          <w:r>
            <w:rPr>
              <w:rFonts w:hint="eastAsia" w:ascii="仿宋_GB2312" w:eastAsia="仿宋_GB2312"/>
              <w:sz w:val="28"/>
              <w:szCs w:val="28"/>
            </w:rPr>
            <w:fldChar w:fldCharType="separate"/>
          </w:r>
          <w:r>
            <w:rPr>
              <w:rFonts w:hint="eastAsia" w:ascii="仿宋_GB2312" w:eastAsia="仿宋_GB2312"/>
              <w:sz w:val="28"/>
              <w:szCs w:val="28"/>
            </w:rPr>
            <w:t>27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"_Toc115799767" </w:instrText>
          </w:r>
          <w:r>
            <w:fldChar w:fldCharType="separate"/>
          </w:r>
          <w:r>
            <w:rPr>
              <w:rStyle w:val="20"/>
              <w:rFonts w:hint="eastAsia" w:ascii="仿宋_GB2312" w:eastAsia="仿宋_GB2312"/>
              <w:sz w:val="28"/>
              <w:szCs w:val="28"/>
            </w:rPr>
            <w:t>十四、国有资本经营预算财政拨款支出决算表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_Toc115799767 \h </w:instrText>
          </w:r>
          <w:r>
            <w:rPr>
              <w:rFonts w:hint="eastAsia" w:ascii="仿宋_GB2312" w:eastAsia="仿宋_GB2312"/>
              <w:sz w:val="28"/>
              <w:szCs w:val="28"/>
            </w:rPr>
            <w:fldChar w:fldCharType="separate"/>
          </w:r>
          <w:r>
            <w:rPr>
              <w:rFonts w:hint="eastAsia" w:ascii="仿宋_GB2312" w:eastAsia="仿宋_GB2312"/>
              <w:sz w:val="28"/>
              <w:szCs w:val="28"/>
            </w:rPr>
            <w:t>27</w:t>
          </w:r>
          <w:r>
            <w:rPr>
              <w:rFonts w:hint="eastAsia" w:ascii="仿宋_GB2312" w:eastAsia="仿宋_GB2312"/>
              <w:sz w:val="28"/>
              <w:szCs w:val="28"/>
            </w:rPr>
            <w:fldChar w:fldCharType="end"/>
          </w:r>
          <w:r>
            <w:rPr>
              <w:rFonts w:hint="eastAsia" w:ascii="仿宋_GB2312" w:eastAsia="仿宋_GB2312"/>
              <w:sz w:val="28"/>
              <w:szCs w:val="28"/>
            </w:rPr>
            <w:fldChar w:fldCharType="end"/>
          </w:r>
        </w:p>
        <w:p>
          <w:r>
            <w:rPr>
              <w:rFonts w:hint="eastAsia" w:ascii="仿宋_GB2312" w:eastAsia="仿宋_GB2312"/>
              <w:bCs/>
              <w:sz w:val="28"/>
              <w:szCs w:val="28"/>
              <w:lang w:val="zh-CN"/>
            </w:rPr>
            <w:fldChar w:fldCharType="end"/>
          </w:r>
        </w:p>
      </w:sdtContent>
    </w:sdt>
    <w:p>
      <w:pPr>
        <w:widowControl/>
        <w:jc w:val="center"/>
        <w:rPr>
          <w:sz w:val="24"/>
        </w:rPr>
        <w:sectPr>
          <w:footerReference r:id="rId5" w:type="first"/>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r>
        <w:rPr>
          <w:sz w:val="24"/>
        </w:rPr>
        <w:t xml:space="preserve"> </w:t>
      </w:r>
      <w:bookmarkStart w:id="14" w:name="_Toc15396599"/>
      <w:bookmarkStart w:id="15" w:name="_Toc15377196"/>
    </w:p>
    <w:p>
      <w:pPr>
        <w:widowControl/>
        <w:jc w:val="center"/>
        <w:rPr>
          <w:sz w:val="24"/>
        </w:rPr>
      </w:pPr>
    </w:p>
    <w:p>
      <w:pPr>
        <w:pStyle w:val="3"/>
        <w:jc w:val="center"/>
        <w:rPr>
          <w:rStyle w:val="21"/>
          <w:rFonts w:ascii="黑体" w:eastAsia="黑体"/>
          <w:b w:val="0"/>
          <w:bCs w:val="0"/>
        </w:rPr>
      </w:pPr>
      <w:bookmarkStart w:id="16" w:name="_Toc115799728"/>
      <w:r>
        <w:rPr>
          <w:rFonts w:hint="eastAsia" w:ascii="黑体" w:eastAsia="黑体"/>
          <w:b w:val="0"/>
        </w:rPr>
        <w:t>第一部分 单位</w:t>
      </w:r>
      <w:r>
        <w:rPr>
          <w:rStyle w:val="21"/>
          <w:rFonts w:hint="eastAsia" w:ascii="黑体" w:eastAsia="黑体"/>
          <w:b w:val="0"/>
          <w:bCs w:val="0"/>
        </w:rPr>
        <w:t>概况</w:t>
      </w:r>
      <w:bookmarkEnd w:id="14"/>
      <w:bookmarkEnd w:id="15"/>
      <w:bookmarkEnd w:id="16"/>
      <w:bookmarkStart w:id="17" w:name="_Toc15396600"/>
      <w:bookmarkStart w:id="18" w:name="_Toc15377197"/>
    </w:p>
    <w:p>
      <w:pPr>
        <w:pStyle w:val="4"/>
        <w:spacing w:before="0" w:after="0" w:line="576" w:lineRule="exact"/>
        <w:ind w:firstLine="643" w:firstLineChars="200"/>
        <w:rPr>
          <w:bCs w:val="0"/>
        </w:rPr>
      </w:pPr>
      <w:bookmarkStart w:id="19" w:name="_Toc115799729"/>
      <w:r>
        <w:rPr>
          <w:rFonts w:hint="eastAsia"/>
          <w:bCs w:val="0"/>
        </w:rPr>
        <w:t>一、职能简介</w:t>
      </w:r>
      <w:bookmarkEnd w:id="19"/>
    </w:p>
    <w:p>
      <w:pPr>
        <w:pStyle w:val="15"/>
        <w:shd w:val="clear" w:color="auto" w:fill="FFFFFF"/>
        <w:spacing w:beforeAutospacing="0" w:afterAutospacing="0" w:line="576" w:lineRule="exact"/>
        <w:ind w:firstLine="640" w:firstLineChars="200"/>
        <w:jc w:val="both"/>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中共四川省阿坝州委宣传部负责全州理论教育、理论研究、理论宣传和理论队伍建设等方面的业务指导工作；州委中心组学习、调查研究全州宣传思想工作的方针、政策和法规建设、编写党员教育教材、全州文化艺术事业进行宏观指导和协调方面、新闻队伍建设、新闻系列职称评定、文明办、全州性精神文明的组织协调和联络工作；研究拟定我州重大问题和突发事件的对外宣传。</w:t>
      </w:r>
    </w:p>
    <w:p>
      <w:pPr>
        <w:pStyle w:val="4"/>
        <w:spacing w:before="0" w:after="0" w:line="576" w:lineRule="exact"/>
        <w:ind w:firstLine="640" w:firstLineChars="200"/>
        <w:rPr>
          <w:rFonts w:ascii="黑体" w:eastAsia="黑体"/>
          <w:b w:val="0"/>
        </w:rPr>
      </w:pPr>
      <w:bookmarkStart w:id="20" w:name="_Toc115799730"/>
      <w:r>
        <w:rPr>
          <w:rFonts w:hint="eastAsia" w:ascii="黑体" w:eastAsia="黑体"/>
          <w:b w:val="0"/>
        </w:rPr>
        <w:t>二、2021年重点工作</w:t>
      </w:r>
      <w:bookmarkEnd w:id="17"/>
      <w:bookmarkEnd w:id="18"/>
      <w:r>
        <w:rPr>
          <w:rFonts w:hint="eastAsia" w:ascii="黑体" w:eastAsia="黑体"/>
          <w:b w:val="0"/>
        </w:rPr>
        <w:t>完成情况</w:t>
      </w:r>
      <w:bookmarkEnd w:id="20"/>
    </w:p>
    <w:p>
      <w:pPr>
        <w:pStyle w:val="15"/>
        <w:shd w:val="clear" w:color="auto" w:fill="FFFFFF"/>
        <w:spacing w:beforeAutospacing="0" w:afterAutospacing="0" w:line="576" w:lineRule="exact"/>
        <w:ind w:firstLine="640" w:firstLineChars="200"/>
        <w:jc w:val="both"/>
        <w:rPr>
          <w:rFonts w:hint="default"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2021年，采取“个人自主学+集体研讨学+关键引领学+党课辅导学”方式，带动各级党组织开展专题学习，实现“关键少数”带动“绝大多数”、引领“全体人数”。制作百条百秒“我为群众办实事”微视频，推出“阿坝人免费游阿坝”等民生实事。成功举办阿坝州庆祝中国共产党成立100周年文艺演出、主题展览、档案史料展、演讲比赛等系列庆祝活动。指导各县（市）党委理论学习中心组学习，切实推进新思想、新理论入脑入心。进一步健全完善“1+13+N”宣讲体系，开展宣讲活动。扎实做好“学习强国”平台推广使用,开设“图解”“微课程”等专栏。</w:t>
      </w:r>
    </w:p>
    <w:p>
      <w:pPr>
        <w:pStyle w:val="15"/>
        <w:shd w:val="clear" w:color="auto" w:fill="FFFFFF"/>
        <w:spacing w:beforeAutospacing="0" w:afterAutospacing="0" w:line="576" w:lineRule="exact"/>
        <w:ind w:firstLine="640" w:firstLineChars="200"/>
        <w:jc w:val="both"/>
        <w:rPr>
          <w:rFonts w:hint="default"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开展“讲好中国共产党的故事”“奋斗百年路 启航新征程”等重大主题宣传和“我们的长征路”等系列采访活动.拍摄《阿坝——遇见最好的自己》外宣片；在州县媒体平台推出“聚焦2021四川省文旅大会”等专题专栏；精心制作《熊猫家园》网络公益歌曲和《在阿坝》网络公益短视频，开展“共唱熊猫家园”网络主题活动，推出“熊猫家园 净土阿坝”网络公益大讲堂。开展阿坝州2021年“三下乡”暨法律政策宣讲活动，组织在新媒体平台、高速路口、户外LED显示屏展播宣传片和公益广告，营造良好的社会氛围。</w:t>
      </w:r>
    </w:p>
    <w:p>
      <w:pPr>
        <w:pStyle w:val="15"/>
        <w:shd w:val="clear" w:color="auto" w:fill="FFFFFF"/>
        <w:spacing w:beforeAutospacing="0" w:afterAutospacing="0" w:line="560" w:lineRule="exact"/>
        <w:ind w:firstLine="640" w:firstLineChars="200"/>
        <w:jc w:val="both"/>
        <w:rPr>
          <w:rFonts w:hint="default"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在全州建立试点中心8个、试点所（站）258个，构建起“中心+所+站”三级工作体系。组织开展“书香阿坝·全民阅读”活动。协助开展“人类的记忆—中国的世界遗产”系列纪录片拍摄工作。</w:t>
      </w:r>
    </w:p>
    <w:p>
      <w:pPr>
        <w:widowControl/>
        <w:jc w:val="left"/>
        <w:rPr>
          <w:rFonts w:ascii="仿宋" w:eastAsia="仿宋"/>
          <w:kern w:val="0"/>
          <w:sz w:val="32"/>
          <w:szCs w:val="32"/>
        </w:rPr>
      </w:pPr>
      <w:r>
        <w:rPr>
          <w:rFonts w:ascii="仿宋" w:eastAsia="仿宋"/>
          <w:sz w:val="32"/>
          <w:szCs w:val="32"/>
        </w:rPr>
        <w:br w:type="page"/>
      </w:r>
    </w:p>
    <w:p>
      <w:pPr>
        <w:pStyle w:val="3"/>
        <w:ind w:right="440"/>
        <w:jc w:val="center"/>
        <w:rPr>
          <w:rStyle w:val="21"/>
          <w:rFonts w:ascii="黑体" w:eastAsia="黑体"/>
          <w:b w:val="0"/>
          <w:bCs/>
        </w:rPr>
      </w:pPr>
      <w:bookmarkStart w:id="21" w:name="_Toc15396602"/>
      <w:bookmarkStart w:id="22" w:name="_Toc115799731"/>
      <w:bookmarkStart w:id="23" w:name="_Toc15377204"/>
      <w:r>
        <w:rPr>
          <w:rFonts w:hint="eastAsia" w:ascii="黑体" w:eastAsia="黑体"/>
          <w:b w:val="0"/>
        </w:rPr>
        <w:t>第二部分 2021年度</w:t>
      </w:r>
      <w:r>
        <w:rPr>
          <w:rStyle w:val="21"/>
          <w:rFonts w:hint="eastAsia" w:ascii="黑体" w:eastAsia="黑体"/>
          <w:b w:val="0"/>
          <w:bCs/>
        </w:rPr>
        <w:t>单位决算情况说明</w:t>
      </w:r>
      <w:bookmarkEnd w:id="21"/>
      <w:bookmarkEnd w:id="22"/>
      <w:bookmarkEnd w:id="23"/>
    </w:p>
    <w:p/>
    <w:p>
      <w:pPr>
        <w:pStyle w:val="27"/>
        <w:numPr>
          <w:ilvl w:val="0"/>
          <w:numId w:val="1"/>
        </w:numPr>
        <w:spacing w:line="660" w:lineRule="exact"/>
        <w:ind w:firstLineChars="0"/>
        <w:outlineLvl w:val="1"/>
        <w:rPr>
          <w:rStyle w:val="22"/>
          <w:rFonts w:ascii="黑体" w:eastAsia="黑体"/>
          <w:b w:val="0"/>
        </w:rPr>
      </w:pPr>
      <w:bookmarkStart w:id="24" w:name="_Toc115799732"/>
      <w:bookmarkStart w:id="25" w:name="_Toc15396603"/>
      <w:bookmarkStart w:id="26" w:name="_Toc15377205"/>
      <w:r>
        <w:rPr>
          <w:rFonts w:hint="eastAsia" w:ascii="黑体" w:eastAsia="黑体"/>
          <w:sz w:val="32"/>
          <w:szCs w:val="32"/>
        </w:rPr>
        <w:t>收</w:t>
      </w:r>
      <w:r>
        <w:rPr>
          <w:rStyle w:val="22"/>
          <w:rFonts w:hint="eastAsia" w:ascii="黑体" w:eastAsia="黑体"/>
          <w:b w:val="0"/>
        </w:rPr>
        <w:t>入支出决算总体情况说明</w:t>
      </w:r>
      <w:bookmarkEnd w:id="24"/>
      <w:bookmarkEnd w:id="25"/>
      <w:bookmarkEnd w:id="26"/>
    </w:p>
    <w:p>
      <w:pPr>
        <w:spacing w:line="660" w:lineRule="exact"/>
        <w:ind w:firstLine="640" w:firstLineChars="200"/>
        <w:rPr>
          <w:rFonts w:ascii="仿宋_GB2312" w:hAnsi="仿宋_GB2312" w:eastAsia="仿宋_GB2312" w:cs="仿宋_GB2312"/>
          <w:b/>
          <w:sz w:val="32"/>
          <w:szCs w:val="32"/>
          <w:shd w:val="clear" w:color="auto" w:fill="FFFFFF"/>
        </w:rPr>
      </w:pPr>
      <w:r>
        <w:rPr>
          <w:rFonts w:hint="eastAsia" w:ascii="仿宋" w:eastAsia="仿宋"/>
          <w:sz w:val="32"/>
          <w:szCs w:val="32"/>
        </w:rPr>
        <w:t>2021年度收、支总计1662.2万元。与2020年相比，收、支总计各增加67.18万元，增长4.21</w:t>
      </w:r>
      <w:r>
        <w:rPr>
          <w:rFonts w:ascii="仿宋" w:eastAsia="仿宋"/>
          <w:sz w:val="32"/>
          <w:szCs w:val="32"/>
        </w:rPr>
        <w:t>%</w:t>
      </w:r>
      <w:r>
        <w:rPr>
          <w:rFonts w:hint="eastAsia" w:ascii="仿宋" w:eastAsia="仿宋"/>
          <w:sz w:val="32"/>
          <w:szCs w:val="32"/>
        </w:rPr>
        <w:t>。主要变动原因是</w:t>
      </w:r>
      <w:r>
        <w:rPr>
          <w:rStyle w:val="19"/>
          <w:rFonts w:hint="eastAsia" w:ascii="仿宋_GB2312" w:hAnsi="宋体" w:eastAsia="仿宋_GB2312" w:cs="宋体"/>
          <w:b w:val="0"/>
          <w:bCs/>
          <w:sz w:val="32"/>
          <w:szCs w:val="32"/>
          <w:shd w:val="clear" w:color="auto" w:fill="FFFFFF"/>
        </w:rPr>
        <w:t>增加中国共产党成立100周年开展党史教育、巡展、十三五发展成就宣传、感动阿坝年度人物颁奖文艺活动，召开全省文旅大会等宣传活动</w:t>
      </w:r>
      <w:r>
        <w:rPr>
          <w:rFonts w:hint="eastAsia" w:ascii="仿宋_GB2312" w:hAnsi="仿宋_GB2312" w:eastAsia="仿宋_GB2312" w:cs="仿宋_GB2312"/>
          <w:b/>
          <w:sz w:val="32"/>
          <w:szCs w:val="32"/>
          <w:shd w:val="clear" w:color="auto" w:fill="FFFFFF"/>
        </w:rPr>
        <w:t>。</w:t>
      </w:r>
    </w:p>
    <w:p>
      <w:pPr>
        <w:jc w:val="center"/>
      </w:pPr>
      <w:r>
        <w:drawing>
          <wp:inline distT="0" distB="0" distL="114300" distR="114300">
            <wp:extent cx="4572000" cy="3171825"/>
            <wp:effectExtent l="4445" t="4445" r="14605" b="5080"/>
            <wp:docPr id="105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jc w:val="center"/>
        <w:rPr>
          <w:rFonts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：收、支决算总计变动情况图）（柱状图）</w:t>
      </w:r>
    </w:p>
    <w:p>
      <w:pPr>
        <w:pStyle w:val="27"/>
        <w:numPr>
          <w:ilvl w:val="0"/>
          <w:numId w:val="1"/>
        </w:numPr>
        <w:spacing w:line="600" w:lineRule="exact"/>
        <w:ind w:firstLineChars="0"/>
        <w:outlineLvl w:val="1"/>
        <w:rPr>
          <w:rStyle w:val="22"/>
          <w:rFonts w:ascii="黑体" w:eastAsia="黑体"/>
          <w:b w:val="0"/>
        </w:rPr>
      </w:pPr>
      <w:bookmarkStart w:id="27" w:name="_Toc15396604"/>
      <w:bookmarkStart w:id="28" w:name="_Toc15377206"/>
      <w:bookmarkStart w:id="29" w:name="_Toc115799733"/>
      <w:r>
        <w:rPr>
          <w:rFonts w:hint="eastAsia" w:ascii="黑体" w:eastAsia="黑体"/>
          <w:sz w:val="32"/>
          <w:szCs w:val="32"/>
        </w:rPr>
        <w:t>收</w:t>
      </w:r>
      <w:r>
        <w:rPr>
          <w:rStyle w:val="22"/>
          <w:rFonts w:hint="eastAsia" w:ascii="黑体" w:eastAsia="黑体"/>
          <w:b w:val="0"/>
        </w:rPr>
        <w:t>入决算情况说明</w:t>
      </w:r>
      <w:bookmarkEnd w:id="27"/>
      <w:bookmarkEnd w:id="28"/>
      <w:bookmarkEnd w:id="29"/>
    </w:p>
    <w:p>
      <w:pPr>
        <w:spacing w:line="660" w:lineRule="exact"/>
        <w:ind w:firstLine="640" w:firstLineChars="200"/>
        <w:rPr>
          <w:rFonts w:ascii="仿宋" w:eastAsia="仿宋"/>
          <w:sz w:val="32"/>
          <w:szCs w:val="32"/>
        </w:rPr>
      </w:pPr>
      <w:r>
        <w:rPr>
          <w:rFonts w:ascii="仿宋" w:eastAsia="仿宋"/>
          <w:sz w:val="32"/>
          <w:szCs w:val="32"/>
        </w:rPr>
        <w:t>20</w:t>
      </w:r>
      <w:r>
        <w:rPr>
          <w:rFonts w:hint="eastAsia" w:ascii="仿宋" w:eastAsia="仿宋"/>
          <w:sz w:val="32"/>
          <w:szCs w:val="32"/>
        </w:rPr>
        <w:t>21年本年收入合计1662.20万元，其中：一般公共预算财政拨款收入1430.26万元，占86.05</w:t>
      </w:r>
      <w:r>
        <w:rPr>
          <w:rFonts w:ascii="仿宋" w:eastAsia="仿宋"/>
          <w:sz w:val="32"/>
          <w:szCs w:val="32"/>
        </w:rPr>
        <w:t>%</w:t>
      </w:r>
      <w:r>
        <w:rPr>
          <w:rFonts w:hint="eastAsia" w:ascii="仿宋" w:eastAsia="仿宋"/>
          <w:sz w:val="32"/>
          <w:szCs w:val="32"/>
        </w:rPr>
        <w:t>；其他收入15万元，占0.90</w:t>
      </w:r>
      <w:r>
        <w:rPr>
          <w:rFonts w:ascii="仿宋" w:eastAsia="仿宋"/>
          <w:sz w:val="32"/>
          <w:szCs w:val="32"/>
        </w:rPr>
        <w:t>%</w:t>
      </w:r>
      <w:r>
        <w:rPr>
          <w:rFonts w:hint="eastAsia" w:ascii="仿宋" w:eastAsia="仿宋"/>
          <w:sz w:val="32"/>
          <w:szCs w:val="32"/>
        </w:rPr>
        <w:t>;年初结转和结余216.94万元，占13.05%。</w:t>
      </w:r>
    </w:p>
    <w:p>
      <w:pPr>
        <w:jc w:val="center"/>
      </w:pPr>
      <w:r>
        <w:drawing>
          <wp:inline distT="0" distB="0" distL="114300" distR="114300">
            <wp:extent cx="3695700" cy="2171700"/>
            <wp:effectExtent l="4445" t="4445" r="14605" b="14605"/>
            <wp:docPr id="106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jc w:val="center"/>
        <w:rPr>
          <w:rFonts w:ascii="仿宋" w:eastAsia="仿宋"/>
          <w:sz w:val="32"/>
          <w:szCs w:val="32"/>
        </w:rPr>
      </w:pPr>
      <w:r>
        <w:rPr>
          <w:rFonts w:hint="eastAsia" w:ascii="仿宋" w:eastAsia="仿宋"/>
          <w:sz w:val="32"/>
          <w:szCs w:val="32"/>
        </w:rPr>
        <w:t>（图2：收入决算结构图）（饼状图）</w:t>
      </w:r>
    </w:p>
    <w:p>
      <w:pPr>
        <w:pStyle w:val="27"/>
        <w:numPr>
          <w:ilvl w:val="0"/>
          <w:numId w:val="1"/>
        </w:numPr>
        <w:spacing w:line="600" w:lineRule="exact"/>
        <w:ind w:firstLineChars="0"/>
        <w:outlineLvl w:val="1"/>
        <w:rPr>
          <w:rStyle w:val="22"/>
          <w:rFonts w:ascii="黑体" w:eastAsia="黑体"/>
          <w:b w:val="0"/>
        </w:rPr>
      </w:pPr>
      <w:bookmarkStart w:id="30" w:name="_Toc15377207"/>
      <w:bookmarkStart w:id="31" w:name="_Toc115799734"/>
      <w:bookmarkStart w:id="32" w:name="_Toc15396605"/>
      <w:r>
        <w:rPr>
          <w:rFonts w:hint="eastAsia" w:ascii="黑体" w:eastAsia="黑体"/>
          <w:sz w:val="32"/>
          <w:szCs w:val="32"/>
        </w:rPr>
        <w:t>支</w:t>
      </w:r>
      <w:r>
        <w:rPr>
          <w:rStyle w:val="22"/>
          <w:rFonts w:hint="eastAsia" w:ascii="黑体" w:eastAsia="黑体"/>
          <w:b w:val="0"/>
        </w:rPr>
        <w:t>出决算情况说明</w:t>
      </w:r>
      <w:bookmarkEnd w:id="30"/>
      <w:bookmarkEnd w:id="31"/>
      <w:bookmarkEnd w:id="32"/>
    </w:p>
    <w:p>
      <w:pPr>
        <w:spacing w:line="660" w:lineRule="exact"/>
        <w:ind w:firstLine="640" w:firstLineChars="200"/>
        <w:rPr>
          <w:rFonts w:ascii="仿宋" w:eastAsia="仿宋"/>
          <w:sz w:val="32"/>
          <w:szCs w:val="32"/>
        </w:rPr>
      </w:pPr>
      <w:r>
        <w:rPr>
          <w:rFonts w:ascii="仿宋" w:eastAsia="仿宋"/>
          <w:sz w:val="32"/>
          <w:szCs w:val="32"/>
        </w:rPr>
        <w:t>20</w:t>
      </w:r>
      <w:r>
        <w:rPr>
          <w:rFonts w:hint="eastAsia" w:ascii="仿宋" w:eastAsia="仿宋"/>
          <w:sz w:val="32"/>
          <w:szCs w:val="32"/>
        </w:rPr>
        <w:t>21年本年支出合计1613.46万元，其中：基本支出701.58万元，占43.48</w:t>
      </w:r>
      <w:r>
        <w:rPr>
          <w:rFonts w:ascii="仿宋" w:eastAsia="仿宋"/>
          <w:sz w:val="32"/>
          <w:szCs w:val="32"/>
        </w:rPr>
        <w:t>%</w:t>
      </w:r>
      <w:r>
        <w:rPr>
          <w:rFonts w:hint="eastAsia" w:ascii="仿宋" w:eastAsia="仿宋"/>
          <w:sz w:val="32"/>
          <w:szCs w:val="32"/>
        </w:rPr>
        <w:t>；项目支出911.88万元，占56.52</w:t>
      </w:r>
      <w:r>
        <w:rPr>
          <w:rFonts w:ascii="仿宋" w:eastAsia="仿宋"/>
          <w:sz w:val="32"/>
          <w:szCs w:val="32"/>
        </w:rPr>
        <w:t>%</w:t>
      </w:r>
      <w:r>
        <w:rPr>
          <w:rFonts w:hint="eastAsia" w:ascii="仿宋" w:eastAsia="仿宋"/>
          <w:sz w:val="32"/>
          <w:szCs w:val="32"/>
        </w:rPr>
        <w:t>。</w:t>
      </w:r>
    </w:p>
    <w:p>
      <w:pPr>
        <w:jc w:val="center"/>
      </w:pPr>
      <w:r>
        <w:drawing>
          <wp:inline distT="0" distB="0" distL="114300" distR="114300">
            <wp:extent cx="3695700" cy="2276475"/>
            <wp:effectExtent l="4445" t="4445" r="14605" b="5080"/>
            <wp:docPr id="106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jc w:val="center"/>
        <w:rPr>
          <w:rFonts w:ascii="仿宋" w:eastAsia="仿宋"/>
          <w:sz w:val="32"/>
          <w:szCs w:val="32"/>
        </w:rPr>
      </w:pPr>
      <w:r>
        <w:rPr>
          <w:rFonts w:hint="eastAsia" w:ascii="仿宋" w:eastAsia="仿宋"/>
          <w:sz w:val="32"/>
          <w:szCs w:val="32"/>
        </w:rPr>
        <w:t>（图3：支出决算结构图）（饼状图）</w:t>
      </w:r>
    </w:p>
    <w:p>
      <w:pPr>
        <w:spacing w:line="600" w:lineRule="exact"/>
        <w:ind w:firstLine="640" w:firstLineChars="200"/>
        <w:outlineLvl w:val="1"/>
        <w:rPr>
          <w:rStyle w:val="22"/>
          <w:rFonts w:ascii="黑体" w:eastAsia="黑体"/>
          <w:b w:val="0"/>
        </w:rPr>
      </w:pPr>
      <w:bookmarkStart w:id="33" w:name="_Toc15377208"/>
      <w:bookmarkStart w:id="34" w:name="_Toc15396606"/>
      <w:bookmarkStart w:id="35" w:name="_Toc115799735"/>
      <w:r>
        <w:rPr>
          <w:rFonts w:hint="eastAsia" w:ascii="黑体" w:eastAsia="黑体"/>
          <w:sz w:val="32"/>
          <w:szCs w:val="32"/>
        </w:rPr>
        <w:t>四、财</w:t>
      </w:r>
      <w:r>
        <w:rPr>
          <w:rStyle w:val="22"/>
          <w:rFonts w:hint="eastAsia" w:ascii="黑体" w:eastAsia="黑体"/>
          <w:b w:val="0"/>
        </w:rPr>
        <w:t>政拨款收入支出决算总体情况说明</w:t>
      </w:r>
      <w:bookmarkEnd w:id="33"/>
      <w:bookmarkEnd w:id="34"/>
      <w:bookmarkEnd w:id="35"/>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21年财政拨款收、支总计1445.26万元。与</w:t>
      </w:r>
      <w:r>
        <w:rPr>
          <w:rFonts w:ascii="仿宋" w:eastAsia="仿宋"/>
          <w:sz w:val="32"/>
          <w:szCs w:val="32"/>
        </w:rPr>
        <w:t>20</w:t>
      </w:r>
      <w:r>
        <w:rPr>
          <w:rFonts w:hint="eastAsia" w:ascii="仿宋" w:eastAsia="仿宋"/>
          <w:sz w:val="32"/>
          <w:szCs w:val="32"/>
        </w:rPr>
        <w:t>20年相比，财政拨款收、支总计减少38.63万元，增下降2.6</w:t>
      </w:r>
      <w:r>
        <w:rPr>
          <w:rFonts w:ascii="仿宋" w:eastAsia="仿宋"/>
          <w:sz w:val="32"/>
          <w:szCs w:val="32"/>
        </w:rPr>
        <w:t>%</w:t>
      </w:r>
      <w:r>
        <w:rPr>
          <w:rFonts w:hint="eastAsia" w:ascii="仿宋" w:eastAsia="仿宋"/>
          <w:sz w:val="32"/>
          <w:szCs w:val="32"/>
        </w:rPr>
        <w:t>。主要变动原因是人员变动。</w:t>
      </w:r>
    </w:p>
    <w:p>
      <w:pPr>
        <w:jc w:val="center"/>
      </w:pPr>
      <w:r>
        <w:drawing>
          <wp:inline distT="0" distB="0" distL="114300" distR="114300">
            <wp:extent cx="4572000" cy="2743200"/>
            <wp:effectExtent l="4445" t="4445" r="14605" b="14605"/>
            <wp:docPr id="1079"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jc w:val="center"/>
        <w:rPr>
          <w:rFonts w:ascii="仿宋" w:eastAsia="仿宋"/>
          <w:sz w:val="32"/>
          <w:szCs w:val="32"/>
        </w:rPr>
      </w:pPr>
      <w:r>
        <w:rPr>
          <w:rFonts w:hint="eastAsia" w:ascii="仿宋" w:eastAsia="仿宋"/>
          <w:sz w:val="32"/>
          <w:szCs w:val="32"/>
        </w:rPr>
        <w:t>（图4：财政拨款收、支决算总计变动情况）（柱状图）</w:t>
      </w:r>
    </w:p>
    <w:p>
      <w:pPr>
        <w:spacing w:line="600" w:lineRule="exact"/>
        <w:ind w:firstLine="640" w:firstLineChars="200"/>
        <w:outlineLvl w:val="1"/>
        <w:rPr>
          <w:rStyle w:val="22"/>
          <w:rFonts w:ascii="黑体" w:eastAsia="黑体"/>
          <w:b w:val="0"/>
        </w:rPr>
      </w:pPr>
      <w:bookmarkStart w:id="36" w:name="_Toc115799736"/>
      <w:bookmarkStart w:id="37" w:name="_Toc15377209"/>
      <w:bookmarkStart w:id="38" w:name="_Toc15396607"/>
      <w:r>
        <w:rPr>
          <w:rFonts w:hint="eastAsia" w:ascii="黑体" w:eastAsia="黑体"/>
          <w:sz w:val="32"/>
          <w:szCs w:val="32"/>
        </w:rPr>
        <w:t>五、</w:t>
      </w:r>
      <w:r>
        <w:rPr>
          <w:rFonts w:hint="eastAsia" w:ascii="黑体" w:eastAsia="黑体"/>
          <w:b/>
          <w:sz w:val="32"/>
          <w:szCs w:val="32"/>
        </w:rPr>
        <w:t>一</w:t>
      </w:r>
      <w:r>
        <w:rPr>
          <w:rStyle w:val="22"/>
          <w:rFonts w:hint="eastAsia" w:ascii="黑体" w:eastAsia="黑体"/>
          <w:b w:val="0"/>
        </w:rPr>
        <w:t>般公共预算财政拨款支出决算情况说明</w:t>
      </w:r>
      <w:bookmarkEnd w:id="36"/>
      <w:bookmarkEnd w:id="37"/>
      <w:bookmarkEnd w:id="38"/>
    </w:p>
    <w:p>
      <w:pPr>
        <w:spacing w:line="600" w:lineRule="exact"/>
        <w:ind w:firstLine="643" w:firstLineChars="200"/>
        <w:outlineLvl w:val="2"/>
        <w:rPr>
          <w:rFonts w:ascii="仿宋" w:eastAsia="仿宋"/>
          <w:b/>
          <w:sz w:val="32"/>
          <w:szCs w:val="32"/>
        </w:rPr>
      </w:pPr>
      <w:bookmarkStart w:id="39" w:name="_Toc15377210"/>
      <w:bookmarkStart w:id="40" w:name="_Toc115799737"/>
      <w:r>
        <w:rPr>
          <w:rFonts w:hint="eastAsia" w:ascii="仿宋" w:eastAsia="仿宋"/>
          <w:b/>
          <w:sz w:val="32"/>
          <w:szCs w:val="32"/>
        </w:rPr>
        <w:t>（一）一般公共预算财政拨款支出决算总体情况</w:t>
      </w:r>
      <w:bookmarkEnd w:id="39"/>
      <w:bookmarkEnd w:id="40"/>
    </w:p>
    <w:p>
      <w:pPr>
        <w:spacing w:line="600" w:lineRule="exact"/>
        <w:ind w:firstLine="640" w:firstLineChars="200"/>
        <w:rPr>
          <w:rFonts w:ascii="仿宋" w:hAnsi="仿宋" w:eastAsia="仿宋"/>
          <w:color w:val="000000"/>
          <w:sz w:val="32"/>
          <w:szCs w:val="32"/>
        </w:rPr>
      </w:pPr>
      <w:r>
        <w:rPr>
          <w:rFonts w:ascii="仿宋" w:eastAsia="仿宋"/>
          <w:sz w:val="32"/>
          <w:szCs w:val="32"/>
        </w:rPr>
        <w:t>20</w:t>
      </w:r>
      <w:r>
        <w:rPr>
          <w:rFonts w:hint="eastAsia" w:ascii="仿宋" w:eastAsia="仿宋"/>
          <w:sz w:val="32"/>
          <w:szCs w:val="32"/>
        </w:rPr>
        <w:t>21年一般公共预算财政拨款支出1537.78万元，占本年支出合计的92.51</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20年相比，一般公共预算财政拨款支出增加181.53万元，增长13.38</w:t>
      </w:r>
      <w:r>
        <w:rPr>
          <w:rFonts w:ascii="仿宋" w:eastAsia="仿宋"/>
          <w:sz w:val="32"/>
          <w:szCs w:val="32"/>
        </w:rPr>
        <w:t>%</w:t>
      </w:r>
      <w:r>
        <w:rPr>
          <w:rFonts w:hint="eastAsia" w:ascii="仿宋" w:eastAsia="仿宋"/>
          <w:sz w:val="32"/>
          <w:szCs w:val="32"/>
        </w:rPr>
        <w:t>。主要变动原因是</w:t>
      </w:r>
      <w:r>
        <w:rPr>
          <w:rFonts w:hint="eastAsia" w:ascii="仿宋" w:hAnsi="仿宋" w:eastAsia="仿宋"/>
          <w:color w:val="000000"/>
          <w:sz w:val="32"/>
          <w:szCs w:val="32"/>
        </w:rPr>
        <w:t>是政府采购分期跨年付款。</w:t>
      </w:r>
    </w:p>
    <w:p>
      <w:pPr>
        <w:jc w:val="center"/>
      </w:pPr>
      <w:r>
        <w:drawing>
          <wp:inline distT="0" distB="0" distL="114300" distR="114300">
            <wp:extent cx="4572000" cy="2009775"/>
            <wp:effectExtent l="5080" t="4445" r="13970" b="5080"/>
            <wp:docPr id="1088"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rPr>
          <w:rFonts w:ascii="仿宋" w:eastAsia="仿宋"/>
          <w:sz w:val="32"/>
          <w:szCs w:val="32"/>
        </w:rPr>
      </w:pPr>
      <w:r>
        <w:rPr>
          <w:rFonts w:hint="eastAsia" w:ascii="仿宋" w:eastAsia="仿宋"/>
          <w:sz w:val="32"/>
          <w:szCs w:val="32"/>
        </w:rPr>
        <w:t>（图5：一般公共预算财政拨款支出决算变动情况）（柱状图）</w:t>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41" w:name="_Toc15377211"/>
      <w:bookmarkStart w:id="42" w:name="_Toc115799738"/>
      <w:r>
        <w:rPr>
          <w:rFonts w:hint="eastAsia" w:ascii="仿宋" w:eastAsia="仿宋"/>
          <w:b/>
          <w:sz w:val="32"/>
          <w:szCs w:val="32"/>
        </w:rPr>
        <w:t>（二）一般公共预算财政拨款支出决算结构情况</w:t>
      </w:r>
      <w:bookmarkEnd w:id="41"/>
      <w:bookmarkEnd w:id="42"/>
    </w:p>
    <w:p>
      <w:pPr>
        <w:spacing w:line="600" w:lineRule="exact"/>
        <w:ind w:firstLine="640"/>
        <w:rPr>
          <w:rFonts w:ascii="仿宋" w:eastAsia="仿宋"/>
          <w:b/>
          <w:sz w:val="32"/>
          <w:szCs w:val="32"/>
        </w:rPr>
      </w:pPr>
      <w:r>
        <w:rPr>
          <w:rFonts w:ascii="仿宋" w:eastAsia="仿宋"/>
          <w:sz w:val="32"/>
          <w:szCs w:val="32"/>
        </w:rPr>
        <w:t>20</w:t>
      </w:r>
      <w:r>
        <w:rPr>
          <w:rFonts w:hint="eastAsia" w:ascii="仿宋" w:eastAsia="仿宋"/>
          <w:sz w:val="32"/>
          <w:szCs w:val="32"/>
        </w:rPr>
        <w:t>21年</w:t>
      </w:r>
      <w:r>
        <w:rPr>
          <w:rFonts w:hint="eastAsia" w:ascii="仿宋" w:eastAsia="仿宋"/>
          <w:b/>
          <w:bCs/>
          <w:sz w:val="32"/>
          <w:szCs w:val="32"/>
        </w:rPr>
        <w:t>一般公共预算财政拨款</w:t>
      </w:r>
      <w:r>
        <w:rPr>
          <w:rFonts w:hint="eastAsia" w:ascii="仿宋" w:eastAsia="仿宋"/>
          <w:sz w:val="32"/>
          <w:szCs w:val="32"/>
        </w:rPr>
        <w:t>支出1537.78万元，主要用于以下方面</w:t>
      </w:r>
      <w:r>
        <w:rPr>
          <w:rFonts w:ascii="仿宋" w:eastAsia="仿宋"/>
          <w:sz w:val="32"/>
          <w:szCs w:val="32"/>
        </w:rPr>
        <w:t>:</w:t>
      </w:r>
      <w:r>
        <w:rPr>
          <w:rFonts w:hint="eastAsia" w:ascii="仿宋" w:eastAsia="仿宋"/>
          <w:b/>
          <w:sz w:val="32"/>
          <w:szCs w:val="32"/>
        </w:rPr>
        <w:t>一般公共服务（类）</w:t>
      </w:r>
      <w:r>
        <w:rPr>
          <w:rFonts w:hint="eastAsia" w:ascii="仿宋" w:eastAsia="仿宋"/>
          <w:sz w:val="32"/>
          <w:szCs w:val="32"/>
        </w:rPr>
        <w:t>支出1274.47万元，占82.88</w:t>
      </w:r>
      <w:r>
        <w:rPr>
          <w:rFonts w:ascii="仿宋" w:eastAsia="仿宋"/>
          <w:sz w:val="32"/>
          <w:szCs w:val="32"/>
        </w:rPr>
        <w:t>%</w:t>
      </w:r>
      <w:r>
        <w:rPr>
          <w:rFonts w:hint="eastAsia" w:ascii="仿宋" w:eastAsia="仿宋"/>
          <w:sz w:val="32"/>
          <w:szCs w:val="32"/>
        </w:rPr>
        <w:t>；</w:t>
      </w:r>
      <w:r>
        <w:rPr>
          <w:rFonts w:hint="eastAsia" w:ascii="仿宋" w:eastAsia="仿宋"/>
          <w:b/>
          <w:sz w:val="32"/>
          <w:szCs w:val="32"/>
        </w:rPr>
        <w:t>教育支出（类）</w:t>
      </w:r>
      <w:r>
        <w:rPr>
          <w:rFonts w:hint="eastAsia" w:ascii="仿宋" w:eastAsia="仿宋"/>
          <w:sz w:val="32"/>
          <w:szCs w:val="32"/>
        </w:rPr>
        <w:t>0.30万元，占0.02</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文化旅游体育与传媒（类）支出</w:t>
      </w:r>
      <w:r>
        <w:rPr>
          <w:rFonts w:hint="eastAsia" w:ascii="仿宋" w:eastAsia="仿宋"/>
          <w:sz w:val="32"/>
          <w:szCs w:val="32"/>
        </w:rPr>
        <w:t>141.35万元，占9.20</w:t>
      </w:r>
      <w:r>
        <w:rPr>
          <w:rFonts w:ascii="仿宋" w:eastAsia="仿宋"/>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支出54.51万元，占3.54</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sz w:val="32"/>
          <w:szCs w:val="32"/>
        </w:rPr>
        <w:t>28.95万元，占1.88</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住房保障</w:t>
      </w:r>
      <w:r>
        <w:rPr>
          <w:rFonts w:hint="eastAsia" w:ascii="仿宋" w:eastAsia="仿宋"/>
          <w:sz w:val="32"/>
          <w:szCs w:val="32"/>
        </w:rPr>
        <w:t>支出38.20万元，占2.48</w:t>
      </w:r>
      <w:r>
        <w:rPr>
          <w:rFonts w:ascii="仿宋" w:eastAsia="仿宋"/>
          <w:sz w:val="32"/>
          <w:szCs w:val="32"/>
        </w:rPr>
        <w:t>%</w:t>
      </w:r>
      <w:r>
        <w:rPr>
          <w:rFonts w:hint="eastAsia" w:ascii="仿宋" w:eastAsia="仿宋"/>
          <w:sz w:val="32"/>
          <w:szCs w:val="32"/>
        </w:rPr>
        <w:t>。</w:t>
      </w:r>
    </w:p>
    <w:p>
      <w:pPr>
        <w:jc w:val="center"/>
      </w:pPr>
      <w:r>
        <w:drawing>
          <wp:inline distT="0" distB="0" distL="114300" distR="114300">
            <wp:extent cx="3724275" cy="2057400"/>
            <wp:effectExtent l="4445" t="5080" r="5080" b="13970"/>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firstLineChars="200"/>
        <w:rPr>
          <w:rFonts w:ascii="仿宋" w:eastAsia="仿宋"/>
          <w:sz w:val="32"/>
          <w:szCs w:val="32"/>
        </w:rPr>
      </w:pPr>
      <w:r>
        <w:rPr>
          <w:rFonts w:hint="eastAsia" w:ascii="仿宋" w:eastAsia="仿宋"/>
          <w:sz w:val="32"/>
          <w:szCs w:val="32"/>
        </w:rPr>
        <w:t>（图6：一般公共预算财政拨款支出决算结构）（饼状图）</w:t>
      </w:r>
    </w:p>
    <w:p>
      <w:pPr>
        <w:spacing w:line="600" w:lineRule="exact"/>
        <w:ind w:firstLine="643" w:firstLineChars="200"/>
        <w:outlineLvl w:val="2"/>
        <w:rPr>
          <w:rFonts w:ascii="仿宋" w:eastAsia="仿宋"/>
          <w:b/>
          <w:sz w:val="32"/>
          <w:szCs w:val="32"/>
        </w:rPr>
      </w:pPr>
      <w:bookmarkStart w:id="43" w:name="_Toc115799739"/>
      <w:bookmarkStart w:id="44" w:name="_Toc15377212"/>
      <w:r>
        <w:rPr>
          <w:rFonts w:hint="eastAsia" w:ascii="仿宋" w:eastAsia="仿宋"/>
          <w:b/>
          <w:sz w:val="32"/>
          <w:szCs w:val="32"/>
        </w:rPr>
        <w:t>（三）一般公共预算财政拨款支出决算具体情况</w:t>
      </w:r>
      <w:bookmarkEnd w:id="43"/>
      <w:bookmarkEnd w:id="44"/>
    </w:p>
    <w:p>
      <w:pPr>
        <w:spacing w:line="660" w:lineRule="exact"/>
        <w:ind w:firstLine="643" w:firstLineChars="200"/>
        <w:rPr>
          <w:rFonts w:ascii="仿宋" w:eastAsia="仿宋"/>
          <w:b/>
          <w:sz w:val="32"/>
          <w:szCs w:val="32"/>
        </w:rPr>
      </w:pPr>
      <w:bookmarkStart w:id="45" w:name="_Toc15377444"/>
      <w:bookmarkStart w:id="46" w:name="_Toc15378460"/>
      <w:bookmarkStart w:id="47" w:name="_Toc15377213"/>
      <w:r>
        <w:rPr>
          <w:rFonts w:hint="eastAsia" w:ascii="仿宋" w:eastAsia="仿宋"/>
          <w:b/>
          <w:sz w:val="32"/>
          <w:szCs w:val="32"/>
        </w:rPr>
        <w:t>2021年一般公共预算支出决算数为1537.78，完成预算100</w:t>
      </w:r>
      <w:r>
        <w:rPr>
          <w:rFonts w:ascii="仿宋" w:eastAsia="仿宋"/>
          <w:b/>
          <w:sz w:val="32"/>
          <w:szCs w:val="32"/>
        </w:rPr>
        <w:t>%</w:t>
      </w:r>
      <w:r>
        <w:rPr>
          <w:rFonts w:hint="eastAsia" w:ascii="仿宋" w:eastAsia="仿宋"/>
          <w:b/>
          <w:sz w:val="32"/>
          <w:szCs w:val="32"/>
        </w:rPr>
        <w:t>。其中：</w:t>
      </w:r>
      <w:bookmarkEnd w:id="45"/>
      <w:bookmarkEnd w:id="46"/>
      <w:bookmarkEnd w:id="47"/>
    </w:p>
    <w:p>
      <w:pPr>
        <w:spacing w:line="600" w:lineRule="exact"/>
        <w:ind w:firstLine="643" w:firstLineChars="200"/>
        <w:rPr>
          <w:rFonts w:ascii="仿宋" w:hAnsi="仿宋" w:eastAsia="仿宋"/>
          <w:b/>
          <w:color w:val="000000"/>
          <w:sz w:val="32"/>
          <w:szCs w:val="32"/>
        </w:rPr>
      </w:pPr>
      <w:r>
        <w:rPr>
          <w:rStyle w:val="19"/>
          <w:rFonts w:ascii="仿宋" w:hAnsi="仿宋" w:eastAsia="仿宋"/>
          <w:bCs/>
          <w:color w:val="000000"/>
          <w:sz w:val="32"/>
          <w:szCs w:val="32"/>
        </w:rPr>
        <w:t>1.</w:t>
      </w:r>
      <w:r>
        <w:rPr>
          <w:rStyle w:val="19"/>
          <w:rFonts w:hint="eastAsia" w:ascii="仿宋" w:hAnsi="仿宋" w:eastAsia="仿宋"/>
          <w:bCs/>
          <w:color w:val="000000"/>
          <w:sz w:val="32"/>
          <w:szCs w:val="32"/>
        </w:rPr>
        <w:t>一般公共服务201（类）33（款）01（项）</w:t>
      </w:r>
      <w:r>
        <w:rPr>
          <w:rStyle w:val="19"/>
          <w:rFonts w:ascii="仿宋" w:hAnsi="仿宋" w:eastAsia="仿宋"/>
          <w:bCs/>
          <w:color w:val="000000"/>
          <w:sz w:val="32"/>
          <w:szCs w:val="32"/>
        </w:rPr>
        <w:t>:</w:t>
      </w:r>
      <w:r>
        <w:rPr>
          <w:rStyle w:val="19"/>
          <w:rFonts w:ascii="仿宋" w:hAnsi="仿宋" w:eastAsia="仿宋"/>
          <w:b w:val="0"/>
          <w:bCs/>
          <w:color w:val="000000"/>
          <w:sz w:val="32"/>
          <w:szCs w:val="32"/>
        </w:rPr>
        <w:t xml:space="preserve"> </w:t>
      </w:r>
      <w:r>
        <w:rPr>
          <w:rStyle w:val="19"/>
          <w:rFonts w:hint="eastAsia" w:ascii="仿宋" w:hAnsi="仿宋" w:eastAsia="仿宋"/>
          <w:b w:val="0"/>
          <w:bCs/>
          <w:color w:val="000000"/>
          <w:sz w:val="32"/>
          <w:szCs w:val="32"/>
        </w:rPr>
        <w:t>支出决算为585.36万元，完成预算100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9"/>
          <w:rFonts w:ascii="仿宋" w:hAnsi="仿宋" w:eastAsia="仿宋"/>
          <w:bCs/>
          <w:color w:val="000000"/>
          <w:sz w:val="32"/>
          <w:szCs w:val="32"/>
        </w:rPr>
        <w:t>2.</w:t>
      </w:r>
      <w:r>
        <w:rPr>
          <w:rStyle w:val="19"/>
          <w:rFonts w:hint="eastAsia" w:ascii="仿宋" w:hAnsi="仿宋" w:eastAsia="仿宋"/>
          <w:bCs/>
          <w:color w:val="000000"/>
          <w:sz w:val="32"/>
          <w:szCs w:val="32"/>
        </w:rPr>
        <w:t>一般公共服务201（类）33（款）02（项）</w:t>
      </w:r>
      <w:r>
        <w:rPr>
          <w:rStyle w:val="19"/>
          <w:rFonts w:ascii="仿宋" w:hAnsi="仿宋" w:eastAsia="仿宋"/>
          <w:bCs/>
          <w:color w:val="000000"/>
          <w:sz w:val="32"/>
          <w:szCs w:val="32"/>
        </w:rPr>
        <w:t>:</w:t>
      </w:r>
      <w:r>
        <w:rPr>
          <w:rStyle w:val="19"/>
          <w:rFonts w:ascii="仿宋" w:hAnsi="仿宋" w:eastAsia="仿宋"/>
          <w:b w:val="0"/>
          <w:bCs/>
          <w:color w:val="000000"/>
          <w:sz w:val="32"/>
          <w:szCs w:val="32"/>
        </w:rPr>
        <w:t xml:space="preserve"> </w:t>
      </w:r>
      <w:r>
        <w:rPr>
          <w:rStyle w:val="19"/>
          <w:rFonts w:hint="eastAsia" w:ascii="仿宋" w:hAnsi="仿宋" w:eastAsia="仿宋"/>
          <w:b w:val="0"/>
          <w:bCs/>
          <w:color w:val="000000"/>
          <w:sz w:val="32"/>
          <w:szCs w:val="32"/>
        </w:rPr>
        <w:t>支出决算为689.11万元，完成预算100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p>
    <w:p>
      <w:pPr>
        <w:spacing w:line="600" w:lineRule="exact"/>
        <w:ind w:firstLine="643" w:firstLineChars="200"/>
        <w:rPr>
          <w:rStyle w:val="19"/>
          <w:rFonts w:ascii="仿宋" w:hAnsi="仿宋" w:eastAsia="仿宋"/>
          <w:b w:val="0"/>
          <w:color w:val="000000"/>
          <w:sz w:val="32"/>
          <w:szCs w:val="32"/>
        </w:rPr>
      </w:pPr>
      <w:r>
        <w:rPr>
          <w:rStyle w:val="19"/>
          <w:rFonts w:ascii="仿宋" w:hAnsi="仿宋" w:eastAsia="仿宋"/>
          <w:bCs/>
          <w:color w:val="000000"/>
          <w:sz w:val="32"/>
          <w:szCs w:val="32"/>
        </w:rPr>
        <w:t>3.</w:t>
      </w:r>
      <w:r>
        <w:rPr>
          <w:rStyle w:val="19"/>
          <w:rFonts w:hint="eastAsia" w:ascii="仿宋" w:hAnsi="仿宋" w:eastAsia="仿宋"/>
          <w:bCs/>
          <w:color w:val="000000"/>
          <w:sz w:val="32"/>
          <w:szCs w:val="32"/>
        </w:rPr>
        <w:t>其他教育205（类）99（款）99（项）：</w:t>
      </w:r>
      <w:r>
        <w:rPr>
          <w:rStyle w:val="19"/>
          <w:rFonts w:hint="eastAsia" w:ascii="仿宋" w:hAnsi="仿宋" w:eastAsia="仿宋"/>
          <w:b w:val="0"/>
          <w:color w:val="000000"/>
          <w:sz w:val="32"/>
          <w:szCs w:val="32"/>
        </w:rPr>
        <w:t>支出决算为0.30万元，</w:t>
      </w:r>
      <w:r>
        <w:rPr>
          <w:rStyle w:val="19"/>
          <w:rFonts w:hint="eastAsia" w:ascii="仿宋" w:hAnsi="仿宋" w:eastAsia="仿宋"/>
          <w:b w:val="0"/>
          <w:bCs/>
          <w:color w:val="000000"/>
          <w:sz w:val="32"/>
          <w:szCs w:val="32"/>
        </w:rPr>
        <w:t>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p>
    <w:p>
      <w:pPr>
        <w:spacing w:line="600" w:lineRule="exact"/>
        <w:ind w:firstLine="643" w:firstLineChars="200"/>
        <w:rPr>
          <w:rStyle w:val="19"/>
          <w:rFonts w:ascii="仿宋" w:hAnsi="仿宋" w:eastAsia="仿宋"/>
          <w:b w:val="0"/>
          <w:bCs/>
          <w:color w:val="000000"/>
          <w:sz w:val="32"/>
          <w:szCs w:val="32"/>
        </w:rPr>
      </w:pPr>
      <w:r>
        <w:rPr>
          <w:rStyle w:val="19"/>
          <w:rFonts w:hint="eastAsia" w:ascii="仿宋" w:hAnsi="仿宋" w:eastAsia="仿宋"/>
          <w:bCs/>
          <w:color w:val="000000"/>
          <w:sz w:val="32"/>
          <w:szCs w:val="32"/>
        </w:rPr>
        <w:t>4.文化旅游体育与传媒207（类）06（款）05（项）</w:t>
      </w:r>
      <w:r>
        <w:rPr>
          <w:rStyle w:val="19"/>
          <w:rFonts w:ascii="仿宋" w:hAnsi="仿宋" w:eastAsia="仿宋"/>
          <w:bCs/>
          <w:color w:val="000000"/>
          <w:sz w:val="32"/>
          <w:szCs w:val="32"/>
        </w:rPr>
        <w:t>:</w:t>
      </w:r>
      <w:r>
        <w:rPr>
          <w:rStyle w:val="19"/>
          <w:rFonts w:ascii="仿宋" w:hAnsi="仿宋" w:eastAsia="仿宋"/>
          <w:b w:val="0"/>
          <w:bCs/>
          <w:color w:val="000000"/>
          <w:sz w:val="32"/>
          <w:szCs w:val="32"/>
        </w:rPr>
        <w:t xml:space="preserve"> </w:t>
      </w:r>
      <w:r>
        <w:rPr>
          <w:rStyle w:val="19"/>
          <w:rFonts w:hint="eastAsia" w:ascii="仿宋" w:hAnsi="仿宋" w:eastAsia="仿宋"/>
          <w:b w:val="0"/>
          <w:bCs/>
          <w:color w:val="000000"/>
          <w:sz w:val="32"/>
          <w:szCs w:val="32"/>
        </w:rPr>
        <w:t>支出决算为50.40万元，完成预算100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p>
    <w:p>
      <w:pPr>
        <w:pStyle w:val="2"/>
        <w:ind w:firstLine="643" w:firstLineChars="200"/>
        <w:rPr>
          <w:rStyle w:val="19"/>
          <w:rFonts w:ascii="仿宋" w:hAnsi="仿宋" w:eastAsia="仿宋"/>
          <w:b w:val="0"/>
          <w:bCs/>
          <w:color w:val="000000"/>
          <w:sz w:val="32"/>
          <w:szCs w:val="32"/>
        </w:rPr>
      </w:pPr>
      <w:r>
        <w:rPr>
          <w:rStyle w:val="19"/>
          <w:rFonts w:hint="eastAsia" w:ascii="仿宋" w:hAnsi="仿宋" w:eastAsia="仿宋"/>
          <w:bCs/>
          <w:color w:val="000000"/>
          <w:sz w:val="32"/>
          <w:szCs w:val="32"/>
        </w:rPr>
        <w:t>5</w:t>
      </w:r>
      <w:r>
        <w:rPr>
          <w:rStyle w:val="19"/>
          <w:rFonts w:ascii="仿宋" w:hAnsi="仿宋" w:eastAsia="仿宋"/>
          <w:bCs/>
          <w:color w:val="000000"/>
          <w:sz w:val="32"/>
          <w:szCs w:val="32"/>
        </w:rPr>
        <w:t>.</w:t>
      </w:r>
      <w:r>
        <w:rPr>
          <w:rStyle w:val="19"/>
          <w:rFonts w:hint="eastAsia" w:ascii="仿宋" w:hAnsi="仿宋" w:eastAsia="仿宋"/>
          <w:bCs/>
          <w:color w:val="000000"/>
          <w:sz w:val="32"/>
          <w:szCs w:val="32"/>
        </w:rPr>
        <w:t>文化旅游体育与传媒207（类）06（款）99（项）</w:t>
      </w:r>
      <w:r>
        <w:rPr>
          <w:rStyle w:val="19"/>
          <w:rFonts w:ascii="仿宋" w:hAnsi="仿宋" w:eastAsia="仿宋"/>
          <w:bCs/>
          <w:color w:val="000000"/>
          <w:sz w:val="32"/>
          <w:szCs w:val="32"/>
        </w:rPr>
        <w:t>:</w:t>
      </w:r>
      <w:r>
        <w:rPr>
          <w:rStyle w:val="19"/>
          <w:rFonts w:ascii="仿宋" w:hAnsi="仿宋" w:eastAsia="仿宋"/>
          <w:b w:val="0"/>
          <w:bCs/>
          <w:color w:val="000000"/>
          <w:sz w:val="32"/>
          <w:szCs w:val="32"/>
        </w:rPr>
        <w:t xml:space="preserve"> </w:t>
      </w:r>
      <w:r>
        <w:rPr>
          <w:rStyle w:val="19"/>
          <w:rFonts w:hint="eastAsia" w:ascii="仿宋" w:hAnsi="仿宋" w:eastAsia="仿宋"/>
          <w:b w:val="0"/>
          <w:bCs/>
          <w:color w:val="000000"/>
          <w:sz w:val="32"/>
          <w:szCs w:val="32"/>
        </w:rPr>
        <w:t>支出决算为14.99万元，完成预算100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p>
    <w:p>
      <w:pPr>
        <w:pStyle w:val="2"/>
        <w:ind w:firstLine="643" w:firstLineChars="200"/>
        <w:rPr>
          <w:rStyle w:val="19"/>
          <w:rFonts w:ascii="仿宋" w:hAnsi="仿宋" w:eastAsia="仿宋"/>
          <w:b w:val="0"/>
          <w:bCs/>
          <w:color w:val="000000"/>
          <w:sz w:val="32"/>
          <w:szCs w:val="32"/>
        </w:rPr>
      </w:pPr>
      <w:r>
        <w:rPr>
          <w:rStyle w:val="19"/>
          <w:rFonts w:hint="eastAsia" w:ascii="仿宋" w:hAnsi="仿宋" w:eastAsia="仿宋"/>
          <w:color w:val="000000"/>
          <w:sz w:val="32"/>
          <w:szCs w:val="32"/>
        </w:rPr>
        <w:t>6.其他</w:t>
      </w:r>
      <w:r>
        <w:rPr>
          <w:rStyle w:val="19"/>
          <w:rFonts w:hint="eastAsia" w:ascii="仿宋" w:hAnsi="仿宋" w:eastAsia="仿宋"/>
          <w:bCs/>
          <w:color w:val="000000"/>
          <w:sz w:val="32"/>
          <w:szCs w:val="32"/>
        </w:rPr>
        <w:t>文化旅游体育与传媒207（类）99（款）02（项）</w:t>
      </w:r>
      <w:r>
        <w:rPr>
          <w:rStyle w:val="19"/>
          <w:rFonts w:ascii="仿宋" w:hAnsi="仿宋" w:eastAsia="仿宋"/>
          <w:bCs/>
          <w:color w:val="000000"/>
          <w:sz w:val="32"/>
          <w:szCs w:val="32"/>
        </w:rPr>
        <w:t>:</w:t>
      </w:r>
      <w:r>
        <w:rPr>
          <w:rStyle w:val="19"/>
          <w:rFonts w:ascii="仿宋" w:hAnsi="仿宋" w:eastAsia="仿宋"/>
          <w:b w:val="0"/>
          <w:bCs/>
          <w:color w:val="000000"/>
          <w:sz w:val="32"/>
          <w:szCs w:val="32"/>
        </w:rPr>
        <w:t xml:space="preserve"> </w:t>
      </w:r>
      <w:r>
        <w:rPr>
          <w:rStyle w:val="19"/>
          <w:rFonts w:hint="eastAsia" w:ascii="仿宋" w:hAnsi="仿宋" w:eastAsia="仿宋"/>
          <w:b w:val="0"/>
          <w:bCs/>
          <w:color w:val="000000"/>
          <w:sz w:val="32"/>
          <w:szCs w:val="32"/>
        </w:rPr>
        <w:t>支出决算为42.65万元，完成预算100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p>
    <w:p>
      <w:pPr>
        <w:pStyle w:val="2"/>
        <w:ind w:firstLine="643" w:firstLineChars="200"/>
        <w:rPr>
          <w:rStyle w:val="19"/>
          <w:rFonts w:ascii="仿宋" w:hAnsi="仿宋" w:eastAsia="仿宋"/>
          <w:b w:val="0"/>
          <w:bCs/>
          <w:color w:val="000000"/>
          <w:sz w:val="32"/>
          <w:szCs w:val="32"/>
        </w:rPr>
      </w:pPr>
      <w:r>
        <w:rPr>
          <w:rStyle w:val="19"/>
          <w:rFonts w:hint="eastAsia" w:ascii="仿宋" w:hAnsi="仿宋" w:eastAsia="仿宋"/>
          <w:color w:val="000000"/>
          <w:sz w:val="32"/>
          <w:szCs w:val="32"/>
        </w:rPr>
        <w:t>7.其他</w:t>
      </w:r>
      <w:r>
        <w:rPr>
          <w:rStyle w:val="19"/>
          <w:rFonts w:hint="eastAsia" w:ascii="仿宋" w:hAnsi="仿宋" w:eastAsia="仿宋"/>
          <w:bCs/>
          <w:color w:val="000000"/>
          <w:sz w:val="32"/>
          <w:szCs w:val="32"/>
        </w:rPr>
        <w:t>文化旅游体育与传媒207（类）99（款）99（项）</w:t>
      </w:r>
      <w:r>
        <w:rPr>
          <w:rStyle w:val="19"/>
          <w:rFonts w:ascii="仿宋" w:hAnsi="仿宋" w:eastAsia="仿宋"/>
          <w:bCs/>
          <w:color w:val="000000"/>
          <w:sz w:val="32"/>
          <w:szCs w:val="32"/>
        </w:rPr>
        <w:t>:</w:t>
      </w:r>
      <w:r>
        <w:rPr>
          <w:rStyle w:val="19"/>
          <w:rFonts w:ascii="仿宋" w:hAnsi="仿宋" w:eastAsia="仿宋"/>
          <w:b w:val="0"/>
          <w:bCs/>
          <w:color w:val="000000"/>
          <w:sz w:val="32"/>
          <w:szCs w:val="32"/>
        </w:rPr>
        <w:t xml:space="preserve"> </w:t>
      </w:r>
      <w:r>
        <w:rPr>
          <w:rStyle w:val="19"/>
          <w:rFonts w:hint="eastAsia" w:ascii="仿宋" w:hAnsi="仿宋" w:eastAsia="仿宋"/>
          <w:b w:val="0"/>
          <w:bCs/>
          <w:color w:val="000000"/>
          <w:sz w:val="32"/>
          <w:szCs w:val="32"/>
        </w:rPr>
        <w:t>支出决算为33.31万元，完成预算100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p>
    <w:p>
      <w:pPr>
        <w:spacing w:line="600" w:lineRule="exact"/>
        <w:ind w:firstLine="643" w:firstLineChars="200"/>
        <w:rPr>
          <w:rStyle w:val="19"/>
          <w:rFonts w:ascii="仿宋" w:hAnsi="仿宋" w:eastAsia="仿宋"/>
          <w:b w:val="0"/>
          <w:bCs/>
          <w:color w:val="000000"/>
          <w:sz w:val="32"/>
          <w:szCs w:val="32"/>
        </w:rPr>
      </w:pPr>
      <w:r>
        <w:rPr>
          <w:rStyle w:val="19"/>
          <w:rFonts w:hint="eastAsia" w:ascii="仿宋" w:hAnsi="仿宋" w:eastAsia="仿宋"/>
          <w:bCs/>
          <w:color w:val="000000"/>
          <w:sz w:val="32"/>
          <w:szCs w:val="32"/>
        </w:rPr>
        <w:t>8</w:t>
      </w:r>
      <w:r>
        <w:rPr>
          <w:rStyle w:val="19"/>
          <w:rFonts w:ascii="仿宋" w:hAnsi="仿宋" w:eastAsia="仿宋"/>
          <w:bCs/>
          <w:color w:val="000000"/>
          <w:sz w:val="32"/>
          <w:szCs w:val="32"/>
        </w:rPr>
        <w:t>.</w:t>
      </w:r>
      <w:r>
        <w:rPr>
          <w:rStyle w:val="19"/>
          <w:rFonts w:hint="eastAsia" w:ascii="仿宋" w:hAnsi="仿宋" w:eastAsia="仿宋"/>
          <w:bCs/>
          <w:color w:val="000000"/>
          <w:sz w:val="32"/>
          <w:szCs w:val="32"/>
        </w:rPr>
        <w:t>社会保障和就业208（类）05（款）05（项）</w:t>
      </w:r>
      <w:r>
        <w:rPr>
          <w:rStyle w:val="19"/>
          <w:rFonts w:ascii="仿宋" w:hAnsi="仿宋" w:eastAsia="仿宋"/>
          <w:bCs/>
          <w:color w:val="000000"/>
          <w:sz w:val="32"/>
          <w:szCs w:val="32"/>
        </w:rPr>
        <w:t>:</w:t>
      </w:r>
      <w:r>
        <w:rPr>
          <w:rStyle w:val="19"/>
          <w:rFonts w:ascii="仿宋" w:hAnsi="仿宋" w:eastAsia="仿宋"/>
          <w:b w:val="0"/>
          <w:bCs/>
          <w:color w:val="000000"/>
          <w:sz w:val="32"/>
          <w:szCs w:val="32"/>
        </w:rPr>
        <w:t xml:space="preserve"> </w:t>
      </w:r>
      <w:r>
        <w:rPr>
          <w:rStyle w:val="19"/>
          <w:rFonts w:hint="eastAsia" w:ascii="仿宋" w:hAnsi="仿宋" w:eastAsia="仿宋"/>
          <w:b w:val="0"/>
          <w:bCs/>
          <w:color w:val="000000"/>
          <w:sz w:val="32"/>
          <w:szCs w:val="32"/>
        </w:rPr>
        <w:t>支出决算为36.34万元，完成预算100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p>
    <w:p>
      <w:pPr>
        <w:pStyle w:val="2"/>
        <w:ind w:firstLine="643" w:firstLineChars="200"/>
      </w:pPr>
      <w:r>
        <w:rPr>
          <w:rStyle w:val="19"/>
          <w:rFonts w:hint="eastAsia" w:ascii="仿宋" w:hAnsi="仿宋" w:eastAsia="仿宋"/>
          <w:bCs/>
          <w:color w:val="000000"/>
          <w:sz w:val="32"/>
          <w:szCs w:val="32"/>
        </w:rPr>
        <w:t>9</w:t>
      </w:r>
      <w:r>
        <w:rPr>
          <w:rStyle w:val="19"/>
          <w:rFonts w:ascii="仿宋" w:hAnsi="仿宋" w:eastAsia="仿宋"/>
          <w:bCs/>
          <w:color w:val="000000"/>
          <w:sz w:val="32"/>
          <w:szCs w:val="32"/>
        </w:rPr>
        <w:t>.</w:t>
      </w:r>
      <w:r>
        <w:rPr>
          <w:rStyle w:val="19"/>
          <w:rFonts w:hint="eastAsia" w:ascii="仿宋" w:hAnsi="仿宋" w:eastAsia="仿宋"/>
          <w:bCs/>
          <w:color w:val="000000"/>
          <w:sz w:val="32"/>
          <w:szCs w:val="32"/>
        </w:rPr>
        <w:t>社会保障和就业208（类）05（款）06（项）</w:t>
      </w:r>
      <w:r>
        <w:rPr>
          <w:rStyle w:val="19"/>
          <w:rFonts w:ascii="仿宋" w:hAnsi="仿宋" w:eastAsia="仿宋"/>
          <w:bCs/>
          <w:color w:val="000000"/>
          <w:sz w:val="32"/>
          <w:szCs w:val="32"/>
        </w:rPr>
        <w:t>:</w:t>
      </w:r>
      <w:r>
        <w:rPr>
          <w:rStyle w:val="19"/>
          <w:rFonts w:ascii="仿宋" w:hAnsi="仿宋" w:eastAsia="仿宋"/>
          <w:b w:val="0"/>
          <w:bCs/>
          <w:color w:val="000000"/>
          <w:sz w:val="32"/>
          <w:szCs w:val="32"/>
        </w:rPr>
        <w:t xml:space="preserve"> </w:t>
      </w:r>
      <w:r>
        <w:rPr>
          <w:rStyle w:val="19"/>
          <w:rFonts w:hint="eastAsia" w:ascii="仿宋" w:hAnsi="仿宋" w:eastAsia="仿宋"/>
          <w:b w:val="0"/>
          <w:bCs/>
          <w:color w:val="000000"/>
          <w:sz w:val="32"/>
          <w:szCs w:val="32"/>
        </w:rPr>
        <w:t>支出决算为18.17万元，完成预算100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p>
    <w:p>
      <w:pPr>
        <w:spacing w:line="600" w:lineRule="exact"/>
        <w:ind w:firstLine="643" w:firstLineChars="200"/>
        <w:rPr>
          <w:rStyle w:val="19"/>
          <w:rFonts w:ascii="仿宋" w:hAnsi="仿宋" w:eastAsia="仿宋"/>
          <w:b w:val="0"/>
          <w:bCs/>
          <w:color w:val="000000"/>
          <w:sz w:val="32"/>
          <w:szCs w:val="32"/>
        </w:rPr>
      </w:pPr>
      <w:r>
        <w:rPr>
          <w:rStyle w:val="19"/>
          <w:rFonts w:hint="eastAsia" w:ascii="仿宋" w:hAnsi="仿宋" w:eastAsia="仿宋"/>
          <w:bCs/>
          <w:color w:val="000000"/>
          <w:sz w:val="32"/>
          <w:szCs w:val="32"/>
        </w:rPr>
        <w:t>10</w:t>
      </w:r>
      <w:r>
        <w:rPr>
          <w:rStyle w:val="19"/>
          <w:rFonts w:ascii="仿宋" w:hAnsi="仿宋" w:eastAsia="仿宋"/>
          <w:bCs/>
          <w:color w:val="000000"/>
          <w:sz w:val="32"/>
          <w:szCs w:val="32"/>
        </w:rPr>
        <w:t>.</w:t>
      </w:r>
      <w:r>
        <w:rPr>
          <w:rFonts w:hint="eastAsia" w:ascii="仿宋" w:hAnsi="仿宋" w:eastAsia="仿宋"/>
          <w:b/>
          <w:bCs/>
          <w:color w:val="000000"/>
          <w:sz w:val="32"/>
          <w:szCs w:val="32"/>
        </w:rPr>
        <w:t>卫生健康210</w:t>
      </w:r>
      <w:r>
        <w:rPr>
          <w:rStyle w:val="19"/>
          <w:rFonts w:hint="eastAsia" w:ascii="仿宋" w:hAnsi="仿宋" w:eastAsia="仿宋"/>
          <w:bCs/>
          <w:color w:val="000000"/>
          <w:sz w:val="32"/>
          <w:szCs w:val="32"/>
        </w:rPr>
        <w:t>（类）04（款）09（项）</w:t>
      </w:r>
      <w:r>
        <w:rPr>
          <w:rStyle w:val="19"/>
          <w:rFonts w:ascii="仿宋" w:hAnsi="仿宋" w:eastAsia="仿宋"/>
          <w:bCs/>
          <w:color w:val="000000"/>
          <w:sz w:val="32"/>
          <w:szCs w:val="32"/>
        </w:rPr>
        <w:t>:</w:t>
      </w:r>
      <w:r>
        <w:rPr>
          <w:rStyle w:val="19"/>
          <w:rFonts w:hint="eastAsia" w:ascii="仿宋" w:hAnsi="仿宋" w:eastAsia="仿宋"/>
          <w:b w:val="0"/>
          <w:bCs/>
          <w:color w:val="000000"/>
          <w:sz w:val="32"/>
          <w:szCs w:val="32"/>
        </w:rPr>
        <w:t>支出决算为5.44万元，完成预算100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p>
    <w:p>
      <w:pPr>
        <w:spacing w:line="600" w:lineRule="exact"/>
        <w:ind w:firstLine="643" w:firstLineChars="200"/>
        <w:rPr>
          <w:rStyle w:val="19"/>
          <w:rFonts w:ascii="仿宋" w:hAnsi="仿宋" w:eastAsia="仿宋"/>
          <w:b w:val="0"/>
          <w:bCs/>
          <w:color w:val="000000"/>
          <w:sz w:val="32"/>
          <w:szCs w:val="32"/>
        </w:rPr>
      </w:pPr>
      <w:r>
        <w:rPr>
          <w:rFonts w:hint="eastAsia" w:ascii="仿宋" w:hAnsi="仿宋" w:eastAsia="仿宋"/>
          <w:b/>
          <w:bCs/>
          <w:color w:val="000000"/>
          <w:sz w:val="32"/>
          <w:szCs w:val="32"/>
        </w:rPr>
        <w:t>11.卫生健康210</w:t>
      </w:r>
      <w:r>
        <w:rPr>
          <w:rStyle w:val="19"/>
          <w:rFonts w:hint="eastAsia" w:ascii="仿宋" w:hAnsi="仿宋" w:eastAsia="仿宋"/>
          <w:bCs/>
          <w:color w:val="000000"/>
          <w:sz w:val="32"/>
          <w:szCs w:val="32"/>
        </w:rPr>
        <w:t>（类）11（款）01（项）</w:t>
      </w:r>
      <w:r>
        <w:rPr>
          <w:rStyle w:val="19"/>
          <w:rFonts w:ascii="仿宋" w:hAnsi="仿宋" w:eastAsia="仿宋"/>
          <w:bCs/>
          <w:color w:val="000000"/>
          <w:sz w:val="32"/>
          <w:szCs w:val="32"/>
        </w:rPr>
        <w:t>:</w:t>
      </w:r>
      <w:r>
        <w:rPr>
          <w:rStyle w:val="19"/>
          <w:rFonts w:hint="eastAsia" w:ascii="仿宋" w:hAnsi="仿宋" w:eastAsia="仿宋"/>
          <w:b w:val="0"/>
          <w:bCs/>
          <w:color w:val="000000"/>
          <w:sz w:val="32"/>
          <w:szCs w:val="32"/>
        </w:rPr>
        <w:t>支出决算为18.55万元，完成预算100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p>
    <w:p>
      <w:pPr>
        <w:pStyle w:val="2"/>
        <w:ind w:firstLine="643" w:firstLineChars="200"/>
        <w:rPr>
          <w:rStyle w:val="19"/>
          <w:rFonts w:ascii="仿宋" w:hAnsi="仿宋" w:eastAsia="仿宋"/>
          <w:b w:val="0"/>
          <w:bCs/>
          <w:color w:val="000000"/>
          <w:sz w:val="32"/>
          <w:szCs w:val="32"/>
        </w:rPr>
      </w:pPr>
      <w:r>
        <w:rPr>
          <w:rStyle w:val="19"/>
          <w:rFonts w:hint="eastAsia" w:ascii="仿宋" w:hAnsi="仿宋" w:eastAsia="仿宋"/>
          <w:bCs/>
          <w:color w:val="000000"/>
          <w:sz w:val="32"/>
          <w:szCs w:val="32"/>
        </w:rPr>
        <w:t>12</w:t>
      </w:r>
      <w:r>
        <w:rPr>
          <w:rStyle w:val="19"/>
          <w:rFonts w:ascii="仿宋" w:hAnsi="仿宋" w:eastAsia="仿宋"/>
          <w:bCs/>
          <w:color w:val="000000"/>
          <w:sz w:val="32"/>
          <w:szCs w:val="32"/>
        </w:rPr>
        <w:t>.</w:t>
      </w:r>
      <w:r>
        <w:rPr>
          <w:rFonts w:hint="eastAsia" w:ascii="仿宋" w:hAnsi="仿宋" w:eastAsia="仿宋"/>
          <w:b/>
          <w:bCs/>
          <w:color w:val="000000"/>
          <w:sz w:val="32"/>
          <w:szCs w:val="32"/>
        </w:rPr>
        <w:t>卫生健康210</w:t>
      </w:r>
      <w:r>
        <w:rPr>
          <w:rStyle w:val="19"/>
          <w:rFonts w:hint="eastAsia" w:ascii="仿宋" w:hAnsi="仿宋" w:eastAsia="仿宋"/>
          <w:bCs/>
          <w:color w:val="000000"/>
          <w:sz w:val="32"/>
          <w:szCs w:val="32"/>
        </w:rPr>
        <w:t>（类）11（款）03（项）</w:t>
      </w:r>
      <w:r>
        <w:rPr>
          <w:rStyle w:val="19"/>
          <w:rFonts w:ascii="仿宋" w:hAnsi="仿宋" w:eastAsia="仿宋"/>
          <w:bCs/>
          <w:color w:val="000000"/>
          <w:sz w:val="32"/>
          <w:szCs w:val="32"/>
        </w:rPr>
        <w:t>:</w:t>
      </w:r>
      <w:r>
        <w:rPr>
          <w:rStyle w:val="19"/>
          <w:rFonts w:hint="eastAsia" w:ascii="仿宋" w:hAnsi="仿宋" w:eastAsia="仿宋"/>
          <w:b w:val="0"/>
          <w:bCs/>
          <w:color w:val="000000"/>
          <w:sz w:val="32"/>
          <w:szCs w:val="32"/>
        </w:rPr>
        <w:t>支出决算为4.96万元，完成预算100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p>
    <w:p>
      <w:pPr>
        <w:pStyle w:val="2"/>
        <w:ind w:firstLine="643" w:firstLineChars="200"/>
      </w:pPr>
      <w:r>
        <w:rPr>
          <w:rStyle w:val="19"/>
          <w:rFonts w:hint="eastAsia" w:ascii="仿宋" w:hAnsi="仿宋" w:eastAsia="仿宋"/>
          <w:bCs/>
          <w:color w:val="000000"/>
          <w:sz w:val="32"/>
          <w:szCs w:val="32"/>
        </w:rPr>
        <w:t>13</w:t>
      </w:r>
      <w:r>
        <w:rPr>
          <w:rStyle w:val="19"/>
          <w:rFonts w:ascii="仿宋" w:hAnsi="仿宋" w:eastAsia="仿宋"/>
          <w:bCs/>
          <w:color w:val="000000"/>
          <w:sz w:val="32"/>
          <w:szCs w:val="32"/>
        </w:rPr>
        <w:t>.</w:t>
      </w:r>
      <w:r>
        <w:rPr>
          <w:rFonts w:hint="eastAsia" w:ascii="仿宋" w:hAnsi="仿宋" w:eastAsia="仿宋"/>
          <w:b/>
          <w:bCs/>
          <w:color w:val="000000"/>
          <w:sz w:val="32"/>
          <w:szCs w:val="32"/>
        </w:rPr>
        <w:t>住房保障221</w:t>
      </w:r>
      <w:r>
        <w:rPr>
          <w:rStyle w:val="19"/>
          <w:rFonts w:hint="eastAsia" w:ascii="仿宋" w:hAnsi="仿宋" w:eastAsia="仿宋"/>
          <w:bCs/>
          <w:color w:val="000000"/>
          <w:sz w:val="32"/>
          <w:szCs w:val="32"/>
        </w:rPr>
        <w:t>（类）02（款）01（项）</w:t>
      </w:r>
      <w:r>
        <w:rPr>
          <w:rStyle w:val="19"/>
          <w:rFonts w:ascii="仿宋" w:hAnsi="仿宋" w:eastAsia="仿宋"/>
          <w:bCs/>
          <w:color w:val="000000"/>
          <w:sz w:val="32"/>
          <w:szCs w:val="32"/>
        </w:rPr>
        <w:t>:</w:t>
      </w:r>
      <w:r>
        <w:rPr>
          <w:rStyle w:val="19"/>
          <w:rFonts w:hint="eastAsia" w:ascii="仿宋" w:hAnsi="仿宋" w:eastAsia="仿宋"/>
          <w:b w:val="0"/>
          <w:bCs/>
          <w:color w:val="000000"/>
          <w:sz w:val="32"/>
          <w:szCs w:val="32"/>
        </w:rPr>
        <w:t>支出决算为38.20万元，完成预算100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p>
    <w:p>
      <w:pPr>
        <w:tabs>
          <w:tab w:val="right" w:pos="8306"/>
        </w:tabs>
        <w:spacing w:line="600" w:lineRule="exact"/>
        <w:ind w:firstLine="640"/>
        <w:outlineLvl w:val="1"/>
        <w:rPr>
          <w:rStyle w:val="22"/>
        </w:rPr>
      </w:pPr>
      <w:bookmarkStart w:id="48" w:name="_Toc115799740"/>
      <w:bookmarkStart w:id="49" w:name="_Toc15377214"/>
      <w:bookmarkStart w:id="50" w:name="_Toc15396608"/>
      <w:r>
        <w:rPr>
          <w:rFonts w:hint="eastAsia" w:ascii="黑体" w:eastAsia="黑体"/>
          <w:sz w:val="32"/>
          <w:szCs w:val="32"/>
        </w:rPr>
        <w:t>六</w:t>
      </w:r>
      <w:r>
        <w:rPr>
          <w:rFonts w:hint="eastAsia" w:ascii="黑体" w:eastAsia="黑体"/>
          <w:b/>
          <w:sz w:val="32"/>
          <w:szCs w:val="32"/>
        </w:rPr>
        <w:t>、一</w:t>
      </w:r>
      <w:r>
        <w:rPr>
          <w:rStyle w:val="22"/>
          <w:rFonts w:hint="eastAsia" w:ascii="黑体" w:eastAsia="黑体"/>
          <w:b w:val="0"/>
        </w:rPr>
        <w:t>般公共预算财政拨款基本支出决算情况说明</w:t>
      </w:r>
      <w:bookmarkEnd w:id="48"/>
      <w:bookmarkEnd w:id="49"/>
      <w:bookmarkEnd w:id="50"/>
      <w:r>
        <w:rPr>
          <w:rStyle w:val="22"/>
          <w:rFonts w:ascii="黑体" w:eastAsia="黑体"/>
          <w:b w:val="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21年一般公共预算财政拨款基本支出701.58万元，其中：</w:t>
      </w:r>
    </w:p>
    <w:p>
      <w:pPr>
        <w:spacing w:line="600" w:lineRule="exact"/>
        <w:ind w:firstLine="645"/>
        <w:rPr>
          <w:rFonts w:ascii="仿宋" w:eastAsia="仿宋"/>
          <w:sz w:val="32"/>
          <w:szCs w:val="32"/>
        </w:rPr>
      </w:pPr>
      <w:r>
        <w:rPr>
          <w:rFonts w:hint="eastAsia" w:ascii="仿宋" w:eastAsia="仿宋"/>
          <w:sz w:val="32"/>
          <w:szCs w:val="32"/>
        </w:rPr>
        <w:t>人员经费546.77万元，主要包括：基本工资101.06万元、津贴补贴269.34万元、奖金8.75万元、伙食补助费15.81万元、机关事业单位基本养老保险缴费36.34万元、职业年金缴费18.17万元、职工基本医疗保险缴费18.55万元、公务员医疗补助缴费4.96万元、其他社会保障缴费4.02万元、其他工资福利支出1.91万元、住房公积金38.20万元、生活补助29.66万元。</w:t>
      </w:r>
    </w:p>
    <w:p>
      <w:pPr>
        <w:spacing w:line="600" w:lineRule="exact"/>
        <w:ind w:firstLine="645"/>
        <w:rPr>
          <w:rFonts w:ascii="仿宋" w:eastAsia="仿宋"/>
          <w:sz w:val="32"/>
          <w:szCs w:val="32"/>
        </w:rPr>
      </w:pPr>
      <w:r>
        <w:rPr>
          <w:rFonts w:hint="eastAsia" w:ascii="仿宋" w:eastAsia="仿宋"/>
          <w:sz w:val="32"/>
          <w:szCs w:val="32"/>
        </w:rPr>
        <w:t>公用经费154.81万元，主要包括：办公费10.31万元、印刷费0.10万元、手续费0.18万元、电费2.10万元、邮电费3.80万元、差旅费15.95万元、维修（护）费1.10万元、租赁费5.23万元、会议费3.89万元、培训费0.40万元、公务接待费1.02万元、劳务费17.04万元、福利费4.83万元、公务用车运行维护费23.74万元、办公设备购置0.49万元、公务用车购置64.63万元。</w:t>
      </w:r>
    </w:p>
    <w:p>
      <w:pPr>
        <w:spacing w:line="600" w:lineRule="exact"/>
        <w:ind w:firstLine="640"/>
        <w:outlineLvl w:val="1"/>
        <w:rPr>
          <w:rStyle w:val="22"/>
          <w:rFonts w:ascii="黑体" w:eastAsia="黑体"/>
          <w:b w:val="0"/>
        </w:rPr>
      </w:pPr>
      <w:bookmarkStart w:id="51" w:name="_Toc15377215"/>
      <w:bookmarkStart w:id="52" w:name="_Toc115799741"/>
      <w:bookmarkStart w:id="53" w:name="_Toc15396609"/>
      <w:r>
        <w:rPr>
          <w:rFonts w:hint="eastAsia" w:ascii="黑体" w:eastAsia="黑体"/>
          <w:sz w:val="32"/>
          <w:szCs w:val="32"/>
        </w:rPr>
        <w:t>七、</w:t>
      </w:r>
      <w:r>
        <w:rPr>
          <w:rStyle w:val="22"/>
          <w:rFonts w:hint="eastAsia" w:ascii="黑体" w:eastAsia="黑体"/>
        </w:rPr>
        <w:t>“</w:t>
      </w:r>
      <w:r>
        <w:rPr>
          <w:rStyle w:val="22"/>
          <w:rFonts w:hint="eastAsia" w:ascii="黑体" w:eastAsia="黑体"/>
          <w:b w:val="0"/>
        </w:rPr>
        <w:t>三公”经费财政拨款支出决算情况说明</w:t>
      </w:r>
      <w:bookmarkEnd w:id="51"/>
      <w:bookmarkEnd w:id="52"/>
      <w:bookmarkEnd w:id="53"/>
    </w:p>
    <w:p>
      <w:pPr>
        <w:spacing w:line="600" w:lineRule="exact"/>
        <w:ind w:firstLine="640"/>
        <w:outlineLvl w:val="2"/>
        <w:rPr>
          <w:rFonts w:ascii="仿宋" w:eastAsia="仿宋"/>
          <w:b/>
          <w:sz w:val="32"/>
          <w:szCs w:val="32"/>
        </w:rPr>
      </w:pPr>
      <w:bookmarkStart w:id="54" w:name="_Toc115799742"/>
      <w:bookmarkStart w:id="55" w:name="_Toc15377216"/>
      <w:r>
        <w:rPr>
          <w:rFonts w:hint="eastAsia" w:ascii="仿宋" w:eastAsia="仿宋"/>
          <w:b/>
          <w:sz w:val="32"/>
          <w:szCs w:val="32"/>
        </w:rPr>
        <w:t>（一）“三公”经费财政拨款支出决算总体情况说明</w:t>
      </w:r>
      <w:bookmarkEnd w:id="54"/>
      <w:bookmarkEnd w:id="55"/>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21年“三公”经费财政拨款支出决算为126.16万元，完成预算93.95</w:t>
      </w:r>
      <w:r>
        <w:rPr>
          <w:rFonts w:ascii="仿宋" w:eastAsia="仿宋"/>
          <w:sz w:val="32"/>
          <w:szCs w:val="32"/>
        </w:rPr>
        <w:t>%</w:t>
      </w:r>
      <w:r>
        <w:rPr>
          <w:rFonts w:hint="eastAsia" w:ascii="仿宋" w:eastAsia="仿宋"/>
          <w:sz w:val="32"/>
          <w:szCs w:val="32"/>
        </w:rPr>
        <w:t>。决算数小于预算数的原因是厉行节约，支出相应减少。</w:t>
      </w:r>
    </w:p>
    <w:p>
      <w:pPr>
        <w:spacing w:line="600" w:lineRule="exact"/>
        <w:ind w:firstLine="640"/>
        <w:outlineLvl w:val="2"/>
        <w:rPr>
          <w:rFonts w:ascii="仿宋" w:eastAsia="仿宋"/>
          <w:b/>
          <w:sz w:val="32"/>
          <w:szCs w:val="32"/>
        </w:rPr>
      </w:pPr>
      <w:bookmarkStart w:id="56" w:name="_Toc15377217"/>
      <w:bookmarkStart w:id="57" w:name="_Toc115799743"/>
      <w:r>
        <w:rPr>
          <w:rFonts w:hint="eastAsia" w:ascii="仿宋" w:eastAsia="仿宋"/>
          <w:b/>
          <w:sz w:val="32"/>
          <w:szCs w:val="32"/>
        </w:rPr>
        <w:t>（二）“三公”经费财政拨款支出决算具体情况说明</w:t>
      </w:r>
      <w:bookmarkEnd w:id="56"/>
      <w:bookmarkEnd w:id="57"/>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21年“三公”经费财政拨款支出决算中，因公出国（境）费支出决算0.00万元，占0.00</w:t>
      </w:r>
      <w:r>
        <w:rPr>
          <w:rFonts w:ascii="仿宋" w:eastAsia="仿宋"/>
          <w:sz w:val="32"/>
          <w:szCs w:val="32"/>
        </w:rPr>
        <w:t>%</w:t>
      </w:r>
      <w:r>
        <w:rPr>
          <w:rFonts w:hint="eastAsia" w:ascii="仿宋" w:eastAsia="仿宋"/>
          <w:sz w:val="32"/>
          <w:szCs w:val="32"/>
        </w:rPr>
        <w:t>；公务用车购置及运行维护费支出决算124.62万元，占98.78</w:t>
      </w:r>
      <w:r>
        <w:rPr>
          <w:rFonts w:ascii="仿宋" w:eastAsia="仿宋"/>
          <w:sz w:val="32"/>
          <w:szCs w:val="32"/>
        </w:rPr>
        <w:t>%</w:t>
      </w:r>
      <w:r>
        <w:rPr>
          <w:rFonts w:hint="eastAsia" w:ascii="仿宋" w:eastAsia="仿宋"/>
          <w:sz w:val="32"/>
          <w:szCs w:val="32"/>
        </w:rPr>
        <w:t>；公务接待费支出决算1.54万元，占1.22</w:t>
      </w:r>
      <w:r>
        <w:rPr>
          <w:rFonts w:ascii="仿宋" w:eastAsia="仿宋"/>
          <w:sz w:val="32"/>
          <w:szCs w:val="32"/>
        </w:rPr>
        <w:t>%</w:t>
      </w:r>
      <w:r>
        <w:rPr>
          <w:rFonts w:hint="eastAsia" w:ascii="仿宋" w:eastAsia="仿宋"/>
          <w:sz w:val="32"/>
          <w:szCs w:val="32"/>
        </w:rPr>
        <w:t>。具体情况如下：</w:t>
      </w:r>
    </w:p>
    <w:p>
      <w:pPr>
        <w:jc w:val="center"/>
      </w:pPr>
      <w:r>
        <w:drawing>
          <wp:inline distT="0" distB="0" distL="114300" distR="114300">
            <wp:extent cx="3724275" cy="2057400"/>
            <wp:effectExtent l="4445" t="5080" r="5080" b="13970"/>
            <wp:docPr id="108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jc w:val="center"/>
        <w:rPr>
          <w:rFonts w:ascii="仿宋" w:eastAsia="仿宋"/>
          <w:sz w:val="32"/>
          <w:szCs w:val="32"/>
        </w:rPr>
      </w:pPr>
      <w:r>
        <w:rPr>
          <w:rFonts w:hint="eastAsia" w:ascii="仿宋" w:eastAsia="仿宋"/>
          <w:sz w:val="32"/>
          <w:szCs w:val="32"/>
        </w:rPr>
        <w:t>（图7：“三公”经费财政拨款支出结构）（饼状图）</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rPr>
        <w:t>0.00万元，</w:t>
      </w:r>
      <w:r>
        <w:rPr>
          <w:rStyle w:val="19"/>
          <w:rFonts w:hint="eastAsia" w:ascii="仿宋" w:eastAsia="仿宋"/>
          <w:b w:val="0"/>
          <w:bCs/>
          <w:sz w:val="32"/>
          <w:szCs w:val="32"/>
        </w:rPr>
        <w:t>完成预算0.00</w:t>
      </w:r>
      <w:r>
        <w:rPr>
          <w:rStyle w:val="19"/>
          <w:rFonts w:ascii="仿宋" w:eastAsia="仿宋"/>
          <w:b w:val="0"/>
          <w:bCs/>
          <w:sz w:val="32"/>
          <w:szCs w:val="32"/>
        </w:rPr>
        <w:t>%</w:t>
      </w:r>
      <w:r>
        <w:rPr>
          <w:rStyle w:val="19"/>
          <w:rFonts w:hint="eastAsia" w:ascii="仿宋" w:eastAsia="仿宋"/>
          <w:b w:val="0"/>
          <w:bCs/>
          <w:sz w:val="32"/>
          <w:szCs w:val="32"/>
        </w:rPr>
        <w:t>。</w:t>
      </w:r>
      <w:r>
        <w:rPr>
          <w:rFonts w:hint="eastAsia" w:ascii="仿宋_GB2312" w:eastAsia="仿宋_GB2312"/>
          <w:sz w:val="32"/>
          <w:szCs w:val="32"/>
        </w:rPr>
        <w:t>全年安排因公出国（境）团组0次，出国（境）0人。因公出国（境）支出决算同</w:t>
      </w:r>
      <w:r>
        <w:rPr>
          <w:rFonts w:ascii="仿宋_GB2312" w:eastAsia="仿宋_GB2312"/>
          <w:sz w:val="32"/>
          <w:szCs w:val="32"/>
        </w:rPr>
        <w:t>20</w:t>
      </w:r>
      <w:r>
        <w:rPr>
          <w:rFonts w:hint="eastAsia" w:ascii="仿宋_GB2312" w:eastAsia="仿宋_GB2312"/>
          <w:sz w:val="32"/>
          <w:szCs w:val="32"/>
        </w:rPr>
        <w:t>20年持平。主要原因是中共四川省阿坝州委宣传部2021年不涉及出国（境）业务。</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142.62万元,</w:t>
      </w:r>
      <w:r>
        <w:rPr>
          <w:rStyle w:val="19"/>
          <w:rFonts w:hint="eastAsia" w:ascii="仿宋" w:eastAsia="仿宋"/>
          <w:b w:val="0"/>
          <w:bCs/>
          <w:sz w:val="32"/>
          <w:szCs w:val="32"/>
        </w:rPr>
        <w:t>完成预算94.21</w:t>
      </w:r>
      <w:r>
        <w:rPr>
          <w:rStyle w:val="19"/>
          <w:rFonts w:ascii="仿宋" w:eastAsia="仿宋"/>
          <w:b w:val="0"/>
          <w:bCs/>
          <w:sz w:val="32"/>
          <w:szCs w:val="32"/>
        </w:rPr>
        <w:t>%</w:t>
      </w:r>
      <w:r>
        <w:rPr>
          <w:rStyle w:val="19"/>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20年增加31.79万元，增长28.68</w:t>
      </w:r>
      <w:r>
        <w:rPr>
          <w:rFonts w:ascii="仿宋_GB2312" w:eastAsia="仿宋_GB2312"/>
          <w:sz w:val="32"/>
          <w:szCs w:val="32"/>
        </w:rPr>
        <w:t>%</w:t>
      </w:r>
      <w:r>
        <w:rPr>
          <w:rFonts w:hint="eastAsia" w:ascii="仿宋_GB2312" w:eastAsia="仿宋_GB2312"/>
          <w:sz w:val="32"/>
          <w:szCs w:val="32"/>
        </w:rPr>
        <w:t>。主要原因是</w:t>
      </w:r>
      <w:r>
        <w:rPr>
          <w:rStyle w:val="19"/>
          <w:rFonts w:hint="eastAsia" w:ascii="仿宋_GB2312" w:hAnsi="宋体" w:eastAsia="仿宋_GB2312" w:cs="宋体"/>
          <w:b w:val="0"/>
          <w:bCs/>
          <w:sz w:val="32"/>
          <w:szCs w:val="32"/>
          <w:shd w:val="clear" w:color="auto" w:fill="FFFFFF"/>
        </w:rPr>
        <w:t>增加中国共产党成立100周年开展党史教育、巡展、十三五发展成就宣传、感动阿坝年度人物颁奖文艺活动，召开全省文旅大会等宣传活动</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64.63万元。全年按规定更新购置公务用车1辆，其中：轿车0辆、金额0.00万元，越野车1辆、金额64.63万元，载客汽车0辆、金额0.00万元，主要用于</w:t>
      </w:r>
      <w:r>
        <w:rPr>
          <w:rFonts w:hint="eastAsia" w:ascii="仿宋_GB2312" w:hAnsi="仿宋_GB2312" w:eastAsia="仿宋_GB2312" w:cs="仿宋_GB2312"/>
          <w:color w:val="000000"/>
          <w:sz w:val="32"/>
          <w:szCs w:val="32"/>
        </w:rPr>
        <w:t>执行公务活动</w:t>
      </w: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月底，</w:t>
      </w:r>
      <w:r>
        <w:rPr>
          <w:rFonts w:hint="eastAsia" w:ascii="仿宋_GB2312" w:eastAsia="仿宋_GB2312"/>
          <w:color w:val="000000"/>
          <w:sz w:val="32"/>
          <w:szCs w:val="32"/>
        </w:rPr>
        <w:t>单位共有公务用车5辆，其中：轿车0辆、越野车5辆、载客汽车0辆。</w:t>
      </w:r>
    </w:p>
    <w:p>
      <w:pPr>
        <w:spacing w:line="600" w:lineRule="exact"/>
        <w:ind w:firstLine="640"/>
        <w:rPr>
          <w:rFonts w:ascii="仿宋_GB2312" w:hAnsi="仿宋_GB2312" w:eastAsia="仿宋_GB2312" w:cs="仿宋_GB2312"/>
          <w:color w:val="000000"/>
          <w:sz w:val="32"/>
          <w:szCs w:val="32"/>
        </w:rPr>
      </w:pPr>
      <w:r>
        <w:rPr>
          <w:rFonts w:hint="eastAsia" w:ascii="仿宋_GB2312" w:eastAsia="仿宋_GB2312"/>
          <w:b/>
          <w:sz w:val="32"/>
          <w:szCs w:val="32"/>
        </w:rPr>
        <w:t>公务用车运行维护费支出</w:t>
      </w:r>
      <w:r>
        <w:rPr>
          <w:rFonts w:hint="eastAsia" w:ascii="仿宋_GB2312" w:eastAsia="仿宋_GB2312"/>
          <w:sz w:val="32"/>
          <w:szCs w:val="32"/>
        </w:rPr>
        <w:t>59.99万元。主要用于</w:t>
      </w:r>
      <w:r>
        <w:rPr>
          <w:rFonts w:hint="eastAsia" w:ascii="仿宋_GB2312" w:hAnsi="仿宋_GB2312" w:eastAsia="仿宋_GB2312" w:cs="仿宋_GB2312"/>
          <w:color w:val="000000"/>
          <w:sz w:val="32"/>
          <w:szCs w:val="32"/>
        </w:rPr>
        <w:t>部机关及下属单位执行公务活动，协助州外新闻媒体记者在我州期间的采访报道等相关工作开展所需的公务用车燃料费、维修费、过路过桥费、保险费等支出。</w:t>
      </w:r>
    </w:p>
    <w:p>
      <w:pPr>
        <w:spacing w:line="600" w:lineRule="exact"/>
        <w:ind w:firstLine="643" w:firstLineChars="200"/>
        <w:rPr>
          <w:rFonts w:ascii="仿宋_GB2312" w:eastAsia="仿宋_GB2312"/>
          <w:sz w:val="32"/>
          <w:szCs w:val="32"/>
        </w:rPr>
      </w:pPr>
      <w:r>
        <w:rPr>
          <w:rFonts w:hint="eastAsia" w:ascii="仿宋_GB2312" w:eastAsia="仿宋_GB2312"/>
          <w:b/>
          <w:sz w:val="32"/>
          <w:szCs w:val="32"/>
        </w:rPr>
        <w:t>3.公务接待费支出</w:t>
      </w:r>
      <w:r>
        <w:rPr>
          <w:rFonts w:hint="eastAsia" w:ascii="仿宋_GB2312" w:eastAsia="仿宋_GB2312"/>
          <w:sz w:val="32"/>
          <w:szCs w:val="32"/>
        </w:rPr>
        <w:t>1.54万元，</w:t>
      </w:r>
      <w:r>
        <w:rPr>
          <w:rStyle w:val="19"/>
          <w:rFonts w:hint="eastAsia" w:ascii="仿宋" w:eastAsia="仿宋"/>
          <w:b w:val="0"/>
          <w:bCs/>
          <w:sz w:val="32"/>
          <w:szCs w:val="32"/>
        </w:rPr>
        <w:t>完成预算73.68</w:t>
      </w:r>
      <w:r>
        <w:rPr>
          <w:rStyle w:val="19"/>
          <w:rFonts w:ascii="仿宋" w:eastAsia="仿宋"/>
          <w:b w:val="0"/>
          <w:bCs/>
          <w:sz w:val="32"/>
          <w:szCs w:val="32"/>
        </w:rPr>
        <w:t>%</w:t>
      </w:r>
      <w:r>
        <w:rPr>
          <w:rStyle w:val="19"/>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20年增加0.45万元，增长41.28</w:t>
      </w:r>
      <w:r>
        <w:rPr>
          <w:rFonts w:ascii="仿宋_GB2312" w:eastAsia="仿宋_GB2312"/>
          <w:sz w:val="32"/>
          <w:szCs w:val="32"/>
        </w:rPr>
        <w:t>%</w:t>
      </w:r>
      <w:r>
        <w:rPr>
          <w:rFonts w:hint="eastAsia" w:ascii="仿宋_GB2312" w:eastAsia="仿宋_GB2312"/>
          <w:sz w:val="32"/>
          <w:szCs w:val="32"/>
        </w:rPr>
        <w:t>。主要原因是开展媒体宣传活动增多。其中：</w:t>
      </w:r>
    </w:p>
    <w:p>
      <w:pPr>
        <w:spacing w:line="600" w:lineRule="exact"/>
        <w:ind w:firstLine="640"/>
        <w:rPr>
          <w:rFonts w:ascii="仿宋_GB2312" w:eastAsia="仿宋_GB2312"/>
          <w:color w:val="000000"/>
          <w:sz w:val="32"/>
          <w:szCs w:val="32"/>
        </w:rPr>
      </w:pPr>
      <w:r>
        <w:rPr>
          <w:rFonts w:hint="eastAsia" w:ascii="仿宋" w:eastAsia="仿宋"/>
          <w:b/>
          <w:sz w:val="32"/>
          <w:szCs w:val="32"/>
        </w:rPr>
        <w:t>国内公务接待支出</w:t>
      </w:r>
      <w:r>
        <w:rPr>
          <w:rFonts w:hint="eastAsia" w:ascii="仿宋" w:eastAsia="仿宋"/>
          <w:sz w:val="32"/>
          <w:szCs w:val="32"/>
        </w:rPr>
        <w:t>1.54</w:t>
      </w:r>
      <w:r>
        <w:rPr>
          <w:rFonts w:hint="eastAsia" w:ascii="仿宋_GB2312" w:eastAsia="仿宋_GB2312"/>
          <w:sz w:val="32"/>
          <w:szCs w:val="32"/>
        </w:rPr>
        <w:t>万元，</w:t>
      </w:r>
      <w:r>
        <w:rPr>
          <w:rFonts w:hint="eastAsia" w:ascii="仿宋_GB2312" w:eastAsia="仿宋_GB2312"/>
          <w:color w:val="000000"/>
          <w:sz w:val="32"/>
          <w:szCs w:val="32"/>
        </w:rPr>
        <w:t>主要用于执行公务、开展业务活动住宿费、用餐费等。国内公务接待18批次，141人次，共计支出1.54万元，具体内容包括：开展活动、媒体采访、调研交流。</w:t>
      </w:r>
    </w:p>
    <w:p>
      <w:pPr>
        <w:spacing w:line="600" w:lineRule="exact"/>
        <w:ind w:firstLine="643" w:firstLineChars="200"/>
        <w:rPr>
          <w:rFonts w:ascii="仿宋_GB2312" w:eastAsia="仿宋_GB2312"/>
          <w:sz w:val="32"/>
          <w:szCs w:val="32"/>
        </w:rPr>
      </w:pPr>
      <w:r>
        <w:rPr>
          <w:rFonts w:hint="eastAsia" w:ascii="仿宋" w:eastAsia="仿宋"/>
          <w:b/>
          <w:sz w:val="32"/>
          <w:szCs w:val="32"/>
        </w:rPr>
        <w:t>外事接待支出</w:t>
      </w:r>
      <w:r>
        <w:rPr>
          <w:rFonts w:hint="eastAsia" w:ascii="仿宋" w:eastAsia="仿宋"/>
          <w:sz w:val="32"/>
          <w:szCs w:val="32"/>
        </w:rPr>
        <w:t>0.00</w:t>
      </w:r>
      <w:r>
        <w:rPr>
          <w:rFonts w:hint="eastAsia" w:ascii="仿宋_GB2312" w:eastAsia="仿宋_GB2312"/>
          <w:sz w:val="32"/>
          <w:szCs w:val="32"/>
        </w:rPr>
        <w:t>万元，中共四川省阿坝州委宣传部不涉及外事接待。</w:t>
      </w:r>
    </w:p>
    <w:p>
      <w:pPr>
        <w:spacing w:line="600" w:lineRule="exact"/>
        <w:ind w:firstLine="640"/>
        <w:outlineLvl w:val="1"/>
        <w:rPr>
          <w:rStyle w:val="22"/>
          <w:rFonts w:ascii="黑体" w:eastAsia="黑体"/>
        </w:rPr>
      </w:pPr>
      <w:bookmarkStart w:id="58" w:name="_Toc15377218"/>
      <w:bookmarkStart w:id="59" w:name="_Toc115799744"/>
      <w:bookmarkStart w:id="60" w:name="_Toc15396610"/>
      <w:r>
        <w:rPr>
          <w:rFonts w:hint="eastAsia" w:ascii="黑体" w:eastAsia="黑体"/>
          <w:sz w:val="32"/>
          <w:szCs w:val="32"/>
        </w:rPr>
        <w:t>八、</w:t>
      </w:r>
      <w:r>
        <w:rPr>
          <w:rStyle w:val="22"/>
          <w:rFonts w:hint="eastAsia" w:ascii="黑体" w:eastAsia="黑体"/>
          <w:b w:val="0"/>
        </w:rPr>
        <w:t>政府性基金预算支出决算情况说明</w:t>
      </w:r>
      <w:bookmarkEnd w:id="58"/>
      <w:bookmarkEnd w:id="59"/>
      <w:bookmarkEnd w:id="60"/>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21年政府性基金预算财政拨款支出0.00万元。</w:t>
      </w:r>
    </w:p>
    <w:p>
      <w:pPr>
        <w:numPr>
          <w:ilvl w:val="0"/>
          <w:numId w:val="2"/>
        </w:numPr>
        <w:spacing w:line="600" w:lineRule="exact"/>
        <w:ind w:firstLine="640"/>
        <w:outlineLvl w:val="1"/>
        <w:rPr>
          <w:rStyle w:val="22"/>
          <w:rFonts w:ascii="黑体" w:eastAsia="黑体"/>
          <w:b w:val="0"/>
        </w:rPr>
      </w:pPr>
      <w:bookmarkStart w:id="61" w:name="_Toc115799745"/>
      <w:bookmarkStart w:id="62" w:name="_Toc15396611"/>
      <w:bookmarkStart w:id="63" w:name="_Toc15377219"/>
      <w:r>
        <w:rPr>
          <w:rStyle w:val="22"/>
          <w:rFonts w:hint="eastAsia" w:ascii="黑体" w:eastAsia="黑体"/>
          <w:b w:val="0"/>
        </w:rPr>
        <w:t>国有资本经营预算支出决算情况说明</w:t>
      </w:r>
      <w:bookmarkEnd w:id="61"/>
      <w:bookmarkEnd w:id="62"/>
      <w:bookmarkEnd w:id="63"/>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21年国有资本经营预算财政拨款支出0.00万元。</w:t>
      </w:r>
    </w:p>
    <w:p>
      <w:pPr>
        <w:numPr>
          <w:ilvl w:val="0"/>
          <w:numId w:val="2"/>
        </w:numPr>
        <w:spacing w:line="600" w:lineRule="exact"/>
        <w:ind w:firstLine="640"/>
        <w:outlineLvl w:val="1"/>
        <w:rPr>
          <w:rStyle w:val="22"/>
          <w:rFonts w:ascii="黑体" w:eastAsia="黑体"/>
          <w:b w:val="0"/>
        </w:rPr>
      </w:pPr>
      <w:bookmarkStart w:id="64" w:name="_Toc15396612"/>
      <w:bookmarkStart w:id="65" w:name="_Toc15377221"/>
      <w:bookmarkStart w:id="66" w:name="_Toc115799746"/>
      <w:r>
        <w:rPr>
          <w:rStyle w:val="22"/>
          <w:rFonts w:hint="eastAsia" w:ascii="黑体" w:eastAsia="黑体"/>
          <w:b w:val="0"/>
        </w:rPr>
        <w:t>其他重要事项的情况说明</w:t>
      </w:r>
      <w:bookmarkEnd w:id="64"/>
      <w:bookmarkEnd w:id="65"/>
      <w:bookmarkEnd w:id="66"/>
    </w:p>
    <w:p>
      <w:pPr>
        <w:spacing w:line="600" w:lineRule="exact"/>
        <w:ind w:firstLine="643" w:firstLineChars="200"/>
        <w:outlineLvl w:val="2"/>
        <w:rPr>
          <w:rFonts w:ascii="仿宋" w:eastAsia="仿宋"/>
          <w:sz w:val="32"/>
          <w:szCs w:val="32"/>
        </w:rPr>
      </w:pPr>
      <w:bookmarkStart w:id="67" w:name="_Toc115799747"/>
      <w:bookmarkStart w:id="68" w:name="_Toc15377222"/>
      <w:r>
        <w:rPr>
          <w:rFonts w:hint="eastAsia" w:ascii="仿宋" w:eastAsia="仿宋"/>
          <w:b/>
          <w:sz w:val="32"/>
          <w:szCs w:val="32"/>
        </w:rPr>
        <w:t>（一）机关运行经费支出情况</w:t>
      </w:r>
      <w:bookmarkEnd w:id="67"/>
      <w:bookmarkEnd w:id="68"/>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21年，中共四川省阿坝州委宣传部机关运行经费支出126.16万元，比</w:t>
      </w:r>
      <w:r>
        <w:rPr>
          <w:rFonts w:ascii="仿宋_GB2312" w:eastAsia="仿宋_GB2312"/>
          <w:sz w:val="32"/>
          <w:szCs w:val="32"/>
        </w:rPr>
        <w:t>20</w:t>
      </w:r>
      <w:r>
        <w:rPr>
          <w:rFonts w:hint="eastAsia" w:ascii="仿宋_GB2312" w:eastAsia="仿宋_GB2312"/>
          <w:sz w:val="32"/>
          <w:szCs w:val="32"/>
        </w:rPr>
        <w:t>20年减少40.77万元，下降24.42</w:t>
      </w:r>
      <w:r>
        <w:rPr>
          <w:rFonts w:ascii="仿宋_GB2312" w:eastAsia="仿宋_GB2312"/>
          <w:sz w:val="32"/>
          <w:szCs w:val="32"/>
        </w:rPr>
        <w:t>%</w:t>
      </w:r>
      <w:r>
        <w:rPr>
          <w:rFonts w:hint="eastAsia" w:ascii="仿宋_GB2312" w:eastAsia="仿宋_GB2312"/>
          <w:sz w:val="32"/>
          <w:szCs w:val="32"/>
        </w:rPr>
        <w:t>。主要原因是厉行节约。</w:t>
      </w:r>
    </w:p>
    <w:p>
      <w:pPr>
        <w:autoSpaceDE w:val="0"/>
        <w:autoSpaceDN w:val="0"/>
        <w:adjustRightInd w:val="0"/>
        <w:spacing w:line="600" w:lineRule="exact"/>
        <w:ind w:firstLine="643" w:firstLineChars="200"/>
        <w:jc w:val="left"/>
        <w:outlineLvl w:val="2"/>
        <w:rPr>
          <w:rFonts w:ascii="仿宋" w:eastAsia="仿宋"/>
          <w:b/>
          <w:sz w:val="32"/>
          <w:szCs w:val="32"/>
        </w:rPr>
      </w:pPr>
      <w:bookmarkStart w:id="69" w:name="_Toc115799748"/>
      <w:bookmarkStart w:id="70" w:name="_Toc15377223"/>
      <w:r>
        <w:rPr>
          <w:rFonts w:hint="eastAsia" w:ascii="仿宋" w:eastAsia="仿宋"/>
          <w:b/>
          <w:sz w:val="32"/>
          <w:szCs w:val="32"/>
        </w:rPr>
        <w:t>（二）政府采购支出情况</w:t>
      </w:r>
      <w:bookmarkEnd w:id="69"/>
      <w:bookmarkEnd w:id="70"/>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中共四川省阿坝州委宣传部政府采购支出总额65.12万元，其中：政府采购货物支出65.12万元、政府采购工程支出0.00万元、政府采购服务支出0.00万元。主要用于执行公务。授予中小企业合同金额65.12万元，占政府采购支出总额的100</w:t>
      </w:r>
      <w:r>
        <w:rPr>
          <w:rFonts w:ascii="仿宋_GB2312" w:eastAsia="仿宋_GB2312"/>
          <w:sz w:val="32"/>
          <w:szCs w:val="32"/>
        </w:rPr>
        <w:t>%</w:t>
      </w:r>
      <w:r>
        <w:rPr>
          <w:rFonts w:hint="eastAsia" w:ascii="仿宋_GB2312" w:eastAsia="仿宋_GB2312"/>
          <w:sz w:val="32"/>
          <w:szCs w:val="32"/>
        </w:rPr>
        <w:t>，其中：授予小微企业合同金额65.12万元，占政府采购支出总额的100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71" w:name="_Toc15377224"/>
      <w:bookmarkStart w:id="72" w:name="_Toc115799749"/>
      <w:r>
        <w:rPr>
          <w:rFonts w:hint="eastAsia" w:ascii="仿宋" w:eastAsia="仿宋"/>
          <w:b/>
          <w:sz w:val="32"/>
          <w:szCs w:val="32"/>
        </w:rPr>
        <w:t>（三）国有资产占有使用情况</w:t>
      </w:r>
      <w:bookmarkEnd w:id="71"/>
      <w:bookmarkEnd w:id="7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color w:val="000000"/>
          <w:sz w:val="32"/>
          <w:szCs w:val="32"/>
        </w:rPr>
        <w:t>中共四川省阿坝州委宣传部共有车辆5辆，其中：主要领导干部用车0辆、机要通信用车0辆、应急保障用车5辆、其他用车0辆。主要是用于执行公务。单价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eastAsia="仿宋"/>
          <w:b/>
          <w:sz w:val="32"/>
          <w:szCs w:val="32"/>
        </w:rPr>
      </w:pPr>
      <w:bookmarkStart w:id="73" w:name="_Toc115799750"/>
      <w:r>
        <w:rPr>
          <w:rFonts w:hint="eastAsia" w:ascii="仿宋" w:eastAsia="仿宋"/>
          <w:b/>
          <w:sz w:val="32"/>
          <w:szCs w:val="32"/>
        </w:rPr>
        <w:t>（四）预算绩效管理情况</w:t>
      </w:r>
      <w:bookmarkEnd w:id="73"/>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根据预算绩效管理要求，本单位在2021年度预算编制阶段，组织对庆祝建党100周年活动暨党史学习教育领导小组办公室工作经费、2021年全省文旅大会宣传经费等</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个项目开展了绩效自评，2021年特定目标类部门预算项目绩效目标自评表见附件（第四部分）。</w:t>
      </w:r>
    </w:p>
    <w:p>
      <w:pPr>
        <w:pStyle w:val="6"/>
        <w:spacing w:before="93"/>
        <w:rPr>
          <w:highlight w:val="yellow"/>
        </w:rPr>
      </w:pP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3"/>
        </w:numPr>
        <w:spacing w:line="600" w:lineRule="exact"/>
        <w:ind w:firstLine="660" w:firstLineChars="150"/>
        <w:jc w:val="center"/>
        <w:outlineLvl w:val="0"/>
        <w:rPr>
          <w:rStyle w:val="21"/>
          <w:rFonts w:ascii="黑体" w:eastAsia="黑体"/>
          <w:b w:val="0"/>
        </w:rPr>
      </w:pPr>
      <w:bookmarkStart w:id="74" w:name="_Toc115799751"/>
      <w:bookmarkStart w:id="75" w:name="_Toc15396613"/>
      <w:bookmarkStart w:id="76" w:name="_Toc15377225"/>
      <w:r>
        <w:rPr>
          <w:rFonts w:hint="eastAsia" w:ascii="黑体" w:eastAsia="黑体"/>
          <w:sz w:val="44"/>
          <w:szCs w:val="44"/>
        </w:rPr>
        <w:t>名</w:t>
      </w:r>
      <w:r>
        <w:rPr>
          <w:rStyle w:val="21"/>
          <w:rFonts w:hint="eastAsia" w:ascii="黑体" w:eastAsia="黑体"/>
          <w:b w:val="0"/>
        </w:rPr>
        <w:t>词解释</w:t>
      </w:r>
      <w:bookmarkEnd w:id="74"/>
      <w:bookmarkEnd w:id="75"/>
      <w:bookmarkEnd w:id="76"/>
    </w:p>
    <w:p>
      <w:pPr>
        <w:spacing w:line="600" w:lineRule="exact"/>
        <w:jc w:val="left"/>
        <w:rPr>
          <w:rFonts w:ascii="宋体"/>
          <w:b/>
          <w:sz w:val="44"/>
          <w:szCs w:val="44"/>
        </w:rPr>
      </w:pPr>
    </w:p>
    <w:p>
      <w:pPr>
        <w:pStyle w:val="26"/>
        <w:spacing w:line="560" w:lineRule="exact"/>
        <w:ind w:firstLine="640" w:firstLineChars="200"/>
        <w:rPr>
          <w:rFonts w:ascii="仿宋_GB2312" w:eastAsia="仿宋_GB2312"/>
          <w:sz w:val="32"/>
          <w:szCs w:val="32"/>
        </w:rPr>
      </w:pPr>
      <w:bookmarkStart w:id="77"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其他收入：指单位取得的除上述收入以外的各项收入。主要是利息收入（收入类型）等。</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70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9.一般公共服务（类）宣传事务（款）行政运行（项）指宣传部行政单位，用于保障机构正常运行、开展日常工作的基本支出。</w:t>
      </w:r>
    </w:p>
    <w:p>
      <w:pPr>
        <w:overflowPunct w:val="0"/>
        <w:adjustRightInd w:val="0"/>
        <w:snapToGrid w:val="0"/>
        <w:spacing w:line="70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10.一般公共服务（类）宣传事务（款）一般行政管理事务（项）：指宣传部行政单位未单独设置项级科目的其他项目支出。</w:t>
      </w:r>
    </w:p>
    <w:p>
      <w:pPr>
        <w:pStyle w:val="2"/>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11.一般公共服务（类）其他一般公共服务（款）其他一般公共服务（项）:指宣传部行政单位未调协的其他项目。</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12.</w:t>
      </w:r>
      <w:r>
        <w:rPr>
          <w:rFonts w:hint="eastAsia" w:ascii="仿宋_GB2312" w:hAnsi="仿宋_GB2312" w:eastAsia="仿宋_GB2312" w:cs="仿宋_GB2312"/>
          <w:color w:val="000000"/>
          <w:sz w:val="32"/>
          <w:szCs w:val="32"/>
        </w:rPr>
        <w:t>教育（类）其他教育（款）其他教育（项）：指其他人才发展资金。</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13.文化体育与传媒（类）其他文化体育与传媒（款）宣传文化发展专项支出（项）：指宣传部按照国家有关政策支持宣传文化单位发展的专项支出。</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14.社会保障和就业支出（类）行政事业单位离退休（款）机关事业单位基本养老保险缴费（项）：指机关事业单位实施养老保险制度由单位缴纳的基本养老保险费支出。</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15.社会保障和就业支出（类）行政事业单位离退休（款）机关事业单位职业年金缴费（项）：指机关事业单位实施养老保险制度由单位实际缴纳的职业年金支出。</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16.医疗卫生与计划生育支出（类）行政事业单位医疗（款）行政单位医疗（项）：指由行政单位缴纳的医疗保险费支出。</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17.医疗卫生与计划生育支出（类）行政事业单位医疗（款）公务员医疗补助（项）：指由行政单位缴纳的公务员医疗补助费。</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18.住房保障支出（类）住房改革支出（款）住房公积金（项）：按人力资源和社会保障部、财政部规定的基本工资和津补贴以及规定比例为职工缴纳的住房公积金。</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19.基本支出：指为保障机构正常运转、完成日常工作任务而发生的人员支出和公用支出。</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20.项目支出：指在基本支出之外为完成特定行政任务和事业发展目标所发生的支出。 </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21.经营支出：指事业单位在专业业务活动及其辅助活动之外开展非独立核算经营活动发生的支出。</w:t>
      </w:r>
    </w:p>
    <w:p>
      <w:pPr>
        <w:pStyle w:val="26"/>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700" w:lineRule="exact"/>
        <w:ind w:firstLine="640" w:firstLineChars="200"/>
        <w:rPr>
          <w:rFonts w:ascii="仿宋_GB2312" w:hAnsi="仿宋_GB2312" w:eastAsia="仿宋_GB2312" w:cs="仿宋_GB2312"/>
          <w:w w:val="98"/>
          <w:sz w:val="32"/>
          <w:szCs w:val="32"/>
        </w:rPr>
      </w:pPr>
      <w:r>
        <w:rPr>
          <w:rFonts w:hint="eastAsia" w:ascii="仿宋_GB2312" w:hAnsi="仿宋_GB2312" w:eastAsia="仿宋_GB2312" w:cs="仿宋_GB2312"/>
          <w:sz w:val="32"/>
          <w:szCs w:val="32"/>
        </w:rPr>
        <w:t>23.</w:t>
      </w:r>
      <w:r>
        <w:rPr>
          <w:rFonts w:hint="eastAsia" w:ascii="仿宋_GB2312" w:hAnsi="仿宋_GB2312" w:eastAsia="仿宋_GB2312" w:cs="仿宋_GB2312"/>
          <w:w w:val="98"/>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1"/>
          <w:rFonts w:hint="eastAsia" w:ascii="黑体" w:eastAsia="黑体"/>
          <w:b w:val="0"/>
        </w:rPr>
      </w:pPr>
      <w:r>
        <w:rPr>
          <w:rFonts w:ascii="宋体"/>
          <w:b/>
          <w:sz w:val="44"/>
          <w:szCs w:val="44"/>
        </w:rPr>
        <w:br w:type="page"/>
      </w:r>
      <w:bookmarkStart w:id="78" w:name="_Toc15396614"/>
      <w:bookmarkStart w:id="79" w:name="_Toc115799752"/>
      <w:r>
        <w:rPr>
          <w:rFonts w:hint="eastAsia" w:ascii="黑体" w:eastAsia="黑体"/>
          <w:sz w:val="44"/>
          <w:szCs w:val="44"/>
        </w:rPr>
        <w:t>第</w:t>
      </w:r>
      <w:r>
        <w:rPr>
          <w:rStyle w:val="21"/>
          <w:rFonts w:hint="eastAsia" w:ascii="黑体" w:eastAsia="黑体"/>
          <w:b w:val="0"/>
        </w:rPr>
        <w:t>四部分 附件</w:t>
      </w:r>
      <w:bookmarkEnd w:id="78"/>
      <w:bookmarkEnd w:id="79"/>
    </w:p>
    <w:p>
      <w:pPr>
        <w:spacing w:line="572" w:lineRule="exact"/>
        <w:jc w:val="left"/>
        <w:outlineLvl w:val="0"/>
        <w:rPr>
          <w:rFonts w:hint="eastAsia" w:ascii="黑体" w:eastAsia="黑体" w:cs="黑体"/>
          <w:sz w:val="32"/>
          <w:szCs w:val="32"/>
        </w:rPr>
      </w:pPr>
      <w:r>
        <w:rPr>
          <w:rFonts w:hint="eastAsia" w:ascii="黑体" w:eastAsia="黑体" w:cs="黑体"/>
          <w:sz w:val="32"/>
          <w:szCs w:val="32"/>
        </w:rPr>
        <w:t>附件</w:t>
      </w:r>
    </w:p>
    <w:p>
      <w:pPr>
        <w:spacing w:line="600" w:lineRule="exact"/>
        <w:jc w:val="center"/>
        <w:rPr>
          <w:rFonts w:ascii="方正小标宋简体" w:eastAsia="方正小标宋简体" w:cs="方正小标宋简体"/>
          <w:sz w:val="40"/>
          <w:szCs w:val="40"/>
          <w:lang w:val="zh-CN"/>
        </w:rPr>
      </w:pPr>
      <w:r>
        <w:rPr>
          <w:rFonts w:hint="eastAsia" w:ascii="方正小标宋简体" w:eastAsia="方正小标宋简体" w:cs="方正小标宋简体"/>
          <w:sz w:val="40"/>
          <w:szCs w:val="40"/>
        </w:rPr>
        <w:t>2021年</w:t>
      </w:r>
      <w:r>
        <w:rPr>
          <w:rFonts w:hint="eastAsia" w:ascii="方正小标宋简体" w:eastAsia="方正小标宋简体" w:cs="方正小标宋简体"/>
          <w:sz w:val="40"/>
          <w:szCs w:val="40"/>
          <w:lang w:val="zh-CN"/>
        </w:rPr>
        <w:t>阿坝州精神文明建设工作经费</w:t>
      </w:r>
      <w:r>
        <w:rPr>
          <w:rFonts w:hint="eastAsia" w:ascii="方正小标宋简体" w:eastAsia="方正小标宋简体" w:cs="方正小标宋简体"/>
          <w:sz w:val="40"/>
          <w:szCs w:val="40"/>
          <w:lang w:val="zh-CN"/>
        </w:rPr>
        <w:t>专项预算项目支出绩效自评报告</w:t>
      </w:r>
    </w:p>
    <w:p>
      <w:pPr>
        <w:spacing w:line="360" w:lineRule="exact"/>
        <w:ind w:firstLine="641"/>
        <w:jc w:val="center"/>
        <w:rPr>
          <w:rFonts w:ascii="宋体"/>
          <w:sz w:val="32"/>
          <w:szCs w:val="32"/>
          <w:lang w:val="zh-CN"/>
        </w:rPr>
      </w:pPr>
    </w:p>
    <w:p>
      <w:pPr>
        <w:adjustRightInd w:val="0"/>
        <w:snapToGrid w:val="0"/>
        <w:spacing w:line="600" w:lineRule="exact"/>
        <w:ind w:firstLine="720"/>
        <w:rPr>
          <w:rFonts w:hint="eastAsia" w:ascii="黑体" w:eastAsia="黑体"/>
          <w:sz w:val="32"/>
          <w:szCs w:val="32"/>
          <w:lang w:val="zh-CN" w:eastAsia="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560" w:lineRule="exact"/>
        <w:ind w:firstLine="720"/>
        <w:rPr>
          <w:rFonts w:ascii="楷体_GB2312" w:eastAsia="楷体_GB2312"/>
          <w:b/>
          <w:sz w:val="32"/>
          <w:szCs w:val="32"/>
          <w:lang w:val="zh-CN"/>
        </w:rPr>
      </w:pPr>
      <w:r>
        <w:rPr>
          <w:rFonts w:hint="eastAsia" w:ascii="楷体_GB2312" w:eastAsia="楷体_GB2312"/>
          <w:b/>
          <w:sz w:val="32"/>
          <w:szCs w:val="32"/>
          <w:lang w:val="zh-CN"/>
        </w:rPr>
        <w:t>（一）项目基本情况。</w:t>
      </w:r>
    </w:p>
    <w:p>
      <w:pPr>
        <w:spacing w:line="560" w:lineRule="exact"/>
        <w:ind w:firstLine="640" w:firstLineChars="200"/>
        <w:rPr>
          <w:rFonts w:ascii="仿宋_GB2312" w:eastAsia="仿宋_GB2312"/>
          <w:sz w:val="32"/>
          <w:szCs w:val="32"/>
        </w:rPr>
      </w:pP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val="zh-CN"/>
        </w:rPr>
        <w:t>重大政策或项目的基本情况：</w:t>
      </w:r>
      <w:r>
        <w:rPr>
          <w:rFonts w:hint="eastAsia" w:ascii="仿宋_GB2312" w:eastAsia="仿宋_GB2312"/>
          <w:sz w:val="32"/>
          <w:szCs w:val="32"/>
        </w:rPr>
        <w:t>常规化开展文明礼仪、文明行为的培育养成,未成年人思想道德建设工作，社会事务的规范化管理，文化教育事业的发展进步，开展全民阅读等相关工作。</w:t>
      </w:r>
    </w:p>
    <w:p>
      <w:pPr>
        <w:spacing w:line="560" w:lineRule="exact"/>
        <w:ind w:firstLine="640" w:firstLineChars="200"/>
        <w:rPr>
          <w:rFonts w:ascii="仿宋_GB2312" w:hAnsi="仿宋_GB2312" w:eastAsia="仿宋_GB2312" w:cs="仿宋_GB2312"/>
          <w:sz w:val="32"/>
          <w:szCs w:val="32"/>
        </w:rPr>
      </w:pPr>
      <w:r>
        <w:rPr>
          <w:rFonts w:hint="eastAsia" w:ascii="仿宋_GB2312" w:eastAsia="仿宋_GB2312"/>
          <w:sz w:val="32"/>
          <w:szCs w:val="32"/>
          <w:lang w:val="zh-CN"/>
        </w:rPr>
        <w:t>2．项目立项、资金申报的依据：</w:t>
      </w:r>
      <w:r>
        <w:rPr>
          <w:rFonts w:hint="eastAsia" w:ascii="仿宋_GB2312" w:hAnsi="仿宋_GB2312" w:eastAsia="仿宋_GB2312" w:cs="仿宋_GB2312"/>
          <w:sz w:val="32"/>
          <w:szCs w:val="32"/>
        </w:rPr>
        <w:t>以“举旗帜、聚民心、育新人、兴文化、展形象”为出发点和落脚点，广泛开展理想信念教育，深入实施公民思想道德建设工程，深化群众性精神文明创建活动，不断开创全州精神文明建设工作新局面。</w:t>
      </w:r>
    </w:p>
    <w:p>
      <w:pPr>
        <w:adjustRightInd w:val="0"/>
        <w:snapToGrid w:val="0"/>
        <w:spacing w:line="560" w:lineRule="exact"/>
        <w:ind w:firstLine="720"/>
        <w:rPr>
          <w:rFonts w:ascii="仿宋_GB2312" w:eastAsia="仿宋_GB2312"/>
          <w:sz w:val="32"/>
          <w:szCs w:val="32"/>
        </w:rPr>
      </w:pPr>
      <w:r>
        <w:rPr>
          <w:rFonts w:hint="eastAsia" w:ascii="仿宋_GB2312" w:eastAsia="仿宋_GB2312"/>
          <w:sz w:val="32"/>
          <w:szCs w:val="32"/>
          <w:lang w:val="zh-CN"/>
        </w:rPr>
        <w:t>3．制定了相应的资金管理办法，该项目预算资金</w:t>
      </w:r>
      <w:r>
        <w:rPr>
          <w:rFonts w:hint="eastAsia" w:ascii="仿宋_GB2312" w:eastAsia="仿宋_GB2312"/>
          <w:sz w:val="32"/>
          <w:szCs w:val="32"/>
        </w:rPr>
        <w:t>36万元，年底完成支付35.38万元，支付率98.28%</w:t>
      </w:r>
    </w:p>
    <w:p>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4．</w:t>
      </w:r>
      <w:r>
        <w:rPr>
          <w:rFonts w:hint="eastAsia" w:ascii="仿宋_GB2312" w:hAnsi="仿宋_GB2312" w:eastAsia="仿宋_GB2312" w:cs="仿宋_GB2312"/>
          <w:color w:val="000000"/>
          <w:kern w:val="0"/>
          <w:sz w:val="32"/>
          <w:szCs w:val="32"/>
        </w:rPr>
        <w:t>该项目年初预算数与决算数偏差程度1.7%，实现项目预算编制合理、真实、完整</w:t>
      </w:r>
      <w:r>
        <w:rPr>
          <w:rFonts w:hint="eastAsia" w:ascii="仿宋_GB2312" w:eastAsia="仿宋_GB2312"/>
          <w:sz w:val="32"/>
          <w:szCs w:val="32"/>
          <w:lang w:val="zh-CN"/>
        </w:rPr>
        <w:t>。</w:t>
      </w:r>
    </w:p>
    <w:p>
      <w:pPr>
        <w:adjustRightInd w:val="0"/>
        <w:snapToGrid w:val="0"/>
        <w:spacing w:line="560" w:lineRule="exact"/>
        <w:ind w:firstLine="720"/>
        <w:rPr>
          <w:rFonts w:ascii="楷体_GB2312" w:eastAsia="楷体_GB2312"/>
          <w:b/>
          <w:sz w:val="32"/>
          <w:szCs w:val="32"/>
          <w:lang w:val="zh-CN"/>
        </w:rPr>
      </w:pPr>
      <w:r>
        <w:rPr>
          <w:rFonts w:hint="eastAsia" w:ascii="楷体_GB2312" w:eastAsia="楷体_GB2312"/>
          <w:b/>
          <w:sz w:val="32"/>
          <w:szCs w:val="32"/>
          <w:lang w:val="zh-CN"/>
        </w:rPr>
        <w:t>（二）项目绩效目标。</w:t>
      </w:r>
    </w:p>
    <w:p>
      <w:pPr>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1．项目主要内容。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项目用于指导全州群众性精神文明建设工作及开展全民阅读活动。</w:t>
      </w:r>
    </w:p>
    <w:p>
      <w:pPr>
        <w:adjustRightInd w:val="0"/>
        <w:snapToGrid w:val="0"/>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2．项目应实现的具体绩效目标。</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用于指导全州群众性精神文明建设工作及开展全民阅读活动。</w:t>
      </w:r>
    </w:p>
    <w:p>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3．</w:t>
      </w:r>
      <w:r>
        <w:rPr>
          <w:rFonts w:hint="eastAsia" w:ascii="仿宋_GB2312" w:eastAsia="仿宋_GB2312"/>
          <w:sz w:val="32"/>
          <w:szCs w:val="32"/>
        </w:rPr>
        <w:t>该项目的</w:t>
      </w:r>
      <w:r>
        <w:rPr>
          <w:rFonts w:hint="eastAsia" w:ascii="仿宋_GB2312" w:eastAsia="仿宋_GB2312"/>
          <w:sz w:val="32"/>
          <w:szCs w:val="32"/>
          <w:lang w:val="zh-CN"/>
        </w:rPr>
        <w:t>申报内容与实际相符，该项目的申报目标合理可行。</w:t>
      </w:r>
    </w:p>
    <w:p>
      <w:pPr>
        <w:adjustRightInd w:val="0"/>
        <w:snapToGrid w:val="0"/>
        <w:spacing w:line="560"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（三）项目自评步骤及方法。</w:t>
      </w:r>
    </w:p>
    <w:p>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该项目绩效评价采用自评方式进行，对项目的年初计划、批复、实施情况进行了分析。</w:t>
      </w:r>
    </w:p>
    <w:p>
      <w:pPr>
        <w:adjustRightInd w:val="0"/>
        <w:snapToGrid w:val="0"/>
        <w:spacing w:line="560" w:lineRule="exact"/>
        <w:ind w:firstLine="720"/>
        <w:rPr>
          <w:rFonts w:ascii="黑体" w:eastAsia="黑体"/>
          <w:sz w:val="32"/>
          <w:szCs w:val="32"/>
        </w:rPr>
      </w:pPr>
      <w:r>
        <w:rPr>
          <w:rFonts w:hint="eastAsia" w:ascii="黑体" w:eastAsia="黑体"/>
          <w:sz w:val="32"/>
          <w:szCs w:val="32"/>
        </w:rPr>
        <w:t>二、项目资金申报及使用情况</w:t>
      </w:r>
    </w:p>
    <w:p>
      <w:pPr>
        <w:adjustRightInd w:val="0"/>
        <w:snapToGrid w:val="0"/>
        <w:spacing w:line="560" w:lineRule="exact"/>
        <w:ind w:firstLine="72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对该项目资金进行申报、批复使用。</w:t>
      </w:r>
    </w:p>
    <w:p>
      <w:pPr>
        <w:adjustRightInd w:val="0"/>
        <w:snapToGrid w:val="0"/>
        <w:spacing w:line="560" w:lineRule="exact"/>
        <w:ind w:firstLine="720"/>
        <w:rPr>
          <w:rFonts w:ascii="仿宋_GB2312" w:eastAsia="仿宋_GB2312"/>
          <w:sz w:val="32"/>
          <w:szCs w:val="32"/>
          <w:lang w:val="zh-CN"/>
        </w:rPr>
      </w:pPr>
      <w:r>
        <w:rPr>
          <w:rFonts w:hint="eastAsia" w:ascii="楷体_GB2312" w:eastAsia="楷体_GB2312"/>
          <w:b/>
          <w:sz w:val="32"/>
          <w:szCs w:val="32"/>
          <w:lang w:val="zh-CN"/>
        </w:rPr>
        <w:t>（二）资金计划、到位及使用情况</w:t>
      </w:r>
    </w:p>
    <w:tbl>
      <w:tblPr>
        <w:tblStyle w:val="17"/>
        <w:tblW w:w="8691" w:type="dxa"/>
        <w:tblInd w:w="93" w:type="dxa"/>
        <w:tblLayout w:type="fixed"/>
        <w:tblCellMar>
          <w:top w:w="0" w:type="dxa"/>
          <w:left w:w="108" w:type="dxa"/>
          <w:bottom w:w="0" w:type="dxa"/>
          <w:right w:w="108" w:type="dxa"/>
        </w:tblCellMar>
      </w:tblPr>
      <w:tblGrid>
        <w:gridCol w:w="951"/>
        <w:gridCol w:w="675"/>
        <w:gridCol w:w="1740"/>
        <w:gridCol w:w="1005"/>
        <w:gridCol w:w="435"/>
        <w:gridCol w:w="510"/>
        <w:gridCol w:w="660"/>
        <w:gridCol w:w="1005"/>
        <w:gridCol w:w="420"/>
        <w:gridCol w:w="1290"/>
      </w:tblGrid>
      <w:tr>
        <w:tblPrEx>
          <w:tblCellMar>
            <w:top w:w="0" w:type="dxa"/>
            <w:left w:w="108" w:type="dxa"/>
            <w:bottom w:w="0" w:type="dxa"/>
            <w:right w:w="108" w:type="dxa"/>
          </w:tblCellMar>
        </w:tblPrEx>
        <w:trPr>
          <w:trHeight w:val="267" w:hRule="atLeast"/>
        </w:trPr>
        <w:tc>
          <w:tcPr>
            <w:tcW w:w="8691" w:type="dxa"/>
            <w:gridSpan w:val="10"/>
            <w:tcBorders>
              <w:top w:val="nil"/>
              <w:left w:val="nil"/>
              <w:bottom w:val="single" w:color="000000" w:sz="4" w:space="0"/>
              <w:right w:val="nil"/>
            </w:tcBorders>
            <w:shd w:val="clear" w:color="auto" w:fill="auto"/>
          </w:tcPr>
          <w:p>
            <w:pPr>
              <w:widowControl/>
              <w:jc w:val="center"/>
              <w:textAlignment w:val="top"/>
              <w:rPr>
                <w:rFonts w:ascii="宋体" w:hAnsi="宋体" w:cs="宋体"/>
                <w:color w:val="000000"/>
                <w:sz w:val="22"/>
                <w:szCs w:val="22"/>
              </w:rPr>
            </w:pPr>
            <w:r>
              <w:rPr>
                <w:rFonts w:hint="eastAsia" w:ascii="宋体" w:hAnsi="宋体" w:cs="宋体"/>
                <w:color w:val="000000"/>
                <w:kern w:val="0"/>
                <w:sz w:val="22"/>
                <w:szCs w:val="22"/>
                <w:lang w:bidi="ar"/>
              </w:rPr>
              <w:t>（2021年度）</w:t>
            </w:r>
          </w:p>
        </w:tc>
      </w:tr>
      <w:tr>
        <w:tblPrEx>
          <w:tblCellMar>
            <w:top w:w="0" w:type="dxa"/>
            <w:left w:w="108" w:type="dxa"/>
            <w:bottom w:w="0" w:type="dxa"/>
            <w:right w:w="108" w:type="dxa"/>
          </w:tblCellMar>
        </w:tblPrEx>
        <w:trPr>
          <w:trHeight w:val="275" w:hRule="atLeast"/>
        </w:trPr>
        <w:tc>
          <w:tcPr>
            <w:tcW w:w="33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专项（项目）名称</w:t>
            </w:r>
          </w:p>
        </w:tc>
        <w:tc>
          <w:tcPr>
            <w:tcW w:w="532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阿坝州精神文明建设工作经费</w:t>
            </w:r>
          </w:p>
        </w:tc>
      </w:tr>
      <w:tr>
        <w:tblPrEx>
          <w:tblCellMar>
            <w:top w:w="0" w:type="dxa"/>
            <w:left w:w="108" w:type="dxa"/>
            <w:bottom w:w="0" w:type="dxa"/>
            <w:right w:w="108" w:type="dxa"/>
          </w:tblCellMar>
        </w:tblPrEx>
        <w:trPr>
          <w:trHeight w:val="275" w:hRule="atLeast"/>
        </w:trPr>
        <w:tc>
          <w:tcPr>
            <w:tcW w:w="33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省级主管部门</w:t>
            </w:r>
          </w:p>
        </w:tc>
        <w:tc>
          <w:tcPr>
            <w:tcW w:w="532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四川省精神文明建设办公室</w:t>
            </w:r>
          </w:p>
        </w:tc>
      </w:tr>
      <w:tr>
        <w:tblPrEx>
          <w:tblCellMar>
            <w:top w:w="0" w:type="dxa"/>
            <w:left w:w="108" w:type="dxa"/>
            <w:bottom w:w="0" w:type="dxa"/>
            <w:right w:w="108" w:type="dxa"/>
          </w:tblCellMar>
        </w:tblPrEx>
        <w:trPr>
          <w:trHeight w:val="333" w:hRule="atLeast"/>
        </w:trPr>
        <w:tc>
          <w:tcPr>
            <w:tcW w:w="33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州级主管部门</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州委宣传部</w:t>
            </w: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实施单位</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阿坝州精神文明建设办公室</w:t>
            </w:r>
          </w:p>
        </w:tc>
      </w:tr>
      <w:tr>
        <w:tblPrEx>
          <w:tblCellMar>
            <w:top w:w="0" w:type="dxa"/>
            <w:left w:w="108" w:type="dxa"/>
            <w:bottom w:w="0" w:type="dxa"/>
            <w:right w:w="108" w:type="dxa"/>
          </w:tblCellMar>
        </w:tblPrEx>
        <w:trPr>
          <w:trHeight w:val="542" w:hRule="atLeast"/>
        </w:trPr>
        <w:tc>
          <w:tcPr>
            <w:tcW w:w="336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项目资金（万元）</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全年预算数（A）</w:t>
            </w:r>
          </w:p>
        </w:tc>
        <w:tc>
          <w:tcPr>
            <w:tcW w:w="20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全年执行数（B）</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执行率（B/A)</w:t>
            </w:r>
          </w:p>
        </w:tc>
      </w:tr>
      <w:tr>
        <w:tblPrEx>
          <w:tblCellMar>
            <w:top w:w="0" w:type="dxa"/>
            <w:left w:w="108" w:type="dxa"/>
            <w:bottom w:w="0" w:type="dxa"/>
            <w:right w:w="108" w:type="dxa"/>
          </w:tblCellMar>
        </w:tblPrEx>
        <w:trPr>
          <w:trHeight w:val="542" w:hRule="atLeast"/>
        </w:trPr>
        <w:tc>
          <w:tcPr>
            <w:tcW w:w="336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年度资金总额：</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36万元</w:t>
            </w:r>
          </w:p>
        </w:tc>
        <w:tc>
          <w:tcPr>
            <w:tcW w:w="20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35.38万元</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98.28%</w:t>
            </w:r>
          </w:p>
        </w:tc>
      </w:tr>
      <w:tr>
        <w:tblPrEx>
          <w:tblCellMar>
            <w:top w:w="0" w:type="dxa"/>
            <w:left w:w="108" w:type="dxa"/>
            <w:bottom w:w="0" w:type="dxa"/>
            <w:right w:w="108" w:type="dxa"/>
          </w:tblCellMar>
        </w:tblPrEx>
        <w:trPr>
          <w:trHeight w:val="542" w:hRule="atLeast"/>
        </w:trPr>
        <w:tc>
          <w:tcPr>
            <w:tcW w:w="336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Style w:val="32"/>
                <w:rFonts w:hint="default"/>
                <w:lang w:bidi="ar"/>
              </w:rPr>
              <w:t xml:space="preserve"> </w:t>
            </w:r>
            <w:r>
              <w:rPr>
                <w:rStyle w:val="33"/>
                <w:rFonts w:hint="default"/>
                <w:lang w:bidi="ar"/>
              </w:rPr>
              <w:t>本级资金</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36万元</w:t>
            </w:r>
          </w:p>
        </w:tc>
        <w:tc>
          <w:tcPr>
            <w:tcW w:w="20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35.38万元</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98.28%</w:t>
            </w:r>
          </w:p>
        </w:tc>
      </w:tr>
      <w:tr>
        <w:tblPrEx>
          <w:tblCellMar>
            <w:top w:w="0" w:type="dxa"/>
            <w:left w:w="108" w:type="dxa"/>
            <w:bottom w:w="0" w:type="dxa"/>
            <w:right w:w="108" w:type="dxa"/>
          </w:tblCellMar>
        </w:tblPrEx>
        <w:trPr>
          <w:trHeight w:val="275" w:hRule="atLeast"/>
        </w:trPr>
        <w:tc>
          <w:tcPr>
            <w:tcW w:w="9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年度总体目标</w:t>
            </w:r>
          </w:p>
        </w:tc>
        <w:tc>
          <w:tcPr>
            <w:tcW w:w="43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年初设定目标</w:t>
            </w:r>
          </w:p>
        </w:tc>
        <w:tc>
          <w:tcPr>
            <w:tcW w:w="33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全年实际完成情况</w:t>
            </w:r>
          </w:p>
        </w:tc>
      </w:tr>
      <w:tr>
        <w:tblPrEx>
          <w:tblCellMar>
            <w:top w:w="0" w:type="dxa"/>
            <w:left w:w="108" w:type="dxa"/>
            <w:bottom w:w="0" w:type="dxa"/>
            <w:right w:w="108" w:type="dxa"/>
          </w:tblCellMar>
        </w:tblPrEx>
        <w:trPr>
          <w:trHeight w:val="542"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指导全州精神文明创建工作及开展全民阅读活动</w:t>
            </w:r>
          </w:p>
        </w:tc>
        <w:tc>
          <w:tcPr>
            <w:tcW w:w="33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指导全州精神文明创建工作及开展全民阅读活动</w:t>
            </w:r>
          </w:p>
        </w:tc>
      </w:tr>
      <w:tr>
        <w:tblPrEx>
          <w:tblCellMar>
            <w:top w:w="0" w:type="dxa"/>
            <w:left w:w="108" w:type="dxa"/>
            <w:bottom w:w="0" w:type="dxa"/>
            <w:right w:w="108" w:type="dxa"/>
          </w:tblCellMar>
        </w:tblPrEx>
        <w:trPr>
          <w:trHeight w:val="542" w:hRule="atLeast"/>
        </w:trPr>
        <w:tc>
          <w:tcPr>
            <w:tcW w:w="95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绩效指标</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一级</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指标</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二级指标</w:t>
            </w: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三级指标</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eastAsia="zh-CN" w:bidi="ar"/>
              </w:rPr>
              <w:t>预期</w:t>
            </w:r>
            <w:r>
              <w:rPr>
                <w:rFonts w:hint="eastAsia" w:ascii="宋体" w:hAnsi="宋体" w:cs="宋体"/>
                <w:color w:val="000000"/>
                <w:kern w:val="0"/>
                <w:sz w:val="20"/>
                <w:szCs w:val="20"/>
                <w:lang w:bidi="ar"/>
              </w:rPr>
              <w:t>指标值</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kern w:val="0"/>
                <w:sz w:val="20"/>
                <w:szCs w:val="20"/>
                <w:lang w:eastAsia="zh-CN" w:bidi="ar"/>
              </w:rPr>
              <w:t>实际完成指标值</w:t>
            </w:r>
          </w:p>
        </w:tc>
      </w:tr>
      <w:tr>
        <w:tblPrEx>
          <w:tblCellMar>
            <w:top w:w="0" w:type="dxa"/>
            <w:left w:w="108" w:type="dxa"/>
            <w:bottom w:w="0" w:type="dxa"/>
            <w:right w:w="108" w:type="dxa"/>
          </w:tblCellMar>
        </w:tblPrEx>
        <w:trPr>
          <w:trHeight w:val="612"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675"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产出指标</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质量指标</w:t>
            </w: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质量控制</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合格</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kern w:val="0"/>
                <w:sz w:val="20"/>
                <w:szCs w:val="20"/>
                <w:lang w:eastAsia="zh-CN" w:bidi="ar"/>
              </w:rPr>
              <w:t>已完成</w:t>
            </w:r>
          </w:p>
        </w:tc>
      </w:tr>
      <w:tr>
        <w:tblPrEx>
          <w:tblCellMar>
            <w:top w:w="0" w:type="dxa"/>
            <w:left w:w="108" w:type="dxa"/>
            <w:bottom w:w="0" w:type="dxa"/>
            <w:right w:w="108" w:type="dxa"/>
          </w:tblCellMar>
        </w:tblPrEx>
        <w:trPr>
          <w:trHeight w:val="598"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时效指标</w:t>
            </w: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2021年</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kern w:val="0"/>
                <w:sz w:val="20"/>
                <w:szCs w:val="20"/>
                <w:lang w:val="en-US" w:eastAsia="zh-CN" w:bidi="ar"/>
              </w:rPr>
              <w:t>2021年</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已完成</w:t>
            </w:r>
          </w:p>
        </w:tc>
      </w:tr>
      <w:tr>
        <w:tblPrEx>
          <w:tblCellMar>
            <w:top w:w="0" w:type="dxa"/>
            <w:left w:w="108" w:type="dxa"/>
            <w:bottom w:w="0" w:type="dxa"/>
            <w:right w:w="108" w:type="dxa"/>
          </w:tblCellMar>
        </w:tblPrEx>
        <w:trPr>
          <w:trHeight w:val="90"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效</w:t>
            </w:r>
          </w:p>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益</w:t>
            </w:r>
          </w:p>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指</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标</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经济效益指标</w:t>
            </w: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无</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无</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无</w:t>
            </w:r>
          </w:p>
        </w:tc>
      </w:tr>
      <w:tr>
        <w:tblPrEx>
          <w:tblCellMar>
            <w:top w:w="0" w:type="dxa"/>
            <w:left w:w="108" w:type="dxa"/>
            <w:bottom w:w="0" w:type="dxa"/>
            <w:right w:w="108" w:type="dxa"/>
          </w:tblCellMar>
        </w:tblPrEx>
        <w:trPr>
          <w:trHeight w:val="542"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社会效益指标</w:t>
            </w: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受众率</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良好</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良好</w:t>
            </w:r>
          </w:p>
        </w:tc>
      </w:tr>
      <w:tr>
        <w:tblPrEx>
          <w:tblCellMar>
            <w:top w:w="0" w:type="dxa"/>
            <w:left w:w="108" w:type="dxa"/>
            <w:bottom w:w="0" w:type="dxa"/>
            <w:right w:w="108" w:type="dxa"/>
          </w:tblCellMar>
        </w:tblPrEx>
        <w:trPr>
          <w:trHeight w:val="542"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eastAsia="zh-CN" w:bidi="ar"/>
              </w:rPr>
              <w:t>生态效益指标</w:t>
            </w: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eastAsia="zh-CN"/>
              </w:rPr>
              <w:t>保护环境</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eastAsia="zh-CN"/>
              </w:rPr>
              <w:t>降低生态破坏</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达到预期目标</w:t>
            </w:r>
          </w:p>
        </w:tc>
      </w:tr>
      <w:tr>
        <w:tblPrEx>
          <w:tblCellMar>
            <w:top w:w="0" w:type="dxa"/>
            <w:left w:w="108" w:type="dxa"/>
            <w:bottom w:w="0" w:type="dxa"/>
            <w:right w:w="108" w:type="dxa"/>
          </w:tblCellMar>
        </w:tblPrEx>
        <w:trPr>
          <w:trHeight w:val="95"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color w:val="000000"/>
                <w:kern w:val="0"/>
                <w:sz w:val="20"/>
                <w:szCs w:val="20"/>
                <w:lang w:eastAsia="zh-CN" w:bidi="ar"/>
              </w:rPr>
              <w:t>满意度指标</w:t>
            </w: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color w:val="000000"/>
                <w:kern w:val="0"/>
                <w:sz w:val="20"/>
                <w:szCs w:val="20"/>
                <w:lang w:eastAsia="zh-CN" w:bidi="ar"/>
              </w:rPr>
              <w:t>社会满意度</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color w:val="000000"/>
                <w:kern w:val="0"/>
                <w:sz w:val="20"/>
                <w:szCs w:val="20"/>
                <w:lang w:val="en-US" w:eastAsia="zh-CN" w:bidi="ar"/>
              </w:rPr>
              <w:t>92%以上</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color w:val="000000"/>
                <w:kern w:val="0"/>
                <w:sz w:val="20"/>
                <w:szCs w:val="20"/>
                <w:lang w:val="en-US" w:eastAsia="zh-CN" w:bidi="ar"/>
              </w:rPr>
              <w:t>达到92%以上</w:t>
            </w:r>
          </w:p>
        </w:tc>
      </w:tr>
    </w:tbl>
    <w:p>
      <w:pPr>
        <w:adjustRightInd w:val="0"/>
        <w:snapToGrid w:val="0"/>
        <w:spacing w:line="600" w:lineRule="exact"/>
        <w:ind w:firstLine="720"/>
        <w:rPr>
          <w:rFonts w:ascii="黑体" w:eastAsia="黑体"/>
          <w:sz w:val="32"/>
          <w:szCs w:val="32"/>
        </w:rPr>
      </w:pPr>
      <w:r>
        <w:rPr>
          <w:rFonts w:hint="eastAsia" w:ascii="黑体" w:eastAsia="黑体"/>
          <w:sz w:val="32"/>
          <w:szCs w:val="32"/>
        </w:rPr>
        <w:t>三、项目实施及管理情况</w:t>
      </w:r>
    </w:p>
    <w:p>
      <w:pPr>
        <w:ind w:firstLine="643" w:firstLineChars="200"/>
        <w:rPr>
          <w:rFonts w:ascii="仿宋_GB2312" w:eastAsia="仿宋_GB2312"/>
          <w:sz w:val="32"/>
          <w:szCs w:val="32"/>
        </w:rPr>
      </w:pPr>
      <w:r>
        <w:rPr>
          <w:rFonts w:hint="eastAsia" w:ascii="楷体_GB2312" w:eastAsia="楷体_GB2312"/>
          <w:b/>
          <w:sz w:val="32"/>
          <w:szCs w:val="32"/>
          <w:lang w:val="zh-CN"/>
        </w:rPr>
        <w:t>（一）项目组织架构及实施流程。</w:t>
      </w:r>
      <w:r>
        <w:rPr>
          <w:rFonts w:hint="eastAsia" w:ascii="仿宋_GB2312" w:eastAsia="仿宋_GB2312"/>
          <w:sz w:val="32"/>
          <w:szCs w:val="32"/>
        </w:rPr>
        <w:t>项目用于指导全州群众性精神文明建设工作及开展全民阅读活动。</w:t>
      </w:r>
    </w:p>
    <w:p>
      <w:pPr>
        <w:ind w:firstLine="643" w:firstLineChars="200"/>
        <w:rPr>
          <w:rFonts w:ascii="仿宋_GB2312" w:eastAsia="仿宋_GB2312"/>
          <w:sz w:val="32"/>
          <w:szCs w:val="32"/>
        </w:rPr>
      </w:pPr>
      <w:r>
        <w:rPr>
          <w:rFonts w:hint="eastAsia" w:ascii="楷体_GB2312" w:eastAsia="楷体_GB2312"/>
          <w:b/>
          <w:sz w:val="32"/>
          <w:szCs w:val="32"/>
          <w:lang w:val="zh-CN"/>
        </w:rPr>
        <w:t>（二）项目管理情况。</w:t>
      </w:r>
      <w:r>
        <w:rPr>
          <w:rFonts w:hint="eastAsia" w:ascii="仿宋_GB2312" w:eastAsia="仿宋_GB2312"/>
          <w:sz w:val="32"/>
          <w:szCs w:val="32"/>
        </w:rPr>
        <w:t>项目资金达3万元以上，通过部务会研究后实施项目。</w:t>
      </w:r>
    </w:p>
    <w:p>
      <w:pPr>
        <w:ind w:firstLine="643" w:firstLineChars="200"/>
        <w:rPr>
          <w:rFonts w:ascii="仿宋_GB2312" w:eastAsia="仿宋_GB2312"/>
          <w:sz w:val="32"/>
          <w:szCs w:val="32"/>
        </w:rPr>
      </w:pPr>
      <w:r>
        <w:rPr>
          <w:rFonts w:hint="eastAsia" w:ascii="楷体_GB2312" w:eastAsia="楷体_GB2312"/>
          <w:b/>
          <w:sz w:val="32"/>
          <w:szCs w:val="32"/>
          <w:lang w:val="zh-CN"/>
        </w:rPr>
        <w:t>（三）项目监管情况。</w:t>
      </w:r>
      <w:r>
        <w:rPr>
          <w:rFonts w:hint="eastAsia" w:ascii="仿宋_GB2312" w:eastAsia="仿宋_GB2312"/>
          <w:sz w:val="32"/>
          <w:szCs w:val="32"/>
        </w:rPr>
        <w:t>用于指导全州群众性精神文明建设工作及开展全民阅读活动。</w:t>
      </w:r>
    </w:p>
    <w:p>
      <w:pPr>
        <w:adjustRightInd w:val="0"/>
        <w:snapToGrid w:val="0"/>
        <w:spacing w:line="600" w:lineRule="exact"/>
        <w:ind w:firstLine="720"/>
        <w:rPr>
          <w:rFonts w:ascii="仿宋_GB2312" w:eastAsia="仿宋_GB2312"/>
          <w:sz w:val="32"/>
          <w:szCs w:val="32"/>
          <w:lang w:val="zh-CN"/>
        </w:rPr>
      </w:pPr>
      <w:r>
        <w:rPr>
          <w:rFonts w:hint="eastAsia" w:ascii="黑体" w:eastAsia="黑体"/>
          <w:sz w:val="32"/>
          <w:szCs w:val="32"/>
        </w:rPr>
        <w:t>四、项目绩效情况</w:t>
      </w:r>
      <w:r>
        <w:rPr>
          <w:rFonts w:hint="eastAsia" w:ascii="仿宋_GB2312" w:eastAsia="仿宋_GB2312"/>
          <w:sz w:val="32"/>
          <w:szCs w:val="32"/>
          <w:lang w:val="zh-CN"/>
        </w:rPr>
        <w:tab/>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（一）项目完成情况。</w:t>
      </w:r>
    </w:p>
    <w:p>
      <w:pPr>
        <w:ind w:firstLine="640" w:firstLineChars="200"/>
        <w:rPr>
          <w:rFonts w:ascii="仿宋_GB2312" w:eastAsia="仿宋_GB2312"/>
          <w:sz w:val="32"/>
          <w:szCs w:val="32"/>
        </w:rPr>
      </w:pPr>
      <w:r>
        <w:rPr>
          <w:rFonts w:hint="eastAsia" w:ascii="仿宋_GB2312" w:eastAsia="仿宋_GB2312"/>
          <w:sz w:val="32"/>
          <w:szCs w:val="32"/>
        </w:rPr>
        <w:t>1.为有力保障我州马尔康市、金川、红原、汶川、理县、松潘、九寨沟7县（市）成功通过四川省文明城市创建及复查验收工作，深入相关县（市）开展创城指导工作。</w:t>
      </w:r>
    </w:p>
    <w:p>
      <w:pPr>
        <w:ind w:firstLine="640" w:firstLineChars="200"/>
        <w:rPr>
          <w:rFonts w:ascii="仿宋_GB2312" w:eastAsia="仿宋_GB2312"/>
          <w:sz w:val="32"/>
          <w:szCs w:val="32"/>
        </w:rPr>
      </w:pPr>
      <w:r>
        <w:rPr>
          <w:rFonts w:hint="eastAsia" w:ascii="仿宋_GB2312" w:eastAsia="仿宋_GB2312"/>
          <w:sz w:val="32"/>
          <w:szCs w:val="32"/>
        </w:rPr>
        <w:t>2.深入全国、四川省文明村镇、文明单位、文明校园、文明家庭申报及复查单位、校园家庭开展创建指导工作。</w:t>
      </w:r>
    </w:p>
    <w:p>
      <w:pPr>
        <w:ind w:firstLine="640" w:firstLineChars="200"/>
        <w:rPr>
          <w:rFonts w:ascii="仿宋_GB2312" w:eastAsia="仿宋_GB2312"/>
          <w:sz w:val="32"/>
          <w:szCs w:val="32"/>
        </w:rPr>
      </w:pPr>
      <w:r>
        <w:rPr>
          <w:rFonts w:hint="eastAsia" w:ascii="仿宋_GB2312" w:eastAsia="仿宋_GB2312"/>
          <w:sz w:val="32"/>
          <w:szCs w:val="32"/>
        </w:rPr>
        <w:t>3.指导全州各县（市）开展全民阅读活动。</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（二）项目效益情况。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（1）该项目资金主要用于全州精神文明建设工作，因而不产生经济效益。</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（2）深入开展群众性精神文明创建、推动公民思想道德建设、促进志愿服务队伍发展，确保我州精神文明建设工作再上新台阶。</w:t>
      </w:r>
    </w:p>
    <w:p>
      <w:pPr>
        <w:adjustRightInd w:val="0"/>
        <w:snapToGrid w:val="0"/>
        <w:spacing w:line="600" w:lineRule="exact"/>
        <w:ind w:firstLine="720"/>
        <w:rPr>
          <w:rFonts w:ascii="黑体" w:eastAsia="黑体"/>
          <w:sz w:val="32"/>
          <w:szCs w:val="32"/>
        </w:rPr>
      </w:pPr>
      <w:r>
        <w:rPr>
          <w:rFonts w:hint="eastAsia" w:ascii="黑体" w:eastAsia="黑体"/>
          <w:sz w:val="32"/>
          <w:szCs w:val="32"/>
        </w:rPr>
        <w:t>五、评价结论及建议</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（一）评价结论。</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全州精神文明建设全力服从服务阿坝州改革发展大局，坚持以培育和践行社会主义</w:t>
      </w:r>
      <w:r>
        <w:fldChar w:fldCharType="begin"/>
      </w:r>
      <w:r>
        <w:instrText xml:space="preserve"> HYPERLINK "http://www.wm114.cn/wen/136/270361.html" </w:instrText>
      </w:r>
      <w:r>
        <w:fldChar w:fldCharType="separate"/>
      </w:r>
      <w:r>
        <w:rPr>
          <w:rFonts w:hint="eastAsia" w:ascii="仿宋_GB2312" w:hAnsi="仿宋_GB2312" w:eastAsia="仿宋_GB2312" w:cs="仿宋_GB2312"/>
          <w:sz w:val="32"/>
          <w:szCs w:val="32"/>
        </w:rPr>
        <w:t>核心价值观</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为根本，扎实推进公民思想道德建设，深入开展群众性精神文明创建活动，引导广大群众树立文明观念、争当文明公民、展示文明形象，有力提升了全州人民的思想道德素养和社会文明程度，有力推动了全州物质文明和精神文明的协调发展，为我州加快转型发展、决胜全面小康作出了重要贡献。</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（二）存在的问题。</w:t>
      </w:r>
    </w:p>
    <w:p>
      <w:pPr>
        <w:ind w:firstLine="640" w:firstLineChars="200"/>
        <w:rPr>
          <w:rFonts w:ascii="仿宋_GB2312" w:eastAsia="仿宋_GB2312"/>
          <w:sz w:val="32"/>
          <w:szCs w:val="32"/>
        </w:rPr>
      </w:pPr>
      <w:r>
        <w:rPr>
          <w:rFonts w:hint="eastAsia" w:ascii="仿宋_GB2312" w:eastAsia="仿宋_GB2312"/>
          <w:sz w:val="32"/>
          <w:szCs w:val="32"/>
        </w:rPr>
        <w:t>开展与精神文明、全民阅读的相关活动较少。</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（三）相关建议。</w:t>
      </w:r>
    </w:p>
    <w:p>
      <w:pPr>
        <w:ind w:firstLine="640" w:firstLineChars="200"/>
        <w:rPr>
          <w:rFonts w:ascii="仿宋_GB2312" w:eastAsia="仿宋_GB2312"/>
          <w:sz w:val="32"/>
          <w:szCs w:val="32"/>
        </w:rPr>
      </w:pPr>
      <w:r>
        <w:rPr>
          <w:rFonts w:hint="eastAsia" w:ascii="仿宋_GB2312" w:eastAsia="仿宋_GB2312"/>
          <w:sz w:val="32"/>
          <w:szCs w:val="32"/>
        </w:rPr>
        <w:t>为丰富广大农牧民群众精神文化生活，多开展相关活动。</w:t>
      </w:r>
    </w:p>
    <w:p>
      <w:pPr>
        <w:pStyle w:val="2"/>
      </w:pPr>
    </w:p>
    <w:p>
      <w:pPr>
        <w:spacing w:line="600" w:lineRule="exact"/>
        <w:jc w:val="center"/>
        <w:rPr>
          <w:rFonts w:hint="eastAsia" w:ascii="方正小标宋简体" w:eastAsia="方正小标宋简体" w:cs="方正小标宋简体"/>
          <w:sz w:val="40"/>
          <w:szCs w:val="40"/>
          <w:lang w:val="zh-CN"/>
        </w:rPr>
      </w:pPr>
      <w:r>
        <w:rPr>
          <w:rFonts w:hint="eastAsia" w:ascii="方正小标宋简体" w:eastAsia="方正小标宋简体" w:cs="方正小标宋简体"/>
          <w:sz w:val="40"/>
          <w:szCs w:val="40"/>
        </w:rPr>
        <w:t>2021年</w:t>
      </w:r>
      <w:r>
        <w:rPr>
          <w:rFonts w:hint="eastAsia" w:ascii="方正小标宋简体" w:eastAsia="方正小标宋简体" w:cs="方正小标宋简体"/>
          <w:sz w:val="40"/>
          <w:szCs w:val="40"/>
          <w:lang w:val="zh-CN"/>
        </w:rPr>
        <w:t>车辆大修专项预算项目</w:t>
      </w:r>
    </w:p>
    <w:p>
      <w:pPr>
        <w:spacing w:line="600" w:lineRule="exact"/>
        <w:jc w:val="center"/>
        <w:rPr>
          <w:rFonts w:ascii="方正小标宋简体" w:eastAsia="方正小标宋简体" w:cs="方正小标宋简体"/>
          <w:sz w:val="40"/>
          <w:szCs w:val="40"/>
          <w:lang w:val="zh-CN"/>
        </w:rPr>
      </w:pPr>
      <w:r>
        <w:rPr>
          <w:rFonts w:hint="eastAsia" w:ascii="方正小标宋简体" w:eastAsia="方正小标宋简体" w:cs="方正小标宋简体"/>
          <w:sz w:val="40"/>
          <w:szCs w:val="40"/>
          <w:lang w:val="zh-CN"/>
        </w:rPr>
        <w:t>支出绩效自评报告</w:t>
      </w:r>
    </w:p>
    <w:p>
      <w:pPr>
        <w:tabs>
          <w:tab w:val="left" w:pos="3885"/>
        </w:tabs>
        <w:snapToGrid w:val="0"/>
        <w:spacing w:line="360" w:lineRule="auto"/>
        <w:ind w:firstLine="640" w:firstLineChars="200"/>
        <w:jc w:val="left"/>
        <w:rPr>
          <w:rFonts w:ascii="黑体" w:hAnsi="宋体" w:eastAsia="黑体"/>
          <w:sz w:val="32"/>
          <w:szCs w:val="21"/>
        </w:rPr>
      </w:pPr>
    </w:p>
    <w:p>
      <w:pPr>
        <w:tabs>
          <w:tab w:val="left" w:pos="3885"/>
        </w:tabs>
        <w:snapToGrid w:val="0"/>
        <w:spacing w:line="360" w:lineRule="auto"/>
        <w:ind w:firstLine="640" w:firstLineChars="200"/>
        <w:jc w:val="left"/>
        <w:rPr>
          <w:rFonts w:ascii="黑体" w:hAnsi="宋体" w:eastAsia="黑体"/>
          <w:sz w:val="32"/>
          <w:szCs w:val="21"/>
        </w:rPr>
      </w:pPr>
      <w:r>
        <w:rPr>
          <w:rFonts w:hint="eastAsia" w:ascii="黑体" w:hAnsi="宋体" w:eastAsia="黑体"/>
          <w:sz w:val="32"/>
          <w:szCs w:val="21"/>
        </w:rPr>
        <w:t>一、基本情况</w:t>
      </w:r>
    </w:p>
    <w:p>
      <w:pPr>
        <w:snapToGrid w:val="0"/>
        <w:spacing w:line="360" w:lineRule="auto"/>
        <w:ind w:firstLine="640" w:firstLineChars="200"/>
        <w:rPr>
          <w:rFonts w:ascii="仿宋_GB2312" w:hAnsi="宋体" w:eastAsia="仿宋_GB2312"/>
          <w:sz w:val="32"/>
          <w:szCs w:val="32"/>
          <w:lang w:val="zh-CN"/>
        </w:rPr>
      </w:pPr>
      <w:r>
        <w:rPr>
          <w:rFonts w:hint="eastAsia" w:ascii="仿宋_GB2312" w:hAnsi="仿宋" w:eastAsia="仿宋_GB2312"/>
          <w:sz w:val="32"/>
        </w:rPr>
        <w:t>为保障公务用车</w:t>
      </w:r>
      <w:r>
        <w:rPr>
          <w:rFonts w:hint="eastAsia" w:eastAsia="方正仿宋_GBK"/>
          <w:sz w:val="32"/>
          <w:szCs w:val="32"/>
        </w:rPr>
        <w:t>川UA0017</w:t>
      </w:r>
      <w:r>
        <w:rPr>
          <w:rFonts w:hint="eastAsia" w:ascii="仿宋_GB2312" w:hAnsi="仿宋" w:eastAsia="仿宋_GB2312"/>
          <w:sz w:val="32"/>
        </w:rPr>
        <w:t>运行稳定对其进行大修。维修后验收合格并正常行驶，满意度达到绩效指标标准。</w:t>
      </w:r>
    </w:p>
    <w:p>
      <w:pPr>
        <w:snapToGrid w:val="0"/>
        <w:spacing w:line="360" w:lineRule="auto"/>
        <w:ind w:firstLine="640" w:firstLineChars="200"/>
        <w:rPr>
          <w:rFonts w:ascii="宋体"/>
          <w:sz w:val="32"/>
          <w:szCs w:val="21"/>
        </w:rPr>
      </w:pPr>
      <w:r>
        <w:rPr>
          <w:rFonts w:hint="eastAsia" w:ascii="黑体" w:hAnsi="黑体" w:eastAsia="黑体" w:cs="黑体"/>
          <w:sz w:val="32"/>
          <w:szCs w:val="21"/>
        </w:rPr>
        <w:t>二、评价工作开展情况</w:t>
      </w:r>
    </w:p>
    <w:p>
      <w:pPr>
        <w:adjustRightInd w:val="0"/>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rPr>
        <w:t>年初预算8万元，完成支付7.85万元，支付率98.13%。经费用于项目本身，经费使用坚持效率优先，兼顾节约的原则，经费报销凭据真实可靠。</w:t>
      </w:r>
    </w:p>
    <w:p>
      <w:pPr>
        <w:snapToGrid w:val="0"/>
        <w:spacing w:line="360" w:lineRule="auto"/>
        <w:ind w:firstLine="640" w:firstLineChars="200"/>
        <w:rPr>
          <w:rFonts w:ascii="黑体" w:hAnsi="宋体" w:eastAsia="黑体"/>
          <w:sz w:val="32"/>
          <w:szCs w:val="21"/>
        </w:rPr>
      </w:pPr>
      <w:r>
        <w:rPr>
          <w:rFonts w:hint="eastAsia" w:ascii="黑体" w:hAnsi="宋体" w:eastAsia="黑体"/>
          <w:sz w:val="32"/>
          <w:szCs w:val="21"/>
        </w:rPr>
        <w:t>三、综合评价结论（附评分表）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993"/>
        <w:gridCol w:w="1217"/>
        <w:gridCol w:w="1217"/>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jc w:val="center"/>
        </w:trPr>
        <w:tc>
          <w:tcPr>
            <w:tcW w:w="1441" w:type="dxa"/>
          </w:tcPr>
          <w:p>
            <w:pPr>
              <w:snapToGrid w:val="0"/>
              <w:spacing w:line="360" w:lineRule="auto"/>
              <w:rPr>
                <w:rFonts w:ascii="仿宋_GB2312" w:hAnsi="宋体" w:eastAsia="仿宋_GB2312"/>
                <w:sz w:val="32"/>
                <w:szCs w:val="32"/>
              </w:rPr>
            </w:pPr>
          </w:p>
          <w:p>
            <w:pPr>
              <w:snapToGrid w:val="0"/>
              <w:spacing w:line="360" w:lineRule="auto"/>
              <w:rPr>
                <w:rFonts w:ascii="仿宋_GB2312" w:hAnsi="宋体" w:eastAsia="仿宋_GB2312"/>
                <w:sz w:val="32"/>
                <w:szCs w:val="32"/>
              </w:rPr>
            </w:pPr>
          </w:p>
        </w:tc>
        <w:tc>
          <w:tcPr>
            <w:tcW w:w="993"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支出相符性</w:t>
            </w:r>
          </w:p>
        </w:tc>
        <w:tc>
          <w:tcPr>
            <w:tcW w:w="1217"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支出真实性</w:t>
            </w:r>
          </w:p>
        </w:tc>
        <w:tc>
          <w:tcPr>
            <w:tcW w:w="1217"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支出核算资料完整性</w:t>
            </w:r>
          </w:p>
        </w:tc>
        <w:tc>
          <w:tcPr>
            <w:tcW w:w="1218"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目标数完成比例</w:t>
            </w:r>
          </w:p>
        </w:tc>
        <w:tc>
          <w:tcPr>
            <w:tcW w:w="1218"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对象满意度</w:t>
            </w:r>
          </w:p>
        </w:tc>
        <w:tc>
          <w:tcPr>
            <w:tcW w:w="1218"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支出预算占比</w:t>
            </w:r>
            <w:r>
              <w:rPr>
                <w:rFonts w:ascii="仿宋_GB2312" w:hAnsi="宋体" w:eastAsia="仿宋_GB2312"/>
                <w:sz w:val="28"/>
                <w:szCs w:val="28"/>
              </w:rPr>
              <w:t>90%</w:t>
            </w:r>
            <w:r>
              <w:rPr>
                <w:rFonts w:hint="eastAsia" w:ascii="仿宋_GB2312" w:hAnsi="宋体" w:eastAsia="仿宋_GB2312"/>
                <w:sz w:val="28"/>
                <w:szCs w:val="28"/>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441" w:type="dxa"/>
            <w:vAlign w:val="center"/>
          </w:tcPr>
          <w:p>
            <w:pPr>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评分</w:t>
            </w:r>
          </w:p>
        </w:tc>
        <w:tc>
          <w:tcPr>
            <w:tcW w:w="993"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20</w:t>
            </w:r>
          </w:p>
        </w:tc>
        <w:tc>
          <w:tcPr>
            <w:tcW w:w="1217"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20</w:t>
            </w:r>
          </w:p>
        </w:tc>
        <w:tc>
          <w:tcPr>
            <w:tcW w:w="1217"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20</w:t>
            </w:r>
          </w:p>
        </w:tc>
        <w:tc>
          <w:tcPr>
            <w:tcW w:w="1218"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10</w:t>
            </w:r>
          </w:p>
        </w:tc>
        <w:tc>
          <w:tcPr>
            <w:tcW w:w="1218"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20</w:t>
            </w:r>
          </w:p>
        </w:tc>
        <w:tc>
          <w:tcPr>
            <w:tcW w:w="1218"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41" w:type="dxa"/>
            <w:vAlign w:val="center"/>
          </w:tcPr>
          <w:p>
            <w:pPr>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自评得分</w:t>
            </w:r>
          </w:p>
        </w:tc>
        <w:tc>
          <w:tcPr>
            <w:tcW w:w="993"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20</w:t>
            </w:r>
          </w:p>
        </w:tc>
        <w:tc>
          <w:tcPr>
            <w:tcW w:w="1217"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20</w:t>
            </w:r>
          </w:p>
        </w:tc>
        <w:tc>
          <w:tcPr>
            <w:tcW w:w="1217"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20</w:t>
            </w:r>
          </w:p>
        </w:tc>
        <w:tc>
          <w:tcPr>
            <w:tcW w:w="1218"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10</w:t>
            </w:r>
          </w:p>
        </w:tc>
        <w:tc>
          <w:tcPr>
            <w:tcW w:w="1218"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20</w:t>
            </w:r>
          </w:p>
        </w:tc>
        <w:tc>
          <w:tcPr>
            <w:tcW w:w="1218" w:type="dxa"/>
            <w:vAlign w:val="center"/>
          </w:tcPr>
          <w:p>
            <w:pPr>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4" w:type="dxa"/>
            <w:gridSpan w:val="6"/>
            <w:vAlign w:val="center"/>
          </w:tcPr>
          <w:p>
            <w:pPr>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得分</w:t>
            </w:r>
          </w:p>
        </w:tc>
        <w:tc>
          <w:tcPr>
            <w:tcW w:w="1218"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9</w:t>
            </w:r>
            <w:r>
              <w:rPr>
                <w:rFonts w:hint="eastAsia" w:ascii="仿宋_GB2312" w:hAnsi="宋体" w:eastAsia="仿宋_GB2312"/>
                <w:sz w:val="30"/>
                <w:szCs w:val="30"/>
              </w:rPr>
              <w:t>9.7</w:t>
            </w:r>
          </w:p>
        </w:tc>
      </w:tr>
    </w:tbl>
    <w:p>
      <w:pPr>
        <w:snapToGrid w:val="0"/>
        <w:spacing w:line="360" w:lineRule="auto"/>
        <w:ind w:left="420" w:leftChars="200"/>
        <w:rPr>
          <w:rFonts w:ascii="黑体" w:hAnsi="宋体" w:eastAsia="黑体"/>
          <w:sz w:val="32"/>
          <w:szCs w:val="21"/>
        </w:rPr>
      </w:pPr>
    </w:p>
    <w:p>
      <w:pPr>
        <w:snapToGrid w:val="0"/>
        <w:spacing w:line="360" w:lineRule="auto"/>
        <w:ind w:firstLine="640" w:firstLineChars="200"/>
        <w:rPr>
          <w:rFonts w:ascii="黑体" w:hAnsi="黑体" w:eastAsia="黑体" w:cs="黑体"/>
          <w:bCs/>
          <w:sz w:val="32"/>
          <w:szCs w:val="21"/>
        </w:rPr>
      </w:pPr>
      <w:r>
        <w:rPr>
          <w:rFonts w:hint="eastAsia" w:ascii="黑体" w:hAnsi="黑体" w:eastAsia="黑体" w:cs="黑体"/>
          <w:bCs/>
          <w:sz w:val="32"/>
          <w:szCs w:val="21"/>
        </w:rPr>
        <w:t>四、绩效评价分析</w:t>
      </w:r>
    </w:p>
    <w:p>
      <w:pPr>
        <w:snapToGrid w:val="0"/>
        <w:spacing w:line="360" w:lineRule="auto"/>
        <w:ind w:firstLine="643" w:firstLineChars="200"/>
        <w:rPr>
          <w:rFonts w:ascii="楷体_GB2312" w:hAnsi="宋体" w:eastAsia="仿宋_GB2312"/>
          <w:b/>
          <w:sz w:val="32"/>
          <w:szCs w:val="21"/>
        </w:rPr>
      </w:pPr>
      <w:r>
        <w:rPr>
          <w:rFonts w:hint="eastAsia" w:ascii="楷体_GB2312" w:hAnsi="宋体" w:eastAsia="楷体_GB2312"/>
          <w:b/>
          <w:sz w:val="32"/>
          <w:szCs w:val="21"/>
        </w:rPr>
        <w:t>（一）项目决策情况。</w:t>
      </w:r>
      <w:r>
        <w:rPr>
          <w:rFonts w:hint="eastAsia" w:ascii="仿宋_GB2312" w:hAnsi="宋体" w:eastAsia="仿宋_GB2312"/>
          <w:sz w:val="32"/>
          <w:lang w:val="zh-CN"/>
        </w:rPr>
        <w:t>严格执行财务管理制度，账务处理及时，会计核算规范</w:t>
      </w:r>
      <w:r>
        <w:rPr>
          <w:rFonts w:hint="eastAsia" w:ascii="仿宋_GB2312" w:hAnsi="宋体" w:eastAsia="仿宋_GB2312"/>
          <w:sz w:val="32"/>
        </w:rPr>
        <w:t>的要求执行项目经费。</w:t>
      </w:r>
    </w:p>
    <w:p>
      <w:pPr>
        <w:ind w:firstLine="643" w:firstLineChars="200"/>
        <w:rPr>
          <w:rFonts w:hint="eastAsia" w:ascii="仿宋_GB2312" w:hAnsi="宋体" w:eastAsia="仿宋_GB2312"/>
          <w:sz w:val="32"/>
          <w:lang w:val="zh-CN"/>
        </w:rPr>
      </w:pPr>
      <w:r>
        <w:rPr>
          <w:rFonts w:hint="eastAsia" w:ascii="楷体_GB2312" w:hAnsi="宋体" w:eastAsia="楷体_GB2312"/>
          <w:b/>
          <w:sz w:val="32"/>
          <w:szCs w:val="21"/>
        </w:rPr>
        <w:t>（二）项目管理情况。</w:t>
      </w:r>
      <w:r>
        <w:rPr>
          <w:rFonts w:hint="eastAsia" w:ascii="仿宋_GB2312" w:hAnsi="宋体" w:eastAsia="仿宋_GB2312"/>
          <w:sz w:val="32"/>
          <w:lang w:val="zh-CN"/>
        </w:rPr>
        <w:t>项目资金达3万元以上，通过部务会研究后实施项目。</w:t>
      </w:r>
    </w:p>
    <w:p>
      <w:pPr>
        <w:ind w:firstLine="640" w:firstLineChars="200"/>
        <w:rPr>
          <w:rFonts w:ascii="仿宋_GB2312" w:eastAsia="仿宋_GB2312"/>
          <w:sz w:val="32"/>
          <w:szCs w:val="32"/>
        </w:rPr>
      </w:pPr>
      <w:r>
        <w:rPr>
          <w:rFonts w:hint="eastAsia" w:ascii="仿宋_GB2312" w:hAnsi="宋体" w:eastAsia="仿宋_GB2312"/>
          <w:sz w:val="32"/>
        </w:rPr>
        <w:t>按照</w:t>
      </w:r>
      <w:r>
        <w:rPr>
          <w:rFonts w:hint="eastAsia" w:ascii="仿宋_GB2312" w:hAnsi="宋体" w:eastAsia="仿宋_GB2312"/>
          <w:sz w:val="32"/>
          <w:lang w:val="zh-CN"/>
        </w:rPr>
        <w:t>相关法律法规及项目管理制度，</w:t>
      </w:r>
      <w:r>
        <w:rPr>
          <w:rFonts w:hint="eastAsia" w:ascii="仿宋_GB2312" w:hAnsi="宋体" w:eastAsia="仿宋_GB2312"/>
          <w:sz w:val="32"/>
        </w:rPr>
        <w:t>落实</w:t>
      </w:r>
      <w:r>
        <w:rPr>
          <w:rFonts w:hint="eastAsia" w:ascii="仿宋_GB2312" w:hAnsi="宋体" w:eastAsia="仿宋_GB2312"/>
          <w:sz w:val="32"/>
          <w:lang w:val="zh-CN"/>
        </w:rPr>
        <w:t>项目</w:t>
      </w:r>
      <w:r>
        <w:rPr>
          <w:rFonts w:hint="eastAsia" w:ascii="仿宋_GB2312" w:hAnsi="宋体" w:eastAsia="仿宋_GB2312"/>
          <w:sz w:val="32"/>
        </w:rPr>
        <w:t>监管和项目资金报销凭证的审核、复核工作，按财经制度和单位内控管理依法依规支出</w:t>
      </w:r>
      <w:r>
        <w:rPr>
          <w:rFonts w:hint="eastAsia" w:ascii="仿宋_GB2312" w:hAnsi="宋体" w:eastAsia="仿宋_GB2312"/>
          <w:sz w:val="32"/>
          <w:lang w:val="zh-CN"/>
        </w:rPr>
        <w:t>。</w:t>
      </w:r>
    </w:p>
    <w:p>
      <w:pPr>
        <w:snapToGrid w:val="0"/>
        <w:spacing w:line="360" w:lineRule="auto"/>
        <w:ind w:firstLine="640" w:firstLineChars="200"/>
        <w:rPr>
          <w:rFonts w:ascii="黑体" w:hAnsi="宋体" w:eastAsia="黑体"/>
          <w:sz w:val="32"/>
          <w:szCs w:val="21"/>
        </w:rPr>
      </w:pPr>
      <w:r>
        <w:rPr>
          <w:rFonts w:hint="eastAsia" w:ascii="黑体" w:hAnsi="宋体" w:eastAsia="黑体"/>
          <w:sz w:val="32"/>
          <w:szCs w:val="21"/>
        </w:rPr>
        <w:t>五、存在主要问题。</w:t>
      </w:r>
    </w:p>
    <w:p>
      <w:pPr>
        <w:adjustRightInd w:val="0"/>
        <w:snapToGrid w:val="0"/>
        <w:spacing w:line="360" w:lineRule="auto"/>
        <w:ind w:firstLine="720"/>
        <w:rPr>
          <w:rFonts w:ascii="仿宋_GB2312" w:hAnsi="宋体" w:eastAsia="仿宋_GB2312"/>
          <w:sz w:val="32"/>
          <w:szCs w:val="32"/>
        </w:rPr>
      </w:pPr>
      <w:r>
        <w:rPr>
          <w:rFonts w:hint="eastAsia" w:ascii="仿宋_GB2312" w:hAnsi="宋体" w:eastAsia="仿宋_GB2312"/>
          <w:sz w:val="32"/>
        </w:rPr>
        <w:t>预算金额与实际支出金额存在一定差异，预算编制不够准确。</w:t>
      </w:r>
    </w:p>
    <w:p>
      <w:pPr>
        <w:numPr>
          <w:ilvl w:val="0"/>
          <w:numId w:val="4"/>
        </w:numPr>
        <w:snapToGrid w:val="0"/>
        <w:spacing w:line="360" w:lineRule="auto"/>
        <w:ind w:firstLine="640" w:firstLineChars="200"/>
        <w:rPr>
          <w:rFonts w:ascii="黑体" w:hAnsi="宋体" w:eastAsia="黑体"/>
          <w:sz w:val="32"/>
          <w:szCs w:val="21"/>
        </w:rPr>
      </w:pPr>
      <w:r>
        <w:rPr>
          <w:rFonts w:hint="eastAsia" w:ascii="黑体" w:hAnsi="宋体" w:eastAsia="黑体"/>
          <w:sz w:val="32"/>
          <w:szCs w:val="21"/>
        </w:rPr>
        <w:t>相关措施建议。</w:t>
      </w:r>
    </w:p>
    <w:p>
      <w:pPr>
        <w:snapToGrid w:val="0"/>
        <w:spacing w:line="360" w:lineRule="auto"/>
        <w:ind w:firstLine="640" w:firstLineChars="200"/>
        <w:rPr>
          <w:rFonts w:hint="eastAsia" w:ascii="仿宋_GB2312" w:hAnsi="Calibri" w:eastAsia="仿宋_GB2312"/>
          <w:bCs/>
          <w:sz w:val="32"/>
        </w:rPr>
      </w:pPr>
      <w:r>
        <w:rPr>
          <w:rFonts w:hint="eastAsia" w:ascii="仿宋_GB2312" w:hAnsi="Calibri" w:eastAsia="仿宋_GB2312"/>
          <w:bCs/>
          <w:sz w:val="32"/>
        </w:rPr>
        <w:t>强化绩效管理，提高资金使用绩效。</w:t>
      </w:r>
    </w:p>
    <w:p>
      <w:pPr>
        <w:pStyle w:val="2"/>
        <w:rPr>
          <w:rFonts w:hint="eastAsia" w:ascii="仿宋_GB2312" w:hAnsi="Calibri" w:eastAsia="仿宋_GB2312"/>
          <w:bCs/>
          <w:sz w:val="32"/>
        </w:rPr>
      </w:pPr>
    </w:p>
    <w:p>
      <w:pPr>
        <w:spacing w:line="600" w:lineRule="exact"/>
        <w:jc w:val="center"/>
        <w:rPr>
          <w:rFonts w:ascii="方正小标宋简体" w:eastAsia="方正小标宋简体" w:cs="方正小标宋简体"/>
          <w:sz w:val="40"/>
          <w:szCs w:val="40"/>
          <w:lang w:val="zh-CN"/>
        </w:rPr>
      </w:pPr>
      <w:r>
        <w:rPr>
          <w:rFonts w:hint="eastAsia" w:ascii="方正小标宋简体" w:eastAsia="方正小标宋简体" w:cs="方正小标宋简体"/>
          <w:sz w:val="40"/>
          <w:szCs w:val="40"/>
        </w:rPr>
        <w:t>2021年</w:t>
      </w:r>
      <w:r>
        <w:rPr>
          <w:rFonts w:hint="eastAsia" w:ascii="方正小标宋简体" w:eastAsia="方正小标宋简体" w:cs="方正小标宋简体"/>
          <w:sz w:val="40"/>
          <w:szCs w:val="40"/>
          <w:lang w:val="zh-CN"/>
        </w:rPr>
        <w:t>“四下乡”及宣传教育活动专项预算项目支出绩效自评报告</w:t>
      </w:r>
    </w:p>
    <w:p>
      <w:pPr>
        <w:tabs>
          <w:tab w:val="left" w:pos="3885"/>
        </w:tabs>
        <w:snapToGrid w:val="0"/>
        <w:spacing w:line="600" w:lineRule="exact"/>
        <w:ind w:firstLine="422" w:firstLineChars="200"/>
        <w:jc w:val="left"/>
        <w:rPr>
          <w:rFonts w:ascii="宋体" w:hAnsi="宋体"/>
          <w:b/>
          <w:szCs w:val="21"/>
        </w:rPr>
      </w:pPr>
    </w:p>
    <w:p>
      <w:pPr>
        <w:tabs>
          <w:tab w:val="left" w:pos="3885"/>
        </w:tabs>
        <w:snapToGrid w:val="0"/>
        <w:spacing w:line="360" w:lineRule="auto"/>
        <w:ind w:firstLine="640" w:firstLineChars="200"/>
        <w:jc w:val="left"/>
        <w:rPr>
          <w:rFonts w:ascii="黑体" w:hAnsi="宋体" w:eastAsia="黑体"/>
          <w:sz w:val="32"/>
          <w:szCs w:val="21"/>
        </w:rPr>
      </w:pPr>
      <w:r>
        <w:rPr>
          <w:rFonts w:hint="eastAsia" w:ascii="黑体" w:hAnsi="宋体" w:eastAsia="黑体"/>
          <w:sz w:val="32"/>
          <w:szCs w:val="21"/>
        </w:rPr>
        <w:t>一、基本情况</w:t>
      </w:r>
    </w:p>
    <w:p>
      <w:pPr>
        <w:adjustRightInd w:val="0"/>
        <w:snapToGrid w:val="0"/>
        <w:spacing w:line="360" w:lineRule="auto"/>
        <w:ind w:firstLine="640" w:firstLineChars="200"/>
        <w:rPr>
          <w:rFonts w:ascii="仿宋_GB2312" w:hAnsi="宋体" w:eastAsia="仿宋_GB2312"/>
          <w:sz w:val="32"/>
        </w:rPr>
      </w:pPr>
      <w:r>
        <w:rPr>
          <w:rFonts w:hint="eastAsia" w:ascii="仿宋_GB2312" w:hAnsi="宋体" w:eastAsia="仿宋_GB2312"/>
          <w:sz w:val="32"/>
        </w:rPr>
        <w:t>1.组建</w:t>
      </w:r>
      <w:r>
        <w:rPr>
          <w:rFonts w:hint="eastAsia" w:ascii="仿宋_GB2312" w:hAnsi="宋体" w:eastAsia="仿宋_GB2312"/>
          <w:sz w:val="32"/>
          <w:lang w:val="zh-CN"/>
        </w:rPr>
        <w:t>“</w:t>
      </w:r>
      <w:r>
        <w:rPr>
          <w:rFonts w:hint="eastAsia" w:ascii="仿宋_GB2312" w:hAnsi="宋体" w:eastAsia="仿宋_GB2312"/>
          <w:sz w:val="32"/>
        </w:rPr>
        <w:t>争当先进 做时代相逢</w:t>
      </w:r>
      <w:r>
        <w:rPr>
          <w:rFonts w:hint="eastAsia" w:ascii="仿宋_GB2312" w:hAnsi="宋体" w:eastAsia="仿宋_GB2312"/>
          <w:sz w:val="32"/>
          <w:lang w:val="zh-CN"/>
        </w:rPr>
        <w:t>”</w:t>
      </w:r>
      <w:r>
        <w:rPr>
          <w:rFonts w:hint="eastAsia" w:ascii="仿宋_GB2312" w:hAnsi="宋体" w:eastAsia="仿宋_GB2312"/>
          <w:sz w:val="32"/>
        </w:rPr>
        <w:t>巡回报告团，在全州开展巡回报告。先进典型巡回报告是组织身边人将身边事，宣传效果非常好。</w:t>
      </w:r>
    </w:p>
    <w:p>
      <w:pPr>
        <w:adjustRightInd w:val="0"/>
        <w:snapToGrid w:val="0"/>
        <w:spacing w:line="360" w:lineRule="auto"/>
        <w:ind w:firstLine="640" w:firstLineChars="200"/>
        <w:rPr>
          <w:rFonts w:ascii="仿宋_GB2312" w:hAnsi="宋体" w:eastAsia="仿宋_GB2312"/>
          <w:sz w:val="32"/>
          <w:lang w:val="zh-CN"/>
        </w:rPr>
      </w:pPr>
      <w:r>
        <w:rPr>
          <w:rFonts w:hint="eastAsia" w:ascii="仿宋_GB2312" w:hAnsi="宋体" w:eastAsia="仿宋_GB2312"/>
          <w:sz w:val="32"/>
        </w:rPr>
        <w:t>2.</w:t>
      </w:r>
      <w:r>
        <w:rPr>
          <w:rFonts w:hint="eastAsia" w:ascii="仿宋_GB2312" w:hAnsi="宋体" w:eastAsia="仿宋_GB2312"/>
          <w:sz w:val="32"/>
          <w:lang w:val="zh-CN"/>
        </w:rPr>
        <w:t>赴红原县龙日镇、色地镇和汶川县威州镇、漩口镇开展</w:t>
      </w:r>
      <w:r>
        <w:rPr>
          <w:rFonts w:hint="eastAsia" w:ascii="仿宋_GB2312" w:hAnsi="宋体" w:eastAsia="仿宋_GB2312"/>
          <w:sz w:val="32"/>
        </w:rPr>
        <w:t>“</w:t>
      </w:r>
      <w:r>
        <w:rPr>
          <w:rFonts w:hint="eastAsia" w:ascii="仿宋_GB2312" w:hAnsi="宋体" w:eastAsia="仿宋_GB2312"/>
          <w:sz w:val="32"/>
          <w:lang w:val="zh-CN"/>
        </w:rPr>
        <w:t>四下乡”即法律政策宣讲活动。</w:t>
      </w:r>
    </w:p>
    <w:p>
      <w:pPr>
        <w:tabs>
          <w:tab w:val="left" w:pos="3885"/>
        </w:tabs>
        <w:snapToGrid w:val="0"/>
        <w:spacing w:line="360" w:lineRule="auto"/>
        <w:ind w:firstLine="640" w:firstLineChars="200"/>
        <w:jc w:val="left"/>
        <w:rPr>
          <w:rFonts w:ascii="黑体" w:hAnsi="宋体" w:eastAsia="黑体"/>
          <w:sz w:val="32"/>
          <w:szCs w:val="21"/>
        </w:rPr>
      </w:pPr>
      <w:r>
        <w:rPr>
          <w:rFonts w:hint="eastAsia" w:ascii="黑体" w:hAnsi="宋体" w:eastAsia="黑体"/>
          <w:sz w:val="32"/>
          <w:szCs w:val="21"/>
        </w:rPr>
        <w:t>二、项目实施及管理情况</w:t>
      </w:r>
    </w:p>
    <w:p>
      <w:pPr>
        <w:snapToGrid w:val="0"/>
        <w:spacing w:line="360" w:lineRule="auto"/>
        <w:ind w:firstLine="643" w:firstLineChars="200"/>
        <w:rPr>
          <w:rFonts w:ascii="楷体_GB2312" w:hAnsi="宋体" w:eastAsia="楷体_GB2312"/>
          <w:b/>
          <w:sz w:val="32"/>
          <w:szCs w:val="21"/>
          <w:lang w:val="zh-CN"/>
        </w:rPr>
      </w:pPr>
      <w:r>
        <w:rPr>
          <w:rFonts w:hint="eastAsia" w:ascii="楷体_GB2312" w:hAnsi="宋体" w:eastAsia="楷体_GB2312"/>
          <w:b/>
          <w:sz w:val="32"/>
          <w:szCs w:val="21"/>
          <w:lang w:val="zh-CN"/>
        </w:rPr>
        <w:tab/>
      </w:r>
      <w:r>
        <w:rPr>
          <w:rFonts w:hint="eastAsia" w:ascii="楷体_GB2312" w:hAnsi="宋体" w:eastAsia="楷体_GB2312"/>
          <w:b/>
          <w:sz w:val="32"/>
          <w:szCs w:val="21"/>
          <w:lang w:val="zh-CN"/>
        </w:rPr>
        <w:t>（一）资金计划、到位及使用情况。</w:t>
      </w:r>
    </w:p>
    <w:p>
      <w:pPr>
        <w:adjustRightInd w:val="0"/>
        <w:snapToGrid w:val="0"/>
        <w:spacing w:line="360" w:lineRule="auto"/>
        <w:ind w:firstLine="640" w:firstLineChars="200"/>
        <w:rPr>
          <w:rFonts w:ascii="仿宋_GB2312" w:hAnsi="宋体" w:eastAsia="仿宋_GB2312"/>
          <w:sz w:val="32"/>
          <w:lang w:val="zh-CN"/>
        </w:rPr>
      </w:pPr>
      <w:r>
        <w:rPr>
          <w:rFonts w:hint="eastAsia" w:ascii="仿宋_GB2312" w:hAnsi="宋体" w:eastAsia="仿宋_GB2312"/>
          <w:sz w:val="32"/>
          <w:lang w:val="zh-CN"/>
        </w:rPr>
        <w:t>年初预算</w:t>
      </w:r>
      <w:r>
        <w:rPr>
          <w:rFonts w:hint="eastAsia" w:ascii="仿宋_GB2312" w:hAnsi="宋体" w:eastAsia="仿宋_GB2312"/>
          <w:sz w:val="32"/>
        </w:rPr>
        <w:t>10万元，已使用9.95万元，使用率99.5%。用于资金用于巡回报告团人员的培训、租车费、路途用餐、无工作单位先进典型的误工补贴、住宿费等以及</w:t>
      </w:r>
      <w:r>
        <w:rPr>
          <w:rFonts w:hint="eastAsia" w:ascii="仿宋_GB2312" w:hAnsi="宋体" w:eastAsia="仿宋_GB2312"/>
          <w:sz w:val="32"/>
          <w:lang w:val="zh-CN"/>
        </w:rPr>
        <w:t>“四下乡”活动。</w:t>
      </w:r>
    </w:p>
    <w:p>
      <w:pPr>
        <w:snapToGrid w:val="0"/>
        <w:spacing w:line="360" w:lineRule="auto"/>
        <w:ind w:firstLine="643" w:firstLineChars="200"/>
        <w:rPr>
          <w:rFonts w:ascii="楷体_GB2312" w:hAnsi="宋体" w:eastAsia="楷体_GB2312"/>
          <w:b/>
          <w:sz w:val="32"/>
          <w:szCs w:val="21"/>
          <w:lang w:val="zh-CN"/>
        </w:rPr>
      </w:pPr>
      <w:r>
        <w:rPr>
          <w:rFonts w:hint="eastAsia" w:ascii="楷体_GB2312" w:hAnsi="宋体" w:eastAsia="楷体_GB2312"/>
          <w:b/>
          <w:sz w:val="32"/>
          <w:szCs w:val="21"/>
          <w:lang w:val="zh-CN"/>
        </w:rPr>
        <w:t>（二）项目财务管理情况。</w:t>
      </w:r>
    </w:p>
    <w:p>
      <w:pPr>
        <w:adjustRightInd w:val="0"/>
        <w:snapToGrid w:val="0"/>
        <w:spacing w:line="360" w:lineRule="auto"/>
        <w:ind w:firstLine="640" w:firstLineChars="200"/>
        <w:rPr>
          <w:rFonts w:ascii="仿宋_GB2312" w:hAnsi="宋体" w:eastAsia="仿宋_GB2312"/>
          <w:sz w:val="32"/>
          <w:lang w:val="zh-CN"/>
        </w:rPr>
      </w:pPr>
      <w:r>
        <w:rPr>
          <w:rFonts w:hint="eastAsia" w:ascii="仿宋_GB2312" w:hAnsi="宋体" w:eastAsia="仿宋_GB2312"/>
          <w:sz w:val="32"/>
          <w:lang w:val="zh-CN"/>
        </w:rPr>
        <w:t>按照项目资金管理办法对专项资金进行管理。严格执行财务管理制度，按程序层层审批后予以支付。</w:t>
      </w:r>
    </w:p>
    <w:p>
      <w:pPr>
        <w:snapToGrid w:val="0"/>
        <w:spacing w:line="360" w:lineRule="auto"/>
        <w:ind w:firstLine="643" w:firstLineChars="200"/>
        <w:rPr>
          <w:rFonts w:ascii="楷体_GB2312" w:hAnsi="宋体" w:eastAsia="楷体_GB2312"/>
          <w:b/>
          <w:sz w:val="32"/>
          <w:szCs w:val="21"/>
          <w:lang w:val="zh-CN"/>
        </w:rPr>
      </w:pPr>
      <w:r>
        <w:rPr>
          <w:rFonts w:hint="eastAsia" w:ascii="楷体_GB2312" w:hAnsi="宋体" w:eastAsia="楷体_GB2312"/>
          <w:b/>
          <w:sz w:val="32"/>
          <w:szCs w:val="21"/>
          <w:lang w:val="zh-CN"/>
        </w:rPr>
        <w:t>（三）项目组织实施情况。</w:t>
      </w:r>
    </w:p>
    <w:p>
      <w:pPr>
        <w:adjustRightInd w:val="0"/>
        <w:snapToGrid w:val="0"/>
        <w:spacing w:line="360" w:lineRule="auto"/>
        <w:ind w:firstLine="640" w:firstLineChars="200"/>
        <w:rPr>
          <w:rFonts w:ascii="仿宋_GB2312" w:hAnsi="宋体" w:eastAsia="仿宋_GB2312"/>
          <w:sz w:val="32"/>
          <w:lang w:val="zh-CN"/>
        </w:rPr>
      </w:pPr>
      <w:r>
        <w:rPr>
          <w:rFonts w:hint="eastAsia" w:ascii="仿宋_GB2312" w:hAnsi="宋体" w:eastAsia="仿宋_GB2312"/>
          <w:sz w:val="32"/>
          <w:lang w:val="zh-CN"/>
        </w:rPr>
        <w:t>在项目实施前，项目内容、项目资金预算通过部务会审议后实施。按照“四下乡”活动内容，在财务人员、部领导严格监管下管理和支付资金。</w:t>
      </w:r>
    </w:p>
    <w:p>
      <w:pPr>
        <w:tabs>
          <w:tab w:val="left" w:pos="3885"/>
        </w:tabs>
        <w:snapToGrid w:val="0"/>
        <w:spacing w:line="560" w:lineRule="exact"/>
        <w:ind w:firstLine="640" w:firstLineChars="200"/>
        <w:jc w:val="left"/>
        <w:rPr>
          <w:rFonts w:ascii="黑体" w:hAnsi="宋体" w:eastAsia="黑体"/>
          <w:sz w:val="32"/>
          <w:szCs w:val="21"/>
        </w:rPr>
      </w:pPr>
      <w:r>
        <w:rPr>
          <w:rFonts w:hint="eastAsia" w:ascii="黑体" w:hAnsi="宋体" w:eastAsia="黑体"/>
          <w:sz w:val="32"/>
          <w:szCs w:val="21"/>
        </w:rPr>
        <w:t>三、综合评价结论（附评分表）</w:t>
      </w:r>
    </w:p>
    <w:p>
      <w:pPr>
        <w:adjustRightInd w:val="0"/>
        <w:snapToGrid w:val="0"/>
        <w:spacing w:line="560" w:lineRule="exact"/>
        <w:ind w:firstLine="640" w:firstLineChars="200"/>
        <w:rPr>
          <w:rFonts w:ascii="仿宋_GB2312" w:hAnsi="宋体" w:eastAsia="仿宋_GB2312"/>
          <w:sz w:val="32"/>
        </w:rPr>
      </w:pPr>
      <w:r>
        <w:rPr>
          <w:rFonts w:hint="eastAsia" w:ascii="仿宋_GB2312" w:hAnsi="宋体" w:eastAsia="仿宋_GB2312"/>
          <w:sz w:val="32"/>
        </w:rPr>
        <w:t>1.</w:t>
      </w:r>
      <w:r>
        <w:rPr>
          <w:rFonts w:hint="eastAsia" w:ascii="仿宋_GB2312" w:hAnsi="宋体" w:eastAsia="仿宋_GB2312"/>
          <w:sz w:val="32"/>
          <w:lang w:val="zh-CN"/>
        </w:rPr>
        <w:t>“</w:t>
      </w:r>
      <w:r>
        <w:rPr>
          <w:rFonts w:hint="eastAsia" w:ascii="仿宋_GB2312" w:hAnsi="宋体" w:eastAsia="仿宋_GB2312"/>
          <w:sz w:val="32"/>
        </w:rPr>
        <w:t>争当先进 做时代相逢</w:t>
      </w:r>
      <w:r>
        <w:rPr>
          <w:rFonts w:hint="eastAsia" w:ascii="仿宋_GB2312" w:hAnsi="宋体" w:eastAsia="仿宋_GB2312"/>
          <w:sz w:val="32"/>
          <w:lang w:val="zh-CN"/>
        </w:rPr>
        <w:t>”</w:t>
      </w:r>
      <w:r>
        <w:rPr>
          <w:rFonts w:hint="eastAsia" w:ascii="仿宋_GB2312" w:hAnsi="宋体" w:eastAsia="仿宋_GB2312"/>
          <w:sz w:val="32"/>
        </w:rPr>
        <w:t>巡回报告团赴13县（市）作报告，受到干部职工群众的一致好评。</w:t>
      </w:r>
    </w:p>
    <w:p>
      <w:pPr>
        <w:snapToGrid w:val="0"/>
        <w:spacing w:line="560" w:lineRule="exact"/>
        <w:ind w:firstLine="640" w:firstLineChars="200"/>
        <w:rPr>
          <w:rFonts w:ascii="仿宋_GB2312" w:hAnsi="宋体" w:eastAsia="仿宋_GB2312"/>
          <w:sz w:val="32"/>
          <w:lang w:val="zh-CN"/>
        </w:rPr>
      </w:pPr>
      <w:r>
        <w:rPr>
          <w:rFonts w:hint="eastAsia" w:ascii="仿宋_GB2312" w:hAnsi="宋体" w:eastAsia="仿宋_GB2312"/>
          <w:sz w:val="32"/>
        </w:rPr>
        <w:t>2.开展“四</w:t>
      </w:r>
      <w:r>
        <w:rPr>
          <w:rFonts w:hint="eastAsia" w:ascii="仿宋_GB2312" w:hAnsi="宋体" w:eastAsia="仿宋_GB2312"/>
          <w:sz w:val="32"/>
          <w:lang w:val="zh-CN"/>
        </w:rPr>
        <w:t>下乡”活动暨法律政策宣讲活动，产生积极深远的社会效益，让群众在家门口感受党的关心和温暖，提升农牧民素养、增进知识，共享文化科技卫生发展成果，了解党的方针政策。</w:t>
      </w:r>
    </w:p>
    <w:p>
      <w:pPr>
        <w:adjustRightInd w:val="0"/>
        <w:snapToGrid w:val="0"/>
        <w:spacing w:line="560" w:lineRule="exact"/>
        <w:ind w:firstLine="640" w:firstLineChars="200"/>
        <w:rPr>
          <w:rFonts w:ascii="仿宋_GB2312" w:hAnsi="宋体" w:eastAsia="仿宋_GB2312"/>
          <w:sz w:val="32"/>
        </w:rPr>
      </w:pPr>
      <w:r>
        <w:rPr>
          <w:rFonts w:hint="eastAsia" w:ascii="仿宋_GB2312" w:hAnsi="宋体" w:eastAsia="仿宋_GB2312"/>
          <w:sz w:val="32"/>
          <w:lang w:val="zh-CN"/>
        </w:rPr>
        <w:t>综合评价得分</w:t>
      </w:r>
      <w:r>
        <w:rPr>
          <w:rFonts w:hint="eastAsia" w:ascii="仿宋_GB2312" w:hAnsi="宋体" w:eastAsia="仿宋_GB2312"/>
          <w:sz w:val="32"/>
        </w:rPr>
        <w:t>90分。</w:t>
      </w:r>
    </w:p>
    <w:p>
      <w:pPr>
        <w:tabs>
          <w:tab w:val="left" w:pos="3885"/>
        </w:tabs>
        <w:snapToGrid w:val="0"/>
        <w:spacing w:line="560" w:lineRule="exact"/>
        <w:ind w:firstLine="640" w:firstLineChars="200"/>
        <w:jc w:val="left"/>
        <w:rPr>
          <w:rFonts w:ascii="黑体" w:hAnsi="宋体" w:eastAsia="黑体"/>
          <w:sz w:val="32"/>
          <w:szCs w:val="21"/>
        </w:rPr>
      </w:pPr>
      <w:r>
        <w:rPr>
          <w:rFonts w:hint="eastAsia" w:ascii="黑体" w:hAnsi="宋体" w:eastAsia="黑体"/>
          <w:sz w:val="32"/>
          <w:szCs w:val="21"/>
        </w:rPr>
        <w:t>四、绩效评价分析</w:t>
      </w:r>
    </w:p>
    <w:p>
      <w:pPr>
        <w:snapToGrid w:val="0"/>
        <w:spacing w:line="560" w:lineRule="exact"/>
        <w:ind w:firstLine="643" w:firstLineChars="200"/>
        <w:rPr>
          <w:rFonts w:ascii="楷体_GB2312" w:hAnsi="宋体" w:eastAsia="楷体_GB2312"/>
          <w:b/>
          <w:sz w:val="32"/>
          <w:szCs w:val="21"/>
          <w:lang w:val="zh-CN"/>
        </w:rPr>
      </w:pPr>
      <w:r>
        <w:rPr>
          <w:rFonts w:hint="eastAsia" w:ascii="楷体_GB2312" w:hAnsi="宋体" w:eastAsia="楷体_GB2312"/>
          <w:b/>
          <w:sz w:val="32"/>
          <w:szCs w:val="21"/>
          <w:lang w:val="zh-CN"/>
        </w:rPr>
        <w:t>（一）项目决策情况</w:t>
      </w:r>
    </w:p>
    <w:p>
      <w:pPr>
        <w:snapToGrid w:val="0"/>
        <w:spacing w:line="560" w:lineRule="exact"/>
        <w:ind w:firstLine="640" w:firstLineChars="200"/>
        <w:rPr>
          <w:rFonts w:ascii="仿宋_GB2312" w:hAnsi="宋体" w:eastAsia="仿宋_GB2312"/>
          <w:sz w:val="32"/>
        </w:rPr>
      </w:pPr>
      <w:r>
        <w:rPr>
          <w:rFonts w:hint="eastAsia" w:ascii="仿宋_GB2312" w:hAnsi="宋体" w:eastAsia="仿宋_GB2312"/>
          <w:sz w:val="32"/>
        </w:rPr>
        <w:t>项目实施前，向部务会成员报告活动方案和资金预算安排，部务会研究审议通过后进行实施。</w:t>
      </w:r>
    </w:p>
    <w:p>
      <w:pPr>
        <w:snapToGrid w:val="0"/>
        <w:spacing w:line="560" w:lineRule="exact"/>
        <w:ind w:firstLine="643" w:firstLineChars="200"/>
        <w:rPr>
          <w:rFonts w:ascii="楷体_GB2312" w:hAnsi="宋体" w:eastAsia="楷体_GB2312"/>
          <w:b/>
          <w:sz w:val="32"/>
          <w:szCs w:val="21"/>
          <w:lang w:val="zh-CN"/>
        </w:rPr>
      </w:pPr>
      <w:r>
        <w:rPr>
          <w:rFonts w:hint="eastAsia" w:ascii="楷体_GB2312" w:hAnsi="宋体" w:eastAsia="楷体_GB2312"/>
          <w:b/>
          <w:sz w:val="32"/>
          <w:szCs w:val="21"/>
          <w:lang w:val="zh-CN"/>
        </w:rPr>
        <w:t>（二）项目管理情况</w:t>
      </w:r>
    </w:p>
    <w:p>
      <w:pPr>
        <w:snapToGrid w:val="0"/>
        <w:spacing w:line="560" w:lineRule="exact"/>
        <w:rPr>
          <w:rFonts w:ascii="仿宋_GB2312" w:hAnsi="宋体" w:eastAsia="仿宋_GB2312"/>
          <w:sz w:val="32"/>
        </w:rPr>
      </w:pPr>
      <w:r>
        <w:rPr>
          <w:rFonts w:hint="eastAsia" w:ascii="楷体_GB2312" w:hAnsi="宋体" w:eastAsia="楷体_GB2312"/>
          <w:b/>
          <w:szCs w:val="21"/>
        </w:rPr>
        <w:t xml:space="preserve">    </w:t>
      </w:r>
      <w:r>
        <w:rPr>
          <w:rFonts w:hint="eastAsia" w:ascii="仿宋_GB2312" w:hAnsi="宋体" w:eastAsia="仿宋_GB2312"/>
          <w:sz w:val="32"/>
        </w:rPr>
        <w:t>按照资金管理办法，严格资金管理和使用。</w:t>
      </w:r>
    </w:p>
    <w:p>
      <w:pPr>
        <w:snapToGrid w:val="0"/>
        <w:spacing w:line="560" w:lineRule="exact"/>
        <w:ind w:firstLine="643" w:firstLineChars="200"/>
        <w:rPr>
          <w:rFonts w:ascii="楷体_GB2312" w:hAnsi="宋体" w:eastAsia="楷体_GB2312"/>
          <w:b/>
          <w:sz w:val="32"/>
          <w:szCs w:val="21"/>
          <w:lang w:val="zh-CN"/>
        </w:rPr>
      </w:pPr>
      <w:r>
        <w:rPr>
          <w:rFonts w:hint="eastAsia" w:ascii="楷体_GB2312" w:hAnsi="宋体" w:eastAsia="楷体_GB2312"/>
          <w:b/>
          <w:sz w:val="32"/>
          <w:szCs w:val="21"/>
          <w:lang w:val="zh-CN"/>
        </w:rPr>
        <w:t>（三）项目产出情况</w:t>
      </w:r>
    </w:p>
    <w:p>
      <w:pPr>
        <w:snapToGrid w:val="0"/>
        <w:spacing w:line="560" w:lineRule="exact"/>
        <w:ind w:firstLine="640" w:firstLineChars="200"/>
        <w:rPr>
          <w:rFonts w:ascii="仿宋_GB2312" w:hAnsi="宋体" w:eastAsia="仿宋_GB2312"/>
          <w:sz w:val="32"/>
        </w:rPr>
      </w:pPr>
      <w:r>
        <w:rPr>
          <w:rFonts w:hint="eastAsia" w:ascii="仿宋_GB2312" w:hAnsi="宋体" w:eastAsia="仿宋_GB2312"/>
          <w:sz w:val="32"/>
        </w:rPr>
        <w:t>资金用于开展巡回报告工作，保障了活动的顺利推进。</w:t>
      </w:r>
    </w:p>
    <w:p>
      <w:pPr>
        <w:snapToGrid w:val="0"/>
        <w:spacing w:line="560" w:lineRule="exact"/>
        <w:ind w:firstLine="643" w:firstLineChars="200"/>
        <w:rPr>
          <w:rFonts w:ascii="楷体_GB2312" w:hAnsi="宋体" w:eastAsia="楷体_GB2312"/>
          <w:b/>
          <w:sz w:val="32"/>
          <w:szCs w:val="21"/>
        </w:rPr>
      </w:pPr>
      <w:r>
        <w:rPr>
          <w:rFonts w:hint="eastAsia" w:ascii="楷体_GB2312" w:hAnsi="宋体" w:eastAsia="楷体_GB2312"/>
          <w:b/>
          <w:sz w:val="32"/>
          <w:szCs w:val="21"/>
        </w:rPr>
        <w:t>（四）项目效益情况。</w:t>
      </w:r>
    </w:p>
    <w:p>
      <w:pPr>
        <w:snapToGrid w:val="0"/>
        <w:spacing w:line="560" w:lineRule="exact"/>
        <w:ind w:firstLine="640" w:firstLineChars="200"/>
        <w:rPr>
          <w:rFonts w:ascii="仿宋_GB2312" w:hAnsi="宋体" w:eastAsia="仿宋_GB2312"/>
          <w:sz w:val="32"/>
        </w:rPr>
      </w:pPr>
      <w:r>
        <w:rPr>
          <w:rFonts w:hint="eastAsia" w:ascii="仿宋_GB2312" w:hAnsi="宋体" w:eastAsia="仿宋_GB2312"/>
          <w:sz w:val="32"/>
        </w:rPr>
        <w:t>项目不产生经济效益，产生了良好的社会效益。</w:t>
      </w:r>
    </w:p>
    <w:p>
      <w:pPr>
        <w:tabs>
          <w:tab w:val="left" w:pos="3885"/>
        </w:tabs>
        <w:snapToGrid w:val="0"/>
        <w:spacing w:line="560" w:lineRule="exact"/>
        <w:ind w:firstLine="640" w:firstLineChars="200"/>
        <w:jc w:val="left"/>
        <w:rPr>
          <w:rFonts w:ascii="黑体" w:hAnsi="宋体" w:eastAsia="黑体"/>
          <w:sz w:val="32"/>
          <w:szCs w:val="21"/>
        </w:rPr>
      </w:pPr>
      <w:r>
        <w:rPr>
          <w:rFonts w:hint="eastAsia" w:ascii="黑体" w:hAnsi="宋体" w:eastAsia="黑体"/>
          <w:sz w:val="32"/>
          <w:szCs w:val="21"/>
        </w:rPr>
        <w:t>五、存在主要问题</w:t>
      </w:r>
    </w:p>
    <w:p>
      <w:pPr>
        <w:snapToGrid w:val="0"/>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因受疫情影响，没有及时开展活动。资金支出缓慢。</w:t>
      </w:r>
    </w:p>
    <w:p>
      <w:pPr>
        <w:tabs>
          <w:tab w:val="left" w:pos="3885"/>
        </w:tabs>
        <w:snapToGrid w:val="0"/>
        <w:spacing w:line="560" w:lineRule="exact"/>
        <w:ind w:firstLine="640" w:firstLineChars="200"/>
        <w:jc w:val="left"/>
        <w:rPr>
          <w:rFonts w:ascii="黑体" w:hAnsi="宋体" w:eastAsia="黑体"/>
          <w:sz w:val="32"/>
          <w:szCs w:val="21"/>
        </w:rPr>
      </w:pPr>
      <w:r>
        <w:rPr>
          <w:rFonts w:hint="eastAsia" w:ascii="黑体" w:hAnsi="宋体" w:eastAsia="黑体"/>
          <w:sz w:val="32"/>
          <w:szCs w:val="21"/>
        </w:rPr>
        <w:t>六、相关措施建议</w:t>
      </w:r>
    </w:p>
    <w:p>
      <w:pPr>
        <w:spacing w:line="560" w:lineRule="exact"/>
        <w:rPr>
          <w:rFonts w:ascii="仿宋_GB2312" w:hAnsi="宋体" w:eastAsia="仿宋_GB2312"/>
          <w:sz w:val="32"/>
        </w:rPr>
      </w:pPr>
      <w:r>
        <w:rPr>
          <w:rFonts w:hint="eastAsia"/>
        </w:rPr>
        <w:t xml:space="preserve">   </w:t>
      </w:r>
      <w:r>
        <w:rPr>
          <w:rFonts w:hint="eastAsia" w:ascii="仿宋_GB2312" w:hAnsi="宋体" w:eastAsia="仿宋_GB2312"/>
          <w:sz w:val="32"/>
        </w:rPr>
        <w:t xml:space="preserve">   提高资金的支付速度，确保资金使用有力有序。</w:t>
      </w:r>
    </w:p>
    <w:p>
      <w:pPr>
        <w:snapToGrid w:val="0"/>
        <w:spacing w:line="360" w:lineRule="auto"/>
        <w:ind w:left="420" w:leftChars="200"/>
        <w:rPr>
          <w:rFonts w:ascii="仿宋_GB2312" w:hAnsi="Calibri" w:eastAsia="仿宋_GB2312"/>
          <w:bCs/>
          <w:sz w:val="32"/>
          <w:szCs w:val="32"/>
        </w:rPr>
      </w:pPr>
    </w:p>
    <w:p>
      <w:pPr>
        <w:widowControl/>
        <w:adjustRightInd w:val="0"/>
        <w:snapToGrid w:val="0"/>
        <w:spacing w:line="580" w:lineRule="exact"/>
        <w:ind w:firstLine="640" w:firstLineChars="200"/>
        <w:contextualSpacing/>
        <w:jc w:val="left"/>
        <w:rPr>
          <w:rFonts w:ascii="仿宋_GB2312" w:eastAsia="仿宋_GB2312" w:cs="宋体"/>
          <w:kern w:val="0"/>
          <w:sz w:val="32"/>
          <w:szCs w:val="32"/>
          <w:shd w:val="clear" w:color="auto" w:fill="FFFFFF"/>
          <w:lang w:val="zh-CN"/>
        </w:rPr>
      </w:pPr>
    </w:p>
    <w:p>
      <w:pPr>
        <w:spacing w:line="600" w:lineRule="exact"/>
        <w:jc w:val="center"/>
        <w:rPr>
          <w:rFonts w:hint="eastAsia" w:ascii="方正小标宋简体" w:eastAsia="方正小标宋简体" w:cs="方正小标宋简体"/>
          <w:sz w:val="40"/>
          <w:szCs w:val="40"/>
          <w:lang w:val="zh-CN"/>
        </w:rPr>
      </w:pPr>
      <w:r>
        <w:rPr>
          <w:rFonts w:hint="eastAsia" w:ascii="方正小标宋简体" w:eastAsia="方正小标宋简体" w:cs="方正小标宋简体"/>
          <w:sz w:val="40"/>
          <w:szCs w:val="40"/>
        </w:rPr>
        <w:t>2021年</w:t>
      </w:r>
      <w:r>
        <w:rPr>
          <w:rFonts w:hint="eastAsia" w:ascii="方正小标宋简体" w:eastAsia="方正小标宋简体" w:cs="方正小标宋简体"/>
          <w:sz w:val="40"/>
          <w:szCs w:val="40"/>
          <w:lang w:val="zh-CN"/>
        </w:rPr>
        <w:t>公务用车购置专项预算项目</w:t>
      </w:r>
    </w:p>
    <w:p>
      <w:pPr>
        <w:spacing w:line="600" w:lineRule="exact"/>
        <w:jc w:val="center"/>
        <w:rPr>
          <w:rFonts w:ascii="方正小标宋简体" w:eastAsia="方正小标宋简体" w:cs="方正小标宋简体"/>
          <w:sz w:val="40"/>
          <w:szCs w:val="40"/>
          <w:lang w:val="zh-CN"/>
        </w:rPr>
      </w:pPr>
      <w:r>
        <w:rPr>
          <w:rFonts w:hint="eastAsia" w:ascii="方正小标宋简体" w:eastAsia="方正小标宋简体" w:cs="方正小标宋简体"/>
          <w:sz w:val="40"/>
          <w:szCs w:val="40"/>
          <w:lang w:val="zh-CN"/>
        </w:rPr>
        <w:t>支出绩效自评报告</w:t>
      </w:r>
    </w:p>
    <w:p>
      <w:pPr>
        <w:tabs>
          <w:tab w:val="left" w:pos="3885"/>
        </w:tabs>
        <w:snapToGrid w:val="0"/>
        <w:spacing w:line="360" w:lineRule="auto"/>
        <w:ind w:firstLine="640" w:firstLineChars="200"/>
        <w:jc w:val="left"/>
        <w:rPr>
          <w:rFonts w:ascii="黑体" w:hAnsi="宋体" w:eastAsia="黑体"/>
          <w:sz w:val="32"/>
          <w:szCs w:val="21"/>
        </w:rPr>
      </w:pPr>
    </w:p>
    <w:p>
      <w:pPr>
        <w:tabs>
          <w:tab w:val="left" w:pos="3885"/>
        </w:tabs>
        <w:snapToGrid w:val="0"/>
        <w:spacing w:line="360" w:lineRule="auto"/>
        <w:ind w:firstLine="640" w:firstLineChars="200"/>
        <w:jc w:val="left"/>
        <w:rPr>
          <w:rFonts w:ascii="黑体" w:hAnsi="宋体" w:eastAsia="黑体"/>
          <w:sz w:val="32"/>
          <w:szCs w:val="21"/>
        </w:rPr>
      </w:pPr>
      <w:r>
        <w:rPr>
          <w:rFonts w:hint="eastAsia" w:ascii="黑体" w:hAnsi="宋体" w:eastAsia="黑体"/>
          <w:sz w:val="32"/>
          <w:szCs w:val="21"/>
        </w:rPr>
        <w:t>一、基本情况</w:t>
      </w:r>
    </w:p>
    <w:p>
      <w:pPr>
        <w:snapToGrid w:val="0"/>
        <w:spacing w:line="360" w:lineRule="auto"/>
        <w:ind w:firstLine="640" w:firstLineChars="200"/>
        <w:rPr>
          <w:rFonts w:ascii="仿宋_GB2312" w:hAnsi="宋体" w:eastAsia="仿宋_GB2312"/>
          <w:sz w:val="32"/>
          <w:szCs w:val="32"/>
          <w:lang w:val="zh-CN"/>
        </w:rPr>
      </w:pPr>
      <w:r>
        <w:rPr>
          <w:rFonts w:hint="eastAsia" w:ascii="仿宋_GB2312" w:hAnsi="仿宋" w:eastAsia="仿宋_GB2312"/>
          <w:sz w:val="32"/>
        </w:rPr>
        <w:t>为保障开展舆论引导、对外宣传等各项工作顺利推进，经阿坝州公务用车制度改革和管理领导小组办公室批准购置</w:t>
      </w:r>
      <w:r>
        <w:rPr>
          <w:rFonts w:ascii="仿宋_GB2312" w:hAnsi="仿宋" w:eastAsia="仿宋_GB2312"/>
          <w:sz w:val="32"/>
        </w:rPr>
        <w:t>1</w:t>
      </w:r>
      <w:r>
        <w:rPr>
          <w:rFonts w:hint="eastAsia" w:ascii="仿宋_GB2312" w:hAnsi="仿宋" w:eastAsia="仿宋_GB2312"/>
          <w:sz w:val="32"/>
        </w:rPr>
        <w:t>辆3.5升以下、价格60万元以内的国产越野型公务用车。车辆符合国家要求的质量标准，满意度达到绩效指标标准。</w:t>
      </w:r>
    </w:p>
    <w:p>
      <w:pPr>
        <w:snapToGrid w:val="0"/>
        <w:spacing w:line="360" w:lineRule="auto"/>
        <w:ind w:firstLine="640" w:firstLineChars="200"/>
        <w:rPr>
          <w:rFonts w:ascii="宋体"/>
          <w:sz w:val="32"/>
          <w:szCs w:val="21"/>
        </w:rPr>
      </w:pPr>
      <w:r>
        <w:rPr>
          <w:rFonts w:hint="eastAsia" w:ascii="黑体" w:hAnsi="黑体" w:eastAsia="黑体" w:cs="黑体"/>
          <w:sz w:val="32"/>
          <w:szCs w:val="21"/>
        </w:rPr>
        <w:t>二、评价工作开展情况</w:t>
      </w:r>
    </w:p>
    <w:p>
      <w:pPr>
        <w:adjustRightInd w:val="0"/>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rPr>
        <w:t>经费用于项目本身，经费使用坚持效率优先，兼顾节约的原则，经费报销凭据真实可。</w:t>
      </w:r>
    </w:p>
    <w:p>
      <w:pPr>
        <w:snapToGrid w:val="0"/>
        <w:spacing w:line="360" w:lineRule="auto"/>
        <w:ind w:firstLine="640" w:firstLineChars="200"/>
        <w:rPr>
          <w:rFonts w:ascii="黑体" w:hAnsi="宋体" w:eastAsia="黑体"/>
          <w:sz w:val="32"/>
          <w:szCs w:val="21"/>
        </w:rPr>
      </w:pPr>
      <w:r>
        <w:rPr>
          <w:rFonts w:hint="eastAsia" w:ascii="黑体" w:hAnsi="宋体" w:eastAsia="黑体"/>
          <w:sz w:val="32"/>
          <w:szCs w:val="21"/>
        </w:rPr>
        <w:t>三、综合评价结论（附评分表）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993"/>
        <w:gridCol w:w="1217"/>
        <w:gridCol w:w="1217"/>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jc w:val="center"/>
        </w:trPr>
        <w:tc>
          <w:tcPr>
            <w:tcW w:w="1441" w:type="dxa"/>
          </w:tcPr>
          <w:p>
            <w:pPr>
              <w:snapToGrid w:val="0"/>
              <w:spacing w:line="360" w:lineRule="auto"/>
              <w:rPr>
                <w:rFonts w:ascii="仿宋_GB2312" w:hAnsi="宋体" w:eastAsia="仿宋_GB2312"/>
                <w:sz w:val="32"/>
                <w:szCs w:val="32"/>
              </w:rPr>
            </w:pPr>
          </w:p>
          <w:p>
            <w:pPr>
              <w:snapToGrid w:val="0"/>
              <w:spacing w:line="360" w:lineRule="auto"/>
              <w:rPr>
                <w:rFonts w:ascii="仿宋_GB2312" w:hAnsi="宋体" w:eastAsia="仿宋_GB2312"/>
                <w:sz w:val="32"/>
                <w:szCs w:val="32"/>
              </w:rPr>
            </w:pPr>
          </w:p>
        </w:tc>
        <w:tc>
          <w:tcPr>
            <w:tcW w:w="993"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支出相符性</w:t>
            </w:r>
          </w:p>
        </w:tc>
        <w:tc>
          <w:tcPr>
            <w:tcW w:w="1217"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支出真实性</w:t>
            </w:r>
          </w:p>
        </w:tc>
        <w:tc>
          <w:tcPr>
            <w:tcW w:w="1217"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支出核算资料完整性</w:t>
            </w:r>
          </w:p>
        </w:tc>
        <w:tc>
          <w:tcPr>
            <w:tcW w:w="1218"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目标数完成比例</w:t>
            </w:r>
          </w:p>
        </w:tc>
        <w:tc>
          <w:tcPr>
            <w:tcW w:w="1218"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对象满意度</w:t>
            </w:r>
          </w:p>
        </w:tc>
        <w:tc>
          <w:tcPr>
            <w:tcW w:w="1218"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支出预算占比</w:t>
            </w:r>
            <w:r>
              <w:rPr>
                <w:rFonts w:ascii="仿宋_GB2312" w:hAnsi="宋体" w:eastAsia="仿宋_GB2312"/>
                <w:sz w:val="28"/>
                <w:szCs w:val="28"/>
              </w:rPr>
              <w:t>90%</w:t>
            </w:r>
            <w:r>
              <w:rPr>
                <w:rFonts w:hint="eastAsia" w:ascii="仿宋_GB2312" w:hAnsi="宋体" w:eastAsia="仿宋_GB2312"/>
                <w:sz w:val="28"/>
                <w:szCs w:val="28"/>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tcPr>
          <w:p>
            <w:pPr>
              <w:snapToGrid w:val="0"/>
              <w:spacing w:line="360" w:lineRule="auto"/>
              <w:rPr>
                <w:rFonts w:ascii="仿宋_GB2312" w:hAnsi="宋体" w:eastAsia="仿宋_GB2312"/>
                <w:sz w:val="30"/>
                <w:szCs w:val="30"/>
              </w:rPr>
            </w:pPr>
            <w:r>
              <w:rPr>
                <w:rFonts w:hint="eastAsia" w:ascii="仿宋_GB2312" w:hAnsi="宋体" w:eastAsia="仿宋_GB2312"/>
                <w:sz w:val="30"/>
                <w:szCs w:val="30"/>
              </w:rPr>
              <w:t>评分</w:t>
            </w:r>
          </w:p>
        </w:tc>
        <w:tc>
          <w:tcPr>
            <w:tcW w:w="993"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20</w:t>
            </w:r>
          </w:p>
        </w:tc>
        <w:tc>
          <w:tcPr>
            <w:tcW w:w="1217"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20</w:t>
            </w:r>
          </w:p>
        </w:tc>
        <w:tc>
          <w:tcPr>
            <w:tcW w:w="1217"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20</w:t>
            </w:r>
          </w:p>
        </w:tc>
        <w:tc>
          <w:tcPr>
            <w:tcW w:w="1218"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10</w:t>
            </w:r>
          </w:p>
        </w:tc>
        <w:tc>
          <w:tcPr>
            <w:tcW w:w="1218"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20</w:t>
            </w:r>
          </w:p>
        </w:tc>
        <w:tc>
          <w:tcPr>
            <w:tcW w:w="1218"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41" w:type="dxa"/>
          </w:tcPr>
          <w:p>
            <w:pPr>
              <w:snapToGrid w:val="0"/>
              <w:spacing w:line="360" w:lineRule="auto"/>
              <w:rPr>
                <w:rFonts w:ascii="仿宋_GB2312" w:hAnsi="宋体" w:eastAsia="仿宋_GB2312"/>
                <w:sz w:val="30"/>
                <w:szCs w:val="30"/>
              </w:rPr>
            </w:pPr>
            <w:r>
              <w:rPr>
                <w:rFonts w:hint="eastAsia" w:ascii="仿宋_GB2312" w:hAnsi="宋体" w:eastAsia="仿宋_GB2312"/>
                <w:sz w:val="30"/>
                <w:szCs w:val="30"/>
              </w:rPr>
              <w:t>自评得分</w:t>
            </w:r>
          </w:p>
        </w:tc>
        <w:tc>
          <w:tcPr>
            <w:tcW w:w="993"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20</w:t>
            </w:r>
          </w:p>
        </w:tc>
        <w:tc>
          <w:tcPr>
            <w:tcW w:w="1217"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20</w:t>
            </w:r>
          </w:p>
        </w:tc>
        <w:tc>
          <w:tcPr>
            <w:tcW w:w="1217"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20</w:t>
            </w:r>
          </w:p>
        </w:tc>
        <w:tc>
          <w:tcPr>
            <w:tcW w:w="1218"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10</w:t>
            </w:r>
          </w:p>
        </w:tc>
        <w:tc>
          <w:tcPr>
            <w:tcW w:w="1218"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20</w:t>
            </w:r>
          </w:p>
        </w:tc>
        <w:tc>
          <w:tcPr>
            <w:tcW w:w="1218"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4" w:type="dxa"/>
            <w:gridSpan w:val="6"/>
          </w:tcPr>
          <w:p>
            <w:pPr>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得</w:t>
            </w:r>
            <w:r>
              <w:rPr>
                <w:rFonts w:hint="eastAsia" w:ascii="仿宋_GB2312" w:hAnsi="宋体" w:eastAsia="仿宋_GB2312"/>
                <w:sz w:val="30"/>
                <w:szCs w:val="30"/>
                <w:lang w:val="en-US" w:eastAsia="zh-CN"/>
              </w:rPr>
              <w:t xml:space="preserve">   </w:t>
            </w:r>
            <w:r>
              <w:rPr>
                <w:rFonts w:hint="eastAsia" w:ascii="仿宋_GB2312" w:hAnsi="宋体" w:eastAsia="仿宋_GB2312"/>
                <w:sz w:val="30"/>
                <w:szCs w:val="30"/>
              </w:rPr>
              <w:t>分</w:t>
            </w:r>
          </w:p>
        </w:tc>
        <w:tc>
          <w:tcPr>
            <w:tcW w:w="1218"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100</w:t>
            </w:r>
          </w:p>
        </w:tc>
      </w:tr>
    </w:tbl>
    <w:p>
      <w:pPr>
        <w:snapToGrid w:val="0"/>
        <w:spacing w:line="360" w:lineRule="auto"/>
        <w:ind w:firstLine="640" w:firstLineChars="200"/>
        <w:rPr>
          <w:rFonts w:hint="eastAsia" w:ascii="黑体" w:hAnsi="黑体" w:eastAsia="黑体" w:cs="黑体"/>
          <w:bCs/>
          <w:sz w:val="32"/>
          <w:szCs w:val="21"/>
        </w:rPr>
      </w:pPr>
    </w:p>
    <w:p>
      <w:pPr>
        <w:snapToGrid w:val="0"/>
        <w:spacing w:line="360" w:lineRule="auto"/>
        <w:ind w:firstLine="640" w:firstLineChars="200"/>
        <w:rPr>
          <w:rFonts w:ascii="黑体" w:hAnsi="黑体" w:eastAsia="黑体" w:cs="黑体"/>
          <w:bCs/>
          <w:sz w:val="32"/>
          <w:szCs w:val="21"/>
        </w:rPr>
      </w:pPr>
      <w:r>
        <w:rPr>
          <w:rFonts w:hint="eastAsia" w:ascii="黑体" w:hAnsi="黑体" w:eastAsia="黑体" w:cs="黑体"/>
          <w:bCs/>
          <w:sz w:val="32"/>
          <w:szCs w:val="21"/>
        </w:rPr>
        <w:t>四、绩效评价分析</w:t>
      </w:r>
    </w:p>
    <w:p>
      <w:pPr>
        <w:snapToGrid w:val="0"/>
        <w:spacing w:line="360" w:lineRule="auto"/>
        <w:ind w:firstLine="643" w:firstLineChars="200"/>
        <w:rPr>
          <w:rFonts w:ascii="楷体_GB2312" w:hAnsi="宋体" w:eastAsia="仿宋_GB2312"/>
          <w:b/>
          <w:sz w:val="32"/>
          <w:szCs w:val="21"/>
        </w:rPr>
      </w:pPr>
      <w:r>
        <w:rPr>
          <w:rFonts w:hint="eastAsia" w:ascii="楷体_GB2312" w:hAnsi="宋体" w:eastAsia="楷体_GB2312"/>
          <w:b/>
          <w:sz w:val="32"/>
          <w:szCs w:val="21"/>
        </w:rPr>
        <w:t>（一）项目决策情况。</w:t>
      </w:r>
      <w:r>
        <w:rPr>
          <w:rFonts w:hint="eastAsia" w:ascii="仿宋_GB2312" w:hAnsi="宋体" w:eastAsia="仿宋_GB2312"/>
          <w:sz w:val="32"/>
          <w:lang w:val="zh-CN"/>
        </w:rPr>
        <w:t>严格执行财务管理制度，账务处理及时，会计核算规范</w:t>
      </w:r>
      <w:r>
        <w:rPr>
          <w:rFonts w:hint="eastAsia" w:ascii="仿宋_GB2312" w:hAnsi="宋体" w:eastAsia="仿宋_GB2312"/>
          <w:sz w:val="32"/>
        </w:rPr>
        <w:t>的要求执行项目经费。</w:t>
      </w:r>
    </w:p>
    <w:p>
      <w:pPr>
        <w:ind w:firstLine="643" w:firstLineChars="200"/>
        <w:rPr>
          <w:rFonts w:ascii="仿宋_GB2312" w:eastAsia="仿宋_GB2312"/>
          <w:sz w:val="32"/>
          <w:szCs w:val="32"/>
        </w:rPr>
      </w:pPr>
      <w:r>
        <w:rPr>
          <w:rFonts w:hint="eastAsia" w:ascii="楷体_GB2312" w:hAnsi="宋体" w:eastAsia="楷体_GB2312"/>
          <w:b/>
          <w:sz w:val="32"/>
          <w:szCs w:val="21"/>
        </w:rPr>
        <w:t>（二）项目管理情况。</w:t>
      </w:r>
      <w:r>
        <w:rPr>
          <w:rFonts w:hint="eastAsia" w:ascii="仿宋_GB2312" w:eastAsia="仿宋_GB2312"/>
          <w:sz w:val="32"/>
          <w:szCs w:val="32"/>
        </w:rPr>
        <w:t>项目资金达3万元以上，通过部务会研究后实施项目。</w:t>
      </w:r>
    </w:p>
    <w:p>
      <w:pPr>
        <w:adjustRightInd w:val="0"/>
        <w:snapToGrid w:val="0"/>
        <w:spacing w:line="360" w:lineRule="auto"/>
        <w:ind w:firstLine="640" w:firstLineChars="200"/>
        <w:rPr>
          <w:rFonts w:ascii="楷体_GB2312" w:hAnsi="宋体" w:eastAsia="楷体_GB2312"/>
          <w:b/>
          <w:sz w:val="32"/>
          <w:szCs w:val="21"/>
        </w:rPr>
      </w:pPr>
      <w:r>
        <w:rPr>
          <w:rFonts w:hint="eastAsia" w:ascii="仿宋_GB2312" w:hAnsi="宋体" w:eastAsia="仿宋_GB2312"/>
          <w:sz w:val="32"/>
        </w:rPr>
        <w:t>按照</w:t>
      </w:r>
      <w:r>
        <w:rPr>
          <w:rFonts w:hint="eastAsia" w:ascii="仿宋_GB2312" w:hAnsi="宋体" w:eastAsia="仿宋_GB2312"/>
          <w:sz w:val="32"/>
          <w:lang w:val="zh-CN"/>
        </w:rPr>
        <w:t>相关法律法规及项目管理制度，</w:t>
      </w:r>
      <w:r>
        <w:rPr>
          <w:rFonts w:hint="eastAsia" w:ascii="仿宋_GB2312" w:hAnsi="宋体" w:eastAsia="仿宋_GB2312"/>
          <w:sz w:val="32"/>
        </w:rPr>
        <w:t>落实</w:t>
      </w:r>
      <w:r>
        <w:rPr>
          <w:rFonts w:hint="eastAsia" w:ascii="仿宋_GB2312" w:hAnsi="宋体" w:eastAsia="仿宋_GB2312"/>
          <w:sz w:val="32"/>
          <w:lang w:val="zh-CN"/>
        </w:rPr>
        <w:t>项目</w:t>
      </w:r>
      <w:r>
        <w:rPr>
          <w:rFonts w:hint="eastAsia" w:ascii="仿宋_GB2312" w:hAnsi="宋体" w:eastAsia="仿宋_GB2312"/>
          <w:sz w:val="32"/>
        </w:rPr>
        <w:t>监管和项目资金报销凭证的审核、复核工作，按财经制度和单位内控管理依法依规支出</w:t>
      </w:r>
      <w:r>
        <w:rPr>
          <w:rFonts w:hint="eastAsia" w:ascii="仿宋_GB2312" w:hAnsi="宋体" w:eastAsia="仿宋_GB2312"/>
          <w:sz w:val="32"/>
          <w:lang w:val="zh-CN"/>
        </w:rPr>
        <w:t>。</w:t>
      </w:r>
    </w:p>
    <w:p>
      <w:pPr>
        <w:snapToGrid w:val="0"/>
        <w:spacing w:line="360" w:lineRule="auto"/>
        <w:ind w:firstLine="640" w:firstLineChars="200"/>
        <w:rPr>
          <w:rFonts w:ascii="黑体" w:hAnsi="宋体" w:eastAsia="黑体"/>
          <w:sz w:val="32"/>
          <w:szCs w:val="21"/>
        </w:rPr>
      </w:pPr>
      <w:r>
        <w:rPr>
          <w:rFonts w:hint="eastAsia" w:ascii="黑体" w:hAnsi="宋体" w:eastAsia="黑体"/>
          <w:sz w:val="32"/>
          <w:szCs w:val="21"/>
        </w:rPr>
        <w:t>五、存在主要问题。</w:t>
      </w:r>
    </w:p>
    <w:p>
      <w:pPr>
        <w:adjustRightInd w:val="0"/>
        <w:snapToGrid w:val="0"/>
        <w:spacing w:line="360" w:lineRule="auto"/>
        <w:ind w:firstLine="720"/>
        <w:rPr>
          <w:rFonts w:ascii="仿宋_GB2312" w:hAnsi="宋体" w:eastAsia="仿宋_GB2312"/>
          <w:sz w:val="32"/>
          <w:szCs w:val="32"/>
        </w:rPr>
      </w:pPr>
      <w:r>
        <w:rPr>
          <w:rFonts w:hint="eastAsia" w:ascii="仿宋_GB2312" w:hAnsi="宋体" w:eastAsia="仿宋_GB2312"/>
          <w:sz w:val="32"/>
        </w:rPr>
        <w:t>无。</w:t>
      </w:r>
    </w:p>
    <w:p>
      <w:pPr>
        <w:snapToGrid w:val="0"/>
        <w:spacing w:line="360" w:lineRule="auto"/>
        <w:ind w:firstLine="640" w:firstLineChars="200"/>
        <w:rPr>
          <w:rFonts w:ascii="黑体" w:hAnsi="宋体" w:eastAsia="黑体"/>
          <w:sz w:val="32"/>
          <w:szCs w:val="21"/>
        </w:rPr>
      </w:pPr>
      <w:r>
        <w:rPr>
          <w:rFonts w:hint="eastAsia" w:ascii="黑体" w:hAnsi="宋体" w:eastAsia="黑体"/>
          <w:sz w:val="32"/>
          <w:szCs w:val="21"/>
        </w:rPr>
        <w:t>六、相关措施建议。</w:t>
      </w:r>
    </w:p>
    <w:p>
      <w:pPr>
        <w:snapToGrid w:val="0"/>
        <w:spacing w:line="360" w:lineRule="auto"/>
        <w:ind w:left="420" w:leftChars="200"/>
        <w:rPr>
          <w:rFonts w:ascii="仿宋_GB2312" w:hAnsi="Calibri" w:eastAsia="仿宋_GB2312"/>
          <w:bCs/>
          <w:sz w:val="32"/>
          <w:szCs w:val="32"/>
        </w:rPr>
      </w:pPr>
      <w:r>
        <w:rPr>
          <w:rFonts w:hint="eastAsia" w:ascii="仿宋_GB2312" w:hAnsi="Calibri" w:eastAsia="仿宋_GB2312"/>
          <w:bCs/>
          <w:sz w:val="32"/>
        </w:rPr>
        <w:t>强化绩效管理，提高资金使用绩效。</w:t>
      </w:r>
    </w:p>
    <w:p>
      <w:pPr>
        <w:pStyle w:val="2"/>
        <w:rPr>
          <w:rFonts w:hint="eastAsia" w:ascii="仿宋_GB2312" w:hAnsi="Calibri" w:eastAsia="仿宋_GB2312"/>
          <w:bCs/>
          <w:sz w:val="32"/>
        </w:rPr>
      </w:pPr>
    </w:p>
    <w:p>
      <w:pPr>
        <w:pStyle w:val="2"/>
        <w:rPr>
          <w:rFonts w:hint="eastAsia" w:ascii="仿宋_GB2312" w:hAnsi="Calibri" w:eastAsia="仿宋_GB2312"/>
          <w:bCs/>
          <w:sz w:val="32"/>
        </w:rPr>
      </w:pPr>
    </w:p>
    <w:p>
      <w:pPr>
        <w:pStyle w:val="2"/>
        <w:rPr>
          <w:rFonts w:hint="eastAsia" w:ascii="仿宋_GB2312" w:hAnsi="Calibri" w:eastAsia="仿宋_GB2312"/>
          <w:bCs/>
          <w:sz w:val="32"/>
        </w:rPr>
      </w:pPr>
    </w:p>
    <w:p>
      <w:pPr>
        <w:pStyle w:val="2"/>
        <w:rPr>
          <w:rFonts w:hint="eastAsia" w:ascii="仿宋_GB2312" w:hAnsi="Calibri" w:eastAsia="仿宋_GB2312"/>
          <w:bCs/>
          <w:sz w:val="32"/>
        </w:rPr>
      </w:pPr>
    </w:p>
    <w:p>
      <w:pPr>
        <w:pStyle w:val="2"/>
        <w:rPr>
          <w:rFonts w:hint="eastAsia" w:ascii="仿宋_GB2312" w:hAnsi="Calibri" w:eastAsia="仿宋_GB2312"/>
          <w:bCs/>
          <w:sz w:val="32"/>
        </w:rPr>
      </w:pPr>
    </w:p>
    <w:p>
      <w:pPr>
        <w:pStyle w:val="2"/>
        <w:rPr>
          <w:rFonts w:hint="eastAsia" w:ascii="仿宋_GB2312" w:hAnsi="Calibri" w:eastAsia="仿宋_GB2312"/>
          <w:bCs/>
          <w:sz w:val="32"/>
        </w:rPr>
      </w:pPr>
    </w:p>
    <w:p>
      <w:pPr>
        <w:pStyle w:val="2"/>
        <w:rPr>
          <w:rFonts w:hint="eastAsia" w:ascii="仿宋_GB2312" w:hAnsi="Calibri" w:eastAsia="仿宋_GB2312"/>
          <w:bCs/>
          <w:sz w:val="32"/>
        </w:rPr>
      </w:pPr>
    </w:p>
    <w:p>
      <w:pPr>
        <w:pStyle w:val="2"/>
        <w:rPr>
          <w:rFonts w:hint="eastAsia" w:ascii="仿宋_GB2312" w:hAnsi="Calibri" w:eastAsia="仿宋_GB2312"/>
          <w:bCs/>
          <w:sz w:val="32"/>
        </w:rPr>
      </w:pPr>
    </w:p>
    <w:p>
      <w:pPr>
        <w:pStyle w:val="2"/>
        <w:rPr>
          <w:rFonts w:hint="eastAsia" w:ascii="仿宋_GB2312" w:hAnsi="Calibri" w:eastAsia="仿宋_GB2312"/>
          <w:bCs/>
          <w:sz w:val="32"/>
        </w:rPr>
      </w:pPr>
    </w:p>
    <w:p>
      <w:pPr>
        <w:pStyle w:val="2"/>
        <w:rPr>
          <w:rFonts w:hint="eastAsia" w:ascii="仿宋_GB2312" w:hAnsi="Calibri" w:eastAsia="仿宋_GB2312"/>
          <w:bCs/>
          <w:sz w:val="32"/>
        </w:rPr>
      </w:pPr>
    </w:p>
    <w:p>
      <w:pPr>
        <w:pStyle w:val="2"/>
        <w:rPr>
          <w:rFonts w:hint="eastAsia" w:ascii="仿宋_GB2312" w:hAnsi="Calibri" w:eastAsia="仿宋_GB2312"/>
          <w:bCs/>
          <w:sz w:val="32"/>
        </w:rPr>
      </w:pPr>
    </w:p>
    <w:p>
      <w:pPr>
        <w:pStyle w:val="2"/>
      </w:pP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998"/>
        <w:gridCol w:w="1125"/>
        <w:gridCol w:w="2010"/>
        <w:gridCol w:w="1635"/>
        <w:gridCol w:w="1831"/>
        <w:gridCol w:w="236"/>
      </w:tblGrid>
      <w:tr>
        <w:tblPrEx>
          <w:tblCellMar>
            <w:top w:w="0" w:type="dxa"/>
            <w:left w:w="108" w:type="dxa"/>
            <w:bottom w:w="0" w:type="dxa"/>
            <w:right w:w="108" w:type="dxa"/>
          </w:tblCellMar>
        </w:tblPrEx>
        <w:trPr>
          <w:trHeight w:val="675" w:hRule="atLeast"/>
        </w:trPr>
        <w:tc>
          <w:tcPr>
            <w:tcW w:w="9575" w:type="dxa"/>
            <w:gridSpan w:val="6"/>
            <w:tcBorders>
              <w:top w:val="nil"/>
              <w:left w:val="nil"/>
              <w:bottom w:val="nil"/>
              <w:right w:val="nil"/>
            </w:tcBorders>
            <w:shd w:val="clear" w:color="auto" w:fill="auto"/>
            <w:noWrap/>
            <w:vAlign w:val="center"/>
          </w:tcPr>
          <w:p>
            <w:pPr>
              <w:widowControl/>
              <w:jc w:val="center"/>
              <w:textAlignment w:val="center"/>
              <w:rPr>
                <w:rFonts w:ascii="宋体" w:cs="宋体"/>
                <w:b/>
                <w:sz w:val="32"/>
                <w:szCs w:val="32"/>
              </w:rPr>
            </w:pPr>
            <w:bookmarkStart w:id="80" w:name="_Toc15396618"/>
            <w:r>
              <w:rPr>
                <w:rFonts w:hint="eastAsia" w:ascii="黑体" w:hAnsi="黑体" w:eastAsia="黑体" w:cs="黑体"/>
                <w:color w:val="000000"/>
                <w:kern w:val="0"/>
                <w:sz w:val="32"/>
                <w:szCs w:val="32"/>
                <w:shd w:val="clear" w:color="auto" w:fill="FFFFFF"/>
              </w:rPr>
              <w:t>庆祝建党100周年活动暨党史学习教育领导小组办公室工作经费</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29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主管部门及代码</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201001</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实施单位</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中共阿坝州委宣传部</w:t>
            </w:r>
          </w:p>
        </w:tc>
      </w:tr>
      <w:tr>
        <w:tblPrEx>
          <w:tblCellMar>
            <w:top w:w="0" w:type="dxa"/>
            <w:left w:w="108" w:type="dxa"/>
            <w:bottom w:w="0" w:type="dxa"/>
            <w:right w:w="108" w:type="dxa"/>
          </w:tblCellMar>
        </w:tblPrEx>
        <w:trPr>
          <w:gridAfter w:val="1"/>
          <w:wAfter w:w="236" w:type="dxa"/>
          <w:trHeight w:val="341" w:hRule="atLeast"/>
        </w:trPr>
        <w:tc>
          <w:tcPr>
            <w:tcW w:w="297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项目预算</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执行情况</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（万元）</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 xml:space="preserve"> 预算数：</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120万元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 xml:space="preserve"> 执行数：</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119.2万元</w:t>
            </w:r>
          </w:p>
        </w:tc>
      </w:tr>
      <w:tr>
        <w:tblPrEx>
          <w:tblCellMar>
            <w:top w:w="0" w:type="dxa"/>
            <w:left w:w="108" w:type="dxa"/>
            <w:bottom w:w="0" w:type="dxa"/>
            <w:right w:w="108" w:type="dxa"/>
          </w:tblCellMar>
        </w:tblPrEx>
        <w:trPr>
          <w:gridAfter w:val="1"/>
          <w:wAfter w:w="236" w:type="dxa"/>
          <w:trHeight w:val="555" w:hRule="atLeast"/>
        </w:trPr>
        <w:tc>
          <w:tcPr>
            <w:tcW w:w="29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其中：</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财政拨款</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120万元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其中：</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财政拨款</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119.2万元</w:t>
            </w:r>
          </w:p>
        </w:tc>
      </w:tr>
      <w:tr>
        <w:tblPrEx>
          <w:tblCellMar>
            <w:top w:w="0" w:type="dxa"/>
            <w:left w:w="108" w:type="dxa"/>
            <w:bottom w:w="0" w:type="dxa"/>
            <w:right w:w="108" w:type="dxa"/>
          </w:tblCellMar>
        </w:tblPrEx>
        <w:trPr>
          <w:gridAfter w:val="1"/>
          <w:wAfter w:w="236" w:type="dxa"/>
          <w:trHeight w:val="341" w:hRule="atLeast"/>
        </w:trPr>
        <w:tc>
          <w:tcPr>
            <w:tcW w:w="29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其他资金</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其他资金</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p>
        </w:tc>
      </w:tr>
      <w:tr>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年度总体目标</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完成情况</w:t>
            </w:r>
          </w:p>
        </w:tc>
        <w:tc>
          <w:tcPr>
            <w:tcW w:w="41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预期目标</w:t>
            </w:r>
          </w:p>
        </w:tc>
        <w:tc>
          <w:tcPr>
            <w:tcW w:w="3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目标实际完成情况</w:t>
            </w:r>
          </w:p>
        </w:tc>
      </w:tr>
      <w:tr>
        <w:tblPrEx>
          <w:tblCellMar>
            <w:top w:w="0" w:type="dxa"/>
            <w:left w:w="108" w:type="dxa"/>
            <w:bottom w:w="0" w:type="dxa"/>
            <w:right w:w="108" w:type="dxa"/>
          </w:tblCellMar>
        </w:tblPrEx>
        <w:trPr>
          <w:gridAfter w:val="1"/>
          <w:wAfter w:w="236" w:type="dxa"/>
          <w:trHeight w:val="2540"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4133"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紧扣“学史明理、学史增信、学史崇德、学史力行”总体要求，高质量推进党史学习教育，采取“个人自主学+集体研讨学+关键引领学+党课辅导学”方式，带动各级党组织开展专题学习，实现“关键少数”带动“绝大多数”、引领“全体人数”。制作百条百秒“我为群众办实事”微视频，推出“阿坝人免费游阿坝”等民生实事。</w:t>
            </w:r>
          </w:p>
          <w:p>
            <w:pPr>
              <w:widowControl/>
              <w:spacing w:line="320" w:lineRule="exact"/>
              <w:jc w:val="left"/>
              <w:textAlignment w:val="top"/>
              <w:rPr>
                <w:rFonts w:ascii="宋体" w:cs="宋体"/>
                <w:sz w:val="24"/>
              </w:rPr>
            </w:pPr>
          </w:p>
        </w:tc>
        <w:tc>
          <w:tcPr>
            <w:tcW w:w="3466"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隆重举行系列庆祝活动，有效营造“共庆百年华诞、共享伟大荣光、共筑复兴伟业”的浓厚氛围。成功举办阿坝州庆祝中国共产党成立100周年文艺演出、主题展览、档案史料展、演讲比赛等系列庆祝活动。</w:t>
            </w:r>
          </w:p>
          <w:p>
            <w:pPr>
              <w:widowControl/>
              <w:spacing w:line="320" w:lineRule="exact"/>
              <w:jc w:val="left"/>
              <w:textAlignment w:val="top"/>
              <w:rPr>
                <w:rFonts w:ascii="宋体" w:cs="宋体"/>
                <w:sz w:val="24"/>
              </w:rPr>
            </w:pPr>
          </w:p>
        </w:tc>
      </w:tr>
      <w:tr>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998"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一级</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二级</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三级</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预期指标值</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实际完成指标值</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99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完成</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数量指标</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10</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质量指标</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合格</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合格</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合格</w:t>
            </w:r>
          </w:p>
        </w:tc>
      </w:tr>
      <w:tr>
        <w:tblPrEx>
          <w:tblCellMar>
            <w:top w:w="0" w:type="dxa"/>
            <w:left w:w="108" w:type="dxa"/>
            <w:bottom w:w="0" w:type="dxa"/>
            <w:right w:w="108" w:type="dxa"/>
          </w:tblCellMar>
        </w:tblPrEx>
        <w:trPr>
          <w:gridAfter w:val="1"/>
          <w:wAfter w:w="236" w:type="dxa"/>
          <w:trHeight w:val="856"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时效指标</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12月底前</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按年初工作计划推进各项工作</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按年初工作计划推进各项工作</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成本指标</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无</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无</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无</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99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效益</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经济效益  指标</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无</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无</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无</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社会效益  指标</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社会效益</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良好</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良好</w:t>
            </w:r>
          </w:p>
        </w:tc>
      </w:tr>
      <w:tr>
        <w:tblPrEx>
          <w:tblCellMar>
            <w:top w:w="0" w:type="dxa"/>
            <w:left w:w="108" w:type="dxa"/>
            <w:bottom w:w="0" w:type="dxa"/>
            <w:right w:w="108" w:type="dxa"/>
          </w:tblCellMar>
        </w:tblPrEx>
        <w:trPr>
          <w:gridAfter w:val="1"/>
          <w:wAfter w:w="236" w:type="dxa"/>
          <w:trHeight w:val="577"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生态效益  指标</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生态效益</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良好</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良好</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可持续影响指标</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可持续影响</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良好</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良好</w:t>
            </w:r>
          </w:p>
        </w:tc>
      </w:tr>
      <w:tr>
        <w:tblPrEx>
          <w:tblCellMar>
            <w:top w:w="0" w:type="dxa"/>
            <w:left w:w="108" w:type="dxa"/>
            <w:bottom w:w="0" w:type="dxa"/>
            <w:right w:w="108" w:type="dxa"/>
          </w:tblCellMar>
        </w:tblPrEx>
        <w:trPr>
          <w:gridAfter w:val="1"/>
          <w:wAfter w:w="236" w:type="dxa"/>
          <w:trHeight w:val="635"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满意</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度指标</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满意度</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宋体" w:hAnsi="宋体" w:cs="宋体"/>
                <w:color w:val="000000"/>
                <w:kern w:val="0"/>
                <w:sz w:val="20"/>
                <w:szCs w:val="20"/>
                <w:lang w:bidi="ar"/>
              </w:rPr>
              <w:t>满意度</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良好</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良好</w:t>
            </w:r>
          </w:p>
        </w:tc>
      </w:tr>
    </w:tbl>
    <w:p/>
    <w:p>
      <w:pPr>
        <w:pStyle w:val="6"/>
        <w:spacing w:before="93"/>
      </w:pPr>
    </w:p>
    <w:tbl>
      <w:tblPr>
        <w:tblStyle w:val="17"/>
        <w:tblpPr w:leftFromText="180" w:rightFromText="180" w:vertAnchor="text" w:horzAnchor="page" w:tblpX="1450" w:tblpY="492"/>
        <w:tblOverlap w:val="never"/>
        <w:tblW w:w="9539" w:type="dxa"/>
        <w:tblInd w:w="0" w:type="dxa"/>
        <w:tblLayout w:type="fixed"/>
        <w:tblCellMar>
          <w:top w:w="0" w:type="dxa"/>
          <w:left w:w="108" w:type="dxa"/>
          <w:bottom w:w="0" w:type="dxa"/>
          <w:right w:w="108" w:type="dxa"/>
        </w:tblCellMar>
      </w:tblPr>
      <w:tblGrid>
        <w:gridCol w:w="1919"/>
        <w:gridCol w:w="1109"/>
        <w:gridCol w:w="1226"/>
        <w:gridCol w:w="874"/>
        <w:gridCol w:w="2040"/>
        <w:gridCol w:w="2135"/>
        <w:gridCol w:w="236"/>
      </w:tblGrid>
      <w:tr>
        <w:tblPrEx>
          <w:tblCellMar>
            <w:top w:w="0" w:type="dxa"/>
            <w:left w:w="108" w:type="dxa"/>
            <w:bottom w:w="0" w:type="dxa"/>
            <w:right w:w="108" w:type="dxa"/>
          </w:tblCellMar>
        </w:tblPrEx>
        <w:trPr>
          <w:trHeight w:val="713" w:hRule="atLeast"/>
        </w:trPr>
        <w:tc>
          <w:tcPr>
            <w:tcW w:w="9303" w:type="dxa"/>
            <w:gridSpan w:val="6"/>
            <w:tcBorders>
              <w:top w:val="nil"/>
              <w:left w:val="nil"/>
              <w:bottom w:val="nil"/>
              <w:right w:val="nil"/>
            </w:tcBorders>
            <w:shd w:val="clear" w:color="auto" w:fill="auto"/>
            <w:noWrap/>
            <w:vAlign w:val="center"/>
          </w:tcPr>
          <w:p>
            <w:pPr>
              <w:widowControl/>
              <w:jc w:val="center"/>
              <w:textAlignment w:val="center"/>
              <w:rPr>
                <w:rFonts w:ascii="宋体" w:cs="宋体"/>
                <w:b/>
                <w:sz w:val="32"/>
                <w:szCs w:val="32"/>
              </w:rPr>
            </w:pPr>
            <w:r>
              <w:rPr>
                <w:rFonts w:hint="eastAsia" w:ascii="黑体" w:hAnsi="黑体" w:eastAsia="黑体" w:cs="黑体"/>
                <w:color w:val="000000"/>
                <w:kern w:val="0"/>
                <w:sz w:val="32"/>
                <w:szCs w:val="32"/>
                <w:shd w:val="clear" w:color="auto" w:fill="FFFFFF"/>
              </w:rPr>
              <w:t>2021年省文旅大会宣传经费</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348" w:hRule="atLeast"/>
        </w:trPr>
        <w:tc>
          <w:tcPr>
            <w:tcW w:w="302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主管部门及代码</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201001</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实施单位</w:t>
            </w:r>
          </w:p>
        </w:tc>
        <w:tc>
          <w:tcPr>
            <w:tcW w:w="2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中共阿坝州委宣传部</w:t>
            </w:r>
          </w:p>
        </w:tc>
      </w:tr>
      <w:tr>
        <w:tblPrEx>
          <w:tblCellMar>
            <w:top w:w="0" w:type="dxa"/>
            <w:left w:w="108" w:type="dxa"/>
            <w:bottom w:w="0" w:type="dxa"/>
            <w:right w:w="108" w:type="dxa"/>
          </w:tblCellMar>
        </w:tblPrEx>
        <w:trPr>
          <w:gridAfter w:val="1"/>
          <w:wAfter w:w="236" w:type="dxa"/>
          <w:trHeight w:val="687" w:hRule="atLeast"/>
        </w:trPr>
        <w:tc>
          <w:tcPr>
            <w:tcW w:w="30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项目预算</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执行情况</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（万元）</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 xml:space="preserve"> 预算数：</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200万元</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 xml:space="preserve"> 执行数：</w:t>
            </w:r>
          </w:p>
        </w:tc>
        <w:tc>
          <w:tcPr>
            <w:tcW w:w="2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199.92万元</w:t>
            </w:r>
          </w:p>
        </w:tc>
      </w:tr>
      <w:tr>
        <w:tblPrEx>
          <w:tblCellMar>
            <w:top w:w="0" w:type="dxa"/>
            <w:left w:w="108" w:type="dxa"/>
            <w:bottom w:w="0" w:type="dxa"/>
            <w:right w:w="108" w:type="dxa"/>
          </w:tblCellMar>
        </w:tblPrEx>
        <w:trPr>
          <w:gridAfter w:val="1"/>
          <w:wAfter w:w="236" w:type="dxa"/>
          <w:trHeight w:val="687" w:hRule="atLeast"/>
        </w:trPr>
        <w:tc>
          <w:tcPr>
            <w:tcW w:w="30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其中：</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财政拨款</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200万元</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其中：</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财政拨款</w:t>
            </w:r>
          </w:p>
        </w:tc>
        <w:tc>
          <w:tcPr>
            <w:tcW w:w="2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199.92万元</w:t>
            </w:r>
          </w:p>
        </w:tc>
      </w:tr>
      <w:tr>
        <w:tblPrEx>
          <w:tblCellMar>
            <w:top w:w="0" w:type="dxa"/>
            <w:left w:w="108" w:type="dxa"/>
            <w:bottom w:w="0" w:type="dxa"/>
            <w:right w:w="108" w:type="dxa"/>
          </w:tblCellMar>
        </w:tblPrEx>
        <w:trPr>
          <w:gridAfter w:val="1"/>
          <w:wAfter w:w="236" w:type="dxa"/>
          <w:trHeight w:val="371" w:hRule="atLeast"/>
        </w:trPr>
        <w:tc>
          <w:tcPr>
            <w:tcW w:w="30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其他资金</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其他资金</w:t>
            </w:r>
          </w:p>
        </w:tc>
        <w:tc>
          <w:tcPr>
            <w:tcW w:w="2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p>
        </w:tc>
      </w:tr>
      <w:tr>
        <w:tblPrEx>
          <w:tblCellMar>
            <w:top w:w="0" w:type="dxa"/>
            <w:left w:w="108" w:type="dxa"/>
            <w:bottom w:w="0" w:type="dxa"/>
            <w:right w:w="108" w:type="dxa"/>
          </w:tblCellMar>
        </w:tblPrEx>
        <w:trPr>
          <w:gridAfter w:val="1"/>
          <w:wAfter w:w="236" w:type="dxa"/>
          <w:trHeight w:val="348" w:hRule="atLeast"/>
        </w:trPr>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年度总体目标</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完成情况</w:t>
            </w:r>
          </w:p>
        </w:tc>
        <w:tc>
          <w:tcPr>
            <w:tcW w:w="32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预期目标</w:t>
            </w:r>
          </w:p>
        </w:tc>
        <w:tc>
          <w:tcPr>
            <w:tcW w:w="41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目标实际完成情况</w:t>
            </w:r>
          </w:p>
        </w:tc>
      </w:tr>
      <w:tr>
        <w:tblPrEx>
          <w:tblCellMar>
            <w:top w:w="0" w:type="dxa"/>
            <w:left w:w="108" w:type="dxa"/>
            <w:bottom w:w="0" w:type="dxa"/>
            <w:right w:w="108" w:type="dxa"/>
          </w:tblCellMar>
        </w:tblPrEx>
        <w:trPr>
          <w:gridAfter w:val="1"/>
          <w:wAfter w:w="236" w:type="dxa"/>
          <w:trHeight w:val="3055" w:hRule="atLeast"/>
        </w:trPr>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09"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宋体" w:cs="宋体"/>
                <w:sz w:val="24"/>
              </w:rPr>
            </w:pPr>
            <w:r>
              <w:rPr>
                <w:rFonts w:hint="eastAsia" w:ascii="宋体" w:hAnsi="宋体" w:cs="宋体"/>
                <w:color w:val="000000"/>
                <w:kern w:val="0"/>
                <w:sz w:val="20"/>
                <w:szCs w:val="20"/>
                <w:lang w:bidi="ar"/>
              </w:rPr>
              <w:t>做好</w:t>
            </w:r>
            <w:r>
              <w:rPr>
                <w:rFonts w:ascii="宋体" w:hAnsi="宋体" w:cs="宋体"/>
                <w:color w:val="000000"/>
                <w:kern w:val="0"/>
                <w:sz w:val="20"/>
                <w:szCs w:val="20"/>
                <w:lang w:bidi="ar"/>
              </w:rPr>
              <w:t>2021四川省文化和旅游发展大会、第七届中国（四川）国际旅游投资大会暨九寨沟景区全域恢复开放仪式</w:t>
            </w:r>
            <w:r>
              <w:rPr>
                <w:rFonts w:hint="eastAsia" w:ascii="宋体" w:hAnsi="宋体" w:cs="宋体"/>
                <w:color w:val="000000"/>
                <w:kern w:val="0"/>
                <w:sz w:val="20"/>
                <w:szCs w:val="20"/>
                <w:lang w:bidi="ar"/>
              </w:rPr>
              <w:t>宣传相关工作。</w:t>
            </w:r>
          </w:p>
        </w:tc>
        <w:tc>
          <w:tcPr>
            <w:tcW w:w="4175"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textAlignment w:val="bottom"/>
              <w:rPr>
                <w:rFonts w:ascii="宋体" w:cs="宋体"/>
                <w:sz w:val="24"/>
              </w:rPr>
            </w:pPr>
            <w:r>
              <w:rPr>
                <w:rFonts w:hint="eastAsia" w:ascii="宋体" w:hAnsi="宋体" w:cs="宋体"/>
                <w:color w:val="000000"/>
                <w:kern w:val="0"/>
                <w:sz w:val="20"/>
                <w:szCs w:val="20"/>
                <w:lang w:bidi="ar"/>
              </w:rPr>
              <w:t>拍摄《阿坝——遇见最好的自己》外宣片；在州县媒体平台推出“聚焦2021四川省文旅大会”等专题专栏；精心制作《熊猫家园》网络公益歌曲和《在阿坝》网络公益短视频，开展“共唱熊猫家园”网络主题活动，推出“熊猫家园 净土阿坝”网络公益大讲堂。组织开展“喜迎建党100周年—全国知名网络作家阿坝行”“献礼百年华诞—新时代、新阿坝、新青年”等宣传活动。</w:t>
            </w:r>
          </w:p>
        </w:tc>
      </w:tr>
      <w:tr>
        <w:tblPrEx>
          <w:tblCellMar>
            <w:top w:w="0" w:type="dxa"/>
            <w:left w:w="108" w:type="dxa"/>
            <w:bottom w:w="0" w:type="dxa"/>
            <w:right w:w="108" w:type="dxa"/>
          </w:tblCellMar>
        </w:tblPrEx>
        <w:trPr>
          <w:gridAfter w:val="1"/>
          <w:wAfter w:w="236" w:type="dxa"/>
          <w:trHeight w:val="743" w:hRule="atLeast"/>
        </w:trPr>
        <w:tc>
          <w:tcPr>
            <w:tcW w:w="1919"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宋体" w:hAnsi="宋体" w:cs="宋体"/>
                <w:color w:val="000000"/>
                <w:kern w:val="0"/>
                <w:sz w:val="20"/>
                <w:szCs w:val="20"/>
                <w:lang w:bidi="ar"/>
              </w:rPr>
              <w:t>年度绩效指标完成情况</w:t>
            </w:r>
          </w:p>
        </w:tc>
        <w:tc>
          <w:tcPr>
            <w:tcW w:w="1109"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一级</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二级</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三级</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预期指标值</w:t>
            </w:r>
          </w:p>
        </w:tc>
        <w:tc>
          <w:tcPr>
            <w:tcW w:w="2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实际完成指标值</w:t>
            </w:r>
          </w:p>
        </w:tc>
      </w:tr>
      <w:tr>
        <w:tblPrEx>
          <w:tblCellMar>
            <w:top w:w="0" w:type="dxa"/>
            <w:left w:w="108" w:type="dxa"/>
            <w:bottom w:w="0" w:type="dxa"/>
            <w:right w:w="108" w:type="dxa"/>
          </w:tblCellMar>
        </w:tblPrEx>
        <w:trPr>
          <w:gridAfter w:val="1"/>
          <w:wAfter w:w="236" w:type="dxa"/>
          <w:trHeight w:val="449" w:hRule="atLeast"/>
        </w:trPr>
        <w:tc>
          <w:tcPr>
            <w:tcW w:w="1919" w:type="dxa"/>
            <w:vMerge w:val="continue"/>
            <w:tcBorders>
              <w:top w:val="nil"/>
              <w:left w:val="single" w:color="000000" w:sz="4" w:space="0"/>
              <w:bottom w:val="nil"/>
              <w:right w:val="single" w:color="000000" w:sz="4" w:space="0"/>
            </w:tcBorders>
            <w:shd w:val="clear" w:color="auto" w:fill="auto"/>
            <w:noWrap/>
            <w:vAlign w:val="center"/>
          </w:tcPr>
          <w:p/>
        </w:tc>
        <w:tc>
          <w:tcPr>
            <w:tcW w:w="11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完成</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数量指标</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10</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2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r>
      <w:tr>
        <w:tblPrEx>
          <w:tblCellMar>
            <w:top w:w="0" w:type="dxa"/>
            <w:left w:w="108" w:type="dxa"/>
            <w:bottom w:w="0" w:type="dxa"/>
            <w:right w:w="108" w:type="dxa"/>
          </w:tblCellMar>
        </w:tblPrEx>
        <w:trPr>
          <w:gridAfter w:val="1"/>
          <w:wAfter w:w="236" w:type="dxa"/>
          <w:trHeight w:val="449" w:hRule="atLeast"/>
        </w:trPr>
        <w:tc>
          <w:tcPr>
            <w:tcW w:w="1919" w:type="dxa"/>
            <w:vMerge w:val="continue"/>
            <w:tcBorders>
              <w:top w:val="nil"/>
              <w:left w:val="single" w:color="000000" w:sz="4" w:space="0"/>
              <w:bottom w:val="nil"/>
              <w:right w:val="single" w:color="000000" w:sz="4" w:space="0"/>
            </w:tcBorders>
            <w:shd w:val="clear" w:color="auto" w:fill="auto"/>
            <w:noWrap/>
            <w:vAlign w:val="center"/>
          </w:tcPr>
          <w:p/>
        </w:tc>
        <w:tc>
          <w:tcPr>
            <w:tcW w:w="11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质量指标</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合格</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合格</w:t>
            </w:r>
          </w:p>
        </w:tc>
        <w:tc>
          <w:tcPr>
            <w:tcW w:w="2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合格</w:t>
            </w:r>
          </w:p>
        </w:tc>
      </w:tr>
      <w:tr>
        <w:tblPrEx>
          <w:tblCellMar>
            <w:top w:w="0" w:type="dxa"/>
            <w:left w:w="108" w:type="dxa"/>
            <w:bottom w:w="0" w:type="dxa"/>
            <w:right w:w="108" w:type="dxa"/>
          </w:tblCellMar>
        </w:tblPrEx>
        <w:trPr>
          <w:gridAfter w:val="1"/>
          <w:wAfter w:w="236" w:type="dxa"/>
          <w:trHeight w:val="915" w:hRule="atLeast"/>
        </w:trPr>
        <w:tc>
          <w:tcPr>
            <w:tcW w:w="1919" w:type="dxa"/>
            <w:vMerge w:val="continue"/>
            <w:tcBorders>
              <w:top w:val="nil"/>
              <w:left w:val="single" w:color="000000" w:sz="4" w:space="0"/>
              <w:bottom w:val="nil"/>
              <w:right w:val="single" w:color="000000" w:sz="4" w:space="0"/>
            </w:tcBorders>
            <w:shd w:val="clear" w:color="auto" w:fill="auto"/>
            <w:noWrap/>
            <w:vAlign w:val="center"/>
          </w:tcPr>
          <w:p/>
        </w:tc>
        <w:tc>
          <w:tcPr>
            <w:tcW w:w="11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时效指标</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12月底前</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按年初工作计划推进各项工作</w:t>
            </w:r>
          </w:p>
        </w:tc>
        <w:tc>
          <w:tcPr>
            <w:tcW w:w="2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按年初工作计划推进各项工作</w:t>
            </w:r>
          </w:p>
        </w:tc>
      </w:tr>
      <w:tr>
        <w:tblPrEx>
          <w:tblCellMar>
            <w:top w:w="0" w:type="dxa"/>
            <w:left w:w="108" w:type="dxa"/>
            <w:bottom w:w="0" w:type="dxa"/>
            <w:right w:w="108" w:type="dxa"/>
          </w:tblCellMar>
        </w:tblPrEx>
        <w:trPr>
          <w:gridAfter w:val="1"/>
          <w:wAfter w:w="236" w:type="dxa"/>
          <w:trHeight w:val="518" w:hRule="atLeast"/>
        </w:trPr>
        <w:tc>
          <w:tcPr>
            <w:tcW w:w="1919" w:type="dxa"/>
            <w:vMerge w:val="continue"/>
            <w:tcBorders>
              <w:top w:val="nil"/>
              <w:left w:val="single" w:color="000000" w:sz="4" w:space="0"/>
              <w:bottom w:val="nil"/>
              <w:right w:val="single" w:color="000000" w:sz="4" w:space="0"/>
            </w:tcBorders>
            <w:shd w:val="clear" w:color="auto" w:fill="auto"/>
            <w:noWrap/>
            <w:vAlign w:val="center"/>
          </w:tcPr>
          <w:p/>
        </w:tc>
        <w:tc>
          <w:tcPr>
            <w:tcW w:w="11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成本指标</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无</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无</w:t>
            </w:r>
          </w:p>
        </w:tc>
        <w:tc>
          <w:tcPr>
            <w:tcW w:w="2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无</w:t>
            </w:r>
          </w:p>
        </w:tc>
      </w:tr>
      <w:tr>
        <w:tblPrEx>
          <w:tblCellMar>
            <w:top w:w="0" w:type="dxa"/>
            <w:left w:w="108" w:type="dxa"/>
            <w:bottom w:w="0" w:type="dxa"/>
            <w:right w:w="108" w:type="dxa"/>
          </w:tblCellMar>
        </w:tblPrEx>
        <w:trPr>
          <w:gridAfter w:val="1"/>
          <w:wAfter w:w="236" w:type="dxa"/>
          <w:trHeight w:val="687" w:hRule="atLeast"/>
        </w:trPr>
        <w:tc>
          <w:tcPr>
            <w:tcW w:w="1919" w:type="dxa"/>
            <w:vMerge w:val="continue"/>
            <w:tcBorders>
              <w:top w:val="nil"/>
              <w:left w:val="single" w:color="000000" w:sz="4" w:space="0"/>
              <w:bottom w:val="nil"/>
              <w:right w:val="single" w:color="000000" w:sz="4" w:space="0"/>
            </w:tcBorders>
            <w:shd w:val="clear" w:color="auto" w:fill="auto"/>
            <w:noWrap/>
            <w:vAlign w:val="center"/>
          </w:tcPr>
          <w:p/>
        </w:tc>
        <w:tc>
          <w:tcPr>
            <w:tcW w:w="11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效益</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经济效益  指标</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无</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无</w:t>
            </w:r>
          </w:p>
        </w:tc>
        <w:tc>
          <w:tcPr>
            <w:tcW w:w="2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无</w:t>
            </w:r>
          </w:p>
        </w:tc>
      </w:tr>
      <w:tr>
        <w:tblPrEx>
          <w:tblCellMar>
            <w:top w:w="0" w:type="dxa"/>
            <w:left w:w="108" w:type="dxa"/>
            <w:bottom w:w="0" w:type="dxa"/>
            <w:right w:w="108" w:type="dxa"/>
          </w:tblCellMar>
        </w:tblPrEx>
        <w:trPr>
          <w:gridAfter w:val="1"/>
          <w:wAfter w:w="236" w:type="dxa"/>
          <w:trHeight w:val="687" w:hRule="atLeast"/>
        </w:trPr>
        <w:tc>
          <w:tcPr>
            <w:tcW w:w="1919" w:type="dxa"/>
            <w:vMerge w:val="continue"/>
            <w:tcBorders>
              <w:top w:val="nil"/>
              <w:left w:val="single" w:color="000000" w:sz="4" w:space="0"/>
              <w:bottom w:val="nil"/>
              <w:right w:val="single" w:color="000000" w:sz="4" w:space="0"/>
            </w:tcBorders>
            <w:shd w:val="clear" w:color="auto" w:fill="auto"/>
            <w:noWrap/>
            <w:vAlign w:val="center"/>
          </w:tcPr>
          <w:p/>
        </w:tc>
        <w:tc>
          <w:tcPr>
            <w:tcW w:w="11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社会效益  指标</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社会效益</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良好</w:t>
            </w:r>
          </w:p>
        </w:tc>
        <w:tc>
          <w:tcPr>
            <w:tcW w:w="2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良好</w:t>
            </w:r>
          </w:p>
        </w:tc>
      </w:tr>
      <w:tr>
        <w:tblPrEx>
          <w:tblCellMar>
            <w:top w:w="0" w:type="dxa"/>
            <w:left w:w="108" w:type="dxa"/>
            <w:bottom w:w="0" w:type="dxa"/>
            <w:right w:w="108" w:type="dxa"/>
          </w:tblCellMar>
        </w:tblPrEx>
        <w:trPr>
          <w:gridAfter w:val="1"/>
          <w:wAfter w:w="236" w:type="dxa"/>
          <w:trHeight w:val="687" w:hRule="atLeast"/>
        </w:trPr>
        <w:tc>
          <w:tcPr>
            <w:tcW w:w="1919" w:type="dxa"/>
            <w:vMerge w:val="continue"/>
            <w:tcBorders>
              <w:top w:val="nil"/>
              <w:left w:val="single" w:color="000000" w:sz="4" w:space="0"/>
              <w:bottom w:val="nil"/>
              <w:right w:val="single" w:color="000000" w:sz="4" w:space="0"/>
            </w:tcBorders>
            <w:shd w:val="clear" w:color="auto" w:fill="auto"/>
            <w:noWrap/>
            <w:vAlign w:val="center"/>
          </w:tcPr>
          <w:p/>
        </w:tc>
        <w:tc>
          <w:tcPr>
            <w:tcW w:w="11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生态效益  指标</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生态效益</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良好</w:t>
            </w:r>
          </w:p>
        </w:tc>
        <w:tc>
          <w:tcPr>
            <w:tcW w:w="2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良好</w:t>
            </w:r>
          </w:p>
        </w:tc>
      </w:tr>
      <w:tr>
        <w:tblPrEx>
          <w:tblCellMar>
            <w:top w:w="0" w:type="dxa"/>
            <w:left w:w="108" w:type="dxa"/>
            <w:bottom w:w="0" w:type="dxa"/>
            <w:right w:w="108" w:type="dxa"/>
          </w:tblCellMar>
        </w:tblPrEx>
        <w:trPr>
          <w:gridAfter w:val="1"/>
          <w:wAfter w:w="236" w:type="dxa"/>
          <w:trHeight w:val="687" w:hRule="atLeast"/>
        </w:trPr>
        <w:tc>
          <w:tcPr>
            <w:tcW w:w="1919" w:type="dxa"/>
            <w:vMerge w:val="continue"/>
            <w:tcBorders>
              <w:top w:val="nil"/>
              <w:left w:val="single" w:color="000000" w:sz="4" w:space="0"/>
              <w:bottom w:val="nil"/>
              <w:right w:val="single" w:color="000000" w:sz="4" w:space="0"/>
            </w:tcBorders>
            <w:shd w:val="clear" w:color="auto" w:fill="auto"/>
            <w:noWrap/>
            <w:vAlign w:val="center"/>
          </w:tcPr>
          <w:p/>
        </w:tc>
        <w:tc>
          <w:tcPr>
            <w:tcW w:w="11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可持续影响 指标</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可持续影响</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良好</w:t>
            </w:r>
          </w:p>
        </w:tc>
        <w:tc>
          <w:tcPr>
            <w:tcW w:w="21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良好</w:t>
            </w:r>
          </w:p>
        </w:tc>
      </w:tr>
      <w:tr>
        <w:tblPrEx>
          <w:tblCellMar>
            <w:top w:w="0" w:type="dxa"/>
            <w:left w:w="108" w:type="dxa"/>
            <w:bottom w:w="0" w:type="dxa"/>
            <w:right w:w="108" w:type="dxa"/>
          </w:tblCellMar>
        </w:tblPrEx>
        <w:trPr>
          <w:gridAfter w:val="1"/>
          <w:wAfter w:w="236" w:type="dxa"/>
          <w:trHeight w:val="697" w:hRule="atLeast"/>
        </w:trPr>
        <w:tc>
          <w:tcPr>
            <w:tcW w:w="1919"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满意</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度指标</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满意度</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宋体" w:hAnsi="宋体" w:cs="宋体"/>
                <w:color w:val="000000"/>
                <w:kern w:val="0"/>
                <w:sz w:val="20"/>
                <w:szCs w:val="20"/>
                <w:lang w:bidi="ar"/>
              </w:rPr>
              <w:t>满意度</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良好</w:t>
            </w:r>
          </w:p>
        </w:tc>
        <w:tc>
          <w:tcPr>
            <w:tcW w:w="21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良好</w:t>
            </w:r>
          </w:p>
        </w:tc>
      </w:tr>
    </w:tbl>
    <w:p/>
    <w:p>
      <w:pPr>
        <w:pStyle w:val="6"/>
        <w:spacing w:before="93"/>
      </w:pPr>
    </w:p>
    <w:p>
      <w:pPr>
        <w:spacing w:line="600" w:lineRule="exact"/>
        <w:jc w:val="center"/>
        <w:outlineLvl w:val="0"/>
        <w:rPr>
          <w:rFonts w:ascii="仿宋" w:eastAsia="仿宋"/>
        </w:rPr>
      </w:pPr>
      <w:bookmarkStart w:id="81" w:name="_Toc115799753"/>
      <w:r>
        <w:rPr>
          <w:rFonts w:hint="eastAsia" w:ascii="黑体" w:eastAsia="黑体"/>
          <w:sz w:val="44"/>
          <w:szCs w:val="44"/>
        </w:rPr>
        <w:t>第</w:t>
      </w:r>
      <w:r>
        <w:rPr>
          <w:rStyle w:val="21"/>
          <w:rFonts w:hint="eastAsia" w:ascii="黑体" w:eastAsia="黑体"/>
          <w:b w:val="0"/>
        </w:rPr>
        <w:t>五部分 附表</w:t>
      </w:r>
      <w:bookmarkEnd w:id="77"/>
      <w:bookmarkEnd w:id="80"/>
      <w:bookmarkEnd w:id="81"/>
      <w:bookmarkStart w:id="82" w:name="_Toc15396619"/>
    </w:p>
    <w:p>
      <w:pPr>
        <w:pStyle w:val="4"/>
        <w:rPr>
          <w:rFonts w:ascii="仿宋" w:eastAsia="仿宋"/>
        </w:rPr>
      </w:pPr>
      <w:bookmarkStart w:id="83" w:name="_Toc115799754"/>
      <w:r>
        <w:rPr>
          <w:rFonts w:hint="eastAsia" w:ascii="仿宋" w:eastAsia="仿宋"/>
          <w:b w:val="0"/>
        </w:rPr>
        <w:t>一、收</w:t>
      </w:r>
      <w:r>
        <w:rPr>
          <w:rStyle w:val="22"/>
          <w:rFonts w:hint="eastAsia" w:ascii="仿宋" w:eastAsia="仿宋"/>
          <w:b w:val="0"/>
          <w:bCs w:val="0"/>
        </w:rPr>
        <w:t>入支出决算总表</w:t>
      </w:r>
      <w:bookmarkEnd w:id="82"/>
      <w:bookmarkEnd w:id="83"/>
    </w:p>
    <w:p>
      <w:pPr>
        <w:pStyle w:val="4"/>
        <w:rPr>
          <w:rFonts w:ascii="仿宋" w:eastAsia="仿宋"/>
        </w:rPr>
      </w:pPr>
      <w:bookmarkStart w:id="84" w:name="_Toc15396620"/>
      <w:bookmarkStart w:id="85" w:name="_Toc115799755"/>
      <w:r>
        <w:rPr>
          <w:rFonts w:hint="eastAsia" w:ascii="仿宋" w:eastAsia="仿宋"/>
          <w:b w:val="0"/>
        </w:rPr>
        <w:t>二、收</w:t>
      </w:r>
      <w:r>
        <w:rPr>
          <w:rStyle w:val="22"/>
          <w:rFonts w:hint="eastAsia" w:ascii="仿宋" w:eastAsia="仿宋"/>
          <w:b w:val="0"/>
          <w:bCs w:val="0"/>
        </w:rPr>
        <w:t>入决算表</w:t>
      </w:r>
      <w:bookmarkEnd w:id="84"/>
      <w:bookmarkEnd w:id="85"/>
    </w:p>
    <w:p>
      <w:pPr>
        <w:pStyle w:val="4"/>
        <w:rPr>
          <w:rFonts w:ascii="仿宋" w:eastAsia="仿宋"/>
        </w:rPr>
      </w:pPr>
      <w:bookmarkStart w:id="86" w:name="_Toc15396621"/>
      <w:bookmarkStart w:id="87" w:name="_Toc115799756"/>
      <w:r>
        <w:rPr>
          <w:rStyle w:val="22"/>
          <w:rFonts w:hint="eastAsia" w:ascii="仿宋" w:eastAsia="仿宋"/>
          <w:b w:val="0"/>
          <w:bCs w:val="0"/>
        </w:rPr>
        <w:t>三、</w:t>
      </w:r>
      <w:r>
        <w:rPr>
          <w:rFonts w:hint="eastAsia" w:ascii="仿宋" w:eastAsia="仿宋"/>
          <w:b w:val="0"/>
        </w:rPr>
        <w:t>支</w:t>
      </w:r>
      <w:r>
        <w:rPr>
          <w:rStyle w:val="22"/>
          <w:rFonts w:hint="eastAsia" w:ascii="仿宋" w:eastAsia="仿宋"/>
          <w:b w:val="0"/>
          <w:bCs w:val="0"/>
        </w:rPr>
        <w:t>出决算表</w:t>
      </w:r>
      <w:bookmarkEnd w:id="86"/>
      <w:bookmarkEnd w:id="87"/>
    </w:p>
    <w:p>
      <w:pPr>
        <w:pStyle w:val="4"/>
        <w:rPr>
          <w:rFonts w:ascii="仿宋" w:eastAsia="仿宋"/>
          <w:b w:val="0"/>
        </w:rPr>
      </w:pPr>
      <w:bookmarkStart w:id="88" w:name="_Toc15396622"/>
      <w:bookmarkStart w:id="89" w:name="_Toc115799757"/>
      <w:r>
        <w:rPr>
          <w:rStyle w:val="22"/>
          <w:rFonts w:hint="eastAsia" w:ascii="仿宋" w:eastAsia="仿宋"/>
          <w:b w:val="0"/>
          <w:bCs w:val="0"/>
        </w:rPr>
        <w:t>四、</w:t>
      </w:r>
      <w:r>
        <w:rPr>
          <w:rFonts w:hint="eastAsia" w:ascii="仿宋" w:eastAsia="仿宋"/>
          <w:b w:val="0"/>
        </w:rPr>
        <w:t>财</w:t>
      </w:r>
      <w:r>
        <w:rPr>
          <w:rStyle w:val="22"/>
          <w:rFonts w:hint="eastAsia" w:ascii="仿宋" w:eastAsia="仿宋"/>
          <w:b w:val="0"/>
          <w:bCs w:val="0"/>
        </w:rPr>
        <w:t>政拨款收入支出决算总表</w:t>
      </w:r>
      <w:bookmarkEnd w:id="88"/>
      <w:bookmarkEnd w:id="89"/>
    </w:p>
    <w:p>
      <w:pPr>
        <w:pStyle w:val="4"/>
        <w:rPr>
          <w:rStyle w:val="22"/>
          <w:rFonts w:ascii="仿宋" w:eastAsia="仿宋"/>
          <w:b w:val="0"/>
          <w:bCs w:val="0"/>
        </w:rPr>
      </w:pPr>
      <w:bookmarkStart w:id="90" w:name="_Toc15396623"/>
      <w:bookmarkStart w:id="91" w:name="_Toc115799758"/>
      <w:r>
        <w:rPr>
          <w:rStyle w:val="22"/>
          <w:rFonts w:hint="eastAsia" w:ascii="仿宋" w:eastAsia="仿宋"/>
          <w:b w:val="0"/>
          <w:bCs w:val="0"/>
        </w:rPr>
        <w:t>五、</w:t>
      </w:r>
      <w:r>
        <w:rPr>
          <w:rFonts w:hint="eastAsia" w:ascii="仿宋" w:eastAsia="仿宋"/>
          <w:b w:val="0"/>
        </w:rPr>
        <w:t>财</w:t>
      </w:r>
      <w:r>
        <w:rPr>
          <w:rStyle w:val="22"/>
          <w:rFonts w:hint="eastAsia" w:ascii="仿宋" w:eastAsia="仿宋"/>
          <w:b w:val="0"/>
          <w:bCs w:val="0"/>
        </w:rPr>
        <w:t>政拨款支出决算明细表</w:t>
      </w:r>
      <w:bookmarkEnd w:id="90"/>
      <w:bookmarkEnd w:id="91"/>
      <w:bookmarkStart w:id="92" w:name="_Toc15396624"/>
    </w:p>
    <w:p>
      <w:pPr>
        <w:pStyle w:val="4"/>
        <w:rPr>
          <w:rFonts w:ascii="仿宋" w:eastAsia="仿宋"/>
        </w:rPr>
      </w:pPr>
      <w:bookmarkStart w:id="93" w:name="_Toc115799759"/>
      <w:r>
        <w:rPr>
          <w:rStyle w:val="22"/>
          <w:rFonts w:hint="eastAsia" w:ascii="仿宋" w:eastAsia="仿宋"/>
          <w:b w:val="0"/>
          <w:bCs w:val="0"/>
        </w:rPr>
        <w:t>六、</w:t>
      </w:r>
      <w:r>
        <w:rPr>
          <w:rFonts w:hint="eastAsia" w:ascii="仿宋" w:eastAsia="仿宋"/>
          <w:b w:val="0"/>
        </w:rPr>
        <w:t>一</w:t>
      </w:r>
      <w:r>
        <w:rPr>
          <w:rStyle w:val="22"/>
          <w:rFonts w:hint="eastAsia" w:ascii="仿宋" w:eastAsia="仿宋"/>
          <w:b w:val="0"/>
          <w:bCs w:val="0"/>
        </w:rPr>
        <w:t>般公共预算财政拨款支出决算表</w:t>
      </w:r>
      <w:bookmarkEnd w:id="92"/>
      <w:bookmarkEnd w:id="93"/>
    </w:p>
    <w:p>
      <w:pPr>
        <w:pStyle w:val="4"/>
        <w:rPr>
          <w:rFonts w:ascii="仿宋" w:eastAsia="仿宋"/>
        </w:rPr>
      </w:pPr>
      <w:bookmarkStart w:id="94" w:name="_Toc15396625"/>
      <w:bookmarkStart w:id="95" w:name="_Toc115799760"/>
      <w:r>
        <w:rPr>
          <w:rStyle w:val="22"/>
          <w:rFonts w:hint="eastAsia" w:ascii="仿宋" w:eastAsia="仿宋"/>
          <w:b w:val="0"/>
          <w:bCs w:val="0"/>
        </w:rPr>
        <w:t>七、</w:t>
      </w:r>
      <w:r>
        <w:rPr>
          <w:rFonts w:hint="eastAsia" w:ascii="仿宋" w:eastAsia="仿宋"/>
          <w:b w:val="0"/>
        </w:rPr>
        <w:t>一</w:t>
      </w:r>
      <w:r>
        <w:rPr>
          <w:rStyle w:val="22"/>
          <w:rFonts w:hint="eastAsia" w:ascii="仿宋" w:eastAsia="仿宋"/>
          <w:b w:val="0"/>
          <w:bCs w:val="0"/>
        </w:rPr>
        <w:t>般公共预算财政拨款支出决算明细表</w:t>
      </w:r>
      <w:bookmarkEnd w:id="94"/>
      <w:bookmarkEnd w:id="95"/>
    </w:p>
    <w:p>
      <w:pPr>
        <w:pStyle w:val="4"/>
        <w:rPr>
          <w:rFonts w:ascii="仿宋" w:eastAsia="仿宋"/>
        </w:rPr>
      </w:pPr>
      <w:bookmarkStart w:id="96" w:name="_Toc15396626"/>
      <w:bookmarkStart w:id="97" w:name="_Toc115799761"/>
      <w:r>
        <w:rPr>
          <w:rStyle w:val="22"/>
          <w:rFonts w:hint="eastAsia" w:ascii="仿宋" w:eastAsia="仿宋"/>
          <w:b w:val="0"/>
          <w:bCs w:val="0"/>
        </w:rPr>
        <w:t>八、</w:t>
      </w:r>
      <w:r>
        <w:rPr>
          <w:rFonts w:hint="eastAsia" w:ascii="仿宋" w:eastAsia="仿宋"/>
          <w:b w:val="0"/>
        </w:rPr>
        <w:t>一</w:t>
      </w:r>
      <w:r>
        <w:rPr>
          <w:rStyle w:val="22"/>
          <w:rFonts w:hint="eastAsia" w:ascii="仿宋" w:eastAsia="仿宋"/>
          <w:b w:val="0"/>
          <w:bCs w:val="0"/>
        </w:rPr>
        <w:t>般公共预算财政拨款基本支出决算表</w:t>
      </w:r>
      <w:bookmarkEnd w:id="96"/>
      <w:bookmarkEnd w:id="97"/>
    </w:p>
    <w:p>
      <w:pPr>
        <w:pStyle w:val="4"/>
        <w:rPr>
          <w:rFonts w:ascii="仿宋" w:eastAsia="仿宋"/>
        </w:rPr>
      </w:pPr>
      <w:bookmarkStart w:id="98" w:name="_Toc15396627"/>
      <w:bookmarkStart w:id="99" w:name="_Toc115799762"/>
      <w:r>
        <w:rPr>
          <w:rStyle w:val="22"/>
          <w:rFonts w:hint="eastAsia" w:ascii="仿宋" w:eastAsia="仿宋"/>
          <w:b w:val="0"/>
          <w:bCs w:val="0"/>
        </w:rPr>
        <w:t>九、</w:t>
      </w:r>
      <w:r>
        <w:rPr>
          <w:rFonts w:hint="eastAsia" w:ascii="仿宋" w:eastAsia="仿宋"/>
          <w:b w:val="0"/>
        </w:rPr>
        <w:t>一</w:t>
      </w:r>
      <w:r>
        <w:rPr>
          <w:rStyle w:val="22"/>
          <w:rFonts w:hint="eastAsia" w:ascii="仿宋" w:eastAsia="仿宋"/>
          <w:b w:val="0"/>
          <w:bCs w:val="0"/>
        </w:rPr>
        <w:t>般公共预算财政拨款项目支出决算表</w:t>
      </w:r>
      <w:bookmarkEnd w:id="98"/>
      <w:bookmarkEnd w:id="99"/>
    </w:p>
    <w:p>
      <w:pPr>
        <w:pStyle w:val="4"/>
        <w:rPr>
          <w:rFonts w:ascii="仿宋" w:eastAsia="仿宋"/>
        </w:rPr>
      </w:pPr>
      <w:bookmarkStart w:id="100" w:name="_Toc15396628"/>
      <w:bookmarkStart w:id="101" w:name="_Toc115799763"/>
      <w:r>
        <w:rPr>
          <w:rStyle w:val="22"/>
          <w:rFonts w:hint="eastAsia" w:ascii="仿宋" w:eastAsia="仿宋"/>
          <w:b w:val="0"/>
          <w:bCs w:val="0"/>
        </w:rPr>
        <w:t>十、</w:t>
      </w:r>
      <w:r>
        <w:rPr>
          <w:rFonts w:hint="eastAsia" w:ascii="仿宋" w:eastAsia="仿宋"/>
          <w:b w:val="0"/>
        </w:rPr>
        <w:t>一</w:t>
      </w:r>
      <w:r>
        <w:rPr>
          <w:rStyle w:val="22"/>
          <w:rFonts w:hint="eastAsia" w:ascii="仿宋" w:eastAsia="仿宋"/>
          <w:b w:val="0"/>
          <w:bCs w:val="0"/>
        </w:rPr>
        <w:t>般公共预算财政拨款“三公”经费支出决算表</w:t>
      </w:r>
      <w:bookmarkEnd w:id="100"/>
      <w:bookmarkEnd w:id="101"/>
    </w:p>
    <w:p>
      <w:pPr>
        <w:pStyle w:val="4"/>
        <w:rPr>
          <w:rFonts w:ascii="仿宋" w:eastAsia="仿宋"/>
        </w:rPr>
      </w:pPr>
      <w:bookmarkStart w:id="102" w:name="_Toc15396629"/>
      <w:bookmarkStart w:id="103" w:name="_Toc115799764"/>
      <w:r>
        <w:rPr>
          <w:rStyle w:val="22"/>
          <w:rFonts w:hint="eastAsia" w:ascii="仿宋" w:eastAsia="仿宋"/>
          <w:b w:val="0"/>
          <w:bCs w:val="0"/>
        </w:rPr>
        <w:t>十一、</w:t>
      </w:r>
      <w:r>
        <w:rPr>
          <w:rFonts w:hint="eastAsia" w:ascii="仿宋" w:eastAsia="仿宋"/>
          <w:b w:val="0"/>
        </w:rPr>
        <w:t>政</w:t>
      </w:r>
      <w:r>
        <w:rPr>
          <w:rStyle w:val="22"/>
          <w:rFonts w:hint="eastAsia" w:ascii="仿宋" w:eastAsia="仿宋"/>
          <w:b w:val="0"/>
          <w:bCs w:val="0"/>
        </w:rPr>
        <w:t>府性基金预算财政拨款收入支出决算表</w:t>
      </w:r>
      <w:bookmarkEnd w:id="102"/>
      <w:bookmarkEnd w:id="103"/>
    </w:p>
    <w:p>
      <w:pPr>
        <w:pStyle w:val="4"/>
        <w:rPr>
          <w:rFonts w:ascii="仿宋" w:eastAsia="仿宋"/>
        </w:rPr>
      </w:pPr>
      <w:bookmarkStart w:id="104" w:name="_Toc15396630"/>
      <w:bookmarkStart w:id="105" w:name="_Toc115799765"/>
      <w:r>
        <w:rPr>
          <w:rStyle w:val="22"/>
          <w:rFonts w:hint="eastAsia" w:ascii="仿宋" w:eastAsia="仿宋"/>
          <w:b w:val="0"/>
          <w:bCs w:val="0"/>
        </w:rPr>
        <w:t>十二、</w:t>
      </w:r>
      <w:r>
        <w:rPr>
          <w:rFonts w:hint="eastAsia" w:ascii="仿宋" w:eastAsia="仿宋"/>
          <w:b w:val="0"/>
        </w:rPr>
        <w:t>政</w:t>
      </w:r>
      <w:r>
        <w:rPr>
          <w:rStyle w:val="22"/>
          <w:rFonts w:hint="eastAsia" w:ascii="仿宋" w:eastAsia="仿宋"/>
          <w:b w:val="0"/>
          <w:bCs w:val="0"/>
        </w:rPr>
        <w:t>府性基金预算财政拨款“三公”经费支出决算表</w:t>
      </w:r>
      <w:bookmarkEnd w:id="104"/>
      <w:bookmarkEnd w:id="105"/>
    </w:p>
    <w:p>
      <w:pPr>
        <w:pStyle w:val="4"/>
        <w:rPr>
          <w:rStyle w:val="22"/>
          <w:rFonts w:ascii="仿宋" w:eastAsia="仿宋"/>
          <w:b w:val="0"/>
          <w:bCs w:val="0"/>
        </w:rPr>
      </w:pPr>
      <w:bookmarkStart w:id="106" w:name="_Toc15396631"/>
      <w:bookmarkStart w:id="107" w:name="_Toc115799766"/>
      <w:r>
        <w:rPr>
          <w:rStyle w:val="22"/>
          <w:rFonts w:hint="eastAsia" w:ascii="仿宋" w:eastAsia="仿宋"/>
          <w:b w:val="0"/>
          <w:bCs w:val="0"/>
        </w:rPr>
        <w:t>十三、</w:t>
      </w:r>
      <w:r>
        <w:rPr>
          <w:rFonts w:hint="eastAsia" w:ascii="仿宋" w:eastAsia="仿宋"/>
          <w:b w:val="0"/>
        </w:rPr>
        <w:t>国</w:t>
      </w:r>
      <w:r>
        <w:rPr>
          <w:rStyle w:val="22"/>
          <w:rFonts w:hint="eastAsia" w:ascii="仿宋" w:eastAsia="仿宋"/>
          <w:b w:val="0"/>
          <w:bCs w:val="0"/>
        </w:rPr>
        <w:t>有资本经营预算财政拨款收入支出决算表</w:t>
      </w:r>
      <w:bookmarkEnd w:id="106"/>
      <w:bookmarkEnd w:id="107"/>
    </w:p>
    <w:p>
      <w:pPr>
        <w:pStyle w:val="4"/>
        <w:rPr>
          <w:rStyle w:val="22"/>
          <w:rFonts w:ascii="仿宋" w:eastAsia="仿宋"/>
          <w:b w:val="0"/>
          <w:bCs w:val="0"/>
        </w:rPr>
      </w:pPr>
      <w:bookmarkStart w:id="108" w:name="_Toc115799767"/>
      <w:r>
        <w:rPr>
          <w:rStyle w:val="22"/>
          <w:rFonts w:hint="eastAsia" w:ascii="仿宋" w:eastAsia="仿宋"/>
          <w:b w:val="0"/>
          <w:bCs w:val="0"/>
        </w:rPr>
        <w:t>十四、国有资本经营预算财政拨款支出决算表</w:t>
      </w:r>
      <w:bookmarkEnd w:id="108"/>
    </w:p>
    <w:sectPr>
      <w:footerReference r:id="rId7" w:type="first"/>
      <w:footerReference r:id="rId6"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等线">
    <w:altName w:val="微软雅黑"/>
    <w:panose1 w:val="00000000000000000000"/>
    <w:charset w:val="00"/>
    <w:family w:val="auto"/>
    <w:pitch w:val="default"/>
    <w:sig w:usb0="00000000" w:usb1="00000000" w:usb2="00000000" w:usb3="00000000" w:csb0="00000000" w:csb1="00000000"/>
  </w:font>
  <w:font w:name="方正楷体_GBK">
    <w:altName w:val="微软雅黑"/>
    <w:panose1 w:val="03000509000000000000"/>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Calibri Light">
    <w:altName w:val="Calibri"/>
    <w:panose1 w:val="020F0302020204030204"/>
    <w:charset w:val="00"/>
    <w:family w:val="swiss"/>
    <w:pitch w:val="default"/>
    <w:sig w:usb0="00000000" w:usb1="00000000" w:usb2="00000000" w:usb3="00000000" w:csb0="2000019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10416768"/>
      <w:docPartObj>
        <w:docPartGallery w:val="autotext"/>
      </w:docPartObj>
    </w:sdtPr>
    <w:sdtContent>
      <w:p>
        <w:pPr>
          <w:pStyle w:val="11"/>
          <w:jc w:val="center"/>
        </w:pPr>
        <w:r>
          <w:fldChar w:fldCharType="begin"/>
        </w:r>
        <w:r>
          <w:instrText xml:space="preserve">PAGE   \* MERGEFORMAT</w:instrText>
        </w:r>
        <w:r>
          <w:fldChar w:fldCharType="separate"/>
        </w:r>
        <w:r>
          <w:rPr>
            <w:lang w:val="zh-CN"/>
          </w:rPr>
          <w:t>18</w:t>
        </w:r>
        <w:r>
          <w:fldChar w:fldCharType="end"/>
        </w:r>
      </w:p>
    </w:sdtContent>
  </w:sdt>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9984664"/>
      <w:docPartObj>
        <w:docPartGallery w:val="autotext"/>
      </w:docPartObj>
    </w:sdtPr>
    <w:sdtContent>
      <w:p>
        <w:pPr>
          <w:pStyle w:val="11"/>
          <w:jc w:val="center"/>
        </w:pPr>
        <w:r>
          <w:fldChar w:fldCharType="begin"/>
        </w:r>
        <w:r>
          <w:instrText xml:space="preserve">PAGE   \* MERGEFORMAT</w:instrText>
        </w:r>
        <w:r>
          <w:fldChar w:fldCharType="separate"/>
        </w:r>
        <w:r>
          <w:rPr>
            <w:lang w:val="zh-CN"/>
          </w:rPr>
          <w:t>1</w:t>
        </w:r>
        <w:r>
          <w:fldChar w:fldCharType="end"/>
        </w:r>
      </w:p>
    </w:sdtContent>
  </w:sdt>
  <w:p>
    <w:pPr>
      <w:pStyle w:val="11"/>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ED7C8"/>
    <w:multiLevelType w:val="singleLevel"/>
    <w:tmpl w:val="8DFED7C8"/>
    <w:lvl w:ilvl="0" w:tentative="0">
      <w:start w:val="6"/>
      <w:numFmt w:val="chineseCounting"/>
      <w:suff w:val="nothing"/>
      <w:lvlText w:val="%1、"/>
      <w:lvlJc w:val="left"/>
      <w:rPr>
        <w:rFonts w:cs="Times New Roman"/>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ascii="黑体" w:hAnsi="黑体" w:eastAsia="黑体" w:cs="黑体"/>
        <w:sz w:val="44"/>
        <w:szCs w:val="44"/>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1"/>
  </w:num>
  <w:num w:numId="3">
    <w:abstractNumId w:val="2"/>
  </w:num>
  <w:num w:numId="4">
    <w:abstractNumId w:val="0"/>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WQ5NzQ3MDA5YWIxNGY1ZmMzZjkzYTllNTYwNzdhNmEifQ=="/>
  </w:docVars>
  <w:rsids>
    <w:rsidRoot w:val="008C6A67"/>
    <w:rsid w:val="000572D2"/>
    <w:rsid w:val="00190606"/>
    <w:rsid w:val="004F482C"/>
    <w:rsid w:val="00577718"/>
    <w:rsid w:val="006A09E2"/>
    <w:rsid w:val="0082212C"/>
    <w:rsid w:val="008C6A67"/>
    <w:rsid w:val="00AB1D7D"/>
    <w:rsid w:val="00C93AB5"/>
    <w:rsid w:val="00E30A3C"/>
    <w:rsid w:val="011A24F4"/>
    <w:rsid w:val="030D5109"/>
    <w:rsid w:val="03FC371A"/>
    <w:rsid w:val="04131BA8"/>
    <w:rsid w:val="046917C8"/>
    <w:rsid w:val="09511F75"/>
    <w:rsid w:val="09BA37C8"/>
    <w:rsid w:val="0A216EF0"/>
    <w:rsid w:val="0B0F3E96"/>
    <w:rsid w:val="0B1D3AD1"/>
    <w:rsid w:val="0B952F35"/>
    <w:rsid w:val="0C1D680E"/>
    <w:rsid w:val="0EAA3109"/>
    <w:rsid w:val="0EB577E3"/>
    <w:rsid w:val="1055668C"/>
    <w:rsid w:val="12A247E2"/>
    <w:rsid w:val="132424A8"/>
    <w:rsid w:val="1376738D"/>
    <w:rsid w:val="13C133CE"/>
    <w:rsid w:val="15806971"/>
    <w:rsid w:val="17761290"/>
    <w:rsid w:val="17BD20FF"/>
    <w:rsid w:val="1ABA6528"/>
    <w:rsid w:val="1AD67034"/>
    <w:rsid w:val="1C4A7CD9"/>
    <w:rsid w:val="1C6D6C6E"/>
    <w:rsid w:val="1C877D30"/>
    <w:rsid w:val="1D2E13A9"/>
    <w:rsid w:val="1DB47B00"/>
    <w:rsid w:val="1E234F56"/>
    <w:rsid w:val="210448FA"/>
    <w:rsid w:val="217311CB"/>
    <w:rsid w:val="24266313"/>
    <w:rsid w:val="243B4AD7"/>
    <w:rsid w:val="2521653F"/>
    <w:rsid w:val="258A45A3"/>
    <w:rsid w:val="25A22934"/>
    <w:rsid w:val="27435A51"/>
    <w:rsid w:val="281F026C"/>
    <w:rsid w:val="29D24E9C"/>
    <w:rsid w:val="29DC2793"/>
    <w:rsid w:val="2AA93567"/>
    <w:rsid w:val="2AB078A1"/>
    <w:rsid w:val="2EB30164"/>
    <w:rsid w:val="2F9B0309"/>
    <w:rsid w:val="30731155"/>
    <w:rsid w:val="31007C59"/>
    <w:rsid w:val="31283D80"/>
    <w:rsid w:val="336B25B7"/>
    <w:rsid w:val="3572381B"/>
    <w:rsid w:val="392A081F"/>
    <w:rsid w:val="39D45FC4"/>
    <w:rsid w:val="39EC521E"/>
    <w:rsid w:val="3B6444BC"/>
    <w:rsid w:val="3C4F6F1A"/>
    <w:rsid w:val="3C99459C"/>
    <w:rsid w:val="3D634A01"/>
    <w:rsid w:val="3D6F7DAF"/>
    <w:rsid w:val="3E2B306F"/>
    <w:rsid w:val="3EC01CEB"/>
    <w:rsid w:val="404909FF"/>
    <w:rsid w:val="41593AE1"/>
    <w:rsid w:val="41D5172D"/>
    <w:rsid w:val="430976F7"/>
    <w:rsid w:val="43F35095"/>
    <w:rsid w:val="449D0A3E"/>
    <w:rsid w:val="452D6894"/>
    <w:rsid w:val="45701CAF"/>
    <w:rsid w:val="45761CF7"/>
    <w:rsid w:val="46C82B6F"/>
    <w:rsid w:val="482B6CCE"/>
    <w:rsid w:val="48A66912"/>
    <w:rsid w:val="49AF2CF6"/>
    <w:rsid w:val="4ABB39CC"/>
    <w:rsid w:val="4B674E8A"/>
    <w:rsid w:val="4C035E32"/>
    <w:rsid w:val="4C5850AA"/>
    <w:rsid w:val="4E227009"/>
    <w:rsid w:val="4E9C58C3"/>
    <w:rsid w:val="4ED02ABF"/>
    <w:rsid w:val="4F417404"/>
    <w:rsid w:val="50327D57"/>
    <w:rsid w:val="506B738D"/>
    <w:rsid w:val="50E61077"/>
    <w:rsid w:val="514F30C0"/>
    <w:rsid w:val="51905BB3"/>
    <w:rsid w:val="550D751A"/>
    <w:rsid w:val="57F624E8"/>
    <w:rsid w:val="5AAC502D"/>
    <w:rsid w:val="5D665A1A"/>
    <w:rsid w:val="5F4F0E5B"/>
    <w:rsid w:val="610939A7"/>
    <w:rsid w:val="65827169"/>
    <w:rsid w:val="669D6A02"/>
    <w:rsid w:val="673B30FB"/>
    <w:rsid w:val="673D5A3D"/>
    <w:rsid w:val="68E61142"/>
    <w:rsid w:val="69531548"/>
    <w:rsid w:val="6A14250A"/>
    <w:rsid w:val="6A8C5ADE"/>
    <w:rsid w:val="6B106CCB"/>
    <w:rsid w:val="6B9C6092"/>
    <w:rsid w:val="6C2E5427"/>
    <w:rsid w:val="705664CE"/>
    <w:rsid w:val="73131D48"/>
    <w:rsid w:val="739003ED"/>
    <w:rsid w:val="73A11102"/>
    <w:rsid w:val="76B13BBA"/>
    <w:rsid w:val="772C5E5B"/>
    <w:rsid w:val="78416AA2"/>
    <w:rsid w:val="7ACB52DC"/>
    <w:rsid w:val="7AD055C2"/>
    <w:rsid w:val="7D197F5B"/>
    <w:rsid w:val="7F9E2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2"/>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pPr>
    <w:rPr>
      <w:rFonts w:ascii="Arial" w:hAnsi="Arial"/>
      <w:kern w:val="0"/>
    </w:rPr>
  </w:style>
  <w:style w:type="paragraph" w:styleId="6">
    <w:name w:val="Body Text"/>
    <w:basedOn w:val="1"/>
    <w:next w:val="1"/>
    <w:qFormat/>
    <w:uiPriority w:val="0"/>
    <w:pPr>
      <w:spacing w:before="30"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Times New Roman" w:hAnsi="Times New Roman" w:cs="Times New Roman"/>
    </w:rPr>
  </w:style>
  <w:style w:type="paragraph" w:styleId="8">
    <w:name w:val="Title"/>
    <w:basedOn w:val="1"/>
    <w:next w:val="1"/>
    <w:qFormat/>
    <w:uiPriority w:val="0"/>
    <w:pPr>
      <w:ind w:firstLine="0"/>
      <w:jc w:val="center"/>
      <w:outlineLvl w:val="0"/>
    </w:pPr>
    <w:rPr>
      <w:rFonts w:ascii="Calibri Light" w:hAnsi="Calibri Light" w:eastAsia="黑体" w:cs="Times New Roman"/>
      <w:b/>
      <w:bCs/>
      <w:kern w:val="2"/>
      <w:sz w:val="44"/>
      <w:szCs w:val="32"/>
      <w:lang w:val="zh-CN"/>
    </w:rPr>
  </w:style>
  <w:style w:type="paragraph" w:styleId="9">
    <w:name w:val="toc 3"/>
    <w:basedOn w:val="1"/>
    <w:next w:val="1"/>
    <w:qFormat/>
    <w:uiPriority w:val="39"/>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39"/>
    <w:pPr>
      <w:tabs>
        <w:tab w:val="right" w:leader="dot" w:pos="8296"/>
      </w:tabs>
      <w:spacing w:before="93"/>
      <w:jc w:val="center"/>
    </w:pPr>
    <w:rPr>
      <w:rFonts w:ascii="仿宋" w:eastAsia="仿宋"/>
      <w:sz w:val="28"/>
      <w:szCs w:val="28"/>
    </w:rPr>
  </w:style>
  <w:style w:type="paragraph" w:styleId="14">
    <w:name w:val="toc 2"/>
    <w:basedOn w:val="1"/>
    <w:next w:val="1"/>
    <w:qFormat/>
    <w:uiPriority w:val="39"/>
    <w:pPr>
      <w:tabs>
        <w:tab w:val="right" w:leader="dot" w:pos="8296"/>
      </w:tabs>
      <w:ind w:left="200" w:leftChars="200"/>
    </w:pPr>
  </w:style>
  <w:style w:type="paragraph" w:styleId="15">
    <w:name w:val="Normal (Web)"/>
    <w:basedOn w:val="1"/>
    <w:semiHidden/>
    <w:unhideWhenUsed/>
    <w:qFormat/>
    <w:uiPriority w:val="99"/>
    <w:pPr>
      <w:widowControl/>
      <w:spacing w:beforeAutospacing="1" w:afterAutospacing="1"/>
      <w:jc w:val="left"/>
    </w:pPr>
    <w:rPr>
      <w:rFonts w:hint="eastAsia" w:ascii="宋体" w:hAnsi="宋体"/>
      <w:kern w:val="0"/>
      <w:sz w:val="24"/>
    </w:rPr>
  </w:style>
  <w:style w:type="paragraph" w:styleId="16">
    <w:name w:val="Body Text First Indent 2"/>
    <w:basedOn w:val="7"/>
    <w:next w:val="1"/>
    <w:qFormat/>
    <w:uiPriority w:val="0"/>
    <w:pPr>
      <w:ind w:firstLine="200" w:firstLineChars="200"/>
    </w:pPr>
  </w:style>
  <w:style w:type="character" w:styleId="19">
    <w:name w:val="Strong"/>
    <w:basedOn w:val="18"/>
    <w:qFormat/>
    <w:uiPriority w:val="0"/>
    <w:rPr>
      <w:b/>
    </w:rPr>
  </w:style>
  <w:style w:type="character" w:styleId="20">
    <w:name w:val="Hyperlink"/>
    <w:basedOn w:val="18"/>
    <w:qFormat/>
    <w:uiPriority w:val="99"/>
    <w:rPr>
      <w:color w:val="0000FF"/>
      <w:u w:val="single"/>
    </w:rPr>
  </w:style>
  <w:style w:type="character" w:customStyle="1" w:styleId="21">
    <w:name w:val="标题 1 Char"/>
    <w:basedOn w:val="18"/>
    <w:link w:val="3"/>
    <w:qFormat/>
    <w:uiPriority w:val="0"/>
    <w:rPr>
      <w:rFonts w:ascii="Times New Roman" w:hAnsi="Times New Roman" w:eastAsia="宋体" w:cs="Times New Roman"/>
      <w:b/>
      <w:bCs/>
      <w:kern w:val="44"/>
      <w:sz w:val="44"/>
      <w:szCs w:val="44"/>
      <w:lang w:val="en-US" w:eastAsia="zh-CN" w:bidi="ar-SA"/>
    </w:rPr>
  </w:style>
  <w:style w:type="character" w:customStyle="1" w:styleId="22">
    <w:name w:val="标题 2 Char"/>
    <w:basedOn w:val="18"/>
    <w:link w:val="4"/>
    <w:qFormat/>
    <w:uiPriority w:val="0"/>
    <w:rPr>
      <w:rFonts w:ascii="Cambria" w:hAnsi="Cambria" w:eastAsia="宋体" w:cs="Times New Roman"/>
      <w:b/>
      <w:bCs/>
      <w:kern w:val="2"/>
      <w:sz w:val="32"/>
      <w:szCs w:val="32"/>
      <w:lang w:val="en-US" w:eastAsia="zh-CN" w:bidi="ar-SA"/>
    </w:rPr>
  </w:style>
  <w:style w:type="character" w:customStyle="1" w:styleId="23">
    <w:name w:val="Header Char"/>
    <w:basedOn w:val="18"/>
    <w:qFormat/>
    <w:uiPriority w:val="0"/>
    <w:rPr>
      <w:rFonts w:ascii="Times New Roman" w:hAnsi="Times New Roman"/>
      <w:sz w:val="18"/>
      <w:szCs w:val="18"/>
    </w:rPr>
  </w:style>
  <w:style w:type="character" w:customStyle="1" w:styleId="24">
    <w:name w:val="Footer Char"/>
    <w:basedOn w:val="18"/>
    <w:qFormat/>
    <w:uiPriority w:val="0"/>
    <w:rPr>
      <w:rFonts w:ascii="Times New Roman" w:hAnsi="Times New Roman"/>
      <w:sz w:val="18"/>
      <w:szCs w:val="18"/>
    </w:rPr>
  </w:style>
  <w:style w:type="character" w:customStyle="1" w:styleId="25">
    <w:name w:val="Body Text Char"/>
    <w:basedOn w:val="18"/>
    <w:qFormat/>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uiPriority w:val="0"/>
    <w:pPr>
      <w:ind w:firstLine="200" w:firstLineChars="200"/>
    </w:pPr>
  </w:style>
  <w:style w:type="paragraph" w:customStyle="1" w:styleId="28">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9">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0">
    <w:name w:val="TOC Heading"/>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F5597" w:themeColor="accent1" w:themeShade="BF"/>
      <w:kern w:val="0"/>
      <w:sz w:val="28"/>
      <w:szCs w:val="28"/>
    </w:rPr>
  </w:style>
  <w:style w:type="character" w:customStyle="1" w:styleId="31">
    <w:name w:val="页脚 Char"/>
    <w:basedOn w:val="18"/>
    <w:link w:val="11"/>
    <w:qFormat/>
    <w:uiPriority w:val="99"/>
    <w:rPr>
      <w:rFonts w:ascii="Calibri" w:hAnsi="Calibri"/>
      <w:sz w:val="18"/>
      <w:szCs w:val="18"/>
    </w:rPr>
  </w:style>
  <w:style w:type="character" w:customStyle="1" w:styleId="32">
    <w:name w:val="font51"/>
    <w:basedOn w:val="18"/>
    <w:qFormat/>
    <w:uiPriority w:val="0"/>
    <w:rPr>
      <w:rFonts w:hint="eastAsia" w:ascii="宋体" w:hAnsi="宋体" w:eastAsia="宋体" w:cs="宋体"/>
      <w:color w:val="000000"/>
      <w:sz w:val="20"/>
      <w:szCs w:val="20"/>
      <w:u w:val="none"/>
    </w:rPr>
  </w:style>
  <w:style w:type="character" w:customStyle="1" w:styleId="33">
    <w:name w:val="font101"/>
    <w:basedOn w:val="1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4030;&#22996;&#23459;&#20256;&#37096;\&#37096;&#38376;&#20844;&#24320;&#34920;&#26684;&#21046;&#20316;&#22270;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21&#24180;\2020&#24180;&#37096;&#38376;&#20915;&#31639;&#20844;&#24320;\&#24030;&#22996;&#23459;&#20256;&#37096;\&#37096;&#38376;&#20844;&#24320;&#34920;&#26684;&#21046;&#20316;&#22270;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021&#24180;\2020&#24180;&#37096;&#38376;&#20915;&#31639;&#20844;&#24320;\&#24030;&#22996;&#23459;&#20256;&#37096;\&#37096;&#38376;&#20844;&#24320;&#34920;&#26684;&#21046;&#20316;&#22270;3.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4030;&#22996;&#23459;&#20256;&#37096;\&#37096;&#38376;&#20844;&#24320;&#34920;&#26684;&#21046;&#20316;&#22270;4.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4030;&#22996;&#23459;&#20256;&#37096;\&#37096;&#38376;&#20844;&#24320;&#34920;&#26684;&#21046;&#20316;&#22270;5.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21&#24180;\2020&#24180;&#37096;&#38376;&#20915;&#31639;&#20844;&#24320;\&#24030;&#22996;&#23459;&#20256;&#37096;\&#37096;&#38376;&#20844;&#24320;&#34920;&#26684;&#21046;&#20316;&#22270;6.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4030;&#22996;&#23459;&#20256;&#37096;\&#37096;&#38376;&#20844;&#24320;&#34920;&#26684;&#21046;&#20316;&#22270;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[部门公开表格制作图1.xls]Sheet1!$A$2</c:f>
              <c:strCache>
                <c:ptCount val="1"/>
                <c:pt idx="0">
                  <c:v>图1　收、支决算总计变动情况</c:v>
                </c:pt>
              </c:strCache>
            </c:strRef>
          </c:tx>
          <c:invertIfNegative val="0"/>
          <c:dLbls>
            <c:delete val="1"/>
          </c:dLbls>
          <c:cat>
            <c:strRef>
              <c:f>[部门公开表格制作图1.xls]Sheet1!$B$1:$C$1</c:f>
              <c:strCache>
                <c:ptCount val="2"/>
                <c:pt idx="0">
                  <c:v>2021（万元）</c:v>
                </c:pt>
                <c:pt idx="1">
                  <c:v>2020（万元）</c:v>
                </c:pt>
              </c:strCache>
            </c:strRef>
          </c:cat>
          <c:val>
            <c:numRef>
              <c:f>[部门公开表格制作图1.xls]Sheet1!$B$2:$C$2</c:f>
              <c:numCache>
                <c:formatCode>General</c:formatCode>
                <c:ptCount val="2"/>
                <c:pt idx="0">
                  <c:v>1662.2</c:v>
                </c:pt>
                <c:pt idx="1">
                  <c:v>1595.02</c:v>
                </c:pt>
              </c:numCache>
            </c:numRef>
          </c:val>
        </c:ser>
        <c:dLbls>
          <c:showLegendKey val="0"/>
          <c:showVal val="0"/>
          <c:showCatName val="0"/>
          <c:showSerName val="0"/>
          <c:showPercent val="0"/>
          <c:showBubbleSize val="0"/>
        </c:dLbls>
        <c:gapWidth val="150"/>
        <c:overlap val="100"/>
        <c:axId val="371270784"/>
        <c:axId val="371272320"/>
      </c:barChart>
      <c:catAx>
        <c:axId val="37127078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71272320"/>
        <c:crosses val="autoZero"/>
        <c:auto val="1"/>
        <c:lblAlgn val="ctr"/>
        <c:lblOffset val="100"/>
        <c:noMultiLvlLbl val="0"/>
      </c:catAx>
      <c:valAx>
        <c:axId val="37127232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71270784"/>
        <c:crosses val="autoZero"/>
        <c:crossBetween val="between"/>
      </c:valAx>
      <c:spPr>
        <a:solidFill>
          <a:srgbClr val="FFFFFF">
            <a:alpha val="100000"/>
          </a:srgbClr>
        </a:solidFill>
        <a:ln w="3175">
          <a:noFill/>
        </a:ln>
      </c:spPr>
    </c:plotArea>
    <c:plotVisOnly val="1"/>
    <c:dispBlanksAs val="gap"/>
    <c:showDLblsOverMax val="0"/>
  </c:chart>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29821143491084"/>
          <c:y val="0.0107962213225371"/>
          <c:w val="0.560996563573883"/>
          <c:h val="0.881241565452092"/>
        </c:manualLayout>
      </c:layout>
      <c:pieChart>
        <c:varyColors val="1"/>
        <c:ser>
          <c:idx val="0"/>
          <c:order val="0"/>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[部门公开表格制作图2.xls]Sheet1!$A$2:$A$4</c:f>
              <c:strCache>
                <c:ptCount val="3"/>
                <c:pt idx="0">
                  <c:v>一般公共预算财政拨款收入</c:v>
                </c:pt>
                <c:pt idx="1">
                  <c:v>其他收入</c:v>
                </c:pt>
                <c:pt idx="2">
                  <c:v>年初结转和结余</c:v>
                </c:pt>
              </c:strCache>
            </c:strRef>
          </c:cat>
          <c:val>
            <c:numRef>
              <c:f>[部门公开表格制作图2.xls]Sheet1!$B$2:$B$4</c:f>
              <c:numCache>
                <c:formatCode>General</c:formatCode>
                <c:ptCount val="3"/>
                <c:pt idx="0">
                  <c:v>1430.26</c:v>
                </c:pt>
                <c:pt idx="1">
                  <c:v>15</c:v>
                </c:pt>
                <c:pt idx="2">
                  <c:v>216.94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29821143491084"/>
          <c:y val="0.0107962213225371"/>
          <c:w val="0.560996563573883"/>
          <c:h val="0.881241565452092"/>
        </c:manualLayout>
      </c:layout>
      <c:pieChart>
        <c:varyColors val="1"/>
        <c:ser>
          <c:idx val="0"/>
          <c:order val="0"/>
          <c:explosion val="0"/>
          <c:dPt>
            <c:idx val="0"/>
            <c:bubble3D val="0"/>
          </c:dPt>
          <c:dPt>
            <c:idx val="1"/>
            <c:bubble3D val="0"/>
          </c:dPt>
          <c:dPt>
            <c:idx val="2"/>
            <c:bubble3D val="0"/>
          </c:dPt>
          <c:dPt>
            <c:idx val="3"/>
            <c:bubble3D val="0"/>
          </c:dPt>
          <c:dLbls>
            <c:delete val="1"/>
          </c:dLbls>
          <c:cat>
            <c:strRef>
              <c:f>[部门公开表格制作图3.xls]Sheet1!$A$4:$A$7</c:f>
              <c:strCache>
                <c:ptCount val="4"/>
                <c:pt idx="0">
                  <c:v>基本支出</c:v>
                </c:pt>
                <c:pt idx="1">
                  <c:v>项目支出</c:v>
                </c:pt>
              </c:strCache>
            </c:strRef>
          </c:cat>
          <c:val>
            <c:numRef>
              <c:f>[部门公开表格制作图3.xls]Sheet1!$B$4:$B$7</c:f>
              <c:numCache>
                <c:formatCode>General</c:formatCode>
                <c:ptCount val="4"/>
                <c:pt idx="0">
                  <c:v>701.58</c:v>
                </c:pt>
                <c:pt idx="1">
                  <c:v>911.88</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00416666666667"/>
          <c:y val="0.0243055555555556"/>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[部门公开表格制作图4.xls]Sheet1!$A$2</c:f>
              <c:strCache>
                <c:ptCount val="1"/>
                <c:pt idx="0">
                  <c:v>图4　财政拨款收、支决算总计变动情况</c:v>
                </c:pt>
              </c:strCache>
            </c:strRef>
          </c:tx>
          <c:invertIfNegative val="0"/>
          <c:dLbls>
            <c:delete val="1"/>
          </c:dLbls>
          <c:cat>
            <c:strRef>
              <c:f>[部门公开表格制作图4.xls]Sheet1!$B$1:$C$1</c:f>
              <c:strCache>
                <c:ptCount val="2"/>
                <c:pt idx="0">
                  <c:v>2020（万元）</c:v>
                </c:pt>
                <c:pt idx="1">
                  <c:v>2021（万元）</c:v>
                </c:pt>
              </c:strCache>
            </c:strRef>
          </c:cat>
          <c:val>
            <c:numRef>
              <c:f>[部门公开表格制作图4.xls]Sheet1!$B$2:$C$2</c:f>
              <c:numCache>
                <c:formatCode>General</c:formatCode>
                <c:ptCount val="2"/>
                <c:pt idx="0">
                  <c:v>1483.89</c:v>
                </c:pt>
                <c:pt idx="1">
                  <c:v>1445.26</c:v>
                </c:pt>
              </c:numCache>
            </c:numRef>
          </c:val>
        </c:ser>
        <c:dLbls>
          <c:showLegendKey val="0"/>
          <c:showVal val="0"/>
          <c:showCatName val="0"/>
          <c:showSerName val="0"/>
          <c:showPercent val="0"/>
          <c:showBubbleSize val="0"/>
        </c:dLbls>
        <c:gapWidth val="150"/>
        <c:overlap val="100"/>
        <c:axId val="371989888"/>
        <c:axId val="372008064"/>
      </c:barChart>
      <c:catAx>
        <c:axId val="37198988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72008064"/>
        <c:crosses val="autoZero"/>
        <c:auto val="1"/>
        <c:lblAlgn val="ctr"/>
        <c:lblOffset val="100"/>
        <c:noMultiLvlLbl val="0"/>
      </c:catAx>
      <c:valAx>
        <c:axId val="37200806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71989888"/>
        <c:crosses val="autoZero"/>
        <c:crossBetween val="between"/>
      </c:valAx>
      <c:spPr>
        <a:solidFill>
          <a:srgbClr val="FFFFFF">
            <a:alpha val="100000"/>
          </a:srgbClr>
        </a:solidFill>
        <a:ln w="3175">
          <a:noFill/>
        </a:ln>
      </c:spPr>
    </c:plotArea>
    <c:plotVisOnly val="1"/>
    <c:dispBlanksAs val="gap"/>
    <c:showDLblsOverMax val="0"/>
  </c:chart>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[部门公开表格制作图5.xls]Sheet1!$A$2</c:f>
              <c:strCache>
                <c:ptCount val="1"/>
                <c:pt idx="0">
                  <c:v>图5　一般公共预算财政拨款支出</c:v>
                </c:pt>
              </c:strCache>
            </c:strRef>
          </c:tx>
          <c:invertIfNegative val="0"/>
          <c:dLbls>
            <c:delete val="1"/>
          </c:dLbls>
          <c:cat>
            <c:strRef>
              <c:f>[部门公开表格制作图5.xls]Sheet1!$B$1:$C$1</c:f>
              <c:strCache>
                <c:ptCount val="2"/>
                <c:pt idx="0">
                  <c:v>2020年</c:v>
                </c:pt>
                <c:pt idx="1">
                  <c:v>2021年</c:v>
                </c:pt>
              </c:strCache>
            </c:strRef>
          </c:cat>
          <c:val>
            <c:numRef>
              <c:f>[部门公开表格制作图5.xls]Sheet1!$B$2:$C$2</c:f>
              <c:numCache>
                <c:formatCode>General</c:formatCode>
                <c:ptCount val="2"/>
                <c:pt idx="0">
                  <c:v>1356.25</c:v>
                </c:pt>
                <c:pt idx="1">
                  <c:v>1537.78</c:v>
                </c:pt>
              </c:numCache>
            </c:numRef>
          </c:val>
        </c:ser>
        <c:dLbls>
          <c:showLegendKey val="0"/>
          <c:showVal val="0"/>
          <c:showCatName val="0"/>
          <c:showSerName val="0"/>
          <c:showPercent val="0"/>
          <c:showBubbleSize val="0"/>
        </c:dLbls>
        <c:gapWidth val="150"/>
        <c:overlap val="100"/>
        <c:axId val="372019968"/>
        <c:axId val="372021504"/>
      </c:barChart>
      <c:catAx>
        <c:axId val="37201996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72021504"/>
        <c:crosses val="autoZero"/>
        <c:auto val="1"/>
        <c:lblAlgn val="ctr"/>
        <c:lblOffset val="100"/>
        <c:noMultiLvlLbl val="0"/>
      </c:catAx>
      <c:valAx>
        <c:axId val="37202150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72019968"/>
        <c:crosses val="autoZero"/>
        <c:crossBetween val="between"/>
      </c:valAx>
      <c:spPr>
        <a:solidFill>
          <a:srgbClr val="FFFFFF">
            <a:alpha val="100000"/>
          </a:srgbClr>
        </a:solidFill>
        <a:ln w="3175">
          <a:noFill/>
        </a:ln>
      </c:spPr>
    </c:plotArea>
    <c:plotVisOnly val="1"/>
    <c:dispBlanksAs val="gap"/>
    <c:showDLblsOverMax val="0"/>
  </c:chart>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Pt>
            <c:idx val="4"/>
            <c:bubble3D val="0"/>
          </c:dPt>
          <c:dPt>
            <c:idx val="5"/>
            <c:bubble3D val="0"/>
          </c:dPt>
          <c:dLbls>
            <c:delete val="1"/>
          </c:dLbls>
          <c:cat>
            <c:strRef>
              <c:f>[部门公开表格制作图6.xls]Sheet1!$A$3:$A$8</c:f>
              <c:strCache>
                <c:ptCount val="6"/>
                <c:pt idx="0">
                  <c:v>住房保障支出</c:v>
                </c:pt>
                <c:pt idx="1">
                  <c:v>卫生健康支出</c:v>
                </c:pt>
                <c:pt idx="2">
                  <c:v>社会保障与服务支出</c:v>
                </c:pt>
                <c:pt idx="3">
                  <c:v>文化旅游体育与传媒</c:v>
                </c:pt>
                <c:pt idx="4">
                  <c:v>教育支出</c:v>
                </c:pt>
                <c:pt idx="5">
                  <c:v>一般公共预算财政拨款支出</c:v>
                </c:pt>
              </c:strCache>
            </c:strRef>
          </c:cat>
          <c:val>
            <c:numRef>
              <c:f>[部门公开表格制作图6.xls]Sheet1!$B$3:$B$8</c:f>
              <c:numCache>
                <c:formatCode>General</c:formatCode>
                <c:ptCount val="6"/>
                <c:pt idx="0">
                  <c:v>38.2</c:v>
                </c:pt>
                <c:pt idx="1">
                  <c:v>28.95</c:v>
                </c:pt>
                <c:pt idx="2">
                  <c:v>54.51</c:v>
                </c:pt>
                <c:pt idx="3">
                  <c:v>141.35</c:v>
                </c:pt>
                <c:pt idx="4">
                  <c:v>0.3</c:v>
                </c:pt>
                <c:pt idx="5">
                  <c:v>1274.47</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Lbls>
            <c:delete val="1"/>
          </c:dLbls>
          <c:cat>
            <c:strRef>
              <c:f>[部门公开表格制作图7.xls]Sheet1!$A$3:$A$4</c:f>
              <c:strCache>
                <c:ptCount val="2"/>
                <c:pt idx="0">
                  <c:v>公务接待费支出</c:v>
                </c:pt>
                <c:pt idx="1">
                  <c:v>公务用车购置及运行维护费支出</c:v>
                </c:pt>
              </c:strCache>
            </c:strRef>
          </c:cat>
          <c:val>
            <c:numRef>
              <c:f>[部门公开表格制作图7.xls]Sheet1!$B$3:$B$4</c:f>
              <c:numCache>
                <c:formatCode>General</c:formatCode>
                <c:ptCount val="2"/>
                <c:pt idx="0">
                  <c:v>1.54</c:v>
                </c:pt>
                <c:pt idx="1">
                  <c:v>124.62</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7C118-F58F-4932-8A6A-E5E485730F86}">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30</Pages>
  <Words>10086</Words>
  <Characters>11066</Characters>
  <Lines>77</Lines>
  <Paragraphs>21</Paragraphs>
  <TotalTime>1</TotalTime>
  <ScaleCrop>false</ScaleCrop>
  <LinksUpToDate>false</LinksUpToDate>
  <CharactersWithSpaces>11662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L R W</cp:lastModifiedBy>
  <cp:lastPrinted>2022-10-04T10:17:00Z</cp:lastPrinted>
  <dcterms:modified xsi:type="dcterms:W3CDTF">2022-10-04T12:10:28Z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5B5BCA737B394F668410C3B33FE85197</vt:lpwstr>
  </property>
</Properties>
</file>