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w w:val="95"/>
          <w:sz w:val="72"/>
          <w:szCs w:val="72"/>
        </w:rPr>
      </w:pPr>
      <w:bookmarkStart w:id="1" w:name="_Toc15377193"/>
      <w:bookmarkStart w:id="2" w:name="_Toc15396475"/>
      <w:bookmarkStart w:id="3" w:name="_Toc15378441"/>
      <w:bookmarkStart w:id="4" w:name="_Toc15377425"/>
      <w:bookmarkStart w:id="5" w:name="_Toc15396597"/>
      <w:r>
        <w:rPr>
          <w:rFonts w:ascii="黑体" w:hAnsi="黑体" w:eastAsia="黑体"/>
          <w:w w:val="95"/>
          <w:sz w:val="72"/>
          <w:szCs w:val="72"/>
        </w:rPr>
        <w:t>2020</w:t>
      </w:r>
      <w:r>
        <w:rPr>
          <w:rFonts w:hint="eastAsia" w:ascii="黑体" w:hAnsi="黑体" w:eastAsia="黑体"/>
          <w:w w:val="95"/>
          <w:sz w:val="72"/>
          <w:szCs w:val="72"/>
        </w:rPr>
        <w:t>年度</w:t>
      </w:r>
      <w:bookmarkEnd w:id="1"/>
      <w:bookmarkEnd w:id="2"/>
      <w:bookmarkEnd w:id="3"/>
      <w:bookmarkEnd w:id="4"/>
      <w:bookmarkEnd w:id="5"/>
    </w:p>
    <w:p>
      <w:pPr>
        <w:jc w:val="center"/>
        <w:rPr>
          <w:rFonts w:ascii="方正小标宋简体" w:eastAsia="方正小标宋简体"/>
          <w:w w:val="95"/>
          <w:sz w:val="72"/>
          <w:szCs w:val="72"/>
        </w:rPr>
      </w:pPr>
      <w:bookmarkStart w:id="6" w:name="_Toc15396598"/>
      <w:bookmarkStart w:id="7" w:name="_Toc15378442"/>
      <w:bookmarkStart w:id="8" w:name="_Toc15377426"/>
      <w:bookmarkStart w:id="9" w:name="_Toc15377194"/>
      <w:bookmarkStart w:id="10" w:name="_Toc15396476"/>
      <w:r>
        <w:rPr>
          <w:rFonts w:hint="eastAsia" w:ascii="方正小标宋简体" w:eastAsia="方正小标宋简体"/>
          <w:w w:val="95"/>
          <w:sz w:val="72"/>
          <w:szCs w:val="72"/>
          <w:lang w:eastAsia="zh-CN"/>
        </w:rPr>
        <w:t>中共</w:t>
      </w:r>
      <w:r>
        <w:rPr>
          <w:rFonts w:hint="eastAsia" w:ascii="方正小标宋简体" w:eastAsia="方正小标宋简体"/>
          <w:w w:val="95"/>
          <w:sz w:val="72"/>
          <w:szCs w:val="72"/>
        </w:rPr>
        <w:t>四川省阿坝州</w:t>
      </w:r>
      <w:bookmarkEnd w:id="0"/>
      <w:bookmarkStart w:id="11" w:name="_Toc15306268"/>
      <w:r>
        <w:rPr>
          <w:rFonts w:hint="eastAsia" w:ascii="方正小标宋简体" w:eastAsia="方正小标宋简体"/>
          <w:w w:val="95"/>
          <w:sz w:val="72"/>
          <w:szCs w:val="72"/>
          <w:lang w:eastAsia="zh-CN"/>
        </w:rPr>
        <w:t>委宣传部</w:t>
      </w:r>
      <w:r>
        <w:rPr>
          <w:rFonts w:hint="eastAsia" w:ascii="方正小标宋简体" w:eastAsia="方正小标宋简体"/>
          <w:w w:val="95"/>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 xml:space="preserve">公开时间：2021年 </w:t>
      </w:r>
      <w:r>
        <w:rPr>
          <w:rFonts w:hAnsiTheme="minorHAnsi"/>
          <w:b w:val="0"/>
          <w:bCs w:val="0"/>
          <w:sz w:val="24"/>
          <w:szCs w:val="24"/>
        </w:rPr>
        <w:t>9</w:t>
      </w:r>
      <w:r>
        <w:rPr>
          <w:rFonts w:hint="eastAsia" w:hAnsiTheme="minorHAnsi"/>
          <w:b w:val="0"/>
          <w:bCs w:val="0"/>
          <w:sz w:val="24"/>
          <w:szCs w:val="24"/>
        </w:rPr>
        <w:t>月</w:t>
      </w:r>
      <w:r>
        <w:rPr>
          <w:rFonts w:hAnsiTheme="minorHAnsi"/>
          <w:b w:val="0"/>
          <w:bCs w:val="0"/>
          <w:sz w:val="24"/>
          <w:szCs w:val="24"/>
        </w:rPr>
        <w:t>2</w:t>
      </w:r>
      <w:r>
        <w:rPr>
          <w:rFonts w:hint="eastAsia" w:hAnsiTheme="minorHAnsi"/>
          <w:b w:val="0"/>
          <w:bCs w:val="0"/>
          <w:sz w:val="24"/>
          <w:szCs w:val="24"/>
          <w:lang w:val="en-US" w:eastAsia="zh-CN"/>
        </w:rPr>
        <w:t>7</w:t>
      </w:r>
      <w:r>
        <w:rPr>
          <w:rFonts w:hint="eastAsia" w:hAnsiTheme="minorHAnsi"/>
          <w:b w:val="0"/>
          <w:bCs w:val="0"/>
          <w:sz w:val="24"/>
          <w:szCs w:val="24"/>
        </w:rPr>
        <w:t xml:space="preserve"> 日</w:t>
      </w:r>
    </w:p>
    <w:p>
      <w:pPr>
        <w:pStyle w:val="14"/>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_Toc10049 \h </w:instrText>
      </w:r>
      <w:r>
        <w:fldChar w:fldCharType="separate"/>
      </w:r>
      <w:r>
        <w:t>4</w:t>
      </w:r>
      <w:r>
        <w:fldChar w:fldCharType="end"/>
      </w:r>
    </w:p>
    <w:p>
      <w:pPr>
        <w:pStyle w:val="17"/>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_Toc7741 \h </w:instrText>
      </w:r>
      <w:r>
        <w:fldChar w:fldCharType="separate"/>
      </w:r>
      <w:r>
        <w:t>4</w:t>
      </w:r>
      <w:r>
        <w:fldChar w:fldCharType="end"/>
      </w:r>
    </w:p>
    <w:p>
      <w:pPr>
        <w:pStyle w:val="9"/>
        <w:tabs>
          <w:tab w:val="right" w:leader="dot" w:pos="8306"/>
        </w:tabs>
      </w:pPr>
      <w:r>
        <w:rPr>
          <w:rFonts w:hint="eastAsia" w:ascii="仿宋" w:hAnsi="仿宋" w:eastAsia="仿宋"/>
          <w:bCs/>
          <w:color w:val="000000"/>
          <w:szCs w:val="32"/>
        </w:rPr>
        <w:t>（一）主要职能。</w:t>
      </w:r>
      <w:r>
        <w:tab/>
      </w:r>
      <w:r>
        <w:fldChar w:fldCharType="begin"/>
      </w:r>
      <w:r>
        <w:instrText xml:space="preserve"> PAGEREF _Toc14078 \h </w:instrText>
      </w:r>
      <w:r>
        <w:fldChar w:fldCharType="separate"/>
      </w:r>
      <w:r>
        <w:t>4</w:t>
      </w:r>
      <w:r>
        <w:fldChar w:fldCharType="end"/>
      </w:r>
    </w:p>
    <w:p>
      <w:pPr>
        <w:pStyle w:val="9"/>
        <w:tabs>
          <w:tab w:val="right" w:leader="dot" w:pos="8306"/>
        </w:tabs>
      </w:pPr>
      <w:r>
        <w:rPr>
          <w:rFonts w:hint="eastAsia" w:ascii="仿宋" w:hAnsi="仿宋" w:eastAsia="仿宋"/>
          <w:bCs/>
          <w:color w:val="000000"/>
          <w:szCs w:val="32"/>
        </w:rPr>
        <w:t>（二）</w:t>
      </w:r>
      <w:r>
        <w:rPr>
          <w:rFonts w:ascii="仿宋" w:hAnsi="仿宋" w:eastAsia="仿宋"/>
          <w:bCs/>
          <w:color w:val="000000"/>
          <w:szCs w:val="32"/>
        </w:rPr>
        <w:t>2020</w:t>
      </w:r>
      <w:r>
        <w:rPr>
          <w:rFonts w:hint="eastAsia" w:ascii="仿宋" w:hAnsi="仿宋" w:eastAsia="仿宋"/>
          <w:bCs/>
          <w:color w:val="000000"/>
          <w:szCs w:val="32"/>
        </w:rPr>
        <w:t>年重点工作完成情况。</w:t>
      </w:r>
      <w:r>
        <w:tab/>
      </w:r>
      <w:r>
        <w:fldChar w:fldCharType="begin"/>
      </w:r>
      <w:r>
        <w:instrText xml:space="preserve"> PAGEREF _Toc25358 \h </w:instrText>
      </w:r>
      <w:r>
        <w:fldChar w:fldCharType="separate"/>
      </w:r>
      <w:r>
        <w:t>4</w:t>
      </w:r>
      <w:r>
        <w:fldChar w:fldCharType="end"/>
      </w:r>
    </w:p>
    <w:p>
      <w:pPr>
        <w:pStyle w:val="17"/>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_Toc28059 \h </w:instrText>
      </w:r>
      <w:r>
        <w:fldChar w:fldCharType="separate"/>
      </w:r>
      <w:r>
        <w:t>5</w:t>
      </w:r>
      <w:r>
        <w:fldChar w:fldCharType="end"/>
      </w:r>
    </w:p>
    <w:p>
      <w:pPr>
        <w:pStyle w:val="14"/>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2020</w:t>
      </w:r>
      <w:r>
        <w:rPr>
          <w:rFonts w:hint="eastAsia" w:ascii="黑体" w:hAnsi="黑体" w:eastAsia="黑体"/>
          <w:bCs w:val="0"/>
        </w:rPr>
        <w:t>年度部门决算情况说明</w:t>
      </w:r>
      <w:r>
        <w:tab/>
      </w:r>
      <w:r>
        <w:fldChar w:fldCharType="begin"/>
      </w:r>
      <w:r>
        <w:instrText xml:space="preserve"> PAGEREF _Toc3241 \h </w:instrText>
      </w:r>
      <w:r>
        <w:fldChar w:fldCharType="separate"/>
      </w:r>
      <w:r>
        <w:t>6</w:t>
      </w:r>
      <w:r>
        <w:fldChar w:fldCharType="end"/>
      </w:r>
    </w:p>
    <w:p>
      <w:pPr>
        <w:pStyle w:val="17"/>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_Toc29324 \h </w:instrText>
      </w:r>
      <w:r>
        <w:fldChar w:fldCharType="separate"/>
      </w:r>
      <w:r>
        <w:t>6</w:t>
      </w:r>
      <w:r>
        <w:fldChar w:fldCharType="end"/>
      </w:r>
    </w:p>
    <w:p>
      <w:pPr>
        <w:pStyle w:val="17"/>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_Toc14890 \h </w:instrText>
      </w:r>
      <w:r>
        <w:fldChar w:fldCharType="separate"/>
      </w:r>
      <w:r>
        <w:t>6</w:t>
      </w:r>
      <w:r>
        <w:fldChar w:fldCharType="end"/>
      </w:r>
    </w:p>
    <w:p>
      <w:pPr>
        <w:pStyle w:val="17"/>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_Toc28718 \h </w:instrText>
      </w:r>
      <w:r>
        <w:fldChar w:fldCharType="separate"/>
      </w:r>
      <w:r>
        <w:t>7</w:t>
      </w:r>
      <w:r>
        <w:fldChar w:fldCharType="end"/>
      </w:r>
    </w:p>
    <w:p>
      <w:pPr>
        <w:pStyle w:val="17"/>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_Toc32125 \h </w:instrText>
      </w:r>
      <w:r>
        <w:fldChar w:fldCharType="separate"/>
      </w:r>
      <w:r>
        <w:t>7</w:t>
      </w:r>
      <w:r>
        <w:fldChar w:fldCharType="end"/>
      </w:r>
    </w:p>
    <w:p>
      <w:pPr>
        <w:pStyle w:val="17"/>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_Toc1458 \h </w:instrText>
      </w:r>
      <w:r>
        <w:fldChar w:fldCharType="separate"/>
      </w:r>
      <w:r>
        <w:t>7</w:t>
      </w:r>
      <w:r>
        <w:fldChar w:fldCharType="end"/>
      </w:r>
    </w:p>
    <w:p>
      <w:pPr>
        <w:pStyle w:val="9"/>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_Toc25114 \h </w:instrText>
      </w:r>
      <w:r>
        <w:fldChar w:fldCharType="separate"/>
      </w:r>
      <w:r>
        <w:t>7</w:t>
      </w:r>
      <w:r>
        <w:fldChar w:fldCharType="end"/>
      </w:r>
    </w:p>
    <w:p>
      <w:pPr>
        <w:pStyle w:val="9"/>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_Toc7546 \h </w:instrText>
      </w:r>
      <w:r>
        <w:fldChar w:fldCharType="separate"/>
      </w:r>
      <w:r>
        <w:t>8</w:t>
      </w:r>
      <w:r>
        <w:fldChar w:fldCharType="end"/>
      </w:r>
    </w:p>
    <w:p>
      <w:pPr>
        <w:pStyle w:val="9"/>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_Toc10884 \h </w:instrText>
      </w:r>
      <w:r>
        <w:fldChar w:fldCharType="separate"/>
      </w:r>
      <w:r>
        <w:t>9</w:t>
      </w:r>
      <w:r>
        <w:fldChar w:fldCharType="end"/>
      </w:r>
    </w:p>
    <w:p>
      <w:pPr>
        <w:pStyle w:val="17"/>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_Toc29465 \h </w:instrText>
      </w:r>
      <w:r>
        <w:fldChar w:fldCharType="separate"/>
      </w:r>
      <w:r>
        <w:t>10</w:t>
      </w:r>
      <w:r>
        <w:fldChar w:fldCharType="end"/>
      </w:r>
    </w:p>
    <w:p>
      <w:pPr>
        <w:pStyle w:val="17"/>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_Toc689 \h </w:instrText>
      </w:r>
      <w:r>
        <w:fldChar w:fldCharType="separate"/>
      </w:r>
      <w:r>
        <w:t>11</w:t>
      </w:r>
      <w:r>
        <w:fldChar w:fldCharType="end"/>
      </w:r>
    </w:p>
    <w:p>
      <w:pPr>
        <w:pStyle w:val="9"/>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_Toc11927 \h </w:instrText>
      </w:r>
      <w:r>
        <w:fldChar w:fldCharType="separate"/>
      </w:r>
      <w:r>
        <w:t>11</w:t>
      </w:r>
      <w:r>
        <w:fldChar w:fldCharType="end"/>
      </w:r>
    </w:p>
    <w:p>
      <w:pPr>
        <w:pStyle w:val="9"/>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_Toc5833 \h </w:instrText>
      </w:r>
      <w:r>
        <w:fldChar w:fldCharType="separate"/>
      </w:r>
      <w:r>
        <w:t>11</w:t>
      </w:r>
      <w:r>
        <w:fldChar w:fldCharType="end"/>
      </w:r>
    </w:p>
    <w:p>
      <w:pPr>
        <w:pStyle w:val="17"/>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_Toc26290 \h </w:instrText>
      </w:r>
      <w:r>
        <w:fldChar w:fldCharType="separate"/>
      </w:r>
      <w:r>
        <w:t>13</w:t>
      </w:r>
      <w:r>
        <w:fldChar w:fldCharType="end"/>
      </w:r>
    </w:p>
    <w:p>
      <w:pPr>
        <w:pStyle w:val="17"/>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_Toc14568 \h </w:instrText>
      </w:r>
      <w:r>
        <w:fldChar w:fldCharType="separate"/>
      </w:r>
      <w:r>
        <w:t>13</w:t>
      </w:r>
      <w:r>
        <w:fldChar w:fldCharType="end"/>
      </w:r>
    </w:p>
    <w:p>
      <w:pPr>
        <w:pStyle w:val="17"/>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_Toc10790 \h </w:instrText>
      </w:r>
      <w:r>
        <w:fldChar w:fldCharType="separate"/>
      </w:r>
      <w:r>
        <w:t>13</w:t>
      </w:r>
      <w:r>
        <w:fldChar w:fldCharType="end"/>
      </w:r>
    </w:p>
    <w:p>
      <w:pPr>
        <w:pStyle w:val="9"/>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_Toc21944 \h </w:instrText>
      </w:r>
      <w:r>
        <w:fldChar w:fldCharType="separate"/>
      </w:r>
      <w:r>
        <w:t>13</w:t>
      </w:r>
      <w:r>
        <w:fldChar w:fldCharType="end"/>
      </w:r>
    </w:p>
    <w:p>
      <w:pPr>
        <w:pStyle w:val="9"/>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_Toc28748 \h </w:instrText>
      </w:r>
      <w:r>
        <w:fldChar w:fldCharType="separate"/>
      </w:r>
      <w:r>
        <w:t>14</w:t>
      </w:r>
      <w:r>
        <w:fldChar w:fldCharType="end"/>
      </w:r>
    </w:p>
    <w:p>
      <w:pPr>
        <w:pStyle w:val="9"/>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_Toc14118 \h </w:instrText>
      </w:r>
      <w:r>
        <w:fldChar w:fldCharType="separate"/>
      </w:r>
      <w:r>
        <w:t>14</w:t>
      </w:r>
      <w:r>
        <w:fldChar w:fldCharType="end"/>
      </w:r>
    </w:p>
    <w:p>
      <w:pPr>
        <w:pStyle w:val="9"/>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_Toc5001 \h </w:instrText>
      </w:r>
      <w:r>
        <w:fldChar w:fldCharType="separate"/>
      </w:r>
      <w:r>
        <w:t>14</w:t>
      </w:r>
      <w:r>
        <w:fldChar w:fldCharType="end"/>
      </w:r>
    </w:p>
    <w:p>
      <w:pPr>
        <w:pStyle w:val="14"/>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_Toc19841 \h </w:instrText>
      </w:r>
      <w:r>
        <w:fldChar w:fldCharType="separate"/>
      </w:r>
      <w:r>
        <w:t>22</w:t>
      </w:r>
      <w:r>
        <w:fldChar w:fldCharType="end"/>
      </w:r>
    </w:p>
    <w:p>
      <w:pPr>
        <w:pStyle w:val="14"/>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_Toc19558 \h </w:instrText>
      </w:r>
      <w:r>
        <w:fldChar w:fldCharType="separate"/>
      </w:r>
      <w:r>
        <w:t>26</w:t>
      </w:r>
      <w:r>
        <w:fldChar w:fldCharType="end"/>
      </w:r>
    </w:p>
    <w:p>
      <w:pPr>
        <w:pStyle w:val="14"/>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_Toc15038 \h </w:instrText>
      </w:r>
      <w:r>
        <w:fldChar w:fldCharType="separate"/>
      </w:r>
      <w:r>
        <w:t>26</w:t>
      </w:r>
      <w:r>
        <w:fldChar w:fldCharType="end"/>
      </w:r>
    </w:p>
    <w:p>
      <w:pPr>
        <w:pStyle w:val="14"/>
        <w:tabs>
          <w:tab w:val="right" w:leader="dot" w:pos="8306"/>
        </w:tabs>
      </w:pPr>
      <w:r>
        <w:rPr>
          <w:rFonts w:hint="eastAsia" w:ascii="方正小标宋简体" w:hAnsi="黑体" w:eastAsia="方正小标宋简体" w:cs="黑体"/>
          <w:szCs w:val="44"/>
          <w:lang w:eastAsia="zh-CN"/>
        </w:rPr>
        <w:t>中共四川省阿坝州委宣传部</w:t>
      </w:r>
      <w:r>
        <w:rPr>
          <w:rFonts w:ascii="方正小标宋简体" w:hAnsi="黑体" w:eastAsia="方正小标宋简体" w:cs="黑体"/>
          <w:szCs w:val="44"/>
        </w:rPr>
        <w:t>2020</w:t>
      </w:r>
      <w:r>
        <w:rPr>
          <w:rFonts w:hint="eastAsia" w:ascii="方正小标宋简体" w:hAnsi="黑体" w:eastAsia="方正小标宋简体" w:cs="黑体"/>
          <w:szCs w:val="44"/>
        </w:rPr>
        <w:t>年部门</w:t>
      </w:r>
      <w:r>
        <w:tab/>
      </w:r>
      <w:r>
        <w:fldChar w:fldCharType="begin"/>
      </w:r>
      <w:r>
        <w:instrText xml:space="preserve"> PAGEREF _Toc6735 \h </w:instrText>
      </w:r>
      <w:r>
        <w:fldChar w:fldCharType="separate"/>
      </w:r>
      <w:r>
        <w:t>26</w:t>
      </w:r>
      <w:r>
        <w:fldChar w:fldCharType="end"/>
      </w:r>
    </w:p>
    <w:p>
      <w:pPr>
        <w:pStyle w:val="14"/>
        <w:tabs>
          <w:tab w:val="right" w:leader="dot" w:pos="8306"/>
        </w:tabs>
      </w:pPr>
      <w:r>
        <w:rPr>
          <w:rFonts w:hint="eastAsia" w:ascii="方正小标宋简体" w:hAnsi="黑体" w:eastAsia="方正小标宋简体" w:cs="黑体"/>
          <w:szCs w:val="44"/>
        </w:rPr>
        <w:t>整体支出绩效评价报告</w:t>
      </w:r>
      <w:r>
        <w:tab/>
      </w:r>
      <w:r>
        <w:fldChar w:fldCharType="begin"/>
      </w:r>
      <w:r>
        <w:instrText xml:space="preserve"> PAGEREF _Toc30909 \h </w:instrText>
      </w:r>
      <w:r>
        <w:fldChar w:fldCharType="separate"/>
      </w:r>
      <w:r>
        <w:t>26</w:t>
      </w:r>
      <w:r>
        <w:fldChar w:fldCharType="end"/>
      </w:r>
    </w:p>
    <w:p>
      <w:pPr>
        <w:pStyle w:val="14"/>
        <w:tabs>
          <w:tab w:val="right" w:leader="dot" w:pos="8306"/>
        </w:tabs>
      </w:pPr>
      <w:r>
        <w:rPr>
          <w:rFonts w:hint="eastAsia" w:ascii="黑体" w:hAnsi="黑体" w:eastAsia="黑体" w:cs="黑体"/>
          <w:szCs w:val="32"/>
        </w:rPr>
        <w:t>附件</w:t>
      </w:r>
      <w:r>
        <w:rPr>
          <w:rFonts w:ascii="黑体" w:hAnsi="黑体" w:eastAsia="黑体" w:cs="黑体"/>
          <w:szCs w:val="32"/>
        </w:rPr>
        <w:t>2</w:t>
      </w:r>
      <w:r>
        <w:tab/>
      </w:r>
      <w:r>
        <w:fldChar w:fldCharType="begin"/>
      </w:r>
      <w:r>
        <w:instrText xml:space="preserve"> PAGEREF _Toc12097 \h </w:instrText>
      </w:r>
      <w:r>
        <w:fldChar w:fldCharType="separate"/>
      </w:r>
      <w:r>
        <w:t>37</w:t>
      </w:r>
      <w:r>
        <w:fldChar w:fldCharType="end"/>
      </w:r>
    </w:p>
    <w:p>
      <w:pPr>
        <w:pStyle w:val="14"/>
        <w:tabs>
          <w:tab w:val="right" w:leader="dot" w:pos="8306"/>
        </w:tabs>
      </w:pPr>
      <w:r>
        <w:rPr>
          <w:rFonts w:hint="eastAsia" w:ascii="方正小标宋简体" w:hAnsi="黑体" w:eastAsia="方正小标宋简体" w:cs="黑体"/>
          <w:szCs w:val="44"/>
          <w:lang w:eastAsia="zh-CN"/>
        </w:rPr>
        <w:t>中共四川省阿坝州委宣传部</w:t>
      </w:r>
      <w:r>
        <w:tab/>
      </w:r>
      <w:r>
        <w:fldChar w:fldCharType="begin"/>
      </w:r>
      <w:r>
        <w:instrText xml:space="preserve"> PAGEREF _Toc31417 \h </w:instrText>
      </w:r>
      <w:r>
        <w:fldChar w:fldCharType="separate"/>
      </w:r>
      <w:r>
        <w:t>37</w:t>
      </w:r>
      <w:r>
        <w:fldChar w:fldCharType="end"/>
      </w:r>
    </w:p>
    <w:p>
      <w:pPr>
        <w:pStyle w:val="14"/>
        <w:tabs>
          <w:tab w:val="right" w:leader="dot" w:pos="8306"/>
        </w:tabs>
      </w:pPr>
      <w:r>
        <w:rPr>
          <w:rFonts w:hint="eastAsia" w:ascii="方正小标宋简体" w:hAnsi="黑体" w:eastAsia="方正小标宋简体" w:cs="黑体"/>
          <w:szCs w:val="44"/>
        </w:rPr>
        <w:t>2020年</w:t>
      </w:r>
      <w:r>
        <w:rPr>
          <w:rFonts w:hint="eastAsia" w:ascii="方正小标宋简体" w:hAnsi="黑体" w:eastAsia="方正小标宋简体" w:cs="黑体"/>
          <w:szCs w:val="44"/>
          <w:lang w:eastAsia="zh-CN"/>
        </w:rPr>
        <w:t>预算项目</w:t>
      </w:r>
      <w:r>
        <w:rPr>
          <w:rFonts w:hint="eastAsia" w:ascii="方正小标宋简体" w:hAnsi="黑体" w:eastAsia="方正小标宋简体" w:cs="黑体"/>
          <w:szCs w:val="44"/>
        </w:rPr>
        <w:t>绩效评价报告</w:t>
      </w:r>
      <w:r>
        <w:tab/>
      </w:r>
      <w:r>
        <w:fldChar w:fldCharType="begin"/>
      </w:r>
      <w:r>
        <w:instrText xml:space="preserve"> PAGEREF _Toc24050 \h </w:instrText>
      </w:r>
      <w:r>
        <w:fldChar w:fldCharType="separate"/>
      </w:r>
      <w:r>
        <w:t>37</w:t>
      </w:r>
      <w:r>
        <w:fldChar w:fldCharType="end"/>
      </w:r>
    </w:p>
    <w:p>
      <w:pPr>
        <w:pStyle w:val="14"/>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_Toc27476 \h </w:instrText>
      </w:r>
      <w:r>
        <w:fldChar w:fldCharType="separate"/>
      </w:r>
      <w:r>
        <w:t>46</w:t>
      </w:r>
      <w:r>
        <w:fldChar w:fldCharType="end"/>
      </w:r>
    </w:p>
    <w:p>
      <w:pPr>
        <w:pStyle w:val="17"/>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_Toc17978 \h </w:instrText>
      </w:r>
      <w:r>
        <w:fldChar w:fldCharType="separate"/>
      </w:r>
      <w:r>
        <w:t>46</w:t>
      </w:r>
      <w:r>
        <w:fldChar w:fldCharType="end"/>
      </w:r>
      <w:bookmarkStart w:id="167" w:name="_GoBack"/>
      <w:bookmarkEnd w:id="167"/>
    </w:p>
    <w:p>
      <w:pPr>
        <w:pStyle w:val="17"/>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_Toc29655 \h </w:instrText>
      </w:r>
      <w:r>
        <w:fldChar w:fldCharType="separate"/>
      </w:r>
      <w:r>
        <w:t>46</w:t>
      </w:r>
      <w:r>
        <w:fldChar w:fldCharType="end"/>
      </w:r>
    </w:p>
    <w:p>
      <w:pPr>
        <w:pStyle w:val="17"/>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_Toc6597 \h </w:instrText>
      </w:r>
      <w:r>
        <w:fldChar w:fldCharType="separate"/>
      </w:r>
      <w:r>
        <w:t>46</w:t>
      </w:r>
      <w:r>
        <w:fldChar w:fldCharType="end"/>
      </w:r>
    </w:p>
    <w:p>
      <w:pPr>
        <w:pStyle w:val="17"/>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_Toc7838 \h </w:instrText>
      </w:r>
      <w:r>
        <w:fldChar w:fldCharType="separate"/>
      </w:r>
      <w:r>
        <w:t>46</w:t>
      </w:r>
      <w:r>
        <w:fldChar w:fldCharType="end"/>
      </w:r>
    </w:p>
    <w:p>
      <w:pPr>
        <w:pStyle w:val="17"/>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_Toc25431 \h </w:instrText>
      </w:r>
      <w:r>
        <w:fldChar w:fldCharType="separate"/>
      </w:r>
      <w:r>
        <w:t>46</w:t>
      </w:r>
      <w:r>
        <w:fldChar w:fldCharType="end"/>
      </w:r>
    </w:p>
    <w:p>
      <w:pPr>
        <w:pStyle w:val="17"/>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_Toc13776 \h </w:instrText>
      </w:r>
      <w:r>
        <w:fldChar w:fldCharType="separate"/>
      </w:r>
      <w:r>
        <w:t>46</w:t>
      </w:r>
      <w:r>
        <w:fldChar w:fldCharType="end"/>
      </w:r>
    </w:p>
    <w:p>
      <w:pPr>
        <w:pStyle w:val="17"/>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_Toc19752 \h </w:instrText>
      </w:r>
      <w:r>
        <w:fldChar w:fldCharType="separate"/>
      </w:r>
      <w:r>
        <w:t>46</w:t>
      </w:r>
      <w:r>
        <w:fldChar w:fldCharType="end"/>
      </w:r>
    </w:p>
    <w:p>
      <w:pPr>
        <w:pStyle w:val="17"/>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_Toc18632 \h </w:instrText>
      </w:r>
      <w:r>
        <w:fldChar w:fldCharType="separate"/>
      </w:r>
      <w:r>
        <w:t>46</w:t>
      </w:r>
      <w:r>
        <w:fldChar w:fldCharType="end"/>
      </w:r>
    </w:p>
    <w:p>
      <w:pPr>
        <w:pStyle w:val="17"/>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_Toc1824 \h </w:instrText>
      </w:r>
      <w:r>
        <w:fldChar w:fldCharType="separate"/>
      </w:r>
      <w:r>
        <w:t>46</w:t>
      </w:r>
      <w:r>
        <w:fldChar w:fldCharType="end"/>
      </w:r>
    </w:p>
    <w:p>
      <w:pPr>
        <w:pStyle w:val="17"/>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_Toc5599 \h </w:instrText>
      </w:r>
      <w:r>
        <w:fldChar w:fldCharType="separate"/>
      </w:r>
      <w:r>
        <w:t>46</w:t>
      </w:r>
      <w:r>
        <w:fldChar w:fldCharType="end"/>
      </w:r>
    </w:p>
    <w:p>
      <w:pPr>
        <w:pStyle w:val="17"/>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_Toc13310 \h </w:instrText>
      </w:r>
      <w:r>
        <w:fldChar w:fldCharType="separate"/>
      </w:r>
      <w:r>
        <w:t>46</w:t>
      </w:r>
      <w:r>
        <w:fldChar w:fldCharType="end"/>
      </w:r>
    </w:p>
    <w:p>
      <w:pPr>
        <w:pStyle w:val="17"/>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_Toc17274 \h </w:instrText>
      </w:r>
      <w:r>
        <w:fldChar w:fldCharType="separate"/>
      </w:r>
      <w:r>
        <w:t>46</w:t>
      </w:r>
      <w:r>
        <w:fldChar w:fldCharType="end"/>
      </w:r>
    </w:p>
    <w:p>
      <w:pPr>
        <w:pStyle w:val="17"/>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_Toc15536 \h </w:instrText>
      </w:r>
      <w:r>
        <w:fldChar w:fldCharType="separate"/>
      </w:r>
      <w:r>
        <w:t>46</w:t>
      </w:r>
      <w:r>
        <w:fldChar w:fldCharType="end"/>
      </w:r>
    </w:p>
    <w:p>
      <w:pPr>
        <w:pStyle w:val="17"/>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_Toc27265 \h </w:instrText>
      </w:r>
      <w:r>
        <w:fldChar w:fldCharType="separate"/>
      </w:r>
      <w:r>
        <w:t>46</w:t>
      </w:r>
      <w:r>
        <w:fldChar w:fldCharType="end"/>
      </w:r>
    </w:p>
    <w:p>
      <w:r>
        <w:rPr>
          <w:rFonts w:asciiTheme="minorHAnsi" w:eastAsiaTheme="minorHAnsi"/>
          <w:bCs/>
          <w:caps/>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5"/>
          <w:rFonts w:ascii="黑体" w:hAnsi="黑体" w:eastAsia="黑体"/>
          <w:b/>
          <w:bCs w:val="0"/>
        </w:rPr>
      </w:pPr>
      <w:bookmarkStart w:id="14" w:name="_Toc79163601"/>
      <w:bookmarkStart w:id="15" w:name="_Toc10049"/>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pStyle w:val="4"/>
        <w:pageBreakBefore w:val="0"/>
        <w:widowControl w:val="0"/>
        <w:kinsoku/>
        <w:wordWrap/>
        <w:overflowPunct/>
        <w:topLinePunct w:val="0"/>
        <w:bidi w:val="0"/>
        <w:spacing w:before="0" w:after="0" w:line="576" w:lineRule="exact"/>
        <w:jc w:val="left"/>
        <w:textAlignment w:val="auto"/>
        <w:rPr>
          <w:rStyle w:val="26"/>
          <w:rFonts w:ascii="仿宋" w:hAnsi="仿宋" w:eastAsia="仿宋"/>
          <w:b w:val="0"/>
          <w:bCs w:val="0"/>
        </w:rPr>
      </w:pPr>
      <w:bookmarkStart w:id="16" w:name="_Toc79163602"/>
      <w:bookmarkStart w:id="17" w:name="_Toc15396600"/>
      <w:bookmarkStart w:id="18" w:name="_Toc15377197"/>
      <w:bookmarkStart w:id="19" w:name="_Toc7741"/>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2"/>
        <w:pageBreakBefore w:val="0"/>
        <w:widowControl w:val="0"/>
        <w:kinsoku/>
        <w:wordWrap/>
        <w:overflowPunct/>
        <w:topLinePunct w:val="0"/>
        <w:bidi w:val="0"/>
        <w:adjustRightInd w:val="0"/>
        <w:snapToGrid w:val="0"/>
        <w:spacing w:beforeLines="0" w:line="576" w:lineRule="exact"/>
        <w:ind w:firstLine="672" w:firstLineChars="210"/>
        <w:jc w:val="left"/>
        <w:textAlignment w:val="auto"/>
        <w:outlineLvl w:val="2"/>
        <w:rPr>
          <w:rFonts w:ascii="仿宋" w:hAnsi="仿宋" w:eastAsia="仿宋"/>
          <w:bCs/>
          <w:color w:val="000000"/>
          <w:sz w:val="32"/>
          <w:szCs w:val="32"/>
        </w:rPr>
      </w:pPr>
      <w:bookmarkStart w:id="20" w:name="_Toc79163603"/>
      <w:bookmarkStart w:id="21" w:name="_Toc14078"/>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ageBreakBefore w:val="0"/>
        <w:widowControl w:val="0"/>
        <w:kinsoku/>
        <w:wordWrap/>
        <w:overflowPunct/>
        <w:topLinePunct w:val="0"/>
        <w:bidi w:val="0"/>
        <w:spacing w:line="576" w:lineRule="exact"/>
        <w:ind w:left="0" w:firstLine="748" w:firstLineChars="234"/>
        <w:jc w:val="left"/>
        <w:textAlignment w:val="auto"/>
        <w:rPr>
          <w:rFonts w:hint="eastAsia" w:ascii="方正仿宋_GBK" w:hAnsi="方正仿宋_GBK" w:eastAsia="方正仿宋_GBK" w:cs="方正仿宋_GBK"/>
          <w:color w:val="000000"/>
          <w:kern w:val="0"/>
          <w:sz w:val="32"/>
          <w:szCs w:val="32"/>
        </w:rPr>
      </w:pPr>
      <w:bookmarkStart w:id="24" w:name="_Toc15378446"/>
      <w:bookmarkStart w:id="25" w:name="_Toc15377199"/>
      <w:bookmarkStart w:id="26" w:name="_Toc79163604"/>
      <w:r>
        <w:rPr>
          <w:rFonts w:hint="eastAsia" w:ascii="方正仿宋_GBK" w:hAnsi="方正仿宋_GBK" w:eastAsia="方正仿宋_GBK" w:cs="方正仿宋_GBK"/>
          <w:kern w:val="0"/>
          <w:sz w:val="32"/>
          <w:szCs w:val="32"/>
        </w:rPr>
        <w:t>中共</w:t>
      </w:r>
      <w:r>
        <w:rPr>
          <w:rFonts w:hint="eastAsia" w:ascii="方正仿宋_GBK" w:hAnsi="方正仿宋_GBK" w:eastAsia="方正仿宋_GBK" w:cs="方正仿宋_GBK"/>
          <w:kern w:val="0"/>
          <w:sz w:val="32"/>
          <w:szCs w:val="32"/>
          <w:lang w:eastAsia="zh-CN"/>
        </w:rPr>
        <w:t>四川省</w:t>
      </w:r>
      <w:r>
        <w:rPr>
          <w:rFonts w:hint="eastAsia" w:ascii="方正仿宋_GBK" w:hAnsi="方正仿宋_GBK" w:eastAsia="方正仿宋_GBK" w:cs="方正仿宋_GBK"/>
          <w:kern w:val="0"/>
          <w:sz w:val="32"/>
          <w:szCs w:val="32"/>
        </w:rPr>
        <w:t>阿坝州委宣传部是州委主管意识形态方面工作的综合职能部门。</w:t>
      </w:r>
      <w:r>
        <w:rPr>
          <w:rFonts w:hint="eastAsia" w:ascii="方正仿宋_GBK" w:hAnsi="方正仿宋_GBK" w:eastAsia="方正仿宋_GBK" w:cs="方正仿宋_GBK"/>
          <w:color w:val="000000"/>
          <w:kern w:val="0"/>
          <w:sz w:val="32"/>
          <w:szCs w:val="32"/>
        </w:rPr>
        <w:t>负责全州理论教育、理论研究、理论宣传和理论队伍建设等方面的业务指导工作；州委中心组学习、调查研究全州宣传思想工作的方针、政策和法规建设、编写党员教育教材、全州文化艺术事业进行宏观指导和协调方面、全州新闻舆论导向和新闻队伍建设、新闻系列职称评定、文明办、全州性精神文明的组织协调和联络工作；研究拟定我州重大问题和突发事件的对外宣传；负责外宣工作综合报告、重要文件的起草工作。</w:t>
      </w:r>
    </w:p>
    <w:p>
      <w:pPr>
        <w:pStyle w:val="2"/>
        <w:pageBreakBefore w:val="0"/>
        <w:widowControl w:val="0"/>
        <w:kinsoku/>
        <w:wordWrap/>
        <w:overflowPunct/>
        <w:topLinePunct w:val="0"/>
        <w:bidi w:val="0"/>
        <w:adjustRightInd w:val="0"/>
        <w:snapToGrid w:val="0"/>
        <w:spacing w:beforeLines="0" w:line="576" w:lineRule="exact"/>
        <w:ind w:firstLine="672" w:firstLineChars="210"/>
        <w:jc w:val="left"/>
        <w:textAlignment w:val="auto"/>
        <w:outlineLvl w:val="2"/>
        <w:rPr>
          <w:rFonts w:hint="eastAsia" w:ascii="仿宋" w:hAnsi="仿宋" w:eastAsia="仿宋"/>
          <w:bCs/>
          <w:color w:val="000000"/>
          <w:sz w:val="32"/>
          <w:szCs w:val="32"/>
        </w:rPr>
      </w:pPr>
      <w:bookmarkStart w:id="27" w:name="_Toc25358"/>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pStyle w:val="24"/>
        <w:pageBreakBefore w:val="0"/>
        <w:widowControl w:val="0"/>
        <w:kinsoku/>
        <w:wordWrap/>
        <w:overflowPunct/>
        <w:topLinePunct w:val="0"/>
        <w:bidi w:val="0"/>
        <w:adjustRightInd w:val="0"/>
        <w:spacing w:line="576" w:lineRule="exact"/>
        <w:ind w:left="0" w:firstLine="640" w:firstLineChars="200"/>
        <w:jc w:val="left"/>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在全省率先开展市（州）媒体融合，组建阿坝新闻传媒中心，推动县级融媒体中心规范高效运行，成功举办全国首个地市级抗疫纪实展，在中央、省级媒体开设“熊猫家园 净土阿坝”专题专栏，开展“九寨沟开园”“全域旅游抖音打卡挑战赛”等网宣活动，全方位展示阿坝经济社会发展成就。</w:t>
      </w:r>
    </w:p>
    <w:p>
      <w:pPr>
        <w:pStyle w:val="24"/>
        <w:pageBreakBefore w:val="0"/>
        <w:widowControl w:val="0"/>
        <w:kinsoku/>
        <w:wordWrap/>
        <w:overflowPunct/>
        <w:topLinePunct w:val="0"/>
        <w:bidi w:val="0"/>
        <w:adjustRightInd w:val="0"/>
        <w:spacing w:line="576" w:lineRule="exact"/>
        <w:ind w:left="0" w:firstLine="640" w:firstLineChars="200"/>
        <w:jc w:val="left"/>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国家级羌族文化生态保护试验区创建为全国第一批保护区，国家级公共文化示范项目——藏羌戏曲进校园为全省民族地区唯一入选项目；编制完成《阿坝州全域旅游发展规划》《阿坝州长征国家文化公园规划》，大力开展红原雅克音乐季、茂县瓦尔俄足节等特色文化活动；创编音乐剧《牦牛革命》，制作全球唯一巨幅唐卡《大熊猫百图唐卡长卷》，建设4个阿来书屋，电视剧《阿坝一家人》被国家广电总局纳入脱贫攻坚重点剧目，电影《红色土司》获温哥华国际电影节红枫叶奖等三项大奖。以“13个1”模式推进汶川、金川县全国新时代文明实践中心试点建设和阿坝、小金县州级试点建设，持续深化“孝善和俭”道德传扬活动，1户家庭荣获全国抗疫“最美家庭”称号、2人荣获全国抗疫“先进个人”，马尔康等6个县（市）成功创建省级文明城市。</w:t>
      </w:r>
    </w:p>
    <w:p>
      <w:pPr>
        <w:pStyle w:val="4"/>
        <w:pageBreakBefore w:val="0"/>
        <w:widowControl w:val="0"/>
        <w:kinsoku/>
        <w:wordWrap/>
        <w:overflowPunct/>
        <w:topLinePunct w:val="0"/>
        <w:bidi w:val="0"/>
        <w:spacing w:before="0" w:after="0" w:line="576" w:lineRule="exact"/>
        <w:ind w:firstLine="640" w:firstLineChars="200"/>
        <w:jc w:val="left"/>
        <w:textAlignment w:val="auto"/>
        <w:rPr>
          <w:rStyle w:val="26"/>
          <w:b w:val="0"/>
          <w:bCs w:val="0"/>
        </w:rPr>
      </w:pPr>
      <w:bookmarkStart w:id="28" w:name="_Toc79163605"/>
      <w:bookmarkStart w:id="29" w:name="_Toc28059"/>
      <w:bookmarkStart w:id="30" w:name="_Toc15396601"/>
      <w:bookmarkStart w:id="3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pStyle w:val="2"/>
        <w:pageBreakBefore w:val="0"/>
        <w:widowControl w:val="0"/>
        <w:kinsoku/>
        <w:wordWrap/>
        <w:overflowPunct/>
        <w:topLinePunct w:val="0"/>
        <w:bidi w:val="0"/>
        <w:snapToGrid/>
        <w:spacing w:beforeLines="0" w:beforeAutospacing="0" w:afterAutospacing="0" w:line="576" w:lineRule="exact"/>
        <w:ind w:firstLine="640" w:firstLineChars="200"/>
        <w:jc w:val="left"/>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中共四川阿坝州委宣传部属一级预算单位，下属二级单位5个：阿坝州委讲师团，阿坝州新闻中心，阿坝州电影公司、阿坝州电视台、阿坝州新华书店。其中：行政单位1个，参照公务员法管理的事业单位1个：阿坝州委讲师团经费单列，其他事业单位4个：阿坝州新闻中心，阿坝州电影公司、阿坝州电视台、阿坝州新华书店。部门内设科室</w:t>
      </w:r>
      <w:r>
        <w:rPr>
          <w:rFonts w:hint="eastAsia" w:hAnsi="仿宋_GB2312" w:cs="仿宋_GB2312"/>
          <w:kern w:val="2"/>
          <w:sz w:val="32"/>
          <w:szCs w:val="32"/>
          <w:lang w:val="en-US" w:eastAsia="zh-CN"/>
        </w:rPr>
        <w:t>10</w:t>
      </w:r>
      <w:r>
        <w:rPr>
          <w:rFonts w:hint="eastAsia" w:ascii="仿宋_GB2312" w:hAnsi="仿宋_GB2312" w:eastAsia="仿宋_GB2312" w:cs="仿宋_GB2312"/>
          <w:kern w:val="2"/>
          <w:sz w:val="32"/>
          <w:szCs w:val="32"/>
        </w:rPr>
        <w:t>个。</w:t>
      </w:r>
    </w:p>
    <w:p>
      <w:pPr>
        <w:pageBreakBefore w:val="0"/>
        <w:widowControl w:val="0"/>
        <w:kinsoku/>
        <w:wordWrap/>
        <w:overflowPunct/>
        <w:topLinePunct w:val="0"/>
        <w:autoSpaceDE w:val="0"/>
        <w:autoSpaceDN w:val="0"/>
        <w:bidi w:val="0"/>
        <w:adjustRightInd w:val="0"/>
        <w:snapToGrid/>
        <w:spacing w:line="576" w:lineRule="exact"/>
        <w:ind w:firstLine="672"/>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纳入</w:t>
      </w:r>
      <w:r>
        <w:rPr>
          <w:rFonts w:hint="eastAsia" w:ascii="仿宋_GB2312" w:hAnsi="仿宋_GB2312" w:eastAsia="仿宋_GB2312" w:cs="仿宋_GB2312"/>
          <w:color w:val="000000"/>
          <w:kern w:val="2"/>
          <w:sz w:val="32"/>
          <w:szCs w:val="32"/>
        </w:rPr>
        <w:t>中共四川省阿坝州委宣传部（本级）</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年度部门决算编制范围的二级预算单位：无。</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5"/>
          <w:rFonts w:ascii="黑体" w:hAnsi="黑体" w:eastAsia="黑体"/>
          <w:b w:val="0"/>
          <w:bCs w:val="0"/>
        </w:rPr>
      </w:pPr>
      <w:bookmarkStart w:id="32" w:name="_Toc15396602"/>
      <w:bookmarkStart w:id="33" w:name="_Toc15377204"/>
      <w:bookmarkStart w:id="34" w:name="_Toc3241"/>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32"/>
      <w:bookmarkEnd w:id="33"/>
      <w:bookmarkEnd w:id="34"/>
      <w:bookmarkEnd w:id="35"/>
    </w:p>
    <w:p>
      <w:pPr>
        <w:pStyle w:val="36"/>
        <w:numPr>
          <w:ilvl w:val="0"/>
          <w:numId w:val="1"/>
        </w:numPr>
        <w:spacing w:line="600" w:lineRule="exact"/>
        <w:ind w:firstLineChars="0"/>
        <w:outlineLvl w:val="1"/>
        <w:rPr>
          <w:rStyle w:val="26"/>
          <w:rFonts w:ascii="黑体" w:hAnsi="黑体" w:eastAsia="黑体"/>
          <w:b w:val="0"/>
        </w:rPr>
      </w:pPr>
      <w:bookmarkStart w:id="36" w:name="_Toc29324"/>
      <w:bookmarkStart w:id="37" w:name="_Toc15377205"/>
      <w:bookmarkStart w:id="38" w:name="_Toc79163610"/>
      <w:bookmarkStart w:id="39"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1595.02</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96.42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6.43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上级下达专款增加。</w:t>
      </w:r>
    </w:p>
    <w:p>
      <w:pPr>
        <w:pStyle w:val="24"/>
        <w:rPr>
          <w:rFonts w:hint="eastAsia" w:ascii="仿宋" w:hAnsi="仿宋" w:eastAsia="仿宋"/>
          <w:color w:val="000000"/>
          <w:sz w:val="32"/>
          <w:szCs w:val="32"/>
          <w:lang w:eastAsia="zh-CN"/>
        </w:rPr>
      </w:pPr>
      <w:r>
        <w:drawing>
          <wp:anchor distT="0" distB="0" distL="114300" distR="114300" simplePos="0" relativeHeight="251660288" behindDoc="0" locked="0" layoutInCell="1" allowOverlap="1">
            <wp:simplePos x="0" y="0"/>
            <wp:positionH relativeFrom="column">
              <wp:posOffset>424815</wp:posOffset>
            </wp:positionH>
            <wp:positionV relativeFrom="paragraph">
              <wp:posOffset>19050</wp:posOffset>
            </wp:positionV>
            <wp:extent cx="3869055" cy="1591310"/>
            <wp:effectExtent l="4445" t="5080" r="12700" b="22860"/>
            <wp:wrapSquare wrapText="bothSides"/>
            <wp:docPr id="104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4"/>
        <w:rPr>
          <w:rFonts w:hint="eastAsia" w:ascii="仿宋" w:hAnsi="仿宋" w:eastAsia="仿宋"/>
          <w:color w:val="000000"/>
          <w:sz w:val="32"/>
          <w:szCs w:val="32"/>
          <w:lang w:eastAsia="zh-CN"/>
        </w:rPr>
      </w:pPr>
    </w:p>
    <w:p>
      <w:pPr>
        <w:pStyle w:val="24"/>
        <w:rPr>
          <w:rFonts w:hint="eastAsia" w:ascii="仿宋" w:hAnsi="仿宋" w:eastAsia="仿宋"/>
          <w:color w:val="000000"/>
          <w:sz w:val="32"/>
          <w:szCs w:val="32"/>
          <w:lang w:eastAsia="zh-CN"/>
        </w:rPr>
      </w:pPr>
    </w:p>
    <w:p>
      <w:pPr>
        <w:pStyle w:val="24"/>
        <w:rPr>
          <w:rFonts w:hint="eastAsia" w:ascii="仿宋" w:hAnsi="仿宋" w:eastAsia="仿宋"/>
          <w:color w:val="000000"/>
          <w:sz w:val="32"/>
          <w:szCs w:val="32"/>
          <w:lang w:eastAsia="zh-CN"/>
        </w:rPr>
      </w:pPr>
    </w:p>
    <w:p>
      <w:pPr>
        <w:pStyle w:val="36"/>
        <w:numPr>
          <w:ilvl w:val="0"/>
          <w:numId w:val="1"/>
        </w:numPr>
        <w:spacing w:line="600" w:lineRule="exact"/>
        <w:ind w:firstLineChars="0"/>
        <w:outlineLvl w:val="1"/>
        <w:rPr>
          <w:rStyle w:val="26"/>
          <w:rFonts w:ascii="黑体" w:hAnsi="黑体" w:eastAsia="黑体"/>
          <w:b w:val="0"/>
        </w:rPr>
      </w:pPr>
      <w:bookmarkStart w:id="40" w:name="_Toc79163611"/>
      <w:bookmarkStart w:id="41" w:name="_Toc15377206"/>
      <w:bookmarkStart w:id="42" w:name="_Toc15396604"/>
      <w:bookmarkStart w:id="43" w:name="_Toc14890"/>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1132.24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1100.53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97.2</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15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1.32</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16.71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1.48</w:t>
      </w:r>
      <w:r>
        <w:rPr>
          <w:rFonts w:ascii="仿宋" w:hAnsi="仿宋" w:eastAsia="仿宋"/>
          <w:color w:val="000000"/>
          <w:sz w:val="32"/>
          <w:szCs w:val="32"/>
        </w:rPr>
        <w:t>%</w:t>
      </w:r>
      <w:r>
        <w:rPr>
          <w:rFonts w:hint="eastAsia" w:ascii="仿宋" w:hAnsi="仿宋" w:eastAsia="仿宋"/>
          <w:color w:val="000000"/>
          <w:sz w:val="32"/>
          <w:szCs w:val="32"/>
        </w:rPr>
        <w:t>。</w:t>
      </w:r>
    </w:p>
    <w:p>
      <w:pPr>
        <w:pStyle w:val="24"/>
        <w:rPr>
          <w:rFonts w:ascii="仿宋_GB2312" w:eastAsia="仿宋_GB2312"/>
          <w:color w:val="FF0000"/>
          <w:sz w:val="32"/>
          <w:szCs w:val="32"/>
        </w:rPr>
      </w:pPr>
      <w:r>
        <w:drawing>
          <wp:inline distT="0" distB="0" distL="114300" distR="114300">
            <wp:extent cx="4871085" cy="1368425"/>
            <wp:effectExtent l="4445" t="4445" r="20320" b="17780"/>
            <wp:docPr id="105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6"/>
        <w:numPr>
          <w:ilvl w:val="0"/>
          <w:numId w:val="1"/>
        </w:numPr>
        <w:spacing w:line="600" w:lineRule="exact"/>
        <w:ind w:firstLineChars="0"/>
        <w:outlineLvl w:val="1"/>
        <w:rPr>
          <w:rStyle w:val="26"/>
          <w:rFonts w:ascii="黑体" w:hAnsi="黑体" w:eastAsia="黑体"/>
          <w:b w:val="0"/>
        </w:rPr>
      </w:pPr>
      <w:bookmarkStart w:id="44" w:name="_Toc15377207"/>
      <w:bookmarkStart w:id="45" w:name="_Toc79163612"/>
      <w:bookmarkStart w:id="46" w:name="_Toc28718"/>
      <w:bookmarkStart w:id="47"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1362.36</w:t>
      </w:r>
      <w:r>
        <w:rPr>
          <w:rFonts w:hint="eastAsia" w:ascii="仿宋_GB2312" w:eastAsia="仿宋_GB2312"/>
          <w:sz w:val="32"/>
          <w:szCs w:val="32"/>
        </w:rPr>
        <w:t>万元，其中：基本支出</w:t>
      </w:r>
      <w:r>
        <w:rPr>
          <w:rFonts w:hint="eastAsia" w:ascii="仿宋_GB2312" w:eastAsia="仿宋_GB2312"/>
          <w:sz w:val="32"/>
          <w:szCs w:val="32"/>
          <w:lang w:val="en-US" w:eastAsia="zh-CN"/>
        </w:rPr>
        <w:t>669.99</w:t>
      </w:r>
      <w:r>
        <w:rPr>
          <w:rFonts w:hint="eastAsia" w:ascii="仿宋_GB2312" w:eastAsia="仿宋_GB2312"/>
          <w:sz w:val="32"/>
          <w:szCs w:val="32"/>
        </w:rPr>
        <w:t>万元，占</w:t>
      </w:r>
      <w:r>
        <w:rPr>
          <w:rFonts w:hint="eastAsia" w:ascii="仿宋_GB2312" w:eastAsia="仿宋_GB2312"/>
          <w:sz w:val="32"/>
          <w:szCs w:val="32"/>
          <w:lang w:val="en-US" w:eastAsia="zh-CN"/>
        </w:rPr>
        <w:t>49.18</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692.37</w:t>
      </w:r>
      <w:r>
        <w:rPr>
          <w:rFonts w:hint="eastAsia" w:ascii="仿宋_GB2312" w:eastAsia="仿宋_GB2312"/>
          <w:sz w:val="32"/>
          <w:szCs w:val="32"/>
        </w:rPr>
        <w:t>万元，占</w:t>
      </w:r>
      <w:r>
        <w:rPr>
          <w:rFonts w:hint="eastAsia" w:ascii="仿宋_GB2312" w:eastAsia="仿宋_GB2312"/>
          <w:sz w:val="32"/>
          <w:szCs w:val="32"/>
          <w:lang w:val="en-US" w:eastAsia="zh-CN"/>
        </w:rPr>
        <w:t>50.82</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pStyle w:val="24"/>
        <w:rPr>
          <w:rFonts w:ascii="仿宋" w:hAnsi="仿宋" w:eastAsia="仿宋"/>
          <w:color w:val="000000"/>
          <w:sz w:val="32"/>
          <w:szCs w:val="32"/>
          <w:shd w:val="pct10" w:color="auto" w:fill="FFFFFF"/>
        </w:rPr>
      </w:pPr>
      <w:r>
        <w:drawing>
          <wp:inline distT="0" distB="0" distL="114300" distR="114300">
            <wp:extent cx="3946525" cy="1276985"/>
            <wp:effectExtent l="4445" t="4445" r="11430" b="13970"/>
            <wp:docPr id="107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6"/>
          <w:rFonts w:ascii="黑体" w:hAnsi="黑体" w:eastAsia="黑体"/>
          <w:b w:val="0"/>
        </w:rPr>
      </w:pPr>
      <w:bookmarkStart w:id="48" w:name="_Toc32125"/>
      <w:bookmarkStart w:id="49" w:name="_Toc79163613"/>
      <w:bookmarkStart w:id="50" w:name="_Toc15396606"/>
      <w:bookmarkStart w:id="5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1483.89</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109.71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7.98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开展净土阿坝系列活动、孝善和俭、阿坝形象片等相关活动增加。</w:t>
      </w:r>
    </w:p>
    <w:p>
      <w:pPr>
        <w:pStyle w:val="24"/>
        <w:rPr>
          <w:rFonts w:ascii="仿宋" w:hAnsi="仿宋" w:eastAsia="仿宋"/>
          <w:color w:val="000000"/>
          <w:sz w:val="32"/>
          <w:szCs w:val="32"/>
        </w:rPr>
      </w:pPr>
      <w:r>
        <w:drawing>
          <wp:inline distT="0" distB="0" distL="114300" distR="114300">
            <wp:extent cx="4572000" cy="1875155"/>
            <wp:effectExtent l="4445" t="4445" r="14605" b="6350"/>
            <wp:docPr id="1069"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outlineLvl w:val="1"/>
        <w:rPr>
          <w:rStyle w:val="26"/>
          <w:rFonts w:ascii="黑体" w:hAnsi="黑体" w:eastAsia="黑体"/>
          <w:b w:val="0"/>
        </w:rPr>
      </w:pPr>
      <w:bookmarkStart w:id="52" w:name="_Toc15396607"/>
      <w:bookmarkStart w:id="53" w:name="_Toc15377209"/>
      <w:bookmarkStart w:id="54" w:name="_Toc1458"/>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15377210"/>
      <w:bookmarkStart w:id="58" w:name="_Toc25114"/>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1356.25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91.39</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12.32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政府采购分期跨年付款。</w:t>
      </w:r>
    </w:p>
    <w:p>
      <w:pPr>
        <w:pStyle w:val="24"/>
        <w:rPr>
          <w:rFonts w:ascii="仿宋" w:hAnsi="仿宋" w:eastAsia="仿宋"/>
          <w:color w:val="000000"/>
          <w:sz w:val="32"/>
          <w:szCs w:val="32"/>
        </w:rPr>
      </w:pPr>
      <w:r>
        <w:drawing>
          <wp:inline distT="0" distB="0" distL="114300" distR="114300">
            <wp:extent cx="4572000" cy="1823085"/>
            <wp:effectExtent l="4445" t="4445" r="14605" b="20320"/>
            <wp:docPr id="1075"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546"/>
      <w:r>
        <w:rPr>
          <w:rFonts w:hint="eastAsia" w:ascii="仿宋" w:hAnsi="仿宋" w:eastAsia="仿宋"/>
          <w:b/>
          <w:color w:val="000000"/>
          <w:sz w:val="32"/>
          <w:szCs w:val="32"/>
        </w:rPr>
        <w:t>（二）一般公共预算财政拨款支出决算结构情况</w:t>
      </w:r>
      <w:bookmarkEnd w:id="59"/>
      <w:bookmarkEnd w:id="60"/>
      <w:bookmarkEnd w:id="61"/>
    </w:p>
    <w:p>
      <w:pPr>
        <w:widowControl/>
        <w:spacing w:line="576" w:lineRule="exact"/>
        <w:ind w:firstLine="640" w:firstLineChars="200"/>
        <w:jc w:val="both"/>
        <w:rPr>
          <w:rFonts w:hint="default" w:ascii="仿宋" w:hAnsi="仿宋" w:eastAsia="仿宋" w:cs="Times New Roman"/>
          <w:color w:val="000000"/>
          <w:sz w:val="32"/>
          <w:szCs w:val="32"/>
          <w:lang w:val="en-US"/>
        </w:rPr>
      </w:pPr>
      <w:r>
        <w:rPr>
          <w:rFonts w:ascii="仿宋" w:hAnsi="仿宋" w:eastAsia="仿宋"/>
          <w:color w:val="000000"/>
          <w:sz w:val="32"/>
          <w:szCs w:val="32"/>
        </w:rPr>
        <w:t>2020</w:t>
      </w:r>
      <w:r>
        <w:rPr>
          <w:rFonts w:hint="eastAsia" w:ascii="仿宋" w:hAnsi="仿宋" w:eastAsia="仿宋"/>
          <w:color w:val="000000"/>
          <w:sz w:val="32"/>
          <w:szCs w:val="32"/>
        </w:rPr>
        <w:t>年一般</w:t>
      </w:r>
      <w:r>
        <w:rPr>
          <w:rFonts w:hint="eastAsia" w:ascii="仿宋" w:hAnsi="仿宋" w:eastAsia="仿宋" w:cs="Times New Roman"/>
          <w:color w:val="000000"/>
          <w:sz w:val="32"/>
          <w:szCs w:val="32"/>
        </w:rPr>
        <w:t>公共预算财政拨款支出</w:t>
      </w:r>
      <w:r>
        <w:rPr>
          <w:rFonts w:hint="eastAsia" w:ascii="仿宋" w:hAnsi="仿宋" w:eastAsia="仿宋" w:cs="Times New Roman"/>
          <w:color w:val="000000"/>
          <w:sz w:val="32"/>
          <w:szCs w:val="32"/>
          <w:lang w:val="en-US" w:eastAsia="zh-CN"/>
        </w:rPr>
        <w:t>1356.25</w:t>
      </w:r>
      <w:r>
        <w:rPr>
          <w:rFonts w:hint="eastAsia" w:ascii="仿宋" w:hAnsi="仿宋" w:eastAsia="仿宋" w:cs="Times New Roman"/>
          <w:color w:val="000000"/>
          <w:sz w:val="32"/>
          <w:szCs w:val="32"/>
        </w:rPr>
        <w:t>万元，主要用于以下方面</w:t>
      </w:r>
      <w:r>
        <w:rPr>
          <w:rFonts w:ascii="仿宋" w:hAnsi="仿宋" w:eastAsia="仿宋" w:cs="Times New Roman"/>
          <w:color w:val="000000"/>
          <w:sz w:val="32"/>
          <w:szCs w:val="32"/>
        </w:rPr>
        <w:t>:</w:t>
      </w:r>
      <w:r>
        <w:rPr>
          <w:rFonts w:hint="eastAsia" w:ascii="仿宋" w:hAnsi="仿宋" w:eastAsia="仿宋" w:cs="Times New Roman"/>
          <w:color w:val="000000"/>
          <w:sz w:val="32"/>
          <w:szCs w:val="32"/>
        </w:rPr>
        <w:t>一般公共服务</w:t>
      </w:r>
      <w:r>
        <w:rPr>
          <w:rFonts w:hint="eastAsia" w:ascii="仿宋" w:hAnsi="仿宋" w:eastAsia="仿宋" w:cs="Times New Roman"/>
          <w:color w:val="000000"/>
          <w:sz w:val="32"/>
          <w:szCs w:val="32"/>
          <w:lang w:val="en-US" w:eastAsia="zh-CN"/>
        </w:rPr>
        <w:t>201</w:t>
      </w:r>
      <w:r>
        <w:rPr>
          <w:rFonts w:hint="eastAsia" w:ascii="仿宋" w:hAnsi="仿宋" w:eastAsia="仿宋" w:cs="Times New Roman"/>
          <w:color w:val="000000"/>
          <w:sz w:val="32"/>
          <w:szCs w:val="32"/>
        </w:rPr>
        <w:t>（类）支出</w:t>
      </w:r>
      <w:r>
        <w:rPr>
          <w:rFonts w:hint="eastAsia" w:ascii="仿宋" w:hAnsi="仿宋" w:eastAsia="仿宋" w:cs="Times New Roman"/>
          <w:color w:val="000000"/>
          <w:sz w:val="32"/>
          <w:szCs w:val="32"/>
          <w:lang w:val="en-US" w:eastAsia="zh-CN"/>
        </w:rPr>
        <w:t>914.69</w:t>
      </w:r>
      <w:r>
        <w:rPr>
          <w:rFonts w:hint="eastAsia" w:ascii="仿宋" w:hAnsi="仿宋" w:eastAsia="仿宋" w:cs="Times New Roman"/>
          <w:color w:val="000000"/>
          <w:sz w:val="32"/>
          <w:szCs w:val="32"/>
        </w:rPr>
        <w:t>万元，占</w:t>
      </w:r>
      <w:r>
        <w:rPr>
          <w:rFonts w:hint="eastAsia" w:ascii="仿宋" w:hAnsi="仿宋" w:eastAsia="仿宋" w:cs="Times New Roman"/>
          <w:color w:val="000000"/>
          <w:sz w:val="32"/>
          <w:szCs w:val="32"/>
          <w:lang w:val="en-US" w:eastAsia="zh-CN"/>
        </w:rPr>
        <w:t>67.44</w:t>
      </w:r>
      <w:r>
        <w:rPr>
          <w:rFonts w:ascii="仿宋" w:hAnsi="仿宋" w:eastAsia="仿宋" w:cs="Times New Roman"/>
          <w:color w:val="000000"/>
          <w:sz w:val="32"/>
          <w:szCs w:val="32"/>
        </w:rPr>
        <w:t>%</w:t>
      </w:r>
      <w:r>
        <w:rPr>
          <w:rFonts w:hint="eastAsia" w:ascii="仿宋" w:hAnsi="仿宋" w:eastAsia="仿宋" w:cs="Times New Roman"/>
          <w:color w:val="000000"/>
          <w:sz w:val="32"/>
          <w:szCs w:val="32"/>
        </w:rPr>
        <w:t>；外交支出（类）0.00万元，占0.00%，国防支出（类）0.00万元，占0.00%；公共安全支出（类）0.00万元，占0.00%；教育支出（类）</w:t>
      </w:r>
      <w:r>
        <w:rPr>
          <w:rFonts w:hint="eastAsia" w:ascii="仿宋" w:hAnsi="仿宋" w:eastAsia="仿宋" w:cs="Times New Roman"/>
          <w:color w:val="000000"/>
          <w:sz w:val="32"/>
          <w:szCs w:val="32"/>
          <w:lang w:val="en-US" w:eastAsia="zh-CN"/>
        </w:rPr>
        <w:t>0</w:t>
      </w:r>
      <w:r>
        <w:rPr>
          <w:rFonts w:hint="eastAsia" w:ascii="仿宋" w:hAnsi="仿宋" w:eastAsia="仿宋" w:cs="Times New Roman"/>
          <w:color w:val="000000"/>
          <w:sz w:val="32"/>
          <w:szCs w:val="32"/>
        </w:rPr>
        <w:t>万元，占</w:t>
      </w:r>
      <w:r>
        <w:rPr>
          <w:rFonts w:hint="eastAsia" w:ascii="仿宋" w:hAnsi="仿宋" w:eastAsia="仿宋" w:cs="Times New Roman"/>
          <w:color w:val="000000"/>
          <w:sz w:val="32"/>
          <w:szCs w:val="32"/>
          <w:lang w:val="en-US" w:eastAsia="zh-CN"/>
        </w:rPr>
        <w:t>0</w:t>
      </w:r>
      <w:r>
        <w:rPr>
          <w:rFonts w:ascii="仿宋" w:hAnsi="仿宋" w:eastAsia="仿宋" w:cs="Times New Roman"/>
          <w:color w:val="000000"/>
          <w:sz w:val="32"/>
          <w:szCs w:val="32"/>
        </w:rPr>
        <w:t>%</w:t>
      </w:r>
      <w:r>
        <w:rPr>
          <w:rFonts w:hint="eastAsia" w:ascii="仿宋" w:hAnsi="仿宋" w:eastAsia="仿宋" w:cs="Times New Roman"/>
          <w:color w:val="000000"/>
          <w:sz w:val="32"/>
          <w:szCs w:val="32"/>
        </w:rPr>
        <w:t>；科学技术（类）支出</w:t>
      </w:r>
      <w:r>
        <w:rPr>
          <w:rFonts w:hint="eastAsia" w:ascii="仿宋" w:hAnsi="仿宋" w:eastAsia="仿宋" w:cs="Times New Roman"/>
          <w:color w:val="000000"/>
          <w:sz w:val="32"/>
          <w:szCs w:val="32"/>
          <w:lang w:val="en-US" w:eastAsia="zh-CN"/>
        </w:rPr>
        <w:t>0</w:t>
      </w:r>
      <w:r>
        <w:rPr>
          <w:rFonts w:hint="eastAsia" w:ascii="仿宋" w:hAnsi="仿宋" w:eastAsia="仿宋" w:cs="Times New Roman"/>
          <w:color w:val="000000"/>
          <w:sz w:val="32"/>
          <w:szCs w:val="32"/>
        </w:rPr>
        <w:t>万元，占</w:t>
      </w:r>
      <w:r>
        <w:rPr>
          <w:rFonts w:hint="eastAsia" w:ascii="仿宋" w:hAnsi="仿宋" w:eastAsia="仿宋" w:cs="Times New Roman"/>
          <w:color w:val="000000"/>
          <w:sz w:val="32"/>
          <w:szCs w:val="32"/>
          <w:lang w:val="en-US" w:eastAsia="zh-CN"/>
        </w:rPr>
        <w:t>0</w:t>
      </w:r>
      <w:r>
        <w:rPr>
          <w:rFonts w:ascii="仿宋" w:hAnsi="仿宋" w:eastAsia="仿宋" w:cs="Times New Roman"/>
          <w:color w:val="000000"/>
          <w:sz w:val="32"/>
          <w:szCs w:val="32"/>
        </w:rPr>
        <w:t>%</w:t>
      </w:r>
      <w:r>
        <w:rPr>
          <w:rFonts w:hint="eastAsia" w:ascii="仿宋" w:hAnsi="仿宋" w:eastAsia="仿宋" w:cs="Times New Roman"/>
          <w:color w:val="000000"/>
          <w:sz w:val="32"/>
          <w:szCs w:val="32"/>
        </w:rPr>
        <w:t>；节能环保支出（类）0.00万元，占0.00%；城乡社区支出（类）0.00万元，占0.00%；农林水支出（类）0.00万元，占0.00%；交通运输支出（类）0.00万元，占0.00%；资源勘探信息等支出（类）0.00万元，占0.00%；商业服务业等支出（类）0.00万元，占0.00%；金融支出（类）0.00万元，占0.00%；援助其他地区支出（类）0.00万元，占0.00%；自然资源海洋气象等支出（类）0.00万元，占0.00%；文化旅游体育与传媒</w:t>
      </w:r>
      <w:r>
        <w:rPr>
          <w:rFonts w:hint="eastAsia" w:ascii="仿宋" w:hAnsi="仿宋" w:eastAsia="仿宋" w:cs="Times New Roman"/>
          <w:color w:val="000000"/>
          <w:sz w:val="32"/>
          <w:szCs w:val="32"/>
          <w:lang w:val="en-US" w:eastAsia="zh-CN"/>
        </w:rPr>
        <w:t>207</w:t>
      </w:r>
      <w:r>
        <w:rPr>
          <w:rFonts w:hint="eastAsia" w:ascii="仿宋" w:hAnsi="仿宋" w:eastAsia="仿宋" w:cs="Times New Roman"/>
          <w:color w:val="000000"/>
          <w:sz w:val="32"/>
          <w:szCs w:val="32"/>
        </w:rPr>
        <w:t>（类）支出</w:t>
      </w:r>
      <w:r>
        <w:rPr>
          <w:rFonts w:hint="eastAsia" w:ascii="仿宋" w:hAnsi="仿宋" w:eastAsia="仿宋" w:cs="Times New Roman"/>
          <w:color w:val="000000"/>
          <w:sz w:val="32"/>
          <w:szCs w:val="32"/>
          <w:lang w:val="en-US" w:eastAsia="zh-CN"/>
        </w:rPr>
        <w:t>316.2</w:t>
      </w:r>
      <w:r>
        <w:rPr>
          <w:rFonts w:hint="eastAsia" w:ascii="仿宋" w:hAnsi="仿宋" w:eastAsia="仿宋" w:cs="Times New Roman"/>
          <w:color w:val="000000"/>
          <w:sz w:val="32"/>
          <w:szCs w:val="32"/>
        </w:rPr>
        <w:t>万元，占</w:t>
      </w:r>
      <w:r>
        <w:rPr>
          <w:rFonts w:hint="eastAsia" w:ascii="仿宋" w:hAnsi="仿宋" w:eastAsia="仿宋" w:cs="Times New Roman"/>
          <w:color w:val="000000"/>
          <w:sz w:val="32"/>
          <w:szCs w:val="32"/>
          <w:lang w:val="en-US" w:eastAsia="zh-CN"/>
        </w:rPr>
        <w:t>23.31</w:t>
      </w:r>
      <w:r>
        <w:rPr>
          <w:rFonts w:ascii="仿宋" w:hAnsi="仿宋" w:eastAsia="仿宋" w:cs="Times New Roman"/>
          <w:color w:val="000000"/>
          <w:sz w:val="32"/>
          <w:szCs w:val="32"/>
        </w:rPr>
        <w:t>%</w:t>
      </w:r>
      <w:r>
        <w:rPr>
          <w:rFonts w:hint="eastAsia" w:ascii="仿宋" w:hAnsi="仿宋" w:eastAsia="仿宋" w:cs="Times New Roman"/>
          <w:color w:val="000000"/>
          <w:sz w:val="32"/>
          <w:szCs w:val="32"/>
        </w:rPr>
        <w:t>；社会保障和就业</w:t>
      </w:r>
      <w:r>
        <w:rPr>
          <w:rFonts w:hint="eastAsia" w:ascii="仿宋" w:hAnsi="仿宋" w:eastAsia="仿宋" w:cs="Times New Roman"/>
          <w:color w:val="000000"/>
          <w:sz w:val="32"/>
          <w:szCs w:val="32"/>
          <w:lang w:val="en-US" w:eastAsia="zh-CN"/>
        </w:rPr>
        <w:t>208</w:t>
      </w:r>
      <w:r>
        <w:rPr>
          <w:rFonts w:hint="eastAsia" w:ascii="仿宋" w:hAnsi="仿宋" w:eastAsia="仿宋" w:cs="Times New Roman"/>
          <w:color w:val="000000"/>
          <w:sz w:val="32"/>
          <w:szCs w:val="32"/>
        </w:rPr>
        <w:t>（类）支出</w:t>
      </w:r>
      <w:r>
        <w:rPr>
          <w:rFonts w:hint="eastAsia" w:ascii="仿宋" w:hAnsi="仿宋" w:eastAsia="仿宋" w:cs="Times New Roman"/>
          <w:color w:val="000000"/>
          <w:sz w:val="32"/>
          <w:szCs w:val="32"/>
          <w:lang w:val="en-US" w:eastAsia="zh-CN"/>
        </w:rPr>
        <w:t>56.11</w:t>
      </w:r>
      <w:r>
        <w:rPr>
          <w:rFonts w:hint="eastAsia" w:ascii="仿宋" w:hAnsi="仿宋" w:eastAsia="仿宋" w:cs="Times New Roman"/>
          <w:color w:val="000000"/>
          <w:sz w:val="32"/>
          <w:szCs w:val="32"/>
        </w:rPr>
        <w:t>万元，占</w:t>
      </w:r>
      <w:r>
        <w:rPr>
          <w:rFonts w:hint="eastAsia" w:ascii="仿宋" w:hAnsi="仿宋" w:eastAsia="仿宋" w:cs="Times New Roman"/>
          <w:color w:val="000000"/>
          <w:sz w:val="32"/>
          <w:szCs w:val="32"/>
          <w:lang w:val="en-US" w:eastAsia="zh-CN"/>
        </w:rPr>
        <w:t>4.14</w:t>
      </w:r>
      <w:r>
        <w:rPr>
          <w:rFonts w:ascii="仿宋" w:hAnsi="仿宋" w:eastAsia="仿宋" w:cs="Times New Roman"/>
          <w:color w:val="000000"/>
          <w:sz w:val="32"/>
          <w:szCs w:val="32"/>
        </w:rPr>
        <w:t>%</w:t>
      </w:r>
      <w:r>
        <w:rPr>
          <w:rFonts w:hint="eastAsia" w:ascii="仿宋" w:hAnsi="仿宋" w:eastAsia="仿宋" w:cs="Times New Roman"/>
          <w:color w:val="000000"/>
          <w:sz w:val="32"/>
          <w:szCs w:val="32"/>
        </w:rPr>
        <w:t>；卫生健康支出</w:t>
      </w:r>
      <w:r>
        <w:rPr>
          <w:rFonts w:hint="eastAsia" w:ascii="仿宋" w:hAnsi="仿宋" w:eastAsia="仿宋" w:cs="Times New Roman"/>
          <w:color w:val="000000"/>
          <w:sz w:val="32"/>
          <w:szCs w:val="32"/>
          <w:lang w:val="en-US" w:eastAsia="zh-CN"/>
        </w:rPr>
        <w:t>28.69</w:t>
      </w:r>
      <w:r>
        <w:rPr>
          <w:rFonts w:hint="eastAsia" w:ascii="仿宋" w:hAnsi="仿宋" w:eastAsia="仿宋" w:cs="Times New Roman"/>
          <w:color w:val="000000"/>
          <w:sz w:val="32"/>
          <w:szCs w:val="32"/>
        </w:rPr>
        <w:t>万元，占</w:t>
      </w:r>
      <w:r>
        <w:rPr>
          <w:rFonts w:hint="eastAsia" w:ascii="仿宋" w:hAnsi="仿宋" w:eastAsia="仿宋" w:cs="Times New Roman"/>
          <w:color w:val="000000"/>
          <w:sz w:val="32"/>
          <w:szCs w:val="32"/>
          <w:lang w:val="en-US" w:eastAsia="zh-CN"/>
        </w:rPr>
        <w:t>2.12</w:t>
      </w:r>
      <w:r>
        <w:rPr>
          <w:rFonts w:ascii="仿宋" w:hAnsi="仿宋" w:eastAsia="仿宋" w:cs="Times New Roman"/>
          <w:color w:val="000000"/>
          <w:sz w:val="32"/>
          <w:szCs w:val="32"/>
        </w:rPr>
        <w:t>%</w:t>
      </w:r>
      <w:r>
        <w:rPr>
          <w:rFonts w:hint="eastAsia" w:ascii="仿宋" w:hAnsi="仿宋" w:eastAsia="仿宋" w:cs="Times New Roman"/>
          <w:color w:val="000000"/>
          <w:sz w:val="32"/>
          <w:szCs w:val="32"/>
        </w:rPr>
        <w:t>；住房保障支出</w:t>
      </w:r>
      <w:r>
        <w:rPr>
          <w:rFonts w:hint="eastAsia" w:ascii="仿宋" w:hAnsi="仿宋" w:eastAsia="仿宋" w:cs="Times New Roman"/>
          <w:color w:val="000000"/>
          <w:sz w:val="32"/>
          <w:szCs w:val="32"/>
          <w:lang w:val="en-US" w:eastAsia="zh-CN"/>
        </w:rPr>
        <w:t>40.15</w:t>
      </w:r>
      <w:r>
        <w:rPr>
          <w:rFonts w:hint="eastAsia" w:ascii="仿宋" w:hAnsi="仿宋" w:eastAsia="仿宋" w:cs="Times New Roman"/>
          <w:color w:val="000000"/>
          <w:sz w:val="32"/>
          <w:szCs w:val="32"/>
        </w:rPr>
        <w:t>万元，占</w:t>
      </w:r>
      <w:r>
        <w:rPr>
          <w:rFonts w:hint="eastAsia" w:ascii="仿宋" w:hAnsi="仿宋" w:eastAsia="仿宋" w:cs="Times New Roman"/>
          <w:color w:val="000000"/>
          <w:sz w:val="32"/>
          <w:szCs w:val="32"/>
          <w:lang w:val="en-US" w:eastAsia="zh-CN"/>
        </w:rPr>
        <w:t>2.96</w:t>
      </w:r>
      <w:r>
        <w:rPr>
          <w:rFonts w:ascii="仿宋" w:hAnsi="仿宋" w:eastAsia="仿宋" w:cs="Times New Roman"/>
          <w:color w:val="000000"/>
          <w:sz w:val="32"/>
          <w:szCs w:val="32"/>
        </w:rPr>
        <w:t>%</w:t>
      </w:r>
      <w:r>
        <w:rPr>
          <w:rFonts w:hint="eastAsia" w:ascii="仿宋" w:hAnsi="仿宋" w:eastAsia="仿宋" w:cs="Times New Roman"/>
          <w:color w:val="000000"/>
          <w:sz w:val="32"/>
          <w:szCs w:val="32"/>
        </w:rPr>
        <w:t>；粮油物资储备支出（类）0.00万元，占0.00%；</w:t>
      </w:r>
      <w:r>
        <w:rPr>
          <w:rFonts w:hint="eastAsia" w:ascii="仿宋" w:hAnsi="仿宋" w:eastAsia="仿宋" w:cs="Times New Roman"/>
          <w:color w:val="000000"/>
          <w:sz w:val="32"/>
          <w:szCs w:val="32"/>
          <w:lang w:val="en-US" w:eastAsia="zh-CN"/>
        </w:rPr>
        <w:t>灾害防治及应急管理224（类）支出0.41万元，占0.03%。</w:t>
      </w:r>
      <w:r>
        <w:rPr>
          <w:rFonts w:hint="eastAsia" w:ascii="仿宋" w:hAnsi="仿宋" w:eastAsia="仿宋" w:cs="Times New Roman"/>
          <w:color w:val="000000"/>
          <w:sz w:val="32"/>
          <w:szCs w:val="32"/>
        </w:rPr>
        <w:t>其他支出（类）0.00万元，占0.00%；债务还本支出（类）0.00万元，占0.00%；债务付息支出（类）0.00万元，占0.00%。</w:t>
      </w:r>
    </w:p>
    <w:p>
      <w:pPr>
        <w:pStyle w:val="24"/>
        <w:rPr>
          <w:rFonts w:hint="eastAsia" w:ascii="仿宋" w:hAnsi="仿宋" w:eastAsia="仿宋"/>
          <w:color w:val="000000"/>
          <w:sz w:val="32"/>
          <w:szCs w:val="32"/>
          <w:lang w:eastAsia="zh-CN"/>
        </w:rPr>
      </w:pPr>
      <w:r>
        <w:drawing>
          <wp:inline distT="0" distB="0" distL="114300" distR="114300">
            <wp:extent cx="4883150" cy="1682115"/>
            <wp:effectExtent l="4445" t="4445" r="8255" b="8890"/>
            <wp:docPr id="107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62" w:name="_Toc79163617"/>
      <w:bookmarkStart w:id="63" w:name="_Toc10884"/>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8460"/>
      <w:bookmarkStart w:id="66" w:name="_Toc15377213"/>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1356.25万元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2"/>
          <w:rFonts w:ascii="仿宋" w:hAnsi="仿宋" w:eastAsia="仿宋"/>
          <w:bCs/>
          <w:color w:val="000000"/>
          <w:sz w:val="32"/>
          <w:szCs w:val="32"/>
        </w:rPr>
        <w:t>1.</w:t>
      </w:r>
      <w:r>
        <w:rPr>
          <w:rStyle w:val="22"/>
          <w:rFonts w:hint="eastAsia" w:ascii="仿宋" w:hAnsi="仿宋" w:eastAsia="仿宋"/>
          <w:bCs/>
          <w:color w:val="000000"/>
          <w:sz w:val="32"/>
          <w:szCs w:val="32"/>
        </w:rPr>
        <w:t>一般公共服务</w:t>
      </w:r>
      <w:r>
        <w:rPr>
          <w:rStyle w:val="22"/>
          <w:rFonts w:hint="eastAsia" w:ascii="仿宋" w:hAnsi="仿宋" w:eastAsia="仿宋"/>
          <w:bCs/>
          <w:color w:val="000000"/>
          <w:sz w:val="32"/>
          <w:szCs w:val="32"/>
          <w:lang w:val="en-US" w:eastAsia="zh-CN"/>
        </w:rPr>
        <w:t>201</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33</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545.04</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2"/>
          <w:rFonts w:ascii="仿宋" w:hAnsi="仿宋" w:eastAsia="仿宋"/>
          <w:bCs/>
          <w:color w:val="000000"/>
          <w:sz w:val="32"/>
          <w:szCs w:val="32"/>
        </w:rPr>
        <w:t>2.</w:t>
      </w:r>
      <w:r>
        <w:rPr>
          <w:rStyle w:val="22"/>
          <w:rFonts w:hint="eastAsia" w:ascii="仿宋" w:hAnsi="仿宋" w:eastAsia="仿宋"/>
          <w:bCs/>
          <w:color w:val="000000"/>
          <w:sz w:val="32"/>
          <w:szCs w:val="32"/>
        </w:rPr>
        <w:t>一般公共服务</w:t>
      </w:r>
      <w:r>
        <w:rPr>
          <w:rStyle w:val="22"/>
          <w:rFonts w:hint="eastAsia" w:ascii="仿宋" w:hAnsi="仿宋" w:eastAsia="仿宋"/>
          <w:bCs/>
          <w:color w:val="000000"/>
          <w:sz w:val="32"/>
          <w:szCs w:val="32"/>
          <w:lang w:val="en-US" w:eastAsia="zh-CN"/>
        </w:rPr>
        <w:t>201</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33</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369.65</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spacing w:line="600" w:lineRule="exact"/>
        <w:ind w:firstLine="643" w:firstLineChars="200"/>
        <w:rPr>
          <w:rStyle w:val="22"/>
          <w:rFonts w:hint="eastAsia" w:ascii="仿宋" w:hAnsi="仿宋" w:eastAsia="仿宋"/>
          <w:b w:val="0"/>
          <w:bCs/>
          <w:color w:val="000000"/>
          <w:sz w:val="32"/>
          <w:szCs w:val="32"/>
        </w:rPr>
      </w:pPr>
      <w:r>
        <w:rPr>
          <w:rStyle w:val="22"/>
          <w:rFonts w:ascii="仿宋" w:hAnsi="仿宋" w:eastAsia="仿宋"/>
          <w:bCs/>
          <w:color w:val="000000"/>
          <w:sz w:val="32"/>
          <w:szCs w:val="32"/>
        </w:rPr>
        <w:t>3.</w:t>
      </w:r>
      <w:r>
        <w:rPr>
          <w:rStyle w:val="22"/>
          <w:rFonts w:hint="eastAsia" w:ascii="仿宋" w:hAnsi="仿宋" w:eastAsia="仿宋"/>
          <w:bCs/>
          <w:color w:val="000000"/>
          <w:sz w:val="32"/>
          <w:szCs w:val="32"/>
        </w:rPr>
        <w:t>文化旅游体育与传媒</w:t>
      </w:r>
      <w:r>
        <w:rPr>
          <w:rStyle w:val="22"/>
          <w:rFonts w:hint="eastAsia" w:ascii="仿宋" w:hAnsi="仿宋" w:eastAsia="仿宋"/>
          <w:bCs/>
          <w:color w:val="000000"/>
          <w:sz w:val="32"/>
          <w:szCs w:val="32"/>
          <w:lang w:val="en-US" w:eastAsia="zh-CN"/>
        </w:rPr>
        <w:t>207</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06</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50.04</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pStyle w:val="24"/>
        <w:ind w:firstLine="643" w:firstLineChars="200"/>
      </w:pPr>
      <w:r>
        <w:rPr>
          <w:rStyle w:val="22"/>
          <w:rFonts w:hint="eastAsia" w:ascii="仿宋" w:hAnsi="仿宋" w:eastAsia="仿宋"/>
          <w:bCs/>
          <w:color w:val="000000"/>
          <w:sz w:val="32"/>
          <w:szCs w:val="32"/>
          <w:lang w:val="en-US" w:eastAsia="zh-CN"/>
        </w:rPr>
        <w:t>4</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文化旅游体育与传媒</w:t>
      </w:r>
      <w:r>
        <w:rPr>
          <w:rStyle w:val="22"/>
          <w:rFonts w:hint="eastAsia" w:ascii="仿宋" w:hAnsi="仿宋" w:eastAsia="仿宋"/>
          <w:bCs/>
          <w:color w:val="000000"/>
          <w:sz w:val="32"/>
          <w:szCs w:val="32"/>
          <w:lang w:val="en-US" w:eastAsia="zh-CN"/>
        </w:rPr>
        <w:t>207</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99</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265.8</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spacing w:line="600" w:lineRule="exact"/>
        <w:ind w:firstLine="643" w:firstLineChars="200"/>
        <w:rPr>
          <w:rStyle w:val="22"/>
          <w:rFonts w:hint="eastAsia" w:ascii="仿宋" w:hAnsi="仿宋" w:eastAsia="仿宋"/>
          <w:b w:val="0"/>
          <w:bCs/>
          <w:color w:val="000000"/>
          <w:sz w:val="32"/>
          <w:szCs w:val="32"/>
        </w:rPr>
      </w:pPr>
      <w:r>
        <w:rPr>
          <w:rStyle w:val="22"/>
          <w:rFonts w:ascii="仿宋" w:hAnsi="仿宋" w:eastAsia="仿宋"/>
          <w:bCs/>
          <w:color w:val="000000"/>
          <w:sz w:val="32"/>
          <w:szCs w:val="32"/>
        </w:rPr>
        <w:t>5.</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37.41</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pStyle w:val="24"/>
        <w:ind w:firstLine="643" w:firstLineChars="200"/>
      </w:pPr>
      <w:r>
        <w:rPr>
          <w:rStyle w:val="22"/>
          <w:rFonts w:hint="eastAsia" w:ascii="仿宋" w:hAnsi="仿宋" w:eastAsia="仿宋"/>
          <w:bCs/>
          <w:color w:val="000000"/>
          <w:sz w:val="32"/>
          <w:szCs w:val="32"/>
          <w:lang w:val="en-US" w:eastAsia="zh-CN"/>
        </w:rPr>
        <w:t>6</w:t>
      </w:r>
      <w:r>
        <w:rPr>
          <w:rStyle w:val="22"/>
          <w:rFonts w:ascii="仿宋" w:hAnsi="仿宋" w:eastAsia="仿宋"/>
          <w:bCs/>
          <w:color w:val="000000"/>
          <w:sz w:val="32"/>
          <w:szCs w:val="32"/>
        </w:rPr>
        <w:t>.</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06</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18.7</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spacing w:line="600" w:lineRule="exact"/>
        <w:ind w:firstLine="643" w:firstLineChars="200"/>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lang w:val="en-US" w:eastAsia="zh-CN"/>
        </w:rPr>
        <w:t>7</w:t>
      </w:r>
      <w:r>
        <w:rPr>
          <w:rStyle w:val="22"/>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23.86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pStyle w:val="24"/>
        <w:ind w:firstLine="643" w:firstLineChars="200"/>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lang w:val="en-US" w:eastAsia="zh-CN"/>
        </w:rPr>
        <w:t>8</w:t>
      </w:r>
      <w:r>
        <w:rPr>
          <w:rStyle w:val="22"/>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03</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4.83</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pStyle w:val="24"/>
        <w:ind w:firstLine="643" w:firstLineChars="200"/>
      </w:pPr>
      <w:r>
        <w:rPr>
          <w:rStyle w:val="22"/>
          <w:rFonts w:hint="eastAsia" w:ascii="仿宋" w:hAnsi="仿宋" w:eastAsia="仿宋"/>
          <w:bCs/>
          <w:color w:val="000000"/>
          <w:sz w:val="32"/>
          <w:szCs w:val="32"/>
          <w:lang w:val="en-US" w:eastAsia="zh-CN"/>
        </w:rPr>
        <w:t>9</w:t>
      </w:r>
      <w:r>
        <w:rPr>
          <w:rStyle w:val="22"/>
          <w:rFonts w:ascii="仿宋" w:hAnsi="仿宋" w:eastAsia="仿宋"/>
          <w:bCs/>
          <w:color w:val="000000"/>
          <w:sz w:val="32"/>
          <w:szCs w:val="32"/>
        </w:rPr>
        <w:t>.</w:t>
      </w:r>
      <w:r>
        <w:rPr>
          <w:rFonts w:hint="eastAsia" w:ascii="仿宋" w:hAnsi="仿宋" w:eastAsia="仿宋"/>
          <w:b/>
          <w:bCs/>
          <w:color w:val="000000"/>
          <w:sz w:val="32"/>
          <w:szCs w:val="32"/>
          <w:lang w:eastAsia="zh-CN"/>
        </w:rPr>
        <w:t>住房保障</w:t>
      </w:r>
      <w:r>
        <w:rPr>
          <w:rFonts w:hint="eastAsia" w:ascii="仿宋" w:hAnsi="仿宋" w:eastAsia="仿宋"/>
          <w:b/>
          <w:bCs/>
          <w:color w:val="000000"/>
          <w:sz w:val="32"/>
          <w:szCs w:val="32"/>
          <w:lang w:val="en-US" w:eastAsia="zh-CN"/>
        </w:rPr>
        <w:t>221</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02</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40.15</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pStyle w:val="24"/>
        <w:ind w:firstLine="643" w:firstLineChars="200"/>
        <w:rPr>
          <w:rStyle w:val="22"/>
          <w:rFonts w:hint="eastAsia" w:ascii="仿宋" w:hAnsi="仿宋" w:eastAsia="仿宋"/>
          <w:b w:val="0"/>
          <w:bCs/>
          <w:color w:val="000000"/>
          <w:sz w:val="32"/>
          <w:szCs w:val="32"/>
        </w:rPr>
      </w:pPr>
      <w:r>
        <w:rPr>
          <w:rStyle w:val="22"/>
          <w:rFonts w:hint="eastAsia" w:ascii="仿宋" w:hAnsi="仿宋" w:eastAsia="仿宋"/>
          <w:bCs/>
          <w:color w:val="000000"/>
          <w:sz w:val="32"/>
          <w:szCs w:val="32"/>
          <w:lang w:val="en-US" w:eastAsia="zh-CN"/>
        </w:rPr>
        <w:t>10</w:t>
      </w:r>
      <w:r>
        <w:rPr>
          <w:rStyle w:val="22"/>
          <w:rFonts w:ascii="仿宋" w:hAnsi="仿宋" w:eastAsia="仿宋"/>
          <w:bCs/>
          <w:color w:val="000000"/>
          <w:sz w:val="32"/>
          <w:szCs w:val="32"/>
        </w:rPr>
        <w:t>.</w:t>
      </w:r>
      <w:r>
        <w:rPr>
          <w:rFonts w:hint="eastAsia" w:ascii="仿宋" w:hAnsi="仿宋" w:eastAsia="仿宋"/>
          <w:b/>
          <w:bCs/>
          <w:color w:val="000000"/>
          <w:sz w:val="32"/>
          <w:szCs w:val="32"/>
        </w:rPr>
        <w:t>灾害防治及应急管理</w:t>
      </w:r>
      <w:r>
        <w:rPr>
          <w:rFonts w:hint="eastAsia" w:ascii="仿宋" w:hAnsi="仿宋" w:eastAsia="仿宋"/>
          <w:b/>
          <w:bCs/>
          <w:color w:val="000000"/>
          <w:sz w:val="32"/>
          <w:szCs w:val="32"/>
          <w:lang w:val="en-US" w:eastAsia="zh-CN"/>
        </w:rPr>
        <w:t>224</w:t>
      </w:r>
      <w:r>
        <w:rPr>
          <w:rStyle w:val="22"/>
          <w:rFonts w:hint="eastAsia" w:ascii="仿宋" w:hAnsi="仿宋" w:eastAsia="仿宋"/>
          <w:bCs/>
          <w:color w:val="000000"/>
          <w:sz w:val="32"/>
          <w:szCs w:val="32"/>
        </w:rPr>
        <w:t>（类）</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（款）</w:t>
      </w:r>
      <w:r>
        <w:rPr>
          <w:rStyle w:val="22"/>
          <w:rFonts w:hint="eastAsia" w:ascii="仿宋" w:hAnsi="仿宋" w:eastAsia="仿宋"/>
          <w:bCs/>
          <w:color w:val="000000"/>
          <w:sz w:val="32"/>
          <w:szCs w:val="32"/>
          <w:lang w:val="en-US" w:eastAsia="zh-CN"/>
        </w:rPr>
        <w:t>99</w:t>
      </w:r>
      <w:r>
        <w:rPr>
          <w:rStyle w:val="22"/>
          <w:rFonts w:hint="eastAsia" w:ascii="仿宋" w:hAnsi="仿宋" w:eastAsia="仿宋"/>
          <w:bCs/>
          <w:color w:val="000000"/>
          <w:sz w:val="32"/>
          <w:szCs w:val="32"/>
        </w:rPr>
        <w:t>（项）</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0.41</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68" w:name="_Toc15396608"/>
      <w:bookmarkStart w:id="69" w:name="_Toc79163618"/>
      <w:bookmarkStart w:id="70" w:name="_Toc29465"/>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669.99</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503.05</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104.92万元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226.18万元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8.87万元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12.66万元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37.41万元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18.70万元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23.86万元、公务员医疗补助缴费4.83万元、医疗费1.48万元、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3.63万元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11.32万元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退职（役）费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8.85万元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救济费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医疗费补助</w:t>
      </w:r>
      <w:r>
        <w:rPr>
          <w:rFonts w:hint="eastAsia" w:ascii="仿宋" w:hAnsi="仿宋" w:eastAsia="仿宋"/>
          <w:color w:val="000000"/>
          <w:sz w:val="32"/>
          <w:szCs w:val="32"/>
          <w:lang w:val="en-US" w:eastAsia="zh-CN"/>
        </w:rPr>
        <w:t>0.19万元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助学金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40.15万元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166.94</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8.25万元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6.64万元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0.22万元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1.32万元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10.04万元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22.77万元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0.59万元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5.55万元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1.93万元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6.48万元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1.07万元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专用材料费</w:t>
      </w:r>
      <w:r>
        <w:rPr>
          <w:rFonts w:hint="eastAsia" w:ascii="仿宋" w:hAnsi="仿宋" w:eastAsia="仿宋"/>
          <w:color w:val="000000"/>
          <w:sz w:val="32"/>
          <w:szCs w:val="32"/>
          <w:lang w:val="en-US" w:eastAsia="zh-CN"/>
        </w:rPr>
        <w:t>0万元、被装购置费0万元、专用燃料费0万元、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10.41万元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0.2万元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21.01万元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0.73万元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4.44万元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0万元、公务用车购置65.29万元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0"/>
        <w:outlineLvl w:val="1"/>
        <w:rPr>
          <w:rStyle w:val="26"/>
          <w:rFonts w:ascii="黑体" w:hAnsi="黑体" w:eastAsia="黑体"/>
          <w:b w:val="0"/>
        </w:rPr>
      </w:pPr>
      <w:bookmarkStart w:id="72" w:name="_Toc15396609"/>
      <w:bookmarkStart w:id="73" w:name="_Toc15377215"/>
      <w:bookmarkStart w:id="74" w:name="_Toc689"/>
      <w:bookmarkStart w:id="75" w:name="_Toc7916361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11927"/>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111.92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5833"/>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110.83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99.03</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1.09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0.97</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4"/>
      </w:pPr>
      <w:r>
        <w:drawing>
          <wp:inline distT="0" distB="0" distL="114300" distR="114300">
            <wp:extent cx="3724275" cy="2057400"/>
            <wp:effectExtent l="4445" t="5080" r="5080" b="1397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keepNext w:val="0"/>
        <w:keepLines w:val="0"/>
        <w:pageBreakBefore w:val="0"/>
        <w:widowControl w:val="0"/>
        <w:kinsoku/>
        <w:wordWrap/>
        <w:overflowPunct/>
        <w:topLinePunct w:val="0"/>
        <w:autoSpaceDE w:val="0"/>
        <w:autoSpaceDN w:val="0"/>
        <w:bidi w:val="0"/>
        <w:adjustRightInd w:val="0"/>
        <w:snapToGrid/>
        <w:spacing w:line="680" w:lineRule="exact"/>
        <w:ind w:firstLine="640"/>
        <w:textAlignment w:val="auto"/>
        <w:rPr>
          <w:rFonts w:hint="eastAsia" w:ascii="仿宋_GB2312" w:hAnsi="仿宋_GB2312" w:eastAsia="仿宋_GB2312" w:cs="仿宋_GB2312"/>
          <w:b/>
          <w:bCs/>
          <w:color w:val="000000"/>
          <w:kern w:val="2"/>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0%</w:t>
      </w:r>
      <w:r>
        <w:rPr>
          <w:rStyle w:val="22"/>
          <w:rFonts w:hint="eastAsia" w:ascii="仿宋" w:hAnsi="仿宋" w:eastAsia="仿宋"/>
          <w:b w:val="0"/>
          <w:bCs/>
          <w:color w:val="000000"/>
          <w:sz w:val="32"/>
          <w:szCs w:val="32"/>
        </w:rPr>
        <w:t>。</w:t>
      </w:r>
      <w:r>
        <w:rPr>
          <w:rFonts w:hint="eastAsia" w:ascii="仿宋_GB2312" w:hAnsi="仿宋_GB2312" w:eastAsia="仿宋_GB2312" w:cs="仿宋_GB2312"/>
          <w:color w:val="000000"/>
          <w:kern w:val="2"/>
          <w:sz w:val="32"/>
          <w:szCs w:val="32"/>
        </w:rPr>
        <w:t>全年安排因公出国（境）团组0个，出国（境）0人。因公出国（境）支出决算比2018年增加0万元。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110.83</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50.09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2020年购置公务用车1台</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65.29</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65.29</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hAnsi="仿宋_GB2312" w:eastAsia="仿宋_GB2312" w:cs="仿宋_GB2312"/>
          <w:color w:val="000000"/>
          <w:kern w:val="2"/>
          <w:sz w:val="32"/>
          <w:szCs w:val="32"/>
          <w:lang w:eastAsia="zh-CN"/>
        </w:rPr>
        <w:t>执行公务活动</w:t>
      </w: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hAnsi="仿宋_GB2312" w:eastAsia="仿宋_GB2312" w:cs="仿宋_GB2312"/>
          <w:color w:val="000000"/>
          <w:kern w:val="2"/>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45.54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w:t>
      </w:r>
      <w:r>
        <w:rPr>
          <w:rFonts w:hint="eastAsia" w:ascii="仿宋_GB2312" w:hAnsi="仿宋_GB2312" w:eastAsia="仿宋_GB2312" w:cs="仿宋_GB2312"/>
          <w:color w:val="000000"/>
          <w:kern w:val="2"/>
          <w:sz w:val="32"/>
          <w:szCs w:val="32"/>
          <w:lang w:eastAsia="zh-CN"/>
        </w:rPr>
        <w:t>部机关及下属单位执行公务活动，协助州外新闻媒体记者在我州期间的采访报道</w:t>
      </w:r>
      <w:r>
        <w:rPr>
          <w:rFonts w:hint="eastAsia" w:ascii="仿宋_GB2312" w:hAnsi="仿宋_GB2312" w:eastAsia="仿宋_GB2312" w:cs="仿宋_GB2312"/>
          <w:color w:val="000000"/>
          <w:kern w:val="2"/>
          <w:sz w:val="32"/>
          <w:szCs w:val="32"/>
        </w:rPr>
        <w:t>等</w:t>
      </w:r>
      <w:r>
        <w:rPr>
          <w:rFonts w:hint="eastAsia" w:ascii="仿宋_GB2312" w:hAnsi="仿宋_GB2312" w:eastAsia="仿宋_GB2312" w:cs="仿宋_GB2312"/>
          <w:color w:val="000000"/>
          <w:kern w:val="2"/>
          <w:sz w:val="32"/>
          <w:szCs w:val="32"/>
          <w:lang w:eastAsia="zh-CN"/>
        </w:rPr>
        <w:t>相关工作开展所需的</w:t>
      </w:r>
      <w:r>
        <w:rPr>
          <w:rFonts w:hint="eastAsia" w:ascii="仿宋_GB2312" w:hAnsi="仿宋_GB2312" w:eastAsia="仿宋_GB2312" w:cs="仿宋_GB2312"/>
          <w:color w:val="000000"/>
          <w:kern w:val="2"/>
          <w:sz w:val="32"/>
          <w:szCs w:val="32"/>
        </w:rPr>
        <w:t>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1.09</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50.23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励行节约</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1.09</w:t>
      </w:r>
      <w:r>
        <w:rPr>
          <w:rFonts w:hint="eastAsia" w:ascii="仿宋_GB2312" w:eastAsia="仿宋_GB2312"/>
          <w:color w:val="000000"/>
          <w:sz w:val="32"/>
          <w:szCs w:val="32"/>
        </w:rPr>
        <w:t>万元，主要用于执行公务、开展业务活动住宿费、用餐费等。国内公务接待</w:t>
      </w: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98</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10886</w:t>
      </w:r>
      <w:r>
        <w:rPr>
          <w:rFonts w:hint="eastAsia" w:ascii="仿宋_GB2312" w:eastAsia="仿宋_GB2312"/>
          <w:color w:val="000000"/>
          <w:sz w:val="32"/>
          <w:szCs w:val="32"/>
        </w:rPr>
        <w:t>元，具体内容包括：</w:t>
      </w:r>
      <w:r>
        <w:rPr>
          <w:rFonts w:hint="eastAsia" w:ascii="仿宋_GB2312" w:eastAsia="仿宋_GB2312"/>
          <w:color w:val="000000"/>
          <w:sz w:val="32"/>
          <w:szCs w:val="32"/>
          <w:lang w:eastAsia="zh-CN"/>
        </w:rPr>
        <w:t>开展活动、媒体采访、调研交流</w:t>
      </w:r>
      <w:r>
        <w:rPr>
          <w:rFonts w:hint="eastAsia" w:ascii="仿宋_GB2312" w:eastAsia="仿宋_GB2312"/>
          <w:color w:val="000000"/>
          <w:sz w:val="32"/>
          <w:szCs w:val="32"/>
        </w:rPr>
        <w:t>。</w:t>
      </w:r>
    </w:p>
    <w:p>
      <w:pPr>
        <w:spacing w:line="600" w:lineRule="exact"/>
        <w:ind w:firstLine="643"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6"/>
          <w:rFonts w:ascii="黑体" w:hAnsi="黑体" w:eastAsia="黑体"/>
        </w:rPr>
      </w:pPr>
      <w:bookmarkStart w:id="82" w:name="_Toc15396610"/>
      <w:bookmarkStart w:id="83" w:name="_Toc15377218"/>
      <w:bookmarkStart w:id="84" w:name="_Toc79163622"/>
      <w:bookmarkStart w:id="85" w:name="_Toc2629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，省级专款拨付《陪读》一书稿费。</w:t>
      </w:r>
    </w:p>
    <w:p>
      <w:pPr>
        <w:numPr>
          <w:ilvl w:val="0"/>
          <w:numId w:val="2"/>
        </w:numPr>
        <w:spacing w:line="600" w:lineRule="exact"/>
        <w:ind w:firstLine="640"/>
        <w:outlineLvl w:val="1"/>
        <w:rPr>
          <w:rStyle w:val="26"/>
          <w:rFonts w:ascii="黑体" w:hAnsi="黑体" w:eastAsia="黑体"/>
          <w:b w:val="0"/>
        </w:rPr>
      </w:pPr>
      <w:bookmarkStart w:id="86" w:name="_Toc15396611"/>
      <w:bookmarkStart w:id="87" w:name="_Toc14568"/>
      <w:bookmarkStart w:id="88" w:name="_Toc79163623"/>
      <w:bookmarkStart w:id="89" w:name="_Toc15377219"/>
      <w:r>
        <w:rPr>
          <w:rStyle w:val="26"/>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90" w:name="_Toc79163624"/>
      <w:bookmarkStart w:id="91" w:name="_Toc15377221"/>
      <w:bookmarkStart w:id="92" w:name="_Toc15396612"/>
      <w:bookmarkStart w:id="93" w:name="_Toc10790"/>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79163625"/>
      <w:bookmarkStart w:id="95" w:name="_Toc15377222"/>
      <w:bookmarkStart w:id="96" w:name="_Toc21944"/>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中共四川省阿坝州委宣传部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166.93</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61.46</w:t>
      </w:r>
      <w:r>
        <w:rPr>
          <w:rFonts w:hint="eastAsia" w:ascii="仿宋_GB2312" w:eastAsia="仿宋_GB2312"/>
          <w:color w:val="000000"/>
          <w:sz w:val="32"/>
          <w:szCs w:val="32"/>
        </w:rPr>
        <w:t>万元，</w:t>
      </w:r>
      <w:r>
        <w:rPr>
          <w:rFonts w:hint="eastAsia" w:ascii="仿宋_GB2312" w:hAnsi="仿宋_GB2312" w:eastAsia="仿宋_GB2312" w:cs="仿宋_GB2312"/>
          <w:color w:val="000000"/>
          <w:kern w:val="2"/>
          <w:sz w:val="32"/>
          <w:szCs w:val="32"/>
        </w:rPr>
        <w:t>105.47</w:t>
      </w:r>
      <w:r>
        <w:rPr>
          <w:rFonts w:hint="eastAsia" w:ascii="仿宋_GB2312" w:eastAsia="仿宋_GB2312"/>
          <w:color w:val="000000"/>
          <w:sz w:val="32"/>
          <w:szCs w:val="32"/>
        </w:rPr>
        <w:t>增长</w:t>
      </w:r>
      <w:r>
        <w:rPr>
          <w:rFonts w:hint="eastAsia" w:ascii="仿宋_GB2312" w:eastAsia="仿宋_GB2312"/>
          <w:color w:val="000000"/>
          <w:sz w:val="32"/>
          <w:szCs w:val="32"/>
          <w:lang w:val="en-US" w:eastAsia="zh-CN"/>
        </w:rPr>
        <w:t>58.27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新增“净土阿坝向祖国汇报”等系列活动费。</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6"/>
      <w:bookmarkStart w:id="98" w:name="_Toc15377223"/>
      <w:bookmarkStart w:id="99" w:name="_Toc28748"/>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中共四川省阿坝州委宣传部</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72.53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72.53</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72.53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14118"/>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中共四川省阿坝州委宣传部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主要是用于</w:t>
      </w:r>
      <w:r>
        <w:rPr>
          <w:rFonts w:hint="eastAsia" w:ascii="仿宋_GB2312" w:eastAsia="仿宋_GB2312"/>
          <w:color w:val="000000"/>
          <w:sz w:val="32"/>
          <w:szCs w:val="32"/>
          <w:lang w:eastAsia="zh-CN"/>
        </w:rPr>
        <w:t>执行公务。</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5001"/>
      <w:r>
        <w:rPr>
          <w:rFonts w:hint="eastAsia" w:ascii="仿宋" w:hAnsi="仿宋" w:eastAsia="仿宋"/>
          <w:b/>
          <w:color w:val="000000"/>
          <w:sz w:val="32"/>
          <w:szCs w:val="32"/>
        </w:rPr>
        <w:t>（四）预算绩效管理情况。</w:t>
      </w:r>
      <w:bookmarkEnd w:id="103"/>
      <w:bookmarkEnd w:id="104"/>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根据预算绩效管理要求，本部门在年初预算编制阶段，组织对</w:t>
      </w:r>
      <w:r>
        <w:rPr>
          <w:rFonts w:hint="eastAsia" w:ascii="仿宋_GB2312" w:eastAsia="仿宋_GB2312"/>
          <w:color w:val="000000"/>
          <w:sz w:val="32"/>
          <w:szCs w:val="32"/>
          <w:lang w:val="en-US" w:eastAsia="zh-CN"/>
        </w:rPr>
        <w:t>14个</w:t>
      </w:r>
      <w:r>
        <w:rPr>
          <w:rFonts w:hint="eastAsia" w:ascii="仿宋_GB2312" w:eastAsia="仿宋_GB2312"/>
          <w:color w:val="000000"/>
          <w:sz w:val="32"/>
          <w:szCs w:val="32"/>
        </w:rPr>
        <w:t>项目开展了预算事前绩效评估，对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个项目编制了绩效目标，预算执行过程中，选取</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个项目开展绩效监控，年终执行完毕后，对</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个项目开展了绩效目标完成情况梳理填报。</w:t>
      </w:r>
    </w:p>
    <w:p>
      <w:pPr>
        <w:autoSpaceDE w:val="0"/>
        <w:autoSpaceDN w:val="0"/>
        <w:adjustRightInd w:val="0"/>
        <w:spacing w:line="600" w:lineRule="exact"/>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中共四川省阿坝州</w:t>
      </w:r>
      <w:r>
        <w:rPr>
          <w:rFonts w:hint="eastAsia" w:ascii="仿宋_GB2312" w:eastAsia="仿宋_GB2312"/>
          <w:color w:val="000000"/>
          <w:sz w:val="32"/>
          <w:szCs w:val="32"/>
        </w:rPr>
        <w:t>委宣传部严格遵守财经纪律，严格执行中央八项规定和厉行节约反对浪费的要求，较好完成了20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年各项目标任务，保证了自身单位的运转和项目支出，同时也做好了全</w:t>
      </w:r>
      <w:r>
        <w:rPr>
          <w:rFonts w:hint="eastAsia" w:ascii="仿宋_GB2312" w:eastAsia="仿宋_GB2312"/>
          <w:color w:val="000000"/>
          <w:sz w:val="32"/>
          <w:szCs w:val="32"/>
          <w:lang w:eastAsia="zh-CN"/>
        </w:rPr>
        <w:t>州</w:t>
      </w:r>
      <w:r>
        <w:rPr>
          <w:rFonts w:hint="eastAsia" w:ascii="仿宋_GB2312" w:eastAsia="仿宋_GB2312"/>
          <w:color w:val="000000"/>
          <w:sz w:val="32"/>
          <w:szCs w:val="32"/>
        </w:rPr>
        <w:t>宣传思想文化再上新台阶的工作；尤其是保障了重大主题宣传工作、干部培训、其他专项任务工作，取得了很好的资金支出整体绩效</w:t>
      </w:r>
      <w:r>
        <w:rPr>
          <w:rFonts w:hint="eastAsia" w:ascii="仿宋_GB2312" w:eastAsia="仿宋_GB2312"/>
          <w:color w:val="000000"/>
          <w:sz w:val="32"/>
          <w:szCs w:val="32"/>
          <w:lang w:eastAsia="zh-CN"/>
        </w:rPr>
        <w:t>。</w:t>
      </w:r>
    </w:p>
    <w:p>
      <w:pPr>
        <w:pStyle w:val="24"/>
        <w:ind w:firstLine="640"/>
        <w:rPr>
          <w:rFonts w:hint="eastAsia" w:ascii="仿宋_GB2312" w:hAnsi="仿宋_GB2312" w:eastAsia="仿宋_GB2312" w:cs="仿宋_GB2312"/>
          <w:b/>
          <w:bCs/>
          <w:kern w:val="2"/>
          <w:sz w:val="32"/>
          <w:szCs w:val="32"/>
          <w:lang w:val="en-US" w:eastAsia="zh-CN" w:bidi="ar-SA"/>
        </w:rPr>
      </w:pPr>
      <w:r>
        <w:rPr>
          <w:rFonts w:ascii="仿宋_GB2312" w:hAnsi="仿宋_GB2312" w:eastAsia="仿宋_GB2312" w:cs="仿宋_GB2312"/>
          <w:b/>
          <w:bCs/>
          <w:sz w:val="32"/>
          <w:szCs w:val="32"/>
        </w:rPr>
        <w:t xml:space="preserve"> </w:t>
      </w:r>
      <w:r>
        <w:rPr>
          <w:rFonts w:hint="eastAsia" w:ascii="仿宋_GB2312" w:hAnsi="仿宋_GB2312" w:eastAsia="仿宋_GB2312" w:cs="仿宋_GB2312"/>
          <w:b/>
          <w:bCs/>
          <w:kern w:val="2"/>
          <w:sz w:val="32"/>
          <w:szCs w:val="32"/>
          <w:lang w:val="en-US" w:eastAsia="zh-CN" w:bidi="ar-SA"/>
        </w:rPr>
        <w:t>1.项目绩效目标完成情况</w:t>
      </w:r>
    </w:p>
    <w:p>
      <w:pPr>
        <w:numPr>
          <w:ilvl w:val="0"/>
          <w:numId w:val="0"/>
        </w:numPr>
        <w:spacing w:line="58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本部门在2020年度部门决算中反映“精神文明建设工作及全民阅读经费”、“车辆大修经费”、“车辆购置”、中央、省“两会”期间宣传、省级国家电影事业发展专项资金等项目绩效目标实际完成情况。</w:t>
      </w:r>
    </w:p>
    <w:p>
      <w:pPr>
        <w:numPr>
          <w:ilvl w:val="0"/>
          <w:numId w:val="3"/>
        </w:numPr>
        <w:spacing w:line="580" w:lineRule="exact"/>
        <w:ind w:firstLine="640" w:firstLineChars="200"/>
        <w:jc w:val="both"/>
        <w:rPr>
          <w:rFonts w:hint="eastAsia" w:ascii="仿宋_GB2312" w:hAnsi="仿宋_GB2312" w:eastAsia="仿宋_GB2312" w:cs="仿宋_GB2312"/>
          <w:sz w:val="32"/>
          <w:szCs w:val="32"/>
          <w:lang w:eastAsia="zh-CN"/>
        </w:rPr>
      </w:pPr>
      <w:r>
        <w:rPr>
          <w:rFonts w:hint="eastAsia" w:ascii="Times New Roman" w:hAnsi="宋体" w:eastAsia="仿宋_GB2312" w:cs="Times New Roman"/>
          <w:sz w:val="32"/>
          <w:szCs w:val="32"/>
          <w:lang w:val="en-US" w:eastAsia="zh-CN"/>
        </w:rPr>
        <w:t>精神文明建设及全民阅读</w:t>
      </w:r>
      <w:r>
        <w:rPr>
          <w:rFonts w:hint="eastAsia" w:ascii="Times New Roman" w:hAnsi="宋体" w:eastAsia="仿宋_GB2312" w:cs="Times New Roman"/>
          <w:sz w:val="32"/>
          <w:szCs w:val="32"/>
          <w:lang w:eastAsia="zh-CN"/>
        </w:rPr>
        <w:t>工作</w:t>
      </w:r>
      <w:r>
        <w:rPr>
          <w:rFonts w:hint="eastAsia" w:ascii="仿宋_GB2312" w:hAnsi="仿宋_GB2312" w:eastAsia="仿宋_GB2312" w:cs="仿宋_GB2312"/>
          <w:kern w:val="2"/>
          <w:sz w:val="32"/>
          <w:szCs w:val="32"/>
          <w:lang w:val="en-US" w:eastAsia="zh-CN" w:bidi="ar-SA"/>
        </w:rPr>
        <w:t>项目绩效目标完成情况综述。项目全年预算数40万元，执行数为306841元，完成预算的76.71%。</w:t>
      </w:r>
      <w:r>
        <w:rPr>
          <w:rFonts w:hint="eastAsia" w:ascii="仿宋_GB2312" w:hAnsi="仿宋_GB2312" w:eastAsia="仿宋_GB2312" w:cs="仿宋_GB2312"/>
          <w:sz w:val="32"/>
          <w:szCs w:val="32"/>
        </w:rPr>
        <w:t>通过项目实施，</w:t>
      </w:r>
      <w:r>
        <w:rPr>
          <w:rFonts w:hint="eastAsia" w:ascii="仿宋_GB2312" w:eastAsia="仿宋_GB2312"/>
          <w:sz w:val="32"/>
          <w:szCs w:val="32"/>
          <w:lang w:val="en-US" w:eastAsia="zh-CN"/>
        </w:rPr>
        <w:t>确保我州群众性精神文明建设工作有力推进，确保文明城市、文明村镇、文明单位、文明校园、文明家庭顺利通过验收考评</w:t>
      </w:r>
      <w:r>
        <w:rPr>
          <w:rFonts w:hint="eastAsia" w:ascii="仿宋_GB2312" w:hAnsi="仿宋_GB2312" w:eastAsia="仿宋_GB2312" w:cs="仿宋_GB2312"/>
          <w:sz w:val="32"/>
          <w:szCs w:val="32"/>
          <w:lang w:eastAsia="zh-CN"/>
        </w:rPr>
        <w:t>。发现的主要问题，工作在下半年实施，时间安排不太合理。下一步改进措施：时间安排更科学化，提高执行效率。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车辆大修</w:t>
      </w:r>
      <w:r>
        <w:rPr>
          <w:rFonts w:hint="eastAsia" w:ascii="仿宋_GB2312" w:hAnsi="仿宋_GB2312" w:eastAsia="仿宋_GB2312" w:cs="仿宋_GB2312"/>
          <w:sz w:val="32"/>
          <w:szCs w:val="32"/>
          <w:lang w:eastAsia="zh-CN"/>
        </w:rPr>
        <w:t>项目绩效目标完成情况综述。该项目全年预算数</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万元，执行数为</w:t>
      </w:r>
      <w:r>
        <w:rPr>
          <w:rFonts w:hint="eastAsia" w:ascii="仿宋_GB2312" w:hAnsi="仿宋_GB2312" w:eastAsia="仿宋_GB2312" w:cs="仿宋_GB2312"/>
          <w:sz w:val="32"/>
          <w:szCs w:val="32"/>
          <w:lang w:val="en-US" w:eastAsia="zh-CN"/>
        </w:rPr>
        <w:t>7.763</w:t>
      </w:r>
      <w:r>
        <w:rPr>
          <w:rFonts w:hint="eastAsia" w:ascii="仿宋_GB2312" w:hAnsi="仿宋_GB2312" w:eastAsia="仿宋_GB2312" w:cs="仿宋_GB2312"/>
          <w:sz w:val="32"/>
          <w:szCs w:val="32"/>
          <w:lang w:eastAsia="zh-CN"/>
        </w:rPr>
        <w:t>万元，完成预算的</w:t>
      </w:r>
      <w:r>
        <w:rPr>
          <w:rFonts w:hint="eastAsia" w:ascii="仿宋_GB2312" w:hAnsi="仿宋_GB2312" w:eastAsia="仿宋_GB2312" w:cs="仿宋_GB2312"/>
          <w:sz w:val="32"/>
          <w:szCs w:val="32"/>
          <w:lang w:val="en-US" w:eastAsia="zh-CN"/>
        </w:rPr>
        <w:t>97.04</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val="en-US" w:eastAsia="zh-CN"/>
        </w:rPr>
        <w:t>通过项目实施，完成我</w:t>
      </w:r>
      <w:r>
        <w:rPr>
          <w:rFonts w:hint="eastAsia" w:ascii="仿宋_GB2312" w:hAnsi="仿宋_GB2312" w:eastAsia="仿宋_GB2312" w:cs="仿宋_GB2312"/>
          <w:sz w:val="32"/>
          <w:szCs w:val="32"/>
          <w:lang w:val="en-US" w:eastAsia="zh-CN"/>
        </w:rPr>
        <w:t>部川UN0000</w:t>
      </w:r>
      <w:r>
        <w:rPr>
          <w:rFonts w:hint="default" w:ascii="仿宋_GB2312" w:hAnsi="仿宋_GB2312" w:eastAsia="仿宋_GB2312" w:cs="仿宋_GB2312"/>
          <w:sz w:val="32"/>
          <w:szCs w:val="32"/>
          <w:lang w:val="en-US" w:eastAsia="zh-CN"/>
        </w:rPr>
        <w:t>较长车龄公务用车的大型修理维护，排查安全隐患，提高公务车辆的使用寿命。</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因</w:t>
      </w:r>
      <w:r>
        <w:rPr>
          <w:rFonts w:hint="eastAsia" w:ascii="仿宋_GB2312" w:hAnsi="仿宋_GB2312" w:eastAsia="仿宋_GB2312" w:cs="仿宋_GB2312"/>
          <w:sz w:val="32"/>
          <w:szCs w:val="32"/>
        </w:rPr>
        <w:t>经费有限</w:t>
      </w:r>
      <w:r>
        <w:rPr>
          <w:rFonts w:hint="eastAsia" w:ascii="仿宋_GB2312" w:hAnsi="仿宋_GB2312" w:eastAsia="仿宋_GB2312" w:cs="仿宋_GB2312"/>
          <w:sz w:val="32"/>
          <w:szCs w:val="32"/>
          <w:lang w:eastAsia="zh-CN"/>
        </w:rPr>
        <w:t>，选取车况最差的车辆大修</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：适当</w:t>
      </w:r>
      <w:r>
        <w:rPr>
          <w:rFonts w:hint="eastAsia" w:ascii="仿宋_GB2312" w:hAnsi="仿宋_GB2312" w:eastAsia="仿宋_GB2312" w:cs="仿宋_GB2312"/>
          <w:sz w:val="32"/>
          <w:szCs w:val="32"/>
        </w:rPr>
        <w:t>增加经费预算，</w:t>
      </w:r>
      <w:r>
        <w:rPr>
          <w:rFonts w:hint="eastAsia" w:ascii="仿宋_GB2312" w:hAnsi="仿宋_GB2312" w:eastAsia="仿宋_GB2312" w:cs="仿宋_GB2312"/>
          <w:sz w:val="32"/>
          <w:szCs w:val="32"/>
          <w:lang w:eastAsia="zh-CN"/>
        </w:rPr>
        <w:t>合理安排车辆大修</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）公务用车购置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59.98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99.97</w:t>
      </w:r>
      <w:r>
        <w:rPr>
          <w:rFonts w:hint="eastAsia" w:ascii="仿宋_GB2312" w:hAnsi="仿宋_GB2312" w:eastAsia="仿宋_GB2312" w:cs="仿宋_GB2312"/>
          <w:sz w:val="32"/>
          <w:szCs w:val="32"/>
        </w:rPr>
        <w:t>%。发现的主要问题：资金支付工作安排在年底，时间较紧。下一步改进措施：按工作进度拨付资金。</w:t>
      </w:r>
    </w:p>
    <w:p>
      <w:pPr>
        <w:tabs>
          <w:tab w:val="left" w:pos="3885"/>
        </w:tabs>
        <w:snapToGrid w:val="0"/>
        <w:spacing w:line="360" w:lineRule="auto"/>
        <w:ind w:firstLine="640" w:firstLineChars="200"/>
        <w:jc w:val="left"/>
        <w:rPr>
          <w:rFonts w:hint="eastAsia" w:ascii="黑体" w:hAnsi="宋体" w:eastAsia="黑体" w:cs="Times New Roman"/>
          <w:sz w:val="32"/>
          <w:szCs w:val="21"/>
        </w:rPr>
      </w:pPr>
    </w:p>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中央、省“两会”期间宣传项目绩效目标完成情况综述。项目全年预算数75万元，执行数为75万元，完成预算的100%。通过媒体宣传平台推出以“见证·阿坝全域脱贫摘帽观察”为总栏题的专题报道，充分展现我州脱贫攻坚以来的发展成就，生动解读脱贫奔康过程中的特色亮点工作，并对全面建成小康社会进行展望。发现的问题：无前瞻性，年初预算中未纳入。下一步改进措施：进一步做好项目预测工作。</w:t>
      </w:r>
    </w:p>
    <w:p>
      <w:pPr>
        <w:numPr>
          <w:ilvl w:val="0"/>
          <w:numId w:val="0"/>
        </w:numPr>
        <w:adjustRightInd w:val="0"/>
        <w:snapToGrid w:val="0"/>
        <w:spacing w:line="60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（5）省级国家电影事业发展专项资金绩效目标完成情况综述。项目预算数5万元</w:t>
      </w:r>
      <w:r>
        <w:rPr>
          <w:rFonts w:hint="eastAsia" w:ascii="仿宋_GB2312" w:hAnsi="仿宋_GB2312" w:eastAsia="仿宋_GB2312" w:cs="仿宋_GB2312"/>
          <w:kern w:val="2"/>
          <w:sz w:val="32"/>
          <w:szCs w:val="32"/>
          <w:lang w:val="zh-CN" w:eastAsia="zh-CN" w:bidi="ar-SA"/>
        </w:rPr>
        <w:t>，执行数为</w:t>
      </w:r>
      <w:r>
        <w:rPr>
          <w:rFonts w:hint="eastAsia" w:ascii="仿宋_GB2312" w:hAnsi="仿宋_GB2312" w:eastAsia="仿宋_GB2312" w:cs="仿宋_GB2312"/>
          <w:kern w:val="2"/>
          <w:sz w:val="32"/>
          <w:szCs w:val="32"/>
          <w:lang w:val="en-US" w:eastAsia="zh-CN" w:bidi="ar-SA"/>
        </w:rPr>
        <w:t>5万元，完成预算的100%。</w:t>
      </w:r>
    </w:p>
    <w:tbl>
      <w:tblPr>
        <w:tblStyle w:val="20"/>
        <w:tblpPr w:leftFromText="180" w:rightFromText="180" w:vertAnchor="text" w:horzAnchor="page" w:tblpX="1159" w:tblpY="175"/>
        <w:tblOverlap w:val="never"/>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9"/>
        <w:gridCol w:w="1044"/>
        <w:gridCol w:w="931"/>
        <w:gridCol w:w="1469"/>
        <w:gridCol w:w="2486"/>
        <w:gridCol w:w="2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jc w:val="center"/>
        </w:trPr>
        <w:tc>
          <w:tcPr>
            <w:tcW w:w="8820" w:type="dxa"/>
            <w:gridSpan w:val="6"/>
            <w:tcBorders>
              <w:top w:val="nil"/>
              <w:left w:val="nil"/>
              <w:bottom w:val="nil"/>
              <w:right w:val="nil"/>
            </w:tcBorders>
            <w:noWrap w:val="0"/>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274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精神文明建设工作及全民阅读经费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274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中共四川省阿坝州委宣传部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76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40万元</w:t>
            </w:r>
          </w:p>
        </w:tc>
        <w:tc>
          <w:tcPr>
            <w:tcW w:w="2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执行数:</w:t>
            </w:r>
          </w:p>
        </w:tc>
        <w:tc>
          <w:tcPr>
            <w:tcW w:w="2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306841元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76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1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40万元</w:t>
            </w:r>
          </w:p>
        </w:tc>
        <w:tc>
          <w:tcPr>
            <w:tcW w:w="2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其中-财政拨款:</w:t>
            </w:r>
          </w:p>
        </w:tc>
        <w:tc>
          <w:tcPr>
            <w:tcW w:w="2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306841元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3" w:hRule="atLeast"/>
          <w:jc w:val="center"/>
        </w:trPr>
        <w:tc>
          <w:tcPr>
            <w:tcW w:w="76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1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0万元</w:t>
            </w:r>
          </w:p>
        </w:tc>
        <w:tc>
          <w:tcPr>
            <w:tcW w:w="24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其它资金:</w:t>
            </w:r>
          </w:p>
        </w:tc>
        <w:tc>
          <w:tcPr>
            <w:tcW w:w="2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76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44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预期目标</w:t>
            </w:r>
          </w:p>
        </w:tc>
        <w:tc>
          <w:tcPr>
            <w:tcW w:w="46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9" w:hRule="atLeast"/>
          <w:jc w:val="center"/>
        </w:trPr>
        <w:tc>
          <w:tcPr>
            <w:tcW w:w="769" w:type="dxa"/>
            <w:vMerge w:val="continue"/>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ascii="宋体" w:hAnsi="宋体" w:cs="宋体"/>
                <w:color w:val="000000"/>
                <w:sz w:val="24"/>
              </w:rPr>
            </w:pPr>
          </w:p>
        </w:tc>
        <w:tc>
          <w:tcPr>
            <w:tcW w:w="3444"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开展文明礼仪、文明行为的培育养成,未成年人思想道德建设工作，社会事务的规范化管理，文化教育事业的发展进步，开展全民阅读等相关工作</w:t>
            </w:r>
          </w:p>
        </w:tc>
        <w:tc>
          <w:tcPr>
            <w:tcW w:w="4607"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通过项目实施，</w:t>
            </w:r>
            <w:r>
              <w:rPr>
                <w:rFonts w:hint="eastAsia" w:ascii="宋体" w:hAnsi="宋体" w:cs="宋体"/>
                <w:sz w:val="21"/>
                <w:szCs w:val="21"/>
                <w:lang w:val="en-US" w:eastAsia="zh-CN"/>
              </w:rPr>
              <w:t>完成州级最佳文明单位、州级文明单位复核、州级文明村镇复核登记工作，开展好习惯好风气宣传活动，开展好家风好家教讲座，各类志愿服务活动</w:t>
            </w:r>
            <w:r>
              <w:rPr>
                <w:rFonts w:hint="eastAsia" w:ascii="宋体" w:hAnsi="宋体" w:eastAsia="宋体" w:cs="宋体"/>
                <w:color w:val="000000"/>
                <w:sz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6" w:hRule="atLeast"/>
          <w:jc w:val="center"/>
        </w:trPr>
        <w:tc>
          <w:tcPr>
            <w:tcW w:w="76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4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三级指标</w:t>
            </w:r>
          </w:p>
        </w:tc>
        <w:tc>
          <w:tcPr>
            <w:tcW w:w="24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预期指标值(包含数字及文字描述)</w:t>
            </w:r>
          </w:p>
        </w:tc>
        <w:tc>
          <w:tcPr>
            <w:tcW w:w="21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1" w:hRule="atLeast"/>
          <w:jc w:val="center"/>
        </w:trPr>
        <w:tc>
          <w:tcPr>
            <w:tcW w:w="769"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0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完成类型</w:t>
            </w:r>
          </w:p>
        </w:tc>
        <w:tc>
          <w:tcPr>
            <w:tcW w:w="14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完成时间</w:t>
            </w:r>
          </w:p>
        </w:tc>
        <w:tc>
          <w:tcPr>
            <w:tcW w:w="24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2020年11月底</w:t>
            </w:r>
          </w:p>
        </w:tc>
        <w:tc>
          <w:tcPr>
            <w:tcW w:w="21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2020年11月底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3" w:hRule="atLeast"/>
          <w:jc w:val="center"/>
        </w:trPr>
        <w:tc>
          <w:tcPr>
            <w:tcW w:w="769" w:type="dxa"/>
            <w:vMerge w:val="continue"/>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p>
        </w:tc>
        <w:tc>
          <w:tcPr>
            <w:tcW w:w="10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14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项目名称</w:t>
            </w:r>
          </w:p>
        </w:tc>
        <w:tc>
          <w:tcPr>
            <w:tcW w:w="24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开展防疫宣传场次、发放资料、覆盖面；开展节庆文化场（次），参与人数；乡村少年宫建设，</w:t>
            </w:r>
          </w:p>
        </w:tc>
        <w:tc>
          <w:tcPr>
            <w:tcW w:w="21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both"/>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防疫宣传8.4万余场次，发放资料67.5万余份，覆盖群众118万余人次；开展节庆文化500余场（次），参与人数达20余万人（次）深入推进乡村学校少年宫项目建设，新建7个中央项目，4个省级项目；完成10个全国文明村镇、24个省级文明村镇复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29" w:hRule="atLeast"/>
          <w:jc w:val="center"/>
        </w:trPr>
        <w:tc>
          <w:tcPr>
            <w:tcW w:w="76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p>
        </w:tc>
        <w:tc>
          <w:tcPr>
            <w:tcW w:w="10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效益指标</w:t>
            </w:r>
          </w:p>
        </w:tc>
        <w:tc>
          <w:tcPr>
            <w:tcW w:w="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both"/>
              <w:textAlignment w:val="center"/>
              <w:rPr>
                <w:rFonts w:hint="eastAsia" w:ascii="宋体" w:hAnsi="宋体" w:cs="宋体"/>
                <w:color w:val="000000"/>
                <w:sz w:val="24"/>
                <w:lang w:eastAsia="zh-CN"/>
              </w:rPr>
            </w:pPr>
            <w:r>
              <w:rPr>
                <w:rFonts w:hint="eastAsia" w:ascii="宋体" w:hAnsi="宋体" w:cs="宋体"/>
                <w:color w:val="000000"/>
                <w:sz w:val="24"/>
                <w:lang w:eastAsia="zh-CN"/>
              </w:rPr>
              <w:t>社会效益</w:t>
            </w:r>
          </w:p>
        </w:tc>
        <w:tc>
          <w:tcPr>
            <w:tcW w:w="14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紧紧围绕州委州政府的脱贫攻坚、全域旅游、社会稳定等中心工作，利用好现有资源平台，整合调动社会各方力量。</w:t>
            </w:r>
          </w:p>
        </w:tc>
        <w:tc>
          <w:tcPr>
            <w:tcW w:w="24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以学习实践科学理论、宣传宣讲党的政策、持续深入移风易俗为主要内容，围绕“谁来做，做什么，怎样做”深入推进新时代文明实践中心试点建设工作。</w:t>
            </w:r>
          </w:p>
        </w:tc>
        <w:tc>
          <w:tcPr>
            <w:tcW w:w="21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把核心价值观要求体现到市民公约、乡规民约、学生守则、行业规章等社会规范中，持续加快核心价值观融入法治建设进程，核心价值观的导向作用日趋突出、更加深入人心。</w:t>
            </w:r>
          </w:p>
          <w:p>
            <w:pPr>
              <w:widowControl/>
              <w:jc w:val="center"/>
              <w:textAlignment w:val="center"/>
              <w:rPr>
                <w:rFonts w:hint="eastAsia" w:ascii="宋体" w:hAnsi="宋体" w:eastAsia="宋体" w:cs="宋体"/>
                <w:color w:val="000000"/>
                <w:sz w:val="24"/>
                <w:lang w:val="en-US" w:eastAsia="zh-CN"/>
              </w:rPr>
            </w:pPr>
          </w:p>
        </w:tc>
      </w:tr>
    </w:tbl>
    <w:p>
      <w:pPr>
        <w:pStyle w:val="24"/>
        <w:rPr>
          <w:rFonts w:hint="eastAsia"/>
          <w:lang w:val="en-US" w:eastAsia="zh-CN"/>
        </w:rPr>
      </w:pPr>
    </w:p>
    <w:tbl>
      <w:tblPr>
        <w:tblStyle w:val="20"/>
        <w:tblpPr w:leftFromText="180" w:rightFromText="180" w:vertAnchor="text" w:horzAnchor="page" w:tblpXSpec="center" w:tblpY="423"/>
        <w:tblOverlap w:val="never"/>
        <w:tblW w:w="8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36"/>
        <w:gridCol w:w="970"/>
        <w:gridCol w:w="848"/>
        <w:gridCol w:w="861"/>
        <w:gridCol w:w="2407"/>
        <w:gridCol w:w="413"/>
        <w:gridCol w:w="22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3" w:hRule="atLeast"/>
          <w:jc w:val="center"/>
        </w:trPr>
        <w:tc>
          <w:tcPr>
            <w:tcW w:w="8540" w:type="dxa"/>
            <w:gridSpan w:val="7"/>
            <w:noWrap w:val="0"/>
            <w:tcMar>
              <w:top w:w="15" w:type="dxa"/>
              <w:left w:w="15" w:type="dxa"/>
              <w:bottom w:w="0" w:type="dxa"/>
              <w:right w:w="15" w:type="dxa"/>
            </w:tcMar>
            <w:vAlign w:val="center"/>
          </w:tcPr>
          <w:p>
            <w:pPr>
              <w:pStyle w:val="40"/>
              <w:widowControl/>
              <w:spacing w:before="0" w:beforeAutospacing="0" w:after="0" w:afterAutospacing="0"/>
              <w:ind w:left="0" w:leftChars="0" w:firstLine="0" w:firstLineChars="0"/>
              <w:jc w:val="center"/>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40"/>
              <w:widowControl/>
              <w:spacing w:before="0" w:beforeAutospacing="0" w:after="0" w:afterAutospacing="0"/>
              <w:ind w:left="0" w:leftChars="0" w:firstLine="0" w:firstLineChars="0"/>
              <w:jc w:val="center"/>
              <w:textAlignment w:val="center"/>
              <w:rPr>
                <w:rFonts w:hint="default"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jc w:val="center"/>
        </w:trPr>
        <w:tc>
          <w:tcPr>
            <w:tcW w:w="26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项目名称</w:t>
            </w:r>
          </w:p>
        </w:tc>
        <w:tc>
          <w:tcPr>
            <w:tcW w:w="588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sz w:val="24"/>
                <w:szCs w:val="24"/>
                <w:lang w:eastAsia="zh-CN"/>
              </w:rPr>
              <w:t>车辆大修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jc w:val="center"/>
        </w:trPr>
        <w:tc>
          <w:tcPr>
            <w:tcW w:w="26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预算单位</w:t>
            </w:r>
          </w:p>
        </w:tc>
        <w:tc>
          <w:tcPr>
            <w:tcW w:w="588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中共四川省阿坝州委宣传部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jc w:val="center"/>
        </w:trPr>
        <w:tc>
          <w:tcPr>
            <w:tcW w:w="8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预算执行情况(万元)</w:t>
            </w:r>
          </w:p>
        </w:tc>
        <w:tc>
          <w:tcPr>
            <w:tcW w:w="18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预算数:</w:t>
            </w: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8万元</w:t>
            </w:r>
          </w:p>
        </w:tc>
        <w:tc>
          <w:tcPr>
            <w:tcW w:w="28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执行数:</w:t>
            </w:r>
          </w:p>
        </w:tc>
        <w:tc>
          <w:tcPr>
            <w:tcW w:w="220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7.763万元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8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8万元</w:t>
            </w:r>
          </w:p>
        </w:tc>
        <w:tc>
          <w:tcPr>
            <w:tcW w:w="28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其中-财政拨款:</w:t>
            </w:r>
          </w:p>
        </w:tc>
        <w:tc>
          <w:tcPr>
            <w:tcW w:w="220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7.763万元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18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0</w:t>
            </w:r>
            <w:r>
              <w:rPr>
                <w:rFonts w:hint="eastAsia" w:ascii="宋体" w:hAnsi="宋体" w:cs="宋体"/>
                <w:color w:val="000000"/>
                <w:kern w:val="0"/>
                <w:sz w:val="24"/>
                <w:szCs w:val="20"/>
                <w:lang w:eastAsia="zh-CN"/>
              </w:rPr>
              <w:t>万元</w:t>
            </w:r>
          </w:p>
        </w:tc>
        <w:tc>
          <w:tcPr>
            <w:tcW w:w="28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其它资金:</w:t>
            </w:r>
          </w:p>
        </w:tc>
        <w:tc>
          <w:tcPr>
            <w:tcW w:w="220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spacing w:before="0" w:beforeAutospacing="0" w:after="0" w:afterAutospacing="0"/>
              <w:ind w:left="0" w:right="0"/>
              <w:jc w:val="center"/>
              <w:rPr>
                <w:rFonts w:hint="eastAsia" w:ascii="宋体" w:hAnsi="宋体" w:eastAsia="宋体" w:cs="宋体"/>
                <w:color w:val="000000"/>
                <w:sz w:val="24"/>
                <w:szCs w:val="20"/>
                <w:lang w:val="en-US" w:eastAsia="zh-CN"/>
              </w:rPr>
            </w:pPr>
            <w:r>
              <w:rPr>
                <w:rFonts w:hint="eastAsia" w:ascii="宋体" w:hAnsi="宋体" w:cs="宋体"/>
                <w:color w:val="000000"/>
                <w:sz w:val="24"/>
                <w:szCs w:val="20"/>
                <w:lang w:val="en-US" w:eastAsia="zh-CN"/>
              </w:rPr>
              <w:t>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jc w:val="center"/>
        </w:trPr>
        <w:tc>
          <w:tcPr>
            <w:tcW w:w="8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年度目标完成情况</w:t>
            </w:r>
          </w:p>
        </w:tc>
        <w:tc>
          <w:tcPr>
            <w:tcW w:w="267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预期目标</w:t>
            </w:r>
          </w:p>
        </w:tc>
        <w:tc>
          <w:tcPr>
            <w:tcW w:w="50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2"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267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当年</w:t>
            </w:r>
            <w:r>
              <w:rPr>
                <w:rFonts w:hint="eastAsia" w:ascii="宋体" w:hAnsi="宋体" w:cs="宋体"/>
                <w:color w:val="000000"/>
                <w:sz w:val="24"/>
                <w:szCs w:val="20"/>
                <w:lang w:val="en-US" w:eastAsia="zh-CN"/>
              </w:rPr>
              <w:t>12月底前完成项目实施</w:t>
            </w:r>
          </w:p>
        </w:tc>
        <w:tc>
          <w:tcPr>
            <w:tcW w:w="50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截止当年</w:t>
            </w:r>
            <w:r>
              <w:rPr>
                <w:rFonts w:hint="eastAsia" w:ascii="宋体" w:hAnsi="宋体" w:cs="宋体"/>
                <w:color w:val="000000"/>
                <w:sz w:val="24"/>
                <w:szCs w:val="20"/>
                <w:lang w:val="en-US" w:eastAsia="zh-CN"/>
              </w:rPr>
              <w:t>12月底完成预算的97.04</w:t>
            </w:r>
            <w:r>
              <w:rPr>
                <w:rFonts w:hint="eastAsia" w:ascii="宋体" w:hAnsi="宋体" w:cs="宋体"/>
                <w:color w:val="000000"/>
                <w:sz w:val="24"/>
                <w:szCs w:val="20"/>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3" w:hRule="atLeast"/>
          <w:jc w:val="center"/>
        </w:trPr>
        <w:tc>
          <w:tcPr>
            <w:tcW w:w="8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sz w:val="24"/>
                <w:szCs w:val="20"/>
              </w:rPr>
              <w:t>绩效指标完成情况</w:t>
            </w:r>
          </w:p>
        </w:tc>
        <w:tc>
          <w:tcPr>
            <w:tcW w:w="970"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一级指标</w:t>
            </w:r>
          </w:p>
        </w:tc>
        <w:tc>
          <w:tcPr>
            <w:tcW w:w="848"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二级指标</w:t>
            </w: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三级指标</w:t>
            </w:r>
          </w:p>
        </w:tc>
        <w:tc>
          <w:tcPr>
            <w:tcW w:w="240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预期指标值(包含数字及文字描述)</w:t>
            </w:r>
          </w:p>
        </w:tc>
        <w:tc>
          <w:tcPr>
            <w:tcW w:w="26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970"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848"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项目类型</w:t>
            </w: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完成时间</w:t>
            </w:r>
          </w:p>
        </w:tc>
        <w:tc>
          <w:tcPr>
            <w:tcW w:w="240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该项目为一次性项目，预期</w:t>
            </w:r>
            <w:r>
              <w:rPr>
                <w:rFonts w:hint="eastAsia" w:ascii="宋体" w:hAnsi="宋体" w:cs="宋体"/>
                <w:color w:val="000000"/>
                <w:sz w:val="24"/>
                <w:szCs w:val="20"/>
                <w:lang w:val="en-US" w:eastAsia="zh-CN"/>
              </w:rPr>
              <w:t>12月底前完成实施。</w:t>
            </w:r>
          </w:p>
        </w:tc>
        <w:tc>
          <w:tcPr>
            <w:tcW w:w="26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当年已完成了车辆大修工作</w:t>
            </w:r>
            <w:r>
              <w:rPr>
                <w:rFonts w:hint="eastAsia" w:ascii="宋体" w:hAnsi="宋体" w:cs="宋体"/>
                <w:color w:val="000000"/>
                <w:sz w:val="24"/>
                <w:szCs w:val="20"/>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1"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970"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项目完成指标</w:t>
            </w:r>
          </w:p>
        </w:tc>
        <w:tc>
          <w:tcPr>
            <w:tcW w:w="848"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车辆大修数</w:t>
            </w: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p>
        </w:tc>
        <w:tc>
          <w:tcPr>
            <w:tcW w:w="240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计划大修</w:t>
            </w:r>
            <w:r>
              <w:rPr>
                <w:rFonts w:hint="eastAsia" w:ascii="宋体" w:hAnsi="宋体" w:cs="宋体"/>
                <w:color w:val="000000"/>
                <w:sz w:val="24"/>
                <w:szCs w:val="20"/>
                <w:lang w:val="en-US" w:eastAsia="zh-CN"/>
              </w:rPr>
              <w:t>1辆公务用车</w:t>
            </w:r>
            <w:r>
              <w:rPr>
                <w:rFonts w:hint="eastAsia" w:ascii="宋体" w:hAnsi="宋体" w:cs="宋体"/>
                <w:color w:val="000000"/>
                <w:sz w:val="24"/>
                <w:szCs w:val="20"/>
                <w:lang w:eastAsia="zh-CN"/>
              </w:rPr>
              <w:t>。</w:t>
            </w:r>
          </w:p>
        </w:tc>
        <w:tc>
          <w:tcPr>
            <w:tcW w:w="26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已完成</w:t>
            </w:r>
            <w:r>
              <w:rPr>
                <w:rFonts w:hint="eastAsia" w:ascii="宋体" w:hAnsi="宋体" w:cs="宋体"/>
                <w:color w:val="000000"/>
                <w:sz w:val="24"/>
                <w:szCs w:val="20"/>
                <w:lang w:val="en-US" w:eastAsia="zh-CN"/>
              </w:rPr>
              <w:t>川UN0000公务用车的大修</w:t>
            </w:r>
            <w:r>
              <w:rPr>
                <w:rFonts w:hint="eastAsia" w:ascii="宋体" w:hAnsi="宋体" w:cs="宋体"/>
                <w:color w:val="000000"/>
                <w:sz w:val="24"/>
                <w:szCs w:val="20"/>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40"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970"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848"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拟达成效</w:t>
            </w: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40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通过车辆大修，排查安全隐患，提高车辆使用寿命。</w:t>
            </w:r>
          </w:p>
        </w:tc>
        <w:tc>
          <w:tcPr>
            <w:tcW w:w="26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已完成车辆大修，消除了老旧车辆安全隐患，保障了出行人员人身安全。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970"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效益指标</w:t>
            </w:r>
          </w:p>
        </w:tc>
        <w:tc>
          <w:tcPr>
            <w:tcW w:w="848"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40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both"/>
              <w:textAlignment w:val="center"/>
              <w:rPr>
                <w:rFonts w:hint="eastAsia" w:ascii="宋体" w:hAnsi="宋体" w:eastAsia="宋体" w:cs="宋体"/>
                <w:color w:val="000000"/>
                <w:sz w:val="24"/>
                <w:szCs w:val="20"/>
                <w:lang w:eastAsia="zh-CN"/>
              </w:rPr>
            </w:pPr>
          </w:p>
        </w:tc>
        <w:tc>
          <w:tcPr>
            <w:tcW w:w="26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jc w:val="center"/>
        </w:trPr>
        <w:tc>
          <w:tcPr>
            <w:tcW w:w="83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before="0" w:beforeAutospacing="0" w:after="0" w:afterAutospacing="0"/>
              <w:ind w:left="0" w:right="0"/>
              <w:jc w:val="left"/>
              <w:rPr>
                <w:rFonts w:hint="default" w:ascii="宋体" w:hAnsi="宋体" w:cs="宋体"/>
                <w:color w:val="000000"/>
                <w:sz w:val="24"/>
                <w:szCs w:val="20"/>
              </w:rPr>
            </w:pPr>
          </w:p>
        </w:tc>
        <w:tc>
          <w:tcPr>
            <w:tcW w:w="970"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r>
              <w:rPr>
                <w:rFonts w:hint="eastAsia" w:ascii="宋体" w:hAnsi="宋体" w:cs="宋体"/>
                <w:color w:val="000000"/>
                <w:kern w:val="0"/>
                <w:sz w:val="24"/>
                <w:szCs w:val="20"/>
              </w:rPr>
              <w:t>满意度指标</w:t>
            </w:r>
          </w:p>
        </w:tc>
        <w:tc>
          <w:tcPr>
            <w:tcW w:w="848"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满意度</w:t>
            </w:r>
          </w:p>
        </w:tc>
        <w:tc>
          <w:tcPr>
            <w:tcW w:w="86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default" w:ascii="宋体" w:hAnsi="宋体" w:cs="宋体"/>
                <w:color w:val="000000"/>
                <w:sz w:val="24"/>
                <w:szCs w:val="20"/>
              </w:rPr>
            </w:pPr>
          </w:p>
        </w:tc>
        <w:tc>
          <w:tcPr>
            <w:tcW w:w="240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c>
          <w:tcPr>
            <w:tcW w:w="26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before="0" w:beforeAutospacing="0" w:after="0" w:afterAutospacing="0"/>
              <w:ind w:left="0" w:right="0"/>
              <w:jc w:val="center"/>
              <w:textAlignment w:val="center"/>
              <w:rPr>
                <w:rFonts w:hint="eastAsia" w:ascii="宋体" w:hAnsi="宋体" w:eastAsia="宋体" w:cs="宋体"/>
                <w:color w:val="000000"/>
                <w:sz w:val="24"/>
                <w:szCs w:val="20"/>
                <w:lang w:eastAsia="zh-CN"/>
              </w:rPr>
            </w:pPr>
            <w:r>
              <w:rPr>
                <w:rFonts w:hint="eastAsia" w:ascii="宋体" w:hAnsi="宋体" w:cs="宋体"/>
                <w:color w:val="000000"/>
                <w:sz w:val="24"/>
                <w:szCs w:val="20"/>
                <w:lang w:eastAsia="zh-CN"/>
              </w:rPr>
              <w:t>≥</w:t>
            </w:r>
            <w:r>
              <w:rPr>
                <w:rFonts w:hint="eastAsia" w:ascii="宋体" w:hAnsi="宋体" w:cs="宋体"/>
                <w:color w:val="000000"/>
                <w:sz w:val="24"/>
                <w:szCs w:val="20"/>
                <w:lang w:val="en-US" w:eastAsia="zh-CN"/>
              </w:rPr>
              <w:t>90%</w:t>
            </w:r>
          </w:p>
        </w:tc>
      </w:tr>
    </w:tbl>
    <w:p>
      <w:pPr>
        <w:pStyle w:val="24"/>
        <w:numPr>
          <w:ilvl w:val="0"/>
          <w:numId w:val="0"/>
        </w:numPr>
        <w:rPr>
          <w:rFonts w:hint="eastAsia"/>
          <w:lang w:val="zh-CN" w:eastAsia="zh-CN"/>
        </w:rPr>
      </w:pPr>
    </w:p>
    <w:tbl>
      <w:tblPr>
        <w:tblStyle w:val="20"/>
        <w:tblpPr w:leftFromText="180" w:rightFromText="180" w:vertAnchor="text" w:horzAnchor="page" w:tblpXSpec="center" w:tblpY="423"/>
        <w:tblOverlap w:val="never"/>
        <w:tblW w:w="8655" w:type="dxa"/>
        <w:tblInd w:w="0" w:type="dxa"/>
        <w:tblLayout w:type="fixed"/>
        <w:tblCellMar>
          <w:top w:w="0" w:type="dxa"/>
          <w:left w:w="0" w:type="dxa"/>
          <w:bottom w:w="0" w:type="dxa"/>
          <w:right w:w="0" w:type="dxa"/>
        </w:tblCellMar>
      </w:tblPr>
      <w:tblGrid>
        <w:gridCol w:w="1354"/>
        <w:gridCol w:w="917"/>
        <w:gridCol w:w="933"/>
        <w:gridCol w:w="1671"/>
        <w:gridCol w:w="1729"/>
        <w:gridCol w:w="2051"/>
      </w:tblGrid>
      <w:tr>
        <w:tblPrEx>
          <w:tblCellMar>
            <w:top w:w="0" w:type="dxa"/>
            <w:left w:w="0" w:type="dxa"/>
            <w:bottom w:w="0" w:type="dxa"/>
            <w:right w:w="0" w:type="dxa"/>
          </w:tblCellMar>
        </w:tblPrEx>
        <w:trPr>
          <w:trHeight w:val="1342" w:hRule="atLeast"/>
        </w:trPr>
        <w:tc>
          <w:tcPr>
            <w:tcW w:w="8655" w:type="dxa"/>
            <w:gridSpan w:val="6"/>
            <w:noWrap w:val="0"/>
            <w:tcMar>
              <w:top w:w="15" w:type="dxa"/>
              <w:left w:w="15" w:type="dxa"/>
              <w:bottom w:w="0" w:type="dxa"/>
              <w:right w:w="15" w:type="dxa"/>
            </w:tcMar>
            <w:vAlign w:val="center"/>
          </w:tcPr>
          <w:p>
            <w:pPr>
              <w:widowControl/>
              <w:ind w:left="3247" w:leftChars="946" w:hanging="1260" w:hangingChars="35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01" w:hRule="atLeast"/>
        </w:trPr>
        <w:tc>
          <w:tcPr>
            <w:tcW w:w="320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545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公务用车购置</w:t>
            </w:r>
          </w:p>
        </w:tc>
      </w:tr>
      <w:tr>
        <w:tblPrEx>
          <w:tblCellMar>
            <w:top w:w="0" w:type="dxa"/>
            <w:left w:w="0" w:type="dxa"/>
            <w:bottom w:w="0" w:type="dxa"/>
            <w:right w:w="0" w:type="dxa"/>
          </w:tblCellMar>
        </w:tblPrEx>
        <w:trPr>
          <w:trHeight w:val="439" w:hRule="atLeast"/>
        </w:trPr>
        <w:tc>
          <w:tcPr>
            <w:tcW w:w="320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545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中共</w:t>
            </w:r>
            <w:r>
              <w:rPr>
                <w:rFonts w:hint="eastAsia" w:ascii="宋体" w:hAnsi="宋体" w:cs="宋体"/>
                <w:color w:val="000000"/>
                <w:sz w:val="24"/>
                <w:lang w:eastAsia="zh-CN"/>
              </w:rPr>
              <w:t>四川省</w:t>
            </w:r>
            <w:r>
              <w:rPr>
                <w:rFonts w:hint="eastAsia" w:ascii="宋体" w:hAnsi="宋体" w:cs="宋体"/>
                <w:color w:val="000000"/>
                <w:sz w:val="24"/>
              </w:rPr>
              <w:t>阿坝州</w:t>
            </w:r>
            <w:r>
              <w:rPr>
                <w:rFonts w:hint="eastAsia" w:ascii="宋体" w:hAnsi="宋体" w:cs="宋体"/>
                <w:color w:val="000000"/>
                <w:sz w:val="24"/>
                <w:lang w:eastAsia="zh-CN"/>
              </w:rPr>
              <w:t>委宣传部</w:t>
            </w:r>
          </w:p>
        </w:tc>
      </w:tr>
      <w:tr>
        <w:tblPrEx>
          <w:tblCellMar>
            <w:top w:w="0" w:type="dxa"/>
            <w:left w:w="0" w:type="dxa"/>
            <w:bottom w:w="0" w:type="dxa"/>
            <w:right w:w="0" w:type="dxa"/>
          </w:tblCellMar>
        </w:tblPrEx>
        <w:trPr>
          <w:trHeight w:val="459"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59.98</w:t>
            </w:r>
          </w:p>
        </w:tc>
      </w:tr>
      <w:tr>
        <w:tblPrEx>
          <w:tblCellMar>
            <w:top w:w="0" w:type="dxa"/>
            <w:left w:w="0" w:type="dxa"/>
            <w:bottom w:w="0" w:type="dxa"/>
            <w:right w:w="0" w:type="dxa"/>
          </w:tblCellMar>
        </w:tblPrEx>
        <w:trPr>
          <w:trHeight w:val="407"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60</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59.98</w:t>
            </w:r>
          </w:p>
        </w:tc>
      </w:tr>
      <w:tr>
        <w:tblPrEx>
          <w:tblCellMar>
            <w:top w:w="0" w:type="dxa"/>
            <w:left w:w="0" w:type="dxa"/>
            <w:bottom w:w="0" w:type="dxa"/>
            <w:right w:w="0" w:type="dxa"/>
          </w:tblCellMar>
        </w:tblPrEx>
        <w:trPr>
          <w:trHeight w:val="409"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4"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236"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3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购置应急保障用车</w:t>
            </w:r>
            <w:r>
              <w:rPr>
                <w:rFonts w:hint="eastAsia" w:ascii="宋体" w:hAnsi="宋体" w:cs="宋体"/>
                <w:color w:val="000000"/>
                <w:sz w:val="24"/>
                <w:lang w:val="en-US" w:eastAsia="zh-CN"/>
              </w:rPr>
              <w:t>1辆。</w:t>
            </w:r>
          </w:p>
        </w:tc>
        <w:tc>
          <w:tcPr>
            <w:tcW w:w="3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12月完成购置应急保障用车1辆。</w:t>
            </w:r>
          </w:p>
        </w:tc>
      </w:tr>
      <w:tr>
        <w:tblPrEx>
          <w:tblCellMar>
            <w:top w:w="0" w:type="dxa"/>
            <w:left w:w="0" w:type="dxa"/>
            <w:bottom w:w="0" w:type="dxa"/>
            <w:right w:w="0" w:type="dxa"/>
          </w:tblCellMar>
        </w:tblPrEx>
        <w:trPr>
          <w:trHeight w:val="1170"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340"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1辆</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1辆</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辆</w:t>
            </w:r>
          </w:p>
        </w:tc>
      </w:tr>
      <w:tr>
        <w:tblPrEx>
          <w:tblCellMar>
            <w:top w:w="0" w:type="dxa"/>
            <w:left w:w="0" w:type="dxa"/>
            <w:bottom w:w="0" w:type="dxa"/>
            <w:right w:w="0" w:type="dxa"/>
          </w:tblCellMar>
        </w:tblPrEx>
        <w:trPr>
          <w:trHeight w:val="1639"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成本</w:t>
            </w:r>
            <w:r>
              <w:rPr>
                <w:rFonts w:hint="eastAsia" w:ascii="宋体" w:hAnsi="宋体" w:cs="宋体"/>
                <w:color w:val="000000"/>
                <w:sz w:val="24"/>
              </w:rPr>
              <w:t>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裸车价值</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应急保障用车</w:t>
            </w:r>
            <w:r>
              <w:rPr>
                <w:rFonts w:hint="eastAsia" w:ascii="宋体" w:hAnsi="宋体" w:cs="宋体"/>
                <w:color w:val="000000"/>
                <w:sz w:val="24"/>
                <w:lang w:val="en-US" w:eastAsia="zh-CN"/>
              </w:rPr>
              <w:t>60万以下</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应急保障用车裸车价</w:t>
            </w:r>
            <w:r>
              <w:rPr>
                <w:rFonts w:hint="eastAsia" w:ascii="宋体" w:hAnsi="宋体" w:cs="宋体"/>
                <w:color w:val="000000"/>
                <w:sz w:val="24"/>
                <w:lang w:val="en-US" w:eastAsia="zh-CN"/>
              </w:rPr>
              <w:t>59.98万元。</w:t>
            </w:r>
          </w:p>
        </w:tc>
      </w:tr>
      <w:tr>
        <w:tblPrEx>
          <w:tblCellMar>
            <w:top w:w="0" w:type="dxa"/>
            <w:left w:w="0" w:type="dxa"/>
            <w:bottom w:w="0" w:type="dxa"/>
            <w:right w:w="0" w:type="dxa"/>
          </w:tblCellMar>
        </w:tblPrEx>
        <w:trPr>
          <w:trHeight w:val="785"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完成时效</w:t>
            </w:r>
          </w:p>
        </w:tc>
        <w:tc>
          <w:tcPr>
            <w:tcW w:w="172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年1</w:t>
            </w:r>
            <w:r>
              <w:rPr>
                <w:rFonts w:hint="eastAsia" w:ascii="宋体" w:hAnsi="宋体" w:cs="宋体"/>
                <w:color w:val="000000"/>
                <w:sz w:val="24"/>
                <w:lang w:val="en-US" w:eastAsia="zh-CN"/>
              </w:rPr>
              <w:t>2</w:t>
            </w:r>
            <w:r>
              <w:rPr>
                <w:rFonts w:hint="eastAsia" w:ascii="宋体" w:hAnsi="宋体" w:cs="宋体"/>
                <w:color w:val="000000"/>
                <w:sz w:val="24"/>
              </w:rPr>
              <w:t>月前</w:t>
            </w:r>
          </w:p>
        </w:tc>
        <w:tc>
          <w:tcPr>
            <w:tcW w:w="205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20</w:t>
            </w:r>
            <w:r>
              <w:rPr>
                <w:rFonts w:hint="eastAsia" w:ascii="宋体" w:hAnsi="宋体" w:cs="宋体"/>
                <w:color w:val="000000"/>
                <w:sz w:val="24"/>
              </w:rPr>
              <w:t>年1</w:t>
            </w:r>
            <w:r>
              <w:rPr>
                <w:rFonts w:hint="eastAsia" w:ascii="宋体" w:hAnsi="宋体" w:cs="宋体"/>
                <w:color w:val="000000"/>
                <w:sz w:val="24"/>
                <w:lang w:val="en-US" w:eastAsia="zh-CN"/>
              </w:rPr>
              <w:t>2</w:t>
            </w:r>
            <w:r>
              <w:rPr>
                <w:rFonts w:hint="eastAsia" w:ascii="宋体" w:hAnsi="宋体" w:cs="宋体"/>
                <w:color w:val="000000"/>
                <w:sz w:val="24"/>
              </w:rPr>
              <w:t>月</w:t>
            </w:r>
          </w:p>
        </w:tc>
      </w:tr>
    </w:tbl>
    <w:p>
      <w:pPr>
        <w:pStyle w:val="24"/>
        <w:numPr>
          <w:ilvl w:val="0"/>
          <w:numId w:val="0"/>
        </w:numPr>
        <w:rPr>
          <w:rFonts w:hint="eastAsia"/>
          <w:lang w:val="zh-CN" w:eastAsia="zh-CN"/>
        </w:rPr>
      </w:pPr>
    </w:p>
    <w:tbl>
      <w:tblPr>
        <w:tblStyle w:val="20"/>
        <w:tblpPr w:leftFromText="180" w:rightFromText="180" w:vertAnchor="text" w:horzAnchor="page" w:tblpXSpec="center" w:tblpY="423"/>
        <w:tblOverlap w:val="never"/>
        <w:tblW w:w="8655" w:type="dxa"/>
        <w:tblInd w:w="0" w:type="dxa"/>
        <w:tblLayout w:type="fixed"/>
        <w:tblCellMar>
          <w:top w:w="0" w:type="dxa"/>
          <w:left w:w="0" w:type="dxa"/>
          <w:bottom w:w="0" w:type="dxa"/>
          <w:right w:w="0" w:type="dxa"/>
        </w:tblCellMar>
      </w:tblPr>
      <w:tblGrid>
        <w:gridCol w:w="1354"/>
        <w:gridCol w:w="917"/>
        <w:gridCol w:w="933"/>
        <w:gridCol w:w="1671"/>
        <w:gridCol w:w="1311"/>
        <w:gridCol w:w="2469"/>
      </w:tblGrid>
      <w:tr>
        <w:tblPrEx>
          <w:tblCellMar>
            <w:top w:w="0" w:type="dxa"/>
            <w:left w:w="0" w:type="dxa"/>
            <w:bottom w:w="0" w:type="dxa"/>
            <w:right w:w="0" w:type="dxa"/>
          </w:tblCellMar>
        </w:tblPrEx>
        <w:trPr>
          <w:trHeight w:val="1852" w:hRule="atLeast"/>
        </w:trPr>
        <w:tc>
          <w:tcPr>
            <w:tcW w:w="8655" w:type="dxa"/>
            <w:gridSpan w:val="6"/>
            <w:noWrap w:val="0"/>
            <w:tcMar>
              <w:top w:w="15" w:type="dxa"/>
              <w:left w:w="15" w:type="dxa"/>
              <w:bottom w:w="0" w:type="dxa"/>
              <w:right w:w="15" w:type="dxa"/>
            </w:tcMar>
            <w:vAlign w:val="center"/>
          </w:tcPr>
          <w:p>
            <w:pPr>
              <w:widowControl/>
              <w:ind w:left="3247" w:leftChars="946" w:hanging="1260" w:hangingChars="350"/>
              <w:textAlignment w:val="center"/>
              <w:rPr>
                <w:rFonts w:hint="eastAsia" w:ascii="黑体" w:hAnsi="黑体" w:eastAsia="黑体" w:cs="宋体"/>
                <w:bCs/>
                <w:color w:val="000000"/>
                <w:kern w:val="0"/>
                <w:sz w:val="36"/>
                <w:szCs w:val="36"/>
              </w:rPr>
            </w:pPr>
          </w:p>
          <w:p>
            <w:pPr>
              <w:widowControl/>
              <w:ind w:left="3247" w:leftChars="946" w:hanging="1260" w:hangingChars="350"/>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501" w:hRule="atLeast"/>
        </w:trPr>
        <w:tc>
          <w:tcPr>
            <w:tcW w:w="320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545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中央、省“两会”期间媒体宣传项目</w:t>
            </w:r>
          </w:p>
        </w:tc>
      </w:tr>
      <w:tr>
        <w:tblPrEx>
          <w:tblCellMar>
            <w:top w:w="0" w:type="dxa"/>
            <w:left w:w="0" w:type="dxa"/>
            <w:bottom w:w="0" w:type="dxa"/>
            <w:right w:w="0" w:type="dxa"/>
          </w:tblCellMar>
        </w:tblPrEx>
        <w:trPr>
          <w:trHeight w:val="439" w:hRule="atLeast"/>
        </w:trPr>
        <w:tc>
          <w:tcPr>
            <w:tcW w:w="320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545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中共</w:t>
            </w:r>
            <w:r>
              <w:rPr>
                <w:rFonts w:hint="eastAsia" w:ascii="宋体" w:hAnsi="宋体" w:cs="宋体"/>
                <w:color w:val="000000"/>
                <w:sz w:val="24"/>
                <w:lang w:eastAsia="zh-CN"/>
              </w:rPr>
              <w:t>四川省</w:t>
            </w:r>
            <w:r>
              <w:rPr>
                <w:rFonts w:hint="eastAsia" w:ascii="宋体" w:hAnsi="宋体" w:cs="宋体"/>
                <w:color w:val="000000"/>
                <w:sz w:val="24"/>
              </w:rPr>
              <w:t>阿坝州</w:t>
            </w:r>
            <w:r>
              <w:rPr>
                <w:rFonts w:hint="eastAsia" w:ascii="宋体" w:hAnsi="宋体" w:cs="宋体"/>
                <w:color w:val="000000"/>
                <w:sz w:val="24"/>
                <w:lang w:eastAsia="zh-CN"/>
              </w:rPr>
              <w:t>委宣传部</w:t>
            </w:r>
          </w:p>
        </w:tc>
      </w:tr>
      <w:tr>
        <w:tblPrEx>
          <w:tblCellMar>
            <w:top w:w="0" w:type="dxa"/>
            <w:left w:w="0" w:type="dxa"/>
            <w:bottom w:w="0" w:type="dxa"/>
            <w:right w:w="0" w:type="dxa"/>
          </w:tblCellMar>
        </w:tblPrEx>
        <w:trPr>
          <w:trHeight w:val="459"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75</w:t>
            </w:r>
          </w:p>
        </w:tc>
        <w:tc>
          <w:tcPr>
            <w:tcW w:w="131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6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75</w:t>
            </w:r>
          </w:p>
        </w:tc>
      </w:tr>
      <w:tr>
        <w:tblPrEx>
          <w:tblCellMar>
            <w:top w:w="0" w:type="dxa"/>
            <w:left w:w="0" w:type="dxa"/>
            <w:bottom w:w="0" w:type="dxa"/>
            <w:right w:w="0" w:type="dxa"/>
          </w:tblCellMar>
        </w:tblPrEx>
        <w:trPr>
          <w:trHeight w:val="407"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75</w:t>
            </w:r>
          </w:p>
        </w:tc>
        <w:tc>
          <w:tcPr>
            <w:tcW w:w="131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6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75</w:t>
            </w:r>
          </w:p>
        </w:tc>
      </w:tr>
      <w:tr>
        <w:tblPrEx>
          <w:tblCellMar>
            <w:top w:w="0" w:type="dxa"/>
            <w:left w:w="0" w:type="dxa"/>
            <w:bottom w:w="0" w:type="dxa"/>
            <w:right w:w="0" w:type="dxa"/>
          </w:tblCellMar>
        </w:tblPrEx>
        <w:trPr>
          <w:trHeight w:val="409"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18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131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6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464"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3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3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3490"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35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Style w:val="19"/>
              <w:keepNext w:val="0"/>
              <w:keepLines w:val="0"/>
              <w:pageBreakBefore w:val="0"/>
              <w:numPr>
                <w:ilvl w:val="0"/>
                <w:numId w:val="0"/>
              </w:numPr>
              <w:kinsoku/>
              <w:wordWrap/>
              <w:overflowPunct/>
              <w:topLinePunct w:val="0"/>
              <w:autoSpaceDN/>
              <w:bidi w:val="0"/>
              <w:adjustRightInd/>
              <w:spacing w:beforeAutospacing="0" w:after="0" w:afterAutospacing="0" w:line="520" w:lineRule="exac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通过</w:t>
            </w:r>
            <w:r>
              <w:rPr>
                <w:rFonts w:hint="eastAsia" w:ascii="宋体" w:hAnsi="宋体" w:cs="宋体"/>
                <w:color w:val="000000"/>
                <w:kern w:val="0"/>
                <w:sz w:val="24"/>
                <w:szCs w:val="24"/>
                <w:lang w:val="en-US" w:eastAsia="zh-CN" w:bidi="ar-SA"/>
              </w:rPr>
              <w:t>媒体</w:t>
            </w:r>
            <w:r>
              <w:rPr>
                <w:rFonts w:hint="eastAsia" w:ascii="宋体" w:hAnsi="宋体" w:eastAsia="宋体" w:cs="宋体"/>
                <w:color w:val="000000"/>
                <w:kern w:val="0"/>
                <w:sz w:val="24"/>
                <w:szCs w:val="24"/>
                <w:lang w:val="en-US" w:eastAsia="zh-CN" w:bidi="ar-SA"/>
              </w:rPr>
              <w:t>宣传平台推出以“见证·阿坝全域脱贫摘帽观察”为总栏题的专题报道，充分展现我州脱贫攻坚以来的发展成就，生动解读脱贫奔康过程中的特色亮点工作，并对全面建成小康社会进行展望。</w:t>
            </w:r>
          </w:p>
          <w:p>
            <w:pPr>
              <w:widowControl/>
              <w:jc w:val="left"/>
              <w:textAlignment w:val="center"/>
              <w:rPr>
                <w:rFonts w:ascii="宋体" w:hAnsi="宋体" w:cs="宋体"/>
                <w:color w:val="000000"/>
                <w:sz w:val="24"/>
              </w:rPr>
            </w:pPr>
          </w:p>
        </w:tc>
        <w:tc>
          <w:tcPr>
            <w:tcW w:w="3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仿宋_GB2312" w:hAnsi="Calibri" w:eastAsia="仿宋_GB2312" w:cs="Times New Roman"/>
                <w:color w:val="auto"/>
                <w:kern w:val="2"/>
                <w:sz w:val="32"/>
                <w:szCs w:val="32"/>
                <w:lang w:val="en-US" w:eastAsia="zh-CN" w:bidi="ar-SA"/>
              </w:rPr>
            </w:pPr>
            <w:r>
              <w:rPr>
                <w:rFonts w:hint="eastAsia" w:ascii="宋体" w:hAnsi="宋体" w:eastAsia="宋体" w:cs="宋体"/>
                <w:color w:val="000000"/>
                <w:kern w:val="0"/>
                <w:sz w:val="24"/>
                <w:szCs w:val="24"/>
                <w:lang w:val="en-US" w:eastAsia="zh-CN" w:bidi="ar-SA"/>
              </w:rPr>
              <w:t>关于“两会月”时间节点的宣传，突出历史纵深构思，以历史的眼光谈脱贫成果，以科学的视野谈生态发展，以民生的视角谈民族团结，构建起阿坝脱贫奔康这一伟大成就的历史意义和特殊价值。</w:t>
            </w:r>
          </w:p>
          <w:p>
            <w:pPr>
              <w:widowControl/>
              <w:jc w:val="left"/>
              <w:textAlignment w:val="center"/>
              <w:rPr>
                <w:rFonts w:hint="eastAsia" w:ascii="宋体" w:hAnsi="宋体" w:cs="宋体"/>
                <w:color w:val="000000"/>
                <w:sz w:val="24"/>
              </w:rPr>
            </w:pPr>
          </w:p>
        </w:tc>
      </w:tr>
      <w:tr>
        <w:tblPrEx>
          <w:tblCellMar>
            <w:top w:w="0" w:type="dxa"/>
            <w:left w:w="0" w:type="dxa"/>
            <w:bottom w:w="0" w:type="dxa"/>
            <w:right w:w="0" w:type="dxa"/>
          </w:tblCellMar>
        </w:tblPrEx>
        <w:trPr>
          <w:trHeight w:val="1170" w:hRule="atLeast"/>
        </w:trPr>
        <w:tc>
          <w:tcPr>
            <w:tcW w:w="13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131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46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324"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数量</w:t>
            </w:r>
            <w:r>
              <w:rPr>
                <w:rFonts w:hint="eastAsia" w:ascii="宋体" w:hAnsi="宋体" w:eastAsia="宋体" w:cs="宋体"/>
                <w:color w:val="000000"/>
                <w:kern w:val="0"/>
                <w:sz w:val="24"/>
              </w:rPr>
              <w:t>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人数</w:t>
            </w:r>
          </w:p>
        </w:tc>
        <w:tc>
          <w:tcPr>
            <w:tcW w:w="131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7人</w:t>
            </w:r>
          </w:p>
        </w:tc>
        <w:tc>
          <w:tcPr>
            <w:tcW w:w="246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“川报区域中心领导带队+川报阿坝记者站+川报总部资深记者”组成的深度宣传组</w:t>
            </w:r>
          </w:p>
        </w:tc>
      </w:tr>
      <w:tr>
        <w:tblPrEx>
          <w:tblCellMar>
            <w:top w:w="0" w:type="dxa"/>
            <w:left w:w="0" w:type="dxa"/>
            <w:bottom w:w="0" w:type="dxa"/>
            <w:right w:w="0" w:type="dxa"/>
          </w:tblCellMar>
        </w:tblPrEx>
        <w:trPr>
          <w:trHeight w:val="1273"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开设专版</w:t>
            </w:r>
          </w:p>
        </w:tc>
        <w:tc>
          <w:tcPr>
            <w:tcW w:w="131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eastAsia="宋体" w:cs="宋体"/>
                <w:color w:val="000000"/>
                <w:sz w:val="24"/>
                <w:lang w:val="en-US" w:eastAsia="zh-CN"/>
              </w:rPr>
              <w:t>推出用5个专刊和3个新闻版面进行刊发</w:t>
            </w:r>
          </w:p>
        </w:tc>
        <w:tc>
          <w:tcPr>
            <w:tcW w:w="246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0"/>
                <w:sz w:val="24"/>
                <w:szCs w:val="24"/>
                <w:lang w:val="en-US" w:eastAsia="zh-CN" w:bidi="ar-SA"/>
              </w:rPr>
              <w:t>全州脱贫奔康综述、生态扶贫、交通扶贫、东西部扶贫协作、“两联一进”。</w:t>
            </w:r>
          </w:p>
        </w:tc>
      </w:tr>
      <w:tr>
        <w:tblPrEx>
          <w:tblCellMar>
            <w:top w:w="0" w:type="dxa"/>
            <w:left w:w="0" w:type="dxa"/>
            <w:bottom w:w="0" w:type="dxa"/>
            <w:right w:w="0" w:type="dxa"/>
          </w:tblCellMar>
        </w:tblPrEx>
        <w:trPr>
          <w:trHeight w:val="785"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p>
        </w:tc>
        <w:tc>
          <w:tcPr>
            <w:tcW w:w="131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75万元</w:t>
            </w:r>
          </w:p>
        </w:tc>
        <w:tc>
          <w:tcPr>
            <w:tcW w:w="246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完成8个整版讲述阿坝脱贫奔康故事</w:t>
            </w:r>
          </w:p>
        </w:tc>
      </w:tr>
      <w:tr>
        <w:tblPrEx>
          <w:tblCellMar>
            <w:top w:w="0" w:type="dxa"/>
            <w:left w:w="0" w:type="dxa"/>
            <w:bottom w:w="0" w:type="dxa"/>
            <w:right w:w="0" w:type="dxa"/>
          </w:tblCellMar>
        </w:tblPrEx>
        <w:trPr>
          <w:trHeight w:val="1292" w:hRule="atLeast"/>
        </w:trPr>
        <w:tc>
          <w:tcPr>
            <w:tcW w:w="1354"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sz w:val="24"/>
              </w:rPr>
            </w:pPr>
          </w:p>
        </w:tc>
        <w:tc>
          <w:tcPr>
            <w:tcW w:w="91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93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167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center"/>
              <w:textAlignment w:val="center"/>
              <w:rPr>
                <w:rFonts w:hint="eastAsia" w:ascii="宋体" w:hAnsi="宋体" w:cs="宋体"/>
                <w:color w:val="000000"/>
                <w:sz w:val="24"/>
              </w:rPr>
            </w:pPr>
            <w:r>
              <w:rPr>
                <w:rFonts w:hint="eastAsia" w:ascii="宋体" w:hAnsi="宋体" w:eastAsia="宋体" w:cs="宋体"/>
                <w:color w:val="000000"/>
                <w:sz w:val="24"/>
                <w:lang w:eastAsia="zh-CN"/>
              </w:rPr>
              <w:t>充分展现我州脱贫攻坚以来的发展成就</w:t>
            </w:r>
          </w:p>
        </w:tc>
        <w:tc>
          <w:tcPr>
            <w:tcW w:w="1311"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jc w:val="both"/>
              <w:textAlignment w:val="center"/>
              <w:rPr>
                <w:rFonts w:ascii="宋体" w:hAnsi="宋体" w:cs="宋体"/>
                <w:color w:val="000000"/>
                <w:sz w:val="24"/>
              </w:rPr>
            </w:pPr>
            <w:r>
              <w:rPr>
                <w:rFonts w:hint="eastAsia" w:ascii="宋体" w:hAnsi="宋体" w:eastAsia="宋体" w:cs="宋体"/>
                <w:color w:val="000000"/>
                <w:sz w:val="24"/>
                <w:lang w:val="en-US" w:eastAsia="zh-CN"/>
              </w:rPr>
              <w:t>宣传阿坝州脱贫奔康伟大历程、思路举措。</w:t>
            </w:r>
          </w:p>
        </w:tc>
        <w:tc>
          <w:tcPr>
            <w:tcW w:w="2469"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pStyle w:val="19"/>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240" w:lineRule="auto"/>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“见证·阿坝全域脱贫摘帽观察”为总栏题的专题报道，充分展现我州脱贫攻坚以来的发展成就，生动解读脱贫奔康过程中的特色亮点工作，并对全面建成小康社会进行展望。</w:t>
            </w:r>
          </w:p>
        </w:tc>
      </w:tr>
    </w:tbl>
    <w:p>
      <w:pPr>
        <w:pStyle w:val="24"/>
        <w:numPr>
          <w:ilvl w:val="0"/>
          <w:numId w:val="0"/>
        </w:numPr>
        <w:jc w:val="center"/>
        <w:rPr>
          <w:rFonts w:hint="eastAsia"/>
          <w:lang w:val="zh-CN" w:eastAsia="zh-CN"/>
        </w:rPr>
      </w:pPr>
    </w:p>
    <w:p>
      <w:pPr>
        <w:pStyle w:val="24"/>
        <w:numPr>
          <w:ilvl w:val="0"/>
          <w:numId w:val="0"/>
        </w:numPr>
        <w:rPr>
          <w:rFonts w:hint="eastAsia"/>
          <w:lang w:val="zh-CN" w:eastAsia="zh-CN"/>
        </w:rPr>
      </w:pPr>
    </w:p>
    <w:tbl>
      <w:tblPr>
        <w:tblStyle w:val="20"/>
        <w:tblpPr w:leftFromText="180" w:rightFromText="180" w:vertAnchor="text" w:horzAnchor="page" w:tblpX="2020" w:tblpY="336"/>
        <w:tblOverlap w:val="never"/>
        <w:tblW w:w="7920" w:type="dxa"/>
        <w:tblInd w:w="0" w:type="dxa"/>
        <w:shd w:val="clear" w:color="auto" w:fill="auto"/>
        <w:tblLayout w:type="autofit"/>
        <w:tblCellMar>
          <w:top w:w="0" w:type="dxa"/>
          <w:left w:w="108" w:type="dxa"/>
          <w:bottom w:w="0" w:type="dxa"/>
          <w:right w:w="108" w:type="dxa"/>
        </w:tblCellMar>
      </w:tblPr>
      <w:tblGrid>
        <w:gridCol w:w="939"/>
        <w:gridCol w:w="509"/>
        <w:gridCol w:w="779"/>
        <w:gridCol w:w="1329"/>
        <w:gridCol w:w="1219"/>
        <w:gridCol w:w="1018"/>
        <w:gridCol w:w="949"/>
        <w:gridCol w:w="1178"/>
      </w:tblGrid>
      <w:tr>
        <w:tblPrEx>
          <w:shd w:val="clear" w:color="auto" w:fill="auto"/>
          <w:tblCellMar>
            <w:top w:w="0" w:type="dxa"/>
            <w:left w:w="108" w:type="dxa"/>
            <w:bottom w:w="0" w:type="dxa"/>
            <w:right w:w="108" w:type="dxa"/>
          </w:tblCellMar>
        </w:tblPrEx>
        <w:trPr>
          <w:trHeight w:val="119" w:hRule="atLeast"/>
        </w:trPr>
        <w:tc>
          <w:tcPr>
            <w:tcW w:w="7920"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41"/>
                <w:lang w:val="en-US" w:eastAsia="zh-CN" w:bidi="ar"/>
              </w:rPr>
              <w:t>项目绩效目标自评表</w:t>
            </w:r>
            <w:r>
              <w:rPr>
                <w:rStyle w:val="42"/>
                <w:lang w:val="en-US" w:eastAsia="zh-CN" w:bidi="ar"/>
              </w:rPr>
              <w:t xml:space="preserve"> </w:t>
            </w:r>
          </w:p>
        </w:tc>
      </w:tr>
      <w:tr>
        <w:tblPrEx>
          <w:shd w:val="clear" w:color="auto" w:fill="auto"/>
          <w:tblCellMar>
            <w:top w:w="0" w:type="dxa"/>
            <w:left w:w="108" w:type="dxa"/>
            <w:bottom w:w="0" w:type="dxa"/>
            <w:right w:w="108" w:type="dxa"/>
          </w:tblCellMar>
        </w:tblPrEx>
        <w:trPr>
          <w:trHeight w:val="90" w:hRule="atLeast"/>
        </w:trPr>
        <w:tc>
          <w:tcPr>
            <w:tcW w:w="7920" w:type="dxa"/>
            <w:gridSpan w:val="8"/>
            <w:tcBorders>
              <w:top w:val="nil"/>
              <w:left w:val="nil"/>
              <w:bottom w:val="single" w:color="000000" w:sz="4" w:space="0"/>
              <w:right w:val="nil"/>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r>
      <w:tr>
        <w:tblPrEx>
          <w:shd w:val="clear" w:color="auto" w:fill="auto"/>
          <w:tblCellMar>
            <w:top w:w="0" w:type="dxa"/>
            <w:left w:w="108" w:type="dxa"/>
            <w:bottom w:w="0" w:type="dxa"/>
            <w:right w:w="108" w:type="dxa"/>
          </w:tblCellMar>
        </w:tblPrEx>
        <w:trPr>
          <w:trHeight w:val="90" w:hRule="atLeast"/>
        </w:trPr>
        <w:tc>
          <w:tcPr>
            <w:tcW w:w="22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专项（项目）名称</w:t>
            </w:r>
          </w:p>
        </w:tc>
        <w:tc>
          <w:tcPr>
            <w:tcW w:w="56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省级国家电影事业发展专项资金</w:t>
            </w:r>
          </w:p>
        </w:tc>
      </w:tr>
      <w:tr>
        <w:tblPrEx>
          <w:shd w:val="clear" w:color="auto" w:fill="auto"/>
          <w:tblCellMar>
            <w:top w:w="0" w:type="dxa"/>
            <w:left w:w="108" w:type="dxa"/>
            <w:bottom w:w="0" w:type="dxa"/>
            <w:right w:w="108" w:type="dxa"/>
          </w:tblCellMar>
        </w:tblPrEx>
        <w:trPr>
          <w:trHeight w:val="90" w:hRule="atLeast"/>
        </w:trPr>
        <w:tc>
          <w:tcPr>
            <w:tcW w:w="22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项目单位</w:t>
            </w:r>
          </w:p>
        </w:tc>
        <w:tc>
          <w:tcPr>
            <w:tcW w:w="2548"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中共四川省阿坝州委宣传部</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实施科室/单位</w:t>
            </w:r>
          </w:p>
        </w:tc>
        <w:tc>
          <w:tcPr>
            <w:tcW w:w="2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宣教科</w:t>
            </w:r>
          </w:p>
        </w:tc>
      </w:tr>
      <w:tr>
        <w:tblPrEx>
          <w:shd w:val="clear" w:color="auto" w:fill="auto"/>
          <w:tblCellMar>
            <w:top w:w="0" w:type="dxa"/>
            <w:left w:w="108" w:type="dxa"/>
            <w:bottom w:w="0" w:type="dxa"/>
            <w:right w:w="108" w:type="dxa"/>
          </w:tblCellMar>
        </w:tblPrEx>
        <w:trPr>
          <w:trHeight w:val="90" w:hRule="atLeast"/>
        </w:trPr>
        <w:tc>
          <w:tcPr>
            <w:tcW w:w="222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项目资金（万元）</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color w:val="000000"/>
                <w:kern w:val="2"/>
                <w:sz w:val="24"/>
                <w:szCs w:val="24"/>
                <w:lang w:val="en-US" w:eastAsia="zh-CN" w:bidi="ar-SA"/>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全年预算数（A）</w:t>
            </w:r>
          </w:p>
        </w:tc>
        <w:tc>
          <w:tcPr>
            <w:tcW w:w="1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全年执行数（B）</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执行率（B/A)</w:t>
            </w:r>
          </w:p>
        </w:tc>
      </w:tr>
      <w:tr>
        <w:tblPrEx>
          <w:shd w:val="clear" w:color="auto" w:fill="auto"/>
          <w:tblCellMar>
            <w:top w:w="0" w:type="dxa"/>
            <w:left w:w="108" w:type="dxa"/>
            <w:bottom w:w="0" w:type="dxa"/>
            <w:right w:w="108" w:type="dxa"/>
          </w:tblCellMar>
        </w:tblPrEx>
        <w:trPr>
          <w:trHeight w:val="121" w:hRule="atLeast"/>
        </w:trPr>
        <w:tc>
          <w:tcPr>
            <w:tcW w:w="222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       省级资金</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1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100%%</w:t>
            </w:r>
          </w:p>
        </w:tc>
      </w:tr>
      <w:tr>
        <w:tblPrEx>
          <w:shd w:val="clear" w:color="auto" w:fill="auto"/>
          <w:tblCellMar>
            <w:top w:w="0" w:type="dxa"/>
            <w:left w:w="108" w:type="dxa"/>
            <w:bottom w:w="0" w:type="dxa"/>
            <w:right w:w="108" w:type="dxa"/>
          </w:tblCellMar>
        </w:tblPrEx>
        <w:trPr>
          <w:trHeight w:val="90" w:hRule="atLeast"/>
        </w:trPr>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年度总体目标</w:t>
            </w:r>
          </w:p>
        </w:tc>
        <w:tc>
          <w:tcPr>
            <w:tcW w:w="38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年初设定目标</w:t>
            </w:r>
          </w:p>
        </w:tc>
        <w:tc>
          <w:tcPr>
            <w:tcW w:w="3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全年实际完成情况</w:t>
            </w:r>
          </w:p>
        </w:tc>
      </w:tr>
      <w:tr>
        <w:tblPrEx>
          <w:shd w:val="clear" w:color="auto" w:fill="auto"/>
          <w:tblCellMar>
            <w:top w:w="0" w:type="dxa"/>
            <w:left w:w="108" w:type="dxa"/>
            <w:bottom w:w="0" w:type="dxa"/>
            <w:right w:w="108" w:type="dxa"/>
          </w:tblCellMar>
        </w:tblPrEx>
        <w:trPr>
          <w:trHeight w:val="90" w:hRule="atLeast"/>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p>
        </w:tc>
        <w:tc>
          <w:tcPr>
            <w:tcW w:w="38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完成带帽项目资金支付。</w:t>
            </w:r>
          </w:p>
        </w:tc>
        <w:tc>
          <w:tcPr>
            <w:tcW w:w="31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已完成</w:t>
            </w:r>
          </w:p>
        </w:tc>
      </w:tr>
      <w:tr>
        <w:tblPrEx>
          <w:shd w:val="clear" w:color="auto" w:fill="auto"/>
          <w:tblCellMar>
            <w:top w:w="0" w:type="dxa"/>
            <w:left w:w="108" w:type="dxa"/>
            <w:bottom w:w="0" w:type="dxa"/>
            <w:right w:w="108" w:type="dxa"/>
          </w:tblCellMar>
        </w:tblPrEx>
        <w:trPr>
          <w:trHeight w:val="239" w:hRule="atLeast"/>
        </w:trPr>
        <w:tc>
          <w:tcPr>
            <w:tcW w:w="93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绩效指标</w:t>
            </w: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一级</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指标</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二级指标</w:t>
            </w:r>
          </w:p>
        </w:tc>
        <w:tc>
          <w:tcPr>
            <w:tcW w:w="25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三级指标</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年度指标值</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全年完成值</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未完成原因和改进措施</w:t>
            </w:r>
          </w:p>
        </w:tc>
      </w:tr>
      <w:tr>
        <w:tblPrEx>
          <w:shd w:val="clear" w:color="auto" w:fill="auto"/>
          <w:tblCellMar>
            <w:top w:w="0" w:type="dxa"/>
            <w:left w:w="108" w:type="dxa"/>
            <w:bottom w:w="0" w:type="dxa"/>
            <w:right w:w="108" w:type="dxa"/>
          </w:tblCellMar>
        </w:tblPrEx>
        <w:trPr>
          <w:trHeight w:val="90" w:hRule="atLeast"/>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color w:val="000000"/>
                <w:kern w:val="2"/>
                <w:sz w:val="24"/>
                <w:szCs w:val="24"/>
                <w:lang w:val="en-US" w:eastAsia="zh-CN" w:bidi="ar-SA"/>
              </w:rPr>
            </w:pPr>
          </w:p>
        </w:tc>
        <w:tc>
          <w:tcPr>
            <w:tcW w:w="5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产</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出</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指</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标</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数量指标</w:t>
            </w:r>
          </w:p>
        </w:tc>
        <w:tc>
          <w:tcPr>
            <w:tcW w:w="25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金额</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100%</w:t>
            </w:r>
          </w:p>
        </w:tc>
      </w:tr>
      <w:tr>
        <w:tblPrEx>
          <w:shd w:val="clear" w:color="auto" w:fill="auto"/>
          <w:tblCellMar>
            <w:top w:w="0" w:type="dxa"/>
            <w:left w:w="108" w:type="dxa"/>
            <w:bottom w:w="0" w:type="dxa"/>
            <w:right w:w="108" w:type="dxa"/>
          </w:tblCellMar>
        </w:tblPrEx>
        <w:trPr>
          <w:trHeight w:val="90" w:hRule="atLeast"/>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color w:val="000000"/>
                <w:kern w:val="2"/>
                <w:sz w:val="24"/>
                <w:szCs w:val="24"/>
                <w:lang w:val="en-US" w:eastAsia="zh-CN" w:bidi="ar-SA"/>
              </w:rPr>
            </w:pPr>
          </w:p>
        </w:tc>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时效指标</w:t>
            </w:r>
          </w:p>
        </w:tc>
        <w:tc>
          <w:tcPr>
            <w:tcW w:w="25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5月完成</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color w:val="000000"/>
                <w:kern w:val="2"/>
                <w:sz w:val="24"/>
                <w:szCs w:val="24"/>
                <w:lang w:val="en-US" w:eastAsia="zh-CN" w:bidi="ar-SA"/>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color w:val="000000"/>
                <w:kern w:val="2"/>
                <w:sz w:val="24"/>
                <w:szCs w:val="24"/>
                <w:lang w:val="en-US" w:eastAsia="zh-CN" w:bidi="ar-SA"/>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按时完成</w:t>
            </w:r>
          </w:p>
        </w:tc>
      </w:tr>
      <w:tr>
        <w:tblPrEx>
          <w:shd w:val="clear" w:color="auto" w:fill="auto"/>
          <w:tblCellMar>
            <w:top w:w="0" w:type="dxa"/>
            <w:left w:w="108" w:type="dxa"/>
            <w:bottom w:w="0" w:type="dxa"/>
            <w:right w:w="108" w:type="dxa"/>
          </w:tblCellMar>
        </w:tblPrEx>
        <w:trPr>
          <w:trHeight w:val="90" w:hRule="atLeast"/>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color w:val="000000"/>
                <w:kern w:val="2"/>
                <w:sz w:val="24"/>
                <w:szCs w:val="24"/>
                <w:lang w:val="en-US" w:eastAsia="zh-CN" w:bidi="ar-SA"/>
              </w:rPr>
            </w:pPr>
          </w:p>
        </w:tc>
        <w:tc>
          <w:tcPr>
            <w:tcW w:w="5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社会效益</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指标</w:t>
            </w:r>
          </w:p>
        </w:tc>
        <w:tc>
          <w:tcPr>
            <w:tcW w:w="25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良好</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良好</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color w:val="000000"/>
                <w:kern w:val="2"/>
                <w:sz w:val="24"/>
                <w:szCs w:val="24"/>
                <w:lang w:val="en-US" w:eastAsia="zh-CN" w:bidi="ar-SA"/>
              </w:rPr>
            </w:pPr>
          </w:p>
        </w:tc>
      </w:tr>
      <w:tr>
        <w:tblPrEx>
          <w:shd w:val="clear" w:color="auto" w:fill="auto"/>
          <w:tblCellMar>
            <w:top w:w="0" w:type="dxa"/>
            <w:left w:w="108" w:type="dxa"/>
            <w:bottom w:w="0" w:type="dxa"/>
            <w:right w:w="108" w:type="dxa"/>
          </w:tblCellMar>
        </w:tblPrEx>
        <w:trPr>
          <w:trHeight w:val="1117" w:hRule="atLeast"/>
        </w:trPr>
        <w:tc>
          <w:tcPr>
            <w:tcW w:w="93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满意度指标</w:t>
            </w:r>
          </w:p>
        </w:tc>
        <w:tc>
          <w:tcPr>
            <w:tcW w:w="25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eastAsia="zh-CN"/>
              </w:rPr>
              <w:t>满意</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eastAsia="zh-CN"/>
              </w:rPr>
              <w:t>满意</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shd w:val="clear" w:color="auto" w:fill="auto"/>
          <w:tblCellMar>
            <w:top w:w="0" w:type="dxa"/>
            <w:left w:w="108" w:type="dxa"/>
            <w:bottom w:w="0" w:type="dxa"/>
            <w:right w:w="108" w:type="dxa"/>
          </w:tblCellMar>
        </w:tblPrEx>
        <w:trPr>
          <w:trHeight w:val="90" w:hRule="atLeast"/>
        </w:trPr>
        <w:tc>
          <w:tcPr>
            <w:tcW w:w="1448"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c>
          <w:tcPr>
            <w:tcW w:w="64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100分。</w:t>
            </w:r>
          </w:p>
        </w:tc>
      </w:tr>
      <w:tr>
        <w:tblPrEx>
          <w:shd w:val="clear" w:color="auto" w:fill="auto"/>
          <w:tblCellMar>
            <w:top w:w="0" w:type="dxa"/>
            <w:left w:w="108" w:type="dxa"/>
            <w:bottom w:w="0" w:type="dxa"/>
            <w:right w:w="108" w:type="dxa"/>
          </w:tblCellMar>
        </w:tblPrEx>
        <w:trPr>
          <w:trHeight w:val="90" w:hRule="atLeast"/>
        </w:trPr>
        <w:tc>
          <w:tcPr>
            <w:tcW w:w="1448"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w:t>
            </w:r>
          </w:p>
        </w:tc>
        <w:tc>
          <w:tcPr>
            <w:tcW w:w="64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无</w:t>
            </w:r>
          </w:p>
        </w:tc>
      </w:tr>
    </w:tbl>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中共四川省阿坝州委宣传部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精神文明建设工作及全民阅读经费</w:t>
      </w:r>
      <w:r>
        <w:rPr>
          <w:rFonts w:hint="eastAsia" w:ascii="仿宋_GB2312" w:hAnsi="仿宋_GB2312" w:eastAsia="仿宋_GB2312" w:cs="仿宋_GB2312"/>
          <w:sz w:val="32"/>
          <w:szCs w:val="32"/>
          <w:lang w:eastAsia="zh-CN"/>
        </w:rPr>
        <w:t>、车辆大修、车辆购置、</w:t>
      </w:r>
      <w:r>
        <w:rPr>
          <w:rFonts w:hint="eastAsia" w:ascii="仿宋_GB2312" w:hAnsi="仿宋_GB2312" w:eastAsia="仿宋_GB2312" w:cs="仿宋_GB2312"/>
          <w:kern w:val="2"/>
          <w:sz w:val="32"/>
          <w:szCs w:val="32"/>
          <w:lang w:val="en-US" w:eastAsia="zh-CN" w:bidi="ar-SA"/>
        </w:rPr>
        <w:t>省级国家电影事业发展专项资金以及中央、省“两会”期间专版</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中共四川省阿坝州委宣传部</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年绩效评价报告》见附件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p>
    <w:p>
      <w:pPr>
        <w:pStyle w:val="24"/>
        <w:rPr>
          <w:rFonts w:hint="eastAsia" w:ascii="仿宋_GB2312" w:hAnsi="仿宋_GB2312" w:eastAsia="仿宋_GB2312" w:cs="仿宋_GB2312"/>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kern w:val="2"/>
          <w:sz w:val="32"/>
          <w:szCs w:val="32"/>
          <w:lang w:val="en-US" w:eastAsia="zh-CN" w:bidi="ar-SA"/>
        </w:rPr>
        <w:t>备注：本次公开内容若存在同一项目前后差0.01万元，或汇总数与明细项目数差0.01万元的情况，是由于数据四舍五入造成的尾差。</w:t>
      </w:r>
    </w:p>
    <w:p>
      <w:pPr>
        <w:pStyle w:val="24"/>
        <w:rPr>
          <w:rFonts w:hint="eastAsia" w:ascii="仿宋_GB2312" w:hAnsi="仿宋_GB2312" w:eastAsia="仿宋_GB2312" w:cs="仿宋_GB2312"/>
          <w:kern w:val="2"/>
          <w:sz w:val="32"/>
          <w:szCs w:val="32"/>
          <w:lang w:val="en-US" w:eastAsia="zh-CN" w:bidi="ar-SA"/>
        </w:rPr>
      </w:pPr>
    </w:p>
    <w:p>
      <w:pPr>
        <w:numPr>
          <w:ilvl w:val="0"/>
          <w:numId w:val="4"/>
        </w:numPr>
        <w:spacing w:line="600" w:lineRule="exact"/>
        <w:ind w:firstLine="660" w:firstLineChars="150"/>
        <w:jc w:val="center"/>
        <w:outlineLvl w:val="0"/>
        <w:rPr>
          <w:rStyle w:val="25"/>
          <w:rFonts w:ascii="黑体" w:hAnsi="黑体" w:eastAsia="黑体"/>
          <w:b w:val="0"/>
        </w:rPr>
      </w:pPr>
      <w:bookmarkStart w:id="105" w:name="_Toc15377225"/>
      <w:bookmarkStart w:id="106" w:name="_Toc79163629"/>
      <w:bookmarkStart w:id="107" w:name="_Toc19841"/>
      <w:bookmarkStart w:id="108"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利息收入（收入类型）</w:t>
      </w:r>
      <w:r>
        <w:rPr>
          <w:rFonts w:hint="eastAsia" w:ascii="仿宋_GB2312" w:eastAsia="仿宋_GB2312"/>
          <w:sz w:val="32"/>
          <w:szCs w:val="32"/>
        </w:rPr>
        <w:t>等。</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bookmarkStart w:id="109" w:name="_Toc15377226"/>
      <w:r>
        <w:rPr>
          <w:rFonts w:hint="eastAsia" w:ascii="仿宋_GB2312" w:hAnsi="仿宋_GB2312" w:eastAsia="仿宋_GB2312" w:cs="仿宋_GB2312"/>
          <w:color w:val="000000"/>
          <w:kern w:val="0"/>
          <w:sz w:val="32"/>
          <w:szCs w:val="32"/>
          <w:lang w:val="en-US" w:eastAsia="zh-CN" w:bidi="ar-SA"/>
        </w:rPr>
        <w:t>9.一般公共服务（类）宣传事务（款）行政运行（项）指宣传部行政单位，用于保障机构正常运行、开展日常工作的基本支出。</w:t>
      </w:r>
    </w:p>
    <w:p>
      <w:pPr>
        <w:keepNext w:val="0"/>
        <w:keepLines w:val="0"/>
        <w:pageBreakBefore w:val="0"/>
        <w:widowControl w:val="0"/>
        <w:kinsoku/>
        <w:wordWrap/>
        <w:overflowPunct w:val="0"/>
        <w:topLinePunct w:val="0"/>
        <w:bidi w:val="0"/>
        <w:adjustRightInd w:val="0"/>
        <w:snapToGrid w:val="0"/>
        <w:spacing w:line="7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10.一般公共服务（类）宣传事务（款）一般行政管理事务（项）：指宣传部行政单位未单独设置项级科目的其他项目支出。</w:t>
      </w:r>
    </w:p>
    <w:p>
      <w:pPr>
        <w:pStyle w:val="24"/>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11.一般公共服务（类）其他一般公共服务（款）其他一般公共服务（项）:指宣传部行政单位未调协的其他项目。</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SA"/>
        </w:rPr>
        <w:t>12.</w:t>
      </w:r>
      <w:r>
        <w:rPr>
          <w:rFonts w:hint="eastAsia" w:ascii="仿宋_GB2312" w:hAnsi="仿宋_GB2312" w:eastAsia="仿宋_GB2312" w:cs="仿宋_GB2312"/>
          <w:color w:val="000000"/>
          <w:sz w:val="32"/>
          <w:szCs w:val="32"/>
        </w:rPr>
        <w:t>教育（类）</w:t>
      </w:r>
      <w:r>
        <w:rPr>
          <w:rFonts w:hint="eastAsia" w:ascii="仿宋_GB2312" w:hAnsi="仿宋_GB2312" w:eastAsia="仿宋_GB2312" w:cs="仿宋_GB2312"/>
          <w:color w:val="000000"/>
          <w:sz w:val="32"/>
          <w:szCs w:val="32"/>
          <w:lang w:eastAsia="zh-CN"/>
        </w:rPr>
        <w:t>其他教育</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其他教育</w:t>
      </w:r>
      <w:r>
        <w:rPr>
          <w:rFonts w:hint="eastAsia" w:ascii="仿宋_GB2312" w:hAnsi="仿宋_GB2312" w:eastAsia="仿宋_GB2312" w:cs="仿宋_GB2312"/>
          <w:color w:val="000000"/>
          <w:sz w:val="32"/>
          <w:szCs w:val="32"/>
        </w:rPr>
        <w:t>（项）：指</w:t>
      </w:r>
      <w:r>
        <w:rPr>
          <w:rFonts w:hint="eastAsia" w:ascii="仿宋_GB2312" w:hAnsi="仿宋_GB2312" w:eastAsia="仿宋_GB2312" w:cs="仿宋_GB2312"/>
          <w:color w:val="000000"/>
          <w:sz w:val="32"/>
          <w:szCs w:val="32"/>
          <w:lang w:eastAsia="zh-CN"/>
        </w:rPr>
        <w:t>其他人才发展资金</w:t>
      </w:r>
      <w:r>
        <w:rPr>
          <w:rFonts w:hint="eastAsia" w:ascii="仿宋_GB2312" w:hAnsi="仿宋_GB2312" w:eastAsia="仿宋_GB2312" w:cs="仿宋_GB2312"/>
          <w:color w:val="000000"/>
          <w:sz w:val="32"/>
          <w:szCs w:val="32"/>
        </w:rPr>
        <w:t>。</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13.文化体育与传媒（类）</w:t>
      </w:r>
      <w:r>
        <w:rPr>
          <w:rFonts w:hint="eastAsia" w:ascii="仿宋_GB2312" w:hAnsi="仿宋_GB2312" w:eastAsia="仿宋_GB2312" w:cs="仿宋_GB2312"/>
          <w:color w:val="000000"/>
          <w:sz w:val="32"/>
          <w:szCs w:val="32"/>
          <w:lang w:eastAsia="zh-CN"/>
        </w:rPr>
        <w:t>其他文化体育与传媒</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eastAsia="zh-CN"/>
        </w:rPr>
        <w:t>宣传文化发展专项支出</w:t>
      </w:r>
      <w:r>
        <w:rPr>
          <w:rFonts w:hint="eastAsia" w:ascii="仿宋_GB2312" w:hAnsi="仿宋_GB2312" w:eastAsia="仿宋_GB2312" w:cs="仿宋_GB2312"/>
          <w:color w:val="000000"/>
          <w:sz w:val="32"/>
          <w:szCs w:val="32"/>
        </w:rPr>
        <w:t>（项）：指宣传部按照国家有关政策支持宣传文化单位发展的专项支出。</w:t>
      </w:r>
    </w:p>
    <w:p>
      <w:pPr>
        <w:keepNext w:val="0"/>
        <w:keepLines w:val="0"/>
        <w:pageBreakBefore w:val="0"/>
        <w:widowControl w:val="0"/>
        <w:numPr>
          <w:ilvl w:val="0"/>
          <w:numId w:val="0"/>
        </w:numPr>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社会保障和就业支出（类）行政事业单位离退休（款）机关事业单位基本养老保险缴费（项）：指机关事业单位实施养老保险制度由单位缴纳的基本养老保险费支出。</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社会保障和就业支出（类）行政事业单位离退休（款）机关事业单位职业年金缴费（项）：指</w:t>
      </w:r>
      <w:r>
        <w:rPr>
          <w:rFonts w:hint="eastAsia" w:ascii="仿宋_GB2312" w:hAnsi="仿宋_GB2312" w:eastAsia="仿宋_GB2312" w:cs="仿宋_GB2312"/>
          <w:color w:val="000000"/>
          <w:sz w:val="32"/>
          <w:szCs w:val="32"/>
          <w:lang w:eastAsia="zh-CN"/>
        </w:rPr>
        <w:t>机关</w:t>
      </w:r>
      <w:r>
        <w:rPr>
          <w:rFonts w:hint="eastAsia" w:ascii="仿宋_GB2312" w:hAnsi="仿宋_GB2312" w:eastAsia="仿宋_GB2312" w:cs="仿宋_GB2312"/>
          <w:color w:val="000000"/>
          <w:sz w:val="32"/>
          <w:szCs w:val="32"/>
        </w:rPr>
        <w:t>事业单位实施养老保险制度由单位实际缴纳的职业年金支出。</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.医疗卫生与计划生育</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（类）行政</w:t>
      </w:r>
      <w:r>
        <w:rPr>
          <w:rFonts w:hint="eastAsia" w:ascii="仿宋_GB2312" w:hAnsi="仿宋_GB2312" w:eastAsia="仿宋_GB2312" w:cs="仿宋_GB2312"/>
          <w:color w:val="000000"/>
          <w:sz w:val="32"/>
          <w:szCs w:val="32"/>
          <w:lang w:eastAsia="zh-CN"/>
        </w:rPr>
        <w:t>事业</w:t>
      </w:r>
      <w:r>
        <w:rPr>
          <w:rFonts w:hint="eastAsia" w:ascii="仿宋_GB2312" w:hAnsi="仿宋_GB2312" w:eastAsia="仿宋_GB2312" w:cs="仿宋_GB2312"/>
          <w:color w:val="000000"/>
          <w:sz w:val="32"/>
          <w:szCs w:val="32"/>
        </w:rPr>
        <w:t>单位医疗（款）</w:t>
      </w:r>
      <w:r>
        <w:rPr>
          <w:rFonts w:hint="eastAsia" w:ascii="仿宋_GB2312" w:hAnsi="仿宋_GB2312" w:eastAsia="仿宋_GB2312" w:cs="仿宋_GB2312"/>
          <w:color w:val="000000"/>
          <w:sz w:val="32"/>
          <w:szCs w:val="32"/>
          <w:lang w:eastAsia="zh-CN"/>
        </w:rPr>
        <w:t>行政单位医疗</w:t>
      </w:r>
      <w:r>
        <w:rPr>
          <w:rFonts w:hint="eastAsia" w:ascii="仿宋_GB2312" w:hAnsi="仿宋_GB2312" w:eastAsia="仿宋_GB2312" w:cs="仿宋_GB2312"/>
          <w:color w:val="000000"/>
          <w:sz w:val="32"/>
          <w:szCs w:val="32"/>
        </w:rPr>
        <w:t>（项）：指由</w:t>
      </w:r>
      <w:r>
        <w:rPr>
          <w:rFonts w:hint="eastAsia" w:ascii="仿宋_GB2312" w:hAnsi="仿宋_GB2312" w:eastAsia="仿宋_GB2312" w:cs="仿宋_GB2312"/>
          <w:color w:val="000000"/>
          <w:sz w:val="32"/>
          <w:szCs w:val="32"/>
          <w:lang w:eastAsia="zh-CN"/>
        </w:rPr>
        <w:t>行政</w:t>
      </w:r>
      <w:r>
        <w:rPr>
          <w:rFonts w:hint="eastAsia" w:ascii="仿宋_GB2312" w:hAnsi="仿宋_GB2312" w:eastAsia="仿宋_GB2312" w:cs="仿宋_GB2312"/>
          <w:color w:val="000000"/>
          <w:sz w:val="32"/>
          <w:szCs w:val="32"/>
        </w:rPr>
        <w:t>单位缴纳的医疗保险费支出。</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医疗卫生与计划生育</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（类）行政</w:t>
      </w:r>
      <w:r>
        <w:rPr>
          <w:rFonts w:hint="eastAsia" w:ascii="仿宋_GB2312" w:hAnsi="仿宋_GB2312" w:eastAsia="仿宋_GB2312" w:cs="仿宋_GB2312"/>
          <w:color w:val="000000"/>
          <w:sz w:val="32"/>
          <w:szCs w:val="32"/>
          <w:lang w:eastAsia="zh-CN"/>
        </w:rPr>
        <w:t>事业</w:t>
      </w:r>
      <w:r>
        <w:rPr>
          <w:rFonts w:hint="eastAsia" w:ascii="仿宋_GB2312" w:hAnsi="仿宋_GB2312" w:eastAsia="仿宋_GB2312" w:cs="仿宋_GB2312"/>
          <w:color w:val="000000"/>
          <w:sz w:val="32"/>
          <w:szCs w:val="32"/>
        </w:rPr>
        <w:t>单位医疗（款）</w:t>
      </w:r>
      <w:r>
        <w:rPr>
          <w:rFonts w:hint="eastAsia" w:ascii="仿宋_GB2312" w:hAnsi="仿宋_GB2312" w:eastAsia="仿宋_GB2312" w:cs="仿宋_GB2312"/>
          <w:color w:val="000000"/>
          <w:sz w:val="32"/>
          <w:szCs w:val="32"/>
          <w:lang w:eastAsia="zh-CN"/>
        </w:rPr>
        <w:t>公务员医疗补助</w:t>
      </w:r>
      <w:r>
        <w:rPr>
          <w:rFonts w:hint="eastAsia" w:ascii="仿宋_GB2312" w:hAnsi="仿宋_GB2312" w:eastAsia="仿宋_GB2312" w:cs="仿宋_GB2312"/>
          <w:color w:val="000000"/>
          <w:sz w:val="32"/>
          <w:szCs w:val="32"/>
        </w:rPr>
        <w:t>（项）：指由</w:t>
      </w:r>
      <w:r>
        <w:rPr>
          <w:rFonts w:hint="eastAsia" w:ascii="仿宋_GB2312" w:hAnsi="仿宋_GB2312" w:eastAsia="仿宋_GB2312" w:cs="仿宋_GB2312"/>
          <w:color w:val="000000"/>
          <w:sz w:val="32"/>
          <w:szCs w:val="32"/>
          <w:lang w:eastAsia="zh-CN"/>
        </w:rPr>
        <w:t>行政</w:t>
      </w:r>
      <w:r>
        <w:rPr>
          <w:rFonts w:hint="eastAsia" w:ascii="仿宋_GB2312" w:hAnsi="仿宋_GB2312" w:eastAsia="仿宋_GB2312" w:cs="仿宋_GB2312"/>
          <w:color w:val="000000"/>
          <w:sz w:val="32"/>
          <w:szCs w:val="32"/>
        </w:rPr>
        <w:t>单位缴纳</w:t>
      </w:r>
      <w:r>
        <w:rPr>
          <w:rFonts w:hint="eastAsia" w:ascii="仿宋_GB2312" w:hAnsi="仿宋_GB2312" w:eastAsia="仿宋_GB2312" w:cs="仿宋_GB2312"/>
          <w:color w:val="000000"/>
          <w:sz w:val="32"/>
          <w:szCs w:val="32"/>
          <w:lang w:eastAsia="zh-CN"/>
        </w:rPr>
        <w:t>的公务员医疗补助费</w:t>
      </w:r>
      <w:r>
        <w:rPr>
          <w:rFonts w:hint="eastAsia" w:ascii="仿宋_GB2312" w:hAnsi="仿宋_GB2312" w:eastAsia="仿宋_GB2312" w:cs="仿宋_GB2312"/>
          <w:color w:val="000000"/>
          <w:sz w:val="32"/>
          <w:szCs w:val="32"/>
        </w:rPr>
        <w:t>。</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.住房保障</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（类）住房改革</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（款）住房公积金（项）：按人力资源和社会保障部、财政部规定的基本工资和津补贴以及规定比例为职工缴纳的住房公积金。</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pStyle w:val="35"/>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keepNext w:val="0"/>
        <w:keepLines w:val="0"/>
        <w:pageBreakBefore w:val="0"/>
        <w:widowControl w:val="0"/>
        <w:kinsoku/>
        <w:wordWrap/>
        <w:topLinePunct w:val="0"/>
        <w:bidi w:val="0"/>
        <w:spacing w:line="700" w:lineRule="exact"/>
        <w:ind w:firstLine="640" w:firstLineChars="200"/>
        <w:textAlignment w:val="auto"/>
        <w:rPr>
          <w:rFonts w:hint="eastAsia" w:ascii="仿宋_GB2312" w:hAnsi="仿宋_GB2312" w:eastAsia="仿宋_GB2312" w:cs="仿宋_GB2312"/>
          <w:w w:val="98"/>
          <w:sz w:val="32"/>
          <w:szCs w:val="32"/>
        </w:rPr>
      </w:pP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w:t>
      </w:r>
      <w:r>
        <w:rPr>
          <w:rFonts w:hint="eastAsia" w:ascii="仿宋_GB2312" w:hAnsi="仿宋_GB2312" w:eastAsia="仿宋_GB2312" w:cs="仿宋_GB2312"/>
          <w:w w:val="98"/>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r>
        <w:rPr>
          <w:rFonts w:ascii="宋体"/>
          <w:b/>
          <w:color w:val="000000"/>
          <w:sz w:val="44"/>
          <w:szCs w:val="44"/>
        </w:rPr>
        <w:br w:type="page"/>
      </w:r>
      <w:bookmarkStart w:id="110" w:name="_Toc15396614"/>
      <w:bookmarkStart w:id="111" w:name="_Toc19558"/>
      <w:bookmarkStart w:id="112" w:name="_Toc79163630"/>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15038"/>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rPr>
      </w:pPr>
      <w:bookmarkStart w:id="115" w:name="_Toc6735"/>
      <w:bookmarkStart w:id="116" w:name="_Toc79163632"/>
      <w:r>
        <w:rPr>
          <w:rFonts w:hint="eastAsia" w:ascii="方正小标宋简体" w:hAnsi="黑体" w:eastAsia="方正小标宋简体" w:cs="黑体"/>
          <w:sz w:val="44"/>
          <w:szCs w:val="44"/>
          <w:lang w:eastAsia="zh-CN"/>
        </w:rPr>
        <w:t>中共四川省阿坝州委宣传部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w:t>
      </w:r>
      <w:bookmarkEnd w:id="115"/>
    </w:p>
    <w:p>
      <w:pPr>
        <w:spacing w:line="600" w:lineRule="exact"/>
        <w:jc w:val="center"/>
        <w:outlineLvl w:val="0"/>
        <w:rPr>
          <w:rFonts w:ascii="方正小标宋简体" w:hAnsi="黑体" w:eastAsia="方正小标宋简体" w:cs="黑体"/>
          <w:sz w:val="44"/>
          <w:szCs w:val="44"/>
        </w:rPr>
      </w:pPr>
      <w:bookmarkStart w:id="117" w:name="_Toc30909"/>
      <w:r>
        <w:rPr>
          <w:rFonts w:hint="eastAsia" w:ascii="方正小标宋简体" w:hAnsi="黑体" w:eastAsia="方正小标宋简体" w:cs="黑体"/>
          <w:sz w:val="44"/>
          <w:szCs w:val="44"/>
        </w:rPr>
        <w:t>整体支出绩效评价报告</w:t>
      </w:r>
      <w:bookmarkEnd w:id="116"/>
      <w:bookmarkEnd w:id="117"/>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部门概况</w:t>
      </w:r>
    </w:p>
    <w:p>
      <w:pPr>
        <w:pStyle w:val="2"/>
        <w:spacing w:before="0" w:beforeAutospacing="0" w:after="0" w:afterAutospacing="0" w:line="560" w:lineRule="exact"/>
        <w:ind w:firstLine="643" w:firstLineChars="200"/>
        <w:rPr>
          <w:rFonts w:hint="eastAsia" w:ascii="仿宋_GB2312" w:hAnsi="Times New Roman" w:eastAsia="仿宋_GB2312" w:cs="Times New Roman"/>
          <w:b/>
          <w:bCs/>
          <w:kern w:val="2"/>
          <w:sz w:val="32"/>
          <w:szCs w:val="32"/>
          <w:lang w:val="zh-CN" w:eastAsia="zh-CN" w:bidi="ar-SA"/>
        </w:rPr>
      </w:pPr>
      <w:r>
        <w:rPr>
          <w:rFonts w:hint="eastAsia" w:ascii="仿宋_GB2312" w:hAnsi="Times New Roman" w:eastAsia="仿宋_GB2312" w:cs="Times New Roman"/>
          <w:b/>
          <w:bCs/>
          <w:kern w:val="2"/>
          <w:sz w:val="32"/>
          <w:szCs w:val="32"/>
          <w:lang w:val="zh-CN" w:eastAsia="zh-CN" w:bidi="ar-SA"/>
        </w:rPr>
        <w:t>（一）机构组成。</w:t>
      </w:r>
    </w:p>
    <w:p>
      <w:pPr>
        <w:pStyle w:val="2"/>
        <w:spacing w:before="0" w:beforeAutospacing="0" w:after="0" w:afterAutospacing="0" w:line="560" w:lineRule="exact"/>
        <w:ind w:firstLine="640" w:firstLineChars="200"/>
        <w:rPr>
          <w:rFonts w:hint="eastAsia" w:ascii="仿宋_GB2312" w:hAnsi="仿宋" w:eastAsia="仿宋_GB2312" w:cs="Times New Roman"/>
          <w:kern w:val="2"/>
          <w:sz w:val="32"/>
          <w:szCs w:val="32"/>
        </w:rPr>
      </w:pPr>
      <w:r>
        <w:rPr>
          <w:rFonts w:hint="eastAsia" w:ascii="仿宋_GB2312" w:hAnsi="仿宋" w:eastAsia="仿宋_GB2312" w:cs="Times New Roman"/>
          <w:kern w:val="2"/>
          <w:sz w:val="32"/>
          <w:szCs w:val="32"/>
        </w:rPr>
        <w:t>中共阿坝州委宣传部属一级预算单位，下属阿坝州委讲师团，阿坝州新闻中心，阿坝州电影公司、阿坝州电视台、阿坝州新华书店。</w:t>
      </w:r>
      <w:r>
        <w:rPr>
          <w:rFonts w:hint="eastAsia" w:ascii="仿宋_GB2312" w:hAnsi="仿宋" w:cs="Times New Roman"/>
          <w:kern w:val="2"/>
          <w:sz w:val="32"/>
          <w:szCs w:val="32"/>
          <w:lang w:eastAsia="zh-CN"/>
        </w:rPr>
        <w:t>截止</w:t>
      </w:r>
      <w:r>
        <w:rPr>
          <w:rFonts w:hint="eastAsia" w:ascii="仿宋_GB2312" w:hAnsi="仿宋" w:cs="Times New Roman"/>
          <w:kern w:val="2"/>
          <w:sz w:val="32"/>
          <w:szCs w:val="32"/>
          <w:lang w:val="en-US" w:eastAsia="zh-CN"/>
        </w:rPr>
        <w:t>2020年12月31日，</w:t>
      </w:r>
      <w:r>
        <w:rPr>
          <w:rFonts w:hint="eastAsia" w:ascii="仿宋_GB2312" w:hAnsi="仿宋" w:eastAsia="仿宋_GB2312" w:cs="Times New Roman"/>
          <w:kern w:val="2"/>
          <w:sz w:val="32"/>
          <w:szCs w:val="32"/>
        </w:rPr>
        <w:t>其中：行政单位1个，参照公务员法管理的事业单位1个（单列），其他事业单位4个</w:t>
      </w:r>
      <w:r>
        <w:rPr>
          <w:rFonts w:hint="eastAsia" w:ascii="仿宋_GB2312" w:hAnsi="仿宋" w:cs="Times New Roman"/>
          <w:kern w:val="2"/>
          <w:sz w:val="32"/>
          <w:szCs w:val="32"/>
          <w:lang w:eastAsia="zh-CN"/>
        </w:rPr>
        <w:t>：</w:t>
      </w:r>
      <w:r>
        <w:rPr>
          <w:rFonts w:hint="eastAsia" w:ascii="仿宋_GB2312" w:hAnsi="仿宋" w:eastAsia="仿宋_GB2312" w:cs="Times New Roman"/>
          <w:kern w:val="2"/>
          <w:sz w:val="32"/>
          <w:szCs w:val="32"/>
        </w:rPr>
        <w:t>阿坝州新闻中心</w:t>
      </w:r>
      <w:r>
        <w:rPr>
          <w:rFonts w:hint="eastAsia" w:ascii="仿宋_GB2312" w:hAnsi="仿宋" w:cs="Times New Roman"/>
          <w:kern w:val="2"/>
          <w:sz w:val="32"/>
          <w:szCs w:val="32"/>
          <w:lang w:val="en-US" w:eastAsia="zh-CN"/>
        </w:rPr>
        <w:t>(</w:t>
      </w:r>
      <w:r>
        <w:rPr>
          <w:rFonts w:hint="eastAsia" w:hAnsi="仿宋" w:cs="Times New Roman"/>
          <w:kern w:val="2"/>
          <w:sz w:val="32"/>
          <w:szCs w:val="32"/>
          <w:lang w:val="en-US" w:eastAsia="zh-CN"/>
        </w:rPr>
        <w:t>项目经费</w:t>
      </w:r>
      <w:r>
        <w:rPr>
          <w:rFonts w:hint="eastAsia" w:ascii="仿宋_GB2312" w:hAnsi="仿宋" w:cs="Times New Roman"/>
          <w:kern w:val="2"/>
          <w:sz w:val="32"/>
          <w:szCs w:val="32"/>
          <w:lang w:val="en-US" w:eastAsia="zh-CN"/>
        </w:rPr>
        <w:t>宣传统筹)</w:t>
      </w:r>
      <w:r>
        <w:rPr>
          <w:rFonts w:hint="eastAsia" w:ascii="仿宋_GB2312" w:hAnsi="仿宋" w:cs="Times New Roman"/>
          <w:kern w:val="2"/>
          <w:sz w:val="32"/>
          <w:szCs w:val="32"/>
          <w:lang w:eastAsia="zh-CN"/>
        </w:rPr>
        <w:t>、</w:t>
      </w:r>
      <w:r>
        <w:rPr>
          <w:rFonts w:hint="eastAsia" w:ascii="仿宋_GB2312" w:hAnsi="仿宋" w:eastAsia="仿宋_GB2312" w:cs="Times New Roman"/>
          <w:kern w:val="2"/>
          <w:sz w:val="32"/>
          <w:szCs w:val="32"/>
        </w:rPr>
        <w:t>阿坝州电影公司</w:t>
      </w:r>
      <w:r>
        <w:rPr>
          <w:rFonts w:hint="eastAsia" w:ascii="仿宋_GB2312" w:hAnsi="仿宋" w:cs="Times New Roman"/>
          <w:kern w:val="2"/>
          <w:sz w:val="32"/>
          <w:szCs w:val="32"/>
          <w:lang w:eastAsia="zh-CN"/>
        </w:rPr>
        <w:t>（单列）</w:t>
      </w:r>
      <w:r>
        <w:rPr>
          <w:rFonts w:hint="eastAsia" w:ascii="仿宋_GB2312" w:hAnsi="仿宋" w:eastAsia="仿宋_GB2312" w:cs="Times New Roman"/>
          <w:kern w:val="2"/>
          <w:sz w:val="32"/>
          <w:szCs w:val="32"/>
        </w:rPr>
        <w:t>、阿坝州电视台</w:t>
      </w:r>
      <w:r>
        <w:rPr>
          <w:rFonts w:hint="eastAsia" w:ascii="仿宋_GB2312" w:hAnsi="仿宋" w:cs="Times New Roman"/>
          <w:kern w:val="2"/>
          <w:sz w:val="32"/>
          <w:szCs w:val="32"/>
          <w:lang w:eastAsia="zh-CN"/>
        </w:rPr>
        <w:t>（单列）</w:t>
      </w:r>
      <w:r>
        <w:rPr>
          <w:rFonts w:hint="eastAsia" w:ascii="仿宋_GB2312" w:hAnsi="仿宋" w:eastAsia="仿宋_GB2312" w:cs="Times New Roman"/>
          <w:kern w:val="2"/>
          <w:sz w:val="32"/>
          <w:szCs w:val="32"/>
        </w:rPr>
        <w:t>、阿坝州新华书店</w:t>
      </w:r>
      <w:r>
        <w:rPr>
          <w:rFonts w:hint="eastAsia" w:ascii="仿宋_GB2312" w:hAnsi="仿宋" w:cs="Times New Roman"/>
          <w:kern w:val="2"/>
          <w:sz w:val="32"/>
          <w:szCs w:val="32"/>
          <w:lang w:eastAsia="zh-CN"/>
        </w:rPr>
        <w:t>（单列）</w:t>
      </w:r>
      <w:r>
        <w:rPr>
          <w:rFonts w:hint="eastAsia" w:ascii="仿宋_GB2312" w:hAnsi="仿宋" w:eastAsia="仿宋_GB2312" w:cs="Times New Roman"/>
          <w:kern w:val="2"/>
          <w:sz w:val="32"/>
          <w:szCs w:val="32"/>
        </w:rPr>
        <w:t>。</w:t>
      </w:r>
      <w:r>
        <w:rPr>
          <w:rFonts w:hint="eastAsia" w:ascii="仿宋_GB2312" w:hAnsi="仿宋" w:cs="Times New Roman"/>
          <w:kern w:val="2"/>
          <w:sz w:val="32"/>
          <w:szCs w:val="32"/>
          <w:lang w:eastAsia="zh-CN"/>
        </w:rPr>
        <w:t>宣传部</w:t>
      </w:r>
      <w:r>
        <w:rPr>
          <w:rFonts w:hint="eastAsia" w:ascii="仿宋_GB2312" w:hAnsi="仿宋" w:eastAsia="仿宋_GB2312" w:cs="Times New Roman"/>
          <w:kern w:val="2"/>
          <w:sz w:val="32"/>
          <w:szCs w:val="32"/>
        </w:rPr>
        <w:t>内设</w:t>
      </w:r>
      <w:r>
        <w:rPr>
          <w:rFonts w:hint="eastAsia" w:hAnsi="仿宋" w:cs="Times New Roman"/>
          <w:kern w:val="2"/>
          <w:sz w:val="32"/>
          <w:szCs w:val="32"/>
          <w:lang w:val="en-US" w:eastAsia="zh-CN"/>
        </w:rPr>
        <w:t>10个</w:t>
      </w:r>
      <w:r>
        <w:rPr>
          <w:rFonts w:hint="eastAsia" w:ascii="仿宋_GB2312" w:hAnsi="仿宋" w:eastAsia="仿宋_GB2312" w:cs="Times New Roman"/>
          <w:kern w:val="2"/>
          <w:sz w:val="32"/>
          <w:szCs w:val="32"/>
        </w:rPr>
        <w:t>科室</w:t>
      </w:r>
      <w:r>
        <w:rPr>
          <w:rFonts w:hint="eastAsia" w:ascii="仿宋_GB2312" w:hAnsi="仿宋" w:cs="Times New Roman"/>
          <w:kern w:val="2"/>
          <w:sz w:val="32"/>
          <w:szCs w:val="32"/>
          <w:lang w:eastAsia="zh-CN"/>
        </w:rPr>
        <w:t>：办公室、研究室、理论科、宣传教育科、新闻科、对外宣传科、文化艺术科、出版版权科</w:t>
      </w:r>
      <w:r>
        <w:rPr>
          <w:rFonts w:hint="eastAsia" w:hAnsi="仿宋" w:cs="Times New Roman"/>
          <w:kern w:val="2"/>
          <w:sz w:val="32"/>
          <w:szCs w:val="32"/>
          <w:lang w:eastAsia="zh-CN"/>
        </w:rPr>
        <w:t>、</w:t>
      </w:r>
      <w:r>
        <w:rPr>
          <w:rFonts w:hint="eastAsia" w:ascii="仿宋_GB2312" w:hAnsi="仿宋" w:cs="Times New Roman"/>
          <w:kern w:val="2"/>
          <w:sz w:val="32"/>
          <w:szCs w:val="32"/>
          <w:lang w:eastAsia="zh-CN"/>
        </w:rPr>
        <w:t>精神文明建设工作科、公民思想道德建设工作科</w:t>
      </w:r>
      <w:r>
        <w:rPr>
          <w:rFonts w:hint="eastAsia" w:ascii="仿宋_GB2312" w:hAnsi="仿宋" w:eastAsia="仿宋_GB2312" w:cs="Times New Roman"/>
          <w:kern w:val="2"/>
          <w:sz w:val="32"/>
          <w:szCs w:val="32"/>
        </w:rPr>
        <w:t>。</w:t>
      </w:r>
    </w:p>
    <w:p>
      <w:pPr>
        <w:spacing w:line="576" w:lineRule="exact"/>
        <w:ind w:firstLine="643" w:firstLineChars="200"/>
        <w:rPr>
          <w:rFonts w:hint="eastAsia" w:ascii="仿宋_GB2312" w:hAnsi="Times New Roman" w:eastAsia="仿宋_GB2312" w:cs="Times New Roman"/>
          <w:b/>
          <w:bCs/>
          <w:sz w:val="32"/>
          <w:szCs w:val="32"/>
          <w:lang w:val="zh-CN"/>
        </w:rPr>
      </w:pPr>
      <w:r>
        <w:rPr>
          <w:rFonts w:hint="eastAsia" w:ascii="仿宋_GB2312" w:hAnsi="Times New Roman" w:eastAsia="仿宋_GB2312" w:cs="Times New Roman"/>
          <w:b/>
          <w:bCs/>
          <w:sz w:val="32"/>
          <w:szCs w:val="32"/>
          <w:lang w:val="zh-CN"/>
        </w:rPr>
        <w:t>（二）机构职能。</w:t>
      </w:r>
    </w:p>
    <w:p>
      <w:pPr>
        <w:spacing w:line="576" w:lineRule="exact"/>
        <w:ind w:firstLine="640" w:firstLineChars="200"/>
        <w:rPr>
          <w:rFonts w:hint="eastAsia" w:ascii="仿宋_GB2312" w:eastAsia="仿宋_GB2312"/>
          <w:sz w:val="32"/>
          <w:szCs w:val="32"/>
        </w:rPr>
      </w:pPr>
      <w:r>
        <w:rPr>
          <w:rFonts w:hint="eastAsia" w:ascii="仿宋_GB2312" w:hAnsi="Times New Roman" w:eastAsia="仿宋_GB2312" w:cs="Times New Roman"/>
          <w:sz w:val="32"/>
          <w:szCs w:val="32"/>
        </w:rPr>
        <w:t>拟订全州宣传思想文化工作重大政策和事业产业发展总体规划，统筹协调推进宣传思想文化领域法治建设，按照州委统一部署，协调宣传思想文化系统各部门（单位）之间的工作。统筹指导协调理论研究、理论学习、理论宣传工作，组织推动理论武装工作，指导推动哲学社会科学工作，组织实施马克思主义理论研究和建设工程。负责规划组织全局性思想政治工作，配合州委组织部做好党员教育工作，会同有关部门研究和改进群众思想教育工作。组织重大先进典型的学习和推广。统筹指导协调推动精神文化产品的创作和生产，协调组织优秀传统文化传承发展工作，指导协调推动群众文化建设。统筹组织协调精神文明建设工作，协调推动精神文明创建、公民思想道德建设和志愿服务工作。统筹分析研判和引导社会舆论，指导协调州级新闻单位工作。统筹协调对外宣传工作，组织指导重大对外宣传活动，协调推动对外文化交流工作。会同有关部门做好境外来访记者采访事务方面的工作。</w:t>
      </w:r>
    </w:p>
    <w:p>
      <w:pPr>
        <w:pStyle w:val="2"/>
        <w:spacing w:line="560" w:lineRule="exact"/>
        <w:ind w:firstLine="643" w:firstLineChars="200"/>
        <w:rPr>
          <w:rFonts w:hint="eastAsia" w:ascii="仿宋_GB2312" w:hAnsi="Times New Roman" w:eastAsia="仿宋_GB2312" w:cs="Times New Roman"/>
          <w:b/>
          <w:bCs/>
          <w:kern w:val="2"/>
          <w:sz w:val="32"/>
          <w:szCs w:val="32"/>
          <w:lang w:val="zh-CN" w:eastAsia="zh-CN" w:bidi="ar-SA"/>
        </w:rPr>
      </w:pPr>
      <w:r>
        <w:rPr>
          <w:rFonts w:hint="eastAsia" w:ascii="仿宋_GB2312" w:hAnsi="Times New Roman" w:eastAsia="仿宋_GB2312" w:cs="Times New Roman"/>
          <w:b/>
          <w:bCs/>
          <w:kern w:val="2"/>
          <w:sz w:val="32"/>
          <w:szCs w:val="32"/>
          <w:lang w:val="zh-CN" w:eastAsia="zh-CN" w:bidi="ar-SA"/>
        </w:rPr>
        <w:t>（三）人员概况。</w:t>
      </w:r>
    </w:p>
    <w:p>
      <w:pPr>
        <w:pStyle w:val="2"/>
        <w:spacing w:line="560" w:lineRule="exact"/>
        <w:ind w:firstLine="640" w:firstLineChars="200"/>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州编委核定州委宣传部人员编制32名，其中：公务员编制21名，事业编制6名，工勤编制5名。2020年底在职职工26人，离休人员0人，退休职工5人已纳入社保。在职职工中公务员编制人员19人，纪检派驻人员</w:t>
      </w:r>
      <w:r>
        <w:rPr>
          <w:rFonts w:hint="eastAsia" w:hAnsi="Times New Roman"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人，事业编制人员2名，工勤编制人员5人。临时工4人，遗属0人。</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w:t>
      </w:r>
      <w:r>
        <w:rPr>
          <w:rFonts w:hint="eastAsia" w:ascii="仿宋_GB2312" w:hAnsi="仿宋_GB2312" w:eastAsia="仿宋_GB2312" w:cs="仿宋_GB2312"/>
          <w:b/>
          <w:bCs/>
          <w:color w:val="000000"/>
          <w:kern w:val="0"/>
          <w:sz w:val="32"/>
          <w:szCs w:val="32"/>
          <w:lang w:val="en-US" w:eastAsia="zh-CN"/>
        </w:rPr>
        <w:t>一</w:t>
      </w:r>
      <w:r>
        <w:rPr>
          <w:rFonts w:hint="eastAsia" w:ascii="仿宋_GB2312" w:hAnsi="仿宋_GB2312" w:eastAsia="仿宋_GB2312" w:cs="仿宋_GB2312"/>
          <w:b/>
          <w:bCs/>
          <w:color w:val="000000"/>
          <w:kern w:val="0"/>
          <w:sz w:val="32"/>
          <w:szCs w:val="32"/>
          <w:lang w:val="zh-CN"/>
        </w:rPr>
        <w:t>）部门财政资金收入情况</w:t>
      </w:r>
    </w:p>
    <w:p>
      <w:pPr>
        <w:keepNext w:val="0"/>
        <w:keepLines w:val="0"/>
        <w:pageBreakBefore w:val="0"/>
        <w:widowControl/>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1.2020年度财政拨款预算收入11322282.98元，其中：行政运行4478895.46元，一般行政管理事务4141844.26元，出版发行504000元，其他新闻出版电影150000元，其他国家电影事业发展专项资金150000元，宣传文化发展专项330000元，其他文化旅游体育与传媒支出293100元，机关事业单位基本养老保险缴费374059.52元，机关事业单位职业年金缴费支出187029.76元，重大公共卫生服务25000元，行政单位医疗238617.72元，公务员医疗补助48253.26元，住房公积金401482元。年初财政拨款结转结余4627836.37元，收入总计15950119.35元。</w:t>
      </w:r>
    </w:p>
    <w:p>
      <w:pPr>
        <w:keepNext w:val="0"/>
        <w:keepLines w:val="0"/>
        <w:pageBreakBefore w:val="0"/>
        <w:widowControl/>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2.2021年财政拨款预算收入8113202.91元，其中：行政运行4319726.07元；机关事业单位基本养老保险缴费支出528000元；机关事业单位职业年金缴费支出211200元；行政单位医疗187384.73元；公务员医疗补助53000.4元；住房公积金503891.71元；一般行政管理事务2310000元。一般行政管理事务拨款年初结转1226392元。</w:t>
      </w:r>
    </w:p>
    <w:p>
      <w:pPr>
        <w:pStyle w:val="24"/>
        <w:ind w:firstLine="640"/>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2021年追加庆祝建党100周年暨第四届“感动阿坝年度人物”颁奖典礼文艺演出、庆祝建党100周年暨党史学习教育领导小组办公室工作经费、2021年全国“两会”期间对外宣传经费171万元。</w:t>
      </w:r>
    </w:p>
    <w:p>
      <w:pPr>
        <w:pStyle w:val="24"/>
        <w:ind w:firstLine="640"/>
        <w:rPr>
          <w:rFonts w:hint="default"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2021年阿州财行[2021]1号下达人才发展资金（人才慰问）3000元，中央下达专项资金50.4万元，代管资金110.01万元。</w:t>
      </w:r>
    </w:p>
    <w:p>
      <w:pPr>
        <w:pStyle w:val="24"/>
        <w:ind w:firstLine="640"/>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基本结转编内退休人员一次性退休补助49776元，预发目标奖537400元。</w:t>
      </w:r>
    </w:p>
    <w:p>
      <w:pPr>
        <w:pStyle w:val="24"/>
        <w:ind w:firstLine="640"/>
        <w:rPr>
          <w:rFonts w:hint="default"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3.中央、省下相关项目经费项目资金4166100元，目前已使用项目资金3216072.6元，项目资金使用率77.2%。剩余1927.4年底财政已收回。</w:t>
      </w:r>
    </w:p>
    <w:p>
      <w:pPr>
        <w:pStyle w:val="24"/>
        <w:ind w:firstLine="640"/>
        <w:rPr>
          <w:rFonts w:hint="default"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未使用资金：省下其他电影事业发展专项资金15万元；</w:t>
      </w:r>
    </w:p>
    <w:p>
      <w:pPr>
        <w:pStyle w:val="24"/>
        <w:ind w:firstLine="640"/>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省下2020年省级公共文化服务体系建设专项资金预算15万元，省下宣传文化事业发展专项资金33万元，中央和省、州公共文化体系建设专项资金29.31万元，重大公共卫生宣传费用2.5万元。</w:t>
      </w:r>
    </w:p>
    <w:p>
      <w:pPr>
        <w:pStyle w:val="24"/>
        <w:ind w:firstLine="640"/>
        <w:rPr>
          <w:rFonts w:hint="default"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4.代管资金962767.77元，已使用资金11142元，使用率1.18%；剩余资金942767.77元，占98.82%，使用率不理想。</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w:t>
      </w:r>
      <w:r>
        <w:rPr>
          <w:rFonts w:hint="eastAsia" w:ascii="仿宋_GB2312" w:hAnsi="仿宋_GB2312" w:eastAsia="仿宋_GB2312" w:cs="仿宋_GB2312"/>
          <w:b/>
          <w:bCs/>
          <w:color w:val="000000"/>
          <w:kern w:val="0"/>
          <w:sz w:val="32"/>
          <w:szCs w:val="32"/>
          <w:lang w:val="en-US" w:eastAsia="zh-CN"/>
        </w:rPr>
        <w:t>二</w:t>
      </w:r>
      <w:r>
        <w:rPr>
          <w:rFonts w:hint="eastAsia" w:ascii="仿宋_GB2312" w:hAnsi="仿宋_GB2312" w:eastAsia="仿宋_GB2312" w:cs="仿宋_GB2312"/>
          <w:b/>
          <w:bCs/>
          <w:color w:val="000000"/>
          <w:kern w:val="0"/>
          <w:sz w:val="32"/>
          <w:szCs w:val="32"/>
          <w:lang w:val="zh-CN"/>
        </w:rPr>
        <w:t>）部门财政资金</w:t>
      </w:r>
      <w:r>
        <w:rPr>
          <w:rFonts w:hint="eastAsia" w:ascii="仿宋_GB2312" w:hAnsi="仿宋_GB2312" w:eastAsia="仿宋_GB2312" w:cs="仿宋_GB2312"/>
          <w:b/>
          <w:bCs/>
          <w:color w:val="000000"/>
          <w:kern w:val="0"/>
          <w:sz w:val="32"/>
          <w:szCs w:val="32"/>
          <w:lang w:val="en-US" w:eastAsia="zh-CN"/>
        </w:rPr>
        <w:t>支出</w:t>
      </w:r>
      <w:r>
        <w:rPr>
          <w:rFonts w:hint="eastAsia" w:ascii="仿宋_GB2312" w:hAnsi="仿宋_GB2312" w:eastAsia="仿宋_GB2312" w:cs="仿宋_GB2312"/>
          <w:b/>
          <w:bCs/>
          <w:color w:val="000000"/>
          <w:kern w:val="0"/>
          <w:sz w:val="32"/>
          <w:szCs w:val="32"/>
          <w:lang w:val="zh-CN"/>
        </w:rPr>
        <w:t>情况</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1.2020年度财政拨款预算支出合计13623531.11元，其中</w:t>
      </w:r>
      <w:r>
        <w:rPr>
          <w:rFonts w:hint="eastAsia" w:ascii="仿宋_GB2312" w:hAnsi="仿宋_GB2312" w:eastAsia="仿宋_GB2312" w:cs="仿宋_GB2312"/>
          <w:color w:val="000000"/>
          <w:kern w:val="0"/>
          <w:sz w:val="32"/>
          <w:szCs w:val="32"/>
          <w:lang w:val="zh-CN"/>
        </w:rPr>
        <w:t>行政运行</w:t>
      </w:r>
      <w:r>
        <w:rPr>
          <w:rFonts w:hint="eastAsia" w:ascii="仿宋_GB2312" w:hAnsi="仿宋_GB2312" w:eastAsia="仿宋_GB2312" w:cs="仿宋_GB2312"/>
          <w:color w:val="000000"/>
          <w:kern w:val="0"/>
          <w:sz w:val="32"/>
          <w:szCs w:val="32"/>
          <w:lang w:val="en-US" w:eastAsia="zh-CN"/>
        </w:rPr>
        <w:t>5450391.46</w:t>
      </w:r>
      <w:r>
        <w:rPr>
          <w:rFonts w:hint="eastAsia" w:ascii="仿宋_GB2312" w:hAnsi="仿宋_GB2312" w:eastAsia="仿宋_GB2312" w:cs="仿宋_GB2312"/>
          <w:color w:val="000000"/>
          <w:kern w:val="0"/>
          <w:sz w:val="32"/>
          <w:szCs w:val="32"/>
          <w:lang w:val="zh-CN" w:eastAsia="zh-CN"/>
        </w:rPr>
        <w:t>元，</w:t>
      </w:r>
      <w:r>
        <w:rPr>
          <w:rFonts w:hint="eastAsia" w:ascii="仿宋_GB2312" w:hAnsi="仿宋_GB2312" w:eastAsia="仿宋_GB2312" w:cs="仿宋_GB2312"/>
          <w:color w:val="000000"/>
          <w:kern w:val="0"/>
          <w:sz w:val="32"/>
          <w:szCs w:val="32"/>
          <w:lang w:val="zh-CN"/>
        </w:rPr>
        <w:t>一般行政管理事务</w:t>
      </w:r>
      <w:r>
        <w:rPr>
          <w:rFonts w:hint="eastAsia" w:ascii="仿宋_GB2312" w:hAnsi="仿宋_GB2312" w:eastAsia="仿宋_GB2312" w:cs="仿宋_GB2312"/>
          <w:color w:val="000000"/>
          <w:kern w:val="0"/>
          <w:sz w:val="32"/>
          <w:szCs w:val="32"/>
          <w:lang w:val="en-US" w:eastAsia="zh-CN"/>
        </w:rPr>
        <w:t>3707623.79</w:t>
      </w:r>
      <w:r>
        <w:rPr>
          <w:rFonts w:hint="eastAsia" w:ascii="仿宋_GB2312" w:hAnsi="仿宋_GB2312" w:eastAsia="仿宋_GB2312" w:cs="仿宋_GB2312"/>
          <w:color w:val="000000"/>
          <w:kern w:val="0"/>
          <w:sz w:val="32"/>
          <w:szCs w:val="32"/>
          <w:lang w:val="zh-CN"/>
        </w:rPr>
        <w:t>元（见附件</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），出版发行</w:t>
      </w:r>
      <w:r>
        <w:rPr>
          <w:rFonts w:hint="eastAsia" w:ascii="仿宋_GB2312" w:hAnsi="仿宋_GB2312" w:eastAsia="仿宋_GB2312" w:cs="仿宋_GB2312"/>
          <w:color w:val="000000"/>
          <w:kern w:val="0"/>
          <w:sz w:val="32"/>
          <w:szCs w:val="32"/>
          <w:lang w:val="en-US" w:eastAsia="zh-CN"/>
        </w:rPr>
        <w:t>504000</w:t>
      </w:r>
      <w:r>
        <w:rPr>
          <w:rFonts w:hint="eastAsia" w:ascii="仿宋_GB2312" w:hAnsi="仿宋_GB2312" w:eastAsia="仿宋_GB2312" w:cs="仿宋_GB2312"/>
          <w:color w:val="000000"/>
          <w:kern w:val="0"/>
          <w:sz w:val="32"/>
          <w:szCs w:val="32"/>
          <w:lang w:val="zh-CN"/>
        </w:rPr>
        <w:t>元，其他国家电影事业发展专项支出</w:t>
      </w:r>
      <w:r>
        <w:rPr>
          <w:rFonts w:hint="eastAsia" w:ascii="仿宋_GB2312" w:hAnsi="仿宋_GB2312" w:eastAsia="仿宋_GB2312" w:cs="仿宋_GB2312"/>
          <w:color w:val="000000"/>
          <w:kern w:val="0"/>
          <w:sz w:val="32"/>
          <w:szCs w:val="32"/>
          <w:lang w:val="en-US" w:eastAsia="zh-CN"/>
        </w:rPr>
        <w:t>50000元，宣传文化发展专项支出265.8万元，</w:t>
      </w:r>
      <w:r>
        <w:rPr>
          <w:rFonts w:hint="eastAsia" w:ascii="仿宋_GB2312" w:hAnsi="仿宋_GB2312" w:eastAsia="仿宋_GB2312" w:cs="仿宋_GB2312"/>
          <w:color w:val="000000"/>
          <w:kern w:val="0"/>
          <w:sz w:val="32"/>
          <w:szCs w:val="32"/>
          <w:lang w:val="zh-CN"/>
        </w:rPr>
        <w:t>机关事业单位基本养老保险缴费支出</w:t>
      </w:r>
      <w:r>
        <w:rPr>
          <w:rFonts w:hint="eastAsia" w:ascii="仿宋_GB2312" w:hAnsi="仿宋_GB2312" w:eastAsia="仿宋_GB2312" w:cs="仿宋_GB2312"/>
          <w:color w:val="000000"/>
          <w:kern w:val="0"/>
          <w:sz w:val="32"/>
          <w:szCs w:val="32"/>
          <w:lang w:val="en-US" w:eastAsia="zh-CN"/>
        </w:rPr>
        <w:t>374059.52</w:t>
      </w:r>
      <w:r>
        <w:rPr>
          <w:rFonts w:hint="eastAsia" w:ascii="仿宋_GB2312" w:hAnsi="仿宋_GB2312" w:eastAsia="仿宋_GB2312" w:cs="仿宋_GB2312"/>
          <w:color w:val="000000"/>
          <w:kern w:val="0"/>
          <w:sz w:val="32"/>
          <w:szCs w:val="32"/>
          <w:lang w:val="zh-CN"/>
        </w:rPr>
        <w:t>元，机关事业单位职业年金缴费支出</w:t>
      </w:r>
      <w:r>
        <w:rPr>
          <w:rFonts w:hint="eastAsia" w:ascii="仿宋_GB2312" w:hAnsi="仿宋_GB2312" w:eastAsia="仿宋_GB2312" w:cs="仿宋_GB2312"/>
          <w:color w:val="000000"/>
          <w:kern w:val="0"/>
          <w:sz w:val="32"/>
          <w:szCs w:val="32"/>
          <w:lang w:val="en-US" w:eastAsia="zh-CN"/>
        </w:rPr>
        <w:t>187029.76</w:t>
      </w:r>
      <w:r>
        <w:rPr>
          <w:rFonts w:hint="eastAsia" w:ascii="仿宋_GB2312" w:hAnsi="仿宋_GB2312" w:eastAsia="仿宋_GB2312" w:cs="仿宋_GB2312"/>
          <w:color w:val="000000"/>
          <w:kern w:val="0"/>
          <w:sz w:val="32"/>
          <w:szCs w:val="32"/>
          <w:lang w:val="zh-CN"/>
        </w:rPr>
        <w:t>元，行政单位医疗</w:t>
      </w:r>
      <w:r>
        <w:rPr>
          <w:rFonts w:hint="eastAsia" w:ascii="仿宋_GB2312" w:hAnsi="仿宋_GB2312" w:eastAsia="仿宋_GB2312" w:cs="仿宋_GB2312"/>
          <w:color w:val="000000"/>
          <w:kern w:val="0"/>
          <w:sz w:val="32"/>
          <w:szCs w:val="32"/>
          <w:lang w:val="en-US" w:eastAsia="zh-CN"/>
        </w:rPr>
        <w:t>238618.72</w:t>
      </w:r>
      <w:r>
        <w:rPr>
          <w:rFonts w:hint="eastAsia" w:ascii="仿宋_GB2312" w:hAnsi="仿宋_GB2312" w:eastAsia="仿宋_GB2312" w:cs="仿宋_GB2312"/>
          <w:color w:val="000000"/>
          <w:kern w:val="0"/>
          <w:sz w:val="32"/>
          <w:szCs w:val="32"/>
          <w:lang w:val="zh-CN"/>
        </w:rPr>
        <w:t>元，公务员医疗补助</w:t>
      </w:r>
      <w:r>
        <w:rPr>
          <w:rFonts w:hint="eastAsia" w:ascii="仿宋_GB2312" w:hAnsi="仿宋_GB2312" w:eastAsia="仿宋_GB2312" w:cs="仿宋_GB2312"/>
          <w:color w:val="000000"/>
          <w:kern w:val="0"/>
          <w:sz w:val="32"/>
          <w:szCs w:val="32"/>
          <w:lang w:val="en-US" w:eastAsia="zh-CN"/>
        </w:rPr>
        <w:t>48253.26</w:t>
      </w:r>
      <w:r>
        <w:rPr>
          <w:rFonts w:hint="eastAsia" w:ascii="仿宋_GB2312" w:hAnsi="仿宋_GB2312" w:eastAsia="仿宋_GB2312" w:cs="仿宋_GB2312"/>
          <w:color w:val="000000"/>
          <w:kern w:val="0"/>
          <w:sz w:val="32"/>
          <w:szCs w:val="32"/>
          <w:lang w:val="zh-CN"/>
        </w:rPr>
        <w:t>元，住房公积金</w:t>
      </w:r>
      <w:r>
        <w:rPr>
          <w:rFonts w:hint="eastAsia" w:ascii="仿宋_GB2312" w:hAnsi="仿宋_GB2312" w:eastAsia="仿宋_GB2312" w:cs="仿宋_GB2312"/>
          <w:color w:val="000000"/>
          <w:kern w:val="0"/>
          <w:sz w:val="32"/>
          <w:szCs w:val="32"/>
          <w:lang w:val="en-US" w:eastAsia="zh-CN"/>
        </w:rPr>
        <w:t>401482</w:t>
      </w:r>
      <w:r>
        <w:rPr>
          <w:rFonts w:hint="eastAsia" w:ascii="仿宋_GB2312" w:hAnsi="仿宋_GB2312" w:eastAsia="仿宋_GB2312" w:cs="仿宋_GB2312"/>
          <w:color w:val="000000"/>
          <w:kern w:val="0"/>
          <w:sz w:val="32"/>
          <w:szCs w:val="32"/>
          <w:lang w:val="zh-CN" w:eastAsia="zh-CN"/>
        </w:rPr>
        <w:t>元，其他应急管理支出</w:t>
      </w:r>
      <w:r>
        <w:rPr>
          <w:rFonts w:hint="eastAsia" w:ascii="仿宋_GB2312" w:hAnsi="仿宋_GB2312" w:eastAsia="仿宋_GB2312" w:cs="仿宋_GB2312"/>
          <w:color w:val="000000"/>
          <w:kern w:val="0"/>
          <w:sz w:val="32"/>
          <w:szCs w:val="32"/>
          <w:lang w:val="en-US" w:eastAsia="zh-CN"/>
        </w:rPr>
        <w:t>4072.6元</w:t>
      </w:r>
      <w:r>
        <w:rPr>
          <w:rFonts w:hint="eastAsia" w:ascii="仿宋_GB2312" w:hAnsi="仿宋_GB2312" w:eastAsia="仿宋_GB2312" w:cs="仿宋_GB2312"/>
          <w:color w:val="000000"/>
          <w:kern w:val="0"/>
          <w:sz w:val="32"/>
          <w:szCs w:val="32"/>
          <w:lang w:val="zh-CN" w:eastAsia="zh-CN"/>
        </w:rPr>
        <w:t>。</w:t>
      </w:r>
      <w:r>
        <w:rPr>
          <w:rFonts w:hint="eastAsia" w:ascii="仿宋_GB2312" w:hAnsi="仿宋_GB2312" w:eastAsia="仿宋_GB2312" w:cs="仿宋_GB2312"/>
          <w:color w:val="000000"/>
          <w:kern w:val="0"/>
          <w:sz w:val="32"/>
          <w:szCs w:val="32"/>
          <w:lang w:val="en-US" w:eastAsia="zh-CN"/>
        </w:rPr>
        <w:t>年末财政拨款结转结余2326588.24元。年末财返额度追减1927.4元。</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2.2021年1-5月财政拨款预算支出3481221.44元，其中行政运行经费支出1927353.92元，机关事业单位基本养老保险缴费支出154194.08元，机关事业单位职业年金缴费支出77097.04元，行政单位医疗93817.85元，公务员医疗补助21017.4元，住房公积金163236元；一般行政管理事务863877.15元,其他教育支出3000元，其他国家电影发展专项资金支出15万元，其他重大卫生支出23200元，其中：其他支出27628元。年初财政拨款结转结余</w:t>
      </w:r>
      <w:r>
        <w:rPr>
          <w:rFonts w:hint="eastAsia" w:ascii="仿宋_GB2312" w:hAnsi="仿宋_GB2312" w:eastAsia="仿宋_GB2312" w:cs="仿宋_GB2312"/>
          <w:color w:val="000000"/>
          <w:kern w:val="0"/>
          <w:sz w:val="32"/>
          <w:szCs w:val="32"/>
          <w:lang w:val="zh-CN" w:eastAsia="zh-CN"/>
        </w:rPr>
        <w:t>1,37</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lang w:val="zh-CN" w:eastAsia="zh-CN"/>
        </w:rPr>
        <w:t>49万</w:t>
      </w:r>
      <w:r>
        <w:rPr>
          <w:rFonts w:hint="eastAsia" w:ascii="仿宋_GB2312" w:hAnsi="仿宋_GB2312" w:eastAsia="仿宋_GB2312" w:cs="仿宋_GB2312"/>
          <w:color w:val="000000"/>
          <w:kern w:val="0"/>
          <w:sz w:val="32"/>
          <w:szCs w:val="32"/>
          <w:lang w:val="en-US" w:eastAsia="zh-CN"/>
        </w:rPr>
        <w:t>元，其中基本支出结余97676.03元，年末项目支出结转1277250元（见附件2）。</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leftChars="200" w:firstLine="320" w:firstLineChars="100"/>
        <w:jc w:val="both"/>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三</w:t>
      </w:r>
      <w:r>
        <w:rPr>
          <w:rFonts w:hint="eastAsia" w:ascii="黑体" w:hAnsi="黑体" w:eastAsia="黑体" w:cs="黑体"/>
          <w:color w:val="000000"/>
          <w:kern w:val="0"/>
          <w:sz w:val="32"/>
          <w:szCs w:val="32"/>
          <w:lang w:eastAsia="zh-CN"/>
        </w:rPr>
        <w:t>、</w:t>
      </w:r>
      <w:r>
        <w:rPr>
          <w:rFonts w:hint="eastAsia" w:ascii="黑体" w:hAnsi="黑体" w:eastAsia="黑体" w:cs="黑体"/>
          <w:color w:val="000000"/>
          <w:kern w:val="0"/>
          <w:sz w:val="32"/>
          <w:szCs w:val="32"/>
        </w:rPr>
        <w:t>部门财政支出管理情况</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w:t>
      </w:r>
      <w:r>
        <w:rPr>
          <w:rFonts w:hint="eastAsia" w:ascii="仿宋_GB2312" w:hAnsi="仿宋_GB2312" w:eastAsia="仿宋_GB2312" w:cs="仿宋_GB2312"/>
          <w:b/>
          <w:bCs/>
          <w:color w:val="000000"/>
          <w:kern w:val="0"/>
          <w:sz w:val="32"/>
          <w:szCs w:val="32"/>
          <w:lang w:val="en-US" w:eastAsia="zh-CN"/>
        </w:rPr>
        <w:t>一</w:t>
      </w:r>
      <w:r>
        <w:rPr>
          <w:rFonts w:hint="eastAsia" w:ascii="仿宋_GB2312" w:hAnsi="仿宋_GB2312" w:eastAsia="仿宋_GB2312" w:cs="仿宋_GB2312"/>
          <w:b/>
          <w:bCs/>
          <w:color w:val="000000"/>
          <w:kern w:val="0"/>
          <w:sz w:val="32"/>
          <w:szCs w:val="32"/>
          <w:lang w:val="zh-CN"/>
        </w:rPr>
        <w:t>）部门预算管理（</w:t>
      </w:r>
      <w:r>
        <w:rPr>
          <w:rFonts w:hint="eastAsia" w:ascii="仿宋_GB2312" w:hAnsi="仿宋_GB2312" w:eastAsia="仿宋_GB2312" w:cs="仿宋_GB2312"/>
          <w:b/>
          <w:bCs/>
          <w:color w:val="000000"/>
          <w:kern w:val="0"/>
          <w:sz w:val="32"/>
          <w:szCs w:val="32"/>
          <w:lang w:val="en-US" w:eastAsia="zh-CN"/>
        </w:rPr>
        <w:t>60分</w:t>
      </w:r>
      <w:r>
        <w:rPr>
          <w:rFonts w:hint="eastAsia" w:ascii="仿宋_GB2312" w:hAnsi="仿宋_GB2312" w:eastAsia="仿宋_GB2312" w:cs="仿宋_GB2312"/>
          <w:b/>
          <w:bCs/>
          <w:color w:val="000000"/>
          <w:kern w:val="0"/>
          <w:sz w:val="32"/>
          <w:szCs w:val="32"/>
          <w:lang w:val="zh-CN"/>
        </w:rPr>
        <w:t>）</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1.</w:t>
      </w:r>
      <w:r>
        <w:rPr>
          <w:rFonts w:hint="eastAsia" w:ascii="仿宋_GB2312" w:hAnsi="仿宋_GB2312" w:eastAsia="仿宋_GB2312" w:cs="仿宋_GB2312"/>
          <w:b/>
          <w:bCs/>
          <w:color w:val="000000"/>
          <w:kern w:val="0"/>
          <w:sz w:val="32"/>
          <w:szCs w:val="32"/>
          <w:lang w:val="zh-CN"/>
        </w:rPr>
        <w:t>预算编制情况（</w:t>
      </w:r>
      <w:r>
        <w:rPr>
          <w:rFonts w:hint="eastAsia" w:ascii="仿宋_GB2312" w:hAnsi="仿宋_GB2312" w:eastAsia="仿宋_GB2312" w:cs="仿宋_GB2312"/>
          <w:b/>
          <w:bCs/>
          <w:color w:val="000000"/>
          <w:kern w:val="0"/>
          <w:sz w:val="32"/>
          <w:szCs w:val="32"/>
          <w:lang w:val="en-US" w:eastAsia="zh-CN"/>
        </w:rPr>
        <w:t>24分</w:t>
      </w:r>
      <w:r>
        <w:rPr>
          <w:rFonts w:hint="eastAsia" w:ascii="仿宋_GB2312" w:hAnsi="仿宋_GB2312" w:eastAsia="仿宋_GB2312" w:cs="仿宋_GB2312"/>
          <w:b/>
          <w:bCs/>
          <w:color w:val="000000"/>
          <w:kern w:val="0"/>
          <w:sz w:val="32"/>
          <w:szCs w:val="32"/>
          <w:lang w:val="zh-CN"/>
        </w:rPr>
        <w:t>）</w:t>
      </w:r>
    </w:p>
    <w:p>
      <w:pPr>
        <w:keepNext w:val="0"/>
        <w:keepLines w:val="0"/>
        <w:pageBreakBefore w:val="0"/>
        <w:kinsoku/>
        <w:wordWrap/>
        <w:overflowPunct/>
        <w:topLinePunct w:val="0"/>
        <w:autoSpaceDE/>
        <w:autoSpaceDN/>
        <w:bidi w:val="0"/>
        <w:snapToGrid/>
        <w:spacing w:line="52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部门预算编制目标制定（</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lang w:val="zh-CN"/>
        </w:rPr>
        <w:t>分）。</w:t>
      </w:r>
      <w:r>
        <w:rPr>
          <w:rFonts w:hint="default" w:ascii="Times New Roman" w:hAnsi="Times New Roman" w:eastAsia="仿宋_GB2312" w:cs="Times New Roman"/>
          <w:sz w:val="32"/>
          <w:szCs w:val="32"/>
        </w:rPr>
        <w:t>预算编制按照规定做到了细化，内容真实、完整。各项收入均列入部门预算，按要求编制了政府采购预算，结余结转资金规范化管理，按规定及时公开了部门预算。</w:t>
      </w:r>
      <w:r>
        <w:rPr>
          <w:rFonts w:hint="eastAsia" w:ascii="仿宋_GB2312" w:hAnsi="仿宋_GB2312" w:eastAsia="仿宋_GB2312" w:cs="仿宋_GB2312"/>
          <w:color w:val="000000"/>
          <w:kern w:val="0"/>
          <w:sz w:val="32"/>
          <w:szCs w:val="32"/>
          <w:lang w:val="en-US" w:eastAsia="zh-CN"/>
        </w:rPr>
        <w:t>自评得分</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8分。</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lang w:val="en-US" w:eastAsia="zh-CN"/>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部门预算编制</w:t>
      </w:r>
      <w:r>
        <w:rPr>
          <w:rFonts w:hint="eastAsia" w:ascii="仿宋_GB2312" w:hAnsi="仿宋_GB2312" w:eastAsia="仿宋_GB2312" w:cs="仿宋_GB2312"/>
          <w:color w:val="000000"/>
          <w:kern w:val="0"/>
          <w:sz w:val="32"/>
          <w:szCs w:val="32"/>
          <w:lang w:val="en-US" w:eastAsia="zh-CN"/>
        </w:rPr>
        <w:t>目标实现（8分）。预算编制数10个项目，9个项目指标实际完成均达到预期指标30%以上，指标得分=达到预期值的数量指标个数/全部数量指标个数（即评价选取的项目绩效目标包含的所有数量指标），得7.2分。（因州新闻中心属宣传部的下属机构，工作及项目经费未分开，州委宣传部项目预算经费包括州新闻中心项目）</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部门预算编制准确（</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lang w:val="zh-CN"/>
        </w:rPr>
        <w:t>分）。</w:t>
      </w:r>
      <w:r>
        <w:rPr>
          <w:rFonts w:hint="eastAsia" w:ascii="仿宋_GB2312" w:hAnsi="仿宋_GB2312" w:eastAsia="仿宋_GB2312" w:cs="仿宋_GB2312"/>
          <w:color w:val="000000"/>
          <w:kern w:val="0"/>
          <w:sz w:val="32"/>
          <w:szCs w:val="32"/>
          <w:lang w:val="en-US" w:eastAsia="zh-CN"/>
        </w:rPr>
        <w:t xml:space="preserve">按照（1-（10×部门全年预算调剂金额/年初部门预算数））*指标分值，自评： </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（1-（10×11322282.98/10459247.25）×8=7.86分</w:t>
      </w:r>
    </w:p>
    <w:p>
      <w:pPr>
        <w:pStyle w:val="24"/>
        <w:keepNext w:val="0"/>
        <w:keepLines w:val="0"/>
        <w:pageBreakBefore w:val="0"/>
        <w:kinsoku/>
        <w:wordWrap/>
        <w:overflowPunct/>
        <w:topLinePunct w:val="0"/>
        <w:autoSpaceDE/>
        <w:autoSpaceDN/>
        <w:bidi w:val="0"/>
        <w:snapToGrid/>
        <w:spacing w:line="520" w:lineRule="exact"/>
        <w:textAlignment w:val="auto"/>
        <w:rPr>
          <w:rFonts w:hint="eastAsia" w:eastAsia="仿宋_GB2312"/>
          <w:b/>
          <w:bCs/>
          <w:lang w:val="en-US" w:eastAsia="zh-CN"/>
        </w:rPr>
      </w:pPr>
      <w:r>
        <w:rPr>
          <w:rFonts w:hint="eastAsia" w:ascii="仿宋_GB2312" w:hAnsi="仿宋_GB2312" w:eastAsia="仿宋_GB2312" w:cs="仿宋_GB2312"/>
          <w:b/>
          <w:bCs/>
          <w:color w:val="000000"/>
          <w:kern w:val="0"/>
          <w:sz w:val="32"/>
          <w:szCs w:val="32"/>
          <w:lang w:val="en-US" w:eastAsia="zh-CN"/>
        </w:rPr>
        <w:t xml:space="preserve">    2.预算执行（20分）</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部门预算编制</w:t>
      </w:r>
      <w:r>
        <w:rPr>
          <w:rFonts w:hint="eastAsia" w:ascii="仿宋_GB2312" w:hAnsi="仿宋_GB2312" w:eastAsia="仿宋_GB2312" w:cs="仿宋_GB2312"/>
          <w:color w:val="000000"/>
          <w:kern w:val="0"/>
          <w:sz w:val="32"/>
          <w:szCs w:val="32"/>
          <w:lang w:val="en-US" w:eastAsia="zh-CN"/>
        </w:rPr>
        <w:t>支出控制（6分）。按照部门日常公用经费、项目支出中“办公费、印刷费、水费、电费、物业管理费”等科目年初预算数与决算数偏差程度，预决算偏差程度在10-20%以内，得3分。</w:t>
      </w:r>
    </w:p>
    <w:p>
      <w:pPr>
        <w:pStyle w:val="24"/>
        <w:keepNext w:val="0"/>
        <w:keepLines w:val="0"/>
        <w:pageBreakBefore w:val="0"/>
        <w:kinsoku/>
        <w:wordWrap/>
        <w:overflowPunct/>
        <w:topLinePunct w:val="0"/>
        <w:autoSpaceDE/>
        <w:autoSpaceDN/>
        <w:bidi w:val="0"/>
        <w:snapToGrid/>
        <w:spacing w:line="520" w:lineRule="exac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（2）</w:t>
      </w:r>
      <w:r>
        <w:rPr>
          <w:rFonts w:hint="eastAsia" w:ascii="仿宋_GB2312" w:hAnsi="仿宋_GB2312" w:eastAsia="仿宋_GB2312" w:cs="仿宋_GB2312"/>
          <w:color w:val="000000"/>
          <w:kern w:val="0"/>
          <w:sz w:val="32"/>
          <w:szCs w:val="32"/>
          <w:lang w:val="zh-CN"/>
        </w:rPr>
        <w:t>部门预算编制</w:t>
      </w:r>
      <w:r>
        <w:rPr>
          <w:rFonts w:hint="eastAsia" w:ascii="仿宋_GB2312" w:hAnsi="仿宋_GB2312" w:eastAsia="仿宋_GB2312" w:cs="仿宋_GB2312"/>
          <w:color w:val="000000"/>
          <w:kern w:val="0"/>
          <w:sz w:val="32"/>
          <w:szCs w:val="32"/>
          <w:lang w:val="en-US" w:eastAsia="zh-CN"/>
        </w:rPr>
        <w:t>动态调整（8分）。部门绩效监控调种取消额和结余注销额均不为零时，指标得分=部门项目支出绩效监控调整取消额÷（部门绩效监控调整取消额+预算结余注销额）*8，（10×11322282.98/10459247.25）×8=得7.86分。</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（3）</w:t>
      </w:r>
      <w:r>
        <w:rPr>
          <w:rFonts w:hint="eastAsia" w:ascii="仿宋_GB2312" w:hAnsi="仿宋_GB2312" w:eastAsia="仿宋_GB2312" w:cs="仿宋_GB2312"/>
          <w:color w:val="000000"/>
          <w:kern w:val="0"/>
          <w:sz w:val="32"/>
          <w:szCs w:val="32"/>
          <w:lang w:val="zh-CN"/>
        </w:rPr>
        <w:t>部门预算编制</w:t>
      </w:r>
      <w:r>
        <w:rPr>
          <w:rFonts w:hint="eastAsia" w:ascii="仿宋_GB2312" w:hAnsi="仿宋_GB2312" w:eastAsia="仿宋_GB2312" w:cs="仿宋_GB2312"/>
          <w:color w:val="000000"/>
          <w:kern w:val="0"/>
          <w:sz w:val="32"/>
          <w:szCs w:val="32"/>
          <w:lang w:val="en-US" w:eastAsia="zh-CN" w:bidi="ar-SA"/>
        </w:rPr>
        <w:t>部门执行进度（6分）。部门预算执行进度在6、9、11月应达到序时进度的80%、90%、90%，即实际支出进度分别达到40%、67.5%、82.5%。自评：6月30%，得分30/80×2=0.75分；9月45%，45/90×2=1分 ;11月：11月82.5%，得分2分，共计得分3.75分。</w:t>
      </w:r>
    </w:p>
    <w:p>
      <w:pPr>
        <w:pStyle w:val="24"/>
        <w:keepNext w:val="0"/>
        <w:keepLines w:val="0"/>
        <w:pageBreakBefore w:val="0"/>
        <w:kinsoku/>
        <w:wordWrap/>
        <w:overflowPunct/>
        <w:topLinePunct w:val="0"/>
        <w:autoSpaceDE/>
        <w:autoSpaceDN/>
        <w:bidi w:val="0"/>
        <w:snapToGrid/>
        <w:spacing w:line="520" w:lineRule="exact"/>
        <w:textAlignment w:val="auto"/>
        <w:rPr>
          <w:rFonts w:hint="default"/>
          <w:b/>
          <w:bCs/>
          <w:lang w:val="en-US" w:eastAsia="zh-CN"/>
        </w:rPr>
      </w:pPr>
      <w:r>
        <w:rPr>
          <w:rFonts w:hint="eastAsia" w:ascii="仿宋_GB2312" w:hAnsi="仿宋_GB2312" w:eastAsia="仿宋_GB2312" w:cs="仿宋_GB2312"/>
          <w:b/>
          <w:bCs/>
          <w:color w:val="000000"/>
          <w:kern w:val="0"/>
          <w:sz w:val="32"/>
          <w:szCs w:val="32"/>
          <w:lang w:val="en-US" w:eastAsia="zh-CN"/>
        </w:rPr>
        <w:t xml:space="preserve">    3.完成结果（16分）</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部门预算编制</w:t>
      </w:r>
      <w:r>
        <w:rPr>
          <w:rFonts w:hint="eastAsia" w:ascii="仿宋_GB2312" w:hAnsi="仿宋_GB2312" w:eastAsia="仿宋_GB2312" w:cs="仿宋_GB2312"/>
          <w:color w:val="000000"/>
          <w:kern w:val="0"/>
          <w:sz w:val="32"/>
          <w:szCs w:val="32"/>
          <w:lang w:val="en-US" w:eastAsia="zh-CN"/>
        </w:rPr>
        <w:t>预算完成（8分）。部门预算编制10个项目，其中：9个项目指标实际完成均达到预期指标30%以上，指标得分=达到预期值的数量指标个数/全部数量指标个数（即评价选取的项目绩效目标包含的所有数量指标），得7.2分。（因州新闻中心属宣传部的下属机构，工作及项目经费未分开，项目预算经费包括州新闻中心）</w:t>
      </w:r>
    </w:p>
    <w:p>
      <w:pPr>
        <w:pStyle w:val="24"/>
        <w:keepNext w:val="0"/>
        <w:keepLines w:val="0"/>
        <w:pageBreakBefore w:val="0"/>
        <w:kinsoku/>
        <w:wordWrap/>
        <w:overflowPunct/>
        <w:topLinePunct w:val="0"/>
        <w:autoSpaceDE/>
        <w:autoSpaceDN/>
        <w:bidi w:val="0"/>
        <w:snapToGrid/>
        <w:spacing w:line="520" w:lineRule="exact"/>
        <w:textAlignment w:val="auto"/>
        <w:rPr>
          <w:rFonts w:hint="eastAsia" w:eastAsia="仿宋_GB2312"/>
          <w:lang w:val="en-US" w:eastAsia="zh-CN"/>
        </w:rPr>
      </w:pPr>
      <w:r>
        <w:rPr>
          <w:rFonts w:hint="eastAsia" w:ascii="仿宋_GB2312" w:hAnsi="仿宋_GB2312" w:eastAsia="仿宋_GB2312" w:cs="仿宋_GB2312"/>
          <w:color w:val="000000"/>
          <w:kern w:val="0"/>
          <w:sz w:val="32"/>
          <w:szCs w:val="32"/>
          <w:lang w:val="en-US" w:eastAsia="zh-CN"/>
        </w:rPr>
        <w:t xml:space="preserve">    (2)</w:t>
      </w:r>
      <w:r>
        <w:rPr>
          <w:rFonts w:hint="eastAsia" w:ascii="仿宋_GB2312" w:hAnsi="仿宋_GB2312" w:eastAsia="仿宋_GB2312" w:cs="仿宋_GB2312"/>
          <w:color w:val="000000"/>
          <w:kern w:val="0"/>
          <w:sz w:val="32"/>
          <w:szCs w:val="32"/>
          <w:lang w:val="zh-CN"/>
        </w:rPr>
        <w:t>部门预算编制</w:t>
      </w:r>
      <w:r>
        <w:rPr>
          <w:rFonts w:hint="eastAsia" w:ascii="仿宋_GB2312" w:hAnsi="仿宋_GB2312" w:eastAsia="仿宋_GB2312" w:cs="仿宋_GB2312"/>
          <w:color w:val="000000"/>
          <w:kern w:val="0"/>
          <w:sz w:val="32"/>
          <w:szCs w:val="32"/>
          <w:lang w:val="en-US" w:eastAsia="zh-CN"/>
        </w:rPr>
        <w:t>违规记录（8分）。根据审计监督、财政检查结果反映部门上一年度部门预算管理合规，得8分。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（二）专项预算管理（20分）</w:t>
      </w:r>
    </w:p>
    <w:p>
      <w:pPr>
        <w:pStyle w:val="24"/>
        <w:rPr>
          <w:rFonts w:hint="default"/>
          <w:b w:val="0"/>
          <w:bCs w:val="0"/>
          <w:lang w:val="en-US" w:eastAsia="zh-CN"/>
        </w:rPr>
      </w:pPr>
      <w:r>
        <w:rPr>
          <w:rFonts w:hint="eastAsia" w:ascii="仿宋_GB2312" w:hAnsi="仿宋_GB2312" w:eastAsia="仿宋_GB2312" w:cs="仿宋_GB2312"/>
          <w:b w:val="0"/>
          <w:bCs w:val="0"/>
          <w:color w:val="000000"/>
          <w:kern w:val="0"/>
          <w:sz w:val="32"/>
          <w:szCs w:val="32"/>
          <w:lang w:val="en-US" w:eastAsia="zh-CN"/>
        </w:rPr>
        <w:t xml:space="preserve">    自查得分16.4分。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(三)绩效结果应用（10分）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1.信息公开（2分）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42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lang w:val="en-US" w:eastAsia="zh-CN"/>
        </w:rPr>
        <w:t xml:space="preserve"> </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eastAsia="zh-CN"/>
        </w:rPr>
        <w:t>预算公开。</w:t>
      </w:r>
      <w:r>
        <w:rPr>
          <w:rFonts w:hint="eastAsia" w:ascii="仿宋_GB2312" w:hAnsi="仿宋_GB2312" w:eastAsia="仿宋_GB2312" w:cs="仿宋_GB2312"/>
          <w:color w:val="000000"/>
          <w:kern w:val="0"/>
          <w:sz w:val="32"/>
          <w:szCs w:val="32"/>
          <w:lang w:val="zh-CN"/>
        </w:rPr>
        <w:t>除涉密信息外，按要求在财政部门批复后二十日内向社会公开本部门预算（含所有财政资金安排的“三公”经费、机关运行经费的安排、使用情况等）在州政府门户网站上进行了公开</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）决算公开。除涉密信息外，按要求在财政部门批复二十日内向社会公开本部门决算（含所有财政资金安排的“三公”经费、机关运行经费的安排、使用情况等）在州政府门户网站上进行了公开</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）绩效信息公开。按要求公开部门整体支出绩效自评报告及其他按要求应公开的绩效信息</w:t>
      </w:r>
      <w:r>
        <w:rPr>
          <w:rFonts w:hint="eastAsia" w:ascii="仿宋_GB2312" w:hAnsi="仿宋_GB2312" w:eastAsia="仿宋_GB2312" w:cs="仿宋_GB2312"/>
          <w:color w:val="000000"/>
          <w:kern w:val="0"/>
          <w:sz w:val="32"/>
          <w:szCs w:val="32"/>
          <w:lang w:val="en-US" w:eastAsia="zh-CN"/>
        </w:rPr>
        <w:t>。</w:t>
      </w:r>
    </w:p>
    <w:p>
      <w:pPr>
        <w:pStyle w:val="24"/>
        <w:ind w:firstLine="64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以上三项自查得分2分。</w:t>
      </w:r>
    </w:p>
    <w:p>
      <w:pPr>
        <w:pStyle w:val="24"/>
        <w:ind w:firstLine="640"/>
        <w:rPr>
          <w:rFonts w:hint="default"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2.整改反馈（8分）</w:t>
      </w:r>
    </w:p>
    <w:p>
      <w:pPr>
        <w:pStyle w:val="24"/>
        <w:ind w:firstLine="64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阿坝州财政局《关于开展2019、2020年预决算公开情况专项检查情况的通报》（阿州财监绩函[2021]2号），对公开不及时、公开内容不完整、细化程度不够、其他方面存在的问题进行了通报，均无州委宣传部。</w:t>
      </w:r>
    </w:p>
    <w:p>
      <w:pPr>
        <w:pStyle w:val="24"/>
        <w:ind w:firstLine="64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我部无债务资金、无非税收入；</w:t>
      </w:r>
      <w:r>
        <w:rPr>
          <w:rFonts w:hint="eastAsia" w:ascii="仿宋_GB2312" w:hAnsi="仿宋_GB2312" w:eastAsia="仿宋_GB2312" w:cs="仿宋_GB2312"/>
          <w:color w:val="000000"/>
          <w:kern w:val="0"/>
          <w:sz w:val="32"/>
          <w:szCs w:val="32"/>
          <w:lang w:val="zh-CN"/>
        </w:rPr>
        <w:t>编制政府采购实施计划与政府采购预算的一致；按规定完成资产清查任务，并及时上报行政事业单位资产报表；</w:t>
      </w:r>
      <w:r>
        <w:rPr>
          <w:rFonts w:hint="eastAsia" w:ascii="仿宋_GB2312" w:hAnsi="仿宋_GB2312" w:eastAsia="仿宋_GB2312" w:cs="仿宋_GB2312"/>
          <w:color w:val="000000"/>
          <w:kern w:val="0"/>
          <w:sz w:val="32"/>
          <w:szCs w:val="32"/>
          <w:lang w:val="en-US" w:eastAsia="zh-CN"/>
        </w:rPr>
        <w:t>设立了完整的内控制度，未发生廉政或重大责任事故，并按要求上报了内控报表、分析材料。</w:t>
      </w:r>
    </w:p>
    <w:p>
      <w:pPr>
        <w:pStyle w:val="24"/>
        <w:ind w:firstLine="640"/>
        <w:rPr>
          <w:rFonts w:hint="eastAsia" w:ascii="仿宋_GB2312" w:hAnsi="仿宋_GB2312" w:eastAsia="仿宋_GB2312" w:cs="仿宋_GB2312"/>
          <w:color w:val="000000"/>
          <w:kern w:val="0"/>
          <w:sz w:val="32"/>
          <w:szCs w:val="32"/>
          <w:lang w:val="en-US" w:eastAsia="zh-CN"/>
        </w:rPr>
      </w:pPr>
      <w:r>
        <w:rPr>
          <w:rFonts w:hint="eastAsia" w:ascii="仿宋_GB2312" w:hAnsi="宋体" w:eastAsia="仿宋_GB2312" w:cs="宋体"/>
          <w:color w:val="000000"/>
          <w:kern w:val="0"/>
          <w:sz w:val="32"/>
          <w:szCs w:val="32"/>
          <w:shd w:val="clear" w:color="auto" w:fill="FFFFFF"/>
          <w:lang w:val="zh-CN"/>
        </w:rPr>
        <w:t>我部</w:t>
      </w:r>
      <w:r>
        <w:rPr>
          <w:rFonts w:hint="eastAsia" w:ascii="仿宋_GB2312" w:hAnsi="宋体" w:eastAsia="仿宋_GB2312" w:cs="宋体"/>
          <w:color w:val="000000"/>
          <w:kern w:val="0"/>
          <w:sz w:val="32"/>
          <w:szCs w:val="32"/>
          <w:shd w:val="clear" w:color="auto" w:fill="FFFFFF"/>
          <w:lang w:val="en-US" w:eastAsia="zh-CN"/>
        </w:rPr>
        <w:t>2020年度整体支出绩效评价自评合格，并按规定将自评情况及时报送财政部门备案，对于自评过程中发现的不足及问题，我部积极整改，</w:t>
      </w:r>
      <w:r>
        <w:rPr>
          <w:rFonts w:hint="eastAsia" w:ascii="仿宋_GB2312" w:hAnsi="宋体" w:eastAsia="仿宋_GB2312" w:cs="宋体"/>
          <w:color w:val="000000"/>
          <w:kern w:val="0"/>
          <w:sz w:val="32"/>
          <w:szCs w:val="32"/>
          <w:shd w:val="clear" w:color="auto" w:fill="FFFFFF"/>
          <w:lang w:val="zh-CN"/>
        </w:rPr>
        <w:t>力求下一年度通过完善相关政策制度，建立更加切合实际的绩效评价体系。</w:t>
      </w:r>
      <w:r>
        <w:rPr>
          <w:rFonts w:hint="eastAsia" w:ascii="仿宋_GB2312" w:hAnsi="仿宋_GB2312" w:eastAsia="仿宋_GB2312" w:cs="仿宋_GB2312"/>
          <w:color w:val="000000"/>
          <w:kern w:val="0"/>
          <w:sz w:val="32"/>
          <w:szCs w:val="32"/>
          <w:lang w:val="en-US" w:eastAsia="zh-CN"/>
        </w:rPr>
        <w:t>自查得分8分。</w:t>
      </w:r>
    </w:p>
    <w:p>
      <w:pPr>
        <w:pStyle w:val="24"/>
        <w:numPr>
          <w:ilvl w:val="0"/>
          <w:numId w:val="0"/>
        </w:numPr>
        <w:ind w:firstLine="643" w:firstLineChars="200"/>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（三）自评质量（10分）</w:t>
      </w:r>
    </w:p>
    <w:p>
      <w:pPr>
        <w:pStyle w:val="24"/>
        <w:numPr>
          <w:ilvl w:val="0"/>
          <w:numId w:val="0"/>
        </w:numPr>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lang w:val="en-US" w:eastAsia="zh-CN"/>
        </w:rPr>
        <w:t xml:space="preserve">     此项部门不打分。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leftChars="200" w:firstLine="320" w:firstLineChars="100"/>
        <w:jc w:val="both"/>
        <w:textAlignment w:val="auto"/>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四、评价结论及建议</w:t>
      </w:r>
    </w:p>
    <w:p>
      <w:pPr>
        <w:widowControl/>
        <w:adjustRightInd w:val="0"/>
        <w:snapToGrid w:val="0"/>
        <w:spacing w:line="580" w:lineRule="exact"/>
        <w:ind w:firstLine="643" w:firstLineChars="200"/>
        <w:contextualSpacing/>
        <w:jc w:val="left"/>
        <w:rPr>
          <w:rFonts w:hint="eastAsia" w:ascii="仿宋_GB2312" w:hAnsi="仿宋_GB2312" w:eastAsia="仿宋_GB2312" w:cs="仿宋_GB2312"/>
          <w:b/>
          <w:bCs/>
          <w:color w:val="000000"/>
          <w:kern w:val="0"/>
          <w:sz w:val="32"/>
          <w:szCs w:val="32"/>
          <w:lang w:val="zh-CN" w:eastAsia="zh-CN" w:bidi="ar-SA"/>
        </w:rPr>
      </w:pPr>
      <w:r>
        <w:rPr>
          <w:rFonts w:hint="eastAsia" w:ascii="仿宋_GB2312" w:hAnsi="仿宋_GB2312" w:eastAsia="仿宋_GB2312" w:cs="仿宋_GB2312"/>
          <w:b/>
          <w:bCs/>
          <w:color w:val="000000"/>
          <w:kern w:val="0"/>
          <w:sz w:val="32"/>
          <w:szCs w:val="32"/>
          <w:lang w:val="zh-CN" w:eastAsia="zh-CN" w:bidi="ar-SA"/>
        </w:rPr>
        <w:t>（一）评价结论。</w:t>
      </w:r>
    </w:p>
    <w:p>
      <w:pPr>
        <w:pStyle w:val="24"/>
        <w:numPr>
          <w:ilvl w:val="0"/>
          <w:numId w:val="0"/>
        </w:numPr>
        <w:ind w:firstLine="64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通过部门整体支出绩效评价部门自评满分为90分，通过自评得分79.27分。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zh-CN" w:eastAsia="zh-CN" w:bidi="ar-SA"/>
        </w:rPr>
        <w:t>（二）存在问题。</w:t>
      </w:r>
    </w:p>
    <w:p>
      <w:pPr>
        <w:pStyle w:val="24"/>
        <w:numPr>
          <w:ilvl w:val="0"/>
          <w:numId w:val="0"/>
        </w:numPr>
        <w:ind w:firstLine="640" w:firstLineChars="200"/>
        <w:rPr>
          <w:lang w:val="zh-CN"/>
        </w:rPr>
      </w:pPr>
      <w:r>
        <w:rPr>
          <w:rFonts w:hint="eastAsia" w:ascii="仿宋_GB2312" w:hAnsi="仿宋_GB2312" w:eastAsia="仿宋_GB2312" w:cs="仿宋_GB2312"/>
          <w:color w:val="000000"/>
          <w:kern w:val="0"/>
          <w:sz w:val="32"/>
          <w:szCs w:val="32"/>
          <w:lang w:val="en-US" w:eastAsia="zh-CN" w:bidi="ar-SA"/>
        </w:rPr>
        <w:t>一是预算编制准确度有待提高，存在中期追加、期末追减情况；二是固定资产卡片有未及时更新情况，管理有待完善；三是预算</w:t>
      </w:r>
      <w:r>
        <w:rPr>
          <w:rFonts w:hint="default" w:ascii="Times New Roman" w:hAnsi="Times New Roman" w:eastAsia="方正仿宋_GBK" w:cs="Times New Roman"/>
          <w:color w:val="000000"/>
          <w:kern w:val="0"/>
          <w:sz w:val="32"/>
          <w:szCs w:val="32"/>
          <w:lang w:eastAsia="zh-CN"/>
        </w:rPr>
        <w:t>执行进度缓慢，项目绩效目标完成情况不理想。</w:t>
      </w:r>
    </w:p>
    <w:p>
      <w:pPr>
        <w:widowControl/>
        <w:numPr>
          <w:ilvl w:val="0"/>
          <w:numId w:val="0"/>
        </w:numPr>
        <w:adjustRightInd w:val="0"/>
        <w:snapToGrid w:val="0"/>
        <w:spacing w:line="580" w:lineRule="exact"/>
        <w:ind w:firstLine="643" w:firstLineChars="200"/>
        <w:contextualSpacing/>
        <w:jc w:val="left"/>
        <w:rPr>
          <w:rFonts w:hint="eastAsia" w:ascii="仿宋_GB2312" w:hAnsi="仿宋_GB2312" w:eastAsia="仿宋_GB2312" w:cs="仿宋_GB2312"/>
          <w:b/>
          <w:bCs/>
          <w:color w:val="000000"/>
          <w:kern w:val="0"/>
          <w:sz w:val="32"/>
          <w:szCs w:val="32"/>
          <w:lang w:val="zh-CN" w:eastAsia="zh-CN" w:bidi="ar-SA"/>
        </w:rPr>
      </w:pPr>
      <w:r>
        <w:rPr>
          <w:rFonts w:hint="eastAsia" w:ascii="仿宋_GB2312" w:hAnsi="仿宋_GB2312" w:eastAsia="仿宋_GB2312" w:cs="仿宋_GB2312"/>
          <w:b/>
          <w:bCs/>
          <w:color w:val="000000"/>
          <w:kern w:val="0"/>
          <w:sz w:val="32"/>
          <w:szCs w:val="32"/>
          <w:lang w:val="zh-CN" w:eastAsia="zh-CN" w:bidi="ar-SA"/>
        </w:rPr>
        <w:t>（三）改进建议。</w:t>
      </w:r>
    </w:p>
    <w:p>
      <w:pPr>
        <w:spacing w:line="576" w:lineRule="exact"/>
        <w:ind w:firstLine="640" w:firstLineChars="200"/>
        <w:rPr>
          <w:rFonts w:hint="default" w:ascii="Times New Roman" w:hAnsi="Times New Roman" w:cs="Times New Roman"/>
        </w:rPr>
      </w:pPr>
      <w:r>
        <w:rPr>
          <w:rFonts w:hint="eastAsia" w:ascii="仿宋_GB2312" w:hAnsi="仿宋_GB2312" w:eastAsia="仿宋_GB2312" w:cs="仿宋_GB2312"/>
          <w:color w:val="000000"/>
          <w:kern w:val="0"/>
          <w:sz w:val="32"/>
          <w:szCs w:val="32"/>
          <w:lang w:val="en-US" w:eastAsia="zh-CN" w:bidi="ar-SA"/>
        </w:rPr>
        <w:t>一是加强每月预算执行监控，及时督促相关科室推进项目执行。二是通过近年预决算数据对比，科学编制预算，未雨绸缪尽量做好年度规划，降低经费追加减比例。三是</w:t>
      </w:r>
      <w:r>
        <w:rPr>
          <w:rFonts w:hint="default" w:ascii="Times New Roman" w:hAnsi="Times New Roman" w:eastAsia="方正仿宋_GBK" w:cs="Times New Roman"/>
          <w:color w:val="000000"/>
          <w:kern w:val="0"/>
          <w:sz w:val="32"/>
          <w:szCs w:val="32"/>
          <w:lang w:eastAsia="zh-CN"/>
        </w:rPr>
        <w:t>进一步健全完善内部控制制度，加强资产管理，</w:t>
      </w:r>
      <w:r>
        <w:rPr>
          <w:rFonts w:hint="eastAsia" w:ascii="仿宋_GB2312" w:hAnsi="仿宋_GB2312" w:eastAsia="仿宋_GB2312" w:cs="仿宋_GB2312"/>
          <w:color w:val="000000"/>
          <w:kern w:val="0"/>
          <w:sz w:val="32"/>
          <w:szCs w:val="32"/>
          <w:lang w:val="en-US" w:eastAsia="zh-CN" w:bidi="ar-SA"/>
        </w:rPr>
        <w:t>及时更新固定资产卡片，提高单位成本费用准确度，</w:t>
      </w:r>
      <w:r>
        <w:rPr>
          <w:rFonts w:hint="default" w:ascii="Times New Roman" w:hAnsi="Times New Roman" w:eastAsia="方正仿宋_GBK" w:cs="Times New Roman"/>
          <w:color w:val="000000"/>
          <w:kern w:val="0"/>
          <w:sz w:val="32"/>
          <w:szCs w:val="32"/>
          <w:lang w:eastAsia="zh-CN"/>
        </w:rPr>
        <w:t>提升部门整体支出绩效评价。</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中共阿坝州委宣传部</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2021年6月19日</w:t>
      </w:r>
    </w:p>
    <w:p>
      <w:pPr>
        <w:pStyle w:val="24"/>
        <w:rPr>
          <w:rFonts w:hint="eastAsia" w:ascii="仿宋_GB2312" w:hAnsi="仿宋_GB2312" w:eastAsia="仿宋_GB2312" w:cs="仿宋_GB2312"/>
          <w:sz w:val="32"/>
          <w:szCs w:val="32"/>
          <w:lang w:val="en-US" w:eastAsia="zh-CN"/>
        </w:rPr>
      </w:pPr>
    </w:p>
    <w:p>
      <w:pPr>
        <w:pStyle w:val="24"/>
        <w:rPr>
          <w:rFonts w:hint="eastAsia" w:ascii="仿宋_GB2312" w:hAnsi="仿宋_GB2312" w:eastAsia="仿宋_GB2312" w:cs="仿宋_GB2312"/>
          <w:sz w:val="32"/>
          <w:szCs w:val="32"/>
          <w:lang w:val="en-US" w:eastAsia="zh-CN"/>
        </w:rPr>
      </w:pPr>
    </w:p>
    <w:p>
      <w:pPr>
        <w:pStyle w:val="24"/>
        <w:rPr>
          <w:rFonts w:hint="eastAsia" w:ascii="仿宋_GB2312" w:hAnsi="仿宋_GB2312" w:eastAsia="仿宋_GB2312" w:cs="仿宋_GB2312"/>
          <w:sz w:val="32"/>
          <w:szCs w:val="32"/>
          <w:lang w:val="en-US" w:eastAsia="zh-CN"/>
        </w:rPr>
        <w:sectPr>
          <w:footerReference r:id="rId4" w:type="first"/>
          <w:footerReference r:id="rId3" w:type="default"/>
          <w:pgSz w:w="11906" w:h="16838"/>
          <w:pgMar w:top="1440" w:right="1800" w:bottom="1440" w:left="1800" w:header="851" w:footer="992" w:gutter="0"/>
          <w:cols w:space="720" w:num="1"/>
          <w:docGrid w:type="lines" w:linePitch="312" w:charSpace="0"/>
        </w:sectPr>
      </w:pPr>
    </w:p>
    <w:tbl>
      <w:tblPr>
        <w:tblStyle w:val="20"/>
        <w:tblW w:w="5000" w:type="pct"/>
        <w:tblInd w:w="0" w:type="dxa"/>
        <w:shd w:val="clear" w:color="auto" w:fill="auto"/>
        <w:tblLayout w:type="autofit"/>
        <w:tblCellMar>
          <w:top w:w="0" w:type="dxa"/>
          <w:left w:w="108" w:type="dxa"/>
          <w:bottom w:w="0" w:type="dxa"/>
          <w:right w:w="108" w:type="dxa"/>
        </w:tblCellMar>
      </w:tblPr>
      <w:tblGrid>
        <w:gridCol w:w="955"/>
        <w:gridCol w:w="955"/>
        <w:gridCol w:w="1219"/>
        <w:gridCol w:w="799"/>
        <w:gridCol w:w="3385"/>
        <w:gridCol w:w="5420"/>
        <w:gridCol w:w="1441"/>
      </w:tblGrid>
      <w:tr>
        <w:tblPrEx>
          <w:tblCellMar>
            <w:top w:w="0" w:type="dxa"/>
            <w:left w:w="108" w:type="dxa"/>
            <w:bottom w:w="0" w:type="dxa"/>
            <w:right w:w="108" w:type="dxa"/>
          </w:tblCellMar>
        </w:tblPrEx>
        <w:trPr>
          <w:trHeight w:val="690" w:hRule="atLeast"/>
        </w:trPr>
        <w:tc>
          <w:tcPr>
            <w:tcW w:w="5000" w:type="pct"/>
            <w:gridSpan w:val="7"/>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2021年度州级部门整体支出绩效评价指标体系（适用于专项预算小于1亿的部门）</w:t>
            </w:r>
          </w:p>
        </w:tc>
      </w:tr>
      <w:tr>
        <w:tblPrEx>
          <w:shd w:val="clear" w:color="auto" w:fill="auto"/>
          <w:tblCellMar>
            <w:top w:w="0" w:type="dxa"/>
            <w:left w:w="108" w:type="dxa"/>
            <w:bottom w:w="0" w:type="dxa"/>
            <w:right w:w="108" w:type="dxa"/>
          </w:tblCellMar>
        </w:tblPrEx>
        <w:trPr>
          <w:trHeight w:val="690" w:hRule="atLeast"/>
        </w:trPr>
        <w:tc>
          <w:tcPr>
            <w:tcW w:w="11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绩效指标</w:t>
            </w:r>
          </w:p>
        </w:tc>
        <w:tc>
          <w:tcPr>
            <w:tcW w:w="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指标分值</w:t>
            </w:r>
          </w:p>
        </w:tc>
        <w:tc>
          <w:tcPr>
            <w:tcW w:w="11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指标解释</w:t>
            </w:r>
          </w:p>
        </w:tc>
        <w:tc>
          <w:tcPr>
            <w:tcW w:w="1910" w:type="pct"/>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计分标准</w:t>
            </w:r>
          </w:p>
        </w:tc>
        <w:tc>
          <w:tcPr>
            <w:tcW w:w="5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shd w:val="clear" w:color="auto" w:fill="auto"/>
          <w:tblCellMar>
            <w:top w:w="0" w:type="dxa"/>
            <w:left w:w="108" w:type="dxa"/>
            <w:bottom w:w="0" w:type="dxa"/>
            <w:right w:w="108" w:type="dxa"/>
          </w:tblCellMar>
        </w:tblPrEx>
        <w:trPr>
          <w:trHeight w:val="345"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1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910" w:type="pct"/>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CellMar>
            <w:top w:w="0" w:type="dxa"/>
            <w:left w:w="108" w:type="dxa"/>
            <w:bottom w:w="0" w:type="dxa"/>
            <w:right w:w="108" w:type="dxa"/>
          </w:tblCellMar>
        </w:tblPrEx>
        <w:trPr>
          <w:trHeight w:val="1520"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部门预算管理（60分）</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预算编制（24分）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目标制定</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评价部门绩效目标是否要素完整、细化量化。</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1.绩效目标编制要素完整的，得4分，否则酌情扣分。                                                       2.绩效指标细化量化的，得4分，否则酌情扣分。                  有项目绩效目标的部门（单位），根据项目绩效目标编制质量打分，无项目绩效目标的部门，根据部门整体支出绩效目标打分。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tblPrEx>
          <w:shd w:val="clear" w:color="auto" w:fill="auto"/>
          <w:tblCellMar>
            <w:top w:w="0" w:type="dxa"/>
            <w:left w:w="108" w:type="dxa"/>
            <w:bottom w:w="0" w:type="dxa"/>
            <w:right w:w="108" w:type="dxa"/>
          </w:tblCellMar>
        </w:tblPrEx>
        <w:trPr>
          <w:trHeight w:val="148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目标实现</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评价部门绩效目标实际实现程度与预期目标的偏离度。</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r>
      <w:tr>
        <w:tblPrEx>
          <w:shd w:val="clear" w:color="auto" w:fill="auto"/>
          <w:tblCellMar>
            <w:top w:w="0" w:type="dxa"/>
            <w:left w:w="108" w:type="dxa"/>
            <w:bottom w:w="0" w:type="dxa"/>
            <w:right w:w="108" w:type="dxa"/>
          </w:tblCellMar>
        </w:tblPrEx>
        <w:trPr>
          <w:trHeight w:val="160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编制准确</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评价部门年初预算编制是否科学准确。</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指标得分=（1-（10×部门全年预算调剂金额/年初部门预算数））*指标分值。其中：若部门全年预算调剂金额/年初部门预算数&gt;0.1，此项得0分。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7.86</w:t>
            </w:r>
          </w:p>
        </w:tc>
      </w:tr>
      <w:tr>
        <w:tblPrEx>
          <w:shd w:val="clear" w:color="auto" w:fill="auto"/>
          <w:tblCellMar>
            <w:top w:w="0" w:type="dxa"/>
            <w:left w:w="108" w:type="dxa"/>
            <w:bottom w:w="0" w:type="dxa"/>
            <w:right w:w="108" w:type="dxa"/>
          </w:tblCellMar>
        </w:tblPrEx>
        <w:trPr>
          <w:trHeight w:val="148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预算执行（20分）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支出控制</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部门公用经费及非定额公用支出控制情况。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计算部门日常公用经费、项目支出中“办公费、印刷费、水费、电费、物业管理费”等科目年初预算数与决算数偏差程度                                                              预决算偏差程度在10%以内的，得6分。偏差度在10%-20%之间的，得3分，偏差度超过20%的，不得分。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tblPrEx>
          <w:shd w:val="clear" w:color="auto" w:fill="auto"/>
          <w:tblCellMar>
            <w:top w:w="0" w:type="dxa"/>
            <w:left w:w="108" w:type="dxa"/>
            <w:bottom w:w="0" w:type="dxa"/>
            <w:right w:w="108" w:type="dxa"/>
          </w:tblCellMar>
        </w:tblPrEx>
        <w:trPr>
          <w:trHeight w:val="216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动态调整</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评价部门开展绩效运行监控后，将绩效监控结果应用到预算调整的情况。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1.当部门绩效监控调整取消额和结余注销额均不为零时，指标得分=部门项目支出绩效监控调整取消额÷(部门绩效监控调整取消额+预算结余注销额）*8                                                  2.当部门绩效监控调整取消额为零，结余注销额不为零时，指标得分=（1-10*结余注销额/年度预算总额）*8，结余注销额超过部门年度预算总额10%的，指标不得分。                                3.当部门绩效监控调整取消额与结余注销额均为零时，得满分。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7.86</w:t>
            </w:r>
          </w:p>
        </w:tc>
      </w:tr>
      <w:tr>
        <w:tblPrEx>
          <w:shd w:val="clear" w:color="auto" w:fill="auto"/>
          <w:tblCellMar>
            <w:top w:w="0" w:type="dxa"/>
            <w:left w:w="108" w:type="dxa"/>
            <w:bottom w:w="0" w:type="dxa"/>
            <w:right w:w="108" w:type="dxa"/>
          </w:tblCellMar>
        </w:tblPrEx>
        <w:trPr>
          <w:trHeight w:val="122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执行进度</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评价部门在6、9、11月的预算执行情况。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部门预算执行进度在6、9、11月应达到序时进度的80%、90%、90%，即实际支出进度分别达到40%、67.5%、82.5%。                                                     6、9、11月部门预算执行进度达到量化指标的各得2分，未达到目标进度的的按其实际进度占目标进度的比重计算得分。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3.75</w:t>
            </w:r>
          </w:p>
        </w:tc>
      </w:tr>
      <w:tr>
        <w:tblPrEx>
          <w:shd w:val="clear" w:color="auto" w:fill="auto"/>
          <w:tblCellMar>
            <w:top w:w="0" w:type="dxa"/>
            <w:left w:w="108" w:type="dxa"/>
            <w:bottom w:w="0" w:type="dxa"/>
            <w:right w:w="108" w:type="dxa"/>
          </w:tblCellMar>
        </w:tblPrEx>
        <w:trPr>
          <w:trHeight w:val="100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完成结果（16分）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预算完成</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评价部门预算项目年终预算执行情况。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部门预算项目12月预算执行进度达到100%的，得8分，未达100%的，按照实际进度量化计算得分。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r>
      <w:tr>
        <w:tblPrEx>
          <w:tblCellMar>
            <w:top w:w="0" w:type="dxa"/>
            <w:left w:w="108" w:type="dxa"/>
            <w:bottom w:w="0" w:type="dxa"/>
            <w:right w:w="108" w:type="dxa"/>
          </w:tblCellMar>
        </w:tblPrEx>
        <w:trPr>
          <w:trHeight w:val="102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违规记录</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根据审计监督、财政检查结果反映部门上一年度部门预算管理是否合规。</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依据评价年度审计监督、财政检查结果，出现部门预算管理方面违纪违规问题的，每个问题扣0.5分，直至扣完。</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tblPrEx>
          <w:shd w:val="clear" w:color="auto" w:fill="auto"/>
          <w:tblCellMar>
            <w:top w:w="0" w:type="dxa"/>
            <w:left w:w="108" w:type="dxa"/>
            <w:bottom w:w="0" w:type="dxa"/>
            <w:right w:w="108" w:type="dxa"/>
          </w:tblCellMar>
        </w:tblPrEx>
        <w:trPr>
          <w:trHeight w:val="120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专项预算管理（20分）</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w:t>
            </w:r>
          </w:p>
        </w:tc>
      </w:tr>
      <w:tr>
        <w:tblPrEx>
          <w:tblCellMar>
            <w:top w:w="0" w:type="dxa"/>
            <w:left w:w="108" w:type="dxa"/>
            <w:bottom w:w="0" w:type="dxa"/>
            <w:right w:w="108" w:type="dxa"/>
          </w:tblCellMar>
        </w:tblPrEx>
        <w:trPr>
          <w:trHeight w:val="1200" w:hRule="atLeast"/>
        </w:trPr>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绩效结果应用（10分）</w:t>
            </w:r>
          </w:p>
        </w:tc>
        <w:tc>
          <w:tcPr>
            <w:tcW w:w="337"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信息公开（2分）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自评公开</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评价部门是否按要求将部门整体绩效自评情况和自行组织的评价情况向社会公开。</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按要求将相关绩效信息随同决算公开的，得2分，否则不得分。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shd w:val="clear" w:color="auto" w:fill="auto"/>
          <w:tblCellMar>
            <w:top w:w="0" w:type="dxa"/>
            <w:left w:w="108" w:type="dxa"/>
            <w:bottom w:w="0" w:type="dxa"/>
            <w:right w:w="108" w:type="dxa"/>
          </w:tblCellMar>
        </w:tblPrEx>
        <w:trPr>
          <w:trHeight w:val="108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整改反馈（8分）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结果整改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评价部门根据绩效管理结果整改问题、完善政策、改进管理的情况。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针对绩效管理过程中（包括绩效目标核查、绩效监控核查和重点绩效评价）提出的问题进行整改，将绩效管理结果与预算安排进行挂钩的，得4分。否则，酌情扣分。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tblPrEx>
          <w:shd w:val="clear" w:color="auto" w:fill="auto"/>
        </w:tblPrEx>
        <w:trPr>
          <w:trHeight w:val="820" w:hRule="atLeast"/>
        </w:trPr>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应用反馈</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评价部门按要求及时向财政部门反馈结果应用情况。</w:t>
            </w:r>
          </w:p>
        </w:tc>
        <w:tc>
          <w:tcPr>
            <w:tcW w:w="19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部门在规定时间内向财政部门反馈应用绩效结果报告的，得满分，否则不得分。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tblPrEx>
          <w:shd w:val="clear" w:color="auto" w:fill="auto"/>
          <w:tblCellMar>
            <w:top w:w="0" w:type="dxa"/>
            <w:left w:w="108" w:type="dxa"/>
            <w:bottom w:w="0" w:type="dxa"/>
            <w:right w:w="108" w:type="dxa"/>
          </w:tblCellMar>
        </w:tblPrEx>
        <w:trPr>
          <w:trHeight w:val="1160" w:hRule="atLeast"/>
        </w:trPr>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自评质量（10分）</w:t>
            </w:r>
          </w:p>
        </w:tc>
        <w:tc>
          <w:tcPr>
            <w:tcW w:w="337"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自评质量（10分）</w:t>
            </w:r>
          </w:p>
        </w:tc>
        <w:tc>
          <w:tcPr>
            <w:tcW w:w="428"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自评准确</w:t>
            </w:r>
          </w:p>
        </w:tc>
        <w:tc>
          <w:tcPr>
            <w:tcW w:w="282"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94"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评价部门整体支出自评准确率。</w:t>
            </w:r>
          </w:p>
        </w:tc>
        <w:tc>
          <w:tcPr>
            <w:tcW w:w="1910"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部门整体支出自评得分与评价组抽查得分差异在5%以内的，不扣分；在5%-10%之间的，扣4分，在10%-20%的，扣8分，在20%以上的，扣10分。（部门在自评时，此项指标无需打分，部门自评满分为90分）</w:t>
            </w:r>
          </w:p>
        </w:tc>
        <w:tc>
          <w:tcPr>
            <w:tcW w:w="507" w:type="pct"/>
            <w:tcBorders>
              <w:top w:val="nil"/>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CellMar>
            <w:top w:w="0" w:type="dxa"/>
            <w:left w:w="108" w:type="dxa"/>
            <w:bottom w:w="0" w:type="dxa"/>
            <w:right w:w="108" w:type="dxa"/>
          </w:tblCellMar>
        </w:tblPrEx>
        <w:trPr>
          <w:trHeight w:val="285" w:hRule="atLeast"/>
        </w:trPr>
        <w:tc>
          <w:tcPr>
            <w:tcW w:w="449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自查得分</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79.27</w:t>
            </w:r>
          </w:p>
        </w:tc>
      </w:tr>
    </w:tbl>
    <w:p>
      <w:pPr>
        <w:pStyle w:val="24"/>
        <w:rPr>
          <w:rFonts w:hint="eastAsia" w:ascii="仿宋_GB2312" w:hAnsi="仿宋_GB2312" w:eastAsia="仿宋_GB2312" w:cs="仿宋_GB2312"/>
          <w:sz w:val="32"/>
          <w:szCs w:val="32"/>
          <w:lang w:val="en-US" w:eastAsia="zh-CN"/>
        </w:rPr>
      </w:pPr>
    </w:p>
    <w:p>
      <w:pPr>
        <w:spacing w:line="600" w:lineRule="exact"/>
        <w:jc w:val="left"/>
        <w:outlineLvl w:val="0"/>
        <w:rPr>
          <w:rFonts w:hint="eastAsia" w:ascii="黑体" w:hAnsi="黑体" w:eastAsia="黑体" w:cs="黑体"/>
          <w:sz w:val="32"/>
          <w:szCs w:val="32"/>
        </w:rPr>
        <w:sectPr>
          <w:pgSz w:w="16838" w:h="11906" w:orient="landscape"/>
          <w:pgMar w:top="1800" w:right="1440" w:bottom="1800" w:left="1440" w:header="851" w:footer="992" w:gutter="0"/>
          <w:cols w:space="720" w:num="1"/>
          <w:docGrid w:type="lines" w:linePitch="312" w:charSpace="0"/>
        </w:sectPr>
      </w:pPr>
      <w:bookmarkStart w:id="118" w:name="_Toc79163633"/>
    </w:p>
    <w:p>
      <w:pPr>
        <w:spacing w:line="600" w:lineRule="exact"/>
        <w:jc w:val="left"/>
        <w:outlineLvl w:val="0"/>
        <w:rPr>
          <w:rFonts w:ascii="黑体" w:hAnsi="黑体" w:eastAsia="黑体" w:cs="黑体"/>
          <w:sz w:val="32"/>
          <w:szCs w:val="32"/>
        </w:rPr>
      </w:pPr>
      <w:bookmarkStart w:id="119" w:name="_Toc12097"/>
      <w:r>
        <w:rPr>
          <w:rFonts w:hint="eastAsia" w:ascii="黑体" w:hAnsi="黑体" w:eastAsia="黑体" w:cs="黑体"/>
          <w:sz w:val="32"/>
          <w:szCs w:val="32"/>
        </w:rPr>
        <w:t>附件</w:t>
      </w:r>
      <w:r>
        <w:rPr>
          <w:rFonts w:ascii="黑体" w:hAnsi="黑体" w:eastAsia="黑体" w:cs="黑体"/>
          <w:sz w:val="32"/>
          <w:szCs w:val="32"/>
        </w:rPr>
        <w:t>2</w:t>
      </w:r>
      <w:bookmarkEnd w:id="118"/>
      <w:bookmarkEnd w:id="119"/>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方正小标宋简体" w:hAnsi="黑体" w:eastAsia="方正小标宋简体" w:cs="黑体"/>
          <w:sz w:val="44"/>
          <w:szCs w:val="44"/>
          <w:lang w:eastAsia="zh-CN"/>
        </w:rPr>
      </w:pPr>
      <w:bookmarkStart w:id="120" w:name="_Toc31417"/>
      <w:bookmarkStart w:id="121" w:name="_Toc79163634"/>
      <w:r>
        <w:rPr>
          <w:rFonts w:hint="eastAsia" w:ascii="方正小标宋简体" w:hAnsi="黑体" w:eastAsia="方正小标宋简体" w:cs="黑体"/>
          <w:sz w:val="44"/>
          <w:szCs w:val="44"/>
          <w:lang w:eastAsia="zh-CN"/>
        </w:rPr>
        <w:t>中共四川省阿坝州委宣传部</w:t>
      </w:r>
      <w:bookmarkEnd w:id="120"/>
    </w:p>
    <w:p>
      <w:pPr>
        <w:spacing w:line="600" w:lineRule="exact"/>
        <w:jc w:val="center"/>
        <w:outlineLvl w:val="0"/>
        <w:rPr>
          <w:rFonts w:hint="eastAsia" w:ascii="方正小标宋简体" w:hAnsi="黑体" w:eastAsia="方正小标宋简体" w:cs="黑体"/>
          <w:sz w:val="44"/>
          <w:szCs w:val="44"/>
        </w:rPr>
      </w:pPr>
      <w:bookmarkStart w:id="122" w:name="_Toc24050"/>
      <w:r>
        <w:rPr>
          <w:rFonts w:hint="eastAsia" w:ascii="方正小标宋简体" w:hAnsi="黑体" w:eastAsia="方正小标宋简体" w:cs="黑体"/>
          <w:sz w:val="44"/>
          <w:szCs w:val="44"/>
        </w:rPr>
        <w:t>2020年</w:t>
      </w:r>
      <w:r>
        <w:rPr>
          <w:rFonts w:hint="eastAsia" w:ascii="方正小标宋简体" w:hAnsi="黑体" w:eastAsia="方正小标宋简体" w:cs="黑体"/>
          <w:sz w:val="44"/>
          <w:szCs w:val="44"/>
          <w:lang w:eastAsia="zh-CN"/>
        </w:rPr>
        <w:t>预算项目</w:t>
      </w:r>
      <w:r>
        <w:rPr>
          <w:rFonts w:hint="eastAsia" w:ascii="方正小标宋简体" w:hAnsi="黑体" w:eastAsia="方正小标宋简体" w:cs="黑体"/>
          <w:sz w:val="44"/>
          <w:szCs w:val="44"/>
        </w:rPr>
        <w:t>绩效评价报告</w:t>
      </w:r>
      <w:bookmarkEnd w:id="121"/>
      <w:bookmarkEnd w:id="122"/>
    </w:p>
    <w:p>
      <w:pPr>
        <w:pStyle w:val="24"/>
        <w:jc w:val="center"/>
        <w:rPr>
          <w:rFonts w:hint="eastAsia" w:ascii="仿宋_GB2312" w:hAnsi="仿宋_GB2312" w:eastAsia="仿宋_GB2312" w:cs="仿宋_GB2312"/>
          <w:kern w:val="2"/>
          <w:sz w:val="32"/>
          <w:szCs w:val="32"/>
          <w:lang w:val="en-US" w:eastAsia="zh-CN" w:bidi="ar-SA"/>
        </w:rPr>
      </w:pPr>
    </w:p>
    <w:p>
      <w:pPr>
        <w:pStyle w:val="24"/>
        <w:jc w:val="center"/>
        <w:rPr>
          <w:rFonts w:hint="eastAsia" w:eastAsia="方正小标宋简体"/>
          <w:b/>
          <w:bCs/>
          <w:lang w:eastAsia="zh-CN"/>
        </w:rPr>
      </w:pPr>
      <w:r>
        <w:rPr>
          <w:rFonts w:hint="eastAsia" w:ascii="仿宋_GB2312" w:hAnsi="仿宋_GB2312" w:eastAsia="仿宋_GB2312" w:cs="仿宋_GB2312"/>
          <w:b/>
          <w:bCs/>
          <w:kern w:val="2"/>
          <w:sz w:val="32"/>
          <w:szCs w:val="32"/>
          <w:lang w:val="en-US" w:eastAsia="zh-CN" w:bidi="ar-SA"/>
        </w:rPr>
        <w:t>（项目1：</w:t>
      </w:r>
      <w:r>
        <w:rPr>
          <w:rFonts w:hint="eastAsia" w:ascii="Times New Roman" w:hAnsi="宋体" w:eastAsia="仿宋_GB2312" w:cs="Times New Roman"/>
          <w:b/>
          <w:bCs/>
          <w:sz w:val="32"/>
          <w:szCs w:val="32"/>
          <w:lang w:val="en-US" w:eastAsia="zh-CN"/>
        </w:rPr>
        <w:t>精神文明建设及全民阅读</w:t>
      </w:r>
      <w:r>
        <w:rPr>
          <w:rFonts w:hint="eastAsia" w:ascii="Times New Roman" w:hAnsi="宋体" w:eastAsia="仿宋_GB2312" w:cs="Times New Roman"/>
          <w:b/>
          <w:bCs/>
          <w:sz w:val="32"/>
          <w:szCs w:val="32"/>
          <w:lang w:eastAsia="zh-CN"/>
        </w:rPr>
        <w:t>工作经费</w:t>
      </w:r>
      <w:r>
        <w:rPr>
          <w:rFonts w:hint="eastAsia" w:ascii="仿宋_GB2312" w:hAnsi="仿宋_GB2312" w:eastAsia="仿宋_GB2312" w:cs="仿宋_GB2312"/>
          <w:b/>
          <w:bCs/>
          <w:kern w:val="2"/>
          <w:sz w:val="32"/>
          <w:szCs w:val="32"/>
          <w:lang w:val="en-US" w:eastAsia="zh-CN" w:bidi="ar-SA"/>
        </w:rPr>
        <w:t>）</w:t>
      </w:r>
    </w:p>
    <w:p>
      <w:pPr>
        <w:numPr>
          <w:ilvl w:val="0"/>
          <w:numId w:val="0"/>
        </w:numPr>
        <w:spacing w:line="580" w:lineRule="exact"/>
        <w:ind w:firstLine="640"/>
        <w:jc w:val="both"/>
        <w:rPr>
          <w:rFonts w:hint="eastAsia" w:ascii="仿宋_GB2312" w:hAnsi="仿宋_GB2312" w:eastAsia="仿宋_GB2312" w:cs="仿宋_GB2312"/>
          <w:sz w:val="32"/>
          <w:szCs w:val="32"/>
          <w:lang w:val="en-US" w:eastAsia="zh-CN"/>
        </w:rPr>
      </w:pPr>
    </w:p>
    <w:p>
      <w:pPr>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eastAsia="zh-CN"/>
        </w:rPr>
        <w:t>一、</w:t>
      </w:r>
      <w:r>
        <w:rPr>
          <w:rFonts w:hint="eastAsia" w:ascii="黑体" w:hAnsi="黑体" w:eastAsia="黑体" w:cs="黑体"/>
          <w:sz w:val="32"/>
          <w:szCs w:val="32"/>
        </w:rPr>
        <w:t>基本情况</w:t>
      </w:r>
    </w:p>
    <w:p>
      <w:pPr>
        <w:ind w:firstLine="643" w:firstLineChars="200"/>
        <w:rPr>
          <w:rFonts w:hint="eastAsia" w:ascii="仿宋_GB2312" w:eastAsia="仿宋_GB2312"/>
          <w:b/>
          <w:bCs/>
          <w:sz w:val="32"/>
          <w:szCs w:val="32"/>
        </w:rPr>
      </w:pPr>
      <w:r>
        <w:rPr>
          <w:rFonts w:hint="eastAsia" w:ascii="仿宋_GB2312" w:eastAsia="仿宋_GB2312"/>
          <w:b/>
          <w:bCs/>
          <w:sz w:val="32"/>
          <w:szCs w:val="32"/>
          <w:lang w:eastAsia="zh-CN"/>
        </w:rPr>
        <w:t>（一）</w:t>
      </w:r>
      <w:r>
        <w:rPr>
          <w:rFonts w:hint="eastAsia" w:ascii="仿宋_GB2312" w:eastAsia="仿宋_GB2312"/>
          <w:b/>
          <w:bCs/>
          <w:sz w:val="32"/>
          <w:szCs w:val="32"/>
        </w:rPr>
        <w:t>项目概况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常规化开展</w:t>
      </w:r>
      <w:r>
        <w:rPr>
          <w:rFonts w:hint="eastAsia" w:ascii="仿宋_GB2312" w:eastAsia="仿宋_GB2312"/>
          <w:sz w:val="32"/>
          <w:szCs w:val="32"/>
        </w:rPr>
        <w:t>文明礼仪、文明行为的培育养成,未成年人思想道德建设工作</w:t>
      </w:r>
      <w:r>
        <w:rPr>
          <w:rFonts w:hint="eastAsia" w:ascii="仿宋_GB2312" w:eastAsia="仿宋_GB2312"/>
          <w:sz w:val="32"/>
          <w:szCs w:val="32"/>
          <w:lang w:eastAsia="zh-CN"/>
        </w:rPr>
        <w:t>，</w:t>
      </w:r>
      <w:r>
        <w:rPr>
          <w:rFonts w:hint="eastAsia" w:ascii="仿宋_GB2312" w:eastAsia="仿宋_GB2312"/>
          <w:sz w:val="32"/>
          <w:szCs w:val="32"/>
        </w:rPr>
        <w:t>社会事务的规范化管理</w:t>
      </w:r>
      <w:r>
        <w:rPr>
          <w:rFonts w:hint="eastAsia" w:ascii="仿宋_GB2312" w:eastAsia="仿宋_GB2312"/>
          <w:sz w:val="32"/>
          <w:szCs w:val="32"/>
          <w:lang w:eastAsia="zh-CN"/>
        </w:rPr>
        <w:t>，</w:t>
      </w:r>
      <w:r>
        <w:rPr>
          <w:rFonts w:hint="eastAsia" w:ascii="仿宋_GB2312" w:eastAsia="仿宋_GB2312"/>
          <w:sz w:val="32"/>
          <w:szCs w:val="32"/>
        </w:rPr>
        <w:t>文化教育事业的发展进步</w:t>
      </w:r>
      <w:r>
        <w:rPr>
          <w:rFonts w:hint="eastAsia" w:ascii="仿宋_GB2312" w:eastAsia="仿宋_GB2312"/>
          <w:sz w:val="32"/>
          <w:szCs w:val="32"/>
          <w:lang w:eastAsia="zh-CN"/>
        </w:rPr>
        <w:t>，开展全民阅读等相关工作。</w:t>
      </w:r>
    </w:p>
    <w:p>
      <w:pPr>
        <w:ind w:firstLine="643" w:firstLineChars="200"/>
        <w:rPr>
          <w:rFonts w:hint="eastAsia" w:ascii="仿宋_GB2312" w:eastAsia="仿宋_GB2312"/>
          <w:b/>
          <w:bCs/>
          <w:sz w:val="32"/>
          <w:szCs w:val="32"/>
        </w:rPr>
      </w:pPr>
      <w:r>
        <w:rPr>
          <w:rFonts w:hint="eastAsia" w:ascii="仿宋_GB2312" w:eastAsia="仿宋_GB2312"/>
          <w:b/>
          <w:bCs/>
          <w:sz w:val="32"/>
          <w:szCs w:val="32"/>
          <w:lang w:eastAsia="zh-CN"/>
        </w:rPr>
        <w:t>（二）</w:t>
      </w:r>
      <w:r>
        <w:rPr>
          <w:rFonts w:hint="eastAsia" w:ascii="仿宋_GB2312" w:eastAsia="仿宋_GB2312"/>
          <w:b/>
          <w:bCs/>
          <w:sz w:val="32"/>
          <w:szCs w:val="32"/>
        </w:rPr>
        <w:t>项目实施情况</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开展精神文明创建、验收、培训、测评、文明城市创建等工作。</w:t>
      </w:r>
    </w:p>
    <w:p>
      <w:pPr>
        <w:ind w:firstLine="643" w:firstLineChars="200"/>
        <w:rPr>
          <w:rFonts w:hint="eastAsia" w:ascii="仿宋_GB2312" w:eastAsia="仿宋_GB2312"/>
          <w:b/>
          <w:bCs/>
          <w:sz w:val="32"/>
          <w:szCs w:val="32"/>
          <w:lang w:eastAsia="zh-CN"/>
        </w:rPr>
      </w:pPr>
      <w:r>
        <w:rPr>
          <w:rFonts w:hint="eastAsia" w:ascii="仿宋_GB2312" w:eastAsia="仿宋_GB2312"/>
          <w:b/>
          <w:bCs/>
          <w:sz w:val="32"/>
          <w:szCs w:val="32"/>
          <w:lang w:eastAsia="zh-CN"/>
        </w:rPr>
        <w:t>（三）资金投入使用情况</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年初预算</w:t>
      </w:r>
      <w:r>
        <w:rPr>
          <w:rFonts w:hint="eastAsia" w:ascii="仿宋_GB2312" w:eastAsia="仿宋_GB2312"/>
          <w:sz w:val="32"/>
          <w:szCs w:val="32"/>
          <w:lang w:val="en-US" w:eastAsia="zh-CN"/>
        </w:rPr>
        <w:t>40万元，投入使用30.68万元，使用率76.71%。</w:t>
      </w:r>
    </w:p>
    <w:p>
      <w:p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二、绩效评价分析</w:t>
      </w:r>
    </w:p>
    <w:p>
      <w:pPr>
        <w:ind w:firstLine="643" w:firstLineChars="200"/>
        <w:rPr>
          <w:rFonts w:hint="eastAsia" w:ascii="仿宋_GB2312" w:eastAsia="仿宋_GB2312"/>
          <w:b/>
          <w:bCs/>
          <w:sz w:val="32"/>
          <w:szCs w:val="32"/>
          <w:lang w:eastAsia="zh-CN"/>
        </w:rPr>
      </w:pPr>
      <w:r>
        <w:rPr>
          <w:rFonts w:hint="eastAsia" w:ascii="仿宋_GB2312" w:eastAsia="仿宋_GB2312"/>
          <w:b/>
          <w:bCs/>
          <w:sz w:val="32"/>
          <w:szCs w:val="32"/>
          <w:lang w:eastAsia="zh-CN"/>
        </w:rPr>
        <w:t>（一）项目管理</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项目</w:t>
      </w:r>
      <w:r>
        <w:rPr>
          <w:rFonts w:hint="eastAsia" w:ascii="仿宋_GB2312" w:eastAsia="仿宋_GB2312"/>
          <w:sz w:val="32"/>
          <w:szCs w:val="32"/>
        </w:rPr>
        <w:t>用于</w:t>
      </w:r>
      <w:r>
        <w:rPr>
          <w:rFonts w:hint="eastAsia" w:ascii="仿宋_GB2312" w:eastAsia="仿宋_GB2312"/>
          <w:sz w:val="32"/>
          <w:szCs w:val="32"/>
          <w:lang w:val="en-US" w:eastAsia="zh-CN"/>
        </w:rPr>
        <w:t>指导全州群众性精神文明建设工作及开展全民阅读活动。</w:t>
      </w:r>
    </w:p>
    <w:p>
      <w:pPr>
        <w:ind w:firstLine="643" w:firstLineChars="200"/>
        <w:rPr>
          <w:rFonts w:hint="eastAsia" w:ascii="仿宋_GB2312" w:eastAsia="仿宋_GB2312"/>
          <w:b/>
          <w:bCs/>
          <w:sz w:val="32"/>
          <w:szCs w:val="32"/>
          <w:lang w:eastAsia="zh-CN"/>
        </w:rPr>
      </w:pPr>
      <w:r>
        <w:rPr>
          <w:rFonts w:hint="eastAsia" w:ascii="仿宋_GB2312" w:eastAsia="仿宋_GB2312"/>
          <w:b/>
          <w:bCs/>
          <w:sz w:val="32"/>
          <w:szCs w:val="32"/>
          <w:lang w:eastAsia="zh-CN"/>
        </w:rPr>
        <w:t>（二）项目产出情况。</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为有力保障</w:t>
      </w:r>
      <w:r>
        <w:rPr>
          <w:rFonts w:hint="eastAsia" w:ascii="仿宋_GB2312" w:eastAsia="仿宋_GB2312"/>
          <w:sz w:val="32"/>
          <w:szCs w:val="32"/>
          <w:lang w:val="en-US" w:eastAsia="zh-CN"/>
        </w:rPr>
        <w:t>我州马尔康市、金川、红原、汶川、理县、松潘、九寨沟7县（市）成功通过四川省文明城市创建及复查验收工作</w:t>
      </w:r>
      <w:r>
        <w:rPr>
          <w:rFonts w:hint="eastAsia" w:ascii="仿宋_GB2312" w:eastAsia="仿宋_GB2312"/>
          <w:sz w:val="32"/>
          <w:szCs w:val="32"/>
        </w:rPr>
        <w:t>，深入</w:t>
      </w:r>
      <w:r>
        <w:rPr>
          <w:rFonts w:hint="eastAsia" w:ascii="仿宋_GB2312" w:eastAsia="仿宋_GB2312"/>
          <w:sz w:val="32"/>
          <w:szCs w:val="32"/>
          <w:lang w:val="en-US" w:eastAsia="zh-CN"/>
        </w:rPr>
        <w:t>相关县（市）开展创城指导工作</w:t>
      </w:r>
      <w:r>
        <w:rPr>
          <w:rFonts w:hint="eastAsia" w:ascii="仿宋_GB2312" w:eastAsia="仿宋_GB2312"/>
          <w:sz w:val="32"/>
          <w:szCs w:val="32"/>
        </w:rPr>
        <w:t>。</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2.深入全国、四川省文明村镇、文明单位、文明校园、文明家庭申报及复查单位、校园家庭开展创建指导工作。</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3.指导全州各县（市）开展全民阅读活动。</w:t>
      </w:r>
    </w:p>
    <w:p>
      <w:pPr>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（三）项目效益情况。</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1.该项目资金主要用于对全州13个县（市）开展文明城市、文明村镇、文明单位、文明校园、文明家庭创建指导及全民阅读活动工作经费，因而不产生经济效益。</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指导全州各县（市），相关部门、学校、家庭清理创建思路及全民阅读活动开展方式，确保我州群众性精神文明建设工作有力推进，确保文明城市、文明村镇、文明单位、文明校园、文明家庭顺利同时验收考评。</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五、存在主要问题</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开展与精神文明、全民阅读的相关活动较少。</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六、相关措施建议</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为丰富广大农牧民群众精神文化生活，多开展相关活动。</w:t>
      </w:r>
    </w:p>
    <w:tbl>
      <w:tblPr>
        <w:tblStyle w:val="20"/>
        <w:tblW w:w="8559" w:type="dxa"/>
        <w:tblInd w:w="93" w:type="dxa"/>
        <w:shd w:val="clear" w:color="auto" w:fill="auto"/>
        <w:tblLayout w:type="autofit"/>
        <w:tblCellMar>
          <w:top w:w="0" w:type="dxa"/>
          <w:left w:w="108" w:type="dxa"/>
          <w:bottom w:w="0" w:type="dxa"/>
          <w:right w:w="108" w:type="dxa"/>
        </w:tblCellMar>
      </w:tblPr>
      <w:tblGrid>
        <w:gridCol w:w="951"/>
        <w:gridCol w:w="951"/>
        <w:gridCol w:w="951"/>
        <w:gridCol w:w="951"/>
        <w:gridCol w:w="951"/>
        <w:gridCol w:w="951"/>
        <w:gridCol w:w="951"/>
        <w:gridCol w:w="1902"/>
      </w:tblGrid>
      <w:tr>
        <w:tblPrEx>
          <w:tblCellMar>
            <w:top w:w="0" w:type="dxa"/>
            <w:left w:w="108" w:type="dxa"/>
            <w:bottom w:w="0" w:type="dxa"/>
            <w:right w:w="108" w:type="dxa"/>
          </w:tblCellMar>
        </w:tblPrEx>
        <w:trPr>
          <w:trHeight w:val="267" w:hRule="atLeast"/>
        </w:trPr>
        <w:tc>
          <w:tcPr>
            <w:tcW w:w="8559" w:type="dxa"/>
            <w:gridSpan w:val="8"/>
            <w:tcBorders>
              <w:top w:val="nil"/>
              <w:left w:val="nil"/>
              <w:bottom w:val="single" w:color="000000" w:sz="4" w:space="0"/>
              <w:right w:val="nil"/>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（2020年度）</w:t>
            </w:r>
          </w:p>
        </w:tc>
      </w:tr>
      <w:tr>
        <w:tblPrEx>
          <w:tblCellMar>
            <w:top w:w="0" w:type="dxa"/>
            <w:left w:w="108" w:type="dxa"/>
            <w:bottom w:w="0" w:type="dxa"/>
            <w:right w:w="108" w:type="dxa"/>
          </w:tblCellMar>
        </w:tblPrEx>
        <w:trPr>
          <w:trHeight w:val="275" w:hRule="atLeast"/>
        </w:trPr>
        <w:tc>
          <w:tcPr>
            <w:tcW w:w="28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专项（项目）名称</w:t>
            </w:r>
          </w:p>
        </w:tc>
        <w:tc>
          <w:tcPr>
            <w:tcW w:w="57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精神文明建设工作及全民阅读经费</w:t>
            </w:r>
          </w:p>
        </w:tc>
      </w:tr>
      <w:tr>
        <w:tblPrEx>
          <w:tblCellMar>
            <w:top w:w="0" w:type="dxa"/>
            <w:left w:w="108" w:type="dxa"/>
            <w:bottom w:w="0" w:type="dxa"/>
            <w:right w:w="108" w:type="dxa"/>
          </w:tblCellMar>
        </w:tblPrEx>
        <w:trPr>
          <w:trHeight w:val="275" w:hRule="atLeast"/>
        </w:trPr>
        <w:tc>
          <w:tcPr>
            <w:tcW w:w="28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省级主管部门</w:t>
            </w:r>
          </w:p>
        </w:tc>
        <w:tc>
          <w:tcPr>
            <w:tcW w:w="570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四川省精神文明建设办公室</w:t>
            </w:r>
          </w:p>
        </w:tc>
      </w:tr>
      <w:tr>
        <w:tblPrEx>
          <w:shd w:val="clear" w:color="auto" w:fill="auto"/>
          <w:tblCellMar>
            <w:top w:w="0" w:type="dxa"/>
            <w:left w:w="108" w:type="dxa"/>
            <w:bottom w:w="0" w:type="dxa"/>
            <w:right w:w="108" w:type="dxa"/>
          </w:tblCellMar>
        </w:tblPrEx>
        <w:trPr>
          <w:trHeight w:val="508" w:hRule="atLeast"/>
        </w:trPr>
        <w:tc>
          <w:tcPr>
            <w:tcW w:w="28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州级主管部门</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州委宣传部</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8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阿坝州精神文明建设办公室</w:t>
            </w:r>
          </w:p>
        </w:tc>
      </w:tr>
      <w:tr>
        <w:tblPrEx>
          <w:tblCellMar>
            <w:top w:w="0" w:type="dxa"/>
            <w:left w:w="108" w:type="dxa"/>
            <w:bottom w:w="0" w:type="dxa"/>
            <w:right w:w="108" w:type="dxa"/>
          </w:tblCellMar>
        </w:tblPrEx>
        <w:trPr>
          <w:trHeight w:val="542" w:hRule="atLeast"/>
        </w:trPr>
        <w:tc>
          <w:tcPr>
            <w:tcW w:w="285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r>
      <w:tr>
        <w:tblPrEx>
          <w:tblCellMar>
            <w:top w:w="0" w:type="dxa"/>
            <w:left w:w="108" w:type="dxa"/>
            <w:bottom w:w="0" w:type="dxa"/>
            <w:right w:w="108" w:type="dxa"/>
          </w:tblCellMar>
        </w:tblPrEx>
        <w:trPr>
          <w:trHeight w:val="542" w:hRule="atLeast"/>
        </w:trPr>
        <w:tc>
          <w:tcPr>
            <w:tcW w:w="28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r>
              <w:rPr>
                <w:rFonts w:hint="eastAsia" w:ascii="宋体" w:hAnsi="宋体" w:cs="宋体"/>
                <w:i w:val="0"/>
                <w:iCs w:val="0"/>
                <w:color w:val="000000"/>
                <w:kern w:val="0"/>
                <w:sz w:val="20"/>
                <w:szCs w:val="20"/>
                <w:u w:val="none"/>
                <w:lang w:val="en-US" w:eastAsia="zh-CN" w:bidi="ar"/>
              </w:rPr>
              <w:t>万元</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306841元</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76.71</w:t>
            </w:r>
            <w:r>
              <w:rPr>
                <w:rFonts w:hint="eastAsia" w:ascii="宋体" w:hAnsi="宋体" w:eastAsia="宋体" w:cs="宋体"/>
                <w:i w:val="0"/>
                <w:iCs w:val="0"/>
                <w:color w:val="000000"/>
                <w:kern w:val="0"/>
                <w:sz w:val="20"/>
                <w:szCs w:val="20"/>
                <w:u w:val="none"/>
                <w:lang w:val="en-US" w:eastAsia="zh-CN" w:bidi="ar"/>
              </w:rPr>
              <w:t>%</w:t>
            </w:r>
          </w:p>
        </w:tc>
      </w:tr>
      <w:tr>
        <w:tblPrEx>
          <w:tblCellMar>
            <w:top w:w="0" w:type="dxa"/>
            <w:left w:w="108" w:type="dxa"/>
            <w:bottom w:w="0" w:type="dxa"/>
            <w:right w:w="108" w:type="dxa"/>
          </w:tblCellMar>
        </w:tblPrEx>
        <w:trPr>
          <w:trHeight w:val="542" w:hRule="atLeast"/>
        </w:trPr>
        <w:tc>
          <w:tcPr>
            <w:tcW w:w="285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49"/>
                <w:lang w:val="en-US" w:eastAsia="zh-CN" w:bidi="ar"/>
              </w:rPr>
              <w:t xml:space="preserve"> </w:t>
            </w:r>
            <w:r>
              <w:rPr>
                <w:rStyle w:val="44"/>
                <w:lang w:val="en-US" w:eastAsia="zh-CN" w:bidi="ar"/>
              </w:rPr>
              <w:t xml:space="preserve">      本级资金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r>
              <w:rPr>
                <w:rFonts w:hint="eastAsia" w:ascii="宋体" w:hAnsi="宋体" w:cs="宋体"/>
                <w:i w:val="0"/>
                <w:iCs w:val="0"/>
                <w:color w:val="000000"/>
                <w:kern w:val="0"/>
                <w:sz w:val="20"/>
                <w:szCs w:val="20"/>
                <w:u w:val="none"/>
                <w:lang w:val="en-US" w:eastAsia="zh-CN" w:bidi="ar"/>
              </w:rPr>
              <w:t>万元</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306841元</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76.71</w:t>
            </w:r>
            <w:r>
              <w:rPr>
                <w:rFonts w:hint="eastAsia" w:ascii="宋体" w:hAnsi="宋体" w:eastAsia="宋体" w:cs="宋体"/>
                <w:i w:val="0"/>
                <w:iCs w:val="0"/>
                <w:color w:val="000000"/>
                <w:kern w:val="0"/>
                <w:sz w:val="20"/>
                <w:szCs w:val="20"/>
                <w:u w:val="none"/>
                <w:lang w:val="en-US" w:eastAsia="zh-CN" w:bidi="ar"/>
              </w:rPr>
              <w:t>%</w:t>
            </w:r>
          </w:p>
        </w:tc>
      </w:tr>
      <w:tr>
        <w:tblPrEx>
          <w:tblCellMar>
            <w:top w:w="0" w:type="dxa"/>
            <w:left w:w="108" w:type="dxa"/>
            <w:bottom w:w="0" w:type="dxa"/>
            <w:right w:w="108" w:type="dxa"/>
          </w:tblCellMar>
        </w:tblPrEx>
        <w:trPr>
          <w:trHeight w:val="275" w:hRule="atLeast"/>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38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年初设定目标</w:t>
            </w:r>
          </w:p>
        </w:tc>
        <w:tc>
          <w:tcPr>
            <w:tcW w:w="38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全年实际完成情况</w:t>
            </w:r>
          </w:p>
        </w:tc>
      </w:tr>
      <w:tr>
        <w:tblPrEx>
          <w:shd w:val="clear" w:color="auto" w:fill="auto"/>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8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指导全州精神文明创建工作及开展全民阅读活动</w:t>
            </w:r>
          </w:p>
        </w:tc>
        <w:tc>
          <w:tcPr>
            <w:tcW w:w="38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指导全州精神文明创建工作及开展全民阅读活动</w:t>
            </w:r>
          </w:p>
        </w:tc>
      </w:tr>
      <w:tr>
        <w:tblPrEx>
          <w:shd w:val="clear" w:color="auto" w:fill="auto"/>
          <w:tblCellMar>
            <w:top w:w="0" w:type="dxa"/>
            <w:left w:w="108" w:type="dxa"/>
            <w:bottom w:w="0" w:type="dxa"/>
            <w:right w:w="108" w:type="dxa"/>
          </w:tblCellMar>
        </w:tblPrEx>
        <w:trPr>
          <w:trHeight w:val="542" w:hRule="atLeast"/>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未完成原因和改进措施</w:t>
            </w:r>
          </w:p>
        </w:tc>
      </w:tr>
      <w:tr>
        <w:tblPrEx>
          <w:tblCellMar>
            <w:top w:w="0" w:type="dxa"/>
            <w:left w:w="108" w:type="dxa"/>
            <w:bottom w:w="0" w:type="dxa"/>
            <w:right w:w="108" w:type="dxa"/>
          </w:tblCellMar>
        </w:tblPrEx>
        <w:trPr>
          <w:trHeight w:val="275"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shd w:val="clear" w:color="auto" w:fill="auto"/>
          <w:tblCellMar>
            <w:top w:w="0" w:type="dxa"/>
            <w:left w:w="108" w:type="dxa"/>
            <w:bottom w:w="0" w:type="dxa"/>
            <w:right w:w="108" w:type="dxa"/>
          </w:tblCellMar>
        </w:tblPrEx>
        <w:trPr>
          <w:trHeight w:val="275"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合格</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合格</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CellMar>
            <w:top w:w="0" w:type="dxa"/>
            <w:left w:w="108" w:type="dxa"/>
            <w:bottom w:w="0" w:type="dxa"/>
            <w:right w:w="108" w:type="dxa"/>
          </w:tblCellMar>
        </w:tblPrEx>
        <w:trPr>
          <w:trHeight w:val="1074"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按年初工作计划推进各项工作</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按年初工作计划推进各项工作</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9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良好</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良好</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良好</w:t>
            </w:r>
          </w:p>
        </w:tc>
      </w:tr>
      <w:tr>
        <w:tblPrEx>
          <w:tblCellMar>
            <w:top w:w="0" w:type="dxa"/>
            <w:left w:w="108" w:type="dxa"/>
            <w:bottom w:w="0" w:type="dxa"/>
            <w:right w:w="108" w:type="dxa"/>
          </w:tblCellMar>
        </w:tblPrEx>
        <w:trPr>
          <w:trHeight w:val="542" w:hRule="atLeast"/>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9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1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良好</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良好</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良好</w:t>
            </w:r>
          </w:p>
        </w:tc>
      </w:tr>
      <w:tr>
        <w:tblPrEx>
          <w:tblCellMar>
            <w:top w:w="0" w:type="dxa"/>
            <w:left w:w="108" w:type="dxa"/>
            <w:bottom w:w="0" w:type="dxa"/>
            <w:right w:w="108" w:type="dxa"/>
          </w:tblCellMar>
        </w:tblPrEx>
        <w:trPr>
          <w:trHeight w:val="284" w:hRule="atLeast"/>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c>
          <w:tcPr>
            <w:tcW w:w="76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86.01</w:t>
            </w:r>
          </w:p>
        </w:tc>
      </w:tr>
    </w:tbl>
    <w:p>
      <w:pPr>
        <w:ind w:firstLine="640" w:firstLineChars="200"/>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宋体" w:eastAsia="仿宋_GB2312" w:cs="Times New Roman"/>
          <w:sz w:val="32"/>
        </w:rPr>
      </w:pPr>
    </w:p>
    <w:p>
      <w:pPr>
        <w:pStyle w:val="24"/>
      </w:pPr>
    </w:p>
    <w:p>
      <w:pPr>
        <w:pStyle w:val="24"/>
      </w:pPr>
    </w:p>
    <w:p>
      <w:pPr>
        <w:pStyle w:val="24"/>
      </w:pPr>
    </w:p>
    <w:p>
      <w:pPr>
        <w:pStyle w:val="24"/>
      </w:pPr>
    </w:p>
    <w:p>
      <w:pPr>
        <w:pStyle w:val="24"/>
      </w:pPr>
    </w:p>
    <w:p>
      <w:pPr>
        <w:pStyle w:val="24"/>
        <w:jc w:val="center"/>
        <w:rPr>
          <w:rFonts w:hint="eastAsia" w:eastAsia="方正小标宋简体"/>
          <w:lang w:eastAsia="zh-CN"/>
        </w:rPr>
      </w:pPr>
      <w:r>
        <w:rPr>
          <w:rFonts w:hint="eastAsia" w:ascii="仿宋_GB2312" w:hAnsi="仿宋_GB2312" w:eastAsia="仿宋_GB2312" w:cs="仿宋_GB2312"/>
          <w:kern w:val="2"/>
          <w:sz w:val="32"/>
          <w:szCs w:val="32"/>
          <w:lang w:val="en-US" w:eastAsia="zh-CN" w:bidi="ar-SA"/>
        </w:rPr>
        <w:t>（项目2：车辆大修）</w:t>
      </w:r>
    </w:p>
    <w:p>
      <w:pPr>
        <w:tabs>
          <w:tab w:val="left" w:pos="3885"/>
        </w:tabs>
        <w:snapToGrid w:val="0"/>
        <w:spacing w:line="360" w:lineRule="auto"/>
        <w:ind w:firstLine="640" w:firstLineChars="200"/>
        <w:jc w:val="left"/>
        <w:rPr>
          <w:rFonts w:ascii="黑体" w:hAnsi="宋体" w:eastAsia="黑体" w:cs="Times New Roman"/>
          <w:sz w:val="32"/>
          <w:szCs w:val="21"/>
        </w:rPr>
      </w:pPr>
      <w:r>
        <w:rPr>
          <w:rFonts w:hint="eastAsia" w:ascii="黑体" w:hAnsi="宋体" w:eastAsia="黑体" w:cs="Times New Roman"/>
          <w:sz w:val="32"/>
          <w:szCs w:val="21"/>
        </w:rPr>
        <w:t>一、基本情况</w:t>
      </w:r>
    </w:p>
    <w:p>
      <w:pPr>
        <w:snapToGrid w:val="0"/>
        <w:spacing w:line="360" w:lineRule="auto"/>
        <w:ind w:firstLine="640" w:firstLineChars="200"/>
        <w:rPr>
          <w:rFonts w:ascii="仿宋_GB2312" w:hAnsi="宋体" w:eastAsia="仿宋_GB2312" w:cs="Times New Roman"/>
          <w:sz w:val="32"/>
          <w:szCs w:val="32"/>
          <w:lang w:val="zh-CN"/>
        </w:rPr>
      </w:pPr>
      <w:r>
        <w:rPr>
          <w:rFonts w:hint="eastAsia" w:ascii="仿宋_GB2312" w:hAnsi="仿宋" w:eastAsia="仿宋_GB2312" w:cs="Times New Roman"/>
          <w:sz w:val="32"/>
        </w:rPr>
        <w:t>为保障公</w:t>
      </w:r>
      <w:r>
        <w:rPr>
          <w:rFonts w:hint="eastAsia" w:ascii="仿宋_GB2312" w:hAnsi="仿宋" w:eastAsia="仿宋_GB2312" w:cs="Times New Roman"/>
          <w:sz w:val="32"/>
          <w:lang w:eastAsia="zh-CN"/>
        </w:rPr>
        <w:t>务用</w:t>
      </w:r>
      <w:r>
        <w:rPr>
          <w:rFonts w:hint="eastAsia" w:ascii="仿宋_GB2312" w:hAnsi="仿宋" w:eastAsia="仿宋_GB2312" w:cs="Times New Roman"/>
          <w:sz w:val="32"/>
        </w:rPr>
        <w:t>车</w:t>
      </w:r>
      <w:r>
        <w:rPr>
          <w:rFonts w:hint="eastAsia" w:eastAsia="方正仿宋_GBK" w:cs="Times New Roman"/>
          <w:sz w:val="32"/>
          <w:szCs w:val="32"/>
          <w:lang w:val="en-US" w:eastAsia="zh-CN"/>
        </w:rPr>
        <w:t>川UN0000</w:t>
      </w:r>
      <w:r>
        <w:rPr>
          <w:rFonts w:hint="eastAsia" w:ascii="仿宋_GB2312" w:hAnsi="仿宋" w:eastAsia="仿宋_GB2312" w:cs="Times New Roman"/>
          <w:sz w:val="32"/>
        </w:rPr>
        <w:t>运行稳定对其进行大修。维修</w:t>
      </w:r>
      <w:r>
        <w:rPr>
          <w:rFonts w:hint="eastAsia" w:ascii="仿宋_GB2312" w:hAnsi="仿宋" w:eastAsia="仿宋_GB2312" w:cs="Times New Roman"/>
          <w:sz w:val="32"/>
          <w:lang w:eastAsia="zh-CN"/>
        </w:rPr>
        <w:t>后</w:t>
      </w:r>
      <w:r>
        <w:rPr>
          <w:rFonts w:hint="eastAsia" w:ascii="仿宋_GB2312" w:hAnsi="仿宋" w:eastAsia="仿宋_GB2312" w:cs="Times New Roman"/>
          <w:sz w:val="32"/>
        </w:rPr>
        <w:t>验收合格并正常行驶，满意度达到绩效指标标准。</w:t>
      </w:r>
    </w:p>
    <w:p>
      <w:pPr>
        <w:snapToGrid w:val="0"/>
        <w:spacing w:line="360" w:lineRule="auto"/>
        <w:ind w:firstLine="640" w:firstLineChars="200"/>
        <w:rPr>
          <w:rFonts w:ascii="宋体" w:hAnsi="Times New Roman" w:eastAsia="宋体" w:cs="Times New Roman"/>
          <w:sz w:val="32"/>
          <w:szCs w:val="21"/>
        </w:rPr>
      </w:pPr>
      <w:r>
        <w:rPr>
          <w:rFonts w:hint="eastAsia" w:ascii="黑体" w:hAnsi="黑体" w:eastAsia="黑体" w:cs="黑体"/>
          <w:sz w:val="32"/>
          <w:szCs w:val="21"/>
        </w:rPr>
        <w:t>二、评价工作开展情况</w:t>
      </w:r>
    </w:p>
    <w:p>
      <w:pPr>
        <w:adjustRightInd w:val="0"/>
        <w:snapToGrid w:val="0"/>
        <w:spacing w:line="360" w:lineRule="auto"/>
        <w:ind w:firstLine="640" w:firstLineChars="200"/>
        <w:rPr>
          <w:rFonts w:ascii="仿宋_GB2312" w:hAnsi="宋体" w:eastAsia="仿宋_GB2312" w:cs="Times New Roman"/>
          <w:sz w:val="32"/>
          <w:szCs w:val="32"/>
        </w:rPr>
      </w:pPr>
      <w:r>
        <w:rPr>
          <w:rFonts w:hint="eastAsia" w:ascii="仿宋_GB2312" w:hAnsi="宋体" w:eastAsia="仿宋_GB2312" w:cs="Times New Roman"/>
          <w:sz w:val="32"/>
          <w:lang w:val="zh-CN"/>
        </w:rPr>
        <w:t>项目自评步骤及方法：</w:t>
      </w:r>
      <w:r>
        <w:rPr>
          <w:rFonts w:hint="eastAsia" w:ascii="仿宋_GB2312" w:hAnsi="宋体" w:eastAsia="仿宋_GB2312" w:cs="Times New Roman"/>
          <w:sz w:val="32"/>
        </w:rPr>
        <w:t>经费是否用于项目本身，经费使用是否坚持效率优先，兼顾节约的原则，经费报销凭据是否真实可靠，经费使用成效如何。</w:t>
      </w:r>
    </w:p>
    <w:p>
      <w:pPr>
        <w:numPr>
          <w:ilvl w:val="0"/>
          <w:numId w:val="0"/>
        </w:num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lang w:eastAsia="zh-CN"/>
        </w:rPr>
        <w:t>三、</w:t>
      </w:r>
      <w:r>
        <w:rPr>
          <w:rFonts w:hint="eastAsia" w:ascii="黑体" w:hAnsi="宋体" w:eastAsia="黑体" w:cs="Times New Roman"/>
          <w:sz w:val="32"/>
          <w:szCs w:val="21"/>
        </w:rPr>
        <w:t>综合评价结论（附评分表）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noWrap w:val="0"/>
            <w:vAlign w:val="top"/>
          </w:tcPr>
          <w:p>
            <w:pPr>
              <w:snapToGrid w:val="0"/>
              <w:spacing w:line="360" w:lineRule="auto"/>
              <w:rPr>
                <w:rFonts w:ascii="仿宋_GB2312" w:hAnsi="宋体" w:eastAsia="仿宋_GB2312" w:cs="Times New Roman"/>
                <w:sz w:val="32"/>
                <w:szCs w:val="32"/>
              </w:rPr>
            </w:pPr>
          </w:p>
          <w:p>
            <w:pPr>
              <w:snapToGrid w:val="0"/>
              <w:spacing w:line="360" w:lineRule="auto"/>
              <w:rPr>
                <w:rFonts w:ascii="仿宋_GB2312" w:hAnsi="宋体" w:eastAsia="仿宋_GB2312" w:cs="Times New Roman"/>
                <w:sz w:val="32"/>
                <w:szCs w:val="32"/>
              </w:rPr>
            </w:pPr>
          </w:p>
        </w:tc>
        <w:tc>
          <w:tcPr>
            <w:tcW w:w="993"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支出相符性</w:t>
            </w:r>
          </w:p>
        </w:tc>
        <w:tc>
          <w:tcPr>
            <w:tcW w:w="1217"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支出真实性</w:t>
            </w:r>
          </w:p>
        </w:tc>
        <w:tc>
          <w:tcPr>
            <w:tcW w:w="1217"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支出核算资料完整性</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目标数完成比例</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对象满意度</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支出预算占比</w:t>
            </w:r>
            <w:r>
              <w:rPr>
                <w:rFonts w:ascii="仿宋_GB2312" w:hAnsi="宋体" w:eastAsia="仿宋_GB2312" w:cs="Times New Roman"/>
                <w:sz w:val="28"/>
                <w:szCs w:val="28"/>
              </w:rPr>
              <w:t>90%</w:t>
            </w:r>
            <w:r>
              <w:rPr>
                <w:rFonts w:hint="eastAsia" w:ascii="仿宋_GB2312" w:hAnsi="宋体" w:eastAsia="仿宋_GB2312" w:cs="Times New Roman"/>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noWrap w:val="0"/>
            <w:vAlign w:val="center"/>
          </w:tcPr>
          <w:p>
            <w:pPr>
              <w:snapToGrid w:val="0"/>
              <w:spacing w:line="360" w:lineRule="auto"/>
              <w:jc w:val="center"/>
              <w:rPr>
                <w:rFonts w:ascii="仿宋_GB2312" w:hAnsi="宋体" w:eastAsia="仿宋_GB2312" w:cs="Times New Roman"/>
                <w:sz w:val="30"/>
                <w:szCs w:val="30"/>
              </w:rPr>
            </w:pPr>
            <w:r>
              <w:rPr>
                <w:rFonts w:hint="eastAsia" w:ascii="仿宋_GB2312" w:hAnsi="宋体" w:eastAsia="仿宋_GB2312" w:cs="Times New Roman"/>
                <w:sz w:val="30"/>
                <w:szCs w:val="30"/>
              </w:rPr>
              <w:t>评分</w:t>
            </w:r>
          </w:p>
        </w:tc>
        <w:tc>
          <w:tcPr>
            <w:tcW w:w="993"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noWrap w:val="0"/>
            <w:vAlign w:val="center"/>
          </w:tcPr>
          <w:p>
            <w:pPr>
              <w:snapToGrid w:val="0"/>
              <w:spacing w:line="360" w:lineRule="auto"/>
              <w:jc w:val="center"/>
              <w:rPr>
                <w:rFonts w:ascii="仿宋_GB2312" w:hAnsi="宋体" w:eastAsia="仿宋_GB2312" w:cs="Times New Roman"/>
                <w:sz w:val="30"/>
                <w:szCs w:val="30"/>
              </w:rPr>
            </w:pPr>
            <w:r>
              <w:rPr>
                <w:rFonts w:hint="eastAsia" w:ascii="仿宋_GB2312" w:hAnsi="宋体" w:eastAsia="仿宋_GB2312" w:cs="Times New Roman"/>
                <w:sz w:val="30"/>
                <w:szCs w:val="30"/>
              </w:rPr>
              <w:t>自评得分</w:t>
            </w:r>
          </w:p>
        </w:tc>
        <w:tc>
          <w:tcPr>
            <w:tcW w:w="993"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center"/>
          </w:tcPr>
          <w:p>
            <w:pPr>
              <w:snapToGrid w:val="0"/>
              <w:spacing w:line="360" w:lineRule="auto"/>
              <w:jc w:val="center"/>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center"/>
          </w:tcPr>
          <w:p>
            <w:pPr>
              <w:snapToGrid w:val="0"/>
              <w:spacing w:line="360" w:lineRule="auto"/>
              <w:jc w:val="center"/>
              <w:rPr>
                <w:rFonts w:hint="default"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noWrap w:val="0"/>
            <w:vAlign w:val="center"/>
          </w:tcPr>
          <w:p>
            <w:pPr>
              <w:snapToGrid w:val="0"/>
              <w:spacing w:line="360" w:lineRule="auto"/>
              <w:jc w:val="center"/>
              <w:rPr>
                <w:rFonts w:ascii="仿宋_GB2312" w:hAnsi="宋体" w:eastAsia="仿宋_GB2312" w:cs="Times New Roman"/>
                <w:sz w:val="30"/>
                <w:szCs w:val="30"/>
              </w:rPr>
            </w:pPr>
            <w:r>
              <w:rPr>
                <w:rFonts w:hint="eastAsia" w:ascii="仿宋_GB2312" w:hAnsi="宋体" w:eastAsia="仿宋_GB2312" w:cs="Times New Roman"/>
                <w:sz w:val="30"/>
                <w:szCs w:val="30"/>
              </w:rPr>
              <w:t>得分</w:t>
            </w:r>
          </w:p>
        </w:tc>
        <w:tc>
          <w:tcPr>
            <w:tcW w:w="1218" w:type="dxa"/>
            <w:noWrap w:val="0"/>
            <w:vAlign w:val="center"/>
          </w:tcPr>
          <w:p>
            <w:pPr>
              <w:snapToGrid w:val="0"/>
              <w:spacing w:line="360" w:lineRule="auto"/>
              <w:jc w:val="center"/>
              <w:rPr>
                <w:rFonts w:hint="default" w:ascii="仿宋_GB2312" w:hAnsi="宋体" w:eastAsia="仿宋_GB2312" w:cs="Times New Roman"/>
                <w:sz w:val="30"/>
                <w:szCs w:val="30"/>
                <w:lang w:val="en-US" w:eastAsia="zh-CN"/>
              </w:rPr>
            </w:pPr>
            <w:r>
              <w:rPr>
                <w:rFonts w:ascii="仿宋_GB2312" w:hAnsi="宋体" w:eastAsia="仿宋_GB2312" w:cs="Times New Roman"/>
                <w:sz w:val="30"/>
                <w:szCs w:val="30"/>
              </w:rPr>
              <w:t>9</w:t>
            </w:r>
            <w:r>
              <w:rPr>
                <w:rFonts w:hint="eastAsia" w:ascii="仿宋_GB2312" w:hAnsi="宋体" w:eastAsia="仿宋_GB2312" w:cs="Times New Roman"/>
                <w:sz w:val="30"/>
                <w:szCs w:val="30"/>
                <w:lang w:val="en-US" w:eastAsia="zh-CN"/>
              </w:rPr>
              <w:t>9.7</w:t>
            </w:r>
          </w:p>
        </w:tc>
      </w:tr>
    </w:tbl>
    <w:p>
      <w:pPr>
        <w:snapToGrid w:val="0"/>
        <w:spacing w:line="360" w:lineRule="auto"/>
        <w:ind w:left="420" w:leftChars="200"/>
        <w:rPr>
          <w:rFonts w:ascii="黑体" w:hAnsi="宋体" w:eastAsia="黑体" w:cs="Times New Roman"/>
          <w:sz w:val="32"/>
          <w:szCs w:val="21"/>
        </w:rPr>
      </w:pPr>
    </w:p>
    <w:p>
      <w:pPr>
        <w:snapToGrid w:val="0"/>
        <w:spacing w:line="360" w:lineRule="auto"/>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360" w:lineRule="auto"/>
        <w:ind w:firstLine="643" w:firstLineChars="200"/>
        <w:rPr>
          <w:rFonts w:ascii="楷体_GB2312" w:hAnsi="宋体" w:eastAsia="仿宋_GB2312" w:cs="Times New Roman"/>
          <w:b/>
          <w:sz w:val="32"/>
          <w:szCs w:val="21"/>
        </w:rPr>
      </w:pPr>
      <w:r>
        <w:rPr>
          <w:rFonts w:hint="eastAsia" w:ascii="楷体_GB2312" w:hAnsi="宋体" w:eastAsia="楷体_GB2312" w:cs="Times New Roman"/>
          <w:b/>
          <w:sz w:val="32"/>
          <w:szCs w:val="21"/>
        </w:rPr>
        <w:t>（一）项目决策情况。</w:t>
      </w:r>
      <w:r>
        <w:rPr>
          <w:rFonts w:hint="eastAsia" w:ascii="仿宋_GB2312" w:hAnsi="宋体" w:eastAsia="仿宋_GB2312" w:cs="Times New Roman"/>
          <w:sz w:val="32"/>
          <w:lang w:val="zh-CN"/>
        </w:rPr>
        <w:t>严格执行财务管理制度，账务处理及时，会计核算规范</w:t>
      </w:r>
      <w:r>
        <w:rPr>
          <w:rFonts w:hint="eastAsia" w:ascii="仿宋_GB2312" w:hAnsi="宋体" w:eastAsia="仿宋_GB2312" w:cs="Times New Roman"/>
          <w:sz w:val="32"/>
        </w:rPr>
        <w:t>的要求执行项目经费。</w:t>
      </w:r>
    </w:p>
    <w:p>
      <w:pPr>
        <w:adjustRightInd w:val="0"/>
        <w:snapToGrid w:val="0"/>
        <w:spacing w:line="360" w:lineRule="auto"/>
        <w:ind w:firstLine="643" w:firstLineChars="200"/>
        <w:rPr>
          <w:rFonts w:ascii="楷体_GB2312" w:hAnsi="宋体" w:eastAsia="楷体_GB2312" w:cs="Times New Roman"/>
          <w:b/>
          <w:sz w:val="32"/>
          <w:szCs w:val="21"/>
        </w:rPr>
      </w:pPr>
      <w:r>
        <w:rPr>
          <w:rFonts w:hint="eastAsia" w:ascii="楷体_GB2312" w:hAnsi="宋体" w:eastAsia="楷体_GB2312" w:cs="Times New Roman"/>
          <w:b/>
          <w:sz w:val="32"/>
          <w:szCs w:val="21"/>
        </w:rPr>
        <w:t>（二）项目管理情况。</w:t>
      </w:r>
      <w:r>
        <w:rPr>
          <w:rFonts w:hint="eastAsia" w:ascii="仿宋_GB2312" w:hAnsi="宋体" w:eastAsia="仿宋_GB2312" w:cs="Times New Roman"/>
          <w:sz w:val="32"/>
        </w:rPr>
        <w:t>按照</w:t>
      </w:r>
      <w:r>
        <w:rPr>
          <w:rFonts w:hint="eastAsia" w:ascii="仿宋_GB2312" w:hAnsi="宋体" w:eastAsia="仿宋_GB2312" w:cs="Times New Roman"/>
          <w:sz w:val="32"/>
          <w:lang w:val="zh-CN"/>
        </w:rPr>
        <w:t>相关法律法规及项目管理制度，</w:t>
      </w:r>
      <w:r>
        <w:rPr>
          <w:rFonts w:hint="eastAsia" w:ascii="仿宋_GB2312" w:hAnsi="宋体" w:eastAsia="仿宋_GB2312" w:cs="Times New Roman"/>
          <w:sz w:val="32"/>
        </w:rPr>
        <w:t>落实</w:t>
      </w:r>
      <w:r>
        <w:rPr>
          <w:rFonts w:hint="eastAsia" w:ascii="仿宋_GB2312" w:hAnsi="宋体" w:eastAsia="仿宋_GB2312" w:cs="Times New Roman"/>
          <w:sz w:val="32"/>
          <w:lang w:val="zh-CN"/>
        </w:rPr>
        <w:t>项目</w:t>
      </w:r>
      <w:r>
        <w:rPr>
          <w:rFonts w:hint="eastAsia" w:ascii="仿宋_GB2312" w:hAnsi="宋体" w:eastAsia="仿宋_GB2312" w:cs="Times New Roman"/>
          <w:sz w:val="32"/>
        </w:rPr>
        <w:t>监管和项目资金报销凭证的审核、复核工作，按财经制度和单位内控管理依法依规支出</w:t>
      </w:r>
      <w:r>
        <w:rPr>
          <w:rFonts w:hint="eastAsia" w:ascii="仿宋_GB2312" w:hAnsi="宋体" w:eastAsia="仿宋_GB2312" w:cs="Times New Roman"/>
          <w:sz w:val="32"/>
          <w:lang w:val="zh-CN"/>
        </w:rPr>
        <w:t>。</w:t>
      </w:r>
    </w:p>
    <w:p>
      <w:p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rPr>
        <w:t>五、存在主要问题。</w:t>
      </w:r>
    </w:p>
    <w:p>
      <w:pPr>
        <w:adjustRightInd w:val="0"/>
        <w:snapToGrid w:val="0"/>
        <w:spacing w:line="360" w:lineRule="auto"/>
        <w:ind w:firstLine="720"/>
        <w:rPr>
          <w:rFonts w:ascii="仿宋_GB2312" w:hAnsi="宋体" w:eastAsia="仿宋_GB2312" w:cs="Times New Roman"/>
          <w:sz w:val="32"/>
          <w:szCs w:val="32"/>
        </w:rPr>
      </w:pPr>
      <w:r>
        <w:rPr>
          <w:rFonts w:hint="eastAsia" w:ascii="仿宋_GB2312" w:hAnsi="宋体" w:eastAsia="仿宋_GB2312" w:cs="Times New Roman"/>
          <w:sz w:val="32"/>
        </w:rPr>
        <w:t>预算金额与实际支出金额存在一定差异，预算编制不够准确。</w:t>
      </w:r>
    </w:p>
    <w:p>
      <w:pPr>
        <w:numPr>
          <w:ilvl w:val="0"/>
          <w:numId w:val="5"/>
        </w:num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rPr>
        <w:t>相关措施建议。</w:t>
      </w:r>
    </w:p>
    <w:p>
      <w:pPr>
        <w:snapToGrid w:val="0"/>
        <w:spacing w:line="360" w:lineRule="auto"/>
        <w:ind w:left="420" w:leftChars="200"/>
        <w:rPr>
          <w:rFonts w:hint="eastAsia" w:ascii="仿宋_GB2312" w:hAnsi="Calibri" w:eastAsia="仿宋_GB2312" w:cs="Times New Roman"/>
          <w:bCs/>
          <w:sz w:val="32"/>
        </w:rPr>
      </w:pPr>
      <w:r>
        <w:rPr>
          <w:rFonts w:hint="eastAsia" w:ascii="仿宋_GB2312" w:hAnsi="Calibri" w:eastAsia="仿宋_GB2312" w:cs="Times New Roman"/>
          <w:bCs/>
          <w:sz w:val="32"/>
        </w:rPr>
        <w:t>强化绩效管理，提高资金使用绩效。</w:t>
      </w:r>
    </w:p>
    <w:p>
      <w:pPr>
        <w:spacing w:line="360" w:lineRule="auto"/>
        <w:jc w:val="center"/>
        <w:rPr>
          <w:rFonts w:hint="eastAsia" w:ascii="方正小标宋简体" w:hAnsi="方正小标宋简体" w:eastAsia="方正小标宋简体" w:cs="方正小标宋简体"/>
          <w:sz w:val="32"/>
        </w:rPr>
      </w:pPr>
    </w:p>
    <w:p>
      <w:pPr>
        <w:spacing w:line="360" w:lineRule="auto"/>
        <w:jc w:val="center"/>
        <w:rPr>
          <w:rFonts w:ascii="方正小标宋简体" w:hAnsi="方正小标宋简体" w:eastAsia="方正小标宋简体" w:cs="方正小标宋简体"/>
          <w:sz w:val="32"/>
        </w:rPr>
      </w:pPr>
      <w:r>
        <w:rPr>
          <w:rFonts w:hint="eastAsia" w:ascii="方正小标宋简体" w:hAnsi="方正小标宋简体" w:eastAsia="方正小标宋简体" w:cs="方正小标宋简体"/>
          <w:sz w:val="32"/>
        </w:rPr>
        <w:t>（项目</w:t>
      </w:r>
      <w:r>
        <w:rPr>
          <w:rFonts w:ascii="方正小标宋简体" w:hAnsi="方正小标宋简体" w:eastAsia="方正小标宋简体" w:cs="方正小标宋简体"/>
          <w:sz w:val="32"/>
        </w:rPr>
        <w:t>3</w:t>
      </w:r>
      <w:r>
        <w:rPr>
          <w:rFonts w:hint="eastAsia" w:ascii="方正小标宋简体" w:hAnsi="方正小标宋简体" w:eastAsia="方正小标宋简体" w:cs="方正小标宋简体"/>
          <w:sz w:val="32"/>
        </w:rPr>
        <w:t>：公务用车购置）</w:t>
      </w:r>
    </w:p>
    <w:p>
      <w:pPr>
        <w:tabs>
          <w:tab w:val="left" w:pos="3885"/>
        </w:tabs>
        <w:snapToGrid w:val="0"/>
        <w:spacing w:line="360" w:lineRule="auto"/>
        <w:ind w:firstLine="640" w:firstLineChars="200"/>
        <w:jc w:val="left"/>
        <w:rPr>
          <w:rFonts w:ascii="黑体" w:hAnsi="宋体" w:eastAsia="黑体" w:cs="Times New Roman"/>
          <w:sz w:val="32"/>
          <w:szCs w:val="21"/>
        </w:rPr>
      </w:pPr>
      <w:r>
        <w:rPr>
          <w:rFonts w:hint="eastAsia" w:ascii="黑体" w:hAnsi="宋体" w:eastAsia="黑体" w:cs="Times New Roman"/>
          <w:sz w:val="32"/>
          <w:szCs w:val="21"/>
        </w:rPr>
        <w:t>一、基本情况</w:t>
      </w:r>
    </w:p>
    <w:p>
      <w:pPr>
        <w:snapToGrid w:val="0"/>
        <w:spacing w:line="360" w:lineRule="auto"/>
        <w:ind w:firstLine="640" w:firstLineChars="200"/>
        <w:rPr>
          <w:rFonts w:ascii="仿宋_GB2312" w:hAnsi="宋体" w:eastAsia="仿宋_GB2312" w:cs="Times New Roman"/>
          <w:sz w:val="32"/>
          <w:szCs w:val="32"/>
          <w:lang w:val="zh-CN"/>
        </w:rPr>
      </w:pPr>
      <w:r>
        <w:rPr>
          <w:rFonts w:hint="eastAsia" w:ascii="仿宋_GB2312" w:hAnsi="仿宋" w:eastAsia="仿宋_GB2312" w:cs="Times New Roman"/>
          <w:sz w:val="32"/>
        </w:rPr>
        <w:t>为保障开展</w:t>
      </w:r>
      <w:r>
        <w:rPr>
          <w:rFonts w:hint="eastAsia" w:ascii="仿宋_GB2312" w:hAnsi="仿宋" w:eastAsia="仿宋_GB2312" w:cs="Times New Roman"/>
          <w:sz w:val="32"/>
          <w:lang w:eastAsia="zh-CN"/>
        </w:rPr>
        <w:t>舆论引导、对外宣传等各项</w:t>
      </w:r>
      <w:r>
        <w:rPr>
          <w:rFonts w:hint="eastAsia" w:ascii="仿宋_GB2312" w:hAnsi="仿宋" w:eastAsia="仿宋_GB2312" w:cs="Times New Roman"/>
          <w:sz w:val="32"/>
        </w:rPr>
        <w:t>工作顺利推进，经阿坝州公务用车制度改革和管理领导小组办公室批准购</w:t>
      </w:r>
      <w:r>
        <w:rPr>
          <w:rFonts w:hint="eastAsia" w:ascii="仿宋_GB2312" w:hAnsi="仿宋" w:eastAsia="仿宋_GB2312" w:cs="Times New Roman"/>
          <w:sz w:val="32"/>
          <w:lang w:eastAsia="zh-CN"/>
        </w:rPr>
        <w:t>置</w:t>
      </w:r>
      <w:r>
        <w:rPr>
          <w:rFonts w:ascii="仿宋_GB2312" w:hAnsi="仿宋" w:eastAsia="仿宋_GB2312" w:cs="Times New Roman"/>
          <w:sz w:val="32"/>
        </w:rPr>
        <w:t>1</w:t>
      </w:r>
      <w:r>
        <w:rPr>
          <w:rFonts w:hint="eastAsia" w:ascii="仿宋_GB2312" w:hAnsi="仿宋" w:eastAsia="仿宋_GB2312" w:cs="Times New Roman"/>
          <w:sz w:val="32"/>
        </w:rPr>
        <w:t>辆</w:t>
      </w:r>
      <w:r>
        <w:rPr>
          <w:rFonts w:hint="eastAsia" w:ascii="仿宋_GB2312" w:hAnsi="仿宋" w:eastAsia="仿宋_GB2312" w:cs="Times New Roman"/>
          <w:sz w:val="32"/>
          <w:lang w:val="en-US" w:eastAsia="zh-CN"/>
        </w:rPr>
        <w:t>3.5升以下、价格60万元以内的国产越野型公务用车。</w:t>
      </w:r>
      <w:r>
        <w:rPr>
          <w:rFonts w:hint="eastAsia" w:ascii="仿宋_GB2312" w:hAnsi="仿宋" w:eastAsia="仿宋_GB2312" w:cs="Times New Roman"/>
          <w:sz w:val="32"/>
        </w:rPr>
        <w:t>车辆符合国家要求的质量标准，满意度达到绩效指标标准。</w:t>
      </w:r>
    </w:p>
    <w:p>
      <w:pPr>
        <w:snapToGrid w:val="0"/>
        <w:spacing w:line="360" w:lineRule="auto"/>
        <w:ind w:firstLine="640" w:firstLineChars="200"/>
        <w:rPr>
          <w:rFonts w:ascii="宋体" w:hAnsi="Times New Roman" w:eastAsia="宋体" w:cs="Times New Roman"/>
          <w:sz w:val="32"/>
          <w:szCs w:val="21"/>
        </w:rPr>
      </w:pPr>
      <w:r>
        <w:rPr>
          <w:rFonts w:hint="eastAsia" w:ascii="黑体" w:hAnsi="黑体" w:eastAsia="黑体" w:cs="黑体"/>
          <w:sz w:val="32"/>
          <w:szCs w:val="21"/>
        </w:rPr>
        <w:t>二、评价工作开展情况</w:t>
      </w:r>
    </w:p>
    <w:p>
      <w:pPr>
        <w:adjustRightInd w:val="0"/>
        <w:snapToGrid w:val="0"/>
        <w:spacing w:line="360" w:lineRule="auto"/>
        <w:ind w:firstLine="640" w:firstLineChars="200"/>
        <w:rPr>
          <w:rFonts w:ascii="仿宋_GB2312" w:hAnsi="宋体" w:eastAsia="仿宋_GB2312" w:cs="Times New Roman"/>
          <w:sz w:val="32"/>
          <w:szCs w:val="32"/>
        </w:rPr>
      </w:pPr>
      <w:r>
        <w:rPr>
          <w:rFonts w:hint="eastAsia" w:ascii="仿宋_GB2312" w:hAnsi="宋体" w:eastAsia="仿宋_GB2312" w:cs="Times New Roman"/>
          <w:sz w:val="32"/>
          <w:lang w:val="zh-CN"/>
        </w:rPr>
        <w:t>项目自评步骤及方法：</w:t>
      </w:r>
      <w:r>
        <w:rPr>
          <w:rFonts w:hint="eastAsia" w:ascii="仿宋_GB2312" w:hAnsi="宋体" w:eastAsia="仿宋_GB2312" w:cs="Times New Roman"/>
          <w:sz w:val="32"/>
        </w:rPr>
        <w:t>经费是否用于项目本身，经费使用是否坚持效率优先，兼顾节约的原则，经费报销凭据是否真实可靠，经费使用成效如何。</w:t>
      </w:r>
    </w:p>
    <w:p>
      <w:pPr>
        <w:numPr>
          <w:ilvl w:val="0"/>
          <w:numId w:val="0"/>
        </w:num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lang w:eastAsia="zh-CN"/>
        </w:rPr>
        <w:t>三、</w:t>
      </w:r>
      <w:r>
        <w:rPr>
          <w:rFonts w:hint="eastAsia" w:ascii="黑体" w:hAnsi="宋体" w:eastAsia="黑体" w:cs="Times New Roman"/>
          <w:sz w:val="32"/>
          <w:szCs w:val="21"/>
        </w:rPr>
        <w:t>综合评价结论（附评分表）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noWrap w:val="0"/>
            <w:vAlign w:val="top"/>
          </w:tcPr>
          <w:p>
            <w:pPr>
              <w:snapToGrid w:val="0"/>
              <w:spacing w:line="360" w:lineRule="auto"/>
              <w:rPr>
                <w:rFonts w:ascii="仿宋_GB2312" w:hAnsi="宋体" w:eastAsia="仿宋_GB2312" w:cs="Times New Roman"/>
                <w:sz w:val="32"/>
                <w:szCs w:val="32"/>
              </w:rPr>
            </w:pPr>
          </w:p>
          <w:p>
            <w:pPr>
              <w:snapToGrid w:val="0"/>
              <w:spacing w:line="360" w:lineRule="auto"/>
              <w:rPr>
                <w:rFonts w:ascii="仿宋_GB2312" w:hAnsi="宋体" w:eastAsia="仿宋_GB2312" w:cs="Times New Roman"/>
                <w:sz w:val="32"/>
                <w:szCs w:val="32"/>
              </w:rPr>
            </w:pPr>
          </w:p>
        </w:tc>
        <w:tc>
          <w:tcPr>
            <w:tcW w:w="993"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支出相符性</w:t>
            </w:r>
          </w:p>
        </w:tc>
        <w:tc>
          <w:tcPr>
            <w:tcW w:w="1217"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支出真实性</w:t>
            </w:r>
          </w:p>
        </w:tc>
        <w:tc>
          <w:tcPr>
            <w:tcW w:w="1217"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支出核算资料完整性</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目标数完成比例</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对象满意度</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支出预算占比</w:t>
            </w:r>
            <w:r>
              <w:rPr>
                <w:rFonts w:ascii="仿宋_GB2312" w:hAnsi="宋体" w:eastAsia="仿宋_GB2312" w:cs="Times New Roman"/>
                <w:sz w:val="28"/>
                <w:szCs w:val="28"/>
              </w:rPr>
              <w:t>90%</w:t>
            </w:r>
            <w:r>
              <w:rPr>
                <w:rFonts w:hint="eastAsia" w:ascii="仿宋_GB2312" w:hAnsi="宋体" w:eastAsia="仿宋_GB2312" w:cs="Times New Roman"/>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noWrap w:val="0"/>
            <w:vAlign w:val="top"/>
          </w:tcPr>
          <w:p>
            <w:pPr>
              <w:snapToGrid w:val="0"/>
              <w:spacing w:line="360" w:lineRule="auto"/>
              <w:rPr>
                <w:rFonts w:ascii="仿宋_GB2312" w:hAnsi="宋体" w:eastAsia="仿宋_GB2312" w:cs="Times New Roman"/>
                <w:sz w:val="30"/>
                <w:szCs w:val="30"/>
              </w:rPr>
            </w:pPr>
            <w:r>
              <w:rPr>
                <w:rFonts w:hint="eastAsia" w:ascii="仿宋_GB2312" w:hAnsi="宋体" w:eastAsia="仿宋_GB2312" w:cs="Times New Roman"/>
                <w:sz w:val="30"/>
                <w:szCs w:val="30"/>
              </w:rPr>
              <w:t>评分</w:t>
            </w:r>
          </w:p>
        </w:tc>
        <w:tc>
          <w:tcPr>
            <w:tcW w:w="993"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noWrap w:val="0"/>
            <w:vAlign w:val="top"/>
          </w:tcPr>
          <w:p>
            <w:pPr>
              <w:snapToGrid w:val="0"/>
              <w:spacing w:line="360" w:lineRule="auto"/>
              <w:rPr>
                <w:rFonts w:ascii="仿宋_GB2312" w:hAnsi="宋体" w:eastAsia="仿宋_GB2312" w:cs="Times New Roman"/>
                <w:sz w:val="30"/>
                <w:szCs w:val="30"/>
              </w:rPr>
            </w:pPr>
            <w:r>
              <w:rPr>
                <w:rFonts w:hint="eastAsia" w:ascii="仿宋_GB2312" w:hAnsi="宋体" w:eastAsia="仿宋_GB2312" w:cs="Times New Roman"/>
                <w:sz w:val="30"/>
                <w:szCs w:val="30"/>
              </w:rPr>
              <w:t>自评得分</w:t>
            </w:r>
          </w:p>
        </w:tc>
        <w:tc>
          <w:tcPr>
            <w:tcW w:w="993"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noWrap w:val="0"/>
            <w:vAlign w:val="top"/>
          </w:tcPr>
          <w:p>
            <w:pPr>
              <w:snapToGrid w:val="0"/>
              <w:spacing w:line="360" w:lineRule="auto"/>
              <w:jc w:val="right"/>
              <w:rPr>
                <w:rFonts w:ascii="仿宋_GB2312" w:hAnsi="宋体" w:eastAsia="仿宋_GB2312" w:cs="Times New Roman"/>
                <w:sz w:val="30"/>
                <w:szCs w:val="30"/>
              </w:rPr>
            </w:pPr>
            <w:r>
              <w:rPr>
                <w:rFonts w:hint="eastAsia" w:ascii="仿宋_GB2312" w:hAnsi="宋体" w:eastAsia="仿宋_GB2312" w:cs="Times New Roman"/>
                <w:sz w:val="30"/>
                <w:szCs w:val="30"/>
              </w:rPr>
              <w:t>得分</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100</w:t>
            </w:r>
          </w:p>
        </w:tc>
      </w:tr>
    </w:tbl>
    <w:p>
      <w:pPr>
        <w:snapToGrid w:val="0"/>
        <w:spacing w:line="360" w:lineRule="auto"/>
        <w:ind w:left="420" w:leftChars="200"/>
        <w:rPr>
          <w:rFonts w:ascii="黑体" w:hAnsi="宋体" w:eastAsia="黑体" w:cs="Times New Roman"/>
          <w:sz w:val="32"/>
          <w:szCs w:val="21"/>
        </w:rPr>
      </w:pPr>
    </w:p>
    <w:p>
      <w:pPr>
        <w:snapToGrid w:val="0"/>
        <w:spacing w:line="360" w:lineRule="auto"/>
        <w:ind w:firstLine="640" w:firstLineChars="200"/>
        <w:rPr>
          <w:rFonts w:ascii="黑体" w:hAnsi="黑体" w:eastAsia="黑体" w:cs="黑体"/>
          <w:bCs/>
          <w:sz w:val="32"/>
          <w:szCs w:val="21"/>
        </w:rPr>
      </w:pPr>
      <w:r>
        <w:rPr>
          <w:rFonts w:hint="eastAsia" w:ascii="黑体" w:hAnsi="黑体" w:eastAsia="黑体" w:cs="黑体"/>
          <w:bCs/>
          <w:sz w:val="32"/>
          <w:szCs w:val="21"/>
        </w:rPr>
        <w:t>四、绩效评价分析</w:t>
      </w:r>
    </w:p>
    <w:p>
      <w:pPr>
        <w:snapToGrid w:val="0"/>
        <w:spacing w:line="360" w:lineRule="auto"/>
        <w:ind w:firstLine="643" w:firstLineChars="200"/>
        <w:rPr>
          <w:rFonts w:ascii="楷体_GB2312" w:hAnsi="宋体" w:eastAsia="仿宋_GB2312" w:cs="Times New Roman"/>
          <w:b/>
          <w:sz w:val="32"/>
          <w:szCs w:val="21"/>
        </w:rPr>
      </w:pPr>
      <w:r>
        <w:rPr>
          <w:rFonts w:hint="eastAsia" w:ascii="楷体_GB2312" w:hAnsi="宋体" w:eastAsia="楷体_GB2312" w:cs="Times New Roman"/>
          <w:b/>
          <w:sz w:val="32"/>
          <w:szCs w:val="21"/>
        </w:rPr>
        <w:t>（一）项目决策情况。</w:t>
      </w:r>
      <w:r>
        <w:rPr>
          <w:rFonts w:hint="eastAsia" w:ascii="仿宋_GB2312" w:hAnsi="宋体" w:eastAsia="仿宋_GB2312" w:cs="Times New Roman"/>
          <w:sz w:val="32"/>
          <w:lang w:val="zh-CN"/>
        </w:rPr>
        <w:t>严格执行财务管理制度，账务处理及时，会计核算规范</w:t>
      </w:r>
      <w:r>
        <w:rPr>
          <w:rFonts w:hint="eastAsia" w:ascii="仿宋_GB2312" w:hAnsi="宋体" w:eastAsia="仿宋_GB2312" w:cs="Times New Roman"/>
          <w:sz w:val="32"/>
        </w:rPr>
        <w:t>的要求执行项目经费。</w:t>
      </w:r>
    </w:p>
    <w:p>
      <w:pPr>
        <w:adjustRightInd w:val="0"/>
        <w:snapToGrid w:val="0"/>
        <w:spacing w:line="360" w:lineRule="auto"/>
        <w:ind w:firstLine="643" w:firstLineChars="200"/>
        <w:rPr>
          <w:rFonts w:ascii="楷体_GB2312" w:hAnsi="宋体" w:eastAsia="楷体_GB2312" w:cs="Times New Roman"/>
          <w:b/>
          <w:sz w:val="32"/>
          <w:szCs w:val="21"/>
        </w:rPr>
      </w:pPr>
      <w:r>
        <w:rPr>
          <w:rFonts w:hint="eastAsia" w:ascii="楷体_GB2312" w:hAnsi="宋体" w:eastAsia="楷体_GB2312" w:cs="Times New Roman"/>
          <w:b/>
          <w:sz w:val="32"/>
          <w:szCs w:val="21"/>
        </w:rPr>
        <w:t>（二）项目管理情况。</w:t>
      </w:r>
      <w:r>
        <w:rPr>
          <w:rFonts w:hint="eastAsia" w:ascii="仿宋_GB2312" w:hAnsi="宋体" w:eastAsia="仿宋_GB2312" w:cs="Times New Roman"/>
          <w:sz w:val="32"/>
        </w:rPr>
        <w:t>按照</w:t>
      </w:r>
      <w:r>
        <w:rPr>
          <w:rFonts w:hint="eastAsia" w:ascii="仿宋_GB2312" w:hAnsi="宋体" w:eastAsia="仿宋_GB2312" w:cs="Times New Roman"/>
          <w:sz w:val="32"/>
          <w:lang w:val="zh-CN"/>
        </w:rPr>
        <w:t>相关法律法规及项目管理制度，</w:t>
      </w:r>
      <w:r>
        <w:rPr>
          <w:rFonts w:hint="eastAsia" w:ascii="仿宋_GB2312" w:hAnsi="宋体" w:eastAsia="仿宋_GB2312" w:cs="Times New Roman"/>
          <w:sz w:val="32"/>
        </w:rPr>
        <w:t>落实</w:t>
      </w:r>
      <w:r>
        <w:rPr>
          <w:rFonts w:hint="eastAsia" w:ascii="仿宋_GB2312" w:hAnsi="宋体" w:eastAsia="仿宋_GB2312" w:cs="Times New Roman"/>
          <w:sz w:val="32"/>
          <w:lang w:val="zh-CN"/>
        </w:rPr>
        <w:t>项目</w:t>
      </w:r>
      <w:r>
        <w:rPr>
          <w:rFonts w:hint="eastAsia" w:ascii="仿宋_GB2312" w:hAnsi="宋体" w:eastAsia="仿宋_GB2312" w:cs="Times New Roman"/>
          <w:sz w:val="32"/>
        </w:rPr>
        <w:t>监管和项目资金报销凭证的审核、复核工作，按财经制度和单位内控管理依法依规支出</w:t>
      </w:r>
      <w:r>
        <w:rPr>
          <w:rFonts w:hint="eastAsia" w:ascii="仿宋_GB2312" w:hAnsi="宋体" w:eastAsia="仿宋_GB2312" w:cs="Times New Roman"/>
          <w:sz w:val="32"/>
          <w:lang w:val="zh-CN"/>
        </w:rPr>
        <w:t>。</w:t>
      </w:r>
    </w:p>
    <w:p>
      <w:p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rPr>
        <w:t>五、存在主要问题。</w:t>
      </w:r>
    </w:p>
    <w:p>
      <w:pPr>
        <w:adjustRightInd w:val="0"/>
        <w:snapToGrid w:val="0"/>
        <w:spacing w:line="360" w:lineRule="auto"/>
        <w:ind w:firstLine="720"/>
        <w:rPr>
          <w:rFonts w:ascii="仿宋_GB2312" w:hAnsi="宋体" w:eastAsia="仿宋_GB2312" w:cs="Times New Roman"/>
          <w:sz w:val="32"/>
          <w:szCs w:val="32"/>
        </w:rPr>
      </w:pPr>
      <w:r>
        <w:rPr>
          <w:rFonts w:hint="eastAsia" w:ascii="仿宋_GB2312" w:hAnsi="宋体" w:eastAsia="仿宋_GB2312" w:cs="Times New Roman"/>
          <w:sz w:val="32"/>
        </w:rPr>
        <w:t>无。</w:t>
      </w:r>
    </w:p>
    <w:p>
      <w:pPr>
        <w:numPr>
          <w:ilvl w:val="0"/>
          <w:numId w:val="0"/>
        </w:num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lang w:eastAsia="zh-CN"/>
        </w:rPr>
        <w:t>六、</w:t>
      </w:r>
      <w:r>
        <w:rPr>
          <w:rFonts w:hint="eastAsia" w:ascii="黑体" w:hAnsi="宋体" w:eastAsia="黑体" w:cs="Times New Roman"/>
          <w:sz w:val="32"/>
          <w:szCs w:val="21"/>
        </w:rPr>
        <w:t>相关措施建议。</w:t>
      </w:r>
    </w:p>
    <w:p>
      <w:pPr>
        <w:snapToGrid w:val="0"/>
        <w:spacing w:line="360" w:lineRule="auto"/>
        <w:ind w:left="420" w:leftChars="200"/>
        <w:rPr>
          <w:rFonts w:ascii="仿宋_GB2312" w:hAnsi="Calibri" w:eastAsia="仿宋_GB2312" w:cs="Times New Roman"/>
          <w:bCs/>
          <w:sz w:val="32"/>
          <w:szCs w:val="32"/>
        </w:rPr>
      </w:pPr>
      <w:r>
        <w:rPr>
          <w:rFonts w:hint="eastAsia" w:ascii="仿宋_GB2312" w:hAnsi="Calibri" w:eastAsia="仿宋_GB2312" w:cs="Times New Roman"/>
          <w:bCs/>
          <w:sz w:val="32"/>
        </w:rPr>
        <w:t>强化绩效管理，提高资金使用绩效。</w:t>
      </w:r>
    </w:p>
    <w:p>
      <w:pPr>
        <w:widowControl/>
        <w:spacing w:line="360" w:lineRule="auto"/>
        <w:jc w:val="left"/>
        <w:rPr>
          <w:rFonts w:ascii="仿宋_GB2312" w:hAnsi="Calibri"/>
          <w:bCs/>
        </w:rPr>
      </w:pPr>
    </w:p>
    <w:p>
      <w:pPr>
        <w:pStyle w:val="19"/>
        <w:rPr>
          <w:rFonts w:ascii="仿宋_GB2312" w:hAnsi="Calibri"/>
          <w:bCs/>
        </w:rPr>
      </w:pPr>
    </w:p>
    <w:p>
      <w:pPr>
        <w:numPr>
          <w:ilvl w:val="0"/>
          <w:numId w:val="0"/>
        </w:numPr>
        <w:snapToGrid w:val="0"/>
        <w:spacing w:line="360" w:lineRule="auto"/>
        <w:ind w:firstLine="640" w:firstLineChars="200"/>
        <w:rPr>
          <w:rFonts w:hint="eastAsia" w:ascii="黑体" w:hAnsi="宋体" w:eastAsia="黑体" w:cs="Times New Roman"/>
          <w:sz w:val="32"/>
          <w:szCs w:val="21"/>
          <w:lang w:eastAsia="zh-CN"/>
        </w:rPr>
      </w:pPr>
      <w:r>
        <w:rPr>
          <w:rFonts w:hint="eastAsia" w:ascii="黑体" w:hAnsi="宋体" w:eastAsia="黑体" w:cs="Times New Roman"/>
          <w:sz w:val="32"/>
          <w:szCs w:val="21"/>
          <w:lang w:eastAsia="zh-CN"/>
        </w:rPr>
        <w:t>（项目</w:t>
      </w:r>
      <w:r>
        <w:rPr>
          <w:rFonts w:hint="eastAsia" w:ascii="黑体" w:hAnsi="宋体" w:eastAsia="黑体" w:cs="Times New Roman"/>
          <w:sz w:val="32"/>
          <w:szCs w:val="21"/>
          <w:lang w:val="en-US" w:eastAsia="zh-CN"/>
        </w:rPr>
        <w:t>4：中央、省“两会”期间媒体宣传经费</w:t>
      </w:r>
      <w:r>
        <w:rPr>
          <w:rFonts w:hint="eastAsia" w:ascii="黑体" w:hAnsi="宋体" w:eastAsia="黑体" w:cs="Times New Roman"/>
          <w:sz w:val="32"/>
          <w:szCs w:val="21"/>
          <w:lang w:eastAsia="zh-CN"/>
        </w:rPr>
        <w:t>）</w:t>
      </w:r>
    </w:p>
    <w:p>
      <w:pPr>
        <w:pStyle w:val="19"/>
        <w:rPr>
          <w:rFonts w:hint="eastAsia" w:ascii="黑体" w:hAnsi="宋体" w:eastAsia="黑体" w:cs="Times New Roman"/>
          <w:sz w:val="32"/>
          <w:szCs w:val="21"/>
          <w:lang w:eastAsia="zh-CN"/>
        </w:rPr>
      </w:pPr>
    </w:p>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一、基本情况</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为展示在阿坝州委州政府的坚强领导下，阿坝干部群众如何走出一条“生态脱贫”的发展路子，圆满完成灾后重建和脱贫攻坚的双胜利，在全国“两会”和省“两会”期间，利用媒体平台开展宣传报道。</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二、项目工作开展情况</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default"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州财政追加项目经费75万元，利用媒体平台开展宣传报道。</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三、综合评价结论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noWrap w:val="0"/>
            <w:vAlign w:val="top"/>
          </w:tcPr>
          <w:p>
            <w:pPr>
              <w:snapToGrid w:val="0"/>
              <w:spacing w:line="360" w:lineRule="auto"/>
              <w:rPr>
                <w:rFonts w:ascii="仿宋_GB2312" w:hAnsi="宋体" w:eastAsia="仿宋_GB2312" w:cs="Times New Roman"/>
                <w:sz w:val="32"/>
                <w:szCs w:val="32"/>
              </w:rPr>
            </w:pPr>
          </w:p>
          <w:p>
            <w:pPr>
              <w:snapToGrid w:val="0"/>
              <w:spacing w:line="360" w:lineRule="auto"/>
              <w:rPr>
                <w:rFonts w:ascii="仿宋_GB2312" w:hAnsi="宋体" w:eastAsia="仿宋_GB2312" w:cs="Times New Roman"/>
                <w:sz w:val="32"/>
                <w:szCs w:val="32"/>
              </w:rPr>
            </w:pPr>
          </w:p>
        </w:tc>
        <w:tc>
          <w:tcPr>
            <w:tcW w:w="993"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支出相符性</w:t>
            </w:r>
          </w:p>
        </w:tc>
        <w:tc>
          <w:tcPr>
            <w:tcW w:w="1217"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支出真实性</w:t>
            </w:r>
          </w:p>
        </w:tc>
        <w:tc>
          <w:tcPr>
            <w:tcW w:w="1217"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支出核算资料完整性</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目标数完成比例</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对象满意度</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支出预算占比</w:t>
            </w:r>
            <w:r>
              <w:rPr>
                <w:rFonts w:ascii="仿宋_GB2312" w:hAnsi="宋体" w:eastAsia="仿宋_GB2312" w:cs="Times New Roman"/>
                <w:sz w:val="28"/>
                <w:szCs w:val="28"/>
              </w:rPr>
              <w:t>90%</w:t>
            </w:r>
            <w:r>
              <w:rPr>
                <w:rFonts w:hint="eastAsia" w:ascii="仿宋_GB2312" w:hAnsi="宋体" w:eastAsia="仿宋_GB2312" w:cs="Times New Roman"/>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noWrap w:val="0"/>
            <w:vAlign w:val="top"/>
          </w:tcPr>
          <w:p>
            <w:pPr>
              <w:snapToGrid w:val="0"/>
              <w:spacing w:line="360" w:lineRule="auto"/>
              <w:rPr>
                <w:rFonts w:ascii="仿宋_GB2312" w:hAnsi="宋体" w:eastAsia="仿宋_GB2312" w:cs="Times New Roman"/>
                <w:sz w:val="30"/>
                <w:szCs w:val="30"/>
              </w:rPr>
            </w:pPr>
            <w:r>
              <w:rPr>
                <w:rFonts w:hint="eastAsia" w:ascii="仿宋_GB2312" w:hAnsi="宋体" w:eastAsia="仿宋_GB2312" w:cs="Times New Roman"/>
                <w:sz w:val="30"/>
                <w:szCs w:val="30"/>
              </w:rPr>
              <w:t>评分</w:t>
            </w:r>
          </w:p>
        </w:tc>
        <w:tc>
          <w:tcPr>
            <w:tcW w:w="993"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noWrap w:val="0"/>
            <w:vAlign w:val="top"/>
          </w:tcPr>
          <w:p>
            <w:pPr>
              <w:snapToGrid w:val="0"/>
              <w:spacing w:line="360" w:lineRule="auto"/>
              <w:rPr>
                <w:rFonts w:ascii="仿宋_GB2312" w:hAnsi="宋体" w:eastAsia="仿宋_GB2312" w:cs="Times New Roman"/>
                <w:sz w:val="30"/>
                <w:szCs w:val="30"/>
              </w:rPr>
            </w:pPr>
            <w:r>
              <w:rPr>
                <w:rFonts w:hint="eastAsia" w:ascii="仿宋_GB2312" w:hAnsi="宋体" w:eastAsia="仿宋_GB2312" w:cs="Times New Roman"/>
                <w:sz w:val="30"/>
                <w:szCs w:val="30"/>
              </w:rPr>
              <w:t>自评得分</w:t>
            </w:r>
          </w:p>
        </w:tc>
        <w:tc>
          <w:tcPr>
            <w:tcW w:w="993"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noWrap w:val="0"/>
            <w:vAlign w:val="top"/>
          </w:tcPr>
          <w:p>
            <w:pPr>
              <w:snapToGrid w:val="0"/>
              <w:spacing w:line="360" w:lineRule="auto"/>
              <w:jc w:val="right"/>
              <w:rPr>
                <w:rFonts w:ascii="仿宋_GB2312" w:hAnsi="宋体" w:eastAsia="仿宋_GB2312" w:cs="Times New Roman"/>
                <w:sz w:val="30"/>
                <w:szCs w:val="30"/>
              </w:rPr>
            </w:pPr>
            <w:r>
              <w:rPr>
                <w:rFonts w:hint="eastAsia" w:ascii="仿宋_GB2312" w:hAnsi="宋体" w:eastAsia="仿宋_GB2312" w:cs="Times New Roman"/>
                <w:sz w:val="30"/>
                <w:szCs w:val="30"/>
              </w:rPr>
              <w:t>得分</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100</w:t>
            </w:r>
          </w:p>
        </w:tc>
      </w:tr>
    </w:tbl>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color w:val="auto"/>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四、绩效评价分析</w:t>
      </w:r>
    </w:p>
    <w:p>
      <w:pPr>
        <w:snapToGrid w:val="0"/>
        <w:spacing w:line="360" w:lineRule="auto"/>
        <w:ind w:firstLine="643" w:firstLineChars="200"/>
        <w:rPr>
          <w:rFonts w:ascii="楷体_GB2312" w:hAnsi="宋体" w:eastAsia="仿宋_GB2312" w:cs="Times New Roman"/>
          <w:b/>
          <w:sz w:val="32"/>
          <w:szCs w:val="21"/>
        </w:rPr>
      </w:pPr>
      <w:r>
        <w:rPr>
          <w:rFonts w:hint="eastAsia" w:ascii="楷体_GB2312" w:hAnsi="宋体" w:eastAsia="楷体_GB2312" w:cs="Times New Roman"/>
          <w:b/>
          <w:sz w:val="32"/>
          <w:szCs w:val="21"/>
        </w:rPr>
        <w:t>（一）项目决策情况。</w:t>
      </w:r>
      <w:r>
        <w:rPr>
          <w:rFonts w:hint="eastAsia" w:ascii="仿宋_GB2312" w:hAnsi="宋体" w:eastAsia="仿宋_GB2312" w:cs="Times New Roman"/>
          <w:sz w:val="32"/>
          <w:lang w:val="zh-CN"/>
        </w:rPr>
        <w:t>严格执行财务管理制度，账务处理及时，会计核算规范</w:t>
      </w:r>
      <w:r>
        <w:rPr>
          <w:rFonts w:hint="eastAsia" w:ascii="仿宋_GB2312" w:hAnsi="宋体" w:eastAsia="仿宋_GB2312" w:cs="Times New Roman"/>
          <w:sz w:val="32"/>
        </w:rPr>
        <w:t>的要求执行项目经费。</w:t>
      </w:r>
    </w:p>
    <w:p>
      <w:pPr>
        <w:adjustRightInd w:val="0"/>
        <w:snapToGrid w:val="0"/>
        <w:spacing w:line="360" w:lineRule="auto"/>
        <w:ind w:firstLine="643" w:firstLineChars="200"/>
        <w:rPr>
          <w:rFonts w:ascii="楷体_GB2312" w:hAnsi="宋体" w:eastAsia="楷体_GB2312" w:cs="Times New Roman"/>
          <w:b/>
          <w:sz w:val="32"/>
          <w:szCs w:val="21"/>
        </w:rPr>
      </w:pPr>
      <w:r>
        <w:rPr>
          <w:rFonts w:hint="eastAsia" w:ascii="楷体_GB2312" w:hAnsi="宋体" w:eastAsia="楷体_GB2312" w:cs="Times New Roman"/>
          <w:b/>
          <w:sz w:val="32"/>
          <w:szCs w:val="21"/>
        </w:rPr>
        <w:t>（二）项目管理情况。</w:t>
      </w:r>
      <w:r>
        <w:rPr>
          <w:rFonts w:hint="eastAsia" w:ascii="仿宋_GB2312" w:hAnsi="宋体" w:eastAsia="仿宋_GB2312" w:cs="Times New Roman"/>
          <w:sz w:val="32"/>
        </w:rPr>
        <w:t>按照</w:t>
      </w:r>
      <w:r>
        <w:rPr>
          <w:rFonts w:hint="eastAsia" w:ascii="仿宋_GB2312" w:hAnsi="宋体" w:eastAsia="仿宋_GB2312" w:cs="Times New Roman"/>
          <w:sz w:val="32"/>
          <w:lang w:val="zh-CN"/>
        </w:rPr>
        <w:t>相关法律法规及项目管理制度，</w:t>
      </w:r>
      <w:r>
        <w:rPr>
          <w:rFonts w:hint="eastAsia" w:ascii="仿宋_GB2312" w:hAnsi="宋体" w:eastAsia="仿宋_GB2312" w:cs="Times New Roman"/>
          <w:sz w:val="32"/>
        </w:rPr>
        <w:t>落实</w:t>
      </w:r>
      <w:r>
        <w:rPr>
          <w:rFonts w:hint="eastAsia" w:ascii="仿宋_GB2312" w:hAnsi="宋体" w:eastAsia="仿宋_GB2312" w:cs="Times New Roman"/>
          <w:sz w:val="32"/>
          <w:lang w:val="zh-CN"/>
        </w:rPr>
        <w:t>项目</w:t>
      </w:r>
      <w:r>
        <w:rPr>
          <w:rFonts w:hint="eastAsia" w:ascii="仿宋_GB2312" w:hAnsi="宋体" w:eastAsia="仿宋_GB2312" w:cs="Times New Roman"/>
          <w:sz w:val="32"/>
        </w:rPr>
        <w:t>监管和项目资金报销凭证的审核、复核工作，按财经制度和单位内控管理依法依规支出</w:t>
      </w:r>
      <w:r>
        <w:rPr>
          <w:rFonts w:hint="eastAsia" w:ascii="仿宋_GB2312" w:hAnsi="宋体" w:eastAsia="仿宋_GB2312" w:cs="Times New Roman"/>
          <w:sz w:val="32"/>
          <w:lang w:val="zh-CN"/>
        </w:rPr>
        <w:t>。</w:t>
      </w:r>
    </w:p>
    <w:p>
      <w:p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rPr>
        <w:t>五、存在主要问题。</w:t>
      </w:r>
    </w:p>
    <w:p>
      <w:pPr>
        <w:adjustRightInd w:val="0"/>
        <w:snapToGrid w:val="0"/>
        <w:spacing w:line="360" w:lineRule="auto"/>
        <w:ind w:firstLine="720"/>
        <w:rPr>
          <w:rFonts w:ascii="仿宋_GB2312" w:hAnsi="宋体" w:eastAsia="仿宋_GB2312" w:cs="Times New Roman"/>
          <w:sz w:val="32"/>
          <w:szCs w:val="32"/>
        </w:rPr>
      </w:pPr>
      <w:r>
        <w:rPr>
          <w:rFonts w:hint="eastAsia" w:ascii="仿宋_GB2312" w:hAnsi="宋体" w:eastAsia="仿宋_GB2312" w:cs="Times New Roman"/>
          <w:sz w:val="32"/>
        </w:rPr>
        <w:t>无。</w:t>
      </w:r>
    </w:p>
    <w:p>
      <w:pPr>
        <w:numPr>
          <w:ilvl w:val="0"/>
          <w:numId w:val="0"/>
        </w:numPr>
        <w:snapToGrid w:val="0"/>
        <w:spacing w:line="360" w:lineRule="auto"/>
        <w:ind w:firstLine="640" w:firstLineChars="200"/>
        <w:rPr>
          <w:rFonts w:hint="eastAsia" w:ascii="黑体" w:hAnsi="宋体" w:eastAsia="黑体" w:cs="Times New Roman"/>
          <w:sz w:val="32"/>
          <w:szCs w:val="21"/>
        </w:rPr>
      </w:pPr>
      <w:r>
        <w:rPr>
          <w:rFonts w:hint="eastAsia" w:ascii="黑体" w:hAnsi="宋体" w:eastAsia="黑体" w:cs="Times New Roman"/>
          <w:sz w:val="32"/>
          <w:szCs w:val="21"/>
          <w:lang w:eastAsia="zh-CN"/>
        </w:rPr>
        <w:t>六、</w:t>
      </w:r>
      <w:r>
        <w:rPr>
          <w:rFonts w:hint="eastAsia" w:ascii="黑体" w:hAnsi="宋体" w:eastAsia="黑体" w:cs="Times New Roman"/>
          <w:sz w:val="32"/>
          <w:szCs w:val="21"/>
        </w:rPr>
        <w:t>相关措施建议。</w:t>
      </w:r>
    </w:p>
    <w:p>
      <w:pPr>
        <w:numPr>
          <w:ilvl w:val="0"/>
          <w:numId w:val="0"/>
        </w:numPr>
        <w:snapToGrid w:val="0"/>
        <w:spacing w:line="360" w:lineRule="auto"/>
        <w:ind w:firstLine="640" w:firstLineChars="200"/>
        <w:rPr>
          <w:rFonts w:ascii="仿宋_GB2312" w:hAnsi="Calibri" w:eastAsia="仿宋_GB2312" w:cs="Times New Roman"/>
          <w:bCs/>
          <w:sz w:val="32"/>
          <w:szCs w:val="32"/>
        </w:rPr>
      </w:pPr>
      <w:r>
        <w:rPr>
          <w:rFonts w:hint="eastAsia" w:ascii="仿宋_GB2312" w:hAnsi="Calibri" w:eastAsia="仿宋_GB2312" w:cs="Times New Roman"/>
          <w:bCs/>
          <w:sz w:val="32"/>
        </w:rPr>
        <w:t>强化绩效管理，提高资金使用绩效。</w:t>
      </w:r>
    </w:p>
    <w:p>
      <w:pPr>
        <w:widowControl/>
        <w:spacing w:line="360" w:lineRule="auto"/>
        <w:jc w:val="left"/>
        <w:rPr>
          <w:rFonts w:ascii="仿宋_GB2312" w:hAnsi="Calibri"/>
          <w:bCs/>
        </w:rPr>
        <w:sectPr>
          <w:pgSz w:w="11906" w:h="16838"/>
          <w:pgMar w:top="1440" w:right="1800" w:bottom="1440" w:left="1800" w:header="851" w:footer="992" w:gutter="0"/>
          <w:cols w:space="720" w:num="1"/>
          <w:docGrid w:type="lines" w:linePitch="312" w:charSpace="0"/>
        </w:sectPr>
      </w:pPr>
    </w:p>
    <w:p>
      <w:pPr>
        <w:pStyle w:val="19"/>
        <w:ind w:left="0" w:leftChars="0" w:firstLine="0" w:firstLineChars="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项目5：省级国家电影事业发展专项资金</w:t>
      </w:r>
    </w:p>
    <w:p>
      <w:pPr>
        <w:pStyle w:val="19"/>
        <w:ind w:left="0" w:leftChars="0" w:firstLine="0" w:firstLineChars="0"/>
        <w:rPr>
          <w:rFonts w:hint="eastAsia" w:ascii="仿宋_GB2312" w:hAnsi="仿宋_GB2312" w:eastAsia="仿宋_GB2312" w:cs="仿宋_GB2312"/>
          <w:kern w:val="2"/>
          <w:sz w:val="32"/>
          <w:szCs w:val="32"/>
          <w:lang w:val="en-US" w:eastAsia="zh-CN" w:bidi="ar-SA"/>
        </w:rPr>
      </w:pPr>
    </w:p>
    <w:p>
      <w:pPr>
        <w:numPr>
          <w:ilvl w:val="0"/>
          <w:numId w:val="0"/>
        </w:numPr>
        <w:snapToGrid w:val="0"/>
        <w:spacing w:line="360" w:lineRule="auto"/>
        <w:ind w:firstLine="640" w:firstLineChars="200"/>
        <w:rPr>
          <w:rFonts w:hint="eastAsia" w:ascii="黑体" w:hAnsi="宋体" w:eastAsia="黑体" w:cs="Times New Roman"/>
          <w:sz w:val="32"/>
          <w:szCs w:val="21"/>
          <w:lang w:val="zh-CN" w:eastAsia="zh-CN"/>
        </w:rPr>
      </w:pPr>
      <w:r>
        <w:rPr>
          <w:rFonts w:hint="eastAsia" w:ascii="黑体" w:hAnsi="宋体" w:eastAsia="黑体" w:cs="Times New Roman"/>
          <w:sz w:val="32"/>
          <w:szCs w:val="21"/>
          <w:lang w:val="zh-CN" w:eastAsia="zh-CN"/>
        </w:rPr>
        <w:t>一、基本情况</w:t>
      </w:r>
    </w:p>
    <w:p>
      <w:pPr>
        <w:pStyle w:val="19"/>
        <w:ind w:left="0" w:leftChars="0" w:firstLine="640" w:firstLineChars="200"/>
        <w:jc w:val="both"/>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该项目资金由四川省财政厅、四川省委宣传部《关于下达</w:t>
      </w:r>
      <w:r>
        <w:rPr>
          <w:rFonts w:hint="eastAsia" w:ascii="仿宋_GB2312" w:hAnsi="仿宋_GB2312" w:eastAsia="仿宋_GB2312" w:cs="仿宋_GB2312"/>
          <w:kern w:val="2"/>
          <w:sz w:val="32"/>
          <w:szCs w:val="32"/>
          <w:lang w:val="en-US" w:eastAsia="zh-CN" w:bidi="ar-SA"/>
        </w:rPr>
        <w:t>2019年省级国家电影事业发展专项资金预算的通知》（阿州财教〔2019〕137号)下达</w:t>
      </w:r>
      <w:r>
        <w:rPr>
          <w:rFonts w:hint="eastAsia" w:ascii="仿宋_GB2312" w:hAnsi="仿宋_GB2312" w:eastAsia="仿宋_GB2312" w:cs="仿宋_GB2312"/>
          <w:kern w:val="2"/>
          <w:sz w:val="32"/>
          <w:szCs w:val="32"/>
          <w:lang w:val="zh-CN" w:eastAsia="zh-CN" w:bidi="ar-SA"/>
        </w:rPr>
        <w:t>带帽资金</w:t>
      </w:r>
      <w:r>
        <w:rPr>
          <w:rFonts w:hint="eastAsia" w:ascii="仿宋_GB2312" w:hAnsi="仿宋_GB2312" w:eastAsia="仿宋_GB2312" w:cs="仿宋_GB2312"/>
          <w:kern w:val="2"/>
          <w:sz w:val="32"/>
          <w:szCs w:val="32"/>
          <w:lang w:val="en-US" w:eastAsia="zh-CN" w:bidi="ar-SA"/>
        </w:rPr>
        <w:t>5万元，</w:t>
      </w:r>
      <w:r>
        <w:rPr>
          <w:rFonts w:hint="eastAsia" w:ascii="仿宋_GB2312" w:hAnsi="仿宋_GB2312" w:eastAsia="仿宋_GB2312" w:cs="仿宋_GB2312"/>
          <w:kern w:val="2"/>
          <w:sz w:val="32"/>
          <w:szCs w:val="32"/>
          <w:lang w:val="zh-CN" w:eastAsia="zh-CN" w:bidi="ar-SA"/>
        </w:rPr>
        <w:t>实际到位</w:t>
      </w:r>
      <w:r>
        <w:rPr>
          <w:rFonts w:hint="eastAsia" w:ascii="仿宋_GB2312" w:hAnsi="仿宋_GB2312" w:eastAsia="仿宋_GB2312" w:cs="仿宋_GB2312"/>
          <w:kern w:val="2"/>
          <w:sz w:val="32"/>
          <w:szCs w:val="32"/>
          <w:lang w:val="en-US" w:eastAsia="zh-CN" w:bidi="ar-SA"/>
        </w:rPr>
        <w:t>5万元</w:t>
      </w:r>
      <w:r>
        <w:rPr>
          <w:rFonts w:hint="eastAsia" w:ascii="仿宋_GB2312" w:hAnsi="仿宋_GB2312" w:eastAsia="仿宋_GB2312" w:cs="仿宋_GB2312"/>
          <w:kern w:val="2"/>
          <w:sz w:val="32"/>
          <w:szCs w:val="32"/>
          <w:lang w:val="zh-CN" w:eastAsia="zh-CN" w:bidi="ar-SA"/>
        </w:rPr>
        <w:t>，因该项目资金文件于</w:t>
      </w:r>
      <w:r>
        <w:rPr>
          <w:rFonts w:hint="eastAsia" w:ascii="仿宋_GB2312" w:hAnsi="仿宋_GB2312" w:eastAsia="仿宋_GB2312" w:cs="仿宋_GB2312"/>
          <w:kern w:val="2"/>
          <w:sz w:val="32"/>
          <w:szCs w:val="32"/>
          <w:lang w:val="en-US" w:eastAsia="zh-CN" w:bidi="ar-SA"/>
        </w:rPr>
        <w:t>2019年12月25日</w:t>
      </w:r>
      <w:r>
        <w:rPr>
          <w:rFonts w:hint="eastAsia" w:ascii="仿宋_GB2312" w:hAnsi="仿宋_GB2312" w:eastAsia="仿宋_GB2312" w:cs="仿宋_GB2312"/>
          <w:kern w:val="2"/>
          <w:sz w:val="32"/>
          <w:szCs w:val="32"/>
          <w:lang w:val="zh-CN" w:eastAsia="zh-CN" w:bidi="ar-SA"/>
        </w:rPr>
        <w:t>下发，</w:t>
      </w:r>
      <w:r>
        <w:rPr>
          <w:rFonts w:hint="eastAsia" w:ascii="仿宋_GB2312" w:hAnsi="仿宋_GB2312" w:eastAsia="仿宋_GB2312" w:cs="仿宋_GB2312"/>
          <w:kern w:val="2"/>
          <w:sz w:val="32"/>
          <w:szCs w:val="32"/>
          <w:lang w:val="en-US" w:eastAsia="zh-CN" w:bidi="ar-SA"/>
        </w:rPr>
        <w:t>2020年财返资金</w:t>
      </w:r>
      <w:r>
        <w:rPr>
          <w:rFonts w:hint="eastAsia" w:ascii="仿宋_GB2312" w:hAnsi="仿宋_GB2312" w:eastAsia="仿宋_GB2312" w:cs="仿宋_GB2312"/>
          <w:kern w:val="2"/>
          <w:sz w:val="32"/>
          <w:szCs w:val="32"/>
          <w:lang w:val="zh-CN" w:eastAsia="zh-CN" w:bidi="ar-SA"/>
        </w:rPr>
        <w:t>。</w:t>
      </w:r>
    </w:p>
    <w:p>
      <w:pPr>
        <w:numPr>
          <w:ilvl w:val="0"/>
          <w:numId w:val="0"/>
        </w:numPr>
        <w:snapToGrid w:val="0"/>
        <w:spacing w:line="360" w:lineRule="auto"/>
        <w:ind w:firstLine="640" w:firstLineChars="200"/>
        <w:rPr>
          <w:rFonts w:hint="eastAsia" w:ascii="黑体" w:hAnsi="宋体" w:eastAsia="黑体" w:cs="Times New Roman"/>
          <w:sz w:val="32"/>
          <w:szCs w:val="21"/>
          <w:lang w:val="zh-CN" w:eastAsia="zh-CN"/>
        </w:rPr>
      </w:pPr>
      <w:r>
        <w:rPr>
          <w:rFonts w:hint="eastAsia" w:ascii="黑体" w:hAnsi="宋体" w:eastAsia="黑体" w:cs="Times New Roman"/>
          <w:sz w:val="32"/>
          <w:szCs w:val="21"/>
          <w:lang w:val="zh-CN" w:eastAsia="zh-CN"/>
        </w:rPr>
        <w:t>二、评价工作开展情况</w:t>
      </w:r>
    </w:p>
    <w:p>
      <w:pPr>
        <w:pStyle w:val="19"/>
        <w:ind w:left="0" w:leftChars="0" w:firstLine="640" w:firstLineChars="200"/>
        <w:jc w:val="both"/>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由于该项目资金为带帽资金，执行支付《陪读》劳务费</w:t>
      </w:r>
      <w:r>
        <w:rPr>
          <w:rFonts w:hint="eastAsia" w:ascii="仿宋_GB2312" w:hAnsi="仿宋_GB2312" w:eastAsia="仿宋_GB2312" w:cs="仿宋_GB2312"/>
          <w:kern w:val="2"/>
          <w:sz w:val="32"/>
          <w:szCs w:val="32"/>
          <w:lang w:val="en-US" w:eastAsia="zh-CN" w:bidi="ar-SA"/>
        </w:rPr>
        <w:t>5万元</w:t>
      </w:r>
      <w:r>
        <w:rPr>
          <w:rFonts w:hint="eastAsia" w:ascii="仿宋_GB2312" w:hAnsi="仿宋_GB2312" w:eastAsia="仿宋_GB2312" w:cs="仿宋_GB2312"/>
          <w:kern w:val="2"/>
          <w:sz w:val="32"/>
          <w:szCs w:val="32"/>
          <w:lang w:val="zh-CN" w:eastAsia="zh-CN" w:bidi="ar-SA"/>
        </w:rPr>
        <w:t>。</w:t>
      </w:r>
    </w:p>
    <w:p>
      <w:pPr>
        <w:numPr>
          <w:ilvl w:val="0"/>
          <w:numId w:val="0"/>
        </w:numPr>
        <w:snapToGrid w:val="0"/>
        <w:spacing w:line="360" w:lineRule="auto"/>
        <w:ind w:firstLine="640" w:firstLineChars="200"/>
        <w:rPr>
          <w:rFonts w:hint="eastAsia" w:ascii="黑体" w:hAnsi="宋体" w:eastAsia="黑体" w:cs="Times New Roman"/>
          <w:sz w:val="32"/>
          <w:szCs w:val="21"/>
          <w:lang w:val="zh-CN" w:eastAsia="zh-CN"/>
        </w:rPr>
      </w:pPr>
      <w:r>
        <w:rPr>
          <w:rFonts w:hint="eastAsia" w:ascii="黑体" w:hAnsi="宋体" w:eastAsia="黑体" w:cs="Times New Roman"/>
          <w:sz w:val="32"/>
          <w:szCs w:val="21"/>
          <w:lang w:val="zh-CN" w:eastAsia="zh-CN"/>
        </w:rPr>
        <w:t>三、综合评价结论</w:t>
      </w:r>
    </w:p>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93"/>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441" w:type="dxa"/>
            <w:noWrap w:val="0"/>
            <w:vAlign w:val="top"/>
          </w:tcPr>
          <w:p>
            <w:pPr>
              <w:snapToGrid w:val="0"/>
              <w:spacing w:line="360" w:lineRule="auto"/>
              <w:rPr>
                <w:rFonts w:ascii="仿宋_GB2312" w:hAnsi="宋体" w:eastAsia="仿宋_GB2312" w:cs="Times New Roman"/>
                <w:sz w:val="32"/>
                <w:szCs w:val="32"/>
              </w:rPr>
            </w:pPr>
          </w:p>
          <w:p>
            <w:pPr>
              <w:snapToGrid w:val="0"/>
              <w:spacing w:line="360" w:lineRule="auto"/>
              <w:rPr>
                <w:rFonts w:ascii="仿宋_GB2312" w:hAnsi="宋体" w:eastAsia="仿宋_GB2312" w:cs="Times New Roman"/>
                <w:sz w:val="32"/>
                <w:szCs w:val="32"/>
              </w:rPr>
            </w:pPr>
          </w:p>
        </w:tc>
        <w:tc>
          <w:tcPr>
            <w:tcW w:w="993"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支出相符性</w:t>
            </w:r>
          </w:p>
        </w:tc>
        <w:tc>
          <w:tcPr>
            <w:tcW w:w="1217"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支出真实性</w:t>
            </w:r>
          </w:p>
        </w:tc>
        <w:tc>
          <w:tcPr>
            <w:tcW w:w="1217"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支出核算资料完整性</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目标数完成比例</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对象满意度</w:t>
            </w:r>
          </w:p>
        </w:tc>
        <w:tc>
          <w:tcPr>
            <w:tcW w:w="1218" w:type="dxa"/>
            <w:noWrap w:val="0"/>
            <w:vAlign w:val="top"/>
          </w:tcPr>
          <w:p>
            <w:pPr>
              <w:snapToGrid w:val="0"/>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支出预算占比</w:t>
            </w:r>
            <w:r>
              <w:rPr>
                <w:rFonts w:ascii="仿宋_GB2312" w:hAnsi="宋体" w:eastAsia="仿宋_GB2312" w:cs="Times New Roman"/>
                <w:sz w:val="28"/>
                <w:szCs w:val="28"/>
              </w:rPr>
              <w:t>90%</w:t>
            </w:r>
            <w:r>
              <w:rPr>
                <w:rFonts w:hint="eastAsia" w:ascii="仿宋_GB2312" w:hAnsi="宋体" w:eastAsia="仿宋_GB2312" w:cs="Times New Roman"/>
                <w:sz w:val="28"/>
                <w:szCs w:val="28"/>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noWrap w:val="0"/>
            <w:vAlign w:val="top"/>
          </w:tcPr>
          <w:p>
            <w:pPr>
              <w:snapToGrid w:val="0"/>
              <w:spacing w:line="360" w:lineRule="auto"/>
              <w:rPr>
                <w:rFonts w:ascii="仿宋_GB2312" w:hAnsi="宋体" w:eastAsia="仿宋_GB2312" w:cs="Times New Roman"/>
                <w:sz w:val="30"/>
                <w:szCs w:val="30"/>
              </w:rPr>
            </w:pPr>
            <w:r>
              <w:rPr>
                <w:rFonts w:hint="eastAsia" w:ascii="仿宋_GB2312" w:hAnsi="宋体" w:eastAsia="仿宋_GB2312" w:cs="Times New Roman"/>
                <w:sz w:val="30"/>
                <w:szCs w:val="30"/>
              </w:rPr>
              <w:t>评分</w:t>
            </w:r>
          </w:p>
        </w:tc>
        <w:tc>
          <w:tcPr>
            <w:tcW w:w="993"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41" w:type="dxa"/>
            <w:noWrap w:val="0"/>
            <w:vAlign w:val="top"/>
          </w:tcPr>
          <w:p>
            <w:pPr>
              <w:snapToGrid w:val="0"/>
              <w:spacing w:line="360" w:lineRule="auto"/>
              <w:rPr>
                <w:rFonts w:ascii="仿宋_GB2312" w:hAnsi="宋体" w:eastAsia="仿宋_GB2312" w:cs="Times New Roman"/>
                <w:sz w:val="30"/>
                <w:szCs w:val="30"/>
              </w:rPr>
            </w:pPr>
            <w:r>
              <w:rPr>
                <w:rFonts w:hint="eastAsia" w:ascii="仿宋_GB2312" w:hAnsi="宋体" w:eastAsia="仿宋_GB2312" w:cs="Times New Roman"/>
                <w:sz w:val="30"/>
                <w:szCs w:val="30"/>
              </w:rPr>
              <w:t>自评得分</w:t>
            </w:r>
          </w:p>
        </w:tc>
        <w:tc>
          <w:tcPr>
            <w:tcW w:w="993"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7"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20</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4" w:type="dxa"/>
            <w:gridSpan w:val="6"/>
            <w:noWrap w:val="0"/>
            <w:vAlign w:val="top"/>
          </w:tcPr>
          <w:p>
            <w:pPr>
              <w:snapToGrid w:val="0"/>
              <w:spacing w:line="360" w:lineRule="auto"/>
              <w:jc w:val="right"/>
              <w:rPr>
                <w:rFonts w:ascii="仿宋_GB2312" w:hAnsi="宋体" w:eastAsia="仿宋_GB2312" w:cs="Times New Roman"/>
                <w:sz w:val="30"/>
                <w:szCs w:val="30"/>
              </w:rPr>
            </w:pPr>
            <w:r>
              <w:rPr>
                <w:rFonts w:hint="eastAsia" w:ascii="仿宋_GB2312" w:hAnsi="宋体" w:eastAsia="仿宋_GB2312" w:cs="Times New Roman"/>
                <w:sz w:val="30"/>
                <w:szCs w:val="30"/>
              </w:rPr>
              <w:t>得分</w:t>
            </w:r>
          </w:p>
        </w:tc>
        <w:tc>
          <w:tcPr>
            <w:tcW w:w="1218" w:type="dxa"/>
            <w:noWrap w:val="0"/>
            <w:vAlign w:val="top"/>
          </w:tcPr>
          <w:p>
            <w:pPr>
              <w:snapToGrid w:val="0"/>
              <w:spacing w:line="360" w:lineRule="auto"/>
              <w:rPr>
                <w:rFonts w:ascii="仿宋_GB2312" w:hAnsi="宋体" w:eastAsia="仿宋_GB2312" w:cs="Times New Roman"/>
                <w:sz w:val="30"/>
                <w:szCs w:val="30"/>
              </w:rPr>
            </w:pPr>
            <w:r>
              <w:rPr>
                <w:rFonts w:ascii="仿宋_GB2312" w:hAnsi="宋体" w:eastAsia="仿宋_GB2312" w:cs="Times New Roman"/>
                <w:sz w:val="30"/>
                <w:szCs w:val="30"/>
              </w:rPr>
              <w:t>100</w:t>
            </w:r>
          </w:p>
        </w:tc>
      </w:tr>
    </w:tbl>
    <w:p>
      <w:pPr>
        <w:keepNext w:val="0"/>
        <w:keepLines w:val="0"/>
        <w:pageBreakBefore w:val="0"/>
        <w:numPr>
          <w:ilvl w:val="0"/>
          <w:numId w:val="0"/>
        </w:numPr>
        <w:tabs>
          <w:tab w:val="left" w:pos="3885"/>
        </w:tabs>
        <w:kinsoku/>
        <w:wordWrap/>
        <w:overflowPunct/>
        <w:topLinePunct w:val="0"/>
        <w:autoSpaceDN/>
        <w:bidi w:val="0"/>
        <w:adjustRightInd/>
        <w:snapToGrid w:val="0"/>
        <w:spacing w:beforeAutospacing="0" w:afterAutospacing="0" w:line="520" w:lineRule="exact"/>
        <w:ind w:leftChars="200"/>
        <w:jc w:val="left"/>
        <w:textAlignment w:val="auto"/>
        <w:rPr>
          <w:rFonts w:hint="eastAsia" w:ascii="仿宋_GB2312" w:hAnsi="仿宋_GB2312" w:eastAsia="宋体" w:cs="仿宋_GB2312"/>
          <w:b/>
          <w:bCs/>
          <w:szCs w:val="21"/>
          <w:lang w:eastAsia="zh-CN"/>
        </w:rPr>
      </w:pPr>
      <w:r>
        <w:rPr>
          <w:rFonts w:hint="eastAsia" w:ascii="黑体" w:hAnsi="宋体" w:eastAsia="黑体" w:cs="Times New Roman"/>
          <w:sz w:val="32"/>
          <w:szCs w:val="21"/>
          <w:lang w:val="zh-CN" w:eastAsia="zh-CN"/>
        </w:rPr>
        <w:t>四、绩效评价分析</w:t>
      </w:r>
    </w:p>
    <w:p>
      <w:pPr>
        <w:snapToGrid w:val="0"/>
        <w:spacing w:line="360" w:lineRule="auto"/>
        <w:ind w:firstLine="643" w:firstLineChars="200"/>
        <w:rPr>
          <w:rFonts w:ascii="楷体_GB2312" w:hAnsi="宋体" w:eastAsia="仿宋_GB2312" w:cs="Times New Roman"/>
          <w:b/>
          <w:sz w:val="32"/>
          <w:szCs w:val="21"/>
        </w:rPr>
      </w:pPr>
      <w:r>
        <w:rPr>
          <w:rFonts w:hint="eastAsia" w:ascii="楷体_GB2312" w:hAnsi="宋体" w:eastAsia="楷体_GB2312" w:cs="Times New Roman"/>
          <w:b/>
          <w:sz w:val="32"/>
          <w:szCs w:val="21"/>
        </w:rPr>
        <w:t>（一）项目决策情况。</w:t>
      </w:r>
      <w:r>
        <w:rPr>
          <w:rFonts w:hint="eastAsia" w:ascii="仿宋_GB2312" w:hAnsi="宋体" w:eastAsia="仿宋_GB2312" w:cs="Times New Roman"/>
          <w:sz w:val="32"/>
          <w:lang w:val="zh-CN"/>
        </w:rPr>
        <w:t>严格执行财务管理制度，账务处理及时，会计核算规范</w:t>
      </w:r>
      <w:r>
        <w:rPr>
          <w:rFonts w:hint="eastAsia" w:ascii="仿宋_GB2312" w:hAnsi="宋体" w:eastAsia="仿宋_GB2312" w:cs="Times New Roman"/>
          <w:sz w:val="32"/>
        </w:rPr>
        <w:t>的要求执行项目经费。</w:t>
      </w:r>
    </w:p>
    <w:p>
      <w:pPr>
        <w:adjustRightInd w:val="0"/>
        <w:snapToGrid w:val="0"/>
        <w:spacing w:line="360" w:lineRule="auto"/>
        <w:ind w:firstLine="643" w:firstLineChars="200"/>
        <w:rPr>
          <w:rFonts w:ascii="楷体_GB2312" w:hAnsi="宋体" w:eastAsia="楷体_GB2312" w:cs="Times New Roman"/>
          <w:b/>
          <w:sz w:val="32"/>
          <w:szCs w:val="21"/>
        </w:rPr>
      </w:pPr>
      <w:r>
        <w:rPr>
          <w:rFonts w:hint="eastAsia" w:ascii="楷体_GB2312" w:hAnsi="宋体" w:eastAsia="楷体_GB2312" w:cs="Times New Roman"/>
          <w:b/>
          <w:sz w:val="32"/>
          <w:szCs w:val="21"/>
        </w:rPr>
        <w:t>（二）项目管理情况。</w:t>
      </w:r>
      <w:r>
        <w:rPr>
          <w:rFonts w:hint="eastAsia" w:ascii="仿宋_GB2312" w:hAnsi="宋体" w:eastAsia="仿宋_GB2312" w:cs="Times New Roman"/>
          <w:sz w:val="32"/>
        </w:rPr>
        <w:t>按照</w:t>
      </w:r>
      <w:r>
        <w:rPr>
          <w:rFonts w:hint="eastAsia" w:ascii="仿宋_GB2312" w:hAnsi="宋体" w:eastAsia="仿宋_GB2312" w:cs="Times New Roman"/>
          <w:sz w:val="32"/>
          <w:lang w:val="zh-CN"/>
        </w:rPr>
        <w:t>相关法律法规及项目管理制度，</w:t>
      </w:r>
      <w:r>
        <w:rPr>
          <w:rFonts w:hint="eastAsia" w:ascii="仿宋_GB2312" w:hAnsi="宋体" w:eastAsia="仿宋_GB2312" w:cs="Times New Roman"/>
          <w:sz w:val="32"/>
        </w:rPr>
        <w:t>落实</w:t>
      </w:r>
      <w:r>
        <w:rPr>
          <w:rFonts w:hint="eastAsia" w:ascii="仿宋_GB2312" w:hAnsi="宋体" w:eastAsia="仿宋_GB2312" w:cs="Times New Roman"/>
          <w:sz w:val="32"/>
          <w:lang w:val="zh-CN"/>
        </w:rPr>
        <w:t>项目</w:t>
      </w:r>
      <w:r>
        <w:rPr>
          <w:rFonts w:hint="eastAsia" w:ascii="仿宋_GB2312" w:hAnsi="宋体" w:eastAsia="仿宋_GB2312" w:cs="Times New Roman"/>
          <w:sz w:val="32"/>
        </w:rPr>
        <w:t>监管和项目资金报销凭证的审核、复核工作，按财经制度和单位内控管理依法依规支出</w:t>
      </w:r>
      <w:r>
        <w:rPr>
          <w:rFonts w:hint="eastAsia" w:ascii="仿宋_GB2312" w:hAnsi="宋体" w:eastAsia="仿宋_GB2312" w:cs="Times New Roman"/>
          <w:sz w:val="32"/>
          <w:lang w:val="zh-CN"/>
        </w:rPr>
        <w:t>。</w:t>
      </w:r>
    </w:p>
    <w:p>
      <w:p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rPr>
        <w:t>五、存在主要问题。</w:t>
      </w:r>
    </w:p>
    <w:p>
      <w:pPr>
        <w:adjustRightInd w:val="0"/>
        <w:snapToGrid w:val="0"/>
        <w:spacing w:line="360" w:lineRule="auto"/>
        <w:ind w:firstLine="720"/>
        <w:rPr>
          <w:rFonts w:ascii="仿宋_GB2312" w:hAnsi="宋体" w:eastAsia="仿宋_GB2312" w:cs="Times New Roman"/>
          <w:sz w:val="32"/>
          <w:szCs w:val="32"/>
        </w:rPr>
      </w:pPr>
      <w:r>
        <w:rPr>
          <w:rFonts w:hint="eastAsia" w:ascii="仿宋_GB2312" w:hAnsi="宋体" w:eastAsia="仿宋_GB2312" w:cs="Times New Roman"/>
          <w:sz w:val="32"/>
        </w:rPr>
        <w:t>无。</w:t>
      </w:r>
    </w:p>
    <w:p>
      <w:pPr>
        <w:numPr>
          <w:ilvl w:val="0"/>
          <w:numId w:val="6"/>
        </w:numPr>
        <w:snapToGrid w:val="0"/>
        <w:spacing w:line="360" w:lineRule="auto"/>
        <w:ind w:firstLine="640" w:firstLineChars="200"/>
        <w:rPr>
          <w:rFonts w:ascii="黑体" w:hAnsi="宋体" w:eastAsia="黑体" w:cs="Times New Roman"/>
          <w:sz w:val="32"/>
          <w:szCs w:val="21"/>
        </w:rPr>
      </w:pPr>
      <w:r>
        <w:rPr>
          <w:rFonts w:hint="eastAsia" w:ascii="黑体" w:hAnsi="宋体" w:eastAsia="黑体" w:cs="Times New Roman"/>
          <w:sz w:val="32"/>
          <w:szCs w:val="21"/>
        </w:rPr>
        <w:t>相关措施建议。</w:t>
      </w:r>
    </w:p>
    <w:p>
      <w:pPr>
        <w:snapToGrid w:val="0"/>
        <w:spacing w:line="360" w:lineRule="auto"/>
        <w:ind w:left="420" w:leftChars="200"/>
        <w:rPr>
          <w:rFonts w:ascii="仿宋_GB2312" w:hAnsi="Calibri" w:eastAsia="仿宋_GB2312" w:cs="Times New Roman"/>
          <w:bCs/>
          <w:sz w:val="32"/>
          <w:szCs w:val="32"/>
        </w:rPr>
      </w:pPr>
      <w:r>
        <w:rPr>
          <w:rFonts w:hint="eastAsia" w:ascii="仿宋_GB2312" w:hAnsi="Calibri" w:eastAsia="仿宋_GB2312" w:cs="Times New Roman"/>
          <w:bCs/>
          <w:sz w:val="32"/>
        </w:rPr>
        <w:t>强化绩效管理，提高资金使用绩效。</w:t>
      </w:r>
    </w:p>
    <w:p>
      <w:pPr>
        <w:pStyle w:val="24"/>
      </w:pPr>
    </w:p>
    <w:p>
      <w:pPr>
        <w:spacing w:line="600" w:lineRule="exact"/>
        <w:jc w:val="center"/>
        <w:outlineLvl w:val="0"/>
        <w:rPr>
          <w:rFonts w:hint="eastAsia" w:ascii="黑体" w:hAnsi="黑体" w:eastAsia="黑体"/>
          <w:color w:val="000000"/>
          <w:sz w:val="44"/>
          <w:szCs w:val="44"/>
        </w:rPr>
      </w:pPr>
      <w:bookmarkStart w:id="123" w:name="_Toc79163635"/>
      <w:bookmarkStart w:id="124"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2"/>
        <w:rPr>
          <w:rFonts w:hint="eastAsia"/>
        </w:rPr>
      </w:pPr>
    </w:p>
    <w:p>
      <w:pPr>
        <w:spacing w:line="600" w:lineRule="exact"/>
        <w:jc w:val="center"/>
        <w:outlineLvl w:val="0"/>
        <w:rPr>
          <w:rStyle w:val="25"/>
          <w:rFonts w:ascii="黑体" w:hAnsi="黑体" w:eastAsia="黑体"/>
          <w:b w:val="0"/>
        </w:rPr>
      </w:pPr>
      <w:bookmarkStart w:id="125" w:name="_Toc27476"/>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09"/>
      <w:bookmarkEnd w:id="123"/>
      <w:bookmarkEnd w:id="124"/>
      <w:bookmarkEnd w:id="125"/>
    </w:p>
    <w:p>
      <w:pPr>
        <w:pStyle w:val="4"/>
        <w:rPr>
          <w:rFonts w:ascii="仿宋" w:hAnsi="仿宋" w:eastAsia="仿宋"/>
          <w:color w:val="000000"/>
        </w:rPr>
      </w:pPr>
      <w:bookmarkStart w:id="126" w:name="_Toc15396619"/>
      <w:bookmarkStart w:id="127" w:name="_Toc17978"/>
      <w:bookmarkStart w:id="128" w:name="_Toc79163636"/>
      <w:r>
        <w:rPr>
          <w:rFonts w:hint="eastAsia" w:ascii="仿宋" w:hAnsi="仿宋" w:eastAsia="仿宋"/>
          <w:b w:val="0"/>
          <w:color w:val="000000"/>
        </w:rPr>
        <w:t>一、收</w:t>
      </w:r>
      <w:r>
        <w:rPr>
          <w:rStyle w:val="26"/>
          <w:rFonts w:hint="eastAsia" w:ascii="仿宋" w:hAnsi="仿宋" w:eastAsia="仿宋"/>
          <w:b w:val="0"/>
          <w:bCs w:val="0"/>
        </w:rPr>
        <w:t>入支出决算总表</w:t>
      </w:r>
      <w:bookmarkEnd w:id="126"/>
      <w:bookmarkEnd w:id="127"/>
      <w:bookmarkEnd w:id="128"/>
    </w:p>
    <w:p>
      <w:pPr>
        <w:pStyle w:val="4"/>
        <w:rPr>
          <w:rFonts w:ascii="仿宋" w:hAnsi="仿宋" w:eastAsia="仿宋"/>
          <w:color w:val="000000"/>
        </w:rPr>
      </w:pPr>
      <w:bookmarkStart w:id="129" w:name="_Toc79163637"/>
      <w:bookmarkStart w:id="130" w:name="_Toc15396620"/>
      <w:bookmarkStart w:id="131" w:name="_Toc29655"/>
      <w:r>
        <w:rPr>
          <w:rFonts w:hint="eastAsia" w:ascii="仿宋" w:hAnsi="仿宋" w:eastAsia="仿宋"/>
          <w:b w:val="0"/>
          <w:color w:val="000000"/>
        </w:rPr>
        <w:t>二、收</w:t>
      </w:r>
      <w:r>
        <w:rPr>
          <w:rStyle w:val="26"/>
          <w:rFonts w:hint="eastAsia" w:ascii="仿宋" w:hAnsi="仿宋" w:eastAsia="仿宋"/>
          <w:b w:val="0"/>
          <w:bCs w:val="0"/>
        </w:rPr>
        <w:t>入决算表</w:t>
      </w:r>
      <w:bookmarkEnd w:id="129"/>
      <w:bookmarkEnd w:id="130"/>
      <w:bookmarkEnd w:id="131"/>
    </w:p>
    <w:p>
      <w:pPr>
        <w:pStyle w:val="4"/>
        <w:rPr>
          <w:rFonts w:ascii="仿宋" w:hAnsi="仿宋" w:eastAsia="仿宋"/>
          <w:color w:val="000000"/>
        </w:rPr>
      </w:pPr>
      <w:bookmarkStart w:id="132" w:name="_Toc6597"/>
      <w:bookmarkStart w:id="133" w:name="_Toc15396621"/>
      <w:bookmarkStart w:id="134" w:name="_Toc7916363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32"/>
      <w:bookmarkEnd w:id="133"/>
      <w:bookmarkEnd w:id="134"/>
    </w:p>
    <w:p>
      <w:pPr>
        <w:pStyle w:val="4"/>
        <w:rPr>
          <w:rFonts w:ascii="仿宋" w:hAnsi="仿宋" w:eastAsia="仿宋"/>
          <w:b w:val="0"/>
          <w:color w:val="000000"/>
        </w:rPr>
      </w:pPr>
      <w:bookmarkStart w:id="135" w:name="_Toc15396622"/>
      <w:bookmarkStart w:id="136" w:name="_Toc79163639"/>
      <w:bookmarkStart w:id="137" w:name="_Toc7838"/>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5"/>
      <w:bookmarkEnd w:id="136"/>
      <w:bookmarkEnd w:id="137"/>
    </w:p>
    <w:p>
      <w:pPr>
        <w:pStyle w:val="4"/>
        <w:rPr>
          <w:rStyle w:val="26"/>
          <w:rFonts w:ascii="仿宋" w:hAnsi="仿宋" w:eastAsia="仿宋"/>
          <w:b w:val="0"/>
          <w:bCs w:val="0"/>
        </w:rPr>
      </w:pPr>
      <w:bookmarkStart w:id="138" w:name="_Toc79163640"/>
      <w:bookmarkStart w:id="139" w:name="_Toc15396623"/>
      <w:bookmarkStart w:id="140" w:name="_Toc25431"/>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8"/>
      <w:bookmarkEnd w:id="139"/>
      <w:bookmarkEnd w:id="140"/>
      <w:bookmarkStart w:id="141" w:name="_Toc15396624"/>
    </w:p>
    <w:p>
      <w:pPr>
        <w:pStyle w:val="4"/>
        <w:rPr>
          <w:rFonts w:ascii="仿宋" w:hAnsi="仿宋" w:eastAsia="仿宋"/>
          <w:color w:val="000000"/>
        </w:rPr>
      </w:pPr>
      <w:bookmarkStart w:id="142" w:name="_Toc13776"/>
      <w:bookmarkStart w:id="143" w:name="_Toc79163641"/>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41"/>
      <w:bookmarkEnd w:id="142"/>
      <w:bookmarkEnd w:id="143"/>
    </w:p>
    <w:p>
      <w:pPr>
        <w:pStyle w:val="4"/>
        <w:rPr>
          <w:rFonts w:ascii="仿宋" w:hAnsi="仿宋" w:eastAsia="仿宋"/>
          <w:color w:val="000000"/>
        </w:rPr>
      </w:pPr>
      <w:bookmarkStart w:id="144" w:name="_Toc79163642"/>
      <w:bookmarkStart w:id="145" w:name="_Toc15396625"/>
      <w:bookmarkStart w:id="146" w:name="_Toc1975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44"/>
      <w:bookmarkEnd w:id="145"/>
      <w:bookmarkEnd w:id="146"/>
    </w:p>
    <w:p>
      <w:pPr>
        <w:pStyle w:val="4"/>
        <w:rPr>
          <w:rFonts w:ascii="仿宋" w:hAnsi="仿宋" w:eastAsia="仿宋"/>
          <w:color w:val="000000"/>
        </w:rPr>
      </w:pPr>
      <w:bookmarkStart w:id="147" w:name="_Toc15396626"/>
      <w:bookmarkStart w:id="148" w:name="_Toc79163643"/>
      <w:bookmarkStart w:id="149" w:name="_Toc18632"/>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7"/>
      <w:bookmarkEnd w:id="148"/>
      <w:bookmarkEnd w:id="149"/>
    </w:p>
    <w:p>
      <w:pPr>
        <w:pStyle w:val="4"/>
        <w:rPr>
          <w:rFonts w:ascii="仿宋" w:hAnsi="仿宋" w:eastAsia="仿宋"/>
          <w:color w:val="000000"/>
        </w:rPr>
      </w:pPr>
      <w:bookmarkStart w:id="150" w:name="_Toc79163644"/>
      <w:bookmarkStart w:id="151" w:name="_Toc1824"/>
      <w:bookmarkStart w:id="152"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50"/>
      <w:bookmarkEnd w:id="151"/>
      <w:bookmarkEnd w:id="152"/>
    </w:p>
    <w:p>
      <w:pPr>
        <w:pStyle w:val="4"/>
        <w:rPr>
          <w:rFonts w:ascii="仿宋" w:hAnsi="仿宋" w:eastAsia="仿宋"/>
          <w:color w:val="000000"/>
        </w:rPr>
      </w:pPr>
      <w:bookmarkStart w:id="153" w:name="_Toc5599"/>
      <w:bookmarkStart w:id="154" w:name="_Toc79163645"/>
      <w:bookmarkStart w:id="155"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53"/>
      <w:bookmarkEnd w:id="154"/>
      <w:bookmarkEnd w:id="155"/>
    </w:p>
    <w:p>
      <w:pPr>
        <w:pStyle w:val="4"/>
        <w:rPr>
          <w:rFonts w:ascii="仿宋" w:hAnsi="仿宋" w:eastAsia="仿宋"/>
          <w:color w:val="000000"/>
        </w:rPr>
      </w:pPr>
      <w:bookmarkStart w:id="156" w:name="_Toc79163646"/>
      <w:bookmarkStart w:id="157" w:name="_Toc15396629"/>
      <w:bookmarkStart w:id="158" w:name="_Toc13310"/>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6"/>
      <w:bookmarkEnd w:id="157"/>
      <w:bookmarkEnd w:id="158"/>
    </w:p>
    <w:p>
      <w:pPr>
        <w:pStyle w:val="4"/>
        <w:rPr>
          <w:rFonts w:ascii="仿宋" w:hAnsi="仿宋" w:eastAsia="仿宋"/>
          <w:color w:val="000000"/>
        </w:rPr>
      </w:pPr>
      <w:bookmarkStart w:id="159" w:name="_Toc79163647"/>
      <w:bookmarkStart w:id="160" w:name="_Toc17274"/>
      <w:bookmarkStart w:id="16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9"/>
      <w:bookmarkEnd w:id="160"/>
      <w:bookmarkEnd w:id="161"/>
    </w:p>
    <w:p>
      <w:pPr>
        <w:pStyle w:val="4"/>
        <w:rPr>
          <w:rStyle w:val="26"/>
          <w:rFonts w:ascii="仿宋" w:hAnsi="仿宋" w:eastAsia="仿宋"/>
          <w:b w:val="0"/>
          <w:bCs w:val="0"/>
        </w:rPr>
      </w:pPr>
      <w:bookmarkStart w:id="162" w:name="_Toc15536"/>
      <w:bookmarkStart w:id="163" w:name="_Toc15396631"/>
      <w:bookmarkStart w:id="164" w:name="_Toc79163648"/>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62"/>
      <w:bookmarkEnd w:id="163"/>
      <w:bookmarkEnd w:id="164"/>
    </w:p>
    <w:p>
      <w:pPr>
        <w:pStyle w:val="4"/>
        <w:rPr>
          <w:rStyle w:val="26"/>
          <w:rFonts w:hint="eastAsia" w:ascii="仿宋" w:hAnsi="仿宋" w:eastAsia="仿宋"/>
          <w:b w:val="0"/>
          <w:bCs w:val="0"/>
          <w:lang w:eastAsia="zh-CN"/>
        </w:rPr>
      </w:pPr>
      <w:bookmarkStart w:id="165" w:name="_Toc27265"/>
      <w:bookmarkStart w:id="166" w:name="_Toc79163649"/>
      <w:r>
        <w:rPr>
          <w:rStyle w:val="26"/>
          <w:rFonts w:hint="eastAsia" w:ascii="仿宋" w:hAnsi="仿宋" w:eastAsia="仿宋"/>
          <w:b w:val="0"/>
          <w:bCs w:val="0"/>
        </w:rPr>
        <w:t>十四、国有资本经营预算财政拨款支出决算表</w:t>
      </w:r>
      <w:bookmarkEnd w:id="165"/>
      <w:bookmarkEnd w:id="166"/>
    </w:p>
    <w:sectPr>
      <w:footerReference r:id="rId7" w:type="first"/>
      <w:headerReference r:id="rId5" w:type="default"/>
      <w:footerReference r:id="rId6" w:type="default"/>
      <w:pgSz w:w="11906" w:h="16838"/>
      <w:pgMar w:top="1440" w:right="1800" w:bottom="1440" w:left="1800" w:header="851" w:footer="992" w:gutter="0"/>
      <w:pgNumType w:fmt="decimal" w:start="44"/>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C72CF3-EB7B-475B-8ADD-9A0683F150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806FF94-9E2E-4932-BDCF-199AD9F8FD35}"/>
  </w:font>
  <w:font w:name="Cambria">
    <w:panose1 w:val="02040503050406030204"/>
    <w:charset w:val="00"/>
    <w:family w:val="roman"/>
    <w:pitch w:val="default"/>
    <w:sig w:usb0="E00006FF" w:usb1="420024FF" w:usb2="02000000" w:usb3="00000000" w:csb0="2000019F" w:csb1="00000000"/>
    <w:embedRegular r:id="rId3" w:fontKey="{1F335E58-ED64-4962-A7A5-FB5D8BAA2CE9}"/>
  </w:font>
  <w:font w:name="仿宋_GB2312">
    <w:altName w:val="仿宋"/>
    <w:panose1 w:val="02010609030101010101"/>
    <w:charset w:val="86"/>
    <w:family w:val="modern"/>
    <w:pitch w:val="default"/>
    <w:sig w:usb0="00000000" w:usb1="00000000" w:usb2="00000000" w:usb3="00000000" w:csb0="00040000" w:csb1="00000000"/>
    <w:embedRegular r:id="rId4" w:fontKey="{98449E8F-BC82-4BF8-B267-0AF2C1E0F4C7}"/>
  </w:font>
  <w:font w:name="仿宋">
    <w:panose1 w:val="02010609060101010101"/>
    <w:charset w:val="86"/>
    <w:family w:val="auto"/>
    <w:pitch w:val="default"/>
    <w:sig w:usb0="800002BF" w:usb1="38CF7CFA" w:usb2="00000016" w:usb3="00000000" w:csb0="00040001" w:csb1="00000000"/>
    <w:embedRegular r:id="rId5" w:fontKey="{5938E0C1-E25B-4CBB-86AF-249E61ADF524}"/>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altName w:val="黑体"/>
    <w:panose1 w:val="02010601030101010101"/>
    <w:charset w:val="86"/>
    <w:family w:val="auto"/>
    <w:pitch w:val="default"/>
    <w:sig w:usb0="00000000" w:usb1="00000000" w:usb2="00000000" w:usb3="00000000" w:csb0="00040000" w:csb1="00000000"/>
    <w:embedRegular r:id="rId6" w:fontKey="{83BE8683-FC5F-4546-A6A2-DFE235304585}"/>
  </w:font>
  <w:font w:name="方正仿宋_GBK">
    <w:panose1 w:val="02000000000000000000"/>
    <w:charset w:val="86"/>
    <w:family w:val="auto"/>
    <w:pitch w:val="default"/>
    <w:sig w:usb0="A00002BF" w:usb1="38CF7CFA" w:usb2="00082016" w:usb3="00000000" w:csb0="00040001" w:csb1="00000000"/>
    <w:embedRegular r:id="rId7" w:fontKey="{8CE5CCFF-1218-45C9-A1B7-9D8E08E5A08C}"/>
  </w:font>
  <w:font w:name="楷体_GB2312">
    <w:altName w:val="楷体"/>
    <w:panose1 w:val="02010609030101010101"/>
    <w:charset w:val="86"/>
    <w:family w:val="modern"/>
    <w:pitch w:val="default"/>
    <w:sig w:usb0="00000000" w:usb1="00000000" w:usb2="00000000" w:usb3="00000000" w:csb0="00040000" w:csb1="00000000"/>
    <w:embedRegular r:id="rId8" w:fontKey="{EC83D3A3-0DA3-4C74-AE85-B718BE8754F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ED7C8"/>
    <w:multiLevelType w:val="singleLevel"/>
    <w:tmpl w:val="8DFED7C8"/>
    <w:lvl w:ilvl="0" w:tentative="0">
      <w:start w:val="6"/>
      <w:numFmt w:val="chineseCounting"/>
      <w:suff w:val="nothing"/>
      <w:lvlText w:val="%1、"/>
      <w:lvlJc w:val="left"/>
      <w:rPr>
        <w:rFonts w:cs="Times New Roman"/>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52829A23"/>
    <w:multiLevelType w:val="singleLevel"/>
    <w:tmpl w:val="52829A23"/>
    <w:lvl w:ilvl="0" w:tentative="0">
      <w:start w:val="1"/>
      <w:numFmt w:val="decimal"/>
      <w:suff w:val="nothing"/>
      <w:lvlText w:val="（%1）"/>
      <w:lvlJc w:val="left"/>
    </w:lvl>
  </w:abstractNum>
  <w:num w:numId="1">
    <w:abstractNumId w:val="3"/>
  </w:num>
  <w:num w:numId="2">
    <w:abstractNumId w:val="1"/>
  </w:num>
  <w:num w:numId="3">
    <w:abstractNumId w:val="4"/>
  </w:num>
  <w:num w:numId="4">
    <w:abstractNumId w:val="2"/>
  </w:num>
  <w:num w:numId="5">
    <w:abstractNumId w:val="0"/>
    <w:lvlOverride w:ilvl="0">
      <w:startOverride w:val="6"/>
    </w:lvlOverride>
  </w:num>
  <w:num w:numId="6">
    <w:abstractNumId w:val="0"/>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082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08A0"/>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04B4"/>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14C1B6F"/>
    <w:rsid w:val="037B580D"/>
    <w:rsid w:val="03A30F01"/>
    <w:rsid w:val="03D57272"/>
    <w:rsid w:val="04BE3C72"/>
    <w:rsid w:val="0510731C"/>
    <w:rsid w:val="05BD647A"/>
    <w:rsid w:val="05C61054"/>
    <w:rsid w:val="06587E4E"/>
    <w:rsid w:val="068D79F9"/>
    <w:rsid w:val="06DB50DD"/>
    <w:rsid w:val="07B65245"/>
    <w:rsid w:val="07FD5EA6"/>
    <w:rsid w:val="09D323CC"/>
    <w:rsid w:val="0A2032A3"/>
    <w:rsid w:val="0A5A00CA"/>
    <w:rsid w:val="0CC235CE"/>
    <w:rsid w:val="0F3F7024"/>
    <w:rsid w:val="100F0F3C"/>
    <w:rsid w:val="10C055FF"/>
    <w:rsid w:val="11157C63"/>
    <w:rsid w:val="11191A8D"/>
    <w:rsid w:val="118107EC"/>
    <w:rsid w:val="11C34D67"/>
    <w:rsid w:val="12287378"/>
    <w:rsid w:val="126E28F7"/>
    <w:rsid w:val="131C6A1F"/>
    <w:rsid w:val="140A7A40"/>
    <w:rsid w:val="142E0300"/>
    <w:rsid w:val="143D08C9"/>
    <w:rsid w:val="14A47EF0"/>
    <w:rsid w:val="152B4A26"/>
    <w:rsid w:val="1621746A"/>
    <w:rsid w:val="164415F5"/>
    <w:rsid w:val="165350D0"/>
    <w:rsid w:val="16BB723D"/>
    <w:rsid w:val="16D66887"/>
    <w:rsid w:val="17606D19"/>
    <w:rsid w:val="17855DE4"/>
    <w:rsid w:val="17BA56B1"/>
    <w:rsid w:val="18D84960"/>
    <w:rsid w:val="192737C3"/>
    <w:rsid w:val="19623373"/>
    <w:rsid w:val="19B257A1"/>
    <w:rsid w:val="1AB0367D"/>
    <w:rsid w:val="1ABC4B44"/>
    <w:rsid w:val="1B4917FB"/>
    <w:rsid w:val="1BE66E61"/>
    <w:rsid w:val="1D155CEE"/>
    <w:rsid w:val="1DCD640A"/>
    <w:rsid w:val="1E38217D"/>
    <w:rsid w:val="1F3E57F1"/>
    <w:rsid w:val="1FC31501"/>
    <w:rsid w:val="1FE4449B"/>
    <w:rsid w:val="21FD33E4"/>
    <w:rsid w:val="227630E8"/>
    <w:rsid w:val="240371BF"/>
    <w:rsid w:val="245667A5"/>
    <w:rsid w:val="24AE1822"/>
    <w:rsid w:val="255849CD"/>
    <w:rsid w:val="25736412"/>
    <w:rsid w:val="258A1340"/>
    <w:rsid w:val="258C2901"/>
    <w:rsid w:val="25FB1A58"/>
    <w:rsid w:val="26554B29"/>
    <w:rsid w:val="26EC1D00"/>
    <w:rsid w:val="282A774D"/>
    <w:rsid w:val="29FD04D3"/>
    <w:rsid w:val="2C564365"/>
    <w:rsid w:val="2DB953A3"/>
    <w:rsid w:val="2E351744"/>
    <w:rsid w:val="2E430717"/>
    <w:rsid w:val="2F247215"/>
    <w:rsid w:val="2F901766"/>
    <w:rsid w:val="30C96140"/>
    <w:rsid w:val="314D645E"/>
    <w:rsid w:val="319F7F4E"/>
    <w:rsid w:val="31C97E51"/>
    <w:rsid w:val="33BA2990"/>
    <w:rsid w:val="340F5ADE"/>
    <w:rsid w:val="341E7711"/>
    <w:rsid w:val="34897E7C"/>
    <w:rsid w:val="35464BD1"/>
    <w:rsid w:val="357F274D"/>
    <w:rsid w:val="358A4FF0"/>
    <w:rsid w:val="364D4DE0"/>
    <w:rsid w:val="37EB78F0"/>
    <w:rsid w:val="389F5915"/>
    <w:rsid w:val="39F87991"/>
    <w:rsid w:val="3B0D24E2"/>
    <w:rsid w:val="3B174D10"/>
    <w:rsid w:val="3BE42442"/>
    <w:rsid w:val="3D5442EC"/>
    <w:rsid w:val="3D87623F"/>
    <w:rsid w:val="3D9B28A9"/>
    <w:rsid w:val="3D9E34E3"/>
    <w:rsid w:val="3DFF1701"/>
    <w:rsid w:val="3F834240"/>
    <w:rsid w:val="3FFB53D0"/>
    <w:rsid w:val="40684F8E"/>
    <w:rsid w:val="42295497"/>
    <w:rsid w:val="423E0988"/>
    <w:rsid w:val="428D3C11"/>
    <w:rsid w:val="438E370A"/>
    <w:rsid w:val="43A02456"/>
    <w:rsid w:val="44814F47"/>
    <w:rsid w:val="45D671EB"/>
    <w:rsid w:val="47E53858"/>
    <w:rsid w:val="4870362C"/>
    <w:rsid w:val="48C625D0"/>
    <w:rsid w:val="4A667A95"/>
    <w:rsid w:val="4BA60A96"/>
    <w:rsid w:val="4E0030BB"/>
    <w:rsid w:val="4E0A3552"/>
    <w:rsid w:val="4ECE2238"/>
    <w:rsid w:val="4F865A3B"/>
    <w:rsid w:val="508567DF"/>
    <w:rsid w:val="52384994"/>
    <w:rsid w:val="52397DE3"/>
    <w:rsid w:val="52752B45"/>
    <w:rsid w:val="52CA7488"/>
    <w:rsid w:val="54D46DD9"/>
    <w:rsid w:val="576B09DE"/>
    <w:rsid w:val="57784563"/>
    <w:rsid w:val="57912D3F"/>
    <w:rsid w:val="5A3E06CE"/>
    <w:rsid w:val="5AED386B"/>
    <w:rsid w:val="5BEB206F"/>
    <w:rsid w:val="5C990E88"/>
    <w:rsid w:val="5CD92B10"/>
    <w:rsid w:val="5DA35E96"/>
    <w:rsid w:val="5EE63EB4"/>
    <w:rsid w:val="5F073505"/>
    <w:rsid w:val="5F5D20AE"/>
    <w:rsid w:val="5F861C5A"/>
    <w:rsid w:val="62C1691B"/>
    <w:rsid w:val="64201DAD"/>
    <w:rsid w:val="643B6C43"/>
    <w:rsid w:val="65595188"/>
    <w:rsid w:val="65E41491"/>
    <w:rsid w:val="675E5B3B"/>
    <w:rsid w:val="686F63A9"/>
    <w:rsid w:val="68DE7A4A"/>
    <w:rsid w:val="6C4A05C8"/>
    <w:rsid w:val="6C6B4424"/>
    <w:rsid w:val="6C9A0952"/>
    <w:rsid w:val="6DB92A67"/>
    <w:rsid w:val="6DC33DD6"/>
    <w:rsid w:val="6E0A5B57"/>
    <w:rsid w:val="714E7137"/>
    <w:rsid w:val="724754ED"/>
    <w:rsid w:val="72734D90"/>
    <w:rsid w:val="732D4E23"/>
    <w:rsid w:val="740338BF"/>
    <w:rsid w:val="7446210F"/>
    <w:rsid w:val="74755B99"/>
    <w:rsid w:val="756163D0"/>
    <w:rsid w:val="75C670EA"/>
    <w:rsid w:val="75D22198"/>
    <w:rsid w:val="78995BF2"/>
    <w:rsid w:val="792438FA"/>
    <w:rsid w:val="7979410C"/>
    <w:rsid w:val="7BD12554"/>
    <w:rsid w:val="7CBC2F8D"/>
    <w:rsid w:val="7F8F67A7"/>
    <w:rsid w:val="7F902468"/>
    <w:rsid w:val="7F9C2BF1"/>
    <w:rsid w:val="7FCC4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4"/>
    <w:qFormat/>
    <w:uiPriority w:val="99"/>
    <w:pPr>
      <w:spacing w:beforeLines="30"/>
    </w:pPr>
    <w:rPr>
      <w:rFonts w:ascii="仿宋_GB2312" w:eastAsia="仿宋_GB2312"/>
      <w:kern w:val="0"/>
      <w:sz w:val="24"/>
      <w:szCs w:val="20"/>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Indent"/>
    <w:basedOn w:val="1"/>
    <w:qFormat/>
    <w:uiPriority w:val="0"/>
    <w:pPr>
      <w:spacing w:after="120"/>
      <w:ind w:left="420" w:leftChars="200"/>
    </w:p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9"/>
    <w:semiHidden/>
    <w:unhideWhenUsed/>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Body Text First Indent 2"/>
    <w:basedOn w:val="7"/>
    <w:qFormat/>
    <w:uiPriority w:val="0"/>
    <w:pPr>
      <w:ind w:firstLine="420" w:firstLineChars="200"/>
    </w:p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paragraph" w:customStyle="1" w:styleId="24">
    <w:name w:val="文档正文"/>
    <w:basedOn w:val="1"/>
    <w:qFormat/>
    <w:uiPriority w:val="0"/>
    <w:pPr>
      <w:adjustRightInd w:val="0"/>
      <w:spacing w:line="480" w:lineRule="atLeast"/>
    </w:pPr>
    <w:rPr>
      <w:rFonts w:ascii="Arial" w:hAnsi="Arial"/>
      <w:kern w:val="0"/>
    </w:rPr>
  </w:style>
  <w:style w:type="character" w:customStyle="1" w:styleId="25">
    <w:name w:val="标题 1 Char"/>
    <w:basedOn w:val="21"/>
    <w:link w:val="3"/>
    <w:qFormat/>
    <w:locked/>
    <w:uiPriority w:val="9"/>
    <w:rPr>
      <w:rFonts w:ascii="Times New Roman" w:hAnsi="Times New Roman" w:cs="Times New Roman"/>
      <w:b/>
      <w:bCs/>
      <w:kern w:val="44"/>
      <w:sz w:val="44"/>
      <w:szCs w:val="44"/>
    </w:rPr>
  </w:style>
  <w:style w:type="character" w:customStyle="1" w:styleId="26">
    <w:name w:val="标题 2 Char"/>
    <w:basedOn w:val="21"/>
    <w:link w:val="4"/>
    <w:qFormat/>
    <w:locked/>
    <w:uiPriority w:val="9"/>
    <w:rPr>
      <w:rFonts w:ascii="Cambria" w:hAnsi="Cambria" w:eastAsia="宋体" w:cs="Times New Roman"/>
      <w:b/>
      <w:bCs/>
      <w:kern w:val="2"/>
      <w:sz w:val="32"/>
      <w:szCs w:val="32"/>
    </w:rPr>
  </w:style>
  <w:style w:type="character" w:customStyle="1" w:styleId="27">
    <w:name w:val="标题 3 Char"/>
    <w:basedOn w:val="21"/>
    <w:link w:val="5"/>
    <w:qFormat/>
    <w:locked/>
    <w:uiPriority w:val="9"/>
    <w:rPr>
      <w:rFonts w:ascii="Times New Roman" w:hAnsi="Times New Roman" w:cs="Times New Roman"/>
      <w:b/>
      <w:bCs/>
      <w:kern w:val="2"/>
      <w:sz w:val="32"/>
      <w:szCs w:val="32"/>
    </w:rPr>
  </w:style>
  <w:style w:type="character" w:customStyle="1" w:styleId="28">
    <w:name w:val="Body Text Char"/>
    <w:basedOn w:val="21"/>
    <w:semiHidden/>
    <w:qFormat/>
    <w:uiPriority w:val="99"/>
    <w:rPr>
      <w:rFonts w:ascii="Times New Roman" w:hAnsi="Times New Roman" w:cs="Times New Roman"/>
      <w:sz w:val="24"/>
      <w:szCs w:val="24"/>
    </w:rPr>
  </w:style>
  <w:style w:type="character" w:customStyle="1" w:styleId="29">
    <w:name w:val="批注框文本 Char"/>
    <w:basedOn w:val="21"/>
    <w:link w:val="11"/>
    <w:semiHidden/>
    <w:qFormat/>
    <w:locked/>
    <w:uiPriority w:val="99"/>
    <w:rPr>
      <w:rFonts w:ascii="Times New Roman" w:hAnsi="Times New Roman" w:cs="Times New Roman"/>
      <w:kern w:val="2"/>
      <w:sz w:val="18"/>
      <w:szCs w:val="18"/>
    </w:rPr>
  </w:style>
  <w:style w:type="character" w:customStyle="1" w:styleId="30">
    <w:name w:val="Footer Char"/>
    <w:basedOn w:val="21"/>
    <w:semiHidden/>
    <w:qFormat/>
    <w:uiPriority w:val="99"/>
    <w:rPr>
      <w:rFonts w:ascii="Times New Roman" w:hAnsi="Times New Roman" w:cs="Times New Roman"/>
      <w:sz w:val="18"/>
      <w:szCs w:val="18"/>
    </w:rPr>
  </w:style>
  <w:style w:type="character" w:customStyle="1" w:styleId="31">
    <w:name w:val="Header Char"/>
    <w:basedOn w:val="21"/>
    <w:semiHidden/>
    <w:qFormat/>
    <w:uiPriority w:val="99"/>
    <w:rPr>
      <w:rFonts w:ascii="Times New Roman" w:hAnsi="Times New Roman" w:cs="Times New Roman"/>
      <w:sz w:val="18"/>
      <w:szCs w:val="18"/>
    </w:rPr>
  </w:style>
  <w:style w:type="character" w:customStyle="1" w:styleId="32">
    <w:name w:val="页眉 Char"/>
    <w:link w:val="13"/>
    <w:semiHidden/>
    <w:qFormat/>
    <w:locked/>
    <w:uiPriority w:val="99"/>
    <w:rPr>
      <w:sz w:val="18"/>
    </w:rPr>
  </w:style>
  <w:style w:type="character" w:customStyle="1" w:styleId="33">
    <w:name w:val="页脚 Char"/>
    <w:link w:val="12"/>
    <w:qFormat/>
    <w:locked/>
    <w:uiPriority w:val="99"/>
    <w:rPr>
      <w:sz w:val="18"/>
    </w:rPr>
  </w:style>
  <w:style w:type="character" w:customStyle="1" w:styleId="34">
    <w:name w:val="正文文本 Char"/>
    <w:link w:val="2"/>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0">
    <w:name w:val="List Paragraph"/>
    <w:basedOn w:val="1"/>
    <w:qFormat/>
    <w:uiPriority w:val="34"/>
    <w:pPr>
      <w:ind w:firstLine="420" w:firstLineChars="200"/>
    </w:pPr>
  </w:style>
  <w:style w:type="character" w:customStyle="1" w:styleId="41">
    <w:name w:val="font31"/>
    <w:basedOn w:val="21"/>
    <w:qFormat/>
    <w:uiPriority w:val="0"/>
    <w:rPr>
      <w:rFonts w:hint="eastAsia" w:ascii="宋体" w:hAnsi="宋体" w:eastAsia="宋体" w:cs="宋体"/>
      <w:b/>
      <w:bCs/>
      <w:color w:val="000000"/>
      <w:sz w:val="32"/>
      <w:szCs w:val="32"/>
      <w:u w:val="none"/>
    </w:rPr>
  </w:style>
  <w:style w:type="character" w:customStyle="1" w:styleId="42">
    <w:name w:val="font91"/>
    <w:basedOn w:val="21"/>
    <w:qFormat/>
    <w:uiPriority w:val="0"/>
    <w:rPr>
      <w:rFonts w:hint="eastAsia" w:ascii="宋体" w:hAnsi="宋体" w:eastAsia="宋体" w:cs="宋体"/>
      <w:color w:val="000000"/>
      <w:sz w:val="32"/>
      <w:szCs w:val="32"/>
      <w:u w:val="none"/>
    </w:rPr>
  </w:style>
  <w:style w:type="character" w:customStyle="1" w:styleId="43">
    <w:name w:val="font01"/>
    <w:basedOn w:val="21"/>
    <w:qFormat/>
    <w:uiPriority w:val="0"/>
    <w:rPr>
      <w:rFonts w:hint="eastAsia" w:ascii="宋体" w:hAnsi="宋体" w:eastAsia="宋体" w:cs="宋体"/>
      <w:color w:val="000000"/>
      <w:sz w:val="20"/>
      <w:szCs w:val="20"/>
      <w:u w:val="none"/>
    </w:rPr>
  </w:style>
  <w:style w:type="character" w:customStyle="1" w:styleId="44">
    <w:name w:val="font10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18"/>
      <w:szCs w:val="18"/>
      <w:u w:val="none"/>
    </w:rPr>
  </w:style>
  <w:style w:type="paragraph" w:customStyle="1" w:styleId="46">
    <w:name w:val="四号正文"/>
    <w:basedOn w:val="1"/>
    <w:qFormat/>
    <w:uiPriority w:val="0"/>
    <w:pPr>
      <w:spacing w:line="360" w:lineRule="auto"/>
    </w:pPr>
    <w:rPr>
      <w:rFonts w:ascii="??" w:hAnsi="??" w:eastAsia="宋体"/>
      <w:color w:val="000000"/>
      <w:kern w:val="0"/>
      <w:sz w:val="28"/>
      <w:szCs w:val="21"/>
      <w:lang w:val="zh-CN"/>
    </w:rPr>
  </w:style>
  <w:style w:type="character" w:customStyle="1" w:styleId="47">
    <w:name w:val="font21"/>
    <w:basedOn w:val="21"/>
    <w:qFormat/>
    <w:uiPriority w:val="0"/>
    <w:rPr>
      <w:rFonts w:hint="eastAsia" w:ascii="宋体" w:hAnsi="宋体" w:eastAsia="宋体" w:cs="宋体"/>
      <w:b/>
      <w:bCs/>
      <w:color w:val="000000"/>
      <w:sz w:val="32"/>
      <w:szCs w:val="32"/>
      <w:u w:val="none"/>
    </w:rPr>
  </w:style>
  <w:style w:type="character" w:customStyle="1" w:styleId="48">
    <w:name w:val="font71"/>
    <w:basedOn w:val="21"/>
    <w:qFormat/>
    <w:uiPriority w:val="0"/>
    <w:rPr>
      <w:rFonts w:hint="eastAsia" w:ascii="宋体" w:hAnsi="宋体" w:eastAsia="宋体" w:cs="宋体"/>
      <w:color w:val="000000"/>
      <w:sz w:val="32"/>
      <w:szCs w:val="32"/>
      <w:u w:val="none"/>
    </w:rPr>
  </w:style>
  <w:style w:type="character" w:customStyle="1" w:styleId="49">
    <w:name w:val="font51"/>
    <w:basedOn w:val="21"/>
    <w:qFormat/>
    <w:uiPriority w:val="0"/>
    <w:rPr>
      <w:rFonts w:hint="eastAsia" w:ascii="宋体" w:hAnsi="宋体" w:eastAsia="宋体" w:cs="宋体"/>
      <w:color w:val="000000"/>
      <w:sz w:val="20"/>
      <w:szCs w:val="20"/>
      <w:u w:val="none"/>
    </w:rPr>
  </w:style>
  <w:style w:type="character" w:customStyle="1" w:styleId="50">
    <w:name w:val="font81"/>
    <w:basedOn w:val="2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J:\&#37096;&#38376;&#20844;&#24320;&#34920;&#26684;&#21046;&#20316;&#2227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0&#24180;\2019&#24180;&#37096;&#38376;&#20915;&#31639;&#20844;&#24320;\2019&#24180;&#37096;&#38376;&#20915;&#31639;&#20844;&#24320;\&#25910;&#20837;&#25903;&#20986;&#20915;&#31639;&#24635;&#35745;&#22270;&#24418;&#21046;&#2031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J:\&#37096;&#38376;&#20844;&#24320;&#34920;&#26684;&#21046;&#20316;&#22270;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1&#24180;\2020&#24180;&#37096;&#38376;&#20915;&#31639;&#20844;&#24320;\&#24030;&#22996;&#23459;&#20256;&#37096;\&#37096;&#38376;&#20844;&#24320;&#34920;&#26684;&#21046;&#20316;&#22270;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400"/>
              <a:t>图1　收、支决算总计变动情况</a:t>
            </a:r>
            <a:endParaRPr sz="1400"/>
          </a:p>
        </c:rich>
      </c:tx>
      <c:layout>
        <c:manualLayout>
          <c:xMode val="edge"/>
          <c:yMode val="edge"/>
          <c:x val="0.156388888888889"/>
          <c:y val="0.00694444444444444"/>
        </c:manualLayout>
      </c:layout>
      <c:overlay val="0"/>
    </c:title>
    <c:autoTitleDeleted val="0"/>
    <c:plotArea>
      <c:layout/>
      <c:barChart>
        <c:barDir val="col"/>
        <c:grouping val="stacked"/>
        <c:varyColors val="0"/>
        <c:ser>
          <c:idx val="0"/>
          <c:order val="0"/>
          <c:tx>
            <c:strRef>
              <c:f>[部门公开表格制作图1.xls]Sheet1!$A$2</c:f>
              <c:strCache>
                <c:ptCount val="1"/>
                <c:pt idx="0">
                  <c:v>图1　收、支决算总计变动情况</c:v>
                </c:pt>
              </c:strCache>
            </c:strRef>
          </c:tx>
          <c:invertIfNegative val="0"/>
          <c:dLbls>
            <c:delete val="1"/>
          </c:dLbls>
          <c:cat>
            <c:strRef>
              <c:f>[部门公开表格制作图1.xls]Sheet1!$B$1:$C$1</c:f>
              <c:strCache>
                <c:ptCount val="2"/>
                <c:pt idx="0">
                  <c:v>2019（万元）</c:v>
                </c:pt>
                <c:pt idx="1">
                  <c:v>2020（万元）</c:v>
                </c:pt>
              </c:strCache>
            </c:strRef>
          </c:cat>
          <c:val>
            <c:numRef>
              <c:f>[部门公开表格制作图1.xls]Sheet1!$B$2:$C$2</c:f>
              <c:numCache>
                <c:formatCode>General</c:formatCode>
                <c:ptCount val="2"/>
                <c:pt idx="0">
                  <c:v>1498.6</c:v>
                </c:pt>
                <c:pt idx="1">
                  <c:v>1595.02</c:v>
                </c:pt>
              </c:numCache>
            </c:numRef>
          </c:val>
        </c:ser>
        <c:dLbls>
          <c:showLegendKey val="0"/>
          <c:showVal val="0"/>
          <c:showCatName val="0"/>
          <c:showSerName val="0"/>
          <c:showPercent val="0"/>
          <c:showBubbleSize val="0"/>
        </c:dLbls>
        <c:gapWidth val="150"/>
        <c:overlap val="100"/>
        <c:axId val="850692549"/>
        <c:axId val="366386447"/>
      </c:barChart>
      <c:catAx>
        <c:axId val="850692549"/>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366386447"/>
        <c:crosses val="autoZero"/>
        <c:auto val="1"/>
        <c:lblAlgn val="ctr"/>
        <c:lblOffset val="100"/>
        <c:noMultiLvlLbl val="0"/>
      </c:catAx>
      <c:valAx>
        <c:axId val="366386447"/>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0692549"/>
        <c:crosses val="autoZero"/>
        <c:crossBetween val="between"/>
      </c:valAx>
      <c:spPr>
        <a:solidFill>
          <a:schemeClr val="bg1"/>
        </a:solidFill>
        <a:ln>
          <a:noFill/>
        </a:ln>
        <a:effectLst/>
      </c:spPr>
    </c:plotArea>
    <c:plotVisOnly val="1"/>
    <c:dispBlanksAs val="gap"/>
    <c:showDLblsOverMax val="0"/>
  </c:chart>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29821143491084"/>
          <c:y val="0.0107962213225371"/>
          <c:w val="0.560996563573883"/>
          <c:h val="0.881241565452092"/>
        </c:manualLayout>
      </c:layout>
      <c:pieChart>
        <c:varyColors val="1"/>
        <c:ser>
          <c:idx val="0"/>
          <c:order val="0"/>
          <c:explosion val="0"/>
          <c:dPt>
            <c:idx val="0"/>
            <c:bubble3D val="0"/>
            <c:explosion val="24"/>
          </c:dPt>
          <c:dPt>
            <c:idx val="1"/>
            <c:bubble3D val="0"/>
            <c:explosion val="20"/>
          </c:dPt>
          <c:dPt>
            <c:idx val="2"/>
            <c:bubble3D val="0"/>
            <c:explosion val="55"/>
          </c:dPt>
          <c:dLbls>
            <c:dLbl>
              <c:idx val="1"/>
              <c:layout>
                <c:manualLayout>
                  <c:x val="-0.0326435605828065"/>
                  <c:y val="-0.258529062009086"/>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839336233700443"/>
                  <c:y val="0.147004780074352"/>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201一般公共预算财政拨款收入</c:v>
                </c:pt>
                <c:pt idx="1">
                  <c:v>207政府性基金预算财政拨款收入</c:v>
                </c:pt>
                <c:pt idx="2">
                  <c:v>229其他支出</c:v>
                </c:pt>
              </c:strCache>
            </c:strRef>
          </c:cat>
          <c:val>
            <c:numRef>
              <c:f>Sheet1!$B$2:$B$4</c:f>
              <c:numCache>
                <c:formatCode>General</c:formatCode>
                <c:ptCount val="3"/>
                <c:pt idx="0">
                  <c:v>1100.53</c:v>
                </c:pt>
                <c:pt idx="1">
                  <c:v>15</c:v>
                </c:pt>
                <c:pt idx="2">
                  <c:v>16.71</c:v>
                </c:pt>
              </c:numCache>
            </c:numRef>
          </c:val>
        </c:ser>
        <c:dLbls>
          <c:showLegendKey val="0"/>
          <c:showVal val="1"/>
          <c:showCatName val="0"/>
          <c:showSerName val="0"/>
          <c:showPercent val="0"/>
          <c:showBubbleSize val="0"/>
          <c:showLeaderLines val="1"/>
        </c:dLbls>
        <c:firstSliceAng val="107"/>
      </c:pieChart>
      <c:spPr>
        <a:noFill/>
        <a:ln>
          <a:noFill/>
        </a:ln>
        <a:effectLst/>
      </c:spPr>
    </c:plotArea>
    <c:legend>
      <c:legendPos val="r"/>
      <c:layout>
        <c:manualLayout>
          <c:xMode val="edge"/>
          <c:yMode val="edge"/>
          <c:x val="0.662234389258245"/>
          <c:y val="0.0851508120649652"/>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explosion val="0"/>
          <c:dPt>
            <c:idx val="0"/>
            <c:bubble3D val="0"/>
            <c:explosion val="0"/>
          </c:dPt>
          <c:dPt>
            <c:idx val="1"/>
            <c:bubble3D val="0"/>
            <c:explosion val="0"/>
          </c:dPt>
          <c:dPt>
            <c:idx val="2"/>
            <c:bubble3D val="0"/>
            <c:explosion val="0"/>
          </c:dPt>
          <c:dLbls>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Sheet1!$A$58:$B$58</c:f>
              <c:strCache>
                <c:ptCount val="2"/>
                <c:pt idx="0">
                  <c:v>基本支出669.99元</c:v>
                </c:pt>
                <c:pt idx="1">
                  <c:v>项目支出692.37万元</c:v>
                </c:pt>
              </c:strCache>
            </c:strRef>
          </c:cat>
          <c:val>
            <c:numRef>
              <c:f>Sheet1!$A$59:$B$59</c:f>
              <c:numCache>
                <c:formatCode>0.00%</c:formatCode>
                <c:ptCount val="2"/>
                <c:pt idx="0">
                  <c:v>0.4918</c:v>
                </c:pt>
                <c:pt idx="1">
                  <c:v>0.5082</c:v>
                </c:pt>
              </c:numCache>
            </c:numRef>
          </c:val>
        </c:ser>
        <c:dLbls>
          <c:showLegendKey val="0"/>
          <c:showVal val="1"/>
          <c:showCatName val="0"/>
          <c:showSerName val="0"/>
          <c:showPercent val="0"/>
          <c:showBubbleSize val="0"/>
          <c:showLeaderLines val="1"/>
        </c:dLbls>
        <c:gapWidth val="100"/>
        <c:secondPieSize val="75"/>
        <c:serLines/>
      </c:ofPieChart>
      <c:spPr>
        <a:noFill/>
        <a:ln>
          <a:noFill/>
        </a:ln>
        <a:effectLst/>
      </c:spPr>
    </c:plotArea>
    <c:legend>
      <c:legendPos val="r"/>
      <c:layout/>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73055555555556"/>
          <c:y val="0.0406366407043684"/>
        </c:manualLayout>
      </c:layout>
      <c:overlay val="0"/>
      <c:txPr>
        <a:bodyPr rot="0" spcFirstLastPara="0" vertOverflow="ellipsis" vert="horz" wrap="square" anchor="ctr" anchorCtr="1"/>
        <a:lstStyle/>
        <a:p>
          <a:pPr>
            <a:defRPr lang="zh-CN" sz="126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[部门公开表格制作图4.xls]Sheet1!$A$2</c:f>
              <c:strCache>
                <c:ptCount val="1"/>
                <c:pt idx="0">
                  <c:v>图4　财政拨款收、支决算总计变动情况</c:v>
                </c:pt>
              </c:strCache>
            </c:strRef>
          </c:tx>
          <c:invertIfNegative val="0"/>
          <c:dLbls>
            <c:delete val="1"/>
          </c:dLbls>
          <c:cat>
            <c:strRef>
              <c:f>[部门公开表格制作图4.xls]Sheet1!$B$1:$C$1</c:f>
              <c:strCache>
                <c:ptCount val="2"/>
                <c:pt idx="0">
                  <c:v>2019（万元）</c:v>
                </c:pt>
                <c:pt idx="1">
                  <c:v>2020（万元）</c:v>
                </c:pt>
              </c:strCache>
            </c:strRef>
          </c:cat>
          <c:val>
            <c:numRef>
              <c:f>[部门公开表格制作图4.xls]Sheet1!$B$2:$C$2</c:f>
              <c:numCache>
                <c:formatCode>General</c:formatCode>
                <c:ptCount val="2"/>
                <c:pt idx="0">
                  <c:v>1374.18</c:v>
                </c:pt>
                <c:pt idx="1">
                  <c:v>1483.89</c:v>
                </c:pt>
              </c:numCache>
            </c:numRef>
          </c:val>
        </c:ser>
        <c:dLbls>
          <c:showLegendKey val="0"/>
          <c:showVal val="0"/>
          <c:showCatName val="0"/>
          <c:showSerName val="0"/>
          <c:showPercent val="0"/>
          <c:showBubbleSize val="0"/>
        </c:dLbls>
        <c:gapWidth val="150"/>
        <c:overlap val="100"/>
        <c:axId val="303722752"/>
        <c:axId val="60306341"/>
      </c:barChart>
      <c:catAx>
        <c:axId val="3037227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crossAx val="60306341"/>
        <c:crosses val="autoZero"/>
        <c:auto val="1"/>
        <c:lblAlgn val="ctr"/>
        <c:lblOffset val="100"/>
        <c:noMultiLvlLbl val="0"/>
      </c:catAx>
      <c:valAx>
        <c:axId val="6030634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crossAx val="303722752"/>
        <c:crosses val="autoZero"/>
        <c:crossBetween val="between"/>
      </c:valAx>
      <c:spPr>
        <a:solidFill>
          <a:schemeClr val="bg1"/>
        </a:solidFill>
        <a:ln>
          <a:noFill/>
        </a:ln>
        <a:effectLst/>
      </c:spPr>
    </c:plotArea>
    <c:plotVisOnly val="1"/>
    <c:dispBlanksAs val="gap"/>
    <c:showDLblsOverMax val="0"/>
  </c:chart>
  <c:txPr>
    <a:bodyPr wrap="square"/>
    <a:lstStyle/>
    <a:p>
      <a:pPr>
        <a:defRPr lang="zh-CN" sz="10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26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10166666666667"/>
          <c:y val="0.231759656652361"/>
          <c:w val="0.860388888888889"/>
          <c:h val="0.5931330472103"/>
        </c:manualLayout>
      </c:layout>
      <c:barChart>
        <c:barDir val="col"/>
        <c:grouping val="stacked"/>
        <c:varyColors val="0"/>
        <c:ser>
          <c:idx val="0"/>
          <c:order val="0"/>
          <c:tx>
            <c:strRef>
              <c:f>Sheet1!$A$2</c:f>
              <c:strCache>
                <c:ptCount val="1"/>
                <c:pt idx="0">
                  <c:v>图5　一般公共预算财政拨款支出</c:v>
                </c:pt>
              </c:strCache>
            </c:strRef>
          </c:tx>
          <c:invertIfNegative val="0"/>
          <c:dLbls>
            <c:delete val="1"/>
          </c:dLbls>
          <c:cat>
            <c:strRef>
              <c:f>Sheet1!$B$1:$C$1</c:f>
              <c:strCache>
                <c:ptCount val="2"/>
                <c:pt idx="0">
                  <c:v>2019年</c:v>
                </c:pt>
                <c:pt idx="1">
                  <c:v>2020年</c:v>
                </c:pt>
              </c:strCache>
            </c:strRef>
          </c:cat>
          <c:val>
            <c:numRef>
              <c:f>Sheet1!$B$2:$C$2</c:f>
              <c:numCache>
                <c:formatCode>General</c:formatCode>
                <c:ptCount val="2"/>
                <c:pt idx="0">
                  <c:v>1368.57</c:v>
                </c:pt>
                <c:pt idx="1">
                  <c:v>1356.25</c:v>
                </c:pt>
              </c:numCache>
            </c:numRef>
          </c:val>
        </c:ser>
        <c:dLbls>
          <c:showLegendKey val="0"/>
          <c:showVal val="0"/>
          <c:showCatName val="0"/>
          <c:showSerName val="0"/>
          <c:showPercent val="0"/>
          <c:showBubbleSize val="0"/>
        </c:dLbls>
        <c:gapWidth val="150"/>
        <c:overlap val="100"/>
        <c:axId val="562781468"/>
        <c:axId val="34665519"/>
      </c:barChart>
      <c:catAx>
        <c:axId val="56278146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crossAx val="34665519"/>
        <c:crosses val="autoZero"/>
        <c:auto val="1"/>
        <c:lblAlgn val="ctr"/>
        <c:lblOffset val="100"/>
        <c:noMultiLvlLbl val="0"/>
      </c:catAx>
      <c:valAx>
        <c:axId val="34665519"/>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crossAx val="562781468"/>
        <c:crosses val="autoZero"/>
        <c:crossBetween val="between"/>
      </c:valAx>
      <c:spPr>
        <a:solidFill>
          <a:schemeClr val="bg1"/>
        </a:solidFill>
        <a:ln>
          <a:noFill/>
        </a:ln>
        <a:effectLst/>
      </c:spPr>
    </c:plotArea>
    <c:plotVisOnly val="1"/>
    <c:dispBlanksAs val="gap"/>
    <c:showDLblsOverMax val="0"/>
  </c:chart>
  <c:txPr>
    <a:bodyPr wrap="square"/>
    <a:lstStyle/>
    <a:p>
      <a:pPr>
        <a:defRPr lang="zh-CN" sz="1050"/>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dPt>
          <c:dPt>
            <c:idx val="3"/>
            <c:bubble3D val="0"/>
            <c:explosion val="0"/>
          </c:dPt>
          <c:dPt>
            <c:idx val="4"/>
            <c:bubble3D val="0"/>
            <c:explosion val="0"/>
          </c:dPt>
          <c:dPt>
            <c:idx val="5"/>
            <c:bubble3D val="0"/>
            <c:explosion val="0"/>
          </c:dPt>
          <c:dLbls>
            <c:dLbl>
              <c:idx val="1"/>
              <c:layout>
                <c:manualLayout>
                  <c:x val="0.00650195058517555"/>
                  <c:y val="0.0252925632314081"/>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345903771131339"/>
                  <c:y val="0.069082672706681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dLblPos val="inEnd"/>
              <c:showLegendKey val="0"/>
              <c:showVal val="1"/>
              <c:showCatName val="0"/>
              <c:showSerName val="0"/>
              <c:showPercent val="1"/>
              <c:showBubbleSize val="0"/>
              <c:extLst>
                <c:ext xmlns:c15="http://schemas.microsoft.com/office/drawing/2012/chart" uri="{CE6537A1-D6FC-4f65-9D91-7224C49458BB}"/>
              </c:extLst>
            </c:dLbl>
            <c:dLbl>
              <c:idx val="4"/>
              <c:layout>
                <c:manualLayout>
                  <c:x val="-0.051150895140665"/>
                  <c:y val="0.106496710526316"/>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alpha val="86000"/>
                      </a:schemeClr>
                    </a:solidFill>
                    <a:latin typeface="+mn-lt"/>
                    <a:ea typeface="+mn-ea"/>
                    <a:cs typeface="+mn-cs"/>
                  </a:defRPr>
                </a:pPr>
              </a:p>
            </c:txPr>
            <c:dLblPos val="outEnd"/>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Sheet1!$A$3:$A$8</c:f>
              <c:strCache>
                <c:ptCount val="6"/>
                <c:pt idx="0">
                  <c:v>住房保障支出</c:v>
                </c:pt>
                <c:pt idx="1">
                  <c:v>卫生健康支出</c:v>
                </c:pt>
                <c:pt idx="2">
                  <c:v>社会保障与服务支出</c:v>
                </c:pt>
                <c:pt idx="3">
                  <c:v>灾害防治及应急管理</c:v>
                </c:pt>
                <c:pt idx="4">
                  <c:v>文化旅游体育与传媒</c:v>
                </c:pt>
                <c:pt idx="5">
                  <c:v>一般公共预算财政拨款支出</c:v>
                </c:pt>
              </c:strCache>
            </c:strRef>
          </c:cat>
          <c:val>
            <c:numRef>
              <c:f>Sheet1!$B$3:$B$8</c:f>
              <c:numCache>
                <c:formatCode>General</c:formatCode>
                <c:ptCount val="6"/>
                <c:pt idx="0">
                  <c:v>40.15</c:v>
                </c:pt>
                <c:pt idx="1">
                  <c:v>28.69</c:v>
                </c:pt>
                <c:pt idx="2">
                  <c:v>56.11</c:v>
                </c:pt>
                <c:pt idx="3">
                  <c:v>0.41</c:v>
                </c:pt>
                <c:pt idx="4">
                  <c:v>316.2</c:v>
                </c:pt>
                <c:pt idx="5">
                  <c:v>914.69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dPt>
          <c:dPt>
            <c:idx val="1"/>
            <c:bubble3D val="0"/>
            <c:explosion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[部门公开表格制作图7.xls]Sheet1!$A$3:$A$4</c:f>
              <c:strCache>
                <c:ptCount val="2"/>
                <c:pt idx="0">
                  <c:v>公务接待费支出</c:v>
                </c:pt>
                <c:pt idx="1">
                  <c:v>公务用车购置及运行维护费支出</c:v>
                </c:pt>
              </c:strCache>
            </c:strRef>
          </c:cat>
          <c:val>
            <c:numRef>
              <c:f>[部门公开表格制作图7.xls]Sheet1!$B$3:$B$4</c:f>
              <c:numCache>
                <c:formatCode>General</c:formatCode>
                <c:ptCount val="2"/>
                <c:pt idx="0">
                  <c:v>0.97</c:v>
                </c:pt>
                <c:pt idx="1">
                  <c:v>110.83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AA4C1A-9E93-4514-AFD6-C19417ECBFB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1576</Words>
  <Characters>8984</Characters>
  <Lines>74</Lines>
  <Paragraphs>21</Paragraphs>
  <TotalTime>2</TotalTime>
  <ScaleCrop>false</ScaleCrop>
  <LinksUpToDate>false</LinksUpToDate>
  <CharactersWithSpaces>10539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2021-09-13T08:10:00Z</dcterms:created>
  <dc:creator>曹颖</dc:creator>
  <cp:lastModifiedBy>lurang</cp:lastModifiedBy>
  <cp:lastPrinted>2021-07-29T03:56:00Z</cp:lastPrinted>
  <dcterms:modified xsi:type="dcterms:W3CDTF">2021-09-27T00:55:14Z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75A56064A3FF497C87B9C750B0D68889</vt:lpwstr>
  </property>
</Properties>
</file>