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left"/>
        <w:outlineLvl w:val="0"/>
        <w:rPr>
          <w:rFonts w:hint="default" w:ascii="Times New Roman" w:hAnsi="Times New Roman" w:eastAsia="方正小标宋简体" w:cs="Times New Roman"/>
          <w:szCs w:val="21"/>
        </w:rPr>
      </w:pPr>
      <w:bookmarkStart w:id="0" w:name="_Toc15306267"/>
    </w:p>
    <w:p>
      <w:pPr>
        <w:pStyle w:val="2"/>
        <w:spacing w:before="93"/>
        <w:rPr>
          <w:rFonts w:hint="default" w:ascii="Times New Roman" w:hAnsi="Times New Roman" w:cs="Times New Roman"/>
        </w:rPr>
      </w:pPr>
    </w:p>
    <w:p>
      <w:pPr>
        <w:spacing w:line="600" w:lineRule="exact"/>
        <w:jc w:val="center"/>
        <w:outlineLvl w:val="0"/>
        <w:rPr>
          <w:rFonts w:hint="default" w:ascii="Times New Roman" w:hAnsi="Times New Roman" w:eastAsia="方正小标宋简体" w:cs="Times New Roman"/>
          <w:sz w:val="72"/>
          <w:szCs w:val="72"/>
        </w:rPr>
      </w:pPr>
    </w:p>
    <w:p>
      <w:pPr>
        <w:spacing w:line="600" w:lineRule="exact"/>
        <w:jc w:val="center"/>
        <w:outlineLvl w:val="0"/>
        <w:rPr>
          <w:rFonts w:hint="default" w:ascii="Times New Roman" w:hAnsi="Times New Roman" w:eastAsia="方正小标宋简体" w:cs="Times New Roman"/>
          <w:sz w:val="72"/>
          <w:szCs w:val="72"/>
        </w:rPr>
      </w:pPr>
    </w:p>
    <w:p>
      <w:pPr>
        <w:keepNext w:val="0"/>
        <w:keepLines w:val="0"/>
        <w:pageBreakBefore w:val="0"/>
        <w:widowControl w:val="0"/>
        <w:kinsoku/>
        <w:wordWrap/>
        <w:overflowPunct/>
        <w:topLinePunct w:val="0"/>
        <w:autoSpaceDE/>
        <w:autoSpaceDN/>
        <w:bidi w:val="0"/>
        <w:adjustRightInd w:val="0"/>
        <w:snapToGrid w:val="0"/>
        <w:spacing w:line="800" w:lineRule="exact"/>
        <w:jc w:val="center"/>
        <w:textAlignment w:val="auto"/>
        <w:outlineLvl w:val="0"/>
        <w:rPr>
          <w:rFonts w:hint="default" w:ascii="Times New Roman" w:hAnsi="Times New Roman" w:eastAsia="方正小标宋简体" w:cs="Times New Roman"/>
          <w:sz w:val="44"/>
          <w:szCs w:val="44"/>
          <w:lang w:eastAsia="zh-CN"/>
        </w:rPr>
      </w:pPr>
      <w:bookmarkStart w:id="1" w:name="_Toc15396475"/>
      <w:bookmarkStart w:id="2" w:name="_Toc15377193"/>
      <w:bookmarkStart w:id="3" w:name="_Toc15396597"/>
      <w:bookmarkStart w:id="4" w:name="_Toc15377425"/>
      <w:bookmarkStart w:id="5" w:name="_Toc15378441"/>
      <w:r>
        <w:rPr>
          <w:rFonts w:hint="default" w:ascii="Times New Roman" w:hAnsi="Times New Roman" w:eastAsia="方正小标宋简体" w:cs="Times New Roman"/>
          <w:sz w:val="44"/>
          <w:szCs w:val="44"/>
        </w:rPr>
        <w:t>202</w:t>
      </w:r>
      <w:r>
        <w:rPr>
          <w:rFonts w:hint="eastAsia" w:eastAsia="方正小标宋简体" w:cs="Times New Roman"/>
          <w:sz w:val="44"/>
          <w:szCs w:val="44"/>
          <w:lang w:val="en-US" w:eastAsia="zh-CN"/>
        </w:rPr>
        <w:t>4</w:t>
      </w:r>
      <w:r>
        <w:rPr>
          <w:rFonts w:hint="default" w:ascii="Times New Roman" w:hAnsi="Times New Roman" w:eastAsia="方正小标宋简体" w:cs="Times New Roman"/>
          <w:sz w:val="44"/>
          <w:szCs w:val="44"/>
        </w:rPr>
        <w:t>年度</w:t>
      </w:r>
      <w:bookmarkEnd w:id="1"/>
      <w:bookmarkEnd w:id="2"/>
      <w:bookmarkEnd w:id="3"/>
      <w:bookmarkEnd w:id="4"/>
      <w:bookmarkEnd w:id="5"/>
      <w:bookmarkStart w:id="6" w:name="_Toc15377426"/>
      <w:bookmarkStart w:id="7" w:name="_Toc15378442"/>
      <w:bookmarkStart w:id="8" w:name="_Toc15396598"/>
      <w:bookmarkStart w:id="9" w:name="_Toc15396476"/>
      <w:bookmarkStart w:id="10" w:name="_Toc15377194"/>
      <w:r>
        <w:rPr>
          <w:rFonts w:hint="default" w:ascii="Times New Roman" w:hAnsi="Times New Roman" w:eastAsia="方正小标宋简体" w:cs="Times New Roman"/>
          <w:sz w:val="44"/>
          <w:szCs w:val="44"/>
        </w:rPr>
        <w:t>四川省</w:t>
      </w:r>
      <w:bookmarkEnd w:id="0"/>
      <w:bookmarkStart w:id="11" w:name="_Toc15306268"/>
      <w:r>
        <w:rPr>
          <w:rFonts w:hint="default" w:ascii="Times New Roman" w:hAnsi="Times New Roman" w:eastAsia="方正小标宋简体" w:cs="Times New Roman"/>
          <w:sz w:val="44"/>
          <w:szCs w:val="44"/>
          <w:lang w:eastAsia="zh-CN"/>
        </w:rPr>
        <w:t>中共阿坝州委机构编制</w:t>
      </w:r>
    </w:p>
    <w:p>
      <w:pPr>
        <w:keepNext w:val="0"/>
        <w:keepLines w:val="0"/>
        <w:pageBreakBefore w:val="0"/>
        <w:widowControl w:val="0"/>
        <w:kinsoku/>
        <w:wordWrap/>
        <w:overflowPunct/>
        <w:topLinePunct w:val="0"/>
        <w:autoSpaceDE/>
        <w:autoSpaceDN/>
        <w:bidi w:val="0"/>
        <w:adjustRightInd w:val="0"/>
        <w:snapToGrid w:val="0"/>
        <w:spacing w:line="800" w:lineRule="exact"/>
        <w:jc w:val="center"/>
        <w:textAlignment w:val="auto"/>
        <w:outlineLvl w:val="0"/>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lang w:eastAsia="zh-CN"/>
        </w:rPr>
        <w:t>委员会办公室</w:t>
      </w:r>
      <w:r>
        <w:rPr>
          <w:rFonts w:hint="default" w:ascii="Times New Roman" w:hAnsi="Times New Roman" w:eastAsia="方正小标宋简体" w:cs="Times New Roman"/>
          <w:sz w:val="44"/>
          <w:szCs w:val="44"/>
        </w:rPr>
        <w:t>决算</w:t>
      </w:r>
      <w:bookmarkEnd w:id="6"/>
      <w:bookmarkEnd w:id="7"/>
      <w:bookmarkEnd w:id="8"/>
      <w:bookmarkEnd w:id="9"/>
      <w:bookmarkEnd w:id="10"/>
      <w:bookmarkEnd w:id="11"/>
    </w:p>
    <w:p>
      <w:pPr>
        <w:widowControl/>
        <w:jc w:val="center"/>
        <w:rPr>
          <w:rFonts w:hint="default" w:ascii="Times New Roman" w:hAnsi="Times New Roman" w:eastAsia="方正小标宋简体" w:cs="Times New Roman"/>
          <w:sz w:val="36"/>
          <w:szCs w:val="36"/>
        </w:rPr>
      </w:pPr>
    </w:p>
    <w:p>
      <w:pPr>
        <w:widowControl/>
        <w:jc w:val="center"/>
        <w:rPr>
          <w:rFonts w:hint="default" w:ascii="Times New Roman" w:hAnsi="Times New Roman" w:eastAsia="方正小标宋简体" w:cs="Times New Roman"/>
          <w:sz w:val="36"/>
          <w:szCs w:val="36"/>
        </w:rPr>
      </w:pPr>
    </w:p>
    <w:p>
      <w:pPr>
        <w:widowControl/>
        <w:jc w:val="center"/>
        <w:rPr>
          <w:rFonts w:hint="default" w:ascii="Times New Roman" w:hAnsi="Times New Roman" w:eastAsia="方正小标宋简体" w:cs="Times New Roman"/>
          <w:sz w:val="36"/>
          <w:szCs w:val="36"/>
        </w:rPr>
      </w:pPr>
    </w:p>
    <w:p>
      <w:pPr>
        <w:widowControl/>
        <w:jc w:val="center"/>
        <w:rPr>
          <w:rFonts w:hint="default" w:ascii="Times New Roman" w:hAnsi="Times New Roman" w:eastAsia="方正小标宋简体" w:cs="Times New Roman"/>
          <w:sz w:val="36"/>
          <w:szCs w:val="36"/>
        </w:rPr>
      </w:pPr>
    </w:p>
    <w:p>
      <w:pPr>
        <w:widowControl/>
        <w:jc w:val="center"/>
        <w:rPr>
          <w:rFonts w:hint="default" w:ascii="Times New Roman" w:hAnsi="Times New Roman" w:eastAsia="方正小标宋简体" w:cs="Times New Roman"/>
          <w:sz w:val="36"/>
          <w:szCs w:val="36"/>
        </w:rPr>
      </w:pPr>
    </w:p>
    <w:p>
      <w:pPr>
        <w:widowControl/>
        <w:jc w:val="center"/>
        <w:rPr>
          <w:rFonts w:hint="default" w:ascii="Times New Roman" w:hAnsi="Times New Roman" w:eastAsia="方正小标宋简体" w:cs="Times New Roman"/>
          <w:sz w:val="36"/>
          <w:szCs w:val="36"/>
        </w:rPr>
      </w:pPr>
    </w:p>
    <w:p>
      <w:pPr>
        <w:widowControl/>
        <w:jc w:val="center"/>
        <w:rPr>
          <w:rFonts w:hint="default" w:ascii="Times New Roman" w:hAnsi="Times New Roman" w:eastAsia="方正小标宋简体" w:cs="Times New Roman"/>
          <w:sz w:val="36"/>
          <w:szCs w:val="36"/>
        </w:rPr>
      </w:pPr>
    </w:p>
    <w:p>
      <w:pPr>
        <w:widowControl/>
        <w:jc w:val="center"/>
        <w:rPr>
          <w:rFonts w:hint="default" w:ascii="Times New Roman" w:hAnsi="Times New Roman" w:eastAsia="方正小标宋简体" w:cs="Times New Roman"/>
          <w:sz w:val="36"/>
          <w:szCs w:val="36"/>
        </w:rPr>
      </w:pPr>
    </w:p>
    <w:p>
      <w:pPr>
        <w:widowControl/>
        <w:jc w:val="center"/>
        <w:rPr>
          <w:rFonts w:hint="default" w:ascii="Times New Roman" w:hAnsi="Times New Roman" w:eastAsia="方正小标宋简体" w:cs="Times New Roman"/>
          <w:sz w:val="36"/>
          <w:szCs w:val="36"/>
        </w:rPr>
      </w:pPr>
    </w:p>
    <w:p>
      <w:pPr>
        <w:widowControl/>
        <w:jc w:val="center"/>
        <w:rPr>
          <w:rFonts w:hint="default" w:ascii="Times New Roman" w:hAnsi="Times New Roman" w:eastAsia="方正小标宋简体" w:cs="Times New Roman"/>
          <w:sz w:val="36"/>
          <w:szCs w:val="36"/>
        </w:rPr>
      </w:pPr>
    </w:p>
    <w:p>
      <w:pPr>
        <w:widowControl/>
        <w:jc w:val="center"/>
        <w:rPr>
          <w:rFonts w:hint="default" w:ascii="Times New Roman" w:hAnsi="Times New Roman" w:eastAsia="方正小标宋简体" w:cs="Times New Roman"/>
          <w:sz w:val="36"/>
          <w:szCs w:val="36"/>
        </w:rPr>
      </w:pPr>
    </w:p>
    <w:p>
      <w:pPr>
        <w:pStyle w:val="14"/>
        <w:pageBreakBefore w:val="0"/>
        <w:shd w:val="clear" w:color="auto" w:fill="FFFFFF"/>
        <w:kinsoku/>
        <w:wordWrap/>
        <w:overflowPunct/>
        <w:topLinePunct w:val="0"/>
        <w:bidi w:val="0"/>
        <w:spacing w:before="0" w:beforeAutospacing="0" w:line="560" w:lineRule="exact"/>
        <w:ind w:left="0"/>
        <w:jc w:val="center"/>
        <w:textAlignment w:val="auto"/>
        <w:rPr>
          <w:rFonts w:hint="default" w:ascii="Times New Roman" w:hAnsi="Times New Roman" w:cs="Times New Roman"/>
          <w:sz w:val="32"/>
          <w:szCs w:val="32"/>
        </w:rPr>
      </w:pPr>
      <w:r>
        <w:rPr>
          <w:rFonts w:hint="default" w:ascii="Times New Roman" w:hAnsi="Times New Roman" w:cs="Times New Roman"/>
          <w:sz w:val="32"/>
          <w:szCs w:val="32"/>
          <w:lang w:eastAsia="zh-CN"/>
        </w:rPr>
        <w:t>已经</w:t>
      </w:r>
      <w:r>
        <w:rPr>
          <w:rFonts w:hint="default" w:ascii="Times New Roman" w:hAnsi="Times New Roman" w:cs="Times New Roman"/>
          <w:sz w:val="32"/>
          <w:szCs w:val="32"/>
        </w:rPr>
        <w:t>保密审查、内容审定，同意对外公开</w:t>
      </w:r>
    </w:p>
    <w:p>
      <w:pPr>
        <w:bidi w:val="0"/>
        <w:jc w:val="center"/>
        <w:rPr>
          <w:rFonts w:hint="default" w:ascii="Times New Roman" w:hAnsi="Times New Roman" w:eastAsia="方正黑体_GBK" w:cs="Times New Roman"/>
          <w:color w:val="auto"/>
          <w:sz w:val="44"/>
          <w:szCs w:val="44"/>
          <w:highlight w:val="none"/>
        </w:rPr>
        <w:sectPr>
          <w:footerReference r:id="rId4" w:type="first"/>
          <w:footerReference r:id="rId3" w:type="default"/>
          <w:pgSz w:w="11906" w:h="16838"/>
          <w:pgMar w:top="2098" w:right="1587" w:bottom="1984" w:left="1587" w:header="851" w:footer="992" w:gutter="0"/>
          <w:pgNumType w:fmt="decimal" w:start="1"/>
          <w:cols w:space="720" w:num="1"/>
          <w:docGrid w:type="lines" w:linePitch="312" w:charSpace="0"/>
        </w:sectPr>
      </w:pPr>
      <w:bookmarkStart w:id="12" w:name="_Toc15377196"/>
      <w:bookmarkStart w:id="13" w:name="_Toc15396599"/>
    </w:p>
    <w:p>
      <w:pPr>
        <w:bidi w:val="0"/>
        <w:jc w:val="center"/>
        <w:rPr>
          <w:rFonts w:hint="default" w:ascii="Times New Roman" w:hAnsi="Times New Roman" w:eastAsia="方正黑体_GBK" w:cs="Times New Roman"/>
          <w:color w:val="auto"/>
          <w:sz w:val="44"/>
          <w:szCs w:val="44"/>
          <w:highlight w:val="none"/>
        </w:rPr>
      </w:pPr>
      <w:r>
        <w:rPr>
          <w:rFonts w:hint="default" w:ascii="Times New Roman" w:hAnsi="Times New Roman" w:eastAsia="方正黑体_GBK" w:cs="Times New Roman"/>
          <w:color w:val="auto"/>
          <w:sz w:val="44"/>
          <w:szCs w:val="44"/>
          <w:highlight w:val="none"/>
        </w:rPr>
        <w:t>目</w:t>
      </w:r>
      <w:r>
        <w:rPr>
          <w:rFonts w:hint="default" w:ascii="Times New Roman" w:hAnsi="Times New Roman" w:eastAsia="方正黑体_GBK" w:cs="Times New Roman"/>
          <w:color w:val="auto"/>
          <w:sz w:val="44"/>
          <w:szCs w:val="44"/>
          <w:highlight w:val="none"/>
          <w:lang w:val="en-US" w:eastAsia="zh-CN"/>
        </w:rPr>
        <w:t xml:space="preserve">  </w:t>
      </w:r>
      <w:r>
        <w:rPr>
          <w:rFonts w:hint="default" w:ascii="Times New Roman" w:hAnsi="Times New Roman" w:eastAsia="方正黑体_GBK" w:cs="Times New Roman"/>
          <w:color w:val="auto"/>
          <w:sz w:val="44"/>
          <w:szCs w:val="44"/>
          <w:highlight w:val="none"/>
        </w:rPr>
        <w:t>录</w:t>
      </w:r>
    </w:p>
    <w:p>
      <w:pPr>
        <w:pStyle w:val="12"/>
        <w:keepNext w:val="0"/>
        <w:keepLines w:val="0"/>
        <w:pageBreakBefore w:val="0"/>
        <w:kinsoku/>
        <w:wordWrap/>
        <w:overflowPunct/>
        <w:topLinePunct w:val="0"/>
        <w:autoSpaceDE/>
        <w:autoSpaceDN/>
        <w:bidi w:val="0"/>
        <w:spacing w:line="560" w:lineRule="exact"/>
        <w:jc w:val="center"/>
        <w:textAlignment w:val="auto"/>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公开时间：20</w:t>
      </w:r>
      <w:r>
        <w:rPr>
          <w:rFonts w:hint="default" w:ascii="Times New Roman" w:hAnsi="Times New Roman" w:cs="Times New Roman"/>
          <w:color w:val="auto"/>
          <w:sz w:val="32"/>
          <w:szCs w:val="32"/>
          <w:highlight w:val="none"/>
          <w:lang w:val="en-US" w:eastAsia="zh-CN"/>
        </w:rPr>
        <w:t>2</w:t>
      </w:r>
      <w:r>
        <w:rPr>
          <w:rFonts w:hint="eastAsia" w:ascii="Times New Roman" w:hAnsi="Times New Roman" w:cs="Times New Roman"/>
          <w:color w:val="auto"/>
          <w:sz w:val="32"/>
          <w:szCs w:val="32"/>
          <w:highlight w:val="none"/>
          <w:lang w:val="en-US" w:eastAsia="zh-CN"/>
        </w:rPr>
        <w:t>5</w:t>
      </w:r>
      <w:r>
        <w:rPr>
          <w:rFonts w:hint="default" w:ascii="Times New Roman" w:hAnsi="Times New Roman" w:cs="Times New Roman"/>
          <w:color w:val="auto"/>
          <w:sz w:val="32"/>
          <w:szCs w:val="32"/>
          <w:highlight w:val="none"/>
        </w:rPr>
        <w:t>年</w:t>
      </w:r>
      <w:r>
        <w:rPr>
          <w:rFonts w:hint="default" w:ascii="Times New Roman" w:hAnsi="Times New Roman" w:cs="Times New Roman"/>
          <w:color w:val="auto"/>
          <w:sz w:val="32"/>
          <w:szCs w:val="32"/>
          <w:highlight w:val="none"/>
          <w:lang w:val="en-US" w:eastAsia="zh-CN"/>
        </w:rPr>
        <w:t>9</w:t>
      </w:r>
      <w:r>
        <w:rPr>
          <w:rFonts w:hint="default" w:ascii="Times New Roman" w:hAnsi="Times New Roman" w:cs="Times New Roman"/>
          <w:color w:val="auto"/>
          <w:sz w:val="32"/>
          <w:szCs w:val="32"/>
          <w:highlight w:val="none"/>
        </w:rPr>
        <w:t>月</w:t>
      </w:r>
      <w:r>
        <w:rPr>
          <w:rFonts w:hint="default" w:ascii="Times New Roman" w:hAnsi="Times New Roman" w:cs="Times New Roman"/>
          <w:color w:val="auto"/>
          <w:sz w:val="32"/>
          <w:szCs w:val="32"/>
          <w:highlight w:val="none"/>
          <w:lang w:val="en-US" w:eastAsia="zh-CN"/>
        </w:rPr>
        <w:t>1</w:t>
      </w:r>
      <w:r>
        <w:rPr>
          <w:rFonts w:hint="eastAsia" w:ascii="Times New Roman" w:hAnsi="Times New Roman" w:cs="Times New Roman"/>
          <w:color w:val="auto"/>
          <w:sz w:val="32"/>
          <w:szCs w:val="32"/>
          <w:highlight w:val="none"/>
          <w:lang w:val="en-US" w:eastAsia="zh-CN"/>
        </w:rPr>
        <w:t>9</w:t>
      </w:r>
      <w:bookmarkStart w:id="62" w:name="_GoBack"/>
      <w:bookmarkEnd w:id="62"/>
      <w:r>
        <w:rPr>
          <w:rFonts w:hint="default" w:ascii="Times New Roman" w:hAnsi="Times New Roman" w:cs="Times New Roman"/>
          <w:color w:val="auto"/>
          <w:sz w:val="32"/>
          <w:szCs w:val="32"/>
          <w:highlight w:val="none"/>
        </w:rPr>
        <w:t>日</w:t>
      </w:r>
    </w:p>
    <w:p>
      <w:pPr>
        <w:rPr>
          <w:rFonts w:hint="default" w:ascii="Times New Roman" w:hAnsi="Times New Roman" w:cs="Times New Roman"/>
        </w:rPr>
      </w:pPr>
    </w:p>
    <w:p>
      <w:pPr>
        <w:pStyle w:val="12"/>
        <w:keepNext w:val="0"/>
        <w:keepLines w:val="0"/>
        <w:pageBreakBefore w:val="0"/>
        <w:kinsoku/>
        <w:wordWrap/>
        <w:overflowPunct/>
        <w:topLinePunct w:val="0"/>
        <w:autoSpaceDE/>
        <w:autoSpaceDN/>
        <w:bidi w:val="0"/>
        <w:spacing w:line="560" w:lineRule="exact"/>
        <w:jc w:val="left"/>
        <w:textAlignment w:val="auto"/>
        <w:rPr>
          <w:rFonts w:hint="eastAsia" w:ascii="Times New Roman" w:hAnsi="Times New Roman" w:eastAsia="方正黑体_GBK" w:cs="Times New Roman"/>
          <w:color w:val="auto"/>
          <w:sz w:val="32"/>
          <w:szCs w:val="32"/>
          <w:highlight w:val="none"/>
          <w:lang w:val="en-US" w:eastAsia="zh-CN"/>
        </w:rPr>
      </w:pPr>
      <w:r>
        <w:rPr>
          <w:rFonts w:hint="default" w:ascii="Times New Roman" w:hAnsi="Times New Roman" w:eastAsia="方正黑体_GBK" w:cs="Times New Roman"/>
          <w:color w:val="auto"/>
          <w:sz w:val="32"/>
          <w:szCs w:val="32"/>
          <w:highlight w:val="none"/>
        </w:rPr>
        <w:t xml:space="preserve">第一部分 </w:t>
      </w:r>
      <w:r>
        <w:rPr>
          <w:rFonts w:hint="default" w:ascii="Times New Roman" w:hAnsi="Times New Roman" w:eastAsia="方正黑体_GBK" w:cs="Times New Roman"/>
          <w:color w:val="auto"/>
          <w:sz w:val="32"/>
          <w:szCs w:val="32"/>
          <w:highlight w:val="none"/>
          <w:lang w:eastAsia="zh-CN"/>
        </w:rPr>
        <w:t>单位</w:t>
      </w:r>
      <w:r>
        <w:rPr>
          <w:rFonts w:hint="default" w:ascii="Times New Roman" w:hAnsi="Times New Roman" w:eastAsia="方正黑体_GBK" w:cs="Times New Roman"/>
          <w:color w:val="auto"/>
          <w:sz w:val="32"/>
          <w:szCs w:val="32"/>
          <w:highlight w:val="none"/>
        </w:rPr>
        <w:t>概况</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3</w:t>
      </w:r>
    </w:p>
    <w:p>
      <w:pPr>
        <w:pStyle w:val="12"/>
        <w:keepNext w:val="0"/>
        <w:keepLines w:val="0"/>
        <w:pageBreakBefore w:val="0"/>
        <w:kinsoku/>
        <w:wordWrap/>
        <w:overflowPunct/>
        <w:topLinePunct w:val="0"/>
        <w:autoSpaceDE/>
        <w:autoSpaceDN/>
        <w:bidi w:val="0"/>
        <w:spacing w:line="560" w:lineRule="exact"/>
        <w:ind w:firstLine="320" w:firstLineChars="100"/>
        <w:jc w:val="left"/>
        <w:textAlignment w:val="auto"/>
        <w:rPr>
          <w:rFonts w:hint="default"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color w:val="auto"/>
          <w:sz w:val="32"/>
          <w:szCs w:val="32"/>
          <w:highlight w:val="none"/>
        </w:rPr>
        <w:t>一、</w:t>
      </w:r>
      <w:r>
        <w:rPr>
          <w:rFonts w:hint="default" w:ascii="Times New Roman" w:hAnsi="Times New Roman" w:eastAsia="方正仿宋_GBK" w:cs="Times New Roman"/>
          <w:color w:val="auto"/>
          <w:sz w:val="32"/>
          <w:szCs w:val="32"/>
          <w:highlight w:val="none"/>
          <w:lang w:eastAsia="zh-CN"/>
        </w:rPr>
        <w:t>主要职责</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..3</w:t>
      </w:r>
    </w:p>
    <w:p>
      <w:pPr>
        <w:pStyle w:val="12"/>
        <w:keepNext w:val="0"/>
        <w:keepLines w:val="0"/>
        <w:pageBreakBefore w:val="0"/>
        <w:kinsoku/>
        <w:wordWrap/>
        <w:overflowPunct/>
        <w:topLinePunct w:val="0"/>
        <w:autoSpaceDE/>
        <w:autoSpaceDN/>
        <w:bidi w:val="0"/>
        <w:spacing w:line="560" w:lineRule="exact"/>
        <w:ind w:firstLine="320" w:firstLineChars="100"/>
        <w:jc w:val="left"/>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highlight w:val="none"/>
          <w:lang w:eastAsia="zh-CN"/>
        </w:rPr>
        <w:t>二</w:t>
      </w:r>
      <w:r>
        <w:rPr>
          <w:rFonts w:hint="default" w:ascii="Times New Roman" w:hAnsi="Times New Roman" w:eastAsia="方正仿宋_GBK" w:cs="Times New Roman"/>
          <w:color w:val="auto"/>
          <w:sz w:val="32"/>
          <w:szCs w:val="32"/>
          <w:highlight w:val="none"/>
        </w:rPr>
        <w:t>、</w:t>
      </w:r>
      <w:r>
        <w:rPr>
          <w:rFonts w:hint="default" w:ascii="Times New Roman" w:hAnsi="Times New Roman" w:eastAsia="方正仿宋_GBK" w:cs="Times New Roman"/>
          <w:color w:val="auto"/>
          <w:sz w:val="32"/>
          <w:szCs w:val="32"/>
          <w:highlight w:val="none"/>
          <w:lang w:eastAsia="zh-CN"/>
        </w:rPr>
        <w:t>机构设置</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..4</w:t>
      </w:r>
    </w:p>
    <w:p>
      <w:pPr>
        <w:pStyle w:val="12"/>
        <w:keepNext w:val="0"/>
        <w:keepLines w:val="0"/>
        <w:pageBreakBefore w:val="0"/>
        <w:kinsoku/>
        <w:wordWrap/>
        <w:overflowPunct/>
        <w:topLinePunct w:val="0"/>
        <w:autoSpaceDE/>
        <w:autoSpaceDN/>
        <w:bidi w:val="0"/>
        <w:spacing w:line="560" w:lineRule="exact"/>
        <w:jc w:val="left"/>
        <w:textAlignment w:val="auto"/>
        <w:rPr>
          <w:rFonts w:hint="default" w:ascii="Times New Roman" w:hAnsi="Times New Roman" w:eastAsia="方正黑体_GBK" w:cs="Times New Roman"/>
          <w:color w:val="auto"/>
          <w:sz w:val="32"/>
          <w:szCs w:val="32"/>
          <w:highlight w:val="none"/>
          <w:lang w:val="en-US"/>
        </w:rPr>
      </w:pPr>
      <w:r>
        <w:rPr>
          <w:rFonts w:hint="default" w:ascii="Times New Roman" w:hAnsi="Times New Roman" w:eastAsia="方正黑体_GBK" w:cs="Times New Roman"/>
          <w:color w:val="auto"/>
          <w:sz w:val="32"/>
          <w:szCs w:val="32"/>
          <w:highlight w:val="none"/>
        </w:rPr>
        <w:t>第二部分</w:t>
      </w:r>
      <w:r>
        <w:rPr>
          <w:rFonts w:hint="default" w:ascii="Times New Roman" w:hAnsi="Times New Roman" w:eastAsia="方正黑体_GBK" w:cs="Times New Roman"/>
          <w:color w:val="auto"/>
          <w:sz w:val="32"/>
          <w:szCs w:val="32"/>
          <w:highlight w:val="none"/>
          <w:lang w:val="en-US" w:eastAsia="zh-CN"/>
        </w:rPr>
        <w:t xml:space="preserve"> 202</w:t>
      </w:r>
      <w:r>
        <w:rPr>
          <w:rFonts w:hint="eastAsia" w:ascii="Times New Roman" w:hAnsi="Times New Roman" w:eastAsia="方正黑体_GBK" w:cs="Times New Roman"/>
          <w:color w:val="auto"/>
          <w:sz w:val="32"/>
          <w:szCs w:val="32"/>
          <w:highlight w:val="none"/>
          <w:lang w:val="en-US" w:eastAsia="zh-CN"/>
        </w:rPr>
        <w:t>4</w:t>
      </w:r>
      <w:r>
        <w:rPr>
          <w:rFonts w:hint="default" w:ascii="Times New Roman" w:hAnsi="Times New Roman" w:eastAsia="方正黑体_GBK" w:cs="Times New Roman"/>
          <w:color w:val="auto"/>
          <w:sz w:val="32"/>
          <w:szCs w:val="32"/>
          <w:highlight w:val="none"/>
          <w:lang w:val="en-US" w:eastAsia="zh-CN"/>
        </w:rPr>
        <w:t>年度</w:t>
      </w:r>
      <w:r>
        <w:rPr>
          <w:rFonts w:hint="default" w:ascii="Times New Roman" w:hAnsi="Times New Roman" w:eastAsia="方正黑体_GBK" w:cs="Times New Roman"/>
          <w:color w:val="auto"/>
          <w:sz w:val="32"/>
          <w:szCs w:val="32"/>
          <w:highlight w:val="none"/>
          <w:lang w:eastAsia="zh-CN"/>
        </w:rPr>
        <w:t>单位</w:t>
      </w:r>
      <w:r>
        <w:rPr>
          <w:rFonts w:hint="default" w:ascii="Times New Roman" w:hAnsi="Times New Roman" w:eastAsia="方正黑体_GBK" w:cs="Times New Roman"/>
          <w:color w:val="auto"/>
          <w:sz w:val="32"/>
          <w:szCs w:val="32"/>
          <w:highlight w:val="none"/>
        </w:rPr>
        <w:t>决算情况说明</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...5</w:t>
      </w:r>
    </w:p>
    <w:p>
      <w:pPr>
        <w:pStyle w:val="13"/>
        <w:keepNext w:val="0"/>
        <w:keepLines w:val="0"/>
        <w:pageBreakBefore w:val="0"/>
        <w:kinsoku/>
        <w:wordWrap/>
        <w:overflowPunct/>
        <w:topLinePunct w:val="0"/>
        <w:autoSpaceDE/>
        <w:autoSpaceDN/>
        <w:bidi w:val="0"/>
        <w:adjustRightInd w:val="0"/>
        <w:snapToGrid w:val="0"/>
        <w:spacing w:line="560" w:lineRule="exact"/>
        <w:ind w:left="0" w:leftChars="0" w:firstLine="320" w:firstLineChars="100"/>
        <w:jc w:val="left"/>
        <w:textAlignment w:val="auto"/>
        <w:rPr>
          <w:rFonts w:hint="default" w:ascii="Times New Roman" w:hAnsi="Times New Roman" w:eastAsia="方正仿宋_GBK" w:cs="Times New Roman"/>
          <w:color w:val="auto"/>
          <w:sz w:val="32"/>
          <w:szCs w:val="32"/>
          <w:highlight w:val="none"/>
          <w:lang w:val="en-US"/>
        </w:rPr>
      </w:pPr>
      <w:r>
        <w:rPr>
          <w:rFonts w:hint="default" w:ascii="Times New Roman" w:hAnsi="Times New Roman" w:eastAsia="方正仿宋_GBK" w:cs="Times New Roman"/>
          <w:color w:val="auto"/>
          <w:sz w:val="32"/>
          <w:szCs w:val="32"/>
          <w:highlight w:val="none"/>
        </w:rPr>
        <w:t>一、收入支出决算总体情况说明</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...5</w:t>
      </w:r>
    </w:p>
    <w:p>
      <w:pPr>
        <w:pStyle w:val="13"/>
        <w:keepNext w:val="0"/>
        <w:keepLines w:val="0"/>
        <w:pageBreakBefore w:val="0"/>
        <w:kinsoku/>
        <w:wordWrap/>
        <w:overflowPunct/>
        <w:topLinePunct w:val="0"/>
        <w:autoSpaceDE/>
        <w:autoSpaceDN/>
        <w:bidi w:val="0"/>
        <w:adjustRightInd w:val="0"/>
        <w:snapToGrid w:val="0"/>
        <w:spacing w:line="560" w:lineRule="exact"/>
        <w:ind w:left="0" w:leftChars="0" w:firstLine="320" w:firstLineChars="100"/>
        <w:jc w:val="left"/>
        <w:textAlignment w:val="auto"/>
        <w:rPr>
          <w:rFonts w:hint="eastAsia" w:ascii="Times New Roman" w:hAnsi="Times New Roman" w:eastAsia="方正黑体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rPr>
        <w:t>二、收入决算情况说明</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5</w:t>
      </w:r>
    </w:p>
    <w:p>
      <w:pPr>
        <w:pStyle w:val="13"/>
        <w:keepNext w:val="0"/>
        <w:keepLines w:val="0"/>
        <w:pageBreakBefore w:val="0"/>
        <w:kinsoku/>
        <w:wordWrap/>
        <w:overflowPunct/>
        <w:topLinePunct w:val="0"/>
        <w:autoSpaceDE/>
        <w:autoSpaceDN/>
        <w:bidi w:val="0"/>
        <w:adjustRightInd w:val="0"/>
        <w:snapToGrid w:val="0"/>
        <w:spacing w:line="560" w:lineRule="exact"/>
        <w:ind w:left="0" w:leftChars="0" w:firstLine="320" w:firstLineChars="100"/>
        <w:jc w:val="left"/>
        <w:textAlignment w:val="auto"/>
        <w:rPr>
          <w:rFonts w:hint="eastAsia" w:ascii="Times New Roman" w:hAnsi="Times New Roman" w:eastAsia="方正黑体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rPr>
        <w:t>三、支出决算情况说明</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6</w:t>
      </w:r>
    </w:p>
    <w:p>
      <w:pPr>
        <w:pStyle w:val="13"/>
        <w:keepNext w:val="0"/>
        <w:keepLines w:val="0"/>
        <w:pageBreakBefore w:val="0"/>
        <w:kinsoku/>
        <w:wordWrap/>
        <w:overflowPunct/>
        <w:topLinePunct w:val="0"/>
        <w:autoSpaceDE/>
        <w:autoSpaceDN/>
        <w:bidi w:val="0"/>
        <w:adjustRightInd w:val="0"/>
        <w:snapToGrid w:val="0"/>
        <w:spacing w:line="560" w:lineRule="exact"/>
        <w:ind w:left="0" w:leftChars="0" w:firstLine="320" w:firstLineChars="100"/>
        <w:jc w:val="left"/>
        <w:textAlignment w:val="auto"/>
        <w:rPr>
          <w:rFonts w:hint="default" w:ascii="Times New Roman" w:hAnsi="Times New Roman" w:eastAsia="方正仿宋_GBK" w:cs="Times New Roman"/>
          <w:color w:val="auto"/>
          <w:sz w:val="32"/>
          <w:szCs w:val="32"/>
          <w:highlight w:val="none"/>
          <w:lang w:val="en-US"/>
        </w:rPr>
      </w:pPr>
      <w:r>
        <w:rPr>
          <w:rFonts w:hint="default" w:ascii="Times New Roman" w:hAnsi="Times New Roman" w:eastAsia="方正仿宋_GBK" w:cs="Times New Roman"/>
          <w:color w:val="auto"/>
          <w:sz w:val="32"/>
          <w:szCs w:val="32"/>
          <w:highlight w:val="none"/>
        </w:rPr>
        <w:t>四、财政拨款收入支出决算总体情况说明</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..7</w:t>
      </w:r>
    </w:p>
    <w:p>
      <w:pPr>
        <w:pStyle w:val="13"/>
        <w:keepNext w:val="0"/>
        <w:keepLines w:val="0"/>
        <w:pageBreakBefore w:val="0"/>
        <w:kinsoku/>
        <w:wordWrap/>
        <w:overflowPunct/>
        <w:topLinePunct w:val="0"/>
        <w:autoSpaceDE/>
        <w:autoSpaceDN/>
        <w:bidi w:val="0"/>
        <w:adjustRightInd w:val="0"/>
        <w:snapToGrid w:val="0"/>
        <w:spacing w:line="560" w:lineRule="exact"/>
        <w:ind w:left="0" w:leftChars="0" w:firstLine="320" w:firstLineChars="100"/>
        <w:jc w:val="left"/>
        <w:textAlignment w:val="auto"/>
        <w:rPr>
          <w:rFonts w:hint="default" w:ascii="Times New Roman" w:hAnsi="Times New Roman" w:eastAsia="方正仿宋_GBK" w:cs="Times New Roman"/>
          <w:color w:val="auto"/>
          <w:sz w:val="32"/>
          <w:szCs w:val="32"/>
          <w:highlight w:val="none"/>
          <w:lang w:val="en-US"/>
        </w:rPr>
      </w:pPr>
      <w:r>
        <w:rPr>
          <w:rFonts w:hint="default" w:ascii="Times New Roman" w:hAnsi="Times New Roman" w:eastAsia="方正仿宋_GBK" w:cs="Times New Roman"/>
          <w:color w:val="auto"/>
          <w:sz w:val="32"/>
          <w:szCs w:val="32"/>
          <w:highlight w:val="none"/>
        </w:rPr>
        <w:t>五、一般公共预算财政拨款支出决算情况说明</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..7</w:t>
      </w:r>
    </w:p>
    <w:p>
      <w:pPr>
        <w:pStyle w:val="13"/>
        <w:keepNext w:val="0"/>
        <w:keepLines w:val="0"/>
        <w:pageBreakBefore w:val="0"/>
        <w:kinsoku/>
        <w:wordWrap/>
        <w:overflowPunct/>
        <w:topLinePunct w:val="0"/>
        <w:autoSpaceDE/>
        <w:autoSpaceDN/>
        <w:bidi w:val="0"/>
        <w:adjustRightInd w:val="0"/>
        <w:snapToGrid w:val="0"/>
        <w:spacing w:line="560" w:lineRule="exact"/>
        <w:ind w:left="0" w:leftChars="0" w:firstLine="320" w:firstLineChars="100"/>
        <w:jc w:val="left"/>
        <w:textAlignment w:val="auto"/>
        <w:rPr>
          <w:rFonts w:hint="default" w:ascii="Times New Roman" w:hAnsi="Times New Roman" w:eastAsia="方正仿宋_GBK" w:cs="Times New Roman"/>
          <w:color w:val="auto"/>
          <w:sz w:val="32"/>
          <w:szCs w:val="32"/>
          <w:highlight w:val="none"/>
          <w:lang w:val="en-US"/>
        </w:rPr>
      </w:pPr>
      <w:r>
        <w:rPr>
          <w:rFonts w:hint="default" w:ascii="Times New Roman" w:hAnsi="Times New Roman" w:eastAsia="方正仿宋_GBK" w:cs="Times New Roman"/>
          <w:color w:val="auto"/>
          <w:sz w:val="32"/>
          <w:szCs w:val="32"/>
          <w:highlight w:val="none"/>
        </w:rPr>
        <w:t>六、一般公共预算财政拨款基本支出决算情况说明</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.10</w:t>
      </w:r>
    </w:p>
    <w:p>
      <w:pPr>
        <w:pStyle w:val="13"/>
        <w:keepNext w:val="0"/>
        <w:keepLines w:val="0"/>
        <w:pageBreakBefore w:val="0"/>
        <w:kinsoku/>
        <w:wordWrap/>
        <w:overflowPunct/>
        <w:topLinePunct w:val="0"/>
        <w:autoSpaceDE/>
        <w:autoSpaceDN/>
        <w:bidi w:val="0"/>
        <w:adjustRightInd w:val="0"/>
        <w:snapToGrid w:val="0"/>
        <w:spacing w:line="560" w:lineRule="exact"/>
        <w:ind w:left="0" w:leftChars="0" w:firstLine="320" w:firstLineChars="100"/>
        <w:jc w:val="left"/>
        <w:textAlignment w:val="auto"/>
        <w:rPr>
          <w:rFonts w:hint="default" w:ascii="Times New Roman" w:hAnsi="Times New Roman" w:eastAsia="方正仿宋_GBK" w:cs="Times New Roman"/>
          <w:color w:val="auto"/>
          <w:sz w:val="32"/>
          <w:szCs w:val="32"/>
          <w:highlight w:val="none"/>
          <w:lang w:val="en-US"/>
        </w:rPr>
      </w:pPr>
      <w:r>
        <w:rPr>
          <w:rFonts w:hint="default" w:ascii="Times New Roman" w:hAnsi="Times New Roman" w:eastAsia="方正仿宋_GBK" w:cs="Times New Roman"/>
          <w:color w:val="auto"/>
          <w:sz w:val="32"/>
          <w:szCs w:val="32"/>
          <w:highlight w:val="none"/>
        </w:rPr>
        <w:t>七、财政拨款</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三公”经费支出决算情况说明</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.11</w:t>
      </w:r>
    </w:p>
    <w:p>
      <w:pPr>
        <w:pStyle w:val="13"/>
        <w:keepNext w:val="0"/>
        <w:keepLines w:val="0"/>
        <w:pageBreakBefore w:val="0"/>
        <w:kinsoku/>
        <w:wordWrap/>
        <w:overflowPunct/>
        <w:topLinePunct w:val="0"/>
        <w:autoSpaceDE/>
        <w:autoSpaceDN/>
        <w:bidi w:val="0"/>
        <w:adjustRightInd w:val="0"/>
        <w:snapToGrid w:val="0"/>
        <w:spacing w:line="560" w:lineRule="exact"/>
        <w:ind w:left="0" w:leftChars="0" w:firstLine="320" w:firstLineChars="100"/>
        <w:jc w:val="left"/>
        <w:textAlignment w:val="auto"/>
        <w:rPr>
          <w:rFonts w:hint="default" w:ascii="Times New Roman" w:hAnsi="Times New Roman" w:eastAsia="方正仿宋_GBK" w:cs="Times New Roman"/>
          <w:color w:val="auto"/>
          <w:sz w:val="32"/>
          <w:szCs w:val="32"/>
          <w:highlight w:val="none"/>
          <w:lang w:val="en-US"/>
        </w:rPr>
      </w:pPr>
      <w:r>
        <w:rPr>
          <w:rFonts w:hint="default" w:ascii="Times New Roman" w:hAnsi="Times New Roman" w:eastAsia="方正仿宋_GBK" w:cs="Times New Roman"/>
          <w:color w:val="auto"/>
          <w:sz w:val="32"/>
          <w:szCs w:val="32"/>
          <w:highlight w:val="none"/>
        </w:rPr>
        <w:t>八、政府性基金预算支出决算情况说明</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..12</w:t>
      </w:r>
    </w:p>
    <w:p>
      <w:pPr>
        <w:pStyle w:val="13"/>
        <w:keepNext w:val="0"/>
        <w:keepLines w:val="0"/>
        <w:pageBreakBefore w:val="0"/>
        <w:kinsoku/>
        <w:wordWrap/>
        <w:overflowPunct/>
        <w:topLinePunct w:val="0"/>
        <w:autoSpaceDE/>
        <w:autoSpaceDN/>
        <w:bidi w:val="0"/>
        <w:adjustRightInd w:val="0"/>
        <w:snapToGrid w:val="0"/>
        <w:spacing w:line="560" w:lineRule="exact"/>
        <w:ind w:left="0" w:leftChars="0" w:firstLine="320" w:firstLineChars="100"/>
        <w:jc w:val="left"/>
        <w:textAlignment w:val="auto"/>
        <w:rPr>
          <w:rFonts w:hint="default" w:ascii="Times New Roman" w:hAnsi="Times New Roman" w:eastAsia="方正仿宋_GBK" w:cs="Times New Roman"/>
          <w:color w:val="auto"/>
          <w:sz w:val="32"/>
          <w:szCs w:val="32"/>
          <w:highlight w:val="none"/>
          <w:lang w:val="en-US"/>
        </w:rPr>
      </w:pPr>
      <w:r>
        <w:rPr>
          <w:rFonts w:hint="default" w:ascii="Times New Roman" w:hAnsi="Times New Roman" w:eastAsia="方正仿宋_GBK" w:cs="Times New Roman"/>
          <w:color w:val="auto"/>
          <w:sz w:val="32"/>
          <w:szCs w:val="32"/>
          <w:highlight w:val="none"/>
        </w:rPr>
        <w:t>九、国有资本经营预算支出决算情况说明</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..13</w:t>
      </w:r>
    </w:p>
    <w:p>
      <w:pPr>
        <w:pStyle w:val="13"/>
        <w:keepNext w:val="0"/>
        <w:keepLines w:val="0"/>
        <w:pageBreakBefore w:val="0"/>
        <w:kinsoku/>
        <w:wordWrap/>
        <w:overflowPunct/>
        <w:topLinePunct w:val="0"/>
        <w:autoSpaceDE/>
        <w:autoSpaceDN/>
        <w:bidi w:val="0"/>
        <w:adjustRightInd w:val="0"/>
        <w:snapToGrid w:val="0"/>
        <w:spacing w:line="560" w:lineRule="exact"/>
        <w:ind w:left="0" w:leftChars="0" w:firstLine="320" w:firstLineChars="100"/>
        <w:jc w:val="left"/>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rPr>
        <w:t>十、其他重要事项的情况说明</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....13</w:t>
      </w:r>
    </w:p>
    <w:p>
      <w:pPr>
        <w:pStyle w:val="12"/>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方正黑体_GBK" w:cs="Times New Roman"/>
          <w:color w:val="auto"/>
          <w:sz w:val="32"/>
          <w:szCs w:val="32"/>
          <w:highlight w:val="none"/>
          <w:lang w:val="en-US"/>
        </w:rPr>
      </w:pPr>
      <w:r>
        <w:rPr>
          <w:rFonts w:hint="default" w:ascii="Times New Roman" w:hAnsi="Times New Roman" w:eastAsia="方正黑体_GBK" w:cs="Times New Roman"/>
          <w:color w:val="auto"/>
          <w:sz w:val="32"/>
          <w:szCs w:val="32"/>
          <w:highlight w:val="none"/>
        </w:rPr>
        <w:t>第三部分 名词解释</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..15</w:t>
      </w:r>
    </w:p>
    <w:p>
      <w:pPr>
        <w:pStyle w:val="12"/>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方正黑体_GBK" w:cs="Times New Roman"/>
          <w:color w:val="auto"/>
          <w:sz w:val="32"/>
          <w:szCs w:val="32"/>
          <w:highlight w:val="none"/>
          <w:lang w:val="en-US"/>
        </w:rPr>
      </w:pPr>
      <w:r>
        <w:rPr>
          <w:rFonts w:hint="default" w:ascii="Times New Roman" w:hAnsi="Times New Roman" w:eastAsia="方正黑体_GBK" w:cs="Times New Roman"/>
          <w:color w:val="auto"/>
          <w:sz w:val="32"/>
          <w:szCs w:val="32"/>
          <w:highlight w:val="none"/>
        </w:rPr>
        <w:t>第四部分 附件</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....18</w:t>
      </w:r>
    </w:p>
    <w:p>
      <w:pPr>
        <w:pStyle w:val="12"/>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方正黑体_GBK" w:cs="Times New Roman"/>
          <w:color w:val="auto"/>
          <w:sz w:val="32"/>
          <w:szCs w:val="32"/>
          <w:highlight w:val="none"/>
          <w:lang w:val="en-US"/>
        </w:rPr>
      </w:pPr>
      <w:r>
        <w:rPr>
          <w:rFonts w:hint="default" w:ascii="Times New Roman" w:hAnsi="Times New Roman" w:eastAsia="方正黑体_GBK" w:cs="Times New Roman"/>
          <w:color w:val="auto"/>
          <w:sz w:val="32"/>
          <w:szCs w:val="32"/>
          <w:highlight w:val="none"/>
        </w:rPr>
        <w:t>第五部分 附表</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....31</w:t>
      </w:r>
    </w:p>
    <w:p>
      <w:pPr>
        <w:pStyle w:val="13"/>
        <w:keepNext w:val="0"/>
        <w:keepLines w:val="0"/>
        <w:pageBreakBefore w:val="0"/>
        <w:kinsoku/>
        <w:wordWrap/>
        <w:overflowPunct/>
        <w:topLinePunct w:val="0"/>
        <w:autoSpaceDE/>
        <w:autoSpaceDN/>
        <w:bidi w:val="0"/>
        <w:adjustRightInd w:val="0"/>
        <w:snapToGrid w:val="0"/>
        <w:spacing w:line="560" w:lineRule="exact"/>
        <w:ind w:left="0" w:leftChars="0" w:firstLine="320" w:firstLineChars="100"/>
        <w:jc w:val="left"/>
        <w:textAlignment w:val="auto"/>
        <w:rPr>
          <w:rFonts w:hint="default" w:ascii="Times New Roman" w:hAnsi="Times New Roman" w:eastAsia="方正仿宋_GBK" w:cs="Times New Roman"/>
          <w:color w:val="auto"/>
          <w:sz w:val="32"/>
          <w:szCs w:val="32"/>
          <w:highlight w:val="none"/>
          <w:lang w:val="en-US"/>
        </w:rPr>
      </w:pPr>
      <w:r>
        <w:rPr>
          <w:rFonts w:hint="default" w:ascii="Times New Roman" w:hAnsi="Times New Roman" w:eastAsia="方正仿宋_GBK" w:cs="Times New Roman"/>
          <w:color w:val="auto"/>
          <w:sz w:val="32"/>
          <w:szCs w:val="32"/>
          <w:highlight w:val="none"/>
        </w:rPr>
        <w:t>一、收入支出决算总表</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......31</w:t>
      </w:r>
    </w:p>
    <w:p>
      <w:pPr>
        <w:pStyle w:val="13"/>
        <w:keepNext w:val="0"/>
        <w:keepLines w:val="0"/>
        <w:pageBreakBefore w:val="0"/>
        <w:kinsoku/>
        <w:wordWrap/>
        <w:overflowPunct/>
        <w:topLinePunct w:val="0"/>
        <w:autoSpaceDE/>
        <w:autoSpaceDN/>
        <w:bidi w:val="0"/>
        <w:adjustRightInd w:val="0"/>
        <w:snapToGrid w:val="0"/>
        <w:spacing w:line="560" w:lineRule="exact"/>
        <w:ind w:left="0" w:leftChars="0" w:firstLine="320" w:firstLineChars="100"/>
        <w:jc w:val="left"/>
        <w:textAlignment w:val="auto"/>
        <w:rPr>
          <w:rFonts w:hint="default" w:ascii="Times New Roman" w:hAnsi="Times New Roman" w:eastAsia="方正仿宋_GBK" w:cs="Times New Roman"/>
          <w:color w:val="auto"/>
          <w:sz w:val="32"/>
          <w:szCs w:val="32"/>
          <w:highlight w:val="none"/>
          <w:lang w:val="en-US"/>
        </w:rPr>
      </w:pPr>
      <w:r>
        <w:rPr>
          <w:rFonts w:hint="default" w:ascii="Times New Roman" w:hAnsi="Times New Roman" w:eastAsia="方正仿宋_GBK" w:cs="Times New Roman"/>
          <w:color w:val="auto"/>
          <w:sz w:val="32"/>
          <w:szCs w:val="32"/>
          <w:highlight w:val="none"/>
        </w:rPr>
        <w:t>二、收入决算表</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31</w:t>
      </w:r>
    </w:p>
    <w:p>
      <w:pPr>
        <w:pStyle w:val="13"/>
        <w:keepNext w:val="0"/>
        <w:keepLines w:val="0"/>
        <w:pageBreakBefore w:val="0"/>
        <w:kinsoku/>
        <w:wordWrap/>
        <w:overflowPunct/>
        <w:topLinePunct w:val="0"/>
        <w:autoSpaceDE/>
        <w:autoSpaceDN/>
        <w:bidi w:val="0"/>
        <w:adjustRightInd w:val="0"/>
        <w:snapToGrid w:val="0"/>
        <w:spacing w:line="560" w:lineRule="exact"/>
        <w:ind w:left="0" w:leftChars="0" w:firstLine="320" w:firstLineChars="100"/>
        <w:jc w:val="left"/>
        <w:textAlignment w:val="auto"/>
        <w:rPr>
          <w:rFonts w:hint="default" w:ascii="Times New Roman" w:hAnsi="Times New Roman" w:eastAsia="方正仿宋_GBK" w:cs="Times New Roman"/>
          <w:color w:val="auto"/>
          <w:sz w:val="32"/>
          <w:szCs w:val="32"/>
          <w:highlight w:val="none"/>
          <w:lang w:val="en-US"/>
        </w:rPr>
      </w:pPr>
      <w:r>
        <w:rPr>
          <w:rFonts w:hint="default" w:ascii="Times New Roman" w:hAnsi="Times New Roman" w:eastAsia="方正仿宋_GBK" w:cs="Times New Roman"/>
          <w:color w:val="auto"/>
          <w:sz w:val="32"/>
          <w:szCs w:val="32"/>
          <w:highlight w:val="none"/>
        </w:rPr>
        <w:t>三、支出决算表</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31</w:t>
      </w:r>
    </w:p>
    <w:p>
      <w:pPr>
        <w:pStyle w:val="13"/>
        <w:keepNext w:val="0"/>
        <w:keepLines w:val="0"/>
        <w:pageBreakBefore w:val="0"/>
        <w:kinsoku/>
        <w:wordWrap/>
        <w:overflowPunct/>
        <w:topLinePunct w:val="0"/>
        <w:autoSpaceDE/>
        <w:autoSpaceDN/>
        <w:bidi w:val="0"/>
        <w:adjustRightInd w:val="0"/>
        <w:snapToGrid w:val="0"/>
        <w:spacing w:line="560" w:lineRule="exact"/>
        <w:ind w:left="0" w:leftChars="0" w:firstLine="320" w:firstLineChars="100"/>
        <w:jc w:val="left"/>
        <w:textAlignment w:val="auto"/>
        <w:rPr>
          <w:rFonts w:hint="default" w:ascii="Times New Roman" w:hAnsi="Times New Roman" w:eastAsia="方正仿宋_GBK" w:cs="Times New Roman"/>
          <w:color w:val="auto"/>
          <w:sz w:val="32"/>
          <w:szCs w:val="32"/>
          <w:highlight w:val="none"/>
          <w:lang w:val="en-US"/>
        </w:rPr>
      </w:pPr>
      <w:r>
        <w:rPr>
          <w:rFonts w:hint="default" w:ascii="Times New Roman" w:hAnsi="Times New Roman" w:eastAsia="方正仿宋_GBK" w:cs="Times New Roman"/>
          <w:color w:val="auto"/>
          <w:sz w:val="32"/>
          <w:szCs w:val="32"/>
          <w:highlight w:val="none"/>
        </w:rPr>
        <w:t>四、财政拨款收入支出决算总表</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31</w:t>
      </w:r>
    </w:p>
    <w:p>
      <w:pPr>
        <w:pStyle w:val="13"/>
        <w:keepNext w:val="0"/>
        <w:keepLines w:val="0"/>
        <w:pageBreakBefore w:val="0"/>
        <w:kinsoku/>
        <w:wordWrap/>
        <w:overflowPunct/>
        <w:topLinePunct w:val="0"/>
        <w:autoSpaceDE/>
        <w:autoSpaceDN/>
        <w:bidi w:val="0"/>
        <w:adjustRightInd w:val="0"/>
        <w:snapToGrid w:val="0"/>
        <w:spacing w:line="560" w:lineRule="exact"/>
        <w:ind w:left="0" w:leftChars="0" w:firstLine="320" w:firstLineChars="100"/>
        <w:jc w:val="left"/>
        <w:textAlignment w:val="auto"/>
        <w:rPr>
          <w:rFonts w:hint="default" w:ascii="Times New Roman" w:hAnsi="Times New Roman" w:eastAsia="方正仿宋_GBK" w:cs="Times New Roman"/>
          <w:color w:val="auto"/>
          <w:sz w:val="32"/>
          <w:szCs w:val="32"/>
          <w:highlight w:val="none"/>
          <w:lang w:val="en-US"/>
        </w:rPr>
      </w:pPr>
      <w:r>
        <w:rPr>
          <w:rFonts w:hint="default" w:ascii="Times New Roman" w:hAnsi="Times New Roman" w:eastAsia="方正仿宋_GBK" w:cs="Times New Roman"/>
          <w:color w:val="auto"/>
          <w:sz w:val="32"/>
          <w:szCs w:val="32"/>
          <w:highlight w:val="none"/>
        </w:rPr>
        <w:t>五、财政拨款支出决算明细表</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31</w:t>
      </w:r>
    </w:p>
    <w:p>
      <w:pPr>
        <w:pStyle w:val="13"/>
        <w:keepNext w:val="0"/>
        <w:keepLines w:val="0"/>
        <w:pageBreakBefore w:val="0"/>
        <w:kinsoku/>
        <w:wordWrap/>
        <w:overflowPunct/>
        <w:topLinePunct w:val="0"/>
        <w:autoSpaceDE/>
        <w:autoSpaceDN/>
        <w:bidi w:val="0"/>
        <w:adjustRightInd w:val="0"/>
        <w:snapToGrid w:val="0"/>
        <w:spacing w:line="560" w:lineRule="exact"/>
        <w:ind w:left="0" w:leftChars="0" w:firstLine="320" w:firstLineChars="100"/>
        <w:jc w:val="left"/>
        <w:textAlignment w:val="auto"/>
        <w:rPr>
          <w:rFonts w:hint="default" w:ascii="Times New Roman" w:hAnsi="Times New Roman" w:eastAsia="方正仿宋_GBK" w:cs="Times New Roman"/>
          <w:color w:val="auto"/>
          <w:sz w:val="32"/>
          <w:szCs w:val="32"/>
          <w:highlight w:val="none"/>
          <w:lang w:val="en-US"/>
        </w:rPr>
      </w:pPr>
      <w:r>
        <w:rPr>
          <w:rFonts w:hint="default" w:ascii="Times New Roman" w:hAnsi="Times New Roman" w:eastAsia="方正仿宋_GBK" w:cs="Times New Roman"/>
          <w:color w:val="auto"/>
          <w:sz w:val="32"/>
          <w:szCs w:val="32"/>
          <w:highlight w:val="none"/>
        </w:rPr>
        <w:t>六、一般公共预算财政拨款支出决算表</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31</w:t>
      </w:r>
    </w:p>
    <w:p>
      <w:pPr>
        <w:pStyle w:val="13"/>
        <w:keepNext w:val="0"/>
        <w:keepLines w:val="0"/>
        <w:pageBreakBefore w:val="0"/>
        <w:kinsoku/>
        <w:wordWrap/>
        <w:overflowPunct/>
        <w:topLinePunct w:val="0"/>
        <w:autoSpaceDE/>
        <w:autoSpaceDN/>
        <w:bidi w:val="0"/>
        <w:adjustRightInd w:val="0"/>
        <w:snapToGrid w:val="0"/>
        <w:spacing w:line="560" w:lineRule="exact"/>
        <w:ind w:left="0" w:leftChars="0" w:firstLine="320" w:firstLineChars="100"/>
        <w:jc w:val="left"/>
        <w:textAlignment w:val="auto"/>
        <w:rPr>
          <w:rFonts w:hint="default" w:ascii="Times New Roman" w:hAnsi="Times New Roman" w:eastAsia="方正仿宋_GBK" w:cs="Times New Roman"/>
          <w:color w:val="auto"/>
          <w:sz w:val="32"/>
          <w:szCs w:val="32"/>
          <w:highlight w:val="none"/>
          <w:lang w:val="en-US"/>
        </w:rPr>
      </w:pPr>
      <w:r>
        <w:rPr>
          <w:rFonts w:hint="default" w:ascii="Times New Roman" w:hAnsi="Times New Roman" w:eastAsia="方正仿宋_GBK" w:cs="Times New Roman"/>
          <w:color w:val="auto"/>
          <w:sz w:val="32"/>
          <w:szCs w:val="32"/>
          <w:highlight w:val="none"/>
        </w:rPr>
        <w:t>七、一般公共预算财政拨款支出决算明细表</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31</w:t>
      </w:r>
    </w:p>
    <w:p>
      <w:pPr>
        <w:pStyle w:val="13"/>
        <w:keepNext w:val="0"/>
        <w:keepLines w:val="0"/>
        <w:pageBreakBefore w:val="0"/>
        <w:kinsoku/>
        <w:wordWrap/>
        <w:overflowPunct/>
        <w:topLinePunct w:val="0"/>
        <w:autoSpaceDE/>
        <w:autoSpaceDN/>
        <w:bidi w:val="0"/>
        <w:adjustRightInd w:val="0"/>
        <w:snapToGrid w:val="0"/>
        <w:spacing w:line="560" w:lineRule="exact"/>
        <w:ind w:left="0" w:leftChars="0" w:firstLine="320" w:firstLineChars="100"/>
        <w:jc w:val="left"/>
        <w:textAlignment w:val="auto"/>
        <w:rPr>
          <w:rFonts w:hint="default" w:ascii="Times New Roman" w:hAnsi="Times New Roman" w:eastAsia="方正仿宋_GBK" w:cs="Times New Roman"/>
          <w:color w:val="auto"/>
          <w:sz w:val="32"/>
          <w:szCs w:val="32"/>
          <w:highlight w:val="none"/>
          <w:lang w:val="en-US"/>
        </w:rPr>
      </w:pPr>
      <w:r>
        <w:rPr>
          <w:rFonts w:hint="default" w:ascii="Times New Roman" w:hAnsi="Times New Roman" w:eastAsia="方正仿宋_GBK" w:cs="Times New Roman"/>
          <w:color w:val="auto"/>
          <w:sz w:val="32"/>
          <w:szCs w:val="32"/>
          <w:highlight w:val="none"/>
        </w:rPr>
        <w:t>八、一般公共预算财政拨款基本支出决算</w:t>
      </w:r>
      <w:r>
        <w:rPr>
          <w:rFonts w:hint="default" w:ascii="Times New Roman" w:hAnsi="Times New Roman" w:eastAsia="方正仿宋_GBK" w:cs="Times New Roman"/>
          <w:color w:val="auto"/>
          <w:sz w:val="32"/>
          <w:szCs w:val="32"/>
          <w:highlight w:val="none"/>
          <w:lang w:eastAsia="zh-CN"/>
        </w:rPr>
        <w:t>明细</w:t>
      </w:r>
      <w:r>
        <w:rPr>
          <w:rFonts w:hint="default" w:ascii="Times New Roman" w:hAnsi="Times New Roman" w:eastAsia="方正仿宋_GBK" w:cs="Times New Roman"/>
          <w:color w:val="auto"/>
          <w:sz w:val="32"/>
          <w:szCs w:val="32"/>
          <w:highlight w:val="none"/>
        </w:rPr>
        <w:t>表</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........31</w:t>
      </w:r>
    </w:p>
    <w:p>
      <w:pPr>
        <w:pStyle w:val="13"/>
        <w:keepNext w:val="0"/>
        <w:keepLines w:val="0"/>
        <w:pageBreakBefore w:val="0"/>
        <w:kinsoku/>
        <w:wordWrap/>
        <w:overflowPunct/>
        <w:topLinePunct w:val="0"/>
        <w:autoSpaceDE/>
        <w:autoSpaceDN/>
        <w:bidi w:val="0"/>
        <w:adjustRightInd w:val="0"/>
        <w:snapToGrid w:val="0"/>
        <w:spacing w:line="560" w:lineRule="exact"/>
        <w:ind w:left="0" w:leftChars="0" w:firstLine="320" w:firstLineChars="100"/>
        <w:jc w:val="left"/>
        <w:textAlignment w:val="auto"/>
        <w:rPr>
          <w:rFonts w:hint="default" w:ascii="Arial" w:hAnsi="Arial" w:eastAsia="方正黑体_GBK" w:cs="Arial"/>
          <w:color w:val="auto"/>
          <w:sz w:val="32"/>
          <w:szCs w:val="32"/>
          <w:highlight w:val="none"/>
          <w:lang w:val="en-US" w:eastAsia="zh-CN"/>
        </w:rPr>
      </w:pPr>
      <w:r>
        <w:rPr>
          <w:rFonts w:hint="default" w:ascii="Times New Roman" w:hAnsi="Times New Roman" w:eastAsia="方正仿宋_GBK" w:cs="Times New Roman"/>
          <w:color w:val="auto"/>
          <w:sz w:val="32"/>
          <w:szCs w:val="32"/>
          <w:highlight w:val="none"/>
        </w:rPr>
        <w:t>九、一般公共预算财政拨款项目支出决算表</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31</w:t>
      </w:r>
    </w:p>
    <w:p>
      <w:pPr>
        <w:pStyle w:val="13"/>
        <w:keepNext w:val="0"/>
        <w:keepLines w:val="0"/>
        <w:pageBreakBefore w:val="0"/>
        <w:kinsoku/>
        <w:wordWrap/>
        <w:overflowPunct/>
        <w:topLinePunct w:val="0"/>
        <w:autoSpaceDE/>
        <w:autoSpaceDN/>
        <w:bidi w:val="0"/>
        <w:adjustRightInd w:val="0"/>
        <w:snapToGrid w:val="0"/>
        <w:spacing w:line="560" w:lineRule="exact"/>
        <w:ind w:left="0" w:leftChars="0" w:firstLine="320" w:firstLineChars="100"/>
        <w:jc w:val="left"/>
        <w:textAlignment w:val="auto"/>
        <w:rPr>
          <w:rFonts w:hint="default" w:ascii="Times New Roman" w:hAnsi="Times New Roman" w:eastAsia="方正仿宋_GBK" w:cs="Times New Roman"/>
          <w:color w:val="auto"/>
          <w:sz w:val="32"/>
          <w:szCs w:val="32"/>
          <w:highlight w:val="none"/>
          <w:lang w:val="en-US"/>
        </w:rPr>
      </w:pPr>
      <w:r>
        <w:rPr>
          <w:rFonts w:hint="default" w:ascii="Times New Roman" w:hAnsi="Times New Roman" w:eastAsia="方正仿宋_GBK" w:cs="Times New Roman"/>
          <w:color w:val="auto"/>
          <w:sz w:val="32"/>
          <w:szCs w:val="32"/>
          <w:highlight w:val="none"/>
        </w:rPr>
        <w:t>十、政府性基金预算财政拨款收入支出决算表</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31</w:t>
      </w:r>
    </w:p>
    <w:p>
      <w:pPr>
        <w:pStyle w:val="13"/>
        <w:keepNext w:val="0"/>
        <w:keepLines w:val="0"/>
        <w:pageBreakBefore w:val="0"/>
        <w:kinsoku/>
        <w:wordWrap/>
        <w:overflowPunct/>
        <w:topLinePunct w:val="0"/>
        <w:autoSpaceDE/>
        <w:autoSpaceDN/>
        <w:bidi w:val="0"/>
        <w:adjustRightInd w:val="0"/>
        <w:snapToGrid w:val="0"/>
        <w:spacing w:line="560" w:lineRule="exact"/>
        <w:ind w:left="0" w:leftChars="0" w:firstLine="320" w:firstLineChars="100"/>
        <w:jc w:val="left"/>
        <w:textAlignment w:val="auto"/>
        <w:rPr>
          <w:rFonts w:hint="default" w:ascii="Arial" w:hAnsi="Arial" w:eastAsia="方正黑体_GBK" w:cs="Arial"/>
          <w:color w:val="auto"/>
          <w:sz w:val="32"/>
          <w:szCs w:val="32"/>
          <w:highlight w:val="none"/>
          <w:lang w:val="en-US" w:eastAsia="zh-CN"/>
        </w:rPr>
      </w:pPr>
      <w:r>
        <w:rPr>
          <w:rFonts w:hint="default" w:ascii="Times New Roman" w:hAnsi="Times New Roman" w:eastAsia="方正仿宋_GBK" w:cs="Times New Roman"/>
          <w:color w:val="auto"/>
          <w:sz w:val="32"/>
          <w:szCs w:val="32"/>
          <w:highlight w:val="none"/>
        </w:rPr>
        <w:t>十一、国有资本经营预算财政拨款收入支出决算表</w:t>
      </w:r>
      <w:r>
        <w:rPr>
          <w:rFonts w:hint="eastAsia" w:ascii="Arial" w:hAnsi="Arial" w:eastAsia="方正黑体_GBK" w:cs="Arial"/>
          <w:color w:val="auto"/>
          <w:sz w:val="32"/>
          <w:szCs w:val="32"/>
          <w:highlight w:val="none"/>
          <w:lang w:val="en-US" w:eastAsia="zh-CN"/>
        </w:rPr>
        <w:t>........31</w:t>
      </w:r>
    </w:p>
    <w:p>
      <w:pPr>
        <w:pStyle w:val="13"/>
        <w:keepNext w:val="0"/>
        <w:keepLines w:val="0"/>
        <w:pageBreakBefore w:val="0"/>
        <w:kinsoku/>
        <w:wordWrap/>
        <w:overflowPunct/>
        <w:topLinePunct w:val="0"/>
        <w:autoSpaceDE/>
        <w:autoSpaceDN/>
        <w:bidi w:val="0"/>
        <w:adjustRightInd w:val="0"/>
        <w:snapToGrid w:val="0"/>
        <w:spacing w:line="560" w:lineRule="exact"/>
        <w:ind w:left="0" w:leftChars="0" w:firstLine="320" w:firstLineChars="100"/>
        <w:jc w:val="left"/>
        <w:textAlignment w:val="auto"/>
        <w:rPr>
          <w:rFonts w:hint="default" w:ascii="Times New Roman" w:hAnsi="Times New Roman" w:eastAsia="方正仿宋_GBK" w:cs="Times New Roman"/>
          <w:color w:val="auto"/>
          <w:sz w:val="32"/>
          <w:szCs w:val="32"/>
          <w:highlight w:val="none"/>
          <w:lang w:val="en-US"/>
        </w:rPr>
      </w:pPr>
      <w:r>
        <w:rPr>
          <w:rFonts w:hint="default" w:ascii="Times New Roman" w:hAnsi="Times New Roman" w:eastAsia="方正仿宋_GBK" w:cs="Times New Roman"/>
          <w:color w:val="auto"/>
          <w:sz w:val="32"/>
          <w:szCs w:val="32"/>
          <w:highlight w:val="none"/>
        </w:rPr>
        <w:t>十二、</w:t>
      </w:r>
      <w:r>
        <w:rPr>
          <w:rFonts w:hint="default" w:ascii="Times New Roman" w:hAnsi="Times New Roman" w:eastAsia="方正仿宋_GBK" w:cs="Times New Roman"/>
          <w:color w:val="auto"/>
          <w:sz w:val="32"/>
          <w:szCs w:val="32"/>
          <w:highlight w:val="none"/>
          <w:lang w:val="en-US" w:eastAsia="zh-CN"/>
        </w:rPr>
        <w:t>国有资本经营预算财政拨款支出决算表</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31</w:t>
      </w:r>
    </w:p>
    <w:p>
      <w:pPr>
        <w:pStyle w:val="13"/>
        <w:keepNext w:val="0"/>
        <w:keepLines w:val="0"/>
        <w:pageBreakBefore w:val="0"/>
        <w:kinsoku/>
        <w:wordWrap/>
        <w:overflowPunct/>
        <w:topLinePunct w:val="0"/>
        <w:autoSpaceDE/>
        <w:autoSpaceDN/>
        <w:bidi w:val="0"/>
        <w:adjustRightInd w:val="0"/>
        <w:snapToGrid w:val="0"/>
        <w:spacing w:line="560" w:lineRule="exact"/>
        <w:ind w:left="0" w:leftChars="0" w:firstLine="320" w:firstLineChars="100"/>
        <w:jc w:val="left"/>
        <w:textAlignment w:val="auto"/>
        <w:rPr>
          <w:rFonts w:hint="default" w:ascii="Times New Roman" w:hAnsi="Times New Roman" w:eastAsia="方正仿宋_GBK" w:cs="Times New Roman"/>
          <w:color w:val="auto"/>
          <w:sz w:val="32"/>
          <w:szCs w:val="32"/>
          <w:highlight w:val="none"/>
          <w:lang w:val="en-US"/>
        </w:rPr>
      </w:pPr>
      <w:r>
        <w:rPr>
          <w:rFonts w:hint="default" w:ascii="Times New Roman" w:hAnsi="Times New Roman" w:eastAsia="方正仿宋_GBK" w:cs="Times New Roman"/>
          <w:color w:val="auto"/>
          <w:sz w:val="32"/>
          <w:szCs w:val="32"/>
          <w:highlight w:val="none"/>
        </w:rPr>
        <w:t>十三、财政拨款“三公”经费支出决算表</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.......31</w:t>
      </w:r>
    </w:p>
    <w:p>
      <w:pPr>
        <w:widowControl/>
        <w:spacing w:line="440" w:lineRule="exact"/>
        <w:jc w:val="left"/>
        <w:rPr>
          <w:rFonts w:hint="default" w:ascii="Times New Roman" w:hAnsi="Times New Roman" w:eastAsia="仿宋" w:cs="Times New Roman"/>
          <w:bCs/>
          <w:kern w:val="44"/>
          <w:sz w:val="24"/>
        </w:rPr>
      </w:pPr>
    </w:p>
    <w:p>
      <w:pPr>
        <w:keepNext w:val="0"/>
        <w:keepLines w:val="0"/>
        <w:pageBreakBefore w:val="0"/>
        <w:widowControl/>
        <w:kinsoku/>
        <w:wordWrap/>
        <w:overflowPunct/>
        <w:topLinePunct w:val="0"/>
        <w:autoSpaceDE/>
        <w:autoSpaceDN/>
        <w:bidi w:val="0"/>
        <w:adjustRightInd w:val="0"/>
        <w:snapToGrid w:val="0"/>
        <w:spacing w:line="560" w:lineRule="exact"/>
        <w:ind w:firstLine="1760" w:firstLineChars="550"/>
        <w:jc w:val="left"/>
        <w:textAlignment w:val="auto"/>
        <w:rPr>
          <w:rFonts w:hint="default" w:ascii="Times New Roman" w:hAnsi="Times New Roman" w:eastAsia="仿宋" w:cs="Times New Roman"/>
          <w:color w:val="auto"/>
          <w:sz w:val="32"/>
          <w:szCs w:val="32"/>
          <w:highlight w:val="red"/>
        </w:rPr>
      </w:pPr>
    </w:p>
    <w:p>
      <w:pPr>
        <w:widowControl/>
        <w:spacing w:line="440" w:lineRule="exact"/>
        <w:jc w:val="left"/>
        <w:rPr>
          <w:rFonts w:hint="default" w:ascii="Times New Roman" w:hAnsi="Times New Roman" w:eastAsia="仿宋" w:cs="Times New Roman"/>
          <w:bCs/>
          <w:kern w:val="44"/>
          <w:sz w:val="24"/>
        </w:rPr>
      </w:pPr>
    </w:p>
    <w:p>
      <w:pPr>
        <w:pStyle w:val="4"/>
        <w:jc w:val="center"/>
        <w:rPr>
          <w:rFonts w:hint="default" w:ascii="Times New Roman" w:hAnsi="Times New Roman" w:eastAsia="黑体" w:cs="Times New Roman"/>
          <w:b w:val="0"/>
        </w:rPr>
      </w:pPr>
    </w:p>
    <w:p>
      <w:pPr>
        <w:pStyle w:val="4"/>
        <w:jc w:val="center"/>
        <w:rPr>
          <w:rFonts w:hint="default" w:ascii="Times New Roman" w:hAnsi="Times New Roman" w:eastAsia="黑体" w:cs="Times New Roman"/>
          <w:b w:val="0"/>
        </w:rPr>
      </w:pPr>
    </w:p>
    <w:p>
      <w:pPr>
        <w:pStyle w:val="4"/>
        <w:jc w:val="both"/>
        <w:rPr>
          <w:rFonts w:hint="default" w:ascii="Times New Roman" w:hAnsi="Times New Roman" w:eastAsia="黑体" w:cs="Times New Roman"/>
          <w:b w:val="0"/>
        </w:rPr>
      </w:pPr>
    </w:p>
    <w:p>
      <w:pPr>
        <w:rPr>
          <w:rFonts w:hint="default" w:ascii="Times New Roman" w:hAnsi="Times New Roman" w:cs="Times New Roman"/>
        </w:rPr>
      </w:pPr>
    </w:p>
    <w:bookmarkEnd w:id="12"/>
    <w:bookmarkEnd w:id="13"/>
    <w:p>
      <w:pPr>
        <w:pStyle w:val="4"/>
        <w:keepNext/>
        <w:keepLines/>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z w:val="32"/>
          <w:szCs w:val="32"/>
          <w:highlight w:val="none"/>
        </w:rPr>
      </w:pPr>
      <w:r>
        <w:rPr>
          <w:rFonts w:hint="default" w:ascii="Times New Roman" w:hAnsi="Times New Roman" w:eastAsia="方正小标宋简体" w:cs="Times New Roman"/>
          <w:b w:val="0"/>
          <w:color w:val="auto"/>
          <w:highlight w:val="none"/>
        </w:rPr>
        <w:t xml:space="preserve">第一部分 </w:t>
      </w:r>
      <w:r>
        <w:rPr>
          <w:rFonts w:hint="default" w:ascii="Times New Roman" w:hAnsi="Times New Roman" w:eastAsia="方正小标宋简体" w:cs="Times New Roman"/>
          <w:b w:val="0"/>
          <w:color w:val="auto"/>
          <w:highlight w:val="none"/>
          <w:lang w:eastAsia="zh-CN"/>
        </w:rPr>
        <w:t>单位</w:t>
      </w:r>
      <w:r>
        <w:rPr>
          <w:rStyle w:val="35"/>
          <w:rFonts w:hint="default" w:ascii="Times New Roman" w:hAnsi="Times New Roman" w:eastAsia="方正小标宋简体" w:cs="Times New Roman"/>
          <w:b w:val="0"/>
          <w:bCs w:val="0"/>
          <w:color w:val="auto"/>
          <w:highlight w:val="none"/>
        </w:rPr>
        <w:t>概况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val="en-US" w:eastAsia="zh-CN"/>
        </w:rPr>
        <w:t>一、</w:t>
      </w:r>
      <w:r>
        <w:rPr>
          <w:rFonts w:hint="default" w:ascii="Times New Roman" w:hAnsi="Times New Roman" w:eastAsia="黑体" w:cs="Times New Roman"/>
          <w:sz w:val="32"/>
          <w:szCs w:val="32"/>
          <w:lang w:eastAsia="zh-CN"/>
        </w:rPr>
        <w:t>主要职责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一</w:t>
      </w:r>
      <w:r>
        <w:rPr>
          <w:rFonts w:hint="default" w:ascii="Times New Roman" w:hAnsi="Times New Roman" w:eastAsia="仿宋_GB2312" w:cs="Times New Roman"/>
          <w:sz w:val="32"/>
          <w:szCs w:val="32"/>
          <w:lang w:eastAsia="zh-CN"/>
        </w:rPr>
        <w:t>）贯彻执行中央、省关于行政管理体制改革和机构改革、事业单位改革及机构编制管理的方针政策、法律法规，研究拟定本州的政策规定、管理办法和实施细则。</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二</w:t>
      </w:r>
      <w:r>
        <w:rPr>
          <w:rFonts w:hint="default" w:ascii="Times New Roman" w:hAnsi="Times New Roman" w:eastAsia="仿宋_GB2312" w:cs="Times New Roman"/>
          <w:sz w:val="32"/>
          <w:szCs w:val="32"/>
          <w:lang w:eastAsia="zh-CN"/>
        </w:rPr>
        <w:t>）研究拟定全州行政管理体制改革和机构改革方案，审核州直各部门“三定”规定和县（市）、乡镇机构改革方案，指导县（市）、乡镇行政管理体制改革和机构改革，评估改革效果。参与行政审批制度改革和行政区划调整的有关工作。</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三</w:t>
      </w:r>
      <w:r>
        <w:rPr>
          <w:rFonts w:hint="default" w:ascii="Times New Roman" w:hAnsi="Times New Roman" w:eastAsia="仿宋_GB2312" w:cs="Times New Roman"/>
          <w:sz w:val="32"/>
          <w:szCs w:val="32"/>
          <w:lang w:eastAsia="zh-CN"/>
        </w:rPr>
        <w:t>）拟定全州各级行政编制、政法专项编制总额分配方案,审核跨层级调整行政编制事项。负责全州行政事业编制总量控制、结构调整和机关事业单位机构编制实名制管理工作。对州直机关和州属事业单位使用空缺编制补充人员以及进入州级财政供养范围的人员（工勤人员除外）进行核批。</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四</w:t>
      </w:r>
      <w:r>
        <w:rPr>
          <w:rFonts w:hint="default" w:ascii="Times New Roman" w:hAnsi="Times New Roman" w:eastAsia="仿宋_GB2312" w:cs="Times New Roman"/>
          <w:sz w:val="32"/>
          <w:szCs w:val="32"/>
          <w:lang w:eastAsia="zh-CN"/>
        </w:rPr>
        <w:t>）负责州委、州政府各部门，州人大、州政协机关及州人民团体机关的机构编制管理工作。协调州直各部门之间及州直各部门与县（市）之间的职责分工。</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五</w:t>
      </w:r>
      <w:r>
        <w:rPr>
          <w:rFonts w:hint="default" w:ascii="Times New Roman" w:hAnsi="Times New Roman" w:eastAsia="仿宋_GB2312" w:cs="Times New Roman"/>
          <w:sz w:val="32"/>
          <w:szCs w:val="32"/>
          <w:lang w:eastAsia="zh-CN"/>
        </w:rPr>
        <w:t>）审核各县（市）副科级或按照副科级及以上规格管理机构的设置、调整，指导县（市）、乡镇机构编制管理工作。</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六</w:t>
      </w:r>
      <w:r>
        <w:rPr>
          <w:rFonts w:hint="default" w:ascii="Times New Roman" w:hAnsi="Times New Roman" w:eastAsia="仿宋_GB2312" w:cs="Times New Roman"/>
          <w:sz w:val="32"/>
          <w:szCs w:val="32"/>
          <w:lang w:eastAsia="zh-CN"/>
        </w:rPr>
        <w:t>）研究拟定全州事业单位改革方案及其实施意见，负责州属事业单位机构编制管理，审核州属事业单位的机构编制方案，负责参照公务员法管理事业单位的职责审核工作，审核各县（市）、乡镇事业单位改革总体方案，指导并协调县、乡镇事业单位改革和机构编制管理工作。</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七</w:t>
      </w:r>
      <w:r>
        <w:rPr>
          <w:rFonts w:hint="default" w:ascii="Times New Roman" w:hAnsi="Times New Roman" w:eastAsia="仿宋_GB2312" w:cs="Times New Roman"/>
          <w:sz w:val="32"/>
          <w:szCs w:val="32"/>
          <w:lang w:eastAsia="zh-CN"/>
        </w:rPr>
        <w:t>）监督检查全州行政管理体制改革和机构改革方案及机构编制规定执行情况,建立机构编制工作考核评估制度,会同有关部门查处机构编制违法违纪行为。</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八</w:t>
      </w:r>
      <w:r>
        <w:rPr>
          <w:rFonts w:hint="default" w:ascii="Times New Roman" w:hAnsi="Times New Roman" w:eastAsia="仿宋_GB2312" w:cs="Times New Roman"/>
          <w:sz w:val="32"/>
          <w:szCs w:val="32"/>
          <w:lang w:eastAsia="zh-CN"/>
        </w:rPr>
        <w:t>）负责全州事业单位登记管理工作，组织实施州属事业单位登记和年度报告公示工作。</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九</w:t>
      </w:r>
      <w:r>
        <w:rPr>
          <w:rFonts w:hint="default" w:ascii="Times New Roman" w:hAnsi="Times New Roman" w:eastAsia="仿宋_GB2312" w:cs="Times New Roman"/>
          <w:sz w:val="32"/>
          <w:szCs w:val="32"/>
          <w:lang w:eastAsia="zh-CN"/>
        </w:rPr>
        <w:t>）负责州级党政群机关、事业单位政务和公益中文域名管理工作，指导和监督各县（市）政务和公益中文域名管理工作。</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十</w:t>
      </w:r>
      <w:r>
        <w:rPr>
          <w:rFonts w:hint="default" w:ascii="Times New Roman" w:hAnsi="Times New Roman" w:eastAsia="仿宋_GB2312" w:cs="Times New Roman"/>
          <w:sz w:val="32"/>
          <w:szCs w:val="32"/>
          <w:lang w:eastAsia="zh-CN"/>
        </w:rPr>
        <w:t>）负责州级党政群机关、事业单位和社会组织网上名称管理工作，指导和监督各县（市）机构编制管理机关的网上名称管理工作。</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十一</w:t>
      </w:r>
      <w:r>
        <w:rPr>
          <w:rFonts w:hint="default" w:ascii="Times New Roman" w:hAnsi="Times New Roman" w:eastAsia="仿宋_GB2312" w:cs="Times New Roman"/>
          <w:sz w:val="32"/>
          <w:szCs w:val="32"/>
          <w:lang w:eastAsia="zh-CN"/>
        </w:rPr>
        <w:t>）负责州级机关、编办直接管理机构编制的群众团体机关统一社会信用代码赋码颁证工作。</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lang w:eastAsia="zh-CN"/>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十二</w:t>
      </w:r>
      <w:r>
        <w:rPr>
          <w:rFonts w:hint="default" w:ascii="Times New Roman" w:hAnsi="Times New Roman" w:eastAsia="仿宋_GB2312" w:cs="Times New Roman"/>
          <w:sz w:val="32"/>
          <w:szCs w:val="32"/>
          <w:lang w:eastAsia="zh-CN"/>
        </w:rPr>
        <w:t>）承办州委、州委编委交办的其他工作。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b w:val="0"/>
          <w:color w:val="auto"/>
          <w:sz w:val="32"/>
          <w:szCs w:val="32"/>
          <w:highlight w:val="none"/>
          <w:lang w:val="en-US" w:eastAsia="zh-CN"/>
        </w:rPr>
        <w:t>二、</w:t>
      </w:r>
      <w:r>
        <w:rPr>
          <w:rFonts w:hint="default" w:ascii="Times New Roman" w:hAnsi="Times New Roman" w:eastAsia="黑体" w:cs="Times New Roman"/>
          <w:sz w:val="32"/>
          <w:szCs w:val="32"/>
          <w:lang w:val="en-US" w:eastAsia="zh-CN"/>
        </w:rPr>
        <w:t>机构设置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我单位为一级预算单位，州</w:t>
      </w:r>
      <w:r>
        <w:rPr>
          <w:rFonts w:hint="default" w:ascii="Times New Roman" w:hAnsi="Times New Roman" w:eastAsia="仿宋_GB2312" w:cs="Times New Roman"/>
          <w:sz w:val="32"/>
          <w:szCs w:val="32"/>
          <w:lang w:val="en-US" w:eastAsia="zh-CN"/>
        </w:rPr>
        <w:t>机构编制实名制管理中心</w:t>
      </w:r>
      <w:r>
        <w:rPr>
          <w:rFonts w:hint="default" w:ascii="Times New Roman" w:hAnsi="Times New Roman" w:eastAsia="仿宋_GB2312" w:cs="Times New Roman"/>
          <w:sz w:val="32"/>
          <w:szCs w:val="32"/>
          <w:lang w:eastAsia="zh-CN"/>
        </w:rPr>
        <w:t>为我单位二级预算单位。</w:t>
      </w:r>
    </w:p>
    <w:p>
      <w:pPr>
        <w:widowControl/>
        <w:jc w:val="left"/>
        <w:rPr>
          <w:rFonts w:hint="default" w:ascii="Times New Roman" w:hAnsi="Times New Roman" w:eastAsia="仿宋" w:cs="Times New Roman"/>
          <w:kern w:val="0"/>
          <w:sz w:val="32"/>
          <w:szCs w:val="32"/>
        </w:rPr>
      </w:pPr>
      <w:r>
        <w:rPr>
          <w:rFonts w:hint="default" w:ascii="Times New Roman" w:hAnsi="Times New Roman" w:eastAsia="仿宋" w:cs="Times New Roman"/>
          <w:sz w:val="32"/>
          <w:szCs w:val="32"/>
        </w:rPr>
        <w:br w:type="page"/>
      </w:r>
    </w:p>
    <w:p>
      <w:pPr>
        <w:pStyle w:val="4"/>
        <w:ind w:right="440"/>
        <w:jc w:val="center"/>
        <w:rPr>
          <w:rStyle w:val="29"/>
          <w:rFonts w:hint="default" w:ascii="Times New Roman" w:hAnsi="Times New Roman" w:eastAsia="方正小标宋简体" w:cs="Times New Roman"/>
          <w:b w:val="0"/>
          <w:bCs/>
          <w:sz w:val="44"/>
          <w:szCs w:val="44"/>
        </w:rPr>
      </w:pPr>
      <w:bookmarkStart w:id="14" w:name="_Toc15396602"/>
      <w:bookmarkStart w:id="15" w:name="_Toc15377204"/>
      <w:r>
        <w:rPr>
          <w:rFonts w:hint="default" w:ascii="Times New Roman" w:hAnsi="Times New Roman" w:eastAsia="方正小标宋简体" w:cs="Times New Roman"/>
          <w:b w:val="0"/>
          <w:sz w:val="44"/>
          <w:szCs w:val="44"/>
        </w:rPr>
        <w:t>第二部分 202</w:t>
      </w:r>
      <w:r>
        <w:rPr>
          <w:rFonts w:hint="eastAsia" w:eastAsia="方正小标宋简体" w:cs="Times New Roman"/>
          <w:b w:val="0"/>
          <w:sz w:val="44"/>
          <w:szCs w:val="44"/>
          <w:lang w:val="en-US" w:eastAsia="zh-CN"/>
        </w:rPr>
        <w:t>4</w:t>
      </w:r>
      <w:r>
        <w:rPr>
          <w:rFonts w:hint="default" w:ascii="Times New Roman" w:hAnsi="Times New Roman" w:eastAsia="方正小标宋简体" w:cs="Times New Roman"/>
          <w:b w:val="0"/>
          <w:sz w:val="44"/>
          <w:szCs w:val="44"/>
        </w:rPr>
        <w:t>年度</w:t>
      </w:r>
      <w:r>
        <w:rPr>
          <w:rStyle w:val="29"/>
          <w:rFonts w:hint="default" w:ascii="Times New Roman" w:hAnsi="Times New Roman" w:eastAsia="方正小标宋简体" w:cs="Times New Roman"/>
          <w:b w:val="0"/>
          <w:bCs/>
          <w:sz w:val="44"/>
          <w:szCs w:val="44"/>
        </w:rPr>
        <w:t>单位决算情况说明</w:t>
      </w:r>
      <w:bookmarkEnd w:id="14"/>
      <w:bookmarkEnd w:id="15"/>
    </w:p>
    <w:p>
      <w:pPr>
        <w:rPr>
          <w:rFonts w:hint="default" w:ascii="Times New Roman" w:hAnsi="Times New Roman" w:cs="Times New Roman"/>
        </w:rPr>
      </w:pPr>
    </w:p>
    <w:p>
      <w:pPr>
        <w:pStyle w:val="28"/>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Chars="0"/>
        <w:textAlignment w:val="auto"/>
        <w:outlineLvl w:val="1"/>
        <w:rPr>
          <w:rStyle w:val="30"/>
          <w:rFonts w:hint="default" w:ascii="Times New Roman" w:hAnsi="Times New Roman" w:eastAsia="黑体" w:cs="Times New Roman"/>
          <w:b w:val="0"/>
        </w:rPr>
      </w:pPr>
      <w:bookmarkStart w:id="16" w:name="_Toc15396603"/>
      <w:bookmarkStart w:id="17" w:name="_Toc15377205"/>
      <w:r>
        <w:rPr>
          <w:rFonts w:hint="default" w:ascii="Times New Roman" w:hAnsi="Times New Roman" w:eastAsia="黑体" w:cs="Times New Roman"/>
          <w:sz w:val="32"/>
          <w:szCs w:val="32"/>
        </w:rPr>
        <w:t>收</w:t>
      </w:r>
      <w:r>
        <w:rPr>
          <w:rStyle w:val="30"/>
          <w:rFonts w:hint="default" w:ascii="Times New Roman" w:hAnsi="Times New Roman" w:eastAsia="黑体" w:cs="Times New Roman"/>
          <w:b w:val="0"/>
        </w:rPr>
        <w:t>入支出决算总体情况说明</w:t>
      </w:r>
      <w:bookmarkEnd w:id="16"/>
      <w:bookmarkEnd w:id="17"/>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202</w:t>
      </w:r>
      <w:r>
        <w:rPr>
          <w:rFonts w:hint="default" w:ascii="Times New Roman" w:hAnsi="Times New Roman" w:eastAsia="方正仿宋_GBK" w:cs="Times New Roman"/>
          <w:b w:val="0"/>
          <w:bCs w:val="0"/>
          <w:sz w:val="32"/>
          <w:szCs w:val="32"/>
          <w:lang w:val="en-US" w:eastAsia="zh-CN"/>
        </w:rPr>
        <w:t>4</w:t>
      </w:r>
      <w:r>
        <w:rPr>
          <w:rFonts w:hint="default" w:ascii="Times New Roman" w:hAnsi="Times New Roman" w:eastAsia="方正仿宋_GBK" w:cs="Times New Roman"/>
          <w:b w:val="0"/>
          <w:bCs w:val="0"/>
          <w:sz w:val="32"/>
          <w:szCs w:val="32"/>
        </w:rPr>
        <w:t>年度收</w:t>
      </w:r>
      <w:r>
        <w:rPr>
          <w:rFonts w:hint="default" w:ascii="Times New Roman" w:hAnsi="Times New Roman" w:eastAsia="方正仿宋_GBK" w:cs="Times New Roman"/>
          <w:b w:val="0"/>
          <w:bCs w:val="0"/>
          <w:sz w:val="32"/>
          <w:szCs w:val="32"/>
          <w:lang w:eastAsia="zh-CN"/>
        </w:rPr>
        <w:t>入</w:t>
      </w:r>
      <w:r>
        <w:rPr>
          <w:rFonts w:hint="default" w:ascii="Times New Roman" w:hAnsi="Times New Roman" w:eastAsia="方正仿宋_GBK" w:cs="Times New Roman"/>
          <w:b w:val="0"/>
          <w:bCs w:val="0"/>
          <w:sz w:val="32"/>
          <w:szCs w:val="32"/>
        </w:rPr>
        <w:t>、支</w:t>
      </w:r>
      <w:r>
        <w:rPr>
          <w:rFonts w:hint="default" w:ascii="Times New Roman" w:hAnsi="Times New Roman" w:eastAsia="方正仿宋_GBK" w:cs="Times New Roman"/>
          <w:b w:val="0"/>
          <w:bCs w:val="0"/>
          <w:sz w:val="32"/>
          <w:szCs w:val="32"/>
          <w:lang w:eastAsia="zh-CN"/>
        </w:rPr>
        <w:t>出</w:t>
      </w:r>
      <w:r>
        <w:rPr>
          <w:rFonts w:hint="default" w:ascii="Times New Roman" w:hAnsi="Times New Roman" w:eastAsia="方正仿宋_GBK" w:cs="Times New Roman"/>
          <w:b w:val="0"/>
          <w:bCs w:val="0"/>
          <w:sz w:val="32"/>
          <w:szCs w:val="32"/>
        </w:rPr>
        <w:t>总计均为</w:t>
      </w:r>
      <w:r>
        <w:rPr>
          <w:rFonts w:hint="default" w:ascii="Times New Roman" w:hAnsi="Times New Roman" w:eastAsia="方正仿宋_GBK" w:cs="Times New Roman"/>
          <w:b w:val="0"/>
          <w:bCs w:val="0"/>
          <w:sz w:val="32"/>
          <w:szCs w:val="32"/>
          <w:lang w:val="en-US" w:eastAsia="zh-CN"/>
        </w:rPr>
        <w:t>709.97</w:t>
      </w:r>
      <w:r>
        <w:rPr>
          <w:rFonts w:hint="default" w:ascii="Times New Roman" w:hAnsi="Times New Roman" w:eastAsia="方正仿宋_GBK" w:cs="Times New Roman"/>
          <w:b w:val="0"/>
          <w:bCs w:val="0"/>
          <w:sz w:val="32"/>
          <w:szCs w:val="32"/>
        </w:rPr>
        <w:t>万元。与202</w:t>
      </w:r>
      <w:r>
        <w:rPr>
          <w:rFonts w:hint="default" w:ascii="Times New Roman" w:hAnsi="Times New Roman" w:eastAsia="方正仿宋_GBK" w:cs="Times New Roman"/>
          <w:b w:val="0"/>
          <w:bCs w:val="0"/>
          <w:sz w:val="32"/>
          <w:szCs w:val="32"/>
          <w:lang w:val="en-US" w:eastAsia="zh-CN"/>
        </w:rPr>
        <w:t>3</w:t>
      </w:r>
      <w:r>
        <w:rPr>
          <w:rFonts w:hint="default" w:ascii="Times New Roman" w:hAnsi="Times New Roman" w:eastAsia="方正仿宋_GBK" w:cs="Times New Roman"/>
          <w:b w:val="0"/>
          <w:bCs w:val="0"/>
          <w:sz w:val="32"/>
          <w:szCs w:val="32"/>
        </w:rPr>
        <w:t>年度相比，收</w:t>
      </w:r>
      <w:r>
        <w:rPr>
          <w:rFonts w:hint="default" w:ascii="Times New Roman" w:hAnsi="Times New Roman" w:eastAsia="方正仿宋_GBK" w:cs="Times New Roman"/>
          <w:b w:val="0"/>
          <w:bCs w:val="0"/>
          <w:sz w:val="32"/>
          <w:szCs w:val="32"/>
          <w:lang w:eastAsia="zh-CN"/>
        </w:rPr>
        <w:t>入</w:t>
      </w:r>
      <w:r>
        <w:rPr>
          <w:rFonts w:hint="default" w:ascii="Times New Roman" w:hAnsi="Times New Roman" w:eastAsia="方正仿宋_GBK" w:cs="Times New Roman"/>
          <w:b w:val="0"/>
          <w:bCs w:val="0"/>
          <w:sz w:val="32"/>
          <w:szCs w:val="32"/>
        </w:rPr>
        <w:t>、支</w:t>
      </w:r>
      <w:r>
        <w:rPr>
          <w:rFonts w:hint="default" w:ascii="Times New Roman" w:hAnsi="Times New Roman" w:eastAsia="方正仿宋_GBK" w:cs="Times New Roman"/>
          <w:b w:val="0"/>
          <w:bCs w:val="0"/>
          <w:sz w:val="32"/>
          <w:szCs w:val="32"/>
          <w:lang w:eastAsia="zh-CN"/>
        </w:rPr>
        <w:t>出</w:t>
      </w:r>
      <w:r>
        <w:rPr>
          <w:rFonts w:hint="default" w:ascii="Times New Roman" w:hAnsi="Times New Roman" w:eastAsia="方正仿宋_GBK" w:cs="Times New Roman"/>
          <w:b w:val="0"/>
          <w:bCs w:val="0"/>
          <w:sz w:val="32"/>
          <w:szCs w:val="32"/>
        </w:rPr>
        <w:t>总计各增加</w:t>
      </w:r>
      <w:r>
        <w:rPr>
          <w:rFonts w:hint="default" w:ascii="Times New Roman" w:hAnsi="Times New Roman" w:eastAsia="方正仿宋_GBK" w:cs="Times New Roman"/>
          <w:b w:val="0"/>
          <w:bCs w:val="0"/>
          <w:sz w:val="32"/>
          <w:szCs w:val="32"/>
          <w:lang w:val="en-US" w:eastAsia="zh-CN"/>
        </w:rPr>
        <w:t>177.49</w:t>
      </w:r>
      <w:r>
        <w:rPr>
          <w:rFonts w:hint="default" w:ascii="Times New Roman" w:hAnsi="Times New Roman" w:eastAsia="方正仿宋_GBK" w:cs="Times New Roman"/>
          <w:b w:val="0"/>
          <w:bCs w:val="0"/>
          <w:sz w:val="32"/>
          <w:szCs w:val="32"/>
        </w:rPr>
        <w:t>万元，增长</w:t>
      </w:r>
      <w:r>
        <w:rPr>
          <w:rFonts w:hint="default" w:ascii="Times New Roman" w:hAnsi="Times New Roman" w:eastAsia="方正仿宋_GBK" w:cs="Times New Roman"/>
          <w:b w:val="0"/>
          <w:bCs w:val="0"/>
          <w:sz w:val="32"/>
          <w:szCs w:val="32"/>
          <w:lang w:val="en-US" w:eastAsia="zh-CN"/>
        </w:rPr>
        <w:t>33.33%</w:t>
      </w:r>
      <w:r>
        <w:rPr>
          <w:rFonts w:hint="default" w:ascii="Times New Roman" w:hAnsi="Times New Roman" w:eastAsia="方正仿宋_GBK" w:cs="Times New Roman"/>
          <w:b w:val="0"/>
          <w:bCs w:val="0"/>
          <w:sz w:val="32"/>
          <w:szCs w:val="32"/>
        </w:rPr>
        <w:t>。主要变动原因是</w:t>
      </w:r>
      <w:r>
        <w:rPr>
          <w:rFonts w:hint="default" w:ascii="Times New Roman" w:hAnsi="Times New Roman" w:eastAsia="方正仿宋_GBK" w:cs="Times New Roman"/>
          <w:b w:val="0"/>
          <w:bCs w:val="0"/>
          <w:sz w:val="32"/>
          <w:szCs w:val="32"/>
          <w:highlight w:val="none"/>
          <w:lang w:eastAsia="zh-CN"/>
        </w:rPr>
        <w:t>项目经费增加</w:t>
      </w:r>
      <w:r>
        <w:rPr>
          <w:rFonts w:hint="default" w:ascii="Times New Roman" w:hAnsi="Times New Roman" w:eastAsia="方正仿宋_GBK" w:cs="Times New Roman"/>
          <w:b w:val="0"/>
          <w:bCs w:val="0"/>
          <w:sz w:val="32"/>
          <w:szCs w:val="32"/>
        </w:rPr>
        <w:t>。</w:t>
      </w:r>
    </w:p>
    <w:p>
      <w:pPr>
        <w:pStyle w:val="2"/>
        <w:rPr>
          <w:rFonts w:hint="default" w:ascii="Times New Roman" w:hAnsi="Times New Roman" w:eastAsia="仿宋" w:cs="Times New Roman"/>
          <w:sz w:val="32"/>
          <w:szCs w:val="32"/>
          <w:lang w:eastAsia="zh-CN"/>
        </w:rPr>
      </w:pPr>
      <w:r>
        <w:rPr>
          <w:rFonts w:hint="default" w:ascii="Times New Roman" w:hAnsi="Times New Roman" w:eastAsia="仿宋" w:cs="Times New Roman"/>
          <w:sz w:val="32"/>
          <w:szCs w:val="32"/>
          <w:lang w:eastAsia="zh-CN"/>
        </w:rPr>
        <w:drawing>
          <wp:anchor distT="0" distB="0" distL="114300" distR="114300" simplePos="0" relativeHeight="251659264" behindDoc="0" locked="0" layoutInCell="1" allowOverlap="1">
            <wp:simplePos x="0" y="0"/>
            <wp:positionH relativeFrom="column">
              <wp:posOffset>357505</wp:posOffset>
            </wp:positionH>
            <wp:positionV relativeFrom="paragraph">
              <wp:posOffset>149860</wp:posOffset>
            </wp:positionV>
            <wp:extent cx="4869815" cy="2924175"/>
            <wp:effectExtent l="4445" t="4445" r="21590" b="5080"/>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1600" w:firstLineChars="5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图</w:t>
      </w:r>
    </w:p>
    <w:p>
      <w:pPr>
        <w:spacing w:line="600" w:lineRule="exact"/>
        <w:ind w:firstLine="1600" w:firstLineChars="500"/>
        <w:rPr>
          <w:rFonts w:hint="default" w:ascii="Times New Roman" w:hAnsi="Times New Roman" w:eastAsia="仿宋" w:cs="Times New Roman"/>
          <w:sz w:val="32"/>
          <w:szCs w:val="32"/>
        </w:rPr>
      </w:pPr>
    </w:p>
    <w:p>
      <w:pPr>
        <w:spacing w:line="600" w:lineRule="exact"/>
        <w:ind w:firstLine="1600" w:firstLineChars="500"/>
        <w:rPr>
          <w:rFonts w:hint="default" w:ascii="Times New Roman" w:hAnsi="Times New Roman" w:eastAsia="仿宋" w:cs="Times New Roman"/>
          <w:sz w:val="32"/>
          <w:szCs w:val="32"/>
        </w:rPr>
      </w:pPr>
    </w:p>
    <w:p>
      <w:pPr>
        <w:spacing w:line="600" w:lineRule="exact"/>
        <w:ind w:firstLine="1600" w:firstLineChars="500"/>
        <w:rPr>
          <w:rFonts w:hint="default" w:ascii="Times New Roman" w:hAnsi="Times New Roman" w:eastAsia="仿宋" w:cs="Times New Roman"/>
          <w:sz w:val="32"/>
          <w:szCs w:val="32"/>
        </w:rPr>
      </w:pPr>
    </w:p>
    <w:p>
      <w:pPr>
        <w:spacing w:line="600" w:lineRule="exact"/>
        <w:ind w:firstLine="1600" w:firstLineChars="500"/>
        <w:rPr>
          <w:rFonts w:hint="default" w:ascii="Times New Roman" w:hAnsi="Times New Roman" w:eastAsia="仿宋" w:cs="Times New Roman"/>
          <w:sz w:val="32"/>
          <w:szCs w:val="32"/>
        </w:rPr>
      </w:pPr>
    </w:p>
    <w:p>
      <w:pPr>
        <w:spacing w:line="600" w:lineRule="exact"/>
        <w:ind w:firstLine="1600" w:firstLineChars="500"/>
        <w:rPr>
          <w:rFonts w:hint="default" w:ascii="Times New Roman" w:hAnsi="Times New Roman" w:eastAsia="仿宋" w:cs="Times New Roman"/>
          <w:sz w:val="32"/>
          <w:szCs w:val="32"/>
        </w:rPr>
      </w:pPr>
    </w:p>
    <w:p>
      <w:pPr>
        <w:spacing w:line="600" w:lineRule="exact"/>
        <w:ind w:firstLine="1600" w:firstLineChars="500"/>
        <w:rPr>
          <w:rFonts w:hint="default" w:ascii="Times New Roman" w:hAnsi="Times New Roman" w:eastAsia="仿宋" w:cs="Times New Roman"/>
          <w:sz w:val="32"/>
          <w:szCs w:val="32"/>
        </w:rPr>
      </w:pPr>
    </w:p>
    <w:p>
      <w:pPr>
        <w:spacing w:line="600" w:lineRule="exact"/>
        <w:ind w:firstLine="1600" w:firstLineChars="500"/>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lang w:eastAsia="zh-CN"/>
        </w:rPr>
        <w:t>图</w:t>
      </w:r>
      <w:r>
        <w:rPr>
          <w:rFonts w:hint="default" w:ascii="Times New Roman" w:hAnsi="Times New Roman" w:eastAsia="方正楷体_GBK" w:cs="Times New Roman"/>
          <w:sz w:val="32"/>
          <w:szCs w:val="32"/>
        </w:rPr>
        <w:t>1：收</w:t>
      </w:r>
      <w:r>
        <w:rPr>
          <w:rFonts w:hint="eastAsia" w:eastAsia="方正楷体_GBK" w:cs="Times New Roman"/>
          <w:sz w:val="32"/>
          <w:szCs w:val="32"/>
          <w:lang w:eastAsia="zh-CN"/>
        </w:rPr>
        <w:t>入</w:t>
      </w:r>
      <w:r>
        <w:rPr>
          <w:rFonts w:hint="default" w:ascii="Times New Roman" w:hAnsi="Times New Roman" w:eastAsia="方正楷体_GBK" w:cs="Times New Roman"/>
          <w:sz w:val="32"/>
          <w:szCs w:val="32"/>
        </w:rPr>
        <w:t>、支</w:t>
      </w:r>
      <w:r>
        <w:rPr>
          <w:rFonts w:hint="eastAsia" w:eastAsia="方正楷体_GBK" w:cs="Times New Roman"/>
          <w:sz w:val="32"/>
          <w:szCs w:val="32"/>
          <w:lang w:eastAsia="zh-CN"/>
        </w:rPr>
        <w:t>出</w:t>
      </w:r>
      <w:r>
        <w:rPr>
          <w:rFonts w:hint="default" w:ascii="Times New Roman" w:hAnsi="Times New Roman" w:eastAsia="方正楷体_GBK" w:cs="Times New Roman"/>
          <w:sz w:val="32"/>
          <w:szCs w:val="32"/>
        </w:rPr>
        <w:t>决算总计变动情况图</w:t>
      </w:r>
    </w:p>
    <w:p>
      <w:pPr>
        <w:pStyle w:val="28"/>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Chars="0"/>
        <w:textAlignment w:val="auto"/>
        <w:outlineLvl w:val="1"/>
        <w:rPr>
          <w:rStyle w:val="30"/>
          <w:rFonts w:hint="default" w:ascii="Times New Roman" w:hAnsi="Times New Roman" w:eastAsia="黑体" w:cs="Times New Roman"/>
          <w:b w:val="0"/>
        </w:rPr>
      </w:pPr>
      <w:bookmarkStart w:id="18" w:name="_Toc15377206"/>
      <w:bookmarkStart w:id="19" w:name="_Toc15396604"/>
      <w:r>
        <w:rPr>
          <w:rFonts w:hint="default" w:ascii="Times New Roman" w:hAnsi="Times New Roman" w:eastAsia="黑体" w:cs="Times New Roman"/>
          <w:sz w:val="32"/>
          <w:szCs w:val="32"/>
        </w:rPr>
        <w:t>收</w:t>
      </w:r>
      <w:r>
        <w:rPr>
          <w:rStyle w:val="30"/>
          <w:rFonts w:hint="default" w:ascii="Times New Roman" w:hAnsi="Times New Roman" w:eastAsia="黑体" w:cs="Times New Roman"/>
          <w:b w:val="0"/>
        </w:rPr>
        <w:t>入决算情况说明</w:t>
      </w:r>
      <w:bookmarkEnd w:id="18"/>
      <w:bookmarkEnd w:id="19"/>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default" w:ascii="Times New Roman" w:hAnsi="Times New Roman" w:eastAsia="仿宋" w:cs="Times New Roman"/>
          <w:b w:val="0"/>
          <w:bCs w:val="0"/>
          <w:sz w:val="32"/>
          <w:szCs w:val="32"/>
          <w:lang w:eastAsia="zh-CN"/>
        </w:rPr>
      </w:pPr>
      <w:r>
        <w:rPr>
          <w:rFonts w:hint="default" w:ascii="Times New Roman" w:hAnsi="Times New Roman" w:eastAsia="仿宋" w:cs="Times New Roman"/>
          <w:b w:val="0"/>
          <w:bCs w:val="0"/>
          <w:sz w:val="32"/>
          <w:szCs w:val="32"/>
        </w:rPr>
        <w:t>202</w:t>
      </w:r>
      <w:r>
        <w:rPr>
          <w:rFonts w:hint="eastAsia" w:eastAsia="仿宋" w:cs="Times New Roman"/>
          <w:b w:val="0"/>
          <w:bCs w:val="0"/>
          <w:sz w:val="32"/>
          <w:szCs w:val="32"/>
          <w:lang w:val="en-US" w:eastAsia="zh-CN"/>
        </w:rPr>
        <w:t>4</w:t>
      </w:r>
      <w:r>
        <w:rPr>
          <w:rFonts w:hint="default" w:ascii="Times New Roman" w:hAnsi="Times New Roman" w:eastAsia="仿宋" w:cs="Times New Roman"/>
          <w:b w:val="0"/>
          <w:bCs w:val="0"/>
          <w:sz w:val="32"/>
          <w:szCs w:val="32"/>
        </w:rPr>
        <w:t>年度本年收入合计</w:t>
      </w:r>
      <w:r>
        <w:rPr>
          <w:rFonts w:hint="eastAsia" w:eastAsia="仿宋" w:cs="Times New Roman"/>
          <w:b w:val="0"/>
          <w:bCs w:val="0"/>
          <w:sz w:val="32"/>
          <w:szCs w:val="32"/>
          <w:lang w:val="en-US" w:eastAsia="zh-CN"/>
        </w:rPr>
        <w:t>709.97</w:t>
      </w:r>
      <w:r>
        <w:rPr>
          <w:rFonts w:hint="default" w:ascii="Times New Roman" w:hAnsi="Times New Roman" w:eastAsia="仿宋" w:cs="Times New Roman"/>
          <w:b w:val="0"/>
          <w:bCs w:val="0"/>
          <w:sz w:val="32"/>
          <w:szCs w:val="32"/>
        </w:rPr>
        <w:t>万元，其中：一般公共预算财政拨款收入</w:t>
      </w:r>
      <w:r>
        <w:rPr>
          <w:rFonts w:hint="eastAsia" w:eastAsia="仿宋" w:cs="Times New Roman"/>
          <w:b w:val="0"/>
          <w:bCs w:val="0"/>
          <w:sz w:val="32"/>
          <w:szCs w:val="32"/>
          <w:lang w:val="en-US" w:eastAsia="zh-CN"/>
        </w:rPr>
        <w:t>709.97</w:t>
      </w:r>
      <w:r>
        <w:rPr>
          <w:rFonts w:hint="default" w:ascii="Times New Roman" w:hAnsi="Times New Roman" w:eastAsia="仿宋" w:cs="Times New Roman"/>
          <w:b w:val="0"/>
          <w:bCs w:val="0"/>
          <w:sz w:val="32"/>
          <w:szCs w:val="32"/>
        </w:rPr>
        <w:t>万元，占100%；政府性基金预算财政拨款收入0万元，占0%；国有资本经营预算财政拨款收入0万元，占0%；上级补助收入0万元，占0%</w:t>
      </w:r>
      <w:r>
        <w:rPr>
          <w:rFonts w:hint="default" w:ascii="Times New Roman" w:hAnsi="Times New Roman" w:eastAsia="仿宋" w:cs="Times New Roman"/>
          <w:b w:val="0"/>
          <w:bCs w:val="0"/>
          <w:sz w:val="32"/>
          <w:szCs w:val="32"/>
          <w:lang w:eastAsia="zh-CN"/>
        </w:rPr>
        <w:t>。</w:t>
      </w:r>
    </w:p>
    <w:p>
      <w:pPr>
        <w:pStyle w:val="2"/>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eastAsia="zh-CN"/>
        </w:rPr>
        <w:drawing>
          <wp:anchor distT="0" distB="0" distL="114300" distR="114300" simplePos="0" relativeHeight="251660288" behindDoc="0" locked="0" layoutInCell="1" allowOverlap="1">
            <wp:simplePos x="0" y="0"/>
            <wp:positionH relativeFrom="column">
              <wp:posOffset>517525</wp:posOffset>
            </wp:positionH>
            <wp:positionV relativeFrom="paragraph">
              <wp:posOffset>80645</wp:posOffset>
            </wp:positionV>
            <wp:extent cx="4785995" cy="2782570"/>
            <wp:effectExtent l="4445" t="4445" r="10160" b="13335"/>
            <wp:wrapSquare wrapText="bothSides"/>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default" w:ascii="Times New Roman" w:hAnsi="Times New Roman" w:eastAsia="仿宋" w:cs="Times New Roman"/>
          <w:sz w:val="32"/>
          <w:szCs w:val="32"/>
          <w:lang w:val="en-US" w:eastAsia="zh-CN"/>
        </w:rPr>
        <w:t xml:space="preserve">                 </w:t>
      </w:r>
    </w:p>
    <w:p>
      <w:pPr>
        <w:pStyle w:val="2"/>
        <w:rPr>
          <w:rFonts w:hint="default" w:ascii="Times New Roman" w:hAnsi="Times New Roman" w:eastAsia="仿宋" w:cs="Times New Roman"/>
          <w:sz w:val="32"/>
          <w:szCs w:val="32"/>
          <w:lang w:val="en-US" w:eastAsia="zh-CN"/>
        </w:rPr>
      </w:pPr>
    </w:p>
    <w:p>
      <w:pPr>
        <w:pStyle w:val="2"/>
        <w:rPr>
          <w:rFonts w:hint="default" w:ascii="Times New Roman" w:hAnsi="Times New Roman" w:eastAsia="仿宋" w:cs="Times New Roman"/>
          <w:sz w:val="32"/>
          <w:szCs w:val="32"/>
          <w:lang w:val="en-US" w:eastAsia="zh-CN"/>
        </w:rPr>
      </w:pPr>
    </w:p>
    <w:p>
      <w:pPr>
        <w:pStyle w:val="2"/>
        <w:rPr>
          <w:rFonts w:hint="default" w:ascii="Times New Roman" w:hAnsi="Times New Roman" w:eastAsia="仿宋" w:cs="Times New Roman"/>
          <w:sz w:val="32"/>
          <w:szCs w:val="32"/>
          <w:lang w:val="en-US" w:eastAsia="zh-CN"/>
        </w:rPr>
      </w:pPr>
    </w:p>
    <w:p>
      <w:pPr>
        <w:pStyle w:val="2"/>
        <w:rPr>
          <w:rFonts w:hint="default" w:ascii="Times New Roman" w:hAnsi="Times New Roman" w:eastAsia="仿宋" w:cs="Times New Roman"/>
          <w:sz w:val="32"/>
          <w:szCs w:val="32"/>
          <w:lang w:val="en-US" w:eastAsia="zh-CN"/>
        </w:rPr>
      </w:pPr>
    </w:p>
    <w:p>
      <w:pPr>
        <w:pStyle w:val="2"/>
        <w:rPr>
          <w:rFonts w:hint="default" w:ascii="Times New Roman" w:hAnsi="Times New Roman" w:eastAsia="仿宋" w:cs="Times New Roman"/>
          <w:sz w:val="32"/>
          <w:szCs w:val="32"/>
          <w:lang w:val="en-US" w:eastAsia="zh-CN"/>
        </w:rPr>
      </w:pPr>
    </w:p>
    <w:p>
      <w:pPr>
        <w:pStyle w:val="2"/>
        <w:rPr>
          <w:rFonts w:hint="default" w:ascii="Times New Roman" w:hAnsi="Times New Roman" w:eastAsia="仿宋" w:cs="Times New Roman"/>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line="560" w:lineRule="exact"/>
        <w:ind w:firstLine="2880" w:firstLineChars="900"/>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图2：收入决算结构图</w:t>
      </w:r>
    </w:p>
    <w:p>
      <w:pPr>
        <w:pStyle w:val="28"/>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Chars="0"/>
        <w:textAlignment w:val="auto"/>
        <w:outlineLvl w:val="1"/>
        <w:rPr>
          <w:rStyle w:val="30"/>
          <w:rFonts w:hint="default" w:ascii="Times New Roman" w:hAnsi="Times New Roman" w:eastAsia="黑体" w:cs="Times New Roman"/>
          <w:b w:val="0"/>
        </w:rPr>
      </w:pPr>
      <w:bookmarkStart w:id="20" w:name="_Toc15377207"/>
      <w:bookmarkStart w:id="21" w:name="_Toc15396605"/>
      <w:r>
        <w:rPr>
          <w:rFonts w:hint="default" w:ascii="Times New Roman" w:hAnsi="Times New Roman" w:eastAsia="黑体" w:cs="Times New Roman"/>
          <w:sz w:val="32"/>
          <w:szCs w:val="32"/>
        </w:rPr>
        <w:t>支</w:t>
      </w:r>
      <w:r>
        <w:rPr>
          <w:rStyle w:val="30"/>
          <w:rFonts w:hint="default" w:ascii="Times New Roman" w:hAnsi="Times New Roman" w:eastAsia="黑体" w:cs="Times New Roman"/>
          <w:b w:val="0"/>
        </w:rPr>
        <w:t>出决算情况说明</w:t>
      </w:r>
      <w:bookmarkEnd w:id="20"/>
      <w:bookmarkEnd w:id="21"/>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default" w:ascii="Times New Roman" w:hAnsi="Times New Roman" w:eastAsia="仿宋" w:cs="Times New Roman"/>
          <w:b w:val="0"/>
          <w:bCs w:val="0"/>
          <w:sz w:val="32"/>
          <w:szCs w:val="32"/>
          <w:shd w:val="pct10" w:color="auto" w:fill="FFFFFF"/>
        </w:rPr>
      </w:pPr>
      <w:r>
        <w:rPr>
          <w:rFonts w:hint="default" w:ascii="Times New Roman" w:hAnsi="Times New Roman" w:eastAsia="仿宋" w:cs="Times New Roman"/>
          <w:b w:val="0"/>
          <w:bCs w:val="0"/>
          <w:sz w:val="32"/>
          <w:szCs w:val="32"/>
        </w:rPr>
        <w:t>202</w:t>
      </w:r>
      <w:r>
        <w:rPr>
          <w:rFonts w:hint="eastAsia" w:eastAsia="仿宋" w:cs="Times New Roman"/>
          <w:b w:val="0"/>
          <w:bCs w:val="0"/>
          <w:sz w:val="32"/>
          <w:szCs w:val="32"/>
          <w:lang w:val="en-US" w:eastAsia="zh-CN"/>
        </w:rPr>
        <w:t>4</w:t>
      </w:r>
      <w:r>
        <w:rPr>
          <w:rFonts w:hint="default" w:ascii="Times New Roman" w:hAnsi="Times New Roman" w:eastAsia="仿宋" w:cs="Times New Roman"/>
          <w:b w:val="0"/>
          <w:bCs w:val="0"/>
          <w:sz w:val="32"/>
          <w:szCs w:val="32"/>
        </w:rPr>
        <w:t>年度本年支出合计</w:t>
      </w:r>
      <w:r>
        <w:rPr>
          <w:rFonts w:hint="eastAsia" w:eastAsia="仿宋" w:cs="Times New Roman"/>
          <w:b w:val="0"/>
          <w:bCs w:val="0"/>
          <w:sz w:val="32"/>
          <w:szCs w:val="32"/>
          <w:lang w:val="en-US" w:eastAsia="zh-CN"/>
        </w:rPr>
        <w:t>709.97</w:t>
      </w:r>
      <w:r>
        <w:rPr>
          <w:rFonts w:hint="default" w:ascii="Times New Roman" w:hAnsi="Times New Roman" w:eastAsia="仿宋" w:cs="Times New Roman"/>
          <w:b w:val="0"/>
          <w:bCs w:val="0"/>
          <w:sz w:val="32"/>
          <w:szCs w:val="32"/>
        </w:rPr>
        <w:t>万元，其中：基本支出</w:t>
      </w:r>
      <w:r>
        <w:rPr>
          <w:rFonts w:hint="eastAsia" w:eastAsia="仿宋" w:cs="Times New Roman"/>
          <w:b w:val="0"/>
          <w:bCs w:val="0"/>
          <w:sz w:val="32"/>
          <w:szCs w:val="32"/>
          <w:lang w:val="en-US" w:eastAsia="zh-CN"/>
        </w:rPr>
        <w:t>486.46</w:t>
      </w:r>
      <w:r>
        <w:rPr>
          <w:rFonts w:hint="default" w:ascii="Times New Roman" w:hAnsi="Times New Roman" w:eastAsia="仿宋" w:cs="Times New Roman"/>
          <w:b w:val="0"/>
          <w:bCs w:val="0"/>
          <w:sz w:val="32"/>
          <w:szCs w:val="32"/>
        </w:rPr>
        <w:t>万元，占</w:t>
      </w:r>
      <w:r>
        <w:rPr>
          <w:rFonts w:hint="eastAsia" w:eastAsia="仿宋" w:cs="Times New Roman"/>
          <w:b w:val="0"/>
          <w:bCs w:val="0"/>
          <w:sz w:val="32"/>
          <w:szCs w:val="32"/>
          <w:lang w:val="en-US" w:eastAsia="zh-CN"/>
        </w:rPr>
        <w:t>68</w:t>
      </w:r>
      <w:r>
        <w:rPr>
          <w:rFonts w:hint="default" w:ascii="Times New Roman" w:hAnsi="Times New Roman" w:eastAsia="仿宋" w:cs="Times New Roman"/>
          <w:b w:val="0"/>
          <w:bCs w:val="0"/>
          <w:sz w:val="32"/>
          <w:szCs w:val="32"/>
        </w:rPr>
        <w:t>.5</w:t>
      </w:r>
      <w:r>
        <w:rPr>
          <w:rFonts w:hint="default" w:ascii="Times New Roman" w:hAnsi="Times New Roman" w:eastAsia="仿宋" w:cs="Times New Roman"/>
          <w:b w:val="0"/>
          <w:bCs w:val="0"/>
          <w:sz w:val="32"/>
          <w:szCs w:val="32"/>
          <w:lang w:val="en-US" w:eastAsia="zh-CN"/>
        </w:rPr>
        <w:t>2</w:t>
      </w:r>
      <w:r>
        <w:rPr>
          <w:rFonts w:hint="default" w:ascii="Times New Roman" w:hAnsi="Times New Roman" w:eastAsia="仿宋" w:cs="Times New Roman"/>
          <w:b w:val="0"/>
          <w:bCs w:val="0"/>
          <w:sz w:val="32"/>
          <w:szCs w:val="32"/>
        </w:rPr>
        <w:t>%；项目支出</w:t>
      </w:r>
      <w:r>
        <w:rPr>
          <w:rFonts w:hint="eastAsia" w:eastAsia="仿宋" w:cs="Times New Roman"/>
          <w:b w:val="0"/>
          <w:bCs w:val="0"/>
          <w:sz w:val="32"/>
          <w:szCs w:val="32"/>
          <w:lang w:val="en-US" w:eastAsia="zh-CN"/>
        </w:rPr>
        <w:t>223.51</w:t>
      </w:r>
      <w:r>
        <w:rPr>
          <w:rFonts w:hint="default" w:ascii="Times New Roman" w:hAnsi="Times New Roman" w:eastAsia="仿宋" w:cs="Times New Roman"/>
          <w:b w:val="0"/>
          <w:bCs w:val="0"/>
          <w:sz w:val="32"/>
          <w:szCs w:val="32"/>
        </w:rPr>
        <w:t>万元，占</w:t>
      </w:r>
      <w:r>
        <w:rPr>
          <w:rFonts w:hint="eastAsia" w:eastAsia="仿宋" w:cs="Times New Roman"/>
          <w:b w:val="0"/>
          <w:bCs w:val="0"/>
          <w:sz w:val="32"/>
          <w:szCs w:val="32"/>
          <w:lang w:val="en-US" w:eastAsia="zh-CN"/>
        </w:rPr>
        <w:t>31.48</w:t>
      </w:r>
      <w:r>
        <w:rPr>
          <w:rFonts w:hint="default" w:ascii="Times New Roman" w:hAnsi="Times New Roman" w:eastAsia="仿宋" w:cs="Times New Roman"/>
          <w:b w:val="0"/>
          <w:bCs w:val="0"/>
          <w:sz w:val="32"/>
          <w:szCs w:val="32"/>
        </w:rPr>
        <w:t>%。</w:t>
      </w:r>
    </w:p>
    <w:p>
      <w:pPr>
        <w:pStyle w:val="2"/>
        <w:rPr>
          <w:rFonts w:hint="default" w:ascii="Times New Roman" w:hAnsi="Times New Roman" w:eastAsia="仿宋" w:cs="Times New Roman"/>
          <w:sz w:val="32"/>
          <w:szCs w:val="32"/>
          <w:shd w:val="pct10" w:color="auto" w:fill="FFFFFF"/>
          <w:lang w:eastAsia="zh-CN"/>
        </w:rPr>
      </w:pPr>
      <w:r>
        <w:rPr>
          <w:rFonts w:hint="default" w:ascii="Times New Roman" w:hAnsi="Times New Roman" w:eastAsia="仿宋" w:cs="Times New Roman"/>
          <w:sz w:val="32"/>
          <w:szCs w:val="32"/>
          <w:shd w:val="pct10" w:color="auto" w:fill="FFFFFF"/>
          <w:lang w:eastAsia="zh-CN"/>
        </w:rPr>
        <w:drawing>
          <wp:anchor distT="0" distB="0" distL="114300" distR="114300" simplePos="0" relativeHeight="251661312" behindDoc="0" locked="0" layoutInCell="1" allowOverlap="1">
            <wp:simplePos x="0" y="0"/>
            <wp:positionH relativeFrom="column">
              <wp:posOffset>318770</wp:posOffset>
            </wp:positionH>
            <wp:positionV relativeFrom="paragraph">
              <wp:posOffset>275590</wp:posOffset>
            </wp:positionV>
            <wp:extent cx="4747260" cy="2504440"/>
            <wp:effectExtent l="4445" t="4445" r="10795" b="5715"/>
            <wp:wrapSquare wrapText="bothSides"/>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pStyle w:val="2"/>
        <w:rPr>
          <w:rFonts w:hint="default" w:ascii="Times New Roman" w:hAnsi="Times New Roman" w:eastAsia="仿宋" w:cs="Times New Roman"/>
          <w:sz w:val="32"/>
          <w:szCs w:val="32"/>
          <w:shd w:val="pct10" w:color="auto" w:fill="FFFFFF"/>
        </w:rPr>
      </w:pPr>
    </w:p>
    <w:p>
      <w:pPr>
        <w:spacing w:line="600" w:lineRule="exact"/>
        <w:ind w:firstLine="640" w:firstLineChars="200"/>
        <w:rPr>
          <w:rFonts w:hint="default" w:ascii="Times New Roman" w:hAnsi="Times New Roman" w:eastAsia="仿宋" w:cs="Times New Roman"/>
          <w:sz w:val="32"/>
          <w:szCs w:val="32"/>
        </w:rPr>
      </w:pPr>
    </w:p>
    <w:p>
      <w:pPr>
        <w:spacing w:line="600" w:lineRule="exact"/>
        <w:ind w:firstLine="640" w:firstLineChars="200"/>
        <w:rPr>
          <w:rFonts w:hint="default" w:ascii="Times New Roman" w:hAnsi="Times New Roman" w:eastAsia="仿宋" w:cs="Times New Roman"/>
          <w:sz w:val="32"/>
          <w:szCs w:val="32"/>
        </w:rPr>
      </w:pPr>
    </w:p>
    <w:p>
      <w:pPr>
        <w:spacing w:line="600" w:lineRule="exact"/>
        <w:ind w:firstLine="640" w:firstLineChars="200"/>
        <w:rPr>
          <w:rFonts w:hint="default" w:ascii="Times New Roman" w:hAnsi="Times New Roman" w:eastAsia="仿宋" w:cs="Times New Roman"/>
          <w:sz w:val="32"/>
          <w:szCs w:val="32"/>
        </w:rPr>
      </w:pPr>
    </w:p>
    <w:p>
      <w:pPr>
        <w:spacing w:line="600" w:lineRule="exact"/>
        <w:ind w:firstLine="640" w:firstLineChars="200"/>
        <w:rPr>
          <w:rFonts w:hint="default" w:ascii="Times New Roman" w:hAnsi="Times New Roman" w:eastAsia="仿宋" w:cs="Times New Roman"/>
          <w:sz w:val="32"/>
          <w:szCs w:val="32"/>
        </w:rPr>
      </w:pPr>
    </w:p>
    <w:p>
      <w:pPr>
        <w:spacing w:line="600" w:lineRule="exact"/>
        <w:ind w:firstLine="640" w:firstLineChars="200"/>
        <w:rPr>
          <w:rFonts w:hint="default" w:ascii="Times New Roman" w:hAnsi="Times New Roman" w:eastAsia="仿宋" w:cs="Times New Roman"/>
          <w:sz w:val="32"/>
          <w:szCs w:val="32"/>
        </w:rPr>
      </w:pPr>
    </w:p>
    <w:p>
      <w:pPr>
        <w:spacing w:line="600" w:lineRule="exact"/>
        <w:ind w:firstLine="2240" w:firstLineChars="700"/>
        <w:rPr>
          <w:rFonts w:hint="default" w:ascii="Times New Roman" w:hAnsi="Times New Roman" w:eastAsia="方正楷体_GBK" w:cs="Times New Roman"/>
        </w:rPr>
      </w:pPr>
      <w:r>
        <w:rPr>
          <w:rFonts w:hint="default" w:ascii="Times New Roman" w:hAnsi="Times New Roman" w:eastAsia="方正楷体_GBK" w:cs="Times New Roman"/>
          <w:sz w:val="32"/>
          <w:szCs w:val="32"/>
        </w:rPr>
        <w:t>图3：支出决算结构图</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1"/>
        <w:rPr>
          <w:rStyle w:val="30"/>
          <w:rFonts w:hint="default" w:ascii="Times New Roman" w:hAnsi="Times New Roman" w:eastAsia="黑体" w:cs="Times New Roman"/>
          <w:b w:val="0"/>
        </w:rPr>
      </w:pPr>
      <w:bookmarkStart w:id="22" w:name="_Toc15396606"/>
      <w:bookmarkStart w:id="23" w:name="_Toc15377208"/>
      <w:r>
        <w:rPr>
          <w:rFonts w:hint="default" w:ascii="Times New Roman" w:hAnsi="Times New Roman" w:eastAsia="黑体" w:cs="Times New Roman"/>
          <w:sz w:val="32"/>
          <w:szCs w:val="32"/>
        </w:rPr>
        <w:t>四、财</w:t>
      </w:r>
      <w:r>
        <w:rPr>
          <w:rStyle w:val="30"/>
          <w:rFonts w:hint="default" w:ascii="Times New Roman" w:hAnsi="Times New Roman" w:eastAsia="黑体" w:cs="Times New Roman"/>
          <w:b w:val="0"/>
        </w:rPr>
        <w:t>政拨款收入支出决算总体情况说明</w:t>
      </w:r>
      <w:bookmarkEnd w:id="22"/>
      <w:bookmarkEnd w:id="23"/>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202</w:t>
      </w:r>
      <w:r>
        <w:rPr>
          <w:rFonts w:hint="default" w:ascii="Times New Roman" w:hAnsi="Times New Roman" w:eastAsia="方正仿宋_GBK" w:cs="Times New Roman"/>
          <w:b w:val="0"/>
          <w:bCs w:val="0"/>
          <w:sz w:val="32"/>
          <w:szCs w:val="32"/>
          <w:lang w:val="en-US" w:eastAsia="zh-CN"/>
        </w:rPr>
        <w:t>4</w:t>
      </w:r>
      <w:r>
        <w:rPr>
          <w:rFonts w:hint="default" w:ascii="Times New Roman" w:hAnsi="Times New Roman" w:eastAsia="方正仿宋_GBK" w:cs="Times New Roman"/>
          <w:b w:val="0"/>
          <w:bCs w:val="0"/>
          <w:sz w:val="32"/>
          <w:szCs w:val="32"/>
        </w:rPr>
        <w:t>年度财政拨款收</w:t>
      </w:r>
      <w:r>
        <w:rPr>
          <w:rFonts w:hint="default" w:ascii="Times New Roman" w:hAnsi="Times New Roman" w:eastAsia="方正仿宋_GBK" w:cs="Times New Roman"/>
          <w:b w:val="0"/>
          <w:bCs w:val="0"/>
          <w:sz w:val="32"/>
          <w:szCs w:val="32"/>
          <w:lang w:eastAsia="zh-CN"/>
        </w:rPr>
        <w:t>入</w:t>
      </w:r>
      <w:r>
        <w:rPr>
          <w:rFonts w:hint="default" w:ascii="Times New Roman" w:hAnsi="Times New Roman" w:eastAsia="方正仿宋_GBK" w:cs="Times New Roman"/>
          <w:b w:val="0"/>
          <w:bCs w:val="0"/>
          <w:sz w:val="32"/>
          <w:szCs w:val="32"/>
        </w:rPr>
        <w:t>、支</w:t>
      </w:r>
      <w:r>
        <w:rPr>
          <w:rFonts w:hint="default" w:ascii="Times New Roman" w:hAnsi="Times New Roman" w:eastAsia="方正仿宋_GBK" w:cs="Times New Roman"/>
          <w:b w:val="0"/>
          <w:bCs w:val="0"/>
          <w:sz w:val="32"/>
          <w:szCs w:val="32"/>
          <w:lang w:eastAsia="zh-CN"/>
        </w:rPr>
        <w:t>出</w:t>
      </w:r>
      <w:r>
        <w:rPr>
          <w:rFonts w:hint="default" w:ascii="Times New Roman" w:hAnsi="Times New Roman" w:eastAsia="方正仿宋_GBK" w:cs="Times New Roman"/>
          <w:b w:val="0"/>
          <w:bCs w:val="0"/>
          <w:sz w:val="32"/>
          <w:szCs w:val="32"/>
        </w:rPr>
        <w:t>总计均为</w:t>
      </w:r>
      <w:r>
        <w:rPr>
          <w:rFonts w:hint="default" w:ascii="Times New Roman" w:hAnsi="Times New Roman" w:eastAsia="方正仿宋_GBK" w:cs="Times New Roman"/>
          <w:b w:val="0"/>
          <w:bCs w:val="0"/>
          <w:sz w:val="32"/>
          <w:szCs w:val="32"/>
          <w:lang w:val="en-US" w:eastAsia="zh-CN"/>
        </w:rPr>
        <w:t>709.97</w:t>
      </w:r>
      <w:r>
        <w:rPr>
          <w:rFonts w:hint="default" w:ascii="Times New Roman" w:hAnsi="Times New Roman" w:eastAsia="方正仿宋_GBK" w:cs="Times New Roman"/>
          <w:b w:val="0"/>
          <w:bCs w:val="0"/>
          <w:sz w:val="32"/>
          <w:szCs w:val="32"/>
        </w:rPr>
        <w:t>万元。与202</w:t>
      </w:r>
      <w:r>
        <w:rPr>
          <w:rFonts w:hint="default" w:ascii="Times New Roman" w:hAnsi="Times New Roman" w:eastAsia="方正仿宋_GBK" w:cs="Times New Roman"/>
          <w:b w:val="0"/>
          <w:bCs w:val="0"/>
          <w:sz w:val="32"/>
          <w:szCs w:val="32"/>
          <w:lang w:val="en-US" w:eastAsia="zh-CN"/>
        </w:rPr>
        <w:t>3</w:t>
      </w:r>
      <w:r>
        <w:rPr>
          <w:rFonts w:hint="default" w:ascii="Times New Roman" w:hAnsi="Times New Roman" w:eastAsia="方正仿宋_GBK" w:cs="Times New Roman"/>
          <w:b w:val="0"/>
          <w:bCs w:val="0"/>
          <w:sz w:val="32"/>
          <w:szCs w:val="32"/>
        </w:rPr>
        <w:t>年度相比，财政拨款收</w:t>
      </w:r>
      <w:r>
        <w:rPr>
          <w:rFonts w:hint="default" w:ascii="Times New Roman" w:hAnsi="Times New Roman" w:eastAsia="方正仿宋_GBK" w:cs="Times New Roman"/>
          <w:b w:val="0"/>
          <w:bCs w:val="0"/>
          <w:sz w:val="32"/>
          <w:szCs w:val="32"/>
          <w:lang w:eastAsia="zh-CN"/>
        </w:rPr>
        <w:t>入</w:t>
      </w:r>
      <w:r>
        <w:rPr>
          <w:rFonts w:hint="default" w:ascii="Times New Roman" w:hAnsi="Times New Roman" w:eastAsia="方正仿宋_GBK" w:cs="Times New Roman"/>
          <w:b w:val="0"/>
          <w:bCs w:val="0"/>
          <w:sz w:val="32"/>
          <w:szCs w:val="32"/>
        </w:rPr>
        <w:t>、支</w:t>
      </w:r>
      <w:r>
        <w:rPr>
          <w:rFonts w:hint="default" w:ascii="Times New Roman" w:hAnsi="Times New Roman" w:eastAsia="方正仿宋_GBK" w:cs="Times New Roman"/>
          <w:b w:val="0"/>
          <w:bCs w:val="0"/>
          <w:sz w:val="32"/>
          <w:szCs w:val="32"/>
          <w:lang w:eastAsia="zh-CN"/>
        </w:rPr>
        <w:t>出</w:t>
      </w:r>
      <w:r>
        <w:rPr>
          <w:rFonts w:hint="default" w:ascii="Times New Roman" w:hAnsi="Times New Roman" w:eastAsia="方正仿宋_GBK" w:cs="Times New Roman"/>
          <w:b w:val="0"/>
          <w:bCs w:val="0"/>
          <w:sz w:val="32"/>
          <w:szCs w:val="32"/>
        </w:rPr>
        <w:t>总计各增加</w:t>
      </w:r>
      <w:r>
        <w:rPr>
          <w:rFonts w:hint="default" w:ascii="Times New Roman" w:hAnsi="Times New Roman" w:eastAsia="方正仿宋_GBK" w:cs="Times New Roman"/>
          <w:b w:val="0"/>
          <w:bCs w:val="0"/>
          <w:sz w:val="32"/>
          <w:szCs w:val="32"/>
          <w:lang w:val="en-US" w:eastAsia="zh-CN"/>
        </w:rPr>
        <w:t>177.49</w:t>
      </w:r>
      <w:r>
        <w:rPr>
          <w:rFonts w:hint="default" w:ascii="Times New Roman" w:hAnsi="Times New Roman" w:eastAsia="方正仿宋_GBK" w:cs="Times New Roman"/>
          <w:b w:val="0"/>
          <w:bCs w:val="0"/>
          <w:sz w:val="32"/>
          <w:szCs w:val="32"/>
        </w:rPr>
        <w:t>万元，增长</w:t>
      </w:r>
      <w:r>
        <w:rPr>
          <w:rFonts w:hint="default" w:ascii="Times New Roman" w:hAnsi="Times New Roman" w:eastAsia="方正仿宋_GBK" w:cs="Times New Roman"/>
          <w:b w:val="0"/>
          <w:bCs w:val="0"/>
          <w:sz w:val="32"/>
          <w:szCs w:val="32"/>
          <w:lang w:val="en-US" w:eastAsia="zh-CN"/>
        </w:rPr>
        <w:t>33.33%</w:t>
      </w:r>
      <w:r>
        <w:rPr>
          <w:rFonts w:hint="default" w:ascii="Times New Roman" w:hAnsi="Times New Roman" w:eastAsia="方正仿宋_GBK" w:cs="Times New Roman"/>
          <w:b w:val="0"/>
          <w:bCs w:val="0"/>
          <w:sz w:val="32"/>
          <w:szCs w:val="32"/>
        </w:rPr>
        <w:t>。主要变动原因是</w:t>
      </w:r>
      <w:r>
        <w:rPr>
          <w:rFonts w:hint="default" w:ascii="Times New Roman" w:hAnsi="Times New Roman" w:eastAsia="方正仿宋_GBK" w:cs="Times New Roman"/>
          <w:b w:val="0"/>
          <w:bCs w:val="0"/>
          <w:sz w:val="32"/>
          <w:szCs w:val="32"/>
          <w:highlight w:val="none"/>
          <w:lang w:eastAsia="zh-CN"/>
        </w:rPr>
        <w:t>项目经费增加</w:t>
      </w:r>
      <w:r>
        <w:rPr>
          <w:rFonts w:hint="default" w:ascii="Times New Roman" w:hAnsi="Times New Roman" w:eastAsia="方正仿宋_GBK" w:cs="Times New Roman"/>
          <w:b w:val="0"/>
          <w:bCs w:val="0"/>
          <w:sz w:val="32"/>
          <w:szCs w:val="32"/>
        </w:rPr>
        <w:t>。</w:t>
      </w:r>
    </w:p>
    <w:p>
      <w:pPr>
        <w:spacing w:line="600" w:lineRule="exact"/>
        <w:ind w:firstLine="640"/>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drawing>
          <wp:anchor distT="0" distB="0" distL="114300" distR="114300" simplePos="0" relativeHeight="251662336" behindDoc="0" locked="0" layoutInCell="1" allowOverlap="1">
            <wp:simplePos x="0" y="0"/>
            <wp:positionH relativeFrom="column">
              <wp:posOffset>244475</wp:posOffset>
            </wp:positionH>
            <wp:positionV relativeFrom="paragraph">
              <wp:posOffset>269240</wp:posOffset>
            </wp:positionV>
            <wp:extent cx="4869815" cy="2924175"/>
            <wp:effectExtent l="4445" t="4445" r="21590" b="5080"/>
            <wp:wrapSquare wrapText="bothSides"/>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pStyle w:val="2"/>
        <w:rPr>
          <w:rFonts w:hint="default" w:ascii="Times New Roman" w:hAnsi="Times New Roman" w:eastAsia="仿宋" w:cs="Times New Roman"/>
          <w:sz w:val="32"/>
          <w:szCs w:val="32"/>
        </w:rPr>
      </w:pPr>
    </w:p>
    <w:p>
      <w:pPr>
        <w:pStyle w:val="2"/>
        <w:rPr>
          <w:rFonts w:hint="default" w:ascii="Times New Roman" w:hAnsi="Times New Roman" w:eastAsia="仿宋" w:cs="Times New Roman"/>
          <w:sz w:val="32"/>
          <w:szCs w:val="32"/>
        </w:rPr>
      </w:pPr>
    </w:p>
    <w:p>
      <w:pPr>
        <w:pStyle w:val="2"/>
        <w:rPr>
          <w:rFonts w:hint="default" w:ascii="Times New Roman" w:hAnsi="Times New Roman" w:eastAsia="仿宋" w:cs="Times New Roman"/>
          <w:sz w:val="32"/>
          <w:szCs w:val="32"/>
        </w:rPr>
      </w:pPr>
    </w:p>
    <w:p>
      <w:pPr>
        <w:pStyle w:val="2"/>
        <w:rPr>
          <w:rFonts w:hint="default" w:ascii="Times New Roman" w:hAnsi="Times New Roman" w:eastAsia="仿宋" w:cs="Times New Roman"/>
          <w:sz w:val="32"/>
          <w:szCs w:val="32"/>
        </w:rPr>
      </w:pPr>
    </w:p>
    <w:p>
      <w:pPr>
        <w:pStyle w:val="2"/>
        <w:rPr>
          <w:rFonts w:hint="default" w:ascii="Times New Roman" w:hAnsi="Times New Roman" w:eastAsia="仿宋" w:cs="Times New Roman"/>
          <w:sz w:val="32"/>
          <w:szCs w:val="32"/>
        </w:rPr>
      </w:pPr>
    </w:p>
    <w:p>
      <w:pPr>
        <w:spacing w:line="600" w:lineRule="exact"/>
        <w:rPr>
          <w:rFonts w:hint="default" w:ascii="Times New Roman" w:hAnsi="Times New Roman" w:eastAsia="仿宋"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1280" w:firstLineChars="400"/>
        <w:textAlignment w:val="auto"/>
        <w:rPr>
          <w:rFonts w:hint="default" w:ascii="Times New Roman" w:hAnsi="Times New Roman" w:eastAsia="仿宋"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1280" w:firstLineChars="400"/>
        <w:textAlignment w:val="auto"/>
        <w:rPr>
          <w:rFonts w:hint="default" w:ascii="Times New Roman" w:hAnsi="Times New Roman" w:eastAsia="方正楷体_GBK" w:cs="Times New Roman"/>
          <w:b/>
          <w:sz w:val="32"/>
          <w:szCs w:val="32"/>
        </w:rPr>
      </w:pPr>
      <w:r>
        <w:rPr>
          <w:rFonts w:hint="default" w:ascii="Times New Roman" w:hAnsi="Times New Roman" w:eastAsia="方正楷体_GBK" w:cs="Times New Roman"/>
          <w:sz w:val="32"/>
          <w:szCs w:val="32"/>
        </w:rPr>
        <w:t>图4：财政拨款收</w:t>
      </w:r>
      <w:r>
        <w:rPr>
          <w:rFonts w:hint="eastAsia" w:eastAsia="方正楷体_GBK" w:cs="Times New Roman"/>
          <w:sz w:val="32"/>
          <w:szCs w:val="32"/>
          <w:lang w:eastAsia="zh-CN"/>
        </w:rPr>
        <w:t>入</w:t>
      </w:r>
      <w:r>
        <w:rPr>
          <w:rFonts w:hint="default" w:ascii="Times New Roman" w:hAnsi="Times New Roman" w:eastAsia="方正楷体_GBK" w:cs="Times New Roman"/>
          <w:sz w:val="32"/>
          <w:szCs w:val="32"/>
        </w:rPr>
        <w:t>、支</w:t>
      </w:r>
      <w:r>
        <w:rPr>
          <w:rFonts w:hint="eastAsia" w:eastAsia="方正楷体_GBK" w:cs="Times New Roman"/>
          <w:sz w:val="32"/>
          <w:szCs w:val="32"/>
          <w:lang w:eastAsia="zh-CN"/>
        </w:rPr>
        <w:t>出</w:t>
      </w:r>
      <w:r>
        <w:rPr>
          <w:rFonts w:hint="default" w:ascii="Times New Roman" w:hAnsi="Times New Roman" w:eastAsia="方正楷体_GBK" w:cs="Times New Roman"/>
          <w:sz w:val="32"/>
          <w:szCs w:val="32"/>
        </w:rPr>
        <w:t>决算总计变动情况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1"/>
        <w:rPr>
          <w:rStyle w:val="30"/>
          <w:rFonts w:hint="default" w:ascii="Times New Roman" w:hAnsi="Times New Roman" w:eastAsia="黑体" w:cs="Times New Roman"/>
          <w:b w:val="0"/>
        </w:rPr>
      </w:pPr>
      <w:bookmarkStart w:id="24" w:name="_Toc15377209"/>
      <w:bookmarkStart w:id="25" w:name="_Toc15396607"/>
      <w:r>
        <w:rPr>
          <w:rFonts w:hint="default" w:ascii="Times New Roman" w:hAnsi="Times New Roman" w:eastAsia="黑体" w:cs="Times New Roman"/>
          <w:sz w:val="32"/>
          <w:szCs w:val="32"/>
        </w:rPr>
        <w:t>五、</w:t>
      </w:r>
      <w:r>
        <w:rPr>
          <w:rFonts w:hint="default" w:ascii="Times New Roman" w:hAnsi="Times New Roman" w:eastAsia="黑体" w:cs="Times New Roman"/>
          <w:b/>
          <w:sz w:val="32"/>
          <w:szCs w:val="32"/>
        </w:rPr>
        <w:t>一</w:t>
      </w:r>
      <w:r>
        <w:rPr>
          <w:rStyle w:val="30"/>
          <w:rFonts w:hint="default" w:ascii="Times New Roman" w:hAnsi="Times New Roman" w:eastAsia="黑体" w:cs="Times New Roman"/>
          <w:b w:val="0"/>
        </w:rPr>
        <w:t>般公共预算财政拨款支出决算情况说明</w:t>
      </w:r>
      <w:bookmarkEnd w:id="24"/>
      <w:bookmarkEnd w:id="25"/>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outlineLvl w:val="2"/>
        <w:rPr>
          <w:rFonts w:hint="default" w:ascii="Times New Roman" w:hAnsi="Times New Roman" w:eastAsia="方正楷体_GBK" w:cs="Times New Roman"/>
          <w:b/>
          <w:sz w:val="32"/>
          <w:szCs w:val="32"/>
        </w:rPr>
      </w:pPr>
      <w:bookmarkStart w:id="26" w:name="_Toc15377210"/>
      <w:r>
        <w:rPr>
          <w:rFonts w:hint="default" w:ascii="Times New Roman" w:hAnsi="Times New Roman" w:eastAsia="方正楷体_GBK" w:cs="Times New Roman"/>
          <w:b/>
          <w:sz w:val="32"/>
          <w:szCs w:val="32"/>
        </w:rPr>
        <w:t>（一）一般公共预算财政拨款支出决算总体情况</w:t>
      </w:r>
      <w:bookmarkEnd w:id="26"/>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b w:val="0"/>
          <w:bCs w:val="0"/>
          <w:sz w:val="32"/>
          <w:szCs w:val="32"/>
          <w:lang w:eastAsia="zh-CN"/>
        </w:rPr>
      </w:pPr>
      <w:r>
        <w:rPr>
          <w:rFonts w:hint="default" w:ascii="Times New Roman" w:hAnsi="Times New Roman" w:eastAsia="仿宋" w:cs="Times New Roman"/>
          <w:b w:val="0"/>
          <w:bCs w:val="0"/>
          <w:sz w:val="32"/>
          <w:szCs w:val="32"/>
        </w:rPr>
        <w:t>202</w:t>
      </w:r>
      <w:r>
        <w:rPr>
          <w:rFonts w:hint="eastAsia" w:eastAsia="仿宋" w:cs="Times New Roman"/>
          <w:b w:val="0"/>
          <w:bCs w:val="0"/>
          <w:sz w:val="32"/>
          <w:szCs w:val="32"/>
          <w:lang w:val="en-US" w:eastAsia="zh-CN"/>
        </w:rPr>
        <w:t>4</w:t>
      </w:r>
      <w:r>
        <w:rPr>
          <w:rFonts w:hint="default" w:ascii="Times New Roman" w:hAnsi="Times New Roman" w:eastAsia="仿宋" w:cs="Times New Roman"/>
          <w:b w:val="0"/>
          <w:bCs w:val="0"/>
          <w:sz w:val="32"/>
          <w:szCs w:val="32"/>
        </w:rPr>
        <w:t>年度一般公共预算财政拨款支出</w:t>
      </w:r>
      <w:r>
        <w:rPr>
          <w:rFonts w:hint="eastAsia" w:eastAsia="仿宋" w:cs="Times New Roman"/>
          <w:b w:val="0"/>
          <w:bCs w:val="0"/>
          <w:sz w:val="32"/>
          <w:szCs w:val="32"/>
          <w:lang w:val="en-US" w:eastAsia="zh-CN"/>
        </w:rPr>
        <w:t>709.97</w:t>
      </w:r>
      <w:r>
        <w:rPr>
          <w:rFonts w:hint="default" w:ascii="Times New Roman" w:hAnsi="Times New Roman" w:eastAsia="仿宋" w:cs="Times New Roman"/>
          <w:b w:val="0"/>
          <w:bCs w:val="0"/>
          <w:sz w:val="32"/>
          <w:szCs w:val="32"/>
        </w:rPr>
        <w:t>万元，占本年支出合计的100%。与202</w:t>
      </w:r>
      <w:r>
        <w:rPr>
          <w:rFonts w:hint="eastAsia" w:eastAsia="仿宋" w:cs="Times New Roman"/>
          <w:b w:val="0"/>
          <w:bCs w:val="0"/>
          <w:sz w:val="32"/>
          <w:szCs w:val="32"/>
          <w:lang w:val="en-US" w:eastAsia="zh-CN"/>
        </w:rPr>
        <w:t>3</w:t>
      </w:r>
      <w:r>
        <w:rPr>
          <w:rFonts w:hint="default" w:ascii="Times New Roman" w:hAnsi="Times New Roman" w:eastAsia="仿宋" w:cs="Times New Roman"/>
          <w:b w:val="0"/>
          <w:bCs w:val="0"/>
          <w:sz w:val="32"/>
          <w:szCs w:val="32"/>
        </w:rPr>
        <w:t>年度相比，一般公共预算财政拨款支出增加</w:t>
      </w:r>
      <w:r>
        <w:rPr>
          <w:rFonts w:hint="eastAsia" w:eastAsia="仿宋" w:cs="Times New Roman"/>
          <w:b w:val="0"/>
          <w:bCs w:val="0"/>
          <w:sz w:val="32"/>
          <w:szCs w:val="32"/>
          <w:lang w:val="en-US" w:eastAsia="zh-CN"/>
        </w:rPr>
        <w:t>177.49</w:t>
      </w:r>
      <w:r>
        <w:rPr>
          <w:rFonts w:hint="default" w:ascii="Times New Roman" w:hAnsi="Times New Roman" w:eastAsia="仿宋" w:cs="Times New Roman"/>
          <w:b w:val="0"/>
          <w:bCs w:val="0"/>
          <w:sz w:val="32"/>
          <w:szCs w:val="32"/>
        </w:rPr>
        <w:t>万元，增长</w:t>
      </w:r>
      <w:r>
        <w:rPr>
          <w:rFonts w:hint="eastAsia" w:eastAsia="仿宋" w:cs="Times New Roman"/>
          <w:b w:val="0"/>
          <w:bCs w:val="0"/>
          <w:sz w:val="32"/>
          <w:szCs w:val="32"/>
          <w:lang w:val="en-US" w:eastAsia="zh-CN"/>
        </w:rPr>
        <w:t>33.33</w:t>
      </w:r>
      <w:r>
        <w:rPr>
          <w:rFonts w:hint="default" w:eastAsia="仿宋" w:cs="Times New Roman"/>
          <w:b w:val="0"/>
          <w:bCs w:val="0"/>
          <w:sz w:val="32"/>
          <w:szCs w:val="32"/>
          <w:lang w:val="en-US" w:eastAsia="zh-CN"/>
        </w:rPr>
        <w:t>%</w:t>
      </w:r>
      <w:r>
        <w:rPr>
          <w:rFonts w:hint="default" w:ascii="Times New Roman" w:hAnsi="Times New Roman" w:eastAsia="仿宋" w:cs="Times New Roman"/>
          <w:b w:val="0"/>
          <w:bCs w:val="0"/>
          <w:sz w:val="32"/>
          <w:szCs w:val="32"/>
        </w:rPr>
        <w:t>。主要变动原因是</w:t>
      </w:r>
      <w:r>
        <w:rPr>
          <w:rFonts w:hint="eastAsia" w:eastAsia="仿宋" w:cs="Times New Roman"/>
          <w:b w:val="0"/>
          <w:bCs w:val="0"/>
          <w:sz w:val="32"/>
          <w:szCs w:val="32"/>
          <w:lang w:eastAsia="zh-CN"/>
        </w:rPr>
        <w:t>项目经费</w:t>
      </w:r>
      <w:r>
        <w:rPr>
          <w:rFonts w:hint="default" w:ascii="Times New Roman" w:hAnsi="Times New Roman" w:eastAsia="仿宋" w:cs="Times New Roman"/>
          <w:b w:val="0"/>
          <w:bCs w:val="0"/>
          <w:sz w:val="32"/>
          <w:szCs w:val="32"/>
          <w:lang w:eastAsia="zh-CN"/>
        </w:rPr>
        <w:t>增加。</w:t>
      </w:r>
    </w:p>
    <w:p>
      <w:pPr>
        <w:pStyle w:val="2"/>
        <w:rPr>
          <w:rFonts w:hint="default" w:ascii="Times New Roman" w:hAnsi="Times New Roman" w:eastAsia="仿宋" w:cs="Times New Roman"/>
          <w:sz w:val="32"/>
          <w:szCs w:val="32"/>
        </w:rPr>
      </w:pPr>
    </w:p>
    <w:p>
      <w:pPr>
        <w:pStyle w:val="2"/>
        <w:rPr>
          <w:rFonts w:hint="default" w:ascii="Times New Roman" w:hAnsi="Times New Roman" w:eastAsia="仿宋" w:cs="Times New Roman"/>
          <w:sz w:val="32"/>
          <w:szCs w:val="32"/>
        </w:rPr>
      </w:pPr>
    </w:p>
    <w:p>
      <w:pPr>
        <w:pStyle w:val="2"/>
        <w:rPr>
          <w:rFonts w:hint="default" w:ascii="Times New Roman" w:hAnsi="Times New Roman" w:eastAsia="仿宋" w:cs="Times New Roman"/>
          <w:sz w:val="32"/>
          <w:szCs w:val="32"/>
          <w:lang w:eastAsia="zh-CN"/>
        </w:rPr>
      </w:pPr>
      <w:r>
        <w:rPr>
          <w:rFonts w:hint="default" w:ascii="Times New Roman" w:hAnsi="Times New Roman" w:eastAsia="仿宋" w:cs="Times New Roman"/>
          <w:sz w:val="32"/>
          <w:szCs w:val="32"/>
          <w:lang w:eastAsia="zh-CN"/>
        </w:rPr>
        <w:drawing>
          <wp:anchor distT="0" distB="0" distL="114300" distR="114300" simplePos="0" relativeHeight="251663360" behindDoc="0" locked="0" layoutInCell="1" allowOverlap="1">
            <wp:simplePos x="0" y="0"/>
            <wp:positionH relativeFrom="column">
              <wp:posOffset>470535</wp:posOffset>
            </wp:positionH>
            <wp:positionV relativeFrom="paragraph">
              <wp:posOffset>90170</wp:posOffset>
            </wp:positionV>
            <wp:extent cx="4594860" cy="2706370"/>
            <wp:effectExtent l="4445" t="4445" r="10795" b="13335"/>
            <wp:wrapSquare wrapText="bothSides"/>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pPr>
        <w:spacing w:line="600" w:lineRule="exact"/>
        <w:rPr>
          <w:rFonts w:hint="default" w:ascii="Times New Roman" w:hAnsi="Times New Roman" w:eastAsia="仿宋" w:cs="Times New Roman"/>
          <w:sz w:val="32"/>
          <w:szCs w:val="32"/>
        </w:rPr>
      </w:pPr>
    </w:p>
    <w:p>
      <w:pPr>
        <w:keepNext w:val="0"/>
        <w:keepLines w:val="0"/>
        <w:pageBreakBefore w:val="0"/>
        <w:widowControl w:val="0"/>
        <w:kinsoku/>
        <w:wordWrap/>
        <w:overflowPunct/>
        <w:topLinePunct w:val="0"/>
        <w:autoSpaceDE/>
        <w:autoSpaceDN/>
        <w:bidi w:val="0"/>
        <w:adjustRightInd/>
        <w:snapToGrid/>
        <w:spacing w:line="540" w:lineRule="exact"/>
        <w:ind w:firstLine="960" w:firstLineChars="300"/>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图5：一般公共预算财政拨款支出决算变动情况</w:t>
      </w:r>
    </w:p>
    <w:p>
      <w:pPr>
        <w:keepNext w:val="0"/>
        <w:keepLines w:val="0"/>
        <w:pageBreakBefore w:val="0"/>
        <w:widowControl w:val="0"/>
        <w:kinsoku/>
        <w:wordWrap/>
        <w:overflowPunct/>
        <w:topLinePunct w:val="0"/>
        <w:autoSpaceDE/>
        <w:autoSpaceDN/>
        <w:bidi w:val="0"/>
        <w:adjustRightInd/>
        <w:snapToGrid/>
        <w:spacing w:line="540" w:lineRule="exact"/>
        <w:ind w:firstLine="642" w:firstLineChars="200"/>
        <w:textAlignment w:val="auto"/>
        <w:outlineLvl w:val="2"/>
        <w:rPr>
          <w:rFonts w:hint="default" w:ascii="Times New Roman" w:hAnsi="Times New Roman" w:eastAsia="方正楷体_GBK" w:cs="Times New Roman"/>
          <w:b/>
          <w:sz w:val="32"/>
          <w:szCs w:val="32"/>
        </w:rPr>
      </w:pPr>
      <w:bookmarkStart w:id="27" w:name="_Toc15377211"/>
      <w:r>
        <w:rPr>
          <w:rFonts w:hint="default" w:ascii="Times New Roman" w:hAnsi="Times New Roman" w:eastAsia="方正楷体_GBK" w:cs="Times New Roman"/>
          <w:b/>
          <w:sz w:val="32"/>
          <w:szCs w:val="32"/>
        </w:rPr>
        <w:t>（二）一般公共预算财政拨款支出决算结构情况</w:t>
      </w:r>
      <w:bookmarkEnd w:id="27"/>
    </w:p>
    <w:p>
      <w:pPr>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Fonts w:hint="default" w:ascii="Times New Roman" w:hAnsi="Times New Roman" w:eastAsia="宋体" w:cs="Times New Roman"/>
          <w:b w:val="0"/>
          <w:bCs w:val="0"/>
          <w:lang w:eastAsia="zh-CN"/>
        </w:rPr>
      </w:pPr>
      <w:r>
        <w:rPr>
          <w:rFonts w:hint="default" w:ascii="Times New Roman" w:hAnsi="Times New Roman" w:eastAsia="仿宋" w:cs="Times New Roman"/>
          <w:b w:val="0"/>
          <w:bCs w:val="0"/>
          <w:sz w:val="32"/>
          <w:szCs w:val="32"/>
        </w:rPr>
        <w:t>202</w:t>
      </w:r>
      <w:r>
        <w:rPr>
          <w:rFonts w:hint="eastAsia" w:eastAsia="仿宋" w:cs="Times New Roman"/>
          <w:b w:val="0"/>
          <w:bCs w:val="0"/>
          <w:sz w:val="32"/>
          <w:szCs w:val="32"/>
          <w:lang w:val="en-US" w:eastAsia="zh-CN"/>
        </w:rPr>
        <w:t>4</w:t>
      </w:r>
      <w:r>
        <w:rPr>
          <w:rFonts w:hint="default" w:ascii="Times New Roman" w:hAnsi="Times New Roman" w:eastAsia="仿宋" w:cs="Times New Roman"/>
          <w:b w:val="0"/>
          <w:bCs w:val="0"/>
          <w:sz w:val="32"/>
          <w:szCs w:val="32"/>
        </w:rPr>
        <w:t>年度一般公共预算财政拨款支出</w:t>
      </w:r>
      <w:r>
        <w:rPr>
          <w:rFonts w:hint="eastAsia" w:eastAsia="仿宋" w:cs="Times New Roman"/>
          <w:b w:val="0"/>
          <w:bCs w:val="0"/>
          <w:sz w:val="32"/>
          <w:szCs w:val="32"/>
          <w:lang w:val="en-US" w:eastAsia="zh-CN"/>
        </w:rPr>
        <w:t>709.97</w:t>
      </w:r>
      <w:r>
        <w:rPr>
          <w:rFonts w:hint="default" w:ascii="Times New Roman" w:hAnsi="Times New Roman" w:eastAsia="仿宋" w:cs="Times New Roman"/>
          <w:b w:val="0"/>
          <w:bCs w:val="0"/>
          <w:sz w:val="32"/>
          <w:szCs w:val="32"/>
        </w:rPr>
        <w:t>万元，主要用于以下方面:一般公共服务支出</w:t>
      </w:r>
      <w:r>
        <w:rPr>
          <w:rFonts w:hint="eastAsia" w:eastAsia="仿宋" w:cs="Times New Roman"/>
          <w:b w:val="0"/>
          <w:bCs w:val="0"/>
          <w:sz w:val="32"/>
          <w:szCs w:val="32"/>
          <w:lang w:val="en-US" w:eastAsia="zh-CN"/>
        </w:rPr>
        <w:t>604.43</w:t>
      </w:r>
      <w:r>
        <w:rPr>
          <w:rFonts w:hint="default" w:ascii="Times New Roman" w:hAnsi="Times New Roman" w:eastAsia="仿宋" w:cs="Times New Roman"/>
          <w:b w:val="0"/>
          <w:bCs w:val="0"/>
          <w:sz w:val="32"/>
          <w:szCs w:val="32"/>
        </w:rPr>
        <w:t>万元，占</w:t>
      </w:r>
      <w:r>
        <w:rPr>
          <w:rFonts w:hint="eastAsia" w:eastAsia="仿宋" w:cs="Times New Roman"/>
          <w:b w:val="0"/>
          <w:bCs w:val="0"/>
          <w:sz w:val="32"/>
          <w:szCs w:val="32"/>
          <w:lang w:val="en-US" w:eastAsia="zh-CN"/>
        </w:rPr>
        <w:t>85.13</w:t>
      </w:r>
      <w:r>
        <w:rPr>
          <w:rFonts w:hint="default" w:ascii="Times New Roman" w:hAnsi="Times New Roman" w:eastAsia="仿宋" w:cs="Times New Roman"/>
          <w:b w:val="0"/>
          <w:bCs w:val="0"/>
          <w:sz w:val="32"/>
          <w:szCs w:val="32"/>
        </w:rPr>
        <w:t>%；社会保障和就业支出</w:t>
      </w:r>
      <w:r>
        <w:rPr>
          <w:rFonts w:hint="eastAsia" w:eastAsia="仿宋" w:cs="Times New Roman"/>
          <w:b w:val="0"/>
          <w:bCs w:val="0"/>
          <w:sz w:val="32"/>
          <w:szCs w:val="32"/>
          <w:lang w:val="en-US" w:eastAsia="zh-CN"/>
        </w:rPr>
        <w:t>57</w:t>
      </w:r>
      <w:r>
        <w:rPr>
          <w:rFonts w:hint="default" w:ascii="Times New Roman" w:hAnsi="Times New Roman" w:eastAsia="仿宋" w:cs="Times New Roman"/>
          <w:b w:val="0"/>
          <w:bCs w:val="0"/>
          <w:sz w:val="32"/>
          <w:szCs w:val="32"/>
        </w:rPr>
        <w:t>万元，占</w:t>
      </w:r>
      <w:r>
        <w:rPr>
          <w:rFonts w:hint="eastAsia" w:eastAsia="仿宋" w:cs="Times New Roman"/>
          <w:b w:val="0"/>
          <w:bCs w:val="0"/>
          <w:sz w:val="32"/>
          <w:szCs w:val="32"/>
          <w:lang w:val="en-US" w:eastAsia="zh-CN"/>
        </w:rPr>
        <w:t>8.03</w:t>
      </w:r>
      <w:r>
        <w:rPr>
          <w:rFonts w:hint="default" w:eastAsia="仿宋" w:cs="Times New Roman"/>
          <w:b w:val="0"/>
          <w:bCs w:val="0"/>
          <w:sz w:val="32"/>
          <w:szCs w:val="32"/>
          <w:lang w:val="en-US" w:eastAsia="zh-CN"/>
        </w:rPr>
        <w:t>%</w:t>
      </w:r>
      <w:r>
        <w:rPr>
          <w:rFonts w:hint="default" w:ascii="Times New Roman" w:hAnsi="Times New Roman" w:eastAsia="仿宋" w:cs="Times New Roman"/>
          <w:b w:val="0"/>
          <w:bCs w:val="0"/>
          <w:sz w:val="32"/>
          <w:szCs w:val="32"/>
        </w:rPr>
        <w:t>；卫生健康支出</w:t>
      </w:r>
      <w:r>
        <w:rPr>
          <w:rFonts w:hint="eastAsia" w:eastAsia="仿宋" w:cs="Times New Roman"/>
          <w:b w:val="0"/>
          <w:bCs w:val="0"/>
          <w:sz w:val="32"/>
          <w:szCs w:val="32"/>
          <w:lang w:val="en-US" w:eastAsia="zh-CN"/>
        </w:rPr>
        <w:t>16.74</w:t>
      </w:r>
      <w:r>
        <w:rPr>
          <w:rFonts w:hint="default" w:ascii="Times New Roman" w:hAnsi="Times New Roman" w:eastAsia="仿宋" w:cs="Times New Roman"/>
          <w:b w:val="0"/>
          <w:bCs w:val="0"/>
          <w:sz w:val="32"/>
          <w:szCs w:val="32"/>
        </w:rPr>
        <w:t>万元，占</w:t>
      </w:r>
      <w:r>
        <w:rPr>
          <w:rFonts w:hint="eastAsia" w:eastAsia="仿宋" w:cs="Times New Roman"/>
          <w:b w:val="0"/>
          <w:bCs w:val="0"/>
          <w:sz w:val="32"/>
          <w:szCs w:val="32"/>
          <w:lang w:val="en-US" w:eastAsia="zh-CN"/>
        </w:rPr>
        <w:t>2.36</w:t>
      </w:r>
      <w:r>
        <w:rPr>
          <w:rFonts w:hint="default" w:eastAsia="仿宋" w:cs="Times New Roman"/>
          <w:b w:val="0"/>
          <w:bCs w:val="0"/>
          <w:sz w:val="32"/>
          <w:szCs w:val="32"/>
          <w:lang w:val="en-US" w:eastAsia="zh-CN"/>
        </w:rPr>
        <w:t>%</w:t>
      </w:r>
      <w:r>
        <w:rPr>
          <w:rFonts w:hint="default" w:ascii="Times New Roman" w:hAnsi="Times New Roman" w:eastAsia="仿宋" w:cs="Times New Roman"/>
          <w:b w:val="0"/>
          <w:bCs w:val="0"/>
          <w:sz w:val="32"/>
          <w:szCs w:val="32"/>
        </w:rPr>
        <w:t>；住房保障支出</w:t>
      </w:r>
      <w:r>
        <w:rPr>
          <w:rFonts w:hint="default" w:eastAsia="仿宋" w:cs="Times New Roman"/>
          <w:b w:val="0"/>
          <w:bCs w:val="0"/>
          <w:sz w:val="32"/>
          <w:szCs w:val="32"/>
          <w:lang w:val="en-US" w:eastAsia="zh-CN"/>
        </w:rPr>
        <w:t>31</w:t>
      </w:r>
      <w:r>
        <w:rPr>
          <w:rFonts w:hint="eastAsia" w:eastAsia="仿宋" w:cs="Times New Roman"/>
          <w:b w:val="0"/>
          <w:bCs w:val="0"/>
          <w:sz w:val="32"/>
          <w:szCs w:val="32"/>
          <w:lang w:val="en-US" w:eastAsia="zh-CN"/>
        </w:rPr>
        <w:t>.8</w:t>
      </w:r>
      <w:r>
        <w:rPr>
          <w:rFonts w:hint="default" w:eastAsia="仿宋" w:cs="Times New Roman"/>
          <w:b w:val="0"/>
          <w:bCs w:val="0"/>
          <w:sz w:val="32"/>
          <w:szCs w:val="32"/>
          <w:lang w:val="en-US" w:eastAsia="zh-CN"/>
        </w:rPr>
        <w:t>万元</w:t>
      </w:r>
      <w:r>
        <w:rPr>
          <w:rFonts w:hint="default" w:ascii="Times New Roman" w:hAnsi="Times New Roman" w:eastAsia="仿宋" w:cs="Times New Roman"/>
          <w:b w:val="0"/>
          <w:bCs w:val="0"/>
          <w:sz w:val="32"/>
          <w:szCs w:val="32"/>
        </w:rPr>
        <w:t>，占</w:t>
      </w:r>
      <w:r>
        <w:rPr>
          <w:rFonts w:hint="eastAsia" w:eastAsia="仿宋" w:cs="Times New Roman"/>
          <w:b w:val="0"/>
          <w:bCs w:val="0"/>
          <w:sz w:val="32"/>
          <w:szCs w:val="32"/>
          <w:lang w:val="en-US" w:eastAsia="zh-CN"/>
        </w:rPr>
        <w:t>4.48</w:t>
      </w:r>
      <w:r>
        <w:rPr>
          <w:rFonts w:hint="default" w:eastAsia="仿宋" w:cs="Times New Roman"/>
          <w:b w:val="0"/>
          <w:bCs w:val="0"/>
          <w:sz w:val="32"/>
          <w:szCs w:val="32"/>
          <w:lang w:val="en-US" w:eastAsia="zh-CN"/>
        </w:rPr>
        <w:t>%</w:t>
      </w:r>
      <w:r>
        <w:rPr>
          <w:rFonts w:hint="default" w:ascii="Times New Roman" w:hAnsi="Times New Roman" w:eastAsia="仿宋" w:cs="Times New Roman"/>
          <w:b w:val="0"/>
          <w:bCs w:val="0"/>
          <w:sz w:val="32"/>
          <w:szCs w:val="32"/>
        </w:rPr>
        <w:t>。</w:t>
      </w:r>
    </w:p>
    <w:p>
      <w:pPr>
        <w:pStyle w:val="2"/>
        <w:ind w:left="1280" w:hanging="1280" w:hangingChars="400"/>
        <w:rPr>
          <w:rFonts w:hint="default" w:ascii="Times New Roman" w:hAnsi="Times New Roman" w:eastAsia="方正楷体_GBK" w:cs="Times New Roman"/>
          <w:sz w:val="32"/>
          <w:szCs w:val="32"/>
        </w:rPr>
      </w:pPr>
      <w:r>
        <w:rPr>
          <w:rFonts w:hint="default"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lang w:eastAsia="zh-CN"/>
        </w:rPr>
        <w:drawing>
          <wp:inline distT="0" distB="0" distL="114300" distR="114300">
            <wp:extent cx="4965700" cy="2620010"/>
            <wp:effectExtent l="4445" t="4445" r="20955" b="2349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Pr>
          <w:rFonts w:hint="default" w:ascii="Times New Roman" w:hAnsi="Times New Roman" w:eastAsia="仿宋" w:cs="Times New Roman"/>
          <w:sz w:val="32"/>
          <w:szCs w:val="32"/>
          <w:lang w:val="en-US" w:eastAsia="zh-CN"/>
        </w:rPr>
        <w:t xml:space="preserve">  </w:t>
      </w:r>
      <w:r>
        <w:rPr>
          <w:rFonts w:hint="default" w:ascii="Times New Roman" w:hAnsi="Times New Roman" w:eastAsia="方正楷体_GBK" w:cs="Times New Roman"/>
          <w:sz w:val="32"/>
          <w:szCs w:val="32"/>
        </w:rPr>
        <w:t>图6：一般公共预算财政拨款支出决算结构</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outlineLvl w:val="2"/>
        <w:rPr>
          <w:rFonts w:hint="default" w:ascii="Times New Roman" w:hAnsi="Times New Roman" w:eastAsia="方正楷体_GBK" w:cs="Times New Roman"/>
          <w:b/>
          <w:sz w:val="32"/>
          <w:szCs w:val="32"/>
        </w:rPr>
      </w:pPr>
      <w:bookmarkStart w:id="28" w:name="_Toc15377212"/>
      <w:r>
        <w:rPr>
          <w:rFonts w:hint="default" w:ascii="Times New Roman" w:hAnsi="Times New Roman" w:eastAsia="方正楷体_GBK" w:cs="Times New Roman"/>
          <w:b/>
          <w:sz w:val="32"/>
          <w:szCs w:val="32"/>
        </w:rPr>
        <w:t>（三）一般公共预算财政拨款支出决算具体情况</w:t>
      </w:r>
      <w:bookmarkEnd w:id="28"/>
    </w:p>
    <w:p>
      <w:pPr>
        <w:spacing w:line="600" w:lineRule="exact"/>
        <w:ind w:firstLine="642" w:firstLineChars="200"/>
        <w:outlineLvl w:val="2"/>
        <w:rPr>
          <w:rFonts w:hint="default" w:ascii="Times New Roman" w:hAnsi="Times New Roman" w:eastAsia="仿宋" w:cs="Times New Roman"/>
          <w:sz w:val="32"/>
          <w:szCs w:val="32"/>
        </w:rPr>
      </w:pPr>
      <w:bookmarkStart w:id="29" w:name="_Toc15377444"/>
      <w:bookmarkStart w:id="30" w:name="_Toc15378460"/>
      <w:bookmarkStart w:id="31" w:name="_Toc15377213"/>
      <w:r>
        <w:rPr>
          <w:rFonts w:hint="default" w:ascii="Times New Roman" w:hAnsi="Times New Roman" w:eastAsia="仿宋" w:cs="Times New Roman"/>
          <w:b/>
          <w:sz w:val="32"/>
          <w:szCs w:val="32"/>
        </w:rPr>
        <w:t>202</w:t>
      </w:r>
      <w:r>
        <w:rPr>
          <w:rFonts w:hint="eastAsia" w:eastAsia="仿宋" w:cs="Times New Roman"/>
          <w:b/>
          <w:sz w:val="32"/>
          <w:szCs w:val="32"/>
          <w:lang w:val="en-US" w:eastAsia="zh-CN"/>
        </w:rPr>
        <w:t>4</w:t>
      </w:r>
      <w:r>
        <w:rPr>
          <w:rFonts w:hint="default" w:ascii="Times New Roman" w:hAnsi="Times New Roman" w:eastAsia="仿宋" w:cs="Times New Roman"/>
          <w:b/>
          <w:sz w:val="32"/>
          <w:szCs w:val="32"/>
        </w:rPr>
        <w:t>年度一般公共预算支出决算数为</w:t>
      </w:r>
      <w:r>
        <w:rPr>
          <w:rFonts w:hint="eastAsia" w:eastAsia="仿宋" w:cs="Times New Roman"/>
          <w:b/>
          <w:sz w:val="32"/>
          <w:szCs w:val="32"/>
          <w:lang w:val="en-US" w:eastAsia="zh-CN"/>
        </w:rPr>
        <w:t>709.97万元</w:t>
      </w:r>
      <w:r>
        <w:rPr>
          <w:rFonts w:hint="default" w:ascii="Times New Roman" w:hAnsi="Times New Roman" w:eastAsia="仿宋" w:cs="Times New Roman"/>
          <w:sz w:val="32"/>
          <w:szCs w:val="32"/>
        </w:rPr>
        <w:t>，</w:t>
      </w:r>
      <w:r>
        <w:rPr>
          <w:rStyle w:val="18"/>
          <w:rFonts w:hint="default" w:ascii="Times New Roman" w:hAnsi="Times New Roman" w:eastAsia="仿宋" w:cs="Times New Roman"/>
          <w:bCs/>
          <w:sz w:val="32"/>
          <w:szCs w:val="32"/>
        </w:rPr>
        <w:t>完成预算</w:t>
      </w:r>
      <w:r>
        <w:rPr>
          <w:rStyle w:val="18"/>
          <w:rFonts w:hint="default" w:ascii="Times New Roman" w:hAnsi="Times New Roman" w:eastAsia="仿宋" w:cs="Times New Roman"/>
          <w:bCs/>
          <w:sz w:val="32"/>
          <w:szCs w:val="32"/>
          <w:lang w:val="en-US" w:eastAsia="zh-CN"/>
        </w:rPr>
        <w:t>100</w:t>
      </w:r>
      <w:r>
        <w:rPr>
          <w:rStyle w:val="18"/>
          <w:rFonts w:hint="default" w:ascii="Times New Roman" w:hAnsi="Times New Roman" w:eastAsia="仿宋" w:cs="Times New Roman"/>
          <w:bCs/>
          <w:sz w:val="32"/>
          <w:szCs w:val="32"/>
        </w:rPr>
        <w:t>%。其中：</w:t>
      </w:r>
      <w:bookmarkEnd w:id="29"/>
      <w:bookmarkEnd w:id="30"/>
      <w:bookmarkEnd w:id="31"/>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default" w:ascii="Times New Roman" w:hAnsi="Times New Roman" w:cs="Times New Roman"/>
          <w:b w:val="0"/>
          <w:bCs/>
        </w:rPr>
      </w:pPr>
      <w:r>
        <w:rPr>
          <w:rStyle w:val="18"/>
          <w:rFonts w:hint="default" w:ascii="Times New Roman" w:hAnsi="Times New Roman" w:eastAsia="仿宋_GB2312" w:cs="Times New Roman"/>
          <w:bCs/>
          <w:color w:val="auto"/>
          <w:sz w:val="32"/>
          <w:szCs w:val="32"/>
          <w:highlight w:val="none"/>
        </w:rPr>
        <w:t>1.一般公共服务</w:t>
      </w:r>
      <w:r>
        <w:rPr>
          <w:rStyle w:val="18"/>
          <w:rFonts w:hint="default" w:ascii="Times New Roman" w:hAnsi="Times New Roman" w:eastAsia="仿宋_GB2312" w:cs="Times New Roman"/>
          <w:bCs/>
          <w:color w:val="auto"/>
          <w:sz w:val="32"/>
          <w:szCs w:val="32"/>
          <w:highlight w:val="none"/>
          <w:lang w:val="en-US" w:eastAsia="zh-CN"/>
        </w:rPr>
        <w:t>支出</w:t>
      </w:r>
      <w:r>
        <w:rPr>
          <w:rStyle w:val="18"/>
          <w:rFonts w:hint="default" w:ascii="Times New Roman" w:hAnsi="Times New Roman" w:eastAsia="仿宋_GB2312" w:cs="Times New Roman"/>
          <w:bCs/>
          <w:color w:val="auto"/>
          <w:sz w:val="32"/>
          <w:szCs w:val="32"/>
          <w:highlight w:val="none"/>
        </w:rPr>
        <w:t>（类）</w:t>
      </w:r>
      <w:r>
        <w:rPr>
          <w:rStyle w:val="18"/>
          <w:rFonts w:hint="default" w:ascii="Times New Roman" w:hAnsi="Times New Roman" w:eastAsia="仿宋_GB2312" w:cs="Times New Roman"/>
          <w:bCs/>
          <w:color w:val="auto"/>
          <w:sz w:val="32"/>
          <w:szCs w:val="32"/>
          <w:highlight w:val="none"/>
          <w:lang w:val="en-US" w:eastAsia="zh-CN"/>
        </w:rPr>
        <w:t>党委办公厅（室）及相关机构事务</w:t>
      </w:r>
      <w:r>
        <w:rPr>
          <w:rStyle w:val="18"/>
          <w:rFonts w:hint="default" w:ascii="Times New Roman" w:hAnsi="Times New Roman" w:eastAsia="仿宋_GB2312" w:cs="Times New Roman"/>
          <w:bCs/>
          <w:color w:val="auto"/>
          <w:sz w:val="32"/>
          <w:szCs w:val="32"/>
          <w:highlight w:val="none"/>
        </w:rPr>
        <w:t>（款）</w:t>
      </w:r>
      <w:r>
        <w:rPr>
          <w:rStyle w:val="18"/>
          <w:rFonts w:hint="default" w:ascii="Times New Roman" w:hAnsi="Times New Roman" w:eastAsia="仿宋_GB2312" w:cs="Times New Roman"/>
          <w:bCs/>
          <w:color w:val="auto"/>
          <w:sz w:val="32"/>
          <w:szCs w:val="32"/>
          <w:highlight w:val="none"/>
          <w:lang w:val="en-US" w:eastAsia="zh-CN"/>
        </w:rPr>
        <w:t>行政运行</w:t>
      </w:r>
      <w:r>
        <w:rPr>
          <w:rStyle w:val="18"/>
          <w:rFonts w:hint="default" w:ascii="Times New Roman" w:hAnsi="Times New Roman" w:eastAsia="仿宋_GB2312" w:cs="Times New Roman"/>
          <w:bCs/>
          <w:color w:val="auto"/>
          <w:sz w:val="32"/>
          <w:szCs w:val="32"/>
          <w:highlight w:val="none"/>
        </w:rPr>
        <w:t>（项）:</w:t>
      </w:r>
      <w:r>
        <w:rPr>
          <w:rStyle w:val="18"/>
          <w:rFonts w:hint="default" w:ascii="Times New Roman" w:hAnsi="Times New Roman" w:eastAsia="仿宋_GB2312" w:cs="Times New Roman"/>
          <w:bCs/>
          <w:color w:val="auto"/>
          <w:sz w:val="32"/>
          <w:szCs w:val="32"/>
          <w:highlight w:val="none"/>
          <w:lang w:val="en-US" w:eastAsia="zh-CN"/>
        </w:rPr>
        <w:t xml:space="preserve"> </w:t>
      </w:r>
      <w:r>
        <w:rPr>
          <w:rStyle w:val="18"/>
          <w:rFonts w:hint="default" w:ascii="Times New Roman" w:hAnsi="Times New Roman" w:eastAsia="仿宋_GB2312" w:cs="Times New Roman"/>
          <w:b w:val="0"/>
          <w:bCs/>
          <w:color w:val="auto"/>
          <w:sz w:val="32"/>
          <w:szCs w:val="32"/>
          <w:highlight w:val="none"/>
        </w:rPr>
        <w:t>支出决算为</w:t>
      </w:r>
      <w:r>
        <w:rPr>
          <w:rFonts w:hint="eastAsia" w:eastAsia="仿宋" w:cs="Times New Roman"/>
          <w:b w:val="0"/>
          <w:bCs/>
          <w:sz w:val="32"/>
          <w:szCs w:val="32"/>
          <w:lang w:val="en-US" w:eastAsia="zh-CN"/>
        </w:rPr>
        <w:t>380.92</w:t>
      </w:r>
      <w:r>
        <w:rPr>
          <w:rStyle w:val="18"/>
          <w:rFonts w:hint="default" w:ascii="Times New Roman" w:hAnsi="Times New Roman" w:eastAsia="仿宋_GB2312" w:cs="Times New Roman"/>
          <w:b w:val="0"/>
          <w:bCs/>
          <w:color w:val="auto"/>
          <w:sz w:val="32"/>
          <w:szCs w:val="32"/>
          <w:highlight w:val="none"/>
        </w:rPr>
        <w:t>万元，完成预算</w:t>
      </w:r>
      <w:r>
        <w:rPr>
          <w:rFonts w:hint="default" w:eastAsia="仿宋" w:cs="Times New Roman"/>
          <w:b w:val="0"/>
          <w:bCs/>
          <w:sz w:val="32"/>
          <w:szCs w:val="32"/>
          <w:lang w:val="en-US" w:eastAsia="zh-CN"/>
        </w:rPr>
        <w:t>100%。</w:t>
      </w:r>
      <w:r>
        <w:rPr>
          <w:rStyle w:val="18"/>
          <w:rFonts w:hint="default" w:ascii="Times New Roman" w:hAnsi="Times New Roman" w:eastAsia="仿宋_GB2312" w:cs="Times New Roman"/>
          <w:b/>
          <w:bCs w:val="0"/>
          <w:color w:val="auto"/>
          <w:sz w:val="32"/>
          <w:szCs w:val="32"/>
          <w:highlight w:val="none"/>
        </w:rPr>
        <w:t>一般公共服务</w:t>
      </w:r>
      <w:r>
        <w:rPr>
          <w:rStyle w:val="18"/>
          <w:rFonts w:hint="default" w:ascii="Times New Roman" w:hAnsi="Times New Roman" w:eastAsia="仿宋_GB2312" w:cs="Times New Roman"/>
          <w:b/>
          <w:bCs w:val="0"/>
          <w:color w:val="auto"/>
          <w:sz w:val="32"/>
          <w:szCs w:val="32"/>
          <w:highlight w:val="none"/>
          <w:lang w:val="en-US" w:eastAsia="zh-CN"/>
        </w:rPr>
        <w:t>支出</w:t>
      </w:r>
      <w:r>
        <w:rPr>
          <w:rStyle w:val="18"/>
          <w:rFonts w:hint="default" w:ascii="Times New Roman" w:hAnsi="Times New Roman" w:eastAsia="仿宋_GB2312" w:cs="Times New Roman"/>
          <w:b/>
          <w:bCs w:val="0"/>
          <w:color w:val="auto"/>
          <w:sz w:val="32"/>
          <w:szCs w:val="32"/>
          <w:highlight w:val="none"/>
        </w:rPr>
        <w:t>（类）</w:t>
      </w:r>
      <w:r>
        <w:rPr>
          <w:rStyle w:val="18"/>
          <w:rFonts w:hint="default" w:ascii="Times New Roman" w:hAnsi="Times New Roman" w:eastAsia="仿宋_GB2312" w:cs="Times New Roman"/>
          <w:b/>
          <w:bCs w:val="0"/>
          <w:color w:val="auto"/>
          <w:sz w:val="32"/>
          <w:szCs w:val="32"/>
          <w:highlight w:val="none"/>
          <w:lang w:val="en-US" w:eastAsia="zh-CN"/>
        </w:rPr>
        <w:t>党委办公厅（室）及相关机构事务</w:t>
      </w:r>
      <w:r>
        <w:rPr>
          <w:rStyle w:val="18"/>
          <w:rFonts w:hint="default" w:ascii="Times New Roman" w:hAnsi="Times New Roman" w:eastAsia="仿宋_GB2312" w:cs="Times New Roman"/>
          <w:b/>
          <w:bCs w:val="0"/>
          <w:color w:val="auto"/>
          <w:sz w:val="32"/>
          <w:szCs w:val="32"/>
          <w:highlight w:val="none"/>
        </w:rPr>
        <w:t>（款）</w:t>
      </w:r>
      <w:r>
        <w:rPr>
          <w:rStyle w:val="18"/>
          <w:rFonts w:hint="default" w:ascii="Times New Roman" w:hAnsi="Times New Roman" w:eastAsia="仿宋_GB2312" w:cs="Times New Roman"/>
          <w:b/>
          <w:bCs w:val="0"/>
          <w:color w:val="auto"/>
          <w:sz w:val="32"/>
          <w:szCs w:val="32"/>
          <w:highlight w:val="none"/>
          <w:lang w:val="en-US" w:eastAsia="zh-CN"/>
        </w:rPr>
        <w:t>一般行政管理事务</w:t>
      </w:r>
      <w:r>
        <w:rPr>
          <w:rStyle w:val="18"/>
          <w:rFonts w:hint="default" w:ascii="Times New Roman" w:hAnsi="Times New Roman" w:eastAsia="仿宋_GB2312" w:cs="Times New Roman"/>
          <w:b/>
          <w:bCs w:val="0"/>
          <w:color w:val="auto"/>
          <w:sz w:val="32"/>
          <w:szCs w:val="32"/>
          <w:highlight w:val="none"/>
        </w:rPr>
        <w:t>（项）:</w:t>
      </w:r>
      <w:r>
        <w:rPr>
          <w:rStyle w:val="18"/>
          <w:rFonts w:hint="default" w:ascii="Times New Roman" w:hAnsi="Times New Roman" w:eastAsia="仿宋_GB2312" w:cs="Times New Roman"/>
          <w:b w:val="0"/>
          <w:bCs/>
          <w:color w:val="auto"/>
          <w:sz w:val="32"/>
          <w:szCs w:val="32"/>
          <w:highlight w:val="none"/>
          <w:lang w:val="en-US" w:eastAsia="zh-CN"/>
        </w:rPr>
        <w:t xml:space="preserve"> </w:t>
      </w:r>
      <w:r>
        <w:rPr>
          <w:rStyle w:val="18"/>
          <w:rFonts w:hint="default" w:ascii="Times New Roman" w:hAnsi="Times New Roman" w:eastAsia="仿宋_GB2312" w:cs="Times New Roman"/>
          <w:b w:val="0"/>
          <w:bCs/>
          <w:color w:val="auto"/>
          <w:sz w:val="32"/>
          <w:szCs w:val="32"/>
          <w:highlight w:val="none"/>
        </w:rPr>
        <w:t>支出决算为</w:t>
      </w:r>
      <w:r>
        <w:rPr>
          <w:rFonts w:hint="eastAsia" w:eastAsia="仿宋" w:cs="Times New Roman"/>
          <w:b w:val="0"/>
          <w:bCs/>
          <w:sz w:val="32"/>
          <w:szCs w:val="32"/>
          <w:lang w:val="en-US" w:eastAsia="zh-CN"/>
        </w:rPr>
        <w:t>223.51</w:t>
      </w:r>
      <w:r>
        <w:rPr>
          <w:rStyle w:val="18"/>
          <w:rFonts w:hint="default" w:ascii="Times New Roman" w:hAnsi="Times New Roman" w:eastAsia="仿宋_GB2312" w:cs="Times New Roman"/>
          <w:b w:val="0"/>
          <w:bCs/>
          <w:color w:val="auto"/>
          <w:sz w:val="32"/>
          <w:szCs w:val="32"/>
          <w:highlight w:val="none"/>
        </w:rPr>
        <w:t>万元，完成预算</w:t>
      </w:r>
      <w:r>
        <w:rPr>
          <w:rFonts w:hint="default" w:eastAsia="仿宋" w:cs="Times New Roman"/>
          <w:b w:val="0"/>
          <w:bCs/>
          <w:sz w:val="32"/>
          <w:szCs w:val="32"/>
          <w:lang w:val="en-US" w:eastAsia="zh-CN"/>
        </w:rPr>
        <w:t>100%。</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default" w:ascii="Times New Roman" w:hAnsi="Times New Roman" w:eastAsia="仿宋_GB2312" w:cs="Times New Roman"/>
          <w:b/>
          <w:color w:val="auto"/>
          <w:sz w:val="32"/>
          <w:szCs w:val="32"/>
          <w:highlight w:val="none"/>
        </w:rPr>
      </w:pPr>
      <w:r>
        <w:rPr>
          <w:rStyle w:val="18"/>
          <w:rFonts w:hint="default" w:ascii="Times New Roman" w:hAnsi="Times New Roman" w:eastAsia="仿宋_GB2312" w:cs="Times New Roman"/>
          <w:bCs/>
          <w:color w:val="auto"/>
          <w:sz w:val="32"/>
          <w:szCs w:val="32"/>
          <w:highlight w:val="none"/>
          <w:lang w:val="en-US" w:eastAsia="zh-CN"/>
        </w:rPr>
        <w:t>2</w:t>
      </w:r>
      <w:r>
        <w:rPr>
          <w:rStyle w:val="18"/>
          <w:rFonts w:hint="default" w:ascii="Times New Roman" w:hAnsi="Times New Roman" w:eastAsia="仿宋_GB2312" w:cs="Times New Roman"/>
          <w:bCs/>
          <w:color w:val="auto"/>
          <w:sz w:val="32"/>
          <w:szCs w:val="32"/>
          <w:highlight w:val="none"/>
        </w:rPr>
        <w:t>.社会保障和就业</w:t>
      </w:r>
      <w:r>
        <w:rPr>
          <w:rStyle w:val="18"/>
          <w:rFonts w:hint="default" w:ascii="Times New Roman" w:hAnsi="Times New Roman" w:eastAsia="仿宋_GB2312" w:cs="Times New Roman"/>
          <w:bCs/>
          <w:color w:val="auto"/>
          <w:sz w:val="32"/>
          <w:szCs w:val="32"/>
          <w:highlight w:val="none"/>
          <w:lang w:val="en-US" w:eastAsia="zh-CN"/>
        </w:rPr>
        <w:t>支出</w:t>
      </w:r>
      <w:r>
        <w:rPr>
          <w:rStyle w:val="18"/>
          <w:rFonts w:hint="default" w:ascii="Times New Roman" w:hAnsi="Times New Roman" w:eastAsia="仿宋_GB2312" w:cs="Times New Roman"/>
          <w:bCs/>
          <w:color w:val="auto"/>
          <w:sz w:val="32"/>
          <w:szCs w:val="32"/>
          <w:highlight w:val="none"/>
        </w:rPr>
        <w:t>（类）</w:t>
      </w:r>
      <w:r>
        <w:rPr>
          <w:rStyle w:val="18"/>
          <w:rFonts w:hint="default" w:ascii="Times New Roman" w:hAnsi="Times New Roman" w:eastAsia="仿宋_GB2312" w:cs="Times New Roman"/>
          <w:bCs/>
          <w:color w:val="auto"/>
          <w:sz w:val="32"/>
          <w:szCs w:val="32"/>
          <w:highlight w:val="none"/>
          <w:lang w:val="en-US" w:eastAsia="zh-CN"/>
        </w:rPr>
        <w:t>行政事业单位养老支出</w:t>
      </w:r>
      <w:r>
        <w:rPr>
          <w:rStyle w:val="18"/>
          <w:rFonts w:hint="default" w:ascii="Times New Roman" w:hAnsi="Times New Roman" w:eastAsia="仿宋_GB2312" w:cs="Times New Roman"/>
          <w:bCs/>
          <w:color w:val="auto"/>
          <w:sz w:val="32"/>
          <w:szCs w:val="32"/>
          <w:highlight w:val="none"/>
        </w:rPr>
        <w:t>（款）</w:t>
      </w:r>
      <w:r>
        <w:rPr>
          <w:rStyle w:val="18"/>
          <w:rFonts w:hint="default" w:ascii="Times New Roman" w:hAnsi="Times New Roman" w:eastAsia="仿宋_GB2312" w:cs="Times New Roman"/>
          <w:bCs/>
          <w:color w:val="auto"/>
          <w:sz w:val="32"/>
          <w:szCs w:val="32"/>
          <w:highlight w:val="none"/>
          <w:lang w:val="en-US" w:eastAsia="zh-CN"/>
        </w:rPr>
        <w:t>机关事业单位基本养老保险缴费支出</w:t>
      </w:r>
      <w:r>
        <w:rPr>
          <w:rStyle w:val="18"/>
          <w:rFonts w:hint="default" w:ascii="Times New Roman" w:hAnsi="Times New Roman" w:eastAsia="仿宋_GB2312" w:cs="Times New Roman"/>
          <w:bCs/>
          <w:color w:val="auto"/>
          <w:sz w:val="32"/>
          <w:szCs w:val="32"/>
          <w:highlight w:val="none"/>
        </w:rPr>
        <w:t>（项）:</w:t>
      </w:r>
      <w:r>
        <w:rPr>
          <w:rStyle w:val="18"/>
          <w:rFonts w:hint="default" w:ascii="Times New Roman" w:hAnsi="Times New Roman" w:eastAsia="仿宋_GB2312" w:cs="Times New Roman"/>
          <w:b w:val="0"/>
          <w:bCs/>
          <w:color w:val="auto"/>
          <w:sz w:val="32"/>
          <w:szCs w:val="32"/>
          <w:highlight w:val="none"/>
        </w:rPr>
        <w:t xml:space="preserve"> 支出决算为</w:t>
      </w:r>
      <w:r>
        <w:rPr>
          <w:rStyle w:val="18"/>
          <w:rFonts w:hint="eastAsia" w:eastAsia="仿宋_GB2312" w:cs="Times New Roman"/>
          <w:b w:val="0"/>
          <w:bCs/>
          <w:color w:val="auto"/>
          <w:sz w:val="32"/>
          <w:szCs w:val="32"/>
          <w:highlight w:val="none"/>
          <w:lang w:val="en-US" w:eastAsia="zh-CN"/>
        </w:rPr>
        <w:t>38</w:t>
      </w:r>
      <w:r>
        <w:rPr>
          <w:rStyle w:val="18"/>
          <w:rFonts w:hint="default" w:ascii="Times New Roman" w:hAnsi="Times New Roman" w:eastAsia="仿宋_GB2312" w:cs="Times New Roman"/>
          <w:b w:val="0"/>
          <w:bCs/>
          <w:color w:val="auto"/>
          <w:sz w:val="32"/>
          <w:szCs w:val="32"/>
          <w:highlight w:val="none"/>
        </w:rPr>
        <w:t>万元，完成预算</w:t>
      </w:r>
      <w:r>
        <w:rPr>
          <w:rFonts w:hint="default" w:eastAsia="仿宋" w:cs="Times New Roman"/>
          <w:b w:val="0"/>
          <w:bCs/>
          <w:sz w:val="32"/>
          <w:szCs w:val="32"/>
          <w:lang w:val="en-US" w:eastAsia="zh-CN"/>
        </w:rPr>
        <w:t>100%。</w:t>
      </w:r>
      <w:r>
        <w:rPr>
          <w:rStyle w:val="18"/>
          <w:rFonts w:hint="default" w:ascii="Times New Roman" w:hAnsi="Times New Roman" w:eastAsia="仿宋_GB2312" w:cs="Times New Roman"/>
          <w:bCs/>
          <w:color w:val="auto"/>
          <w:sz w:val="32"/>
          <w:szCs w:val="32"/>
          <w:highlight w:val="none"/>
        </w:rPr>
        <w:t>社会保障和就业</w:t>
      </w:r>
      <w:r>
        <w:rPr>
          <w:rStyle w:val="18"/>
          <w:rFonts w:hint="default" w:ascii="Times New Roman" w:hAnsi="Times New Roman" w:eastAsia="仿宋_GB2312" w:cs="Times New Roman"/>
          <w:bCs/>
          <w:color w:val="auto"/>
          <w:sz w:val="32"/>
          <w:szCs w:val="32"/>
          <w:highlight w:val="none"/>
          <w:lang w:val="en-US" w:eastAsia="zh-CN"/>
        </w:rPr>
        <w:t>支出</w:t>
      </w:r>
      <w:r>
        <w:rPr>
          <w:rStyle w:val="18"/>
          <w:rFonts w:hint="default" w:ascii="Times New Roman" w:hAnsi="Times New Roman" w:eastAsia="仿宋_GB2312" w:cs="Times New Roman"/>
          <w:bCs/>
          <w:color w:val="auto"/>
          <w:sz w:val="32"/>
          <w:szCs w:val="32"/>
          <w:highlight w:val="none"/>
        </w:rPr>
        <w:t>（类）</w:t>
      </w:r>
      <w:r>
        <w:rPr>
          <w:rStyle w:val="18"/>
          <w:rFonts w:hint="default" w:ascii="Times New Roman" w:hAnsi="Times New Roman" w:eastAsia="仿宋_GB2312" w:cs="Times New Roman"/>
          <w:bCs/>
          <w:color w:val="auto"/>
          <w:sz w:val="32"/>
          <w:szCs w:val="32"/>
          <w:highlight w:val="none"/>
          <w:lang w:val="en-US" w:eastAsia="zh-CN"/>
        </w:rPr>
        <w:t>行政事业单位养老支出</w:t>
      </w:r>
      <w:r>
        <w:rPr>
          <w:rStyle w:val="18"/>
          <w:rFonts w:hint="default" w:ascii="Times New Roman" w:hAnsi="Times New Roman" w:eastAsia="仿宋_GB2312" w:cs="Times New Roman"/>
          <w:bCs/>
          <w:color w:val="auto"/>
          <w:sz w:val="32"/>
          <w:szCs w:val="32"/>
          <w:highlight w:val="none"/>
        </w:rPr>
        <w:t>（款）</w:t>
      </w:r>
      <w:r>
        <w:rPr>
          <w:rStyle w:val="18"/>
          <w:rFonts w:hint="default" w:ascii="Times New Roman" w:hAnsi="Times New Roman" w:eastAsia="仿宋_GB2312" w:cs="Times New Roman"/>
          <w:bCs/>
          <w:color w:val="auto"/>
          <w:sz w:val="32"/>
          <w:szCs w:val="32"/>
          <w:highlight w:val="none"/>
          <w:lang w:val="en-US" w:eastAsia="zh-CN"/>
        </w:rPr>
        <w:t>机关事业单位职业年金缴费支出</w:t>
      </w:r>
      <w:r>
        <w:rPr>
          <w:rStyle w:val="18"/>
          <w:rFonts w:hint="default" w:ascii="Times New Roman" w:hAnsi="Times New Roman" w:eastAsia="仿宋_GB2312" w:cs="Times New Roman"/>
          <w:bCs/>
          <w:color w:val="auto"/>
          <w:sz w:val="32"/>
          <w:szCs w:val="32"/>
          <w:highlight w:val="none"/>
        </w:rPr>
        <w:t>（项）:</w:t>
      </w:r>
      <w:r>
        <w:rPr>
          <w:rStyle w:val="18"/>
          <w:rFonts w:hint="default" w:ascii="Times New Roman" w:hAnsi="Times New Roman" w:eastAsia="仿宋_GB2312" w:cs="Times New Roman"/>
          <w:b w:val="0"/>
          <w:bCs/>
          <w:color w:val="auto"/>
          <w:sz w:val="32"/>
          <w:szCs w:val="32"/>
          <w:highlight w:val="none"/>
        </w:rPr>
        <w:t xml:space="preserve"> 支出决算为</w:t>
      </w:r>
      <w:r>
        <w:rPr>
          <w:rStyle w:val="18"/>
          <w:rFonts w:hint="eastAsia" w:eastAsia="仿宋_GB2312" w:cs="Times New Roman"/>
          <w:b w:val="0"/>
          <w:bCs/>
          <w:color w:val="auto"/>
          <w:sz w:val="32"/>
          <w:szCs w:val="32"/>
          <w:highlight w:val="none"/>
          <w:lang w:val="en-US" w:eastAsia="zh-CN"/>
        </w:rPr>
        <w:t>19</w:t>
      </w:r>
      <w:r>
        <w:rPr>
          <w:rStyle w:val="18"/>
          <w:rFonts w:hint="default" w:ascii="Times New Roman" w:hAnsi="Times New Roman" w:eastAsia="仿宋_GB2312" w:cs="Times New Roman"/>
          <w:b w:val="0"/>
          <w:bCs/>
          <w:color w:val="auto"/>
          <w:sz w:val="32"/>
          <w:szCs w:val="32"/>
          <w:highlight w:val="none"/>
        </w:rPr>
        <w:t>万元，完成预算</w:t>
      </w:r>
      <w:r>
        <w:rPr>
          <w:rStyle w:val="18"/>
          <w:rFonts w:hint="default" w:ascii="Times New Roman" w:hAnsi="Times New Roman" w:eastAsia="仿宋_GB2312" w:cs="Times New Roman"/>
          <w:b w:val="0"/>
          <w:bCs/>
          <w:color w:val="auto"/>
          <w:sz w:val="32"/>
          <w:szCs w:val="32"/>
          <w:highlight w:val="none"/>
          <w:lang w:val="en-US" w:eastAsia="zh-CN"/>
        </w:rPr>
        <w:t>100</w:t>
      </w:r>
      <w:r>
        <w:rPr>
          <w:rStyle w:val="18"/>
          <w:rFonts w:hint="default" w:ascii="Times New Roman" w:hAnsi="Times New Roman" w:eastAsia="仿宋_GB2312" w:cs="Times New Roman"/>
          <w:b w:val="0"/>
          <w:bCs/>
          <w:color w:val="auto"/>
          <w:sz w:val="32"/>
          <w:szCs w:val="32"/>
          <w:highlight w:val="none"/>
        </w:rPr>
        <w:t>%。</w:t>
      </w:r>
    </w:p>
    <w:p>
      <w:pPr>
        <w:spacing w:line="600" w:lineRule="exact"/>
        <w:ind w:firstLine="642" w:firstLineChars="200"/>
        <w:rPr>
          <w:rStyle w:val="18"/>
          <w:rFonts w:hint="default" w:ascii="Times New Roman" w:hAnsi="Times New Roman" w:eastAsia="仿宋_GB2312" w:cs="Times New Roman"/>
          <w:b w:val="0"/>
          <w:bCs/>
          <w:color w:val="auto"/>
          <w:sz w:val="32"/>
          <w:szCs w:val="32"/>
          <w:highlight w:val="none"/>
        </w:rPr>
      </w:pPr>
      <w:r>
        <w:rPr>
          <w:rStyle w:val="18"/>
          <w:rFonts w:hint="default" w:ascii="Times New Roman" w:hAnsi="Times New Roman" w:eastAsia="仿宋_GB2312" w:cs="Times New Roman"/>
          <w:bCs/>
          <w:color w:val="auto"/>
          <w:sz w:val="32"/>
          <w:szCs w:val="32"/>
          <w:highlight w:val="none"/>
          <w:lang w:val="en-US" w:eastAsia="zh-CN"/>
        </w:rPr>
        <w:t>3</w:t>
      </w:r>
      <w:r>
        <w:rPr>
          <w:rStyle w:val="18"/>
          <w:rFonts w:hint="default" w:ascii="Times New Roman" w:hAnsi="Times New Roman" w:eastAsia="仿宋_GB2312" w:cs="Times New Roman"/>
          <w:bCs/>
          <w:color w:val="auto"/>
          <w:sz w:val="32"/>
          <w:szCs w:val="32"/>
          <w:highlight w:val="none"/>
        </w:rPr>
        <w:t>.</w:t>
      </w:r>
      <w:r>
        <w:rPr>
          <w:rFonts w:hint="default" w:ascii="Times New Roman" w:hAnsi="Times New Roman" w:eastAsia="仿宋_GB2312" w:cs="Times New Roman"/>
          <w:b/>
          <w:bCs/>
          <w:color w:val="auto"/>
          <w:sz w:val="32"/>
          <w:szCs w:val="32"/>
          <w:highlight w:val="none"/>
        </w:rPr>
        <w:t>卫生健康</w:t>
      </w:r>
      <w:r>
        <w:rPr>
          <w:rFonts w:hint="default" w:ascii="Times New Roman" w:hAnsi="Times New Roman" w:eastAsia="仿宋_GB2312" w:cs="Times New Roman"/>
          <w:b/>
          <w:bCs/>
          <w:color w:val="auto"/>
          <w:sz w:val="32"/>
          <w:szCs w:val="32"/>
          <w:highlight w:val="none"/>
          <w:lang w:val="en-US" w:eastAsia="zh-CN"/>
        </w:rPr>
        <w:t>支出</w:t>
      </w:r>
      <w:r>
        <w:rPr>
          <w:rStyle w:val="18"/>
          <w:rFonts w:hint="default" w:ascii="Times New Roman" w:hAnsi="Times New Roman" w:eastAsia="仿宋_GB2312" w:cs="Times New Roman"/>
          <w:bCs/>
          <w:color w:val="auto"/>
          <w:sz w:val="32"/>
          <w:szCs w:val="32"/>
          <w:highlight w:val="none"/>
        </w:rPr>
        <w:t>（类）</w:t>
      </w:r>
      <w:r>
        <w:rPr>
          <w:rStyle w:val="18"/>
          <w:rFonts w:hint="default" w:ascii="Times New Roman" w:hAnsi="Times New Roman" w:eastAsia="仿宋_GB2312" w:cs="Times New Roman"/>
          <w:bCs/>
          <w:color w:val="auto"/>
          <w:sz w:val="32"/>
          <w:szCs w:val="32"/>
          <w:highlight w:val="none"/>
          <w:lang w:val="en-US" w:eastAsia="zh-CN"/>
        </w:rPr>
        <w:t>行政事业单位医疗</w:t>
      </w:r>
      <w:r>
        <w:rPr>
          <w:rStyle w:val="18"/>
          <w:rFonts w:hint="default" w:ascii="Times New Roman" w:hAnsi="Times New Roman" w:eastAsia="仿宋_GB2312" w:cs="Times New Roman"/>
          <w:bCs/>
          <w:color w:val="auto"/>
          <w:sz w:val="32"/>
          <w:szCs w:val="32"/>
          <w:highlight w:val="none"/>
        </w:rPr>
        <w:t>（款）</w:t>
      </w:r>
      <w:r>
        <w:rPr>
          <w:rStyle w:val="18"/>
          <w:rFonts w:hint="default" w:ascii="Times New Roman" w:hAnsi="Times New Roman" w:eastAsia="仿宋_GB2312" w:cs="Times New Roman"/>
          <w:bCs/>
          <w:color w:val="auto"/>
          <w:sz w:val="32"/>
          <w:szCs w:val="32"/>
          <w:highlight w:val="none"/>
          <w:lang w:val="en-US" w:eastAsia="zh-CN"/>
        </w:rPr>
        <w:t>行政单位医疗</w:t>
      </w:r>
      <w:r>
        <w:rPr>
          <w:rStyle w:val="18"/>
          <w:rFonts w:hint="default" w:ascii="Times New Roman" w:hAnsi="Times New Roman" w:eastAsia="仿宋_GB2312" w:cs="Times New Roman"/>
          <w:bCs/>
          <w:color w:val="auto"/>
          <w:sz w:val="32"/>
          <w:szCs w:val="32"/>
          <w:highlight w:val="none"/>
        </w:rPr>
        <w:t>（项）:</w:t>
      </w:r>
      <w:r>
        <w:rPr>
          <w:rStyle w:val="18"/>
          <w:rFonts w:hint="default" w:ascii="Times New Roman" w:hAnsi="Times New Roman" w:eastAsia="仿宋_GB2312" w:cs="Times New Roman"/>
          <w:b w:val="0"/>
          <w:bCs/>
          <w:color w:val="auto"/>
          <w:sz w:val="32"/>
          <w:szCs w:val="32"/>
          <w:highlight w:val="none"/>
        </w:rPr>
        <w:t>支出决算为</w:t>
      </w:r>
      <w:r>
        <w:rPr>
          <w:rStyle w:val="18"/>
          <w:rFonts w:hint="eastAsia" w:eastAsia="仿宋_GB2312" w:cs="Times New Roman"/>
          <w:b w:val="0"/>
          <w:bCs/>
          <w:color w:val="auto"/>
          <w:sz w:val="32"/>
          <w:szCs w:val="32"/>
          <w:highlight w:val="none"/>
          <w:lang w:val="en-US" w:eastAsia="zh-CN"/>
        </w:rPr>
        <w:t>12.1</w:t>
      </w:r>
      <w:r>
        <w:rPr>
          <w:rStyle w:val="18"/>
          <w:rFonts w:hint="default" w:ascii="Times New Roman" w:hAnsi="Times New Roman" w:eastAsia="仿宋_GB2312" w:cs="Times New Roman"/>
          <w:b w:val="0"/>
          <w:bCs/>
          <w:color w:val="auto"/>
          <w:sz w:val="32"/>
          <w:szCs w:val="32"/>
          <w:highlight w:val="none"/>
        </w:rPr>
        <w:t>万元，完成预算</w:t>
      </w:r>
      <w:r>
        <w:rPr>
          <w:rStyle w:val="18"/>
          <w:rFonts w:hint="default" w:ascii="Times New Roman" w:hAnsi="Times New Roman" w:eastAsia="仿宋_GB2312" w:cs="Times New Roman"/>
          <w:b w:val="0"/>
          <w:bCs/>
          <w:color w:val="auto"/>
          <w:sz w:val="32"/>
          <w:szCs w:val="32"/>
          <w:highlight w:val="none"/>
          <w:lang w:val="en-US" w:eastAsia="zh-CN"/>
        </w:rPr>
        <w:t>100</w:t>
      </w:r>
      <w:r>
        <w:rPr>
          <w:rStyle w:val="18"/>
          <w:rFonts w:hint="default" w:ascii="Times New Roman" w:hAnsi="Times New Roman" w:eastAsia="仿宋_GB2312" w:cs="Times New Roman"/>
          <w:b w:val="0"/>
          <w:bCs/>
          <w:color w:val="auto"/>
          <w:sz w:val="32"/>
          <w:szCs w:val="32"/>
          <w:highlight w:val="none"/>
        </w:rPr>
        <w:t>%。</w:t>
      </w:r>
      <w:r>
        <w:rPr>
          <w:rFonts w:hint="default" w:ascii="Times New Roman" w:hAnsi="Times New Roman" w:eastAsia="仿宋_GB2312" w:cs="Times New Roman"/>
          <w:b/>
          <w:bCs/>
          <w:color w:val="auto"/>
          <w:sz w:val="32"/>
          <w:szCs w:val="32"/>
          <w:highlight w:val="none"/>
        </w:rPr>
        <w:t>卫生健康</w:t>
      </w:r>
      <w:r>
        <w:rPr>
          <w:rStyle w:val="18"/>
          <w:rFonts w:hint="default" w:ascii="Times New Roman" w:hAnsi="Times New Roman" w:eastAsia="仿宋_GB2312" w:cs="Times New Roman"/>
          <w:bCs/>
          <w:color w:val="auto"/>
          <w:sz w:val="32"/>
          <w:szCs w:val="32"/>
          <w:highlight w:val="none"/>
        </w:rPr>
        <w:t>（类）</w:t>
      </w:r>
      <w:r>
        <w:rPr>
          <w:rStyle w:val="18"/>
          <w:rFonts w:hint="default" w:ascii="Times New Roman" w:hAnsi="Times New Roman" w:eastAsia="仿宋_GB2312" w:cs="Times New Roman"/>
          <w:bCs/>
          <w:color w:val="auto"/>
          <w:sz w:val="32"/>
          <w:szCs w:val="32"/>
          <w:highlight w:val="none"/>
          <w:lang w:val="en-US" w:eastAsia="zh-CN"/>
        </w:rPr>
        <w:t>行政事业单位医疗</w:t>
      </w:r>
      <w:r>
        <w:rPr>
          <w:rStyle w:val="18"/>
          <w:rFonts w:hint="default" w:ascii="Times New Roman" w:hAnsi="Times New Roman" w:eastAsia="仿宋_GB2312" w:cs="Times New Roman"/>
          <w:bCs/>
          <w:color w:val="auto"/>
          <w:sz w:val="32"/>
          <w:szCs w:val="32"/>
          <w:highlight w:val="none"/>
        </w:rPr>
        <w:t>（款）</w:t>
      </w:r>
      <w:r>
        <w:rPr>
          <w:rStyle w:val="18"/>
          <w:rFonts w:hint="default" w:ascii="Times New Roman" w:hAnsi="Times New Roman" w:eastAsia="仿宋_GB2312" w:cs="Times New Roman"/>
          <w:bCs/>
          <w:color w:val="auto"/>
          <w:sz w:val="32"/>
          <w:szCs w:val="32"/>
          <w:highlight w:val="none"/>
          <w:lang w:val="en-US" w:eastAsia="zh-CN"/>
        </w:rPr>
        <w:t>公务员医疗补助</w:t>
      </w:r>
      <w:r>
        <w:rPr>
          <w:rStyle w:val="18"/>
          <w:rFonts w:hint="default" w:ascii="Times New Roman" w:hAnsi="Times New Roman" w:eastAsia="仿宋_GB2312" w:cs="Times New Roman"/>
          <w:bCs/>
          <w:color w:val="auto"/>
          <w:sz w:val="32"/>
          <w:szCs w:val="32"/>
          <w:highlight w:val="none"/>
        </w:rPr>
        <w:t>（项）:</w:t>
      </w:r>
      <w:r>
        <w:rPr>
          <w:rStyle w:val="18"/>
          <w:rFonts w:hint="default" w:ascii="Times New Roman" w:hAnsi="Times New Roman" w:eastAsia="仿宋_GB2312" w:cs="Times New Roman"/>
          <w:b w:val="0"/>
          <w:bCs/>
          <w:color w:val="auto"/>
          <w:sz w:val="32"/>
          <w:szCs w:val="32"/>
          <w:highlight w:val="none"/>
        </w:rPr>
        <w:t>支出决算为</w:t>
      </w:r>
      <w:r>
        <w:rPr>
          <w:rStyle w:val="18"/>
          <w:rFonts w:hint="eastAsia" w:eastAsia="仿宋_GB2312" w:cs="Times New Roman"/>
          <w:b w:val="0"/>
          <w:bCs/>
          <w:color w:val="auto"/>
          <w:sz w:val="32"/>
          <w:szCs w:val="32"/>
          <w:highlight w:val="none"/>
          <w:lang w:val="en-US" w:eastAsia="zh-CN"/>
        </w:rPr>
        <w:t>4.64</w:t>
      </w:r>
      <w:r>
        <w:rPr>
          <w:rStyle w:val="18"/>
          <w:rFonts w:hint="default" w:ascii="Times New Roman" w:hAnsi="Times New Roman" w:eastAsia="仿宋_GB2312" w:cs="Times New Roman"/>
          <w:b w:val="0"/>
          <w:bCs/>
          <w:color w:val="auto"/>
          <w:sz w:val="32"/>
          <w:szCs w:val="32"/>
          <w:highlight w:val="none"/>
        </w:rPr>
        <w:t>万元，完成预算</w:t>
      </w:r>
      <w:r>
        <w:rPr>
          <w:rStyle w:val="18"/>
          <w:rFonts w:hint="default" w:ascii="Times New Roman" w:hAnsi="Times New Roman" w:eastAsia="仿宋_GB2312" w:cs="Times New Roman"/>
          <w:b w:val="0"/>
          <w:bCs/>
          <w:color w:val="auto"/>
          <w:sz w:val="32"/>
          <w:szCs w:val="32"/>
          <w:highlight w:val="none"/>
          <w:lang w:val="en-US" w:eastAsia="zh-CN"/>
        </w:rPr>
        <w:t>100</w:t>
      </w:r>
      <w:r>
        <w:rPr>
          <w:rStyle w:val="18"/>
          <w:rFonts w:hint="default" w:ascii="Times New Roman" w:hAnsi="Times New Roman" w:eastAsia="仿宋_GB2312" w:cs="Times New Roman"/>
          <w:b w:val="0"/>
          <w:bCs/>
          <w:color w:val="auto"/>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cs="Times New Roman"/>
        </w:rPr>
      </w:pPr>
      <w:r>
        <w:rPr>
          <w:rStyle w:val="18"/>
          <w:rFonts w:hint="default" w:ascii="Times New Roman" w:hAnsi="Times New Roman" w:eastAsia="仿宋" w:cs="Times New Roman"/>
          <w:bCs/>
          <w:color w:val="auto"/>
          <w:sz w:val="32"/>
          <w:szCs w:val="32"/>
          <w:highlight w:val="none"/>
          <w:lang w:val="en-US" w:eastAsia="zh-CN"/>
        </w:rPr>
        <w:t>4</w:t>
      </w:r>
      <w:r>
        <w:rPr>
          <w:rStyle w:val="18"/>
          <w:rFonts w:hint="default" w:ascii="Times New Roman" w:hAnsi="Times New Roman" w:eastAsia="仿宋" w:cs="Times New Roman"/>
          <w:bCs/>
          <w:color w:val="auto"/>
          <w:sz w:val="32"/>
          <w:szCs w:val="32"/>
          <w:highlight w:val="none"/>
        </w:rPr>
        <w:t>.</w:t>
      </w:r>
      <w:r>
        <w:rPr>
          <w:rFonts w:hint="default" w:ascii="Times New Roman" w:hAnsi="Times New Roman" w:eastAsia="仿宋" w:cs="Times New Roman"/>
          <w:b/>
          <w:bCs/>
          <w:color w:val="auto"/>
          <w:sz w:val="32"/>
          <w:szCs w:val="32"/>
          <w:highlight w:val="none"/>
          <w:lang w:val="en-US" w:eastAsia="zh-CN"/>
        </w:rPr>
        <w:t>住房保障支出</w:t>
      </w:r>
      <w:r>
        <w:rPr>
          <w:rStyle w:val="18"/>
          <w:rFonts w:hint="default" w:ascii="Times New Roman" w:hAnsi="Times New Roman" w:eastAsia="仿宋" w:cs="Times New Roman"/>
          <w:bCs/>
          <w:color w:val="auto"/>
          <w:sz w:val="32"/>
          <w:szCs w:val="32"/>
          <w:highlight w:val="none"/>
        </w:rPr>
        <w:t>（类）</w:t>
      </w:r>
      <w:r>
        <w:rPr>
          <w:rStyle w:val="18"/>
          <w:rFonts w:hint="default" w:ascii="Times New Roman" w:hAnsi="Times New Roman" w:eastAsia="仿宋" w:cs="Times New Roman"/>
          <w:bCs/>
          <w:color w:val="auto"/>
          <w:sz w:val="32"/>
          <w:szCs w:val="32"/>
          <w:highlight w:val="none"/>
          <w:lang w:val="en-US" w:eastAsia="zh-CN"/>
        </w:rPr>
        <w:t>住房改革支出</w:t>
      </w:r>
      <w:r>
        <w:rPr>
          <w:rStyle w:val="18"/>
          <w:rFonts w:hint="default" w:ascii="Times New Roman" w:hAnsi="Times New Roman" w:eastAsia="仿宋" w:cs="Times New Roman"/>
          <w:bCs/>
          <w:color w:val="auto"/>
          <w:sz w:val="32"/>
          <w:szCs w:val="32"/>
          <w:highlight w:val="none"/>
        </w:rPr>
        <w:t>（款）</w:t>
      </w:r>
      <w:r>
        <w:rPr>
          <w:rStyle w:val="18"/>
          <w:rFonts w:hint="default" w:ascii="Times New Roman" w:hAnsi="Times New Roman" w:eastAsia="仿宋" w:cs="Times New Roman"/>
          <w:bCs/>
          <w:color w:val="auto"/>
          <w:sz w:val="32"/>
          <w:szCs w:val="32"/>
          <w:highlight w:val="none"/>
          <w:lang w:val="en-US" w:eastAsia="zh-CN"/>
        </w:rPr>
        <w:t>住房公积金</w:t>
      </w:r>
      <w:r>
        <w:rPr>
          <w:rStyle w:val="18"/>
          <w:rFonts w:hint="default" w:ascii="Times New Roman" w:hAnsi="Times New Roman" w:eastAsia="仿宋" w:cs="Times New Roman"/>
          <w:bCs/>
          <w:color w:val="auto"/>
          <w:sz w:val="32"/>
          <w:szCs w:val="32"/>
          <w:highlight w:val="none"/>
        </w:rPr>
        <w:t>（项）:</w:t>
      </w:r>
      <w:r>
        <w:rPr>
          <w:rStyle w:val="18"/>
          <w:rFonts w:hint="default" w:ascii="Times New Roman" w:hAnsi="Times New Roman" w:eastAsia="仿宋" w:cs="Times New Roman"/>
          <w:b w:val="0"/>
          <w:bCs/>
          <w:color w:val="auto"/>
          <w:sz w:val="32"/>
          <w:szCs w:val="32"/>
          <w:highlight w:val="none"/>
        </w:rPr>
        <w:t>支出决算为</w:t>
      </w:r>
      <w:r>
        <w:rPr>
          <w:rStyle w:val="18"/>
          <w:rFonts w:hint="eastAsia" w:eastAsia="仿宋" w:cs="Times New Roman"/>
          <w:b w:val="0"/>
          <w:bCs/>
          <w:color w:val="auto"/>
          <w:sz w:val="32"/>
          <w:szCs w:val="32"/>
          <w:highlight w:val="none"/>
          <w:lang w:val="en-US" w:eastAsia="zh-CN"/>
        </w:rPr>
        <w:t>30.6</w:t>
      </w:r>
      <w:r>
        <w:rPr>
          <w:rStyle w:val="18"/>
          <w:rFonts w:hint="default" w:ascii="Times New Roman" w:hAnsi="Times New Roman" w:eastAsia="仿宋" w:cs="Times New Roman"/>
          <w:b w:val="0"/>
          <w:bCs/>
          <w:color w:val="auto"/>
          <w:sz w:val="32"/>
          <w:szCs w:val="32"/>
          <w:highlight w:val="none"/>
        </w:rPr>
        <w:t>万元，完成预算</w:t>
      </w:r>
      <w:r>
        <w:rPr>
          <w:rStyle w:val="18"/>
          <w:rFonts w:hint="default" w:ascii="Times New Roman" w:hAnsi="Times New Roman" w:eastAsia="仿宋" w:cs="Times New Roman"/>
          <w:b w:val="0"/>
          <w:bCs/>
          <w:color w:val="auto"/>
          <w:sz w:val="32"/>
          <w:szCs w:val="32"/>
          <w:highlight w:val="none"/>
          <w:lang w:val="en-US" w:eastAsia="zh-CN"/>
        </w:rPr>
        <w:t>100</w:t>
      </w:r>
      <w:r>
        <w:rPr>
          <w:rStyle w:val="18"/>
          <w:rFonts w:hint="default" w:ascii="Times New Roman" w:hAnsi="Times New Roman" w:eastAsia="仿宋" w:cs="Times New Roman"/>
          <w:b w:val="0"/>
          <w:bCs/>
          <w:color w:val="auto"/>
          <w:sz w:val="32"/>
          <w:szCs w:val="32"/>
          <w:highlight w:val="none"/>
        </w:rPr>
        <w:t>%。</w:t>
      </w:r>
      <w:r>
        <w:rPr>
          <w:rFonts w:hint="default" w:ascii="Times New Roman" w:hAnsi="Times New Roman" w:eastAsia="仿宋" w:cs="Times New Roman"/>
          <w:b/>
          <w:bCs/>
          <w:color w:val="auto"/>
          <w:sz w:val="32"/>
          <w:szCs w:val="32"/>
          <w:highlight w:val="none"/>
          <w:lang w:val="en-US" w:eastAsia="zh-CN"/>
        </w:rPr>
        <w:t>住房保障支出</w:t>
      </w:r>
      <w:r>
        <w:rPr>
          <w:rStyle w:val="18"/>
          <w:rFonts w:hint="default" w:ascii="Times New Roman" w:hAnsi="Times New Roman" w:eastAsia="仿宋" w:cs="Times New Roman"/>
          <w:bCs/>
          <w:color w:val="auto"/>
          <w:sz w:val="32"/>
          <w:szCs w:val="32"/>
          <w:highlight w:val="none"/>
        </w:rPr>
        <w:t>（类）</w:t>
      </w:r>
      <w:r>
        <w:rPr>
          <w:rStyle w:val="18"/>
          <w:rFonts w:hint="default" w:ascii="Times New Roman" w:hAnsi="Times New Roman" w:eastAsia="仿宋" w:cs="Times New Roman"/>
          <w:bCs/>
          <w:color w:val="auto"/>
          <w:sz w:val="32"/>
          <w:szCs w:val="32"/>
          <w:highlight w:val="none"/>
          <w:lang w:val="en-US" w:eastAsia="zh-CN"/>
        </w:rPr>
        <w:t>住房改革支出</w:t>
      </w:r>
      <w:r>
        <w:rPr>
          <w:rStyle w:val="18"/>
          <w:rFonts w:hint="default" w:ascii="Times New Roman" w:hAnsi="Times New Roman" w:eastAsia="仿宋" w:cs="Times New Roman"/>
          <w:bCs/>
          <w:color w:val="auto"/>
          <w:sz w:val="32"/>
          <w:szCs w:val="32"/>
          <w:highlight w:val="none"/>
        </w:rPr>
        <w:t>（款）</w:t>
      </w:r>
      <w:r>
        <w:rPr>
          <w:rStyle w:val="18"/>
          <w:rFonts w:hint="default" w:ascii="Times New Roman" w:hAnsi="Times New Roman" w:eastAsia="仿宋" w:cs="Times New Roman"/>
          <w:bCs/>
          <w:color w:val="auto"/>
          <w:sz w:val="32"/>
          <w:szCs w:val="32"/>
          <w:highlight w:val="none"/>
          <w:lang w:val="en-US" w:eastAsia="zh-CN"/>
        </w:rPr>
        <w:t>购房补贴</w:t>
      </w:r>
      <w:r>
        <w:rPr>
          <w:rStyle w:val="18"/>
          <w:rFonts w:hint="default" w:ascii="Times New Roman" w:hAnsi="Times New Roman" w:eastAsia="仿宋" w:cs="Times New Roman"/>
          <w:bCs/>
          <w:color w:val="auto"/>
          <w:sz w:val="32"/>
          <w:szCs w:val="32"/>
          <w:highlight w:val="none"/>
        </w:rPr>
        <w:t>（项）:</w:t>
      </w:r>
      <w:r>
        <w:rPr>
          <w:rStyle w:val="18"/>
          <w:rFonts w:hint="default" w:ascii="Times New Roman" w:hAnsi="Times New Roman" w:eastAsia="仿宋" w:cs="Times New Roman"/>
          <w:b w:val="0"/>
          <w:bCs/>
          <w:color w:val="auto"/>
          <w:sz w:val="32"/>
          <w:szCs w:val="32"/>
          <w:highlight w:val="none"/>
        </w:rPr>
        <w:t>支出决算为</w:t>
      </w:r>
      <w:r>
        <w:rPr>
          <w:rStyle w:val="18"/>
          <w:rFonts w:hint="default" w:ascii="Times New Roman" w:hAnsi="Times New Roman" w:eastAsia="仿宋" w:cs="Times New Roman"/>
          <w:b w:val="0"/>
          <w:bCs/>
          <w:color w:val="auto"/>
          <w:sz w:val="32"/>
          <w:szCs w:val="32"/>
          <w:highlight w:val="none"/>
          <w:lang w:val="en-US" w:eastAsia="zh-CN"/>
        </w:rPr>
        <w:t>1.2</w:t>
      </w:r>
      <w:r>
        <w:rPr>
          <w:rStyle w:val="18"/>
          <w:rFonts w:hint="default" w:ascii="Times New Roman" w:hAnsi="Times New Roman" w:eastAsia="仿宋" w:cs="Times New Roman"/>
          <w:b w:val="0"/>
          <w:bCs/>
          <w:color w:val="auto"/>
          <w:sz w:val="32"/>
          <w:szCs w:val="32"/>
          <w:highlight w:val="none"/>
        </w:rPr>
        <w:t>万元，完成预算</w:t>
      </w:r>
      <w:r>
        <w:rPr>
          <w:rStyle w:val="18"/>
          <w:rFonts w:hint="default" w:ascii="Times New Roman" w:hAnsi="Times New Roman" w:eastAsia="仿宋" w:cs="Times New Roman"/>
          <w:b w:val="0"/>
          <w:bCs/>
          <w:color w:val="auto"/>
          <w:sz w:val="32"/>
          <w:szCs w:val="32"/>
          <w:highlight w:val="none"/>
          <w:lang w:val="en-US" w:eastAsia="zh-CN"/>
        </w:rPr>
        <w:t>100</w:t>
      </w:r>
      <w:r>
        <w:rPr>
          <w:rStyle w:val="18"/>
          <w:rFonts w:hint="default" w:ascii="Times New Roman" w:hAnsi="Times New Roman" w:eastAsia="仿宋" w:cs="Times New Roman"/>
          <w:b w:val="0"/>
          <w:bCs/>
          <w:color w:val="auto"/>
          <w:sz w:val="32"/>
          <w:szCs w:val="32"/>
          <w:highlight w:val="none"/>
        </w:rPr>
        <w:t>%。</w:t>
      </w:r>
    </w:p>
    <w:p>
      <w:pPr>
        <w:tabs>
          <w:tab w:val="right" w:pos="8306"/>
        </w:tabs>
        <w:spacing w:line="600" w:lineRule="exact"/>
        <w:ind w:firstLine="640"/>
        <w:outlineLvl w:val="1"/>
        <w:rPr>
          <w:rStyle w:val="30"/>
          <w:rFonts w:hint="default" w:ascii="Times New Roman" w:hAnsi="Times New Roman" w:cs="Times New Roman"/>
        </w:rPr>
      </w:pPr>
      <w:bookmarkStart w:id="32" w:name="_Toc15396608"/>
      <w:bookmarkStart w:id="33" w:name="_Toc15377214"/>
      <w:r>
        <w:rPr>
          <w:rFonts w:hint="default" w:ascii="Times New Roman" w:hAnsi="Times New Roman" w:eastAsia="黑体" w:cs="Times New Roman"/>
          <w:sz w:val="32"/>
          <w:szCs w:val="32"/>
        </w:rPr>
        <w:t>六</w:t>
      </w:r>
      <w:r>
        <w:rPr>
          <w:rFonts w:hint="default" w:ascii="Times New Roman" w:hAnsi="Times New Roman" w:eastAsia="黑体" w:cs="Times New Roman"/>
          <w:b/>
          <w:sz w:val="32"/>
          <w:szCs w:val="32"/>
        </w:rPr>
        <w:t>、一</w:t>
      </w:r>
      <w:r>
        <w:rPr>
          <w:rStyle w:val="30"/>
          <w:rFonts w:hint="default" w:ascii="Times New Roman" w:hAnsi="Times New Roman" w:eastAsia="黑体" w:cs="Times New Roman"/>
          <w:b w:val="0"/>
        </w:rPr>
        <w:t>般公共预算财政拨款基本支出决算情况说明</w:t>
      </w:r>
      <w:bookmarkEnd w:id="32"/>
      <w:bookmarkEnd w:id="33"/>
      <w:r>
        <w:rPr>
          <w:rStyle w:val="30"/>
          <w:rFonts w:hint="default" w:ascii="Times New Roman" w:hAnsi="Times New Roman" w:eastAsia="黑体" w:cs="Times New Roman"/>
          <w:b w:val="0"/>
        </w:rPr>
        <w:tab/>
      </w:r>
    </w:p>
    <w:p>
      <w:pPr>
        <w:spacing w:line="600" w:lineRule="exact"/>
        <w:ind w:firstLine="645"/>
        <w:rPr>
          <w:rFonts w:hint="default" w:ascii="Times New Roman" w:hAnsi="Times New Roman" w:eastAsia="仿宋" w:cs="Times New Roman"/>
          <w:b w:val="0"/>
          <w:bCs w:val="0"/>
          <w:sz w:val="32"/>
          <w:szCs w:val="32"/>
        </w:rPr>
      </w:pPr>
      <w:r>
        <w:rPr>
          <w:rFonts w:hint="default" w:ascii="Times New Roman" w:hAnsi="Times New Roman" w:eastAsia="仿宋" w:cs="Times New Roman"/>
          <w:b w:val="0"/>
          <w:bCs w:val="0"/>
          <w:sz w:val="32"/>
          <w:szCs w:val="32"/>
        </w:rPr>
        <w:t>202</w:t>
      </w:r>
      <w:r>
        <w:rPr>
          <w:rFonts w:hint="eastAsia" w:eastAsia="仿宋" w:cs="Times New Roman"/>
          <w:b w:val="0"/>
          <w:bCs w:val="0"/>
          <w:sz w:val="32"/>
          <w:szCs w:val="32"/>
          <w:lang w:val="en-US" w:eastAsia="zh-CN"/>
        </w:rPr>
        <w:t>4</w:t>
      </w:r>
      <w:r>
        <w:rPr>
          <w:rFonts w:hint="default" w:ascii="Times New Roman" w:hAnsi="Times New Roman" w:eastAsia="仿宋" w:cs="Times New Roman"/>
          <w:b w:val="0"/>
          <w:bCs w:val="0"/>
          <w:sz w:val="32"/>
          <w:szCs w:val="32"/>
        </w:rPr>
        <w:t>年度一般公共预算财政拨款基本支出</w:t>
      </w:r>
      <w:r>
        <w:rPr>
          <w:rFonts w:hint="eastAsia" w:eastAsia="仿宋" w:cs="Times New Roman"/>
          <w:b w:val="0"/>
          <w:bCs w:val="0"/>
          <w:sz w:val="32"/>
          <w:szCs w:val="32"/>
          <w:lang w:val="en-US" w:eastAsia="zh-CN"/>
        </w:rPr>
        <w:t>486.46</w:t>
      </w:r>
      <w:r>
        <w:rPr>
          <w:rFonts w:hint="default" w:ascii="Times New Roman" w:hAnsi="Times New Roman" w:eastAsia="仿宋" w:cs="Times New Roman"/>
          <w:b w:val="0"/>
          <w:bCs w:val="0"/>
          <w:sz w:val="32"/>
          <w:szCs w:val="32"/>
        </w:rPr>
        <w:t>万元，其中：</w:t>
      </w:r>
    </w:p>
    <w:p>
      <w:pPr>
        <w:spacing w:line="600" w:lineRule="exact"/>
        <w:ind w:firstLine="645"/>
        <w:rPr>
          <w:rFonts w:hint="default" w:ascii="Times New Roman" w:hAnsi="Times New Roman" w:eastAsia="仿宋" w:cs="Times New Roman"/>
          <w:b w:val="0"/>
          <w:bCs w:val="0"/>
          <w:sz w:val="32"/>
          <w:szCs w:val="32"/>
        </w:rPr>
      </w:pPr>
      <w:r>
        <w:rPr>
          <w:rFonts w:hint="default" w:ascii="Times New Roman" w:hAnsi="Times New Roman" w:eastAsia="仿宋" w:cs="Times New Roman"/>
          <w:b w:val="0"/>
          <w:bCs w:val="0"/>
          <w:sz w:val="32"/>
          <w:szCs w:val="32"/>
        </w:rPr>
        <w:t>人员经</w:t>
      </w:r>
      <w:r>
        <w:rPr>
          <w:rFonts w:hint="eastAsia" w:eastAsia="仿宋" w:cs="Times New Roman"/>
          <w:b w:val="0"/>
          <w:bCs w:val="0"/>
          <w:sz w:val="32"/>
          <w:szCs w:val="32"/>
          <w:lang w:eastAsia="zh-CN"/>
        </w:rPr>
        <w:t>费</w:t>
      </w:r>
      <w:r>
        <w:rPr>
          <w:rFonts w:hint="eastAsia" w:eastAsia="仿宋" w:cs="Times New Roman"/>
          <w:b w:val="0"/>
          <w:bCs w:val="0"/>
          <w:sz w:val="32"/>
          <w:szCs w:val="32"/>
          <w:lang w:val="en-US" w:eastAsia="zh-CN"/>
        </w:rPr>
        <w:t>434.84</w:t>
      </w:r>
      <w:r>
        <w:rPr>
          <w:rFonts w:hint="default" w:ascii="Times New Roman" w:hAnsi="Times New Roman" w:eastAsia="仿宋" w:cs="Times New Roman"/>
          <w:b w:val="0"/>
          <w:bCs w:val="0"/>
          <w:sz w:val="32"/>
          <w:szCs w:val="32"/>
        </w:rPr>
        <w:t>万元，主要包括：基本工资、津贴补贴、奖金、伙食补助费、</w:t>
      </w:r>
      <w:r>
        <w:rPr>
          <w:rFonts w:hint="eastAsia" w:eastAsia="仿宋" w:cs="Times New Roman"/>
          <w:b w:val="0"/>
          <w:bCs w:val="0"/>
          <w:sz w:val="32"/>
          <w:szCs w:val="32"/>
          <w:lang w:eastAsia="zh-CN"/>
        </w:rPr>
        <w:t>绩效工资、</w:t>
      </w:r>
      <w:r>
        <w:rPr>
          <w:rFonts w:hint="default" w:ascii="Times New Roman" w:hAnsi="Times New Roman" w:eastAsia="仿宋" w:cs="Times New Roman"/>
          <w:b w:val="0"/>
          <w:bCs w:val="0"/>
          <w:sz w:val="32"/>
          <w:szCs w:val="32"/>
        </w:rPr>
        <w:t>机关事业单位基本养老保险缴费、职业年金缴费、其他社会保障缴费、其他工资福利支出、</w:t>
      </w:r>
      <w:r>
        <w:rPr>
          <w:rFonts w:hint="default" w:ascii="Times New Roman" w:hAnsi="Times New Roman" w:eastAsia="仿宋" w:cs="Times New Roman"/>
          <w:b w:val="0"/>
          <w:bCs w:val="0"/>
          <w:sz w:val="32"/>
          <w:szCs w:val="32"/>
          <w:lang w:eastAsia="zh-CN"/>
        </w:rPr>
        <w:t>职工基本医疗保险缴费、公务员医疗补助缴费、</w:t>
      </w:r>
      <w:r>
        <w:rPr>
          <w:rFonts w:hint="default" w:ascii="Times New Roman" w:hAnsi="Times New Roman" w:eastAsia="仿宋" w:cs="Times New Roman"/>
          <w:b w:val="0"/>
          <w:bCs w:val="0"/>
          <w:sz w:val="32"/>
          <w:szCs w:val="32"/>
        </w:rPr>
        <w:t>生活补助、奖励金、住房公积金等。</w:t>
      </w:r>
      <w:r>
        <w:rPr>
          <w:rFonts w:hint="default" w:ascii="Times New Roman" w:hAnsi="Times New Roman" w:eastAsia="仿宋" w:cs="Times New Roman"/>
          <w:b w:val="0"/>
          <w:bCs w:val="0"/>
          <w:sz w:val="32"/>
          <w:szCs w:val="32"/>
        </w:rPr>
        <w:br w:type="textWrapping"/>
      </w:r>
      <w:r>
        <w:rPr>
          <w:rFonts w:hint="default" w:ascii="Times New Roman" w:hAnsi="Times New Roman" w:eastAsia="仿宋" w:cs="Times New Roman"/>
          <w:b w:val="0"/>
          <w:bCs w:val="0"/>
          <w:sz w:val="32"/>
          <w:szCs w:val="32"/>
        </w:rPr>
        <w:t>　　公用经费</w:t>
      </w:r>
      <w:r>
        <w:rPr>
          <w:rFonts w:hint="eastAsia" w:eastAsia="仿宋" w:cs="Times New Roman"/>
          <w:b w:val="0"/>
          <w:bCs w:val="0"/>
          <w:sz w:val="32"/>
          <w:szCs w:val="32"/>
          <w:lang w:val="en-US" w:eastAsia="zh-CN"/>
        </w:rPr>
        <w:t>51.62</w:t>
      </w:r>
      <w:r>
        <w:rPr>
          <w:rFonts w:hint="default" w:ascii="Times New Roman" w:hAnsi="Times New Roman" w:eastAsia="仿宋" w:cs="Times New Roman"/>
          <w:b w:val="0"/>
          <w:bCs w:val="0"/>
          <w:sz w:val="32"/>
          <w:szCs w:val="32"/>
        </w:rPr>
        <w:t>万元，主要包括：办公费、水费、电费、邮电费、差旅费、维修（护）费、租赁费、会议费、培训费、公务接待费、委托业务费、工会经费、福利费、公务用车运行维护费、其他交通费、税金及附加费用、专用设备购置等。</w:t>
      </w:r>
    </w:p>
    <w:p>
      <w:pPr>
        <w:spacing w:line="600" w:lineRule="exact"/>
        <w:ind w:firstLine="640"/>
        <w:outlineLvl w:val="1"/>
        <w:rPr>
          <w:rStyle w:val="30"/>
          <w:rFonts w:hint="default" w:ascii="Times New Roman" w:hAnsi="Times New Roman" w:eastAsia="黑体" w:cs="Times New Roman"/>
          <w:b w:val="0"/>
        </w:rPr>
      </w:pPr>
      <w:bookmarkStart w:id="34" w:name="_Toc15377215"/>
      <w:bookmarkStart w:id="35" w:name="_Toc15396609"/>
      <w:r>
        <w:rPr>
          <w:rFonts w:hint="default" w:ascii="Times New Roman" w:hAnsi="Times New Roman" w:eastAsia="黑体" w:cs="Times New Roman"/>
          <w:sz w:val="32"/>
          <w:szCs w:val="32"/>
        </w:rPr>
        <w:t>七、</w:t>
      </w:r>
      <w:r>
        <w:rPr>
          <w:rStyle w:val="30"/>
          <w:rFonts w:hint="default" w:ascii="Times New Roman" w:hAnsi="Times New Roman" w:eastAsia="黑体" w:cs="Times New Roman"/>
          <w:b w:val="0"/>
        </w:rPr>
        <w:t>财政拨款</w:t>
      </w:r>
      <w:r>
        <w:rPr>
          <w:rStyle w:val="30"/>
          <w:rFonts w:hint="default" w:ascii="Times New Roman" w:hAnsi="Times New Roman" w:eastAsia="黑体" w:cs="Times New Roman"/>
        </w:rPr>
        <w:t>“</w:t>
      </w:r>
      <w:r>
        <w:rPr>
          <w:rStyle w:val="30"/>
          <w:rFonts w:hint="default" w:ascii="Times New Roman" w:hAnsi="Times New Roman" w:eastAsia="黑体" w:cs="Times New Roman"/>
          <w:b w:val="0"/>
        </w:rPr>
        <w:t>三公”经费支出决算情况说明</w:t>
      </w:r>
      <w:bookmarkEnd w:id="34"/>
      <w:bookmarkEnd w:id="35"/>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outlineLvl w:val="2"/>
        <w:rPr>
          <w:rFonts w:hint="default" w:ascii="Times New Roman" w:hAnsi="Times New Roman" w:eastAsia="方正楷体_GBK" w:cs="Times New Roman"/>
          <w:b/>
          <w:sz w:val="32"/>
          <w:szCs w:val="32"/>
        </w:rPr>
      </w:pPr>
      <w:bookmarkStart w:id="36" w:name="_Toc15377216"/>
      <w:r>
        <w:rPr>
          <w:rFonts w:hint="default" w:ascii="Times New Roman" w:hAnsi="Times New Roman" w:eastAsia="方正楷体_GBK" w:cs="Times New Roman"/>
          <w:b/>
          <w:sz w:val="32"/>
          <w:szCs w:val="32"/>
        </w:rPr>
        <w:t>（一）“三公”经费财政拨款支出决算总体情况说明</w:t>
      </w:r>
      <w:bookmarkEnd w:id="36"/>
    </w:p>
    <w:p>
      <w:pPr>
        <w:spacing w:line="600" w:lineRule="exact"/>
        <w:ind w:firstLine="640"/>
        <w:rPr>
          <w:rFonts w:hint="default" w:ascii="Times New Roman" w:hAnsi="Times New Roman" w:eastAsia="仿宋" w:cs="Times New Roman"/>
          <w:b w:val="0"/>
          <w:bCs w:val="0"/>
          <w:sz w:val="32"/>
          <w:szCs w:val="32"/>
        </w:rPr>
      </w:pPr>
      <w:r>
        <w:rPr>
          <w:rFonts w:hint="default" w:ascii="Times New Roman" w:hAnsi="Times New Roman" w:eastAsia="仿宋" w:cs="Times New Roman"/>
          <w:b w:val="0"/>
          <w:bCs w:val="0"/>
          <w:sz w:val="32"/>
          <w:szCs w:val="32"/>
        </w:rPr>
        <w:t>202</w:t>
      </w:r>
      <w:r>
        <w:rPr>
          <w:rFonts w:hint="eastAsia" w:ascii="Times New Roman" w:hAnsi="Times New Roman" w:eastAsia="仿宋" w:cs="Times New Roman"/>
          <w:b w:val="0"/>
          <w:bCs w:val="0"/>
          <w:sz w:val="32"/>
          <w:szCs w:val="32"/>
          <w:lang w:val="en-US" w:eastAsia="zh-CN"/>
        </w:rPr>
        <w:t>4</w:t>
      </w:r>
      <w:r>
        <w:rPr>
          <w:rFonts w:hint="default" w:ascii="Times New Roman" w:hAnsi="Times New Roman" w:eastAsia="仿宋" w:cs="Times New Roman"/>
          <w:b w:val="0"/>
          <w:bCs w:val="0"/>
          <w:sz w:val="32"/>
          <w:szCs w:val="32"/>
        </w:rPr>
        <w:t>年度“三公”经费财政拨款支出决算为</w:t>
      </w:r>
      <w:r>
        <w:rPr>
          <w:rFonts w:hint="eastAsia" w:eastAsia="仿宋" w:cs="Times New Roman"/>
          <w:b w:val="0"/>
          <w:bCs w:val="0"/>
          <w:sz w:val="32"/>
          <w:szCs w:val="32"/>
          <w:lang w:val="en-US" w:eastAsia="zh-CN"/>
        </w:rPr>
        <w:t>21</w:t>
      </w:r>
      <w:r>
        <w:rPr>
          <w:rFonts w:hint="default" w:ascii="Times New Roman" w:hAnsi="Times New Roman" w:eastAsia="仿宋" w:cs="Times New Roman"/>
          <w:b w:val="0"/>
          <w:bCs w:val="0"/>
          <w:sz w:val="32"/>
          <w:szCs w:val="32"/>
        </w:rPr>
        <w:t>万元，完成预算</w:t>
      </w:r>
      <w:r>
        <w:rPr>
          <w:rFonts w:hint="eastAsia" w:eastAsia="仿宋" w:cs="Times New Roman"/>
          <w:b w:val="0"/>
          <w:bCs w:val="0"/>
          <w:sz w:val="32"/>
          <w:szCs w:val="32"/>
          <w:lang w:val="en-US" w:eastAsia="zh-CN"/>
        </w:rPr>
        <w:t>98.4</w:t>
      </w:r>
      <w:r>
        <w:rPr>
          <w:rFonts w:hint="default" w:ascii="Times New Roman" w:hAnsi="Times New Roman" w:eastAsia="仿宋" w:cs="Times New Roman"/>
          <w:b w:val="0"/>
          <w:bCs w:val="0"/>
          <w:sz w:val="32"/>
          <w:szCs w:val="32"/>
        </w:rPr>
        <w:t>%，较上年度增加</w:t>
      </w:r>
      <w:r>
        <w:rPr>
          <w:rFonts w:hint="eastAsia" w:ascii="Times New Roman" w:hAnsi="Times New Roman" w:eastAsia="仿宋" w:cs="Times New Roman"/>
          <w:b w:val="0"/>
          <w:bCs w:val="0"/>
          <w:sz w:val="32"/>
          <w:szCs w:val="32"/>
          <w:lang w:val="en-US" w:eastAsia="zh-CN"/>
        </w:rPr>
        <w:t>6.56</w:t>
      </w:r>
      <w:r>
        <w:rPr>
          <w:rFonts w:hint="default" w:ascii="Times New Roman" w:hAnsi="Times New Roman" w:eastAsia="仿宋" w:cs="Times New Roman"/>
          <w:b w:val="0"/>
          <w:bCs w:val="0"/>
          <w:sz w:val="32"/>
          <w:szCs w:val="32"/>
        </w:rPr>
        <w:t>万元，增长</w:t>
      </w:r>
      <w:r>
        <w:rPr>
          <w:rFonts w:hint="eastAsia" w:ascii="Times New Roman" w:hAnsi="Times New Roman" w:eastAsia="仿宋" w:cs="Times New Roman"/>
          <w:b w:val="0"/>
          <w:bCs w:val="0"/>
          <w:sz w:val="32"/>
          <w:szCs w:val="32"/>
          <w:lang w:val="en-US" w:eastAsia="zh-CN"/>
        </w:rPr>
        <w:t>45.44</w:t>
      </w:r>
      <w:r>
        <w:rPr>
          <w:rFonts w:hint="default" w:ascii="Times New Roman" w:hAnsi="Times New Roman" w:eastAsia="仿宋" w:cs="Times New Roman"/>
          <w:b w:val="0"/>
          <w:bCs w:val="0"/>
          <w:sz w:val="32"/>
          <w:szCs w:val="32"/>
          <w:lang w:val="en-US" w:eastAsia="zh-CN"/>
        </w:rPr>
        <w:t>%</w:t>
      </w:r>
      <w:r>
        <w:rPr>
          <w:rFonts w:hint="default" w:ascii="Times New Roman" w:hAnsi="Times New Roman" w:eastAsia="仿宋" w:cs="Times New Roman"/>
          <w:b w:val="0"/>
          <w:bCs w:val="0"/>
          <w:sz w:val="32"/>
          <w:szCs w:val="32"/>
        </w:rPr>
        <w:t>。决算数小于预算数的主要原因是</w:t>
      </w:r>
      <w:r>
        <w:rPr>
          <w:rFonts w:hint="eastAsia" w:eastAsia="仿宋" w:cs="Times New Roman"/>
          <w:b w:val="0"/>
          <w:bCs w:val="0"/>
          <w:sz w:val="32"/>
          <w:szCs w:val="32"/>
          <w:lang w:eastAsia="zh-CN"/>
        </w:rPr>
        <w:t>严格落实习惯过紧日子要求，从严控制“三公”经费开支</w:t>
      </w:r>
      <w:r>
        <w:rPr>
          <w:rFonts w:hint="default" w:ascii="Times New Roman" w:hAnsi="Times New Roman" w:eastAsia="仿宋" w:cs="Times New Roman"/>
          <w:b w:val="0"/>
          <w:bCs w:val="0"/>
          <w:sz w:val="32"/>
          <w:szCs w:val="32"/>
        </w:rPr>
        <w:t>。</w:t>
      </w:r>
    </w:p>
    <w:p>
      <w:pPr>
        <w:spacing w:line="600" w:lineRule="exact"/>
        <w:ind w:firstLine="640"/>
        <w:outlineLvl w:val="2"/>
        <w:rPr>
          <w:rFonts w:hint="default" w:ascii="Times New Roman" w:hAnsi="Times New Roman" w:eastAsia="方正楷体_GBK" w:cs="Times New Roman"/>
          <w:b/>
          <w:sz w:val="32"/>
          <w:szCs w:val="32"/>
        </w:rPr>
      </w:pPr>
      <w:bookmarkStart w:id="37" w:name="_Toc15377217"/>
      <w:r>
        <w:rPr>
          <w:rFonts w:hint="default" w:ascii="Times New Roman" w:hAnsi="Times New Roman" w:eastAsia="方正楷体_GBK" w:cs="Times New Roman"/>
          <w:b/>
          <w:sz w:val="32"/>
          <w:szCs w:val="32"/>
        </w:rPr>
        <w:t>（二）“三公”经费财政拨款支出决算具体情况说明</w:t>
      </w:r>
      <w:bookmarkEnd w:id="37"/>
    </w:p>
    <w:p>
      <w:pPr>
        <w:spacing w:line="600" w:lineRule="exact"/>
        <w:ind w:firstLine="640"/>
        <w:rPr>
          <w:rFonts w:hint="default" w:ascii="Times New Roman" w:hAnsi="Times New Roman" w:eastAsia="仿宋" w:cs="Times New Roman"/>
          <w:b w:val="0"/>
          <w:bCs w:val="0"/>
          <w:sz w:val="32"/>
          <w:szCs w:val="32"/>
        </w:rPr>
      </w:pPr>
      <w:r>
        <w:rPr>
          <w:rFonts w:hint="default" w:ascii="Times New Roman" w:hAnsi="Times New Roman" w:eastAsia="仿宋" w:cs="Times New Roman"/>
          <w:b w:val="0"/>
          <w:bCs w:val="0"/>
          <w:sz w:val="32"/>
          <w:szCs w:val="32"/>
        </w:rPr>
        <w:t>202</w:t>
      </w:r>
      <w:r>
        <w:rPr>
          <w:rFonts w:hint="eastAsia" w:eastAsia="仿宋" w:cs="Times New Roman"/>
          <w:b w:val="0"/>
          <w:bCs w:val="0"/>
          <w:sz w:val="32"/>
          <w:szCs w:val="32"/>
          <w:lang w:val="en-US" w:eastAsia="zh-CN"/>
        </w:rPr>
        <w:t>4</w:t>
      </w:r>
      <w:r>
        <w:rPr>
          <w:rFonts w:hint="default" w:ascii="Times New Roman" w:hAnsi="Times New Roman" w:eastAsia="仿宋" w:cs="Times New Roman"/>
          <w:b w:val="0"/>
          <w:bCs w:val="0"/>
          <w:sz w:val="32"/>
          <w:szCs w:val="32"/>
        </w:rPr>
        <w:t>年度“三公”经费财政拨款支出决算中，因公出国（境）费支出决算0万元，占0%；公务用车购置及运行维护费支出决算</w:t>
      </w:r>
      <w:r>
        <w:rPr>
          <w:rFonts w:hint="eastAsia" w:eastAsia="仿宋" w:cs="Times New Roman"/>
          <w:b w:val="0"/>
          <w:bCs w:val="0"/>
          <w:sz w:val="32"/>
          <w:szCs w:val="32"/>
          <w:lang w:val="en-US" w:eastAsia="zh-CN"/>
        </w:rPr>
        <w:t>20.34</w:t>
      </w:r>
      <w:r>
        <w:rPr>
          <w:rFonts w:hint="default" w:ascii="Times New Roman" w:hAnsi="Times New Roman" w:eastAsia="仿宋" w:cs="Times New Roman"/>
          <w:b w:val="0"/>
          <w:bCs w:val="0"/>
          <w:sz w:val="32"/>
          <w:szCs w:val="32"/>
        </w:rPr>
        <w:t>万元，占</w:t>
      </w:r>
      <w:r>
        <w:rPr>
          <w:rFonts w:hint="eastAsia" w:eastAsia="仿宋" w:cs="Times New Roman"/>
          <w:b w:val="0"/>
          <w:bCs w:val="0"/>
          <w:sz w:val="32"/>
          <w:szCs w:val="32"/>
          <w:lang w:val="en-US" w:eastAsia="zh-CN"/>
        </w:rPr>
        <w:t>96.86</w:t>
      </w:r>
      <w:r>
        <w:rPr>
          <w:rFonts w:hint="default" w:ascii="Times New Roman" w:hAnsi="Times New Roman" w:eastAsia="仿宋" w:cs="Times New Roman"/>
          <w:b w:val="0"/>
          <w:bCs w:val="0"/>
          <w:sz w:val="32"/>
          <w:szCs w:val="32"/>
        </w:rPr>
        <w:t>%；公务接待费支出决算</w:t>
      </w:r>
      <w:r>
        <w:rPr>
          <w:rFonts w:hint="eastAsia" w:eastAsia="仿宋" w:cs="Times New Roman"/>
          <w:b w:val="0"/>
          <w:bCs w:val="0"/>
          <w:sz w:val="32"/>
          <w:szCs w:val="32"/>
          <w:lang w:val="en-US" w:eastAsia="zh-CN"/>
        </w:rPr>
        <w:t>0.66</w:t>
      </w:r>
      <w:r>
        <w:rPr>
          <w:rFonts w:hint="default" w:ascii="Times New Roman" w:hAnsi="Times New Roman" w:eastAsia="仿宋" w:cs="Times New Roman"/>
          <w:b w:val="0"/>
          <w:bCs w:val="0"/>
          <w:sz w:val="32"/>
          <w:szCs w:val="32"/>
        </w:rPr>
        <w:t>万元，占</w:t>
      </w:r>
      <w:r>
        <w:rPr>
          <w:rFonts w:hint="eastAsia" w:eastAsia="仿宋" w:cs="Times New Roman"/>
          <w:b w:val="0"/>
          <w:bCs w:val="0"/>
          <w:sz w:val="32"/>
          <w:szCs w:val="32"/>
          <w:lang w:val="en-US" w:eastAsia="zh-CN"/>
        </w:rPr>
        <w:t>3.14</w:t>
      </w:r>
      <w:r>
        <w:rPr>
          <w:rFonts w:hint="default" w:ascii="Times New Roman" w:hAnsi="Times New Roman" w:eastAsia="仿宋" w:cs="Times New Roman"/>
          <w:b w:val="0"/>
          <w:bCs w:val="0"/>
          <w:sz w:val="32"/>
          <w:szCs w:val="32"/>
        </w:rPr>
        <w:t>%。具体情况如下：</w:t>
      </w:r>
    </w:p>
    <w:p>
      <w:pPr>
        <w:spacing w:line="600" w:lineRule="exact"/>
        <w:ind w:firstLine="640"/>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drawing>
          <wp:anchor distT="0" distB="0" distL="114300" distR="114300" simplePos="0" relativeHeight="251664384" behindDoc="0" locked="0" layoutInCell="1" allowOverlap="1">
            <wp:simplePos x="0" y="0"/>
            <wp:positionH relativeFrom="column">
              <wp:posOffset>458470</wp:posOffset>
            </wp:positionH>
            <wp:positionV relativeFrom="paragraph">
              <wp:posOffset>109220</wp:posOffset>
            </wp:positionV>
            <wp:extent cx="4889500" cy="3201035"/>
            <wp:effectExtent l="4445" t="4445" r="20955" b="13970"/>
            <wp:wrapSquare wrapText="bothSides"/>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pPr>
        <w:spacing w:line="600" w:lineRule="exact"/>
        <w:ind w:firstLine="640"/>
        <w:rPr>
          <w:rFonts w:hint="default" w:ascii="Times New Roman" w:hAnsi="Times New Roman" w:eastAsia="仿宋" w:cs="Times New Roman"/>
          <w:sz w:val="32"/>
          <w:szCs w:val="32"/>
        </w:rPr>
      </w:pPr>
    </w:p>
    <w:p>
      <w:pPr>
        <w:spacing w:line="600" w:lineRule="exact"/>
        <w:ind w:firstLine="640"/>
        <w:rPr>
          <w:rFonts w:hint="default" w:ascii="Times New Roman" w:hAnsi="Times New Roman" w:eastAsia="仿宋" w:cs="Times New Roman"/>
          <w:sz w:val="32"/>
          <w:szCs w:val="32"/>
        </w:rPr>
      </w:pPr>
    </w:p>
    <w:p>
      <w:pPr>
        <w:spacing w:line="600" w:lineRule="exact"/>
        <w:ind w:firstLine="640"/>
        <w:rPr>
          <w:rFonts w:hint="default" w:ascii="Times New Roman" w:hAnsi="Times New Roman" w:eastAsia="仿宋" w:cs="Times New Roman"/>
          <w:sz w:val="32"/>
          <w:szCs w:val="32"/>
        </w:rPr>
      </w:pPr>
    </w:p>
    <w:p>
      <w:pPr>
        <w:spacing w:line="600" w:lineRule="exact"/>
        <w:ind w:firstLine="640"/>
        <w:rPr>
          <w:rFonts w:hint="default" w:ascii="Times New Roman" w:hAnsi="Times New Roman" w:eastAsia="仿宋" w:cs="Times New Roman"/>
          <w:sz w:val="32"/>
          <w:szCs w:val="32"/>
        </w:rPr>
      </w:pPr>
    </w:p>
    <w:p>
      <w:pPr>
        <w:spacing w:line="600" w:lineRule="exact"/>
        <w:ind w:firstLine="640"/>
        <w:rPr>
          <w:rFonts w:hint="default" w:ascii="Times New Roman" w:hAnsi="Times New Roman" w:eastAsia="仿宋" w:cs="Times New Roman"/>
          <w:sz w:val="32"/>
          <w:szCs w:val="32"/>
        </w:rPr>
      </w:pPr>
    </w:p>
    <w:p>
      <w:pPr>
        <w:spacing w:line="600" w:lineRule="exact"/>
        <w:ind w:firstLine="640"/>
        <w:rPr>
          <w:rFonts w:hint="default" w:ascii="Times New Roman" w:hAnsi="Times New Roman" w:eastAsia="仿宋" w:cs="Times New Roman"/>
          <w:sz w:val="32"/>
          <w:szCs w:val="32"/>
        </w:rPr>
      </w:pPr>
    </w:p>
    <w:p>
      <w:pPr>
        <w:spacing w:line="600" w:lineRule="exact"/>
        <w:ind w:firstLine="640"/>
        <w:rPr>
          <w:rFonts w:hint="default" w:ascii="Times New Roman" w:hAnsi="Times New Roman" w:eastAsia="仿宋" w:cs="Times New Roman"/>
          <w:sz w:val="32"/>
          <w:szCs w:val="32"/>
        </w:rPr>
      </w:pPr>
    </w:p>
    <w:p>
      <w:pPr>
        <w:spacing w:line="600" w:lineRule="exact"/>
        <w:ind w:firstLine="640"/>
        <w:rPr>
          <w:rFonts w:hint="default" w:ascii="Times New Roman" w:hAnsi="Times New Roman" w:eastAsia="仿宋" w:cs="Times New Roman"/>
          <w:sz w:val="32"/>
          <w:szCs w:val="32"/>
          <w:lang w:eastAsia="zh-CN"/>
        </w:rPr>
      </w:pPr>
    </w:p>
    <w:p>
      <w:pPr>
        <w:spacing w:line="600" w:lineRule="exact"/>
        <w:ind w:firstLine="1932" w:firstLineChars="604"/>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图7：“三公”经费财政拨款支出结构</w:t>
      </w:r>
    </w:p>
    <w:p>
      <w:pPr>
        <w:spacing w:line="600" w:lineRule="exact"/>
        <w:ind w:firstLine="640"/>
        <w:rPr>
          <w:rFonts w:hint="default" w:ascii="Times New Roman" w:hAnsi="Times New Roman" w:eastAsia="仿宋_GB2312" w:cs="Times New Roman"/>
          <w:b/>
          <w:sz w:val="32"/>
          <w:szCs w:val="32"/>
        </w:rPr>
      </w:pPr>
      <w:bookmarkStart w:id="38" w:name="_Toc15377218"/>
      <w:bookmarkStart w:id="39" w:name="_Toc15396610"/>
      <w:r>
        <w:rPr>
          <w:rFonts w:hint="default" w:ascii="Times New Roman" w:hAnsi="Times New Roman" w:eastAsia="仿宋_GB2312" w:cs="Times New Roman"/>
          <w:b/>
          <w:sz w:val="32"/>
          <w:szCs w:val="32"/>
        </w:rPr>
        <w:t>1.因公出国（境）经费</w:t>
      </w:r>
      <w:r>
        <w:rPr>
          <w:rFonts w:hint="default" w:ascii="Times New Roman" w:hAnsi="Times New Roman" w:eastAsia="仿宋_GB2312" w:cs="Times New Roman"/>
          <w:b/>
          <w:bCs w:val="0"/>
          <w:sz w:val="32"/>
          <w:szCs w:val="32"/>
        </w:rPr>
        <w:t>支出</w:t>
      </w:r>
      <w:r>
        <w:rPr>
          <w:rFonts w:hint="default" w:ascii="Times New Roman" w:hAnsi="Times New Roman" w:eastAsia="仿宋" w:cs="Times New Roman"/>
          <w:b/>
          <w:bCs w:val="0"/>
          <w:sz w:val="32"/>
          <w:szCs w:val="32"/>
        </w:rPr>
        <w:t>0</w:t>
      </w:r>
      <w:r>
        <w:rPr>
          <w:rFonts w:hint="default" w:ascii="Times New Roman" w:hAnsi="Times New Roman" w:eastAsia="仿宋_GB2312" w:cs="Times New Roman"/>
          <w:b/>
          <w:bCs w:val="0"/>
          <w:sz w:val="32"/>
          <w:szCs w:val="32"/>
        </w:rPr>
        <w:t>万元</w:t>
      </w:r>
      <w:r>
        <w:rPr>
          <w:rFonts w:hint="default" w:ascii="Times New Roman" w:hAnsi="Times New Roman" w:eastAsia="仿宋_GB2312" w:cs="Times New Roman"/>
          <w:b w:val="0"/>
          <w:bCs/>
          <w:sz w:val="32"/>
          <w:szCs w:val="32"/>
        </w:rPr>
        <w:t>，</w:t>
      </w:r>
      <w:r>
        <w:rPr>
          <w:rStyle w:val="18"/>
          <w:rFonts w:hint="default" w:ascii="Times New Roman" w:hAnsi="Times New Roman" w:eastAsia="仿宋" w:cs="Times New Roman"/>
          <w:b w:val="0"/>
          <w:bCs/>
          <w:sz w:val="32"/>
          <w:szCs w:val="32"/>
        </w:rPr>
        <w:t>完成预算0%。</w:t>
      </w:r>
      <w:r>
        <w:rPr>
          <w:rFonts w:hint="default" w:ascii="Times New Roman" w:hAnsi="Times New Roman" w:eastAsia="仿宋_GB2312" w:cs="Times New Roman"/>
          <w:b w:val="0"/>
          <w:bCs/>
          <w:sz w:val="32"/>
          <w:szCs w:val="32"/>
        </w:rPr>
        <w:t>全年安排因公出国（境）团组0次，出国（境）0人。主要原因是</w:t>
      </w:r>
      <w:r>
        <w:rPr>
          <w:rFonts w:hint="default" w:ascii="Times New Roman" w:hAnsi="Times New Roman" w:eastAsia="仿宋_GB2312" w:cs="Times New Roman"/>
          <w:b w:val="0"/>
          <w:bCs/>
          <w:sz w:val="32"/>
          <w:szCs w:val="32"/>
          <w:lang w:eastAsia="zh-CN"/>
        </w:rPr>
        <w:t>我单位</w:t>
      </w:r>
      <w:r>
        <w:rPr>
          <w:rFonts w:hint="eastAsia" w:eastAsia="仿宋_GB2312" w:cs="Times New Roman"/>
          <w:b w:val="0"/>
          <w:bCs/>
          <w:sz w:val="32"/>
          <w:szCs w:val="32"/>
          <w:lang w:val="en-US" w:eastAsia="zh-CN"/>
        </w:rPr>
        <w:t>2023年和2024年均</w:t>
      </w:r>
      <w:r>
        <w:rPr>
          <w:rFonts w:hint="default" w:ascii="Times New Roman" w:hAnsi="Times New Roman" w:eastAsia="仿宋_GB2312" w:cs="Times New Roman"/>
          <w:b w:val="0"/>
          <w:bCs/>
          <w:sz w:val="32"/>
          <w:szCs w:val="32"/>
          <w:lang w:eastAsia="zh-CN"/>
        </w:rPr>
        <w:t>不涉及出国（境）业务</w:t>
      </w:r>
      <w:r>
        <w:rPr>
          <w:rFonts w:hint="default" w:ascii="Times New Roman" w:hAnsi="Times New Roman" w:eastAsia="仿宋_GB2312" w:cs="Times New Roman"/>
          <w:b w:val="0"/>
          <w:bCs/>
          <w:sz w:val="32"/>
          <w:szCs w:val="32"/>
        </w:rPr>
        <w:t>。</w:t>
      </w:r>
    </w:p>
    <w:p>
      <w:pPr>
        <w:spacing w:line="600" w:lineRule="exact"/>
        <w:ind w:firstLine="640"/>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2.公务用车购置及运行维护费支出</w:t>
      </w:r>
      <w:r>
        <w:rPr>
          <w:rFonts w:hint="eastAsia" w:eastAsia="仿宋" w:cs="Times New Roman"/>
          <w:b/>
          <w:sz w:val="32"/>
          <w:szCs w:val="32"/>
          <w:lang w:val="en-US" w:eastAsia="zh-CN"/>
        </w:rPr>
        <w:t>20.34</w:t>
      </w:r>
      <w:r>
        <w:rPr>
          <w:rFonts w:hint="default" w:ascii="Times New Roman" w:hAnsi="Times New Roman" w:eastAsia="仿宋_GB2312" w:cs="Times New Roman"/>
          <w:b/>
          <w:bCs/>
          <w:sz w:val="32"/>
          <w:szCs w:val="32"/>
        </w:rPr>
        <w:t>万元</w:t>
      </w:r>
      <w:r>
        <w:rPr>
          <w:rFonts w:hint="default" w:ascii="Times New Roman" w:hAnsi="Times New Roman" w:eastAsia="仿宋_GB2312" w:cs="Times New Roman"/>
          <w:sz w:val="32"/>
          <w:szCs w:val="32"/>
        </w:rPr>
        <w:t>,</w:t>
      </w:r>
      <w:r>
        <w:rPr>
          <w:rStyle w:val="18"/>
          <w:rFonts w:hint="default" w:ascii="Times New Roman" w:hAnsi="Times New Roman" w:eastAsia="仿宋" w:cs="Times New Roman"/>
          <w:b w:val="0"/>
          <w:bCs/>
          <w:sz w:val="32"/>
          <w:szCs w:val="32"/>
        </w:rPr>
        <w:t>完成预算</w:t>
      </w:r>
      <w:r>
        <w:rPr>
          <w:rStyle w:val="18"/>
          <w:rFonts w:hint="eastAsia" w:eastAsia="仿宋" w:cs="Times New Roman"/>
          <w:b w:val="0"/>
          <w:bCs/>
          <w:sz w:val="32"/>
          <w:szCs w:val="32"/>
          <w:lang w:val="en-US" w:eastAsia="zh-CN"/>
        </w:rPr>
        <w:t>99.7</w:t>
      </w:r>
      <w:r>
        <w:rPr>
          <w:rStyle w:val="18"/>
          <w:rFonts w:hint="default" w:ascii="Times New Roman" w:hAnsi="Times New Roman" w:eastAsia="仿宋" w:cs="Times New Roman"/>
          <w:b w:val="0"/>
          <w:bCs/>
          <w:sz w:val="32"/>
          <w:szCs w:val="32"/>
        </w:rPr>
        <w:t>%。</w:t>
      </w:r>
      <w:r>
        <w:rPr>
          <w:rFonts w:hint="default" w:ascii="Times New Roman" w:hAnsi="Times New Roman" w:eastAsia="仿宋_GB2312" w:cs="Times New Roman"/>
          <w:b w:val="0"/>
          <w:bCs/>
          <w:sz w:val="32"/>
          <w:szCs w:val="32"/>
        </w:rPr>
        <w:t>公务用车购置及运行维护费支出决算比202</w:t>
      </w:r>
      <w:r>
        <w:rPr>
          <w:rFonts w:hint="eastAsia" w:eastAsia="仿宋_GB2312" w:cs="Times New Roman"/>
          <w:b w:val="0"/>
          <w:bCs/>
          <w:sz w:val="32"/>
          <w:szCs w:val="32"/>
          <w:lang w:val="en-US" w:eastAsia="zh-CN"/>
        </w:rPr>
        <w:t>3</w:t>
      </w:r>
      <w:r>
        <w:rPr>
          <w:rFonts w:hint="default" w:ascii="Times New Roman" w:hAnsi="Times New Roman" w:eastAsia="仿宋_GB2312" w:cs="Times New Roman"/>
          <w:b w:val="0"/>
          <w:bCs/>
          <w:sz w:val="32"/>
          <w:szCs w:val="32"/>
        </w:rPr>
        <w:t>年度增加</w:t>
      </w:r>
      <w:r>
        <w:rPr>
          <w:rFonts w:hint="eastAsia" w:eastAsia="仿宋_GB2312" w:cs="Times New Roman"/>
          <w:b w:val="0"/>
          <w:bCs/>
          <w:sz w:val="32"/>
          <w:szCs w:val="32"/>
          <w:lang w:val="en-US" w:eastAsia="zh-CN"/>
        </w:rPr>
        <w:t>5.94</w:t>
      </w:r>
      <w:r>
        <w:rPr>
          <w:rFonts w:hint="default" w:ascii="Times New Roman" w:hAnsi="Times New Roman" w:eastAsia="仿宋_GB2312" w:cs="Times New Roman"/>
          <w:b w:val="0"/>
          <w:bCs/>
          <w:sz w:val="32"/>
          <w:szCs w:val="32"/>
        </w:rPr>
        <w:t>万元，增长</w:t>
      </w:r>
      <w:r>
        <w:rPr>
          <w:rFonts w:hint="eastAsia" w:eastAsia="仿宋_GB2312" w:cs="Times New Roman"/>
          <w:b w:val="0"/>
          <w:bCs/>
          <w:sz w:val="32"/>
          <w:szCs w:val="32"/>
          <w:lang w:val="en-US" w:eastAsia="zh-CN"/>
        </w:rPr>
        <w:t>41.26</w:t>
      </w:r>
      <w:r>
        <w:rPr>
          <w:rFonts w:hint="default" w:ascii="Times New Roman" w:hAnsi="Times New Roman" w:eastAsia="仿宋_GB2312" w:cs="Times New Roman"/>
          <w:b w:val="0"/>
          <w:bCs/>
          <w:sz w:val="32"/>
          <w:szCs w:val="32"/>
        </w:rPr>
        <w:t>%。主要原因是</w:t>
      </w:r>
      <w:r>
        <w:rPr>
          <w:rFonts w:hint="default" w:ascii="Times New Roman" w:hAnsi="Times New Roman" w:eastAsia="仿宋_GB2312" w:cs="Times New Roman"/>
          <w:b w:val="0"/>
          <w:bCs/>
          <w:sz w:val="32"/>
          <w:szCs w:val="32"/>
          <w:lang w:eastAsia="zh-CN"/>
        </w:rPr>
        <w:t>开展了机构</w:t>
      </w:r>
      <w:r>
        <w:rPr>
          <w:rFonts w:hint="eastAsia" w:eastAsia="仿宋_GB2312" w:cs="Times New Roman"/>
          <w:b w:val="0"/>
          <w:bCs/>
          <w:sz w:val="32"/>
          <w:szCs w:val="32"/>
          <w:lang w:eastAsia="zh-CN"/>
        </w:rPr>
        <w:t>改革</w:t>
      </w:r>
      <w:r>
        <w:rPr>
          <w:rFonts w:hint="default" w:ascii="Times New Roman" w:hAnsi="Times New Roman" w:eastAsia="仿宋_GB2312" w:cs="Times New Roman"/>
          <w:b w:val="0"/>
          <w:bCs/>
          <w:sz w:val="32"/>
          <w:szCs w:val="32"/>
          <w:lang w:eastAsia="zh-CN"/>
        </w:rPr>
        <w:t>工作</w:t>
      </w:r>
      <w:r>
        <w:rPr>
          <w:rFonts w:hint="default" w:ascii="Times New Roman" w:hAnsi="Times New Roman" w:eastAsia="仿宋_GB2312" w:cs="Times New Roman"/>
          <w:b w:val="0"/>
          <w:bCs/>
          <w:sz w:val="32"/>
          <w:szCs w:val="32"/>
        </w:rPr>
        <w:t>。</w:t>
      </w:r>
    </w:p>
    <w:p>
      <w:pPr>
        <w:spacing w:line="600" w:lineRule="exact"/>
        <w:ind w:firstLine="640" w:firstLineChars="200"/>
        <w:rPr>
          <w:rFonts w:hint="default" w:ascii="Times New Roman" w:hAnsi="Times New Roman" w:eastAsia="仿宋_GB2312" w:cs="Times New Roman"/>
          <w:b/>
          <w:sz w:val="32"/>
          <w:szCs w:val="32"/>
        </w:rPr>
      </w:pPr>
      <w:r>
        <w:rPr>
          <w:rFonts w:hint="default" w:ascii="Times New Roman" w:hAnsi="Times New Roman" w:eastAsia="仿宋_GB2312" w:cs="Times New Roman"/>
          <w:sz w:val="32"/>
          <w:szCs w:val="32"/>
        </w:rPr>
        <w:t>其中：</w:t>
      </w:r>
      <w:r>
        <w:rPr>
          <w:rFonts w:hint="default" w:ascii="Times New Roman" w:hAnsi="Times New Roman" w:eastAsia="仿宋_GB2312" w:cs="Times New Roman"/>
          <w:b/>
          <w:sz w:val="32"/>
          <w:szCs w:val="32"/>
        </w:rPr>
        <w:t>公务用车购置支出</w:t>
      </w:r>
      <w:r>
        <w:rPr>
          <w:rFonts w:hint="default" w:ascii="Times New Roman" w:hAnsi="Times New Roman" w:eastAsia="仿宋" w:cs="Times New Roman"/>
          <w:b/>
          <w:sz w:val="32"/>
          <w:szCs w:val="32"/>
        </w:rPr>
        <w:t>0</w:t>
      </w:r>
      <w:r>
        <w:rPr>
          <w:rFonts w:hint="default" w:ascii="Times New Roman" w:hAnsi="Times New Roman" w:eastAsia="仿宋_GB2312" w:cs="Times New Roman"/>
          <w:b/>
          <w:bCs/>
          <w:sz w:val="32"/>
          <w:szCs w:val="32"/>
        </w:rPr>
        <w:t>万元</w:t>
      </w:r>
      <w:r>
        <w:rPr>
          <w:rFonts w:hint="default" w:ascii="Times New Roman" w:hAnsi="Times New Roman" w:eastAsia="仿宋_GB2312" w:cs="Times New Roman"/>
          <w:sz w:val="32"/>
          <w:szCs w:val="32"/>
        </w:rPr>
        <w:t>。截至202</w:t>
      </w:r>
      <w:r>
        <w:rPr>
          <w:rFonts w:hint="eastAsia" w:eastAsia="仿宋_GB2312" w:cs="Times New Roman"/>
          <w:sz w:val="32"/>
          <w:szCs w:val="32"/>
          <w:lang w:val="en-US" w:eastAsia="zh-CN"/>
        </w:rPr>
        <w:t>4</w:t>
      </w:r>
      <w:r>
        <w:rPr>
          <w:rFonts w:hint="default" w:ascii="Times New Roman" w:hAnsi="Times New Roman" w:eastAsia="仿宋_GB2312" w:cs="Times New Roman"/>
          <w:sz w:val="32"/>
          <w:szCs w:val="32"/>
        </w:rPr>
        <w:t>年12月31日，单位共有公务用车</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辆，其中：越野车</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辆。</w:t>
      </w:r>
    </w:p>
    <w:p>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公务用车运行维护费支出</w:t>
      </w:r>
      <w:r>
        <w:rPr>
          <w:rFonts w:hint="eastAsia" w:eastAsia="仿宋" w:cs="Times New Roman"/>
          <w:b/>
          <w:sz w:val="32"/>
          <w:szCs w:val="32"/>
          <w:lang w:val="en-US" w:eastAsia="zh-CN"/>
        </w:rPr>
        <w:t>20.34</w:t>
      </w:r>
      <w:r>
        <w:rPr>
          <w:rFonts w:hint="default" w:ascii="Times New Roman" w:hAnsi="Times New Roman" w:eastAsia="仿宋_GB2312" w:cs="Times New Roman"/>
          <w:b/>
          <w:bCs/>
          <w:sz w:val="32"/>
          <w:szCs w:val="32"/>
        </w:rPr>
        <w:t>万元</w:t>
      </w:r>
      <w:r>
        <w:rPr>
          <w:rFonts w:hint="default" w:ascii="Times New Roman" w:hAnsi="Times New Roman" w:eastAsia="仿宋_GB2312" w:cs="Times New Roman"/>
          <w:sz w:val="32"/>
          <w:szCs w:val="32"/>
        </w:rPr>
        <w:t>。主要用于</w:t>
      </w:r>
      <w:r>
        <w:rPr>
          <w:rFonts w:hint="eastAsia" w:eastAsia="仿宋_GB2312" w:cs="Times New Roman"/>
          <w:sz w:val="32"/>
          <w:szCs w:val="32"/>
          <w:lang w:eastAsia="zh-CN"/>
        </w:rPr>
        <w:t>机构改革工作及</w:t>
      </w:r>
      <w:r>
        <w:rPr>
          <w:rFonts w:hint="default" w:ascii="Times New Roman" w:hAnsi="Times New Roman" w:eastAsia="仿宋_GB2312" w:cs="Times New Roman"/>
          <w:sz w:val="32"/>
          <w:szCs w:val="32"/>
          <w:lang w:eastAsia="zh-CN"/>
        </w:rPr>
        <w:t>机构编制</w:t>
      </w:r>
      <w:r>
        <w:rPr>
          <w:rFonts w:hint="eastAsia" w:eastAsia="仿宋_GB2312" w:cs="Times New Roman"/>
          <w:sz w:val="32"/>
          <w:szCs w:val="32"/>
          <w:lang w:eastAsia="zh-CN"/>
        </w:rPr>
        <w:t>相关</w:t>
      </w:r>
      <w:r>
        <w:rPr>
          <w:rFonts w:hint="default" w:ascii="Times New Roman" w:hAnsi="Times New Roman" w:eastAsia="仿宋_GB2312" w:cs="Times New Roman"/>
          <w:sz w:val="32"/>
          <w:szCs w:val="32"/>
          <w:lang w:eastAsia="zh-CN"/>
        </w:rPr>
        <w:t>调研、督查</w:t>
      </w:r>
      <w:r>
        <w:rPr>
          <w:rFonts w:hint="default" w:ascii="Times New Roman" w:hAnsi="Times New Roman" w:eastAsia="仿宋_GB2312" w:cs="Times New Roman"/>
          <w:sz w:val="32"/>
          <w:szCs w:val="32"/>
        </w:rPr>
        <w:t>所需的公务用车燃料费、维修费、过路过桥费、保险费等支出。</w:t>
      </w:r>
    </w:p>
    <w:p>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3.公务接待费支出</w:t>
      </w:r>
      <w:r>
        <w:rPr>
          <w:rFonts w:hint="eastAsia" w:eastAsia="仿宋" w:cs="Times New Roman"/>
          <w:b/>
          <w:sz w:val="32"/>
          <w:szCs w:val="32"/>
          <w:lang w:val="en-US" w:eastAsia="zh-CN"/>
        </w:rPr>
        <w:t>0.66</w:t>
      </w:r>
      <w:r>
        <w:rPr>
          <w:rFonts w:hint="default" w:ascii="Times New Roman" w:hAnsi="Times New Roman" w:eastAsia="仿宋_GB2312" w:cs="Times New Roman"/>
          <w:b/>
          <w:bCs/>
          <w:sz w:val="32"/>
          <w:szCs w:val="32"/>
        </w:rPr>
        <w:t>万元</w:t>
      </w:r>
      <w:r>
        <w:rPr>
          <w:rFonts w:hint="default" w:ascii="Times New Roman" w:hAnsi="Times New Roman" w:eastAsia="仿宋_GB2312" w:cs="Times New Roman"/>
          <w:sz w:val="32"/>
          <w:szCs w:val="32"/>
        </w:rPr>
        <w:t>，</w:t>
      </w:r>
      <w:r>
        <w:rPr>
          <w:rStyle w:val="18"/>
          <w:rFonts w:hint="default" w:ascii="Times New Roman" w:hAnsi="Times New Roman" w:eastAsia="仿宋" w:cs="Times New Roman"/>
          <w:b w:val="0"/>
          <w:bCs/>
          <w:sz w:val="32"/>
          <w:szCs w:val="32"/>
        </w:rPr>
        <w:t>完成预算</w:t>
      </w:r>
      <w:r>
        <w:rPr>
          <w:rStyle w:val="18"/>
          <w:rFonts w:hint="eastAsia" w:eastAsia="仿宋" w:cs="Times New Roman"/>
          <w:b w:val="0"/>
          <w:bCs/>
          <w:sz w:val="32"/>
          <w:szCs w:val="32"/>
          <w:lang w:val="en-US" w:eastAsia="zh-CN"/>
        </w:rPr>
        <w:t>70.21</w:t>
      </w:r>
      <w:r>
        <w:rPr>
          <w:rStyle w:val="18"/>
          <w:rFonts w:hint="default" w:ascii="Times New Roman" w:hAnsi="Times New Roman" w:eastAsia="仿宋" w:cs="Times New Roman"/>
          <w:b w:val="0"/>
          <w:bCs/>
          <w:sz w:val="32"/>
          <w:szCs w:val="32"/>
        </w:rPr>
        <w:t>%。</w:t>
      </w:r>
      <w:r>
        <w:rPr>
          <w:rFonts w:hint="default" w:ascii="Times New Roman" w:hAnsi="Times New Roman" w:eastAsia="仿宋_GB2312" w:cs="Times New Roman"/>
          <w:sz w:val="32"/>
          <w:szCs w:val="32"/>
        </w:rPr>
        <w:t>公务接待费支出决算比202</w:t>
      </w:r>
      <w:r>
        <w:rPr>
          <w:rFonts w:hint="eastAsia" w:eastAsia="仿宋_GB2312" w:cs="Times New Roman"/>
          <w:sz w:val="32"/>
          <w:szCs w:val="32"/>
          <w:lang w:val="en-US" w:eastAsia="zh-CN"/>
        </w:rPr>
        <w:t>3</w:t>
      </w:r>
      <w:r>
        <w:rPr>
          <w:rFonts w:hint="default" w:ascii="Times New Roman" w:hAnsi="Times New Roman" w:eastAsia="仿宋_GB2312" w:cs="Times New Roman"/>
          <w:sz w:val="32"/>
          <w:szCs w:val="32"/>
        </w:rPr>
        <w:t>年度增加</w:t>
      </w:r>
      <w:r>
        <w:rPr>
          <w:rFonts w:hint="eastAsia" w:eastAsia="仿宋_GB2312" w:cs="Times New Roman"/>
          <w:sz w:val="32"/>
          <w:szCs w:val="32"/>
          <w:lang w:val="en-US" w:eastAsia="zh-CN"/>
        </w:rPr>
        <w:t>0.62</w:t>
      </w:r>
      <w:r>
        <w:rPr>
          <w:rFonts w:hint="default" w:ascii="Times New Roman" w:hAnsi="Times New Roman" w:eastAsia="仿宋_GB2312" w:cs="Times New Roman"/>
          <w:sz w:val="32"/>
          <w:szCs w:val="32"/>
        </w:rPr>
        <w:t>万元，增长</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w:t>
      </w:r>
      <w:r>
        <w:rPr>
          <w:rStyle w:val="18"/>
          <w:rFonts w:hint="eastAsia" w:ascii="方正仿宋_GBK" w:hAnsi="方正仿宋_GBK" w:eastAsia="方正仿宋_GBK" w:cs="方正仿宋_GBK"/>
          <w:b w:val="0"/>
          <w:bCs/>
          <w:i w:val="0"/>
          <w:iCs w:val="0"/>
          <w:caps w:val="0"/>
          <w:color w:val="000000"/>
          <w:spacing w:val="0"/>
          <w:sz w:val="32"/>
          <w:szCs w:val="32"/>
          <w:shd w:val="clear" w:color="auto" w:fill="FFFFFF"/>
        </w:rPr>
        <w:t>主要原因为</w:t>
      </w:r>
      <w:r>
        <w:rPr>
          <w:rStyle w:val="18"/>
          <w:rFonts w:hint="eastAsia" w:ascii="方正仿宋_GBK" w:hAnsi="方正仿宋_GBK" w:eastAsia="方正仿宋_GBK" w:cs="方正仿宋_GBK"/>
          <w:b w:val="0"/>
          <w:bCs/>
          <w:i w:val="0"/>
          <w:iCs w:val="0"/>
          <w:caps w:val="0"/>
          <w:color w:val="000000"/>
          <w:spacing w:val="0"/>
          <w:sz w:val="32"/>
          <w:szCs w:val="32"/>
          <w:shd w:val="clear" w:color="auto" w:fill="FFFFFF"/>
          <w:lang w:eastAsia="zh-CN"/>
        </w:rPr>
        <w:t>是</w:t>
      </w:r>
      <w:r>
        <w:rPr>
          <w:rStyle w:val="18"/>
          <w:rFonts w:hint="eastAsia" w:ascii="方正仿宋_GBK" w:hAnsi="方正仿宋_GBK" w:eastAsia="方正仿宋_GBK" w:cs="方正仿宋_GBK"/>
          <w:b w:val="0"/>
          <w:bCs/>
          <w:i w:val="0"/>
          <w:iCs w:val="0"/>
          <w:caps w:val="0"/>
          <w:color w:val="000000"/>
          <w:spacing w:val="0"/>
          <w:sz w:val="32"/>
          <w:szCs w:val="32"/>
          <w:shd w:val="clear" w:color="auto" w:fill="FFFFFF"/>
          <w:lang w:val="en-US" w:eastAsia="zh-CN"/>
        </w:rPr>
        <w:t>本年度开展机构改革工作，中央编办、省委编办来州开展调研、验收工作较多</w:t>
      </w:r>
      <w:r>
        <w:rPr>
          <w:rStyle w:val="18"/>
          <w:rFonts w:hint="eastAsia" w:ascii="方正仿宋_GBK" w:hAnsi="方正仿宋_GBK" w:eastAsia="方正仿宋_GBK" w:cs="方正仿宋_GBK"/>
          <w:b w:val="0"/>
          <w:bCs/>
          <w:i w:val="0"/>
          <w:iCs w:val="0"/>
          <w:caps w:val="0"/>
          <w:color w:val="000000"/>
          <w:spacing w:val="0"/>
          <w:sz w:val="32"/>
          <w:szCs w:val="32"/>
          <w:shd w:val="clear" w:color="auto" w:fill="FFFFFF"/>
          <w:lang w:eastAsia="zh-CN"/>
        </w:rPr>
        <w:t>。</w:t>
      </w:r>
      <w:r>
        <w:rPr>
          <w:rFonts w:hint="default" w:ascii="Times New Roman" w:hAnsi="Times New Roman" w:eastAsia="仿宋_GB2312" w:cs="Times New Roman"/>
          <w:sz w:val="32"/>
          <w:szCs w:val="32"/>
        </w:rPr>
        <w:t>其中：</w:t>
      </w:r>
    </w:p>
    <w:p>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 w:cs="Times New Roman"/>
          <w:b/>
          <w:bCs w:val="0"/>
          <w:sz w:val="32"/>
          <w:szCs w:val="32"/>
        </w:rPr>
        <w:t>国内公务接待支出</w:t>
      </w:r>
      <w:r>
        <w:rPr>
          <w:rFonts w:hint="eastAsia" w:eastAsia="仿宋" w:cs="Times New Roman"/>
          <w:b/>
          <w:bCs w:val="0"/>
          <w:sz w:val="32"/>
          <w:szCs w:val="32"/>
          <w:lang w:val="en-US" w:eastAsia="zh-CN"/>
        </w:rPr>
        <w:t>0.66</w:t>
      </w:r>
      <w:r>
        <w:rPr>
          <w:rFonts w:hint="default" w:ascii="Times New Roman" w:hAnsi="Times New Roman" w:eastAsia="仿宋_GB2312" w:cs="Times New Roman"/>
          <w:b/>
          <w:bCs w:val="0"/>
          <w:sz w:val="32"/>
          <w:szCs w:val="32"/>
        </w:rPr>
        <w:t>万元，</w:t>
      </w:r>
      <w:r>
        <w:rPr>
          <w:rFonts w:hint="default" w:ascii="Times New Roman" w:hAnsi="Times New Roman" w:eastAsia="仿宋_GB2312" w:cs="Times New Roman"/>
          <w:sz w:val="32"/>
          <w:szCs w:val="32"/>
        </w:rPr>
        <w:t>主要用于</w:t>
      </w:r>
      <w:r>
        <w:rPr>
          <w:rFonts w:hint="eastAsia" w:eastAsia="仿宋_GB2312" w:cs="Times New Roman"/>
          <w:sz w:val="32"/>
          <w:szCs w:val="32"/>
          <w:lang w:eastAsia="zh-CN"/>
        </w:rPr>
        <w:t>必要的公务接待支出</w:t>
      </w:r>
      <w:r>
        <w:rPr>
          <w:rFonts w:hint="default" w:ascii="Times New Roman" w:hAnsi="Times New Roman" w:eastAsia="仿宋_GB2312" w:cs="Times New Roman"/>
          <w:sz w:val="32"/>
          <w:szCs w:val="32"/>
        </w:rPr>
        <w:t>。国内公务接待</w:t>
      </w:r>
      <w:r>
        <w:rPr>
          <w:rFonts w:hint="eastAsia" w:eastAsia="仿宋_GB2312" w:cs="Times New Roman"/>
          <w:sz w:val="32"/>
          <w:szCs w:val="32"/>
          <w:lang w:val="en-US" w:eastAsia="zh-CN"/>
        </w:rPr>
        <w:t>7</w:t>
      </w:r>
      <w:r>
        <w:rPr>
          <w:rFonts w:hint="default" w:ascii="Times New Roman" w:hAnsi="Times New Roman" w:eastAsia="仿宋_GB2312" w:cs="Times New Roman"/>
          <w:sz w:val="32"/>
          <w:szCs w:val="32"/>
        </w:rPr>
        <w:t>批次，</w:t>
      </w:r>
      <w:r>
        <w:rPr>
          <w:rFonts w:hint="eastAsia" w:eastAsia="仿宋_GB2312" w:cs="Times New Roman"/>
          <w:sz w:val="32"/>
          <w:szCs w:val="32"/>
          <w:lang w:val="en-US" w:eastAsia="zh-CN"/>
        </w:rPr>
        <w:t>33</w:t>
      </w:r>
      <w:r>
        <w:rPr>
          <w:rFonts w:hint="default" w:ascii="Times New Roman" w:hAnsi="Times New Roman" w:eastAsia="仿宋_GB2312" w:cs="Times New Roman"/>
          <w:sz w:val="32"/>
          <w:szCs w:val="32"/>
        </w:rPr>
        <w:t>人次（不包括陪同人员），共计支出</w:t>
      </w:r>
      <w:r>
        <w:rPr>
          <w:rFonts w:hint="eastAsia" w:eastAsia="仿宋_GB2312" w:cs="Times New Roman"/>
          <w:sz w:val="32"/>
          <w:szCs w:val="32"/>
          <w:lang w:val="en-US" w:eastAsia="zh-CN"/>
        </w:rPr>
        <w:t>0.66</w:t>
      </w:r>
      <w:r>
        <w:rPr>
          <w:rFonts w:hint="default" w:ascii="Times New Roman" w:hAnsi="Times New Roman" w:eastAsia="仿宋_GB2312" w:cs="Times New Roman"/>
          <w:sz w:val="32"/>
          <w:szCs w:val="32"/>
        </w:rPr>
        <w:t>万元，具体内容包括：</w:t>
      </w:r>
      <w:r>
        <w:rPr>
          <w:rFonts w:hint="default" w:ascii="Times New Roman" w:hAnsi="Times New Roman" w:eastAsia="仿宋_GB2312" w:cs="Times New Roman"/>
          <w:sz w:val="32"/>
          <w:szCs w:val="32"/>
          <w:lang w:eastAsia="zh-CN"/>
        </w:rPr>
        <w:t>用餐费</w:t>
      </w:r>
      <w:r>
        <w:rPr>
          <w:rFonts w:hint="eastAsia" w:eastAsia="仿宋_GB2312" w:cs="Times New Roman"/>
          <w:sz w:val="32"/>
          <w:szCs w:val="32"/>
          <w:lang w:val="en-US" w:eastAsia="zh-CN"/>
        </w:rPr>
        <w:t>0.66</w:t>
      </w:r>
      <w:r>
        <w:rPr>
          <w:rFonts w:hint="default" w:ascii="Times New Roman" w:hAnsi="Times New Roman" w:eastAsia="仿宋_GB2312" w:cs="Times New Roman"/>
          <w:sz w:val="32"/>
          <w:szCs w:val="32"/>
          <w:lang w:val="en-US" w:eastAsia="zh-CN"/>
        </w:rPr>
        <w:t>万元</w:t>
      </w:r>
      <w:r>
        <w:rPr>
          <w:rFonts w:hint="default" w:ascii="Times New Roman" w:hAnsi="Times New Roman" w:eastAsia="仿宋_GB2312" w:cs="Times New Roman"/>
          <w:sz w:val="32"/>
          <w:szCs w:val="32"/>
        </w:rPr>
        <w:t>。</w:t>
      </w:r>
    </w:p>
    <w:p>
      <w:pPr>
        <w:spacing w:line="600" w:lineRule="exact"/>
        <w:ind w:firstLine="642" w:firstLineChars="200"/>
        <w:rPr>
          <w:rFonts w:hint="eastAsia" w:ascii="Times New Roman" w:hAnsi="Times New Roman" w:eastAsia="仿宋_GB2312" w:cs="Times New Roman"/>
          <w:sz w:val="32"/>
          <w:szCs w:val="32"/>
          <w:lang w:eastAsia="zh-CN"/>
        </w:rPr>
      </w:pPr>
      <w:r>
        <w:rPr>
          <w:rFonts w:hint="default" w:ascii="Times New Roman" w:hAnsi="Times New Roman" w:eastAsia="仿宋" w:cs="Times New Roman"/>
          <w:b/>
          <w:bCs w:val="0"/>
          <w:sz w:val="32"/>
          <w:szCs w:val="32"/>
        </w:rPr>
        <w:t>外事接待支出0</w:t>
      </w:r>
      <w:r>
        <w:rPr>
          <w:rFonts w:hint="default" w:ascii="Times New Roman" w:hAnsi="Times New Roman" w:eastAsia="仿宋_GB2312" w:cs="Times New Roman"/>
          <w:b/>
          <w:bCs w:val="0"/>
          <w:sz w:val="32"/>
          <w:szCs w:val="32"/>
        </w:rPr>
        <w:t>万元</w:t>
      </w:r>
      <w:r>
        <w:rPr>
          <w:rFonts w:hint="eastAsia" w:eastAsia="仿宋_GB2312" w:cs="Times New Roman"/>
          <w:b/>
          <w:bCs w:val="0"/>
          <w:sz w:val="32"/>
          <w:szCs w:val="32"/>
          <w:lang w:eastAsia="zh-CN"/>
        </w:rPr>
        <w:t>，</w:t>
      </w:r>
      <w:r>
        <w:rPr>
          <w:rFonts w:hint="eastAsia" w:eastAsia="仿宋_GB2312" w:cs="Times New Roman"/>
          <w:sz w:val="32"/>
          <w:szCs w:val="32"/>
          <w:lang w:eastAsia="zh-CN"/>
        </w:rPr>
        <w:t>本年度我单位无外事接待支出。</w:t>
      </w:r>
    </w:p>
    <w:p>
      <w:pPr>
        <w:spacing w:line="600" w:lineRule="exact"/>
        <w:ind w:firstLine="640"/>
        <w:outlineLvl w:val="1"/>
        <w:rPr>
          <w:rStyle w:val="30"/>
          <w:rFonts w:hint="default" w:ascii="Times New Roman" w:hAnsi="Times New Roman" w:eastAsia="黑体" w:cs="Times New Roman"/>
          <w:highlight w:val="none"/>
        </w:rPr>
      </w:pPr>
      <w:r>
        <w:rPr>
          <w:rFonts w:hint="default" w:ascii="Times New Roman" w:hAnsi="Times New Roman" w:eastAsia="黑体" w:cs="Times New Roman"/>
          <w:sz w:val="32"/>
          <w:szCs w:val="32"/>
          <w:highlight w:val="none"/>
        </w:rPr>
        <w:t>八、</w:t>
      </w:r>
      <w:r>
        <w:rPr>
          <w:rStyle w:val="30"/>
          <w:rFonts w:hint="default" w:ascii="Times New Roman" w:hAnsi="Times New Roman" w:eastAsia="黑体" w:cs="Times New Roman"/>
          <w:b w:val="0"/>
          <w:highlight w:val="none"/>
        </w:rPr>
        <w:t>政府性基金预算支出决算情况说明</w:t>
      </w:r>
      <w:bookmarkEnd w:id="38"/>
      <w:bookmarkEnd w:id="39"/>
    </w:p>
    <w:p>
      <w:pPr>
        <w:keepNext w:val="0"/>
        <w:keepLines w:val="0"/>
        <w:pageBreakBefore w:val="0"/>
        <w:widowControl w:val="0"/>
        <w:kinsoku/>
        <w:wordWrap/>
        <w:overflowPunct/>
        <w:topLinePunct w:val="0"/>
        <w:autoSpaceDE/>
        <w:autoSpaceDN/>
        <w:bidi w:val="0"/>
        <w:snapToGrid/>
        <w:spacing w:line="560" w:lineRule="exact"/>
        <w:ind w:firstLine="640"/>
        <w:textAlignment w:val="auto"/>
        <w:rPr>
          <w:rFonts w:hint="default" w:ascii="Times New Roman" w:hAnsi="Times New Roman" w:eastAsia="仿宋_GB2312" w:cs="Times New Roman"/>
          <w:color w:val="auto"/>
          <w:sz w:val="32"/>
          <w:szCs w:val="32"/>
          <w:highlight w:val="none"/>
          <w:lang w:eastAsia="zh-CN"/>
        </w:rPr>
      </w:pPr>
      <w:bookmarkStart w:id="40" w:name="_Toc15377219"/>
      <w:bookmarkStart w:id="41" w:name="_Toc15396611"/>
      <w:r>
        <w:rPr>
          <w:rFonts w:hint="eastAsia" w:eastAsia="仿宋_GB2312" w:cs="Times New Roman"/>
          <w:color w:val="auto"/>
          <w:sz w:val="32"/>
          <w:szCs w:val="32"/>
          <w:highlight w:val="none"/>
          <w:lang w:val="en-US" w:eastAsia="zh-CN"/>
        </w:rPr>
        <w:t>2024年度</w:t>
      </w:r>
      <w:r>
        <w:rPr>
          <w:rFonts w:hint="default" w:ascii="Times New Roman" w:hAnsi="Times New Roman" w:eastAsia="仿宋_GB2312" w:cs="Times New Roman"/>
          <w:color w:val="auto"/>
          <w:sz w:val="32"/>
          <w:szCs w:val="32"/>
          <w:highlight w:val="none"/>
          <w:lang w:val="en-US" w:eastAsia="zh-CN"/>
        </w:rPr>
        <w:t>本单位无政府性基金预算</w:t>
      </w:r>
      <w:r>
        <w:rPr>
          <w:rFonts w:hint="eastAsia" w:eastAsia="仿宋_GB2312" w:cs="Times New Roman"/>
          <w:color w:val="auto"/>
          <w:sz w:val="32"/>
          <w:szCs w:val="32"/>
          <w:highlight w:val="none"/>
          <w:lang w:val="en-US" w:eastAsia="zh-CN"/>
        </w:rPr>
        <w:t>财政拨款</w:t>
      </w:r>
      <w:r>
        <w:rPr>
          <w:rFonts w:hint="default" w:ascii="Times New Roman" w:hAnsi="Times New Roman" w:eastAsia="仿宋_GB2312" w:cs="Times New Roman"/>
          <w:color w:val="auto"/>
          <w:sz w:val="32"/>
          <w:szCs w:val="32"/>
          <w:highlight w:val="none"/>
          <w:lang w:val="en-US" w:eastAsia="zh-CN"/>
        </w:rPr>
        <w:t>支出</w:t>
      </w:r>
      <w:r>
        <w:rPr>
          <w:rFonts w:hint="eastAsia" w:ascii="Times New Roman" w:hAnsi="Times New Roman" w:eastAsia="仿宋_GB2312" w:cs="Times New Roman"/>
          <w:color w:val="auto"/>
          <w:sz w:val="32"/>
          <w:szCs w:val="32"/>
          <w:highlight w:val="none"/>
          <w:lang w:val="en-US" w:eastAsia="zh-CN"/>
        </w:rPr>
        <w:t>。</w:t>
      </w:r>
    </w:p>
    <w:p>
      <w:pPr>
        <w:numPr>
          <w:ilvl w:val="0"/>
          <w:numId w:val="2"/>
        </w:numPr>
        <w:spacing w:line="600" w:lineRule="exact"/>
        <w:ind w:firstLine="640"/>
        <w:outlineLvl w:val="1"/>
        <w:rPr>
          <w:rStyle w:val="30"/>
          <w:rFonts w:hint="default" w:ascii="Times New Roman" w:hAnsi="Times New Roman" w:eastAsia="黑体" w:cs="Times New Roman"/>
          <w:b w:val="0"/>
          <w:highlight w:val="none"/>
        </w:rPr>
      </w:pPr>
      <w:r>
        <w:rPr>
          <w:rStyle w:val="30"/>
          <w:rFonts w:hint="default" w:ascii="Times New Roman" w:hAnsi="Times New Roman" w:eastAsia="黑体" w:cs="Times New Roman"/>
          <w:b w:val="0"/>
          <w:highlight w:val="none"/>
        </w:rPr>
        <w:t>国有资本经营预算支出决算情况说明</w:t>
      </w:r>
      <w:bookmarkEnd w:id="40"/>
      <w:bookmarkEnd w:id="41"/>
    </w:p>
    <w:p>
      <w:pPr>
        <w:keepNext w:val="0"/>
        <w:keepLines w:val="0"/>
        <w:pageBreakBefore w:val="0"/>
        <w:widowControl w:val="0"/>
        <w:kinsoku/>
        <w:wordWrap/>
        <w:overflowPunct/>
        <w:topLinePunct w:val="0"/>
        <w:autoSpaceDE/>
        <w:autoSpaceDN/>
        <w:bidi w:val="0"/>
        <w:snapToGrid/>
        <w:spacing w:line="560" w:lineRule="exact"/>
        <w:ind w:firstLine="640"/>
        <w:textAlignment w:val="auto"/>
        <w:rPr>
          <w:rFonts w:hint="default" w:ascii="Times New Roman" w:hAnsi="Times New Roman" w:eastAsia="方正小标宋简体" w:cs="Times New Roman"/>
          <w:sz w:val="44"/>
          <w:szCs w:val="44"/>
          <w:highlight w:val="none"/>
        </w:rPr>
      </w:pPr>
      <w:r>
        <w:rPr>
          <w:rFonts w:hint="eastAsia" w:eastAsia="仿宋_GB2312" w:cs="Times New Roman"/>
          <w:color w:val="auto"/>
          <w:sz w:val="32"/>
          <w:szCs w:val="32"/>
          <w:highlight w:val="none"/>
          <w:lang w:val="en-US" w:eastAsia="zh-CN"/>
        </w:rPr>
        <w:t>2024年度</w:t>
      </w:r>
      <w:r>
        <w:rPr>
          <w:rFonts w:hint="default" w:ascii="Times New Roman" w:hAnsi="Times New Roman" w:eastAsia="仿宋_GB2312" w:cs="Times New Roman"/>
          <w:color w:val="auto"/>
          <w:sz w:val="32"/>
          <w:szCs w:val="32"/>
          <w:highlight w:val="none"/>
          <w:lang w:val="en-US" w:eastAsia="zh-CN"/>
        </w:rPr>
        <w:t>本单位无</w:t>
      </w:r>
      <w:r>
        <w:rPr>
          <w:rFonts w:hint="eastAsia" w:eastAsia="仿宋_GB2312" w:cs="Times New Roman"/>
          <w:color w:val="auto"/>
          <w:sz w:val="32"/>
          <w:szCs w:val="32"/>
          <w:highlight w:val="none"/>
          <w:lang w:val="en-US" w:eastAsia="zh-CN"/>
        </w:rPr>
        <w:t>国有资本经营</w:t>
      </w:r>
      <w:r>
        <w:rPr>
          <w:rFonts w:hint="default" w:ascii="Times New Roman" w:hAnsi="Times New Roman" w:eastAsia="仿宋_GB2312" w:cs="Times New Roman"/>
          <w:color w:val="auto"/>
          <w:sz w:val="32"/>
          <w:szCs w:val="32"/>
          <w:highlight w:val="none"/>
          <w:lang w:val="en-US" w:eastAsia="zh-CN"/>
        </w:rPr>
        <w:t>预算</w:t>
      </w:r>
      <w:r>
        <w:rPr>
          <w:rFonts w:hint="eastAsia" w:eastAsia="仿宋_GB2312" w:cs="Times New Roman"/>
          <w:color w:val="auto"/>
          <w:sz w:val="32"/>
          <w:szCs w:val="32"/>
          <w:highlight w:val="none"/>
          <w:lang w:val="en-US" w:eastAsia="zh-CN"/>
        </w:rPr>
        <w:t>财政拨款</w:t>
      </w:r>
      <w:r>
        <w:rPr>
          <w:rFonts w:hint="default" w:ascii="Times New Roman" w:hAnsi="Times New Roman" w:eastAsia="仿宋_GB2312" w:cs="Times New Roman"/>
          <w:color w:val="auto"/>
          <w:sz w:val="32"/>
          <w:szCs w:val="32"/>
          <w:highlight w:val="none"/>
          <w:lang w:val="en-US" w:eastAsia="zh-CN"/>
        </w:rPr>
        <w:t>支出</w:t>
      </w:r>
      <w:r>
        <w:rPr>
          <w:rFonts w:hint="eastAsia" w:ascii="Times New Roman" w:hAnsi="Times New Roman" w:eastAsia="仿宋_GB2312" w:cs="Times New Roman"/>
          <w:color w:val="auto"/>
          <w:sz w:val="32"/>
          <w:szCs w:val="32"/>
          <w:highlight w:val="none"/>
          <w:lang w:val="en-US" w:eastAsia="zh-CN"/>
        </w:rPr>
        <w:t>。</w:t>
      </w:r>
    </w:p>
    <w:p>
      <w:pPr>
        <w:numPr>
          <w:ilvl w:val="0"/>
          <w:numId w:val="2"/>
        </w:numPr>
        <w:spacing w:line="600" w:lineRule="exact"/>
        <w:ind w:firstLine="640"/>
        <w:outlineLvl w:val="1"/>
        <w:rPr>
          <w:rStyle w:val="30"/>
          <w:rFonts w:hint="default" w:ascii="Times New Roman" w:hAnsi="Times New Roman" w:eastAsia="黑体" w:cs="Times New Roman"/>
          <w:b w:val="0"/>
        </w:rPr>
      </w:pPr>
      <w:bookmarkStart w:id="42" w:name="_Toc15377221"/>
      <w:bookmarkStart w:id="43" w:name="_Toc15396612"/>
      <w:r>
        <w:rPr>
          <w:rStyle w:val="30"/>
          <w:rFonts w:hint="default" w:ascii="Times New Roman" w:hAnsi="Times New Roman" w:eastAsia="黑体" w:cs="Times New Roman"/>
          <w:b w:val="0"/>
        </w:rPr>
        <w:t>其他重要事项的情况说明</w:t>
      </w:r>
      <w:bookmarkEnd w:id="42"/>
      <w:bookmarkEnd w:id="43"/>
    </w:p>
    <w:p>
      <w:pPr>
        <w:spacing w:line="600" w:lineRule="exact"/>
        <w:ind w:firstLine="642" w:firstLineChars="200"/>
        <w:outlineLvl w:val="2"/>
        <w:rPr>
          <w:rFonts w:hint="eastAsia" w:ascii="方正楷体_GBK" w:hAnsi="方正楷体_GBK" w:eastAsia="方正楷体_GBK" w:cs="方正楷体_GBK"/>
          <w:sz w:val="32"/>
          <w:szCs w:val="32"/>
        </w:rPr>
      </w:pPr>
      <w:bookmarkStart w:id="44" w:name="_Toc15377222"/>
      <w:r>
        <w:rPr>
          <w:rFonts w:hint="eastAsia" w:ascii="方正楷体_GBK" w:hAnsi="方正楷体_GBK" w:eastAsia="方正楷体_GBK" w:cs="方正楷体_GBK"/>
          <w:b/>
          <w:sz w:val="32"/>
          <w:szCs w:val="32"/>
        </w:rPr>
        <w:t>（一）机关运行经费支出情况</w:t>
      </w:r>
      <w:bookmarkEnd w:id="44"/>
    </w:p>
    <w:p>
      <w:pPr>
        <w:spacing w:line="600" w:lineRule="exact"/>
        <w:ind w:firstLine="640" w:firstLineChars="200"/>
        <w:rPr>
          <w:rFonts w:hint="default" w:ascii="Times New Roman" w:hAnsi="Times New Roman" w:eastAsia="仿宋_GB2312" w:cs="Times New Roman"/>
          <w:sz w:val="32"/>
          <w:szCs w:val="32"/>
          <w:lang w:val="en-US"/>
        </w:rPr>
      </w:pPr>
      <w:r>
        <w:rPr>
          <w:rFonts w:hint="default" w:ascii="Times New Roman" w:hAnsi="Times New Roman" w:eastAsia="仿宋_GB2312" w:cs="Times New Roman"/>
          <w:sz w:val="32"/>
          <w:szCs w:val="32"/>
        </w:rPr>
        <w:t>202</w:t>
      </w:r>
      <w:r>
        <w:rPr>
          <w:rFonts w:hint="eastAsia" w:eastAsia="仿宋_GB2312" w:cs="Times New Roman"/>
          <w:sz w:val="32"/>
          <w:szCs w:val="32"/>
          <w:lang w:val="en-US" w:eastAsia="zh-CN"/>
        </w:rPr>
        <w:t>4</w:t>
      </w:r>
      <w:r>
        <w:rPr>
          <w:rFonts w:hint="default" w:ascii="Times New Roman" w:hAnsi="Times New Roman" w:eastAsia="仿宋_GB2312" w:cs="Times New Roman"/>
          <w:sz w:val="32"/>
          <w:szCs w:val="32"/>
        </w:rPr>
        <w:t>年度，</w:t>
      </w:r>
      <w:r>
        <w:rPr>
          <w:rFonts w:hint="default" w:ascii="Times New Roman" w:hAnsi="Times New Roman" w:eastAsia="仿宋_GB2312" w:cs="Times New Roman"/>
          <w:b/>
          <w:sz w:val="32"/>
          <w:szCs w:val="32"/>
        </w:rPr>
        <w:t>中共阿坝州委机构编制委员会办公室（本级）</w:t>
      </w:r>
      <w:r>
        <w:rPr>
          <w:rFonts w:hint="default" w:ascii="Times New Roman" w:hAnsi="Times New Roman" w:eastAsia="仿宋_GB2312" w:cs="Times New Roman"/>
          <w:sz w:val="32"/>
          <w:szCs w:val="32"/>
        </w:rPr>
        <w:t>机关运行经费支出</w:t>
      </w:r>
      <w:r>
        <w:rPr>
          <w:rFonts w:hint="eastAsia" w:eastAsia="方正仿宋_GBK" w:cs="Times New Roman"/>
          <w:sz w:val="32"/>
          <w:szCs w:val="32"/>
          <w:highlight w:val="none"/>
          <w:lang w:val="en-US" w:eastAsia="zh-CN"/>
        </w:rPr>
        <w:t>63.55</w:t>
      </w:r>
      <w:r>
        <w:rPr>
          <w:rFonts w:hint="default" w:ascii="Times New Roman" w:hAnsi="Times New Roman" w:eastAsia="仿宋_GB2312" w:cs="Times New Roman"/>
          <w:sz w:val="32"/>
          <w:szCs w:val="32"/>
        </w:rPr>
        <w:t>万元，比202</w:t>
      </w:r>
      <w:r>
        <w:rPr>
          <w:rFonts w:hint="eastAsia" w:eastAsia="仿宋_GB2312" w:cs="Times New Roman"/>
          <w:sz w:val="32"/>
          <w:szCs w:val="32"/>
          <w:lang w:val="en-US" w:eastAsia="zh-CN"/>
        </w:rPr>
        <w:t>3</w:t>
      </w:r>
      <w:r>
        <w:rPr>
          <w:rFonts w:hint="default" w:ascii="Times New Roman" w:hAnsi="Times New Roman" w:eastAsia="仿宋_GB2312" w:cs="Times New Roman"/>
          <w:sz w:val="32"/>
          <w:szCs w:val="32"/>
        </w:rPr>
        <w:t>年度减少</w:t>
      </w:r>
      <w:r>
        <w:rPr>
          <w:rFonts w:hint="eastAsia" w:eastAsia="仿宋_GB2312" w:cs="Times New Roman"/>
          <w:sz w:val="32"/>
          <w:szCs w:val="32"/>
          <w:lang w:val="en-US" w:eastAsia="zh-CN"/>
        </w:rPr>
        <w:t>7.51</w:t>
      </w:r>
      <w:r>
        <w:rPr>
          <w:rFonts w:hint="default" w:ascii="Times New Roman" w:hAnsi="Times New Roman" w:eastAsia="仿宋_GB2312" w:cs="Times New Roman"/>
          <w:sz w:val="32"/>
          <w:szCs w:val="32"/>
        </w:rPr>
        <w:t>万元，下降</w:t>
      </w:r>
      <w:r>
        <w:rPr>
          <w:rFonts w:hint="eastAsia" w:eastAsia="方正仿宋_GBK" w:cs="Times New Roman"/>
          <w:sz w:val="32"/>
          <w:szCs w:val="32"/>
          <w:highlight w:val="none"/>
          <w:lang w:val="en-US" w:eastAsia="zh-CN"/>
        </w:rPr>
        <w:t>13.4</w:t>
      </w:r>
      <w:r>
        <w:rPr>
          <w:rFonts w:hint="default" w:ascii="Times New Roman" w:hAnsi="Times New Roman" w:eastAsia="方正仿宋_GBK" w:cs="Times New Roman"/>
          <w:sz w:val="32"/>
          <w:szCs w:val="32"/>
          <w:highlight w:val="none"/>
        </w:rPr>
        <w:t>%</w:t>
      </w:r>
      <w:r>
        <w:rPr>
          <w:rFonts w:hint="default" w:ascii="Times New Roman" w:hAnsi="Times New Roman" w:eastAsia="仿宋_GB2312" w:cs="Times New Roman"/>
          <w:sz w:val="32"/>
          <w:szCs w:val="32"/>
        </w:rPr>
        <w:t>。主要原因是</w:t>
      </w:r>
      <w:r>
        <w:rPr>
          <w:rFonts w:hint="eastAsia" w:eastAsia="仿宋_GB2312" w:cs="Times New Roman"/>
          <w:sz w:val="32"/>
          <w:szCs w:val="32"/>
          <w:highlight w:val="none"/>
          <w:lang w:eastAsia="zh-CN"/>
        </w:rPr>
        <w:t>本年度开展了</w:t>
      </w:r>
      <w:r>
        <w:rPr>
          <w:rFonts w:hint="eastAsia" w:eastAsia="仿宋_GB2312" w:cs="Times New Roman"/>
          <w:sz w:val="32"/>
          <w:szCs w:val="32"/>
          <w:highlight w:val="none"/>
          <w:lang w:val="en-US" w:eastAsia="zh-CN"/>
        </w:rPr>
        <w:t>机构改革工作。</w:t>
      </w:r>
    </w:p>
    <w:p>
      <w:pPr>
        <w:spacing w:line="600" w:lineRule="exact"/>
        <w:ind w:firstLine="642" w:firstLineChars="200"/>
        <w:outlineLvl w:val="2"/>
        <w:rPr>
          <w:rFonts w:hint="default" w:ascii="方正楷体_GBK" w:hAnsi="方正楷体_GBK" w:eastAsia="方正楷体_GBK" w:cs="方正楷体_GBK"/>
          <w:b/>
          <w:sz w:val="32"/>
          <w:szCs w:val="32"/>
        </w:rPr>
      </w:pPr>
      <w:bookmarkStart w:id="45" w:name="_Toc15377223"/>
      <w:r>
        <w:rPr>
          <w:rFonts w:hint="default" w:ascii="方正楷体_GBK" w:hAnsi="方正楷体_GBK" w:eastAsia="方正楷体_GBK" w:cs="方正楷体_GBK"/>
          <w:b/>
          <w:sz w:val="32"/>
          <w:szCs w:val="32"/>
        </w:rPr>
        <w:t>（二）政府采购支出情况</w:t>
      </w:r>
      <w:bookmarkEnd w:id="45"/>
    </w:p>
    <w:p>
      <w:pPr>
        <w:keepNext w:val="0"/>
        <w:keepLines w:val="0"/>
        <w:pageBreakBefore w:val="0"/>
        <w:widowControl w:val="0"/>
        <w:kinsoku/>
        <w:wordWrap/>
        <w:overflowPunct/>
        <w:topLinePunct w:val="0"/>
        <w:bidi w:val="0"/>
        <w:snapToGrid/>
        <w:spacing w:line="560" w:lineRule="exact"/>
        <w:ind w:firstLine="640" w:firstLineChars="200"/>
        <w:jc w:val="left"/>
        <w:textAlignment w:val="auto"/>
        <w:rPr>
          <w:rFonts w:hint="default" w:ascii="Times New Roman" w:hAnsi="Times New Roman" w:eastAsia="方正仿宋_GBK" w:cs="Times New Roman"/>
          <w:sz w:val="32"/>
          <w:szCs w:val="32"/>
          <w:highlight w:val="none"/>
        </w:rPr>
      </w:pPr>
      <w:bookmarkStart w:id="46" w:name="_Toc15377224"/>
      <w:r>
        <w:rPr>
          <w:rFonts w:hint="default" w:ascii="Times New Roman" w:hAnsi="Times New Roman" w:eastAsia="方正仿宋_GBK" w:cs="Times New Roman"/>
          <w:sz w:val="32"/>
          <w:szCs w:val="32"/>
          <w:highlight w:val="none"/>
        </w:rPr>
        <w:t>202</w:t>
      </w:r>
      <w:r>
        <w:rPr>
          <w:rFonts w:hint="eastAsia" w:eastAsia="方正仿宋_GBK" w:cs="Times New Roman"/>
          <w:sz w:val="32"/>
          <w:szCs w:val="32"/>
          <w:highlight w:val="none"/>
          <w:lang w:val="en-US" w:eastAsia="zh-CN"/>
        </w:rPr>
        <w:t>4</w:t>
      </w:r>
      <w:r>
        <w:rPr>
          <w:rFonts w:hint="default" w:ascii="Times New Roman" w:hAnsi="Times New Roman" w:eastAsia="方正仿宋_GBK" w:cs="Times New Roman"/>
          <w:sz w:val="32"/>
          <w:szCs w:val="32"/>
          <w:highlight w:val="none"/>
        </w:rPr>
        <w:t>年度，中共阿坝州委机构编制委员会办公室政府采购支出总额</w:t>
      </w:r>
      <w:r>
        <w:rPr>
          <w:rFonts w:hint="eastAsia" w:eastAsia="方正仿宋_GBK" w:cs="Times New Roman"/>
          <w:sz w:val="32"/>
          <w:szCs w:val="32"/>
          <w:highlight w:val="none"/>
          <w:lang w:val="en-US" w:eastAsia="zh-CN"/>
        </w:rPr>
        <w:t>137.9</w:t>
      </w:r>
      <w:r>
        <w:rPr>
          <w:rFonts w:hint="default" w:ascii="Times New Roman" w:hAnsi="Times New Roman" w:eastAsia="方正仿宋_GBK" w:cs="Times New Roman"/>
          <w:sz w:val="32"/>
          <w:szCs w:val="32"/>
          <w:highlight w:val="none"/>
        </w:rPr>
        <w:t>万元，其中：政府采购货物支出</w:t>
      </w:r>
      <w:r>
        <w:rPr>
          <w:rFonts w:hint="eastAsia" w:eastAsia="方正仿宋_GBK" w:cs="Times New Roman"/>
          <w:sz w:val="32"/>
          <w:szCs w:val="32"/>
          <w:highlight w:val="none"/>
          <w:lang w:val="en-US" w:eastAsia="zh-CN"/>
        </w:rPr>
        <w:t>15.9</w:t>
      </w:r>
      <w:r>
        <w:rPr>
          <w:rFonts w:hint="default" w:ascii="Times New Roman" w:hAnsi="Times New Roman" w:eastAsia="方正仿宋_GBK" w:cs="Times New Roman"/>
          <w:sz w:val="32"/>
          <w:szCs w:val="32"/>
          <w:highlight w:val="none"/>
        </w:rPr>
        <w:t>万元、政府采购工程支出0万元、政府采购服务支出</w:t>
      </w:r>
      <w:r>
        <w:rPr>
          <w:rFonts w:hint="eastAsia" w:eastAsia="方正仿宋_GBK" w:cs="Times New Roman"/>
          <w:sz w:val="32"/>
          <w:szCs w:val="32"/>
          <w:highlight w:val="none"/>
          <w:lang w:val="en-US" w:eastAsia="zh-CN"/>
        </w:rPr>
        <w:t>122</w:t>
      </w:r>
      <w:r>
        <w:rPr>
          <w:rFonts w:hint="default" w:ascii="Times New Roman" w:hAnsi="Times New Roman" w:eastAsia="方正仿宋_GBK" w:cs="Times New Roman"/>
          <w:sz w:val="32"/>
          <w:szCs w:val="32"/>
          <w:highlight w:val="none"/>
        </w:rPr>
        <w:t>万元。主要用于</w:t>
      </w:r>
      <w:r>
        <w:rPr>
          <w:rFonts w:hint="eastAsia" w:eastAsia="方正仿宋_GBK" w:cs="Times New Roman"/>
          <w:sz w:val="32"/>
          <w:szCs w:val="32"/>
          <w:highlight w:val="none"/>
          <w:lang w:eastAsia="zh-CN"/>
        </w:rPr>
        <w:t>购买办公设备及建设阿坝州机构编制智能化管理系统</w:t>
      </w:r>
      <w:r>
        <w:rPr>
          <w:rFonts w:hint="default" w:ascii="Times New Roman" w:hAnsi="Times New Roman" w:eastAsia="方正仿宋_GBK" w:cs="Times New Roman"/>
          <w:sz w:val="32"/>
          <w:szCs w:val="32"/>
          <w:highlight w:val="none"/>
        </w:rPr>
        <w:t>。授予中小企业合同金额</w:t>
      </w:r>
      <w:r>
        <w:rPr>
          <w:rFonts w:hint="eastAsia" w:eastAsia="方正仿宋_GBK" w:cs="Times New Roman"/>
          <w:sz w:val="32"/>
          <w:szCs w:val="32"/>
          <w:highlight w:val="none"/>
          <w:lang w:val="en-US" w:eastAsia="zh-CN"/>
        </w:rPr>
        <w:t>137.9</w:t>
      </w:r>
      <w:r>
        <w:rPr>
          <w:rFonts w:hint="default" w:ascii="Times New Roman" w:hAnsi="Times New Roman" w:eastAsia="方正仿宋_GBK" w:cs="Times New Roman"/>
          <w:sz w:val="32"/>
          <w:szCs w:val="32"/>
          <w:highlight w:val="none"/>
        </w:rPr>
        <w:t>万元，占政府采购支出总额的</w:t>
      </w:r>
      <w:r>
        <w:rPr>
          <w:rFonts w:hint="eastAsia" w:eastAsia="方正仿宋_GBK" w:cs="Times New Roman"/>
          <w:sz w:val="32"/>
          <w:szCs w:val="32"/>
          <w:highlight w:val="none"/>
          <w:lang w:val="en-US" w:eastAsia="zh-CN"/>
        </w:rPr>
        <w:t>100</w:t>
      </w:r>
      <w:r>
        <w:rPr>
          <w:rFonts w:hint="default" w:ascii="Times New Roman" w:hAnsi="Times New Roman" w:eastAsia="方正仿宋_GBK" w:cs="Times New Roman"/>
          <w:sz w:val="32"/>
          <w:szCs w:val="32"/>
          <w:highlight w:val="none"/>
        </w:rPr>
        <w:t>%，其中：授予小微企业合同金额</w:t>
      </w:r>
      <w:r>
        <w:rPr>
          <w:rFonts w:hint="eastAsia" w:eastAsia="方正仿宋_GBK" w:cs="Times New Roman"/>
          <w:sz w:val="32"/>
          <w:szCs w:val="32"/>
          <w:highlight w:val="none"/>
          <w:lang w:val="en-US" w:eastAsia="zh-CN"/>
        </w:rPr>
        <w:t>15.9</w:t>
      </w:r>
      <w:r>
        <w:rPr>
          <w:rFonts w:hint="default" w:ascii="Times New Roman" w:hAnsi="Times New Roman" w:eastAsia="方正仿宋_GBK" w:cs="Times New Roman"/>
          <w:sz w:val="32"/>
          <w:szCs w:val="32"/>
          <w:highlight w:val="none"/>
        </w:rPr>
        <w:t>万元，占政府采购支出总额的</w:t>
      </w:r>
      <w:r>
        <w:rPr>
          <w:rFonts w:hint="eastAsia" w:eastAsia="方正仿宋_GBK" w:cs="Times New Roman"/>
          <w:sz w:val="32"/>
          <w:szCs w:val="32"/>
          <w:highlight w:val="none"/>
          <w:lang w:val="en-US" w:eastAsia="zh-CN"/>
        </w:rPr>
        <w:t>11.53</w:t>
      </w:r>
      <w:r>
        <w:rPr>
          <w:rFonts w:hint="default" w:ascii="Times New Roman" w:hAnsi="Times New Roman" w:eastAsia="方正仿宋_GBK" w:cs="Times New Roman"/>
          <w:sz w:val="32"/>
          <w:szCs w:val="32"/>
          <w:highlight w:val="none"/>
        </w:rPr>
        <w:t>%。</w:t>
      </w:r>
    </w:p>
    <w:p>
      <w:pPr>
        <w:spacing w:line="600" w:lineRule="exact"/>
        <w:ind w:firstLine="642" w:firstLineChars="200"/>
        <w:outlineLvl w:val="2"/>
        <w:rPr>
          <w:rFonts w:hint="default" w:ascii="方正楷体_GBK" w:hAnsi="方正楷体_GBK" w:eastAsia="方正楷体_GBK" w:cs="方正楷体_GBK"/>
          <w:b/>
          <w:sz w:val="32"/>
          <w:szCs w:val="32"/>
        </w:rPr>
      </w:pPr>
      <w:r>
        <w:rPr>
          <w:rFonts w:hint="default" w:ascii="方正楷体_GBK" w:hAnsi="方正楷体_GBK" w:eastAsia="方正楷体_GBK" w:cs="方正楷体_GBK"/>
          <w:b/>
          <w:sz w:val="32"/>
          <w:szCs w:val="32"/>
        </w:rPr>
        <w:t>（三）国有资产占有使用情况</w:t>
      </w:r>
      <w:bookmarkEnd w:id="46"/>
    </w:p>
    <w:p>
      <w:pPr>
        <w:autoSpaceDE w:val="0"/>
        <w:autoSpaceDN w:val="0"/>
        <w:adjustRightInd w:val="0"/>
        <w:spacing w:line="600" w:lineRule="exac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截至202</w:t>
      </w:r>
      <w:r>
        <w:rPr>
          <w:rFonts w:hint="eastAsia" w:eastAsia="仿宋_GB2312" w:cs="Times New Roman"/>
          <w:sz w:val="32"/>
          <w:szCs w:val="32"/>
          <w:lang w:val="en-US" w:eastAsia="zh-CN"/>
        </w:rPr>
        <w:t>4</w:t>
      </w:r>
      <w:r>
        <w:rPr>
          <w:rFonts w:hint="default" w:ascii="Times New Roman" w:hAnsi="Times New Roman" w:eastAsia="仿宋_GB2312" w:cs="Times New Roman"/>
          <w:sz w:val="32"/>
          <w:szCs w:val="32"/>
        </w:rPr>
        <w:t>年12月31日，中共阿坝州委机构编制委员会办公室（本级）共有车辆2辆，其中</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主要领导干部用车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辆、机要通信用车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辆、应急保障用车</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辆、其他用车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辆。单价100万元以上设备（不含车辆）</w:t>
      </w:r>
      <w:r>
        <w:rPr>
          <w:rFonts w:hint="default" w:ascii="Times New Roman" w:hAnsi="Times New Roman" w:eastAsia="仿宋_GB2312" w:cs="Times New Roman"/>
          <w:b/>
          <w:sz w:val="32"/>
          <w:szCs w:val="32"/>
        </w:rPr>
        <w:t>0</w:t>
      </w:r>
      <w:r>
        <w:rPr>
          <w:rFonts w:hint="default" w:ascii="Times New Roman" w:hAnsi="Times New Roman" w:eastAsia="仿宋_GB2312" w:cs="Times New Roman"/>
          <w:sz w:val="32"/>
          <w:szCs w:val="32"/>
        </w:rPr>
        <w:t>台（套）。</w:t>
      </w:r>
    </w:p>
    <w:p>
      <w:pPr>
        <w:spacing w:line="600" w:lineRule="exact"/>
        <w:ind w:firstLine="642" w:firstLineChars="200"/>
        <w:outlineLvl w:val="2"/>
        <w:rPr>
          <w:rFonts w:hint="default" w:ascii="方正楷体_GBK" w:hAnsi="方正楷体_GBK" w:eastAsia="方正楷体_GBK" w:cs="方正楷体_GBK"/>
          <w:b/>
          <w:sz w:val="32"/>
          <w:szCs w:val="32"/>
        </w:rPr>
      </w:pPr>
      <w:r>
        <w:rPr>
          <w:rFonts w:hint="default" w:ascii="方正楷体_GBK" w:hAnsi="方正楷体_GBK" w:eastAsia="方正楷体_GBK" w:cs="方正楷体_GBK"/>
          <w:b/>
          <w:sz w:val="32"/>
          <w:szCs w:val="32"/>
        </w:rPr>
        <w:t>（四）预算绩效管理情况</w:t>
      </w:r>
    </w:p>
    <w:p>
      <w:pPr>
        <w:spacing w:line="60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根据预算绩效管理要求，本</w:t>
      </w:r>
      <w:r>
        <w:rPr>
          <w:rFonts w:hint="default" w:ascii="Times New Roman" w:hAnsi="Times New Roman" w:eastAsia="方正仿宋_GBK" w:cs="Times New Roman"/>
          <w:sz w:val="32"/>
          <w:szCs w:val="32"/>
          <w:lang w:eastAsia="zh-CN"/>
        </w:rPr>
        <w:t>部门</w:t>
      </w:r>
      <w:r>
        <w:rPr>
          <w:rFonts w:hint="default" w:ascii="Times New Roman" w:hAnsi="Times New Roman" w:eastAsia="方正仿宋_GBK" w:cs="Times New Roman"/>
          <w:sz w:val="32"/>
          <w:szCs w:val="32"/>
        </w:rPr>
        <w:t>在202</w:t>
      </w:r>
      <w:r>
        <w:rPr>
          <w:rFonts w:hint="eastAsia" w:eastAsia="方正仿宋_GBK" w:cs="Times New Roman"/>
          <w:sz w:val="32"/>
          <w:szCs w:val="32"/>
          <w:lang w:val="en-US" w:eastAsia="zh-CN"/>
        </w:rPr>
        <w:t>4</w:t>
      </w:r>
      <w:r>
        <w:rPr>
          <w:rFonts w:hint="default" w:ascii="Times New Roman" w:hAnsi="Times New Roman" w:eastAsia="方正仿宋_GBK" w:cs="Times New Roman"/>
          <w:sz w:val="32"/>
          <w:szCs w:val="32"/>
        </w:rPr>
        <w:t>年度预算编制阶段，组织对</w:t>
      </w:r>
      <w:r>
        <w:rPr>
          <w:rFonts w:hint="eastAsia" w:eastAsia="方正仿宋_GBK" w:cs="Times New Roman"/>
          <w:sz w:val="32"/>
          <w:szCs w:val="32"/>
          <w:lang w:eastAsia="zh-CN"/>
        </w:rPr>
        <w:t>党政机构改革经费、</w:t>
      </w:r>
      <w:r>
        <w:rPr>
          <w:rFonts w:hint="default" w:ascii="Times New Roman" w:hAnsi="Times New Roman" w:eastAsia="方正仿宋_GBK" w:cs="Times New Roman"/>
          <w:sz w:val="32"/>
          <w:szCs w:val="32"/>
          <w:lang w:val="en-US" w:eastAsia="zh-CN"/>
        </w:rPr>
        <w:t>机构编制专项经费、机构编制调研经费、机构编制督查经费、机构编制培训经费</w:t>
      </w:r>
      <w:r>
        <w:rPr>
          <w:rFonts w:hint="default" w:ascii="Times New Roman" w:hAnsi="Times New Roman" w:eastAsia="方正仿宋_GBK" w:cs="Times New Roman"/>
          <w:sz w:val="32"/>
          <w:szCs w:val="32"/>
        </w:rPr>
        <w:t>等</w:t>
      </w:r>
      <w:r>
        <w:rPr>
          <w:rFonts w:hint="eastAsia" w:eastAsia="方正仿宋_GBK" w:cs="Times New Roman"/>
          <w:sz w:val="32"/>
          <w:szCs w:val="32"/>
          <w:highlight w:val="none"/>
          <w:lang w:val="en-US" w:eastAsia="zh-CN"/>
        </w:rPr>
        <w:t>26</w:t>
      </w:r>
      <w:r>
        <w:rPr>
          <w:rFonts w:hint="default" w:ascii="Times New Roman" w:hAnsi="Times New Roman" w:eastAsia="方正仿宋_GBK" w:cs="Times New Roman"/>
          <w:sz w:val="32"/>
          <w:szCs w:val="32"/>
        </w:rPr>
        <w:t>个项目</w:t>
      </w:r>
      <w:r>
        <w:rPr>
          <w:rFonts w:hint="default" w:ascii="Times New Roman" w:hAnsi="Times New Roman" w:eastAsia="方正仿宋_GBK" w:cs="Times New Roman"/>
          <w:sz w:val="32"/>
          <w:szCs w:val="32"/>
          <w:lang w:eastAsia="zh-CN"/>
        </w:rPr>
        <w:t>（含人员、公用、运转项目）</w:t>
      </w:r>
      <w:r>
        <w:rPr>
          <w:rFonts w:hint="default" w:ascii="Times New Roman" w:hAnsi="Times New Roman" w:eastAsia="方正仿宋_GBK" w:cs="Times New Roman"/>
          <w:sz w:val="32"/>
          <w:szCs w:val="32"/>
        </w:rPr>
        <w:t>编制了绩效目标，预算执行过程中，</w:t>
      </w:r>
      <w:r>
        <w:rPr>
          <w:rFonts w:hint="default" w:ascii="Times New Roman" w:hAnsi="Times New Roman" w:eastAsia="方正仿宋_GBK" w:cs="Times New Roman"/>
          <w:sz w:val="32"/>
          <w:szCs w:val="32"/>
          <w:lang w:eastAsia="zh-CN"/>
        </w:rPr>
        <w:t>按要求对全部项目</w:t>
      </w:r>
      <w:r>
        <w:rPr>
          <w:rFonts w:hint="default" w:ascii="Times New Roman" w:hAnsi="Times New Roman" w:eastAsia="方正仿宋_GBK" w:cs="Times New Roman"/>
          <w:sz w:val="32"/>
          <w:szCs w:val="32"/>
        </w:rPr>
        <w:t>开展绩效监控。</w:t>
      </w:r>
      <w:r>
        <w:rPr>
          <w:rFonts w:hint="eastAsia" w:eastAsia="方正仿宋_GBK" w:cs="Times New Roman"/>
          <w:sz w:val="32"/>
          <w:szCs w:val="32"/>
          <w:lang w:eastAsia="zh-CN"/>
        </w:rPr>
        <w:t>我单位</w:t>
      </w:r>
      <w:r>
        <w:rPr>
          <w:rFonts w:hint="default" w:ascii="Times New Roman" w:hAnsi="Times New Roman" w:eastAsia="方正仿宋_GBK" w:cs="Times New Roman"/>
          <w:sz w:val="32"/>
          <w:szCs w:val="32"/>
          <w:lang w:eastAsia="zh-CN"/>
        </w:rPr>
        <w:t>项目均未达到预算事前绩效评估标准，不涉及预算事前绩效评估。</w:t>
      </w:r>
    </w:p>
    <w:p>
      <w:pPr>
        <w:keepNext w:val="0"/>
        <w:keepLines w:val="0"/>
        <w:pageBreakBefore w:val="0"/>
        <w:widowControl w:val="0"/>
        <w:numPr>
          <w:ilvl w:val="0"/>
          <w:numId w:val="0"/>
        </w:numPr>
        <w:pBdr>
          <w:bottom w:val="single" w:color="FFFFFF" w:sz="4" w:space="28"/>
        </w:pBdr>
        <w:tabs>
          <w:tab w:val="left" w:pos="1440"/>
        </w:tabs>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Times New Roman"/>
          <w:szCs w:val="32"/>
          <w:highlight w:val="none"/>
          <w:lang w:val="en-US" w:eastAsia="zh-CN"/>
        </w:rPr>
      </w:pPr>
      <w:r>
        <w:rPr>
          <w:rFonts w:hint="default" w:ascii="Times New Roman" w:hAnsi="Times New Roman" w:eastAsia="方正仿宋_GBK" w:cs="Times New Roman"/>
          <w:sz w:val="32"/>
          <w:szCs w:val="32"/>
          <w:lang w:eastAsia="zh-CN"/>
        </w:rPr>
        <w:t>认真全面开展</w:t>
      </w:r>
      <w:r>
        <w:rPr>
          <w:rFonts w:hint="default" w:ascii="Times New Roman" w:hAnsi="Times New Roman" w:eastAsia="方正仿宋_GBK" w:cs="Times New Roman"/>
          <w:sz w:val="32"/>
          <w:szCs w:val="32"/>
        </w:rPr>
        <w:t>202</w:t>
      </w:r>
      <w:r>
        <w:rPr>
          <w:rFonts w:hint="eastAsia" w:eastAsia="方正仿宋_GBK" w:cs="Times New Roman"/>
          <w:sz w:val="32"/>
          <w:szCs w:val="32"/>
          <w:lang w:val="en-US" w:eastAsia="zh-CN"/>
        </w:rPr>
        <w:t>4</w:t>
      </w:r>
      <w:r>
        <w:rPr>
          <w:rFonts w:hint="default" w:ascii="Times New Roman" w:hAnsi="Times New Roman" w:eastAsia="方正仿宋_GBK" w:cs="Times New Roman"/>
          <w:sz w:val="32"/>
          <w:szCs w:val="32"/>
        </w:rPr>
        <w:t>年度一般公共预算</w:t>
      </w:r>
      <w:r>
        <w:rPr>
          <w:rFonts w:hint="default" w:ascii="Times New Roman" w:hAnsi="Times New Roman" w:eastAsia="方正仿宋_GBK" w:cs="Times New Roman"/>
          <w:sz w:val="32"/>
          <w:szCs w:val="32"/>
          <w:lang w:eastAsia="zh-CN"/>
        </w:rPr>
        <w:t>以及</w:t>
      </w:r>
      <w:r>
        <w:rPr>
          <w:rFonts w:hint="default" w:ascii="Times New Roman" w:hAnsi="Times New Roman" w:eastAsia="方正仿宋_GBK" w:cs="Times New Roman"/>
          <w:sz w:val="32"/>
          <w:szCs w:val="32"/>
        </w:rPr>
        <w:t>资产绩效自评，形成</w:t>
      </w:r>
      <w:r>
        <w:rPr>
          <w:rFonts w:hint="default" w:ascii="Times New Roman" w:hAnsi="Times New Roman" w:eastAsia="方正仿宋_GBK" w:cs="Times New Roman"/>
          <w:sz w:val="32"/>
          <w:szCs w:val="32"/>
          <w:lang w:eastAsia="zh-CN"/>
        </w:rPr>
        <w:t>州委编办</w:t>
      </w:r>
      <w:r>
        <w:rPr>
          <w:rFonts w:hint="default" w:ascii="Times New Roman" w:hAnsi="Times New Roman" w:eastAsia="方正仿宋_GBK" w:cs="Times New Roman"/>
          <w:sz w:val="32"/>
          <w:szCs w:val="32"/>
        </w:rPr>
        <w:t>部门整体绩效自评报告，部门整体（含部门预算项目）绩效自评得分为</w:t>
      </w:r>
      <w:r>
        <w:rPr>
          <w:rFonts w:hint="eastAsia" w:eastAsia="方正仿宋_GBK" w:cs="Times New Roman"/>
          <w:sz w:val="32"/>
          <w:szCs w:val="32"/>
          <w:lang w:val="en-US" w:eastAsia="zh-CN"/>
        </w:rPr>
        <w:t>97.26</w:t>
      </w:r>
      <w:r>
        <w:rPr>
          <w:rFonts w:hint="default" w:ascii="Times New Roman" w:hAnsi="Times New Roman" w:eastAsia="方正仿宋_GBK" w:cs="Times New Roman"/>
          <w:sz w:val="32"/>
          <w:szCs w:val="32"/>
        </w:rPr>
        <w:t>分，</w:t>
      </w:r>
      <w:r>
        <w:rPr>
          <w:rFonts w:hint="eastAsia" w:eastAsia="方正仿宋_GBK" w:cs="Times New Roman"/>
          <w:sz w:val="32"/>
          <w:szCs w:val="32"/>
          <w:lang w:eastAsia="zh-CN"/>
        </w:rPr>
        <w:t>绩效自评报告详见附件。</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br w:type="page"/>
      </w:r>
    </w:p>
    <w:p>
      <w:pPr>
        <w:numPr>
          <w:ilvl w:val="0"/>
          <w:numId w:val="0"/>
        </w:numPr>
        <w:spacing w:line="600" w:lineRule="exact"/>
        <w:jc w:val="center"/>
        <w:outlineLvl w:val="0"/>
        <w:rPr>
          <w:rStyle w:val="35"/>
          <w:rFonts w:hint="default" w:ascii="Times New Roman" w:hAnsi="Times New Roman" w:eastAsia="方正小标宋简体" w:cs="Times New Roman"/>
          <w:b w:val="0"/>
          <w:bCs w:val="0"/>
          <w:color w:val="auto"/>
          <w:highlight w:val="none"/>
        </w:rPr>
      </w:pPr>
      <w:bookmarkStart w:id="47" w:name="_Toc15377226"/>
      <w:r>
        <w:rPr>
          <w:rFonts w:hint="default" w:ascii="Times New Roman" w:hAnsi="Times New Roman" w:eastAsia="方正小标宋简体" w:cs="Times New Roman"/>
          <w:b w:val="0"/>
          <w:bCs w:val="0"/>
          <w:sz w:val="44"/>
          <w:szCs w:val="44"/>
        </w:rPr>
        <w:t>第</w:t>
      </w:r>
      <w:r>
        <w:rPr>
          <w:rFonts w:hint="default" w:ascii="Times New Roman" w:hAnsi="Times New Roman" w:eastAsia="方正小标宋简体" w:cs="Times New Roman"/>
          <w:b w:val="0"/>
          <w:bCs w:val="0"/>
          <w:sz w:val="44"/>
          <w:szCs w:val="44"/>
          <w:lang w:eastAsia="zh-CN"/>
        </w:rPr>
        <w:t>三</w:t>
      </w:r>
      <w:r>
        <w:rPr>
          <w:rFonts w:hint="default" w:ascii="Times New Roman" w:hAnsi="Times New Roman" w:eastAsia="方正小标宋简体" w:cs="Times New Roman"/>
          <w:b w:val="0"/>
          <w:bCs w:val="0"/>
          <w:sz w:val="44"/>
          <w:szCs w:val="44"/>
        </w:rPr>
        <w:t>部分</w:t>
      </w:r>
      <w:r>
        <w:rPr>
          <w:rFonts w:hint="default" w:ascii="Times New Roman" w:hAnsi="Times New Roman" w:eastAsia="方正小标宋简体" w:cs="Times New Roman"/>
          <w:b w:val="0"/>
          <w:bCs w:val="0"/>
          <w:sz w:val="44"/>
          <w:szCs w:val="44"/>
          <w:lang w:val="en-US" w:eastAsia="zh-CN"/>
        </w:rPr>
        <w:t xml:space="preserve">  </w:t>
      </w:r>
      <w:r>
        <w:rPr>
          <w:rFonts w:hint="default" w:ascii="Times New Roman" w:hAnsi="Times New Roman" w:eastAsia="方正小标宋简体" w:cs="Times New Roman"/>
          <w:b w:val="0"/>
          <w:bCs w:val="0"/>
          <w:color w:val="auto"/>
          <w:sz w:val="44"/>
          <w:szCs w:val="44"/>
          <w:highlight w:val="none"/>
        </w:rPr>
        <w:t>名</w:t>
      </w:r>
      <w:r>
        <w:rPr>
          <w:rStyle w:val="35"/>
          <w:rFonts w:hint="default" w:ascii="Times New Roman" w:hAnsi="Times New Roman" w:eastAsia="方正小标宋简体" w:cs="Times New Roman"/>
          <w:b w:val="0"/>
          <w:bCs w:val="0"/>
          <w:color w:val="auto"/>
          <w:highlight w:val="none"/>
        </w:rPr>
        <w:t>词解释</w:t>
      </w:r>
    </w:p>
    <w:p>
      <w:pPr>
        <w:spacing w:line="600" w:lineRule="exact"/>
        <w:jc w:val="left"/>
        <w:rPr>
          <w:rFonts w:hint="default" w:ascii="Times New Roman" w:hAnsi="Times New Roman" w:cs="Times New Roman"/>
          <w:b/>
          <w:color w:val="auto"/>
          <w:sz w:val="44"/>
          <w:szCs w:val="44"/>
          <w:highlight w:val="none"/>
        </w:rPr>
      </w:pPr>
    </w:p>
    <w:p>
      <w:pPr>
        <w:pStyle w:val="27"/>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1.财政拨款收入：指单位从同级财政部门取得的财政预算资金。</w:t>
      </w:r>
    </w:p>
    <w:p>
      <w:pPr>
        <w:pStyle w:val="27"/>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2.事业收入：指事业单位开展专业业务活动及辅助活动取得的收入。</w:t>
      </w:r>
    </w:p>
    <w:p>
      <w:pPr>
        <w:pStyle w:val="27"/>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3.经营收入：指事业单位在专业业务活动及其辅助活动之外开展非独立核算经营活动取得的收入。</w:t>
      </w:r>
    </w:p>
    <w:p>
      <w:pPr>
        <w:pStyle w:val="27"/>
        <w:spacing w:line="560" w:lineRule="exact"/>
        <w:ind w:left="638" w:leftChars="304" w:firstLine="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4.其他收入：指单位取得的除上述收入以外的各项收</w:t>
      </w:r>
    </w:p>
    <w:p>
      <w:pPr>
        <w:pStyle w:val="27"/>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5.</w:t>
      </w:r>
      <w:r>
        <w:rPr>
          <w:rFonts w:hint="default" w:ascii="Times New Roman" w:hAnsi="Times New Roman" w:eastAsia="仿宋_GB2312" w:cs="Times New Roman"/>
          <w:color w:val="auto"/>
          <w:sz w:val="32"/>
          <w:szCs w:val="32"/>
          <w:highlight w:val="none"/>
          <w:lang w:eastAsia="zh-CN"/>
        </w:rPr>
        <w:t>使用非财政拨款结余</w:t>
      </w:r>
      <w:r>
        <w:rPr>
          <w:rFonts w:hint="default" w:ascii="Times New Roman" w:hAnsi="Times New Roman" w:eastAsia="仿宋_GB2312" w:cs="Times New Roman"/>
          <w:color w:val="auto"/>
          <w:sz w:val="32"/>
          <w:szCs w:val="32"/>
          <w:highlight w:val="none"/>
        </w:rPr>
        <w:t>：指事业单位</w:t>
      </w:r>
      <w:r>
        <w:rPr>
          <w:rFonts w:hint="default" w:ascii="Times New Roman" w:hAnsi="Times New Roman" w:eastAsia="仿宋_GB2312" w:cs="Times New Roman"/>
          <w:color w:val="auto"/>
          <w:sz w:val="32"/>
          <w:szCs w:val="32"/>
          <w:highlight w:val="none"/>
          <w:lang w:eastAsia="zh-CN"/>
        </w:rPr>
        <w:t>使用以前年度积累的非财政拨款结余弥补当年收支差额的金额。</w:t>
      </w:r>
    </w:p>
    <w:p>
      <w:pPr>
        <w:pStyle w:val="27"/>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6.年初结转和结余：指以前年度尚未完成、结转到本年按有关规定继续使用的资金。 </w:t>
      </w:r>
    </w:p>
    <w:p>
      <w:pPr>
        <w:pStyle w:val="27"/>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7.结余分配：指事业单位按照会计制度规定</w:t>
      </w:r>
      <w:r>
        <w:rPr>
          <w:rFonts w:hint="default" w:ascii="Times New Roman" w:hAnsi="Times New Roman" w:eastAsia="仿宋_GB2312" w:cs="Times New Roman"/>
          <w:color w:val="auto"/>
          <w:sz w:val="32"/>
          <w:szCs w:val="32"/>
          <w:highlight w:val="none"/>
          <w:lang w:eastAsia="zh-CN"/>
        </w:rPr>
        <w:t>缴纳的所得税、提取的专用结余以及转入非财政拨款结余的金额</w:t>
      </w:r>
      <w:r>
        <w:rPr>
          <w:rFonts w:hint="default" w:ascii="Times New Roman" w:hAnsi="Times New Roman" w:eastAsia="仿宋_GB2312" w:cs="Times New Roman"/>
          <w:color w:val="auto"/>
          <w:sz w:val="32"/>
          <w:szCs w:val="32"/>
          <w:highlight w:val="none"/>
        </w:rPr>
        <w:t>等。</w:t>
      </w:r>
    </w:p>
    <w:p>
      <w:pPr>
        <w:pStyle w:val="27"/>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8</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年末结转和结余：指单位按有关规定结转到下年或以后年度继续使用的资金。</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cs="Times New Roman"/>
        </w:rPr>
      </w:pPr>
      <w:r>
        <w:rPr>
          <w:rFonts w:hint="default" w:ascii="Times New Roman" w:hAnsi="Times New Roman" w:eastAsia="仿宋_GB2312" w:cs="Times New Roman"/>
          <w:color w:val="auto"/>
          <w:kern w:val="0"/>
          <w:sz w:val="32"/>
          <w:szCs w:val="32"/>
          <w:highlight w:val="none"/>
          <w:lang w:val="en-US" w:eastAsia="zh-CN" w:bidi="ar-SA"/>
        </w:rPr>
        <w:t>9.一般公共服务（类）党委办公厅（室）及相关机构事务（款）行政运行（项）:指行政单位（包括实行公务员管理的事业单位）的基本支出。</w:t>
      </w:r>
    </w:p>
    <w:p>
      <w:pPr>
        <w:ind w:firstLine="640" w:firstLineChars="200"/>
        <w:rPr>
          <w:rFonts w:hint="default" w:ascii="Times New Roman" w:hAnsi="Times New Roman" w:eastAsia="仿宋_GB2312" w:cs="Times New Roman"/>
          <w:color w:val="auto"/>
          <w:kern w:val="0"/>
          <w:sz w:val="32"/>
          <w:szCs w:val="32"/>
          <w:highlight w:val="none"/>
          <w:lang w:val="en-US" w:eastAsia="zh-CN" w:bidi="ar-SA"/>
        </w:rPr>
      </w:pPr>
      <w:r>
        <w:rPr>
          <w:rFonts w:hint="default" w:ascii="Times New Roman" w:hAnsi="Times New Roman" w:eastAsia="仿宋_GB2312" w:cs="Times New Roman"/>
          <w:color w:val="auto"/>
          <w:sz w:val="32"/>
          <w:szCs w:val="32"/>
          <w:highlight w:val="none"/>
        </w:rPr>
        <w:t>10.</w:t>
      </w:r>
      <w:r>
        <w:rPr>
          <w:rFonts w:hint="default" w:ascii="Times New Roman" w:hAnsi="Times New Roman" w:eastAsia="仿宋_GB2312" w:cs="Times New Roman"/>
          <w:color w:val="auto"/>
          <w:kern w:val="0"/>
          <w:sz w:val="32"/>
          <w:szCs w:val="32"/>
          <w:highlight w:val="none"/>
          <w:lang w:val="en-US" w:eastAsia="zh-CN" w:bidi="ar-SA"/>
        </w:rPr>
        <w:t>社会保障和就业（类）行政事业单位养老支出（款）机关事业单位基本养老保险缴费支出（项）:</w:t>
      </w:r>
      <w:r>
        <w:rPr>
          <w:rFonts w:hint="default" w:ascii="Times New Roman" w:hAnsi="Times New Roman" w:eastAsia="仿宋_GB2312" w:cs="Times New Roman"/>
          <w:i w:val="0"/>
          <w:iCs w:val="0"/>
          <w:caps w:val="0"/>
          <w:smallCaps w:val="0"/>
          <w:color w:val="000000"/>
          <w:spacing w:val="0"/>
          <w:sz w:val="32"/>
          <w:szCs w:val="32"/>
          <w:shd w:val="clear" w:color="auto" w:fill="FFFFFF"/>
        </w:rPr>
        <w:t>指机关事业单位实施养老保险制度由单位缴纳的基本养老保险费支出。</w:t>
      </w:r>
    </w:p>
    <w:p>
      <w:pPr>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kern w:val="0"/>
          <w:sz w:val="32"/>
          <w:szCs w:val="32"/>
          <w:highlight w:val="none"/>
          <w:lang w:val="en-US" w:eastAsia="zh-CN" w:bidi="ar-SA"/>
        </w:rPr>
        <w:t>1</w:t>
      </w:r>
      <w:r>
        <w:rPr>
          <w:rFonts w:hint="default" w:ascii="Times New Roman" w:hAnsi="Times New Roman" w:eastAsia="仿宋_GB2312" w:cs="Times New Roman"/>
          <w:color w:val="auto"/>
          <w:sz w:val="32"/>
          <w:szCs w:val="32"/>
          <w:highlight w:val="none"/>
        </w:rPr>
        <w:t>1.</w:t>
      </w:r>
      <w:r>
        <w:rPr>
          <w:rFonts w:hint="default" w:ascii="Times New Roman" w:hAnsi="Times New Roman" w:eastAsia="仿宋_GB2312" w:cs="Times New Roman"/>
          <w:color w:val="auto"/>
          <w:kern w:val="0"/>
          <w:sz w:val="32"/>
          <w:szCs w:val="32"/>
          <w:highlight w:val="none"/>
          <w:lang w:val="en-US" w:eastAsia="zh-CN" w:bidi="ar-SA"/>
        </w:rPr>
        <w:t>社会保障和就业（类）行政事业单位养老支出（款）机关事业单位职业年金缴费支出（项）:</w:t>
      </w:r>
      <w:r>
        <w:rPr>
          <w:rFonts w:hint="default" w:ascii="Times New Roman" w:hAnsi="Times New Roman" w:eastAsia="仿宋_GB2312" w:cs="Times New Roman"/>
          <w:i w:val="0"/>
          <w:iCs w:val="0"/>
          <w:caps w:val="0"/>
          <w:smallCaps w:val="0"/>
          <w:color w:val="000000"/>
          <w:spacing w:val="0"/>
          <w:sz w:val="32"/>
          <w:szCs w:val="32"/>
          <w:shd w:val="clear" w:color="auto" w:fill="FFFFFF"/>
        </w:rPr>
        <w:t>指机关事业单位实施养老保险制度由单位</w:t>
      </w:r>
      <w:r>
        <w:rPr>
          <w:rFonts w:hint="default" w:ascii="Times New Roman" w:hAnsi="Times New Roman" w:eastAsia="仿宋_GB2312" w:cs="Times New Roman"/>
          <w:i w:val="0"/>
          <w:iCs w:val="0"/>
          <w:caps w:val="0"/>
          <w:smallCaps w:val="0"/>
          <w:color w:val="000000"/>
          <w:spacing w:val="0"/>
          <w:sz w:val="32"/>
          <w:szCs w:val="32"/>
          <w:shd w:val="clear" w:color="auto" w:fill="FFFFFF"/>
          <w:lang w:val="en-US" w:eastAsia="zh-CN"/>
        </w:rPr>
        <w:t>实际</w:t>
      </w:r>
      <w:r>
        <w:rPr>
          <w:rFonts w:hint="default" w:ascii="Times New Roman" w:hAnsi="Times New Roman" w:eastAsia="仿宋_GB2312" w:cs="Times New Roman"/>
          <w:i w:val="0"/>
          <w:iCs w:val="0"/>
          <w:caps w:val="0"/>
          <w:smallCaps w:val="0"/>
          <w:color w:val="000000"/>
          <w:spacing w:val="0"/>
          <w:sz w:val="32"/>
          <w:szCs w:val="32"/>
          <w:shd w:val="clear" w:color="auto" w:fill="FFFFFF"/>
        </w:rPr>
        <w:t>缴纳的职业年金支出。</w:t>
      </w:r>
    </w:p>
    <w:p>
      <w:pPr>
        <w:ind w:firstLine="640" w:firstLineChars="200"/>
        <w:rPr>
          <w:rFonts w:hint="default" w:ascii="Times New Roman" w:hAnsi="Times New Roman" w:eastAsia="仿宋_GB2312" w:cs="Times New Roman"/>
          <w:i w:val="0"/>
          <w:iCs w:val="0"/>
          <w:caps w:val="0"/>
          <w:smallCaps w:val="0"/>
          <w:color w:val="000000"/>
          <w:spacing w:val="0"/>
          <w:sz w:val="32"/>
          <w:szCs w:val="32"/>
          <w:shd w:val="clear" w:color="auto" w:fill="FFFFFF"/>
        </w:rPr>
      </w:pPr>
      <w:r>
        <w:rPr>
          <w:rFonts w:hint="default" w:ascii="Times New Roman" w:hAnsi="Times New Roman" w:eastAsia="仿宋_GB2312" w:cs="Times New Roman"/>
          <w:color w:val="auto"/>
          <w:sz w:val="32"/>
          <w:szCs w:val="32"/>
          <w:highlight w:val="none"/>
        </w:rPr>
        <w:t>12.</w:t>
      </w:r>
      <w:r>
        <w:rPr>
          <w:rFonts w:hint="default" w:ascii="Times New Roman" w:hAnsi="Times New Roman" w:eastAsia="仿宋_GB2312" w:cs="Times New Roman"/>
          <w:color w:val="auto"/>
          <w:kern w:val="0"/>
          <w:sz w:val="32"/>
          <w:szCs w:val="32"/>
          <w:highlight w:val="none"/>
          <w:lang w:val="en-US" w:eastAsia="zh-CN" w:bidi="ar-SA"/>
        </w:rPr>
        <w:t>卫生健康（类）行政事业单位医疗（款）行政单位医疗（项）：</w:t>
      </w:r>
      <w:r>
        <w:rPr>
          <w:rFonts w:hint="default" w:ascii="Times New Roman" w:hAnsi="Times New Roman" w:eastAsia="仿宋_GB2312" w:cs="Times New Roman"/>
          <w:i w:val="0"/>
          <w:iCs w:val="0"/>
          <w:caps w:val="0"/>
          <w:smallCaps w:val="0"/>
          <w:color w:val="000000"/>
          <w:spacing w:val="0"/>
          <w:sz w:val="32"/>
          <w:szCs w:val="32"/>
          <w:shd w:val="clear" w:color="auto" w:fill="FFFFFF"/>
        </w:rPr>
        <w:t>指财政部门安排的行政单位基本医疗保险缴费经费，未参加医疗保险的行政单位的公费医疗经费，按国家规定享受离休人员、红军老战士待遇人员的医疗经费。</w:t>
      </w:r>
    </w:p>
    <w:p>
      <w:pPr>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13.</w:t>
      </w:r>
      <w:r>
        <w:rPr>
          <w:rFonts w:hint="default" w:ascii="Times New Roman" w:hAnsi="Times New Roman" w:eastAsia="仿宋_GB2312" w:cs="Times New Roman"/>
          <w:i w:val="0"/>
          <w:iCs w:val="0"/>
          <w:caps w:val="0"/>
          <w:smallCaps w:val="0"/>
          <w:color w:val="000000"/>
          <w:spacing w:val="0"/>
          <w:sz w:val="32"/>
          <w:szCs w:val="32"/>
          <w:shd w:val="clear" w:color="auto" w:fill="FFFFFF"/>
        </w:rPr>
        <w:t>卫生健康（类）</w:t>
      </w:r>
      <w:r>
        <w:rPr>
          <w:rFonts w:hint="default" w:ascii="Times New Roman" w:hAnsi="Times New Roman" w:eastAsia="仿宋_GB2312" w:cs="Times New Roman"/>
          <w:i w:val="0"/>
          <w:iCs w:val="0"/>
          <w:caps w:val="0"/>
          <w:smallCaps w:val="0"/>
          <w:color w:val="000000"/>
          <w:spacing w:val="0"/>
          <w:sz w:val="32"/>
          <w:szCs w:val="32"/>
          <w:shd w:val="clear" w:color="auto" w:fill="FFFFFF"/>
          <w:lang w:val="en-US" w:eastAsia="zh-CN"/>
        </w:rPr>
        <w:t>行政事业单位医疗</w:t>
      </w:r>
      <w:r>
        <w:rPr>
          <w:rFonts w:hint="default" w:ascii="Times New Roman" w:hAnsi="Times New Roman" w:eastAsia="仿宋_GB2312" w:cs="Times New Roman"/>
          <w:i w:val="0"/>
          <w:iCs w:val="0"/>
          <w:caps w:val="0"/>
          <w:smallCaps w:val="0"/>
          <w:color w:val="000000"/>
          <w:spacing w:val="0"/>
          <w:sz w:val="32"/>
          <w:szCs w:val="32"/>
          <w:shd w:val="clear" w:color="auto" w:fill="FFFFFF"/>
        </w:rPr>
        <w:t>（款）</w:t>
      </w:r>
      <w:r>
        <w:rPr>
          <w:rFonts w:hint="default" w:ascii="Times New Roman" w:hAnsi="Times New Roman" w:eastAsia="仿宋_GB2312" w:cs="Times New Roman"/>
          <w:i w:val="0"/>
          <w:iCs w:val="0"/>
          <w:caps w:val="0"/>
          <w:smallCaps w:val="0"/>
          <w:color w:val="000000"/>
          <w:spacing w:val="0"/>
          <w:sz w:val="32"/>
          <w:szCs w:val="32"/>
          <w:shd w:val="clear" w:color="auto" w:fill="FFFFFF"/>
          <w:lang w:val="en-US" w:eastAsia="zh-CN"/>
        </w:rPr>
        <w:t>公务员医疗补助</w:t>
      </w:r>
      <w:r>
        <w:rPr>
          <w:rFonts w:hint="default" w:ascii="Times New Roman" w:hAnsi="Times New Roman" w:eastAsia="仿宋_GB2312" w:cs="Times New Roman"/>
          <w:i w:val="0"/>
          <w:iCs w:val="0"/>
          <w:caps w:val="0"/>
          <w:smallCaps w:val="0"/>
          <w:color w:val="000000"/>
          <w:spacing w:val="0"/>
          <w:sz w:val="32"/>
          <w:szCs w:val="32"/>
          <w:shd w:val="clear" w:color="auto" w:fill="FFFFFF"/>
        </w:rPr>
        <w:t>（项）</w:t>
      </w:r>
      <w:r>
        <w:rPr>
          <w:rFonts w:hint="default" w:ascii="Times New Roman" w:hAnsi="Times New Roman" w:eastAsia="仿宋_GB2312" w:cs="Times New Roman"/>
          <w:color w:val="auto"/>
          <w:sz w:val="32"/>
          <w:szCs w:val="32"/>
          <w:highlight w:val="none"/>
        </w:rPr>
        <w:t>：指</w:t>
      </w:r>
      <w:r>
        <w:rPr>
          <w:rFonts w:hint="default" w:ascii="Times New Roman" w:hAnsi="Times New Roman" w:eastAsia="仿宋_GB2312" w:cs="Times New Roman"/>
          <w:i w:val="0"/>
          <w:iCs w:val="0"/>
          <w:caps w:val="0"/>
          <w:smallCaps w:val="0"/>
          <w:color w:val="000000"/>
          <w:spacing w:val="0"/>
          <w:sz w:val="32"/>
          <w:szCs w:val="32"/>
          <w:shd w:val="clear" w:color="auto" w:fill="FFFFFF"/>
        </w:rPr>
        <w:t>财政部门集中安排的公务员医疗补助经费。</w:t>
      </w:r>
    </w:p>
    <w:p>
      <w:pPr>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14.</w:t>
      </w:r>
      <w:r>
        <w:rPr>
          <w:rFonts w:hint="default" w:ascii="Times New Roman" w:hAnsi="Times New Roman" w:eastAsia="仿宋_GB2312" w:cs="Times New Roman"/>
          <w:i w:val="0"/>
          <w:iCs w:val="0"/>
          <w:caps w:val="0"/>
          <w:smallCaps w:val="0"/>
          <w:color w:val="000000"/>
          <w:spacing w:val="0"/>
          <w:sz w:val="32"/>
          <w:szCs w:val="32"/>
          <w:shd w:val="clear" w:color="auto" w:fill="FFFFFF"/>
          <w:lang w:val="en-US" w:eastAsia="zh-CN"/>
        </w:rPr>
        <w:t>住房保障支出（类）住房改革支出（款）住房公积金（项）</w:t>
      </w:r>
      <w:r>
        <w:rPr>
          <w:rFonts w:hint="default" w:ascii="Times New Roman" w:hAnsi="Times New Roman" w:eastAsia="仿宋_GB2312" w:cs="Times New Roman"/>
          <w:color w:val="auto"/>
          <w:sz w:val="32"/>
          <w:szCs w:val="32"/>
          <w:highlight w:val="none"/>
        </w:rPr>
        <w:t>：指</w:t>
      </w:r>
      <w:r>
        <w:rPr>
          <w:rFonts w:hint="default" w:ascii="Times New Roman" w:hAnsi="Times New Roman" w:eastAsia="仿宋_GB2312" w:cs="Times New Roman"/>
          <w:i w:val="0"/>
          <w:iCs w:val="0"/>
          <w:caps w:val="0"/>
          <w:smallCaps w:val="0"/>
          <w:color w:val="000000"/>
          <w:spacing w:val="0"/>
          <w:sz w:val="32"/>
          <w:szCs w:val="32"/>
          <w:shd w:val="clear" w:color="auto" w:fill="FFFFFF"/>
        </w:rPr>
        <w:t>行政事业单位按人力资源和社会保障部、财政部规定的基本工资和津贴补贴以及规定比例为职工缴纳的住房公积金。</w:t>
      </w:r>
    </w:p>
    <w:p>
      <w:pPr>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15</w:t>
      </w:r>
      <w:r>
        <w:rPr>
          <w:rFonts w:hint="default" w:ascii="Times New Roman" w:hAnsi="Times New Roman" w:eastAsia="仿宋_GB2312" w:cs="Times New Roman"/>
          <w:color w:val="auto"/>
          <w:sz w:val="32"/>
          <w:szCs w:val="32"/>
          <w:highlight w:val="none"/>
        </w:rPr>
        <w:t>.基本支出：指为保障机构正常运转、完成日常工作任务而发生的人员支出和公用支出。</w:t>
      </w:r>
    </w:p>
    <w:p>
      <w:pPr>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16</w:t>
      </w:r>
      <w:r>
        <w:rPr>
          <w:rFonts w:hint="default" w:ascii="Times New Roman" w:hAnsi="Times New Roman" w:eastAsia="仿宋_GB2312" w:cs="Times New Roman"/>
          <w:color w:val="auto"/>
          <w:sz w:val="32"/>
          <w:szCs w:val="32"/>
          <w:highlight w:val="none"/>
        </w:rPr>
        <w:t xml:space="preserve">.项目支出：指在基本支出之外为完成特定行政任务和事业发展目标所发生的支出。 </w:t>
      </w:r>
    </w:p>
    <w:p>
      <w:pPr>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17</w:t>
      </w:r>
      <w:r>
        <w:rPr>
          <w:rFonts w:hint="default" w:ascii="Times New Roman" w:hAnsi="Times New Roman" w:eastAsia="仿宋_GB2312" w:cs="Times New Roman"/>
          <w:color w:val="auto"/>
          <w:sz w:val="32"/>
          <w:szCs w:val="32"/>
          <w:highlight w:val="none"/>
        </w:rPr>
        <w:t>.经营支出：指事业单位在专业业务活动及其辅助活动之外开展非独立核算经营活动发生的支出。</w:t>
      </w:r>
    </w:p>
    <w:p>
      <w:pPr>
        <w:pStyle w:val="27"/>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18</w:t>
      </w:r>
      <w:r>
        <w:rPr>
          <w:rFonts w:hint="default" w:ascii="Times New Roman" w:hAnsi="Times New Roman" w:eastAsia="仿宋_GB2312" w:cs="Times New Roman"/>
          <w:color w:val="auto"/>
          <w:sz w:val="32"/>
          <w:szCs w:val="32"/>
          <w:highlight w:val="none"/>
        </w:rPr>
        <w:t>.“三公”经费：指</w:t>
      </w:r>
      <w:r>
        <w:rPr>
          <w:rFonts w:hint="default" w:ascii="Times New Roman" w:hAnsi="Times New Roman" w:eastAsia="仿宋_GB2312" w:cs="Times New Roman"/>
          <w:color w:val="auto"/>
          <w:sz w:val="32"/>
          <w:szCs w:val="32"/>
          <w:highlight w:val="none"/>
          <w:lang w:eastAsia="zh-CN"/>
        </w:rPr>
        <w:t>单位</w:t>
      </w:r>
      <w:r>
        <w:rPr>
          <w:rFonts w:hint="default" w:ascii="Times New Roman" w:hAnsi="Times New Roman" w:eastAsia="仿宋_GB2312" w:cs="Times New Roman"/>
          <w:color w:val="auto"/>
          <w:sz w:val="32"/>
          <w:szCs w:val="32"/>
          <w:highlight w:val="none"/>
        </w:rPr>
        <w:t>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7"/>
        <w:spacing w:line="560" w:lineRule="exact"/>
        <w:ind w:firstLine="640" w:firstLineChars="200"/>
        <w:rPr>
          <w:rFonts w:hint="default" w:ascii="Times New Roman" w:hAnsi="Times New Roman" w:eastAsia="仿宋_GB2312" w:cs="Times New Roman"/>
          <w:color w:val="auto"/>
          <w:sz w:val="32"/>
          <w:szCs w:val="32"/>
          <w:highlight w:val="none"/>
          <w:lang w:eastAsia="zh-CN"/>
        </w:rPr>
        <w:sectPr>
          <w:footerReference r:id="rId5" w:type="default"/>
          <w:pgSz w:w="11906" w:h="16838"/>
          <w:pgMar w:top="2098" w:right="1587" w:bottom="1984" w:left="1587" w:header="851" w:footer="992" w:gutter="0"/>
          <w:pgNumType w:fmt="decimal" w:start="1"/>
          <w:cols w:space="720" w:num="1"/>
          <w:docGrid w:type="lines" w:linePitch="312" w:charSpace="0"/>
        </w:sectPr>
      </w:pPr>
      <w:r>
        <w:rPr>
          <w:rFonts w:hint="default" w:ascii="Times New Roman" w:hAnsi="Times New Roman" w:eastAsia="仿宋_GB2312" w:cs="Times New Roman"/>
          <w:color w:val="auto"/>
          <w:sz w:val="32"/>
          <w:szCs w:val="32"/>
          <w:highlight w:val="none"/>
          <w:lang w:val="en-US" w:eastAsia="zh-CN"/>
        </w:rPr>
        <w:t>19</w:t>
      </w:r>
      <w:r>
        <w:rPr>
          <w:rFonts w:hint="default" w:ascii="Times New Roman" w:hAnsi="Times New Roman" w:eastAsia="仿宋_GB2312" w:cs="Times New Roman"/>
          <w:color w:val="auto"/>
          <w:sz w:val="32"/>
          <w:szCs w:val="32"/>
          <w:highlight w:val="none"/>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default" w:ascii="Times New Roman" w:hAnsi="Times New Roman" w:eastAsia="仿宋_GB2312" w:cs="Times New Roman"/>
          <w:color w:val="auto"/>
          <w:sz w:val="32"/>
          <w:szCs w:val="32"/>
          <w:highlight w:val="none"/>
          <w:lang w:eastAsia="zh-CN"/>
        </w:rPr>
        <w:t>。</w:t>
      </w:r>
    </w:p>
    <w:p>
      <w:pPr>
        <w:pStyle w:val="4"/>
        <w:pageBreakBefore w:val="0"/>
        <w:numPr>
          <w:ilvl w:val="0"/>
          <w:numId w:val="0"/>
        </w:numPr>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b w:val="0"/>
        </w:rPr>
      </w:pPr>
      <w:r>
        <w:rPr>
          <w:rFonts w:hint="eastAsia" w:ascii="方正小标宋简体" w:hAnsi="方正小标宋简体" w:eastAsia="方正小标宋简体" w:cs="方正小标宋简体"/>
          <w:b w:val="0"/>
          <w:lang w:eastAsia="zh-CN"/>
        </w:rPr>
        <w:t>第四部分</w:t>
      </w:r>
      <w:r>
        <w:rPr>
          <w:rFonts w:hint="eastAsia" w:ascii="方正小标宋简体" w:hAnsi="方正小标宋简体" w:eastAsia="方正小标宋简体" w:cs="方正小标宋简体"/>
          <w:b w:val="0"/>
          <w:lang w:val="en-US" w:eastAsia="zh-CN"/>
        </w:rPr>
        <w:t xml:space="preserve">  </w:t>
      </w:r>
      <w:r>
        <w:rPr>
          <w:rFonts w:hint="eastAsia" w:ascii="方正小标宋简体" w:hAnsi="方正小标宋简体" w:eastAsia="方正小标宋简体" w:cs="方正小标宋简体"/>
          <w:b w:val="0"/>
        </w:rPr>
        <w:t>附件</w:t>
      </w:r>
    </w:p>
    <w:p>
      <w:pPr>
        <w:numPr>
          <w:ilvl w:val="0"/>
          <w:numId w:val="0"/>
        </w:numPr>
        <w:jc w:val="center"/>
        <w:rPr>
          <w:rFonts w:hint="default" w:eastAsia="宋体"/>
          <w:lang w:val="en-US" w:eastAsia="zh-CN"/>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bl>
      <w:tblPr>
        <w:tblStyle w:val="16"/>
        <w:tblW w:w="141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0"/>
        <w:gridCol w:w="1996"/>
        <w:gridCol w:w="1736"/>
        <w:gridCol w:w="2206"/>
        <w:gridCol w:w="521"/>
        <w:gridCol w:w="1635"/>
        <w:gridCol w:w="516"/>
        <w:gridCol w:w="1082"/>
        <w:gridCol w:w="505"/>
        <w:gridCol w:w="666"/>
        <w:gridCol w:w="255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775" w:type="dxa"/>
            <w:gridSpan w:val="4"/>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C0C0C0"/>
                <w:sz w:val="20"/>
                <w:szCs w:val="20"/>
                <w:u w:val="none"/>
              </w:rPr>
            </w:pPr>
          </w:p>
        </w:tc>
        <w:tc>
          <w:tcPr>
            <w:tcW w:w="521"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3289"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20"/>
                <w:szCs w:val="20"/>
                <w:u w:val="none"/>
              </w:rPr>
            </w:pPr>
          </w:p>
        </w:tc>
        <w:tc>
          <w:tcPr>
            <w:tcW w:w="505"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456"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2557"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51320021T000000169708-机构编制专项经费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州委编办部门</w:t>
            </w:r>
          </w:p>
        </w:tc>
        <w:tc>
          <w:tcPr>
            <w:tcW w:w="1091"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州委编办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完成行政事业单位机构改革和各类专项改革，州委编办、实名制管理、网上登记管理、政务和公益中文域名管理、网络标识管理等专项工作。</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保障了机构编制专项业务开展，扎实推动工作任务落地落实。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2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不断深化重点领域改革。在阿坝州藏医院增挂“四川省藏羌医医院”牌子，将汶川县人民医院（阿坝州第二人民医院）升格为正县级，在若尔盖县藏医院加挂阿坝州第二藏医医院牌子、茂县中医医院（茂县羌医医院）加挂阿坝州羌医医院牌子；为阿坝、若尔盖、红原、壤塘4县设立公路养护中心，增加</w:t>
            </w:r>
            <w:r>
              <w:rPr>
                <w:rFonts w:hint="eastAsia" w:ascii="宋体" w:hAnsi="宋体" w:cs="宋体"/>
                <w:i w:val="0"/>
                <w:iCs w:val="0"/>
                <w:color w:val="000000"/>
                <w:kern w:val="0"/>
                <w:sz w:val="18"/>
                <w:szCs w:val="18"/>
                <w:u w:val="none"/>
                <w:lang w:val="en-US" w:eastAsia="zh-CN" w:bidi="ar"/>
              </w:rPr>
              <w:t>了</w:t>
            </w:r>
            <w:r>
              <w:rPr>
                <w:rFonts w:ascii="宋体" w:hAnsi="宋体" w:eastAsia="宋体" w:cs="宋体"/>
                <w:i w:val="0"/>
                <w:iCs w:val="0"/>
                <w:color w:val="000000"/>
                <w:kern w:val="0"/>
                <w:sz w:val="18"/>
                <w:szCs w:val="18"/>
                <w:u w:val="none"/>
                <w:lang w:val="en-US" w:eastAsia="zh-CN" w:bidi="ar"/>
              </w:rPr>
              <w:t>事业编制。持续加强实名制管理工作。积极推行不见面上下编工作模式，持续与州公路局做好试点工作。切实加强实名制系统管理，及时调整完善系统数据。扎实做好机构编制统计工作。健全完善《阿坝州州级党政群机关机构编制台账》《阿坝州州级事业单位机构编制台帐》，确保账实相符。做好机构编制日常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11.47</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11.47</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95.58%</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9.56</w:t>
            </w: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11.47</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11.47</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95.58%</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专项工作完成率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完成专项工作质量合格率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完成专项工作时限</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2024</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完成专项工作反馈</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顺利完成</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顺利完成</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保障机构编制专项工作顺利开展</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效果显著</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效果显著</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机构编制工作人员满意度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98%</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成本控制率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92</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99.56</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val="0"/>
                <w:iCs w:val="0"/>
                <w:color w:val="000000"/>
                <w:sz w:val="16"/>
                <w:szCs w:val="16"/>
                <w:u w:val="none"/>
              </w:rPr>
            </w:pPr>
            <w:r>
              <w:rPr>
                <w:rFonts w:hint="default" w:ascii="微软雅黑" w:hAnsi="微软雅黑" w:eastAsia="微软雅黑" w:cs="微软雅黑"/>
                <w:i w:val="0"/>
                <w:iCs w:val="0"/>
                <w:color w:val="000000"/>
                <w:kern w:val="0"/>
                <w:sz w:val="16"/>
                <w:szCs w:val="16"/>
                <w:u w:val="none"/>
                <w:lang w:val="en-US" w:eastAsia="zh-CN" w:bidi="ar"/>
              </w:rPr>
              <w:t>自评得分99.56分，完成目标情况较好。机构编制专项经费使用合理高效，预算执行到位。有力保障了机构编制工作的开展，各项任务高质量完成，达成了预期目标。并为机构编制工作的发展提供了有力支持，充分发挥了专项经费的作用，取得了显著的成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val="0"/>
                <w:iCs w:val="0"/>
                <w:color w:val="000000"/>
                <w:sz w:val="16"/>
                <w:szCs w:val="16"/>
                <w:u w:val="none"/>
              </w:rPr>
            </w:pPr>
            <w:r>
              <w:rPr>
                <w:rFonts w:hint="default" w:ascii="微软雅黑" w:hAnsi="微软雅黑" w:eastAsia="微软雅黑" w:cs="微软雅黑"/>
                <w:i w:val="0"/>
                <w:iCs w:val="0"/>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val="0"/>
                <w:iCs w:val="0"/>
                <w:color w:val="000000"/>
                <w:sz w:val="16"/>
                <w:szCs w:val="16"/>
                <w:u w:val="none"/>
              </w:rPr>
            </w:pPr>
            <w:r>
              <w:rPr>
                <w:rFonts w:hint="default" w:ascii="微软雅黑" w:hAnsi="微软雅黑" w:eastAsia="微软雅黑" w:cs="微软雅黑"/>
                <w:i w:val="0"/>
                <w:iCs w:val="0"/>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项目负责人：赵明瑞</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财务负责人：张世玲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51320021T000000169733-机构编制调研经费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州委编办部门</w:t>
            </w:r>
          </w:p>
        </w:tc>
        <w:tc>
          <w:tcPr>
            <w:tcW w:w="1091"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州委编办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完成全州机构编制重大调研工作，确保州委州政府相关机构编制重大决策落实到位</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保障了机构编制调研工作开展，扎实推动工作任务落地落实。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派员到各县（市）开展调研工作，结合全州机构改革工作，拟定了《阿坝州机构改革方案》；深化重点领域体制机制改革，厘清职责定位，拟定景区、园区、科研相关改革方案，及时调整机构编制事项，着力构建适应阿坝高质量发展的职能体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5.98</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5.98</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5.98</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5.98</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调研报告</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篇</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调研次数</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调研完成时限</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调研反馈</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顺利完成</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确保机构编制重大决策落实到位</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效果显著</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调研工作人员满意度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96</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成本控制率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自评得分100分，完成目标情况较好。保障了机构编制调研工作开展，为机构编制调整提供决策依据，提升管理效能。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项目负责人：赵明瑞</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财务负责人：张世玲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51320021T000000169773-机构编制督查经费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州委编办部门</w:t>
            </w:r>
          </w:p>
        </w:tc>
        <w:tc>
          <w:tcPr>
            <w:tcW w:w="1091"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州委编办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完成州委州政府相关机构编制重大决策部署和省委编委、州委编委涉及机构编制的重大督查工作。</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完成了州委州政府相关机构编制重大决策部署和省委编委、州委编委涉及机构编制的重大督查工作。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机构编制请示报告制度，强化请示报告主体责任。开展机构编制工作情况和纪律执行情况专项检查，从严从紧规范州级议事协调机构管理。开展机构编制违规违纪问题整改及机构编制重点工作推进情况专项督查。制定《阿坝州机构改革落实情况验收评估工作方案》，涉改的相关州级部门开展自查。我办组成专项工作组赴部分州级单位及阿坝、红原、松潘、若尔盖、茂县等县开展实地验收督导工作，为省委、中央验收我州机构改革工作做好准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5.90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5.90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98.33%</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9.83</w:t>
            </w: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5.90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5.90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98.33%</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督查完成率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16"/>
                <w:szCs w:val="16"/>
                <w:u w:val="none"/>
              </w:rPr>
            </w:pPr>
            <w:r>
              <w:rPr>
                <w:rFonts w:hint="default" w:ascii="微软雅黑" w:hAnsi="微软雅黑" w:eastAsia="微软雅黑" w:cs="微软雅黑"/>
                <w:i w:val="0"/>
                <w:iCs w:val="0"/>
                <w:color w:val="000000"/>
                <w:kern w:val="0"/>
                <w:sz w:val="16"/>
                <w:szCs w:val="16"/>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督查次数</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督查完成时限</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督查结果反馈</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顺利完成</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顺利完成</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确保各项工作顺利开展</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效果显著</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效果显著</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机构编制督查人员满意度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成本控制率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99.83</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val="0"/>
                <w:iCs w:val="0"/>
                <w:color w:val="000000"/>
                <w:sz w:val="16"/>
                <w:szCs w:val="16"/>
                <w:u w:val="none"/>
              </w:rPr>
            </w:pPr>
            <w:r>
              <w:rPr>
                <w:rFonts w:hint="default" w:ascii="微软雅黑" w:hAnsi="微软雅黑" w:eastAsia="微软雅黑" w:cs="微软雅黑"/>
                <w:i w:val="0"/>
                <w:iCs w:val="0"/>
                <w:color w:val="000000"/>
                <w:kern w:val="0"/>
                <w:sz w:val="16"/>
                <w:szCs w:val="16"/>
                <w:u w:val="none"/>
                <w:lang w:val="en-US" w:eastAsia="zh-CN" w:bidi="ar"/>
              </w:rPr>
              <w:t>自评得分99.83分，完成目标情况较好。机构编制督查经费使用合理高效，预算执行到位。有力保障了机构编制督查工作的开展，各项任务高质量完成，达成了预期目标。并为机构编制工作的发展提供了有力支持，充分发挥了督查经费的作用，取得了显著的成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val="0"/>
                <w:iCs w:val="0"/>
                <w:color w:val="000000"/>
                <w:sz w:val="16"/>
                <w:szCs w:val="16"/>
                <w:u w:val="none"/>
              </w:rPr>
            </w:pPr>
            <w:r>
              <w:rPr>
                <w:rFonts w:hint="default" w:ascii="微软雅黑" w:hAnsi="微软雅黑" w:eastAsia="微软雅黑" w:cs="微软雅黑"/>
                <w:i w:val="0"/>
                <w:iCs w:val="0"/>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val="0"/>
                <w:iCs w:val="0"/>
                <w:color w:val="000000"/>
                <w:sz w:val="16"/>
                <w:szCs w:val="16"/>
                <w:u w:val="none"/>
              </w:rPr>
            </w:pPr>
            <w:r>
              <w:rPr>
                <w:rFonts w:hint="default" w:ascii="微软雅黑" w:hAnsi="微软雅黑" w:eastAsia="微软雅黑" w:cs="微软雅黑"/>
                <w:i w:val="0"/>
                <w:iCs w:val="0"/>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项目负责人：赵明瑞</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财务负责人：张世玲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51320021T000000169801-机构编制培训费用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州委编办部门</w:t>
            </w:r>
          </w:p>
        </w:tc>
        <w:tc>
          <w:tcPr>
            <w:tcW w:w="1091"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州委编办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组织全州机构编制统计、行政事业单位改革、事业单位法人代表、机构编制工作人员业务政策知识更新、能力提升等业务培训工作。</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组织了阿坝州机构编制系统履职能力提升专题培训班一次，完成了全州机构编制系统业务知识水平的提升。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在大连理工大学举办了阿坝州机构编制系统履职能力提升专题培训班，全州机构编制系统干部58人参加培训。此次培训班既注重理论水平的系统提升，又注重具体实践的操作，聚焦主题教育，党政机构改革，立足工作实际，专门邀请省委编办三位处长进行专题辅导，课程采取专题授课和现场教学的方式，让全州机构编制系统干部政治素养和业务技能有了一个新的提升，及时为机构编制队伍“充电蓄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19.83</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19.83</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99.15%</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9.91</w:t>
            </w: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19.83</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19.83</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99.15%</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培训人数</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58</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58</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培训结果考核</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16"/>
                <w:szCs w:val="16"/>
                <w:u w:val="none"/>
              </w:rPr>
            </w:pPr>
            <w:r>
              <w:rPr>
                <w:rFonts w:hint="default" w:ascii="微软雅黑" w:hAnsi="微软雅黑" w:eastAsia="微软雅黑" w:cs="微软雅黑"/>
                <w:i w:val="0"/>
                <w:iCs w:val="0"/>
                <w:color w:val="000000"/>
                <w:kern w:val="0"/>
                <w:sz w:val="16"/>
                <w:szCs w:val="16"/>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培训完成时限</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16"/>
                <w:szCs w:val="16"/>
                <w:u w:val="none"/>
              </w:rPr>
            </w:pPr>
            <w:r>
              <w:rPr>
                <w:rFonts w:hint="default" w:ascii="微软雅黑" w:hAnsi="微软雅黑" w:eastAsia="微软雅黑" w:cs="微软雅黑"/>
                <w:i w:val="0"/>
                <w:iCs w:val="0"/>
                <w:color w:val="000000"/>
                <w:kern w:val="0"/>
                <w:sz w:val="16"/>
                <w:szCs w:val="16"/>
                <w:u w:val="none"/>
                <w:lang w:val="en-US" w:eastAsia="zh-CN" w:bidi="ar"/>
              </w:rPr>
              <w:t>2024</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确保各项工作顺利开展</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效果显著</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效果显著</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培训人员知晓率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16"/>
                <w:szCs w:val="16"/>
                <w:u w:val="none"/>
              </w:rPr>
            </w:pPr>
            <w:r>
              <w:rPr>
                <w:rFonts w:hint="default" w:ascii="微软雅黑" w:hAnsi="微软雅黑" w:eastAsia="微软雅黑" w:cs="微软雅黑"/>
                <w:i w:val="0"/>
                <w:iCs w:val="0"/>
                <w:color w:val="000000"/>
                <w:kern w:val="0"/>
                <w:sz w:val="16"/>
                <w:szCs w:val="16"/>
                <w:u w:val="none"/>
                <w:lang w:val="en-US" w:eastAsia="zh-CN" w:bidi="ar"/>
              </w:rPr>
              <w:t>99%</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培训人员满意度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16"/>
                <w:szCs w:val="16"/>
                <w:u w:val="none"/>
              </w:rPr>
            </w:pPr>
            <w:r>
              <w:rPr>
                <w:rFonts w:hint="default" w:ascii="微软雅黑" w:hAnsi="微软雅黑" w:eastAsia="微软雅黑" w:cs="微软雅黑"/>
                <w:i w:val="0"/>
                <w:iCs w:val="0"/>
                <w:color w:val="000000"/>
                <w:kern w:val="0"/>
                <w:sz w:val="16"/>
                <w:szCs w:val="16"/>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人均培训标准</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16"/>
                <w:szCs w:val="16"/>
                <w:u w:val="none"/>
              </w:rPr>
            </w:pPr>
            <w:r>
              <w:rPr>
                <w:rFonts w:hint="default" w:ascii="微软雅黑" w:hAnsi="微软雅黑" w:eastAsia="微软雅黑" w:cs="微软雅黑"/>
                <w:i w:val="0"/>
                <w:iCs w:val="0"/>
                <w:color w:val="000000"/>
                <w:kern w:val="0"/>
                <w:sz w:val="16"/>
                <w:szCs w:val="16"/>
                <w:u w:val="none"/>
                <w:lang w:val="en-US" w:eastAsia="zh-CN" w:bidi="ar"/>
              </w:rPr>
              <w:t>398</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99.91</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val="0"/>
                <w:iCs w:val="0"/>
                <w:color w:val="000000"/>
                <w:sz w:val="16"/>
                <w:szCs w:val="16"/>
                <w:u w:val="none"/>
              </w:rPr>
            </w:pPr>
            <w:r>
              <w:rPr>
                <w:rFonts w:hint="default" w:ascii="微软雅黑" w:hAnsi="微软雅黑" w:eastAsia="微软雅黑" w:cs="微软雅黑"/>
                <w:i w:val="0"/>
                <w:iCs w:val="0"/>
                <w:color w:val="000000"/>
                <w:kern w:val="0"/>
                <w:sz w:val="16"/>
                <w:szCs w:val="16"/>
                <w:u w:val="none"/>
                <w:lang w:val="en-US" w:eastAsia="zh-CN" w:bidi="ar"/>
              </w:rPr>
              <w:t>自评得分99.91分，完成目标情况较好。机构编制培训经费使用合理高效，预算执行到位。有力保障了机构编制培训工作的开展，各项任务高质量完成，达成了预期目标。充分发挥了培训经费的作用，取得了显著的成效。此次培训既注重理论水平的系统提升，又注重具体实践的操作，聚焦主题教育，党政机构改革，立足工作实际，课程采取专题授课和现场教学的方式，让全州机构编制系统干部政治素养和业务技能有了一个新的提升，及时为机构编制队伍“充电蓄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val="0"/>
                <w:iCs w:val="0"/>
                <w:color w:val="000000"/>
                <w:sz w:val="16"/>
                <w:szCs w:val="16"/>
                <w:u w:val="none"/>
              </w:rPr>
            </w:pPr>
            <w:r>
              <w:rPr>
                <w:rFonts w:hint="default" w:ascii="微软雅黑" w:hAnsi="微软雅黑" w:eastAsia="微软雅黑" w:cs="微软雅黑"/>
                <w:i w:val="0"/>
                <w:iCs w:val="0"/>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val="0"/>
                <w:iCs w:val="0"/>
                <w:color w:val="000000"/>
                <w:sz w:val="16"/>
                <w:szCs w:val="16"/>
                <w:u w:val="none"/>
              </w:rPr>
            </w:pPr>
            <w:r>
              <w:rPr>
                <w:rFonts w:hint="default" w:ascii="微软雅黑" w:hAnsi="微软雅黑" w:eastAsia="微软雅黑" w:cs="微软雅黑"/>
                <w:i w:val="0"/>
                <w:iCs w:val="0"/>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项目负责人：赵明瑞</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财务负责人：张世玲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51320024T000010445116-党政机构改革经费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州委编办部门</w:t>
            </w:r>
          </w:p>
        </w:tc>
        <w:tc>
          <w:tcPr>
            <w:tcW w:w="1091"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州委编办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积极推进党政机构改革和事业单位改革工作，确保全州机构改革各项工作任务圆满完成，为高质量建设“一州两区三家园”积极构建适应阿坝经济发展的机构职能体系。</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全面完成州县两级机构改革，并顺利通过中央编办、省委编办评估验收。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制定《阿坝州机构改革方案》，调整优化州县两级社会工作、金融管理、数据管理、农业农村等重点领域机构设置和职能配置，州县完成</w:t>
            </w:r>
            <w:r>
              <w:rPr>
                <w:rFonts w:hint="eastAsia" w:ascii="宋体" w:hAnsi="宋体" w:cs="宋体"/>
                <w:i w:val="0"/>
                <w:iCs w:val="0"/>
                <w:color w:val="000000"/>
                <w:kern w:val="0"/>
                <w:sz w:val="18"/>
                <w:szCs w:val="18"/>
                <w:u w:val="none"/>
                <w:lang w:val="en-US" w:eastAsia="zh-CN" w:bidi="ar"/>
              </w:rPr>
              <w:t>了</w:t>
            </w:r>
            <w:r>
              <w:rPr>
                <w:rFonts w:ascii="宋体" w:hAnsi="宋体" w:eastAsia="宋体" w:cs="宋体"/>
                <w:i w:val="0"/>
                <w:iCs w:val="0"/>
                <w:color w:val="000000"/>
                <w:kern w:val="0"/>
                <w:sz w:val="18"/>
                <w:szCs w:val="18"/>
                <w:u w:val="none"/>
                <w:lang w:val="en-US" w:eastAsia="zh-CN" w:bidi="ar"/>
              </w:rPr>
              <w:t>部门“三定”规定的制定修订；深化行政执法体制改革，州级向县级下沉执法编制，妥善安置全州涉改革人员；统筹设置乡镇内设机构和事业单位，各县（市）乡镇机构数量较改革前减幅达14.5%；优化调整议事协调机构，完成理县、黑水县人口小县机构改革任务，构建大部门制组织架构和职能体系。2024年7月底前已全面完成州县两级机构改革，并顺利通过中央编办、省委编办评估验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41.79</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41.79</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8.36</w:t>
            </w: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41.79</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41.79</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改革工作完成率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16"/>
                <w:szCs w:val="16"/>
                <w:u w:val="none"/>
              </w:rPr>
            </w:pPr>
            <w:r>
              <w:rPr>
                <w:rFonts w:hint="default" w:ascii="微软雅黑" w:hAnsi="微软雅黑" w:eastAsia="微软雅黑" w:cs="微软雅黑"/>
                <w:i w:val="0"/>
                <w:iCs w:val="0"/>
                <w:color w:val="000000"/>
                <w:kern w:val="0"/>
                <w:sz w:val="16"/>
                <w:szCs w:val="16"/>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改革工作完成合格率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16"/>
                <w:szCs w:val="16"/>
                <w:u w:val="none"/>
              </w:rPr>
            </w:pPr>
            <w:r>
              <w:rPr>
                <w:rFonts w:hint="default" w:ascii="微软雅黑" w:hAnsi="微软雅黑" w:eastAsia="微软雅黑" w:cs="微软雅黑"/>
                <w:i w:val="0"/>
                <w:iCs w:val="0"/>
                <w:color w:val="000000"/>
                <w:kern w:val="0"/>
                <w:sz w:val="16"/>
                <w:szCs w:val="16"/>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完成时限</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16"/>
                <w:szCs w:val="16"/>
                <w:u w:val="none"/>
              </w:rPr>
            </w:pPr>
            <w:r>
              <w:rPr>
                <w:rFonts w:hint="default" w:ascii="微软雅黑" w:hAnsi="微软雅黑" w:eastAsia="微软雅黑" w:cs="微软雅黑"/>
                <w:i w:val="0"/>
                <w:iCs w:val="0"/>
                <w:color w:val="000000"/>
                <w:kern w:val="0"/>
                <w:sz w:val="16"/>
                <w:szCs w:val="16"/>
                <w:u w:val="none"/>
                <w:lang w:val="en-US" w:eastAsia="zh-CN" w:bidi="ar"/>
              </w:rPr>
              <w:t>2024</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确保全州机构改革各项工作顺利完成</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效果显著</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效果显著</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完成改革工作反馈</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顺利完成</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顺利完成</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成本控制率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16"/>
                <w:szCs w:val="16"/>
                <w:u w:val="none"/>
              </w:rPr>
            </w:pPr>
            <w:r>
              <w:rPr>
                <w:rFonts w:hint="default" w:ascii="微软雅黑" w:hAnsi="微软雅黑" w:eastAsia="微软雅黑" w:cs="微软雅黑"/>
                <w:i w:val="0"/>
                <w:iCs w:val="0"/>
                <w:color w:val="000000"/>
                <w:kern w:val="0"/>
                <w:sz w:val="16"/>
                <w:szCs w:val="16"/>
                <w:u w:val="none"/>
                <w:lang w:val="en-US" w:eastAsia="zh-CN" w:bidi="ar"/>
              </w:rPr>
              <w:t>96%</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98.36</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val="0"/>
                <w:iCs w:val="0"/>
                <w:color w:val="000000"/>
                <w:sz w:val="16"/>
                <w:szCs w:val="16"/>
                <w:u w:val="none"/>
              </w:rPr>
            </w:pPr>
            <w:r>
              <w:rPr>
                <w:rFonts w:hint="default" w:ascii="微软雅黑" w:hAnsi="微软雅黑" w:eastAsia="微软雅黑" w:cs="微软雅黑"/>
                <w:i w:val="0"/>
                <w:iCs w:val="0"/>
                <w:color w:val="000000"/>
                <w:kern w:val="0"/>
                <w:sz w:val="16"/>
                <w:szCs w:val="16"/>
                <w:u w:val="none"/>
                <w:lang w:val="en-US" w:eastAsia="zh-CN" w:bidi="ar"/>
              </w:rPr>
              <w:t>自评得分98.4分，完成目标情况较好。党政机构改革经费使用合理高效，预算执行到位。有力保障了州县两级机构改革工作的开展，各项任务高质量完成，达成了预期目标。并为机构编制工作的发展提供了有力支持，充分发挥了机构改革经费的作用，取得了显著的成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val="0"/>
                <w:iCs w:val="0"/>
                <w:color w:val="000000"/>
                <w:sz w:val="16"/>
                <w:szCs w:val="16"/>
                <w:u w:val="none"/>
              </w:rPr>
            </w:pPr>
            <w:r>
              <w:rPr>
                <w:rFonts w:hint="default" w:ascii="微软雅黑" w:hAnsi="微软雅黑" w:eastAsia="微软雅黑" w:cs="微软雅黑"/>
                <w:i w:val="0"/>
                <w:iCs w:val="0"/>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val="0"/>
                <w:iCs w:val="0"/>
                <w:color w:val="000000"/>
                <w:sz w:val="16"/>
                <w:szCs w:val="16"/>
                <w:u w:val="none"/>
              </w:rPr>
            </w:pPr>
            <w:r>
              <w:rPr>
                <w:rFonts w:hint="default" w:ascii="微软雅黑" w:hAnsi="微软雅黑" w:eastAsia="微软雅黑" w:cs="微软雅黑"/>
                <w:i w:val="0"/>
                <w:iCs w:val="0"/>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项目负责人：赵明瑞</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财务负责人：张世玲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51320024T000010445333-办公设备购置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州委编办部门</w:t>
            </w:r>
          </w:p>
        </w:tc>
        <w:tc>
          <w:tcPr>
            <w:tcW w:w="1091"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州委编办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完成办公设备购置</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高效完成采购目标，显著提升办公效率，为各科室提供硬件支持。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本项目围绕办机关办公需求，严格按照政府采购程序，通过框架协议形式，购置电脑、打印机等办公设备。实施过程包括需求确认、设备选型、合同签订、验收入库及分发调试，全程严格把控质量与成本，确保设备兼容性与售后服务。高效完成采购目标，显著提升办公效率，为各科室提供硬件支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16.55</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16.55</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97.35%</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9.74</w:t>
            </w: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16.55</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16.55</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97.35%</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购买数量</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套</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16"/>
                <w:szCs w:val="16"/>
                <w:u w:val="none"/>
              </w:rPr>
            </w:pPr>
            <w:r>
              <w:rPr>
                <w:rFonts w:hint="default" w:ascii="微软雅黑" w:hAnsi="微软雅黑" w:eastAsia="微软雅黑" w:cs="微软雅黑"/>
                <w:i w:val="0"/>
                <w:iCs w:val="0"/>
                <w:color w:val="000000"/>
                <w:kern w:val="0"/>
                <w:sz w:val="16"/>
                <w:szCs w:val="16"/>
                <w:u w:val="none"/>
                <w:lang w:val="en-US" w:eastAsia="zh-CN" w:bidi="ar"/>
              </w:rPr>
              <w:t>12</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设备购置合格率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16"/>
                <w:szCs w:val="16"/>
                <w:u w:val="none"/>
              </w:rPr>
            </w:pPr>
            <w:r>
              <w:rPr>
                <w:rFonts w:hint="default" w:ascii="微软雅黑" w:hAnsi="微软雅黑" w:eastAsia="微软雅黑" w:cs="微软雅黑"/>
                <w:i w:val="0"/>
                <w:iCs w:val="0"/>
                <w:color w:val="000000"/>
                <w:kern w:val="0"/>
                <w:sz w:val="16"/>
                <w:szCs w:val="16"/>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及时更新老旧设备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及时更新</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16"/>
                <w:szCs w:val="16"/>
                <w:u w:val="none"/>
              </w:rPr>
            </w:pPr>
            <w:r>
              <w:rPr>
                <w:rFonts w:hint="default" w:ascii="微软雅黑" w:hAnsi="微软雅黑" w:eastAsia="微软雅黑" w:cs="微软雅黑"/>
                <w:i w:val="0"/>
                <w:iCs w:val="0"/>
                <w:color w:val="000000"/>
                <w:kern w:val="0"/>
                <w:sz w:val="16"/>
                <w:szCs w:val="16"/>
                <w:u w:val="none"/>
                <w:lang w:val="en-US" w:eastAsia="zh-CN" w:bidi="ar"/>
              </w:rPr>
              <w:t>更新完成</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完成时效</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16"/>
                <w:szCs w:val="16"/>
                <w:u w:val="none"/>
              </w:rPr>
            </w:pPr>
            <w:r>
              <w:rPr>
                <w:rFonts w:hint="default" w:ascii="微软雅黑" w:hAnsi="微软雅黑" w:eastAsia="微软雅黑" w:cs="微软雅黑"/>
                <w:i w:val="0"/>
                <w:iCs w:val="0"/>
                <w:color w:val="000000"/>
                <w:kern w:val="0"/>
                <w:sz w:val="16"/>
                <w:szCs w:val="16"/>
                <w:u w:val="none"/>
                <w:lang w:val="en-US" w:eastAsia="zh-CN" w:bidi="ar"/>
              </w:rPr>
              <w:t>2024</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提高工作效率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效果显著</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16"/>
                <w:szCs w:val="16"/>
                <w:u w:val="none"/>
              </w:rPr>
            </w:pPr>
            <w:r>
              <w:rPr>
                <w:rFonts w:hint="default" w:ascii="微软雅黑" w:hAnsi="微软雅黑" w:eastAsia="微软雅黑" w:cs="微软雅黑"/>
                <w:i w:val="0"/>
                <w:iCs w:val="0"/>
                <w:color w:val="000000"/>
                <w:kern w:val="0"/>
                <w:sz w:val="16"/>
                <w:szCs w:val="16"/>
                <w:u w:val="none"/>
                <w:lang w:val="en-US" w:eastAsia="zh-CN" w:bidi="ar"/>
              </w:rPr>
              <w:t>效果显著</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职工满意度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16"/>
                <w:szCs w:val="16"/>
                <w:u w:val="none"/>
              </w:rPr>
            </w:pPr>
            <w:r>
              <w:rPr>
                <w:rFonts w:hint="default" w:ascii="微软雅黑" w:hAnsi="微软雅黑" w:eastAsia="微软雅黑" w:cs="微软雅黑"/>
                <w:i w:val="0"/>
                <w:iCs w:val="0"/>
                <w:color w:val="000000"/>
                <w:kern w:val="0"/>
                <w:sz w:val="16"/>
                <w:szCs w:val="16"/>
                <w:u w:val="none"/>
                <w:lang w:val="en-US" w:eastAsia="zh-CN" w:bidi="ar"/>
              </w:rPr>
              <w:t>98%</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成本控制率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16"/>
                <w:szCs w:val="16"/>
                <w:u w:val="none"/>
              </w:rPr>
            </w:pPr>
            <w:r>
              <w:rPr>
                <w:rFonts w:hint="default" w:ascii="微软雅黑" w:hAnsi="微软雅黑" w:eastAsia="微软雅黑" w:cs="微软雅黑"/>
                <w:i w:val="0"/>
                <w:iCs w:val="0"/>
                <w:color w:val="000000"/>
                <w:kern w:val="0"/>
                <w:sz w:val="16"/>
                <w:szCs w:val="16"/>
                <w:u w:val="none"/>
                <w:lang w:val="en-US" w:eastAsia="zh-CN" w:bidi="ar"/>
              </w:rPr>
              <w:t>96%</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99.74</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自评得分99.74分，完成目标情况较好。高效完成采购目标，显著提升办公效率，为各科室提供硬件支持。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项目负责人：赵明瑞</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财务负责人：张世玲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51320024T000010468779-阿坝州机构编制智能化管理系统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州委编办部门</w:t>
            </w:r>
          </w:p>
        </w:tc>
        <w:tc>
          <w:tcPr>
            <w:tcW w:w="1091"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州委编办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阿坝州机构编制智能化管理系统通过运用大数据模型，AI人工智能，广泛的数据汇聚分析，提升宏观决策能力；真正实现信息化技术赋能机构编制管理，优化工作流程、提高工作效率，更好开展工作，提高机构编制队伍的更快、更好发展。</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通过机构编制智能化管理系统的建设，可以提升机构编制工作的管理效率和质量，更好地服务于党和国家的中心工作。</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通过机构编制智能化管理系统的建设，有效的提升机构编制工作的管理效率和质量，更好地服务于党和国家的中心工作。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按照政府采购程序和要求推进阿坝州机构编制智能化管理系统建设，按要求在系统随机抽取四川重德招标有限责任公司为我办采购代理机构，于2024年3月29日签订《政府采购项目委托代理协议》，负责项目采购相关事宜。4月19日，四川易利数字城市科技有限公司中标。切实加强与采购代理机构、法律顾问和成交供应商的沟通协调，多次修改完善需求参数，如期完成采购需求设计、招标、实地调研、合同签订等工作。目前系统进入试运行阶段，已支付总金额80%的项目经费。预计2025年5月完成项目验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122.00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122.00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122.00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122.00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机构编制智能化管理系统</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套</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1</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完成时限</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提高办公效率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效果显著</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满足日常办公需求</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满足</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职工满意度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成本控制率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92</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自评得分99.74分，完成目标情况较好。通过机构编制智能化管理系统的建设，有效的提升机构编制工作的管理效率和质量，更好地服务于党和国家的中心工作。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项目负责人：张鹏</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财务负责人：张世玲</w:t>
            </w:r>
          </w:p>
        </w:tc>
      </w:tr>
    </w:tbl>
    <w:p>
      <w:pPr>
        <w:pStyle w:val="27"/>
        <w:spacing w:line="560" w:lineRule="exact"/>
        <w:ind w:firstLine="640" w:firstLineChars="200"/>
        <w:rPr>
          <w:rFonts w:hint="default" w:ascii="Times New Roman" w:hAnsi="Times New Roman" w:eastAsia="仿宋_GB2312" w:cs="Times New Roman"/>
          <w:color w:val="auto"/>
          <w:sz w:val="32"/>
          <w:szCs w:val="32"/>
          <w:highlight w:val="none"/>
          <w:lang w:eastAsia="zh-CN"/>
        </w:rPr>
        <w:sectPr>
          <w:pgSz w:w="16838" w:h="11906" w:orient="landscape"/>
          <w:pgMar w:top="1587" w:right="2098" w:bottom="1587" w:left="1984" w:header="851" w:footer="992" w:gutter="0"/>
          <w:pgNumType w:fmt="decimal"/>
          <w:cols w:space="720" w:num="1"/>
          <w:docGrid w:type="lines" w:linePitch="312" w:charSpace="0"/>
        </w:sectPr>
      </w:pPr>
    </w:p>
    <w:p>
      <w:pPr>
        <w:pStyle w:val="2"/>
        <w:spacing w:before="93"/>
        <w:rPr>
          <w:rFonts w:hint="default" w:ascii="Times New Roman" w:hAnsi="Times New Roman" w:cs="Times New Roman"/>
          <w:sz w:val="32"/>
          <w:szCs w:val="32"/>
        </w:rPr>
      </w:pPr>
      <w:bookmarkStart w:id="48" w:name="_Toc15396618"/>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第五部分</w:t>
      </w:r>
      <w:r>
        <w:rPr>
          <w:rFonts w:hint="default" w:ascii="Times New Roman" w:hAnsi="Times New Roman" w:eastAsia="方正小标宋简体" w:cs="Times New Roman"/>
          <w:sz w:val="44"/>
          <w:szCs w:val="44"/>
          <w:lang w:val="en-US" w:eastAsia="zh-CN"/>
        </w:rPr>
        <w:t xml:space="preserve">  </w:t>
      </w:r>
      <w:r>
        <w:rPr>
          <w:rFonts w:hint="default" w:ascii="Times New Roman" w:hAnsi="Times New Roman" w:eastAsia="方正小标宋简体" w:cs="Times New Roman"/>
          <w:sz w:val="44"/>
          <w:szCs w:val="44"/>
        </w:rPr>
        <w:t>附表</w:t>
      </w:r>
      <w:bookmarkEnd w:id="47"/>
      <w:bookmarkEnd w:id="48"/>
      <w:bookmarkStart w:id="49" w:name="_Toc15396619"/>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一、收入支出决算总表</w:t>
      </w:r>
      <w:bookmarkEnd w:id="49"/>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sz w:val="32"/>
          <w:szCs w:val="32"/>
        </w:rPr>
      </w:pPr>
      <w:bookmarkStart w:id="50" w:name="_Toc15396620"/>
      <w:r>
        <w:rPr>
          <w:rFonts w:hint="default" w:ascii="Times New Roman" w:hAnsi="Times New Roman" w:eastAsia="方正仿宋_GBK" w:cs="Times New Roman"/>
          <w:sz w:val="32"/>
          <w:szCs w:val="32"/>
        </w:rPr>
        <w:t>二、收入决算表</w:t>
      </w:r>
      <w:bookmarkEnd w:id="50"/>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sz w:val="32"/>
          <w:szCs w:val="32"/>
        </w:rPr>
      </w:pPr>
      <w:bookmarkStart w:id="51" w:name="_Toc15396621"/>
      <w:r>
        <w:rPr>
          <w:rFonts w:hint="default" w:ascii="Times New Roman" w:hAnsi="Times New Roman" w:eastAsia="方正仿宋_GBK" w:cs="Times New Roman"/>
          <w:sz w:val="32"/>
          <w:szCs w:val="32"/>
        </w:rPr>
        <w:t>三、支出决算表</w:t>
      </w:r>
      <w:bookmarkEnd w:id="51"/>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sz w:val="32"/>
          <w:szCs w:val="32"/>
        </w:rPr>
      </w:pPr>
      <w:bookmarkStart w:id="52" w:name="_Toc15396622"/>
      <w:r>
        <w:rPr>
          <w:rFonts w:hint="default" w:ascii="Times New Roman" w:hAnsi="Times New Roman" w:eastAsia="方正仿宋_GBK" w:cs="Times New Roman"/>
          <w:sz w:val="32"/>
          <w:szCs w:val="32"/>
        </w:rPr>
        <w:t>四、财政拨款收入支出决算总表</w:t>
      </w:r>
      <w:bookmarkEnd w:id="52"/>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sz w:val="32"/>
          <w:szCs w:val="32"/>
        </w:rPr>
      </w:pPr>
      <w:bookmarkStart w:id="53" w:name="_Toc15396623"/>
      <w:r>
        <w:rPr>
          <w:rFonts w:hint="default" w:ascii="Times New Roman" w:hAnsi="Times New Roman" w:eastAsia="方正仿宋_GBK" w:cs="Times New Roman"/>
          <w:sz w:val="32"/>
          <w:szCs w:val="32"/>
        </w:rPr>
        <w:t>五、财政拨款支出决算明细表</w:t>
      </w:r>
      <w:bookmarkEnd w:id="53"/>
      <w:bookmarkStart w:id="54" w:name="_Toc15396624"/>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六、一般公共预算财政拨款支出决算表</w:t>
      </w:r>
      <w:bookmarkEnd w:id="54"/>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sz w:val="32"/>
          <w:szCs w:val="32"/>
        </w:rPr>
      </w:pPr>
      <w:bookmarkStart w:id="55" w:name="_Toc15396625"/>
      <w:r>
        <w:rPr>
          <w:rFonts w:hint="default" w:ascii="Times New Roman" w:hAnsi="Times New Roman" w:eastAsia="方正仿宋_GBK" w:cs="Times New Roman"/>
          <w:sz w:val="32"/>
          <w:szCs w:val="32"/>
        </w:rPr>
        <w:t>七、一般公共预算财政拨款支出决算明细表</w:t>
      </w:r>
      <w:bookmarkEnd w:id="55"/>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sz w:val="32"/>
          <w:szCs w:val="32"/>
        </w:rPr>
      </w:pPr>
      <w:bookmarkStart w:id="56" w:name="_Toc15396626"/>
      <w:r>
        <w:rPr>
          <w:rFonts w:hint="default" w:ascii="Times New Roman" w:hAnsi="Times New Roman" w:eastAsia="方正仿宋_GBK" w:cs="Times New Roman"/>
          <w:sz w:val="32"/>
          <w:szCs w:val="32"/>
        </w:rPr>
        <w:t>八、一般公共预算财政拨款基本支出决算表</w:t>
      </w:r>
      <w:bookmarkEnd w:id="56"/>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sz w:val="32"/>
          <w:szCs w:val="32"/>
        </w:rPr>
      </w:pPr>
      <w:bookmarkStart w:id="57" w:name="_Toc15396627"/>
      <w:r>
        <w:rPr>
          <w:rFonts w:hint="default" w:ascii="Times New Roman" w:hAnsi="Times New Roman" w:eastAsia="方正仿宋_GBK" w:cs="Times New Roman"/>
          <w:sz w:val="32"/>
          <w:szCs w:val="32"/>
        </w:rPr>
        <w:t>九、一般公共预算财政拨款项目支出决算表</w:t>
      </w:r>
      <w:bookmarkEnd w:id="57"/>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sz w:val="32"/>
          <w:szCs w:val="32"/>
        </w:rPr>
      </w:pPr>
      <w:bookmarkStart w:id="58" w:name="_Toc15396628"/>
      <w:r>
        <w:rPr>
          <w:rFonts w:hint="default" w:ascii="Times New Roman" w:hAnsi="Times New Roman" w:eastAsia="方正仿宋_GBK" w:cs="Times New Roman"/>
          <w:sz w:val="32"/>
          <w:szCs w:val="32"/>
        </w:rPr>
        <w:t>十、</w:t>
      </w:r>
      <w:bookmarkEnd w:id="58"/>
      <w:r>
        <w:rPr>
          <w:rFonts w:hint="default" w:ascii="Times New Roman" w:hAnsi="Times New Roman" w:eastAsia="方正仿宋_GBK" w:cs="Times New Roman"/>
          <w:sz w:val="32"/>
          <w:szCs w:val="32"/>
        </w:rPr>
        <w:t>政府性基金预算财政拨款收入支出决算表</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sz w:val="32"/>
          <w:szCs w:val="32"/>
        </w:rPr>
      </w:pPr>
      <w:bookmarkStart w:id="59" w:name="_Toc15396629"/>
      <w:r>
        <w:rPr>
          <w:rFonts w:hint="default" w:ascii="Times New Roman" w:hAnsi="Times New Roman" w:eastAsia="方正仿宋_GBK" w:cs="Times New Roman"/>
          <w:sz w:val="32"/>
          <w:szCs w:val="32"/>
        </w:rPr>
        <w:t>十一、</w:t>
      </w:r>
      <w:bookmarkEnd w:id="59"/>
      <w:r>
        <w:rPr>
          <w:rFonts w:hint="default" w:ascii="Times New Roman" w:hAnsi="Times New Roman" w:eastAsia="方正仿宋_GBK" w:cs="Times New Roman"/>
          <w:sz w:val="32"/>
          <w:szCs w:val="32"/>
        </w:rPr>
        <w:t>国有资本经营预算财政拨款收入支出决算表</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sz w:val="32"/>
          <w:szCs w:val="32"/>
        </w:rPr>
      </w:pPr>
      <w:bookmarkStart w:id="60" w:name="_Toc15396630"/>
      <w:r>
        <w:rPr>
          <w:rFonts w:hint="default" w:ascii="Times New Roman" w:hAnsi="Times New Roman" w:eastAsia="方正仿宋_GBK" w:cs="Times New Roman"/>
          <w:sz w:val="32"/>
          <w:szCs w:val="32"/>
        </w:rPr>
        <w:t>十二、</w:t>
      </w:r>
      <w:bookmarkEnd w:id="60"/>
      <w:r>
        <w:rPr>
          <w:rFonts w:hint="default" w:ascii="Times New Roman" w:hAnsi="Times New Roman" w:eastAsia="方正仿宋_GBK" w:cs="Times New Roman"/>
          <w:sz w:val="32"/>
          <w:szCs w:val="32"/>
        </w:rPr>
        <w:t>国有资本经营预算财政拨款支出决算表</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sz w:val="32"/>
          <w:szCs w:val="32"/>
        </w:rPr>
      </w:pPr>
      <w:bookmarkStart w:id="61" w:name="_Toc15396631"/>
      <w:r>
        <w:rPr>
          <w:rFonts w:hint="default" w:ascii="Times New Roman" w:hAnsi="Times New Roman" w:eastAsia="方正仿宋_GBK" w:cs="Times New Roman"/>
          <w:sz w:val="32"/>
          <w:szCs w:val="32"/>
        </w:rPr>
        <w:t>十三、</w:t>
      </w:r>
      <w:bookmarkEnd w:id="61"/>
      <w:r>
        <w:rPr>
          <w:rFonts w:hint="default" w:ascii="Times New Roman" w:hAnsi="Times New Roman" w:eastAsia="方正仿宋_GBK" w:cs="Times New Roman"/>
          <w:sz w:val="32"/>
          <w:szCs w:val="32"/>
        </w:rPr>
        <w:t>财政拨款“三公”经费支出决算表</w:t>
      </w:r>
    </w:p>
    <w:sectPr>
      <w:headerReference r:id="rId6" w:type="default"/>
      <w:footerReference r:id="rId7" w:type="default"/>
      <w:pgSz w:w="11906" w:h="16838"/>
      <w:pgMar w:top="2098" w:right="1587" w:bottom="1984" w:left="1587" w:header="851" w:footer="992" w:gutter="0"/>
      <w:pgNumType w:fmt="decimal"/>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0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2000000" w:usb3="00000000" w:csb0="0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auto"/>
    <w:pitch w:val="default"/>
    <w:sig w:usb0="00000001" w:usb1="080E0000" w:usb2="00000000" w:usb3="00000000" w:csb0="00040000" w:csb1="00000000"/>
  </w:font>
  <w:font w:name="Calibri Light">
    <w:altName w:val="DejaVu Sans"/>
    <w:panose1 w:val="020F0302020204030204"/>
    <w:charset w:val="00"/>
    <w:family w:val="auto"/>
    <w:pitch w:val="default"/>
    <w:sig w:usb0="00000000" w:usb1="00000000" w:usb2="00000000" w:usb3="00000000" w:csb0="2000019F" w:csb1="00000000"/>
  </w:font>
  <w:font w:name="仿宋">
    <w:panose1 w:val="02010609060101010101"/>
    <w:charset w:val="86"/>
    <w:family w:val="modern"/>
    <w:pitch w:val="default"/>
    <w:sig w:usb0="800002BF" w:usb1="38CF7CFA" w:usb2="00000016" w:usb3="00000000" w:csb0="00040001" w:csb1="00000000"/>
  </w:font>
  <w:font w:name="方正仿宋简体">
    <w:altName w:val="方正仿宋_GBK"/>
    <w:panose1 w:val="02010601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方正黑体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00000001" w:usb1="08000000" w:usb2="00000000" w:usb3="00000000" w:csb0="00040000" w:csb1="00000000"/>
  </w:font>
  <w:font w:name="simhei">
    <w:altName w:val="仿宋"/>
    <w:panose1 w:val="00000000000000000000"/>
    <w:charset w:val="00"/>
    <w:family w:val="auto"/>
    <w:pitch w:val="default"/>
    <w:sig w:usb0="00000000" w:usb1="00000000" w:usb2="00000000" w:usb3="00000000" w:csb0="00000000" w:csb1="00000000"/>
  </w:font>
  <w:font w:name="微软雅黑">
    <w:altName w:val="黑体"/>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3665" distR="113665" simplePos="0" relativeHeight="251665408" behindDoc="0" locked="0" layoutInCell="1" allowOverlap="1">
              <wp:simplePos x="0" y="0"/>
              <wp:positionH relativeFrom="margin">
                <wp:posOffset>2604770</wp:posOffset>
              </wp:positionH>
              <wp:positionV relativeFrom="paragraph">
                <wp:posOffset>102870</wp:posOffset>
              </wp:positionV>
              <wp:extent cx="88900" cy="230505"/>
              <wp:effectExtent l="0" t="0" r="0" b="0"/>
              <wp:wrapNone/>
              <wp:docPr id="10" name="文本框 16"/>
              <wp:cNvGraphicFramePr/>
              <a:graphic xmlns:a="http://schemas.openxmlformats.org/drawingml/2006/main">
                <a:graphicData uri="http://schemas.microsoft.com/office/word/2010/wordprocessingShape">
                  <wps:wsp>
                    <wps:cNvSpPr/>
                    <wps:spPr>
                      <a:xfrm>
                        <a:off x="0" y="0"/>
                        <a:ext cx="88899" cy="230251"/>
                      </a:xfrm>
                      <a:prstGeom prst="rect">
                        <a:avLst/>
                      </a:prstGeom>
                      <a:noFill/>
                      <a:ln w="6350" cap="flat" cmpd="sng">
                        <a:noFill/>
                        <a:prstDash val="solid"/>
                        <a:round/>
                      </a:ln>
                    </wps:spPr>
                    <wps:txbx>
                      <w:txbxContent>
                        <w:p>
                          <w:pPr>
                            <w:pStyle w:val="10"/>
                            <w:rPr>
                              <w:rFonts w:hint="eastAsia" w:ascii="宋体" w:eastAsia="宋体" w:cs="宋体"/>
                              <w:sz w:val="28"/>
                              <w:szCs w:val="28"/>
                            </w:rPr>
                          </w:pPr>
                          <w:r>
                            <w:rPr>
                              <w:rFonts w:hint="eastAsia" w:ascii="宋体" w:eastAsia="宋体" w:cs="宋体"/>
                              <w:sz w:val="28"/>
                              <w:szCs w:val="28"/>
                            </w:rPr>
                            <w:fldChar w:fldCharType="begin"/>
                          </w:r>
                          <w:r>
                            <w:rPr>
                              <w:rFonts w:hint="eastAsia" w:ascii="宋体" w:eastAsia="宋体" w:cs="宋体"/>
                              <w:sz w:val="28"/>
                              <w:szCs w:val="28"/>
                            </w:rPr>
                            <w:instrText xml:space="preserve"> PAGE  \* MERGEFORMAT </w:instrText>
                          </w:r>
                          <w:r>
                            <w:rPr>
                              <w:rFonts w:hint="eastAsia" w:ascii="宋体" w:eastAsia="宋体" w:cs="宋体"/>
                              <w:sz w:val="28"/>
                              <w:szCs w:val="28"/>
                            </w:rPr>
                            <w:fldChar w:fldCharType="separate"/>
                          </w:r>
                          <w:r>
                            <w:rPr>
                              <w:rFonts w:hint="eastAsia" w:ascii="宋体" w:eastAsia="宋体" w:cs="宋体"/>
                              <w:sz w:val="28"/>
                              <w:szCs w:val="28"/>
                            </w:rPr>
                            <w:t>1</w:t>
                          </w:r>
                          <w:r>
                            <w:rPr>
                              <w:rFonts w:hint="eastAsia" w:ascii="宋体" w:eastAsia="宋体" w:cs="宋体"/>
                              <w:sz w:val="28"/>
                              <w:szCs w:val="28"/>
                            </w:rPr>
                            <w:fldChar w:fldCharType="end"/>
                          </w:r>
                        </w:p>
                      </w:txbxContent>
                    </wps:txbx>
                    <wps:bodyPr vert="horz" wrap="none" lIns="0" tIns="0" rIns="0" bIns="0" anchor="t" anchorCtr="0" upright="0">
                      <a:spAutoFit/>
                    </wps:bodyPr>
                  </wps:wsp>
                </a:graphicData>
              </a:graphic>
            </wp:anchor>
          </w:drawing>
        </mc:Choice>
        <mc:Fallback>
          <w:pict>
            <v:rect id="文本框 16" o:spid="_x0000_s1026" o:spt="1" style="position:absolute;left:0pt;margin-left:205.1pt;margin-top:8.1pt;height:18.15pt;width:7pt;mso-position-horizontal-relative:margin;mso-wrap-style:none;z-index:251665408;mso-width-relative:page;mso-height-relative:page;" filled="f" stroked="f" coordsize="21600,21600" o:gfxdata="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WAAAAZHJzL1BLAQIUABQAAAAIAIdO4kBmiEMk2gAAAAkB&#10;AAAPAAAAAAAAAAEAIAAAADgAAABkcnMvZG93bnJldi54bWxQSwECFAAUAAAACACHTuJA4ZX6HQMC&#10;AAD1AwAADgAAAAAAAAABACAAAAA/AQAAZHJzL2Uyb0RvYy54bWxQSwUGAAAAAAYABgBZAQAAtAUA&#10;AAAA&#10;">
              <v:fill on="f" focussize="0,0"/>
              <v:stroke on="f" weight="0.5pt" joinstyle="round"/>
              <v:imagedata o:title=""/>
              <o:lock v:ext="edit" aspectratio="f"/>
              <v:textbox inset="0mm,0mm,0mm,0mm" style="mso-fit-shape-to-text:t;">
                <w:txbxContent>
                  <w:p>
                    <w:pPr>
                      <w:pStyle w:val="10"/>
                      <w:rPr>
                        <w:rFonts w:hint="eastAsia" w:ascii="宋体" w:eastAsia="宋体" w:cs="宋体"/>
                        <w:sz w:val="28"/>
                        <w:szCs w:val="28"/>
                      </w:rPr>
                    </w:pPr>
                    <w:r>
                      <w:rPr>
                        <w:rFonts w:hint="eastAsia" w:ascii="宋体" w:eastAsia="宋体" w:cs="宋体"/>
                        <w:sz w:val="28"/>
                        <w:szCs w:val="28"/>
                      </w:rPr>
                      <w:fldChar w:fldCharType="begin"/>
                    </w:r>
                    <w:r>
                      <w:rPr>
                        <w:rFonts w:hint="eastAsia" w:ascii="宋体" w:eastAsia="宋体" w:cs="宋体"/>
                        <w:sz w:val="28"/>
                        <w:szCs w:val="28"/>
                      </w:rPr>
                      <w:instrText xml:space="preserve"> PAGE  \* MERGEFORMAT </w:instrText>
                    </w:r>
                    <w:r>
                      <w:rPr>
                        <w:rFonts w:hint="eastAsia" w:ascii="宋体" w:eastAsia="宋体" w:cs="宋体"/>
                        <w:sz w:val="28"/>
                        <w:szCs w:val="28"/>
                      </w:rPr>
                      <w:fldChar w:fldCharType="separate"/>
                    </w:r>
                    <w:r>
                      <w:rPr>
                        <w:rFonts w:hint="eastAsia" w:ascii="宋体" w:eastAsia="宋体" w:cs="宋体"/>
                        <w:sz w:val="28"/>
                        <w:szCs w:val="28"/>
                      </w:rPr>
                      <w:t>1</w:t>
                    </w:r>
                    <w:r>
                      <w:rPr>
                        <w:rFonts w:hint="eastAsia" w:ascii="宋体" w:eastAsia="宋体" w:cs="宋体"/>
                        <w:sz w:val="28"/>
                        <w:szCs w:val="28"/>
                      </w:rP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t>—</w:t>
                          </w: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ajorEastAsia" w:hAnsiTheme="majorEastAsia" w:eastAsiaTheme="majorEastAsia" w:cstheme="majorEastAsia"/>
                              <w:sz w:val="28"/>
                              <w:szCs w:val="28"/>
                            </w:rPr>
                            <w:t xml:space="preserve"> </w:t>
                          </w:r>
                          <w: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C5WZn4yAgAAYwQAAA4AAAAAAAAAAQAgAAAA&#10;NQEAAGRycy9lMm9Eb2MueG1sUEsFBgAAAAAGAAYAWQEAANkFAAAAAA==&#10;">
              <v:fill on="f" focussize="0,0"/>
              <v:stroke on="f" weight="0.5pt"/>
              <v:imagedata o:title=""/>
              <o:lock v:ext="edit" aspectratio="f"/>
              <v:textbox inset="0mm,0mm,0mm,0mm" style="mso-fit-shape-to-text:t;">
                <w:txbxContent>
                  <w:p>
                    <w:pPr>
                      <w:pStyle w:val="10"/>
                    </w:pPr>
                    <w:r>
                      <w:t>—</w:t>
                    </w: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ajorEastAsia" w:hAnsiTheme="majorEastAsia" w:eastAsiaTheme="majorEastAsia" w:cstheme="majorEastAsia"/>
                        <w:sz w:val="28"/>
                        <w:szCs w:val="28"/>
                      </w:rPr>
                      <w:t xml:space="preserve"> </w:t>
                    </w:r>
                    <w:r>
                      <w:t>—</w:t>
                    </w:r>
                  </w:p>
                </w:txbxContent>
              </v:textbox>
            </v:shape>
          </w:pict>
        </mc:Fallback>
      </mc:AlternateContent>
    </w:r>
    <w:r>
      <w:rPr>
        <w:rFonts w:hint="eastAsia"/>
        <w:lang w:eastAsia="zh-CN"/>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19</w:t>
                          </w:r>
                          <w:r>
                            <w:rPr>
                              <w:rFonts w:hint="eastAsia" w:asciiTheme="majorEastAsia" w:hAnsiTheme="majorEastAsia" w:eastAsiaTheme="majorEastAsia" w:cstheme="majorEastAsia"/>
                              <w:sz w:val="28"/>
                              <w:szCs w:val="28"/>
                            </w:rP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s/vGRMQIAAGM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bP7xkTECAABjBAAADgAAAAAAAAABACAAAAA1&#10;AQAAZHJzL2Uyb0RvYy54bWxQSwUGAAAAAAYABgBZAQAA2AUAAAAA&#10;">
              <v:fill on="f" focussize="0,0"/>
              <v:stroke on="f" weight="0.5pt"/>
              <v:imagedata o:title=""/>
              <o:lock v:ext="edit" aspectratio="f"/>
              <v:textbox inset="0mm,0mm,0mm,0mm" style="mso-fit-shape-to-text:t;">
                <w:txbxContent>
                  <w:p>
                    <w:pPr>
                      <w:pStyle w:val="10"/>
                    </w:pPr>
                    <w: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19</w:t>
                    </w:r>
                    <w:r>
                      <w:rPr>
                        <w:rFonts w:hint="eastAsia" w:asciiTheme="majorEastAsia" w:hAnsiTheme="majorEastAsia" w:eastAsiaTheme="majorEastAsia" w:cstheme="majorEastAsia"/>
                        <w:sz w:val="28"/>
                        <w:szCs w:val="28"/>
                      </w:rP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A1DAD"/>
    <w:rsid w:val="001C0962"/>
    <w:rsid w:val="001D7531"/>
    <w:rsid w:val="001E737D"/>
    <w:rsid w:val="001F0592"/>
    <w:rsid w:val="001F7506"/>
    <w:rsid w:val="002006CD"/>
    <w:rsid w:val="00202B36"/>
    <w:rsid w:val="00204B7A"/>
    <w:rsid w:val="00204CDE"/>
    <w:rsid w:val="00206907"/>
    <w:rsid w:val="0021101A"/>
    <w:rsid w:val="00212B4A"/>
    <w:rsid w:val="00220536"/>
    <w:rsid w:val="00235629"/>
    <w:rsid w:val="00260C38"/>
    <w:rsid w:val="002616C0"/>
    <w:rsid w:val="00265372"/>
    <w:rsid w:val="002662AA"/>
    <w:rsid w:val="00280496"/>
    <w:rsid w:val="00294DC9"/>
    <w:rsid w:val="00295495"/>
    <w:rsid w:val="002A31DE"/>
    <w:rsid w:val="002B2613"/>
    <w:rsid w:val="002C5004"/>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25C50"/>
    <w:rsid w:val="0043177C"/>
    <w:rsid w:val="00434489"/>
    <w:rsid w:val="00437085"/>
    <w:rsid w:val="00443880"/>
    <w:rsid w:val="004464F4"/>
    <w:rsid w:val="0046049C"/>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533CF"/>
    <w:rsid w:val="005664BB"/>
    <w:rsid w:val="00566FFA"/>
    <w:rsid w:val="0057481D"/>
    <w:rsid w:val="0058486E"/>
    <w:rsid w:val="00585B33"/>
    <w:rsid w:val="0059014D"/>
    <w:rsid w:val="005B5C64"/>
    <w:rsid w:val="005B6E8A"/>
    <w:rsid w:val="005C5337"/>
    <w:rsid w:val="005C6BD0"/>
    <w:rsid w:val="005D1C8B"/>
    <w:rsid w:val="005D468D"/>
    <w:rsid w:val="005D5CED"/>
    <w:rsid w:val="005F10BC"/>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55FC5"/>
    <w:rsid w:val="0066343B"/>
    <w:rsid w:val="00664777"/>
    <w:rsid w:val="006748A4"/>
    <w:rsid w:val="00681A31"/>
    <w:rsid w:val="00683E73"/>
    <w:rsid w:val="006A3141"/>
    <w:rsid w:val="006A5E34"/>
    <w:rsid w:val="006B2422"/>
    <w:rsid w:val="006B2B9A"/>
    <w:rsid w:val="006C1937"/>
    <w:rsid w:val="006F020C"/>
    <w:rsid w:val="0071021A"/>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10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C7FD8"/>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1E6F"/>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5B643C"/>
    <w:rsid w:val="03DC2831"/>
    <w:rsid w:val="077F6B4D"/>
    <w:rsid w:val="07F78BFB"/>
    <w:rsid w:val="081B5E94"/>
    <w:rsid w:val="0A2032A3"/>
    <w:rsid w:val="0B8A37D8"/>
    <w:rsid w:val="0BEC55A7"/>
    <w:rsid w:val="0F5FF74B"/>
    <w:rsid w:val="0F5FFB2F"/>
    <w:rsid w:val="0F75D5CF"/>
    <w:rsid w:val="0FBEBCB4"/>
    <w:rsid w:val="0FFFCF60"/>
    <w:rsid w:val="10C055FF"/>
    <w:rsid w:val="118107EC"/>
    <w:rsid w:val="11DD6519"/>
    <w:rsid w:val="16BB723D"/>
    <w:rsid w:val="17BF4337"/>
    <w:rsid w:val="18015F3F"/>
    <w:rsid w:val="1BBE3B6D"/>
    <w:rsid w:val="1BE8440E"/>
    <w:rsid w:val="1C7E5BD0"/>
    <w:rsid w:val="1D155CEE"/>
    <w:rsid w:val="1DFDC2AC"/>
    <w:rsid w:val="1ED3BBC8"/>
    <w:rsid w:val="1EEBFE75"/>
    <w:rsid w:val="1EF7CD4D"/>
    <w:rsid w:val="1EFE92FE"/>
    <w:rsid w:val="1F3F047C"/>
    <w:rsid w:val="1F68CBA2"/>
    <w:rsid w:val="1FAF09A0"/>
    <w:rsid w:val="1FBE32E3"/>
    <w:rsid w:val="1FCF76BD"/>
    <w:rsid w:val="1FDBBF84"/>
    <w:rsid w:val="1FF7F9F7"/>
    <w:rsid w:val="20F57F95"/>
    <w:rsid w:val="240371BF"/>
    <w:rsid w:val="25711CC6"/>
    <w:rsid w:val="25C741E6"/>
    <w:rsid w:val="25D3ED0E"/>
    <w:rsid w:val="26BE4CDC"/>
    <w:rsid w:val="276F80C0"/>
    <w:rsid w:val="27842671"/>
    <w:rsid w:val="27B9EEE2"/>
    <w:rsid w:val="27DF5EFE"/>
    <w:rsid w:val="29B2CCF1"/>
    <w:rsid w:val="29FD04D3"/>
    <w:rsid w:val="2ABE7A3E"/>
    <w:rsid w:val="2AD72417"/>
    <w:rsid w:val="2AFF09B6"/>
    <w:rsid w:val="2B3F2C41"/>
    <w:rsid w:val="2B8FA5F0"/>
    <w:rsid w:val="2BFF433A"/>
    <w:rsid w:val="2CA234A8"/>
    <w:rsid w:val="2CBF274F"/>
    <w:rsid w:val="2CBF66AB"/>
    <w:rsid w:val="2CF62264"/>
    <w:rsid w:val="2DE7C09C"/>
    <w:rsid w:val="2DED75DA"/>
    <w:rsid w:val="2E7FDE0D"/>
    <w:rsid w:val="2ED6FBFC"/>
    <w:rsid w:val="2EFA178C"/>
    <w:rsid w:val="2EFDAB40"/>
    <w:rsid w:val="2EFDF86C"/>
    <w:rsid w:val="2EFF7299"/>
    <w:rsid w:val="2F7F89F8"/>
    <w:rsid w:val="2F9D17E1"/>
    <w:rsid w:val="2FDFDAC6"/>
    <w:rsid w:val="30B46D73"/>
    <w:rsid w:val="319F7F4E"/>
    <w:rsid w:val="31F96FE0"/>
    <w:rsid w:val="32B7DE74"/>
    <w:rsid w:val="331F0C67"/>
    <w:rsid w:val="33BE09F1"/>
    <w:rsid w:val="33DB4A77"/>
    <w:rsid w:val="33DB514D"/>
    <w:rsid w:val="356A28F1"/>
    <w:rsid w:val="357C035A"/>
    <w:rsid w:val="368E000D"/>
    <w:rsid w:val="36DF8D87"/>
    <w:rsid w:val="37CDC7D3"/>
    <w:rsid w:val="37DF6DD6"/>
    <w:rsid w:val="37ECB9F2"/>
    <w:rsid w:val="37FB1D1F"/>
    <w:rsid w:val="37FF19A9"/>
    <w:rsid w:val="383D272C"/>
    <w:rsid w:val="39AE70AB"/>
    <w:rsid w:val="39FF4CED"/>
    <w:rsid w:val="3A3FA4E9"/>
    <w:rsid w:val="3A4DCE41"/>
    <w:rsid w:val="3AEFB8B4"/>
    <w:rsid w:val="3AFAAF8B"/>
    <w:rsid w:val="3B5DFB42"/>
    <w:rsid w:val="3BCB56FA"/>
    <w:rsid w:val="3C0C0783"/>
    <w:rsid w:val="3CDB1DD0"/>
    <w:rsid w:val="3DAA2822"/>
    <w:rsid w:val="3DDF411C"/>
    <w:rsid w:val="3DFC9038"/>
    <w:rsid w:val="3DFE902F"/>
    <w:rsid w:val="3DFF306D"/>
    <w:rsid w:val="3DFF94DA"/>
    <w:rsid w:val="3E7E30A1"/>
    <w:rsid w:val="3EBF3026"/>
    <w:rsid w:val="3EE7C2F4"/>
    <w:rsid w:val="3EFBB447"/>
    <w:rsid w:val="3EFCDCBC"/>
    <w:rsid w:val="3EFD707E"/>
    <w:rsid w:val="3EFF1D72"/>
    <w:rsid w:val="3EFFDAE0"/>
    <w:rsid w:val="3F371B56"/>
    <w:rsid w:val="3F3F7B20"/>
    <w:rsid w:val="3F5F89F1"/>
    <w:rsid w:val="3F67B4EA"/>
    <w:rsid w:val="3F6EF618"/>
    <w:rsid w:val="3F766321"/>
    <w:rsid w:val="3F792ED8"/>
    <w:rsid w:val="3F7FEA6A"/>
    <w:rsid w:val="3F91B757"/>
    <w:rsid w:val="3F9F3A96"/>
    <w:rsid w:val="3FB4EB6C"/>
    <w:rsid w:val="3FB58180"/>
    <w:rsid w:val="3FEB59CE"/>
    <w:rsid w:val="3FECA4B2"/>
    <w:rsid w:val="3FEED023"/>
    <w:rsid w:val="3FF58C48"/>
    <w:rsid w:val="3FF7472B"/>
    <w:rsid w:val="3FF7B176"/>
    <w:rsid w:val="3FFD90CF"/>
    <w:rsid w:val="3FFF21A6"/>
    <w:rsid w:val="3FFF7CB7"/>
    <w:rsid w:val="41BA909D"/>
    <w:rsid w:val="41D76F05"/>
    <w:rsid w:val="42FF6694"/>
    <w:rsid w:val="47CB87B9"/>
    <w:rsid w:val="47FF5B2F"/>
    <w:rsid w:val="48BF60AB"/>
    <w:rsid w:val="493C27E9"/>
    <w:rsid w:val="496F39ED"/>
    <w:rsid w:val="49FF41D3"/>
    <w:rsid w:val="4B2F4F63"/>
    <w:rsid w:val="4B7FD91F"/>
    <w:rsid w:val="4BE068DB"/>
    <w:rsid w:val="4BF6002B"/>
    <w:rsid w:val="4BFFC6BE"/>
    <w:rsid w:val="4E6770C6"/>
    <w:rsid w:val="4ECE2238"/>
    <w:rsid w:val="4EEE75E9"/>
    <w:rsid w:val="4EFD9A46"/>
    <w:rsid w:val="4FBF33C7"/>
    <w:rsid w:val="4FCD09AA"/>
    <w:rsid w:val="4FDED0CA"/>
    <w:rsid w:val="4FEF6E65"/>
    <w:rsid w:val="50F5126A"/>
    <w:rsid w:val="51DB4B86"/>
    <w:rsid w:val="51DE01D1"/>
    <w:rsid w:val="51F64DB0"/>
    <w:rsid w:val="537DDE0F"/>
    <w:rsid w:val="53A30ED7"/>
    <w:rsid w:val="54BF32D4"/>
    <w:rsid w:val="55333C3E"/>
    <w:rsid w:val="55DBEAD1"/>
    <w:rsid w:val="56CE0668"/>
    <w:rsid w:val="56EF20B5"/>
    <w:rsid w:val="56EFCCC7"/>
    <w:rsid w:val="56FFE1EF"/>
    <w:rsid w:val="579679F9"/>
    <w:rsid w:val="57ED988B"/>
    <w:rsid w:val="57F978CB"/>
    <w:rsid w:val="57FF648A"/>
    <w:rsid w:val="57FF8A21"/>
    <w:rsid w:val="59ABA4C6"/>
    <w:rsid w:val="5B1F2705"/>
    <w:rsid w:val="5BBA987B"/>
    <w:rsid w:val="5BE7BABC"/>
    <w:rsid w:val="5CFBBAA7"/>
    <w:rsid w:val="5CFBFDC7"/>
    <w:rsid w:val="5D77583F"/>
    <w:rsid w:val="5DBF8715"/>
    <w:rsid w:val="5DE5029C"/>
    <w:rsid w:val="5DFAF468"/>
    <w:rsid w:val="5E2DD374"/>
    <w:rsid w:val="5E3C6266"/>
    <w:rsid w:val="5EEB07AC"/>
    <w:rsid w:val="5EF73BE1"/>
    <w:rsid w:val="5F1B3A18"/>
    <w:rsid w:val="5F56EACB"/>
    <w:rsid w:val="5F67802D"/>
    <w:rsid w:val="5F77A883"/>
    <w:rsid w:val="5F7DC4F2"/>
    <w:rsid w:val="5F7F868D"/>
    <w:rsid w:val="5FB36814"/>
    <w:rsid w:val="5FB47D75"/>
    <w:rsid w:val="5FBB8E56"/>
    <w:rsid w:val="5FDC2D2B"/>
    <w:rsid w:val="5FEA4216"/>
    <w:rsid w:val="5FEF833C"/>
    <w:rsid w:val="5FF5EF07"/>
    <w:rsid w:val="5FF70D90"/>
    <w:rsid w:val="5FF748FE"/>
    <w:rsid w:val="5FF9BF2B"/>
    <w:rsid w:val="5FFB5535"/>
    <w:rsid w:val="5FFD941E"/>
    <w:rsid w:val="604DBEC5"/>
    <w:rsid w:val="61BE72B3"/>
    <w:rsid w:val="622DB413"/>
    <w:rsid w:val="62EF3BF8"/>
    <w:rsid w:val="63BF4586"/>
    <w:rsid w:val="63FE965F"/>
    <w:rsid w:val="64CA39A1"/>
    <w:rsid w:val="64FF8FB5"/>
    <w:rsid w:val="65791DCE"/>
    <w:rsid w:val="673B808F"/>
    <w:rsid w:val="67B2E8D1"/>
    <w:rsid w:val="67E76B13"/>
    <w:rsid w:val="67F41A2E"/>
    <w:rsid w:val="67FC51DA"/>
    <w:rsid w:val="69630ADE"/>
    <w:rsid w:val="697B410A"/>
    <w:rsid w:val="69BD5F13"/>
    <w:rsid w:val="69FB0B4B"/>
    <w:rsid w:val="6AF051CF"/>
    <w:rsid w:val="6AFEB824"/>
    <w:rsid w:val="6B22F0B8"/>
    <w:rsid w:val="6BDF7D5A"/>
    <w:rsid w:val="6BE65242"/>
    <w:rsid w:val="6BF6964F"/>
    <w:rsid w:val="6BFA3C0F"/>
    <w:rsid w:val="6BFF12B5"/>
    <w:rsid w:val="6BFFE1FB"/>
    <w:rsid w:val="6C4A05C8"/>
    <w:rsid w:val="6CE49A6F"/>
    <w:rsid w:val="6CE6C857"/>
    <w:rsid w:val="6CFF86B7"/>
    <w:rsid w:val="6D3B1A89"/>
    <w:rsid w:val="6D601E64"/>
    <w:rsid w:val="6D6B18A6"/>
    <w:rsid w:val="6D73755A"/>
    <w:rsid w:val="6D75D6EB"/>
    <w:rsid w:val="6D79E217"/>
    <w:rsid w:val="6DB7D8A3"/>
    <w:rsid w:val="6DCF4B4D"/>
    <w:rsid w:val="6DF9DED4"/>
    <w:rsid w:val="6DFEAB09"/>
    <w:rsid w:val="6DFF6B44"/>
    <w:rsid w:val="6E1F4AF4"/>
    <w:rsid w:val="6E3E09EE"/>
    <w:rsid w:val="6E57173F"/>
    <w:rsid w:val="6EAED896"/>
    <w:rsid w:val="6EAFD4DE"/>
    <w:rsid w:val="6EC78701"/>
    <w:rsid w:val="6F3F0991"/>
    <w:rsid w:val="6F4FFF68"/>
    <w:rsid w:val="6F56BB80"/>
    <w:rsid w:val="6F5B0536"/>
    <w:rsid w:val="6F6FBFCC"/>
    <w:rsid w:val="6F720222"/>
    <w:rsid w:val="6F7A5481"/>
    <w:rsid w:val="6F7DE4D1"/>
    <w:rsid w:val="6F9645E5"/>
    <w:rsid w:val="6F9F995F"/>
    <w:rsid w:val="6FB75CB2"/>
    <w:rsid w:val="6FB7A888"/>
    <w:rsid w:val="6FBB8A2A"/>
    <w:rsid w:val="6FBE97FC"/>
    <w:rsid w:val="6FDA7A2E"/>
    <w:rsid w:val="6FEF9DDC"/>
    <w:rsid w:val="6FF79612"/>
    <w:rsid w:val="6FFB4E51"/>
    <w:rsid w:val="6FFE07A9"/>
    <w:rsid w:val="6FFF0271"/>
    <w:rsid w:val="6FFF9588"/>
    <w:rsid w:val="6FFFB52A"/>
    <w:rsid w:val="703BDB8B"/>
    <w:rsid w:val="71BF4EC2"/>
    <w:rsid w:val="71EF7154"/>
    <w:rsid w:val="72734D90"/>
    <w:rsid w:val="73AF53EF"/>
    <w:rsid w:val="73B36251"/>
    <w:rsid w:val="73BD4559"/>
    <w:rsid w:val="73E75B71"/>
    <w:rsid w:val="73F609A4"/>
    <w:rsid w:val="73FBCCAC"/>
    <w:rsid w:val="73FEB240"/>
    <w:rsid w:val="7412278C"/>
    <w:rsid w:val="74F75042"/>
    <w:rsid w:val="74F8ACDA"/>
    <w:rsid w:val="75DDCDA9"/>
    <w:rsid w:val="75DF8BCF"/>
    <w:rsid w:val="75EBA1FE"/>
    <w:rsid w:val="75EBCE0E"/>
    <w:rsid w:val="75FB967B"/>
    <w:rsid w:val="75FBC97F"/>
    <w:rsid w:val="75FF44B1"/>
    <w:rsid w:val="75FF846B"/>
    <w:rsid w:val="75FFF968"/>
    <w:rsid w:val="76159119"/>
    <w:rsid w:val="763F2412"/>
    <w:rsid w:val="76DD6E2B"/>
    <w:rsid w:val="76E9F935"/>
    <w:rsid w:val="76EDE228"/>
    <w:rsid w:val="76F724E2"/>
    <w:rsid w:val="76FB8D01"/>
    <w:rsid w:val="773F9382"/>
    <w:rsid w:val="774E18DB"/>
    <w:rsid w:val="77670518"/>
    <w:rsid w:val="777DC8B6"/>
    <w:rsid w:val="777F55B9"/>
    <w:rsid w:val="777FA627"/>
    <w:rsid w:val="77B32657"/>
    <w:rsid w:val="77D5227E"/>
    <w:rsid w:val="77DF1B5F"/>
    <w:rsid w:val="77ED7983"/>
    <w:rsid w:val="77EF2D9D"/>
    <w:rsid w:val="77FD19A0"/>
    <w:rsid w:val="77FED203"/>
    <w:rsid w:val="77FF9508"/>
    <w:rsid w:val="77FFB942"/>
    <w:rsid w:val="78D974D5"/>
    <w:rsid w:val="78FFDC75"/>
    <w:rsid w:val="797F6501"/>
    <w:rsid w:val="797FD6DE"/>
    <w:rsid w:val="79E7B28D"/>
    <w:rsid w:val="79F12747"/>
    <w:rsid w:val="79F63059"/>
    <w:rsid w:val="7A1E3AC1"/>
    <w:rsid w:val="7A3C23A7"/>
    <w:rsid w:val="7ACFF0C2"/>
    <w:rsid w:val="7AE6547E"/>
    <w:rsid w:val="7AFB9108"/>
    <w:rsid w:val="7AFF0646"/>
    <w:rsid w:val="7AFF0E54"/>
    <w:rsid w:val="7B270DF8"/>
    <w:rsid w:val="7B7304D0"/>
    <w:rsid w:val="7B736414"/>
    <w:rsid w:val="7B7B41E9"/>
    <w:rsid w:val="7B7B8778"/>
    <w:rsid w:val="7B7FE17C"/>
    <w:rsid w:val="7B925FBA"/>
    <w:rsid w:val="7BB63616"/>
    <w:rsid w:val="7BBF75E8"/>
    <w:rsid w:val="7BD5340C"/>
    <w:rsid w:val="7BDE66D5"/>
    <w:rsid w:val="7BDF83DF"/>
    <w:rsid w:val="7BED6757"/>
    <w:rsid w:val="7BF9A047"/>
    <w:rsid w:val="7BFB19D2"/>
    <w:rsid w:val="7BFB2661"/>
    <w:rsid w:val="7BFD1750"/>
    <w:rsid w:val="7BFDAA1B"/>
    <w:rsid w:val="7BFDC920"/>
    <w:rsid w:val="7BFEFCCD"/>
    <w:rsid w:val="7C7FD533"/>
    <w:rsid w:val="7CD92881"/>
    <w:rsid w:val="7CDF9A82"/>
    <w:rsid w:val="7CEDD099"/>
    <w:rsid w:val="7CEFD539"/>
    <w:rsid w:val="7CF727E0"/>
    <w:rsid w:val="7CFF1982"/>
    <w:rsid w:val="7CFFA1BD"/>
    <w:rsid w:val="7D2E3F7A"/>
    <w:rsid w:val="7D371CD9"/>
    <w:rsid w:val="7D3E07DD"/>
    <w:rsid w:val="7D3F90DA"/>
    <w:rsid w:val="7D7369B7"/>
    <w:rsid w:val="7DCAD056"/>
    <w:rsid w:val="7DD5119E"/>
    <w:rsid w:val="7DD7BAC9"/>
    <w:rsid w:val="7DDFDD51"/>
    <w:rsid w:val="7DE7A3E3"/>
    <w:rsid w:val="7DED9490"/>
    <w:rsid w:val="7DEF6C41"/>
    <w:rsid w:val="7DFA0AC6"/>
    <w:rsid w:val="7DFBD8D0"/>
    <w:rsid w:val="7DFF4872"/>
    <w:rsid w:val="7E16967D"/>
    <w:rsid w:val="7E575385"/>
    <w:rsid w:val="7E688AE7"/>
    <w:rsid w:val="7E70E33B"/>
    <w:rsid w:val="7E7487E6"/>
    <w:rsid w:val="7E753816"/>
    <w:rsid w:val="7E7C2A54"/>
    <w:rsid w:val="7E7EEDC4"/>
    <w:rsid w:val="7E970F0C"/>
    <w:rsid w:val="7E9F5141"/>
    <w:rsid w:val="7E9FDF63"/>
    <w:rsid w:val="7EBC64EE"/>
    <w:rsid w:val="7EBF8889"/>
    <w:rsid w:val="7EC06310"/>
    <w:rsid w:val="7EDADCAC"/>
    <w:rsid w:val="7EDFC9A1"/>
    <w:rsid w:val="7EEEFD72"/>
    <w:rsid w:val="7EF53915"/>
    <w:rsid w:val="7EF62710"/>
    <w:rsid w:val="7EF80AC7"/>
    <w:rsid w:val="7EFD9A80"/>
    <w:rsid w:val="7EFF7D7D"/>
    <w:rsid w:val="7F1D517C"/>
    <w:rsid w:val="7F1E4D97"/>
    <w:rsid w:val="7F1FA497"/>
    <w:rsid w:val="7F3B7562"/>
    <w:rsid w:val="7F3F0750"/>
    <w:rsid w:val="7F4F294B"/>
    <w:rsid w:val="7F5DA057"/>
    <w:rsid w:val="7F5F1879"/>
    <w:rsid w:val="7F6C2237"/>
    <w:rsid w:val="7F772FA4"/>
    <w:rsid w:val="7F7CF11E"/>
    <w:rsid w:val="7F7D5D1A"/>
    <w:rsid w:val="7F7DA8A4"/>
    <w:rsid w:val="7F7F02A3"/>
    <w:rsid w:val="7F7F2E0A"/>
    <w:rsid w:val="7F7F319B"/>
    <w:rsid w:val="7F932119"/>
    <w:rsid w:val="7F9F20EE"/>
    <w:rsid w:val="7FA3E0A7"/>
    <w:rsid w:val="7FAF81FE"/>
    <w:rsid w:val="7FB73E1F"/>
    <w:rsid w:val="7FBA9299"/>
    <w:rsid w:val="7FBBE890"/>
    <w:rsid w:val="7FBC2ABD"/>
    <w:rsid w:val="7FBF1BE6"/>
    <w:rsid w:val="7FBF5D48"/>
    <w:rsid w:val="7FBFE80B"/>
    <w:rsid w:val="7FC7E98C"/>
    <w:rsid w:val="7FCCFC01"/>
    <w:rsid w:val="7FCFCF2A"/>
    <w:rsid w:val="7FD1A3D3"/>
    <w:rsid w:val="7FD7C17B"/>
    <w:rsid w:val="7FDD1748"/>
    <w:rsid w:val="7FDF689E"/>
    <w:rsid w:val="7FDF7A5D"/>
    <w:rsid w:val="7FDFF262"/>
    <w:rsid w:val="7FE769C6"/>
    <w:rsid w:val="7FE77947"/>
    <w:rsid w:val="7FEF9944"/>
    <w:rsid w:val="7FF799D2"/>
    <w:rsid w:val="7FF7A832"/>
    <w:rsid w:val="7FF97E55"/>
    <w:rsid w:val="7FFBE16D"/>
    <w:rsid w:val="7FFC4B75"/>
    <w:rsid w:val="7FFD083E"/>
    <w:rsid w:val="7FFE12D1"/>
    <w:rsid w:val="7FFF7E98"/>
    <w:rsid w:val="7FFF9295"/>
    <w:rsid w:val="7FFF9372"/>
    <w:rsid w:val="7FFFB6A1"/>
    <w:rsid w:val="7FFFDBDB"/>
    <w:rsid w:val="7FFFE556"/>
    <w:rsid w:val="83FF4065"/>
    <w:rsid w:val="84BF1F3B"/>
    <w:rsid w:val="8CADB8E2"/>
    <w:rsid w:val="8F55B106"/>
    <w:rsid w:val="8F61D2EF"/>
    <w:rsid w:val="8FBA721D"/>
    <w:rsid w:val="8FF9F61F"/>
    <w:rsid w:val="916F8B08"/>
    <w:rsid w:val="93ABC6A0"/>
    <w:rsid w:val="95DF317D"/>
    <w:rsid w:val="9675CA6A"/>
    <w:rsid w:val="977CB4CC"/>
    <w:rsid w:val="97D75A9A"/>
    <w:rsid w:val="97E77C70"/>
    <w:rsid w:val="97FF9846"/>
    <w:rsid w:val="98FD4440"/>
    <w:rsid w:val="9B7D8557"/>
    <w:rsid w:val="9BEF0351"/>
    <w:rsid w:val="9CFED0DA"/>
    <w:rsid w:val="9DB8926E"/>
    <w:rsid w:val="9E3A10E2"/>
    <w:rsid w:val="9E871E71"/>
    <w:rsid w:val="9EEBC8A9"/>
    <w:rsid w:val="9EEE57A9"/>
    <w:rsid w:val="9EFEA2C1"/>
    <w:rsid w:val="9FAF2969"/>
    <w:rsid w:val="9FB91FBD"/>
    <w:rsid w:val="9FD54998"/>
    <w:rsid w:val="9FD71426"/>
    <w:rsid w:val="9FFA49B2"/>
    <w:rsid w:val="9FFB613E"/>
    <w:rsid w:val="9FFEC187"/>
    <w:rsid w:val="A671883B"/>
    <w:rsid w:val="A73FF6EB"/>
    <w:rsid w:val="A773DF43"/>
    <w:rsid w:val="A7EFD17F"/>
    <w:rsid w:val="A7FFE43F"/>
    <w:rsid w:val="A8EF4354"/>
    <w:rsid w:val="AAFD5455"/>
    <w:rsid w:val="AB6FB216"/>
    <w:rsid w:val="AD2DC942"/>
    <w:rsid w:val="ADD7AE7A"/>
    <w:rsid w:val="ADEFDD66"/>
    <w:rsid w:val="ADEFE487"/>
    <w:rsid w:val="AE6FE409"/>
    <w:rsid w:val="AEE3E24F"/>
    <w:rsid w:val="AEFF9CDA"/>
    <w:rsid w:val="AF6DFAD9"/>
    <w:rsid w:val="AF709A62"/>
    <w:rsid w:val="AFB7A596"/>
    <w:rsid w:val="AFEFF828"/>
    <w:rsid w:val="AFF803E3"/>
    <w:rsid w:val="AFFFB1C1"/>
    <w:rsid w:val="B37DE6F7"/>
    <w:rsid w:val="B3EF1F1F"/>
    <w:rsid w:val="B5BFB334"/>
    <w:rsid w:val="B5D73E52"/>
    <w:rsid w:val="B66EA0CC"/>
    <w:rsid w:val="B6ECE226"/>
    <w:rsid w:val="B7927C98"/>
    <w:rsid w:val="B797E727"/>
    <w:rsid w:val="B7EB6B2A"/>
    <w:rsid w:val="B7EF73C7"/>
    <w:rsid w:val="B9FD3F87"/>
    <w:rsid w:val="B9FF3815"/>
    <w:rsid w:val="BBBF452D"/>
    <w:rsid w:val="BBF61788"/>
    <w:rsid w:val="BBF73493"/>
    <w:rsid w:val="BBFA7B86"/>
    <w:rsid w:val="BCD72ED0"/>
    <w:rsid w:val="BDCB492F"/>
    <w:rsid w:val="BDF49ABB"/>
    <w:rsid w:val="BDFAF69F"/>
    <w:rsid w:val="BDFE71C1"/>
    <w:rsid w:val="BDFEA317"/>
    <w:rsid w:val="BDFEA6D5"/>
    <w:rsid w:val="BDFF7981"/>
    <w:rsid w:val="BE4BB65D"/>
    <w:rsid w:val="BE6F1211"/>
    <w:rsid w:val="BE7F18A7"/>
    <w:rsid w:val="BE9F3570"/>
    <w:rsid w:val="BEFD52E6"/>
    <w:rsid w:val="BEFF13CA"/>
    <w:rsid w:val="BF1C5B6A"/>
    <w:rsid w:val="BF5B68DA"/>
    <w:rsid w:val="BF77AC0B"/>
    <w:rsid w:val="BF7F0BF4"/>
    <w:rsid w:val="BF9FAEB7"/>
    <w:rsid w:val="BF9FF227"/>
    <w:rsid w:val="BFAF1D28"/>
    <w:rsid w:val="BFBF8359"/>
    <w:rsid w:val="BFBF837D"/>
    <w:rsid w:val="BFBFD37C"/>
    <w:rsid w:val="BFD44705"/>
    <w:rsid w:val="BFDE5A6C"/>
    <w:rsid w:val="BFF8C6F8"/>
    <w:rsid w:val="BFFB24BC"/>
    <w:rsid w:val="BFFF1F9A"/>
    <w:rsid w:val="BFFFD20F"/>
    <w:rsid w:val="C377C2C1"/>
    <w:rsid w:val="C6DB1395"/>
    <w:rsid w:val="C91D6DA7"/>
    <w:rsid w:val="C9A5CCD6"/>
    <w:rsid w:val="C9FB0ACF"/>
    <w:rsid w:val="CB2BFF20"/>
    <w:rsid w:val="CBBB6E10"/>
    <w:rsid w:val="CBDF2937"/>
    <w:rsid w:val="CBDFA0E1"/>
    <w:rsid w:val="CC792F2B"/>
    <w:rsid w:val="CD9BBABB"/>
    <w:rsid w:val="CDBE1EB2"/>
    <w:rsid w:val="CDBF7A2E"/>
    <w:rsid w:val="CE66236D"/>
    <w:rsid w:val="CF6F593E"/>
    <w:rsid w:val="CF99F292"/>
    <w:rsid w:val="CFA6CA1D"/>
    <w:rsid w:val="CFBA3348"/>
    <w:rsid w:val="CFCF1614"/>
    <w:rsid w:val="CFFBDDEC"/>
    <w:rsid w:val="CFFD30BF"/>
    <w:rsid w:val="D2375462"/>
    <w:rsid w:val="D26B7CD2"/>
    <w:rsid w:val="D31B93A1"/>
    <w:rsid w:val="D35717B8"/>
    <w:rsid w:val="D3AEFC37"/>
    <w:rsid w:val="D3CF27D4"/>
    <w:rsid w:val="D4BF554E"/>
    <w:rsid w:val="D4CEC81D"/>
    <w:rsid w:val="D5DA60B3"/>
    <w:rsid w:val="D6D800CA"/>
    <w:rsid w:val="D6F62769"/>
    <w:rsid w:val="D6FE4F50"/>
    <w:rsid w:val="D76F0B3B"/>
    <w:rsid w:val="D79F24F4"/>
    <w:rsid w:val="D7BF91F3"/>
    <w:rsid w:val="D7C6F579"/>
    <w:rsid w:val="D7E55510"/>
    <w:rsid w:val="D7E7326B"/>
    <w:rsid w:val="D7EC2756"/>
    <w:rsid w:val="D7ED74A3"/>
    <w:rsid w:val="D7FB1F28"/>
    <w:rsid w:val="D7FB742B"/>
    <w:rsid w:val="D8FECA92"/>
    <w:rsid w:val="D9C3D5EC"/>
    <w:rsid w:val="D9DCF267"/>
    <w:rsid w:val="D9E7CC9D"/>
    <w:rsid w:val="DA37A484"/>
    <w:rsid w:val="DA3E42C3"/>
    <w:rsid w:val="DABDD736"/>
    <w:rsid w:val="DAFFBE66"/>
    <w:rsid w:val="DB352F6F"/>
    <w:rsid w:val="DB3F1E51"/>
    <w:rsid w:val="DB3F7005"/>
    <w:rsid w:val="DBAFC1B4"/>
    <w:rsid w:val="DBE77DC3"/>
    <w:rsid w:val="DBF7C6A7"/>
    <w:rsid w:val="DCFF369A"/>
    <w:rsid w:val="DD2C0BFE"/>
    <w:rsid w:val="DDEE6768"/>
    <w:rsid w:val="DDFEE92A"/>
    <w:rsid w:val="DE3F332B"/>
    <w:rsid w:val="DE6F4A3D"/>
    <w:rsid w:val="DE7F576F"/>
    <w:rsid w:val="DE7F6C4C"/>
    <w:rsid w:val="DE9DF4CC"/>
    <w:rsid w:val="DEBB53D5"/>
    <w:rsid w:val="DEF780F4"/>
    <w:rsid w:val="DEF980D4"/>
    <w:rsid w:val="DEFEF3F7"/>
    <w:rsid w:val="DF5D88E6"/>
    <w:rsid w:val="DF5F011B"/>
    <w:rsid w:val="DF69F8B0"/>
    <w:rsid w:val="DF6D3DD4"/>
    <w:rsid w:val="DF735941"/>
    <w:rsid w:val="DF79416E"/>
    <w:rsid w:val="DF7CA745"/>
    <w:rsid w:val="DFBDA39D"/>
    <w:rsid w:val="DFBDC7CC"/>
    <w:rsid w:val="DFC71555"/>
    <w:rsid w:val="DFDF97D5"/>
    <w:rsid w:val="DFE6D24C"/>
    <w:rsid w:val="DFE74678"/>
    <w:rsid w:val="DFFB1A8A"/>
    <w:rsid w:val="DFFBE609"/>
    <w:rsid w:val="DFFC559C"/>
    <w:rsid w:val="DFFCA495"/>
    <w:rsid w:val="DFFCFB1C"/>
    <w:rsid w:val="DFFEDFAE"/>
    <w:rsid w:val="DFFF2717"/>
    <w:rsid w:val="DFFFB5EB"/>
    <w:rsid w:val="DFFFFB6E"/>
    <w:rsid w:val="E0F6729B"/>
    <w:rsid w:val="E3FEF0C4"/>
    <w:rsid w:val="E3FF4BCD"/>
    <w:rsid w:val="E46E29E5"/>
    <w:rsid w:val="E4B33E57"/>
    <w:rsid w:val="E5790BE3"/>
    <w:rsid w:val="E5BF946A"/>
    <w:rsid w:val="E62B084B"/>
    <w:rsid w:val="E71E0571"/>
    <w:rsid w:val="E77D224D"/>
    <w:rsid w:val="E77FDF4D"/>
    <w:rsid w:val="E79BF58C"/>
    <w:rsid w:val="E7D60C34"/>
    <w:rsid w:val="E7DF5DA9"/>
    <w:rsid w:val="E7F2BF3E"/>
    <w:rsid w:val="E7F7981E"/>
    <w:rsid w:val="E7FEDDE4"/>
    <w:rsid w:val="E9DE9CC8"/>
    <w:rsid w:val="E9FFEC33"/>
    <w:rsid w:val="EAFDB6F3"/>
    <w:rsid w:val="EAFF71FE"/>
    <w:rsid w:val="EB39BD45"/>
    <w:rsid w:val="EB97F328"/>
    <w:rsid w:val="EBCF1FC2"/>
    <w:rsid w:val="EBCFD60D"/>
    <w:rsid w:val="EBD18F66"/>
    <w:rsid w:val="EBFB173D"/>
    <w:rsid w:val="ECDFB69D"/>
    <w:rsid w:val="ECFE0BD0"/>
    <w:rsid w:val="ED17392C"/>
    <w:rsid w:val="ED76B83A"/>
    <w:rsid w:val="ED77B19E"/>
    <w:rsid w:val="ED7F069E"/>
    <w:rsid w:val="ED9FFD9A"/>
    <w:rsid w:val="EDB7968B"/>
    <w:rsid w:val="EDDDDDBA"/>
    <w:rsid w:val="EDFD8BDF"/>
    <w:rsid w:val="EEDD2EEB"/>
    <w:rsid w:val="EEF5C896"/>
    <w:rsid w:val="EEF6898B"/>
    <w:rsid w:val="EEF73F60"/>
    <w:rsid w:val="EEF78867"/>
    <w:rsid w:val="EEFEF48E"/>
    <w:rsid w:val="EF392DD0"/>
    <w:rsid w:val="EF6BF862"/>
    <w:rsid w:val="EF7BEB61"/>
    <w:rsid w:val="EF9E086B"/>
    <w:rsid w:val="EF9F6142"/>
    <w:rsid w:val="EFB6E74E"/>
    <w:rsid w:val="EFBB27A3"/>
    <w:rsid w:val="EFBBE182"/>
    <w:rsid w:val="EFBFC2BF"/>
    <w:rsid w:val="EFCF1377"/>
    <w:rsid w:val="EFCFEDCB"/>
    <w:rsid w:val="EFDF8965"/>
    <w:rsid w:val="EFE3C8D6"/>
    <w:rsid w:val="EFEC7A20"/>
    <w:rsid w:val="EFEC7C0A"/>
    <w:rsid w:val="EFED9E42"/>
    <w:rsid w:val="EFEE3DF8"/>
    <w:rsid w:val="EFFC003E"/>
    <w:rsid w:val="EFFC6065"/>
    <w:rsid w:val="EFFFB194"/>
    <w:rsid w:val="F1FAF56B"/>
    <w:rsid w:val="F1FC8490"/>
    <w:rsid w:val="F1FF6AB7"/>
    <w:rsid w:val="F1FFD8FC"/>
    <w:rsid w:val="F27D8BE4"/>
    <w:rsid w:val="F2E1F9D4"/>
    <w:rsid w:val="F33F250D"/>
    <w:rsid w:val="F3673D76"/>
    <w:rsid w:val="F3A58C06"/>
    <w:rsid w:val="F3B167AA"/>
    <w:rsid w:val="F3BE2AA2"/>
    <w:rsid w:val="F3E6D08D"/>
    <w:rsid w:val="F3FFDDB0"/>
    <w:rsid w:val="F4FEF232"/>
    <w:rsid w:val="F534FBF0"/>
    <w:rsid w:val="F5AF7A4D"/>
    <w:rsid w:val="F5EFF545"/>
    <w:rsid w:val="F5FF7449"/>
    <w:rsid w:val="F67C9177"/>
    <w:rsid w:val="F6F33699"/>
    <w:rsid w:val="F6FDE547"/>
    <w:rsid w:val="F6FF4BFE"/>
    <w:rsid w:val="F779814C"/>
    <w:rsid w:val="F77F66CB"/>
    <w:rsid w:val="F785071E"/>
    <w:rsid w:val="F7880819"/>
    <w:rsid w:val="F7AF180D"/>
    <w:rsid w:val="F7BDBFA7"/>
    <w:rsid w:val="F7BF1926"/>
    <w:rsid w:val="F7CB25A3"/>
    <w:rsid w:val="F7D9D3BA"/>
    <w:rsid w:val="F7DF81A4"/>
    <w:rsid w:val="F7E5F7BC"/>
    <w:rsid w:val="F7FAD68F"/>
    <w:rsid w:val="F7FB14CF"/>
    <w:rsid w:val="F7FD87E1"/>
    <w:rsid w:val="F7FFC916"/>
    <w:rsid w:val="F876035A"/>
    <w:rsid w:val="F87F046A"/>
    <w:rsid w:val="F93ECDCF"/>
    <w:rsid w:val="F97ED152"/>
    <w:rsid w:val="F9B35DED"/>
    <w:rsid w:val="F9DB7051"/>
    <w:rsid w:val="F9E637AA"/>
    <w:rsid w:val="F9EEBF0B"/>
    <w:rsid w:val="F9EF012D"/>
    <w:rsid w:val="F9F95A04"/>
    <w:rsid w:val="F9FF2FDC"/>
    <w:rsid w:val="F9FF7F4B"/>
    <w:rsid w:val="F9FFCAA3"/>
    <w:rsid w:val="F9FFEF7E"/>
    <w:rsid w:val="FA7B9D9C"/>
    <w:rsid w:val="FA9A652F"/>
    <w:rsid w:val="FAAFFEAE"/>
    <w:rsid w:val="FABFF1DA"/>
    <w:rsid w:val="FB3FC69C"/>
    <w:rsid w:val="FB957D26"/>
    <w:rsid w:val="FB979EDE"/>
    <w:rsid w:val="FBBC7A27"/>
    <w:rsid w:val="FBD91A51"/>
    <w:rsid w:val="FBD9D7E2"/>
    <w:rsid w:val="FBDF140D"/>
    <w:rsid w:val="FBDFF225"/>
    <w:rsid w:val="FBEBC84C"/>
    <w:rsid w:val="FBF462F7"/>
    <w:rsid w:val="FBF5C462"/>
    <w:rsid w:val="FBF71C11"/>
    <w:rsid w:val="FBF7AB57"/>
    <w:rsid w:val="FBF7AB63"/>
    <w:rsid w:val="FBF9D011"/>
    <w:rsid w:val="FBFD4048"/>
    <w:rsid w:val="FBFF7A0E"/>
    <w:rsid w:val="FBFFF996"/>
    <w:rsid w:val="FC2F3373"/>
    <w:rsid w:val="FCEFD863"/>
    <w:rsid w:val="FCF51535"/>
    <w:rsid w:val="FCF78E5B"/>
    <w:rsid w:val="FD259B4F"/>
    <w:rsid w:val="FD5D1413"/>
    <w:rsid w:val="FD77F6B8"/>
    <w:rsid w:val="FDAF4F33"/>
    <w:rsid w:val="FDB7E984"/>
    <w:rsid w:val="FDBB3DE2"/>
    <w:rsid w:val="FDBBE746"/>
    <w:rsid w:val="FDBD5C14"/>
    <w:rsid w:val="FDBDD5EC"/>
    <w:rsid w:val="FDD69328"/>
    <w:rsid w:val="FDDFEC0E"/>
    <w:rsid w:val="FDE58BDD"/>
    <w:rsid w:val="FDEBA0DD"/>
    <w:rsid w:val="FDEC7001"/>
    <w:rsid w:val="FDF3A757"/>
    <w:rsid w:val="FDF51344"/>
    <w:rsid w:val="FDF7967E"/>
    <w:rsid w:val="FDF9055A"/>
    <w:rsid w:val="FDFB8878"/>
    <w:rsid w:val="FDFFAFCA"/>
    <w:rsid w:val="FE1642C4"/>
    <w:rsid w:val="FE37ECE5"/>
    <w:rsid w:val="FE3F8684"/>
    <w:rsid w:val="FE778C5C"/>
    <w:rsid w:val="FE7966F6"/>
    <w:rsid w:val="FE7A9FA0"/>
    <w:rsid w:val="FEC3DFC2"/>
    <w:rsid w:val="FECA6616"/>
    <w:rsid w:val="FED6A08E"/>
    <w:rsid w:val="FEDD514D"/>
    <w:rsid w:val="FEDFE87F"/>
    <w:rsid w:val="FEE93BDA"/>
    <w:rsid w:val="FEF1D25B"/>
    <w:rsid w:val="FEFB0FDC"/>
    <w:rsid w:val="FEFD42BE"/>
    <w:rsid w:val="FEFDC9A7"/>
    <w:rsid w:val="FEFE37DC"/>
    <w:rsid w:val="FEFE88EE"/>
    <w:rsid w:val="FEFF2148"/>
    <w:rsid w:val="FF2F6878"/>
    <w:rsid w:val="FF3EF90F"/>
    <w:rsid w:val="FF3F6236"/>
    <w:rsid w:val="FF3FF17A"/>
    <w:rsid w:val="FF3FFDD3"/>
    <w:rsid w:val="FF57C929"/>
    <w:rsid w:val="FF6F7050"/>
    <w:rsid w:val="FF786862"/>
    <w:rsid w:val="FF7BB828"/>
    <w:rsid w:val="FF7C72A2"/>
    <w:rsid w:val="FF7CCCA8"/>
    <w:rsid w:val="FF7E6973"/>
    <w:rsid w:val="FF7FAB84"/>
    <w:rsid w:val="FF7FAF75"/>
    <w:rsid w:val="FF8B093A"/>
    <w:rsid w:val="FF8F4C47"/>
    <w:rsid w:val="FF976A84"/>
    <w:rsid w:val="FFAA57B5"/>
    <w:rsid w:val="FFAB6D16"/>
    <w:rsid w:val="FFAF6081"/>
    <w:rsid w:val="FFBD91A2"/>
    <w:rsid w:val="FFBE2B29"/>
    <w:rsid w:val="FFBF1625"/>
    <w:rsid w:val="FFBF1C4C"/>
    <w:rsid w:val="FFBF3493"/>
    <w:rsid w:val="FFCBAEE7"/>
    <w:rsid w:val="FFD2ABD8"/>
    <w:rsid w:val="FFD6679A"/>
    <w:rsid w:val="FFD73B65"/>
    <w:rsid w:val="FFDC06DD"/>
    <w:rsid w:val="FFDD7698"/>
    <w:rsid w:val="FFDF2102"/>
    <w:rsid w:val="FFE5B101"/>
    <w:rsid w:val="FFE76904"/>
    <w:rsid w:val="FFE9831E"/>
    <w:rsid w:val="FFEAA84F"/>
    <w:rsid w:val="FFECCD8C"/>
    <w:rsid w:val="FFED60BD"/>
    <w:rsid w:val="FFEE08F0"/>
    <w:rsid w:val="FFEE7F9F"/>
    <w:rsid w:val="FFEFB066"/>
    <w:rsid w:val="FFF2D407"/>
    <w:rsid w:val="FFF3C52E"/>
    <w:rsid w:val="FFF62CF1"/>
    <w:rsid w:val="FFFA3564"/>
    <w:rsid w:val="FFFA7505"/>
    <w:rsid w:val="FFFD179D"/>
    <w:rsid w:val="FFFDD733"/>
    <w:rsid w:val="FFFE309A"/>
    <w:rsid w:val="FFFE6648"/>
    <w:rsid w:val="FFFE739B"/>
    <w:rsid w:val="FFFEC6E6"/>
    <w:rsid w:val="FFFEDF09"/>
    <w:rsid w:val="FFFF2EEC"/>
    <w:rsid w:val="FFFF3197"/>
    <w:rsid w:val="FFFF526F"/>
    <w:rsid w:val="FFFF8045"/>
    <w:rsid w:val="FFFF9692"/>
    <w:rsid w:val="FFFFEB1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35"/>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26"/>
    <w:qFormat/>
    <w:uiPriority w:val="99"/>
    <w:pPr>
      <w:spacing w:beforeLines="30"/>
    </w:pPr>
    <w:rPr>
      <w:rFonts w:ascii="仿宋_GB2312" w:eastAsia="仿宋_GB2312"/>
      <w:kern w:val="0"/>
      <w:sz w:val="30"/>
    </w:rPr>
  </w:style>
  <w:style w:type="paragraph" w:styleId="3">
    <w:name w:val="Subtitle"/>
    <w:basedOn w:val="1"/>
    <w:next w:val="1"/>
    <w:qFormat/>
    <w:uiPriority w:val="0"/>
    <w:pPr>
      <w:spacing w:before="240" w:after="60" w:line="312" w:lineRule="auto"/>
      <w:jc w:val="center"/>
      <w:outlineLvl w:val="1"/>
    </w:pPr>
    <w:rPr>
      <w:rFonts w:ascii="Calibri Light" w:hAnsi="Calibri Light"/>
      <w:b/>
      <w:bCs/>
      <w:kern w:val="28"/>
      <w:sz w:val="32"/>
      <w:szCs w:val="32"/>
    </w:rPr>
  </w:style>
  <w:style w:type="paragraph" w:styleId="7">
    <w:name w:val="Body Text Indent"/>
    <w:basedOn w:val="1"/>
    <w:qFormat/>
    <w:uiPriority w:val="0"/>
    <w:pPr>
      <w:spacing w:after="120"/>
      <w:ind w:left="200" w:leftChars="200"/>
    </w:pPr>
    <w:rPr>
      <w:rFonts w:ascii="仿宋_GB2312"/>
      <w:szCs w:val="32"/>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2"/>
    <w:semiHidden/>
    <w:unhideWhenUsed/>
    <w:qFormat/>
    <w:uiPriority w:val="99"/>
    <w:rPr>
      <w:sz w:val="18"/>
      <w:szCs w:val="18"/>
    </w:rPr>
  </w:style>
  <w:style w:type="paragraph" w:styleId="10">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oc 2"/>
    <w:basedOn w:val="1"/>
    <w:next w:val="1"/>
    <w:unhideWhenUsed/>
    <w:qFormat/>
    <w:uiPriority w:val="39"/>
    <w:pPr>
      <w:tabs>
        <w:tab w:val="right" w:leader="dot" w:pos="8296"/>
      </w:tabs>
      <w:ind w:left="420" w:leftChars="200"/>
    </w:pPr>
  </w:style>
  <w:style w:type="paragraph" w:styleId="14">
    <w:name w:val="Normal (Web)"/>
    <w:basedOn w:val="1"/>
    <w:qFormat/>
    <w:uiPriority w:val="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100" w:beforeAutospacing="1" w:after="100" w:afterAutospacing="1" w:line="240" w:lineRule="auto"/>
      <w:ind w:left="0" w:right="0" w:firstLine="0"/>
      <w:jc w:val="left"/>
      <w:textAlignment w:val="auto"/>
      <w:outlineLvl w:val="9"/>
    </w:pPr>
    <w:rPr>
      <w:snapToGrid/>
      <w:color w:val="auto"/>
      <w:spacing w:val="0"/>
      <w:w w:val="100"/>
      <w:kern w:val="0"/>
      <w:position w:val="0"/>
      <w:sz w:val="24"/>
      <w:u w:val="none" w:color="auto"/>
      <w:vertAlign w:val="baseline"/>
      <w:lang w:val="en-US" w:eastAsia="zh-CN"/>
    </w:rPr>
  </w:style>
  <w:style w:type="paragraph" w:styleId="15">
    <w:name w:val="Body Text First Indent 2"/>
    <w:basedOn w:val="7"/>
    <w:unhideWhenUsed/>
    <w:qFormat/>
    <w:uiPriority w:val="99"/>
    <w:pPr>
      <w:ind w:firstLine="420" w:firstLineChars="200"/>
    </w:p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paragraph" w:customStyle="1" w:styleId="20">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1">
    <w:name w:val="Header Char"/>
    <w:basedOn w:val="17"/>
    <w:semiHidden/>
    <w:qFormat/>
    <w:uiPriority w:val="99"/>
    <w:rPr>
      <w:rFonts w:ascii="Times New Roman" w:hAnsi="Times New Roman"/>
      <w:sz w:val="18"/>
      <w:szCs w:val="18"/>
    </w:rPr>
  </w:style>
  <w:style w:type="character" w:customStyle="1" w:styleId="22">
    <w:name w:val="页眉 字符"/>
    <w:link w:val="11"/>
    <w:semiHidden/>
    <w:qFormat/>
    <w:locked/>
    <w:uiPriority w:val="99"/>
    <w:rPr>
      <w:sz w:val="18"/>
    </w:rPr>
  </w:style>
  <w:style w:type="character" w:customStyle="1" w:styleId="23">
    <w:name w:val="Footer Char"/>
    <w:basedOn w:val="17"/>
    <w:semiHidden/>
    <w:qFormat/>
    <w:uiPriority w:val="99"/>
    <w:rPr>
      <w:rFonts w:ascii="Times New Roman" w:hAnsi="Times New Roman"/>
      <w:sz w:val="18"/>
      <w:szCs w:val="18"/>
    </w:rPr>
  </w:style>
  <w:style w:type="character" w:customStyle="1" w:styleId="24">
    <w:name w:val="页脚 字符"/>
    <w:link w:val="10"/>
    <w:qFormat/>
    <w:locked/>
    <w:uiPriority w:val="99"/>
    <w:rPr>
      <w:sz w:val="18"/>
    </w:rPr>
  </w:style>
  <w:style w:type="character" w:customStyle="1" w:styleId="25">
    <w:name w:val="Body Text Char"/>
    <w:basedOn w:val="17"/>
    <w:semiHidden/>
    <w:qFormat/>
    <w:uiPriority w:val="99"/>
    <w:rPr>
      <w:rFonts w:ascii="Times New Roman" w:hAnsi="Times New Roman"/>
      <w:szCs w:val="24"/>
    </w:rPr>
  </w:style>
  <w:style w:type="character" w:customStyle="1" w:styleId="26">
    <w:name w:val="正文文本 字符"/>
    <w:link w:val="2"/>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字符"/>
    <w:basedOn w:val="17"/>
    <w:link w:val="4"/>
    <w:qFormat/>
    <w:uiPriority w:val="9"/>
    <w:rPr>
      <w:rFonts w:ascii="Times New Roman" w:hAnsi="Times New Roman"/>
      <w:b/>
      <w:bCs/>
      <w:kern w:val="44"/>
      <w:sz w:val="44"/>
      <w:szCs w:val="44"/>
    </w:rPr>
  </w:style>
  <w:style w:type="character" w:customStyle="1" w:styleId="30">
    <w:name w:val="标题 2 字符"/>
    <w:basedOn w:val="17"/>
    <w:link w:val="5"/>
    <w:qFormat/>
    <w:uiPriority w:val="9"/>
    <w:rPr>
      <w:rFonts w:asciiTheme="majorHAnsi" w:hAnsiTheme="majorHAnsi" w:eastAsiaTheme="majorEastAsia" w:cstheme="majorBidi"/>
      <w:b/>
      <w:bCs/>
      <w:kern w:val="2"/>
      <w:sz w:val="32"/>
      <w:szCs w:val="32"/>
    </w:rPr>
  </w:style>
  <w:style w:type="paragraph" w:customStyle="1" w:styleId="31">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字符"/>
    <w:basedOn w:val="17"/>
    <w:link w:val="9"/>
    <w:semiHidden/>
    <w:qFormat/>
    <w:uiPriority w:val="99"/>
    <w:rPr>
      <w:rFonts w:ascii="Times New Roman" w:hAnsi="Times New Roman"/>
      <w:kern w:val="2"/>
      <w:sz w:val="18"/>
      <w:szCs w:val="18"/>
    </w:rPr>
  </w:style>
  <w:style w:type="character" w:customStyle="1" w:styleId="33">
    <w:name w:val="标题 3 字符"/>
    <w:basedOn w:val="17"/>
    <w:link w:val="6"/>
    <w:qFormat/>
    <w:uiPriority w:val="9"/>
    <w:rPr>
      <w:rFonts w:ascii="Times New Roman" w:hAnsi="Times New Roman"/>
      <w:b/>
      <w:bCs/>
      <w:kern w:val="2"/>
      <w:sz w:val="32"/>
      <w:szCs w:val="32"/>
    </w:rPr>
  </w:style>
  <w:style w:type="paragraph" w:customStyle="1" w:styleId="34">
    <w:name w:val="TOC 标题2"/>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5">
    <w:name w:val="heading 1 Char"/>
    <w:basedOn w:val="17"/>
    <w:link w:val="4"/>
    <w:qFormat/>
    <w:uiPriority w:val="0"/>
    <w:rPr>
      <w:rFonts w:ascii="Times New Roman" w:hAnsi="Times New Roman" w:eastAsia="宋体" w:cs="Times New Roman"/>
      <w:b/>
      <w:bCs/>
      <w:kern w:val="44"/>
      <w:sz w:val="44"/>
      <w:szCs w:val="44"/>
      <w:lang w:val="en-US" w:eastAsia="zh-CN" w:bidi="ar-SA"/>
    </w:rPr>
  </w:style>
  <w:style w:type="paragraph" w:customStyle="1" w:styleId="36">
    <w:name w:val="正文2"/>
    <w:next w:val="1"/>
    <w:qFormat/>
    <w:uiPriority w:val="0"/>
    <w:pPr>
      <w:widowControl w:val="0"/>
      <w:jc w:val="both"/>
    </w:pPr>
    <w:rPr>
      <w:rFonts w:ascii="Times New Roman" w:hAnsi="Times New Roman" w:eastAsia="方正仿宋简体" w:cs="Times New Roman"/>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chart" Target="charts/chart7.xml"/><Relationship Id="rId14" Type="http://schemas.openxmlformats.org/officeDocument/2006/relationships/chart" Target="charts/chart6.xml"/><Relationship Id="rId13" Type="http://schemas.openxmlformats.org/officeDocument/2006/relationships/chart" Target="charts/chart5.xml"/><Relationship Id="rId12" Type="http://schemas.openxmlformats.org/officeDocument/2006/relationships/chart" Target="charts/chart4.xml"/><Relationship Id="rId11" Type="http://schemas.openxmlformats.org/officeDocument/2006/relationships/chart" Target="charts/chart3.xml"/><Relationship Id="rId10" Type="http://schemas.openxmlformats.org/officeDocument/2006/relationships/chart" Target="charts/chart2.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6.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7.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收入、支出决算总计变动情况图</a:t>
            </a:r>
          </a:p>
        </c:rich>
      </c:tx>
      <c:layout>
        <c:manualLayout>
          <c:xMode val="edge"/>
          <c:yMode val="edge"/>
          <c:x val="0.297375"/>
          <c:y val="0.02"/>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收入（万元）</c:v>
                </c:pt>
              </c:strCache>
            </c:strRef>
          </c:tx>
          <c:spPr>
            <a:solidFill>
              <a:schemeClr val="accent1"/>
            </a:solidFill>
            <a:ln>
              <a:noFill/>
            </a:ln>
            <a:effectLst/>
          </c:spPr>
          <c:invertIfNegative val="0"/>
          <c:dLbls>
            <c:delete val="1"/>
          </c:dLbls>
          <c:cat>
            <c:strRef>
              <c:f>Sheet1!$A$2:$A$3</c:f>
              <c:strCache>
                <c:ptCount val="2"/>
                <c:pt idx="0">
                  <c:v>2023年度</c:v>
                </c:pt>
                <c:pt idx="1">
                  <c:v>2024年度</c:v>
                </c:pt>
              </c:strCache>
            </c:strRef>
          </c:cat>
          <c:val>
            <c:numRef>
              <c:f>Sheet1!$B$2:$B$3</c:f>
              <c:numCache>
                <c:formatCode>General</c:formatCode>
                <c:ptCount val="2"/>
                <c:pt idx="0">
                  <c:v>532.48</c:v>
                </c:pt>
                <c:pt idx="1">
                  <c:v>709.97</c:v>
                </c:pt>
              </c:numCache>
            </c:numRef>
          </c:val>
        </c:ser>
        <c:ser>
          <c:idx val="1"/>
          <c:order val="1"/>
          <c:tx>
            <c:strRef>
              <c:f>Sheet1!$C$1</c:f>
              <c:strCache>
                <c:ptCount val="1"/>
                <c:pt idx="0">
                  <c:v>支出（万元）</c:v>
                </c:pt>
              </c:strCache>
            </c:strRef>
          </c:tx>
          <c:spPr>
            <a:solidFill>
              <a:schemeClr val="accent2"/>
            </a:solidFill>
            <a:ln>
              <a:noFill/>
            </a:ln>
            <a:effectLst/>
          </c:spPr>
          <c:invertIfNegative val="0"/>
          <c:dLbls>
            <c:delete val="1"/>
          </c:dLbls>
          <c:cat>
            <c:strRef>
              <c:f>Sheet1!$A$2:$A$3</c:f>
              <c:strCache>
                <c:ptCount val="2"/>
                <c:pt idx="0">
                  <c:v>2023年度</c:v>
                </c:pt>
                <c:pt idx="1">
                  <c:v>2024年度</c:v>
                </c:pt>
              </c:strCache>
            </c:strRef>
          </c:cat>
          <c:val>
            <c:numRef>
              <c:f>Sheet1!$C$2:$C$3</c:f>
              <c:numCache>
                <c:formatCode>General</c:formatCode>
                <c:ptCount val="2"/>
                <c:pt idx="0">
                  <c:v>532.48</c:v>
                </c:pt>
                <c:pt idx="1">
                  <c:v>709.97</c:v>
                </c:pt>
              </c:numCache>
            </c:numRef>
          </c:val>
        </c:ser>
        <c:dLbls>
          <c:showLegendKey val="0"/>
          <c:showVal val="0"/>
          <c:showCatName val="0"/>
          <c:showSerName val="0"/>
          <c:showPercent val="0"/>
          <c:showBubbleSize val="0"/>
        </c:dLbls>
        <c:gapWidth val="219"/>
        <c:overlap val="-27"/>
        <c:axId val="220749409"/>
        <c:axId val="555502808"/>
      </c:barChart>
      <c:catAx>
        <c:axId val="22074940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55502808"/>
        <c:crosses val="autoZero"/>
        <c:auto val="1"/>
        <c:lblAlgn val="ctr"/>
        <c:lblOffset val="100"/>
        <c:noMultiLvlLbl val="0"/>
      </c:catAx>
      <c:valAx>
        <c:axId val="5555028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20749409"/>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收入决算结构图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Lbl>
              <c:idx val="0"/>
              <c:layout>
                <c:manualLayout>
                  <c:x val="0.0131246748542301"/>
                  <c:y val="-0.277853333334956"/>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一般公共预算财政拨款收入</c:v>
                </c:pt>
                <c:pt idx="1">
                  <c:v>政府性基金预算财政拨款收入</c:v>
                </c:pt>
                <c:pt idx="2">
                  <c:v>国有资本经营预算财政拨款收入</c:v>
                </c:pt>
                <c:pt idx="3">
                  <c:v>上级补助收入</c:v>
                </c:pt>
              </c:strCache>
            </c:strRef>
          </c:cat>
          <c:val>
            <c:numRef>
              <c:f>Sheet1!$B$2:$B$5</c:f>
              <c:numCache>
                <c:formatCode>General</c:formatCode>
                <c:ptCount val="4"/>
                <c:pt idx="0">
                  <c:v>709.97</c:v>
                </c:pt>
                <c:pt idx="1">
                  <c:v>0</c:v>
                </c:pt>
                <c:pt idx="2">
                  <c:v>0</c:v>
                </c:pt>
                <c:pt idx="3">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支出决算结构图</c:v>
                </c:pt>
              </c:strCache>
            </c:strRef>
          </c:tx>
          <c:spPr/>
          <c:explosion val="0"/>
          <c:dPt>
            <c:idx val="0"/>
            <c:bubble3D val="0"/>
            <c:spPr>
              <a:solidFill>
                <a:schemeClr val="accent6"/>
              </a:solidFill>
              <a:ln w="19050">
                <a:solidFill>
                  <a:schemeClr val="lt1"/>
                </a:solidFill>
              </a:ln>
              <a:effectLst/>
            </c:spPr>
          </c:dPt>
          <c:dPt>
            <c:idx val="1"/>
            <c:bubble3D val="0"/>
            <c:spPr>
              <a:solidFill>
                <a:schemeClr val="accent5"/>
              </a:solidFill>
              <a:ln w="19050">
                <a:solidFill>
                  <a:schemeClr val="lt1"/>
                </a:solidFill>
              </a:ln>
              <a:effectLst/>
            </c:spPr>
          </c:dPt>
          <c:dLbls>
            <c:dLbl>
              <c:idx val="0"/>
              <c:layout>
                <c:manualLayout>
                  <c:x val="-0.126638728912758"/>
                  <c:y val="-0.159615407194082"/>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68.52</a:t>
                    </a:r>
                    <a:r>
                      <a:t>%</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1"/>
              <c:layout>
                <c:manualLayout>
                  <c:x val="0.104640987958405"/>
                  <c:y val="0.152066771495534"/>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31.48</a:t>
                    </a:r>
                    <a:r>
                      <a:t>%</a:t>
                    </a:r>
                  </a:p>
                </c:rich>
              </c:tx>
              <c:dLblPos val="bestFit"/>
              <c:showLegendKey val="0"/>
              <c:showVal val="0"/>
              <c:showCatName val="0"/>
              <c:showSerName val="0"/>
              <c:showPercent val="1"/>
              <c:showBubbleSize val="0"/>
              <c:extLst>
                <c:ext xmlns:c15="http://schemas.microsoft.com/office/drawing/2012/chart" uri="{CE6537A1-D6FC-4f65-9D91-7224C49458BB}">
                  <c15:layout>
                    <c:manualLayout>
                      <c:w val="0.112359550561798"/>
                      <c:h val="0.0720081135902637"/>
                    </c:manualLayout>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486.46</c:v>
                </c:pt>
                <c:pt idx="1">
                  <c:v>223.51</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财政拨款收入、支出决算总计变动情况图</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收入（万元）</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2023年度</c:v>
                </c:pt>
                <c:pt idx="1">
                  <c:v>2024年度</c:v>
                </c:pt>
              </c:strCache>
            </c:strRef>
          </c:cat>
          <c:val>
            <c:numRef>
              <c:f>Sheet1!$B$2:$B$3</c:f>
              <c:numCache>
                <c:formatCode>General</c:formatCode>
                <c:ptCount val="2"/>
                <c:pt idx="0">
                  <c:v>532.48</c:v>
                </c:pt>
                <c:pt idx="1">
                  <c:v>709.97</c:v>
                </c:pt>
              </c:numCache>
            </c:numRef>
          </c:val>
        </c:ser>
        <c:ser>
          <c:idx val="1"/>
          <c:order val="1"/>
          <c:tx>
            <c:strRef>
              <c:f>Sheet1!$C$1</c:f>
              <c:strCache>
                <c:ptCount val="1"/>
                <c:pt idx="0">
                  <c:v>支出（万元）</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2023年度</c:v>
                </c:pt>
                <c:pt idx="1">
                  <c:v>2024年度</c:v>
                </c:pt>
              </c:strCache>
            </c:strRef>
          </c:cat>
          <c:val>
            <c:numRef>
              <c:f>Sheet1!$C$2:$C$3</c:f>
              <c:numCache>
                <c:formatCode>General</c:formatCode>
                <c:ptCount val="2"/>
                <c:pt idx="0">
                  <c:v>532.48</c:v>
                </c:pt>
                <c:pt idx="1">
                  <c:v>709.97</c:v>
                </c:pt>
              </c:numCache>
            </c:numRef>
          </c:val>
        </c:ser>
        <c:dLbls>
          <c:showLegendKey val="0"/>
          <c:showVal val="0"/>
          <c:showCatName val="0"/>
          <c:showSerName val="0"/>
          <c:showPercent val="0"/>
          <c:showBubbleSize val="0"/>
        </c:dLbls>
        <c:gapWidth val="150"/>
        <c:overlap val="-25"/>
        <c:axId val="220749409"/>
        <c:axId val="555502808"/>
      </c:barChart>
      <c:catAx>
        <c:axId val="22074940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55502808"/>
        <c:crosses val="autoZero"/>
        <c:auto val="1"/>
        <c:lblAlgn val="ctr"/>
        <c:lblOffset val="100"/>
        <c:noMultiLvlLbl val="0"/>
      </c:catAx>
      <c:valAx>
        <c:axId val="555502808"/>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20749409"/>
        <c:crosses val="autoZero"/>
        <c:crossBetween val="between"/>
      </c:valAx>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6"/>
    </mc:Choice>
    <mc:Fallback>
      <c:style val="6"/>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一般公共预算财政拨款支出</c:v>
                </c:pt>
              </c:strCache>
            </c:strRef>
          </c:tx>
          <c:spPr>
            <a:solidFill>
              <a:schemeClr val="accent4"/>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2023年度</c:v>
                </c:pt>
                <c:pt idx="1">
                  <c:v>2024年度</c:v>
                </c:pt>
              </c:strCache>
            </c:strRef>
          </c:cat>
          <c:val>
            <c:numRef>
              <c:f>Sheet1!$B$2:$B$3</c:f>
              <c:numCache>
                <c:formatCode>General</c:formatCode>
                <c:ptCount val="2"/>
                <c:pt idx="0">
                  <c:v>532.48</c:v>
                </c:pt>
                <c:pt idx="1">
                  <c:v>709.97</c:v>
                </c:pt>
              </c:numCache>
            </c:numRef>
          </c:val>
        </c:ser>
        <c:dLbls>
          <c:showLegendKey val="0"/>
          <c:showVal val="1"/>
          <c:showCatName val="0"/>
          <c:showSerName val="0"/>
          <c:showPercent val="0"/>
          <c:showBubbleSize val="0"/>
        </c:dLbls>
        <c:gapWidth val="75"/>
        <c:overlap val="40"/>
        <c:axId val="733894888"/>
        <c:axId val="475919592"/>
      </c:barChart>
      <c:catAx>
        <c:axId val="73389488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75919592"/>
        <c:crosses val="autoZero"/>
        <c:auto val="1"/>
        <c:lblAlgn val="ctr"/>
        <c:lblOffset val="100"/>
        <c:noMultiLvlLbl val="0"/>
      </c:catAx>
      <c:valAx>
        <c:axId val="4759195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33894888"/>
        <c:crosses val="autoZero"/>
        <c:crossBetween val="between"/>
      </c:valAx>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一般公共预算财政拨款支出决算结构</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Lbl>
              <c:idx val="0"/>
              <c:layout>
                <c:manualLayout>
                  <c:x val="-0.111128803462694"/>
                  <c:y val="-0.144873889457187"/>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85</a:t>
                    </a:r>
                    <a:r>
                      <a:rPr lang="en-US" altLang="zh-CN"/>
                      <a:t>.13</a:t>
                    </a:r>
                    <a:r>
                      <a:t>%</a:t>
                    </a:r>
                  </a:p>
                </c:rich>
              </c:tx>
              <c:dLblPos val="bestFit"/>
              <c:showLegendKey val="0"/>
              <c:showVal val="0"/>
              <c:showCatName val="0"/>
              <c:showSerName val="0"/>
              <c:showPercent val="1"/>
              <c:showBubbleSize val="0"/>
              <c:extLst>
                <c:ext xmlns:c15="http://schemas.microsoft.com/office/drawing/2012/chart" uri="{CE6537A1-D6FC-4f65-9D91-7224C49458BB}">
                  <c15:layout>
                    <c:manualLayout>
                      <c:w val="0.107289002557545"/>
                      <c:h val="0.0654386815317499"/>
                    </c:manualLayout>
                  </c15:layout>
                </c:ext>
              </c:extLst>
            </c:dLbl>
            <c:dLbl>
              <c:idx val="1"/>
              <c:layout>
                <c:manualLayout>
                  <c:x val="0.0602830001938114"/>
                  <c:y val="0.138028570926004"/>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8</a:t>
                    </a:r>
                    <a:r>
                      <a:rPr lang="en-US" altLang="zh-CN"/>
                      <a:t>.03</a:t>
                    </a:r>
                    <a:r>
                      <a:t>%</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2"/>
              <c:layout>
                <c:manualLayout>
                  <c:x val="0.0379233079280712"/>
                  <c:y val="0.132799531727964"/>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2</a:t>
                    </a:r>
                    <a:r>
                      <a:rPr lang="en-US" altLang="zh-CN"/>
                      <a:t>.36</a:t>
                    </a:r>
                    <a:r>
                      <a:t>%</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3"/>
              <c:layout>
                <c:manualLayout>
                  <c:x val="0.0272643793272635"/>
                  <c:y val="0.0872965336291853"/>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4.48</a:t>
                    </a:r>
                    <a:r>
                      <a:t>%</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一般公共服务支出</c:v>
                </c:pt>
                <c:pt idx="1">
                  <c:v>社会保障和就业支出</c:v>
                </c:pt>
                <c:pt idx="2">
                  <c:v>卫生健康支出</c:v>
                </c:pt>
                <c:pt idx="3">
                  <c:v>住房保障支出</c:v>
                </c:pt>
              </c:strCache>
            </c:strRef>
          </c:cat>
          <c:val>
            <c:numRef>
              <c:f>Sheet1!$B$2:$B$5</c:f>
              <c:numCache>
                <c:formatCode>General</c:formatCode>
                <c:ptCount val="4"/>
                <c:pt idx="0">
                  <c:v>604.43</c:v>
                </c:pt>
                <c:pt idx="1">
                  <c:v>57</c:v>
                </c:pt>
                <c:pt idx="2">
                  <c:v>16.74</c:v>
                </c:pt>
                <c:pt idx="3">
                  <c:v>31.8</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600" b="1" i="0" u="none" strike="noStrike" kern="1200" baseline="0">
              <a:solidFill>
                <a:schemeClr val="tx2"/>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“三公”经费财政拨款支出结构</c:v>
                </c:pt>
              </c:strCache>
            </c:strRef>
          </c:tx>
          <c:spPr/>
          <c:explosion val="0"/>
          <c:dPt>
            <c:idx val="0"/>
            <c:bubble3D val="0"/>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c:spPr>
          </c:dPt>
          <c:dPt>
            <c:idx val="1"/>
            <c:bubble3D val="0"/>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c:spPr>
          </c:dPt>
          <c:dPt>
            <c:idx val="2"/>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c:spPr>
          </c:dPt>
          <c:dLbls>
            <c:dLbl>
              <c:idx val="0"/>
              <c:delete val="1"/>
            </c:dLbl>
            <c:dLbl>
              <c:idx val="1"/>
              <c:layout>
                <c:manualLayout>
                  <c:x val="9.53882307823863e-5"/>
                  <c:y val="-0.222829523861607"/>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2"/>
                        </a:solidFill>
                        <a:latin typeface="+mn-lt"/>
                        <a:ea typeface="+mn-ea"/>
                        <a:cs typeface="+mn-cs"/>
                      </a:defRPr>
                    </a:pPr>
                    <a:r>
                      <a:rPr lang="en-US" altLang="zh-CN"/>
                      <a:t>96.86</a:t>
                    </a:r>
                    <a:r>
                      <a:t>%</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2"/>
              <c:layout>
                <c:manualLayout>
                  <c:x val="0.0116351438412709"/>
                  <c:y val="0.121659121513605"/>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2"/>
                        </a:solidFill>
                        <a:latin typeface="+mn-lt"/>
                        <a:ea typeface="+mn-ea"/>
                        <a:cs typeface="+mn-cs"/>
                      </a:defRPr>
                    </a:pPr>
                    <a:r>
                      <a:rPr lang="en-US" altLang="zh-CN"/>
                      <a:t>3.14</a:t>
                    </a:r>
                    <a:r>
                      <a:t>%</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2"/>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Sheet1!$A$2:$A$4</c:f>
              <c:strCache>
                <c:ptCount val="3"/>
                <c:pt idx="0">
                  <c:v>因公出国（境）费</c:v>
                </c:pt>
                <c:pt idx="1">
                  <c:v>公务用车购置及运行维护费</c:v>
                </c:pt>
                <c:pt idx="2">
                  <c:v>公务接待费</c:v>
                </c:pt>
              </c:strCache>
            </c:strRef>
          </c:cat>
          <c:val>
            <c:numRef>
              <c:f>Sheet1!$B$2:$B$4</c:f>
              <c:numCache>
                <c:formatCode>General</c:formatCode>
                <c:ptCount val="3"/>
                <c:pt idx="0">
                  <c:v>0</c:v>
                </c:pt>
                <c:pt idx="1">
                  <c:v>20.34</c:v>
                </c:pt>
                <c:pt idx="2">
                  <c:v>0.66</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2"/>
              </a:solidFill>
              <a:latin typeface="+mn-lt"/>
              <a:ea typeface="+mn-ea"/>
              <a:cs typeface="+mn-cs"/>
            </a:defRPr>
          </a:pPr>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7">
  <a:schemeClr val="accent4"/>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19</Pages>
  <Words>1142</Words>
  <Characters>6514</Characters>
  <Lines>54</Lines>
  <Paragraphs>15</Paragraphs>
  <TotalTime>11</TotalTime>
  <ScaleCrop>false</ScaleCrop>
  <LinksUpToDate>false</LinksUpToDate>
  <CharactersWithSpaces>7641</CharactersWithSpaces>
  <Application>WPS Office_11.8.2.12065_F1E327BC-269C-435d-A152-05C5408002CA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2020-08-11T17:49:00Z</dcterms:created>
  <dc:creator>曹颖</dc:creator>
  <cp:lastModifiedBy>user</cp:lastModifiedBy>
  <cp:lastPrinted>2023-08-06T18:35:00Z</cp:lastPrinted>
  <dcterms:modified xsi:type="dcterms:W3CDTF">2025-09-19T17:24:42Z</dcterms:modified>
  <dc:title>四川省***</dc:title>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2052-11.8.2.12065</vt:lpwstr>
  </property>
  <property fmtid="{D5CDD505-2E9C-101B-9397-08002B2CF9AE}" pid="3" name="ICV">
    <vt:lpwstr>E5F032CBEA2A987933C5DF6685F4D3FA</vt:lpwstr>
  </property>
</Properties>
</file>