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spacing w:line="600" w:lineRule="exact"/>
        <w:jc w:val="center"/>
        <w:outlineLvl w:val="0"/>
        <w:rPr>
          <w:rFonts w:ascii="方正小标宋简体" w:eastAsia="方正小标宋简体"/>
          <w:sz w:val="72"/>
          <w:szCs w:val="72"/>
        </w:rPr>
      </w:pPr>
      <w:bookmarkStart w:id="0" w:name="_Toc15378441"/>
      <w:bookmarkStart w:id="1" w:name="_Toc15396597"/>
      <w:bookmarkStart w:id="2" w:name="_Toc15377193"/>
      <w:bookmarkStart w:id="3" w:name="_Toc15396475"/>
      <w:bookmarkStart w:id="4" w:name="_Toc15377425"/>
      <w:bookmarkStart w:id="5" w:name="_Toc15306267"/>
    </w:p>
    <w:p>
      <w:pPr>
        <w:spacing w:line="600" w:lineRule="exact"/>
        <w:jc w:val="center"/>
        <w:outlineLvl w:val="0"/>
        <w:rPr>
          <w:rFonts w:ascii="方正小标宋简体" w:eastAsia="方正小标宋简体"/>
          <w:sz w:val="72"/>
          <w:szCs w:val="72"/>
        </w:rPr>
      </w:pPr>
    </w:p>
    <w:p>
      <w:pPr>
        <w:spacing w:line="600" w:lineRule="exact"/>
        <w:jc w:val="center"/>
        <w:outlineLvl w:val="0"/>
        <w:rPr>
          <w:rFonts w:ascii="方正小标宋简体" w:eastAsia="方正小标宋简体"/>
          <w:sz w:val="72"/>
          <w:szCs w:val="72"/>
        </w:rPr>
      </w:pPr>
    </w:p>
    <w:p>
      <w:pPr>
        <w:adjustRightInd w:val="0"/>
        <w:snapToGrid w:val="0"/>
        <w:spacing w:line="360" w:lineRule="auto"/>
        <w:jc w:val="center"/>
        <w:outlineLvl w:val="0"/>
        <w:rPr>
          <w:rFonts w:ascii="方正小标宋简体" w:eastAsia="方正小标宋简体" w:cs="方正小标宋简体"/>
          <w:sz w:val="72"/>
          <w:szCs w:val="72"/>
        </w:rPr>
      </w:pPr>
      <w:r>
        <w:rPr>
          <w:rFonts w:ascii="方正小标宋简体" w:eastAsia="方正小标宋简体" w:cs="方正小标宋简体" w:hint="eastAsia"/>
          <w:sz w:val="72"/>
          <w:szCs w:val="72"/>
        </w:rPr>
        <w:t>2022年度</w:t>
      </w:r>
      <w:bookmarkEnd w:id="0"/>
      <w:bookmarkEnd w:id="1"/>
      <w:bookmarkEnd w:id="2"/>
      <w:bookmarkEnd w:id="3"/>
      <w:bookmarkEnd w:id="4"/>
    </w:p>
    <w:p>
      <w:pPr>
        <w:adjustRightInd w:val="0"/>
        <w:snapToGrid w:val="0"/>
        <w:spacing w:line="360" w:lineRule="auto"/>
        <w:jc w:val="center"/>
        <w:outlineLvl w:val="0"/>
        <w:rPr>
          <w:rFonts w:ascii="方正小标宋简体" w:eastAsia="方正小标宋简体" w:cs="方正小标宋简体" w:hint="eastAsia"/>
          <w:sz w:val="72"/>
          <w:szCs w:val="72"/>
        </w:rPr>
      </w:pPr>
      <w:bookmarkStart w:id="6" w:name="_Toc15378442"/>
      <w:bookmarkStart w:id="7" w:name="_Toc15396598"/>
      <w:bookmarkStart w:id="8" w:name="_Toc15396476"/>
      <w:bookmarkStart w:id="9" w:name="_Toc15377194"/>
      <w:bookmarkStart w:id="10" w:name="_Toc15377426"/>
      <w:r>
        <w:rPr>
          <w:rFonts w:ascii="方正小标宋简体" w:eastAsia="方正小标宋简体" w:cs="方正小标宋简体"/>
          <w:sz w:val="72"/>
          <w:szCs w:val="72"/>
        </w:rPr>
        <w:t>阿坝州</w:t>
      </w:r>
      <w:bookmarkStart w:id="11" w:name="_Toc15306268"/>
      <w:bookmarkEnd w:id="5"/>
      <w:r>
        <w:rPr>
          <w:rFonts w:ascii="方正小标宋简体" w:eastAsia="方正小标宋简体" w:cs="方正小标宋简体" w:hint="eastAsia"/>
          <w:sz w:val="72"/>
          <w:szCs w:val="72"/>
          <w:lang w:val="en-US" w:eastAsia="zh-CN"/>
        </w:rPr>
        <w:t>中共阿坝州委机构编制委员会办公室</w:t>
      </w:r>
      <w:r>
        <w:rPr>
          <w:rFonts w:ascii="方正小标宋简体" w:eastAsia="方正小标宋简体" w:cs="方正小标宋简体" w:hint="eastAsia"/>
          <w:sz w:val="72"/>
          <w:szCs w:val="72"/>
        </w:rPr>
        <w:t>部门</w:t>
      </w:r>
    </w:p>
    <w:p>
      <w:pPr>
        <w:adjustRightInd w:val="0"/>
        <w:snapToGrid w:val="0"/>
        <w:spacing w:line="360" w:lineRule="auto"/>
        <w:jc w:val="center"/>
        <w:outlineLvl w:val="0"/>
        <w:rPr>
          <w:rFonts w:ascii="方正小标宋简体" w:eastAsia="方正小标宋简体" w:cs="方正小标宋简体" w:hint="eastAsia"/>
          <w:sz w:val="72"/>
          <w:szCs w:val="72"/>
          <w:lang w:val="en-US" w:eastAsia="zh-CN"/>
        </w:rPr>
      </w:pPr>
      <w:r>
        <w:rPr>
          <w:rFonts w:ascii="方正小标宋简体" w:eastAsia="方正小标宋简体" w:cs="方正小标宋简体" w:hint="eastAsia"/>
          <w:sz w:val="72"/>
          <w:szCs w:val="72"/>
        </w:rPr>
        <w:t>决算</w:t>
      </w:r>
      <w:bookmarkEnd w:id="6"/>
      <w:bookmarkEnd w:id="7"/>
      <w:bookmarkEnd w:id="8"/>
      <w:bookmarkEnd w:id="9"/>
      <w:bookmarkEnd w:id="10"/>
      <w:bookmarkEnd w:id="11"/>
      <w:r>
        <w:rPr>
          <w:rFonts w:ascii="方正小标宋简体" w:eastAsia="方正小标宋简体" w:cs="方正小标宋简体" w:hint="eastAsia"/>
          <w:sz w:val="72"/>
          <w:szCs w:val="72"/>
          <w:lang w:val="en-US" w:eastAsia="zh-CN"/>
        </w:rPr>
        <w:t>公开</w:t>
      </w:r>
    </w:p>
    <w:p>
      <w:pPr>
        <w:widowControl/>
        <w:jc w:val="center"/>
        <w:rPr>
          <w:rFonts w:ascii="方正小标宋简体" w:eastAsia="方正小标宋简体"/>
          <w:sz w:val="36"/>
          <w:szCs w:val="36"/>
        </w:rPr>
      </w:pPr>
    </w:p>
    <w:p>
      <w:pPr>
        <w:pStyle w:val="15"/>
        <w:keepNext w:val="0"/>
        <w:keepLines w:val="0"/>
        <w:pageBreakBefore w:val="0"/>
        <w:widowControl w:val="0"/>
        <w:suppressLineNumbers w:val="0"/>
        <w:suppressAutoHyphens w:val="0"/>
      </w:pPr>
    </w:p>
    <w:p>
      <w:pPr>
        <w:keepNext w:val="0"/>
        <w:keepLines w:val="0"/>
        <w:pageBreakBefore w:val="0"/>
        <w:widowControl w:val="0"/>
        <w:suppressLineNumbers w:val="0"/>
        <w:suppressAutoHyphens w:val="0"/>
      </w:pPr>
    </w:p>
    <w:p>
      <w:pPr>
        <w:pStyle w:val="15"/>
        <w:keepNext w:val="0"/>
        <w:keepLines w:val="0"/>
        <w:pageBreakBefore w:val="0"/>
        <w:widowControl w:val="0"/>
        <w:suppressLineNumbers w:val="0"/>
        <w:suppressAutoHyphens w:val="0"/>
      </w:pPr>
    </w:p>
    <w:p>
      <w:pPr>
        <w:keepNext w:val="0"/>
        <w:keepLines w:val="0"/>
        <w:pageBreakBefore w:val="0"/>
        <w:widowControl w:val="0"/>
        <w:suppressLineNumbers w:val="0"/>
        <w:suppressAutoHyphens w:val="0"/>
      </w:pPr>
    </w:p>
    <w:p>
      <w:pPr>
        <w:pStyle w:val="15"/>
        <w:keepNext w:val="0"/>
        <w:keepLines w:val="0"/>
        <w:pageBreakBefore w:val="0"/>
        <w:widowControl w:val="0"/>
        <w:suppressLineNumbers w:val="0"/>
        <w:suppressAutoHyphens w:val="0"/>
      </w:pPr>
    </w:p>
    <w:p>
      <w:pPr>
        <w:pStyle w:val="16"/>
        <w:rPr>
          <w:rFonts w:ascii="Times New Roman" w:eastAsia="方正小标宋简体" w:cs="Times New Roman" w:hAnsi="Times New Roman"/>
          <w:color w:val="auto"/>
          <w:sz w:val="36"/>
          <w:szCs w:val="36"/>
          <w:highlight w:val="auto"/>
        </w:rPr>
      </w:pPr>
    </w:p>
    <w:p>
      <w:pPr>
        <w:pStyle w:val="37"/>
        <w:shd w:val="clear" w:color="auto" w:fill="FFFFFF"/>
        <w:spacing w:before="0" w:beforeAutospacing="0"/>
        <w:ind w:left="0"/>
        <w:jc w:val="center"/>
        <w:rPr>
          <w:sz w:val="32"/>
          <w:szCs w:val="32"/>
        </w:rPr>
      </w:pPr>
      <w:r>
        <w:rPr>
          <w:rFonts w:hint="eastAsia"/>
          <w:sz w:val="32"/>
          <w:szCs w:val="32"/>
          <w:lang w:eastAsia="zh-CN"/>
        </w:rPr>
        <w:t>已经</w:t>
      </w:r>
      <w:r>
        <w:rPr>
          <w:sz w:val="32"/>
          <w:szCs w:val="32"/>
        </w:rPr>
        <w:t>保密审查、内容审定，同意对外公开</w:t>
      </w:r>
    </w:p>
    <w:p>
      <w:pPr>
        <w:pStyle w:val="15"/>
        <w:keepNext w:val="0"/>
        <w:keepLines w:val="0"/>
        <w:pageBreakBefore w:val="0"/>
        <w:widowControl w:val="0"/>
        <w:suppressLineNumbers w:val="0"/>
        <w:suppressAutoHyphens w:val="0"/>
        <w:sectPr>
          <w:headerReference w:type="default" r:id="rId2"/>
          <w:pgSz w:w="11906" w:h="16838"/>
          <w:pgMar w:top="1440" w:right="1800" w:bottom="1440" w:left="1800" w:header="851" w:footer="992" w:gutter="0"/>
          <w:pgNumType w:start="1"/>
          <w:titlePg/>
          <w:docGrid w:type="lines" w:linePitch="312" w:charSpace="0"/>
        </w:sectPr>
      </w:pPr>
    </w:p>
    <w:p>
      <w:pPr>
        <w:pStyle w:val="16"/>
      </w:pPr>
    </w:p>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黑体" w:eastAsia="黑体"/>
          <w:sz w:val="44"/>
          <w:szCs w:val="44"/>
        </w:rPr>
      </w:pPr>
      <w:r>
        <w:rPr>
          <w:rFonts w:ascii="黑体" w:eastAsia="黑体" w:hint="eastAsia"/>
          <w:sz w:val="44"/>
          <w:szCs w:val="44"/>
        </w:rPr>
        <w:t>目</w:t>
      </w:r>
      <w:r>
        <w:rPr>
          <w:rFonts w:ascii="黑体" w:eastAsia="黑体" w:hint="eastAsia"/>
          <w:sz w:val="44"/>
          <w:szCs w:val="44"/>
          <w:lang w:val="en-US" w:eastAsia="zh-CN"/>
        </w:rPr>
        <w:t xml:space="preserve">  </w:t>
      </w:r>
      <w:r>
        <w:rPr>
          <w:rFonts w:ascii="黑体" w:eastAsia="黑体" w:hint="eastAsia"/>
          <w:sz w:val="44"/>
          <w:szCs w:val="44"/>
        </w:rPr>
        <w:t>录</w:t>
      </w:r>
    </w:p>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黑体" w:eastAsia="黑体" w:cs="Arial"/>
          <w:sz w:val="28"/>
          <w:szCs w:val="28"/>
        </w:rPr>
      </w:pPr>
    </w:p>
    <w:p>
      <w:pPr>
        <w:pStyle w:val="22"/>
        <w:keepNext w:val="0"/>
        <w:keepLines w:val="0"/>
        <w:pageBreakBefore w:val="0"/>
        <w:widowControl w:val="0"/>
        <w:tabs>
          <w:tab w:val="right" w:leader="dot" w:pos="8296"/>
        </w:tabs>
        <w:kinsoku/>
        <w:wordWrap/>
        <w:overflowPunct/>
        <w:topLinePunct w:val="0"/>
        <w:autoSpaceDE/>
        <w:autoSpaceDN/>
        <w:bidi w:val="0"/>
        <w:adjustRightInd/>
        <w:snapToGrid/>
        <w:spacing w:line="560" w:lineRule="exact"/>
        <w:textAlignment w:val="auto"/>
        <w:rPr>
          <w:rFonts w:ascii="楷体_GB2312" w:eastAsia="楷体_GB2312" w:cs="楷体_GB2312" w:hint="eastAsia"/>
        </w:rPr>
      </w:pPr>
      <w:r>
        <w:rPr>
          <w:rFonts w:ascii="楷体_GB2312" w:eastAsia="楷体_GB2312" w:cs="楷体_GB2312" w:hint="eastAsia"/>
        </w:rPr>
        <w:t>公开时间：2023年</w:t>
      </w:r>
      <w:r>
        <w:rPr>
          <w:rFonts w:ascii="楷体_GB2312" w:eastAsia="楷体_GB2312" w:cs="楷体_GB2312" w:hint="eastAsia"/>
          <w:lang w:val="en-US" w:eastAsia="zh-CN"/>
        </w:rPr>
        <w:t>9</w:t>
      </w:r>
      <w:r>
        <w:rPr>
          <w:rFonts w:ascii="楷体_GB2312" w:eastAsia="楷体_GB2312" w:cs="楷体_GB2312" w:hint="eastAsia"/>
        </w:rPr>
        <w:t>月</w:t>
      </w:r>
      <w:r>
        <w:rPr>
          <w:rFonts w:ascii="楷体_GB2312" w:eastAsia="楷体_GB2312" w:cs="楷体_GB2312" w:hint="eastAsia"/>
          <w:lang w:val="en-US" w:eastAsia="zh-CN"/>
        </w:rPr>
        <w:t>22</w:t>
      </w:r>
      <w:r>
        <w:rPr>
          <w:rFonts w:ascii="楷体_GB2312" w:eastAsia="楷体_GB2312" w:cs="楷体_GB2312" w:hint="eastAsia"/>
        </w:rPr>
        <w:t>日</w:t>
      </w:r>
    </w:p>
    <w:p>
      <w:pPr>
        <w:keepNext w:val="0"/>
        <w:keepLines w:val="0"/>
        <w:pageBreakBefore w:val="0"/>
        <w:widowControl w:val="0"/>
        <w:kinsoku/>
        <w:wordWrap/>
        <w:overflowPunct/>
        <w:topLinePunct w:val="0"/>
        <w:autoSpaceDE/>
        <w:autoSpaceDN/>
        <w:bidi w:val="0"/>
        <w:adjustRightInd/>
        <w:snapToGrid/>
        <w:spacing w:line="560" w:lineRule="exact"/>
        <w:textAlignment w:val="auto"/>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黑体" w:eastAsia="黑体" w:cs="黑体" w:hint="eastAsia"/>
          <w:sz w:val="32"/>
          <w:szCs w:val="32"/>
        </w:rPr>
      </w:pPr>
      <w:r>
        <w:rPr>
          <w:rFonts w:ascii="黑体" w:eastAsia="黑体" w:cs="黑体" w:hint="eastAsia"/>
          <w:sz w:val="32"/>
          <w:szCs w:val="32"/>
        </w:rPr>
        <w:t>第一部分 部门概况</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仿宋_GB2312" w:eastAsia="仿宋_GB2312" w:cs="仿宋_GB2312" w:hint="eastAsia"/>
          <w:sz w:val="32"/>
          <w:szCs w:val="32"/>
        </w:rPr>
      </w:pPr>
      <w:r>
        <w:rPr>
          <w:rFonts w:ascii="仿宋_GB2312" w:eastAsia="仿宋_GB2312" w:cs="仿宋_GB2312" w:hint="eastAsia"/>
          <w:sz w:val="32"/>
          <w:szCs w:val="32"/>
        </w:rPr>
        <w:t>一、部门职责</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仿宋_GB2312" w:eastAsia="仿宋_GB2312" w:cs="仿宋_GB2312" w:hint="eastAsia"/>
          <w:sz w:val="32"/>
          <w:szCs w:val="32"/>
        </w:rPr>
      </w:pPr>
      <w:r>
        <w:rPr>
          <w:rFonts w:ascii="仿宋_GB2312" w:eastAsia="仿宋_GB2312" w:cs="仿宋_GB2312" w:hint="eastAsia"/>
          <w:sz w:val="32"/>
          <w:szCs w:val="32"/>
        </w:rPr>
        <w:t>二、机构设置</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黑体" w:eastAsia="黑体" w:cs="黑体" w:hint="eastAsia"/>
          <w:sz w:val="32"/>
          <w:szCs w:val="32"/>
        </w:rPr>
      </w:pPr>
      <w:r>
        <w:rPr>
          <w:rFonts w:ascii="黑体" w:eastAsia="黑体" w:cs="黑体" w:hint="eastAsia"/>
          <w:sz w:val="32"/>
          <w:szCs w:val="32"/>
        </w:rPr>
        <w:t>第二部分 2022年度部门决算情况说明</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仿宋_GB2312" w:eastAsia="仿宋_GB2312" w:cs="仿宋_GB2312" w:hint="eastAsia"/>
          <w:sz w:val="32"/>
          <w:szCs w:val="32"/>
        </w:rPr>
      </w:pPr>
      <w:r>
        <w:rPr>
          <w:rFonts w:ascii="仿宋_GB2312" w:eastAsia="仿宋_GB2312" w:cs="仿宋_GB2312" w:hint="eastAsia"/>
          <w:sz w:val="32"/>
          <w:szCs w:val="32"/>
        </w:rPr>
        <w:t>一、收入支出决算总体情况说明</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仿宋_GB2312" w:eastAsia="仿宋_GB2312" w:cs="仿宋_GB2312" w:hint="eastAsia"/>
          <w:sz w:val="32"/>
          <w:szCs w:val="32"/>
        </w:rPr>
      </w:pPr>
      <w:r>
        <w:rPr>
          <w:rFonts w:ascii="仿宋_GB2312" w:eastAsia="仿宋_GB2312" w:cs="仿宋_GB2312" w:hint="eastAsia"/>
          <w:sz w:val="32"/>
          <w:szCs w:val="32"/>
        </w:rPr>
        <w:t>二、收入决算情况说明</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仿宋_GB2312" w:eastAsia="仿宋_GB2312" w:cs="仿宋_GB2312" w:hint="eastAsia"/>
          <w:sz w:val="32"/>
          <w:szCs w:val="32"/>
        </w:rPr>
      </w:pPr>
      <w:r>
        <w:rPr>
          <w:rFonts w:ascii="仿宋_GB2312" w:eastAsia="仿宋_GB2312" w:cs="仿宋_GB2312" w:hint="eastAsia"/>
          <w:sz w:val="32"/>
          <w:szCs w:val="32"/>
        </w:rPr>
        <w:t>三、支出决算情况说明</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仿宋_GB2312" w:eastAsia="仿宋_GB2312" w:cs="仿宋_GB2312" w:hint="eastAsia"/>
          <w:sz w:val="32"/>
          <w:szCs w:val="32"/>
        </w:rPr>
      </w:pPr>
      <w:r>
        <w:rPr>
          <w:rFonts w:ascii="仿宋_GB2312" w:eastAsia="仿宋_GB2312" w:cs="仿宋_GB2312" w:hint="eastAsia"/>
          <w:sz w:val="32"/>
          <w:szCs w:val="32"/>
        </w:rPr>
        <w:t>四、财政拨款收入支出决算总体情况说明</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仿宋_GB2312" w:eastAsia="仿宋_GB2312" w:cs="仿宋_GB2312" w:hint="eastAsia"/>
          <w:sz w:val="32"/>
          <w:szCs w:val="32"/>
        </w:rPr>
      </w:pPr>
      <w:r>
        <w:rPr>
          <w:rFonts w:ascii="仿宋_GB2312" w:eastAsia="仿宋_GB2312" w:cs="仿宋_GB2312" w:hint="eastAsia"/>
          <w:sz w:val="32"/>
          <w:szCs w:val="32"/>
        </w:rPr>
        <w:t>五、一般公共预算财政拨款支出决算情况说明</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仿宋_GB2312" w:eastAsia="仿宋_GB2312" w:cs="仿宋_GB2312" w:hint="eastAsia"/>
          <w:sz w:val="32"/>
          <w:szCs w:val="32"/>
        </w:rPr>
      </w:pPr>
      <w:r>
        <w:rPr>
          <w:rFonts w:ascii="仿宋_GB2312" w:eastAsia="仿宋_GB2312" w:cs="仿宋_GB2312" w:hint="eastAsia"/>
          <w:sz w:val="32"/>
          <w:szCs w:val="32"/>
        </w:rPr>
        <w:t>六、一般公共预算财政拨款基本支出决算情况说明</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仿宋_GB2312" w:eastAsia="仿宋_GB2312" w:cs="仿宋_GB2312" w:hint="eastAsia"/>
          <w:sz w:val="32"/>
          <w:szCs w:val="32"/>
        </w:rPr>
      </w:pPr>
      <w:r>
        <w:rPr>
          <w:rFonts w:ascii="仿宋_GB2312" w:eastAsia="仿宋_GB2312" w:cs="仿宋_GB2312" w:hint="eastAsia"/>
          <w:sz w:val="32"/>
          <w:szCs w:val="32"/>
        </w:rPr>
        <w:t>七、财政拨款“三公”经费支出决算情况说明</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仿宋_GB2312" w:eastAsia="仿宋_GB2312" w:cs="仿宋_GB2312" w:hint="eastAsia"/>
          <w:sz w:val="32"/>
          <w:szCs w:val="32"/>
        </w:rPr>
      </w:pPr>
      <w:r>
        <w:rPr>
          <w:rFonts w:ascii="仿宋_GB2312" w:eastAsia="仿宋_GB2312" w:cs="仿宋_GB2312" w:hint="eastAsia"/>
          <w:sz w:val="32"/>
          <w:szCs w:val="32"/>
        </w:rPr>
        <w:t>八、政府性基金预算支出决算情况说明</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仿宋_GB2312" w:eastAsia="仿宋_GB2312" w:cs="仿宋_GB2312" w:hint="eastAsia"/>
          <w:sz w:val="32"/>
          <w:szCs w:val="32"/>
        </w:rPr>
      </w:pPr>
      <w:r>
        <w:rPr>
          <w:rFonts w:ascii="仿宋_GB2312" w:eastAsia="仿宋_GB2312" w:cs="仿宋_GB2312" w:hint="eastAsia"/>
          <w:sz w:val="32"/>
          <w:szCs w:val="32"/>
        </w:rPr>
        <w:t xml:space="preserve">    九、国有资本经营预算支出决算情况说明</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仿宋_GB2312" w:eastAsia="仿宋_GB2312" w:cs="仿宋_GB2312" w:hint="eastAsia"/>
          <w:sz w:val="32"/>
          <w:szCs w:val="32"/>
        </w:rPr>
      </w:pPr>
      <w:r>
        <w:rPr>
          <w:rFonts w:ascii="仿宋_GB2312" w:eastAsia="仿宋_GB2312" w:cs="仿宋_GB2312" w:hint="eastAsia"/>
          <w:sz w:val="32"/>
          <w:szCs w:val="32"/>
        </w:rPr>
        <w:t>十、其他重要事项的情况说明</w:t>
        <w:tab/>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黑体" w:eastAsia="黑体" w:cs="黑体" w:hint="eastAsia"/>
          <w:sz w:val="32"/>
          <w:szCs w:val="32"/>
        </w:rPr>
      </w:pPr>
      <w:r>
        <w:rPr>
          <w:rFonts w:ascii="黑体" w:eastAsia="黑体" w:cs="黑体" w:hint="eastAsia"/>
          <w:sz w:val="32"/>
          <w:szCs w:val="32"/>
        </w:rPr>
        <w:t>第三部分 名词解释</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黑体" w:eastAsia="黑体" w:cs="黑体" w:hint="eastAsia"/>
          <w:sz w:val="32"/>
          <w:szCs w:val="32"/>
        </w:rPr>
      </w:pPr>
      <w:r>
        <w:rPr>
          <w:rFonts w:ascii="黑体" w:eastAsia="黑体" w:cs="黑体" w:hint="eastAsia"/>
          <w:sz w:val="32"/>
          <w:szCs w:val="32"/>
        </w:rPr>
        <w:t>第四部分 附件</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黑体" w:eastAsia="黑体" w:cs="黑体" w:hint="eastAsia"/>
          <w:sz w:val="32"/>
          <w:szCs w:val="32"/>
        </w:rPr>
      </w:pPr>
      <w:r>
        <w:rPr>
          <w:rFonts w:ascii="黑体" w:eastAsia="黑体" w:cs="黑体" w:hint="eastAsia"/>
          <w:sz w:val="32"/>
          <w:szCs w:val="32"/>
        </w:rPr>
        <w:t>第五部分 附表</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仿宋_GB2312" w:eastAsia="仿宋_GB2312" w:cs="仿宋_GB2312" w:hint="eastAsia"/>
          <w:sz w:val="32"/>
          <w:szCs w:val="32"/>
        </w:rPr>
      </w:pPr>
      <w:r>
        <w:rPr>
          <w:rFonts w:ascii="仿宋_GB2312" w:eastAsia="仿宋_GB2312" w:cs="仿宋_GB2312" w:hint="eastAsia"/>
          <w:sz w:val="32"/>
          <w:szCs w:val="32"/>
        </w:rPr>
        <w:t>一、收入支出决算总表</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仿宋_GB2312" w:eastAsia="仿宋_GB2312" w:cs="仿宋_GB2312" w:hint="eastAsia"/>
          <w:sz w:val="32"/>
          <w:szCs w:val="32"/>
        </w:rPr>
      </w:pPr>
      <w:r>
        <w:rPr>
          <w:rFonts w:ascii="仿宋_GB2312" w:eastAsia="仿宋_GB2312" w:cs="仿宋_GB2312" w:hint="eastAsia"/>
          <w:sz w:val="32"/>
          <w:szCs w:val="32"/>
        </w:rPr>
        <w:t>二、收入决算表</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仿宋_GB2312" w:eastAsia="仿宋_GB2312" w:cs="仿宋_GB2312" w:hint="eastAsia"/>
          <w:sz w:val="32"/>
          <w:szCs w:val="32"/>
        </w:rPr>
      </w:pPr>
      <w:r>
        <w:rPr>
          <w:rFonts w:ascii="仿宋_GB2312" w:eastAsia="仿宋_GB2312" w:cs="仿宋_GB2312" w:hint="eastAsia"/>
          <w:sz w:val="32"/>
          <w:szCs w:val="32"/>
        </w:rPr>
        <w:t>三、支出决算表</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仿宋_GB2312" w:eastAsia="仿宋_GB2312" w:cs="仿宋_GB2312" w:hint="eastAsia"/>
          <w:sz w:val="32"/>
          <w:szCs w:val="32"/>
        </w:rPr>
      </w:pPr>
      <w:r>
        <w:rPr>
          <w:rFonts w:ascii="仿宋_GB2312" w:eastAsia="仿宋_GB2312" w:cs="仿宋_GB2312" w:hint="eastAsia"/>
          <w:sz w:val="32"/>
          <w:szCs w:val="32"/>
        </w:rPr>
        <w:t>四、财政拨款收入支出决算总表</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仿宋_GB2312" w:eastAsia="仿宋_GB2312" w:cs="仿宋_GB2312" w:hint="eastAsia"/>
          <w:sz w:val="32"/>
          <w:szCs w:val="32"/>
        </w:rPr>
      </w:pPr>
      <w:r>
        <w:rPr>
          <w:rFonts w:ascii="仿宋_GB2312" w:eastAsia="仿宋_GB2312" w:cs="仿宋_GB2312" w:hint="eastAsia"/>
          <w:sz w:val="32"/>
          <w:szCs w:val="32"/>
        </w:rPr>
        <w:t>五、财政拨款支出决算明细表</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仿宋_GB2312" w:eastAsia="仿宋_GB2312" w:cs="仿宋_GB2312" w:hint="eastAsia"/>
          <w:sz w:val="32"/>
          <w:szCs w:val="32"/>
        </w:rPr>
      </w:pPr>
      <w:r>
        <w:rPr>
          <w:rFonts w:ascii="仿宋_GB2312" w:eastAsia="仿宋_GB2312" w:cs="仿宋_GB2312" w:hint="eastAsia"/>
          <w:sz w:val="32"/>
          <w:szCs w:val="32"/>
        </w:rPr>
        <w:t>六、一般公共预算财政拨款支出决算表</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仿宋_GB2312" w:eastAsia="仿宋_GB2312" w:cs="仿宋_GB2312" w:hint="eastAsia"/>
          <w:sz w:val="32"/>
          <w:szCs w:val="32"/>
        </w:rPr>
      </w:pPr>
      <w:r>
        <w:rPr>
          <w:rFonts w:ascii="仿宋_GB2312" w:eastAsia="仿宋_GB2312" w:cs="仿宋_GB2312" w:hint="eastAsia"/>
          <w:sz w:val="32"/>
          <w:szCs w:val="32"/>
        </w:rPr>
        <w:t>七、一般公共预算财政拨款支出决算明细表</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仿宋_GB2312" w:eastAsia="仿宋_GB2312" w:cs="仿宋_GB2312" w:hint="eastAsia"/>
          <w:sz w:val="32"/>
          <w:szCs w:val="32"/>
        </w:rPr>
      </w:pPr>
      <w:r>
        <w:rPr>
          <w:rFonts w:ascii="仿宋_GB2312" w:eastAsia="仿宋_GB2312" w:cs="仿宋_GB2312" w:hint="eastAsia"/>
          <w:sz w:val="32"/>
          <w:szCs w:val="32"/>
        </w:rPr>
        <w:t>八、一般公共预算财政拨款基本支出决算明细表</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仿宋_GB2312" w:eastAsia="仿宋_GB2312" w:cs="仿宋_GB2312" w:hint="eastAsia"/>
          <w:sz w:val="32"/>
          <w:szCs w:val="32"/>
        </w:rPr>
      </w:pPr>
      <w:r>
        <w:rPr>
          <w:rFonts w:ascii="仿宋_GB2312" w:eastAsia="仿宋_GB2312" w:cs="仿宋_GB2312" w:hint="eastAsia"/>
          <w:sz w:val="32"/>
          <w:szCs w:val="32"/>
        </w:rPr>
        <w:t>九、一般公共预算财政拨款项目支出决算表</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仿宋_GB2312" w:eastAsia="仿宋_GB2312" w:cs="仿宋_GB2312" w:hint="eastAsia"/>
          <w:sz w:val="32"/>
          <w:szCs w:val="32"/>
        </w:rPr>
      </w:pPr>
      <w:r>
        <w:rPr>
          <w:rFonts w:ascii="仿宋_GB2312" w:eastAsia="仿宋_GB2312" w:cs="仿宋_GB2312" w:hint="eastAsia"/>
          <w:sz w:val="32"/>
          <w:szCs w:val="32"/>
        </w:rPr>
        <w:t>十、政府性基金预算财政拨款收入支出决算表</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仿宋_GB2312" w:eastAsia="仿宋_GB2312" w:cs="仿宋_GB2312" w:hint="eastAsia"/>
          <w:sz w:val="32"/>
          <w:szCs w:val="32"/>
        </w:rPr>
      </w:pPr>
      <w:r>
        <w:rPr>
          <w:rFonts w:ascii="仿宋_GB2312" w:eastAsia="仿宋_GB2312" w:cs="仿宋_GB2312" w:hint="eastAsia"/>
          <w:sz w:val="32"/>
          <w:szCs w:val="32"/>
        </w:rPr>
        <w:t>十一、国有资本经营预算财政拨款收入支出决算表</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仿宋_GB2312" w:eastAsia="仿宋_GB2312" w:cs="仿宋_GB2312" w:hint="eastAsia"/>
          <w:sz w:val="32"/>
          <w:szCs w:val="32"/>
        </w:rPr>
      </w:pPr>
      <w:r>
        <w:rPr>
          <w:rFonts w:ascii="仿宋_GB2312" w:eastAsia="仿宋_GB2312" w:cs="仿宋_GB2312" w:hint="eastAsia"/>
          <w:sz w:val="32"/>
          <w:szCs w:val="32"/>
        </w:rPr>
        <w:t>十二、国有资本经营预算财政拨款支出决算表</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仿宋_GB2312" w:eastAsia="仿宋_GB2312" w:cs="仿宋_GB2312" w:hint="eastAsia"/>
          <w:sz w:val="32"/>
          <w:szCs w:val="32"/>
        </w:rPr>
      </w:pPr>
      <w:r>
        <w:rPr>
          <w:rFonts w:ascii="仿宋_GB2312" w:eastAsia="仿宋_GB2312" w:cs="仿宋_GB2312" w:hint="eastAsia"/>
          <w:sz w:val="32"/>
          <w:szCs w:val="32"/>
        </w:rPr>
        <w:t>十三、财政拨款“三公”经费支出决算表</w:t>
      </w:r>
    </w:p>
    <w:p>
      <w:pPr>
        <w:widowControl/>
        <w:spacing w:line="440" w:lineRule="exact"/>
        <w:jc w:val="left"/>
        <w:rPr>
          <w:rFonts w:ascii="仿宋" w:eastAsia="仿宋"/>
          <w:bCs/>
          <w:kern w:val="44"/>
          <w:sz w:val="24"/>
        </w:rPr>
      </w:pPr>
      <w:bookmarkStart w:id="12" w:name="_Toc15377196"/>
      <w:bookmarkStart w:id="13" w:name="_Toc15396599"/>
      <w:r>
        <w:rPr>
          <w:rFonts w:ascii="仿宋" w:eastAsia="仿宋"/>
          <w:b/>
          <w:sz w:val="24"/>
        </w:rPr>
        <w:br w:type="page"/>
      </w:r>
    </w:p>
    <w:p>
      <w:pPr>
        <w:pStyle w:val="1"/>
        <w:jc w:val="center"/>
        <w:rPr>
          <w:rFonts w:ascii="黑体" w:eastAsia="黑体" w:hint="eastAsia"/>
          <w:b w:val="0"/>
        </w:rPr>
      </w:pPr>
    </w:p>
    <w:p>
      <w:pPr>
        <w:pStyle w:val="1"/>
        <w:keepNext/>
        <w:keepLines/>
        <w:pageBreakBefore w:val="0"/>
        <w:widowControl w:val="0"/>
        <w:kinsoku/>
        <w:wordWrap/>
        <w:overflowPunct/>
        <w:topLinePunct w:val="0"/>
        <w:autoSpaceDE/>
        <w:autoSpaceDN/>
        <w:bidi w:val="0"/>
        <w:adjustRightInd/>
        <w:snapToGrid/>
        <w:spacing w:line="560" w:lineRule="exact"/>
        <w:jc w:val="center"/>
        <w:textAlignment w:val="auto"/>
        <w:rPr>
          <w:rFonts w:ascii="黑体" w:eastAsia="黑体"/>
          <w:sz w:val="32"/>
          <w:szCs w:val="32"/>
        </w:rPr>
      </w:pPr>
      <w:r>
        <w:rPr>
          <w:rFonts w:ascii="黑体" w:eastAsia="黑体" w:hint="eastAsia"/>
          <w:b w:val="0"/>
        </w:rPr>
        <w:t xml:space="preserve">第一部分 </w:t>
      </w:r>
      <w:r>
        <w:rPr>
          <w:rStyle w:val="1Char"/>
          <w:rFonts w:ascii="黑体" w:eastAsia="黑体" w:hint="eastAsia"/>
          <w:b w:val="0"/>
          <w:bCs w:val="0"/>
        </w:rPr>
        <w:t>部门概况</w:t>
      </w:r>
      <w:bookmarkEnd w:id="12"/>
      <w:bookmarkEnd w:id="13"/>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黑体" w:eastAsia="黑体" w:cs="黑体" w:hint="eastAsia"/>
          <w:sz w:val="32"/>
          <w:szCs w:val="32"/>
        </w:rPr>
      </w:pPr>
      <w:bookmarkStart w:id="14" w:name="_Toc15377197"/>
      <w:bookmarkStart w:id="15" w:name="_Toc15396600"/>
      <w:r>
        <w:rPr>
          <w:rFonts w:ascii="黑体" w:eastAsia="黑体" w:cs="黑体" w:hint="eastAsia"/>
          <w:sz w:val="32"/>
          <w:szCs w:val="32"/>
        </w:rPr>
        <w:t>一、</w:t>
      </w:r>
      <w:bookmarkEnd w:id="14"/>
      <w:bookmarkEnd w:id="15"/>
      <w:r>
        <w:rPr>
          <w:rFonts w:ascii="黑体" w:eastAsia="黑体" w:cs="黑体" w:hint="eastAsia"/>
          <w:sz w:val="32"/>
          <w:szCs w:val="32"/>
        </w:rPr>
        <w:t>部门职责</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Times New Roman" w:eastAsia="仿宋_GB2312" w:cs="Times New Roman" w:hAnsi="Times New Roman"/>
          <w:sz w:val="32"/>
          <w:szCs w:val="32"/>
          <w:lang w:eastAsia="zh-CN"/>
        </w:rPr>
      </w:pPr>
      <w:r>
        <w:rPr>
          <w:rFonts w:ascii="Times New Roman" w:eastAsia="仿宋_GB2312" w:cs="Times New Roman" w:hAnsi="Times New Roman"/>
          <w:sz w:val="32"/>
          <w:szCs w:val="32"/>
          <w:lang w:eastAsia="zh-CN"/>
        </w:rPr>
        <w:t>（</w:t>
      </w:r>
      <w:r>
        <w:rPr>
          <w:rFonts w:ascii="Times New Roman" w:eastAsia="仿宋_GB2312" w:cs="Times New Roman" w:hAnsi="Times New Roman"/>
          <w:sz w:val="32"/>
          <w:szCs w:val="32"/>
          <w:lang w:val="en-US" w:eastAsia="zh-CN"/>
        </w:rPr>
        <w:t>一</w:t>
      </w:r>
      <w:r>
        <w:rPr>
          <w:rFonts w:ascii="Times New Roman" w:eastAsia="仿宋_GB2312" w:cs="Times New Roman" w:hAnsi="Times New Roman"/>
          <w:sz w:val="32"/>
          <w:szCs w:val="32"/>
          <w:lang w:eastAsia="zh-CN"/>
        </w:rPr>
        <w:t>）贯彻执行中央、省关于行政管理体制改革和机构改革、事业单位改革及机构编制管理的方针政策、法律法规，研究拟定本州的政策规定、管理办法和实施细则。</w:t>
      </w:r>
    </w:p>
    <w:p>
      <w:pPr>
        <w:pageBreakBefore w:val="0"/>
        <w:widowControl w:val="0"/>
        <w:kinsoku/>
        <w:wordWrap/>
        <w:overflowPunct/>
        <w:topLinePunct w:val="0"/>
        <w:autoSpaceDE/>
        <w:autoSpaceDN/>
        <w:bidi w:val="0"/>
        <w:adjustRightInd/>
        <w:snapToGrid/>
        <w:spacing w:line="560" w:lineRule="exact"/>
        <w:ind w:firstLineChars="200" w:firstLine="640"/>
        <w:textAlignment w:val="auto"/>
        <w:rPr>
          <w:rFonts w:ascii="Times New Roman" w:eastAsia="仿宋_GB2312" w:cs="Times New Roman" w:hAnsi="Times New Roman"/>
          <w:sz w:val="32"/>
          <w:szCs w:val="32"/>
          <w:lang w:eastAsia="zh-CN"/>
        </w:rPr>
      </w:pPr>
      <w:r>
        <w:rPr>
          <w:rFonts w:ascii="Times New Roman" w:eastAsia="仿宋_GB2312" w:cs="Times New Roman" w:hAnsi="Times New Roman"/>
          <w:sz w:val="32"/>
          <w:szCs w:val="32"/>
          <w:lang w:eastAsia="zh-CN"/>
        </w:rPr>
        <w:t>（</w:t>
      </w:r>
      <w:r>
        <w:rPr>
          <w:rFonts w:ascii="Times New Roman" w:eastAsia="仿宋_GB2312" w:cs="Times New Roman" w:hAnsi="Times New Roman"/>
          <w:sz w:val="32"/>
          <w:szCs w:val="32"/>
          <w:lang w:val="en-US" w:eastAsia="zh-CN"/>
        </w:rPr>
        <w:t>二</w:t>
      </w:r>
      <w:r>
        <w:rPr>
          <w:rFonts w:ascii="Times New Roman" w:eastAsia="仿宋_GB2312" w:cs="Times New Roman" w:hAnsi="Times New Roman"/>
          <w:sz w:val="32"/>
          <w:szCs w:val="32"/>
          <w:lang w:eastAsia="zh-CN"/>
        </w:rPr>
        <w:t>）研究拟定全州行政管理体制改革和机构改革方案，审核州直各部门“三定”规定和县（市）、乡镇机构改革方案，指导县（市）、乡镇行政管理体制改革和机构改革，评估改革效果。参与行政审批制度改革和行政区划调整的有关工作。</w:t>
      </w:r>
    </w:p>
    <w:p>
      <w:pPr>
        <w:pageBreakBefore w:val="0"/>
        <w:widowControl w:val="0"/>
        <w:kinsoku/>
        <w:wordWrap/>
        <w:overflowPunct/>
        <w:topLinePunct w:val="0"/>
        <w:autoSpaceDE/>
        <w:autoSpaceDN/>
        <w:bidi w:val="0"/>
        <w:adjustRightInd/>
        <w:snapToGrid/>
        <w:spacing w:line="560" w:lineRule="exact"/>
        <w:ind w:firstLineChars="200" w:firstLine="640"/>
        <w:textAlignment w:val="auto"/>
        <w:rPr>
          <w:rFonts w:ascii="Times New Roman" w:eastAsia="仿宋_GB2312" w:cs="Times New Roman" w:hAnsi="Times New Roman"/>
          <w:sz w:val="32"/>
          <w:szCs w:val="32"/>
          <w:lang w:eastAsia="zh-CN"/>
        </w:rPr>
      </w:pPr>
      <w:r>
        <w:rPr>
          <w:rFonts w:ascii="Times New Roman" w:eastAsia="仿宋_GB2312" w:cs="Times New Roman" w:hAnsi="Times New Roman"/>
          <w:sz w:val="32"/>
          <w:szCs w:val="32"/>
          <w:lang w:eastAsia="zh-CN"/>
        </w:rPr>
        <w:t>（</w:t>
      </w:r>
      <w:r>
        <w:rPr>
          <w:rFonts w:ascii="Times New Roman" w:eastAsia="仿宋_GB2312" w:cs="Times New Roman" w:hAnsi="Times New Roman"/>
          <w:sz w:val="32"/>
          <w:szCs w:val="32"/>
          <w:lang w:val="en-US" w:eastAsia="zh-CN"/>
        </w:rPr>
        <w:t>三</w:t>
      </w:r>
      <w:r>
        <w:rPr>
          <w:rFonts w:ascii="Times New Roman" w:eastAsia="仿宋_GB2312" w:cs="Times New Roman" w:hAnsi="Times New Roman"/>
          <w:sz w:val="32"/>
          <w:szCs w:val="32"/>
          <w:lang w:eastAsia="zh-CN"/>
        </w:rPr>
        <w:t>）拟定全州各级行政编制、政法专项编制总额分配方案,审核跨层级调整行政编制事项。负责全州行政事业编制总量控制、结构调整和机关事业单位机构编制实名制管理工作。对州直机关和州属事业单位使用空缺编制补充人员以及进入州级财政供养范围的人员（工勤人员除外）进行核批。</w:t>
      </w:r>
    </w:p>
    <w:p>
      <w:pPr>
        <w:pageBreakBefore w:val="0"/>
        <w:widowControl w:val="0"/>
        <w:kinsoku/>
        <w:wordWrap/>
        <w:overflowPunct/>
        <w:topLinePunct w:val="0"/>
        <w:autoSpaceDE/>
        <w:autoSpaceDN/>
        <w:bidi w:val="0"/>
        <w:adjustRightInd/>
        <w:snapToGrid/>
        <w:spacing w:line="560" w:lineRule="exact"/>
        <w:ind w:firstLineChars="200" w:firstLine="640"/>
        <w:textAlignment w:val="auto"/>
        <w:rPr>
          <w:rFonts w:ascii="Times New Roman" w:eastAsia="仿宋_GB2312" w:cs="Times New Roman" w:hAnsi="Times New Roman"/>
          <w:sz w:val="32"/>
          <w:szCs w:val="32"/>
          <w:lang w:eastAsia="zh-CN"/>
        </w:rPr>
      </w:pPr>
      <w:r>
        <w:rPr>
          <w:rFonts w:ascii="Times New Roman" w:eastAsia="仿宋_GB2312" w:cs="Times New Roman" w:hAnsi="Times New Roman"/>
          <w:sz w:val="32"/>
          <w:szCs w:val="32"/>
          <w:lang w:eastAsia="zh-CN"/>
        </w:rPr>
        <w:t>（</w:t>
      </w:r>
      <w:r>
        <w:rPr>
          <w:rFonts w:ascii="Times New Roman" w:eastAsia="仿宋_GB2312" w:cs="Times New Roman" w:hAnsi="Times New Roman"/>
          <w:sz w:val="32"/>
          <w:szCs w:val="32"/>
          <w:lang w:val="en-US" w:eastAsia="zh-CN"/>
        </w:rPr>
        <w:t>四</w:t>
      </w:r>
      <w:r>
        <w:rPr>
          <w:rFonts w:ascii="Times New Roman" w:eastAsia="仿宋_GB2312" w:cs="Times New Roman" w:hAnsi="Times New Roman"/>
          <w:sz w:val="32"/>
          <w:szCs w:val="32"/>
          <w:lang w:eastAsia="zh-CN"/>
        </w:rPr>
        <w:t>）负责州委、州政府各部门，州人大、州政协机关及州人民团体机关的机构编制管理工作。协调州直各部门之间及州直各部门与县（市）之间的职责分工。</w:t>
      </w:r>
    </w:p>
    <w:p>
      <w:pPr>
        <w:pageBreakBefore w:val="0"/>
        <w:widowControl w:val="0"/>
        <w:kinsoku/>
        <w:wordWrap/>
        <w:overflowPunct/>
        <w:topLinePunct w:val="0"/>
        <w:autoSpaceDE/>
        <w:autoSpaceDN/>
        <w:bidi w:val="0"/>
        <w:adjustRightInd/>
        <w:snapToGrid/>
        <w:spacing w:line="560" w:lineRule="exact"/>
        <w:ind w:firstLineChars="200" w:firstLine="640"/>
        <w:textAlignment w:val="auto"/>
        <w:rPr>
          <w:rFonts w:ascii="Times New Roman" w:eastAsia="仿宋_GB2312" w:cs="Times New Roman" w:hAnsi="Times New Roman"/>
          <w:sz w:val="32"/>
          <w:szCs w:val="32"/>
          <w:lang w:eastAsia="zh-CN"/>
        </w:rPr>
      </w:pPr>
      <w:r>
        <w:rPr>
          <w:rFonts w:ascii="Times New Roman" w:eastAsia="仿宋_GB2312" w:cs="Times New Roman" w:hAnsi="Times New Roman"/>
          <w:sz w:val="32"/>
          <w:szCs w:val="32"/>
          <w:lang w:eastAsia="zh-CN"/>
        </w:rPr>
        <w:t>（</w:t>
      </w:r>
      <w:r>
        <w:rPr>
          <w:rFonts w:ascii="Times New Roman" w:eastAsia="仿宋_GB2312" w:cs="Times New Roman" w:hAnsi="Times New Roman"/>
          <w:sz w:val="32"/>
          <w:szCs w:val="32"/>
          <w:lang w:val="en-US" w:eastAsia="zh-CN"/>
        </w:rPr>
        <w:t>五</w:t>
      </w:r>
      <w:r>
        <w:rPr>
          <w:rFonts w:ascii="Times New Roman" w:eastAsia="仿宋_GB2312" w:cs="Times New Roman" w:hAnsi="Times New Roman"/>
          <w:sz w:val="32"/>
          <w:szCs w:val="32"/>
          <w:lang w:eastAsia="zh-CN"/>
        </w:rPr>
        <w:t>）审核各县（市）副科级或按照副科级及以上规格管理机构的设置、调整，指导县（市）、乡镇机构编制管理工作。</w:t>
      </w:r>
    </w:p>
    <w:p>
      <w:pPr>
        <w:pageBreakBefore w:val="0"/>
        <w:widowControl w:val="0"/>
        <w:kinsoku/>
        <w:wordWrap/>
        <w:overflowPunct/>
        <w:topLinePunct w:val="0"/>
        <w:autoSpaceDE/>
        <w:autoSpaceDN/>
        <w:bidi w:val="0"/>
        <w:adjustRightInd/>
        <w:snapToGrid/>
        <w:spacing w:line="560" w:lineRule="exact"/>
        <w:ind w:firstLineChars="200" w:firstLine="640"/>
        <w:textAlignment w:val="auto"/>
        <w:rPr>
          <w:rFonts w:ascii="Times New Roman" w:eastAsia="仿宋_GB2312" w:cs="Times New Roman" w:hAnsi="Times New Roman"/>
          <w:sz w:val="32"/>
          <w:szCs w:val="32"/>
          <w:lang w:eastAsia="zh-CN"/>
        </w:rPr>
      </w:pPr>
      <w:r>
        <w:rPr>
          <w:rFonts w:ascii="Times New Roman" w:eastAsia="仿宋_GB2312" w:cs="Times New Roman" w:hAnsi="Times New Roman"/>
          <w:sz w:val="32"/>
          <w:szCs w:val="32"/>
          <w:lang w:eastAsia="zh-CN"/>
        </w:rPr>
        <w:t>（</w:t>
      </w:r>
      <w:r>
        <w:rPr>
          <w:rFonts w:ascii="Times New Roman" w:eastAsia="仿宋_GB2312" w:cs="Times New Roman" w:hAnsi="Times New Roman"/>
          <w:sz w:val="32"/>
          <w:szCs w:val="32"/>
          <w:lang w:val="en-US" w:eastAsia="zh-CN"/>
        </w:rPr>
        <w:t>六</w:t>
      </w:r>
      <w:r>
        <w:rPr>
          <w:rFonts w:ascii="Times New Roman" w:eastAsia="仿宋_GB2312" w:cs="Times New Roman" w:hAnsi="Times New Roman"/>
          <w:sz w:val="32"/>
          <w:szCs w:val="32"/>
          <w:lang w:eastAsia="zh-CN"/>
        </w:rPr>
        <w:t>）研究拟定全州事业单位改革方案及其实施意见，负责州属事业单位机构编制管理，审核州属事业单位的机构编制方案，负责参照公务员法管理事业单位的职责审核工作，审核各县（市）、乡镇事业单位改革总体方案，指导并协调县、乡镇事业单位改革和机构编制管理工作。</w:t>
      </w:r>
    </w:p>
    <w:p>
      <w:pPr>
        <w:pageBreakBefore w:val="0"/>
        <w:widowControl w:val="0"/>
        <w:kinsoku/>
        <w:wordWrap/>
        <w:overflowPunct/>
        <w:topLinePunct w:val="0"/>
        <w:autoSpaceDE/>
        <w:autoSpaceDN/>
        <w:bidi w:val="0"/>
        <w:adjustRightInd/>
        <w:snapToGrid/>
        <w:spacing w:line="560" w:lineRule="exact"/>
        <w:ind w:firstLineChars="200" w:firstLine="640"/>
        <w:textAlignment w:val="auto"/>
        <w:rPr>
          <w:rFonts w:ascii="Times New Roman" w:eastAsia="仿宋_GB2312" w:cs="Times New Roman" w:hAnsi="Times New Roman"/>
          <w:sz w:val="32"/>
          <w:szCs w:val="32"/>
          <w:lang w:eastAsia="zh-CN"/>
        </w:rPr>
      </w:pPr>
      <w:r>
        <w:rPr>
          <w:rFonts w:ascii="Times New Roman" w:eastAsia="仿宋_GB2312" w:cs="Times New Roman" w:hAnsi="Times New Roman"/>
          <w:sz w:val="32"/>
          <w:szCs w:val="32"/>
          <w:lang w:eastAsia="zh-CN"/>
        </w:rPr>
        <w:t>（</w:t>
      </w:r>
      <w:r>
        <w:rPr>
          <w:rFonts w:ascii="Times New Roman" w:eastAsia="仿宋_GB2312" w:cs="Times New Roman" w:hAnsi="Times New Roman"/>
          <w:sz w:val="32"/>
          <w:szCs w:val="32"/>
          <w:lang w:val="en-US" w:eastAsia="zh-CN"/>
        </w:rPr>
        <w:t>七</w:t>
      </w:r>
      <w:r>
        <w:rPr>
          <w:rFonts w:ascii="Times New Roman" w:eastAsia="仿宋_GB2312" w:cs="Times New Roman" w:hAnsi="Times New Roman"/>
          <w:sz w:val="32"/>
          <w:szCs w:val="32"/>
          <w:lang w:eastAsia="zh-CN"/>
        </w:rPr>
        <w:t>）监督检查全州行政管理体制改革和机构改革方案及机构编制规定执行情况,建立机构编制工作考核评估制度,会同有关部门查处机构编制违法违纪行为。</w:t>
      </w:r>
    </w:p>
    <w:p>
      <w:pPr>
        <w:pageBreakBefore w:val="0"/>
        <w:widowControl w:val="0"/>
        <w:kinsoku/>
        <w:wordWrap/>
        <w:overflowPunct/>
        <w:topLinePunct w:val="0"/>
        <w:autoSpaceDE/>
        <w:autoSpaceDN/>
        <w:bidi w:val="0"/>
        <w:adjustRightInd/>
        <w:snapToGrid/>
        <w:spacing w:line="560" w:lineRule="exact"/>
        <w:ind w:firstLineChars="200" w:firstLine="640"/>
        <w:textAlignment w:val="auto"/>
        <w:rPr>
          <w:rFonts w:ascii="Times New Roman" w:eastAsia="仿宋_GB2312" w:cs="Times New Roman" w:hAnsi="Times New Roman"/>
          <w:sz w:val="32"/>
          <w:szCs w:val="32"/>
          <w:lang w:eastAsia="zh-CN"/>
        </w:rPr>
      </w:pPr>
      <w:r>
        <w:rPr>
          <w:rFonts w:ascii="Times New Roman" w:eastAsia="仿宋_GB2312" w:cs="Times New Roman" w:hAnsi="Times New Roman"/>
          <w:sz w:val="32"/>
          <w:szCs w:val="32"/>
          <w:lang w:eastAsia="zh-CN"/>
        </w:rPr>
        <w:t>（</w:t>
      </w:r>
      <w:r>
        <w:rPr>
          <w:rFonts w:ascii="Times New Roman" w:eastAsia="仿宋_GB2312" w:cs="Times New Roman" w:hAnsi="Times New Roman"/>
          <w:sz w:val="32"/>
          <w:szCs w:val="32"/>
          <w:lang w:val="en-US" w:eastAsia="zh-CN"/>
        </w:rPr>
        <w:t>八</w:t>
      </w:r>
      <w:r>
        <w:rPr>
          <w:rFonts w:ascii="Times New Roman" w:eastAsia="仿宋_GB2312" w:cs="Times New Roman" w:hAnsi="Times New Roman"/>
          <w:sz w:val="32"/>
          <w:szCs w:val="32"/>
          <w:lang w:eastAsia="zh-CN"/>
        </w:rPr>
        <w:t>）负责全州事业单位登记管理工作，组织实施州属事业单位登记和年度报告公示工作。</w:t>
      </w:r>
    </w:p>
    <w:p>
      <w:pPr>
        <w:pageBreakBefore w:val="0"/>
        <w:widowControl w:val="0"/>
        <w:kinsoku/>
        <w:wordWrap/>
        <w:overflowPunct/>
        <w:topLinePunct w:val="0"/>
        <w:autoSpaceDE/>
        <w:autoSpaceDN/>
        <w:bidi w:val="0"/>
        <w:adjustRightInd/>
        <w:snapToGrid/>
        <w:spacing w:line="560" w:lineRule="exact"/>
        <w:ind w:firstLineChars="200" w:firstLine="640"/>
        <w:textAlignment w:val="auto"/>
        <w:rPr>
          <w:rFonts w:ascii="Times New Roman" w:eastAsia="仿宋_GB2312" w:cs="Times New Roman" w:hAnsi="Times New Roman"/>
          <w:sz w:val="32"/>
          <w:szCs w:val="32"/>
          <w:lang w:eastAsia="zh-CN"/>
        </w:rPr>
      </w:pPr>
      <w:r>
        <w:rPr>
          <w:rFonts w:ascii="Times New Roman" w:eastAsia="仿宋_GB2312" w:cs="Times New Roman" w:hAnsi="Times New Roman"/>
          <w:sz w:val="32"/>
          <w:szCs w:val="32"/>
          <w:lang w:eastAsia="zh-CN"/>
        </w:rPr>
        <w:t>（</w:t>
      </w:r>
      <w:r>
        <w:rPr>
          <w:rFonts w:ascii="Times New Roman" w:eastAsia="仿宋_GB2312" w:cs="Times New Roman" w:hAnsi="Times New Roman"/>
          <w:sz w:val="32"/>
          <w:szCs w:val="32"/>
          <w:lang w:val="en-US" w:eastAsia="zh-CN"/>
        </w:rPr>
        <w:t>九</w:t>
      </w:r>
      <w:r>
        <w:rPr>
          <w:rFonts w:ascii="Times New Roman" w:eastAsia="仿宋_GB2312" w:cs="Times New Roman" w:hAnsi="Times New Roman"/>
          <w:sz w:val="32"/>
          <w:szCs w:val="32"/>
          <w:lang w:eastAsia="zh-CN"/>
        </w:rPr>
        <w:t>）负责州级党政群机关、事业单位政务和公益中文域名管理工作，指导和监督各县（市）政务和公益中文域名管理工作。</w:t>
      </w:r>
    </w:p>
    <w:p>
      <w:pPr>
        <w:pageBreakBefore w:val="0"/>
        <w:widowControl w:val="0"/>
        <w:kinsoku/>
        <w:wordWrap/>
        <w:overflowPunct/>
        <w:topLinePunct w:val="0"/>
        <w:autoSpaceDE/>
        <w:autoSpaceDN/>
        <w:bidi w:val="0"/>
        <w:adjustRightInd/>
        <w:snapToGrid/>
        <w:spacing w:line="560" w:lineRule="exact"/>
        <w:ind w:firstLineChars="200" w:firstLine="640"/>
        <w:textAlignment w:val="auto"/>
        <w:rPr>
          <w:rFonts w:ascii="Times New Roman" w:eastAsia="仿宋_GB2312" w:cs="Times New Roman" w:hAnsi="Times New Roman"/>
          <w:sz w:val="32"/>
          <w:szCs w:val="32"/>
          <w:lang w:eastAsia="zh-CN"/>
        </w:rPr>
      </w:pPr>
      <w:r>
        <w:rPr>
          <w:rFonts w:ascii="Times New Roman" w:eastAsia="仿宋_GB2312" w:cs="Times New Roman" w:hAnsi="Times New Roman"/>
          <w:sz w:val="32"/>
          <w:szCs w:val="32"/>
          <w:lang w:eastAsia="zh-CN"/>
        </w:rPr>
        <w:t>（</w:t>
      </w:r>
      <w:r>
        <w:rPr>
          <w:rFonts w:ascii="Times New Roman" w:eastAsia="仿宋_GB2312" w:cs="Times New Roman" w:hAnsi="Times New Roman"/>
          <w:sz w:val="32"/>
          <w:szCs w:val="32"/>
          <w:lang w:val="en-US" w:eastAsia="zh-CN"/>
        </w:rPr>
        <w:t>十</w:t>
      </w:r>
      <w:r>
        <w:rPr>
          <w:rFonts w:ascii="Times New Roman" w:eastAsia="仿宋_GB2312" w:cs="Times New Roman" w:hAnsi="Times New Roman"/>
          <w:sz w:val="32"/>
          <w:szCs w:val="32"/>
          <w:lang w:eastAsia="zh-CN"/>
        </w:rPr>
        <w:t>）负责州级党政群机关、事业单位和社会组织网上名称管理工作，指导和监督各县（市）机构编制管理机关的网上名称管理工作。</w:t>
      </w:r>
    </w:p>
    <w:p>
      <w:pPr>
        <w:pageBreakBefore w:val="0"/>
        <w:widowControl w:val="0"/>
        <w:kinsoku/>
        <w:wordWrap/>
        <w:overflowPunct/>
        <w:topLinePunct w:val="0"/>
        <w:autoSpaceDE/>
        <w:autoSpaceDN/>
        <w:bidi w:val="0"/>
        <w:adjustRightInd/>
        <w:snapToGrid/>
        <w:spacing w:line="560" w:lineRule="exact"/>
        <w:ind w:firstLineChars="200" w:firstLine="640"/>
        <w:textAlignment w:val="auto"/>
        <w:rPr>
          <w:rFonts w:ascii="Times New Roman" w:eastAsia="仿宋_GB2312" w:cs="Times New Roman" w:hAnsi="Times New Roman"/>
          <w:sz w:val="32"/>
          <w:szCs w:val="32"/>
          <w:lang w:eastAsia="zh-CN"/>
        </w:rPr>
      </w:pPr>
      <w:r>
        <w:rPr>
          <w:rFonts w:ascii="Times New Roman" w:eastAsia="仿宋_GB2312" w:cs="Times New Roman" w:hAnsi="Times New Roman"/>
          <w:sz w:val="32"/>
          <w:szCs w:val="32"/>
          <w:lang w:eastAsia="zh-CN"/>
        </w:rPr>
        <w:t>（</w:t>
      </w:r>
      <w:r>
        <w:rPr>
          <w:rFonts w:ascii="Times New Roman" w:eastAsia="仿宋_GB2312" w:cs="Times New Roman" w:hAnsi="Times New Roman"/>
          <w:sz w:val="32"/>
          <w:szCs w:val="32"/>
          <w:lang w:val="en-US" w:eastAsia="zh-CN"/>
        </w:rPr>
        <w:t>十一</w:t>
      </w:r>
      <w:r>
        <w:rPr>
          <w:rFonts w:ascii="Times New Roman" w:eastAsia="仿宋_GB2312" w:cs="Times New Roman" w:hAnsi="Times New Roman"/>
          <w:sz w:val="32"/>
          <w:szCs w:val="32"/>
          <w:lang w:eastAsia="zh-CN"/>
        </w:rPr>
        <w:t>）负责州级机关、编办直接管理机构编制的群众团体机关统一社会信用代码赋码颁证工作。</w:t>
      </w:r>
    </w:p>
    <w:p>
      <w:pPr>
        <w:pageBreakBefore w:val="0"/>
        <w:widowControl w:val="0"/>
        <w:kinsoku/>
        <w:wordWrap/>
        <w:overflowPunct/>
        <w:topLinePunct w:val="0"/>
        <w:autoSpaceDE/>
        <w:autoSpaceDN/>
        <w:bidi w:val="0"/>
        <w:adjustRightInd/>
        <w:snapToGrid/>
        <w:spacing w:line="560" w:lineRule="exact"/>
        <w:ind w:firstLineChars="200" w:firstLine="640"/>
        <w:textAlignment w:val="auto"/>
      </w:pPr>
      <w:r>
        <w:rPr>
          <w:rFonts w:ascii="Times New Roman" w:eastAsia="仿宋_GB2312" w:cs="Times New Roman" w:hAnsi="Times New Roman"/>
          <w:sz w:val="32"/>
          <w:szCs w:val="32"/>
          <w:lang w:eastAsia="zh-CN"/>
        </w:rPr>
        <w:t>（</w:t>
      </w:r>
      <w:r>
        <w:rPr>
          <w:rFonts w:ascii="Times New Roman" w:eastAsia="仿宋_GB2312" w:cs="Times New Roman" w:hAnsi="Times New Roman"/>
          <w:sz w:val="32"/>
          <w:szCs w:val="32"/>
          <w:lang w:val="en-US" w:eastAsia="zh-CN"/>
        </w:rPr>
        <w:t>十二</w:t>
      </w:r>
      <w:r>
        <w:rPr>
          <w:rFonts w:ascii="Times New Roman" w:eastAsia="仿宋_GB2312" w:cs="Times New Roman" w:hAnsi="Times New Roman"/>
          <w:sz w:val="32"/>
          <w:szCs w:val="32"/>
          <w:lang w:eastAsia="zh-CN"/>
        </w:rPr>
        <w:t>）承办州委、州委编委交办的其他工作。</w:t>
      </w:r>
    </w:p>
    <w:p>
      <w:pPr>
        <w:ind w:firstLineChars="200" w:firstLine="640"/>
        <w:rPr>
          <w:rFonts w:ascii="黑体" w:eastAsia="黑体" w:cs="黑体" w:hint="eastAsia"/>
          <w:sz w:val="32"/>
          <w:szCs w:val="32"/>
          <w:lang w:val="en-US" w:eastAsia="zh-CN"/>
        </w:rPr>
      </w:pPr>
      <w:bookmarkStart w:id="16" w:name="_Toc15396601"/>
      <w:bookmarkStart w:id="17" w:name="_Toc15377200"/>
      <w:r>
        <w:rPr>
          <w:rFonts w:ascii="黑体" w:eastAsia="黑体" w:cs="黑体" w:hint="eastAsia"/>
          <w:sz w:val="32"/>
          <w:szCs w:val="32"/>
          <w:lang w:val="en-US" w:eastAsia="zh-CN"/>
        </w:rPr>
        <w:t>二、机构设置</w:t>
      </w:r>
      <w:bookmarkEnd w:id="16"/>
      <w:bookmarkEnd w:id="17"/>
    </w:p>
    <w:p>
      <w:pPr>
        <w:pageBreakBefore w:val="0"/>
        <w:widowControl w:val="0"/>
        <w:kinsoku/>
        <w:wordWrap/>
        <w:overflowPunct/>
        <w:topLinePunct w:val="0"/>
        <w:autoSpaceDE/>
        <w:autoSpaceDN/>
        <w:bidi w:val="0"/>
        <w:spacing w:line="560" w:lineRule="exact"/>
        <w:ind w:firstLineChars="250" w:firstLine="800"/>
        <w:textAlignment w:val="auto"/>
        <w:rPr>
          <w:rFonts w:ascii="仿宋" w:eastAsia="仿宋"/>
          <w:sz w:val="32"/>
          <w:szCs w:val="32"/>
        </w:rPr>
      </w:pPr>
      <w:r>
        <w:rPr>
          <w:rFonts w:ascii="仿宋" w:eastAsia="仿宋" w:hint="eastAsia"/>
          <w:sz w:val="32"/>
          <w:szCs w:val="32"/>
          <w:lang w:val="en-US" w:eastAsia="zh-CN"/>
        </w:rPr>
        <w:t>中共阿坝州委机构编制委员会办公室</w:t>
      </w:r>
      <w:r>
        <w:rPr>
          <w:rFonts w:ascii="仿宋" w:eastAsia="仿宋" w:hint="eastAsia"/>
          <w:sz w:val="32"/>
          <w:szCs w:val="32"/>
        </w:rPr>
        <w:t>下属单位</w:t>
      </w:r>
      <w:r>
        <w:rPr>
          <w:rFonts w:ascii="仿宋" w:eastAsia="仿宋" w:hint="eastAsia"/>
          <w:sz w:val="32"/>
          <w:szCs w:val="32"/>
          <w:lang w:val="en-US" w:eastAsia="zh-CN"/>
        </w:rPr>
        <w:t>2</w:t>
      </w:r>
      <w:r>
        <w:rPr>
          <w:rFonts w:ascii="仿宋" w:eastAsia="仿宋" w:hint="eastAsia"/>
          <w:sz w:val="32"/>
          <w:szCs w:val="32"/>
        </w:rPr>
        <w:t>个，其中其他事业单位</w:t>
      </w:r>
      <w:r>
        <w:rPr>
          <w:rFonts w:ascii="仿宋" w:eastAsia="仿宋" w:hint="eastAsia"/>
          <w:sz w:val="32"/>
          <w:szCs w:val="32"/>
          <w:lang w:val="en-US" w:eastAsia="zh-CN"/>
        </w:rPr>
        <w:t>1</w:t>
      </w:r>
      <w:r>
        <w:rPr>
          <w:rFonts w:ascii="仿宋" w:eastAsia="仿宋" w:hint="eastAsia"/>
          <w:sz w:val="32"/>
          <w:szCs w:val="32"/>
        </w:rPr>
        <w:t>个。</w:t>
      </w:r>
    </w:p>
    <w:p>
      <w:pPr>
        <w:pStyle w:val="16"/>
        <w:pageBreakBefore w:val="0"/>
        <w:widowControl w:val="0"/>
        <w:kinsoku/>
        <w:wordWrap/>
        <w:overflowPunct/>
        <w:topLinePunct w:val="0"/>
        <w:autoSpaceDE/>
        <w:autoSpaceDN/>
        <w:bidi w:val="0"/>
        <w:adjustRightInd w:val="0"/>
        <w:snapToGrid w:val="0"/>
        <w:spacing w:beforeLines="0" w:before="30" w:line="560" w:lineRule="exact"/>
        <w:ind w:firstLineChars="208" w:firstLine="666"/>
        <w:textAlignment w:val="auto"/>
        <w:rPr>
          <w:rFonts w:ascii="仿宋" w:eastAsia="仿宋"/>
          <w:sz w:val="32"/>
          <w:szCs w:val="32"/>
          <w:lang w:val="en-US" w:eastAsia="zh-CN"/>
        </w:rPr>
      </w:pPr>
      <w:r>
        <w:rPr>
          <w:rFonts w:ascii="仿宋" w:eastAsia="仿宋" w:hint="eastAsia"/>
          <w:sz w:val="32"/>
          <w:szCs w:val="32"/>
        </w:rPr>
        <w:t>纳入</w:t>
      </w:r>
      <w:r>
        <w:rPr>
          <w:rFonts w:ascii="仿宋" w:eastAsia="仿宋" w:hint="eastAsia"/>
          <w:sz w:val="32"/>
          <w:szCs w:val="32"/>
          <w:lang w:val="en-US" w:eastAsia="zh-CN"/>
        </w:rPr>
        <w:t>中共阿坝州委机构编制委员会办公室</w:t>
      </w:r>
      <w:r>
        <w:rPr>
          <w:rFonts w:ascii="仿宋" w:eastAsia="仿宋" w:hint="eastAsia"/>
          <w:sz w:val="32"/>
          <w:szCs w:val="32"/>
        </w:rPr>
        <w:t>2022年度部门决算编制范围的二级预算单位</w:t>
      </w:r>
      <w:r>
        <w:rPr>
          <w:rFonts w:ascii="仿宋" w:eastAsia="仿宋" w:hint="eastAsia"/>
          <w:sz w:val="32"/>
          <w:szCs w:val="32"/>
          <w:lang w:val="en-US" w:eastAsia="zh-CN"/>
        </w:rPr>
        <w:t>为阿坝州机构编制实名制管理中心。</w:t>
      </w:r>
    </w:p>
    <w:p>
      <w:pPr>
        <w:widowControl/>
        <w:jc w:val="left"/>
        <w:rPr>
          <w:rFonts w:ascii="仿宋" w:eastAsia="仿宋"/>
          <w:kern w:val="0"/>
          <w:sz w:val="32"/>
          <w:szCs w:val="32"/>
        </w:rPr>
      </w:pPr>
      <w:r>
        <w:rPr>
          <w:rFonts w:ascii="仿宋" w:eastAsia="仿宋"/>
          <w:sz w:val="32"/>
          <w:szCs w:val="32"/>
        </w:rPr>
        <w:br w:type="page"/>
      </w:r>
    </w:p>
    <w:p>
      <w:pPr>
        <w:pStyle w:val="1"/>
        <w:keepNext/>
        <w:keepLines/>
        <w:pageBreakBefore w:val="0"/>
        <w:widowControl w:val="0"/>
        <w:kinsoku/>
        <w:wordWrap/>
        <w:overflowPunct/>
        <w:topLinePunct w:val="0"/>
        <w:autoSpaceDE/>
        <w:autoSpaceDN/>
        <w:bidi w:val="0"/>
        <w:adjustRightInd/>
        <w:snapToGrid/>
        <w:spacing w:line="560" w:lineRule="exact"/>
        <w:ind w:right="440"/>
        <w:jc w:val="center"/>
        <w:textAlignment w:val="auto"/>
        <w:rPr>
          <w:rFonts w:ascii="黑体" w:eastAsia="黑体" w:hint="eastAsia"/>
          <w:b w:val="0"/>
        </w:rPr>
      </w:pPr>
      <w:bookmarkStart w:id="18" w:name="_Toc15377204"/>
      <w:bookmarkStart w:id="19" w:name="_Toc15396602"/>
    </w:p>
    <w:p>
      <w:pPr>
        <w:pStyle w:val="1"/>
        <w:keepNext/>
        <w:keepLines/>
        <w:pageBreakBefore w:val="0"/>
        <w:widowControl w:val="0"/>
        <w:kinsoku/>
        <w:wordWrap/>
        <w:overflowPunct/>
        <w:topLinePunct w:val="0"/>
        <w:autoSpaceDE/>
        <w:autoSpaceDN/>
        <w:bidi w:val="0"/>
        <w:adjustRightInd/>
        <w:snapToGrid/>
        <w:spacing w:line="560" w:lineRule="exact"/>
        <w:ind w:right="440"/>
        <w:jc w:val="center"/>
        <w:textAlignment w:val="auto"/>
        <w:rPr>
          <w:rStyle w:val="1Char"/>
          <w:rFonts w:ascii="黑体" w:eastAsia="黑体"/>
          <w:b w:val="0"/>
          <w:bCs/>
        </w:rPr>
      </w:pPr>
      <w:r>
        <w:rPr>
          <w:rFonts w:ascii="黑体" w:eastAsia="黑体" w:hint="eastAsia"/>
          <w:b w:val="0"/>
        </w:rPr>
        <w:t>第二部分 2022年度</w:t>
      </w:r>
      <w:r>
        <w:rPr>
          <w:rStyle w:val="1Char"/>
          <w:rFonts w:ascii="黑体" w:eastAsia="黑体" w:hint="eastAsia"/>
          <w:b w:val="0"/>
          <w:bCs/>
        </w:rPr>
        <w:t>部门决算情况说明</w:t>
      </w:r>
      <w:bookmarkEnd w:id="18"/>
      <w:bookmarkEnd w:id="19"/>
    </w:p>
    <w:p>
      <w:pPr>
        <w:pageBreakBefore w:val="0"/>
        <w:widowControl w:val="0"/>
        <w:kinsoku/>
        <w:wordWrap/>
        <w:overflowPunct/>
        <w:topLinePunct w:val="0"/>
        <w:autoSpaceDE/>
        <w:autoSpaceDN/>
        <w:bidi w:val="0"/>
        <w:adjustRightInd/>
        <w:snapToGrid/>
        <w:spacing w:line="560" w:lineRule="exact"/>
        <w:textAlignment w:val="auto"/>
      </w:pPr>
    </w:p>
    <w:p>
      <w:pPr>
        <w:pStyle w:val="32"/>
        <w:pageBreakBefore w:val="0"/>
        <w:widowControl w:val="0"/>
        <w:numPr>
          <w:ilvl w:val="0"/>
          <w:numId w:val="1"/>
        </w:numPr>
        <w:kinsoku/>
        <w:wordWrap/>
        <w:overflowPunct/>
        <w:topLinePunct w:val="0"/>
        <w:autoSpaceDE/>
        <w:autoSpaceDN/>
        <w:bidi w:val="0"/>
        <w:adjustRightInd/>
        <w:snapToGrid/>
        <w:spacing w:line="560" w:lineRule="exact"/>
        <w:ind w:firstLineChars="0"/>
        <w:textAlignment w:val="auto"/>
        <w:outlineLvl w:val="1"/>
        <w:rPr>
          <w:rStyle w:val="2Char"/>
          <w:rFonts w:ascii="黑体" w:eastAsia="黑体"/>
          <w:b w:val="0"/>
        </w:rPr>
      </w:pPr>
      <w:bookmarkStart w:id="20" w:name="_Toc15396603"/>
      <w:bookmarkStart w:id="21" w:name="_Toc15377205"/>
      <w:r>
        <w:rPr>
          <w:rFonts w:ascii="黑体" w:eastAsia="黑体" w:hint="eastAsia"/>
          <w:sz w:val="32"/>
          <w:szCs w:val="32"/>
        </w:rPr>
        <w:t>收</w:t>
      </w:r>
      <w:r>
        <w:rPr>
          <w:rStyle w:val="2Char"/>
          <w:rFonts w:ascii="黑体" w:eastAsia="黑体" w:hint="eastAsia"/>
          <w:b w:val="0"/>
        </w:rPr>
        <w:t>入支出决算总体情况说明</w:t>
      </w:r>
      <w:bookmarkEnd w:id="20"/>
      <w:bookmarkEnd w:id="21"/>
    </w:p>
    <w:p>
      <w:pPr>
        <w:pageBreakBefore w:val="0"/>
        <w:widowControl w:val="0"/>
        <w:kinsoku/>
        <w:wordWrap/>
        <w:overflowPunct/>
        <w:topLinePunct w:val="0"/>
        <w:autoSpaceDE/>
        <w:autoSpaceDN/>
        <w:bidi w:val="0"/>
        <w:adjustRightInd/>
        <w:snapToGrid/>
        <w:spacing w:line="600" w:lineRule="exact"/>
        <w:ind w:firstLineChars="200" w:firstLine="640"/>
        <w:textAlignment w:val="auto"/>
        <w:rPr>
          <w:rFonts w:ascii="仿宋" w:eastAsia="仿宋"/>
          <w:sz w:val="32"/>
          <w:szCs w:val="32"/>
        </w:rPr>
      </w:pPr>
      <w:r>
        <w:rPr>
          <w:rFonts w:ascii="仿宋" w:eastAsia="仿宋" w:hint="eastAsia"/>
          <w:sz w:val="32"/>
          <w:szCs w:val="32"/>
        </w:rPr>
        <w:t>2022年度收、支总计</w:t>
      </w:r>
      <w:r>
        <w:rPr>
          <w:rFonts w:ascii="仿宋" w:eastAsia="仿宋" w:hint="eastAsia"/>
          <w:sz w:val="32"/>
          <w:szCs w:val="32"/>
          <w:lang w:val="en-US" w:eastAsia="zh-CN"/>
        </w:rPr>
        <w:t>645.48</w:t>
      </w:r>
      <w:r>
        <w:rPr>
          <w:rFonts w:ascii="仿宋" w:eastAsia="仿宋" w:hint="eastAsia"/>
          <w:sz w:val="32"/>
          <w:szCs w:val="32"/>
        </w:rPr>
        <w:t>万元。与2021年相比，收、支总计各增加</w:t>
      </w:r>
      <w:r>
        <w:rPr>
          <w:rFonts w:ascii="仿宋" w:eastAsia="仿宋" w:hint="eastAsia"/>
          <w:sz w:val="32"/>
          <w:szCs w:val="32"/>
          <w:lang w:val="en-US" w:eastAsia="zh-CN"/>
        </w:rPr>
        <w:t>126.79</w:t>
      </w:r>
      <w:r>
        <w:rPr>
          <w:rFonts w:ascii="仿宋" w:eastAsia="仿宋" w:hint="eastAsia"/>
          <w:sz w:val="32"/>
          <w:szCs w:val="32"/>
        </w:rPr>
        <w:t>万元，增长</w:t>
      </w:r>
      <w:r>
        <w:rPr>
          <w:rFonts w:ascii="仿宋" w:eastAsia="仿宋" w:hint="eastAsia"/>
          <w:sz w:val="32"/>
          <w:szCs w:val="32"/>
          <w:lang w:val="en-US" w:eastAsia="zh-CN"/>
        </w:rPr>
        <w:t>24.44</w:t>
      </w:r>
      <w:r>
        <w:rPr>
          <w:rFonts w:ascii="仿宋" w:eastAsia="仿宋"/>
          <w:sz w:val="32"/>
          <w:szCs w:val="32"/>
        </w:rPr>
        <w:t>%</w:t>
      </w:r>
      <w:r>
        <w:rPr>
          <w:rFonts w:ascii="仿宋" w:eastAsia="仿宋" w:hint="eastAsia"/>
          <w:sz w:val="32"/>
          <w:szCs w:val="32"/>
        </w:rPr>
        <w:t>。</w:t>
      </w:r>
      <w:r>
        <w:rPr>
          <w:rFonts w:ascii="Times New Roman" w:eastAsia="仿宋_GB2312" w:cs="Times New Roman" w:hAnsi="Times New Roman"/>
          <w:color w:val="auto"/>
          <w:sz w:val="32"/>
          <w:szCs w:val="32"/>
          <w:highlight w:val="auto"/>
        </w:rPr>
        <w:t>主要变动原因是</w:t>
      </w:r>
      <w:r>
        <w:rPr>
          <w:rFonts w:ascii="Times New Roman" w:eastAsia="仿宋_GB2312" w:cs="Times New Roman" w:hAnsi="Times New Roman"/>
          <w:color w:val="auto"/>
          <w:sz w:val="32"/>
          <w:szCs w:val="32"/>
          <w:lang w:eastAsia="zh-CN"/>
          <w:highlight w:val="auto"/>
        </w:rPr>
        <w:t>人员</w:t>
      </w:r>
      <w:r>
        <w:rPr>
          <w:rFonts w:ascii="Times New Roman" w:eastAsia="仿宋_GB2312" w:cs="Times New Roman" w:hAnsi="Times New Roman"/>
          <w:color w:val="auto"/>
          <w:sz w:val="32"/>
          <w:szCs w:val="32"/>
          <w:lang w:val="en-US" w:eastAsia="zh-CN"/>
          <w:highlight w:val="auto"/>
        </w:rPr>
        <w:t>变动以及举办了机构编制业务培训</w:t>
      </w:r>
      <w:r>
        <w:rPr>
          <w:rFonts w:ascii="Times New Roman" w:eastAsia="仿宋_GB2312" w:cs="Times New Roman" w:hAnsi="Times New Roman"/>
          <w:color w:val="auto"/>
          <w:sz w:val="32"/>
          <w:szCs w:val="32"/>
          <w:lang w:eastAsia="zh-CN"/>
          <w:highlight w:val="auto"/>
        </w:rPr>
        <w:t>。</w:t>
      </w:r>
    </w:p>
    <w:p>
      <w:pPr>
        <w:pStyle w:val="16"/>
        <w:rPr>
          <w:rFonts w:ascii="仿宋" w:eastAsia="仿宋"/>
          <w:sz w:val="32"/>
          <w:szCs w:val="32"/>
        </w:rPr>
      </w:pPr>
      <w:r>
        <w:rPr>
          <w:rFonts w:ascii="Times New Roman" w:eastAsia="仿宋" w:cs="Times New Roman" w:hAnsi="Times New Roman"/>
          <w:color w:val="auto"/>
          <w:sz w:val="32"/>
          <w:szCs w:val="32"/>
          <w:lang w:eastAsia="zh-CN"/>
          <w:highlight w:val="auto"/>
        </w:rPr>
        <w:drawing>
          <wp:inline distT="0" distB="0" distL="114300" distR="114300">
            <wp:extent cx="5256530" cy="2988310"/>
            <wp:effectExtent l="0" t="0" r="0" b="0"/>
            <wp:docPr id="7" name="图表 2"/>
            <wp:cNvGraphicFramePr>
              <a:graphicFrameLocks noChangeAspect="0"/>
            </wp:cNvGraphicFramePr>
            <a:graphic>
              <a:graphicData uri="http://schemas.openxmlformats.org/drawingml/2006/chart">
                <c:chart xmlns:c="http://schemas.openxmlformats.org/drawingml/2006/chart" r:id="rId5"/>
              </a:graphicData>
            </a:graphic>
          </wp:inline>
        </w:drawing>
      </w:r>
    </w:p>
    <w:p>
      <w:pPr>
        <w:pStyle w:val="32"/>
        <w:numPr>
          <w:ilvl w:val="0"/>
          <w:numId w:val="1"/>
        </w:numPr>
        <w:spacing w:line="600" w:lineRule="exact"/>
        <w:ind w:firstLineChars="0"/>
        <w:outlineLvl w:val="1"/>
        <w:rPr>
          <w:rStyle w:val="2Char"/>
          <w:rFonts w:ascii="黑体" w:eastAsia="黑体"/>
          <w:b w:val="0"/>
        </w:rPr>
      </w:pPr>
      <w:bookmarkStart w:id="22" w:name="_Toc15377206"/>
      <w:bookmarkStart w:id="23" w:name="_Toc15396604"/>
      <w:r>
        <w:rPr>
          <w:rFonts w:ascii="黑体" w:eastAsia="黑体" w:hint="eastAsia"/>
          <w:sz w:val="32"/>
          <w:szCs w:val="32"/>
        </w:rPr>
        <w:t>收</w:t>
      </w:r>
      <w:r>
        <w:rPr>
          <w:rStyle w:val="2Char"/>
          <w:rFonts w:ascii="黑体" w:eastAsia="黑体" w:hint="eastAsia"/>
          <w:b w:val="0"/>
        </w:rPr>
        <w:t>入决算情况说明</w:t>
      </w:r>
      <w:bookmarkEnd w:id="22"/>
      <w:bookmarkEnd w:id="23"/>
    </w:p>
    <w:p>
      <w:pPr>
        <w:spacing w:line="600" w:lineRule="exact"/>
        <w:ind w:firstLineChars="200" w:firstLine="640"/>
        <w:outlineLvl w:val="1"/>
        <w:rPr>
          <w:rFonts w:ascii="仿宋" w:eastAsia="仿宋" w:hint="eastAsia"/>
          <w:sz w:val="32"/>
          <w:szCs w:val="32"/>
          <w:lang w:eastAsia="zh-CN"/>
        </w:rPr>
      </w:pPr>
      <w:r>
        <w:rPr>
          <w:rFonts w:ascii="仿宋" w:eastAsia="仿宋"/>
          <w:sz w:val="32"/>
          <w:szCs w:val="32"/>
        </w:rPr>
        <w:t>20</w:t>
      </w:r>
      <w:r>
        <w:rPr>
          <w:rFonts w:ascii="仿宋" w:eastAsia="仿宋" w:hint="eastAsia"/>
          <w:sz w:val="32"/>
          <w:szCs w:val="32"/>
        </w:rPr>
        <w:t>22年本年收入合计</w:t>
      </w:r>
      <w:r>
        <w:rPr>
          <w:rFonts w:ascii="仿宋" w:eastAsia="仿宋" w:hint="eastAsia"/>
          <w:sz w:val="32"/>
          <w:szCs w:val="32"/>
          <w:lang w:val="en-US" w:eastAsia="zh-CN"/>
        </w:rPr>
        <w:t>645.48</w:t>
      </w:r>
      <w:r>
        <w:rPr>
          <w:rFonts w:ascii="仿宋" w:eastAsia="仿宋" w:hint="eastAsia"/>
          <w:sz w:val="32"/>
          <w:szCs w:val="32"/>
        </w:rPr>
        <w:t>万元，其中：一般公共预算财政拨款收入</w:t>
      </w:r>
      <w:r>
        <w:rPr>
          <w:rFonts w:ascii="仿宋" w:eastAsia="仿宋" w:hint="eastAsia"/>
          <w:sz w:val="32"/>
          <w:szCs w:val="32"/>
          <w:lang w:val="en-US" w:eastAsia="zh-CN"/>
        </w:rPr>
        <w:t>645.48</w:t>
      </w:r>
      <w:r>
        <w:rPr>
          <w:rFonts w:ascii="仿宋" w:eastAsia="仿宋" w:hint="eastAsia"/>
          <w:sz w:val="32"/>
          <w:szCs w:val="32"/>
        </w:rPr>
        <w:t>万元，占</w:t>
      </w:r>
      <w:r>
        <w:rPr>
          <w:rFonts w:ascii="仿宋" w:eastAsia="仿宋" w:hint="eastAsia"/>
          <w:sz w:val="32"/>
          <w:szCs w:val="32"/>
          <w:lang w:val="en-US" w:eastAsia="zh-CN"/>
        </w:rPr>
        <w:t>100</w:t>
      </w:r>
      <w:r>
        <w:rPr>
          <w:rFonts w:ascii="仿宋" w:eastAsia="仿宋"/>
          <w:sz w:val="32"/>
          <w:szCs w:val="32"/>
        </w:rPr>
        <w:t>%</w:t>
      </w:r>
      <w:r>
        <w:rPr>
          <w:rFonts w:ascii="仿宋" w:eastAsia="仿宋" w:hint="eastAsia"/>
          <w:sz w:val="32"/>
          <w:szCs w:val="32"/>
          <w:lang w:eastAsia="zh-CN"/>
        </w:rPr>
        <w:t>。</w:t>
      </w:r>
    </w:p>
    <w:p>
      <w:pPr>
        <w:spacing w:line="600" w:lineRule="exact"/>
        <w:ind w:firstLineChars="200" w:firstLine="640"/>
        <w:rPr>
          <w:rFonts w:ascii="仿宋" w:eastAsia="仿宋" w:hint="eastAsia"/>
          <w:sz w:val="32"/>
          <w:szCs w:val="32"/>
        </w:rPr>
      </w:pPr>
    </w:p>
    <w:p>
      <w:pPr>
        <w:spacing w:line="600" w:lineRule="exact"/>
        <w:ind w:firstLineChars="200" w:firstLine="640"/>
        <w:rPr>
          <w:rFonts w:ascii="仿宋" w:eastAsia="仿宋" w:hint="eastAsia"/>
          <w:sz w:val="32"/>
          <w:szCs w:val="32"/>
        </w:rPr>
      </w:pPr>
    </w:p>
    <w:p>
      <w:pPr>
        <w:pStyle w:val="16"/>
        <w:rPr>
          <w:rFonts w:ascii="仿宋" w:eastAsia="仿宋" w:hint="eastAsia"/>
          <w:sz w:val="32"/>
          <w:szCs w:val="32"/>
        </w:rPr>
      </w:pPr>
    </w:p>
    <w:p>
      <w:pPr>
        <w:pStyle w:val="16"/>
        <w:rPr>
          <w:rFonts w:ascii="仿宋" w:eastAsia="仿宋" w:hint="eastAsia"/>
          <w:sz w:val="32"/>
          <w:szCs w:val="32"/>
        </w:rPr>
      </w:pPr>
      <w:r>
        <w:rPr>
          <w:rFonts w:ascii="Times New Roman" w:cs="Times New Roman" w:hAnsi="Times New Roman"/>
          <w:sz w:val="32"/>
        </w:rPr>
        <mc:AlternateContent>
          <mc:Choice Requires="wps">
            <w:drawing>
              <wp:anchor distT="0" distB="0" distL="114298" distR="114298" simplePos="0" relativeHeight="41" behindDoc="0" locked="0" layoutInCell="1" hidden="0" allowOverlap="1">
                <wp:simplePos x="0" y="0"/>
                <wp:positionH relativeFrom="column">
                  <wp:posOffset>2722245</wp:posOffset>
                </wp:positionH>
                <wp:positionV relativeFrom="paragraph">
                  <wp:posOffset>1570355</wp:posOffset>
                </wp:positionV>
                <wp:extent cx="742315" cy="266700"/>
                <wp:effectExtent l="0" t="0" r="0" b="0"/>
                <wp:wrapNone/>
                <wp:docPr id="8" name="文本框 6"/>
                <wp:cNvGraphicFramePr>
                  <a:graphicFrameLocks noChangeAspect="0"/>
                </wp:cNvGraphicFramePr>
                <a:graphic>
                  <a:graphicData uri="http://schemas.microsoft.com/office/word/2010/wordprocessingShape">
                    <wps:wsp>
                      <wps:cNvSpPr/>
                      <wps:spPr>
                        <a:xfrm rot="0">
                          <a:off x="0" y="0"/>
                          <a:ext cx="742315" cy="266700"/>
                        </a:xfrm>
                        <a:prstGeom prst="rect"/>
                        <a:noFill/>
                        <a:ln w="9525" cmpd="sng" cap="flat">
                          <a:noFill/>
                          <a:prstDash val="solid"/>
                          <a:miter/>
                        </a:ln>
                      </wps:spPr>
                      <wps:txbx id="9">
                        <w:txbxContent>
                          <w:p>
                            <w:pPr>
                              <w:rPr>
                                <w:rFonts w:eastAsia="宋体"/>
                                <w:lang w:val="en-US" w:eastAsia="zh-CN"/>
                              </w:rPr>
                            </w:pPr>
                            <w:r>
                              <w:rPr>
                                <w:rFonts w:hint="eastAsia"/>
                                <w:lang w:val="en-US" w:eastAsia="zh-CN"/>
                              </w:rPr>
                              <w:t>100%</w:t>
                            </w:r>
                          </w:p>
                        </w:txbxContent>
                      </wps:txbx>
                      <wps:bodyPr vert="horz" wrap="square" lIns="91440" tIns="45720" rIns="91440" bIns="45720" anchor="t" anchorCtr="0" upright="1">
                        <a:noAutofit/>
                      </wps:bodyPr>
                    </wps:wsp>
                  </a:graphicData>
                </a:graphic>
              </wp:anchor>
            </w:drawing>
          </mc:Choice>
          <mc:Fallback>
            <w:pict>
              <v:rect type="#_x0000_t1" id="文本框 6 10" o:spid="_x0000_s10" filled="f" stroked="f" style="position:absolute;margin-left:214.35pt;margin-top:123.65001pt;width:58.450016pt;height:21.0pt;z-index:41;mso-position-horizontal:absolute;mso-position-vertical:absolute;mso-wrap-distance-left:8.999863pt;mso-wrap-distance-right:8.999863pt;mso-wrap-style:square;">
                <v:stroke color="#000000"/>
                <v:textbox id="855" inset="2.54mm,1.27mm,2.54mm,1.27mm" o:insetmode="custom" style="layout-flow:horizontal;v-text-anchor:top;">
                  <w:txbxContent>
                    <w:p>
                      <w:pPr>
                        <w:rPr>
                          <w:rFonts w:eastAsia="宋体"/>
                          <w:lang w:val="en-US" w:eastAsia="zh-CN"/>
                        </w:rPr>
                      </w:pPr>
                      <w:r>
                        <w:rPr>
                          <w:rFonts w:hint="eastAsia"/>
                          <w:lang w:val="en-US" w:eastAsia="zh-CN"/>
                        </w:rPr>
                        <w:t>100%</w:t>
                      </w:r>
                    </w:p>
                  </w:txbxContent>
                </v:textbox>
              </v:rect>
            </w:pict>
          </mc:Fallback>
        </mc:AlternateContent>
      </w:r>
      <w:r>
        <w:rPr>
          <w:rFonts w:ascii="Times New Roman" w:eastAsia="仿宋" w:cs="Times New Roman" w:hAnsi="Times New Roman"/>
          <w:color w:val="auto"/>
          <w:sz w:val="32"/>
          <w:szCs w:val="32"/>
          <w:lang w:eastAsia="zh-CN"/>
          <w:highlight w:val="auto"/>
        </w:rPr>
        <w:drawing>
          <wp:inline distT="0" distB="0" distL="114300" distR="114300">
            <wp:extent cx="5256530" cy="2988310"/>
            <wp:effectExtent l="0" t="0" r="0" b="0"/>
            <wp:docPr id="11" name="图表 5"/>
            <wp:cNvGraphicFramePr>
              <a:graphicFrameLocks noChangeAspect="0"/>
            </wp:cNvGraphicFramePr>
            <a:graphic>
              <a:graphicData uri="http://schemas.openxmlformats.org/drawingml/2006/chart">
                <c:chart xmlns:c="http://schemas.openxmlformats.org/drawingml/2006/chart" r:id="rId6"/>
              </a:graphicData>
            </a:graphic>
          </wp:inline>
        </w:drawing>
      </w:r>
    </w:p>
    <w:p>
      <w:pPr>
        <w:pStyle w:val="32"/>
        <w:numPr>
          <w:ilvl w:val="0"/>
          <w:numId w:val="1"/>
        </w:numPr>
        <w:spacing w:line="600" w:lineRule="exact"/>
        <w:ind w:firstLineChars="0"/>
        <w:outlineLvl w:val="1"/>
        <w:rPr>
          <w:rStyle w:val="2Char"/>
          <w:rFonts w:ascii="黑体" w:eastAsia="黑体"/>
          <w:b w:val="0"/>
        </w:rPr>
      </w:pPr>
      <w:bookmarkStart w:id="24" w:name="_Toc15396605"/>
      <w:bookmarkStart w:id="25" w:name="_Toc15377207"/>
      <w:r>
        <w:rPr>
          <w:rFonts w:ascii="黑体" w:eastAsia="黑体" w:hint="eastAsia"/>
          <w:sz w:val="32"/>
          <w:szCs w:val="32"/>
        </w:rPr>
        <w:t>支</w:t>
      </w:r>
      <w:r>
        <w:rPr>
          <w:rStyle w:val="2Char"/>
          <w:rFonts w:ascii="黑体" w:eastAsia="黑体" w:hint="eastAsia"/>
          <w:b w:val="0"/>
        </w:rPr>
        <w:t>出决算情况说明</w:t>
      </w:r>
      <w:bookmarkEnd w:id="24"/>
      <w:bookmarkEnd w:id="25"/>
    </w:p>
    <w:p>
      <w:pPr>
        <w:spacing w:line="600" w:lineRule="exact"/>
        <w:ind w:firstLineChars="200" w:firstLine="640"/>
        <w:outlineLvl w:val="1"/>
        <w:rPr>
          <w:rFonts w:ascii="仿宋" w:eastAsia="仿宋"/>
          <w:sz w:val="32"/>
          <w:szCs w:val="32"/>
          <w:shd w:val="pct10" w:color="auto" w:fill="FFFFFF"/>
        </w:rPr>
      </w:pPr>
      <w:r>
        <w:rPr>
          <w:rFonts w:ascii="仿宋" w:eastAsia="仿宋"/>
          <w:sz w:val="32"/>
          <w:szCs w:val="32"/>
        </w:rPr>
        <w:t>20</w:t>
      </w:r>
      <w:r>
        <w:rPr>
          <w:rFonts w:ascii="仿宋" w:eastAsia="仿宋" w:hint="eastAsia"/>
          <w:sz w:val="32"/>
          <w:szCs w:val="32"/>
        </w:rPr>
        <w:t>22年本年支出合计</w:t>
      </w:r>
      <w:r>
        <w:rPr>
          <w:rFonts w:ascii="仿宋" w:eastAsia="仿宋" w:hint="eastAsia"/>
          <w:sz w:val="32"/>
          <w:szCs w:val="32"/>
          <w:lang w:val="en-US" w:eastAsia="zh-CN"/>
        </w:rPr>
        <w:t>645.48</w:t>
      </w:r>
      <w:r>
        <w:rPr>
          <w:rFonts w:ascii="仿宋" w:eastAsia="仿宋" w:hint="eastAsia"/>
          <w:sz w:val="32"/>
          <w:szCs w:val="32"/>
        </w:rPr>
        <w:t>万元，其中：基本支出</w:t>
      </w:r>
      <w:r>
        <w:rPr>
          <w:rFonts w:ascii="仿宋" w:eastAsia="仿宋" w:hint="eastAsia"/>
          <w:sz w:val="32"/>
          <w:szCs w:val="32"/>
          <w:lang w:val="en-US" w:eastAsia="zh-CN"/>
        </w:rPr>
        <w:t>645.48</w:t>
      </w:r>
      <w:r>
        <w:rPr>
          <w:rFonts w:ascii="仿宋" w:eastAsia="仿宋" w:hint="eastAsia"/>
          <w:sz w:val="32"/>
          <w:szCs w:val="32"/>
        </w:rPr>
        <w:t>万元，占</w:t>
      </w:r>
      <w:r>
        <w:rPr>
          <w:rFonts w:ascii="仿宋" w:eastAsia="仿宋" w:hint="eastAsia"/>
          <w:sz w:val="32"/>
          <w:szCs w:val="32"/>
          <w:lang w:val="en-US" w:eastAsia="zh-CN"/>
        </w:rPr>
        <w:t>100</w:t>
      </w:r>
      <w:r>
        <w:rPr>
          <w:rFonts w:ascii="仿宋" w:eastAsia="仿宋"/>
          <w:sz w:val="32"/>
          <w:szCs w:val="32"/>
        </w:rPr>
        <w:t>%</w:t>
      </w:r>
      <w:r>
        <w:rPr>
          <w:rFonts w:ascii="仿宋" w:eastAsia="仿宋" w:hint="eastAsia"/>
          <w:sz w:val="32"/>
          <w:szCs w:val="32"/>
        </w:rPr>
        <w:t>。</w:t>
      </w:r>
    </w:p>
    <w:p>
      <w:pPr>
        <w:pStyle w:val="16"/>
        <w:rPr>
          <w:rFonts w:ascii="仿宋_GB2312" w:eastAsia="仿宋_GB2312"/>
          <w:sz w:val="32"/>
          <w:szCs w:val="32"/>
        </w:rPr>
      </w:pPr>
      <w:r>
        <w:rPr>
          <w:rFonts w:ascii="Times New Roman" w:cs="Times New Roman" w:hAnsi="Times New Roman"/>
          <w:sz w:val="32"/>
        </w:rPr>
        <mc:AlternateContent>
          <mc:Choice Requires="wps">
            <w:drawing>
              <wp:anchor distT="0" distB="0" distL="114298" distR="114298" simplePos="0" relativeHeight="43" behindDoc="0" locked="0" layoutInCell="1" hidden="0" allowOverlap="1">
                <wp:simplePos x="0" y="0"/>
                <wp:positionH relativeFrom="column">
                  <wp:posOffset>2722245</wp:posOffset>
                </wp:positionH>
                <wp:positionV relativeFrom="paragraph">
                  <wp:posOffset>1610995</wp:posOffset>
                </wp:positionV>
                <wp:extent cx="723900" cy="285750"/>
                <wp:effectExtent l="0" t="0" r="0" b="0"/>
                <wp:wrapNone/>
                <wp:docPr id="12" name="文本框 9"/>
                <wp:cNvGraphicFramePr>
                  <a:graphicFrameLocks noChangeAspect="0"/>
                </wp:cNvGraphicFramePr>
                <a:graphic>
                  <a:graphicData uri="http://schemas.microsoft.com/office/word/2010/wordprocessingShape">
                    <wps:wsp>
                      <wps:cNvSpPr/>
                      <wps:spPr>
                        <a:xfrm rot="0">
                          <a:off x="0" y="0"/>
                          <a:ext cx="723900" cy="285750"/>
                        </a:xfrm>
                        <a:prstGeom prst="rect"/>
                        <a:noFill/>
                        <a:ln w="9525" cmpd="sng" cap="flat">
                          <a:noFill/>
                          <a:prstDash val="solid"/>
                          <a:miter/>
                        </a:ln>
                      </wps:spPr>
                      <wps:txbx id="13">
                        <w:txbxContent>
                          <w:p>
                            <w:pPr>
                              <w:rPr>
                                <w:rFonts w:eastAsia="宋体"/>
                                <w:lang w:val="en-US" w:eastAsia="zh-CN"/>
                              </w:rPr>
                            </w:pPr>
                            <w:r>
                              <w:rPr>
                                <w:rFonts w:hint="eastAsia"/>
                                <w:lang w:val="en-US" w:eastAsia="zh-CN"/>
                              </w:rPr>
                              <w:t>100%</w:t>
                            </w:r>
                          </w:p>
                        </w:txbxContent>
                      </wps:txbx>
                      <wps:bodyPr vert="horz" wrap="square" lIns="91440" tIns="45720" rIns="91440" bIns="45720" anchor="t" anchorCtr="0" upright="1">
                        <a:noAutofit/>
                      </wps:bodyPr>
                    </wps:wsp>
                  </a:graphicData>
                </a:graphic>
              </wp:anchor>
            </w:drawing>
          </mc:Choice>
          <mc:Fallback>
            <w:pict>
              <v:rect type="#_x0000_t1" id="文本框 9 14" o:spid="_x0000_s14" filled="f" stroked="f" style="position:absolute;margin-left:214.35pt;margin-top:126.85pt;width:57.0pt;height:22.5pt;z-index:43;mso-position-horizontal:absolute;mso-position-vertical:absolute;mso-wrap-distance-left:8.999863pt;mso-wrap-distance-right:8.999863pt;mso-wrap-style:square;">
                <v:stroke color="#000000"/>
                <v:textbox id="856" inset="2.54mm,1.27mm,2.54mm,1.27mm" o:insetmode="custom" style="layout-flow:horizontal;v-text-anchor:top;">
                  <w:txbxContent>
                    <w:p>
                      <w:pPr>
                        <w:rPr>
                          <w:rFonts w:eastAsia="宋体"/>
                          <w:lang w:val="en-US" w:eastAsia="zh-CN"/>
                        </w:rPr>
                      </w:pPr>
                      <w:r>
                        <w:rPr>
                          <w:rFonts w:hint="eastAsia"/>
                          <w:lang w:val="en-US" w:eastAsia="zh-CN"/>
                        </w:rPr>
                        <w:t>100%</w:t>
                      </w:r>
                    </w:p>
                  </w:txbxContent>
                </v:textbox>
              </v:rect>
            </w:pict>
          </mc:Fallback>
        </mc:AlternateContent>
      </w:r>
      <w:r>
        <w:rPr>
          <w:rFonts w:ascii="Times New Roman" w:eastAsia="仿宋" w:cs="Times New Roman" w:hAnsi="Times New Roman"/>
          <w:color w:val="auto"/>
          <w:sz w:val="32"/>
          <w:szCs w:val="32"/>
          <w:shd w:val="pct10" w:color="auto" w:fill="FFFFFF"/>
          <w:lang w:eastAsia="zh-CN"/>
          <w:highlight w:val="auto"/>
        </w:rPr>
        <w:drawing>
          <wp:inline distT="0" distB="0" distL="114300" distR="114300">
            <wp:extent cx="5256530" cy="2988310"/>
            <wp:effectExtent l="0" t="0" r="0" b="0"/>
            <wp:docPr id="15" name="图表 8"/>
            <wp:cNvGraphicFramePr>
              <a:graphicFrameLocks noChangeAspect="0"/>
            </wp:cNvGraphicFramePr>
            <a:graphic>
              <a:graphicData uri="http://schemas.openxmlformats.org/drawingml/2006/chart">
                <c:chart xmlns:c="http://schemas.openxmlformats.org/drawingml/2006/chart" r:id="rId7"/>
              </a:graphicData>
            </a:graphic>
          </wp:inline>
        </w:drawing>
      </w:r>
    </w:p>
    <w:p>
      <w:pPr>
        <w:spacing w:line="600" w:lineRule="exact"/>
        <w:ind w:firstLineChars="200" w:firstLine="640"/>
        <w:outlineLvl w:val="1"/>
        <w:rPr>
          <w:rStyle w:val="2Char"/>
          <w:rFonts w:ascii="黑体" w:eastAsia="黑体"/>
          <w:b w:val="0"/>
          <w:highlight w:val="auto"/>
        </w:rPr>
      </w:pPr>
      <w:bookmarkStart w:id="26" w:name="_Toc15377208"/>
      <w:bookmarkStart w:id="27" w:name="_Toc15396606"/>
      <w:r>
        <w:rPr>
          <w:rFonts w:ascii="黑体" w:eastAsia="黑体" w:hint="eastAsia"/>
          <w:sz w:val="32"/>
          <w:szCs w:val="32"/>
          <w:highlight w:val="auto"/>
        </w:rPr>
        <w:t>四、财</w:t>
      </w:r>
      <w:r>
        <w:rPr>
          <w:rStyle w:val="2Char"/>
          <w:rFonts w:ascii="黑体" w:eastAsia="黑体" w:hint="eastAsia"/>
          <w:b w:val="0"/>
          <w:highlight w:val="auto"/>
        </w:rPr>
        <w:t>政拨款收入支出决算总体情况说明</w:t>
      </w:r>
      <w:bookmarkEnd w:id="26"/>
      <w:bookmarkEnd w:id="27"/>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 w:eastAsia="仿宋"/>
          <w:sz w:val="32"/>
          <w:szCs w:val="32"/>
          <w:highlight w:val="auto"/>
        </w:rPr>
      </w:pPr>
      <w:r>
        <w:rPr>
          <w:rFonts w:ascii="仿宋" w:eastAsia="仿宋"/>
          <w:sz w:val="32"/>
          <w:szCs w:val="32"/>
          <w:highlight w:val="auto"/>
        </w:rPr>
        <w:t>20</w:t>
      </w:r>
      <w:r>
        <w:rPr>
          <w:rFonts w:ascii="仿宋" w:eastAsia="仿宋" w:hint="eastAsia"/>
          <w:sz w:val="32"/>
          <w:szCs w:val="32"/>
          <w:highlight w:val="auto"/>
        </w:rPr>
        <w:t>22年财政拨款收、支总计</w:t>
      </w:r>
      <w:r>
        <w:rPr>
          <w:rFonts w:ascii="仿宋" w:eastAsia="仿宋" w:hint="eastAsia"/>
          <w:sz w:val="32"/>
          <w:szCs w:val="32"/>
          <w:lang w:val="en-US" w:eastAsia="zh-CN"/>
          <w:highlight w:val="auto"/>
        </w:rPr>
        <w:t>645.48</w:t>
      </w:r>
      <w:r>
        <w:rPr>
          <w:rFonts w:ascii="仿宋" w:eastAsia="仿宋" w:hint="eastAsia"/>
          <w:sz w:val="32"/>
          <w:szCs w:val="32"/>
          <w:highlight w:val="auto"/>
        </w:rPr>
        <w:t>万元。与</w:t>
      </w:r>
      <w:r>
        <w:rPr>
          <w:rFonts w:ascii="仿宋" w:eastAsia="仿宋"/>
          <w:sz w:val="32"/>
          <w:szCs w:val="32"/>
          <w:highlight w:val="auto"/>
        </w:rPr>
        <w:t>20</w:t>
      </w:r>
      <w:r>
        <w:rPr>
          <w:rFonts w:ascii="仿宋" w:eastAsia="仿宋" w:hint="eastAsia"/>
          <w:sz w:val="32"/>
          <w:szCs w:val="32"/>
          <w:highlight w:val="auto"/>
        </w:rPr>
        <w:t>21年相比，财政拨款收、支总计各增加</w:t>
      </w:r>
      <w:r>
        <w:rPr>
          <w:rFonts w:ascii="仿宋" w:eastAsia="仿宋" w:hint="eastAsia"/>
          <w:sz w:val="32"/>
          <w:szCs w:val="32"/>
          <w:lang w:val="en-US" w:eastAsia="zh-CN"/>
          <w:highlight w:val="auto"/>
        </w:rPr>
        <w:t>126.79</w:t>
      </w:r>
      <w:r>
        <w:rPr>
          <w:rFonts w:ascii="仿宋" w:eastAsia="仿宋" w:hint="eastAsia"/>
          <w:sz w:val="32"/>
          <w:szCs w:val="32"/>
          <w:highlight w:val="auto"/>
        </w:rPr>
        <w:t>万元，增长</w:t>
      </w:r>
      <w:r>
        <w:rPr>
          <w:rFonts w:ascii="仿宋" w:eastAsia="仿宋" w:hint="eastAsia"/>
          <w:sz w:val="32"/>
          <w:szCs w:val="32"/>
          <w:lang w:val="en-US" w:eastAsia="zh-CN"/>
          <w:highlight w:val="auto"/>
        </w:rPr>
        <w:t>24.44</w:t>
      </w:r>
      <w:r>
        <w:rPr>
          <w:rFonts w:ascii="仿宋" w:eastAsia="仿宋"/>
          <w:sz w:val="32"/>
          <w:szCs w:val="32"/>
          <w:highlight w:val="auto"/>
        </w:rPr>
        <w:t>%</w:t>
      </w:r>
      <w:r>
        <w:rPr>
          <w:rFonts w:ascii="仿宋" w:eastAsia="仿宋" w:hint="eastAsia"/>
          <w:sz w:val="32"/>
          <w:szCs w:val="32"/>
          <w:highlight w:val="auto"/>
        </w:rPr>
        <w:t>。</w:t>
      </w:r>
      <w:r>
        <w:rPr>
          <w:rFonts w:ascii="Times New Roman" w:eastAsia="仿宋_GB2312" w:cs="Times New Roman" w:hAnsi="Times New Roman"/>
          <w:color w:val="auto"/>
          <w:sz w:val="32"/>
          <w:szCs w:val="32"/>
          <w:highlight w:val="auto"/>
        </w:rPr>
        <w:t>主要变动原因是人员</w:t>
      </w:r>
      <w:r>
        <w:rPr>
          <w:rFonts w:ascii="Times New Roman" w:eastAsia="仿宋_GB2312" w:cs="Times New Roman" w:hAnsi="Times New Roman"/>
          <w:color w:val="auto"/>
          <w:sz w:val="32"/>
          <w:szCs w:val="32"/>
          <w:lang w:val="en-US" w:eastAsia="zh-CN"/>
          <w:highlight w:val="auto"/>
        </w:rPr>
        <w:t>变动</w:t>
      </w:r>
      <w:r>
        <w:rPr>
          <w:rFonts w:ascii="Times New Roman" w:eastAsia="仿宋_GB2312" w:cs="Times New Roman" w:hAnsi="Times New Roman"/>
          <w:color w:val="auto"/>
          <w:sz w:val="32"/>
          <w:szCs w:val="32"/>
          <w:highlight w:val="auto"/>
        </w:rPr>
        <w:t>以及举办</w:t>
      </w:r>
      <w:r>
        <w:rPr>
          <w:rFonts w:ascii="Times New Roman" w:eastAsia="仿宋_GB2312" w:cs="Times New Roman" w:hAnsi="Times New Roman"/>
          <w:color w:val="auto"/>
          <w:sz w:val="32"/>
          <w:szCs w:val="32"/>
          <w:lang w:val="en-US" w:eastAsia="zh-CN"/>
          <w:highlight w:val="auto"/>
        </w:rPr>
        <w:t>了</w:t>
      </w:r>
      <w:r>
        <w:rPr>
          <w:rFonts w:ascii="Times New Roman" w:eastAsia="仿宋_GB2312" w:cs="Times New Roman" w:hAnsi="Times New Roman"/>
          <w:color w:val="auto"/>
          <w:sz w:val="32"/>
          <w:szCs w:val="32"/>
          <w:highlight w:val="auto"/>
        </w:rPr>
        <w:t>机构编制</w:t>
      </w:r>
      <w:r>
        <w:rPr>
          <w:rFonts w:ascii="Times New Roman" w:eastAsia="仿宋_GB2312" w:cs="Times New Roman" w:hAnsi="Times New Roman"/>
          <w:color w:val="auto"/>
          <w:sz w:val="32"/>
          <w:szCs w:val="32"/>
          <w:lang w:val="en-US" w:eastAsia="zh-CN"/>
          <w:highlight w:val="auto"/>
        </w:rPr>
        <w:t>业务</w:t>
      </w:r>
      <w:r>
        <w:rPr>
          <w:rFonts w:ascii="Times New Roman" w:eastAsia="仿宋_GB2312" w:cs="Times New Roman" w:hAnsi="Times New Roman"/>
          <w:color w:val="auto"/>
          <w:sz w:val="32"/>
          <w:szCs w:val="32"/>
          <w:highlight w:val="auto"/>
        </w:rPr>
        <w:t>培训。</w:t>
      </w:r>
    </w:p>
    <w:p>
      <w:pPr>
        <w:pStyle w:val="16"/>
        <w:rPr>
          <w:rFonts w:ascii="仿宋" w:eastAsia="仿宋"/>
          <w:sz w:val="32"/>
          <w:szCs w:val="32"/>
        </w:rPr>
      </w:pPr>
      <w:r>
        <w:rPr>
          <w:rFonts w:ascii="Times New Roman" w:eastAsia="仿宋" w:cs="Times New Roman" w:hAnsi="Times New Roman"/>
          <w:color w:val="auto"/>
          <w:sz w:val="32"/>
          <w:szCs w:val="32"/>
          <w:lang w:eastAsia="zh-CN"/>
          <w:highlight w:val="auto"/>
        </w:rPr>
        <w:drawing>
          <wp:inline distT="0" distB="0" distL="114300" distR="114300">
            <wp:extent cx="5256530" cy="2988310"/>
            <wp:effectExtent l="0" t="0" r="0" b="0"/>
            <wp:docPr id="16" name="图表 10"/>
            <wp:cNvGraphicFramePr>
              <a:graphicFrameLocks noChangeAspect="0"/>
            </wp:cNvGraphicFramePr>
            <a:graphic>
              <a:graphicData uri="http://schemas.openxmlformats.org/drawingml/2006/chart">
                <c:chart xmlns:c="http://schemas.openxmlformats.org/drawingml/2006/chart" r:id="rId8"/>
              </a:graphicData>
            </a:graphic>
          </wp:inline>
        </w:drawing>
      </w:r>
    </w:p>
    <w:p>
      <w:pPr>
        <w:spacing w:line="600" w:lineRule="exact"/>
        <w:ind w:firstLineChars="200" w:firstLine="640"/>
        <w:outlineLvl w:val="1"/>
        <w:rPr>
          <w:rStyle w:val="2Char"/>
          <w:rFonts w:ascii="黑体" w:eastAsia="黑体"/>
          <w:b w:val="0"/>
          <w:highlight w:val="auto"/>
        </w:rPr>
      </w:pPr>
      <w:bookmarkStart w:id="28" w:name="_Toc15377209"/>
      <w:bookmarkStart w:id="29" w:name="_Toc15396607"/>
      <w:r>
        <w:rPr>
          <w:rFonts w:ascii="黑体" w:eastAsia="黑体" w:hint="eastAsia"/>
          <w:sz w:val="32"/>
          <w:szCs w:val="32"/>
          <w:highlight w:val="auto"/>
        </w:rPr>
        <w:t>五、</w:t>
      </w:r>
      <w:r>
        <w:rPr>
          <w:rFonts w:ascii="黑体" w:eastAsia="黑体" w:hint="eastAsia"/>
          <w:b/>
          <w:sz w:val="32"/>
          <w:szCs w:val="32"/>
          <w:highlight w:val="auto"/>
        </w:rPr>
        <w:t>一</w:t>
      </w:r>
      <w:r>
        <w:rPr>
          <w:rStyle w:val="2Char"/>
          <w:rFonts w:ascii="黑体" w:eastAsia="黑体" w:hint="eastAsia"/>
          <w:b w:val="0"/>
          <w:highlight w:val="auto"/>
        </w:rPr>
        <w:t>般公共预算财政拨款支出决算情况说明</w:t>
      </w:r>
      <w:bookmarkEnd w:id="28"/>
      <w:bookmarkEnd w:id="29"/>
    </w:p>
    <w:p>
      <w:pPr>
        <w:spacing w:line="600" w:lineRule="exact"/>
        <w:ind w:firstLineChars="200" w:firstLine="640"/>
        <w:outlineLvl w:val="2"/>
        <w:rPr>
          <w:rFonts w:ascii="楷体_GB2312" w:eastAsia="楷体_GB2312" w:cs="楷体_GB2312" w:hint="eastAsia"/>
          <w:b/>
          <w:sz w:val="32"/>
          <w:szCs w:val="32"/>
          <w:highlight w:val="auto"/>
        </w:rPr>
      </w:pPr>
      <w:bookmarkStart w:id="30" w:name="_Toc15377210"/>
      <w:r>
        <w:rPr>
          <w:rFonts w:ascii="楷体_GB2312" w:eastAsia="楷体_GB2312" w:cs="楷体_GB2312" w:hint="eastAsia"/>
          <w:b/>
          <w:sz w:val="32"/>
          <w:szCs w:val="32"/>
          <w:highlight w:val="auto"/>
        </w:rPr>
        <w:t>（一）一般公共预算财政拨款支出决算总体情况</w:t>
      </w:r>
      <w:bookmarkEnd w:id="30"/>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 w:eastAsia="仿宋"/>
          <w:sz w:val="32"/>
          <w:szCs w:val="32"/>
          <w:highlight w:val="yellow"/>
        </w:rPr>
      </w:pPr>
      <w:r>
        <w:rPr>
          <w:rFonts w:ascii="仿宋" w:eastAsia="仿宋"/>
          <w:sz w:val="32"/>
          <w:szCs w:val="32"/>
          <w:highlight w:val="auto"/>
        </w:rPr>
        <w:t>20</w:t>
      </w:r>
      <w:r>
        <w:rPr>
          <w:rFonts w:ascii="仿宋" w:eastAsia="仿宋" w:hint="eastAsia"/>
          <w:sz w:val="32"/>
          <w:szCs w:val="32"/>
          <w:highlight w:val="auto"/>
        </w:rPr>
        <w:t>22年一般公共预算财政拨款支出</w:t>
      </w:r>
      <w:r>
        <w:rPr>
          <w:rFonts w:ascii="仿宋" w:eastAsia="仿宋" w:hint="eastAsia"/>
          <w:sz w:val="32"/>
          <w:szCs w:val="32"/>
          <w:lang w:val="en-US" w:eastAsia="zh-CN"/>
          <w:highlight w:val="auto"/>
        </w:rPr>
        <w:t>645.48</w:t>
      </w:r>
      <w:r>
        <w:rPr>
          <w:rFonts w:ascii="仿宋" w:eastAsia="仿宋" w:hint="eastAsia"/>
          <w:sz w:val="32"/>
          <w:szCs w:val="32"/>
          <w:highlight w:val="auto"/>
        </w:rPr>
        <w:t>万元，占本年支出合计的</w:t>
      </w:r>
      <w:r>
        <w:rPr>
          <w:rFonts w:ascii="仿宋" w:eastAsia="仿宋" w:hint="eastAsia"/>
          <w:sz w:val="32"/>
          <w:szCs w:val="32"/>
          <w:lang w:val="en-US" w:eastAsia="zh-CN"/>
          <w:highlight w:val="auto"/>
        </w:rPr>
        <w:t>100</w:t>
      </w:r>
      <w:r>
        <w:rPr>
          <w:rFonts w:ascii="仿宋" w:eastAsia="仿宋"/>
          <w:sz w:val="32"/>
          <w:szCs w:val="32"/>
          <w:highlight w:val="auto"/>
        </w:rPr>
        <w:t>%</w:t>
      </w:r>
      <w:r>
        <w:rPr>
          <w:rFonts w:ascii="仿宋" w:eastAsia="仿宋" w:hint="eastAsia"/>
          <w:sz w:val="32"/>
          <w:szCs w:val="32"/>
          <w:highlight w:val="auto"/>
        </w:rPr>
        <w:t>。与</w:t>
      </w:r>
      <w:r>
        <w:rPr>
          <w:rFonts w:ascii="仿宋" w:eastAsia="仿宋"/>
          <w:sz w:val="32"/>
          <w:szCs w:val="32"/>
          <w:highlight w:val="auto"/>
        </w:rPr>
        <w:t>20</w:t>
      </w:r>
      <w:r>
        <w:rPr>
          <w:rFonts w:ascii="仿宋" w:eastAsia="仿宋" w:hint="eastAsia"/>
          <w:sz w:val="32"/>
          <w:szCs w:val="32"/>
          <w:highlight w:val="auto"/>
        </w:rPr>
        <w:t>21年相比，一般公共预算财政拨款支出增加</w:t>
      </w:r>
      <w:r>
        <w:rPr>
          <w:rFonts w:ascii="仿宋" w:eastAsia="仿宋" w:hint="eastAsia"/>
          <w:sz w:val="32"/>
          <w:szCs w:val="32"/>
          <w:lang w:val="en-US" w:eastAsia="zh-CN"/>
          <w:highlight w:val="auto"/>
        </w:rPr>
        <w:t>126.79</w:t>
      </w:r>
      <w:r>
        <w:rPr>
          <w:rFonts w:ascii="仿宋" w:eastAsia="仿宋" w:hint="eastAsia"/>
          <w:sz w:val="32"/>
          <w:szCs w:val="32"/>
          <w:highlight w:val="auto"/>
        </w:rPr>
        <w:t>万元，增长</w:t>
      </w:r>
      <w:r>
        <w:rPr>
          <w:rFonts w:ascii="仿宋" w:eastAsia="仿宋" w:hint="eastAsia"/>
          <w:sz w:val="32"/>
          <w:szCs w:val="32"/>
          <w:lang w:val="en-US" w:eastAsia="zh-CN"/>
          <w:highlight w:val="auto"/>
        </w:rPr>
        <w:t>24.44</w:t>
      </w:r>
      <w:r>
        <w:rPr>
          <w:rFonts w:ascii="仿宋" w:eastAsia="仿宋"/>
          <w:sz w:val="32"/>
          <w:szCs w:val="32"/>
          <w:highlight w:val="auto"/>
        </w:rPr>
        <w:t>%</w:t>
      </w:r>
      <w:r>
        <w:rPr>
          <w:rFonts w:ascii="仿宋" w:eastAsia="仿宋" w:hint="eastAsia"/>
          <w:sz w:val="32"/>
          <w:szCs w:val="32"/>
          <w:highlight w:val="auto"/>
        </w:rPr>
        <w:t>。</w:t>
      </w:r>
      <w:r>
        <w:rPr>
          <w:rFonts w:ascii="Times New Roman" w:eastAsia="仿宋_GB2312" w:cs="Times New Roman" w:hAnsi="Times New Roman"/>
          <w:color w:val="auto"/>
          <w:sz w:val="32"/>
          <w:szCs w:val="32"/>
          <w:highlight w:val="auto"/>
        </w:rPr>
        <w:t>主要变动原因是人员</w:t>
      </w:r>
      <w:r>
        <w:rPr>
          <w:rFonts w:ascii="Times New Roman" w:eastAsia="仿宋_GB2312" w:cs="Times New Roman" w:hAnsi="Times New Roman"/>
          <w:color w:val="auto"/>
          <w:sz w:val="32"/>
          <w:szCs w:val="32"/>
          <w:lang w:val="en-US" w:eastAsia="zh-CN"/>
          <w:highlight w:val="auto"/>
        </w:rPr>
        <w:t>变动</w:t>
      </w:r>
      <w:r>
        <w:rPr>
          <w:rFonts w:ascii="Times New Roman" w:eastAsia="仿宋_GB2312" w:cs="Times New Roman" w:hAnsi="Times New Roman"/>
          <w:color w:val="auto"/>
          <w:sz w:val="32"/>
          <w:szCs w:val="32"/>
          <w:highlight w:val="auto"/>
        </w:rPr>
        <w:t>以及举办</w:t>
      </w:r>
      <w:r>
        <w:rPr>
          <w:rFonts w:ascii="Times New Roman" w:eastAsia="仿宋_GB2312" w:cs="Times New Roman" w:hAnsi="Times New Roman"/>
          <w:color w:val="auto"/>
          <w:sz w:val="32"/>
          <w:szCs w:val="32"/>
          <w:lang w:val="en-US" w:eastAsia="zh-CN"/>
          <w:highlight w:val="auto"/>
        </w:rPr>
        <w:t>了</w:t>
      </w:r>
      <w:r>
        <w:rPr>
          <w:rFonts w:ascii="Times New Roman" w:eastAsia="仿宋_GB2312" w:cs="Times New Roman" w:hAnsi="Times New Roman"/>
          <w:color w:val="auto"/>
          <w:sz w:val="32"/>
          <w:szCs w:val="32"/>
          <w:highlight w:val="auto"/>
        </w:rPr>
        <w:t>机构编制</w:t>
      </w:r>
      <w:r>
        <w:rPr>
          <w:rFonts w:ascii="Times New Roman" w:eastAsia="仿宋_GB2312" w:cs="Times New Roman" w:hAnsi="Times New Roman"/>
          <w:color w:val="auto"/>
          <w:sz w:val="32"/>
          <w:szCs w:val="32"/>
          <w:lang w:val="en-US" w:eastAsia="zh-CN"/>
          <w:highlight w:val="auto"/>
        </w:rPr>
        <w:t>业务</w:t>
      </w:r>
      <w:r>
        <w:rPr>
          <w:rFonts w:ascii="Times New Roman" w:eastAsia="仿宋_GB2312" w:cs="Times New Roman" w:hAnsi="Times New Roman"/>
          <w:color w:val="auto"/>
          <w:sz w:val="32"/>
          <w:szCs w:val="32"/>
          <w:highlight w:val="auto"/>
        </w:rPr>
        <w:t>培训。</w:t>
      </w:r>
    </w:p>
    <w:p>
      <w:pPr>
        <w:pStyle w:val="16"/>
        <w:rPr>
          <w:rFonts w:ascii="仿宋" w:eastAsia="仿宋"/>
          <w:sz w:val="32"/>
          <w:szCs w:val="32"/>
        </w:rPr>
      </w:pPr>
      <w:r>
        <w:rPr>
          <w:rFonts w:ascii="Times New Roman" w:eastAsia="仿宋" w:cs="Times New Roman" w:hAnsi="Times New Roman"/>
          <w:color w:val="auto"/>
          <w:sz w:val="32"/>
          <w:szCs w:val="32"/>
          <w:lang w:eastAsia="zh-CN"/>
          <w:highlight w:val="auto"/>
        </w:rPr>
        <w:drawing>
          <wp:inline distT="0" distB="0" distL="114300" distR="114300">
            <wp:extent cx="5256530" cy="2893695"/>
            <wp:effectExtent l="0" t="0" r="0" b="0"/>
            <wp:docPr id="17" name="图表 1"/>
            <wp:cNvGraphicFramePr>
              <a:graphicFrameLocks noChangeAspect="0"/>
            </wp:cNvGraphicFramePr>
            <a:graphic>
              <a:graphicData uri="http://schemas.openxmlformats.org/drawingml/2006/chart">
                <c:chart xmlns:c="http://schemas.openxmlformats.org/drawingml/2006/chart" r:id="rId9"/>
              </a:graphicData>
            </a:graphic>
          </wp:inline>
        </w:drawing>
      </w:r>
    </w:p>
    <w:p>
      <w:pPr>
        <w:spacing w:line="600" w:lineRule="exact"/>
        <w:ind w:firstLineChars="200" w:firstLine="640"/>
        <w:outlineLvl w:val="2"/>
        <w:rPr>
          <w:rFonts w:ascii="楷体_GB2312" w:eastAsia="楷体_GB2312" w:cs="楷体_GB2312" w:hint="eastAsia"/>
          <w:b/>
          <w:sz w:val="32"/>
          <w:szCs w:val="32"/>
          <w:highlight w:val="auto"/>
        </w:rPr>
      </w:pPr>
      <w:bookmarkStart w:id="31" w:name="_Toc15377211"/>
      <w:r>
        <w:rPr>
          <w:rFonts w:ascii="楷体_GB2312" w:eastAsia="楷体_GB2312" w:cs="楷体_GB2312" w:hint="eastAsia"/>
          <w:b/>
          <w:sz w:val="32"/>
          <w:szCs w:val="32"/>
          <w:highlight w:val="auto"/>
        </w:rPr>
        <w:t>（二）一般公共预算财政拨款支出决算结构情况</w:t>
      </w:r>
      <w:bookmarkEnd w:id="31"/>
    </w:p>
    <w:p>
      <w:pPr>
        <w:spacing w:line="600" w:lineRule="exact"/>
        <w:ind w:firstLine="640"/>
        <w:rPr>
          <w:rFonts w:ascii="仿宋" w:eastAsia="仿宋"/>
          <w:b/>
          <w:sz w:val="32"/>
          <w:szCs w:val="32"/>
        </w:rPr>
      </w:pPr>
      <w:r>
        <w:rPr>
          <w:rFonts w:ascii="仿宋" w:eastAsia="仿宋"/>
          <w:sz w:val="32"/>
          <w:szCs w:val="32"/>
        </w:rPr>
        <w:t>20</w:t>
      </w:r>
      <w:r>
        <w:rPr>
          <w:rFonts w:ascii="仿宋" w:eastAsia="仿宋" w:hint="eastAsia"/>
          <w:sz w:val="32"/>
          <w:szCs w:val="32"/>
        </w:rPr>
        <w:t>22年一般公共预算财政拨款支出</w:t>
      </w:r>
      <w:r>
        <w:rPr>
          <w:rFonts w:ascii="仿宋" w:eastAsia="仿宋" w:hint="eastAsia"/>
          <w:sz w:val="32"/>
          <w:szCs w:val="32"/>
          <w:lang w:val="en-US" w:eastAsia="zh-CN"/>
        </w:rPr>
        <w:t>645.48</w:t>
      </w:r>
      <w:r>
        <w:rPr>
          <w:rFonts w:ascii="仿宋" w:eastAsia="仿宋" w:hint="eastAsia"/>
          <w:sz w:val="32"/>
          <w:szCs w:val="32"/>
        </w:rPr>
        <w:t>万元，主要用于以下方面</w:t>
      </w:r>
      <w:r>
        <w:rPr>
          <w:rFonts w:ascii="仿宋" w:eastAsia="仿宋"/>
          <w:sz w:val="32"/>
          <w:szCs w:val="32"/>
        </w:rPr>
        <w:t>:</w:t>
      </w:r>
      <w:r>
        <w:rPr>
          <w:rFonts w:ascii="仿宋" w:eastAsia="仿宋" w:hint="eastAsia"/>
          <w:b/>
          <w:sz w:val="32"/>
          <w:szCs w:val="32"/>
        </w:rPr>
        <w:t>一般公共服务</w:t>
      </w:r>
      <w:r>
        <w:rPr>
          <w:rFonts w:ascii="仿宋" w:eastAsia="仿宋" w:hint="eastAsia"/>
          <w:b/>
          <w:bCs/>
          <w:sz w:val="32"/>
          <w:szCs w:val="32"/>
        </w:rPr>
        <w:t>支出</w:t>
      </w:r>
      <w:r>
        <w:rPr>
          <w:rFonts w:ascii="仿宋" w:eastAsia="仿宋" w:hint="eastAsia"/>
          <w:sz w:val="32"/>
          <w:szCs w:val="32"/>
          <w:lang w:val="en-US" w:eastAsia="zh-CN"/>
        </w:rPr>
        <w:t>539.46</w:t>
      </w:r>
      <w:r>
        <w:rPr>
          <w:rFonts w:ascii="仿宋" w:eastAsia="仿宋" w:hint="eastAsia"/>
          <w:sz w:val="32"/>
          <w:szCs w:val="32"/>
        </w:rPr>
        <w:t>万元，占</w:t>
      </w:r>
      <w:r>
        <w:rPr>
          <w:rFonts w:ascii="仿宋" w:eastAsia="仿宋" w:hint="eastAsia"/>
          <w:sz w:val="32"/>
          <w:szCs w:val="32"/>
          <w:lang w:val="en-US" w:eastAsia="zh-CN"/>
        </w:rPr>
        <w:t>83.58</w:t>
      </w:r>
      <w:r>
        <w:rPr>
          <w:rFonts w:ascii="仿宋" w:eastAsia="仿宋"/>
          <w:sz w:val="32"/>
          <w:szCs w:val="32"/>
        </w:rPr>
        <w:t>%</w:t>
      </w:r>
      <w:r>
        <w:rPr>
          <w:rFonts w:ascii="仿宋" w:eastAsia="仿宋" w:hint="eastAsia"/>
          <w:sz w:val="32"/>
          <w:szCs w:val="32"/>
        </w:rPr>
        <w:t>；</w:t>
      </w:r>
      <w:r>
        <w:rPr>
          <w:rFonts w:ascii="Times New Roman" w:eastAsia="仿宋" w:cs="Times New Roman" w:hAnsi="Times New Roman"/>
          <w:b/>
          <w:color w:val="auto"/>
          <w:sz w:val="32"/>
          <w:szCs w:val="32"/>
          <w:highlight w:val="auto"/>
        </w:rPr>
        <w:t>社会保障和就业</w:t>
      </w:r>
      <w:r>
        <w:rPr>
          <w:rFonts w:ascii="Times New Roman" w:eastAsia="仿宋" w:cs="Times New Roman" w:hAnsi="Times New Roman"/>
          <w:b/>
          <w:bCs/>
          <w:color w:val="auto"/>
          <w:sz w:val="32"/>
          <w:szCs w:val="32"/>
          <w:highlight w:val="auto"/>
        </w:rPr>
        <w:t>支出</w:t>
      </w:r>
      <w:r>
        <w:rPr>
          <w:rFonts w:ascii="Times New Roman" w:eastAsia="仿宋" w:cs="Times New Roman" w:hAnsi="Times New Roman" w:hint="eastAsia"/>
          <w:color w:val="auto"/>
          <w:sz w:val="32"/>
          <w:szCs w:val="32"/>
          <w:lang w:val="en-US" w:eastAsia="zh-CN"/>
          <w:highlight w:val="auto"/>
        </w:rPr>
        <w:t>58.22</w:t>
      </w:r>
      <w:r>
        <w:rPr>
          <w:rFonts w:ascii="Times New Roman" w:eastAsia="仿宋" w:cs="Times New Roman" w:hAnsi="Times New Roman"/>
          <w:color w:val="auto"/>
          <w:sz w:val="32"/>
          <w:szCs w:val="32"/>
          <w:highlight w:val="auto"/>
        </w:rPr>
        <w:t>万元，占</w:t>
      </w:r>
      <w:r>
        <w:rPr>
          <w:rFonts w:ascii="Times New Roman" w:eastAsia="仿宋" w:cs="Times New Roman" w:hAnsi="Times New Roman"/>
          <w:color w:val="auto"/>
          <w:sz w:val="32"/>
          <w:szCs w:val="32"/>
          <w:lang w:val="en-US" w:eastAsia="zh-CN"/>
          <w:highlight w:val="auto"/>
        </w:rPr>
        <w:t>9.</w:t>
      </w:r>
      <w:r>
        <w:rPr>
          <w:rFonts w:ascii="Times New Roman" w:eastAsia="仿宋" w:cs="Times New Roman" w:hAnsi="Times New Roman" w:hint="eastAsia"/>
          <w:color w:val="auto"/>
          <w:sz w:val="32"/>
          <w:szCs w:val="32"/>
          <w:lang w:val="en-US" w:eastAsia="zh-CN"/>
          <w:highlight w:val="auto"/>
        </w:rPr>
        <w:t>0</w:t>
      </w:r>
      <w:r>
        <w:rPr>
          <w:rFonts w:eastAsia="仿宋" w:cs="Times New Roman" w:hint="eastAsia"/>
          <w:color w:val="auto"/>
          <w:sz w:val="32"/>
          <w:szCs w:val="32"/>
          <w:lang w:val="en-US" w:eastAsia="zh-CN"/>
          <w:highlight w:val="auto"/>
        </w:rPr>
        <w:t>2</w:t>
      </w:r>
      <w:r>
        <w:rPr>
          <w:rFonts w:ascii="Times New Roman" w:eastAsia="仿宋" w:cs="Times New Roman" w:hAnsi="Times New Roman"/>
          <w:color w:val="auto"/>
          <w:sz w:val="32"/>
          <w:szCs w:val="32"/>
          <w:highlight w:val="auto"/>
        </w:rPr>
        <w:t>%；</w:t>
      </w:r>
      <w:r>
        <w:rPr>
          <w:rFonts w:ascii="Times New Roman" w:eastAsia="仿宋" w:cs="Times New Roman" w:hAnsi="Times New Roman"/>
          <w:b/>
          <w:bCs/>
          <w:color w:val="auto"/>
          <w:sz w:val="32"/>
          <w:szCs w:val="32"/>
          <w:highlight w:val="auto"/>
        </w:rPr>
        <w:t>卫生健康支出</w:t>
      </w:r>
      <w:r>
        <w:rPr>
          <w:rFonts w:ascii="Times New Roman" w:eastAsia="仿宋" w:cs="Times New Roman" w:hAnsi="Times New Roman" w:hint="eastAsia"/>
          <w:color w:val="auto"/>
          <w:sz w:val="32"/>
          <w:szCs w:val="32"/>
          <w:lang w:val="en-US" w:eastAsia="zh-CN"/>
          <w:highlight w:val="auto"/>
        </w:rPr>
        <w:t>17.06</w:t>
      </w:r>
      <w:r>
        <w:rPr>
          <w:rFonts w:ascii="Times New Roman" w:eastAsia="仿宋" w:cs="Times New Roman" w:hAnsi="Times New Roman"/>
          <w:color w:val="auto"/>
          <w:sz w:val="32"/>
          <w:szCs w:val="32"/>
          <w:highlight w:val="auto"/>
        </w:rPr>
        <w:t>万元，占</w:t>
      </w:r>
      <w:r>
        <w:rPr>
          <w:rFonts w:ascii="Times New Roman" w:eastAsia="仿宋" w:cs="Times New Roman" w:hAnsi="Times New Roman"/>
          <w:color w:val="auto"/>
          <w:sz w:val="32"/>
          <w:szCs w:val="32"/>
          <w:lang w:val="en-US" w:eastAsia="zh-CN"/>
          <w:highlight w:val="auto"/>
        </w:rPr>
        <w:t>2.</w:t>
      </w:r>
      <w:r>
        <w:rPr>
          <w:rFonts w:ascii="Times New Roman" w:eastAsia="仿宋" w:cs="Times New Roman" w:hAnsi="Times New Roman" w:hint="eastAsia"/>
          <w:color w:val="auto"/>
          <w:sz w:val="32"/>
          <w:szCs w:val="32"/>
          <w:lang w:val="en-US" w:eastAsia="zh-CN"/>
          <w:highlight w:val="auto"/>
        </w:rPr>
        <w:t>64</w:t>
      </w:r>
      <w:r>
        <w:rPr>
          <w:rFonts w:ascii="Times New Roman" w:eastAsia="仿宋" w:cs="Times New Roman" w:hAnsi="Times New Roman"/>
          <w:color w:val="auto"/>
          <w:sz w:val="32"/>
          <w:szCs w:val="32"/>
          <w:highlight w:val="auto"/>
        </w:rPr>
        <w:t>%；</w:t>
      </w:r>
      <w:r>
        <w:rPr>
          <w:rFonts w:ascii="Times New Roman" w:eastAsia="仿宋" w:cs="Times New Roman" w:hAnsi="Times New Roman"/>
          <w:b/>
          <w:bCs/>
          <w:color w:val="auto"/>
          <w:sz w:val="32"/>
          <w:szCs w:val="32"/>
          <w:highlight w:val="auto"/>
        </w:rPr>
        <w:t>住房保障支出</w:t>
      </w:r>
      <w:r>
        <w:rPr>
          <w:rFonts w:ascii="Times New Roman" w:eastAsia="仿宋" w:cs="Times New Roman" w:hAnsi="Times New Roman" w:hint="eastAsia"/>
          <w:color w:val="auto"/>
          <w:sz w:val="32"/>
          <w:szCs w:val="32"/>
          <w:lang w:val="en-US" w:eastAsia="zh-CN"/>
          <w:highlight w:val="auto"/>
        </w:rPr>
        <w:t>30.73</w:t>
      </w:r>
      <w:r>
        <w:rPr>
          <w:rFonts w:ascii="Times New Roman" w:eastAsia="仿宋" w:cs="Times New Roman" w:hAnsi="Times New Roman"/>
          <w:color w:val="auto"/>
          <w:sz w:val="32"/>
          <w:szCs w:val="32"/>
          <w:highlight w:val="auto"/>
        </w:rPr>
        <w:t>万元，占</w:t>
      </w:r>
      <w:r>
        <w:rPr>
          <w:rFonts w:ascii="Times New Roman" w:eastAsia="仿宋" w:cs="Times New Roman" w:hAnsi="Times New Roman"/>
          <w:color w:val="auto"/>
          <w:sz w:val="32"/>
          <w:szCs w:val="32"/>
          <w:lang w:val="en-US" w:eastAsia="zh-CN"/>
          <w:highlight w:val="auto"/>
        </w:rPr>
        <w:t>4.</w:t>
      </w:r>
      <w:r>
        <w:rPr>
          <w:rFonts w:ascii="Times New Roman" w:eastAsia="仿宋" w:cs="Times New Roman" w:hAnsi="Times New Roman" w:hint="eastAsia"/>
          <w:color w:val="auto"/>
          <w:sz w:val="32"/>
          <w:szCs w:val="32"/>
          <w:lang w:val="en-US" w:eastAsia="zh-CN"/>
          <w:highlight w:val="auto"/>
        </w:rPr>
        <w:t>76</w:t>
      </w:r>
      <w:r>
        <w:rPr>
          <w:rFonts w:ascii="Times New Roman" w:eastAsia="仿宋" w:cs="Times New Roman" w:hAnsi="Times New Roman"/>
          <w:color w:val="auto"/>
          <w:sz w:val="32"/>
          <w:szCs w:val="32"/>
          <w:highlight w:val="auto"/>
        </w:rPr>
        <w:t>%。</w:t>
      </w:r>
    </w:p>
    <w:p>
      <w:pPr>
        <w:pStyle w:val="16"/>
        <w:rPr>
          <w:rFonts w:ascii="仿宋" w:eastAsia="仿宋"/>
          <w:b/>
          <w:sz w:val="32"/>
          <w:szCs w:val="32"/>
        </w:rPr>
      </w:pPr>
      <w:r>
        <w:rPr>
          <w:rFonts w:ascii="Times New Roman" w:cs="Times New Roman" w:hAnsi="Times New Roman"/>
          <w:sz w:val="32"/>
        </w:rPr>
        <mc:AlternateContent>
          <mc:Choice Requires="wps">
            <w:drawing>
              <wp:anchor distT="0" distB="0" distL="114298" distR="114298" simplePos="0" relativeHeight="45" behindDoc="0" locked="0" layoutInCell="1" hidden="0" allowOverlap="1">
                <wp:simplePos x="0" y="0"/>
                <wp:positionH relativeFrom="column">
                  <wp:posOffset>1845945</wp:posOffset>
                </wp:positionH>
                <wp:positionV relativeFrom="paragraph">
                  <wp:posOffset>1011555</wp:posOffset>
                </wp:positionV>
                <wp:extent cx="618490" cy="323850"/>
                <wp:effectExtent l="0" t="0" r="0" b="0"/>
                <wp:wrapNone/>
                <wp:docPr id="18" name="文本框"/>
                <wp:cNvGraphicFramePr>
                  <a:graphicFrameLocks noChangeAspect="0"/>
                </wp:cNvGraphicFramePr>
                <a:graphic>
                  <a:graphicData uri="http://schemas.microsoft.com/office/word/2010/wordprocessingShape">
                    <wps:wsp>
                      <wps:cNvSpPr/>
                      <wps:spPr>
                        <a:xfrm rot="0">
                          <a:off x="0" y="0"/>
                          <a:ext cx="618490" cy="323850"/>
                        </a:xfrm>
                        <a:prstGeom prst="rect"/>
                        <a:noFill/>
                        <a:ln w="9525" cmpd="sng" cap="flat">
                          <a:noFill/>
                          <a:prstDash val="solid"/>
                          <a:miter/>
                        </a:ln>
                      </wps:spPr>
                      <wps:txbx id="19">
                        <w:txbxContent>
                          <w:p>
                            <w:pPr>
                              <w:rPr>
                                <w:rFonts w:eastAsia="宋体"/>
                                <w:sz w:val="21"/>
                                <w:szCs w:val="24"/>
                                <w:lang w:val="en-US" w:eastAsia="zh-CN"/>
                              </w:rPr>
                            </w:pPr>
                            <w:r>
                              <w:rPr>
                                <w:rFonts w:hint="eastAsia"/>
                                <w:sz w:val="18"/>
                                <w:szCs w:val="21"/>
                                <w:lang w:val="en-US" w:eastAsia="zh-CN"/>
                              </w:rPr>
                              <w:t>9.02</w:t>
                            </w:r>
                            <w:r>
                              <w:rPr>
                                <w:rFonts w:hint="eastAsia"/>
                                <w:sz w:val="21"/>
                                <w:szCs w:val="24"/>
                                <w:lang w:val="en-US" w:eastAsia="zh-CN"/>
                              </w:rPr>
                              <w:t>%</w:t>
                            </w:r>
                          </w:p>
                        </w:txbxContent>
                      </wps:txbx>
                      <wps:bodyPr vert="horz" wrap="square" lIns="91440" tIns="45720" rIns="91440" bIns="45720" anchor="t" anchorCtr="0" upright="1">
                        <a:noAutofit/>
                      </wps:bodyPr>
                    </wps:wsp>
                  </a:graphicData>
                </a:graphic>
              </wp:anchor>
            </w:drawing>
          </mc:Choice>
          <mc:Fallback>
            <w:pict>
              <v:rect type="#_x0000_t1" id="文本框 20" o:spid="_x0000_s20" filled="f" stroked="f" style="position:absolute;margin-left:145.35pt;margin-top:79.65pt;width:48.700016pt;height:25.500006pt;z-index:45;mso-position-horizontal:absolute;mso-position-vertical:absolute;mso-wrap-distance-left:8.999863pt;mso-wrap-distance-right:8.999863pt;mso-wrap-style:square;">
                <v:stroke color="#000000"/>
                <v:textbox id="857" inset="2.54mm,1.27mm,2.54mm,1.27mm" o:insetmode="custom" style="layout-flow:horizontal;v-text-anchor:top;">
                  <w:txbxContent>
                    <w:p>
                      <w:pPr>
                        <w:rPr>
                          <w:rFonts w:eastAsia="宋体"/>
                          <w:sz w:val="21"/>
                          <w:szCs w:val="24"/>
                          <w:lang w:val="en-US" w:eastAsia="zh-CN"/>
                        </w:rPr>
                      </w:pPr>
                      <w:r>
                        <w:rPr>
                          <w:rFonts w:hint="eastAsia"/>
                          <w:sz w:val="18"/>
                          <w:szCs w:val="21"/>
                          <w:lang w:val="en-US" w:eastAsia="zh-CN"/>
                        </w:rPr>
                        <w:t>9.02</w:t>
                      </w:r>
                      <w:r>
                        <w:rPr>
                          <w:rFonts w:hint="eastAsia"/>
                          <w:sz w:val="21"/>
                          <w:szCs w:val="24"/>
                          <w:lang w:val="en-US" w:eastAsia="zh-CN"/>
                        </w:rPr>
                        <w:t>%</w:t>
                      </w:r>
                    </w:p>
                  </w:txbxContent>
                </v:textbox>
              </v:rect>
            </w:pict>
          </mc:Fallback>
        </mc:AlternateContent>
      </w:r>
      <w:r>
        <w:rPr>
          <w:rFonts w:ascii="Times New Roman" w:cs="Times New Roman" w:hAnsi="Times New Roman"/>
          <w:sz w:val="32"/>
        </w:rPr>
        <mc:AlternateContent>
          <mc:Choice Requires="wps">
            <w:drawing>
              <wp:anchor distT="0" distB="0" distL="114298" distR="114298" simplePos="0" relativeHeight="47" behindDoc="0" locked="0" layoutInCell="1" hidden="0" allowOverlap="1">
                <wp:simplePos x="0" y="0"/>
                <wp:positionH relativeFrom="column">
                  <wp:posOffset>1845945</wp:posOffset>
                </wp:positionH>
                <wp:positionV relativeFrom="paragraph">
                  <wp:posOffset>487680</wp:posOffset>
                </wp:positionV>
                <wp:extent cx="590550" cy="323850"/>
                <wp:effectExtent l="0" t="0" r="0" b="0"/>
                <wp:wrapNone/>
                <wp:docPr id="21" name="文本框 15"/>
                <wp:cNvGraphicFramePr>
                  <a:graphicFrameLocks noChangeAspect="0"/>
                </wp:cNvGraphicFramePr>
                <a:graphic>
                  <a:graphicData uri="http://schemas.microsoft.com/office/word/2010/wordprocessingShape">
                    <wps:wsp>
                      <wps:cNvSpPr/>
                      <wps:spPr>
                        <a:xfrm rot="0">
                          <a:off x="0" y="0"/>
                          <a:ext cx="590550" cy="323850"/>
                        </a:xfrm>
                        <a:prstGeom prst="rect"/>
                        <a:noFill/>
                        <a:ln w="9525" cmpd="sng" cap="flat">
                          <a:noFill/>
                          <a:prstDash val="solid"/>
                          <a:miter/>
                        </a:ln>
                      </wps:spPr>
                      <wps:txbx id="22">
                        <w:txbxContent>
                          <w:p>
                            <w:pPr>
                              <w:rPr>
                                <w:rFonts w:eastAsia="宋体"/>
                                <w:color w:val="92D050"/>
                                <w:lang w:val="en-US" w:eastAsia="zh-CN"/>
                              </w:rPr>
                            </w:pPr>
                            <w:r>
                              <w:rPr>
                                <w:rFonts w:hint="eastAsia"/>
                                <w:color w:val="92D050"/>
                                <w:lang w:val="en-US" w:eastAsia="zh-CN"/>
                              </w:rPr>
                              <w:t>2.64%</w:t>
                            </w:r>
                          </w:p>
                        </w:txbxContent>
                      </wps:txbx>
                      <wps:bodyPr vert="horz" wrap="square" lIns="91440" tIns="45720" rIns="91440" bIns="45720" anchor="t" anchorCtr="0" upright="1">
                        <a:noAutofit/>
                      </wps:bodyPr>
                    </wps:wsp>
                  </a:graphicData>
                </a:graphic>
              </wp:anchor>
            </w:drawing>
          </mc:Choice>
          <mc:Fallback>
            <w:pict>
              <v:rect type="#_x0000_t1" id="文本框 15 23" o:spid="_x0000_s23" filled="f" stroked="f" style="position:absolute;margin-left:145.35pt;margin-top:38.4pt;width:46.5pt;height:25.5pt;z-index:47;mso-position-horizontal:absolute;mso-position-vertical:absolute;mso-wrap-distance-left:8.999863pt;mso-wrap-distance-right:8.999863pt;mso-wrap-style:square;">
                <v:stroke color="#000000"/>
                <v:textbox id="858" inset="2.54mm,1.27mm,2.54mm,1.27mm" o:insetmode="custom" style="layout-flow:horizontal;v-text-anchor:top;">
                  <w:txbxContent>
                    <w:p>
                      <w:pPr>
                        <w:rPr>
                          <w:rFonts w:eastAsia="宋体"/>
                          <w:color w:val="92D050"/>
                          <w:lang w:val="en-US" w:eastAsia="zh-CN"/>
                        </w:rPr>
                      </w:pPr>
                      <w:r>
                        <w:rPr>
                          <w:rFonts w:hint="eastAsia"/>
                          <w:color w:val="92D050"/>
                          <w:lang w:val="en-US" w:eastAsia="zh-CN"/>
                        </w:rPr>
                        <w:t>2.64%</w:t>
                      </w:r>
                    </w:p>
                  </w:txbxContent>
                </v:textbox>
              </v:rect>
            </w:pict>
          </mc:Fallback>
        </mc:AlternateContent>
      </w:r>
      <w:r>
        <w:rPr>
          <w:rFonts w:ascii="Times New Roman" w:cs="Times New Roman" w:hAnsi="Times New Roman"/>
          <w:sz w:val="32"/>
        </w:rPr>
        <mc:AlternateContent>
          <mc:Choice Requires="wps">
            <w:drawing>
              <wp:anchor distT="0" distB="0" distL="114298" distR="114298" simplePos="0" relativeHeight="49" behindDoc="0" locked="0" layoutInCell="1" hidden="0" allowOverlap="1">
                <wp:simplePos x="0" y="0"/>
                <wp:positionH relativeFrom="column">
                  <wp:posOffset>2399030</wp:posOffset>
                </wp:positionH>
                <wp:positionV relativeFrom="paragraph">
                  <wp:posOffset>1760220</wp:posOffset>
                </wp:positionV>
                <wp:extent cx="838199" cy="276860"/>
                <wp:effectExtent l="0" t="0" r="0" b="0"/>
                <wp:wrapNone/>
                <wp:docPr id="24" name="文本框"/>
                <wp:cNvGraphicFramePr>
                  <a:graphicFrameLocks noChangeAspect="0"/>
                </wp:cNvGraphicFramePr>
                <a:graphic>
                  <a:graphicData uri="http://schemas.microsoft.com/office/word/2010/wordprocessingShape">
                    <wps:wsp>
                      <wps:cNvSpPr/>
                      <wps:spPr>
                        <a:xfrm rot="0">
                          <a:off x="0" y="0"/>
                          <a:ext cx="838199" cy="276860"/>
                        </a:xfrm>
                        <a:prstGeom prst="rect"/>
                        <a:solidFill>
                          <a:srgbClr val="4F81BD"/>
                        </a:solidFill>
                        <a:ln w="9525" cmpd="sng" cap="flat">
                          <a:noFill/>
                          <a:prstDash val="solid"/>
                          <a:miter/>
                        </a:ln>
                      </wps:spPr>
                      <wps:txbx id="25">
                        <w:txbxContent>
                          <w:p>
                            <w:pPr>
                              <w:rPr>
                                <w:rFonts w:eastAsia="宋体"/>
                                <w:lang w:val="en-US" w:eastAsia="zh-CN"/>
                              </w:rPr>
                            </w:pPr>
                            <w:r>
                              <w:rPr>
                                <w:rFonts w:hint="eastAsia"/>
                                <w:lang w:val="en-US" w:eastAsia="zh-CN"/>
                              </w:rPr>
                              <w:t>83.58%</w:t>
                            </w:r>
                          </w:p>
                        </w:txbxContent>
                      </wps:txbx>
                      <wps:bodyPr vert="horz" wrap="square" lIns="91440" tIns="45720" rIns="91440" bIns="45720" anchor="t" anchorCtr="0" upright="1">
                        <a:noAutofit/>
                      </wps:bodyPr>
                    </wps:wsp>
                  </a:graphicData>
                </a:graphic>
              </wp:anchor>
            </w:drawing>
          </mc:Choice>
          <mc:Fallback>
            <w:pict>
              <v:rect type="#_x0000_t1" id="文本框 26" o:spid="_x0000_s26" fillcolor="#4F81BD" stroked="f" style="position:absolute;margin-left:188.9pt;margin-top:138.6pt;width:65.99999pt;height:21.8pt;z-index:49;mso-position-horizontal:absolute;mso-position-vertical:absolute;mso-wrap-distance-left:8.999863pt;mso-wrap-distance-right:8.999863pt;mso-wrap-style:square;">
                <v:stroke color="#000000"/>
                <v:textbox id="859" inset="2.54mm,1.27mm,2.54mm,1.27mm" o:insetmode="custom" style="layout-flow:horizontal;v-text-anchor:top;">
                  <w:txbxContent>
                    <w:p>
                      <w:pPr>
                        <w:rPr>
                          <w:rFonts w:eastAsia="宋体"/>
                          <w:lang w:val="en-US" w:eastAsia="zh-CN"/>
                        </w:rPr>
                      </w:pPr>
                      <w:r>
                        <w:rPr>
                          <w:rFonts w:hint="eastAsia"/>
                          <w:lang w:val="en-US" w:eastAsia="zh-CN"/>
                        </w:rPr>
                        <w:t>83.58%</w:t>
                      </w:r>
                    </w:p>
                  </w:txbxContent>
                </v:textbox>
              </v:rect>
            </w:pict>
          </mc:Fallback>
        </mc:AlternateContent>
      </w:r>
      <w:r>
        <w:rPr>
          <w:rFonts w:ascii="Times New Roman" w:cs="Times New Roman" w:hAnsi="Times New Roman"/>
          <w:sz w:val="32"/>
        </w:rPr>
        <mc:AlternateContent>
          <mc:Choice Requires="wps">
            <w:drawing>
              <wp:anchor distT="0" distB="0" distL="114298" distR="114298" simplePos="0" relativeHeight="51" behindDoc="0" locked="0" layoutInCell="1" hidden="0" allowOverlap="1">
                <wp:simplePos x="0" y="0"/>
                <wp:positionH relativeFrom="column">
                  <wp:posOffset>2265045</wp:posOffset>
                </wp:positionH>
                <wp:positionV relativeFrom="paragraph">
                  <wp:posOffset>401320</wp:posOffset>
                </wp:positionV>
                <wp:extent cx="572135" cy="361949"/>
                <wp:effectExtent l="0" t="0" r="0" b="0"/>
                <wp:wrapNone/>
                <wp:docPr id="27" name="文本框"/>
                <wp:cNvGraphicFramePr>
                  <a:graphicFrameLocks noChangeAspect="0"/>
                </wp:cNvGraphicFramePr>
                <a:graphic>
                  <a:graphicData uri="http://schemas.microsoft.com/office/word/2010/wordprocessingShape">
                    <wps:wsp>
                      <wps:cNvSpPr/>
                      <wps:spPr>
                        <a:xfrm rot="0">
                          <a:off x="0" y="0"/>
                          <a:ext cx="572135" cy="361949"/>
                        </a:xfrm>
                        <a:prstGeom prst="rect"/>
                        <a:noFill/>
                        <a:ln w="9525" cmpd="sng" cap="flat">
                          <a:noFill/>
                          <a:prstDash val="solid"/>
                          <a:miter/>
                        </a:ln>
                      </wps:spPr>
                      <wps:txbx id="28">
                        <w:txbxContent>
                          <w:p>
                            <w:pPr>
                              <w:rPr>
                                <w:rFonts w:eastAsia="宋体"/>
                                <w:color w:val="8064A2"/>
                                <w:sz w:val="22"/>
                                <w:szCs w:val="28"/>
                                <w:lang w:val="en-US" w:eastAsia="zh-CN"/>
                              </w:rPr>
                            </w:pPr>
                            <w:r>
                              <w:rPr>
                                <w:rFonts w:hint="eastAsia"/>
                                <w:color w:val="8064A2"/>
                                <w:sz w:val="20"/>
                                <w:szCs w:val="22"/>
                                <w:lang w:val="en-US" w:eastAsia="zh-CN"/>
                              </w:rPr>
                              <w:t>4.76%</w:t>
                            </w:r>
                          </w:p>
                        </w:txbxContent>
                      </wps:txbx>
                      <wps:bodyPr vert="horz" wrap="square" lIns="91440" tIns="45720" rIns="91440" bIns="45720" anchor="t" anchorCtr="0" upright="1">
                        <a:noAutofit/>
                      </wps:bodyPr>
                    </wps:wsp>
                  </a:graphicData>
                </a:graphic>
              </wp:anchor>
            </w:drawing>
          </mc:Choice>
          <mc:Fallback>
            <w:pict>
              <v:rect type="#_x0000_t1" id="文本框 29" o:spid="_x0000_s29" filled="f" stroked="f" style="position:absolute;margin-left:178.35pt;margin-top:31.6pt;width:45.05pt;height:28.499998pt;z-index:51;mso-position-horizontal:absolute;mso-position-vertical:absolute;mso-wrap-distance-left:8.999863pt;mso-wrap-distance-right:8.999863pt;mso-wrap-style:square;">
                <v:stroke color="#000000"/>
                <v:textbox id="860" inset="2.54mm,1.27mm,2.54mm,1.27mm" o:insetmode="custom" style="layout-flow:horizontal;v-text-anchor:top;">
                  <w:txbxContent>
                    <w:p>
                      <w:pPr>
                        <w:rPr>
                          <w:rFonts w:eastAsia="宋体"/>
                          <w:color w:val="8064A2"/>
                          <w:sz w:val="22"/>
                          <w:szCs w:val="28"/>
                          <w:lang w:val="en-US" w:eastAsia="zh-CN"/>
                        </w:rPr>
                      </w:pPr>
                      <w:r>
                        <w:rPr>
                          <w:rFonts w:hint="eastAsia"/>
                          <w:color w:val="8064A2"/>
                          <w:sz w:val="20"/>
                          <w:szCs w:val="22"/>
                          <w:lang w:val="en-US" w:eastAsia="zh-CN"/>
                        </w:rPr>
                        <w:t>4.76%</w:t>
                      </w:r>
                    </w:p>
                  </w:txbxContent>
                </v:textbox>
              </v:rect>
            </w:pict>
          </mc:Fallback>
        </mc:AlternateContent>
      </w:r>
      <w:r>
        <w:rPr>
          <w:rFonts w:ascii="Times New Roman" w:eastAsia="仿宋" w:cs="Times New Roman" w:hAnsi="Times New Roman"/>
          <w:color w:val="auto"/>
          <w:sz w:val="32"/>
          <w:szCs w:val="32"/>
          <w:lang w:eastAsia="zh-CN"/>
          <w:highlight w:val="auto"/>
        </w:rPr>
        <w:drawing>
          <wp:inline distT="0" distB="0" distL="114300" distR="114300">
            <wp:extent cx="5256530" cy="2988310"/>
            <wp:effectExtent l="0" t="0" r="0" b="0"/>
            <wp:docPr id="30" name="图表 3"/>
            <wp:cNvGraphicFramePr>
              <a:graphicFrameLocks noChangeAspect="0"/>
            </wp:cNvGraphicFramePr>
            <a:graphic>
              <a:graphicData uri="http://schemas.openxmlformats.org/drawingml/2006/chart">
                <c:chart xmlns:c="http://schemas.openxmlformats.org/drawingml/2006/chart" r:id="rId10"/>
              </a:graphicData>
            </a:graphic>
          </wp:inline>
        </w:drawing>
      </w:r>
    </w:p>
    <w:p>
      <w:pPr>
        <w:spacing w:line="600" w:lineRule="exact"/>
        <w:ind w:firstLineChars="200" w:firstLine="640"/>
        <w:outlineLvl w:val="2"/>
        <w:rPr>
          <w:rFonts w:ascii="楷体_GB2312" w:eastAsia="楷体_GB2312" w:cs="楷体_GB2312" w:hint="eastAsia"/>
          <w:b/>
          <w:sz w:val="32"/>
          <w:szCs w:val="32"/>
          <w:highlight w:val="auto"/>
        </w:rPr>
      </w:pPr>
      <w:bookmarkStart w:id="32" w:name="_Toc15377212"/>
      <w:r>
        <w:rPr>
          <w:rFonts w:ascii="楷体_GB2312" w:eastAsia="楷体_GB2312" w:cs="楷体_GB2312" w:hint="eastAsia"/>
          <w:b/>
          <w:sz w:val="32"/>
          <w:szCs w:val="32"/>
          <w:highlight w:val="auto"/>
        </w:rPr>
        <w:t>（三）一般公共预算财政拨款支出决算具体情况</w:t>
      </w:r>
      <w:bookmarkEnd w:id="32"/>
    </w:p>
    <w:p>
      <w:pPr>
        <w:keepNext w:val="0"/>
        <w:keepLines w:val="0"/>
        <w:pageBreakBefore w:val="0"/>
        <w:widowControl w:val="0"/>
        <w:kinsoku/>
        <w:wordWrap/>
        <w:overflowPunct/>
        <w:topLinePunct w:val="0"/>
        <w:autoSpaceDE/>
        <w:autoSpaceDN/>
        <w:bidi w:val="0"/>
        <w:adjustRightInd/>
        <w:snapToGrid/>
        <w:spacing w:line="600" w:lineRule="exact"/>
        <w:ind w:firstLineChars="200" w:firstLine="640"/>
        <w:textAlignment w:val="auto"/>
        <w:outlineLvl w:val="2"/>
        <w:rPr>
          <w:rFonts w:ascii="Times New Roman" w:eastAsia="仿宋_GB2312" w:cs="Times New Roman" w:hAnsi="Times New Roman"/>
          <w:color w:val="auto"/>
          <w:sz w:val="32"/>
          <w:szCs w:val="32"/>
          <w:highlight w:val="auto"/>
        </w:rPr>
      </w:pPr>
      <w:bookmarkStart w:id="33" w:name="_Toc15377444"/>
      <w:bookmarkStart w:id="34" w:name="_Toc15378460"/>
      <w:bookmarkStart w:id="35" w:name="_Toc15377213"/>
      <w:bookmarkStart w:id="36" w:name="_Toc15396608"/>
      <w:bookmarkStart w:id="37" w:name="_Toc15377214"/>
      <w:r>
        <w:rPr>
          <w:rFonts w:ascii="Times New Roman" w:eastAsia="仿宋_GB2312" w:cs="Times New Roman" w:hAnsi="Times New Roman"/>
          <w:b/>
          <w:color w:val="auto"/>
          <w:sz w:val="32"/>
          <w:szCs w:val="32"/>
          <w:highlight w:val="auto"/>
        </w:rPr>
        <w:t>20</w:t>
      </w:r>
      <w:r>
        <w:rPr>
          <w:rFonts w:ascii="Times New Roman" w:eastAsia="仿宋_GB2312" w:cs="Times New Roman" w:hAnsi="Times New Roman"/>
          <w:b/>
          <w:color w:val="auto"/>
          <w:sz w:val="32"/>
          <w:szCs w:val="32"/>
          <w:lang w:val="en-US" w:eastAsia="zh-CN"/>
          <w:highlight w:val="auto"/>
        </w:rPr>
        <w:t>22</w:t>
      </w:r>
      <w:r>
        <w:rPr>
          <w:rFonts w:ascii="Times New Roman" w:eastAsia="仿宋_GB2312" w:cs="Times New Roman" w:hAnsi="Times New Roman"/>
          <w:b/>
          <w:color w:val="auto"/>
          <w:sz w:val="32"/>
          <w:szCs w:val="32"/>
          <w:highlight w:val="auto"/>
        </w:rPr>
        <w:t>年</w:t>
      </w:r>
      <w:r>
        <w:rPr>
          <w:rFonts w:ascii="Times New Roman" w:eastAsia="仿宋_GB2312" w:cs="Times New Roman" w:hAnsi="Times New Roman"/>
          <w:b/>
          <w:color w:val="auto"/>
          <w:sz w:val="32"/>
          <w:szCs w:val="32"/>
          <w:lang w:eastAsia="zh-CN"/>
          <w:highlight w:val="auto"/>
        </w:rPr>
        <w:t>一</w:t>
      </w:r>
      <w:r>
        <w:rPr>
          <w:rFonts w:ascii="Times New Roman" w:eastAsia="仿宋_GB2312" w:cs="Times New Roman" w:hAnsi="Times New Roman"/>
          <w:b/>
          <w:color w:val="auto"/>
          <w:sz w:val="32"/>
          <w:szCs w:val="32"/>
          <w:highlight w:val="auto"/>
        </w:rPr>
        <w:t>般公共预算支出决算数为</w:t>
      </w:r>
      <w:r>
        <w:rPr>
          <w:rFonts w:ascii="Times New Roman" w:eastAsia="仿宋_GB2312" w:cs="Times New Roman" w:hAnsi="Times New Roman" w:hint="eastAsia"/>
          <w:b/>
          <w:color w:val="auto"/>
          <w:sz w:val="32"/>
          <w:szCs w:val="32"/>
          <w:lang w:val="en-US" w:eastAsia="zh-CN"/>
          <w:highlight w:val="auto"/>
        </w:rPr>
        <w:t>645.48</w:t>
      </w:r>
      <w:r>
        <w:rPr>
          <w:rFonts w:ascii="Times New Roman" w:eastAsia="仿宋_GB2312" w:cs="Times New Roman" w:hAnsi="Times New Roman"/>
          <w:color w:val="auto"/>
          <w:sz w:val="32"/>
          <w:szCs w:val="32"/>
          <w:highlight w:val="auto"/>
        </w:rPr>
        <w:t>，</w:t>
      </w:r>
      <w:r>
        <w:rPr>
          <w:rStyle w:val="25"/>
          <w:rFonts w:ascii="Times New Roman" w:eastAsia="仿宋_GB2312" w:cs="Times New Roman" w:hAnsi="Times New Roman"/>
          <w:bCs/>
          <w:color w:val="auto"/>
          <w:sz w:val="32"/>
          <w:szCs w:val="32"/>
          <w:highlight w:val="auto"/>
        </w:rPr>
        <w:t>完成预算</w:t>
      </w:r>
      <w:r>
        <w:rPr>
          <w:rStyle w:val="25"/>
          <w:rFonts w:ascii="Times New Roman" w:eastAsia="仿宋_GB2312" w:cs="Times New Roman" w:hAnsi="Times New Roman"/>
          <w:bCs/>
          <w:color w:val="auto"/>
          <w:sz w:val="32"/>
          <w:szCs w:val="32"/>
          <w:lang w:val="en-US" w:eastAsia="zh-CN"/>
          <w:highlight w:val="auto"/>
        </w:rPr>
        <w:t>100</w:t>
      </w:r>
      <w:r>
        <w:rPr>
          <w:rStyle w:val="25"/>
          <w:rFonts w:ascii="Times New Roman" w:eastAsia="仿宋_GB2312" w:cs="Times New Roman" w:hAnsi="Times New Roman"/>
          <w:bCs/>
          <w:color w:val="auto"/>
          <w:sz w:val="32"/>
          <w:szCs w:val="32"/>
          <w:highlight w:val="auto"/>
        </w:rPr>
        <w:t>%。其中：</w:t>
      </w:r>
      <w:bookmarkEnd w:id="33"/>
      <w:bookmarkEnd w:id="34"/>
      <w:bookmarkEnd w:id="35"/>
    </w:p>
    <w:p>
      <w:pPr>
        <w:keepNext w:val="0"/>
        <w:keepLines w:val="0"/>
        <w:pageBreakBefore w:val="0"/>
        <w:widowControl w:val="0"/>
        <w:kinsoku/>
        <w:wordWrap/>
        <w:overflowPunct/>
        <w:topLinePunct w:val="0"/>
        <w:autoSpaceDE/>
        <w:autoSpaceDN/>
        <w:bidi w:val="0"/>
        <w:adjustRightInd/>
        <w:snapToGrid/>
        <w:spacing w:line="600" w:lineRule="exact"/>
        <w:ind w:firstLineChars="200" w:firstLine="640"/>
        <w:textAlignment w:val="auto"/>
        <w:rPr>
          <w:highlight w:val="auto"/>
        </w:rPr>
      </w:pPr>
      <w:r>
        <w:rPr>
          <w:rStyle w:val="25"/>
          <w:rFonts w:ascii="Times New Roman" w:eastAsia="仿宋_GB2312" w:cs="Times New Roman" w:hAnsi="Times New Roman"/>
          <w:bCs/>
          <w:color w:val="auto"/>
          <w:sz w:val="32"/>
          <w:szCs w:val="32"/>
          <w:highlight w:val="auto"/>
        </w:rPr>
        <w:t>1.一般公共服务</w:t>
      </w:r>
      <w:r>
        <w:rPr>
          <w:rStyle w:val="25"/>
          <w:rFonts w:ascii="Times New Roman" w:eastAsia="仿宋_GB2312" w:cs="Times New Roman" w:hAnsi="Times New Roman"/>
          <w:bCs/>
          <w:color w:val="auto"/>
          <w:sz w:val="32"/>
          <w:szCs w:val="32"/>
          <w:lang w:val="en-US" w:eastAsia="zh-CN"/>
          <w:highlight w:val="auto"/>
        </w:rPr>
        <w:t>支出</w:t>
      </w:r>
      <w:r>
        <w:rPr>
          <w:rStyle w:val="25"/>
          <w:rFonts w:ascii="Times New Roman" w:eastAsia="仿宋_GB2312" w:cs="Times New Roman" w:hAnsi="Times New Roman"/>
          <w:bCs/>
          <w:color w:val="auto"/>
          <w:sz w:val="32"/>
          <w:szCs w:val="32"/>
          <w:highlight w:val="auto"/>
        </w:rPr>
        <w:t>（类）</w:t>
      </w:r>
      <w:r>
        <w:rPr>
          <w:rStyle w:val="25"/>
          <w:rFonts w:ascii="Times New Roman" w:eastAsia="仿宋_GB2312" w:cs="Times New Roman" w:hAnsi="Times New Roman"/>
          <w:bCs/>
          <w:color w:val="auto"/>
          <w:sz w:val="32"/>
          <w:szCs w:val="32"/>
          <w:lang w:val="en-US" w:eastAsia="zh-CN"/>
          <w:highlight w:val="auto"/>
        </w:rPr>
        <w:t>党委办公厅（室）及相关机构事务</w:t>
      </w:r>
      <w:r>
        <w:rPr>
          <w:rStyle w:val="25"/>
          <w:rFonts w:ascii="Times New Roman" w:eastAsia="仿宋_GB2312" w:cs="Times New Roman" w:hAnsi="Times New Roman"/>
          <w:bCs/>
          <w:color w:val="auto"/>
          <w:sz w:val="32"/>
          <w:szCs w:val="32"/>
          <w:highlight w:val="auto"/>
        </w:rPr>
        <w:t>（款）</w:t>
      </w:r>
      <w:r>
        <w:rPr>
          <w:rStyle w:val="25"/>
          <w:rFonts w:ascii="Times New Roman" w:eastAsia="仿宋_GB2312" w:cs="Times New Roman" w:hAnsi="Times New Roman"/>
          <w:bCs/>
          <w:color w:val="auto"/>
          <w:sz w:val="32"/>
          <w:szCs w:val="32"/>
          <w:lang w:val="en-US" w:eastAsia="zh-CN"/>
          <w:highlight w:val="auto"/>
        </w:rPr>
        <w:t>行政运行</w:t>
      </w:r>
      <w:r>
        <w:rPr>
          <w:rStyle w:val="25"/>
          <w:rFonts w:ascii="Times New Roman" w:eastAsia="仿宋_GB2312" w:cs="Times New Roman" w:hAnsi="Times New Roman"/>
          <w:bCs/>
          <w:color w:val="auto"/>
          <w:sz w:val="32"/>
          <w:szCs w:val="32"/>
          <w:highlight w:val="auto"/>
        </w:rPr>
        <w:t>（项）:</w:t>
      </w:r>
      <w:r>
        <w:rPr>
          <w:rStyle w:val="25"/>
          <w:rFonts w:ascii="Times New Roman" w:eastAsia="仿宋_GB2312" w:cs="Times New Roman" w:hAnsi="Times New Roman"/>
          <w:bCs/>
          <w:color w:val="auto"/>
          <w:sz w:val="32"/>
          <w:szCs w:val="32"/>
          <w:lang w:val="en-US" w:eastAsia="zh-CN"/>
          <w:highlight w:val="auto"/>
        </w:rPr>
        <w:t xml:space="preserve"> </w:t>
      </w:r>
      <w:r>
        <w:rPr>
          <w:rStyle w:val="25"/>
          <w:rFonts w:ascii="Times New Roman" w:eastAsia="仿宋_GB2312" w:cs="Times New Roman" w:hAnsi="Times New Roman"/>
          <w:b w:val="0"/>
          <w:bCs/>
          <w:color w:val="auto"/>
          <w:sz w:val="32"/>
          <w:szCs w:val="32"/>
          <w:highlight w:val="auto"/>
        </w:rPr>
        <w:t>支出决算为</w:t>
      </w:r>
      <w:r>
        <w:rPr>
          <w:rStyle w:val="25"/>
          <w:rFonts w:ascii="Times New Roman" w:eastAsia="仿宋_GB2312" w:cs="Times New Roman" w:hAnsi="Times New Roman"/>
          <w:b w:val="0"/>
          <w:bCs/>
          <w:color w:val="auto"/>
          <w:sz w:val="32"/>
          <w:szCs w:val="32"/>
          <w:lang w:val="en-US" w:eastAsia="zh-CN"/>
          <w:highlight w:val="auto"/>
        </w:rPr>
        <w:t>407.66</w:t>
      </w:r>
      <w:r>
        <w:rPr>
          <w:rStyle w:val="25"/>
          <w:rFonts w:ascii="Times New Roman" w:eastAsia="仿宋_GB2312" w:cs="Times New Roman" w:hAnsi="Times New Roman"/>
          <w:b w:val="0"/>
          <w:bCs/>
          <w:color w:val="auto"/>
          <w:sz w:val="32"/>
          <w:szCs w:val="32"/>
          <w:highlight w:val="auto"/>
        </w:rPr>
        <w:t>万元，完成预算</w:t>
      </w:r>
      <w:r>
        <w:rPr>
          <w:rStyle w:val="25"/>
          <w:rFonts w:ascii="Times New Roman" w:eastAsia="仿宋_GB2312" w:cs="Times New Roman" w:hAnsi="Times New Roman"/>
          <w:b w:val="0"/>
          <w:bCs/>
          <w:color w:val="auto"/>
          <w:sz w:val="32"/>
          <w:szCs w:val="32"/>
          <w:lang w:val="en-US" w:eastAsia="zh-CN"/>
          <w:highlight w:val="auto"/>
        </w:rPr>
        <w:t>100</w:t>
      </w:r>
      <w:r>
        <w:rPr>
          <w:rStyle w:val="25"/>
          <w:rFonts w:ascii="Times New Roman" w:eastAsia="仿宋_GB2312" w:cs="Times New Roman" w:hAnsi="Times New Roman"/>
          <w:b w:val="0"/>
          <w:bCs/>
          <w:color w:val="auto"/>
          <w:sz w:val="32"/>
          <w:szCs w:val="32"/>
          <w:highlight w:val="auto"/>
        </w:rPr>
        <w:t>%。</w:t>
      </w:r>
      <w:r>
        <w:rPr>
          <w:rStyle w:val="25"/>
          <w:rFonts w:ascii="Times New Roman" w:eastAsia="仿宋_GB2312" w:cs="Times New Roman" w:hAnsi="Times New Roman"/>
          <w:bCs/>
          <w:color w:val="auto"/>
          <w:sz w:val="32"/>
          <w:szCs w:val="32"/>
          <w:highlight w:val="auto"/>
        </w:rPr>
        <w:t>一般公共服务</w:t>
      </w:r>
      <w:r>
        <w:rPr>
          <w:rStyle w:val="25"/>
          <w:rFonts w:ascii="Times New Roman" w:eastAsia="仿宋_GB2312" w:cs="Times New Roman" w:hAnsi="Times New Roman"/>
          <w:bCs/>
          <w:color w:val="auto"/>
          <w:sz w:val="32"/>
          <w:szCs w:val="32"/>
          <w:lang w:val="en-US" w:eastAsia="zh-CN"/>
          <w:highlight w:val="auto"/>
        </w:rPr>
        <w:t>支出</w:t>
      </w:r>
      <w:r>
        <w:rPr>
          <w:rStyle w:val="25"/>
          <w:rFonts w:ascii="Times New Roman" w:eastAsia="仿宋_GB2312" w:cs="Times New Roman" w:hAnsi="Times New Roman"/>
          <w:bCs/>
          <w:color w:val="auto"/>
          <w:sz w:val="32"/>
          <w:szCs w:val="32"/>
          <w:highlight w:val="auto"/>
        </w:rPr>
        <w:t>（类）</w:t>
      </w:r>
      <w:r>
        <w:rPr>
          <w:rStyle w:val="25"/>
          <w:rFonts w:ascii="Times New Roman" w:eastAsia="仿宋_GB2312" w:cs="Times New Roman" w:hAnsi="Times New Roman"/>
          <w:bCs/>
          <w:color w:val="auto"/>
          <w:sz w:val="32"/>
          <w:szCs w:val="32"/>
          <w:lang w:val="en-US" w:eastAsia="zh-CN"/>
          <w:highlight w:val="auto"/>
        </w:rPr>
        <w:t>党委办公厅（室）及相关机构事务</w:t>
      </w:r>
      <w:r>
        <w:rPr>
          <w:rStyle w:val="25"/>
          <w:rFonts w:ascii="Times New Roman" w:eastAsia="仿宋_GB2312" w:cs="Times New Roman" w:hAnsi="Times New Roman"/>
          <w:bCs/>
          <w:color w:val="auto"/>
          <w:sz w:val="32"/>
          <w:szCs w:val="32"/>
          <w:highlight w:val="auto"/>
        </w:rPr>
        <w:t>（款）</w:t>
      </w:r>
      <w:r>
        <w:rPr>
          <w:rStyle w:val="25"/>
          <w:rFonts w:ascii="Times New Roman" w:cs="Times New Roman" w:hAnsi="Times New Roman" w:hint="eastAsia"/>
          <w:bCs/>
          <w:color w:val="auto"/>
          <w:sz w:val="32"/>
          <w:szCs w:val="32"/>
          <w:lang w:val="en-US" w:eastAsia="zh-CN"/>
          <w:highlight w:val="auto"/>
        </w:rPr>
        <w:t>事业</w:t>
      </w:r>
      <w:r>
        <w:rPr>
          <w:rStyle w:val="25"/>
          <w:rFonts w:ascii="Times New Roman" w:eastAsia="仿宋_GB2312" w:cs="Times New Roman" w:hAnsi="Times New Roman"/>
          <w:bCs/>
          <w:color w:val="auto"/>
          <w:sz w:val="32"/>
          <w:szCs w:val="32"/>
          <w:lang w:val="en-US" w:eastAsia="zh-CN"/>
          <w:highlight w:val="auto"/>
        </w:rPr>
        <w:t>运行</w:t>
      </w:r>
      <w:r>
        <w:rPr>
          <w:rStyle w:val="25"/>
          <w:rFonts w:ascii="Times New Roman" w:eastAsia="仿宋_GB2312" w:cs="Times New Roman" w:hAnsi="Times New Roman"/>
          <w:bCs/>
          <w:color w:val="auto"/>
          <w:sz w:val="32"/>
          <w:szCs w:val="32"/>
          <w:highlight w:val="auto"/>
        </w:rPr>
        <w:t>（项）:</w:t>
      </w:r>
      <w:r>
        <w:rPr>
          <w:rStyle w:val="25"/>
          <w:rFonts w:ascii="Times New Roman" w:eastAsia="仿宋_GB2312" w:cs="Times New Roman" w:hAnsi="Times New Roman"/>
          <w:bCs/>
          <w:color w:val="auto"/>
          <w:sz w:val="32"/>
          <w:szCs w:val="32"/>
          <w:lang w:val="en-US" w:eastAsia="zh-CN"/>
          <w:highlight w:val="auto"/>
        </w:rPr>
        <w:t xml:space="preserve"> </w:t>
      </w:r>
      <w:r>
        <w:rPr>
          <w:rStyle w:val="25"/>
          <w:rFonts w:ascii="Times New Roman" w:eastAsia="仿宋_GB2312" w:cs="Times New Roman" w:hAnsi="Times New Roman"/>
          <w:b w:val="0"/>
          <w:bCs/>
          <w:color w:val="auto"/>
          <w:sz w:val="32"/>
          <w:szCs w:val="32"/>
          <w:highlight w:val="auto"/>
        </w:rPr>
        <w:t>支出决算为</w:t>
      </w:r>
      <w:r>
        <w:rPr>
          <w:rStyle w:val="25"/>
          <w:rFonts w:ascii="Times New Roman" w:cs="Times New Roman" w:hAnsi="Times New Roman" w:hint="eastAsia"/>
          <w:b w:val="0"/>
          <w:bCs/>
          <w:color w:val="auto"/>
          <w:sz w:val="32"/>
          <w:szCs w:val="32"/>
          <w:lang w:val="en-US" w:eastAsia="zh-CN"/>
          <w:highlight w:val="auto"/>
        </w:rPr>
        <w:t>131.8</w:t>
      </w:r>
      <w:r>
        <w:rPr>
          <w:rStyle w:val="25"/>
          <w:rFonts w:ascii="Times New Roman" w:eastAsia="仿宋_GB2312" w:cs="Times New Roman" w:hAnsi="Times New Roman"/>
          <w:b w:val="0"/>
          <w:bCs/>
          <w:color w:val="auto"/>
          <w:sz w:val="32"/>
          <w:szCs w:val="32"/>
          <w:highlight w:val="auto"/>
        </w:rPr>
        <w:t>万元，完成预算</w:t>
      </w:r>
      <w:r>
        <w:rPr>
          <w:rStyle w:val="25"/>
          <w:rFonts w:ascii="Times New Roman" w:eastAsia="仿宋_GB2312" w:cs="Times New Roman" w:hAnsi="Times New Roman"/>
          <w:b w:val="0"/>
          <w:bCs/>
          <w:color w:val="auto"/>
          <w:sz w:val="32"/>
          <w:szCs w:val="32"/>
          <w:lang w:val="en-US" w:eastAsia="zh-CN"/>
          <w:highlight w:val="auto"/>
        </w:rPr>
        <w:t>100</w:t>
      </w:r>
      <w:r>
        <w:rPr>
          <w:rStyle w:val="25"/>
          <w:rFonts w:ascii="Times New Roman" w:eastAsia="仿宋_GB2312" w:cs="Times New Roman" w:hAnsi="Times New Roman"/>
          <w:b w:val="0"/>
          <w:bCs/>
          <w:color w:val="auto"/>
          <w:sz w:val="32"/>
          <w:szCs w:val="32"/>
          <w:highlight w:val="auto"/>
        </w:rPr>
        <w:t>%。</w:t>
      </w:r>
    </w:p>
    <w:p>
      <w:pPr>
        <w:keepNext w:val="0"/>
        <w:keepLines w:val="0"/>
        <w:pageBreakBefore w:val="0"/>
        <w:widowControl w:val="0"/>
        <w:kinsoku/>
        <w:wordWrap/>
        <w:overflowPunct/>
        <w:topLinePunct w:val="0"/>
        <w:autoSpaceDE/>
        <w:autoSpaceDN/>
        <w:bidi w:val="0"/>
        <w:adjustRightInd/>
        <w:snapToGrid/>
        <w:spacing w:line="600" w:lineRule="exact"/>
        <w:ind w:firstLineChars="200" w:firstLine="640"/>
        <w:textAlignment w:val="auto"/>
        <w:rPr>
          <w:rFonts w:ascii="Times New Roman" w:eastAsia="仿宋_GB2312" w:cs="Times New Roman" w:hAnsi="Times New Roman"/>
          <w:b/>
          <w:color w:val="auto"/>
          <w:sz w:val="32"/>
          <w:szCs w:val="32"/>
          <w:highlight w:val="auto"/>
        </w:rPr>
      </w:pPr>
      <w:r>
        <w:rPr>
          <w:rStyle w:val="25"/>
          <w:rFonts w:ascii="Times New Roman" w:eastAsia="仿宋_GB2312" w:cs="Times New Roman" w:hAnsi="Times New Roman" w:hint="eastAsia"/>
          <w:bCs/>
          <w:color w:val="auto"/>
          <w:sz w:val="32"/>
          <w:szCs w:val="32"/>
          <w:lang w:val="en-US" w:eastAsia="zh-CN"/>
          <w:highlight w:val="auto"/>
        </w:rPr>
        <w:t>2</w:t>
      </w:r>
      <w:r>
        <w:rPr>
          <w:rStyle w:val="25"/>
          <w:rFonts w:ascii="Times New Roman" w:eastAsia="仿宋_GB2312" w:cs="Times New Roman" w:hAnsi="Times New Roman"/>
          <w:bCs/>
          <w:color w:val="auto"/>
          <w:sz w:val="32"/>
          <w:szCs w:val="32"/>
          <w:highlight w:val="auto"/>
        </w:rPr>
        <w:t>.</w:t>
      </w:r>
      <w:r>
        <w:rPr>
          <w:rStyle w:val="25"/>
          <w:rFonts w:eastAsia="仿宋_GB2312"/>
          <w:bCs/>
          <w:sz w:val="32"/>
          <w:szCs w:val="32"/>
          <w:highlight w:val="auto"/>
        </w:rPr>
        <w:t>社会保障和就业</w:t>
      </w:r>
      <w:r>
        <w:rPr>
          <w:rStyle w:val="25"/>
          <w:rFonts w:eastAsia="仿宋_GB2312"/>
          <w:bCs/>
          <w:sz w:val="32"/>
          <w:szCs w:val="32"/>
          <w:lang w:val="en-US" w:eastAsia="zh-CN"/>
          <w:highlight w:val="auto"/>
        </w:rPr>
        <w:t>支出</w:t>
      </w:r>
      <w:r>
        <w:rPr>
          <w:rStyle w:val="25"/>
          <w:rFonts w:eastAsia="仿宋_GB2312"/>
          <w:bCs/>
          <w:sz w:val="32"/>
          <w:szCs w:val="32"/>
          <w:highlight w:val="auto"/>
        </w:rPr>
        <w:t>（类）</w:t>
      </w:r>
      <w:r>
        <w:rPr>
          <w:rStyle w:val="25"/>
          <w:rFonts w:eastAsia="仿宋_GB2312"/>
          <w:bCs/>
          <w:sz w:val="32"/>
          <w:szCs w:val="32"/>
          <w:lang w:val="en-US" w:eastAsia="zh-CN"/>
          <w:highlight w:val="auto"/>
        </w:rPr>
        <w:t>行政事业单位养老支出</w:t>
      </w:r>
      <w:r>
        <w:rPr>
          <w:rStyle w:val="25"/>
          <w:rFonts w:eastAsia="仿宋_GB2312"/>
          <w:bCs/>
          <w:sz w:val="32"/>
          <w:szCs w:val="32"/>
          <w:highlight w:val="auto"/>
        </w:rPr>
        <w:t>（款）</w:t>
      </w:r>
      <w:r>
        <w:rPr>
          <w:rStyle w:val="25"/>
          <w:rFonts w:ascii="Times New Roman" w:eastAsia="仿宋_GB2312" w:cs="Times New Roman" w:hAnsi="Times New Roman"/>
          <w:bCs/>
          <w:color w:val="auto"/>
          <w:sz w:val="32"/>
          <w:szCs w:val="32"/>
          <w:lang w:val="en-US" w:eastAsia="zh-CN"/>
          <w:highlight w:val="auto"/>
        </w:rPr>
        <w:t>机关事业单位基本养老保险缴费支出</w:t>
      </w:r>
      <w:r>
        <w:rPr>
          <w:rStyle w:val="25"/>
          <w:rFonts w:ascii="Times New Roman" w:eastAsia="仿宋_GB2312" w:cs="Times New Roman" w:hAnsi="Times New Roman"/>
          <w:bCs/>
          <w:color w:val="auto"/>
          <w:sz w:val="32"/>
          <w:szCs w:val="32"/>
          <w:highlight w:val="auto"/>
        </w:rPr>
        <w:t>（项）:</w:t>
      </w:r>
      <w:r>
        <w:rPr>
          <w:rStyle w:val="25"/>
          <w:rFonts w:ascii="Times New Roman" w:eastAsia="仿宋_GB2312" w:cs="Times New Roman" w:hAnsi="Times New Roman"/>
          <w:b w:val="0"/>
          <w:bCs/>
          <w:color w:val="auto"/>
          <w:sz w:val="32"/>
          <w:szCs w:val="32"/>
          <w:highlight w:val="auto"/>
        </w:rPr>
        <w:t xml:space="preserve"> 支出决算为</w:t>
      </w:r>
      <w:r>
        <w:rPr>
          <w:rStyle w:val="25"/>
          <w:rFonts w:ascii="Times New Roman" w:eastAsia="仿宋_GB2312" w:cs="Times New Roman" w:hAnsi="Times New Roman" w:hint="eastAsia"/>
          <w:b w:val="0"/>
          <w:bCs/>
          <w:color w:val="auto"/>
          <w:sz w:val="32"/>
          <w:szCs w:val="32"/>
          <w:lang w:val="en-US" w:eastAsia="zh-CN"/>
          <w:highlight w:val="auto"/>
        </w:rPr>
        <w:t>39.91</w:t>
      </w:r>
      <w:r>
        <w:rPr>
          <w:rStyle w:val="25"/>
          <w:rFonts w:ascii="Times New Roman" w:eastAsia="仿宋_GB2312" w:cs="Times New Roman" w:hAnsi="Times New Roman"/>
          <w:b w:val="0"/>
          <w:bCs/>
          <w:color w:val="auto"/>
          <w:sz w:val="32"/>
          <w:szCs w:val="32"/>
          <w:highlight w:val="auto"/>
        </w:rPr>
        <w:t>万元，完成预算</w:t>
      </w:r>
      <w:r>
        <w:rPr>
          <w:rStyle w:val="25"/>
          <w:rFonts w:ascii="Times New Roman" w:eastAsia="仿宋_GB2312" w:cs="Times New Roman" w:hAnsi="Times New Roman"/>
          <w:b w:val="0"/>
          <w:bCs/>
          <w:color w:val="auto"/>
          <w:sz w:val="32"/>
          <w:szCs w:val="32"/>
          <w:lang w:val="en-US" w:eastAsia="zh-CN"/>
          <w:highlight w:val="auto"/>
        </w:rPr>
        <w:t>100</w:t>
      </w:r>
      <w:r>
        <w:rPr>
          <w:rStyle w:val="25"/>
          <w:rFonts w:ascii="Times New Roman" w:eastAsia="仿宋_GB2312" w:cs="Times New Roman" w:hAnsi="Times New Roman"/>
          <w:b w:val="0"/>
          <w:bCs/>
          <w:color w:val="auto"/>
          <w:sz w:val="32"/>
          <w:szCs w:val="32"/>
          <w:highlight w:val="auto"/>
        </w:rPr>
        <w:t>%。</w:t>
      </w:r>
      <w:r>
        <w:rPr>
          <w:rStyle w:val="25"/>
          <w:rFonts w:ascii="Times New Roman" w:eastAsia="仿宋_GB2312" w:cs="Times New Roman" w:hAnsi="Times New Roman"/>
          <w:bCs/>
          <w:color w:val="auto"/>
          <w:sz w:val="32"/>
          <w:szCs w:val="32"/>
          <w:highlight w:val="auto"/>
        </w:rPr>
        <w:t>社会保障和就业</w:t>
      </w:r>
      <w:r>
        <w:rPr>
          <w:rStyle w:val="25"/>
          <w:rFonts w:ascii="Times New Roman" w:eastAsia="仿宋_GB2312" w:cs="Times New Roman" w:hAnsi="Times New Roman"/>
          <w:bCs/>
          <w:color w:val="auto"/>
          <w:sz w:val="32"/>
          <w:szCs w:val="32"/>
          <w:lang w:val="en-US" w:eastAsia="zh-CN"/>
          <w:highlight w:val="auto"/>
        </w:rPr>
        <w:t>支出</w:t>
      </w:r>
      <w:r>
        <w:rPr>
          <w:rStyle w:val="25"/>
          <w:rFonts w:ascii="Times New Roman" w:eastAsia="仿宋_GB2312" w:cs="Times New Roman" w:hAnsi="Times New Roman"/>
          <w:bCs/>
          <w:color w:val="auto"/>
          <w:sz w:val="32"/>
          <w:szCs w:val="32"/>
          <w:highlight w:val="auto"/>
        </w:rPr>
        <w:t>（类）</w:t>
      </w:r>
      <w:r>
        <w:rPr>
          <w:rStyle w:val="25"/>
          <w:rFonts w:ascii="Times New Roman" w:eastAsia="仿宋_GB2312" w:cs="Times New Roman" w:hAnsi="Times New Roman"/>
          <w:bCs/>
          <w:color w:val="auto"/>
          <w:sz w:val="32"/>
          <w:szCs w:val="32"/>
          <w:lang w:val="en-US" w:eastAsia="zh-CN"/>
          <w:highlight w:val="auto"/>
        </w:rPr>
        <w:t>行政事业单位养老支出</w:t>
      </w:r>
      <w:r>
        <w:rPr>
          <w:rStyle w:val="25"/>
          <w:rFonts w:ascii="Times New Roman" w:eastAsia="仿宋_GB2312" w:cs="Times New Roman" w:hAnsi="Times New Roman"/>
          <w:bCs/>
          <w:color w:val="auto"/>
          <w:sz w:val="32"/>
          <w:szCs w:val="32"/>
          <w:highlight w:val="auto"/>
        </w:rPr>
        <w:t>（款）</w:t>
      </w:r>
      <w:r>
        <w:rPr>
          <w:rStyle w:val="25"/>
          <w:rFonts w:ascii="Times New Roman" w:eastAsia="仿宋_GB2312" w:cs="Times New Roman" w:hAnsi="Times New Roman"/>
          <w:bCs/>
          <w:color w:val="auto"/>
          <w:sz w:val="32"/>
          <w:szCs w:val="32"/>
          <w:lang w:val="en-US" w:eastAsia="zh-CN"/>
          <w:highlight w:val="auto"/>
        </w:rPr>
        <w:t>机关事业单位职业年金缴费支出</w:t>
      </w:r>
      <w:r>
        <w:rPr>
          <w:rStyle w:val="25"/>
          <w:rFonts w:ascii="Times New Roman" w:eastAsia="仿宋_GB2312" w:cs="Times New Roman" w:hAnsi="Times New Roman"/>
          <w:bCs/>
          <w:color w:val="auto"/>
          <w:sz w:val="32"/>
          <w:szCs w:val="32"/>
          <w:highlight w:val="auto"/>
        </w:rPr>
        <w:t>（项）:</w:t>
      </w:r>
      <w:r>
        <w:rPr>
          <w:rStyle w:val="25"/>
          <w:rFonts w:ascii="Times New Roman" w:eastAsia="仿宋_GB2312" w:cs="Times New Roman" w:hAnsi="Times New Roman"/>
          <w:b w:val="0"/>
          <w:bCs/>
          <w:color w:val="auto"/>
          <w:sz w:val="32"/>
          <w:szCs w:val="32"/>
          <w:highlight w:val="auto"/>
        </w:rPr>
        <w:t xml:space="preserve"> 支出决算为</w:t>
      </w:r>
      <w:r>
        <w:rPr>
          <w:rStyle w:val="25"/>
          <w:rFonts w:ascii="Times New Roman" w:eastAsia="仿宋_GB2312" w:cs="Times New Roman" w:hAnsi="Times New Roman" w:hint="eastAsia"/>
          <w:b w:val="0"/>
          <w:bCs/>
          <w:color w:val="auto"/>
          <w:sz w:val="32"/>
          <w:szCs w:val="32"/>
          <w:lang w:val="en-US" w:eastAsia="zh-CN"/>
          <w:highlight w:val="auto"/>
        </w:rPr>
        <w:t>18.31</w:t>
      </w:r>
      <w:r>
        <w:rPr>
          <w:rStyle w:val="25"/>
          <w:rFonts w:ascii="Times New Roman" w:eastAsia="仿宋_GB2312" w:cs="Times New Roman" w:hAnsi="Times New Roman"/>
          <w:b w:val="0"/>
          <w:bCs/>
          <w:color w:val="auto"/>
          <w:sz w:val="32"/>
          <w:szCs w:val="32"/>
          <w:highlight w:val="auto"/>
        </w:rPr>
        <w:t>万元，完成预算</w:t>
      </w:r>
      <w:r>
        <w:rPr>
          <w:rStyle w:val="25"/>
          <w:rFonts w:ascii="Times New Roman" w:eastAsia="仿宋_GB2312" w:cs="Times New Roman" w:hAnsi="Times New Roman"/>
          <w:b w:val="0"/>
          <w:bCs/>
          <w:color w:val="auto"/>
          <w:sz w:val="32"/>
          <w:szCs w:val="32"/>
          <w:lang w:val="en-US" w:eastAsia="zh-CN"/>
          <w:highlight w:val="auto"/>
        </w:rPr>
        <w:t>100</w:t>
      </w:r>
      <w:r>
        <w:rPr>
          <w:rStyle w:val="25"/>
          <w:rFonts w:ascii="Times New Roman" w:eastAsia="仿宋_GB2312" w:cs="Times New Roman" w:hAnsi="Times New Roman"/>
          <w:b w:val="0"/>
          <w:bCs/>
          <w:color w:val="auto"/>
          <w:sz w:val="32"/>
          <w:szCs w:val="32"/>
          <w:highlight w:val="auto"/>
        </w:rPr>
        <w:t>%。</w:t>
      </w:r>
    </w:p>
    <w:p>
      <w:pPr>
        <w:tabs>
          <w:tab w:val="right" w:pos="8306"/>
        </w:tabs>
        <w:spacing w:line="600" w:lineRule="exact"/>
        <w:ind w:firstLine="640"/>
        <w:outlineLvl w:val="1"/>
        <w:rPr>
          <w:rStyle w:val="25"/>
          <w:rFonts w:ascii="Times New Roman" w:eastAsia="仿宋_GB2312" w:cs="Times New Roman" w:hAnsi="Times New Roman"/>
          <w:b w:val="0"/>
          <w:bCs/>
          <w:color w:val="auto"/>
          <w:sz w:val="32"/>
          <w:szCs w:val="32"/>
          <w:highlight w:val="auto"/>
        </w:rPr>
      </w:pPr>
      <w:r>
        <w:rPr>
          <w:rStyle w:val="25"/>
          <w:rFonts w:ascii="Times New Roman" w:eastAsia="仿宋_GB2312" w:cs="Times New Roman" w:hAnsi="Times New Roman"/>
          <w:bCs/>
          <w:color w:val="auto"/>
          <w:sz w:val="32"/>
          <w:szCs w:val="32"/>
          <w:lang w:val="en-US" w:eastAsia="zh-CN"/>
          <w:highlight w:val="auto"/>
        </w:rPr>
        <w:t>3</w:t>
      </w:r>
      <w:r>
        <w:rPr>
          <w:rStyle w:val="25"/>
          <w:rFonts w:ascii="Times New Roman" w:eastAsia="仿宋_GB2312" w:cs="Times New Roman" w:hAnsi="Times New Roman"/>
          <w:bCs/>
          <w:color w:val="auto"/>
          <w:sz w:val="32"/>
          <w:szCs w:val="32"/>
          <w:highlight w:val="auto"/>
        </w:rPr>
        <w:t>.</w:t>
      </w:r>
      <w:r>
        <w:rPr>
          <w:rFonts w:ascii="Times New Roman" w:eastAsia="仿宋_GB2312" w:cs="Times New Roman" w:hAnsi="Times New Roman"/>
          <w:b/>
          <w:bCs/>
          <w:color w:val="auto"/>
          <w:sz w:val="32"/>
          <w:szCs w:val="32"/>
          <w:highlight w:val="auto"/>
        </w:rPr>
        <w:t>卫生健康</w:t>
      </w:r>
      <w:r>
        <w:rPr>
          <w:rFonts w:ascii="Times New Roman" w:eastAsia="仿宋_GB2312" w:cs="Times New Roman" w:hAnsi="Times New Roman"/>
          <w:b/>
          <w:bCs/>
          <w:color w:val="auto"/>
          <w:sz w:val="32"/>
          <w:szCs w:val="32"/>
          <w:lang w:val="en-US" w:eastAsia="zh-CN"/>
          <w:highlight w:val="auto"/>
        </w:rPr>
        <w:t>支出</w:t>
      </w:r>
      <w:r>
        <w:rPr>
          <w:rStyle w:val="25"/>
          <w:rFonts w:ascii="Times New Roman" w:eastAsia="仿宋_GB2312" w:cs="Times New Roman" w:hAnsi="Times New Roman"/>
          <w:bCs/>
          <w:color w:val="auto"/>
          <w:sz w:val="32"/>
          <w:szCs w:val="32"/>
          <w:highlight w:val="auto"/>
        </w:rPr>
        <w:t>（类）</w:t>
      </w:r>
      <w:r>
        <w:rPr>
          <w:rStyle w:val="25"/>
          <w:rFonts w:ascii="Times New Roman" w:eastAsia="仿宋_GB2312" w:cs="Times New Roman" w:hAnsi="Times New Roman"/>
          <w:bCs/>
          <w:color w:val="auto"/>
          <w:sz w:val="32"/>
          <w:szCs w:val="32"/>
          <w:lang w:val="en-US" w:eastAsia="zh-CN"/>
          <w:highlight w:val="auto"/>
        </w:rPr>
        <w:t>行政事业单位医疗</w:t>
      </w:r>
      <w:r>
        <w:rPr>
          <w:rStyle w:val="25"/>
          <w:rFonts w:ascii="Times New Roman" w:eastAsia="仿宋_GB2312" w:cs="Times New Roman" w:hAnsi="Times New Roman"/>
          <w:bCs/>
          <w:color w:val="auto"/>
          <w:sz w:val="32"/>
          <w:szCs w:val="32"/>
          <w:highlight w:val="auto"/>
        </w:rPr>
        <w:t>（款）</w:t>
      </w:r>
      <w:r>
        <w:rPr>
          <w:rStyle w:val="25"/>
          <w:rFonts w:ascii="Times New Roman" w:eastAsia="仿宋_GB2312" w:cs="Times New Roman" w:hAnsi="Times New Roman"/>
          <w:bCs/>
          <w:color w:val="auto"/>
          <w:sz w:val="32"/>
          <w:szCs w:val="32"/>
          <w:lang w:val="en-US" w:eastAsia="zh-CN"/>
          <w:highlight w:val="auto"/>
        </w:rPr>
        <w:t>行政单位医疗</w:t>
      </w:r>
      <w:r>
        <w:rPr>
          <w:rStyle w:val="25"/>
          <w:rFonts w:ascii="Times New Roman" w:eastAsia="仿宋_GB2312" w:cs="Times New Roman" w:hAnsi="Times New Roman"/>
          <w:bCs/>
          <w:color w:val="auto"/>
          <w:sz w:val="32"/>
          <w:szCs w:val="32"/>
          <w:highlight w:val="auto"/>
        </w:rPr>
        <w:t>（项）:</w:t>
      </w:r>
      <w:r>
        <w:rPr>
          <w:rStyle w:val="25"/>
          <w:rFonts w:ascii="Times New Roman" w:eastAsia="仿宋_GB2312" w:cs="Times New Roman" w:hAnsi="Times New Roman"/>
          <w:b w:val="0"/>
          <w:bCs/>
          <w:color w:val="auto"/>
          <w:sz w:val="32"/>
          <w:szCs w:val="32"/>
          <w:highlight w:val="auto"/>
        </w:rPr>
        <w:t>支出决算为</w:t>
      </w:r>
      <w:r>
        <w:rPr>
          <w:rStyle w:val="25"/>
          <w:rFonts w:ascii="Times New Roman" w:eastAsia="仿宋_GB2312" w:cs="Times New Roman" w:hAnsi="Times New Roman"/>
          <w:b w:val="0"/>
          <w:bCs/>
          <w:color w:val="auto"/>
          <w:sz w:val="32"/>
          <w:szCs w:val="32"/>
          <w:lang w:val="en-US" w:eastAsia="zh-CN"/>
          <w:highlight w:val="auto"/>
        </w:rPr>
        <w:t>11.73</w:t>
      </w:r>
      <w:r>
        <w:rPr>
          <w:rStyle w:val="25"/>
          <w:rFonts w:ascii="Times New Roman" w:eastAsia="仿宋_GB2312" w:cs="Times New Roman" w:hAnsi="Times New Roman"/>
          <w:b w:val="0"/>
          <w:bCs/>
          <w:color w:val="auto"/>
          <w:sz w:val="32"/>
          <w:szCs w:val="32"/>
          <w:highlight w:val="auto"/>
        </w:rPr>
        <w:t>万元，完成预算</w:t>
      </w:r>
      <w:r>
        <w:rPr>
          <w:rStyle w:val="25"/>
          <w:rFonts w:ascii="Times New Roman" w:eastAsia="仿宋_GB2312" w:cs="Times New Roman" w:hAnsi="Times New Roman"/>
          <w:b w:val="0"/>
          <w:bCs/>
          <w:color w:val="auto"/>
          <w:sz w:val="32"/>
          <w:szCs w:val="32"/>
          <w:lang w:val="en-US" w:eastAsia="zh-CN"/>
          <w:highlight w:val="auto"/>
        </w:rPr>
        <w:t>100</w:t>
      </w:r>
      <w:r>
        <w:rPr>
          <w:rStyle w:val="25"/>
          <w:rFonts w:ascii="Times New Roman" w:eastAsia="仿宋_GB2312" w:cs="Times New Roman" w:hAnsi="Times New Roman"/>
          <w:b w:val="0"/>
          <w:bCs/>
          <w:color w:val="auto"/>
          <w:sz w:val="32"/>
          <w:szCs w:val="32"/>
          <w:highlight w:val="auto"/>
        </w:rPr>
        <w:t>%。</w:t>
      </w:r>
      <w:r>
        <w:rPr>
          <w:rFonts w:ascii="Times New Roman" w:eastAsia="仿宋_GB2312" w:cs="Times New Roman" w:hAnsi="Times New Roman"/>
          <w:b/>
          <w:bCs/>
          <w:color w:val="auto"/>
          <w:sz w:val="32"/>
          <w:szCs w:val="32"/>
          <w:highlight w:val="auto"/>
        </w:rPr>
        <w:t>卫生健康</w:t>
      </w:r>
      <w:r>
        <w:rPr>
          <w:rFonts w:ascii="Times New Roman" w:eastAsia="仿宋_GB2312" w:cs="Times New Roman" w:hAnsi="Times New Roman"/>
          <w:b/>
          <w:bCs/>
          <w:color w:val="auto"/>
          <w:sz w:val="32"/>
          <w:szCs w:val="32"/>
          <w:lang w:val="en-US" w:eastAsia="zh-CN"/>
          <w:highlight w:val="auto"/>
        </w:rPr>
        <w:t>支出</w:t>
      </w:r>
      <w:r>
        <w:rPr>
          <w:rStyle w:val="25"/>
          <w:rFonts w:ascii="Times New Roman" w:eastAsia="仿宋_GB2312" w:cs="Times New Roman" w:hAnsi="Times New Roman"/>
          <w:bCs/>
          <w:color w:val="auto"/>
          <w:sz w:val="32"/>
          <w:szCs w:val="32"/>
          <w:highlight w:val="auto"/>
        </w:rPr>
        <w:t>（类）</w:t>
      </w:r>
      <w:r>
        <w:rPr>
          <w:rStyle w:val="25"/>
          <w:rFonts w:ascii="Times New Roman" w:eastAsia="仿宋_GB2312" w:cs="Times New Roman" w:hAnsi="Times New Roman"/>
          <w:bCs/>
          <w:color w:val="auto"/>
          <w:sz w:val="32"/>
          <w:szCs w:val="32"/>
          <w:lang w:val="en-US" w:eastAsia="zh-CN"/>
          <w:highlight w:val="auto"/>
        </w:rPr>
        <w:t>行政事业单位医疗</w:t>
      </w:r>
      <w:r>
        <w:rPr>
          <w:rStyle w:val="25"/>
          <w:rFonts w:ascii="Times New Roman" w:eastAsia="仿宋_GB2312" w:cs="Times New Roman" w:hAnsi="Times New Roman"/>
          <w:bCs/>
          <w:color w:val="auto"/>
          <w:sz w:val="32"/>
          <w:szCs w:val="32"/>
          <w:highlight w:val="auto"/>
        </w:rPr>
        <w:t>（款）</w:t>
      </w:r>
      <w:r>
        <w:rPr>
          <w:rStyle w:val="25"/>
          <w:rFonts w:ascii="Times New Roman" w:eastAsia="仿宋_GB2312" w:cs="Times New Roman" w:hAnsi="Times New Roman" w:hint="eastAsia"/>
          <w:bCs/>
          <w:color w:val="auto"/>
          <w:sz w:val="32"/>
          <w:szCs w:val="32"/>
          <w:lang w:val="en-US" w:eastAsia="zh-CN"/>
          <w:highlight w:val="auto"/>
        </w:rPr>
        <w:t>事业</w:t>
      </w:r>
      <w:r>
        <w:rPr>
          <w:rStyle w:val="25"/>
          <w:rFonts w:ascii="Times New Roman" w:eastAsia="仿宋_GB2312" w:cs="Times New Roman" w:hAnsi="Times New Roman"/>
          <w:bCs/>
          <w:color w:val="auto"/>
          <w:sz w:val="32"/>
          <w:szCs w:val="32"/>
          <w:lang w:val="en-US" w:eastAsia="zh-CN"/>
          <w:highlight w:val="auto"/>
        </w:rPr>
        <w:t>单位医疗</w:t>
      </w:r>
      <w:r>
        <w:rPr>
          <w:rStyle w:val="25"/>
          <w:rFonts w:ascii="Times New Roman" w:eastAsia="仿宋_GB2312" w:cs="Times New Roman" w:hAnsi="Times New Roman"/>
          <w:bCs/>
          <w:color w:val="auto"/>
          <w:sz w:val="32"/>
          <w:szCs w:val="32"/>
          <w:highlight w:val="auto"/>
        </w:rPr>
        <w:t>（项）:</w:t>
      </w:r>
      <w:r>
        <w:rPr>
          <w:rStyle w:val="25"/>
          <w:rFonts w:ascii="Times New Roman" w:eastAsia="仿宋_GB2312" w:cs="Times New Roman" w:hAnsi="Times New Roman"/>
          <w:b w:val="0"/>
          <w:bCs/>
          <w:color w:val="auto"/>
          <w:sz w:val="32"/>
          <w:szCs w:val="32"/>
          <w:highlight w:val="auto"/>
        </w:rPr>
        <w:t>支出决算为</w:t>
      </w:r>
      <w:r>
        <w:rPr>
          <w:rStyle w:val="25"/>
          <w:rFonts w:ascii="Times New Roman" w:eastAsia="仿宋_GB2312" w:cs="Times New Roman" w:hAnsi="Times New Roman" w:hint="eastAsia"/>
          <w:b w:val="0"/>
          <w:bCs/>
          <w:color w:val="auto"/>
          <w:sz w:val="32"/>
          <w:szCs w:val="32"/>
          <w:lang w:val="en-US" w:eastAsia="zh-CN"/>
          <w:highlight w:val="auto"/>
        </w:rPr>
        <w:t>2.87</w:t>
      </w:r>
      <w:r>
        <w:rPr>
          <w:rStyle w:val="25"/>
          <w:rFonts w:ascii="Times New Roman" w:eastAsia="仿宋_GB2312" w:cs="Times New Roman" w:hAnsi="Times New Roman"/>
          <w:b w:val="0"/>
          <w:bCs/>
          <w:color w:val="auto"/>
          <w:sz w:val="32"/>
          <w:szCs w:val="32"/>
          <w:highlight w:val="auto"/>
        </w:rPr>
        <w:t>万元，完成预算</w:t>
      </w:r>
      <w:r>
        <w:rPr>
          <w:rStyle w:val="25"/>
          <w:rFonts w:ascii="Times New Roman" w:eastAsia="仿宋_GB2312" w:cs="Times New Roman" w:hAnsi="Times New Roman"/>
          <w:b w:val="0"/>
          <w:bCs/>
          <w:color w:val="auto"/>
          <w:sz w:val="32"/>
          <w:szCs w:val="32"/>
          <w:lang w:val="en-US" w:eastAsia="zh-CN"/>
          <w:highlight w:val="auto"/>
        </w:rPr>
        <w:t>100</w:t>
      </w:r>
      <w:r>
        <w:rPr>
          <w:rStyle w:val="25"/>
          <w:rFonts w:ascii="Times New Roman" w:eastAsia="仿宋_GB2312" w:cs="Times New Roman" w:hAnsi="Times New Roman"/>
          <w:b w:val="0"/>
          <w:bCs/>
          <w:color w:val="auto"/>
          <w:sz w:val="32"/>
          <w:szCs w:val="32"/>
          <w:highlight w:val="auto"/>
        </w:rPr>
        <w:t>%。</w:t>
      </w:r>
      <w:r>
        <w:rPr>
          <w:rFonts w:ascii="Times New Roman" w:eastAsia="仿宋_GB2312" w:cs="Times New Roman" w:hAnsi="Times New Roman"/>
          <w:b/>
          <w:bCs/>
          <w:color w:val="auto"/>
          <w:sz w:val="32"/>
          <w:szCs w:val="32"/>
          <w:highlight w:val="auto"/>
        </w:rPr>
        <w:t>卫生健康</w:t>
      </w:r>
      <w:r>
        <w:rPr>
          <w:rStyle w:val="25"/>
          <w:rFonts w:ascii="Times New Roman" w:eastAsia="仿宋_GB2312" w:cs="Times New Roman" w:hAnsi="Times New Roman"/>
          <w:bCs/>
          <w:color w:val="auto"/>
          <w:sz w:val="32"/>
          <w:szCs w:val="32"/>
          <w:highlight w:val="auto"/>
        </w:rPr>
        <w:t>（类）</w:t>
      </w:r>
      <w:r>
        <w:rPr>
          <w:rStyle w:val="25"/>
          <w:rFonts w:ascii="Times New Roman" w:eastAsia="仿宋_GB2312" w:cs="Times New Roman" w:hAnsi="Times New Roman"/>
          <w:bCs/>
          <w:color w:val="auto"/>
          <w:sz w:val="32"/>
          <w:szCs w:val="32"/>
          <w:lang w:val="en-US" w:eastAsia="zh-CN"/>
          <w:highlight w:val="auto"/>
        </w:rPr>
        <w:t>行政事业单位医疗</w:t>
      </w:r>
      <w:r>
        <w:rPr>
          <w:rStyle w:val="25"/>
          <w:rFonts w:ascii="Times New Roman" w:eastAsia="仿宋_GB2312" w:cs="Times New Roman" w:hAnsi="Times New Roman"/>
          <w:bCs/>
          <w:color w:val="auto"/>
          <w:sz w:val="32"/>
          <w:szCs w:val="32"/>
          <w:highlight w:val="auto"/>
        </w:rPr>
        <w:t>（款）</w:t>
      </w:r>
      <w:r>
        <w:rPr>
          <w:rStyle w:val="25"/>
          <w:rFonts w:ascii="Times New Roman" w:eastAsia="仿宋_GB2312" w:cs="Times New Roman" w:hAnsi="Times New Roman"/>
          <w:bCs/>
          <w:color w:val="auto"/>
          <w:sz w:val="32"/>
          <w:szCs w:val="32"/>
          <w:lang w:val="en-US" w:eastAsia="zh-CN"/>
          <w:highlight w:val="auto"/>
        </w:rPr>
        <w:t>公务员医疗补助</w:t>
      </w:r>
      <w:r>
        <w:rPr>
          <w:rStyle w:val="25"/>
          <w:rFonts w:ascii="Times New Roman" w:eastAsia="仿宋_GB2312" w:cs="Times New Roman" w:hAnsi="Times New Roman"/>
          <w:bCs/>
          <w:color w:val="auto"/>
          <w:sz w:val="32"/>
          <w:szCs w:val="32"/>
          <w:highlight w:val="auto"/>
        </w:rPr>
        <w:t>（项）:</w:t>
      </w:r>
      <w:r>
        <w:rPr>
          <w:rStyle w:val="25"/>
          <w:rFonts w:ascii="Times New Roman" w:eastAsia="仿宋_GB2312" w:cs="Times New Roman" w:hAnsi="Times New Roman"/>
          <w:b w:val="0"/>
          <w:bCs/>
          <w:color w:val="auto"/>
          <w:sz w:val="32"/>
          <w:szCs w:val="32"/>
          <w:highlight w:val="auto"/>
        </w:rPr>
        <w:t>支出决算为</w:t>
      </w:r>
      <w:r>
        <w:rPr>
          <w:rStyle w:val="25"/>
          <w:rFonts w:ascii="Times New Roman" w:eastAsia="仿宋_GB2312" w:cs="Times New Roman" w:hAnsi="Times New Roman"/>
          <w:b w:val="0"/>
          <w:bCs/>
          <w:color w:val="auto"/>
          <w:sz w:val="32"/>
          <w:szCs w:val="32"/>
          <w:lang w:val="en-US" w:eastAsia="zh-CN"/>
          <w:highlight w:val="auto"/>
        </w:rPr>
        <w:t>2.46</w:t>
      </w:r>
      <w:r>
        <w:rPr>
          <w:rStyle w:val="25"/>
          <w:rFonts w:ascii="Times New Roman" w:eastAsia="仿宋_GB2312" w:cs="Times New Roman" w:hAnsi="Times New Roman"/>
          <w:b w:val="0"/>
          <w:bCs/>
          <w:color w:val="auto"/>
          <w:sz w:val="32"/>
          <w:szCs w:val="32"/>
          <w:highlight w:val="auto"/>
        </w:rPr>
        <w:t>万元，完成预算</w:t>
      </w:r>
      <w:r>
        <w:rPr>
          <w:rStyle w:val="25"/>
          <w:rFonts w:ascii="Times New Roman" w:eastAsia="仿宋_GB2312" w:cs="Times New Roman" w:hAnsi="Times New Roman"/>
          <w:b w:val="0"/>
          <w:bCs/>
          <w:color w:val="auto"/>
          <w:sz w:val="32"/>
          <w:szCs w:val="32"/>
          <w:lang w:val="en-US" w:eastAsia="zh-CN"/>
          <w:highlight w:val="auto"/>
        </w:rPr>
        <w:t>100</w:t>
      </w:r>
      <w:r>
        <w:rPr>
          <w:rStyle w:val="25"/>
          <w:rFonts w:ascii="Times New Roman" w:eastAsia="仿宋_GB2312" w:cs="Times New Roman" w:hAnsi="Times New Roman"/>
          <w:b w:val="0"/>
          <w:bCs/>
          <w:color w:val="auto"/>
          <w:sz w:val="32"/>
          <w:szCs w:val="32"/>
          <w:highlight w:val="auto"/>
        </w:rPr>
        <w:t>%。</w:t>
      </w:r>
    </w:p>
    <w:p>
      <w:pPr>
        <w:tabs>
          <w:tab w:val="right" w:pos="8306"/>
        </w:tabs>
        <w:spacing w:line="600" w:lineRule="exact"/>
        <w:ind w:firstLine="640"/>
        <w:outlineLvl w:val="1"/>
        <w:rPr>
          <w:rStyle w:val="25"/>
          <w:rFonts w:ascii="Times New Roman" w:eastAsia="仿宋_GB2312" w:cs="Times New Roman" w:hAnsi="Times New Roman"/>
          <w:b w:val="0"/>
          <w:bCs/>
          <w:color w:val="auto"/>
          <w:sz w:val="32"/>
          <w:szCs w:val="32"/>
          <w:highlight w:val="auto"/>
        </w:rPr>
      </w:pPr>
      <w:r>
        <w:t xml:space="preserve"> </w:t>
      </w:r>
      <w:r>
        <w:rPr>
          <w:rStyle w:val="25"/>
          <w:rFonts w:ascii="Times New Roman" w:eastAsia="仿宋_GB2312" w:cs="Times New Roman" w:hAnsi="Times New Roman"/>
          <w:bCs/>
          <w:color w:val="auto"/>
          <w:sz w:val="32"/>
          <w:szCs w:val="32"/>
          <w:lang w:val="en-US" w:eastAsia="zh-CN"/>
          <w:highlight w:val="auto"/>
        </w:rPr>
        <w:t>4</w:t>
      </w:r>
      <w:r>
        <w:rPr>
          <w:rStyle w:val="25"/>
          <w:rFonts w:ascii="Times New Roman" w:eastAsia="仿宋_GB2312" w:cs="Times New Roman" w:hAnsi="Times New Roman"/>
          <w:bCs/>
          <w:color w:val="auto"/>
          <w:sz w:val="32"/>
          <w:szCs w:val="32"/>
          <w:highlight w:val="auto"/>
        </w:rPr>
        <w:t>.住房保障支出（类）</w:t>
      </w:r>
      <w:r>
        <w:rPr>
          <w:rStyle w:val="25"/>
          <w:rFonts w:ascii="Times New Roman" w:eastAsia="仿宋_GB2312" w:cs="Times New Roman" w:hAnsi="Times New Roman"/>
          <w:bCs/>
          <w:color w:val="auto"/>
          <w:sz w:val="32"/>
          <w:szCs w:val="32"/>
          <w:lang w:val="en-US" w:eastAsia="zh-CN"/>
          <w:highlight w:val="auto"/>
        </w:rPr>
        <w:t>住房改革支出</w:t>
      </w:r>
      <w:r>
        <w:rPr>
          <w:rStyle w:val="25"/>
          <w:rFonts w:ascii="Times New Roman" w:eastAsia="仿宋_GB2312" w:cs="Times New Roman" w:hAnsi="Times New Roman"/>
          <w:bCs/>
          <w:color w:val="auto"/>
          <w:sz w:val="32"/>
          <w:szCs w:val="32"/>
          <w:highlight w:val="auto"/>
        </w:rPr>
        <w:t>（款）</w:t>
      </w:r>
      <w:r>
        <w:rPr>
          <w:rStyle w:val="25"/>
          <w:rFonts w:ascii="Times New Roman" w:eastAsia="仿宋_GB2312" w:cs="Times New Roman" w:hAnsi="Times New Roman"/>
          <w:bCs/>
          <w:color w:val="auto"/>
          <w:sz w:val="32"/>
          <w:szCs w:val="32"/>
          <w:lang w:val="en-US" w:eastAsia="zh-CN"/>
          <w:highlight w:val="auto"/>
        </w:rPr>
        <w:t>住房公积金</w:t>
      </w:r>
      <w:r>
        <w:rPr>
          <w:rStyle w:val="25"/>
          <w:rFonts w:ascii="Times New Roman" w:eastAsia="仿宋_GB2312" w:cs="Times New Roman" w:hAnsi="Times New Roman"/>
          <w:bCs/>
          <w:color w:val="auto"/>
          <w:sz w:val="32"/>
          <w:szCs w:val="32"/>
          <w:highlight w:val="auto"/>
        </w:rPr>
        <w:t>（项）:</w:t>
      </w:r>
      <w:r>
        <w:rPr>
          <w:rStyle w:val="25"/>
          <w:rFonts w:ascii="Times New Roman" w:eastAsia="仿宋_GB2312" w:cs="Times New Roman" w:hAnsi="Times New Roman"/>
          <w:b w:val="0"/>
          <w:bCs/>
          <w:color w:val="auto"/>
          <w:sz w:val="32"/>
          <w:szCs w:val="32"/>
          <w:highlight w:val="auto"/>
        </w:rPr>
        <w:t>支出决算为</w:t>
      </w:r>
      <w:r>
        <w:rPr>
          <w:rStyle w:val="25"/>
          <w:rFonts w:ascii="Times New Roman" w:eastAsia="仿宋_GB2312" w:cs="Times New Roman" w:hAnsi="Times New Roman"/>
          <w:b w:val="0"/>
          <w:bCs/>
          <w:color w:val="auto"/>
          <w:sz w:val="32"/>
          <w:szCs w:val="32"/>
          <w:lang w:val="en-US" w:eastAsia="zh-CN"/>
          <w:highlight w:val="auto"/>
        </w:rPr>
        <w:t>6.82</w:t>
      </w:r>
      <w:r>
        <w:rPr>
          <w:rStyle w:val="25"/>
          <w:rFonts w:ascii="Times New Roman" w:eastAsia="仿宋_GB2312" w:cs="Times New Roman" w:hAnsi="Times New Roman"/>
          <w:b w:val="0"/>
          <w:bCs/>
          <w:color w:val="auto"/>
          <w:sz w:val="32"/>
          <w:szCs w:val="32"/>
          <w:highlight w:val="auto"/>
        </w:rPr>
        <w:t>万元，完成预算</w:t>
      </w:r>
      <w:r>
        <w:rPr>
          <w:rStyle w:val="25"/>
          <w:rFonts w:ascii="Times New Roman" w:eastAsia="仿宋_GB2312" w:cs="Times New Roman" w:hAnsi="Times New Roman"/>
          <w:b w:val="0"/>
          <w:bCs/>
          <w:color w:val="auto"/>
          <w:sz w:val="32"/>
          <w:szCs w:val="32"/>
          <w:lang w:val="en-US" w:eastAsia="zh-CN"/>
          <w:highlight w:val="auto"/>
        </w:rPr>
        <w:t>100</w:t>
      </w:r>
      <w:r>
        <w:rPr>
          <w:rStyle w:val="25"/>
          <w:rFonts w:ascii="Times New Roman" w:eastAsia="仿宋_GB2312" w:cs="Times New Roman" w:hAnsi="Times New Roman"/>
          <w:b w:val="0"/>
          <w:bCs/>
          <w:color w:val="auto"/>
          <w:sz w:val="32"/>
          <w:szCs w:val="32"/>
          <w:highlight w:val="auto"/>
        </w:rPr>
        <w:t>%。</w:t>
      </w:r>
    </w:p>
    <w:p>
      <w:pPr>
        <w:tabs>
          <w:tab w:val="right" w:pos="8306"/>
        </w:tabs>
        <w:spacing w:line="600" w:lineRule="exact"/>
        <w:ind w:firstLine="640"/>
        <w:outlineLvl w:val="1"/>
        <w:rPr>
          <w:rStyle w:val="2Char"/>
          <w:highlight w:val="auto"/>
        </w:rPr>
      </w:pPr>
      <w:r>
        <w:rPr>
          <w:rFonts w:ascii="黑体" w:eastAsia="黑体" w:hint="eastAsia"/>
          <w:sz w:val="32"/>
          <w:szCs w:val="32"/>
          <w:highlight w:val="auto"/>
        </w:rPr>
        <w:t>六</w:t>
      </w:r>
      <w:r>
        <w:rPr>
          <w:rFonts w:ascii="黑体" w:eastAsia="黑体" w:hint="eastAsia"/>
          <w:b/>
          <w:sz w:val="32"/>
          <w:szCs w:val="32"/>
          <w:highlight w:val="auto"/>
        </w:rPr>
        <w:t>、一</w:t>
      </w:r>
      <w:r>
        <w:rPr>
          <w:rStyle w:val="2Char"/>
          <w:rFonts w:ascii="黑体" w:eastAsia="黑体" w:hint="eastAsia"/>
          <w:b w:val="0"/>
          <w:highlight w:val="auto"/>
        </w:rPr>
        <w:t>般公共预算财政拨款基本支出决算情况说明</w:t>
      </w:r>
      <w:bookmarkEnd w:id="36"/>
      <w:bookmarkEnd w:id="37"/>
      <w:r>
        <w:rPr>
          <w:rStyle w:val="2Char"/>
          <w:rFonts w:ascii="黑体" w:eastAsia="黑体"/>
          <w:b w:val="0"/>
          <w:highlight w:val="auto"/>
        </w:rPr>
        <w:tab/>
      </w:r>
    </w:p>
    <w:p>
      <w:pPr>
        <w:keepNext w:val="0"/>
        <w:keepLines w:val="0"/>
        <w:pageBreakBefore w:val="0"/>
        <w:widowControl w:val="0"/>
        <w:kinsoku/>
        <w:wordWrap/>
        <w:overflowPunct/>
        <w:topLinePunct w:val="0"/>
        <w:autoSpaceDE/>
        <w:autoSpaceDN/>
        <w:bidi w:val="0"/>
        <w:adjustRightInd/>
        <w:snapToGrid/>
        <w:spacing w:line="560" w:lineRule="exact"/>
        <w:ind w:firstLine="645"/>
        <w:textAlignment w:val="auto"/>
        <w:rPr>
          <w:rFonts w:ascii="Times New Roman" w:eastAsia="仿宋_GB2312" w:cs="Times New Roman" w:hAnsi="Times New Roman"/>
          <w:color w:val="auto"/>
          <w:sz w:val="32"/>
          <w:szCs w:val="32"/>
          <w:highlight w:val="auto"/>
        </w:rPr>
      </w:pPr>
      <w:r>
        <w:rPr>
          <w:rFonts w:ascii="Times New Roman" w:eastAsia="仿宋_GB2312" w:cs="Times New Roman" w:hAnsi="Times New Roman"/>
          <w:color w:val="auto"/>
          <w:sz w:val="32"/>
          <w:szCs w:val="32"/>
          <w:highlight w:val="auto"/>
        </w:rPr>
        <w:t>20</w:t>
      </w:r>
      <w:r>
        <w:rPr>
          <w:rFonts w:ascii="Times New Roman" w:eastAsia="仿宋_GB2312" w:cs="Times New Roman" w:hAnsi="Times New Roman"/>
          <w:color w:val="auto"/>
          <w:sz w:val="32"/>
          <w:szCs w:val="32"/>
          <w:lang w:val="en-US" w:eastAsia="zh-CN"/>
          <w:highlight w:val="auto"/>
        </w:rPr>
        <w:t>22</w:t>
      </w:r>
      <w:r>
        <w:rPr>
          <w:rFonts w:ascii="Times New Roman" w:eastAsia="仿宋_GB2312" w:cs="Times New Roman" w:hAnsi="Times New Roman"/>
          <w:color w:val="auto"/>
          <w:sz w:val="32"/>
          <w:szCs w:val="32"/>
          <w:highlight w:val="auto"/>
        </w:rPr>
        <w:t>年一般公共预算财政拨款基本支出</w:t>
      </w:r>
      <w:r>
        <w:rPr>
          <w:rFonts w:ascii="Times New Roman" w:eastAsia="仿宋_GB2312" w:cs="Times New Roman" w:hAnsi="Times New Roman" w:hint="eastAsia"/>
          <w:color w:val="auto"/>
          <w:sz w:val="32"/>
          <w:szCs w:val="32"/>
          <w:lang w:val="en-US" w:eastAsia="zh-CN"/>
          <w:highlight w:val="auto"/>
        </w:rPr>
        <w:t>645.48</w:t>
      </w:r>
      <w:r>
        <w:rPr>
          <w:rFonts w:ascii="Times New Roman" w:eastAsia="仿宋_GB2312" w:cs="Times New Roman" w:hAnsi="Times New Roman"/>
          <w:color w:val="auto"/>
          <w:sz w:val="32"/>
          <w:szCs w:val="32"/>
          <w:highlight w:val="auto"/>
        </w:rPr>
        <w:t>万元，其中：</w:t>
      </w:r>
    </w:p>
    <w:p>
      <w:pPr>
        <w:keepNext w:val="0"/>
        <w:keepLines w:val="0"/>
        <w:pageBreakBefore w:val="0"/>
        <w:widowControl w:val="0"/>
        <w:kinsoku/>
        <w:wordWrap/>
        <w:overflowPunct/>
        <w:topLinePunct w:val="0"/>
        <w:autoSpaceDE/>
        <w:autoSpaceDN/>
        <w:bidi w:val="0"/>
        <w:adjustRightInd/>
        <w:snapToGrid/>
        <w:spacing w:line="560" w:lineRule="exact"/>
        <w:ind w:firstLine="645"/>
        <w:textAlignment w:val="auto"/>
        <w:rPr>
          <w:rFonts w:ascii="Times New Roman" w:eastAsia="仿宋_GB2312" w:cs="Times New Roman" w:hAnsi="Times New Roman"/>
          <w:color w:val="auto"/>
          <w:sz w:val="32"/>
          <w:szCs w:val="32"/>
          <w:lang w:eastAsia="zh-CN"/>
          <w:highlight w:val="auto"/>
        </w:rPr>
      </w:pPr>
      <w:r>
        <w:rPr>
          <w:rFonts w:ascii="Times New Roman" w:eastAsia="仿宋_GB2312" w:cs="Times New Roman" w:hAnsi="Times New Roman"/>
          <w:color w:val="auto"/>
          <w:sz w:val="32"/>
          <w:szCs w:val="32"/>
          <w:highlight w:val="auto"/>
        </w:rPr>
        <w:t>人员经费</w:t>
      </w:r>
      <w:r>
        <w:rPr>
          <w:rFonts w:ascii="Times New Roman" w:eastAsia="仿宋_GB2312" w:cs="Times New Roman" w:hAnsi="Times New Roman" w:hint="eastAsia"/>
          <w:color w:val="auto"/>
          <w:sz w:val="32"/>
          <w:szCs w:val="32"/>
          <w:lang w:val="en-US" w:eastAsia="zh-CN"/>
          <w:highlight w:val="auto"/>
        </w:rPr>
        <w:t>531.63</w:t>
      </w:r>
      <w:r>
        <w:rPr>
          <w:rFonts w:ascii="Times New Roman" w:eastAsia="仿宋_GB2312" w:cs="Times New Roman" w:hAnsi="Times New Roman"/>
          <w:color w:val="auto"/>
          <w:sz w:val="32"/>
          <w:szCs w:val="32"/>
          <w:highlight w:val="auto"/>
        </w:rPr>
        <w:t>万元，主要包括：基本工资、津贴补贴、奖金、</w:t>
      </w:r>
      <w:r>
        <w:rPr>
          <w:rFonts w:ascii="Times New Roman" w:eastAsia="仿宋_GB2312" w:cs="Times New Roman" w:hAnsi="Times New Roman" w:hint="eastAsia"/>
          <w:color w:val="auto"/>
          <w:sz w:val="32"/>
          <w:szCs w:val="32"/>
          <w:lang w:val="en-US" w:eastAsia="zh-CN"/>
          <w:highlight w:val="auto"/>
        </w:rPr>
        <w:t>绩效工资、</w:t>
      </w:r>
      <w:r>
        <w:rPr>
          <w:rFonts w:ascii="Times New Roman" w:eastAsia="仿宋_GB2312" w:cs="Times New Roman" w:hAnsi="Times New Roman"/>
          <w:color w:val="auto"/>
          <w:sz w:val="32"/>
          <w:szCs w:val="32"/>
          <w:highlight w:val="auto"/>
        </w:rPr>
        <w:t>机关事业单位基本养老保险缴费、职业年金缴费、职工基本医疗保险缴费</w:t>
      </w:r>
      <w:r>
        <w:rPr>
          <w:rFonts w:ascii="Times New Roman" w:eastAsia="仿宋_GB2312" w:cs="Times New Roman" w:hAnsi="Times New Roman"/>
          <w:color w:val="auto"/>
          <w:sz w:val="32"/>
          <w:szCs w:val="32"/>
          <w:lang w:eastAsia="zh-CN"/>
          <w:highlight w:val="auto"/>
        </w:rPr>
        <w:t>、</w:t>
      </w:r>
      <w:r>
        <w:rPr>
          <w:rFonts w:ascii="Times New Roman" w:eastAsia="仿宋_GB2312" w:cs="Times New Roman" w:hAnsi="Times New Roman"/>
          <w:color w:val="auto"/>
          <w:sz w:val="32"/>
          <w:szCs w:val="32"/>
          <w:highlight w:val="auto"/>
        </w:rPr>
        <w:t>公务员医疗补助缴费</w:t>
      </w:r>
      <w:r>
        <w:rPr>
          <w:rFonts w:ascii="Times New Roman" w:eastAsia="仿宋_GB2312" w:cs="Times New Roman" w:hAnsi="Times New Roman"/>
          <w:color w:val="auto"/>
          <w:sz w:val="32"/>
          <w:szCs w:val="32"/>
          <w:lang w:eastAsia="zh-CN"/>
          <w:highlight w:val="auto"/>
        </w:rPr>
        <w:t>、</w:t>
      </w:r>
      <w:r>
        <w:rPr>
          <w:rFonts w:ascii="Times New Roman" w:eastAsia="仿宋_GB2312" w:cs="Times New Roman" w:hAnsi="Times New Roman"/>
          <w:color w:val="auto"/>
          <w:sz w:val="32"/>
          <w:szCs w:val="32"/>
          <w:highlight w:val="auto"/>
        </w:rPr>
        <w:t>其他社会保障缴费、住房公积金、生活补助。</w:t>
      </w:r>
    </w:p>
    <w:p>
      <w:pPr>
        <w:keepNext w:val="0"/>
        <w:keepLines w:val="0"/>
        <w:pageBreakBefore w:val="0"/>
        <w:widowControl w:val="0"/>
        <w:kinsoku/>
        <w:wordWrap/>
        <w:overflowPunct/>
        <w:topLinePunct w:val="0"/>
        <w:autoSpaceDE/>
        <w:autoSpaceDN/>
        <w:bidi w:val="0"/>
        <w:adjustRightInd/>
        <w:snapToGrid/>
        <w:spacing w:line="560" w:lineRule="exact"/>
        <w:ind w:firstLine="645"/>
        <w:textAlignment w:val="auto"/>
        <w:rPr>
          <w:rFonts w:ascii="仿宋" w:eastAsia="仿宋"/>
          <w:sz w:val="32"/>
          <w:szCs w:val="32"/>
          <w:highlight w:val="auto"/>
        </w:rPr>
      </w:pPr>
      <w:r>
        <w:rPr>
          <w:rFonts w:ascii="Times New Roman" w:eastAsia="仿宋_GB2312" w:cs="Times New Roman" w:hAnsi="Times New Roman"/>
          <w:color w:val="auto"/>
          <w:sz w:val="32"/>
          <w:szCs w:val="32"/>
          <w:highlight w:val="auto"/>
        </w:rPr>
        <w:t>公用经费</w:t>
      </w:r>
      <w:r>
        <w:rPr>
          <w:rFonts w:ascii="Times New Roman" w:eastAsia="仿宋_GB2312" w:cs="Times New Roman" w:hAnsi="Times New Roman" w:hint="eastAsia"/>
          <w:color w:val="auto"/>
          <w:sz w:val="32"/>
          <w:szCs w:val="32"/>
          <w:lang w:val="en-US" w:eastAsia="zh-CN"/>
          <w:highlight w:val="auto"/>
        </w:rPr>
        <w:t>113.85</w:t>
      </w:r>
      <w:r>
        <w:rPr>
          <w:rFonts w:ascii="Times New Roman" w:eastAsia="仿宋_GB2312" w:cs="Times New Roman" w:hAnsi="Times New Roman"/>
          <w:color w:val="auto"/>
          <w:sz w:val="32"/>
          <w:szCs w:val="32"/>
          <w:highlight w:val="auto"/>
        </w:rPr>
        <w:t>万元，主要包括：办公费、咨询费、电费、邮电费、差旅费、维修（护）费、培训费、委托业务费、工会经费、福利费、公务用车运行维护费、其他商品和服务支出</w:t>
      </w:r>
      <w:r>
        <w:rPr>
          <w:rFonts w:ascii="Times New Roman" w:eastAsia="仿宋_GB2312" w:cs="Times New Roman" w:hAnsi="Times New Roman"/>
          <w:color w:val="auto"/>
          <w:sz w:val="32"/>
          <w:szCs w:val="32"/>
          <w:lang w:eastAsia="zh-CN"/>
          <w:highlight w:val="auto"/>
        </w:rPr>
        <w:t>、</w:t>
      </w:r>
      <w:r>
        <w:rPr>
          <w:rFonts w:ascii="Times New Roman" w:eastAsia="仿宋_GB2312" w:cs="Times New Roman" w:hAnsi="Times New Roman"/>
          <w:color w:val="auto"/>
          <w:sz w:val="32"/>
          <w:szCs w:val="32"/>
          <w:lang w:val="en-US" w:eastAsia="zh-CN"/>
          <w:highlight w:val="auto"/>
        </w:rPr>
        <w:t>办公设备购置</w:t>
      </w:r>
      <w:r>
        <w:rPr>
          <w:rFonts w:ascii="Times New Roman" w:eastAsia="仿宋_GB2312" w:cs="Times New Roman" w:hAnsi="Times New Roman"/>
          <w:color w:val="auto"/>
          <w:sz w:val="32"/>
          <w:szCs w:val="32"/>
          <w:highlight w:val="auto"/>
        </w:rPr>
        <w:t>。</w:t>
      </w:r>
    </w:p>
    <w:p>
      <w:pPr>
        <w:spacing w:line="600" w:lineRule="exact"/>
        <w:ind w:firstLine="640"/>
        <w:outlineLvl w:val="1"/>
        <w:rPr>
          <w:rStyle w:val="2Char"/>
          <w:rFonts w:ascii="黑体" w:eastAsia="黑体"/>
          <w:b w:val="0"/>
          <w:highlight w:val="auto"/>
        </w:rPr>
      </w:pPr>
      <w:bookmarkStart w:id="38" w:name="_Toc15377215"/>
      <w:bookmarkStart w:id="39" w:name="_Toc15396609"/>
      <w:r>
        <w:rPr>
          <w:rFonts w:ascii="黑体" w:eastAsia="黑体" w:hint="eastAsia"/>
          <w:sz w:val="32"/>
          <w:szCs w:val="32"/>
          <w:highlight w:val="auto"/>
        </w:rPr>
        <w:t>七、</w:t>
      </w:r>
      <w:r>
        <w:rPr>
          <w:rStyle w:val="2Char"/>
          <w:rFonts w:ascii="黑体" w:eastAsia="黑体" w:hint="eastAsia"/>
          <w:b w:val="0"/>
          <w:highlight w:val="auto"/>
        </w:rPr>
        <w:t>财政拨款</w:t>
      </w:r>
      <w:r>
        <w:rPr>
          <w:rStyle w:val="2Char"/>
          <w:rFonts w:ascii="黑体" w:eastAsia="黑体" w:hint="eastAsia"/>
          <w:highlight w:val="auto"/>
        </w:rPr>
        <w:t>“</w:t>
      </w:r>
      <w:r>
        <w:rPr>
          <w:rStyle w:val="2Char"/>
          <w:rFonts w:ascii="黑体" w:eastAsia="黑体" w:hint="eastAsia"/>
          <w:b w:val="0"/>
          <w:highlight w:val="auto"/>
        </w:rPr>
        <w:t>三公”经费支出决算情况说明</w:t>
      </w:r>
      <w:bookmarkEnd w:id="38"/>
      <w:bookmarkEnd w:id="39"/>
    </w:p>
    <w:p>
      <w:pPr>
        <w:spacing w:line="600" w:lineRule="exact"/>
        <w:ind w:firstLineChars="200" w:firstLine="640"/>
        <w:outlineLvl w:val="2"/>
        <w:rPr>
          <w:rFonts w:ascii="楷体_GB2312" w:eastAsia="楷体_GB2312" w:cs="楷体_GB2312" w:hint="eastAsia"/>
          <w:b/>
          <w:sz w:val="32"/>
          <w:szCs w:val="32"/>
          <w:highlight w:val="auto"/>
        </w:rPr>
      </w:pPr>
      <w:bookmarkStart w:id="40" w:name="_Toc15377216"/>
      <w:r>
        <w:rPr>
          <w:rFonts w:ascii="楷体_GB2312" w:eastAsia="楷体_GB2312" w:cs="楷体_GB2312" w:hint="eastAsia"/>
          <w:b/>
          <w:sz w:val="32"/>
          <w:szCs w:val="32"/>
          <w:highlight w:val="auto"/>
        </w:rPr>
        <w:t>（一）“三公”经费财政拨款支出决算总体情况说明</w:t>
      </w:r>
      <w:bookmarkEnd w:id="40"/>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ascii="Times New Roman" w:eastAsia="仿宋_GB2312" w:cs="Times New Roman" w:hAnsi="Times New Roman"/>
          <w:color w:val="auto"/>
          <w:sz w:val="32"/>
          <w:szCs w:val="32"/>
          <w:lang w:eastAsia="zh-CN"/>
          <w:highlight w:val="auto"/>
        </w:rPr>
      </w:pPr>
      <w:r>
        <w:rPr>
          <w:rFonts w:ascii="仿宋" w:eastAsia="仿宋"/>
          <w:sz w:val="32"/>
          <w:szCs w:val="32"/>
          <w:highlight w:val="auto"/>
        </w:rPr>
        <w:t>20</w:t>
      </w:r>
      <w:r>
        <w:rPr>
          <w:rFonts w:ascii="仿宋" w:eastAsia="仿宋" w:hint="eastAsia"/>
          <w:sz w:val="32"/>
          <w:szCs w:val="32"/>
          <w:highlight w:val="auto"/>
        </w:rPr>
        <w:t>22年“三公”经费财政拨款支出决算为</w:t>
      </w:r>
      <w:r>
        <w:rPr>
          <w:rFonts w:ascii="仿宋" w:eastAsia="仿宋" w:hint="eastAsia"/>
          <w:sz w:val="32"/>
          <w:szCs w:val="32"/>
          <w:lang w:val="en-US" w:eastAsia="zh-CN"/>
          <w:highlight w:val="auto"/>
        </w:rPr>
        <w:t>13.1</w:t>
      </w:r>
      <w:r>
        <w:rPr>
          <w:rFonts w:ascii="仿宋" w:eastAsia="仿宋" w:hint="eastAsia"/>
          <w:sz w:val="32"/>
          <w:szCs w:val="32"/>
          <w:highlight w:val="auto"/>
        </w:rPr>
        <w:t>万元，完成预算</w:t>
      </w:r>
      <w:r>
        <w:rPr>
          <w:rFonts w:ascii="仿宋" w:eastAsia="仿宋" w:hint="eastAsia"/>
          <w:sz w:val="32"/>
          <w:szCs w:val="32"/>
          <w:lang w:val="en-US" w:eastAsia="zh-CN"/>
          <w:highlight w:val="auto"/>
        </w:rPr>
        <w:t>85.18</w:t>
      </w:r>
      <w:r>
        <w:rPr>
          <w:rFonts w:ascii="仿宋" w:eastAsia="仿宋"/>
          <w:sz w:val="32"/>
          <w:szCs w:val="32"/>
          <w:highlight w:val="auto"/>
        </w:rPr>
        <w:t>%</w:t>
      </w:r>
      <w:r>
        <w:rPr>
          <w:rFonts w:ascii="仿宋" w:eastAsia="仿宋" w:hint="eastAsia"/>
          <w:sz w:val="32"/>
          <w:szCs w:val="32"/>
          <w:highlight w:val="auto"/>
        </w:rPr>
        <w:t>，</w:t>
      </w:r>
      <w:r>
        <w:rPr>
          <w:rFonts w:ascii="Times New Roman" w:eastAsia="仿宋_GB2312" w:cs="Times New Roman" w:hAnsi="Times New Roman"/>
          <w:sz w:val="32"/>
          <w:szCs w:val="32"/>
          <w:highlight w:val="auto"/>
        </w:rPr>
        <w:t>决算数小于预算数的原因是厉行节约，支出相应减少。</w:t>
      </w:r>
    </w:p>
    <w:p>
      <w:pPr>
        <w:spacing w:line="600" w:lineRule="exact"/>
        <w:ind w:firstLineChars="200" w:firstLine="640"/>
        <w:outlineLvl w:val="2"/>
        <w:rPr>
          <w:rFonts w:ascii="楷体_GB2312" w:eastAsia="楷体_GB2312" w:cs="楷体_GB2312" w:hint="eastAsia"/>
          <w:b/>
          <w:sz w:val="32"/>
          <w:szCs w:val="32"/>
          <w:highlight w:val="auto"/>
        </w:rPr>
      </w:pPr>
      <w:bookmarkStart w:id="41" w:name="_Toc15377217"/>
      <w:r>
        <w:rPr>
          <w:rFonts w:ascii="楷体_GB2312" w:eastAsia="楷体_GB2312" w:cs="楷体_GB2312" w:hint="eastAsia"/>
          <w:b/>
          <w:sz w:val="32"/>
          <w:szCs w:val="32"/>
          <w:highlight w:val="auto"/>
        </w:rPr>
        <w:t>（二）“三公”经费财政拨款支出决算具体情况说明</w:t>
      </w:r>
      <w:bookmarkEnd w:id="41"/>
    </w:p>
    <w:p>
      <w:pPr>
        <w:spacing w:line="600" w:lineRule="exact"/>
        <w:ind w:firstLine="640"/>
        <w:rPr>
          <w:rFonts w:ascii="仿宋" w:eastAsia="仿宋" w:hint="eastAsia"/>
          <w:sz w:val="32"/>
          <w:szCs w:val="32"/>
          <w:highlight w:val="auto"/>
        </w:rPr>
      </w:pPr>
      <w:r>
        <w:rPr>
          <w:rFonts w:ascii="仿宋" w:eastAsia="仿宋"/>
          <w:sz w:val="32"/>
          <w:szCs w:val="32"/>
          <w:highlight w:val="auto"/>
        </w:rPr>
        <w:t>20</w:t>
      </w:r>
      <w:r>
        <w:rPr>
          <w:rFonts w:ascii="仿宋" w:eastAsia="仿宋" w:hint="eastAsia"/>
          <w:sz w:val="32"/>
          <w:szCs w:val="32"/>
          <w:highlight w:val="auto"/>
        </w:rPr>
        <w:t>22年“三公”经费财政拨款支出决算中，因公出国（境）费支出决算</w:t>
      </w:r>
      <w:r>
        <w:rPr>
          <w:rFonts w:ascii="仿宋" w:eastAsia="仿宋" w:hint="eastAsia"/>
          <w:sz w:val="32"/>
          <w:szCs w:val="32"/>
          <w:lang w:val="en-US" w:eastAsia="zh-CN"/>
          <w:highlight w:val="auto"/>
        </w:rPr>
        <w:t>0</w:t>
      </w:r>
      <w:r>
        <w:rPr>
          <w:rFonts w:ascii="仿宋" w:eastAsia="仿宋" w:hint="eastAsia"/>
          <w:sz w:val="32"/>
          <w:szCs w:val="32"/>
          <w:highlight w:val="auto"/>
        </w:rPr>
        <w:t>万元，占</w:t>
      </w:r>
      <w:r>
        <w:rPr>
          <w:rFonts w:ascii="仿宋" w:eastAsia="仿宋" w:hint="eastAsia"/>
          <w:sz w:val="32"/>
          <w:szCs w:val="32"/>
          <w:lang w:val="en-US" w:eastAsia="zh-CN"/>
          <w:highlight w:val="auto"/>
        </w:rPr>
        <w:t>0</w:t>
      </w:r>
      <w:r>
        <w:rPr>
          <w:rFonts w:ascii="仿宋" w:eastAsia="仿宋"/>
          <w:sz w:val="32"/>
          <w:szCs w:val="32"/>
          <w:highlight w:val="auto"/>
        </w:rPr>
        <w:t>%</w:t>
      </w:r>
      <w:r>
        <w:rPr>
          <w:rFonts w:ascii="仿宋" w:eastAsia="仿宋" w:hint="eastAsia"/>
          <w:sz w:val="32"/>
          <w:szCs w:val="32"/>
          <w:highlight w:val="auto"/>
        </w:rPr>
        <w:t>；公务用车购置及运行维护费支出决算</w:t>
      </w:r>
      <w:r>
        <w:rPr>
          <w:rFonts w:ascii="仿宋" w:eastAsia="仿宋" w:hint="eastAsia"/>
          <w:sz w:val="32"/>
          <w:szCs w:val="32"/>
          <w:lang w:val="en-US" w:eastAsia="zh-CN"/>
          <w:highlight w:val="auto"/>
        </w:rPr>
        <w:t>13.1</w:t>
      </w:r>
      <w:r>
        <w:rPr>
          <w:rFonts w:ascii="仿宋" w:eastAsia="仿宋" w:hint="eastAsia"/>
          <w:sz w:val="32"/>
          <w:szCs w:val="32"/>
          <w:highlight w:val="auto"/>
        </w:rPr>
        <w:t>万元，占</w:t>
      </w:r>
      <w:r>
        <w:rPr>
          <w:rFonts w:ascii="仿宋" w:eastAsia="仿宋" w:hint="eastAsia"/>
          <w:sz w:val="32"/>
          <w:szCs w:val="32"/>
          <w:lang w:val="en-US" w:eastAsia="zh-CN"/>
          <w:highlight w:val="auto"/>
        </w:rPr>
        <w:t>100</w:t>
      </w:r>
      <w:r>
        <w:rPr>
          <w:rFonts w:ascii="仿宋" w:eastAsia="仿宋"/>
          <w:sz w:val="32"/>
          <w:szCs w:val="32"/>
          <w:highlight w:val="auto"/>
        </w:rPr>
        <w:t>%</w:t>
      </w:r>
      <w:r>
        <w:rPr>
          <w:rFonts w:ascii="仿宋" w:eastAsia="仿宋" w:hint="eastAsia"/>
          <w:sz w:val="32"/>
          <w:szCs w:val="32"/>
          <w:highlight w:val="auto"/>
        </w:rPr>
        <w:t>；公务接待费支出决算</w:t>
      </w:r>
      <w:r>
        <w:rPr>
          <w:rFonts w:ascii="仿宋" w:eastAsia="仿宋" w:hint="eastAsia"/>
          <w:sz w:val="32"/>
          <w:szCs w:val="32"/>
          <w:lang w:val="en-US" w:eastAsia="zh-CN"/>
          <w:highlight w:val="auto"/>
        </w:rPr>
        <w:t>0</w:t>
      </w:r>
      <w:r>
        <w:rPr>
          <w:rFonts w:ascii="仿宋" w:eastAsia="仿宋" w:hint="eastAsia"/>
          <w:sz w:val="32"/>
          <w:szCs w:val="32"/>
          <w:highlight w:val="auto"/>
        </w:rPr>
        <w:t>万元，占</w:t>
      </w:r>
      <w:r>
        <w:rPr>
          <w:rFonts w:ascii="仿宋" w:eastAsia="仿宋" w:hint="eastAsia"/>
          <w:sz w:val="32"/>
          <w:szCs w:val="32"/>
          <w:lang w:val="en-US" w:eastAsia="zh-CN"/>
          <w:highlight w:val="auto"/>
        </w:rPr>
        <w:t>0</w:t>
      </w:r>
      <w:r>
        <w:rPr>
          <w:rFonts w:ascii="仿宋" w:eastAsia="仿宋"/>
          <w:sz w:val="32"/>
          <w:szCs w:val="32"/>
          <w:highlight w:val="auto"/>
        </w:rPr>
        <w:t>%</w:t>
      </w:r>
      <w:r>
        <w:rPr>
          <w:rFonts w:ascii="仿宋" w:eastAsia="仿宋" w:hint="eastAsia"/>
          <w:sz w:val="32"/>
          <w:szCs w:val="32"/>
          <w:highlight w:val="auto"/>
        </w:rPr>
        <w:t>。具体情况如下：</w:t>
      </w:r>
    </w:p>
    <w:p>
      <w:pPr>
        <w:pStyle w:val="16"/>
        <w:rPr>
          <w:rFonts w:ascii="仿宋" w:eastAsia="仿宋" w:hint="eastAsia"/>
          <w:sz w:val="32"/>
          <w:szCs w:val="32"/>
        </w:rPr>
      </w:pPr>
      <w:r>
        <w:rPr>
          <w:rFonts w:ascii="Times New Roman" w:cs="Times New Roman" w:hAnsi="Times New Roman"/>
          <w:sz w:val="32"/>
        </w:rPr>
        <mc:AlternateContent>
          <mc:Choice Requires="wps">
            <w:drawing>
              <wp:anchor distT="0" distB="0" distL="114298" distR="114298" simplePos="0" relativeHeight="53" behindDoc="0" locked="0" layoutInCell="1" hidden="0" allowOverlap="1">
                <wp:simplePos x="0" y="0"/>
                <wp:positionH relativeFrom="column">
                  <wp:posOffset>2452370</wp:posOffset>
                </wp:positionH>
                <wp:positionV relativeFrom="paragraph">
                  <wp:posOffset>1823720</wp:posOffset>
                </wp:positionV>
                <wp:extent cx="809624" cy="390525"/>
                <wp:effectExtent l="0" t="0" r="0" b="0"/>
                <wp:wrapNone/>
                <wp:docPr id="31" name="文本框"/>
                <wp:cNvGraphicFramePr>
                  <a:graphicFrameLocks noChangeAspect="0"/>
                </wp:cNvGraphicFramePr>
                <a:graphic>
                  <a:graphicData uri="http://schemas.microsoft.com/office/word/2010/wordprocessingShape">
                    <wps:wsp>
                      <wps:cNvSpPr/>
                      <wps:spPr>
                        <a:xfrm rot="0">
                          <a:off x="0" y="0"/>
                          <a:ext cx="809624" cy="390525"/>
                        </a:xfrm>
                        <a:prstGeom prst="rect"/>
                        <a:solidFill>
                          <a:srgbClr val="B3A2C7"/>
                        </a:solidFill>
                        <a:ln w="9525" cmpd="sng" cap="flat">
                          <a:noFill/>
                          <a:prstDash val="solid"/>
                          <a:miter/>
                        </a:ln>
                      </wps:spPr>
                      <wps:txbx id="32">
                        <w:txbxContent>
                          <w:p>
                            <w:pPr>
                              <w:rPr>
                                <w:rFonts w:eastAsia="宋体"/>
                                <w:lang w:val="en-US" w:eastAsia="zh-CN"/>
                              </w:rPr>
                            </w:pPr>
                            <w:r>
                              <w:rPr>
                                <w:rFonts w:hint="eastAsia"/>
                                <w:lang w:val="en-US" w:eastAsia="zh-CN"/>
                              </w:rPr>
                              <w:t>100%</w:t>
                            </w:r>
                          </w:p>
                        </w:txbxContent>
                      </wps:txbx>
                      <wps:bodyPr vert="horz" wrap="square" lIns="91440" tIns="45720" rIns="91440" bIns="45720" anchor="t" anchorCtr="0" upright="1">
                        <a:noAutofit/>
                      </wps:bodyPr>
                    </wps:wsp>
                  </a:graphicData>
                </a:graphic>
              </wp:anchor>
            </w:drawing>
          </mc:Choice>
          <mc:Fallback>
            <w:pict>
              <v:rect type="#_x0000_t1" id="文本框 33" o:spid="_x0000_s33" fillcolor="#B3A2C7" stroked="f" style="position:absolute;margin-left:193.09999pt;margin-top:143.6pt;width:63.74999pt;height:30.75pt;z-index:53;mso-position-horizontal:absolute;mso-position-vertical:absolute;mso-wrap-distance-left:8.999863pt;mso-wrap-distance-right:8.999863pt;mso-wrap-style:square;">
                <v:stroke color="#000000"/>
                <v:textbox id="861" inset="2.54mm,1.27mm,2.54mm,1.27mm" o:insetmode="custom" style="layout-flow:horizontal;v-text-anchor:top;">
                  <w:txbxContent>
                    <w:p>
                      <w:pPr>
                        <w:rPr>
                          <w:rFonts w:eastAsia="宋体"/>
                          <w:lang w:val="en-US" w:eastAsia="zh-CN"/>
                        </w:rPr>
                      </w:pPr>
                      <w:r>
                        <w:rPr>
                          <w:rFonts w:hint="eastAsia"/>
                          <w:lang w:val="en-US" w:eastAsia="zh-CN"/>
                        </w:rPr>
                        <w:t>100%</w:t>
                      </w:r>
                    </w:p>
                  </w:txbxContent>
                </v:textbox>
              </v:rect>
            </w:pict>
          </mc:Fallback>
        </mc:AlternateContent>
      </w:r>
      <w:r>
        <w:rPr>
          <w:rFonts w:ascii="Times New Roman" w:eastAsia="仿宋" w:cs="Times New Roman" w:hAnsi="Times New Roman"/>
          <w:color w:val="auto"/>
          <w:sz w:val="32"/>
          <w:szCs w:val="32"/>
          <w:lang w:eastAsia="zh-CN"/>
          <w:highlight w:val="auto"/>
        </w:rPr>
        <w:drawing>
          <wp:inline distT="0" distB="0" distL="114300" distR="114300">
            <wp:extent cx="5256530" cy="2988310"/>
            <wp:effectExtent l="0" t="0" r="0" b="0"/>
            <wp:docPr id="34" name="图表 17"/>
            <wp:cNvGraphicFramePr>
              <a:graphicFrameLocks noChangeAspect="0"/>
            </wp:cNvGraphicFramePr>
            <a:graphic>
              <a:graphicData uri="http://schemas.openxmlformats.org/drawingml/2006/chart">
                <c:chart xmlns:c="http://schemas.openxmlformats.org/drawingml/2006/chart" r:id="rId11"/>
              </a:graphicData>
            </a:graphic>
          </wp:inline>
        </w:drawing>
      </w:r>
    </w:p>
    <w:p>
      <w:pPr>
        <w:spacing w:line="600" w:lineRule="exact"/>
        <w:ind w:firstLine="640"/>
        <w:rPr>
          <w:rFonts w:ascii="Times New Roman" w:eastAsia="仿宋_GB2312" w:cs="Times New Roman" w:hAnsi="Times New Roman"/>
          <w:b/>
          <w:sz w:val="32"/>
          <w:szCs w:val="32"/>
          <w:highlight w:val="auto"/>
        </w:rPr>
      </w:pPr>
      <w:r>
        <w:rPr>
          <w:rFonts w:ascii="仿宋_GB2312" w:eastAsia="仿宋_GB2312"/>
          <w:b/>
          <w:sz w:val="32"/>
          <w:szCs w:val="32"/>
          <w:highlight w:val="auto"/>
        </w:rPr>
        <w:t>1.</w:t>
      </w:r>
      <w:r>
        <w:rPr>
          <w:rFonts w:ascii="仿宋_GB2312" w:eastAsia="仿宋_GB2312" w:hint="eastAsia"/>
          <w:b/>
          <w:sz w:val="32"/>
          <w:szCs w:val="32"/>
          <w:highlight w:val="auto"/>
        </w:rPr>
        <w:t>因公出国（境）经费支出</w:t>
      </w:r>
      <w:r>
        <w:rPr>
          <w:rFonts w:ascii="仿宋_GB2312" w:eastAsia="仿宋_GB2312" w:hint="eastAsia"/>
          <w:sz w:val="32"/>
          <w:szCs w:val="32"/>
          <w:lang w:val="en-US" w:eastAsia="zh-CN"/>
          <w:highlight w:val="auto"/>
        </w:rPr>
        <w:t>0</w:t>
      </w:r>
      <w:r>
        <w:rPr>
          <w:rFonts w:ascii="仿宋_GB2312" w:eastAsia="仿宋_GB2312" w:hint="eastAsia"/>
          <w:sz w:val="32"/>
          <w:szCs w:val="32"/>
          <w:highlight w:val="auto"/>
        </w:rPr>
        <w:t>万元，</w:t>
      </w:r>
      <w:r>
        <w:rPr>
          <w:rStyle w:val="25"/>
          <w:rFonts w:ascii="仿宋" w:eastAsia="仿宋" w:hint="eastAsia"/>
          <w:b w:val="0"/>
          <w:bCs/>
          <w:sz w:val="32"/>
          <w:szCs w:val="32"/>
          <w:highlight w:val="auto"/>
        </w:rPr>
        <w:t>完成预算</w:t>
      </w:r>
      <w:r>
        <w:rPr>
          <w:rStyle w:val="25"/>
          <w:rFonts w:ascii="仿宋" w:eastAsia="仿宋" w:hint="eastAsia"/>
          <w:b w:val="0"/>
          <w:bCs/>
          <w:sz w:val="32"/>
          <w:szCs w:val="32"/>
          <w:lang w:val="en-US" w:eastAsia="zh-CN"/>
          <w:highlight w:val="auto"/>
        </w:rPr>
        <w:t>0</w:t>
      </w:r>
      <w:r>
        <w:rPr>
          <w:rStyle w:val="25"/>
          <w:rFonts w:ascii="仿宋" w:eastAsia="仿宋"/>
          <w:b w:val="0"/>
          <w:bCs/>
          <w:sz w:val="32"/>
          <w:szCs w:val="32"/>
          <w:highlight w:val="auto"/>
        </w:rPr>
        <w:t>%</w:t>
      </w:r>
      <w:r>
        <w:rPr>
          <w:rStyle w:val="25"/>
          <w:rFonts w:ascii="仿宋" w:eastAsia="仿宋" w:hint="eastAsia"/>
          <w:b w:val="0"/>
          <w:bCs/>
          <w:sz w:val="32"/>
          <w:szCs w:val="32"/>
          <w:highlight w:val="auto"/>
        </w:rPr>
        <w:t>。</w:t>
      </w:r>
      <w:r>
        <w:rPr>
          <w:rFonts w:ascii="仿宋_GB2312" w:eastAsia="仿宋_GB2312" w:hint="eastAsia"/>
          <w:sz w:val="32"/>
          <w:szCs w:val="32"/>
          <w:highlight w:val="auto"/>
        </w:rPr>
        <w:t>全年安排因公出国（境）团组</w:t>
      </w:r>
      <w:r>
        <w:rPr>
          <w:rFonts w:ascii="仿宋_GB2312" w:eastAsia="仿宋_GB2312" w:hint="eastAsia"/>
          <w:sz w:val="32"/>
          <w:szCs w:val="32"/>
          <w:lang w:val="en-US" w:eastAsia="zh-CN"/>
          <w:highlight w:val="auto"/>
        </w:rPr>
        <w:t>0</w:t>
      </w:r>
      <w:r>
        <w:rPr>
          <w:rFonts w:ascii="仿宋_GB2312" w:eastAsia="仿宋_GB2312" w:hint="eastAsia"/>
          <w:sz w:val="32"/>
          <w:szCs w:val="32"/>
          <w:highlight w:val="auto"/>
        </w:rPr>
        <w:t>次，出国（境）</w:t>
      </w:r>
      <w:r>
        <w:rPr>
          <w:rFonts w:ascii="仿宋_GB2312" w:eastAsia="仿宋_GB2312" w:hint="eastAsia"/>
          <w:sz w:val="32"/>
          <w:szCs w:val="32"/>
          <w:lang w:val="en-US" w:eastAsia="zh-CN"/>
          <w:highlight w:val="auto"/>
        </w:rPr>
        <w:t>0</w:t>
      </w:r>
      <w:r>
        <w:rPr>
          <w:rFonts w:ascii="仿宋_GB2312" w:eastAsia="仿宋_GB2312" w:hint="eastAsia"/>
          <w:sz w:val="32"/>
          <w:szCs w:val="32"/>
          <w:highlight w:val="auto"/>
        </w:rPr>
        <w:t>人。</w:t>
      </w:r>
      <w:r>
        <w:rPr>
          <w:rFonts w:ascii="Times New Roman" w:eastAsia="仿宋_GB2312" w:cs="Times New Roman" w:hAnsi="Times New Roman"/>
          <w:sz w:val="32"/>
          <w:szCs w:val="32"/>
          <w:highlight w:val="auto"/>
        </w:rPr>
        <w:t>因公出国（境）支出决算同202</w:t>
      </w:r>
      <w:r>
        <w:rPr>
          <w:rFonts w:ascii="Times New Roman" w:eastAsia="仿宋_GB2312" w:cs="Times New Roman" w:hAnsi="Times New Roman"/>
          <w:sz w:val="32"/>
          <w:szCs w:val="32"/>
          <w:lang w:val="en-US" w:eastAsia="zh-CN"/>
          <w:highlight w:val="auto"/>
        </w:rPr>
        <w:t>1</w:t>
      </w:r>
      <w:r>
        <w:rPr>
          <w:rFonts w:ascii="Times New Roman" w:eastAsia="仿宋_GB2312" w:cs="Times New Roman" w:hAnsi="Times New Roman"/>
          <w:sz w:val="32"/>
          <w:szCs w:val="32"/>
          <w:highlight w:val="auto"/>
        </w:rPr>
        <w:t>年持平</w:t>
      </w:r>
      <w:r>
        <w:rPr>
          <w:rFonts w:ascii="Times New Roman" w:eastAsia="仿宋_GB2312" w:cs="Times New Roman" w:hAnsi="Times New Roman"/>
          <w:sz w:val="32"/>
          <w:szCs w:val="32"/>
          <w:lang w:eastAsia="zh-CN"/>
          <w:highlight w:val="auto"/>
        </w:rPr>
        <w:t>，</w:t>
      </w:r>
      <w:r>
        <w:rPr>
          <w:rFonts w:ascii="Times New Roman" w:eastAsia="仿宋_GB2312" w:cs="Times New Roman" w:hAnsi="Times New Roman"/>
          <w:sz w:val="32"/>
          <w:szCs w:val="32"/>
          <w:highlight w:val="auto"/>
        </w:rPr>
        <w:t>主要原因是</w:t>
      </w:r>
      <w:r>
        <w:rPr>
          <w:rFonts w:ascii="Times New Roman" w:eastAsia="仿宋_GB2312" w:cs="Times New Roman" w:hAnsi="Times New Roman"/>
          <w:sz w:val="32"/>
          <w:szCs w:val="32"/>
          <w:lang w:val="en-US" w:eastAsia="zh-CN"/>
          <w:highlight w:val="auto"/>
        </w:rPr>
        <w:t>我单位</w:t>
      </w:r>
      <w:r>
        <w:rPr>
          <w:rFonts w:ascii="Times New Roman" w:eastAsia="仿宋_GB2312" w:cs="Times New Roman" w:hAnsi="Times New Roman"/>
          <w:sz w:val="32"/>
          <w:szCs w:val="32"/>
          <w:highlight w:val="auto"/>
        </w:rPr>
        <w:t>不涉及出国（境）业务。</w:t>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ascii="仿宋_GB2312" w:eastAsia="仿宋_GB2312"/>
          <w:b/>
          <w:sz w:val="32"/>
          <w:szCs w:val="32"/>
          <w:highlight w:val="auto"/>
        </w:rPr>
      </w:pPr>
      <w:r>
        <w:rPr>
          <w:rFonts w:ascii="仿宋_GB2312" w:eastAsia="仿宋_GB2312"/>
          <w:b/>
          <w:sz w:val="32"/>
          <w:szCs w:val="32"/>
          <w:highlight w:val="auto"/>
        </w:rPr>
        <w:t>2.</w:t>
      </w:r>
      <w:r>
        <w:rPr>
          <w:rFonts w:ascii="仿宋_GB2312" w:eastAsia="仿宋_GB2312" w:hint="eastAsia"/>
          <w:b/>
          <w:sz w:val="32"/>
          <w:szCs w:val="32"/>
          <w:highlight w:val="auto"/>
        </w:rPr>
        <w:t>公务用车购置及运行维护费支出</w:t>
      </w:r>
      <w:r>
        <w:rPr>
          <w:rFonts w:ascii="仿宋_GB2312" w:eastAsia="仿宋_GB2312" w:hint="eastAsia"/>
          <w:sz w:val="32"/>
          <w:szCs w:val="32"/>
          <w:lang w:val="en-US" w:eastAsia="zh-CN"/>
          <w:highlight w:val="auto"/>
        </w:rPr>
        <w:t>13.1</w:t>
      </w:r>
      <w:r>
        <w:rPr>
          <w:rFonts w:ascii="仿宋_GB2312" w:eastAsia="仿宋_GB2312" w:hint="eastAsia"/>
          <w:sz w:val="32"/>
          <w:szCs w:val="32"/>
          <w:highlight w:val="auto"/>
        </w:rPr>
        <w:t>万元,</w:t>
      </w:r>
      <w:r>
        <w:rPr>
          <w:rStyle w:val="25"/>
          <w:rFonts w:ascii="仿宋" w:eastAsia="仿宋" w:hint="eastAsia"/>
          <w:b w:val="0"/>
          <w:bCs/>
          <w:sz w:val="32"/>
          <w:szCs w:val="32"/>
          <w:highlight w:val="auto"/>
        </w:rPr>
        <w:t>完成预算</w:t>
      </w:r>
      <w:r>
        <w:rPr>
          <w:rStyle w:val="25"/>
          <w:rFonts w:ascii="仿宋" w:eastAsia="仿宋" w:hint="eastAsia"/>
          <w:b w:val="0"/>
          <w:bCs/>
          <w:sz w:val="32"/>
          <w:szCs w:val="32"/>
          <w:lang w:val="en-US" w:eastAsia="zh-CN"/>
          <w:highlight w:val="auto"/>
        </w:rPr>
        <w:t>90.97</w:t>
      </w:r>
      <w:r>
        <w:rPr>
          <w:rStyle w:val="25"/>
          <w:rFonts w:ascii="仿宋" w:eastAsia="仿宋"/>
          <w:b w:val="0"/>
          <w:bCs/>
          <w:sz w:val="32"/>
          <w:szCs w:val="32"/>
          <w:highlight w:val="auto"/>
        </w:rPr>
        <w:t>%</w:t>
      </w:r>
      <w:r>
        <w:rPr>
          <w:rStyle w:val="25"/>
          <w:rFonts w:ascii="仿宋" w:eastAsia="仿宋" w:hint="eastAsia"/>
          <w:b w:val="0"/>
          <w:bCs/>
          <w:sz w:val="32"/>
          <w:szCs w:val="32"/>
          <w:highlight w:val="auto"/>
        </w:rPr>
        <w:t>。</w:t>
      </w:r>
      <w:r>
        <w:rPr>
          <w:rFonts w:ascii="Times New Roman" w:eastAsia="仿宋_GB2312" w:cs="Times New Roman" w:hAnsi="Times New Roman"/>
          <w:sz w:val="32"/>
          <w:szCs w:val="32"/>
          <w:highlight w:val="auto"/>
        </w:rPr>
        <w:t>主要原因是是厉行节约，支出相应减少。</w:t>
      </w:r>
    </w:p>
    <w:p>
      <w:pPr>
        <w:spacing w:line="600" w:lineRule="exact"/>
        <w:ind w:firstLineChars="200" w:firstLine="640"/>
        <w:rPr>
          <w:rFonts w:ascii="仿宋_GB2312" w:eastAsia="仿宋_GB2312"/>
          <w:b/>
          <w:sz w:val="32"/>
          <w:szCs w:val="32"/>
          <w:highlight w:val="auto"/>
        </w:rPr>
      </w:pPr>
      <w:r>
        <w:rPr>
          <w:rFonts w:ascii="仿宋_GB2312" w:eastAsia="仿宋_GB2312" w:hint="eastAsia"/>
          <w:sz w:val="32"/>
          <w:szCs w:val="32"/>
          <w:highlight w:val="auto"/>
        </w:rPr>
        <w:t>截至</w:t>
      </w:r>
      <w:r>
        <w:rPr>
          <w:rFonts w:ascii="仿宋_GB2312" w:eastAsia="仿宋_GB2312"/>
          <w:sz w:val="32"/>
          <w:szCs w:val="32"/>
          <w:highlight w:val="auto"/>
        </w:rPr>
        <w:t>20</w:t>
      </w:r>
      <w:r>
        <w:rPr>
          <w:rFonts w:ascii="仿宋_GB2312" w:eastAsia="仿宋_GB2312" w:hint="eastAsia"/>
          <w:sz w:val="32"/>
          <w:szCs w:val="32"/>
          <w:highlight w:val="auto"/>
        </w:rPr>
        <w:t>22年</w:t>
      </w:r>
      <w:r>
        <w:rPr>
          <w:rFonts w:ascii="仿宋_GB2312" w:eastAsia="仿宋_GB2312"/>
          <w:sz w:val="32"/>
          <w:szCs w:val="32"/>
          <w:highlight w:val="auto"/>
        </w:rPr>
        <w:t>12</w:t>
      </w:r>
      <w:r>
        <w:rPr>
          <w:rFonts w:ascii="仿宋_GB2312" w:eastAsia="仿宋_GB2312" w:hint="eastAsia"/>
          <w:sz w:val="32"/>
          <w:szCs w:val="32"/>
          <w:highlight w:val="auto"/>
        </w:rPr>
        <w:t>月底，单位共有公务用车</w:t>
      </w:r>
      <w:r>
        <w:rPr>
          <w:rFonts w:ascii="仿宋_GB2312" w:eastAsia="仿宋_GB2312" w:hint="eastAsia"/>
          <w:sz w:val="32"/>
          <w:szCs w:val="32"/>
          <w:lang w:val="en-US" w:eastAsia="zh-CN"/>
          <w:highlight w:val="auto"/>
        </w:rPr>
        <w:t>2</w:t>
      </w:r>
      <w:r>
        <w:rPr>
          <w:rFonts w:ascii="仿宋_GB2312" w:eastAsia="仿宋_GB2312" w:hint="eastAsia"/>
          <w:sz w:val="32"/>
          <w:szCs w:val="32"/>
          <w:highlight w:val="auto"/>
        </w:rPr>
        <w:t>辆，其中：越野车</w:t>
      </w:r>
      <w:r>
        <w:rPr>
          <w:rFonts w:ascii="仿宋_GB2312" w:eastAsia="仿宋_GB2312" w:hint="eastAsia"/>
          <w:sz w:val="32"/>
          <w:szCs w:val="32"/>
          <w:lang w:val="en-US" w:eastAsia="zh-CN"/>
          <w:highlight w:val="auto"/>
        </w:rPr>
        <w:t>2</w:t>
      </w:r>
      <w:r>
        <w:rPr>
          <w:rFonts w:ascii="仿宋_GB2312" w:eastAsia="仿宋_GB2312" w:hint="eastAsia"/>
          <w:sz w:val="32"/>
          <w:szCs w:val="32"/>
          <w:highlight w:val="auto"/>
        </w:rPr>
        <w:t>辆。</w:t>
      </w:r>
    </w:p>
    <w:p>
      <w:pPr>
        <w:spacing w:line="600" w:lineRule="exact"/>
        <w:ind w:firstLineChars="200" w:firstLine="640"/>
        <w:rPr>
          <w:rFonts w:ascii="Times New Roman" w:eastAsia="仿宋_GB2312" w:cs="Times New Roman" w:hAnsi="Times New Roman"/>
          <w:b/>
          <w:color w:val="auto"/>
          <w:sz w:val="32"/>
          <w:szCs w:val="32"/>
          <w:highlight w:val="auto"/>
        </w:rPr>
      </w:pPr>
      <w:r>
        <w:rPr>
          <w:rFonts w:ascii="仿宋_GB2312" w:eastAsia="仿宋_GB2312" w:hint="eastAsia"/>
          <w:b/>
          <w:sz w:val="32"/>
          <w:szCs w:val="32"/>
          <w:highlight w:val="auto"/>
        </w:rPr>
        <w:t>公务用车运行维护费支出</w:t>
      </w:r>
      <w:r>
        <w:rPr>
          <w:rFonts w:ascii="仿宋_GB2312" w:eastAsia="仿宋_GB2312" w:hint="eastAsia"/>
          <w:sz w:val="32"/>
          <w:szCs w:val="32"/>
          <w:lang w:val="en-US" w:eastAsia="zh-CN"/>
          <w:highlight w:val="auto"/>
        </w:rPr>
        <w:t>13.1</w:t>
      </w:r>
      <w:r>
        <w:rPr>
          <w:rFonts w:ascii="仿宋_GB2312" w:eastAsia="仿宋_GB2312" w:hint="eastAsia"/>
          <w:sz w:val="32"/>
          <w:szCs w:val="32"/>
          <w:highlight w:val="auto"/>
        </w:rPr>
        <w:t>万元。</w:t>
      </w:r>
      <w:r>
        <w:rPr>
          <w:rFonts w:ascii="Times New Roman" w:eastAsia="仿宋_GB2312" w:cs="Times New Roman" w:hAnsi="Times New Roman"/>
          <w:color w:val="auto"/>
          <w:sz w:val="32"/>
          <w:szCs w:val="32"/>
          <w:highlight w:val="auto"/>
        </w:rPr>
        <w:t>主要用于</w:t>
      </w:r>
      <w:r>
        <w:rPr>
          <w:rFonts w:ascii="Times New Roman" w:eastAsia="仿宋_GB2312" w:cs="Times New Roman" w:hAnsi="Times New Roman"/>
          <w:color w:val="auto"/>
          <w:sz w:val="32"/>
          <w:szCs w:val="32"/>
          <w:lang w:val="en-US" w:eastAsia="zh-CN"/>
          <w:highlight w:val="auto"/>
        </w:rPr>
        <w:t>机构编制调研、督查</w:t>
      </w:r>
      <w:r>
        <w:rPr>
          <w:rFonts w:ascii="Times New Roman" w:eastAsia="仿宋_GB2312" w:cs="Times New Roman" w:hAnsi="Times New Roman"/>
          <w:color w:val="auto"/>
          <w:sz w:val="32"/>
          <w:szCs w:val="32"/>
          <w:highlight w:val="auto"/>
        </w:rPr>
        <w:t>等所需的公务用车燃料费、维修费、过路过桥费、保险费等支出。</w:t>
      </w:r>
    </w:p>
    <w:p>
      <w:pPr>
        <w:keepNext w:val="0"/>
        <w:keepLines w:val="0"/>
        <w:pageBreakBefore w:val="0"/>
        <w:widowControl w:val="0"/>
        <w:kinsoku/>
        <w:wordWrap/>
        <w:overflowPunct/>
        <w:topLinePunct w:val="0"/>
        <w:autoSpaceDE/>
        <w:autoSpaceDN/>
        <w:bidi w:val="0"/>
        <w:snapToGrid/>
        <w:spacing w:line="560" w:lineRule="exact"/>
        <w:ind w:firstLine="640"/>
        <w:textAlignment w:val="auto"/>
        <w:outlineLvl w:val="1"/>
        <w:rPr>
          <w:rFonts w:ascii="Times New Roman" w:eastAsia="仿宋_GB2312" w:cs="Times New Roman" w:hAnsi="Times New Roman"/>
          <w:color w:val="auto"/>
          <w:sz w:val="32"/>
          <w:szCs w:val="32"/>
          <w:highlight w:val="auto"/>
        </w:rPr>
      </w:pPr>
      <w:r>
        <w:rPr>
          <w:rFonts w:ascii="仿宋_GB2312" w:eastAsia="仿宋_GB2312"/>
          <w:b/>
          <w:sz w:val="32"/>
          <w:szCs w:val="32"/>
          <w:highlight w:val="auto"/>
        </w:rPr>
        <w:t>3.</w:t>
      </w:r>
      <w:r>
        <w:rPr>
          <w:rFonts w:ascii="仿宋_GB2312" w:eastAsia="仿宋_GB2312" w:hint="eastAsia"/>
          <w:b/>
          <w:sz w:val="32"/>
          <w:szCs w:val="32"/>
          <w:highlight w:val="auto"/>
        </w:rPr>
        <w:t>公务接待费支出</w:t>
      </w:r>
      <w:r>
        <w:rPr>
          <w:rFonts w:ascii="仿宋_GB2312" w:eastAsia="仿宋_GB2312" w:hint="eastAsia"/>
          <w:sz w:val="32"/>
          <w:szCs w:val="32"/>
          <w:lang w:val="en-US" w:eastAsia="zh-CN"/>
          <w:highlight w:val="auto"/>
        </w:rPr>
        <w:t>0</w:t>
      </w:r>
      <w:r>
        <w:rPr>
          <w:rFonts w:ascii="仿宋_GB2312" w:eastAsia="仿宋_GB2312" w:hint="eastAsia"/>
          <w:sz w:val="32"/>
          <w:szCs w:val="32"/>
          <w:highlight w:val="auto"/>
        </w:rPr>
        <w:t>万元，</w:t>
      </w:r>
      <w:r>
        <w:rPr>
          <w:rStyle w:val="25"/>
          <w:rFonts w:ascii="仿宋" w:eastAsia="仿宋" w:hint="eastAsia"/>
          <w:b w:val="0"/>
          <w:bCs/>
          <w:sz w:val="32"/>
          <w:szCs w:val="32"/>
          <w:highlight w:val="auto"/>
        </w:rPr>
        <w:t>完成预算</w:t>
      </w:r>
      <w:r>
        <w:rPr>
          <w:rStyle w:val="25"/>
          <w:rFonts w:ascii="仿宋" w:eastAsia="仿宋" w:hint="eastAsia"/>
          <w:b w:val="0"/>
          <w:bCs/>
          <w:sz w:val="32"/>
          <w:szCs w:val="32"/>
          <w:lang w:val="en-US" w:eastAsia="zh-CN"/>
          <w:highlight w:val="auto"/>
        </w:rPr>
        <w:t>0</w:t>
      </w:r>
      <w:r>
        <w:rPr>
          <w:rStyle w:val="25"/>
          <w:rFonts w:ascii="仿宋" w:eastAsia="仿宋"/>
          <w:b w:val="0"/>
          <w:bCs/>
          <w:sz w:val="32"/>
          <w:szCs w:val="32"/>
          <w:highlight w:val="auto"/>
        </w:rPr>
        <w:t>%</w:t>
      </w:r>
      <w:r>
        <w:rPr>
          <w:rStyle w:val="25"/>
          <w:rFonts w:ascii="仿宋" w:eastAsia="仿宋" w:hint="eastAsia"/>
          <w:b w:val="0"/>
          <w:bCs/>
          <w:sz w:val="32"/>
          <w:szCs w:val="32"/>
          <w:highlight w:val="auto"/>
        </w:rPr>
        <w:t>。</w:t>
      </w:r>
      <w:r>
        <w:rPr>
          <w:rFonts w:ascii="Times New Roman" w:eastAsia="仿宋_GB2312" w:cs="Times New Roman" w:hAnsi="Times New Roman"/>
          <w:color w:val="auto"/>
          <w:sz w:val="32"/>
          <w:szCs w:val="32"/>
          <w:highlight w:val="auto"/>
        </w:rPr>
        <w:t>公务接待费支出决算比20</w:t>
      </w:r>
      <w:r>
        <w:rPr>
          <w:rFonts w:ascii="Times New Roman" w:eastAsia="仿宋_GB2312" w:cs="Times New Roman" w:hAnsi="Times New Roman"/>
          <w:color w:val="auto"/>
          <w:sz w:val="32"/>
          <w:szCs w:val="32"/>
          <w:lang w:val="en-US" w:eastAsia="zh-CN"/>
          <w:highlight w:val="auto"/>
        </w:rPr>
        <w:t>21</w:t>
      </w:r>
      <w:r>
        <w:rPr>
          <w:rFonts w:ascii="Times New Roman" w:eastAsia="仿宋_GB2312" w:cs="Times New Roman" w:hAnsi="Times New Roman"/>
          <w:color w:val="auto"/>
          <w:sz w:val="32"/>
          <w:szCs w:val="32"/>
          <w:highlight w:val="auto"/>
        </w:rPr>
        <w:t>年减少</w:t>
      </w:r>
      <w:r>
        <w:rPr>
          <w:rFonts w:ascii="Times New Roman" w:eastAsia="仿宋_GB2312" w:cs="Times New Roman" w:hAnsi="Times New Roman"/>
          <w:color w:val="auto"/>
          <w:sz w:val="32"/>
          <w:szCs w:val="32"/>
          <w:lang w:val="en-US" w:eastAsia="zh-CN"/>
          <w:highlight w:val="auto"/>
        </w:rPr>
        <w:t>0.46</w:t>
      </w:r>
      <w:r>
        <w:rPr>
          <w:rFonts w:ascii="Times New Roman" w:eastAsia="仿宋_GB2312" w:cs="Times New Roman" w:hAnsi="Times New Roman"/>
          <w:color w:val="auto"/>
          <w:sz w:val="32"/>
          <w:szCs w:val="32"/>
          <w:highlight w:val="auto"/>
        </w:rPr>
        <w:t>万元，主要原因是</w:t>
      </w:r>
      <w:r>
        <w:rPr>
          <w:rFonts w:ascii="Times New Roman" w:eastAsia="仿宋_GB2312" w:cs="Times New Roman" w:hAnsi="Times New Roman"/>
          <w:color w:val="auto"/>
          <w:sz w:val="32"/>
          <w:szCs w:val="32"/>
          <w:lang w:val="en-US" w:eastAsia="zh-CN"/>
          <w:highlight w:val="auto"/>
        </w:rPr>
        <w:t>2022年度无</w:t>
      </w:r>
      <w:r>
        <w:rPr>
          <w:rFonts w:ascii="Times New Roman" w:eastAsia="仿宋_GB2312" w:cs="Times New Roman" w:hAnsi="Times New Roman"/>
          <w:color w:val="auto"/>
          <w:sz w:val="32"/>
          <w:szCs w:val="32"/>
          <w:highlight w:val="auto"/>
        </w:rPr>
        <w:t>公务接待。</w:t>
      </w:r>
    </w:p>
    <w:p>
      <w:pPr>
        <w:spacing w:line="600" w:lineRule="exact"/>
        <w:ind w:firstLine="640"/>
        <w:outlineLvl w:val="1"/>
        <w:rPr>
          <w:rStyle w:val="2Char"/>
          <w:rFonts w:ascii="黑体" w:eastAsia="黑体"/>
          <w:highlight w:val="auto"/>
        </w:rPr>
      </w:pPr>
      <w:bookmarkStart w:id="42" w:name="_Toc15396610"/>
      <w:bookmarkStart w:id="43" w:name="_Toc15377218"/>
      <w:r>
        <w:rPr>
          <w:rFonts w:ascii="黑体" w:eastAsia="黑体" w:hint="eastAsia"/>
          <w:sz w:val="32"/>
          <w:szCs w:val="32"/>
          <w:highlight w:val="auto"/>
        </w:rPr>
        <w:t>八、</w:t>
      </w:r>
      <w:r>
        <w:rPr>
          <w:rStyle w:val="2Char"/>
          <w:rFonts w:ascii="黑体" w:eastAsia="黑体" w:hint="eastAsia"/>
          <w:b w:val="0"/>
          <w:highlight w:val="auto"/>
        </w:rPr>
        <w:t>政府性基金预算支出决算情况说明</w:t>
      </w:r>
      <w:bookmarkEnd w:id="42"/>
      <w:bookmarkEnd w:id="43"/>
    </w:p>
    <w:p>
      <w:pPr>
        <w:spacing w:line="600" w:lineRule="exact"/>
        <w:ind w:firstLine="640"/>
        <w:rPr>
          <w:rFonts w:ascii="仿宋_GB2312" w:eastAsia="仿宋_GB2312"/>
          <w:sz w:val="32"/>
          <w:szCs w:val="32"/>
          <w:lang w:val="en-US"/>
          <w:highlight w:val="auto"/>
        </w:rPr>
      </w:pPr>
      <w:r>
        <w:rPr>
          <w:rFonts w:ascii="仿宋_GB2312" w:eastAsia="仿宋_GB2312" w:hint="eastAsia"/>
          <w:sz w:val="32"/>
          <w:szCs w:val="32"/>
          <w:lang w:val="en-US" w:eastAsia="zh-CN"/>
          <w:highlight w:val="auto"/>
        </w:rPr>
        <w:t>本部门没有政府性基金预算支出</w:t>
      </w:r>
    </w:p>
    <w:p>
      <w:pPr>
        <w:numPr>
          <w:ilvl w:val="0"/>
          <w:numId w:val="2"/>
        </w:numPr>
        <w:spacing w:line="600" w:lineRule="exact"/>
        <w:ind w:left="0" w:firstLine="640"/>
        <w:outlineLvl w:val="1"/>
        <w:rPr>
          <w:rStyle w:val="2Char"/>
          <w:rFonts w:ascii="黑体" w:eastAsia="黑体"/>
          <w:b w:val="0"/>
          <w:highlight w:val="auto"/>
        </w:rPr>
      </w:pPr>
      <w:bookmarkStart w:id="44" w:name="_Toc15396611"/>
      <w:bookmarkStart w:id="45" w:name="_Toc15377219"/>
      <w:r>
        <w:rPr>
          <w:rStyle w:val="2Char"/>
          <w:rFonts w:ascii="黑体" w:eastAsia="黑体" w:hint="eastAsia"/>
          <w:b w:val="0"/>
          <w:highlight w:val="auto"/>
        </w:rPr>
        <w:t>国有资本经营预算支出决算情况说明</w:t>
      </w:r>
      <w:bookmarkEnd w:id="44"/>
      <w:bookmarkEnd w:id="45"/>
    </w:p>
    <w:p>
      <w:pPr>
        <w:spacing w:line="600" w:lineRule="exact"/>
        <w:ind w:firstLine="640"/>
        <w:rPr>
          <w:rFonts w:ascii="方正小标宋简体" w:eastAsia="方正小标宋简体" w:cs="方正小标宋简体"/>
          <w:sz w:val="44"/>
          <w:szCs w:val="44"/>
          <w:highlight w:val="auto"/>
        </w:rPr>
      </w:pPr>
      <w:r>
        <w:rPr>
          <w:rFonts w:ascii="仿宋_GB2312" w:eastAsia="仿宋_GB2312" w:hint="eastAsia"/>
          <w:sz w:val="32"/>
          <w:szCs w:val="32"/>
          <w:lang w:val="en-US" w:eastAsia="zh-CN"/>
          <w:highlight w:val="auto"/>
        </w:rPr>
        <w:t>本部门没有国有资本经营预算支出</w:t>
      </w:r>
    </w:p>
    <w:p>
      <w:pPr>
        <w:numPr>
          <w:ilvl w:val="0"/>
          <w:numId w:val="2"/>
        </w:numPr>
        <w:spacing w:line="600" w:lineRule="exact"/>
        <w:ind w:left="0" w:firstLine="640"/>
        <w:outlineLvl w:val="1"/>
        <w:rPr>
          <w:rStyle w:val="2Char"/>
          <w:rFonts w:ascii="黑体" w:eastAsia="黑体"/>
          <w:b w:val="0"/>
          <w:highlight w:val="auto"/>
        </w:rPr>
      </w:pPr>
      <w:bookmarkStart w:id="46" w:name="_Toc15396612"/>
      <w:bookmarkStart w:id="47" w:name="_Toc15377221"/>
      <w:r>
        <w:rPr>
          <w:rStyle w:val="2Char"/>
          <w:rFonts w:ascii="黑体" w:eastAsia="黑体" w:hint="eastAsia"/>
          <w:b w:val="0"/>
          <w:highlight w:val="auto"/>
        </w:rPr>
        <w:t>其他重要事项的情况说明</w:t>
      </w:r>
      <w:bookmarkEnd w:id="46"/>
      <w:bookmarkEnd w:id="47"/>
    </w:p>
    <w:p>
      <w:pPr>
        <w:spacing w:line="600" w:lineRule="exact"/>
        <w:ind w:firstLineChars="200" w:firstLine="640"/>
        <w:outlineLvl w:val="2"/>
        <w:rPr>
          <w:rFonts w:ascii="楷体_GB2312" w:eastAsia="楷体_GB2312" w:cs="楷体_GB2312" w:hint="eastAsia"/>
          <w:sz w:val="32"/>
          <w:szCs w:val="32"/>
          <w:highlight w:val="auto"/>
        </w:rPr>
      </w:pPr>
      <w:bookmarkStart w:id="48" w:name="_Toc15377222"/>
      <w:r>
        <w:rPr>
          <w:rFonts w:ascii="楷体_GB2312" w:eastAsia="楷体_GB2312" w:cs="楷体_GB2312" w:hint="eastAsia"/>
          <w:b/>
          <w:sz w:val="32"/>
          <w:szCs w:val="32"/>
          <w:highlight w:val="auto"/>
        </w:rPr>
        <w:t>（一）机关运行经费支出情况</w:t>
      </w:r>
      <w:bookmarkEnd w:id="48"/>
    </w:p>
    <w:p>
      <w:pPr>
        <w:spacing w:line="600" w:lineRule="exact"/>
        <w:ind w:firstLineChars="200" w:firstLine="640"/>
        <w:rPr>
          <w:rFonts w:ascii="仿宋_GB2312" w:eastAsia="仿宋_GB2312"/>
          <w:sz w:val="32"/>
          <w:szCs w:val="32"/>
          <w:highlight w:val="auto"/>
        </w:rPr>
      </w:pPr>
      <w:r>
        <w:rPr>
          <w:rFonts w:ascii="仿宋_GB2312" w:eastAsia="仿宋_GB2312"/>
          <w:sz w:val="32"/>
          <w:szCs w:val="32"/>
          <w:highlight w:val="auto"/>
        </w:rPr>
        <w:t>20</w:t>
      </w:r>
      <w:r>
        <w:rPr>
          <w:rFonts w:ascii="仿宋_GB2312" w:eastAsia="仿宋_GB2312" w:hint="eastAsia"/>
          <w:sz w:val="32"/>
          <w:szCs w:val="32"/>
          <w:highlight w:val="auto"/>
        </w:rPr>
        <w:t>22年，</w:t>
      </w:r>
      <w:r>
        <w:rPr>
          <w:rFonts w:ascii="仿宋_GB2312" w:eastAsia="仿宋_GB2312" w:hint="eastAsia"/>
          <w:sz w:val="32"/>
          <w:szCs w:val="32"/>
          <w:lang w:val="en-US" w:eastAsia="zh-CN"/>
          <w:highlight w:val="auto"/>
        </w:rPr>
        <w:t>阿坝州委编办</w:t>
      </w:r>
      <w:r>
        <w:rPr>
          <w:rFonts w:ascii="仿宋_GB2312" w:eastAsia="仿宋_GB2312" w:hint="eastAsia"/>
          <w:sz w:val="32"/>
          <w:szCs w:val="32"/>
          <w:highlight w:val="auto"/>
        </w:rPr>
        <w:t>机关运行经费支出</w:t>
      </w:r>
      <w:r>
        <w:rPr>
          <w:rFonts w:ascii="仿宋_GB2312" w:eastAsia="仿宋_GB2312" w:hint="eastAsia"/>
          <w:sz w:val="32"/>
          <w:szCs w:val="32"/>
          <w:lang w:val="en-US" w:eastAsia="zh-CN"/>
          <w:highlight w:val="auto"/>
        </w:rPr>
        <w:t>103.19</w:t>
      </w:r>
      <w:r>
        <w:rPr>
          <w:rFonts w:ascii="仿宋_GB2312" w:eastAsia="仿宋_GB2312" w:hint="eastAsia"/>
          <w:sz w:val="32"/>
          <w:szCs w:val="32"/>
          <w:highlight w:val="auto"/>
        </w:rPr>
        <w:t>万元，比</w:t>
      </w:r>
      <w:r>
        <w:rPr>
          <w:rFonts w:ascii="仿宋_GB2312" w:eastAsia="仿宋_GB2312"/>
          <w:sz w:val="32"/>
          <w:szCs w:val="32"/>
          <w:highlight w:val="auto"/>
        </w:rPr>
        <w:t>20</w:t>
      </w:r>
      <w:r>
        <w:rPr>
          <w:rFonts w:ascii="仿宋_GB2312" w:eastAsia="仿宋_GB2312" w:hint="eastAsia"/>
          <w:sz w:val="32"/>
          <w:szCs w:val="32"/>
          <w:highlight w:val="auto"/>
        </w:rPr>
        <w:t>21年增加</w:t>
      </w:r>
      <w:r>
        <w:rPr>
          <w:rFonts w:ascii="仿宋_GB2312" w:eastAsia="仿宋_GB2312" w:hint="eastAsia"/>
          <w:sz w:val="32"/>
          <w:szCs w:val="32"/>
          <w:lang w:val="en-US" w:eastAsia="zh-CN"/>
          <w:highlight w:val="auto"/>
        </w:rPr>
        <w:t>32.09</w:t>
      </w:r>
      <w:r>
        <w:rPr>
          <w:rFonts w:ascii="仿宋_GB2312" w:eastAsia="仿宋_GB2312" w:hint="eastAsia"/>
          <w:sz w:val="32"/>
          <w:szCs w:val="32"/>
          <w:highlight w:val="auto"/>
        </w:rPr>
        <w:t>万元，增长</w:t>
      </w:r>
      <w:r>
        <w:rPr>
          <w:rFonts w:ascii="仿宋_GB2312" w:eastAsia="仿宋_GB2312" w:hint="eastAsia"/>
          <w:sz w:val="32"/>
          <w:szCs w:val="32"/>
          <w:lang w:val="en-US" w:eastAsia="zh-CN"/>
          <w:highlight w:val="auto"/>
        </w:rPr>
        <w:t>45.13</w:t>
      </w:r>
      <w:r>
        <w:rPr>
          <w:rFonts w:ascii="仿宋_GB2312" w:eastAsia="仿宋_GB2312"/>
          <w:sz w:val="32"/>
          <w:szCs w:val="32"/>
          <w:highlight w:val="auto"/>
        </w:rPr>
        <w:t>%</w:t>
      </w:r>
      <w:r>
        <w:rPr>
          <w:rFonts w:ascii="仿宋_GB2312" w:eastAsia="仿宋_GB2312" w:hint="eastAsia"/>
          <w:sz w:val="32"/>
          <w:szCs w:val="32"/>
          <w:highlight w:val="auto"/>
        </w:rPr>
        <w:t>。主要原因是</w:t>
      </w:r>
      <w:r>
        <w:rPr>
          <w:rFonts w:ascii="Times New Roman" w:eastAsia="仿宋_GB2312" w:cs="Times New Roman" w:hAnsi="Times New Roman"/>
          <w:color w:val="auto"/>
          <w:sz w:val="32"/>
          <w:szCs w:val="32"/>
          <w:lang w:val="en-US" w:eastAsia="zh-CN"/>
          <w:highlight w:val="auto"/>
        </w:rPr>
        <w:t>增加了机构编制业务培训及机关</w:t>
      </w:r>
      <w:r>
        <w:rPr>
          <w:rFonts w:ascii="Times New Roman" w:eastAsia="仿宋_GB2312" w:cs="Times New Roman" w:hAnsi="Times New Roman" w:hint="eastAsia"/>
          <w:color w:val="auto"/>
          <w:sz w:val="32"/>
          <w:szCs w:val="32"/>
          <w:lang w:val="en-US" w:eastAsia="zh-CN"/>
          <w:highlight w:val="auto"/>
        </w:rPr>
        <w:t>能力</w:t>
      </w:r>
      <w:r>
        <w:rPr>
          <w:rFonts w:ascii="Times New Roman" w:eastAsia="仿宋_GB2312" w:cs="Times New Roman" w:hAnsi="Times New Roman"/>
          <w:color w:val="auto"/>
          <w:sz w:val="32"/>
          <w:szCs w:val="32"/>
          <w:lang w:val="en-US" w:eastAsia="zh-CN"/>
          <w:highlight w:val="auto"/>
        </w:rPr>
        <w:t>建设</w:t>
      </w:r>
      <w:r>
        <w:rPr>
          <w:rFonts w:ascii="Times New Roman" w:eastAsia="仿宋_GB2312" w:cs="Times New Roman" w:hAnsi="Times New Roman"/>
          <w:color w:val="auto"/>
          <w:sz w:val="32"/>
          <w:szCs w:val="32"/>
          <w:lang w:eastAsia="zh-CN"/>
          <w:highlight w:val="auto"/>
        </w:rPr>
        <w:t>。</w:t>
      </w:r>
    </w:p>
    <w:p>
      <w:pPr>
        <w:spacing w:line="600" w:lineRule="exact"/>
        <w:ind w:firstLineChars="200" w:firstLine="640"/>
        <w:outlineLvl w:val="2"/>
        <w:rPr>
          <w:rFonts w:ascii="楷体_GB2312" w:eastAsia="楷体_GB2312" w:cs="楷体_GB2312" w:hint="eastAsia"/>
          <w:b/>
          <w:sz w:val="32"/>
          <w:szCs w:val="32"/>
          <w:highlight w:val="auto"/>
        </w:rPr>
      </w:pPr>
      <w:bookmarkStart w:id="49" w:name="_Toc15377223"/>
      <w:r>
        <w:rPr>
          <w:rFonts w:ascii="楷体_GB2312" w:eastAsia="楷体_GB2312" w:cs="楷体_GB2312" w:hint="eastAsia"/>
          <w:b/>
          <w:sz w:val="32"/>
          <w:szCs w:val="32"/>
          <w:highlight w:val="auto"/>
        </w:rPr>
        <w:t>（二）政府采购支出情况</w:t>
      </w:r>
      <w:bookmarkEnd w:id="49"/>
    </w:p>
    <w:p>
      <w:pPr>
        <w:spacing w:line="600" w:lineRule="exact"/>
        <w:ind w:firstLineChars="200" w:firstLine="640"/>
        <w:rPr>
          <w:rFonts w:ascii="仿宋_GB2312" w:eastAsia="仿宋_GB2312"/>
          <w:sz w:val="32"/>
          <w:szCs w:val="32"/>
          <w:highlight w:val="auto"/>
        </w:rPr>
      </w:pPr>
      <w:r>
        <w:rPr>
          <w:rFonts w:ascii="仿宋_GB2312" w:eastAsia="仿宋_GB2312"/>
          <w:sz w:val="32"/>
          <w:szCs w:val="32"/>
          <w:highlight w:val="auto"/>
        </w:rPr>
        <w:t>20</w:t>
      </w:r>
      <w:r>
        <w:rPr>
          <w:rFonts w:ascii="仿宋_GB2312" w:eastAsia="仿宋_GB2312" w:hint="eastAsia"/>
          <w:sz w:val="32"/>
          <w:szCs w:val="32"/>
          <w:highlight w:val="auto"/>
        </w:rPr>
        <w:t>22年，</w:t>
      </w:r>
      <w:r>
        <w:rPr>
          <w:rFonts w:ascii="仿宋_GB2312" w:eastAsia="仿宋_GB2312" w:hint="eastAsia"/>
          <w:sz w:val="32"/>
          <w:szCs w:val="32"/>
          <w:lang w:val="en-US" w:eastAsia="zh-CN"/>
          <w:highlight w:val="auto"/>
        </w:rPr>
        <w:t>阿坝州委编办</w:t>
      </w:r>
      <w:r>
        <w:rPr>
          <w:rFonts w:ascii="仿宋_GB2312" w:eastAsia="仿宋_GB2312" w:hint="eastAsia"/>
          <w:sz w:val="32"/>
          <w:szCs w:val="32"/>
          <w:highlight w:val="auto"/>
        </w:rPr>
        <w:t>政府采购支出总额</w:t>
      </w:r>
      <w:r>
        <w:rPr>
          <w:rFonts w:ascii="仿宋_GB2312" w:eastAsia="仿宋_GB2312" w:hint="eastAsia"/>
          <w:sz w:val="32"/>
          <w:szCs w:val="32"/>
          <w:lang w:val="en-US" w:eastAsia="zh-CN"/>
          <w:highlight w:val="auto"/>
        </w:rPr>
        <w:t>3.49</w:t>
      </w:r>
      <w:r>
        <w:rPr>
          <w:rFonts w:ascii="仿宋_GB2312" w:eastAsia="仿宋_GB2312" w:hint="eastAsia"/>
          <w:sz w:val="32"/>
          <w:szCs w:val="32"/>
          <w:highlight w:val="auto"/>
        </w:rPr>
        <w:t>万元，其中：政府采购货物支出</w:t>
      </w:r>
      <w:r>
        <w:rPr>
          <w:rFonts w:ascii="仿宋_GB2312" w:eastAsia="仿宋_GB2312" w:hint="eastAsia"/>
          <w:sz w:val="32"/>
          <w:szCs w:val="32"/>
          <w:lang w:val="en-US" w:eastAsia="zh-CN"/>
          <w:highlight w:val="auto"/>
        </w:rPr>
        <w:t>3.49</w:t>
      </w:r>
      <w:r>
        <w:rPr>
          <w:rFonts w:ascii="仿宋_GB2312" w:eastAsia="仿宋_GB2312" w:hint="eastAsia"/>
          <w:sz w:val="32"/>
          <w:szCs w:val="32"/>
          <w:highlight w:val="auto"/>
        </w:rPr>
        <w:t>万元、政府采购工程支出</w:t>
      </w:r>
      <w:r>
        <w:rPr>
          <w:rFonts w:ascii="仿宋_GB2312" w:eastAsia="仿宋_GB2312" w:hint="eastAsia"/>
          <w:sz w:val="32"/>
          <w:szCs w:val="32"/>
          <w:lang w:val="en-US" w:eastAsia="zh-CN"/>
          <w:highlight w:val="auto"/>
        </w:rPr>
        <w:t>0</w:t>
      </w:r>
      <w:r>
        <w:rPr>
          <w:rFonts w:ascii="仿宋_GB2312" w:eastAsia="仿宋_GB2312" w:hint="eastAsia"/>
          <w:sz w:val="32"/>
          <w:szCs w:val="32"/>
          <w:highlight w:val="auto"/>
        </w:rPr>
        <w:t>万元、政府采购服务支出</w:t>
      </w:r>
      <w:r>
        <w:rPr>
          <w:rFonts w:ascii="仿宋_GB2312" w:eastAsia="仿宋_GB2312" w:hint="eastAsia"/>
          <w:sz w:val="32"/>
          <w:szCs w:val="32"/>
          <w:lang w:val="en-US" w:eastAsia="zh-CN"/>
          <w:highlight w:val="auto"/>
        </w:rPr>
        <w:t>0</w:t>
      </w:r>
      <w:r>
        <w:rPr>
          <w:rFonts w:ascii="仿宋_GB2312" w:eastAsia="仿宋_GB2312" w:hint="eastAsia"/>
          <w:sz w:val="32"/>
          <w:szCs w:val="32"/>
          <w:highlight w:val="auto"/>
        </w:rPr>
        <w:t>万元。主要用于</w:t>
      </w:r>
      <w:r>
        <w:rPr>
          <w:rFonts w:ascii="Times New Roman" w:eastAsia="仿宋_GB2312" w:cs="Times New Roman" w:hAnsi="Times New Roman"/>
          <w:color w:val="auto"/>
          <w:sz w:val="32"/>
          <w:szCs w:val="32"/>
          <w:lang w:val="en-US" w:eastAsia="zh-CN"/>
          <w:highlight w:val="auto"/>
        </w:rPr>
        <w:t>机关</w:t>
      </w:r>
      <w:r>
        <w:rPr>
          <w:rFonts w:ascii="Times New Roman" w:eastAsia="仿宋_GB2312" w:cs="Times New Roman" w:hAnsi="Times New Roman" w:hint="eastAsia"/>
          <w:color w:val="auto"/>
          <w:sz w:val="32"/>
          <w:szCs w:val="32"/>
          <w:lang w:val="en-US" w:eastAsia="zh-CN"/>
          <w:highlight w:val="auto"/>
        </w:rPr>
        <w:t>能力</w:t>
      </w:r>
      <w:r>
        <w:rPr>
          <w:rFonts w:ascii="Times New Roman" w:eastAsia="仿宋_GB2312" w:cs="Times New Roman" w:hAnsi="Times New Roman"/>
          <w:color w:val="auto"/>
          <w:sz w:val="32"/>
          <w:szCs w:val="32"/>
          <w:lang w:val="en-US" w:eastAsia="zh-CN"/>
          <w:highlight w:val="auto"/>
        </w:rPr>
        <w:t>建设</w:t>
      </w:r>
      <w:r>
        <w:rPr>
          <w:rFonts w:ascii="仿宋_GB2312" w:eastAsia="仿宋_GB2312" w:hint="eastAsia"/>
          <w:sz w:val="32"/>
          <w:szCs w:val="32"/>
          <w:highlight w:val="auto"/>
        </w:rPr>
        <w:t>。授予中小企业合同金额</w:t>
      </w:r>
      <w:r>
        <w:rPr>
          <w:rFonts w:ascii="仿宋_GB2312" w:eastAsia="仿宋_GB2312" w:hint="eastAsia"/>
          <w:sz w:val="32"/>
          <w:szCs w:val="32"/>
          <w:lang w:val="en-US" w:eastAsia="zh-CN"/>
          <w:highlight w:val="auto"/>
        </w:rPr>
        <w:t>3.49</w:t>
      </w:r>
      <w:r>
        <w:rPr>
          <w:rFonts w:ascii="仿宋_GB2312" w:eastAsia="仿宋_GB2312" w:hint="eastAsia"/>
          <w:sz w:val="32"/>
          <w:szCs w:val="32"/>
          <w:highlight w:val="auto"/>
        </w:rPr>
        <w:t>万元，占政府采购支出总额的</w:t>
      </w:r>
      <w:r>
        <w:rPr>
          <w:rFonts w:ascii="仿宋_GB2312" w:eastAsia="仿宋_GB2312" w:hint="eastAsia"/>
          <w:sz w:val="32"/>
          <w:szCs w:val="32"/>
          <w:lang w:val="en-US" w:eastAsia="zh-CN"/>
          <w:highlight w:val="auto"/>
        </w:rPr>
        <w:t>100</w:t>
      </w:r>
      <w:r>
        <w:rPr>
          <w:rFonts w:ascii="仿宋_GB2312" w:eastAsia="仿宋_GB2312"/>
          <w:sz w:val="32"/>
          <w:szCs w:val="32"/>
          <w:highlight w:val="auto"/>
        </w:rPr>
        <w:t>%</w:t>
      </w:r>
      <w:r>
        <w:rPr>
          <w:rFonts w:ascii="仿宋_GB2312" w:eastAsia="仿宋_GB2312" w:hint="eastAsia"/>
          <w:sz w:val="32"/>
          <w:szCs w:val="32"/>
          <w:highlight w:val="auto"/>
        </w:rPr>
        <w:t>，其中：授予小微企业合同金额</w:t>
      </w:r>
      <w:r>
        <w:rPr>
          <w:rFonts w:ascii="仿宋_GB2312" w:eastAsia="仿宋_GB2312" w:hint="eastAsia"/>
          <w:sz w:val="32"/>
          <w:szCs w:val="32"/>
          <w:lang w:val="en-US" w:eastAsia="zh-CN"/>
          <w:highlight w:val="auto"/>
        </w:rPr>
        <w:t>3.49</w:t>
      </w:r>
      <w:r>
        <w:rPr>
          <w:rFonts w:ascii="仿宋_GB2312" w:eastAsia="仿宋_GB2312" w:hint="eastAsia"/>
          <w:sz w:val="32"/>
          <w:szCs w:val="32"/>
          <w:highlight w:val="auto"/>
        </w:rPr>
        <w:t>万元，占政府采购支出总额的</w:t>
      </w:r>
      <w:r>
        <w:rPr>
          <w:rFonts w:ascii="仿宋_GB2312" w:eastAsia="仿宋_GB2312" w:hint="eastAsia"/>
          <w:sz w:val="32"/>
          <w:szCs w:val="32"/>
          <w:lang w:val="en-US" w:eastAsia="zh-CN"/>
          <w:highlight w:val="auto"/>
        </w:rPr>
        <w:t>100</w:t>
      </w:r>
      <w:r>
        <w:rPr>
          <w:rFonts w:ascii="仿宋_GB2312" w:eastAsia="仿宋_GB2312"/>
          <w:sz w:val="32"/>
          <w:szCs w:val="32"/>
          <w:highlight w:val="auto"/>
        </w:rPr>
        <w:t>%</w:t>
      </w:r>
      <w:r>
        <w:rPr>
          <w:rFonts w:ascii="仿宋_GB2312" w:eastAsia="仿宋_GB2312" w:hint="eastAsia"/>
          <w:sz w:val="32"/>
          <w:szCs w:val="32"/>
          <w:highlight w:val="auto"/>
        </w:rPr>
        <w:t>。</w:t>
      </w:r>
    </w:p>
    <w:p>
      <w:pPr>
        <w:spacing w:line="600" w:lineRule="exact"/>
        <w:ind w:firstLineChars="200" w:firstLine="640"/>
        <w:outlineLvl w:val="2"/>
        <w:rPr>
          <w:rFonts w:ascii="楷体_GB2312" w:eastAsia="楷体_GB2312" w:cs="楷体_GB2312" w:hint="eastAsia"/>
          <w:b/>
          <w:sz w:val="32"/>
          <w:szCs w:val="32"/>
          <w:highlight w:val="auto"/>
        </w:rPr>
      </w:pPr>
      <w:bookmarkStart w:id="50" w:name="_Toc15377224"/>
      <w:r>
        <w:rPr>
          <w:rFonts w:ascii="楷体_GB2312" w:eastAsia="楷体_GB2312" w:cs="楷体_GB2312" w:hint="eastAsia"/>
          <w:b/>
          <w:sz w:val="32"/>
          <w:szCs w:val="32"/>
          <w:highlight w:val="auto"/>
        </w:rPr>
        <w:t>（三）国有资产占有使用情况</w:t>
      </w:r>
      <w:bookmarkEnd w:id="50"/>
    </w:p>
    <w:p>
      <w:pPr>
        <w:autoSpaceDE w:val="0"/>
        <w:autoSpaceDN w:val="0"/>
        <w:adjustRightInd w:val="0"/>
        <w:spacing w:line="600" w:lineRule="exact"/>
        <w:ind w:firstLineChars="200" w:firstLine="640"/>
        <w:jc w:val="left"/>
        <w:rPr>
          <w:rFonts w:ascii="仿宋_GB2312" w:eastAsia="仿宋_GB2312"/>
          <w:sz w:val="32"/>
          <w:szCs w:val="32"/>
          <w:highlight w:val="auto"/>
        </w:rPr>
      </w:pPr>
      <w:r>
        <w:rPr>
          <w:rFonts w:ascii="仿宋_GB2312" w:eastAsia="仿宋_GB2312" w:hint="eastAsia"/>
          <w:sz w:val="32"/>
          <w:szCs w:val="32"/>
          <w:highlight w:val="auto"/>
        </w:rPr>
        <w:t>截至</w:t>
      </w:r>
      <w:r>
        <w:rPr>
          <w:rFonts w:ascii="仿宋_GB2312" w:eastAsia="仿宋_GB2312"/>
          <w:sz w:val="32"/>
          <w:szCs w:val="32"/>
          <w:highlight w:val="auto"/>
        </w:rPr>
        <w:t>20</w:t>
      </w:r>
      <w:r>
        <w:rPr>
          <w:rFonts w:ascii="仿宋_GB2312" w:eastAsia="仿宋_GB2312" w:hint="eastAsia"/>
          <w:sz w:val="32"/>
          <w:szCs w:val="32"/>
          <w:highlight w:val="auto"/>
        </w:rPr>
        <w:t>22年</w:t>
      </w:r>
      <w:r>
        <w:rPr>
          <w:rFonts w:ascii="仿宋_GB2312" w:eastAsia="仿宋_GB2312"/>
          <w:sz w:val="32"/>
          <w:szCs w:val="32"/>
          <w:highlight w:val="auto"/>
        </w:rPr>
        <w:t>12</w:t>
      </w:r>
      <w:r>
        <w:rPr>
          <w:rFonts w:ascii="仿宋_GB2312" w:eastAsia="仿宋_GB2312" w:hint="eastAsia"/>
          <w:sz w:val="32"/>
          <w:szCs w:val="32"/>
          <w:highlight w:val="auto"/>
        </w:rPr>
        <w:t>月</w:t>
      </w:r>
      <w:r>
        <w:rPr>
          <w:rFonts w:ascii="仿宋_GB2312" w:eastAsia="仿宋_GB2312"/>
          <w:sz w:val="32"/>
          <w:szCs w:val="32"/>
          <w:highlight w:val="auto"/>
        </w:rPr>
        <w:t>31</w:t>
      </w:r>
      <w:r>
        <w:rPr>
          <w:rFonts w:ascii="仿宋_GB2312" w:eastAsia="仿宋_GB2312" w:hint="eastAsia"/>
          <w:sz w:val="32"/>
          <w:szCs w:val="32"/>
          <w:highlight w:val="auto"/>
        </w:rPr>
        <w:t>日，</w:t>
      </w:r>
      <w:r>
        <w:rPr>
          <w:rFonts w:ascii="仿宋_GB2312" w:eastAsia="仿宋_GB2312" w:hint="eastAsia"/>
          <w:sz w:val="32"/>
          <w:szCs w:val="32"/>
          <w:lang w:val="en-US" w:eastAsia="zh-CN"/>
          <w:highlight w:val="auto"/>
        </w:rPr>
        <w:t>阿坝州委编办</w:t>
      </w:r>
      <w:r>
        <w:rPr>
          <w:rFonts w:ascii="仿宋_GB2312" w:eastAsia="仿宋_GB2312" w:hint="eastAsia"/>
          <w:sz w:val="32"/>
          <w:szCs w:val="32"/>
          <w:highlight w:val="auto"/>
        </w:rPr>
        <w:t>共有车辆</w:t>
      </w:r>
      <w:r>
        <w:rPr>
          <w:rFonts w:ascii="仿宋_GB2312" w:eastAsia="仿宋_GB2312" w:hint="eastAsia"/>
          <w:sz w:val="32"/>
          <w:szCs w:val="32"/>
          <w:lang w:val="en-US" w:eastAsia="zh-CN"/>
          <w:highlight w:val="auto"/>
        </w:rPr>
        <w:t>2</w:t>
      </w:r>
      <w:r>
        <w:rPr>
          <w:rFonts w:ascii="仿宋_GB2312" w:eastAsia="仿宋_GB2312" w:hint="eastAsia"/>
          <w:sz w:val="32"/>
          <w:szCs w:val="32"/>
          <w:highlight w:val="auto"/>
        </w:rPr>
        <w:t>辆，其中：主要领导干部用车</w:t>
      </w:r>
      <w:r>
        <w:rPr>
          <w:rFonts w:ascii="仿宋_GB2312" w:eastAsia="仿宋_GB2312" w:hint="eastAsia"/>
          <w:sz w:val="32"/>
          <w:szCs w:val="32"/>
          <w:lang w:val="en-US" w:eastAsia="zh-CN"/>
          <w:highlight w:val="auto"/>
        </w:rPr>
        <w:t>0</w:t>
      </w:r>
      <w:r>
        <w:rPr>
          <w:rFonts w:ascii="仿宋_GB2312" w:eastAsia="仿宋_GB2312" w:hint="eastAsia"/>
          <w:sz w:val="32"/>
          <w:szCs w:val="32"/>
          <w:highlight w:val="auto"/>
        </w:rPr>
        <w:t>辆、机要通信用车</w:t>
      </w:r>
      <w:r>
        <w:rPr>
          <w:rFonts w:ascii="仿宋_GB2312" w:eastAsia="仿宋_GB2312" w:hint="eastAsia"/>
          <w:sz w:val="32"/>
          <w:szCs w:val="32"/>
          <w:lang w:val="en-US" w:eastAsia="zh-CN"/>
          <w:highlight w:val="auto"/>
        </w:rPr>
        <w:t>0</w:t>
      </w:r>
      <w:r>
        <w:rPr>
          <w:rFonts w:ascii="仿宋_GB2312" w:eastAsia="仿宋_GB2312" w:hint="eastAsia"/>
          <w:sz w:val="32"/>
          <w:szCs w:val="32"/>
          <w:highlight w:val="auto"/>
        </w:rPr>
        <w:t>辆、应急保障用车</w:t>
      </w:r>
      <w:r>
        <w:rPr>
          <w:rFonts w:ascii="仿宋_GB2312" w:eastAsia="仿宋_GB2312" w:hint="eastAsia"/>
          <w:sz w:val="32"/>
          <w:szCs w:val="32"/>
          <w:lang w:val="en-US" w:eastAsia="zh-CN"/>
          <w:highlight w:val="auto"/>
        </w:rPr>
        <w:t>2</w:t>
      </w:r>
      <w:r>
        <w:rPr>
          <w:rFonts w:ascii="仿宋_GB2312" w:eastAsia="仿宋_GB2312" w:hint="eastAsia"/>
          <w:sz w:val="32"/>
          <w:szCs w:val="32"/>
          <w:highlight w:val="auto"/>
        </w:rPr>
        <w:t>辆、其他用车</w:t>
      </w:r>
      <w:r>
        <w:rPr>
          <w:rFonts w:ascii="仿宋_GB2312" w:eastAsia="仿宋_GB2312" w:hint="eastAsia"/>
          <w:sz w:val="32"/>
          <w:szCs w:val="32"/>
          <w:lang w:val="en-US" w:eastAsia="zh-CN"/>
          <w:highlight w:val="auto"/>
        </w:rPr>
        <w:t>0</w:t>
      </w:r>
      <w:r>
        <w:rPr>
          <w:rFonts w:ascii="仿宋_GB2312" w:eastAsia="仿宋_GB2312" w:hint="eastAsia"/>
          <w:sz w:val="32"/>
          <w:szCs w:val="32"/>
          <w:highlight w:val="auto"/>
        </w:rPr>
        <w:t>辆。单价</w:t>
      </w:r>
      <w:r>
        <w:rPr>
          <w:rFonts w:ascii="仿宋_GB2312" w:eastAsia="仿宋_GB2312"/>
          <w:sz w:val="32"/>
          <w:szCs w:val="32"/>
          <w:highlight w:val="auto"/>
        </w:rPr>
        <w:t>100</w:t>
      </w:r>
      <w:r>
        <w:rPr>
          <w:rFonts w:ascii="仿宋_GB2312" w:eastAsia="仿宋_GB2312" w:hint="eastAsia"/>
          <w:sz w:val="32"/>
          <w:szCs w:val="32"/>
          <w:highlight w:val="auto"/>
        </w:rPr>
        <w:t>万元以上专用设备</w:t>
      </w:r>
      <w:r>
        <w:rPr>
          <w:rFonts w:ascii="仿宋_GB2312" w:eastAsia="仿宋_GB2312" w:hint="eastAsia"/>
          <w:sz w:val="32"/>
          <w:szCs w:val="32"/>
          <w:lang w:val="en-US" w:eastAsia="zh-CN"/>
          <w:highlight w:val="auto"/>
        </w:rPr>
        <w:t>0</w:t>
      </w:r>
      <w:r>
        <w:rPr>
          <w:rFonts w:ascii="仿宋_GB2312" w:eastAsia="仿宋_GB2312" w:hint="eastAsia"/>
          <w:sz w:val="32"/>
          <w:szCs w:val="32"/>
          <w:highlight w:val="auto"/>
        </w:rPr>
        <w:t>台（套）。</w:t>
      </w:r>
    </w:p>
    <w:p>
      <w:pPr>
        <w:spacing w:line="600" w:lineRule="exact"/>
        <w:ind w:firstLineChars="200" w:firstLine="640"/>
        <w:outlineLvl w:val="2"/>
        <w:rPr>
          <w:rFonts w:ascii="楷体_GB2312" w:eastAsia="楷体_GB2312" w:cs="楷体_GB2312" w:hint="eastAsia"/>
          <w:b/>
          <w:sz w:val="32"/>
          <w:szCs w:val="32"/>
          <w:highlight w:val="auto"/>
        </w:rPr>
      </w:pPr>
      <w:r>
        <w:rPr>
          <w:rFonts w:ascii="楷体_GB2312" w:eastAsia="楷体_GB2312" w:cs="楷体_GB2312" w:hint="eastAsia"/>
          <w:b/>
          <w:sz w:val="32"/>
          <w:szCs w:val="32"/>
          <w:highlight w:val="auto"/>
        </w:rPr>
        <w:t>（四）预算绩效管理情况</w:t>
      </w:r>
    </w:p>
    <w:p>
      <w:pPr>
        <w:widowControl/>
        <w:ind w:firstLineChars="200" w:firstLine="640"/>
        <w:jc w:val="left"/>
        <w:rPr>
          <w:rFonts w:ascii="仿宋_GB2312" w:eastAsia="仿宋_GB2312" w:cs="仿宋_GB2312"/>
          <w:color w:val="C0504D"/>
          <w:sz w:val="32"/>
          <w:szCs w:val="32"/>
        </w:rPr>
      </w:pPr>
      <w:r>
        <w:rPr>
          <w:rFonts w:ascii="仿宋_GB2312" w:eastAsia="仿宋_GB2312" w:cs="仿宋_GB2312" w:hint="eastAsia"/>
          <w:color w:val="auto"/>
          <w:sz w:val="32"/>
          <w:szCs w:val="32"/>
        </w:rPr>
        <w:t>根据预算绩效管理要求，本部门在2022年度预算编制阶段，组织对</w:t>
      </w:r>
      <w:r>
        <w:rPr>
          <w:rFonts w:ascii="仿宋_GB2312" w:eastAsia="仿宋_GB2312" w:cs="仿宋_GB2312" w:hint="eastAsia"/>
          <w:color w:val="auto"/>
          <w:sz w:val="32"/>
          <w:szCs w:val="32"/>
          <w:lang w:val="en-US" w:eastAsia="zh-CN"/>
        </w:rPr>
        <w:t>工资性支出、单位缴费、离退休费支出</w:t>
      </w:r>
      <w:r>
        <w:rPr>
          <w:rFonts w:ascii="仿宋_GB2312" w:eastAsia="仿宋_GB2312" w:cs="仿宋_GB2312" w:hint="eastAsia"/>
          <w:color w:val="auto"/>
          <w:sz w:val="32"/>
          <w:szCs w:val="32"/>
        </w:rPr>
        <w:t>等</w:t>
      </w:r>
      <w:r>
        <w:rPr>
          <w:rFonts w:ascii="仿宋_GB2312" w:eastAsia="仿宋_GB2312" w:cs="仿宋_GB2312" w:hint="eastAsia"/>
          <w:color w:val="auto"/>
          <w:sz w:val="32"/>
          <w:szCs w:val="32"/>
          <w:lang w:val="en-US" w:eastAsia="zh-CN"/>
        </w:rPr>
        <w:t>17</w:t>
      </w:r>
      <w:r>
        <w:rPr>
          <w:rFonts w:ascii="仿宋_GB2312" w:eastAsia="仿宋_GB2312" w:cs="仿宋_GB2312" w:hint="eastAsia"/>
          <w:color w:val="auto"/>
          <w:sz w:val="32"/>
          <w:szCs w:val="32"/>
        </w:rPr>
        <w:t>个项目开展了预算事前绩效评估，对</w:t>
      </w:r>
      <w:r>
        <w:rPr>
          <w:rFonts w:ascii="仿宋_GB2312" w:eastAsia="仿宋_GB2312" w:cs="仿宋_GB2312" w:hint="eastAsia"/>
          <w:color w:val="auto"/>
          <w:sz w:val="32"/>
          <w:szCs w:val="32"/>
          <w:lang w:val="en-US" w:eastAsia="zh-CN"/>
        </w:rPr>
        <w:t>17</w:t>
      </w:r>
      <w:r>
        <w:rPr>
          <w:rFonts w:ascii="仿宋_GB2312" w:eastAsia="仿宋_GB2312" w:cs="仿宋_GB2312" w:hint="eastAsia"/>
          <w:color w:val="auto"/>
          <w:sz w:val="32"/>
          <w:szCs w:val="32"/>
        </w:rPr>
        <w:t>个项目编制了绩效目标，预算执行过程中，选取</w:t>
      </w:r>
      <w:r>
        <w:rPr>
          <w:rFonts w:ascii="仿宋_GB2312" w:eastAsia="仿宋_GB2312" w:cs="仿宋_GB2312"/>
          <w:color w:val="auto"/>
          <w:sz w:val="32"/>
          <w:szCs w:val="32"/>
          <w:lang w:val="en-US" w:eastAsia="zh-CN"/>
        </w:rPr>
        <w:t>5</w:t>
      </w:r>
      <w:r>
        <w:rPr>
          <w:rFonts w:ascii="仿宋_GB2312" w:eastAsia="仿宋_GB2312" w:cs="仿宋_GB2312" w:hint="eastAsia"/>
          <w:color w:val="auto"/>
          <w:sz w:val="32"/>
          <w:szCs w:val="32"/>
        </w:rPr>
        <w:t>个项目开展绩效监控。</w:t>
      </w:r>
    </w:p>
    <w:p>
      <w:pPr>
        <w:widowControl/>
        <w:ind w:firstLineChars="200" w:firstLine="640"/>
        <w:jc w:val="left"/>
        <w:rPr>
          <w:rFonts w:ascii="仿宋_GB2312" w:eastAsia="仿宋_GB2312" w:cs="仿宋_GB2312" w:hint="eastAsia"/>
          <w:color w:val="C0504D"/>
          <w:sz w:val="32"/>
          <w:szCs w:val="32"/>
          <w:lang w:val="en-US" w:eastAsia="zh-CN"/>
        </w:rPr>
      </w:pPr>
      <w:r>
        <w:rPr>
          <w:rFonts w:ascii="仿宋_GB2312" w:eastAsia="仿宋_GB2312" w:cs="仿宋_GB2312" w:hint="eastAsia"/>
          <w:color w:val="auto"/>
          <w:sz w:val="32"/>
          <w:szCs w:val="32"/>
        </w:rPr>
        <w:t>组织对2022年度一般公共预算、政府性基金预算、国有资本经营预算、社会保险基金预算以及资本资产、债券资金等全面开展绩效自评，形成</w:t>
      </w:r>
      <w:r>
        <w:rPr>
          <w:rFonts w:ascii="仿宋_GB2312" w:eastAsia="仿宋_GB2312" w:cs="仿宋_GB2312" w:hint="eastAsia"/>
          <w:color w:val="auto"/>
          <w:sz w:val="32"/>
          <w:szCs w:val="32"/>
          <w:lang w:val="en-US" w:eastAsia="zh-CN"/>
        </w:rPr>
        <w:t>2023年</w:t>
      </w:r>
      <w:r>
        <w:rPr>
          <w:rFonts w:ascii="仿宋_GB2312" w:eastAsia="仿宋_GB2312" w:cs="仿宋_GB2312" w:hint="eastAsia"/>
          <w:color w:val="auto"/>
          <w:sz w:val="32"/>
          <w:szCs w:val="32"/>
        </w:rPr>
        <w:t>部门整体</w:t>
      </w:r>
      <w:r>
        <w:rPr>
          <w:rFonts w:ascii="仿宋_GB2312" w:eastAsia="仿宋_GB2312" w:cs="仿宋_GB2312" w:hint="eastAsia"/>
          <w:color w:val="auto"/>
          <w:sz w:val="32"/>
          <w:szCs w:val="32"/>
          <w:lang w:eastAsia="zh-CN"/>
        </w:rPr>
        <w:t>支出</w:t>
      </w:r>
      <w:r>
        <w:rPr>
          <w:rFonts w:ascii="仿宋_GB2312" w:eastAsia="仿宋_GB2312" w:cs="仿宋_GB2312" w:hint="eastAsia"/>
          <w:color w:val="auto"/>
          <w:sz w:val="32"/>
          <w:szCs w:val="32"/>
        </w:rPr>
        <w:t>绩效自评报告，其中，</w:t>
      </w:r>
      <w:r>
        <w:rPr>
          <w:rFonts w:ascii="仿宋_GB2312" w:eastAsia="仿宋_GB2312" w:cs="仿宋_GB2312" w:hint="eastAsia"/>
          <w:color w:val="auto"/>
          <w:sz w:val="32"/>
          <w:szCs w:val="32"/>
          <w:lang w:val="en-US" w:eastAsia="zh-CN"/>
        </w:rPr>
        <w:t>2023年</w:t>
      </w:r>
      <w:r>
        <w:rPr>
          <w:rFonts w:ascii="仿宋_GB2312" w:eastAsia="仿宋_GB2312" w:cs="仿宋_GB2312" w:hint="eastAsia"/>
          <w:color w:val="auto"/>
          <w:sz w:val="32"/>
          <w:szCs w:val="32"/>
        </w:rPr>
        <w:t>部门整体绩效自评得分为</w:t>
      </w:r>
      <w:r>
        <w:rPr>
          <w:rFonts w:ascii="仿宋_GB2312" w:eastAsia="仿宋_GB2312" w:cs="仿宋_GB2312" w:hint="eastAsia"/>
          <w:color w:val="auto"/>
          <w:sz w:val="32"/>
          <w:szCs w:val="32"/>
          <w:lang w:val="en-US" w:eastAsia="zh-CN"/>
        </w:rPr>
        <w:t>98</w:t>
      </w:r>
      <w:r>
        <w:rPr>
          <w:rFonts w:ascii="仿宋_GB2312" w:eastAsia="仿宋_GB2312" w:cs="仿宋_GB2312" w:hint="eastAsia"/>
          <w:color w:val="auto"/>
          <w:sz w:val="32"/>
          <w:szCs w:val="32"/>
        </w:rPr>
        <w:t>分</w:t>
      </w:r>
      <w:r>
        <w:rPr>
          <w:rFonts w:ascii="仿宋_GB2312" w:eastAsia="仿宋_GB2312" w:cs="仿宋_GB2312" w:hint="eastAsia"/>
          <w:color w:val="auto"/>
          <w:sz w:val="32"/>
          <w:szCs w:val="32"/>
          <w:lang w:eastAsia="zh-CN"/>
        </w:rPr>
        <w:t>。</w:t>
      </w:r>
    </w:p>
    <w:p>
      <w:pPr>
        <w:widowControl/>
        <w:ind w:firstLineChars="200" w:firstLine="640"/>
        <w:jc w:val="left"/>
        <w:rPr>
          <w:rFonts w:ascii="仿宋_GB2312" w:eastAsia="仿宋_GB2312"/>
          <w:b/>
          <w:sz w:val="32"/>
          <w:szCs w:val="32"/>
        </w:rPr>
      </w:pPr>
      <w:r>
        <w:rPr>
          <w:rFonts w:ascii="仿宋_GB2312" w:eastAsia="仿宋_GB2312"/>
          <w:b/>
          <w:sz w:val="32"/>
          <w:szCs w:val="32"/>
        </w:rPr>
        <w:br w:type="page"/>
      </w:r>
    </w:p>
    <w:p>
      <w:pPr>
        <w:pStyle w:val="16"/>
      </w:pPr>
    </w:p>
    <w:p>
      <w:pPr>
        <w:numPr>
          <w:ilvl w:val="0"/>
          <w:numId w:val="3"/>
        </w:numPr>
        <w:spacing w:line="600" w:lineRule="exact"/>
        <w:ind w:left="0" w:firstLineChars="150" w:firstLine="660"/>
        <w:jc w:val="center"/>
        <w:outlineLvl w:val="0"/>
        <w:rPr>
          <w:rStyle w:val="1Char"/>
          <w:rFonts w:ascii="Times New Roman" w:eastAsia="黑体" w:cs="Times New Roman" w:hAnsi="Times New Roman"/>
          <w:b w:val="0"/>
          <w:color w:val="auto"/>
          <w:highlight w:val="auto"/>
        </w:rPr>
      </w:pPr>
      <w:bookmarkStart w:id="51" w:name="_Toc15377225"/>
      <w:bookmarkStart w:id="52" w:name="_Toc15396613"/>
      <w:bookmarkStart w:id="53" w:name="_Toc15377226"/>
      <w:r>
        <w:rPr>
          <w:rFonts w:ascii="Times New Roman" w:eastAsia="黑体" w:cs="Times New Roman" w:hAnsi="Times New Roman"/>
          <w:color w:val="auto"/>
          <w:sz w:val="44"/>
          <w:szCs w:val="44"/>
          <w:highlight w:val="auto"/>
        </w:rPr>
        <w:t>名</w:t>
      </w:r>
      <w:r>
        <w:rPr>
          <w:rStyle w:val="1Char"/>
          <w:rFonts w:ascii="Times New Roman" w:eastAsia="黑体" w:cs="Times New Roman" w:hAnsi="Times New Roman"/>
          <w:b w:val="0"/>
          <w:color w:val="auto"/>
          <w:highlight w:val="auto"/>
        </w:rPr>
        <w:t>词解释</w:t>
      </w:r>
      <w:bookmarkEnd w:id="51"/>
      <w:bookmarkEnd w:id="52"/>
    </w:p>
    <w:p>
      <w:pPr>
        <w:spacing w:line="600" w:lineRule="exact"/>
        <w:jc w:val="left"/>
        <w:rPr>
          <w:rFonts w:ascii="Times New Roman" w:cs="Times New Roman" w:hAnsi="Times New Roman"/>
          <w:b/>
          <w:color w:val="auto"/>
          <w:sz w:val="44"/>
          <w:szCs w:val="44"/>
          <w:highlight w:val="auto"/>
        </w:rPr>
      </w:pPr>
    </w:p>
    <w:p>
      <w:pPr>
        <w:pStyle w:val="31"/>
        <w:spacing w:line="560" w:lineRule="exact"/>
        <w:ind w:firstLineChars="200" w:firstLine="640"/>
        <w:rPr>
          <w:rFonts w:ascii="Times New Roman" w:eastAsia="仿宋_GB2312" w:cs="Times New Roman" w:hAnsi="Times New Roman"/>
          <w:color w:val="auto"/>
          <w:sz w:val="32"/>
          <w:szCs w:val="32"/>
          <w:highlight w:val="auto"/>
        </w:rPr>
      </w:pPr>
      <w:r>
        <w:rPr>
          <w:rFonts w:ascii="Times New Roman" w:eastAsia="仿宋_GB2312" w:cs="Times New Roman" w:hAnsi="Times New Roman"/>
          <w:color w:val="auto"/>
          <w:sz w:val="32"/>
          <w:szCs w:val="32"/>
          <w:highlight w:val="auto"/>
        </w:rPr>
        <w:t>1.财政拨款收入：指单位从同级财政部门取得的财政预算资金。</w:t>
      </w:r>
    </w:p>
    <w:p>
      <w:pPr>
        <w:pStyle w:val="31"/>
        <w:spacing w:line="560" w:lineRule="exact"/>
        <w:ind w:firstLineChars="200" w:firstLine="640"/>
        <w:rPr>
          <w:rFonts w:ascii="Times New Roman" w:eastAsia="仿宋_GB2312" w:cs="Times New Roman" w:hAnsi="Times New Roman"/>
          <w:color w:val="auto"/>
          <w:sz w:val="32"/>
          <w:szCs w:val="32"/>
          <w:highlight w:val="auto"/>
        </w:rPr>
      </w:pPr>
      <w:r>
        <w:rPr>
          <w:rFonts w:ascii="Times New Roman" w:eastAsia="仿宋_GB2312" w:cs="Times New Roman" w:hAnsi="Times New Roman"/>
          <w:color w:val="auto"/>
          <w:sz w:val="32"/>
          <w:szCs w:val="32"/>
          <w:highlight w:val="auto"/>
        </w:rPr>
        <w:t>2.事业收入：指事业单位开展专业业务活动及辅助活动取得的收入。</w:t>
      </w:r>
    </w:p>
    <w:p>
      <w:pPr>
        <w:pStyle w:val="31"/>
        <w:spacing w:line="560" w:lineRule="exact"/>
        <w:ind w:firstLineChars="200" w:firstLine="640"/>
        <w:rPr>
          <w:rFonts w:ascii="Times New Roman" w:eastAsia="仿宋_GB2312" w:cs="Times New Roman" w:hAnsi="Times New Roman"/>
          <w:color w:val="auto"/>
          <w:sz w:val="32"/>
          <w:szCs w:val="32"/>
          <w:highlight w:val="auto"/>
        </w:rPr>
      </w:pPr>
      <w:r>
        <w:rPr>
          <w:rFonts w:ascii="Times New Roman" w:eastAsia="仿宋_GB2312" w:cs="Times New Roman" w:hAnsi="Times New Roman"/>
          <w:color w:val="auto"/>
          <w:sz w:val="32"/>
          <w:szCs w:val="32"/>
          <w:highlight w:val="auto"/>
        </w:rPr>
        <w:t>3.经营收入：指事业单位在专业业务活动及其辅助活动之外开展非独立核算经营活动取得的收入。</w:t>
      </w:r>
    </w:p>
    <w:p>
      <w:pPr>
        <w:pStyle w:val="31"/>
        <w:spacing w:line="560" w:lineRule="exact"/>
        <w:ind w:leftChars="304" w:left="638" w:firstLine="0"/>
        <w:rPr>
          <w:rFonts w:ascii="Times New Roman" w:eastAsia="仿宋_GB2312" w:cs="Times New Roman" w:hAnsi="Times New Roman"/>
          <w:color w:val="auto"/>
          <w:sz w:val="32"/>
          <w:szCs w:val="32"/>
          <w:highlight w:val="auto"/>
        </w:rPr>
      </w:pPr>
      <w:r>
        <w:rPr>
          <w:rFonts w:ascii="Times New Roman" w:eastAsia="仿宋_GB2312" w:cs="Times New Roman" w:hAnsi="Times New Roman"/>
          <w:color w:val="auto"/>
          <w:sz w:val="32"/>
          <w:szCs w:val="32"/>
          <w:highlight w:val="auto"/>
        </w:rPr>
        <w:t>4.其他收入：指单位取得的除上述收入以外的各项收</w:t>
      </w:r>
    </w:p>
    <w:p>
      <w:pPr>
        <w:pStyle w:val="31"/>
        <w:spacing w:line="560" w:lineRule="exact"/>
        <w:ind w:firstLineChars="200" w:firstLine="640"/>
        <w:rPr>
          <w:rFonts w:ascii="Times New Roman" w:eastAsia="仿宋_GB2312" w:cs="Times New Roman" w:hAnsi="Times New Roman"/>
          <w:color w:val="auto"/>
          <w:sz w:val="32"/>
          <w:szCs w:val="32"/>
          <w:highlight w:val="auto"/>
        </w:rPr>
      </w:pPr>
      <w:r>
        <w:rPr>
          <w:rFonts w:ascii="Times New Roman" w:eastAsia="仿宋_GB2312" w:cs="Times New Roman" w:hAnsi="Times New Roman"/>
          <w:color w:val="auto"/>
          <w:sz w:val="32"/>
          <w:szCs w:val="32"/>
          <w:highlight w:val="auto"/>
        </w:rPr>
        <w:t>5.</w:t>
      </w:r>
      <w:r>
        <w:rPr>
          <w:rFonts w:ascii="Times New Roman" w:eastAsia="仿宋_GB2312" w:cs="Times New Roman" w:hAnsi="Times New Roman"/>
          <w:color w:val="auto"/>
          <w:sz w:val="32"/>
          <w:szCs w:val="32"/>
          <w:lang w:eastAsia="zh-CN"/>
          <w:highlight w:val="auto"/>
        </w:rPr>
        <w:t>使用非财政拨款结余</w:t>
      </w:r>
      <w:r>
        <w:rPr>
          <w:rFonts w:ascii="Times New Roman" w:eastAsia="仿宋_GB2312" w:cs="Times New Roman" w:hAnsi="Times New Roman"/>
          <w:color w:val="auto"/>
          <w:sz w:val="32"/>
          <w:szCs w:val="32"/>
          <w:highlight w:val="auto"/>
        </w:rPr>
        <w:t>：指事业单位</w:t>
      </w:r>
      <w:r>
        <w:rPr>
          <w:rFonts w:ascii="Times New Roman" w:eastAsia="仿宋_GB2312" w:cs="Times New Roman" w:hAnsi="Times New Roman"/>
          <w:color w:val="auto"/>
          <w:sz w:val="32"/>
          <w:szCs w:val="32"/>
          <w:lang w:eastAsia="zh-CN"/>
          <w:highlight w:val="auto"/>
        </w:rPr>
        <w:t>使用以前年度积累的非财政拨款结余弥补当年收支差额的金额。</w:t>
      </w:r>
    </w:p>
    <w:p>
      <w:pPr>
        <w:pStyle w:val="31"/>
        <w:spacing w:line="560" w:lineRule="exact"/>
        <w:ind w:firstLineChars="200" w:firstLine="640"/>
        <w:rPr>
          <w:rFonts w:ascii="Times New Roman" w:eastAsia="仿宋_GB2312" w:cs="Times New Roman" w:hAnsi="Times New Roman"/>
          <w:color w:val="auto"/>
          <w:sz w:val="32"/>
          <w:szCs w:val="32"/>
          <w:highlight w:val="auto"/>
        </w:rPr>
      </w:pPr>
      <w:r>
        <w:rPr>
          <w:rFonts w:ascii="Times New Roman" w:eastAsia="仿宋_GB2312" w:cs="Times New Roman" w:hAnsi="Times New Roman"/>
          <w:color w:val="auto"/>
          <w:sz w:val="32"/>
          <w:szCs w:val="32"/>
          <w:highlight w:val="auto"/>
        </w:rPr>
        <w:t xml:space="preserve">6.年初结转和结余：指以前年度尚未完成、结转到本年按有关规定继续使用的资金。 </w:t>
      </w:r>
    </w:p>
    <w:p>
      <w:pPr>
        <w:pStyle w:val="31"/>
        <w:spacing w:line="560" w:lineRule="exact"/>
        <w:ind w:firstLineChars="200" w:firstLine="640"/>
        <w:rPr>
          <w:rFonts w:ascii="Times New Roman" w:eastAsia="仿宋_GB2312" w:cs="Times New Roman" w:hAnsi="Times New Roman"/>
          <w:color w:val="auto"/>
          <w:sz w:val="32"/>
          <w:szCs w:val="32"/>
          <w:highlight w:val="auto"/>
        </w:rPr>
      </w:pPr>
      <w:r>
        <w:rPr>
          <w:rFonts w:ascii="Times New Roman" w:eastAsia="仿宋_GB2312" w:cs="Times New Roman" w:hAnsi="Times New Roman"/>
          <w:color w:val="auto"/>
          <w:sz w:val="32"/>
          <w:szCs w:val="32"/>
          <w:highlight w:val="auto"/>
        </w:rPr>
        <w:t>7.结余分配：指事业单位按照会计制度规定</w:t>
      </w:r>
      <w:r>
        <w:rPr>
          <w:rFonts w:ascii="Times New Roman" w:eastAsia="仿宋_GB2312" w:cs="Times New Roman" w:hAnsi="Times New Roman"/>
          <w:color w:val="auto"/>
          <w:sz w:val="32"/>
          <w:szCs w:val="32"/>
          <w:lang w:eastAsia="zh-CN"/>
          <w:highlight w:val="auto"/>
        </w:rPr>
        <w:t>缴纳的所得税、提取的专用结余以及转入非财政拨款结余的金额</w:t>
      </w:r>
      <w:r>
        <w:rPr>
          <w:rFonts w:ascii="Times New Roman" w:eastAsia="仿宋_GB2312" w:cs="Times New Roman" w:hAnsi="Times New Roman"/>
          <w:color w:val="auto"/>
          <w:sz w:val="32"/>
          <w:szCs w:val="32"/>
          <w:highlight w:val="auto"/>
        </w:rPr>
        <w:t>等。</w:t>
      </w:r>
    </w:p>
    <w:p>
      <w:pPr>
        <w:pStyle w:val="31"/>
        <w:keepNext w:val="0"/>
        <w:keepLines w:val="0"/>
        <w:pageBreakBefore w:val="0"/>
        <w:widowControl w:val="0"/>
        <w:kinsoku/>
        <w:wordWrap/>
        <w:overflowPunct/>
        <w:topLinePunct w:val="0"/>
        <w:autoSpaceDE w:val="0"/>
        <w:autoSpaceDN w:val="0"/>
        <w:bidi w:val="0"/>
        <w:adjustRightInd w:val="0"/>
        <w:snapToGrid/>
        <w:spacing w:line="560" w:lineRule="exact"/>
        <w:ind w:firstLineChars="200" w:firstLine="640"/>
        <w:textAlignment w:val="auto"/>
        <w:rPr>
          <w:rFonts w:ascii="Times New Roman" w:eastAsia="仿宋_GB2312" w:cs="Times New Roman" w:hAnsi="Times New Roman"/>
          <w:color w:val="auto"/>
          <w:sz w:val="32"/>
          <w:szCs w:val="32"/>
          <w:highlight w:val="auto"/>
        </w:rPr>
      </w:pPr>
      <w:r>
        <w:rPr>
          <w:rFonts w:ascii="Times New Roman" w:eastAsia="仿宋_GB2312" w:cs="Times New Roman" w:hAnsi="Times New Roman"/>
          <w:color w:val="auto"/>
          <w:sz w:val="32"/>
          <w:szCs w:val="32"/>
          <w:highlight w:val="auto"/>
        </w:rPr>
        <w:t>8</w:t>
      </w:r>
      <w:r>
        <w:rPr>
          <w:rFonts w:ascii="Times New Roman" w:eastAsia="仿宋_GB2312" w:cs="Times New Roman" w:hAnsi="Times New Roman"/>
          <w:color w:val="auto"/>
          <w:sz w:val="32"/>
          <w:szCs w:val="32"/>
          <w:lang w:val="en-US" w:eastAsia="zh-CN"/>
          <w:highlight w:val="auto"/>
        </w:rPr>
        <w:t>.</w:t>
      </w:r>
      <w:r>
        <w:rPr>
          <w:rFonts w:ascii="Times New Roman" w:eastAsia="仿宋_GB2312" w:cs="Times New Roman" w:hAnsi="Times New Roman"/>
          <w:color w:val="auto"/>
          <w:sz w:val="32"/>
          <w:szCs w:val="32"/>
          <w:highlight w:val="auto"/>
        </w:rPr>
        <w:t>年末结转和结余：指单位按有关规定结转到下年或以后年度继续使用的资金。</w:t>
      </w:r>
    </w:p>
    <w:p>
      <w:pPr>
        <w:keepNext w:val="0"/>
        <w:keepLines w:val="0"/>
        <w:pageBreakBefore w:val="0"/>
        <w:widowControl w:val="0"/>
        <w:kinsoku/>
        <w:wordWrap/>
        <w:overflowPunct/>
        <w:topLinePunct w:val="0"/>
        <w:bidi w:val="0"/>
        <w:snapToGrid/>
        <w:spacing w:line="560" w:lineRule="exact"/>
        <w:ind w:firstLineChars="200" w:firstLine="640"/>
        <w:textAlignment w:val="auto"/>
        <w:rPr>
          <w:rFonts w:ascii="Times New Roman" w:cs="Times New Roman" w:hAnsi="Times New Roman"/>
        </w:rPr>
      </w:pPr>
      <w:r>
        <w:rPr>
          <w:rFonts w:ascii="Times New Roman" w:eastAsia="仿宋_GB2312" w:cs="Times New Roman" w:hAnsi="Times New Roman"/>
          <w:color w:val="auto"/>
          <w:kern w:val="0"/>
          <w:sz w:val="32"/>
          <w:szCs w:val="32"/>
          <w:lang w:val="en-US" w:eastAsia="zh-CN" w:bidi="ar-SA"/>
          <w:highlight w:val="auto"/>
        </w:rPr>
        <w:t>9.一般公共服务（类）党委办公厅（室）及相关机构事务（款）行政运行（项）:指行政单位（包括实行公务员管理的事业单位）的基本支出。</w:t>
      </w:r>
    </w:p>
    <w:p>
      <w:pPr>
        <w:ind w:firstLineChars="200" w:firstLine="640"/>
        <w:rPr>
          <w:rFonts w:ascii="Times New Roman" w:eastAsia="仿宋_GB2312" w:cs="Times New Roman" w:hAnsi="Times New Roman"/>
          <w:color w:val="auto"/>
          <w:kern w:val="0"/>
          <w:sz w:val="32"/>
          <w:szCs w:val="32"/>
          <w:lang w:val="en-US" w:eastAsia="zh-CN" w:bidi="ar-SA"/>
          <w:highlight w:val="auto"/>
        </w:rPr>
      </w:pPr>
      <w:r>
        <w:rPr>
          <w:rFonts w:ascii="Times New Roman" w:eastAsia="仿宋_GB2312" w:cs="Times New Roman" w:hAnsi="Times New Roman"/>
          <w:color w:val="auto"/>
          <w:sz w:val="32"/>
          <w:szCs w:val="32"/>
          <w:highlight w:val="auto"/>
        </w:rPr>
        <w:t>10.</w:t>
      </w:r>
      <w:r>
        <w:rPr>
          <w:rFonts w:ascii="Times New Roman" w:eastAsia="仿宋_GB2312" w:cs="Times New Roman" w:hAnsi="Times New Roman"/>
          <w:color w:val="auto"/>
          <w:kern w:val="0"/>
          <w:sz w:val="32"/>
          <w:szCs w:val="32"/>
          <w:lang w:val="en-US" w:eastAsia="zh-CN" w:bidi="ar-SA"/>
          <w:highlight w:val="auto"/>
        </w:rPr>
        <w:t>社会保障和就业（类）行政事业单位养老支出（款）机关事业单位基本养老保险缴费支出（项）:</w:t>
      </w:r>
      <w:r>
        <w:rPr>
          <w:rFonts w:ascii="Times New Roman" w:eastAsia="仿宋_GB2312" w:cs="Times New Roman" w:hAnsi="Times New Roman"/>
          <w:i w:val="0"/>
          <w:iCs w:val="0"/>
          <w:caps w:val="0"/>
          <w:smallCaps w:val="0"/>
          <w:color w:val="000000"/>
          <w:spacing w:val="0"/>
          <w:sz w:val="32"/>
          <w:szCs w:val="32"/>
          <w:shd w:val="clear" w:color="auto" w:fill="FFFFFF"/>
        </w:rPr>
        <w:t>指机关事业单位实施养老保险制度由单位缴纳的基本养老保险费支出。</w:t>
      </w:r>
    </w:p>
    <w:p>
      <w:pPr>
        <w:ind w:firstLineChars="200" w:firstLine="640"/>
        <w:rPr>
          <w:rFonts w:ascii="Times New Roman" w:eastAsia="仿宋_GB2312" w:cs="Times New Roman" w:hAnsi="Times New Roman"/>
          <w:color w:val="auto"/>
          <w:sz w:val="32"/>
          <w:szCs w:val="32"/>
          <w:highlight w:val="auto"/>
        </w:rPr>
      </w:pPr>
      <w:r>
        <w:rPr>
          <w:rFonts w:ascii="Times New Roman" w:eastAsia="仿宋_GB2312" w:cs="Times New Roman" w:hAnsi="Times New Roman"/>
          <w:color w:val="auto"/>
          <w:kern w:val="0"/>
          <w:sz w:val="32"/>
          <w:szCs w:val="32"/>
          <w:lang w:val="en-US" w:eastAsia="zh-CN" w:bidi="ar-SA"/>
          <w:highlight w:val="auto"/>
        </w:rPr>
        <w:t>1</w:t>
      </w:r>
      <w:r>
        <w:rPr>
          <w:rFonts w:ascii="Times New Roman" w:eastAsia="仿宋_GB2312" w:cs="Times New Roman" w:hAnsi="Times New Roman"/>
          <w:color w:val="auto"/>
          <w:sz w:val="32"/>
          <w:szCs w:val="32"/>
          <w:highlight w:val="auto"/>
        </w:rPr>
        <w:t>1.</w:t>
      </w:r>
      <w:r>
        <w:rPr>
          <w:rFonts w:ascii="Times New Roman" w:eastAsia="仿宋_GB2312" w:cs="Times New Roman" w:hAnsi="Times New Roman"/>
          <w:color w:val="auto"/>
          <w:kern w:val="0"/>
          <w:sz w:val="32"/>
          <w:szCs w:val="32"/>
          <w:lang w:val="en-US" w:eastAsia="zh-CN" w:bidi="ar-SA"/>
          <w:highlight w:val="auto"/>
        </w:rPr>
        <w:t>社会保障和就业（类）行政事业单位养老支出（款）机关事业单位职业年金缴费支出（项）:</w:t>
      </w:r>
      <w:r>
        <w:rPr>
          <w:rFonts w:ascii="Times New Roman" w:eastAsia="仿宋_GB2312" w:cs="Times New Roman" w:hAnsi="Times New Roman"/>
          <w:i w:val="0"/>
          <w:iCs w:val="0"/>
          <w:caps w:val="0"/>
          <w:smallCaps w:val="0"/>
          <w:color w:val="000000"/>
          <w:spacing w:val="0"/>
          <w:sz w:val="32"/>
          <w:szCs w:val="32"/>
          <w:shd w:val="clear" w:color="auto" w:fill="FFFFFF"/>
        </w:rPr>
        <w:t>指机关事业单位实施养老保险制度由单位</w:t>
      </w:r>
      <w:r>
        <w:rPr>
          <w:rFonts w:ascii="Times New Roman" w:eastAsia="仿宋_GB2312" w:cs="Times New Roman" w:hAnsi="Times New Roman"/>
          <w:i w:val="0"/>
          <w:iCs w:val="0"/>
          <w:caps w:val="0"/>
          <w:smallCaps w:val="0"/>
          <w:color w:val="000000"/>
          <w:spacing w:val="0"/>
          <w:sz w:val="32"/>
          <w:szCs w:val="32"/>
          <w:shd w:val="clear" w:color="auto" w:fill="FFFFFF"/>
          <w:lang w:val="en-US" w:eastAsia="zh-CN"/>
        </w:rPr>
        <w:t>实际</w:t>
      </w:r>
      <w:r>
        <w:rPr>
          <w:rFonts w:ascii="Times New Roman" w:eastAsia="仿宋_GB2312" w:cs="Times New Roman" w:hAnsi="Times New Roman"/>
          <w:i w:val="0"/>
          <w:iCs w:val="0"/>
          <w:caps w:val="0"/>
          <w:smallCaps w:val="0"/>
          <w:color w:val="000000"/>
          <w:spacing w:val="0"/>
          <w:sz w:val="32"/>
          <w:szCs w:val="32"/>
          <w:shd w:val="clear" w:color="auto" w:fill="FFFFFF"/>
        </w:rPr>
        <w:t>缴纳的职业年金支出。</w:t>
      </w:r>
    </w:p>
    <w:p>
      <w:pPr>
        <w:ind w:firstLineChars="200" w:firstLine="640"/>
        <w:rPr>
          <w:rFonts w:ascii="Times New Roman" w:eastAsia="仿宋_GB2312" w:cs="Times New Roman" w:hAnsi="Times New Roman"/>
          <w:i w:val="0"/>
          <w:iCs w:val="0"/>
          <w:caps w:val="0"/>
          <w:smallCaps w:val="0"/>
          <w:color w:val="000000"/>
          <w:spacing w:val="0"/>
          <w:sz w:val="32"/>
          <w:szCs w:val="32"/>
          <w:shd w:val="clear" w:color="auto" w:fill="FFFFFF"/>
        </w:rPr>
      </w:pPr>
      <w:r>
        <w:rPr>
          <w:rFonts w:ascii="Times New Roman" w:eastAsia="仿宋_GB2312" w:cs="Times New Roman" w:hAnsi="Times New Roman"/>
          <w:color w:val="auto"/>
          <w:sz w:val="32"/>
          <w:szCs w:val="32"/>
          <w:highlight w:val="auto"/>
        </w:rPr>
        <w:t>12.</w:t>
      </w:r>
      <w:r>
        <w:rPr>
          <w:rFonts w:ascii="Times New Roman" w:eastAsia="仿宋_GB2312" w:cs="Times New Roman" w:hAnsi="Times New Roman"/>
          <w:color w:val="auto"/>
          <w:kern w:val="0"/>
          <w:sz w:val="32"/>
          <w:szCs w:val="32"/>
          <w:lang w:val="en-US" w:eastAsia="zh-CN" w:bidi="ar-SA"/>
          <w:highlight w:val="auto"/>
        </w:rPr>
        <w:t>卫生健康（类）行政事业单位医疗（款）行政单位医疗（项）：</w:t>
      </w:r>
      <w:r>
        <w:rPr>
          <w:rFonts w:ascii="Times New Roman" w:eastAsia="仿宋_GB2312" w:cs="Times New Roman" w:hAnsi="Times New Roman"/>
          <w:i w:val="0"/>
          <w:iCs w:val="0"/>
          <w:caps w:val="0"/>
          <w:smallCaps w:val="0"/>
          <w:color w:val="000000"/>
          <w:spacing w:val="0"/>
          <w:sz w:val="32"/>
          <w:szCs w:val="32"/>
          <w:shd w:val="clear" w:color="auto" w:fill="FFFFFF"/>
        </w:rPr>
        <w:t>指财政部门安排的行政单位基本医疗保险缴费经费，未参加医疗保险的行政单位的公费医疗经费，按国家规定享受离休人员、红军老战士待遇人员的医疗经费。</w:t>
      </w:r>
    </w:p>
    <w:p>
      <w:pPr>
        <w:ind w:firstLineChars="200" w:firstLine="640"/>
        <w:rPr>
          <w:rFonts w:ascii="Times New Roman" w:eastAsia="仿宋_GB2312" w:cs="Times New Roman" w:hAnsi="Times New Roman"/>
          <w:color w:val="auto"/>
          <w:sz w:val="32"/>
          <w:szCs w:val="32"/>
          <w:highlight w:val="auto"/>
        </w:rPr>
      </w:pPr>
      <w:r>
        <w:rPr>
          <w:rFonts w:ascii="Times New Roman" w:eastAsia="仿宋_GB2312" w:cs="Times New Roman" w:hAnsi="Times New Roman"/>
          <w:color w:val="auto"/>
          <w:sz w:val="32"/>
          <w:szCs w:val="32"/>
          <w:highlight w:val="auto"/>
        </w:rPr>
        <w:t>13.</w:t>
      </w:r>
      <w:r>
        <w:rPr>
          <w:rFonts w:ascii="Times New Roman" w:eastAsia="仿宋_GB2312" w:cs="Times New Roman" w:hAnsi="Times New Roman"/>
          <w:i w:val="0"/>
          <w:iCs w:val="0"/>
          <w:caps w:val="0"/>
          <w:smallCaps w:val="0"/>
          <w:color w:val="000000"/>
          <w:spacing w:val="0"/>
          <w:sz w:val="32"/>
          <w:szCs w:val="32"/>
          <w:shd w:val="clear" w:color="auto" w:fill="FFFFFF"/>
        </w:rPr>
        <w:t>卫生健康（类）</w:t>
      </w:r>
      <w:r>
        <w:rPr>
          <w:rFonts w:ascii="Times New Roman" w:eastAsia="仿宋_GB2312" w:cs="Times New Roman" w:hAnsi="Times New Roman"/>
          <w:i w:val="0"/>
          <w:iCs w:val="0"/>
          <w:caps w:val="0"/>
          <w:smallCaps w:val="0"/>
          <w:color w:val="000000"/>
          <w:spacing w:val="0"/>
          <w:sz w:val="32"/>
          <w:szCs w:val="32"/>
          <w:shd w:val="clear" w:color="auto" w:fill="FFFFFF"/>
          <w:lang w:val="en-US" w:eastAsia="zh-CN"/>
        </w:rPr>
        <w:t>行政事业单位医疗</w:t>
      </w:r>
      <w:r>
        <w:rPr>
          <w:rFonts w:ascii="Times New Roman" w:eastAsia="仿宋_GB2312" w:cs="Times New Roman" w:hAnsi="Times New Roman"/>
          <w:i w:val="0"/>
          <w:iCs w:val="0"/>
          <w:caps w:val="0"/>
          <w:smallCaps w:val="0"/>
          <w:color w:val="000000"/>
          <w:spacing w:val="0"/>
          <w:sz w:val="32"/>
          <w:szCs w:val="32"/>
          <w:shd w:val="clear" w:color="auto" w:fill="FFFFFF"/>
        </w:rPr>
        <w:t>（款）</w:t>
      </w:r>
      <w:r>
        <w:rPr>
          <w:rFonts w:ascii="Times New Roman" w:eastAsia="仿宋_GB2312" w:cs="Times New Roman" w:hAnsi="Times New Roman"/>
          <w:i w:val="0"/>
          <w:iCs w:val="0"/>
          <w:caps w:val="0"/>
          <w:smallCaps w:val="0"/>
          <w:color w:val="000000"/>
          <w:spacing w:val="0"/>
          <w:sz w:val="32"/>
          <w:szCs w:val="32"/>
          <w:shd w:val="clear" w:color="auto" w:fill="FFFFFF"/>
          <w:lang w:val="en-US" w:eastAsia="zh-CN"/>
        </w:rPr>
        <w:t>公务员医疗补助</w:t>
      </w:r>
      <w:r>
        <w:rPr>
          <w:rFonts w:ascii="Times New Roman" w:eastAsia="仿宋_GB2312" w:cs="Times New Roman" w:hAnsi="Times New Roman"/>
          <w:i w:val="0"/>
          <w:iCs w:val="0"/>
          <w:caps w:val="0"/>
          <w:smallCaps w:val="0"/>
          <w:color w:val="000000"/>
          <w:spacing w:val="0"/>
          <w:sz w:val="32"/>
          <w:szCs w:val="32"/>
          <w:shd w:val="clear" w:color="auto" w:fill="FFFFFF"/>
        </w:rPr>
        <w:t>（项）</w:t>
      </w:r>
      <w:r>
        <w:rPr>
          <w:rFonts w:ascii="Times New Roman" w:eastAsia="仿宋_GB2312" w:cs="Times New Roman" w:hAnsi="Times New Roman"/>
          <w:color w:val="auto"/>
          <w:sz w:val="32"/>
          <w:szCs w:val="32"/>
          <w:highlight w:val="auto"/>
        </w:rPr>
        <w:t>：指</w:t>
      </w:r>
      <w:r>
        <w:rPr>
          <w:rFonts w:ascii="Times New Roman" w:eastAsia="仿宋_GB2312" w:cs="Times New Roman" w:hAnsi="Times New Roman"/>
          <w:i w:val="0"/>
          <w:iCs w:val="0"/>
          <w:caps w:val="0"/>
          <w:smallCaps w:val="0"/>
          <w:color w:val="000000"/>
          <w:spacing w:val="0"/>
          <w:sz w:val="32"/>
          <w:szCs w:val="32"/>
          <w:shd w:val="clear" w:color="auto" w:fill="FFFFFF"/>
        </w:rPr>
        <w:t>财政部门集中安排的公务员医疗补助经费。</w:t>
      </w:r>
    </w:p>
    <w:p>
      <w:pPr>
        <w:ind w:firstLineChars="200" w:firstLine="640"/>
        <w:rPr>
          <w:rFonts w:ascii="Times New Roman" w:eastAsia="仿宋_GB2312" w:cs="Times New Roman" w:hAnsi="Times New Roman"/>
          <w:color w:val="auto"/>
          <w:sz w:val="32"/>
          <w:szCs w:val="32"/>
          <w:highlight w:val="auto"/>
        </w:rPr>
      </w:pPr>
      <w:r>
        <w:rPr>
          <w:rFonts w:ascii="Times New Roman" w:eastAsia="仿宋_GB2312" w:cs="Times New Roman" w:hAnsi="Times New Roman"/>
          <w:color w:val="auto"/>
          <w:sz w:val="32"/>
          <w:szCs w:val="32"/>
          <w:highlight w:val="auto"/>
        </w:rPr>
        <w:t>14.</w:t>
      </w:r>
      <w:r>
        <w:rPr>
          <w:rFonts w:ascii="Times New Roman" w:eastAsia="仿宋_GB2312" w:cs="Times New Roman" w:hAnsi="Times New Roman"/>
          <w:i w:val="0"/>
          <w:iCs w:val="0"/>
          <w:caps w:val="0"/>
          <w:smallCaps w:val="0"/>
          <w:color w:val="000000"/>
          <w:spacing w:val="0"/>
          <w:sz w:val="32"/>
          <w:szCs w:val="32"/>
          <w:shd w:val="clear" w:color="auto" w:fill="FFFFFF"/>
          <w:lang w:val="en-US" w:eastAsia="zh-CN"/>
        </w:rPr>
        <w:t>住房保障支出（类）住房改革支出（款）住房公积金（项）</w:t>
      </w:r>
      <w:r>
        <w:rPr>
          <w:rFonts w:ascii="Times New Roman" w:eastAsia="仿宋_GB2312" w:cs="Times New Roman" w:hAnsi="Times New Roman"/>
          <w:color w:val="auto"/>
          <w:sz w:val="32"/>
          <w:szCs w:val="32"/>
          <w:highlight w:val="auto"/>
        </w:rPr>
        <w:t>：指</w:t>
      </w:r>
      <w:r>
        <w:rPr>
          <w:rFonts w:ascii="Times New Roman" w:eastAsia="仿宋_GB2312" w:cs="Times New Roman" w:hAnsi="Times New Roman"/>
          <w:i w:val="0"/>
          <w:iCs w:val="0"/>
          <w:caps w:val="0"/>
          <w:smallCaps w:val="0"/>
          <w:color w:val="000000"/>
          <w:spacing w:val="0"/>
          <w:sz w:val="32"/>
          <w:szCs w:val="32"/>
          <w:shd w:val="clear" w:color="auto" w:fill="FFFFFF"/>
        </w:rPr>
        <w:t>行政事业单位按人力资源和社会保障部、财政部规定的基本工资和津贴补贴以及规定比例为职工缴纳的住房公积金。</w:t>
      </w:r>
    </w:p>
    <w:p>
      <w:pPr>
        <w:ind w:firstLineChars="200" w:firstLine="640"/>
        <w:rPr>
          <w:rFonts w:ascii="Times New Roman" w:eastAsia="仿宋_GB2312" w:cs="Times New Roman" w:hAnsi="Times New Roman"/>
          <w:color w:val="auto"/>
          <w:sz w:val="32"/>
          <w:szCs w:val="32"/>
          <w:highlight w:val="auto"/>
        </w:rPr>
      </w:pPr>
      <w:r>
        <w:rPr>
          <w:rFonts w:ascii="Times New Roman" w:eastAsia="仿宋_GB2312" w:cs="Times New Roman" w:hAnsi="Times New Roman"/>
          <w:color w:val="auto"/>
          <w:sz w:val="32"/>
          <w:szCs w:val="32"/>
          <w:lang w:val="en-US" w:eastAsia="zh-CN"/>
          <w:highlight w:val="auto"/>
        </w:rPr>
        <w:t>15</w:t>
      </w:r>
      <w:r>
        <w:rPr>
          <w:rFonts w:ascii="Times New Roman" w:eastAsia="仿宋_GB2312" w:cs="Times New Roman" w:hAnsi="Times New Roman"/>
          <w:color w:val="auto"/>
          <w:sz w:val="32"/>
          <w:szCs w:val="32"/>
          <w:highlight w:val="auto"/>
        </w:rPr>
        <w:t>.基本支出：指为保障机构正常运转、完成日常工作任务而发生的人员支出和公用支出。</w:t>
      </w:r>
    </w:p>
    <w:p>
      <w:pPr>
        <w:ind w:firstLineChars="200" w:firstLine="640"/>
        <w:rPr>
          <w:rFonts w:ascii="Times New Roman" w:eastAsia="仿宋_GB2312" w:cs="Times New Roman" w:hAnsi="Times New Roman"/>
          <w:color w:val="auto"/>
          <w:sz w:val="32"/>
          <w:szCs w:val="32"/>
          <w:highlight w:val="auto"/>
        </w:rPr>
      </w:pPr>
      <w:r>
        <w:rPr>
          <w:rFonts w:ascii="Times New Roman" w:eastAsia="仿宋_GB2312" w:cs="Times New Roman" w:hAnsi="Times New Roman"/>
          <w:color w:val="auto"/>
          <w:sz w:val="32"/>
          <w:szCs w:val="32"/>
          <w:lang w:val="en-US" w:eastAsia="zh-CN"/>
          <w:highlight w:val="auto"/>
        </w:rPr>
        <w:t>16</w:t>
      </w:r>
      <w:r>
        <w:rPr>
          <w:rFonts w:ascii="Times New Roman" w:eastAsia="仿宋_GB2312" w:cs="Times New Roman" w:hAnsi="Times New Roman"/>
          <w:color w:val="auto"/>
          <w:sz w:val="32"/>
          <w:szCs w:val="32"/>
          <w:highlight w:val="auto"/>
        </w:rPr>
        <w:t xml:space="preserve">.项目支出：指在基本支出之外为完成特定行政任务和事业发展目标所发生的支出。 </w:t>
      </w:r>
    </w:p>
    <w:p>
      <w:pPr>
        <w:ind w:firstLineChars="200" w:firstLine="640"/>
        <w:rPr>
          <w:rFonts w:ascii="Times New Roman" w:eastAsia="仿宋_GB2312" w:cs="Times New Roman" w:hAnsi="Times New Roman"/>
          <w:color w:val="auto"/>
          <w:sz w:val="32"/>
          <w:szCs w:val="32"/>
          <w:highlight w:val="auto"/>
        </w:rPr>
      </w:pPr>
      <w:r>
        <w:rPr>
          <w:rFonts w:ascii="Times New Roman" w:eastAsia="仿宋_GB2312" w:cs="Times New Roman" w:hAnsi="Times New Roman"/>
          <w:color w:val="auto"/>
          <w:sz w:val="32"/>
          <w:szCs w:val="32"/>
          <w:lang w:val="en-US" w:eastAsia="zh-CN"/>
          <w:highlight w:val="auto"/>
        </w:rPr>
        <w:t>17</w:t>
      </w:r>
      <w:r>
        <w:rPr>
          <w:rFonts w:ascii="Times New Roman" w:eastAsia="仿宋_GB2312" w:cs="Times New Roman" w:hAnsi="Times New Roman"/>
          <w:color w:val="auto"/>
          <w:sz w:val="32"/>
          <w:szCs w:val="32"/>
          <w:highlight w:val="auto"/>
        </w:rPr>
        <w:t>.经营支出：指事业单位在专业业务活动及其辅助活动之外开展非独立核算经营活动发生的支出。</w:t>
      </w:r>
    </w:p>
    <w:p>
      <w:pPr>
        <w:pStyle w:val="31"/>
        <w:spacing w:line="560" w:lineRule="exact"/>
        <w:ind w:firstLineChars="200" w:firstLine="640"/>
        <w:rPr>
          <w:rFonts w:ascii="Times New Roman" w:eastAsia="仿宋_GB2312" w:cs="Times New Roman" w:hAnsi="Times New Roman"/>
          <w:color w:val="auto"/>
          <w:sz w:val="32"/>
          <w:szCs w:val="32"/>
          <w:highlight w:val="auto"/>
        </w:rPr>
      </w:pPr>
      <w:r>
        <w:rPr>
          <w:rFonts w:ascii="Times New Roman" w:eastAsia="仿宋_GB2312" w:cs="Times New Roman" w:hAnsi="Times New Roman"/>
          <w:color w:val="auto"/>
          <w:sz w:val="32"/>
          <w:szCs w:val="32"/>
          <w:lang w:val="en-US" w:eastAsia="zh-CN"/>
          <w:highlight w:val="auto"/>
        </w:rPr>
        <w:t>18</w:t>
      </w:r>
      <w:r>
        <w:rPr>
          <w:rFonts w:ascii="Times New Roman" w:eastAsia="仿宋_GB2312" w:cs="Times New Roman" w:hAnsi="Times New Roman"/>
          <w:color w:val="auto"/>
          <w:sz w:val="32"/>
          <w:szCs w:val="32"/>
          <w:highlight w:val="auto"/>
        </w:rPr>
        <w:t>.“三公”经费：指</w:t>
      </w:r>
      <w:r>
        <w:rPr>
          <w:rFonts w:ascii="Times New Roman" w:eastAsia="仿宋_GB2312" w:cs="Times New Roman" w:hAnsi="Times New Roman"/>
          <w:color w:val="auto"/>
          <w:sz w:val="32"/>
          <w:szCs w:val="32"/>
          <w:lang w:eastAsia="zh-CN"/>
          <w:highlight w:val="auto"/>
        </w:rPr>
        <w:t>单位</w:t>
      </w:r>
      <w:r>
        <w:rPr>
          <w:rFonts w:ascii="Times New Roman" w:eastAsia="仿宋_GB2312" w:cs="Times New Roman" w:hAnsi="Times New Roman"/>
          <w:color w:val="auto"/>
          <w:sz w:val="32"/>
          <w:szCs w:val="32"/>
          <w:highlight w:val="auto"/>
        </w:rPr>
        <w:t>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31"/>
        <w:spacing w:line="560" w:lineRule="exact"/>
        <w:ind w:firstLineChars="200" w:firstLine="640"/>
        <w:rPr>
          <w:rFonts w:ascii="Times New Roman" w:eastAsia="仿宋_GB2312" w:cs="Times New Roman" w:hAnsi="Times New Roman"/>
          <w:color w:val="auto"/>
          <w:sz w:val="32"/>
          <w:szCs w:val="32"/>
          <w:highlight w:val="auto"/>
        </w:rPr>
      </w:pPr>
      <w:r>
        <w:rPr>
          <w:rFonts w:ascii="Times New Roman" w:eastAsia="仿宋_GB2312" w:cs="Times New Roman" w:hAnsi="Times New Roman"/>
          <w:color w:val="auto"/>
          <w:sz w:val="32"/>
          <w:szCs w:val="32"/>
          <w:lang w:val="en-US" w:eastAsia="zh-CN"/>
          <w:highlight w:val="auto"/>
        </w:rPr>
        <w:t>19</w:t>
      </w:r>
      <w:r>
        <w:rPr>
          <w:rFonts w:ascii="Times New Roman" w:eastAsia="仿宋_GB2312" w:cs="Times New Roman" w:hAnsi="Times New Roman"/>
          <w:color w:val="auto"/>
          <w:sz w:val="32"/>
          <w:szCs w:val="32"/>
          <w:highlight w:val="auto"/>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outlineLvl w:val="0"/>
        <w:rPr>
          <w:rFonts w:ascii="宋体"/>
          <w:b/>
          <w:sz w:val="44"/>
          <w:szCs w:val="44"/>
        </w:rPr>
      </w:pPr>
    </w:p>
    <w:p>
      <w:pPr>
        <w:spacing w:line="600" w:lineRule="exact"/>
        <w:jc w:val="center"/>
        <w:outlineLvl w:val="0"/>
        <w:rPr>
          <w:rFonts w:ascii="宋体"/>
          <w:b/>
          <w:sz w:val="44"/>
          <w:szCs w:val="44"/>
        </w:rPr>
      </w:pPr>
    </w:p>
    <w:p>
      <w:pPr>
        <w:spacing w:line="600" w:lineRule="exact"/>
        <w:jc w:val="center"/>
        <w:outlineLvl w:val="0"/>
        <w:rPr>
          <w:rFonts w:ascii="宋体"/>
          <w:b/>
          <w:sz w:val="44"/>
          <w:szCs w:val="44"/>
        </w:rPr>
      </w:pPr>
    </w:p>
    <w:p>
      <w:pPr>
        <w:spacing w:line="600" w:lineRule="exact"/>
        <w:jc w:val="center"/>
        <w:outlineLvl w:val="0"/>
        <w:rPr>
          <w:rFonts w:ascii="宋体"/>
          <w:b/>
          <w:sz w:val="44"/>
          <w:szCs w:val="44"/>
        </w:rPr>
      </w:pPr>
    </w:p>
    <w:p>
      <w:pPr>
        <w:spacing w:line="600" w:lineRule="exact"/>
        <w:jc w:val="center"/>
        <w:outlineLvl w:val="0"/>
        <w:rPr>
          <w:rFonts w:ascii="宋体"/>
          <w:b/>
          <w:sz w:val="44"/>
          <w:szCs w:val="44"/>
        </w:rPr>
      </w:pPr>
    </w:p>
    <w:p>
      <w:pPr>
        <w:spacing w:line="600" w:lineRule="exact"/>
        <w:jc w:val="center"/>
        <w:outlineLvl w:val="0"/>
        <w:rPr>
          <w:rFonts w:ascii="宋体"/>
          <w:b/>
          <w:sz w:val="44"/>
          <w:szCs w:val="44"/>
        </w:rPr>
      </w:pPr>
    </w:p>
    <w:p>
      <w:pPr>
        <w:spacing w:line="600" w:lineRule="exact"/>
        <w:jc w:val="center"/>
        <w:outlineLvl w:val="0"/>
        <w:rPr>
          <w:rFonts w:ascii="宋体"/>
          <w:b/>
          <w:sz w:val="44"/>
          <w:szCs w:val="44"/>
        </w:rPr>
      </w:pPr>
    </w:p>
    <w:p>
      <w:pPr>
        <w:spacing w:line="600" w:lineRule="exact"/>
        <w:jc w:val="center"/>
        <w:outlineLvl w:val="0"/>
        <w:rPr>
          <w:rFonts w:ascii="宋体"/>
          <w:b/>
          <w:sz w:val="44"/>
          <w:szCs w:val="44"/>
        </w:rPr>
      </w:pPr>
    </w:p>
    <w:p>
      <w:pPr>
        <w:spacing w:line="600" w:lineRule="exact"/>
        <w:jc w:val="center"/>
        <w:outlineLvl w:val="0"/>
        <w:rPr>
          <w:rFonts w:ascii="宋体"/>
          <w:b/>
          <w:sz w:val="44"/>
          <w:szCs w:val="44"/>
        </w:rPr>
      </w:pPr>
    </w:p>
    <w:p>
      <w:pPr>
        <w:spacing w:line="600" w:lineRule="exact"/>
        <w:jc w:val="center"/>
        <w:outlineLvl w:val="0"/>
        <w:rPr>
          <w:rFonts w:ascii="宋体"/>
          <w:b/>
          <w:sz w:val="44"/>
          <w:szCs w:val="44"/>
        </w:rPr>
      </w:pPr>
    </w:p>
    <w:p>
      <w:pPr>
        <w:spacing w:line="600" w:lineRule="exact"/>
        <w:jc w:val="center"/>
        <w:outlineLvl w:val="0"/>
        <w:rPr>
          <w:rFonts w:ascii="宋体"/>
          <w:b/>
          <w:sz w:val="44"/>
          <w:szCs w:val="44"/>
        </w:rPr>
      </w:pPr>
    </w:p>
    <w:p>
      <w:pPr>
        <w:spacing w:line="600" w:lineRule="exact"/>
        <w:jc w:val="center"/>
        <w:outlineLvl w:val="0"/>
        <w:rPr>
          <w:rFonts w:ascii="宋体"/>
          <w:b/>
          <w:sz w:val="44"/>
          <w:szCs w:val="44"/>
        </w:rPr>
      </w:pPr>
    </w:p>
    <w:p>
      <w:pPr>
        <w:spacing w:line="600" w:lineRule="exact"/>
        <w:jc w:val="both"/>
        <w:outlineLvl w:val="0"/>
        <w:rPr>
          <w:rFonts w:ascii="宋体"/>
          <w:b/>
          <w:sz w:val="44"/>
          <w:szCs w:val="44"/>
        </w:rPr>
      </w:pPr>
      <w:r>
        <w:rPr>
          <w:rFonts w:ascii="宋体"/>
          <w:b/>
          <w:sz w:val="44"/>
          <w:szCs w:val="44"/>
        </w:rPr>
        <w:br w:type="page"/>
      </w:r>
      <w:bookmarkStart w:id="54" w:name="_Toc15396614"/>
    </w:p>
    <w:p>
      <w:pPr>
        <w:spacing w:line="600" w:lineRule="exact"/>
        <w:jc w:val="center"/>
        <w:outlineLvl w:val="0"/>
        <w:rPr>
          <w:rStyle w:val="1Char"/>
          <w:rFonts w:ascii="黑体" w:eastAsia="黑体"/>
          <w:b w:val="0"/>
        </w:rPr>
      </w:pPr>
      <w:r>
        <w:rPr>
          <w:rFonts w:ascii="黑体" w:eastAsia="黑体" w:hint="eastAsia"/>
          <w:sz w:val="44"/>
          <w:szCs w:val="44"/>
        </w:rPr>
        <w:t>第</w:t>
      </w:r>
      <w:r>
        <w:rPr>
          <w:rStyle w:val="1Char"/>
          <w:rFonts w:ascii="黑体" w:eastAsia="黑体" w:hint="eastAsia"/>
          <w:b w:val="0"/>
        </w:rPr>
        <w:t>四部分 附件</w:t>
      </w:r>
      <w:bookmarkEnd w:id="54"/>
    </w:p>
    <w:p>
      <w:pPr>
        <w:spacing w:line="572" w:lineRule="exact"/>
        <w:jc w:val="left"/>
        <w:outlineLvl w:val="0"/>
        <w:rPr>
          <w:rFonts w:ascii="方正小标宋简体" w:eastAsia="方正小标宋简体" w:cs="方正小标宋简体"/>
          <w:sz w:val="44"/>
          <w:szCs w:val="44"/>
        </w:rPr>
      </w:pPr>
      <w:r>
        <w:rPr>
          <w:rFonts w:ascii="黑体" w:eastAsia="黑体" w:cs="黑体" w:hint="eastAsia"/>
          <w:sz w:val="32"/>
          <w:szCs w:val="32"/>
        </w:rPr>
        <w:t>附件</w:t>
      </w:r>
    </w:p>
    <w:p>
      <w:pPr>
        <w:widowControl/>
        <w:spacing w:line="560" w:lineRule="exact"/>
        <w:contextualSpacing/>
        <w:jc w:val="center"/>
        <w:rPr>
          <w:rFonts w:ascii="方正小标宋简体" w:eastAsia="方正小标宋简体" w:cs="方正小标宋简体" w:hint="eastAsia"/>
          <w:b w:val="0"/>
          <w:bCs/>
          <w:sz w:val="44"/>
          <w:szCs w:val="44"/>
          <w:shd w:val="clear" w:color="auto" w:fill="FFFFFF"/>
        </w:rPr>
      </w:pPr>
      <w:r>
        <w:rPr>
          <w:rFonts w:ascii="方正小标宋简体" w:eastAsia="方正小标宋简体" w:cs="方正小标宋简体" w:hint="eastAsia"/>
          <w:b w:val="0"/>
          <w:bCs/>
          <w:sz w:val="44"/>
          <w:szCs w:val="44"/>
          <w:shd w:val="clear" w:color="auto" w:fill="FFFFFF"/>
        </w:rPr>
        <w:t>2023年部门整体绩效评价报告</w:t>
      </w:r>
    </w:p>
    <w:p>
      <w:pPr>
        <w:pStyle w:val="15"/>
      </w:pPr>
    </w:p>
    <w:p>
      <w:pPr>
        <w:ind w:firstLineChars="200" w:firstLine="640"/>
        <w:rPr>
          <w:rFonts w:ascii="黑体" w:eastAsia="黑体" w:cs="黑体" w:hint="eastAsia"/>
          <w:sz w:val="32"/>
          <w:szCs w:val="32"/>
          <w:lang w:eastAsia="zh-CN"/>
        </w:rPr>
      </w:pPr>
      <w:r>
        <w:rPr>
          <w:rFonts w:ascii="黑体" w:eastAsia="黑体" w:cs="黑体" w:hint="eastAsia"/>
          <w:sz w:val="32"/>
          <w:szCs w:val="32"/>
          <w:lang w:eastAsia="zh-CN"/>
        </w:rPr>
        <w:t>一、部门基本情况</w:t>
      </w:r>
    </w:p>
    <w:p>
      <w:pPr>
        <w:keepNext w:val="0"/>
        <w:keepLines w:val="0"/>
        <w:pageBreakBefore w:val="0"/>
        <w:widowControl/>
        <w:kinsoku/>
        <w:wordWrap/>
        <w:overflowPunct/>
        <w:topLinePunct w:val="0"/>
        <w:autoSpaceDE/>
        <w:autoSpaceDN/>
        <w:bidi w:val="0"/>
        <w:adjustRightInd w:val="0"/>
        <w:snapToGrid w:val="0"/>
        <w:spacing w:line="560" w:lineRule="exact"/>
        <w:ind w:right="0" w:firstLineChars="200" w:firstLine="640"/>
        <w:jc w:val="both"/>
        <w:rPr>
          <w:rFonts w:ascii="Times New Roman" w:eastAsia="方正楷体_GBK" w:cs="Times New Roman" w:hAnsi="Times New Roman"/>
          <w:b/>
          <w:bCs/>
          <w:color w:val="auto"/>
          <w:kern w:val="0"/>
          <w:sz w:val="32"/>
          <w:szCs w:val="32"/>
          <w:lang w:val="zh-CN"/>
        </w:rPr>
      </w:pPr>
      <w:r>
        <w:rPr>
          <w:rFonts w:ascii="Times New Roman" w:eastAsia="方正楷体_GBK" w:cs="Times New Roman" w:hAnsi="Times New Roman"/>
          <w:b/>
          <w:bCs/>
          <w:color w:val="auto"/>
          <w:kern w:val="0"/>
          <w:sz w:val="32"/>
          <w:szCs w:val="32"/>
          <w:lang w:val="zh-CN"/>
        </w:rPr>
        <w:t>（一）机构组成</w:t>
      </w:r>
    </w:p>
    <w:p>
      <w:pPr>
        <w:keepNext w:val="0"/>
        <w:keepLines w:val="0"/>
        <w:pageBreakBefore w:val="0"/>
        <w:widowControl w:val="0"/>
        <w:kinsoku/>
        <w:wordWrap/>
        <w:overflowPunct/>
        <w:topLinePunct w:val="0"/>
        <w:autoSpaceDE/>
        <w:autoSpaceDN/>
        <w:bidi w:val="0"/>
        <w:spacing w:line="560" w:lineRule="exact"/>
        <w:ind w:firstLineChars="200" w:firstLine="640"/>
        <w:rPr>
          <w:rFonts w:ascii="Times New Roman" w:eastAsia="方正仿宋_GBK" w:cs="Times New Roman" w:hAnsi="Times New Roman"/>
          <w:color w:val="auto"/>
          <w:sz w:val="32"/>
          <w:szCs w:val="32"/>
          <w:lang w:val="en-US" w:eastAsia="zh-CN"/>
        </w:rPr>
      </w:pPr>
      <w:r>
        <w:rPr>
          <w:rFonts w:ascii="Times New Roman" w:eastAsia="方正仿宋_GBK" w:cs="Times New Roman" w:hAnsi="Times New Roman"/>
          <w:color w:val="auto"/>
          <w:sz w:val="32"/>
          <w:szCs w:val="32"/>
        </w:rPr>
        <w:t>我办为州委管理的正县级行政机构；财务隶属关系：</w:t>
      </w:r>
      <w:r>
        <w:rPr>
          <w:rFonts w:ascii="Times New Roman" w:eastAsia="方正仿宋_GBK" w:cs="Times New Roman" w:hAnsi="Times New Roman"/>
          <w:color w:val="auto"/>
          <w:sz w:val="32"/>
          <w:szCs w:val="32"/>
          <w:lang w:val="en-US" w:eastAsia="zh-CN"/>
        </w:rPr>
        <w:t>一</w:t>
      </w:r>
      <w:r>
        <w:rPr>
          <w:rFonts w:ascii="Times New Roman" w:eastAsia="方正仿宋_GBK" w:cs="Times New Roman" w:hAnsi="Times New Roman"/>
          <w:color w:val="auto"/>
          <w:sz w:val="32"/>
          <w:szCs w:val="32"/>
        </w:rPr>
        <w:t>级单位；执行财务会计制度情况：</w:t>
      </w:r>
      <w:r>
        <w:rPr>
          <w:rFonts w:ascii="Times New Roman" w:eastAsia="方正仿宋_GBK" w:cs="Times New Roman" w:hAnsi="Times New Roman"/>
          <w:color w:val="auto"/>
          <w:sz w:val="32"/>
          <w:szCs w:val="32"/>
          <w:lang w:val="en-US" w:eastAsia="zh-CN"/>
        </w:rPr>
        <w:t>行政</w:t>
      </w:r>
      <w:r>
        <w:rPr>
          <w:rFonts w:ascii="Times New Roman" w:eastAsia="方正仿宋_GBK" w:cs="Times New Roman" w:hAnsi="Times New Roman"/>
          <w:color w:val="auto"/>
          <w:sz w:val="32"/>
          <w:szCs w:val="32"/>
        </w:rPr>
        <w:t>单位会计制度。</w:t>
      </w:r>
      <w:r>
        <w:rPr>
          <w:rFonts w:ascii="Times New Roman" w:eastAsia="方正仿宋_GBK" w:cs="Times New Roman" w:hAnsi="Times New Roman" w:hint="eastAsia"/>
          <w:color w:val="auto"/>
          <w:sz w:val="32"/>
          <w:szCs w:val="32"/>
          <w:lang w:eastAsia="zh-CN"/>
        </w:rPr>
        <w:t>下辖正科级事业单位</w:t>
      </w:r>
      <w:r>
        <w:rPr>
          <w:rFonts w:ascii="Times New Roman" w:eastAsia="方正仿宋_GBK" w:cs="Times New Roman" w:hAnsi="Times New Roman" w:hint="eastAsia"/>
          <w:color w:val="auto"/>
          <w:sz w:val="32"/>
          <w:szCs w:val="32"/>
          <w:lang w:val="en-US" w:eastAsia="zh-CN"/>
        </w:rPr>
        <w:t>州机构编制实名制管理中心；</w:t>
      </w:r>
      <w:r>
        <w:rPr>
          <w:rFonts w:ascii="Times New Roman" w:eastAsia="方正仿宋_GBK" w:cs="Times New Roman" w:hAnsi="Times New Roman"/>
          <w:color w:val="auto"/>
          <w:sz w:val="32"/>
          <w:szCs w:val="32"/>
        </w:rPr>
        <w:t>财务隶属关系：</w:t>
      </w:r>
      <w:r>
        <w:rPr>
          <w:rFonts w:ascii="Times New Roman" w:eastAsia="方正仿宋_GBK" w:cs="Times New Roman" w:hAnsi="Times New Roman" w:hint="eastAsia"/>
          <w:color w:val="auto"/>
          <w:sz w:val="32"/>
          <w:szCs w:val="32"/>
          <w:lang w:val="en-US" w:eastAsia="zh-CN"/>
        </w:rPr>
        <w:t>二</w:t>
      </w:r>
      <w:r>
        <w:rPr>
          <w:rFonts w:ascii="Times New Roman" w:eastAsia="方正仿宋_GBK" w:cs="Times New Roman" w:hAnsi="Times New Roman"/>
          <w:color w:val="auto"/>
          <w:sz w:val="32"/>
          <w:szCs w:val="32"/>
        </w:rPr>
        <w:t>级单位；执行财务会计制度情况：</w:t>
      </w:r>
      <w:r>
        <w:rPr>
          <w:rFonts w:ascii="Times New Roman" w:eastAsia="方正仿宋_GBK" w:cs="Times New Roman" w:hAnsi="Times New Roman"/>
          <w:color w:val="auto"/>
          <w:sz w:val="32"/>
          <w:szCs w:val="32"/>
          <w:lang w:val="en-US" w:eastAsia="zh-CN"/>
        </w:rPr>
        <w:t>行政</w:t>
      </w:r>
      <w:r>
        <w:rPr>
          <w:rFonts w:ascii="Times New Roman" w:eastAsia="方正仿宋_GBK" w:cs="Times New Roman" w:hAnsi="Times New Roman"/>
          <w:color w:val="auto"/>
          <w:sz w:val="32"/>
          <w:szCs w:val="32"/>
        </w:rPr>
        <w:t>单位会计制度。</w:t>
      </w:r>
    </w:p>
    <w:p>
      <w:pPr>
        <w:keepNext w:val="0"/>
        <w:keepLines w:val="0"/>
        <w:pageBreakBefore w:val="0"/>
        <w:widowControl/>
        <w:kinsoku/>
        <w:wordWrap/>
        <w:overflowPunct/>
        <w:topLinePunct w:val="0"/>
        <w:autoSpaceDE/>
        <w:autoSpaceDN/>
        <w:bidi w:val="0"/>
        <w:adjustRightInd w:val="0"/>
        <w:snapToGrid w:val="0"/>
        <w:spacing w:line="560" w:lineRule="exact"/>
        <w:ind w:left="0" w:right="0" w:firstLineChars="200" w:firstLine="640"/>
        <w:jc w:val="both"/>
        <w:rPr>
          <w:rFonts w:ascii="Times New Roman" w:eastAsia="方正楷体_GBK" w:cs="Times New Roman" w:hAnsi="Times New Roman" w:hint="eastAsia"/>
          <w:b/>
          <w:bCs/>
          <w:color w:val="auto"/>
          <w:kern w:val="0"/>
          <w:sz w:val="32"/>
          <w:szCs w:val="32"/>
          <w:lang w:val="en-US" w:eastAsia="zh-CN"/>
        </w:rPr>
      </w:pPr>
      <w:r>
        <w:rPr>
          <w:rFonts w:ascii="Times New Roman" w:eastAsia="方正楷体_GBK" w:cs="Times New Roman" w:hAnsi="Times New Roman"/>
          <w:b/>
          <w:bCs/>
          <w:color w:val="auto"/>
          <w:kern w:val="0"/>
          <w:sz w:val="32"/>
          <w:szCs w:val="32"/>
          <w:lang w:val="zh-CN"/>
        </w:rPr>
        <w:t>（</w:t>
      </w:r>
      <w:r>
        <w:rPr>
          <w:rFonts w:ascii="Times New Roman" w:eastAsia="方正楷体_GBK" w:cs="Times New Roman" w:hAnsi="Times New Roman"/>
          <w:b/>
          <w:bCs/>
          <w:color w:val="auto"/>
          <w:kern w:val="0"/>
          <w:sz w:val="32"/>
          <w:szCs w:val="32"/>
          <w:lang w:val="en-US" w:eastAsia="zh-CN"/>
        </w:rPr>
        <w:t>二</w:t>
      </w:r>
      <w:r>
        <w:rPr>
          <w:rFonts w:ascii="Times New Roman" w:eastAsia="方正楷体_GBK" w:cs="Times New Roman" w:hAnsi="Times New Roman"/>
          <w:b/>
          <w:bCs/>
          <w:color w:val="auto"/>
          <w:kern w:val="0"/>
          <w:sz w:val="32"/>
          <w:szCs w:val="32"/>
          <w:lang w:val="zh-CN"/>
        </w:rPr>
        <w:t>）机构职</w:t>
      </w:r>
      <w:r>
        <w:rPr>
          <w:rFonts w:ascii="Times New Roman" w:eastAsia="方正楷体_GBK" w:cs="Times New Roman" w:hAnsi="Times New Roman" w:hint="eastAsia"/>
          <w:b/>
          <w:bCs/>
          <w:color w:val="auto"/>
          <w:kern w:val="0"/>
          <w:sz w:val="32"/>
          <w:szCs w:val="32"/>
          <w:lang w:val="zh-CN" w:eastAsia="zh-CN"/>
        </w:rPr>
        <w:t>能</w:t>
      </w:r>
    </w:p>
    <w:p>
      <w:pPr>
        <w:keepNext w:val="0"/>
        <w:keepLines w:val="0"/>
        <w:pageBreakBefore w:val="0"/>
        <w:widowControl w:val="0"/>
        <w:kinsoku/>
        <w:wordWrap/>
        <w:overflowPunct/>
        <w:topLinePunct w:val="0"/>
        <w:autoSpaceDE/>
        <w:autoSpaceDN/>
        <w:bidi w:val="0"/>
        <w:spacing w:line="560" w:lineRule="exact"/>
        <w:ind w:firstLineChars="200" w:firstLine="640"/>
        <w:rPr>
          <w:rFonts w:ascii="Times New Roman" w:eastAsia="仿宋_GB2312" w:cs="Times New Roman" w:hAnsi="Times New Roman"/>
          <w:color w:val="auto"/>
          <w:sz w:val="32"/>
          <w:szCs w:val="32"/>
        </w:rPr>
      </w:pPr>
      <w:r>
        <w:rPr>
          <w:rFonts w:ascii="Times New Roman" w:eastAsia="方正仿宋_GBK" w:cs="Times New Roman" w:hAnsi="Times New Roman"/>
          <w:color w:val="auto"/>
          <w:sz w:val="32"/>
          <w:szCs w:val="32"/>
        </w:rPr>
        <w:t>主要职责是研究拟定全州行政管理体制和机构改革以及机构编制管理的政策、法规草案，统一管理全州各级党委、人大、政府、政协、法院、检察院机关及人民团体机关的机构编制工作；研究拟定全州行政管理体制和机构改革的总体方案，审核州委、州政府各部门和县机构改革方案，指导、协调县、乡（镇）行政管理体制和机构改革以及机关编制管理工作等。</w:t>
      </w:r>
    </w:p>
    <w:p>
      <w:pPr>
        <w:keepNext w:val="0"/>
        <w:keepLines w:val="0"/>
        <w:pageBreakBefore w:val="0"/>
        <w:widowControl/>
        <w:kinsoku/>
        <w:wordWrap/>
        <w:overflowPunct/>
        <w:topLinePunct w:val="0"/>
        <w:autoSpaceDE/>
        <w:autoSpaceDN/>
        <w:bidi w:val="0"/>
        <w:adjustRightInd w:val="0"/>
        <w:snapToGrid w:val="0"/>
        <w:spacing w:line="560" w:lineRule="exact"/>
        <w:ind w:left="0" w:right="0" w:firstLineChars="200" w:firstLine="640"/>
        <w:jc w:val="both"/>
        <w:rPr>
          <w:rFonts w:ascii="Times New Roman" w:eastAsia="方正楷体_GBK" w:cs="Times New Roman" w:hAnsi="Times New Roman"/>
          <w:b/>
          <w:bCs/>
          <w:color w:val="auto"/>
          <w:kern w:val="0"/>
          <w:sz w:val="32"/>
          <w:szCs w:val="32"/>
          <w:lang w:val="zh-CN"/>
          <w:highlight w:val="auto"/>
        </w:rPr>
      </w:pPr>
      <w:r>
        <w:rPr>
          <w:rFonts w:ascii="Times New Roman" w:eastAsia="方正楷体_GBK" w:cs="Times New Roman" w:hAnsi="Times New Roman"/>
          <w:b/>
          <w:bCs/>
          <w:color w:val="auto"/>
          <w:kern w:val="0"/>
          <w:sz w:val="32"/>
          <w:szCs w:val="32"/>
          <w:lang w:val="zh-CN" w:eastAsia="zh-CN"/>
          <w:highlight w:val="auto"/>
        </w:rPr>
        <w:t>（</w:t>
      </w:r>
      <w:r>
        <w:rPr>
          <w:rFonts w:ascii="Times New Roman" w:eastAsia="方正楷体_GBK" w:cs="Times New Roman" w:hAnsi="Times New Roman"/>
          <w:b/>
          <w:bCs/>
          <w:color w:val="auto"/>
          <w:kern w:val="0"/>
          <w:sz w:val="32"/>
          <w:szCs w:val="32"/>
          <w:lang w:val="en-US" w:eastAsia="zh-CN"/>
          <w:highlight w:val="auto"/>
        </w:rPr>
        <w:t>三</w:t>
      </w:r>
      <w:r>
        <w:rPr>
          <w:rFonts w:ascii="Times New Roman" w:eastAsia="方正楷体_GBK" w:cs="Times New Roman" w:hAnsi="Times New Roman"/>
          <w:b/>
          <w:bCs/>
          <w:color w:val="auto"/>
          <w:kern w:val="0"/>
          <w:sz w:val="32"/>
          <w:szCs w:val="32"/>
          <w:lang w:val="zh-CN" w:eastAsia="zh-CN"/>
          <w:highlight w:val="auto"/>
        </w:rPr>
        <w:t>）</w:t>
      </w:r>
      <w:r>
        <w:rPr>
          <w:rFonts w:ascii="Times New Roman" w:eastAsia="方正楷体_GBK" w:cs="Times New Roman" w:hAnsi="Times New Roman"/>
          <w:b/>
          <w:bCs/>
          <w:color w:val="auto"/>
          <w:kern w:val="0"/>
          <w:sz w:val="32"/>
          <w:szCs w:val="32"/>
          <w:lang w:val="zh-CN"/>
          <w:highlight w:val="auto"/>
        </w:rPr>
        <w:t>人员概况</w:t>
      </w:r>
    </w:p>
    <w:p>
      <w:pPr>
        <w:pStyle w:val="16"/>
        <w:keepNext w:val="0"/>
        <w:keepLines w:val="0"/>
        <w:pageBreakBefore w:val="0"/>
        <w:widowControl w:val="0"/>
        <w:kinsoku/>
        <w:wordWrap/>
        <w:overflowPunct/>
        <w:topLinePunct w:val="0"/>
        <w:autoSpaceDE/>
        <w:autoSpaceDN/>
        <w:bidi w:val="0"/>
        <w:adjustRightInd w:val="0"/>
        <w:snapToGrid w:val="0"/>
        <w:spacing w:beforeLines="0" w:before="0" w:beforeAutospacing="0" w:after="0" w:afterAutospacing="0" w:line="560" w:lineRule="exact"/>
        <w:ind w:left="0" w:right="0" w:firstLineChars="200" w:firstLine="640"/>
        <w:jc w:val="both"/>
        <w:rPr>
          <w:rFonts w:ascii="Times New Roman" w:eastAsia="方正仿宋_GBK" w:cs="Times New Roman" w:hAnsi="Times New Roman"/>
          <w:color w:val="auto"/>
          <w:kern w:val="2"/>
          <w:sz w:val="32"/>
          <w:szCs w:val="32"/>
          <w:lang w:val="en-US" w:eastAsia="zh-CN" w:bidi="ar-SA"/>
          <w:highlight w:val="auto"/>
        </w:rPr>
      </w:pPr>
      <w:r>
        <w:rPr>
          <w:rFonts w:ascii="Times New Roman" w:eastAsia="方正仿宋_GBK" w:cs="Times New Roman" w:hAnsi="Times New Roman"/>
          <w:color w:val="auto"/>
          <w:kern w:val="2"/>
          <w:sz w:val="32"/>
          <w:szCs w:val="32"/>
          <w:lang w:val="en-US" w:eastAsia="zh-CN" w:bidi="ar-SA"/>
          <w:highlight w:val="auto"/>
        </w:rPr>
        <w:t>截止2023年6月30日在编在岗17人，其中：行政11人，行政工勤2名，参公人员4名。共有内设机构5个。</w:t>
      </w:r>
      <w:r>
        <w:rPr>
          <w:rFonts w:ascii="Times New Roman" w:eastAsia="方正仿宋_GBK" w:cs="Times New Roman" w:hAnsi="Times New Roman" w:hint="eastAsia"/>
          <w:color w:val="auto"/>
          <w:kern w:val="2"/>
          <w:sz w:val="32"/>
          <w:szCs w:val="32"/>
          <w:lang w:val="en-US" w:eastAsia="zh-CN" w:bidi="ar-SA"/>
          <w:highlight w:val="auto"/>
        </w:rPr>
        <w:t>下辖正科级事业单位1个，截至2023年6月30日在编在岗9人。</w:t>
      </w:r>
    </w:p>
    <w:p>
      <w:pPr>
        <w:pStyle w:val="32"/>
        <w:keepNext w:val="0"/>
        <w:keepLines w:val="0"/>
        <w:pageBreakBefore w:val="0"/>
        <w:widowControl w:val="0"/>
        <w:kinsoku/>
        <w:wordWrap/>
        <w:overflowPunct/>
        <w:topLinePunct w:val="0"/>
        <w:autoSpaceDE/>
        <w:autoSpaceDN/>
        <w:bidi w:val="0"/>
        <w:spacing w:line="560" w:lineRule="exact"/>
        <w:ind w:left="420" w:firstLineChars="100" w:firstLine="320"/>
        <w:rPr>
          <w:rFonts w:ascii="Times New Roman" w:eastAsia="方正黑体_GBK" w:cs="Times New Roman" w:hAnsi="Times New Roman"/>
          <w:color w:val="auto"/>
          <w:sz w:val="32"/>
          <w:szCs w:val="32"/>
        </w:rPr>
      </w:pPr>
      <w:r>
        <w:rPr>
          <w:rFonts w:ascii="Times New Roman" w:eastAsia="方正黑体_GBK" w:cs="Times New Roman" w:hAnsi="Times New Roman"/>
          <w:color w:val="auto"/>
          <w:sz w:val="32"/>
          <w:szCs w:val="32"/>
        </w:rPr>
        <w:t>二、部门财政资金收支情况</w:t>
      </w:r>
    </w:p>
    <w:p>
      <w:pPr>
        <w:keepNext w:val="0"/>
        <w:keepLines w:val="0"/>
        <w:pageBreakBefore w:val="0"/>
        <w:widowControl/>
        <w:kinsoku/>
        <w:wordWrap/>
        <w:overflowPunct/>
        <w:topLinePunct w:val="0"/>
        <w:autoSpaceDE/>
        <w:autoSpaceDN/>
        <w:bidi w:val="0"/>
        <w:adjustRightInd w:val="0"/>
        <w:snapToGrid w:val="0"/>
        <w:spacing w:line="560" w:lineRule="exact"/>
        <w:ind w:left="0" w:right="0" w:firstLineChars="200" w:firstLine="640"/>
        <w:jc w:val="both"/>
        <w:rPr>
          <w:rFonts w:ascii="Times New Roman" w:eastAsia="方正楷体_GBK" w:cs="Times New Roman" w:hAnsi="Times New Roman"/>
          <w:b/>
          <w:bCs/>
          <w:color w:val="auto"/>
          <w:kern w:val="0"/>
          <w:sz w:val="32"/>
          <w:szCs w:val="32"/>
          <w:lang w:val="zh-CN" w:eastAsia="zh-CN"/>
        </w:rPr>
      </w:pPr>
      <w:r>
        <w:rPr>
          <w:rFonts w:ascii="Times New Roman" w:eastAsia="方正楷体_GBK" w:cs="Times New Roman" w:hAnsi="Times New Roman"/>
          <w:b/>
          <w:bCs/>
          <w:color w:val="auto"/>
          <w:kern w:val="0"/>
          <w:sz w:val="32"/>
          <w:szCs w:val="32"/>
          <w:lang w:val="zh-CN" w:eastAsia="zh-CN"/>
        </w:rPr>
        <w:t>（一）财政资金收入情况</w:t>
      </w:r>
    </w:p>
    <w:p>
      <w:pPr>
        <w:pStyle w:val="32"/>
        <w:keepNext w:val="0"/>
        <w:keepLines w:val="0"/>
        <w:pageBreakBefore w:val="0"/>
        <w:widowControl w:val="0"/>
        <w:kinsoku/>
        <w:wordWrap/>
        <w:overflowPunct/>
        <w:topLinePunct w:val="0"/>
        <w:autoSpaceDE/>
        <w:autoSpaceDN/>
        <w:bidi w:val="0"/>
        <w:spacing w:line="560" w:lineRule="exact"/>
        <w:ind w:left="0" w:firstLineChars="200" w:firstLine="640"/>
        <w:rPr>
          <w:rFonts w:ascii="Times New Roman" w:eastAsia="仿宋_GB2312" w:cs="Times New Roman" w:hAnsi="Times New Roman"/>
          <w:color w:val="auto"/>
          <w:sz w:val="32"/>
          <w:szCs w:val="32"/>
        </w:rPr>
      </w:pPr>
      <w:r>
        <w:rPr>
          <w:rFonts w:ascii="Times New Roman" w:eastAsia="仿宋_GB2312" w:cs="Times New Roman" w:hAnsi="Times New Roman"/>
          <w:color w:val="auto"/>
          <w:sz w:val="32"/>
          <w:szCs w:val="32"/>
          <w:lang w:val="en-US" w:eastAsia="zh-CN"/>
        </w:rPr>
        <w:t>2022年度收入预算数为493.15万元，收入决算数为493.15万元，其中</w:t>
      </w:r>
      <w:r>
        <w:rPr>
          <w:rFonts w:ascii="Times New Roman" w:eastAsia="仿宋_GB2312" w:cs="Times New Roman" w:hAnsi="Times New Roman"/>
          <w:color w:val="auto"/>
          <w:sz w:val="32"/>
          <w:szCs w:val="32"/>
        </w:rPr>
        <w:t>一般公共</w:t>
      </w:r>
      <w:r>
        <w:rPr>
          <w:rFonts w:ascii="Times New Roman" w:eastAsia="仿宋_GB2312" w:cs="Times New Roman" w:hAnsi="Times New Roman"/>
          <w:color w:val="auto"/>
          <w:sz w:val="32"/>
          <w:szCs w:val="32"/>
          <w:lang w:eastAsia="zh-CN"/>
        </w:rPr>
        <w:t>预算财政拨款收入</w:t>
      </w:r>
      <w:r>
        <w:rPr>
          <w:rFonts w:ascii="Times New Roman" w:eastAsia="仿宋_GB2312" w:cs="Times New Roman" w:hAnsi="Times New Roman"/>
          <w:color w:val="auto"/>
          <w:sz w:val="32"/>
          <w:szCs w:val="32"/>
          <w:lang w:val="en-US" w:eastAsia="zh-CN"/>
        </w:rPr>
        <w:t>493.15万元，占比100%。</w:t>
      </w:r>
    </w:p>
    <w:p>
      <w:pPr>
        <w:keepNext w:val="0"/>
        <w:keepLines w:val="0"/>
        <w:pageBreakBefore w:val="0"/>
        <w:widowControl/>
        <w:kinsoku/>
        <w:wordWrap/>
        <w:overflowPunct/>
        <w:topLinePunct w:val="0"/>
        <w:autoSpaceDE/>
        <w:autoSpaceDN/>
        <w:bidi w:val="0"/>
        <w:adjustRightInd w:val="0"/>
        <w:snapToGrid w:val="0"/>
        <w:spacing w:line="560" w:lineRule="exact"/>
        <w:ind w:left="0" w:right="0" w:firstLineChars="200" w:firstLine="640"/>
        <w:jc w:val="both"/>
        <w:rPr>
          <w:rFonts w:ascii="Times New Roman" w:eastAsia="方正楷体_GBK" w:cs="Times New Roman" w:hAnsi="Times New Roman"/>
          <w:b/>
          <w:bCs/>
          <w:color w:val="auto"/>
          <w:kern w:val="0"/>
          <w:sz w:val="32"/>
          <w:szCs w:val="32"/>
          <w:lang w:val="zh-CN" w:eastAsia="zh-CN"/>
        </w:rPr>
      </w:pPr>
      <w:r>
        <w:rPr>
          <w:rFonts w:ascii="Times New Roman" w:eastAsia="方正楷体_GBK" w:cs="Times New Roman" w:hAnsi="Times New Roman"/>
          <w:b/>
          <w:bCs/>
          <w:color w:val="auto"/>
          <w:kern w:val="0"/>
          <w:sz w:val="32"/>
          <w:szCs w:val="32"/>
          <w:lang w:val="zh-CN" w:eastAsia="zh-CN"/>
        </w:rPr>
        <w:t>（二）财政资金支出情况</w:t>
      </w:r>
    </w:p>
    <w:p>
      <w:pPr>
        <w:pStyle w:val="32"/>
        <w:keepNext w:val="0"/>
        <w:keepLines w:val="0"/>
        <w:pageBreakBefore w:val="0"/>
        <w:widowControl w:val="0"/>
        <w:kinsoku/>
        <w:wordWrap/>
        <w:overflowPunct/>
        <w:topLinePunct w:val="0"/>
        <w:autoSpaceDE/>
        <w:autoSpaceDN/>
        <w:bidi w:val="0"/>
        <w:spacing w:line="560" w:lineRule="exact"/>
        <w:ind w:left="0" w:firstLineChars="200" w:firstLine="640"/>
        <w:rPr>
          <w:rFonts w:ascii="Times New Roman" w:eastAsia="仿宋_GB2312" w:cs="Times New Roman" w:hAnsi="Times New Roman"/>
          <w:color w:val="auto"/>
          <w:sz w:val="32"/>
          <w:szCs w:val="32"/>
        </w:rPr>
      </w:pPr>
      <w:r>
        <w:rPr>
          <w:rFonts w:ascii="Times New Roman" w:eastAsia="仿宋_GB2312" w:cs="Times New Roman" w:hAnsi="Times New Roman"/>
          <w:color w:val="auto"/>
          <w:sz w:val="32"/>
          <w:szCs w:val="32"/>
          <w:lang w:val="en-US" w:eastAsia="zh-CN"/>
        </w:rPr>
        <w:t>2022年度支出预算数为493.15万元，支出决算数为493.15万元，其中</w:t>
      </w:r>
      <w:r>
        <w:rPr>
          <w:rFonts w:ascii="Times New Roman" w:eastAsia="仿宋_GB2312" w:cs="Times New Roman" w:hAnsi="Times New Roman"/>
          <w:color w:val="auto"/>
          <w:sz w:val="32"/>
          <w:szCs w:val="32"/>
        </w:rPr>
        <w:t>一般公共服务支出</w:t>
      </w:r>
      <w:r>
        <w:rPr>
          <w:rFonts w:ascii="Times New Roman" w:eastAsia="仿宋_GB2312" w:cs="Times New Roman" w:hAnsi="Times New Roman"/>
          <w:color w:val="auto"/>
          <w:sz w:val="32"/>
          <w:szCs w:val="32"/>
          <w:lang w:val="en-US" w:eastAsia="zh-CN"/>
        </w:rPr>
        <w:t>407.67万</w:t>
      </w:r>
      <w:r>
        <w:rPr>
          <w:rFonts w:ascii="Times New Roman" w:eastAsia="仿宋_GB2312" w:cs="Times New Roman" w:hAnsi="Times New Roman"/>
          <w:color w:val="auto"/>
          <w:sz w:val="32"/>
          <w:szCs w:val="32"/>
        </w:rPr>
        <w:t>元，占总收入的</w:t>
      </w:r>
      <w:r>
        <w:rPr>
          <w:rFonts w:ascii="Times New Roman" w:eastAsia="仿宋_GB2312" w:cs="Times New Roman" w:hAnsi="Times New Roman"/>
          <w:color w:val="auto"/>
          <w:sz w:val="32"/>
          <w:szCs w:val="32"/>
          <w:lang w:val="en-US" w:eastAsia="zh-CN"/>
        </w:rPr>
        <w:t>82.67</w:t>
      </w:r>
      <w:r>
        <w:rPr>
          <w:rFonts w:ascii="Times New Roman" w:eastAsia="仿宋_GB2312" w:cs="Times New Roman" w:hAnsi="Times New Roman"/>
          <w:color w:val="auto"/>
          <w:sz w:val="32"/>
          <w:szCs w:val="32"/>
        </w:rPr>
        <w:t>%；社会保障和就业支出</w:t>
      </w:r>
      <w:r>
        <w:rPr>
          <w:rFonts w:ascii="Times New Roman" w:eastAsia="仿宋_GB2312" w:cs="Times New Roman" w:hAnsi="Times New Roman"/>
          <w:color w:val="auto"/>
          <w:sz w:val="32"/>
          <w:szCs w:val="32"/>
          <w:lang w:val="en-US" w:eastAsia="zh-CN"/>
        </w:rPr>
        <w:t>47.38万</w:t>
      </w:r>
      <w:r>
        <w:rPr>
          <w:rFonts w:ascii="Times New Roman" w:eastAsia="仿宋_GB2312" w:cs="Times New Roman" w:hAnsi="Times New Roman"/>
          <w:color w:val="auto"/>
          <w:sz w:val="32"/>
          <w:szCs w:val="32"/>
        </w:rPr>
        <w:t>元，占总收入的</w:t>
      </w:r>
      <w:r>
        <w:rPr>
          <w:rFonts w:ascii="Times New Roman" w:eastAsia="仿宋_GB2312" w:cs="Times New Roman" w:hAnsi="Times New Roman"/>
          <w:color w:val="auto"/>
          <w:sz w:val="32"/>
          <w:szCs w:val="32"/>
          <w:lang w:val="en-US" w:eastAsia="zh-CN"/>
        </w:rPr>
        <w:t>9.61</w:t>
      </w:r>
      <w:r>
        <w:rPr>
          <w:rFonts w:ascii="Times New Roman" w:eastAsia="仿宋_GB2312" w:cs="Times New Roman" w:hAnsi="Times New Roman"/>
          <w:color w:val="auto"/>
          <w:sz w:val="32"/>
          <w:szCs w:val="32"/>
        </w:rPr>
        <w:t>%；</w:t>
      </w:r>
      <w:r>
        <w:rPr>
          <w:rFonts w:ascii="Times New Roman" w:eastAsia="仿宋_GB2312" w:cs="Times New Roman" w:hAnsi="Times New Roman"/>
          <w:color w:val="auto"/>
          <w:sz w:val="32"/>
          <w:szCs w:val="32"/>
          <w:lang w:eastAsia="zh-CN"/>
        </w:rPr>
        <w:t>卫生健康支出</w:t>
      </w:r>
      <w:r>
        <w:rPr>
          <w:rFonts w:ascii="Times New Roman" w:eastAsia="仿宋_GB2312" w:cs="Times New Roman" w:hAnsi="Times New Roman"/>
          <w:color w:val="auto"/>
          <w:sz w:val="32"/>
          <w:szCs w:val="32"/>
          <w:lang w:val="en-US" w:eastAsia="zh-CN"/>
        </w:rPr>
        <w:t>14.2万元，</w:t>
      </w:r>
      <w:r>
        <w:rPr>
          <w:rFonts w:ascii="Times New Roman" w:eastAsia="仿宋_GB2312" w:cs="Times New Roman" w:hAnsi="Times New Roman"/>
          <w:color w:val="auto"/>
          <w:sz w:val="32"/>
          <w:szCs w:val="32"/>
        </w:rPr>
        <w:t>占总收入的</w:t>
      </w:r>
      <w:r>
        <w:rPr>
          <w:rFonts w:ascii="Times New Roman" w:eastAsia="仿宋_GB2312" w:cs="Times New Roman" w:hAnsi="Times New Roman"/>
          <w:color w:val="auto"/>
          <w:sz w:val="32"/>
          <w:szCs w:val="32"/>
          <w:lang w:val="en-US" w:eastAsia="zh-CN"/>
        </w:rPr>
        <w:t>2.87</w:t>
      </w:r>
      <w:r>
        <w:rPr>
          <w:rFonts w:ascii="Times New Roman" w:eastAsia="仿宋_GB2312" w:cs="Times New Roman" w:hAnsi="Times New Roman"/>
          <w:color w:val="auto"/>
          <w:sz w:val="32"/>
          <w:szCs w:val="32"/>
        </w:rPr>
        <w:t>%；住房保障支出</w:t>
      </w:r>
      <w:r>
        <w:rPr>
          <w:rFonts w:ascii="Times New Roman" w:eastAsia="仿宋_GB2312" w:cs="Times New Roman" w:hAnsi="Times New Roman"/>
          <w:color w:val="auto"/>
          <w:sz w:val="32"/>
          <w:szCs w:val="32"/>
          <w:lang w:val="en-US" w:eastAsia="zh-CN"/>
        </w:rPr>
        <w:t>23.9万</w:t>
      </w:r>
      <w:r>
        <w:rPr>
          <w:rFonts w:ascii="Times New Roman" w:eastAsia="仿宋_GB2312" w:cs="Times New Roman" w:hAnsi="Times New Roman"/>
          <w:color w:val="auto"/>
          <w:sz w:val="32"/>
          <w:szCs w:val="32"/>
        </w:rPr>
        <w:t>元，占总收入的</w:t>
      </w:r>
      <w:r>
        <w:rPr>
          <w:rFonts w:ascii="Times New Roman" w:eastAsia="仿宋_GB2312" w:cs="Times New Roman" w:hAnsi="Times New Roman"/>
          <w:color w:val="auto"/>
          <w:sz w:val="32"/>
          <w:szCs w:val="32"/>
          <w:lang w:val="en-US" w:eastAsia="zh-CN"/>
        </w:rPr>
        <w:t>4.85</w:t>
      </w:r>
      <w:r>
        <w:rPr>
          <w:rFonts w:ascii="Times New Roman" w:eastAsia="仿宋_GB2312" w:cs="Times New Roman" w:hAnsi="Times New Roman"/>
          <w:color w:val="auto"/>
          <w:sz w:val="32"/>
          <w:szCs w:val="32"/>
        </w:rPr>
        <w:t>%。</w:t>
      </w:r>
    </w:p>
    <w:p>
      <w:pPr>
        <w:pStyle w:val="32"/>
        <w:keepNext w:val="0"/>
        <w:keepLines w:val="0"/>
        <w:pageBreakBefore w:val="0"/>
        <w:widowControl w:val="0"/>
        <w:kinsoku/>
        <w:wordWrap/>
        <w:overflowPunct/>
        <w:topLinePunct w:val="0"/>
        <w:autoSpaceDE/>
        <w:autoSpaceDN/>
        <w:bidi w:val="0"/>
        <w:spacing w:line="560" w:lineRule="exact"/>
        <w:ind w:left="0" w:firstLineChars="200" w:firstLine="640"/>
        <w:rPr>
          <w:rFonts w:ascii="Times New Roman" w:eastAsia="方正黑体_GBK" w:cs="Times New Roman" w:hAnsi="Times New Roman"/>
          <w:color w:val="auto"/>
          <w:sz w:val="32"/>
          <w:szCs w:val="32"/>
        </w:rPr>
      </w:pPr>
      <w:r>
        <w:rPr>
          <w:rFonts w:ascii="Times New Roman" w:eastAsia="方正黑体_GBK" w:cs="Times New Roman" w:hAnsi="Times New Roman"/>
          <w:color w:val="auto"/>
          <w:sz w:val="32"/>
          <w:szCs w:val="32"/>
        </w:rPr>
        <w:t>三、部门</w:t>
      </w:r>
      <w:r>
        <w:rPr>
          <w:rFonts w:ascii="Times New Roman" w:eastAsia="方正黑体_GBK" w:cs="Times New Roman" w:hAnsi="Times New Roman"/>
          <w:color w:val="auto"/>
          <w:sz w:val="32"/>
          <w:szCs w:val="32"/>
          <w:lang w:eastAsia="zh-CN"/>
        </w:rPr>
        <w:t>整体预算绩效</w:t>
      </w:r>
      <w:r>
        <w:rPr>
          <w:rFonts w:ascii="Times New Roman" w:eastAsia="方正黑体_GBK" w:cs="Times New Roman" w:hAnsi="Times New Roman"/>
          <w:color w:val="auto"/>
          <w:sz w:val="32"/>
          <w:szCs w:val="32"/>
        </w:rPr>
        <w:t>管理情况</w:t>
      </w:r>
    </w:p>
    <w:p>
      <w:pPr>
        <w:pStyle w:val="32"/>
        <w:keepNext w:val="0"/>
        <w:keepLines w:val="0"/>
        <w:pageBreakBefore w:val="0"/>
        <w:widowControl w:val="0"/>
        <w:kinsoku/>
        <w:wordWrap/>
        <w:overflowPunct/>
        <w:topLinePunct w:val="0"/>
        <w:autoSpaceDE/>
        <w:autoSpaceDN/>
        <w:bidi w:val="0"/>
        <w:spacing w:line="560" w:lineRule="exact"/>
        <w:ind w:left="0" w:firstLineChars="200" w:firstLine="640"/>
        <w:rPr>
          <w:rFonts w:ascii="Times New Roman" w:eastAsia="方正楷体_GBK" w:cs="Times New Roman" w:hAnsi="Times New Roman"/>
          <w:b/>
          <w:color w:val="auto"/>
          <w:sz w:val="32"/>
          <w:szCs w:val="32"/>
          <w:lang w:eastAsia="zh-CN"/>
        </w:rPr>
      </w:pPr>
      <w:r>
        <w:rPr>
          <w:rFonts w:ascii="Times New Roman" w:eastAsia="方正楷体_GBK" w:cs="Times New Roman" w:hAnsi="Times New Roman"/>
          <w:b/>
          <w:color w:val="auto"/>
          <w:sz w:val="32"/>
          <w:szCs w:val="32"/>
        </w:rPr>
        <w:t>（一）</w:t>
      </w:r>
      <w:r>
        <w:rPr>
          <w:rFonts w:ascii="Times New Roman" w:eastAsia="方正楷体_GBK" w:cs="Times New Roman" w:hAnsi="Times New Roman"/>
          <w:b/>
          <w:color w:val="auto"/>
          <w:sz w:val="32"/>
          <w:szCs w:val="32"/>
          <w:lang w:eastAsia="zh-CN"/>
        </w:rPr>
        <w:t>部门预算管理</w:t>
      </w:r>
    </w:p>
    <w:p>
      <w:pPr>
        <w:keepNext w:val="0"/>
        <w:keepLines w:val="0"/>
        <w:pageBreakBefore w:val="0"/>
        <w:widowControl w:val="0"/>
        <w:kinsoku/>
        <w:wordWrap/>
        <w:overflowPunct/>
        <w:topLinePunct w:val="0"/>
        <w:autoSpaceDE/>
        <w:autoSpaceDN/>
        <w:bidi w:val="0"/>
        <w:spacing w:line="560" w:lineRule="exact"/>
        <w:ind w:firstLineChars="200" w:firstLine="640"/>
        <w:rPr>
          <w:rFonts w:ascii="Times New Roman" w:eastAsia="方正仿宋_GBK" w:cs="Times New Roman" w:hAnsi="Times New Roman"/>
          <w:sz w:val="32"/>
          <w:szCs w:val="32"/>
        </w:rPr>
      </w:pPr>
      <w:r>
        <w:rPr>
          <w:rFonts w:ascii="Times New Roman" w:eastAsia="方正仿宋_GBK" w:cs="Times New Roman" w:hAnsi="Times New Roman"/>
          <w:sz w:val="32"/>
          <w:szCs w:val="32"/>
          <w:lang w:val="en-US" w:eastAsia="zh-CN"/>
        </w:rPr>
        <w:t>2022年本部门的绩效目标制定、目标完成、预决算编制等均按照州财政局下达的相关文件指标进行了编制，均按相关要求严格执行预算范围内开支，并完成所有预定目标。全年无违规记录。</w:t>
      </w:r>
      <w:r>
        <w:rPr>
          <w:rFonts w:ascii="Times New Roman" w:eastAsia="方正仿宋_GBK" w:cs="Times New Roman" w:hAnsi="Times New Roman"/>
          <w:sz w:val="32"/>
          <w:szCs w:val="32"/>
        </w:rPr>
        <w:t>严格按照预决算编制工作的相关要求，结合年度工作任务认真编制年度部门预算，按时报送了单位部门预算、决算，并顺利通过了财政局的审核，没有出现反复调整的情况。对绩效目标进行季度梳理和年度分析，及时上报相关报表；对专项预算进行细化，分科目上报。</w:t>
      </w:r>
    </w:p>
    <w:p>
      <w:pPr>
        <w:pStyle w:val="32"/>
        <w:keepNext w:val="0"/>
        <w:keepLines w:val="0"/>
        <w:pageBreakBefore w:val="0"/>
        <w:widowControl w:val="0"/>
        <w:kinsoku/>
        <w:wordWrap/>
        <w:overflowPunct/>
        <w:topLinePunct w:val="0"/>
        <w:autoSpaceDE/>
        <w:autoSpaceDN/>
        <w:bidi w:val="0"/>
        <w:spacing w:line="560" w:lineRule="exact"/>
        <w:ind w:left="420" w:firstLineChars="100" w:firstLine="320"/>
        <w:rPr>
          <w:rFonts w:ascii="Times New Roman" w:eastAsia="方正楷体_GBK" w:cs="Times New Roman" w:hAnsi="Times New Roman"/>
          <w:b/>
          <w:color w:val="auto"/>
          <w:sz w:val="32"/>
          <w:szCs w:val="32"/>
        </w:rPr>
      </w:pPr>
      <w:r>
        <w:rPr>
          <w:rFonts w:ascii="Times New Roman" w:eastAsia="方正楷体_GBK" w:cs="Times New Roman" w:hAnsi="Times New Roman"/>
          <w:b/>
          <w:color w:val="auto"/>
          <w:sz w:val="32"/>
          <w:szCs w:val="32"/>
        </w:rPr>
        <w:t>（二）执行管理情况</w:t>
      </w:r>
    </w:p>
    <w:p>
      <w:pPr>
        <w:pStyle w:val="36"/>
        <w:keepNext w:val="0"/>
        <w:keepLines w:val="0"/>
        <w:pageBreakBefore w:val="0"/>
        <w:kinsoku/>
        <w:wordWrap/>
        <w:overflowPunct/>
        <w:topLinePunct w:val="0"/>
        <w:autoSpaceDE/>
        <w:autoSpaceDN/>
        <w:bidi w:val="0"/>
        <w:spacing w:line="560" w:lineRule="exact"/>
        <w:ind w:firstLineChars="200" w:firstLine="640"/>
        <w:rPr>
          <w:rFonts w:ascii="Times New Roman" w:eastAsia="仿宋_GB2312" w:cs="Times New Roman" w:hAnsi="Times New Roman"/>
          <w:color w:val="auto"/>
          <w:sz w:val="32"/>
          <w:szCs w:val="32"/>
        </w:rPr>
      </w:pPr>
      <w:r>
        <w:rPr>
          <w:rFonts w:ascii="Times New Roman" w:eastAsia="仿宋_GB2312" w:cs="Times New Roman" w:hAnsi="Times New Roman"/>
          <w:color w:val="auto"/>
          <w:sz w:val="32"/>
          <w:szCs w:val="32"/>
          <w:lang w:val="en-US" w:eastAsia="zh-CN"/>
        </w:rPr>
        <w:t>2022</w:t>
      </w:r>
      <w:r>
        <w:rPr>
          <w:rFonts w:ascii="Times New Roman" w:eastAsia="仿宋_GB2312" w:cs="Times New Roman" w:hAnsi="Times New Roman"/>
          <w:color w:val="auto"/>
          <w:sz w:val="32"/>
          <w:szCs w:val="32"/>
        </w:rPr>
        <w:t>年预算指标在按计划执行，年底未执行部分多数为工资福利支出部分。一直以来我单位没有因公出国（境）人员，不存在因公出国（境）支出情况；公务用车购置及运行维护费和公务接待费严格按照勤俭节约要求开支和报销，没有任何违纪违规现象。202</w:t>
      </w:r>
      <w:r>
        <w:rPr>
          <w:rFonts w:ascii="Times New Roman" w:eastAsia="仿宋_GB2312" w:cs="Times New Roman" w:hAnsi="Times New Roman"/>
          <w:color w:val="auto"/>
          <w:sz w:val="32"/>
          <w:szCs w:val="32"/>
          <w:lang w:val="en-US" w:eastAsia="zh-CN"/>
        </w:rPr>
        <w:t>3</w:t>
      </w:r>
      <w:r>
        <w:rPr>
          <w:rFonts w:ascii="Times New Roman" w:eastAsia="仿宋_GB2312" w:cs="Times New Roman" w:hAnsi="Times New Roman"/>
          <w:color w:val="auto"/>
          <w:sz w:val="32"/>
          <w:szCs w:val="32"/>
        </w:rPr>
        <w:t>年上半年财政支出执行进度为</w:t>
      </w:r>
      <w:r>
        <w:rPr>
          <w:rFonts w:ascii="Times New Roman" w:eastAsia="仿宋_GB2312" w:cs="Times New Roman" w:hAnsi="Times New Roman"/>
          <w:color w:val="auto"/>
          <w:sz w:val="32"/>
          <w:szCs w:val="32"/>
          <w:lang w:val="en-US" w:eastAsia="zh-CN"/>
        </w:rPr>
        <w:t>60.65</w:t>
      </w:r>
      <w:r>
        <w:rPr>
          <w:rFonts w:ascii="Times New Roman" w:eastAsia="仿宋_GB2312" w:cs="Times New Roman" w:hAnsi="Times New Roman"/>
          <w:color w:val="auto"/>
          <w:sz w:val="32"/>
          <w:szCs w:val="32"/>
        </w:rPr>
        <w:t>%，总体进度适中。</w:t>
      </w:r>
    </w:p>
    <w:p>
      <w:pPr>
        <w:pStyle w:val="32"/>
        <w:keepNext w:val="0"/>
        <w:keepLines w:val="0"/>
        <w:pageBreakBefore w:val="0"/>
        <w:widowControl w:val="0"/>
        <w:kinsoku/>
        <w:wordWrap/>
        <w:overflowPunct/>
        <w:topLinePunct w:val="0"/>
        <w:autoSpaceDE/>
        <w:autoSpaceDN/>
        <w:bidi w:val="0"/>
        <w:spacing w:line="560" w:lineRule="exact"/>
        <w:ind w:left="420" w:firstLineChars="100" w:firstLine="320"/>
        <w:rPr>
          <w:rFonts w:ascii="Times New Roman" w:eastAsia="楷体" w:cs="Times New Roman" w:hAnsi="Times New Roman"/>
          <w:b/>
          <w:color w:val="auto"/>
          <w:sz w:val="32"/>
          <w:szCs w:val="32"/>
        </w:rPr>
      </w:pPr>
      <w:r>
        <w:rPr>
          <w:rFonts w:ascii="Times New Roman" w:eastAsia="楷体" w:cs="Times New Roman" w:hAnsi="Times New Roman"/>
          <w:b/>
          <w:color w:val="auto"/>
          <w:sz w:val="32"/>
          <w:szCs w:val="32"/>
        </w:rPr>
        <w:t>（三）综合管理情况</w:t>
      </w:r>
    </w:p>
    <w:p>
      <w:pPr>
        <w:pStyle w:val="36"/>
        <w:keepNext w:val="0"/>
        <w:keepLines w:val="0"/>
        <w:pageBreakBefore w:val="0"/>
        <w:kinsoku/>
        <w:wordWrap/>
        <w:overflowPunct/>
        <w:topLinePunct w:val="0"/>
        <w:autoSpaceDE/>
        <w:autoSpaceDN/>
        <w:bidi w:val="0"/>
        <w:spacing w:line="560" w:lineRule="exact"/>
        <w:ind w:firstLineChars="250" w:firstLine="800"/>
        <w:rPr>
          <w:rFonts w:ascii="Times New Roman" w:eastAsia="仿宋_GB2312" w:cs="Times New Roman" w:hAnsi="Times New Roman"/>
          <w:color w:val="auto"/>
          <w:sz w:val="32"/>
          <w:szCs w:val="32"/>
        </w:rPr>
      </w:pPr>
      <w:r>
        <w:rPr>
          <w:rFonts w:ascii="Times New Roman" w:eastAsia="仿宋_GB2312" w:cs="Times New Roman" w:hAnsi="Times New Roman"/>
          <w:color w:val="auto"/>
          <w:sz w:val="32"/>
          <w:szCs w:val="32"/>
        </w:rPr>
        <w:t>在加强财务管理方面，我办逐步完善了财务管理制度、“三重一大”决策制度、财务报账审核制度、车辆管理制度以及公用房屋及财产管理规定等。严格遵守《预算法》、《会计法》《政府采购法》等财政法律法规，严格履行报批手续，无计划安排不报账，无领导审批不报账，无经手人签字不报账，不符合财务规定的发票、票据不报账。预、决算工作没有出现应编未编、错误列编、虚假混编等导致重新调整决算资金的情况，每年按时完成了预、决算工作。</w:t>
      </w:r>
    </w:p>
    <w:p>
      <w:pPr>
        <w:pStyle w:val="36"/>
        <w:keepNext w:val="0"/>
        <w:keepLines w:val="0"/>
        <w:pageBreakBefore w:val="0"/>
        <w:kinsoku/>
        <w:wordWrap/>
        <w:overflowPunct/>
        <w:topLinePunct w:val="0"/>
        <w:autoSpaceDE/>
        <w:autoSpaceDN/>
        <w:bidi w:val="0"/>
        <w:spacing w:line="560" w:lineRule="exact"/>
        <w:ind w:firstLineChars="250" w:firstLine="800"/>
        <w:rPr>
          <w:rFonts w:ascii="Times New Roman" w:eastAsia="楷体" w:cs="Times New Roman" w:hAnsi="Times New Roman"/>
          <w:b/>
          <w:color w:val="auto"/>
          <w:sz w:val="32"/>
          <w:szCs w:val="32"/>
        </w:rPr>
      </w:pPr>
      <w:r>
        <w:rPr>
          <w:rFonts w:ascii="Times New Roman" w:eastAsia="楷体" w:cs="Times New Roman" w:hAnsi="Times New Roman"/>
          <w:b/>
          <w:color w:val="auto"/>
          <w:sz w:val="32"/>
          <w:szCs w:val="32"/>
        </w:rPr>
        <w:t>（四）整体绩效</w:t>
      </w:r>
    </w:p>
    <w:p>
      <w:pPr>
        <w:keepNext w:val="0"/>
        <w:keepLines w:val="0"/>
        <w:pageBreakBefore w:val="0"/>
        <w:widowControl w:val="0"/>
        <w:pBdr>
          <w:bottom w:val="single" w:sz="4" w:space="28" w:color="FFFFFF"/>
        </w:pBdr>
        <w:tabs>
          <w:tab w:val="left" w:pos="1440"/>
        </w:tabs>
        <w:kinsoku/>
        <w:wordWrap/>
        <w:overflowPunct/>
        <w:topLinePunct w:val="0"/>
        <w:autoSpaceDE/>
        <w:autoSpaceDN/>
        <w:bidi w:val="0"/>
        <w:adjustRightInd/>
        <w:snapToGrid/>
        <w:spacing w:line="560" w:lineRule="exact"/>
        <w:ind w:left="0" w:firstLineChars="200" w:firstLine="640"/>
        <w:textAlignment w:val="auto"/>
        <w:rPr>
          <w:rFonts w:ascii="Times New Roman" w:eastAsia="方正楷体_GBK" w:cs="Times New Roman" w:hAnsi="Times New Roman"/>
          <w:b/>
          <w:bCs/>
          <w:color w:val="auto"/>
          <w:sz w:val="32"/>
          <w:szCs w:val="32"/>
          <w:lang w:val="en-US" w:eastAsia="zh-CN"/>
        </w:rPr>
      </w:pPr>
      <w:r>
        <w:rPr>
          <w:rFonts w:ascii="Times New Roman" w:eastAsia="方正楷体_GBK" w:cs="Times New Roman" w:hAnsi="Times New Roman"/>
          <w:b/>
          <w:bCs/>
          <w:color w:val="auto"/>
          <w:sz w:val="32"/>
          <w:szCs w:val="32"/>
          <w:lang w:val="en-US" w:eastAsia="zh-CN"/>
        </w:rPr>
        <w:t>1.创新工作抓特色。一是建立完善动态调整机制。</w:t>
      </w:r>
      <w:r>
        <w:rPr>
          <w:rFonts w:ascii="Times New Roman" w:eastAsia="方正仿宋_GBK" w:cs="Times New Roman" w:hAnsi="Times New Roman"/>
          <w:color w:val="auto"/>
          <w:kern w:val="2"/>
          <w:sz w:val="32"/>
          <w:szCs w:val="32"/>
          <w:lang w:val="en-US" w:eastAsia="zh-CN" w:bidi="ar-SA"/>
        </w:rPr>
        <w:t>调整全州中小学教职工编制，聚焦教育民生大事，牵头拟定《全州中小学教职工编制调整方案》，将全州11721名中小学教职工编制纳入统筹，跨县域、跨层级动态调整1041名编制，切实解决全州教职工编制结构性缺编，促进基础教育优质均衡发展。</w:t>
      </w:r>
      <w:r>
        <w:rPr>
          <w:rFonts w:ascii="Times New Roman" w:eastAsia="方正楷体_GBK" w:cs="Times New Roman" w:hAnsi="Times New Roman"/>
          <w:b/>
          <w:bCs/>
          <w:color w:val="auto"/>
          <w:sz w:val="32"/>
          <w:szCs w:val="32"/>
          <w:lang w:val="en-US" w:eastAsia="zh-CN"/>
        </w:rPr>
        <w:t>二是构建阿坝特色职能体系。</w:t>
      </w:r>
      <w:r>
        <w:rPr>
          <w:rFonts w:ascii="Times New Roman" w:eastAsia="方正仿宋_GBK" w:cs="Times New Roman" w:hAnsi="Times New Roman"/>
          <w:b w:val="0"/>
          <w:bCs w:val="0"/>
          <w:color w:val="auto"/>
          <w:kern w:val="2"/>
          <w:sz w:val="32"/>
          <w:szCs w:val="32"/>
          <w:lang w:val="en-US" w:eastAsia="zh-CN" w:bidi="ar-SA"/>
        </w:rPr>
        <w:t>围绕国家公园体系建设，规范大熊猫国家公园阿坝片区管理机构设置，支持配</w:t>
      </w:r>
      <w:r>
        <w:rPr>
          <w:rFonts w:ascii="Times New Roman" w:eastAsia="方正仿宋_GBK" w:cs="Times New Roman" w:hAnsi="Times New Roman"/>
          <w:b w:val="0"/>
          <w:bCs w:val="0"/>
          <w:color w:val="auto"/>
          <w:sz w:val="32"/>
          <w:szCs w:val="32"/>
          <w:lang w:val="en-US" w:eastAsia="zh-CN"/>
        </w:rPr>
        <w:t>合若尔盖国家公园，黄河、</w:t>
      </w:r>
      <w:r>
        <w:rPr>
          <w:rFonts w:ascii="Times New Roman" w:eastAsia="方正仿宋_GBK" w:cs="Times New Roman" w:hAnsi="Times New Roman"/>
          <w:b w:val="0"/>
          <w:bCs w:val="0"/>
          <w:color w:val="auto"/>
          <w:kern w:val="2"/>
          <w:sz w:val="32"/>
          <w:szCs w:val="32"/>
          <w:lang w:val="en-US" w:eastAsia="zh-CN" w:bidi="ar-SA"/>
        </w:rPr>
        <w:t>长征</w:t>
      </w:r>
      <w:r>
        <w:rPr>
          <w:rFonts w:ascii="Times New Roman" w:eastAsia="方正仿宋_GBK" w:cs="Times New Roman" w:hAnsi="Times New Roman"/>
          <w:b w:val="0"/>
          <w:bCs w:val="0"/>
          <w:color w:val="auto"/>
          <w:sz w:val="32"/>
          <w:szCs w:val="32"/>
          <w:lang w:val="en-US" w:eastAsia="zh-CN"/>
        </w:rPr>
        <w:t>国家文化公园建设，</w:t>
      </w:r>
      <w:r>
        <w:rPr>
          <w:rFonts w:ascii="Times New Roman" w:eastAsia="方正仿宋_GBK" w:cs="Times New Roman" w:hAnsi="Times New Roman"/>
          <w:color w:val="auto"/>
          <w:sz w:val="32"/>
          <w:szCs w:val="32"/>
          <w:lang w:val="en-US" w:eastAsia="zh-CN"/>
        </w:rPr>
        <w:t>为</w:t>
      </w:r>
      <w:r>
        <w:rPr>
          <w:rFonts w:ascii="Times New Roman" w:eastAsia="方正仿宋_GBK" w:cs="Times New Roman" w:hAnsi="Times New Roman"/>
          <w:b w:val="0"/>
          <w:bCs/>
          <w:i w:val="0"/>
          <w:caps w:val="0"/>
          <w:smallCaps w:val="0"/>
          <w:color w:val="auto"/>
          <w:spacing w:val="0"/>
          <w:sz w:val="32"/>
          <w:szCs w:val="32"/>
          <w:lang w:eastAsia="zh-CN"/>
          <w:highlight w:val="auto"/>
        </w:rPr>
        <w:t>建立统一规范高效</w:t>
      </w:r>
      <w:r>
        <w:rPr>
          <w:rFonts w:ascii="Times New Roman" w:eastAsia="方正仿宋_GBK" w:cs="Times New Roman" w:hAnsi="Times New Roman"/>
          <w:b w:val="0"/>
          <w:bCs/>
          <w:i w:val="0"/>
          <w:caps w:val="0"/>
          <w:smallCaps w:val="0"/>
          <w:color w:val="auto"/>
          <w:spacing w:val="0"/>
          <w:sz w:val="32"/>
          <w:szCs w:val="32"/>
          <w:lang w:val="en-US" w:eastAsia="zh-CN"/>
          <w:highlight w:val="auto"/>
        </w:rPr>
        <w:t>的</w:t>
      </w:r>
      <w:r>
        <w:rPr>
          <w:rFonts w:ascii="Times New Roman" w:eastAsia="方正仿宋_GBK" w:cs="Times New Roman" w:hAnsi="Times New Roman"/>
          <w:b w:val="0"/>
          <w:bCs/>
          <w:i w:val="0"/>
          <w:caps w:val="0"/>
          <w:smallCaps w:val="0"/>
          <w:color w:val="auto"/>
          <w:spacing w:val="0"/>
          <w:sz w:val="32"/>
          <w:szCs w:val="32"/>
          <w:highlight w:val="auto"/>
        </w:rPr>
        <w:t>国家公园</w:t>
      </w:r>
      <w:r>
        <w:rPr>
          <w:rFonts w:ascii="Times New Roman" w:eastAsia="方正仿宋_GBK" w:cs="Times New Roman" w:hAnsi="Times New Roman"/>
          <w:b w:val="0"/>
          <w:bCs/>
          <w:i w:val="0"/>
          <w:caps w:val="0"/>
          <w:smallCaps w:val="0"/>
          <w:color w:val="auto"/>
          <w:spacing w:val="0"/>
          <w:sz w:val="32"/>
          <w:szCs w:val="32"/>
          <w:lang w:eastAsia="zh-CN"/>
          <w:highlight w:val="auto"/>
        </w:rPr>
        <w:t>管理体制机制提供有力机构编制建议</w:t>
      </w:r>
      <w:r>
        <w:rPr>
          <w:rFonts w:ascii="Times New Roman" w:eastAsia="方正仿宋_GBK" w:cs="Times New Roman" w:hAnsi="Times New Roman"/>
          <w:b w:val="0"/>
          <w:bCs/>
          <w:i w:val="0"/>
          <w:caps w:val="0"/>
          <w:smallCaps w:val="0"/>
          <w:color w:val="auto"/>
          <w:spacing w:val="0"/>
          <w:sz w:val="32"/>
          <w:szCs w:val="32"/>
          <w:highlight w:val="auto"/>
        </w:rPr>
        <w:t>。</w:t>
      </w:r>
      <w:r>
        <w:rPr>
          <w:rFonts w:ascii="Times New Roman" w:eastAsia="方正仿宋_GBK" w:cs="Times New Roman" w:hAnsi="Times New Roman"/>
          <w:b w:val="0"/>
          <w:bCs w:val="0"/>
          <w:color w:val="auto"/>
          <w:sz w:val="32"/>
          <w:szCs w:val="32"/>
          <w:lang w:val="en-US" w:eastAsia="zh-CN"/>
        </w:rPr>
        <w:t>积极融入全省中藏羌民族医药发展，</w:t>
      </w:r>
      <w:r>
        <w:rPr>
          <w:rFonts w:ascii="Times New Roman" w:eastAsia="方正仿宋_GBK" w:cs="Times New Roman" w:hAnsi="Times New Roman"/>
          <w:color w:val="auto"/>
          <w:sz w:val="32"/>
          <w:szCs w:val="32"/>
          <w:lang w:val="en-US" w:eastAsia="zh-CN"/>
        </w:rPr>
        <w:t>在阿坝州藏医院增挂“四川省藏羌医医院”牌子，促进全州藏羌民族医药事业继承与发展。</w:t>
      </w:r>
      <w:r>
        <w:rPr>
          <w:rFonts w:ascii="Times New Roman" w:eastAsia="方正仿宋_GBK" w:cs="Times New Roman" w:hAnsi="Times New Roman"/>
          <w:b w:val="0"/>
          <w:bCs w:val="0"/>
          <w:color w:val="auto"/>
          <w:sz w:val="32"/>
          <w:szCs w:val="32"/>
          <w:lang w:val="en-US" w:eastAsia="zh-CN"/>
        </w:rPr>
        <w:t>服务人才强州战略，</w:t>
      </w:r>
      <w:r>
        <w:rPr>
          <w:rFonts w:ascii="Times New Roman" w:eastAsia="方正仿宋_GBK" w:cs="Times New Roman" w:hAnsi="Times New Roman"/>
          <w:color w:val="auto"/>
          <w:sz w:val="32"/>
          <w:szCs w:val="32"/>
          <w:lang w:val="en-US" w:eastAsia="zh-CN"/>
        </w:rPr>
        <w:t>加快推进阿坝职业教育发展，在阿坝职业学院设立思想政治理论课教学部；支持汶川县人才先行区建设，</w:t>
      </w:r>
      <w:r>
        <w:rPr>
          <w:rFonts w:ascii="Times New Roman" w:eastAsia="方正仿宋_GBK" w:cs="Times New Roman" w:hAnsi="Times New Roman"/>
          <w:color w:val="auto"/>
          <w:kern w:val="0"/>
          <w:sz w:val="32"/>
          <w:szCs w:val="32"/>
          <w:lang w:val="en-US" w:eastAsia="zh-CN" w:bidi="ar-SA"/>
        </w:rPr>
        <w:t>为汶川县调剂10名事业编制用于急需紧缺高层次人才引进；</w:t>
      </w:r>
      <w:r>
        <w:rPr>
          <w:rFonts w:ascii="Times New Roman" w:eastAsia="方正仿宋_GBK" w:cs="Times New Roman" w:hAnsi="Times New Roman"/>
          <w:color w:val="auto"/>
          <w:sz w:val="32"/>
          <w:szCs w:val="32"/>
          <w:lang w:val="en-US" w:eastAsia="zh-CN"/>
        </w:rPr>
        <w:t>加强“硕博进阿坝行动”人才引进编制保障，</w:t>
      </w:r>
      <w:r>
        <w:rPr>
          <w:rFonts w:ascii="Times New Roman" w:eastAsia="方正仿宋_GBK" w:cs="Times New Roman" w:hAnsi="Times New Roman"/>
          <w:color w:val="auto"/>
          <w:kern w:val="0"/>
          <w:sz w:val="32"/>
          <w:szCs w:val="32"/>
          <w:lang w:val="en-US" w:eastAsia="zh-CN" w:bidi="ar-SA"/>
        </w:rPr>
        <w:t>提供100余</w:t>
      </w:r>
      <w:r>
        <w:rPr>
          <w:rFonts w:ascii="Times New Roman" w:eastAsia="方正仿宋_GBK" w:cs="Times New Roman" w:hAnsi="Times New Roman"/>
          <w:color w:val="auto"/>
          <w:sz w:val="32"/>
          <w:szCs w:val="32"/>
          <w:lang w:val="en-US" w:eastAsia="zh-CN"/>
        </w:rPr>
        <w:t>名专项编制，全力保障事业单位招才、引才工作，发挥编制“蓄水池”作用。助推全</w:t>
      </w:r>
      <w:r>
        <w:rPr>
          <w:rFonts w:ascii="Times New Roman" w:eastAsia="方正仿宋_GBK" w:cs="Times New Roman" w:hAnsi="Times New Roman"/>
          <w:color w:val="auto"/>
          <w:spacing w:val="0"/>
          <w:sz w:val="32"/>
          <w:szCs w:val="32"/>
          <w:lang w:val="en-US" w:eastAsia="zh-CN"/>
        </w:rPr>
        <w:t>域旅游发展，分别为九寨沟、四姑娘山、达古冰川3个风景名胜区管理局共下达2022年度季节性临时用工指标265名，为全州旅游经济发展提供强有力的机制保障。</w:t>
      </w:r>
      <w:r>
        <w:rPr>
          <w:rFonts w:ascii="Times New Roman" w:eastAsia="方正楷体_GBK" w:cs="Times New Roman" w:hAnsi="Times New Roman"/>
          <w:b/>
          <w:bCs/>
          <w:color w:val="auto"/>
          <w:sz w:val="32"/>
          <w:szCs w:val="32"/>
          <w:lang w:val="en-US" w:eastAsia="zh-CN"/>
        </w:rPr>
        <w:t>三是优化机构编制资源。</w:t>
      </w:r>
      <w:r>
        <w:rPr>
          <w:rFonts w:ascii="Times New Roman" w:eastAsia="方正仿宋_GBK" w:cs="Times New Roman" w:hAnsi="Times New Roman"/>
          <w:color w:val="auto"/>
          <w:spacing w:val="0"/>
          <w:sz w:val="32"/>
          <w:szCs w:val="32"/>
          <w:lang w:val="en-US" w:eastAsia="zh-CN"/>
        </w:rPr>
        <w:t>富集使用编制“源头活水“，</w:t>
      </w:r>
      <w:r>
        <w:rPr>
          <w:rFonts w:ascii="Times New Roman" w:eastAsia="方正仿宋_GBK" w:cs="Times New Roman" w:hAnsi="Times New Roman"/>
          <w:b w:val="0"/>
          <w:bCs/>
          <w:color w:val="auto"/>
          <w:spacing w:val="0"/>
          <w:sz w:val="32"/>
          <w:szCs w:val="32"/>
          <w:highlight w:val="auto"/>
        </w:rPr>
        <w:t>完善机构编制前置审核制度</w:t>
      </w:r>
      <w:r>
        <w:rPr>
          <w:rFonts w:ascii="Times New Roman" w:eastAsia="方正仿宋_GBK" w:cs="Times New Roman" w:hAnsi="Times New Roman"/>
          <w:b w:val="0"/>
          <w:bCs/>
          <w:color w:val="auto"/>
          <w:spacing w:val="0"/>
          <w:sz w:val="32"/>
          <w:szCs w:val="32"/>
          <w:lang w:eastAsia="zh-CN"/>
          <w:highlight w:val="auto"/>
        </w:rPr>
        <w:t>。</w:t>
      </w:r>
      <w:r>
        <w:rPr>
          <w:rFonts w:ascii="Times New Roman" w:eastAsia="方正仿宋_GBK" w:cs="Times New Roman" w:hAnsi="Times New Roman"/>
          <w:color w:val="auto"/>
          <w:spacing w:val="0"/>
          <w:sz w:val="32"/>
          <w:szCs w:val="32"/>
          <w:lang w:val="en-US" w:eastAsia="zh-CN"/>
        </w:rPr>
        <w:t>州本级共使</w:t>
      </w:r>
      <w:r>
        <w:rPr>
          <w:rFonts w:ascii="Times New Roman" w:eastAsia="方正仿宋_GBK" w:cs="Times New Roman" w:hAnsi="Times New Roman"/>
          <w:b w:val="0"/>
          <w:bCs w:val="0"/>
          <w:color w:val="auto"/>
          <w:sz w:val="32"/>
          <w:szCs w:val="32"/>
          <w:lang w:val="en-US" w:eastAsia="zh-CN"/>
        </w:rPr>
        <w:t>用各类编制426名，用于</w:t>
      </w:r>
      <w:r>
        <w:rPr>
          <w:rFonts w:ascii="Times New Roman" w:eastAsia="方正仿宋_GBK" w:cs="Times New Roman" w:hAnsi="Times New Roman"/>
          <w:color w:val="auto"/>
          <w:spacing w:val="0"/>
          <w:sz w:val="32"/>
          <w:szCs w:val="32"/>
          <w:lang w:val="en-US" w:eastAsia="zh-CN"/>
        </w:rPr>
        <w:t>服务保障各部门（单位）招考、遴选、调动等工作。</w:t>
      </w:r>
      <w:r>
        <w:rPr>
          <w:rFonts w:ascii="Times New Roman" w:eastAsia="方正仿宋_GBK" w:cs="Times New Roman" w:hAnsi="Times New Roman"/>
          <w:b w:val="0"/>
          <w:bCs w:val="0"/>
          <w:color w:val="auto"/>
          <w:sz w:val="32"/>
          <w:szCs w:val="32"/>
          <w:lang w:val="en-US" w:eastAsia="zh-CN"/>
        </w:rPr>
        <w:t>跟踪了解州级部门（单位）“三定”规定落实情况，及时调整优化州经济和信息化局、州政协机关等10余个部门内设机构职能职责，促进部门内部职责与业务有机融合。指导县（市）厘清乡村振兴局职能职责，制定“三定”规定，实现高效运转。</w:t>
      </w:r>
    </w:p>
    <w:p>
      <w:pPr>
        <w:keepNext w:val="0"/>
        <w:keepLines w:val="0"/>
        <w:pageBreakBefore w:val="0"/>
        <w:widowControl w:val="0"/>
        <w:pBdr>
          <w:bottom w:val="single" w:sz="4" w:space="28" w:color="FFFFFF"/>
        </w:pBdr>
        <w:tabs>
          <w:tab w:val="left" w:pos="1440"/>
        </w:tabs>
        <w:kinsoku/>
        <w:wordWrap/>
        <w:overflowPunct/>
        <w:topLinePunct w:val="0"/>
        <w:autoSpaceDE/>
        <w:autoSpaceDN/>
        <w:bidi w:val="0"/>
        <w:adjustRightInd/>
        <w:snapToGrid/>
        <w:spacing w:line="560" w:lineRule="exact"/>
        <w:ind w:left="0" w:firstLineChars="200" w:firstLine="640"/>
        <w:textAlignment w:val="auto"/>
        <w:rPr>
          <w:rFonts w:ascii="Times New Roman" w:eastAsia="方正仿宋_GBK" w:cs="Times New Roman" w:hAnsi="Times New Roman"/>
          <w:b w:val="0"/>
          <w:bCs w:val="0"/>
          <w:color w:val="auto"/>
          <w:sz w:val="32"/>
          <w:szCs w:val="32"/>
          <w:lang w:val="en-US" w:eastAsia="zh-CN"/>
        </w:rPr>
      </w:pPr>
      <w:r>
        <w:rPr>
          <w:rFonts w:ascii="Times New Roman" w:eastAsia="方正楷体_GBK" w:cs="Times New Roman" w:hAnsi="Times New Roman"/>
          <w:b/>
          <w:bCs/>
          <w:color w:val="auto"/>
          <w:sz w:val="32"/>
          <w:szCs w:val="32"/>
          <w:lang w:val="en-US" w:eastAsia="zh-CN"/>
        </w:rPr>
        <w:t>2.重点工作抓推进。一是深化事业单位改革。</w:t>
      </w:r>
      <w:r>
        <w:rPr>
          <w:rFonts w:ascii="Times New Roman" w:eastAsia="方正仿宋_GBK" w:cs="Times New Roman" w:hAnsi="Times New Roman"/>
          <w:b w:val="0"/>
          <w:bCs w:val="0"/>
          <w:color w:val="auto"/>
          <w:kern w:val="2"/>
          <w:sz w:val="32"/>
          <w:szCs w:val="32"/>
          <w:lang w:val="en-US" w:eastAsia="zh-CN" w:bidi="ar-SA"/>
        </w:rPr>
        <w:t>优化公益类事业单位机构编制，调整涉及州委党校、州人民医院、州疾病预防控制中心等10余家事业单位内设机构职责、机构名称、人员编制等事项，为事业单位改革做好前期准备工作。</w:t>
      </w:r>
      <w:r>
        <w:rPr>
          <w:rFonts w:ascii="Times New Roman" w:eastAsia="方正仿宋_GBK" w:cs="Times New Roman" w:hAnsi="Times New Roman"/>
          <w:b w:val="0"/>
          <w:bCs w:val="0"/>
          <w:color w:val="auto"/>
          <w:sz w:val="32"/>
          <w:szCs w:val="32"/>
          <w:lang w:val="en-US" w:eastAsia="zh-CN"/>
        </w:rPr>
        <w:t>开展深化事业单位改革系统性研究，</w:t>
      </w:r>
      <w:r>
        <w:rPr>
          <w:rFonts w:ascii="Times New Roman" w:eastAsia="方正仿宋_GBK" w:cs="Times New Roman" w:hAnsi="Times New Roman"/>
          <w:color w:val="auto"/>
          <w:spacing w:val="0"/>
          <w:sz w:val="32"/>
          <w:szCs w:val="32"/>
          <w:lang w:val="en-US" w:eastAsia="zh-CN"/>
        </w:rPr>
        <w:t>建立事业单位改革事项“清单制+责任制”模式，</w:t>
      </w:r>
      <w:r>
        <w:rPr>
          <w:rFonts w:ascii="Times New Roman" w:eastAsia="方正仿宋_GBK" w:cs="Times New Roman" w:hAnsi="Times New Roman"/>
          <w:b w:val="0"/>
          <w:bCs w:val="0"/>
          <w:color w:val="auto"/>
          <w:sz w:val="32"/>
          <w:szCs w:val="32"/>
          <w:lang w:val="en-US" w:eastAsia="zh-CN"/>
        </w:rPr>
        <w:t>形成《阿坝州事业单位改革调研报告》，为我州全面启动事业单位改革积累经验，夯实基础。全面完成2021年度事业单位法人年度报告公示工作，公示率100%。全面规</w:t>
      </w:r>
      <w:r>
        <w:rPr>
          <w:rFonts w:ascii="Times New Roman" w:eastAsia="方正仿宋_GBK" w:cs="Times New Roman" w:hAnsi="Times New Roman"/>
          <w:b w:val="0"/>
          <w:bCs/>
          <w:color w:val="auto"/>
          <w:spacing w:val="0"/>
          <w:kern w:val="0"/>
          <w:sz w:val="32"/>
          <w:szCs w:val="32"/>
          <w:lang w:val="en-US" w:eastAsia="zh-CN"/>
          <w:highlight w:val="auto"/>
        </w:rPr>
        <w:t>范州级参公管理单位性质</w:t>
      </w:r>
      <w:r>
        <w:rPr>
          <w:rFonts w:ascii="Times New Roman" w:eastAsia="仿宋_GB2312" w:cs="Times New Roman" w:hAnsi="Times New Roman"/>
          <w:bCs/>
          <w:color w:val="auto"/>
          <w:sz w:val="32"/>
          <w:szCs w:val="32"/>
          <w:lang w:eastAsia="zh-CN"/>
        </w:rPr>
        <w:t>，</w:t>
      </w:r>
      <w:r>
        <w:rPr>
          <w:rFonts w:ascii="Times New Roman" w:eastAsia="方正仿宋_GBK" w:cs="Times New Roman" w:hAnsi="Times New Roman"/>
          <w:b w:val="0"/>
          <w:bCs w:val="0"/>
          <w:color w:val="auto"/>
          <w:sz w:val="32"/>
          <w:szCs w:val="32"/>
          <w:lang w:val="en-US" w:eastAsia="zh-CN"/>
        </w:rPr>
        <w:t>全力配合开展重新认定州级82家参公单位相关申报工作。</w:t>
      </w:r>
      <w:r>
        <w:rPr>
          <w:rFonts w:ascii="Times New Roman" w:eastAsia="方正楷体_GBK" w:cs="Times New Roman" w:hAnsi="Times New Roman"/>
          <w:b/>
          <w:bCs/>
          <w:color w:val="auto"/>
          <w:sz w:val="32"/>
          <w:szCs w:val="32"/>
          <w:lang w:val="en-US" w:eastAsia="zh-CN"/>
        </w:rPr>
        <w:t>二是深化开发区管理体制改革创新。</w:t>
      </w:r>
      <w:r>
        <w:rPr>
          <w:rFonts w:ascii="Times New Roman" w:eastAsia="方正仿宋_GBK" w:cs="Times New Roman" w:hAnsi="Times New Roman"/>
          <w:b w:val="0"/>
          <w:bCs w:val="0"/>
          <w:color w:val="auto"/>
          <w:kern w:val="2"/>
          <w:sz w:val="32"/>
          <w:szCs w:val="32"/>
          <w:lang w:val="en-US" w:eastAsia="zh-CN" w:bidi="ar-SA"/>
        </w:rPr>
        <w:t>加强工业园区、景区管理体制调研，严格执行上级关于开发区管理机构设置考核标准和管理办法，强化开发区管理机构动态管理。</w:t>
      </w:r>
      <w:r>
        <w:rPr>
          <w:rFonts w:ascii="Times New Roman" w:eastAsia="方正楷体_GBK" w:cs="Times New Roman" w:hAnsi="Times New Roman"/>
          <w:b/>
          <w:bCs/>
          <w:color w:val="auto"/>
          <w:sz w:val="32"/>
          <w:szCs w:val="32"/>
          <w:lang w:val="en-US" w:eastAsia="zh-CN"/>
        </w:rPr>
        <w:t>三是深化重点行业领域体制机制改革。</w:t>
      </w:r>
      <w:r>
        <w:rPr>
          <w:rFonts w:ascii="Times New Roman" w:eastAsia="方正仿宋_GBK" w:cs="Times New Roman" w:hAnsi="Times New Roman"/>
          <w:b w:val="0"/>
          <w:bCs w:val="0"/>
          <w:color w:val="auto"/>
          <w:kern w:val="2"/>
          <w:sz w:val="32"/>
          <w:szCs w:val="32"/>
          <w:lang w:val="en-US" w:eastAsia="zh-CN" w:bidi="ar-SA"/>
        </w:rPr>
        <w:t>持续深入推进司法体制改革，全面完成州县两级</w:t>
      </w:r>
      <w:r>
        <w:rPr>
          <w:rFonts w:ascii="Times New Roman" w:eastAsia="方正仿宋_GBK" w:cs="Times New Roman" w:hAnsi="Times New Roman"/>
          <w:b w:val="0"/>
          <w:bCs w:val="0"/>
          <w:color w:val="auto"/>
          <w:sz w:val="32"/>
          <w:szCs w:val="32"/>
          <w:lang w:val="en-US" w:eastAsia="zh-CN"/>
        </w:rPr>
        <w:t>行政复议职责调整及编制划转工作</w:t>
      </w:r>
      <w:r>
        <w:rPr>
          <w:rFonts w:ascii="Times New Roman" w:eastAsia="方正仿宋_GBK" w:cs="Times New Roman" w:hAnsi="Times New Roman"/>
          <w:b w:val="0"/>
          <w:bCs w:val="0"/>
          <w:color w:val="auto"/>
          <w:kern w:val="2"/>
          <w:sz w:val="32"/>
          <w:szCs w:val="32"/>
          <w:lang w:val="en-US" w:eastAsia="zh-CN" w:bidi="ar-SA"/>
        </w:rPr>
        <w:t>；持续深入推进两项改革“后半篇”文章，</w:t>
      </w:r>
      <w:r>
        <w:rPr>
          <w:rFonts w:ascii="Times New Roman" w:eastAsia="方正仿宋_GBK" w:cs="Times New Roman" w:hAnsi="Times New Roman"/>
          <w:b w:val="0"/>
          <w:bCs w:val="0"/>
          <w:color w:val="auto"/>
          <w:sz w:val="32"/>
          <w:szCs w:val="32"/>
          <w:lang w:val="en-US" w:eastAsia="zh-CN"/>
        </w:rPr>
        <w:t>有序推进乡镇机构编制资源优化配置，支持中心镇党政综合办事机构和事业单位在限额内综合设置，提升中心镇对片区发展的带动能力。持续推进综合行政执法改革，积极指导县（市）探索实施跨领域跨部门综合执法，做实乡镇综合行政执法机构，持续健全县乡综合行政执法协调配合机制。</w:t>
      </w:r>
    </w:p>
    <w:p>
      <w:pPr>
        <w:keepNext w:val="0"/>
        <w:keepLines w:val="0"/>
        <w:pageBreakBefore w:val="0"/>
        <w:widowControl w:val="0"/>
        <w:pBdr>
          <w:bottom w:val="single" w:sz="4" w:space="28" w:color="FFFFFF"/>
        </w:pBdr>
        <w:tabs>
          <w:tab w:val="left" w:pos="1440"/>
        </w:tabs>
        <w:kinsoku/>
        <w:wordWrap/>
        <w:overflowPunct/>
        <w:topLinePunct w:val="0"/>
        <w:autoSpaceDE/>
        <w:autoSpaceDN/>
        <w:bidi w:val="0"/>
        <w:adjustRightInd/>
        <w:snapToGrid/>
        <w:spacing w:line="560" w:lineRule="exact"/>
        <w:ind w:left="0" w:firstLineChars="200" w:firstLine="640"/>
        <w:jc w:val="left"/>
        <w:textAlignment w:val="auto"/>
        <w:rPr>
          <w:rFonts w:ascii="Times New Roman" w:eastAsia="方正仿宋_GBK" w:cs="Times New Roman" w:hAnsi="Times New Roman"/>
          <w:color w:val="auto"/>
          <w:sz w:val="32"/>
          <w:szCs w:val="32"/>
          <w:lang w:val="en-US" w:eastAsia="zh-CN"/>
        </w:rPr>
      </w:pPr>
      <w:r>
        <w:rPr>
          <w:rFonts w:ascii="Times New Roman" w:eastAsia="方正楷体_GBK" w:cs="Times New Roman" w:hAnsi="Times New Roman"/>
          <w:b/>
          <w:bCs/>
          <w:color w:val="auto"/>
          <w:sz w:val="32"/>
          <w:szCs w:val="32"/>
          <w:lang w:val="en-US" w:eastAsia="zh-CN"/>
        </w:rPr>
        <w:t>3.常规工作抓规范。</w:t>
      </w:r>
      <w:r>
        <w:rPr>
          <w:rFonts w:ascii="Times New Roman" w:eastAsia="方正仿宋_GBK" w:cs="Times New Roman" w:hAnsi="Times New Roman"/>
          <w:b/>
          <w:bCs/>
          <w:color w:val="auto"/>
          <w:sz w:val="32"/>
          <w:szCs w:val="32"/>
          <w:lang w:val="en-US" w:eastAsia="zh-CN"/>
        </w:rPr>
        <w:t>一是加强机构编制管理。</w:t>
      </w:r>
      <w:r>
        <w:rPr>
          <w:rFonts w:ascii="Times New Roman" w:eastAsia="方正仿宋_GBK" w:cs="Times New Roman" w:hAnsi="Times New Roman"/>
          <w:b w:val="0"/>
          <w:bCs w:val="0"/>
          <w:color w:val="auto"/>
          <w:sz w:val="32"/>
          <w:szCs w:val="32"/>
          <w:lang w:val="en-US" w:eastAsia="zh-CN"/>
        </w:rPr>
        <w:t>严格执行《中国共产党机构编制工作条例》，规范机构编制工作从动议、论证、审议决定、组织实施等关键环节的程序，持续抓好州委常委会、州委编委会相关议定事项落地落实。聚焦教育民生、科研院所、国家公园、乡村振兴、基层治理、生态保护等州委中心工作，召开专题部署会20余次，</w:t>
      </w:r>
      <w:r>
        <w:rPr>
          <w:rFonts w:ascii="Times New Roman" w:eastAsia="方正仿宋_GBK" w:cs="Times New Roman" w:hAnsi="Times New Roman"/>
          <w:b w:val="0"/>
          <w:bCs/>
          <w:color w:val="auto"/>
          <w:spacing w:val="0"/>
          <w:kern w:val="0"/>
          <w:sz w:val="32"/>
          <w:szCs w:val="32"/>
          <w:lang w:val="en-US" w:eastAsia="zh-CN"/>
          <w:highlight w:val="auto"/>
        </w:rPr>
        <w:t>回</w:t>
      </w:r>
      <w:r>
        <w:rPr>
          <w:rFonts w:ascii="Times New Roman" w:eastAsia="方正仿宋_GBK" w:cs="Times New Roman" w:hAnsi="Times New Roman"/>
          <w:b w:val="0"/>
          <w:bCs/>
          <w:color w:val="auto"/>
          <w:spacing w:val="0"/>
          <w:kern w:val="0"/>
          <w:sz w:val="32"/>
          <w:szCs w:val="32"/>
          <w:highlight w:val="auto"/>
        </w:rPr>
        <w:t>复征求意见稿</w:t>
      </w:r>
      <w:r>
        <w:rPr>
          <w:rFonts w:ascii="Times New Roman" w:eastAsia="方正仿宋_GBK" w:cs="Times New Roman" w:hAnsi="Times New Roman"/>
          <w:b w:val="0"/>
          <w:bCs/>
          <w:color w:val="auto"/>
          <w:spacing w:val="0"/>
          <w:kern w:val="0"/>
          <w:sz w:val="32"/>
          <w:szCs w:val="32"/>
          <w:lang w:val="en-US" w:eastAsia="zh-CN"/>
          <w:highlight w:val="auto"/>
        </w:rPr>
        <w:t>70余份，</w:t>
      </w:r>
      <w:r>
        <w:rPr>
          <w:rFonts w:ascii="Times New Roman" w:eastAsia="方正仿宋_GBK" w:cs="Times New Roman" w:hAnsi="Times New Roman"/>
          <w:b w:val="0"/>
          <w:bCs w:val="0"/>
          <w:color w:val="auto"/>
          <w:sz w:val="32"/>
          <w:szCs w:val="32"/>
          <w:lang w:val="en-US" w:eastAsia="zh-CN"/>
        </w:rPr>
        <w:t>落实州委主要领导批示指示10余件，办理编委会议定事项11件，切实加强党对机构编制工作的集中统一领导。</w:t>
      </w:r>
      <w:r>
        <w:rPr>
          <w:rFonts w:ascii="Times New Roman" w:eastAsia="方正仿宋_GBK" w:cs="Times New Roman" w:hAnsi="Times New Roman"/>
          <w:b/>
          <w:bCs/>
          <w:color w:val="auto"/>
          <w:sz w:val="32"/>
          <w:szCs w:val="32"/>
          <w:lang w:val="en-US" w:eastAsia="zh-CN"/>
        </w:rPr>
        <w:t>二是开展机构编制基础性调研。</w:t>
      </w:r>
      <w:r>
        <w:rPr>
          <w:rFonts w:ascii="Times New Roman" w:eastAsia="方正仿宋_GBK" w:cs="Times New Roman" w:hAnsi="Times New Roman"/>
          <w:color w:val="auto"/>
          <w:sz w:val="32"/>
          <w:szCs w:val="32"/>
          <w:lang w:val="en-US" w:eastAsia="zh-CN"/>
        </w:rPr>
        <w:t>围绕制约阿坝高质量发展的体制机制问题，深入开展重点民生领域机构编制调查研究，形成各类专题调研报告10余篇，多数获州委州政府采纳并上升为重大决策。</w:t>
      </w:r>
      <w:r>
        <w:rPr>
          <w:rFonts w:ascii="Times New Roman" w:eastAsia="方正仿宋_GBK" w:cs="Times New Roman" w:hAnsi="Times New Roman"/>
          <w:b/>
          <w:bCs/>
          <w:color w:val="auto"/>
          <w:sz w:val="32"/>
          <w:szCs w:val="32"/>
          <w:lang w:val="en-US" w:eastAsia="zh-CN"/>
        </w:rPr>
        <w:t>三是加强机构编制实名制管理。</w:t>
      </w:r>
      <w:r>
        <w:rPr>
          <w:rFonts w:ascii="Times New Roman" w:eastAsia="方正仿宋_GBK" w:cs="Times New Roman" w:hAnsi="Times New Roman"/>
          <w:b w:val="0"/>
          <w:bCs w:val="0"/>
          <w:color w:val="auto"/>
          <w:kern w:val="2"/>
          <w:sz w:val="32"/>
          <w:szCs w:val="32"/>
          <w:lang w:val="en-US" w:eastAsia="zh-CN" w:bidi="ar-SA"/>
        </w:rPr>
        <w:t>加强机构编制数字化建设，拓展机构编制大数据应用。完善机构编制实名制管理系统基础数据台账，</w:t>
      </w:r>
      <w:r>
        <w:rPr>
          <w:rFonts w:ascii="Times New Roman" w:eastAsia="方正仿宋_GBK" w:cs="Times New Roman" w:hAnsi="Times New Roman"/>
          <w:color w:val="auto"/>
          <w:sz w:val="32"/>
          <w:szCs w:val="32"/>
          <w:lang w:val="en-US" w:eastAsia="zh-CN"/>
        </w:rPr>
        <w:t>开展全州机</w:t>
      </w:r>
      <w:r>
        <w:rPr>
          <w:rFonts w:ascii="Times New Roman" w:eastAsia="方正仿宋_GBK" w:cs="Times New Roman" w:hAnsi="Times New Roman"/>
          <w:b w:val="0"/>
          <w:bCs w:val="0"/>
          <w:color w:val="auto"/>
          <w:kern w:val="2"/>
          <w:sz w:val="32"/>
          <w:szCs w:val="32"/>
          <w:lang w:val="en-US" w:eastAsia="zh-CN" w:bidi="ar-SA"/>
        </w:rPr>
        <w:t>构编制统计数据“大体检”，做好编外人员统计工作，提升机构编制统计工作质量。按照省统一安排，积极推行“不见面”上下编工作模式。持续做好党政机关和事业单位中文域名管理和网站挂标清理规范工作。</w:t>
      </w:r>
      <w:r>
        <w:rPr>
          <w:rFonts w:ascii="Times New Roman" w:eastAsia="方正仿宋_GBK" w:cs="Times New Roman" w:hAnsi="Times New Roman"/>
          <w:b/>
          <w:bCs/>
          <w:color w:val="auto"/>
          <w:sz w:val="32"/>
          <w:szCs w:val="32"/>
          <w:lang w:val="en-US" w:eastAsia="zh-CN"/>
        </w:rPr>
        <w:t>四是推进机构编制法定化。</w:t>
      </w:r>
      <w:r>
        <w:rPr>
          <w:rFonts w:ascii="Times New Roman" w:eastAsia="方正仿宋_GBK" w:cs="Times New Roman" w:hAnsi="Times New Roman"/>
          <w:b w:val="0"/>
          <w:bCs w:val="0"/>
          <w:color w:val="auto"/>
          <w:kern w:val="2"/>
          <w:sz w:val="32"/>
          <w:szCs w:val="32"/>
          <w:lang w:val="en-US" w:eastAsia="zh-CN" w:bidi="ar-SA"/>
        </w:rPr>
        <w:t>加强机构编制法规制度落实。制作《条例》及我省实施办法宣传动漫，印发《机构编制监督检查政策法规选编》，开展机构编制规范性文件、专项标准清理工作。</w:t>
      </w:r>
      <w:r>
        <w:rPr>
          <w:rFonts w:ascii="Times New Roman" w:eastAsia="方正仿宋_GBK" w:cs="Times New Roman" w:hAnsi="Times New Roman"/>
          <w:b w:val="0"/>
          <w:bCs w:val="0"/>
          <w:color w:val="auto"/>
          <w:sz w:val="32"/>
          <w:szCs w:val="32"/>
          <w:lang w:val="en-US" w:eastAsia="zh-CN"/>
        </w:rPr>
        <w:t>加强机构编制监督检查。持续</w:t>
      </w:r>
      <w:r>
        <w:rPr>
          <w:rFonts w:ascii="Times New Roman" w:eastAsia="方正仿宋_GBK" w:cs="Times New Roman" w:hAnsi="Times New Roman"/>
          <w:b w:val="0"/>
          <w:bCs w:val="0"/>
          <w:color w:val="auto"/>
          <w:kern w:val="2"/>
          <w:sz w:val="32"/>
          <w:szCs w:val="32"/>
          <w:lang w:val="en-US" w:eastAsia="zh-CN" w:bidi="ar-SA"/>
        </w:rPr>
        <w:t>开展机构编制工作情况和纪律执行情况专项检查；持续规范和加强州级议事协调机构管</w:t>
      </w:r>
      <w:bookmarkStart w:id="55" w:name="_GoBack"/>
      <w:bookmarkEnd w:id="55"/>
      <w:r>
        <w:rPr>
          <w:rFonts w:ascii="Times New Roman" w:eastAsia="方正仿宋_GBK" w:cs="Times New Roman" w:hAnsi="Times New Roman"/>
          <w:b w:val="0"/>
          <w:bCs w:val="0"/>
          <w:color w:val="auto"/>
          <w:kern w:val="2"/>
          <w:sz w:val="32"/>
          <w:szCs w:val="32"/>
          <w:lang w:val="en-US" w:eastAsia="zh-CN" w:bidi="ar-SA"/>
        </w:rPr>
        <w:t>理，</w:t>
      </w:r>
      <w:r>
        <w:rPr>
          <w:rFonts w:ascii="Times New Roman" w:eastAsia="方正仿宋_GBK" w:cs="Times New Roman" w:hAnsi="Times New Roman"/>
          <w:color w:val="auto"/>
          <w:sz w:val="32"/>
          <w:szCs w:val="32"/>
          <w:lang w:val="en-US" w:eastAsia="zh-CN"/>
        </w:rPr>
        <w:t>完成22项州本级议事协调机构的设立、变更及撤销的审核工作；</w:t>
      </w:r>
      <w:r>
        <w:rPr>
          <w:rFonts w:ascii="Times New Roman" w:eastAsia="方正仿宋_GBK" w:cs="Times New Roman" w:hAnsi="Times New Roman"/>
          <w:b w:val="0"/>
          <w:bCs w:val="0"/>
          <w:color w:val="auto"/>
          <w:kern w:val="2"/>
          <w:sz w:val="32"/>
          <w:szCs w:val="32"/>
          <w:lang w:val="en-US" w:eastAsia="zh-CN" w:bidi="ar-SA"/>
        </w:rPr>
        <w:t>持续巩固机构编制条条干预整治成效，</w:t>
      </w:r>
      <w:r>
        <w:rPr>
          <w:rFonts w:ascii="Times New Roman" w:eastAsia="方正仿宋_GBK" w:cs="Times New Roman" w:hAnsi="Times New Roman"/>
          <w:color w:val="auto"/>
          <w:sz w:val="32"/>
          <w:szCs w:val="32"/>
          <w:lang w:val="en-US" w:eastAsia="zh-CN"/>
        </w:rPr>
        <w:t>及时纠正2起机构编制条条干预问题。</w:t>
      </w:r>
    </w:p>
    <w:p>
      <w:pPr>
        <w:keepNext w:val="0"/>
        <w:keepLines w:val="0"/>
        <w:pageBreakBefore w:val="0"/>
        <w:widowControl w:val="0"/>
        <w:pBdr>
          <w:bottom w:val="single" w:sz="4" w:space="28" w:color="FFFFFF"/>
        </w:pBdr>
        <w:tabs>
          <w:tab w:val="left" w:pos="1440"/>
        </w:tabs>
        <w:kinsoku/>
        <w:wordWrap/>
        <w:overflowPunct/>
        <w:topLinePunct w:val="0"/>
        <w:autoSpaceDE/>
        <w:autoSpaceDN/>
        <w:bidi w:val="0"/>
        <w:adjustRightInd/>
        <w:snapToGrid/>
        <w:spacing w:line="560" w:lineRule="exact"/>
        <w:ind w:left="0" w:firstLineChars="200" w:firstLine="640"/>
        <w:jc w:val="left"/>
        <w:textAlignment w:val="auto"/>
        <w:rPr>
          <w:rFonts w:ascii="Times New Roman" w:eastAsia="方正楷体_GBK" w:cs="Times New Roman" w:hAnsi="Times New Roman"/>
          <w:b/>
          <w:bCs/>
          <w:sz w:val="32"/>
          <w:szCs w:val="32"/>
          <w:lang w:val="en-US" w:eastAsia="zh-CN"/>
        </w:rPr>
      </w:pPr>
      <w:r>
        <w:rPr>
          <w:rFonts w:ascii="Times New Roman" w:eastAsia="方正楷体_GBK" w:cs="Times New Roman" w:hAnsi="Times New Roman"/>
          <w:b/>
          <w:bCs/>
          <w:sz w:val="32"/>
          <w:szCs w:val="32"/>
          <w:lang w:val="en-US" w:eastAsia="zh-CN"/>
        </w:rPr>
        <w:t>（五）绩效管理工作开展情况</w:t>
      </w:r>
    </w:p>
    <w:p>
      <w:pPr>
        <w:keepNext w:val="0"/>
        <w:keepLines w:val="0"/>
        <w:pageBreakBefore w:val="0"/>
        <w:widowControl w:val="0"/>
        <w:pBdr>
          <w:bottom w:val="single" w:sz="4" w:space="28" w:color="FFFFFF"/>
        </w:pBdr>
        <w:tabs>
          <w:tab w:val="left" w:pos="1440"/>
        </w:tabs>
        <w:kinsoku/>
        <w:wordWrap/>
        <w:overflowPunct/>
        <w:topLinePunct w:val="0"/>
        <w:autoSpaceDE/>
        <w:autoSpaceDN/>
        <w:bidi w:val="0"/>
        <w:adjustRightInd/>
        <w:snapToGrid/>
        <w:spacing w:line="560" w:lineRule="exact"/>
        <w:ind w:left="0" w:firstLineChars="200" w:firstLine="640"/>
        <w:jc w:val="left"/>
        <w:textAlignment w:val="auto"/>
        <w:rPr>
          <w:rFonts w:ascii="Times New Roman" w:eastAsia="方正仿宋_GBK" w:cs="Times New Roman" w:hAnsi="Times New Roman"/>
          <w:sz w:val="32"/>
          <w:szCs w:val="32"/>
        </w:rPr>
      </w:pPr>
      <w:r>
        <w:rPr>
          <w:rFonts w:ascii="Times New Roman" w:eastAsia="方正仿宋_GBK" w:cs="Times New Roman" w:hAnsi="Times New Roman"/>
          <w:sz w:val="32"/>
          <w:szCs w:val="32"/>
        </w:rPr>
        <w:t>绩效管理严格按照上级部门要求，开展自评工作，对评价结果及时总结上报，用于指导下一步工作的开展。</w:t>
      </w:r>
    </w:p>
    <w:p>
      <w:pPr>
        <w:keepNext w:val="0"/>
        <w:keepLines w:val="0"/>
        <w:pageBreakBefore w:val="0"/>
        <w:widowControl w:val="0"/>
        <w:numPr>
          <w:ilvl w:val="0"/>
          <w:numId w:val="4"/>
        </w:numPr>
        <w:pBdr>
          <w:bottom w:val="single" w:sz="4" w:space="28" w:color="FFFFFF"/>
        </w:pBdr>
        <w:tabs>
          <w:tab w:val="left" w:pos="1440"/>
        </w:tabs>
        <w:kinsoku/>
        <w:wordWrap/>
        <w:overflowPunct/>
        <w:topLinePunct w:val="0"/>
        <w:autoSpaceDE/>
        <w:autoSpaceDN/>
        <w:bidi w:val="0"/>
        <w:adjustRightInd/>
        <w:snapToGrid/>
        <w:spacing w:line="560" w:lineRule="exact"/>
        <w:ind w:left="0" w:firstLineChars="200" w:firstLine="640"/>
        <w:jc w:val="left"/>
        <w:textAlignment w:val="auto"/>
        <w:rPr>
          <w:rFonts w:ascii="Times New Roman" w:eastAsia="方正黑体_GBK" w:cs="Times New Roman" w:hAnsi="Times New Roman"/>
          <w:sz w:val="32"/>
          <w:szCs w:val="32"/>
        </w:rPr>
      </w:pPr>
      <w:r>
        <w:rPr>
          <w:rFonts w:ascii="Times New Roman" w:eastAsia="方正黑体_GBK" w:cs="Times New Roman" w:hAnsi="Times New Roman"/>
          <w:sz w:val="32"/>
          <w:szCs w:val="32"/>
        </w:rPr>
        <w:t>评价结果及建议</w:t>
      </w:r>
    </w:p>
    <w:p>
      <w:pPr>
        <w:keepNext w:val="0"/>
        <w:keepLines w:val="0"/>
        <w:pageBreakBefore w:val="0"/>
        <w:widowControl w:val="0"/>
        <w:pBdr>
          <w:bottom w:val="single" w:sz="4" w:space="28" w:color="FFFFFF"/>
        </w:pBdr>
        <w:tabs>
          <w:tab w:val="left" w:pos="1440"/>
        </w:tabs>
        <w:kinsoku/>
        <w:wordWrap/>
        <w:overflowPunct/>
        <w:topLinePunct w:val="0"/>
        <w:autoSpaceDE/>
        <w:autoSpaceDN/>
        <w:bidi w:val="0"/>
        <w:adjustRightInd/>
        <w:snapToGrid/>
        <w:spacing w:line="560" w:lineRule="exact"/>
        <w:jc w:val="left"/>
        <w:textAlignment w:val="auto"/>
        <w:rPr>
          <w:rFonts w:ascii="Times New Roman" w:eastAsia="方正仿宋_GBK" w:cs="Times New Roman" w:hAnsi="Times New Roman"/>
          <w:sz w:val="32"/>
          <w:szCs w:val="32"/>
          <w:lang w:val="en-US" w:eastAsia="zh-CN"/>
        </w:rPr>
      </w:pPr>
      <w:r>
        <w:rPr>
          <w:rFonts w:ascii="Times New Roman" w:eastAsia="方正仿宋_GBK" w:cs="Times New Roman" w:hAnsi="Times New Roman"/>
          <w:sz w:val="32"/>
          <w:szCs w:val="32"/>
          <w:lang w:val="en-US" w:eastAsia="zh-CN"/>
        </w:rPr>
        <w:t xml:space="preserve">    </w:t>
      </w:r>
      <w:r>
        <w:rPr>
          <w:rFonts w:ascii="Times New Roman" w:eastAsia="方正楷体_GBK" w:cs="Times New Roman" w:hAnsi="Times New Roman"/>
          <w:b/>
          <w:bCs/>
          <w:sz w:val="32"/>
          <w:szCs w:val="32"/>
          <w:lang w:val="en-US" w:eastAsia="zh-CN"/>
        </w:rPr>
        <w:t xml:space="preserve">（一）自评结论 </w:t>
      </w:r>
      <w:r>
        <w:rPr>
          <w:rFonts w:ascii="Times New Roman" w:eastAsia="方正仿宋_GBK" w:cs="Times New Roman" w:hAnsi="Times New Roman"/>
          <w:sz w:val="32"/>
          <w:szCs w:val="32"/>
          <w:lang w:val="en-US" w:eastAsia="zh-CN"/>
        </w:rPr>
        <w:t xml:space="preserve">  </w:t>
      </w:r>
    </w:p>
    <w:p>
      <w:pPr>
        <w:keepNext w:val="0"/>
        <w:keepLines w:val="0"/>
        <w:pageBreakBefore w:val="0"/>
        <w:widowControl w:val="0"/>
        <w:pBdr>
          <w:bottom w:val="single" w:sz="4" w:space="28" w:color="FFFFFF"/>
        </w:pBdr>
        <w:tabs>
          <w:tab w:val="left" w:pos="1440"/>
        </w:tabs>
        <w:kinsoku/>
        <w:wordWrap/>
        <w:overflowPunct/>
        <w:topLinePunct w:val="0"/>
        <w:autoSpaceDE/>
        <w:autoSpaceDN/>
        <w:bidi w:val="0"/>
        <w:adjustRightInd/>
        <w:snapToGrid/>
        <w:spacing w:line="560" w:lineRule="exact"/>
        <w:ind w:left="0" w:firstLineChars="200" w:firstLine="640"/>
        <w:jc w:val="left"/>
        <w:textAlignment w:val="auto"/>
        <w:rPr>
          <w:rFonts w:ascii="Times New Roman" w:eastAsia="方正仿宋_GBK" w:cs="Times New Roman" w:hAnsi="Times New Roman"/>
          <w:color w:val="auto"/>
          <w:sz w:val="32"/>
          <w:szCs w:val="32"/>
          <w:lang w:val="en-US" w:eastAsia="zh-CN"/>
        </w:rPr>
      </w:pPr>
      <w:r>
        <w:rPr>
          <w:rFonts w:ascii="Times New Roman" w:eastAsia="方正仿宋_GBK" w:cs="Times New Roman" w:hAnsi="Times New Roman"/>
          <w:color w:val="auto"/>
          <w:sz w:val="32"/>
          <w:szCs w:val="32"/>
          <w:lang w:val="en-US" w:eastAsia="zh-CN"/>
        </w:rPr>
        <w:t xml:space="preserve">我单位支出绩效总体良好，各项目标基本达到了相应时期执行进度，使财政收支预算执行都得到了良好的制度保障和实施效果。                                                                                                                                                                                                                                                                                                                                                                                                                                                                                                                                                                                                                                                                                                                                                                                                                                                                                                                                                                                                                                                                                                                                                                                                                                                                                                                                                                                                                                                          </w:t>
      </w:r>
    </w:p>
    <w:p>
      <w:pPr>
        <w:keepNext w:val="0"/>
        <w:keepLines w:val="0"/>
        <w:pageBreakBefore w:val="0"/>
        <w:widowControl w:val="0"/>
        <w:numPr>
          <w:ilvl w:val="0"/>
          <w:numId w:val="5"/>
        </w:numPr>
        <w:pBdr>
          <w:bottom w:val="single" w:sz="4" w:space="28" w:color="FFFFFF"/>
        </w:pBdr>
        <w:tabs>
          <w:tab w:val="left" w:pos="1440"/>
        </w:tabs>
        <w:kinsoku/>
        <w:wordWrap/>
        <w:overflowPunct/>
        <w:topLinePunct w:val="0"/>
        <w:autoSpaceDE/>
        <w:autoSpaceDN/>
        <w:bidi w:val="0"/>
        <w:adjustRightInd/>
        <w:snapToGrid/>
        <w:spacing w:line="560" w:lineRule="exact"/>
        <w:ind w:left="0" w:firstLineChars="200" w:firstLine="640"/>
        <w:jc w:val="left"/>
        <w:textAlignment w:val="auto"/>
        <w:rPr>
          <w:rFonts w:ascii="Times New Roman" w:eastAsia="方正楷体_GBK" w:cs="Times New Roman" w:hAnsi="Times New Roman"/>
          <w:b/>
          <w:bCs/>
          <w:sz w:val="32"/>
          <w:szCs w:val="32"/>
          <w:lang w:val="en-US" w:eastAsia="zh-CN"/>
        </w:rPr>
      </w:pPr>
      <w:r>
        <w:rPr>
          <w:rFonts w:ascii="Times New Roman" w:eastAsia="方正楷体_GBK" w:cs="Times New Roman" w:hAnsi="Times New Roman"/>
          <w:b/>
          <w:bCs/>
          <w:sz w:val="32"/>
          <w:szCs w:val="32"/>
          <w:lang w:val="en-US" w:eastAsia="zh-CN"/>
        </w:rPr>
        <w:t>存在的问题</w:t>
      </w:r>
    </w:p>
    <w:p>
      <w:pPr>
        <w:keepNext w:val="0"/>
        <w:keepLines w:val="0"/>
        <w:pageBreakBefore w:val="0"/>
        <w:widowControl w:val="0"/>
        <w:pBdr>
          <w:bottom w:val="single" w:sz="4" w:space="28" w:color="FFFFFF"/>
        </w:pBdr>
        <w:tabs>
          <w:tab w:val="left" w:pos="1440"/>
        </w:tabs>
        <w:kinsoku/>
        <w:wordWrap/>
        <w:overflowPunct/>
        <w:topLinePunct w:val="0"/>
        <w:autoSpaceDE/>
        <w:autoSpaceDN/>
        <w:bidi w:val="0"/>
        <w:adjustRightInd/>
        <w:snapToGrid/>
        <w:spacing w:line="560" w:lineRule="exact"/>
        <w:ind w:left="0" w:firstLineChars="200" w:firstLine="640"/>
        <w:jc w:val="left"/>
        <w:textAlignment w:val="auto"/>
        <w:rPr>
          <w:rFonts w:ascii="Times New Roman" w:eastAsia="方正仿宋_GBK" w:cs="Times New Roman" w:hAnsi="Times New Roman"/>
          <w:color w:val="auto"/>
          <w:sz w:val="32"/>
          <w:szCs w:val="32"/>
          <w:lang w:val="en-US" w:eastAsia="zh-CN"/>
        </w:rPr>
      </w:pPr>
      <w:r>
        <w:rPr>
          <w:rFonts w:ascii="Times New Roman" w:eastAsia="方正仿宋_GBK" w:cs="Times New Roman" w:hAnsi="Times New Roman"/>
          <w:color w:val="auto"/>
          <w:sz w:val="32"/>
          <w:szCs w:val="32"/>
          <w:lang w:val="en-US" w:eastAsia="zh-CN"/>
        </w:rPr>
        <w:t>一是由于人员变动大，对资金安排、使用、核算上存在一定的偏差，导致预算经费科目与支出科目存在差异；二是未严格按项目资金用途使用资金，年底办公费不够的情况下与其他经费存在打捆使用；三是部门决算上报处理效率还待提升。</w:t>
      </w:r>
    </w:p>
    <w:p>
      <w:pPr>
        <w:pStyle w:val="24"/>
        <w:spacing w:line="560" w:lineRule="exact"/>
        <w:rPr>
          <w:sz w:val="32"/>
          <w:lang w:val="zh-CN"/>
        </w:rPr>
      </w:pPr>
    </w:p>
    <w:p>
      <w:pPr>
        <w:pStyle w:val="24"/>
        <w:spacing w:line="560" w:lineRule="exact"/>
        <w:rPr>
          <w:sz w:val="32"/>
          <w:lang w:val="zh-CN"/>
        </w:rPr>
      </w:pPr>
    </w:p>
    <w:p>
      <w:pPr>
        <w:pStyle w:val="24"/>
        <w:spacing w:line="560" w:lineRule="exact"/>
        <w:rPr>
          <w:sz w:val="32"/>
          <w:lang w:val="zh-CN"/>
        </w:rPr>
      </w:pPr>
    </w:p>
    <w:p>
      <w:pPr>
        <w:pStyle w:val="24"/>
        <w:spacing w:line="560" w:lineRule="exact"/>
        <w:rPr>
          <w:sz w:val="32"/>
          <w:lang w:val="zh-CN"/>
        </w:rPr>
      </w:pPr>
    </w:p>
    <w:p>
      <w:pPr>
        <w:pStyle w:val="24"/>
        <w:spacing w:line="560" w:lineRule="exact"/>
        <w:rPr>
          <w:sz w:val="32"/>
          <w:lang w:val="zh-CN"/>
        </w:rPr>
      </w:pPr>
    </w:p>
    <w:p>
      <w:pPr>
        <w:pStyle w:val="24"/>
        <w:spacing w:line="560" w:lineRule="exact"/>
        <w:rPr>
          <w:sz w:val="32"/>
          <w:lang w:val="zh-CN"/>
        </w:rPr>
      </w:pPr>
    </w:p>
    <w:p>
      <w:pPr>
        <w:pStyle w:val="24"/>
        <w:spacing w:line="560" w:lineRule="exact"/>
        <w:rPr>
          <w:sz w:val="32"/>
          <w:lang w:val="zh-CN"/>
        </w:rPr>
      </w:pPr>
    </w:p>
    <w:p>
      <w:pPr>
        <w:pStyle w:val="24"/>
        <w:spacing w:line="560" w:lineRule="exact"/>
        <w:rPr>
          <w:sz w:val="32"/>
          <w:lang w:val="zh-CN"/>
        </w:rPr>
      </w:pPr>
    </w:p>
    <w:p>
      <w:pPr>
        <w:pStyle w:val="24"/>
        <w:spacing w:line="560" w:lineRule="exact"/>
        <w:rPr>
          <w:sz w:val="32"/>
          <w:lang w:val="zh-CN"/>
        </w:rPr>
      </w:pPr>
    </w:p>
    <w:p>
      <w:pPr>
        <w:pStyle w:val="24"/>
        <w:spacing w:line="560" w:lineRule="exact"/>
        <w:rPr>
          <w:sz w:val="32"/>
          <w:lang w:val="zh-CN"/>
        </w:rPr>
      </w:pPr>
    </w:p>
    <w:p>
      <w:pPr>
        <w:pStyle w:val="24"/>
        <w:spacing w:line="560" w:lineRule="exact"/>
        <w:rPr>
          <w:sz w:val="32"/>
          <w:lang w:val="zh-CN"/>
        </w:rPr>
      </w:pPr>
    </w:p>
    <w:p>
      <w:pPr>
        <w:pStyle w:val="24"/>
        <w:spacing w:line="560" w:lineRule="exact"/>
        <w:rPr>
          <w:sz w:val="32"/>
          <w:lang w:val="zh-CN"/>
        </w:rPr>
      </w:pPr>
    </w:p>
    <w:p>
      <w:pPr>
        <w:pStyle w:val="24"/>
        <w:spacing w:line="560" w:lineRule="exact"/>
        <w:rPr>
          <w:sz w:val="32"/>
          <w:lang w:val="zh-CN"/>
        </w:rPr>
      </w:pPr>
    </w:p>
    <w:p>
      <w:pPr>
        <w:pStyle w:val="24"/>
        <w:spacing w:line="560" w:lineRule="exact"/>
        <w:rPr>
          <w:sz w:val="32"/>
          <w:lang w:val="zh-CN"/>
        </w:rPr>
      </w:pPr>
    </w:p>
    <w:p>
      <w:pPr>
        <w:pStyle w:val="24"/>
        <w:spacing w:line="560" w:lineRule="exact"/>
        <w:rPr>
          <w:sz w:val="32"/>
          <w:lang w:val="zh-CN"/>
        </w:rPr>
      </w:pPr>
    </w:p>
    <w:p>
      <w:pPr>
        <w:pStyle w:val="24"/>
        <w:spacing w:line="560" w:lineRule="exact"/>
        <w:rPr>
          <w:sz w:val="32"/>
          <w:lang w:val="zh-CN"/>
        </w:rPr>
      </w:pPr>
    </w:p>
    <w:p>
      <w:pPr>
        <w:pStyle w:val="24"/>
        <w:spacing w:line="560" w:lineRule="exact"/>
        <w:rPr>
          <w:sz w:val="32"/>
          <w:lang w:val="zh-CN"/>
        </w:rPr>
      </w:pPr>
    </w:p>
    <w:p>
      <w:pPr>
        <w:pStyle w:val="16"/>
        <w:spacing w:beforeLines="0" w:before="93"/>
        <w:rPr>
          <w:rFonts w:cs="宋体"/>
          <w:sz w:val="32"/>
          <w:szCs w:val="32"/>
          <w:shd w:val="clear" w:color="auto" w:fill="FFFFFF"/>
          <w:lang w:val="zh-CN"/>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黑体" w:eastAsia="黑体" w:cs="黑体" w:hint="eastAsia"/>
          <w:sz w:val="44"/>
          <w:szCs w:val="44"/>
        </w:rPr>
      </w:pPr>
      <w:bookmarkStart w:id="56" w:name="_Toc15396618"/>
      <w:r>
        <w:rPr>
          <w:rFonts w:ascii="黑体" w:eastAsia="黑体" w:cs="黑体" w:hint="eastAsia"/>
          <w:sz w:val="44"/>
          <w:szCs w:val="44"/>
        </w:rPr>
        <w:t>第五部分 附表</w:t>
      </w:r>
      <w:bookmarkStart w:id="57" w:name="_Toc15396619"/>
      <w:bookmarkEnd w:id="53"/>
      <w:bookmarkEnd w:id="56"/>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仿宋_GB2312" w:eastAsia="仿宋_GB2312" w:cs="仿宋_GB2312" w:hint="eastAsia"/>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仿宋_GB2312" w:eastAsia="仿宋_GB2312" w:cs="仿宋_GB2312" w:hint="eastAsia"/>
          <w:sz w:val="32"/>
          <w:szCs w:val="32"/>
        </w:rPr>
      </w:pPr>
      <w:r>
        <w:rPr>
          <w:rFonts w:ascii="仿宋_GB2312" w:eastAsia="仿宋_GB2312" w:cs="仿宋_GB2312" w:hint="eastAsia"/>
          <w:sz w:val="32"/>
          <w:szCs w:val="32"/>
        </w:rPr>
        <w:t>一、收入支出决算总表</w:t>
      </w:r>
      <w:bookmarkEnd w:id="57"/>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仿宋_GB2312" w:eastAsia="仿宋_GB2312" w:cs="仿宋_GB2312" w:hint="eastAsia"/>
          <w:sz w:val="32"/>
          <w:szCs w:val="32"/>
        </w:rPr>
      </w:pPr>
      <w:bookmarkStart w:id="58" w:name="_Toc15396620"/>
      <w:r>
        <w:rPr>
          <w:rFonts w:ascii="仿宋_GB2312" w:eastAsia="仿宋_GB2312" w:cs="仿宋_GB2312" w:hint="eastAsia"/>
          <w:sz w:val="32"/>
          <w:szCs w:val="32"/>
        </w:rPr>
        <w:t>二、收入决算表</w:t>
      </w:r>
      <w:bookmarkEnd w:id="58"/>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仿宋_GB2312" w:eastAsia="仿宋_GB2312" w:cs="仿宋_GB2312" w:hint="eastAsia"/>
          <w:sz w:val="32"/>
          <w:szCs w:val="32"/>
        </w:rPr>
      </w:pPr>
      <w:bookmarkStart w:id="59" w:name="_Toc15396621"/>
      <w:r>
        <w:rPr>
          <w:rFonts w:ascii="仿宋_GB2312" w:eastAsia="仿宋_GB2312" w:cs="仿宋_GB2312" w:hint="eastAsia"/>
          <w:sz w:val="32"/>
          <w:szCs w:val="32"/>
        </w:rPr>
        <w:t>三、支出决算表</w:t>
      </w:r>
      <w:bookmarkEnd w:id="59"/>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仿宋_GB2312" w:eastAsia="仿宋_GB2312" w:cs="仿宋_GB2312" w:hint="eastAsia"/>
          <w:sz w:val="32"/>
          <w:szCs w:val="32"/>
        </w:rPr>
      </w:pPr>
      <w:bookmarkStart w:id="60" w:name="_Toc15396622"/>
      <w:r>
        <w:rPr>
          <w:rFonts w:ascii="仿宋_GB2312" w:eastAsia="仿宋_GB2312" w:cs="仿宋_GB2312" w:hint="eastAsia"/>
          <w:sz w:val="32"/>
          <w:szCs w:val="32"/>
        </w:rPr>
        <w:t>四、财政拨款收入支出决算总表</w:t>
      </w:r>
      <w:bookmarkEnd w:id="60"/>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仿宋_GB2312" w:eastAsia="仿宋_GB2312" w:cs="仿宋_GB2312" w:hint="eastAsia"/>
          <w:sz w:val="32"/>
          <w:szCs w:val="32"/>
        </w:rPr>
      </w:pPr>
      <w:bookmarkStart w:id="61" w:name="_Toc15396623"/>
      <w:r>
        <w:rPr>
          <w:rFonts w:ascii="仿宋_GB2312" w:eastAsia="仿宋_GB2312" w:cs="仿宋_GB2312" w:hint="eastAsia"/>
          <w:sz w:val="32"/>
          <w:szCs w:val="32"/>
        </w:rPr>
        <w:t>五、财政拨款支出决算明细表</w:t>
      </w:r>
      <w:bookmarkStart w:id="62" w:name="_Toc15396624"/>
      <w:bookmarkEnd w:id="61"/>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仿宋_GB2312" w:eastAsia="仿宋_GB2312" w:cs="仿宋_GB2312" w:hint="eastAsia"/>
          <w:sz w:val="32"/>
          <w:szCs w:val="32"/>
        </w:rPr>
      </w:pPr>
      <w:r>
        <w:rPr>
          <w:rFonts w:ascii="仿宋_GB2312" w:eastAsia="仿宋_GB2312" w:cs="仿宋_GB2312" w:hint="eastAsia"/>
          <w:sz w:val="32"/>
          <w:szCs w:val="32"/>
        </w:rPr>
        <w:t>六、一般公共预算财政拨款支出决算表</w:t>
      </w:r>
      <w:bookmarkEnd w:id="62"/>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仿宋_GB2312" w:eastAsia="仿宋_GB2312" w:cs="仿宋_GB2312" w:hint="eastAsia"/>
          <w:sz w:val="32"/>
          <w:szCs w:val="32"/>
        </w:rPr>
      </w:pPr>
      <w:bookmarkStart w:id="63" w:name="_Toc15396625"/>
      <w:r>
        <w:rPr>
          <w:rFonts w:ascii="仿宋_GB2312" w:eastAsia="仿宋_GB2312" w:cs="仿宋_GB2312" w:hint="eastAsia"/>
          <w:sz w:val="32"/>
          <w:szCs w:val="32"/>
        </w:rPr>
        <w:t>七、一般公共预算财政拨款支出决算明细表</w:t>
      </w:r>
      <w:bookmarkEnd w:id="63"/>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仿宋_GB2312" w:eastAsia="仿宋_GB2312" w:cs="仿宋_GB2312" w:hint="eastAsia"/>
          <w:sz w:val="32"/>
          <w:szCs w:val="32"/>
        </w:rPr>
      </w:pPr>
      <w:bookmarkStart w:id="64" w:name="_Toc15396626"/>
      <w:r>
        <w:rPr>
          <w:rFonts w:ascii="仿宋_GB2312" w:eastAsia="仿宋_GB2312" w:cs="仿宋_GB2312" w:hint="eastAsia"/>
          <w:sz w:val="32"/>
          <w:szCs w:val="32"/>
        </w:rPr>
        <w:t>八、一般公共预算财政拨款基本支出决算表</w:t>
      </w:r>
      <w:bookmarkEnd w:id="64"/>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仿宋_GB2312" w:eastAsia="仿宋_GB2312" w:cs="仿宋_GB2312" w:hint="eastAsia"/>
          <w:sz w:val="32"/>
          <w:szCs w:val="32"/>
        </w:rPr>
      </w:pPr>
      <w:bookmarkStart w:id="65" w:name="_Toc15396627"/>
      <w:r>
        <w:rPr>
          <w:rFonts w:ascii="仿宋_GB2312" w:eastAsia="仿宋_GB2312" w:cs="仿宋_GB2312" w:hint="eastAsia"/>
          <w:sz w:val="32"/>
          <w:szCs w:val="32"/>
        </w:rPr>
        <w:t>九、一般公共预算财政拨款项目支出决算表</w:t>
      </w:r>
      <w:bookmarkEnd w:id="65"/>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仿宋_GB2312" w:eastAsia="仿宋_GB2312" w:cs="仿宋_GB2312" w:hint="eastAsia"/>
          <w:sz w:val="32"/>
          <w:szCs w:val="32"/>
        </w:rPr>
      </w:pPr>
      <w:bookmarkStart w:id="66" w:name="_Toc15396628"/>
      <w:r>
        <w:rPr>
          <w:rFonts w:ascii="仿宋_GB2312" w:eastAsia="仿宋_GB2312" w:cs="仿宋_GB2312" w:hint="eastAsia"/>
          <w:sz w:val="32"/>
          <w:szCs w:val="32"/>
        </w:rPr>
        <w:t>十、</w:t>
      </w:r>
      <w:bookmarkEnd w:id="66"/>
      <w:r>
        <w:rPr>
          <w:rFonts w:ascii="仿宋_GB2312" w:eastAsia="仿宋_GB2312" w:cs="仿宋_GB2312" w:hint="eastAsia"/>
          <w:sz w:val="32"/>
          <w:szCs w:val="32"/>
        </w:rPr>
        <w:t>政府性基金预算财政拨款收入支出决算表</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仿宋_GB2312" w:eastAsia="仿宋_GB2312" w:cs="仿宋_GB2312" w:hint="eastAsia"/>
          <w:sz w:val="32"/>
          <w:szCs w:val="32"/>
        </w:rPr>
      </w:pPr>
      <w:bookmarkStart w:id="67" w:name="_Toc15396629"/>
      <w:r>
        <w:rPr>
          <w:rFonts w:ascii="仿宋_GB2312" w:eastAsia="仿宋_GB2312" w:cs="仿宋_GB2312" w:hint="eastAsia"/>
          <w:sz w:val="32"/>
          <w:szCs w:val="32"/>
        </w:rPr>
        <w:t>十一、</w:t>
      </w:r>
      <w:bookmarkEnd w:id="67"/>
      <w:r>
        <w:rPr>
          <w:rFonts w:ascii="仿宋_GB2312" w:eastAsia="仿宋_GB2312" w:cs="仿宋_GB2312" w:hint="eastAsia"/>
          <w:sz w:val="32"/>
          <w:szCs w:val="32"/>
        </w:rPr>
        <w:t>国有资本经营预算财政拨款收入支出决算表</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仿宋_GB2312" w:eastAsia="仿宋_GB2312" w:cs="仿宋_GB2312" w:hint="eastAsia"/>
          <w:sz w:val="32"/>
          <w:szCs w:val="32"/>
        </w:rPr>
      </w:pPr>
      <w:bookmarkStart w:id="68" w:name="_Toc15396630"/>
      <w:r>
        <w:rPr>
          <w:rFonts w:ascii="仿宋_GB2312" w:eastAsia="仿宋_GB2312" w:cs="仿宋_GB2312" w:hint="eastAsia"/>
          <w:sz w:val="32"/>
          <w:szCs w:val="32"/>
        </w:rPr>
        <w:t>十二、</w:t>
      </w:r>
      <w:bookmarkEnd w:id="68"/>
      <w:r>
        <w:rPr>
          <w:rFonts w:ascii="仿宋_GB2312" w:eastAsia="仿宋_GB2312" w:cs="仿宋_GB2312" w:hint="eastAsia"/>
          <w:sz w:val="32"/>
          <w:szCs w:val="32"/>
        </w:rPr>
        <w:t>国有资本经营预算财政拨款支出决算表</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仿宋_GB2312" w:eastAsia="仿宋_GB2312" w:cs="仿宋_GB2312" w:hint="eastAsia"/>
          <w:sz w:val="32"/>
          <w:szCs w:val="32"/>
        </w:rPr>
      </w:pPr>
      <w:bookmarkStart w:id="69" w:name="_Toc15396631"/>
      <w:r>
        <w:rPr>
          <w:rFonts w:ascii="仿宋_GB2312" w:eastAsia="仿宋_GB2312" w:cs="仿宋_GB2312" w:hint="eastAsia"/>
          <w:sz w:val="32"/>
          <w:szCs w:val="32"/>
        </w:rPr>
        <w:t>十三、</w:t>
      </w:r>
      <w:bookmarkEnd w:id="69"/>
      <w:r>
        <w:rPr>
          <w:rFonts w:ascii="仿宋_GB2312" w:eastAsia="仿宋_GB2312" w:cs="仿宋_GB2312" w:hint="eastAsia"/>
          <w:sz w:val="32"/>
          <w:szCs w:val="32"/>
        </w:rPr>
        <w:t>财政拨款“三公”经费支出决算表</w:t>
      </w:r>
    </w:p>
    <w:sectPr>
      <w:footerReference w:type="default" r:id="rId3"/>
      <w:footerReference w:type="first" r:id="rId4"/>
      <w:pgSz w:w="11906" w:h="16838"/>
      <w:pgMar w:top="1440" w:right="1800" w:bottom="1440" w:left="1800" w:header="851" w:footer="992" w:gutter="0"/>
      <w:pgNumType w:start="1"/>
      <w:titlePg/>
      <w:docGrid w:type="lines" w:linePitch="312" w:charSpace="0"/>
    </w:sectPr>
  </w:body>
</w:document>
</file>

<file path=word/fontTable.xml><?xml version="1.0" encoding="utf-8"?>
<w:fonts xmlns:w="http://schemas.openxmlformats.org/wordprocessingml/2006/main" xmlns:r="http://schemas.openxmlformats.org/officeDocument/2006/relationships">
  <w:font w:name="方正小标宋简体">
    <w:panose1 w:val="02010601030101010101"/>
    <w:charset w:val="86"/>
    <w:family w:val="script"/>
    <w:pitch w:val="variable"/>
    <w:sig w:usb0="00000001" w:usb1="080E0000" w:usb2="00000000" w:usb3="00000000" w:csb0="00040000" w:csb1="00000000"/>
  </w:font>
  <w:font w:name="Times New Roman">
    <w:panose1 w:val="02020603050405020304"/>
    <w:charset w:val="01"/>
    <w:family w:val="auto"/>
    <w:pitch w:val="variable"/>
    <w:sig w:usb0="E0002AFF" w:usb1="C0007841" w:usb2="00000009" w:usb3="00000000" w:csb0="400001FF" w:csb1="FFFF0000"/>
  </w:font>
  <w:font w:name="宋体">
    <w:panose1 w:val="02010600030101010101"/>
    <w:charset w:val="50"/>
    <w:family w:val="auto"/>
    <w:pitch w:val="variable"/>
    <w:sig w:usb0="00000003" w:usb1="288F0000" w:usb2="00000006" w:usb3="00000000" w:csb0="00040001" w:csb1="00000000"/>
  </w:font>
  <w:font w:name="黑体">
    <w:panose1 w:val="02010609060101010101"/>
    <w:charset w:val="86"/>
    <w:family w:val="auto"/>
    <w:pitch w:val="variable"/>
    <w:sig w:usb0="800002BF" w:usb1="38CF7CFA" w:usb2="00000016" w:usb3="00000000" w:csb0="00040001" w:csb1="00000000"/>
  </w:font>
  <w:font w:name="Arial">
    <w:altName w:val="DejaVu Sans"/>
    <w:panose1 w:val="020B0604020202020204"/>
    <w:charset w:val="01"/>
    <w:family w:val="swiss"/>
    <w:pitch w:val="variable"/>
    <w:sig w:usb0="E0002AFF" w:usb1="C0007843" w:usb2="00000009" w:usb3="00000000" w:csb0="400001FF" w:csb1="FFFF0000"/>
  </w:font>
  <w:font w:name="楷体_GB2312">
    <w:panose1 w:val="02010609030101010101"/>
    <w:charset w:val="86"/>
    <w:family w:val="auto"/>
    <w:pitch w:val="variable"/>
    <w:sig w:usb0="00000001" w:usb1="080E0000" w:usb2="00000000" w:usb3="00000000" w:csb0="00040000" w:csb1="00000000"/>
  </w:font>
  <w:font w:name="仿宋_GB2312">
    <w:panose1 w:val="02010609030101010101"/>
    <w:charset w:val="86"/>
    <w:family w:val="modern"/>
    <w:pitch w:val="variable"/>
    <w:sig w:usb0="00000001" w:usb1="080E0000" w:usb2="00000000" w:usb3="00000000" w:csb0="00040000" w:csb1="00000000"/>
  </w:font>
  <w:font w:name="仿宋">
    <w:panose1 w:val="02010609060101010101"/>
    <w:charset w:val="86"/>
    <w:family w:val="modern"/>
    <w:pitch w:val="variable"/>
    <w:sig w:usb0="800002BF" w:usb1="38CF7CFA" w:usb2="00000016" w:usb3="00000000" w:csb0="00040001" w:csb1="00000000"/>
  </w:font>
  <w:font w:name="方正楷体_GBK">
    <w:panose1 w:val="03000509000000000000"/>
    <w:charset w:val="86"/>
    <w:family w:val="auto"/>
    <w:pitch w:val="variable"/>
    <w:sig w:usb0="00000001" w:usb1="080E0000" w:usb2="00000000" w:usb3="00000000" w:csb0="00040000" w:csb1="00000000"/>
  </w:font>
  <w:font w:name="方正仿宋_GBK">
    <w:panose1 w:val="03000509000000000000"/>
    <w:charset w:val="86"/>
    <w:family w:val="auto"/>
    <w:pitch w:val="variable"/>
    <w:sig w:usb0="00000001" w:usb1="080E0000" w:usb2="00000000" w:usb3="00000000" w:csb0="00040000" w:csb1="00000000"/>
  </w:font>
  <w:font w:name="方正黑体_GBK">
    <w:panose1 w:val="03000509000000000000"/>
    <w:charset w:val="86"/>
    <w:family w:val="auto"/>
    <w:pitch w:val="variable"/>
    <w:sig w:usb0="00000001" w:usb1="080E0000" w:usb2="00000000" w:usb3="00000000" w:csb0="00040000" w:csb1="00000000"/>
  </w:font>
  <w:font w:name="楷体">
    <w:panose1 w:val="02010609060101010101"/>
    <w:charset w:val="86"/>
    <w:family w:val="modern"/>
    <w:pitch w:val="variable"/>
    <w:sig w:usb0="800002BF" w:usb1="38CF7CFA" w:usb2="00000016" w:usb3="00000000" w:csb0="00040001" w:csb1="00000000"/>
  </w:font>
  <w:font w:name="Cambria">
    <w:altName w:val="DejaVu Sans"/>
    <w:panose1 w:val="02040503050406030204"/>
    <w:charset w:val="00"/>
    <w:family w:val="roman"/>
    <w:pitch w:val="variable"/>
    <w:sig w:usb0="E00002FF" w:usb1="400004FF" w:usb2="00000000" w:usb3="00000000" w:csb0="2000019F" w:csb1="00000000"/>
  </w:font>
  <w:font w:name="方正仿宋简体">
    <w:altName w:val="方正仿宋_GBK"/>
    <w:panose1 w:val="02010601030101010101"/>
    <w:charset w:val="86"/>
    <w:family w:val="auto"/>
    <w:pitch w:val="variable"/>
    <w:sig w:usb0="00000000" w:usb1="00000000" w:usb2="00000000" w:usb3="00000000" w:csb0="00040000" w:csb1="00000000"/>
  </w:font>
  <w:font w:name="Calibri">
    <w:altName w:val="Times New Roman"/>
    <w:panose1 w:val="020F0502020204030204"/>
    <w:charset w:val="00"/>
    <w:family w:val="swiss"/>
    <w:pitch w:val="variable"/>
    <w:sig w:usb0="E00002FF" w:usb1="4000ACFF" w:usb2="00000001" w:usb3="00000000" w:csb0="2000019F" w:csb1="00000000"/>
  </w:font>
  <w:font w:name="??">
    <w:altName w:val="Times New Roman"/>
    <w:panose1 w:val="00000000000000000000"/>
    <w:charset w:val="00"/>
    <w:family w:val="roman"/>
    <w:pitch w:val="variable"/>
    <w:sig w:usb0="00000000" w:usb1="00000000" w:usb2="00000000" w:usb3="00000000" w:csb0="00000000"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0"/>
      <w:tabs>
        <w:tab w:val="center" w:pos="4153"/>
        <w:tab w:val="right" w:pos="8306"/>
      </w:tabs>
    </w:pPr>
    <w:r>
      <w:rPr>
        <w:sz w:val="18"/>
      </w:rPr>
      <mc:AlternateContent>
        <mc:Choice Requires="wps">
          <w:drawing>
            <wp:anchor distT="0" distB="0" distL="114298" distR="114298" simplePos="0" relativeHeight="55" behindDoc="0" locked="0" layoutInCell="1" hidden="0" allowOverlap="1">
              <wp:simplePos x="0" y="0"/>
              <wp:positionH relativeFrom="margin">
                <wp:posOffset>2592705</wp:posOffset>
              </wp:positionH>
              <wp:positionV relativeFrom="paragraph">
                <wp:posOffset>0</wp:posOffset>
              </wp:positionV>
              <wp:extent cx="333374" cy="230505"/>
              <wp:effectExtent l="0" t="0" r="0" b="0"/>
              <wp:wrapNone/>
              <wp:docPr id="1" name="_x0000_s2049"/>
              <wp:cNvGraphicFramePr>
                <a:graphicFrameLocks noChangeAspect="0"/>
              </wp:cNvGraphicFramePr>
              <a:graphic>
                <a:graphicData uri="http://schemas.microsoft.com/office/word/2010/wordprocessingShape">
                  <wps:wsp>
                    <wps:cNvSpPr/>
                    <wps:spPr>
                      <a:xfrm rot="0">
                        <a:off x="0" y="0"/>
                        <a:ext cx="333374" cy="230505"/>
                      </a:xfrm>
                      <a:prstGeom prst="rect"/>
                      <a:noFill/>
                      <a:ln w="9525" cmpd="sng" cap="flat">
                        <a:noFill/>
                        <a:prstDash val="solid"/>
                        <a:miter/>
                      </a:ln>
                    </wps:spPr>
                    <wps:txbx id="2">
                      <w:txbxContent>
                        <w:p>
                          <w:pPr>
                            <w:pStyle w:val="20"/>
                            <w:tabs>
                              <w:tab w:val="center" w:pos="4153"/>
                              <w:tab w:val="right" w:pos="8306"/>
                            </w:tabs>
                            <w:rPr>
                              <w:rFonts w:ascii="宋体" w:eastAsia="宋体" w:cs="宋体" w:hint="eastAsia"/>
                              <w:sz w:val="28"/>
                              <w:szCs w:val="28"/>
                            </w:rPr>
                          </w:pPr>
                          <w:r>
                            <w:rPr>
                              <w:rFonts w:ascii="宋体" w:eastAsia="宋体" w:cs="宋体" w:hint="eastAsia"/>
                              <w:sz w:val="28"/>
                              <w:szCs w:val="28"/>
                            </w:rPr>
                            <w:fldChar w:fldCharType="begin"/>
                          </w:r>
                          <w:r>
                            <w:rPr>
                              <w:rFonts w:ascii="宋体" w:eastAsia="宋体" w:cs="宋体" w:hint="eastAsia"/>
                              <w:sz w:val="28"/>
                              <w:szCs w:val="28"/>
                            </w:rPr>
                            <w:instrText xml:space="preserve"> PAGE  \* MERGEFORMAT </w:instrText>
                          </w:r>
                          <w:r>
                            <w:rPr>
                              <w:rFonts w:ascii="宋体" w:eastAsia="宋体" w:cs="宋体" w:hint="eastAsia"/>
                              <w:sz w:val="28"/>
                              <w:szCs w:val="28"/>
                            </w:rPr>
                            <w:fldChar w:fldCharType="separate"/>
                          </w:r>
                          <w:r>
                            <w:rPr>
                              <w:rFonts w:ascii="宋体" w:eastAsia="宋体" w:cs="宋体" w:hint="eastAsia"/>
                              <w:sz w:val="28"/>
                              <w:szCs w:val="28"/>
                            </w:rPr>
                            <w:t>2</w:t>
                          </w:r>
                          <w:r>
                            <w:rPr>
                              <w:rFonts w:ascii="宋体" w:eastAsia="宋体" w:cs="宋体" w:hint="eastAsia"/>
                              <w:sz w:val="28"/>
                              <w:szCs w:val="28"/>
                            </w:rPr>
                            <w:fldChar w:fldCharType="end"/>
                          </w:r>
                        </w:p>
                      </w:txbxContent>
                    </wps:txbx>
                    <wps:bodyPr vert="horz" wrap="square" lIns="0" tIns="0" rIns="0" bIns="0" anchor="t" anchorCtr="0" upright="1">
                      <a:noAutofit/>
                    </wps:bodyPr>
                  </wps:wsp>
                </a:graphicData>
              </a:graphic>
            </wp:anchor>
          </w:drawing>
        </mc:Choice>
        <mc:Fallback>
          <w:pict>
            <v:rect type="#_x0000_t1" id="_x0000_s2049 3" o:spid="_x0000_s3" filled="f" stroked="f" style="position:absolute;margin-left:204.15pt;margin-top:0.0pt;width:26.249989pt;height:18.15pt;z-index:55;mso-position-horizontal:absolute;mso-position-horizontal-relative:margin;mso-position-vertical:absolute;mso-wrap-distance-left:8.999863pt;mso-wrap-distance-right:8.999863pt;mso-wrap-style:square;">
              <v:stroke color="#000000"/>
              <v:textbox id="862" inset="0mm,0mm,0mm,0mm" o:insetmode="custom" style="layout-flow:horizontal;v-text-anchor:top;">
                <w:txbxContent>
                  <w:p>
                    <w:pPr>
                      <w:pStyle w:val="20"/>
                      <w:tabs>
                        <w:tab w:val="center" w:pos="4153"/>
                        <w:tab w:val="right" w:pos="8306"/>
                      </w:tabs>
                      <w:rPr>
                        <w:rFonts w:ascii="宋体" w:eastAsia="宋体" w:cs="宋体" w:hint="eastAsia"/>
                        <w:sz w:val="28"/>
                        <w:szCs w:val="28"/>
                      </w:rPr>
                    </w:pPr>
                    <w:r>
                      <w:rPr>
                        <w:rFonts w:ascii="宋体" w:eastAsia="宋体" w:cs="宋体" w:hint="eastAsia"/>
                        <w:sz w:val="28"/>
                        <w:szCs w:val="28"/>
                      </w:rPr>
                      <w:fldChar w:fldCharType="begin"/>
                    </w:r>
                    <w:r>
                      <w:rPr>
                        <w:rFonts w:ascii="宋体" w:eastAsia="宋体" w:cs="宋体" w:hint="eastAsia"/>
                        <w:sz w:val="28"/>
                        <w:szCs w:val="28"/>
                      </w:rPr>
                      <w:instrText xml:space="preserve"> PAGE  \* MERGEFORMAT </w:instrText>
                    </w:r>
                    <w:r>
                      <w:rPr>
                        <w:rFonts w:ascii="宋体" w:eastAsia="宋体" w:cs="宋体" w:hint="eastAsia"/>
                        <w:sz w:val="28"/>
                        <w:szCs w:val="28"/>
                      </w:rPr>
                      <w:fldChar w:fldCharType="separate"/>
                    </w:r>
                    <w:r>
                      <w:rPr>
                        <w:rFonts w:ascii="宋体" w:eastAsia="宋体" w:cs="宋体" w:hint="eastAsia"/>
                        <w:sz w:val="28"/>
                        <w:szCs w:val="28"/>
                      </w:rPr>
                      <w:t>2</w:t>
                    </w:r>
                    <w:r>
                      <w:rPr>
                        <w:rFonts w:ascii="宋体" w:eastAsia="宋体" w:cs="宋体" w:hint="eastAsia"/>
                        <w:sz w:val="28"/>
                        <w:szCs w:val="28"/>
                      </w:rPr>
                      <w:fldChar w:fldCharType="end"/>
                    </w:r>
                  </w:p>
                </w:txbxContent>
              </v:textbox>
            </v:rect>
          </w:pict>
        </mc:Fallback>
      </mc:AlternateContent>
    </w:r>
  </w:p>
</w:ftr>
</file>

<file path=word/footer2.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0"/>
      <w:tabs>
        <w:tab w:val="center" w:pos="4153"/>
        <w:tab w:val="right" w:pos="8306"/>
      </w:tabs>
    </w:pPr>
    <w:r>
      <w:rPr>
        <w:sz w:val="18"/>
      </w:rPr>
      <mc:AlternateContent>
        <mc:Choice Requires="wps">
          <w:drawing>
            <wp:anchor distT="0" distB="0" distL="114298" distR="114298" simplePos="0" relativeHeight="57" behindDoc="0" locked="0" layoutInCell="1" hidden="0" allowOverlap="1">
              <wp:simplePos x="0" y="0"/>
              <wp:positionH relativeFrom="margin">
                <wp:align>center</wp:align>
              </wp:positionH>
              <wp:positionV relativeFrom="paragraph">
                <wp:posOffset>0</wp:posOffset>
              </wp:positionV>
              <wp:extent cx="88899" cy="230505"/>
              <wp:effectExtent l="0" t="0" r="0" b="0"/>
              <wp:wrapNone/>
              <wp:docPr id="4" name="_x0000_s2050"/>
              <wp:cNvGraphicFramePr>
                <a:graphicFrameLocks noChangeAspect="0"/>
              </wp:cNvGraphicFramePr>
              <a:graphic>
                <a:graphicData uri="http://schemas.microsoft.com/office/word/2010/wordprocessingShape">
                  <wps:wsp>
                    <wps:cNvSpPr/>
                    <wps:spPr>
                      <a:xfrm rot="0">
                        <a:off x="0" y="0"/>
                        <a:ext cx="88899" cy="230505"/>
                      </a:xfrm>
                      <a:prstGeom prst="rect"/>
                      <a:noFill/>
                      <a:ln w="9525" cmpd="sng" cap="flat">
                        <a:noFill/>
                        <a:prstDash val="solid"/>
                        <a:miter/>
                      </a:ln>
                    </wps:spPr>
                    <wps:txbx id="5">
                      <w:txbxContent>
                        <w:p>
                          <w:pPr>
                            <w:pStyle w:val="20"/>
                            <w:tabs>
                              <w:tab w:val="center" w:pos="4153"/>
                              <w:tab w:val="right" w:pos="8306"/>
                            </w:tabs>
                            <w:rPr>
                              <w:rFonts w:ascii="宋体" w:eastAsia="宋体" w:cs="宋体" w:hint="eastAsia"/>
                              <w:sz w:val="28"/>
                              <w:szCs w:val="28"/>
                            </w:rPr>
                          </w:pPr>
                          <w:r>
                            <w:rPr>
                              <w:rFonts w:ascii="宋体" w:eastAsia="宋体" w:cs="宋体" w:hint="eastAsia"/>
                              <w:sz w:val="28"/>
                              <w:szCs w:val="28"/>
                            </w:rPr>
                            <w:fldChar w:fldCharType="begin"/>
                          </w:r>
                          <w:r>
                            <w:rPr>
                              <w:rFonts w:ascii="宋体" w:eastAsia="宋体" w:cs="宋体" w:hint="eastAsia"/>
                              <w:sz w:val="28"/>
                              <w:szCs w:val="28"/>
                            </w:rPr>
                            <w:instrText xml:space="preserve"> PAGE  \* MERGEFORMAT </w:instrText>
                          </w:r>
                          <w:r>
                            <w:rPr>
                              <w:rFonts w:ascii="宋体" w:eastAsia="宋体" w:cs="宋体" w:hint="eastAsia"/>
                              <w:sz w:val="28"/>
                              <w:szCs w:val="28"/>
                            </w:rPr>
                            <w:fldChar w:fldCharType="separate"/>
                          </w:r>
                          <w:r>
                            <w:rPr>
                              <w:rFonts w:ascii="宋体" w:eastAsia="宋体" w:cs="宋体" w:hint="eastAsia"/>
                              <w:sz w:val="28"/>
                              <w:szCs w:val="28"/>
                            </w:rPr>
                            <w:t>1</w:t>
                          </w:r>
                          <w:r>
                            <w:rPr>
                              <w:rFonts w:ascii="宋体" w:eastAsia="宋体" w:cs="宋体" w:hint="eastAsia"/>
                              <w:sz w:val="28"/>
                              <w:szCs w:val="28"/>
                            </w:rPr>
                            <w:fldChar w:fldCharType="end"/>
                          </w:r>
                        </w:p>
                      </w:txbxContent>
                    </wps:txbx>
                    <wps:bodyPr vert="horz" wrap="none" lIns="0" tIns="0" rIns="0" bIns="0" anchor="t" anchorCtr="0" upright="1">
                      <a:spAutoFit/>
                    </wps:bodyPr>
                  </wps:wsp>
                </a:graphicData>
              </a:graphic>
            </wp:anchor>
          </w:drawing>
        </mc:Choice>
        <mc:Fallback>
          <w:pict>
            <v:rect type="#_x0000_t1" id="_x0000_s2050 6" o:spid="_x0000_s6" filled="f" stroked="f" style="position:absolute;margin-left:0.0pt;margin-top:0.0pt;width:6.9999995pt;height:18.15pt;z-index:57;mso-position-horizontal:center;mso-position-horizontal-relative:margin;mso-position-vertical:absolute;mso-wrap-distance-left:8.999863pt;mso-wrap-distance-right:8.999863pt;mso-wrap-style:none;">
              <v:stroke color="#000000"/>
              <v:textbox id="863" inset="0mm,0mm,0mm,0mm" o:insetmode="custom" style="layout-flow:horizontal;v-text-anchor:top;mso-fit-shape-to-text:t;">
                <w:txbxContent>
                  <w:p>
                    <w:pPr>
                      <w:pStyle w:val="20"/>
                      <w:tabs>
                        <w:tab w:val="center" w:pos="4153"/>
                        <w:tab w:val="right" w:pos="8306"/>
                      </w:tabs>
                      <w:rPr>
                        <w:rFonts w:ascii="宋体" w:eastAsia="宋体" w:cs="宋体" w:hint="eastAsia"/>
                        <w:sz w:val="28"/>
                        <w:szCs w:val="28"/>
                      </w:rPr>
                    </w:pPr>
                    <w:r>
                      <w:rPr>
                        <w:rFonts w:ascii="宋体" w:eastAsia="宋体" w:cs="宋体" w:hint="eastAsia"/>
                        <w:sz w:val="28"/>
                        <w:szCs w:val="28"/>
                      </w:rPr>
                      <w:fldChar w:fldCharType="begin"/>
                    </w:r>
                    <w:r>
                      <w:rPr>
                        <w:rFonts w:ascii="宋体" w:eastAsia="宋体" w:cs="宋体" w:hint="eastAsia"/>
                        <w:sz w:val="28"/>
                        <w:szCs w:val="28"/>
                      </w:rPr>
                      <w:instrText xml:space="preserve"> PAGE  \* MERGEFORMAT </w:instrText>
                    </w:r>
                    <w:r>
                      <w:rPr>
                        <w:rFonts w:ascii="宋体" w:eastAsia="宋体" w:cs="宋体" w:hint="eastAsia"/>
                        <w:sz w:val="28"/>
                        <w:szCs w:val="28"/>
                      </w:rPr>
                      <w:fldChar w:fldCharType="separate"/>
                    </w:r>
                    <w:r>
                      <w:rPr>
                        <w:rFonts w:ascii="宋体" w:eastAsia="宋体" w:cs="宋体" w:hint="eastAsia"/>
                        <w:sz w:val="28"/>
                        <w:szCs w:val="28"/>
                      </w:rPr>
                      <w:t>1</w:t>
                    </w:r>
                    <w:r>
                      <w:rPr>
                        <w:rFonts w:ascii="宋体" w:eastAsia="宋体" w:cs="宋体" w:hint="eastAsia"/>
                        <w:sz w:val="28"/>
                        <w:szCs w:val="28"/>
                      </w:rPr>
                      <w:fldChar w:fldCharType="end"/>
                    </w:r>
                  </w:p>
                </w:txbxContent>
              </v:textbox>
            </v:rect>
          </w:pict>
        </mc:Fallback>
      </mc:AlternateContent>
    </w:r>
  </w:p>
</w:ftr>
</file>

<file path=word/header1.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1"/>
      <w:pBdr>
        <w:bottom w:val="none" w:sz="0" w:space="0" w:color="auto"/>
      </w:pBdr>
      <w:tabs>
        <w:tab w:val="center" w:pos="4153"/>
        <w:tab w:val="right" w:pos="8306"/>
      </w:tabs>
    </w:pPr>
  </w:p>
</w:hd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1272550B"/>
    <w:multiLevelType w:val="multilevel"/>
    <w:tmpl w:val="1272550B"/>
    <w:lvl w:ilvl="0">
      <w:start w:val="1"/>
      <w:numFmt w:val="japaneseCounting"/>
      <w:lvlRestart w:val="0"/>
      <w:lvlText w:val="%1、"/>
      <w:lvlJc w:val="left"/>
      <w:pPr>
        <w:ind w:left="1360" w:hanging="720"/>
      </w:pPr>
      <w:rPr>
        <w:rFonts w:hint="default"/>
        <w:b w:val="0"/>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1">
    <w:nsid w:val="CF652CEC"/>
    <w:multiLevelType w:val="singleLevel"/>
    <w:tmpl w:val="CF652CEC"/>
    <w:lvl w:ilvl="0">
      <w:start w:val="9"/>
      <w:numFmt w:val="chineseCounting"/>
      <w:lvlRestart w:val="0"/>
      <w:suff w:val="nothing"/>
      <w:lvlText w:val="%1、"/>
      <w:lvlJc w:val="left"/>
      <w:pPr>
        <w:ind w:left="0" w:hanging="0"/>
      </w:pPr>
      <w:rPr>
        <w:rFonts w:hint="eastAsia"/>
      </w:rPr>
    </w:lvl>
  </w:abstractNum>
  <w:abstractNum w:abstractNumId="2">
    <w:nsid w:val="E2FA047D"/>
    <w:multiLevelType w:val="singleLevel"/>
    <w:tmpl w:val="E2FA047D"/>
    <w:lvl w:ilvl="0">
      <w:start w:val="3"/>
      <w:numFmt w:val="chineseCounting"/>
      <w:lvlRestart w:val="0"/>
      <w:suff w:val="space"/>
      <w:lvlText w:val="第%1部分"/>
      <w:lvlJc w:val="left"/>
      <w:pPr>
        <w:ind w:left="0" w:hanging="0"/>
      </w:pPr>
      <w:rPr>
        <w:rFonts w:hint="eastAsia"/>
      </w:rPr>
    </w:lvl>
  </w:abstractNum>
  <w:abstractNum w:abstractNumId="3">
    <w:nsid w:val="06C5D016"/>
    <w:multiLevelType w:val="singleLevel"/>
    <w:tmpl w:val="06C5D016"/>
    <w:lvl w:ilvl="0">
      <w:start w:val="4"/>
      <w:numFmt w:val="chineseCounting"/>
      <w:lvlRestart w:val="0"/>
      <w:suff w:val="nothing"/>
      <w:lvlText w:val="%1、"/>
      <w:lvlJc w:val="left"/>
      <w:pPr>
        <w:ind w:left="0" w:hanging="0"/>
      </w:pPr>
      <w:rPr>
        <w:rFonts w:hint="eastAsia"/>
      </w:rPr>
    </w:lvl>
  </w:abstractNum>
  <w:abstractNum w:abstractNumId="4">
    <w:nsid w:val="19483006"/>
    <w:multiLevelType w:val="singleLevel"/>
    <w:tmpl w:val="19483006"/>
    <w:lvl w:ilvl="0">
      <w:start w:val="2"/>
      <w:numFmt w:val="chineseCounting"/>
      <w:lvlRestart w:val="0"/>
      <w:suff w:val="nothing"/>
      <w:lvlText w:val="（%1）"/>
      <w:lvlJc w:val="left"/>
      <w:pPr>
        <w:ind w:left="0" w:hanging="0"/>
      </w:pPr>
      <w:rPr>
        <w:rFonts w:hint="eastAsia"/>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bordersDoNotSurroundHeader/>
  <w:bordersDoNotSurroundFooter/>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compatSetting w:name="compatibilityMode" w:uri="http://schemas.microsoft.com/office/word" w:val="12"/>
  </w:compat>
  <w:docVars>
    <w:docVar w:name="commondata" w:val="eyJoZGlkIjoiNTIxMGM2YTQ2OTdmMWZkOWMwNWRlYTcwNWQ1ZjI5ZWYifQ=="/>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next w:val="15"/>
    <w:pPr>
      <w:widowControl w:val="0"/>
      <w:jc w:val="both"/>
    </w:pPr>
    <w:rPr>
      <w:rFonts w:ascii="Times New Roman" w:eastAsia="宋体" w:cs="Times New Roman" w:hAnsi="Times New Roman"/>
      <w:kern w:val="2"/>
      <w:sz w:val="21"/>
      <w:szCs w:val="24"/>
      <w:lang w:val="en-US" w:eastAsia="zh-CN" w:bidi="ar-SA"/>
    </w:rPr>
  </w:style>
  <w:style w:type="paragraph" w:styleId="1">
    <w:name w:val="heading 1"/>
    <w:basedOn w:val="0"/>
    <w:next w:val="0"/>
    <w:link w:val="1Char"/>
    <w:pPr>
      <w:keepNext/>
      <w:keepLines/>
      <w:widowControl w:val="0"/>
      <w:spacing w:before="340" w:after="330" w:line="578" w:lineRule="auto"/>
      <w:outlineLvl w:val="0"/>
    </w:pPr>
    <w:rPr>
      <w:b/>
      <w:bCs/>
      <w:kern w:val="44"/>
      <w:sz w:val="44"/>
      <w:szCs w:val="44"/>
    </w:rPr>
  </w:style>
  <w:style w:type="character" w:customStyle="1" w:styleId="1Char">
    <w:name w:val="heading 1 Char"/>
    <w:basedOn w:val="10"/>
    <w:link w:val="1"/>
    <w:rPr>
      <w:rFonts w:ascii="Times New Roman" w:eastAsia="宋体" w:cs="Times New Roman" w:hAnsi="Times New Roman"/>
      <w:b/>
      <w:bCs/>
      <w:kern w:val="44"/>
      <w:sz w:val="44"/>
      <w:szCs w:val="44"/>
      <w:lang w:val="en-US" w:eastAsia="zh-CN" w:bidi="ar-SA"/>
    </w:rPr>
  </w:style>
  <w:style w:type="paragraph" w:styleId="2">
    <w:name w:val="heading 2"/>
    <w:basedOn w:val="0"/>
    <w:next w:val="0"/>
    <w:link w:val="2Char"/>
    <w:pPr>
      <w:keepNext/>
      <w:keepLines/>
      <w:widowControl w:val="0"/>
      <w:spacing w:before="260" w:after="260" w:line="415" w:lineRule="auto"/>
      <w:outlineLvl w:val="1"/>
    </w:pPr>
    <w:rPr>
      <w:rFonts w:ascii="Cambria" w:hAnsi="Cambria"/>
      <w:b/>
      <w:bCs/>
      <w:sz w:val="32"/>
      <w:szCs w:val="32"/>
    </w:rPr>
  </w:style>
  <w:style w:type="character" w:customStyle="1" w:styleId="2Char">
    <w:name w:val="heading 2 Char"/>
    <w:basedOn w:val="10"/>
    <w:link w:val="2"/>
    <w:rPr>
      <w:rFonts w:ascii="Cambria" w:eastAsia="宋体" w:cs="Times New Roman" w:hAnsi="Cambria"/>
      <w:b/>
      <w:bCs/>
      <w:kern w:val="2"/>
      <w:sz w:val="32"/>
      <w:szCs w:val="32"/>
      <w:lang w:val="en-US" w:eastAsia="zh-CN" w:bidi="ar-SA"/>
    </w:rPr>
  </w:style>
  <w:style w:type="paragraph" w:styleId="3">
    <w:name w:val="heading 3"/>
    <w:basedOn w:val="0"/>
    <w:next w:val="0"/>
    <w:pPr>
      <w:keepNext/>
      <w:keepLines/>
      <w:widowControl w:val="0"/>
      <w:spacing w:before="260" w:after="260" w:line="415" w:lineRule="auto"/>
      <w:outlineLvl w:val="2"/>
    </w:pPr>
    <w:rPr>
      <w:b/>
      <w:bCs/>
      <w:sz w:val="32"/>
      <w:szCs w:val="32"/>
    </w:rPr>
  </w:style>
  <w:style w:type="character" w:default="1" w:styleId="10">
    <w:name w:val="Default Paragraph Font"/>
  </w:style>
  <w:style w:type="paragraph" w:customStyle="1" w:styleId="15">
    <w:name w:val="正文2"/>
    <w:next w:val="0"/>
    <w:pPr>
      <w:widowControl w:val="0"/>
      <w:jc w:val="both"/>
    </w:pPr>
    <w:rPr>
      <w:rFonts w:ascii="Times New Roman" w:eastAsia="方正仿宋简体" w:cs="Times New Roman" w:hAnsi="Times New Roman"/>
      <w:kern w:val="2"/>
      <w:sz w:val="32"/>
      <w:szCs w:val="24"/>
      <w:lang w:val="en-US" w:eastAsia="zh-CN" w:bidi="ar-SA"/>
    </w:rPr>
  </w:style>
  <w:style w:type="paragraph" w:styleId="16">
    <w:name w:val="Body Text"/>
    <w:basedOn w:val="0"/>
    <w:pPr>
      <w:spacing w:beforeLines="30" w:before="30"/>
    </w:pPr>
    <w:rPr>
      <w:rFonts w:ascii="仿宋_GB2312" w:eastAsia="仿宋_GB2312"/>
      <w:kern w:val="0"/>
      <w:sz w:val="30"/>
    </w:rPr>
  </w:style>
  <w:style w:type="paragraph" w:styleId="17">
    <w:name w:val="Body Text Indent"/>
    <w:basedOn w:val="0"/>
    <w:pPr>
      <w:spacing w:after="120"/>
      <w:ind w:leftChars="200" w:left="200"/>
    </w:pPr>
    <w:rPr>
      <w:rFonts w:ascii="仿宋_GB2312" w:hAnsi="仿宋_GB2312"/>
      <w:szCs w:val="32"/>
    </w:rPr>
  </w:style>
  <w:style w:type="paragraph" w:styleId="18">
    <w:name w:val="toc 3"/>
    <w:basedOn w:val="0"/>
    <w:next w:val="0"/>
    <w:pPr>
      <w:tabs>
        <w:tab w:val="right" w:leader="dot" w:pos="8296"/>
      </w:tabs>
      <w:ind w:leftChars="400" w:left="400"/>
    </w:pPr>
  </w:style>
  <w:style w:type="paragraph" w:styleId="19">
    <w:name w:val="Balloon Text"/>
    <w:basedOn w:val="0"/>
    <w:rPr>
      <w:sz w:val="18"/>
      <w:szCs w:val="18"/>
    </w:rPr>
  </w:style>
  <w:style w:type="paragraph" w:styleId="20">
    <w:name w:val="footer"/>
    <w:basedOn w:val="0"/>
    <w:pPr>
      <w:tabs>
        <w:tab w:val="center" w:pos="4153"/>
        <w:tab w:val="right" w:pos="8306"/>
      </w:tabs>
      <w:snapToGrid w:val="0"/>
      <w:jc w:val="left"/>
    </w:pPr>
    <w:rPr>
      <w:rFonts w:ascii="Calibri" w:hAnsi="Calibri"/>
      <w:kern w:val="0"/>
      <w:sz w:val="18"/>
      <w:szCs w:val="18"/>
    </w:rPr>
  </w:style>
  <w:style w:type="paragraph" w:styleId="21">
    <w:name w:val="header"/>
    <w:basedOn w:val="0"/>
    <w:pPr>
      <w:pBdr>
        <w:bottom w:val="single" w:sz="6" w:space="1" w:color="auto"/>
      </w:pBdr>
      <w:tabs>
        <w:tab w:val="center" w:pos="4153"/>
        <w:tab w:val="right" w:pos="8306"/>
      </w:tabs>
      <w:snapToGrid w:val="0"/>
      <w:jc w:val="center"/>
    </w:pPr>
    <w:rPr>
      <w:rFonts w:ascii="Calibri" w:hAnsi="Calibri"/>
      <w:kern w:val="0"/>
      <w:sz w:val="18"/>
      <w:szCs w:val="18"/>
    </w:rPr>
  </w:style>
  <w:style w:type="paragraph" w:styleId="22">
    <w:name w:val="toc 1"/>
    <w:basedOn w:val="0"/>
    <w:next w:val="0"/>
    <w:pPr>
      <w:tabs>
        <w:tab w:val="right" w:leader="dot" w:pos="8296"/>
      </w:tabs>
      <w:spacing w:before="93"/>
      <w:jc w:val="center"/>
    </w:pPr>
    <w:rPr>
      <w:rFonts w:ascii="仿宋" w:eastAsia="仿宋"/>
      <w:sz w:val="28"/>
      <w:szCs w:val="28"/>
    </w:rPr>
  </w:style>
  <w:style w:type="paragraph" w:styleId="23">
    <w:name w:val="toc 2"/>
    <w:basedOn w:val="0"/>
    <w:next w:val="0"/>
    <w:pPr>
      <w:tabs>
        <w:tab w:val="right" w:leader="dot" w:pos="8296"/>
      </w:tabs>
      <w:ind w:leftChars="200" w:left="200"/>
    </w:pPr>
  </w:style>
  <w:style w:type="paragraph" w:styleId="24">
    <w:name w:val="Body Text First Indent 2"/>
    <w:basedOn w:val="17"/>
    <w:pPr>
      <w:ind w:firstLineChars="200" w:firstLine="200"/>
    </w:pPr>
  </w:style>
  <w:style w:type="character" w:styleId="25">
    <w:name w:val="Strong"/>
    <w:basedOn w:val="10"/>
    <w:rPr>
      <w:b/>
    </w:rPr>
  </w:style>
  <w:style w:type="character" w:styleId="26">
    <w:name w:val="Hyperlink"/>
    <w:basedOn w:val="10"/>
    <w:rPr>
      <w:color w:val="0000FF"/>
      <w:u w:val="single"/>
    </w:rPr>
  </w:style>
  <w:style w:type="paragraph" w:customStyle="1" w:styleId="27">
    <w:name w:val="标题 5（有编号）（绿盟科技）"/>
    <w:next w:val="0"/>
    <w:pPr>
      <w:keepNext/>
      <w:keepLines/>
      <w:widowControl w:val="0"/>
      <w:spacing w:before="280" w:after="156" w:line="377" w:lineRule="auto"/>
      <w:outlineLvl w:val="4"/>
    </w:pPr>
    <w:rPr>
      <w:rFonts w:ascii="Arial" w:eastAsia="黑体" w:cs="Times New Roman" w:hAnsi="Arial"/>
      <w:b/>
      <w:kern w:val="2"/>
      <w:sz w:val="24"/>
      <w:szCs w:val="28"/>
      <w:lang w:val="en-US" w:eastAsia="zh-CN" w:bidi="ar-SA"/>
    </w:rPr>
  </w:style>
  <w:style w:type="character" w:customStyle="1" w:styleId="28">
    <w:name w:val="Header Char"/>
    <w:basedOn w:val="10"/>
    <w:rPr>
      <w:rFonts w:ascii="Times New Roman" w:hAnsi="Times New Roman"/>
      <w:sz w:val="18"/>
      <w:szCs w:val="18"/>
    </w:rPr>
  </w:style>
  <w:style w:type="character" w:customStyle="1" w:styleId="29">
    <w:name w:val="Footer Char"/>
    <w:basedOn w:val="10"/>
    <w:rPr>
      <w:rFonts w:ascii="Times New Roman" w:hAnsi="Times New Roman"/>
      <w:sz w:val="18"/>
      <w:szCs w:val="18"/>
    </w:rPr>
  </w:style>
  <w:style w:type="character" w:customStyle="1" w:styleId="30">
    <w:name w:val="Body Text Char"/>
    <w:basedOn w:val="10"/>
    <w:rPr>
      <w:rFonts w:ascii="Times New Roman" w:hAnsi="Times New Roman"/>
      <w:szCs w:val="24"/>
    </w:rPr>
  </w:style>
  <w:style w:type="paragraph" w:customStyle="1" w:styleId="31">
    <w:name w:val="Default"/>
    <w:pPr>
      <w:widowControl w:val="0"/>
      <w:autoSpaceDE w:val="0"/>
      <w:autoSpaceDN w:val="0"/>
      <w:adjustRightInd w:val="0"/>
    </w:pPr>
    <w:rPr>
      <w:rFonts w:ascii="仿宋" w:eastAsia="仿宋" w:cs="仿宋"/>
      <w:color w:val="000000"/>
      <w:sz w:val="24"/>
      <w:szCs w:val="24"/>
      <w:lang w:val="en-US" w:eastAsia="zh-CN" w:bidi="ar-SA"/>
    </w:rPr>
  </w:style>
  <w:style w:type="paragraph" w:styleId="32">
    <w:name w:val="List Paragraph"/>
    <w:basedOn w:val="0"/>
    <w:pPr>
      <w:ind w:firstLineChars="200" w:firstLine="200"/>
    </w:pPr>
  </w:style>
  <w:style w:type="paragraph" w:customStyle="1" w:styleId="33">
    <w:name w:val="TOC 标题1"/>
    <w:basedOn w:val="1"/>
    <w:next w:val="0"/>
    <w:pPr>
      <w:keepNext/>
      <w:keepLines/>
      <w:widowControl/>
      <w:spacing w:before="480" w:after="0" w:line="276" w:lineRule="auto"/>
      <w:jc w:val="left"/>
      <w:outlineLvl w:val="9"/>
    </w:pPr>
    <w:rPr>
      <w:rFonts w:ascii="Cambria" w:hAnsi="Cambria"/>
      <w:color w:val="376092"/>
      <w:kern w:val="0"/>
      <w:sz w:val="28"/>
      <w:szCs w:val="28"/>
    </w:rPr>
  </w:style>
  <w:style w:type="paragraph" w:customStyle="1" w:styleId="34">
    <w:name w:val="TOC 标题2"/>
    <w:basedOn w:val="1"/>
    <w:next w:val="0"/>
    <w:pPr>
      <w:keepNext/>
      <w:keepLines/>
      <w:widowControl/>
      <w:spacing w:before="480" w:after="0" w:line="276" w:lineRule="auto"/>
      <w:jc w:val="left"/>
      <w:outlineLvl w:val="9"/>
    </w:pPr>
    <w:rPr>
      <w:rFonts w:ascii="Cambria" w:hAnsi="Cambria"/>
      <w:color w:val="376092"/>
      <w:kern w:val="0"/>
      <w:sz w:val="28"/>
      <w:szCs w:val="28"/>
    </w:rPr>
  </w:style>
  <w:style w:type="paragraph" w:customStyle="1" w:styleId="35">
    <w:name w:val="四号正文"/>
    <w:basedOn w:val="0"/>
    <w:pPr>
      <w:spacing w:line="360" w:lineRule="auto"/>
    </w:pPr>
    <w:rPr>
      <w:rFonts w:ascii="??" w:hAnsi="??"/>
      <w:color w:val="000000"/>
      <w:kern w:val="0"/>
      <w:sz w:val="28"/>
      <w:szCs w:val="21"/>
      <w:lang w:val="zh-CN"/>
    </w:rPr>
  </w:style>
  <w:style w:type="paragraph" w:styleId="36">
    <w:name w:val="No Spacing"/>
    <w:pPr>
      <w:jc w:val="both"/>
      <w:textAlignment w:val="baseline"/>
    </w:pPr>
    <w:rPr>
      <w:rFonts w:ascii="Times New Roman" w:eastAsia="宋体" w:cs="Times New Roman" w:hAnsi="Times New Roman"/>
      <w:color w:val="000000"/>
      <w:kern w:val="0"/>
      <w:sz w:val="21"/>
      <w:szCs w:val="20"/>
      <w:lang w:val="en-US" w:eastAsia="zh-CN" w:bidi="ar-SA"/>
    </w:rPr>
  </w:style>
  <w:style w:type="paragraph" w:styleId="37">
    <w:name w:val="Normal (Web)"/>
    <w:basedOn w:val="0"/>
    <w:next w:val="23"/>
    <w:pPr>
      <w:keepNext w:val="0"/>
      <w:keepLines w:val="0"/>
      <w:pageBreakBefore w:val="0"/>
      <w:widowControl/>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100" w:beforeAutospacing="1" w:after="100" w:afterAutospacing="1" w:line="240" w:lineRule="auto"/>
      <w:ind w:left="0" w:right="0" w:firstLine="0"/>
      <w:jc w:val="left"/>
      <w:textAlignment w:val="auto"/>
      <w:outlineLvl w:val="9"/>
    </w:pPr>
    <w:rPr>
      <w:rFonts w:ascii="Times New Roman" w:eastAsia="宋体" w:cs="Times New Roman" w:hAnsi="Times New Roman"/>
      <w:snapToGrid/>
      <w:color w:val="auto"/>
      <w:spacing w:val="0"/>
      <w:w w:val="100"/>
      <w:kern w:val="0"/>
      <w:position w:val="0"/>
      <w:sz w:val="24"/>
      <w:szCs w:val="24"/>
      <w:u w:val="none" w:color="auto"/>
      <w:vertAlign w:val="baseline"/>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footer" Target="footer2.xml"/><Relationship Id="rId5" Type="http://schemas.openxmlformats.org/officeDocument/2006/relationships/chart" Target="charts/chart1.xml"/><Relationship Id="rId6" Type="http://schemas.openxmlformats.org/officeDocument/2006/relationships/chart" Target="charts/chart2.xml"/><Relationship Id="rId7" Type="http://schemas.openxmlformats.org/officeDocument/2006/relationships/chart" Target="charts/chart3.xml"/><Relationship Id="rId8" Type="http://schemas.openxmlformats.org/officeDocument/2006/relationships/chart" Target="charts/chart4.xml"/><Relationship Id="rId9" Type="http://schemas.openxmlformats.org/officeDocument/2006/relationships/chart" Target="charts/chart5.xml"/><Relationship Id="rId10" Type="http://schemas.openxmlformats.org/officeDocument/2006/relationships/chart" Target="charts/chart6.xml"/><Relationship Id="rId11" Type="http://schemas.openxmlformats.org/officeDocument/2006/relationships/chart" Target="charts/chart7.xml"/><Relationship Id="rId12" Type="http://schemas.openxmlformats.org/officeDocument/2006/relationships/styles" Target="styles.xml"/><Relationship Id="rId13" Type="http://schemas.openxmlformats.org/officeDocument/2006/relationships/numbering" Target="numbering.xm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char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char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char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char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char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chart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chart7.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1" i="0" u="none" strike="noStrike" baseline="0">
                <a:solidFill>
                  <a:srgbClr val="404040"/>
                </a:solidFill>
                <a:latin typeface="Times New Roman"/>
                <a:ea typeface="宋体"/>
                <a:cs typeface="Lucida Sans"/>
              </a:defRPr>
            </a:pPr>
            <a:r>
              <a:rPr lang="zh-CN"/>
              <a:t>收、支决算总计变动情况图</a:t>
            </a:r>
          </a:p>
        </c:rich>
      </c:tx>
      <c:layout/>
      <c:overlay val="0"/>
      <c:spPr>
        <a:noFill/>
        <a:ln>
          <a:noFill/>
        </a:ln>
      </c:spPr>
    </c:title>
    <c:autoTitleDeleted val="1"/>
    <c:plotArea>
      <c:layout/>
      <c:barChart>
        <c:barDir val="col"/>
        <c:grouping val="clustered"/>
        <c:varyColors val="0"/>
        <c:ser>
          <c:idx val="0"/>
          <c:order val="0"/>
          <c:tx>
            <c:strRef>
              <c:f>'Sheet1'!$B$1</c:f>
              <c:strCache>
                <c:ptCount val="1"/>
                <c:pt idx="0">
                  <c:v>收入（万元）</c:v>
                </c:pt>
              </c:strCache>
            </c:strRef>
          </c:tx>
          <c:spPr>
            <a:solidFill>
              <a:srgbClr val="558ED5"/>
            </a:solidFill>
            <a:ln>
              <a:noFill/>
            </a:ln>
          </c:spPr>
          <c:invertIfNegative val="0"/>
          <c:dLbls>
            <c:dLbl>
              <c:idx val="0"/>
              <c:spPr>
                <a:noFill/>
                <a:ln>
                  <a:noFill/>
                </a:ln>
              </c:spPr>
              <c:txPr>
                <a:bodyPr vert="horz"/>
                <a:lstStyle/>
                <a:p>
                  <a:pPr>
                    <a:defRPr sz="1000" b="0" i="0" u="none" strike="noStrike" baseline="0">
                      <a:solidFill>
                        <a:srgbClr val="000000"/>
                      </a:solidFill>
                      <a:latin typeface="Times New Roman"/>
                      <a:ea typeface="宋体"/>
                      <a:cs typeface="Lucida Sans"/>
                    </a:defRPr>
                  </a:pPr>
                  <a:endParaRPr lang="zh-CN"/>
                </a:p>
              </c:txPr>
              <c:dLblPos val="outEnd"/>
              <c:delete val="1"/>
            </c:dLbl>
            <c:dLbl>
              <c:idx val="1"/>
              <c:spPr>
                <a:noFill/>
                <a:ln>
                  <a:noFill/>
                </a:ln>
              </c:spPr>
              <c:txPr>
                <a:bodyPr vert="horz"/>
                <a:lstStyle/>
                <a:p>
                  <a:pPr>
                    <a:defRPr sz="1000" b="0" i="0" u="none" strike="noStrike" baseline="0">
                      <a:solidFill>
                        <a:srgbClr val="000000"/>
                      </a:solidFill>
                      <a:latin typeface="Times New Roman"/>
                      <a:ea typeface="宋体"/>
                      <a:cs typeface="Lucida Sans"/>
                    </a:defRPr>
                  </a:pPr>
                  <a:endParaRPr lang="zh-CN"/>
                </a:p>
              </c:txPr>
              <c:dLblPos val="outEnd"/>
              <c:delete val="1"/>
            </c:dLbl>
            <c:dLblPos val="outEnd"/>
            <c:showLegendKey val="0"/>
            <c:showVal val="0"/>
            <c:showCatName val="0"/>
            <c:showSerName val="0"/>
            <c:showPercent val="0"/>
            <c:showBubbleSize val="0"/>
            <c:showLeaderLines val="0"/>
          </c:dLbls>
          <c:cat>
            <c:strRef>
              <c:f>'Sheet1'!$A$2:$A$3</c:f>
              <c:strCache>
                <c:ptCount val="2"/>
                <c:pt idx="0">
                  <c:v>2021年度</c:v>
                </c:pt>
                <c:pt idx="1">
                  <c:v>2022年度</c:v>
                </c:pt>
              </c:strCache>
            </c:strRef>
          </c:cat>
          <c:val>
            <c:numRef>
              <c:f>'Sheet1'!$B$2:$B$3</c:f>
              <c:numCache>
                <c:formatCode>General</c:formatCode>
                <c:ptCount val="2"/>
                <c:pt idx="0">
                  <c:v>518.69</c:v>
                </c:pt>
                <c:pt idx="1">
                  <c:v>645.48</c:v>
                </c:pt>
              </c:numCache>
            </c:numRef>
          </c:val>
        </c:ser>
        <c:ser>
          <c:idx val="1"/>
          <c:order val="1"/>
          <c:tx>
            <c:strRef>
              <c:f>'Sheet1'!$C$1</c:f>
              <c:strCache>
                <c:ptCount val="1"/>
                <c:pt idx="0">
                  <c:v>支出（万元）</c:v>
                </c:pt>
              </c:strCache>
            </c:strRef>
          </c:tx>
          <c:spPr>
            <a:solidFill>
              <a:srgbClr val="F79646"/>
            </a:solidFill>
            <a:ln>
              <a:noFill/>
            </a:ln>
          </c:spPr>
          <c:invertIfNegative val="0"/>
          <c:dLbls>
            <c:dLbl>
              <c:idx val="0"/>
              <c:spPr>
                <a:noFill/>
                <a:ln>
                  <a:noFill/>
                </a:ln>
              </c:spPr>
              <c:txPr>
                <a:bodyPr vert="horz"/>
                <a:lstStyle/>
                <a:p>
                  <a:pPr>
                    <a:defRPr sz="1000" b="0" i="0" u="none" strike="noStrike" baseline="0">
                      <a:solidFill>
                        <a:srgbClr val="000000"/>
                      </a:solidFill>
                      <a:latin typeface="Times New Roman"/>
                      <a:ea typeface="宋体"/>
                      <a:cs typeface="Lucida Sans"/>
                    </a:defRPr>
                  </a:pPr>
                  <a:endParaRPr lang="zh-CN"/>
                </a:p>
              </c:txPr>
              <c:dLblPos val="outEnd"/>
              <c:delete val="1"/>
            </c:dLbl>
            <c:dLbl>
              <c:idx val="1"/>
              <c:spPr>
                <a:noFill/>
                <a:ln>
                  <a:noFill/>
                </a:ln>
              </c:spPr>
              <c:txPr>
                <a:bodyPr vert="horz"/>
                <a:lstStyle/>
                <a:p>
                  <a:pPr>
                    <a:defRPr sz="1000" b="0" i="0" u="none" strike="noStrike" baseline="0">
                      <a:solidFill>
                        <a:srgbClr val="000000"/>
                      </a:solidFill>
                      <a:latin typeface="Times New Roman"/>
                      <a:ea typeface="宋体"/>
                      <a:cs typeface="Lucida Sans"/>
                    </a:defRPr>
                  </a:pPr>
                  <a:endParaRPr lang="zh-CN"/>
                </a:p>
              </c:txPr>
              <c:dLblPos val="outEnd"/>
              <c:delete val="1"/>
            </c:dLbl>
            <c:dLblPos val="outEnd"/>
            <c:showLegendKey val="0"/>
            <c:showVal val="0"/>
            <c:showCatName val="0"/>
            <c:showSerName val="0"/>
            <c:showPercent val="0"/>
            <c:showBubbleSize val="0"/>
            <c:showLeaderLines val="0"/>
          </c:dLbls>
          <c:cat>
            <c:strRef>
              <c:f>'Sheet1'!$A$2:$A$3</c:f>
              <c:strCache>
                <c:ptCount val="2"/>
                <c:pt idx="0">
                  <c:v>2021年度</c:v>
                </c:pt>
                <c:pt idx="1">
                  <c:v>2022年度</c:v>
                </c:pt>
              </c:strCache>
            </c:strRef>
          </c:cat>
          <c:val>
            <c:numRef>
              <c:f>'Sheet1'!$C$2:$C$3</c:f>
              <c:numCache>
                <c:formatCode>General</c:formatCode>
                <c:ptCount val="2"/>
                <c:pt idx="0">
                  <c:v>417.83</c:v>
                </c:pt>
                <c:pt idx="1">
                  <c:v>493.15</c:v>
                </c:pt>
              </c:numCache>
            </c:numRef>
          </c:val>
        </c:ser>
        <c:overlap val="-28"/>
        <c:gapWidth val="246"/>
        <c:axId val="0"/>
        <c:axId val="1"/>
      </c:barChart>
      <c:catAx>
        <c:axId val="0"/>
        <c:scaling>
          <c:orientation val="minMax"/>
        </c:scaling>
        <c:delete val="0"/>
        <c:axPos val="b"/>
        <c:numFmt formatCode="General" sourceLinked="1"/>
        <c:majorTickMark val="none"/>
        <c:minorTickMark val="none"/>
        <c:tickLblPos val="nextTo"/>
        <c:spPr>
          <a:ln w="6350">
            <a:solidFill>
              <a:srgbClr val="D9D9D9"/>
            </a:solidFill>
            <a:prstDash val="solid"/>
          </a:ln>
        </c:spPr>
        <c:txPr>
          <a:bodyPr/>
          <a:lstStyle/>
          <a:p>
            <a:pPr>
              <a:defRPr sz="900" b="0" i="0" u="none" strike="noStrike" baseline="0">
                <a:solidFill>
                  <a:srgbClr val="595959"/>
                </a:solidFill>
                <a:latin typeface="Times New Roman"/>
                <a:ea typeface="宋体"/>
                <a:cs typeface="Lucida Sans"/>
              </a:defRPr>
            </a:pPr>
            <a:endParaRPr lang="zh-CN"/>
          </a:p>
        </c:txPr>
        <c:crosses val="autoZero"/>
        <c:auto val="1"/>
        <c:lblOffset val="100"/>
        <c:lblAlgn val="ctr"/>
        <c:noMultiLvlLbl val="0"/>
        <c:crossAx val="1"/>
      </c:catAx>
      <c:valAx>
        <c:axId val="1"/>
        <c:scaling>
          <c:orientation val="minMax"/>
          <c:min val="0.0"/>
          <c:max val="700.0"/>
        </c:scaling>
        <c:delete val="0"/>
        <c:axPos val="l"/>
        <c:majorGridlines>
          <c:spPr>
            <a:ln w="6350">
              <a:solidFill>
                <a:srgbClr val="E6E6E6"/>
              </a:solidFill>
              <a:prstDash val="solid"/>
            </a:ln>
          </c:spPr>
        </c:majorGridlines>
        <c:numFmt formatCode="General" sourceLinked="1"/>
        <c:majorTickMark val="none"/>
        <c:minorTickMark val="none"/>
        <c:tickLblPos val="nextTo"/>
        <c:spPr>
          <a:ln>
            <a:noFill/>
          </a:ln>
        </c:spPr>
        <c:txPr>
          <a:bodyPr/>
          <a:lstStyle/>
          <a:p>
            <a:pPr>
              <a:defRPr sz="900" b="0" i="0" u="none" strike="noStrike" baseline="0">
                <a:solidFill>
                  <a:srgbClr val="595959"/>
                </a:solidFill>
                <a:latin typeface="Times New Roman"/>
                <a:ea typeface="宋体"/>
                <a:cs typeface="Lucida Sans"/>
              </a:defRPr>
            </a:pPr>
            <a:endParaRPr lang="zh-CN"/>
          </a:p>
        </c:txPr>
        <c:crossesAt val="1.0"/>
        <c:crossBetween val="between"/>
        <c:crossAx val="0"/>
      </c:valAx>
      <c:spPr>
        <a:noFill/>
        <a:ln>
          <a:noFill/>
        </a:ln>
      </c:spPr>
    </c:plotArea>
    <c:legend>
      <c:legendPos val="b"/>
      <c:layout>
        <c:manualLayout>
          <c:xMode val="edge"/>
          <c:yMode val="edge"/>
          <c:x val="0.4245591"/>
          <c:y val="0.9005525"/>
        </c:manualLayout>
      </c:layout>
      <c:overlay val="0"/>
      <c:spPr>
        <a:noFill/>
        <a:ln>
          <a:noFill/>
        </a:ln>
      </c:spPr>
      <c:txPr>
        <a:bodyPr/>
        <a:lstStyle/>
        <a:p>
          <a:pPr>
            <a:defRPr sz="900" b="0" i="0" u="none" strike="noStrike" baseline="0">
              <a:solidFill>
                <a:srgbClr val="595959"/>
              </a:solidFill>
              <a:latin typeface="Times New Roman"/>
              <a:ea typeface="宋体"/>
              <a:cs typeface="Lucida Sans"/>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1" i="0" u="none" strike="noStrike" baseline="0">
                <a:solidFill>
                  <a:srgbClr val="404040"/>
                </a:solidFill>
                <a:latin typeface="Times New Roman"/>
                <a:ea typeface="宋体"/>
                <a:cs typeface="Lucida Sans"/>
              </a:defRPr>
            </a:pPr>
            <a:r>
              <a:rPr lang="zh-CN"/>
              <a:t>收入决算结构图</a:t>
            </a:r>
          </a:p>
        </c:rich>
      </c:tx>
      <c:layout/>
      <c:overlay val="0"/>
      <c:spPr>
        <a:noFill/>
        <a:ln>
          <a:noFill/>
        </a:ln>
      </c:spPr>
    </c:title>
    <c:autoTitleDeleted val="1"/>
    <c:plotArea>
      <c:layout/>
      <c:pieChart>
        <c:varyColors val="1"/>
        <c:ser>
          <c:idx val="0"/>
          <c:order val="0"/>
          <c:tx>
            <c:strRef>
              <c:f>'Sheet1 (2)'!$B$1</c:f>
              <c:strCache>
                <c:ptCount val="1"/>
                <c:pt idx="0">
                  <c:v>收入</c:v>
                </c:pt>
              </c:strCache>
            </c:strRef>
          </c:tx>
          <c:spPr>
            <a:solidFill>
              <a:srgbClr val="558ED5"/>
            </a:solidFill>
            <a:ln>
              <a:noFill/>
            </a:ln>
          </c:spPr>
          <c:dPt>
            <c:idx val="0"/>
            <c:bubble3D val="0"/>
            <c:spPr>
              <a:solidFill>
                <a:srgbClr val="558ED5"/>
              </a:solidFill>
              <a:ln w="6350">
                <a:solidFill>
                  <a:srgbClr val="FFFFFF"/>
                </a:solidFill>
                <a:prstDash val="solid"/>
              </a:ln>
            </c:spPr>
          </c:dPt>
          <c:dLbls>
            <c:dLbl>
              <c:idx val="0"/>
              <c:spPr>
                <a:noFill/>
                <a:ln>
                  <a:noFill/>
                </a:ln>
              </c:spPr>
              <c:txPr>
                <a:bodyPr vert="horz"/>
                <a:lstStyle/>
                <a:p>
                  <a:pPr>
                    <a:defRPr sz="1000" b="0" i="0" u="none" strike="noStrike" baseline="0">
                      <a:solidFill>
                        <a:srgbClr val="000000"/>
                      </a:solidFill>
                      <a:latin typeface="Times New Roman"/>
                      <a:ea typeface="宋体"/>
                      <a:cs typeface="Lucida Sans"/>
                    </a:defRPr>
                  </a:pPr>
                  <a:endParaRPr lang="zh-CN"/>
                </a:p>
              </c:txPr>
              <c:delete val="1"/>
            </c:dLbl>
            <c:showLegendKey val="0"/>
            <c:showVal val="0"/>
            <c:showCatName val="0"/>
            <c:showSerName val="0"/>
            <c:showPercent val="0"/>
            <c:showBubbleSize val="0"/>
            <c:showLeaderLines val="0"/>
          </c:dLbls>
          <c:cat>
            <c:strRef>
              <c:f>'Sheet1 (2)'!$A$2</c:f>
              <c:strCache>
                <c:ptCount val="1"/>
                <c:pt idx="0">
                  <c:v>一般公共预算财政拨款收入</c:v>
                </c:pt>
              </c:strCache>
            </c:strRef>
          </c:cat>
          <c:val>
            <c:numRef>
              <c:f>Sheet1 (2)!$B$2</c:f>
              <c:numCache>
                <c:formatCode>General</c:formatCode>
                <c:ptCount val="1"/>
                <c:pt idx="0">
                  <c:v>645.48</c:v>
                </c:pt>
              </c:numCache>
            </c:numRef>
          </c:val>
        </c:ser>
        <c:firstSliceAng val="39"/>
      </c:pieChart>
      <c:spPr>
        <a:noFill/>
        <a:ln>
          <a:noFill/>
        </a:ln>
      </c:spPr>
    </c:plotArea>
    <c:legend>
      <c:legendPos val="b"/>
      <c:layout/>
      <c:overlay val="0"/>
      <c:spPr>
        <a:noFill/>
        <a:ln>
          <a:noFill/>
        </a:ln>
      </c:spPr>
      <c:txPr>
        <a:bodyPr/>
        <a:lstStyle/>
        <a:p>
          <a:pPr>
            <a:defRPr sz="900" b="0" i="0" u="none" strike="noStrike" baseline="0">
              <a:solidFill>
                <a:srgbClr val="595959"/>
              </a:solidFill>
              <a:latin typeface="Times New Roman"/>
              <a:ea typeface="宋体"/>
              <a:cs typeface="Lucida Sans"/>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1" i="0" u="none" strike="noStrike" baseline="0">
                <a:solidFill>
                  <a:srgbClr val="404040"/>
                </a:solidFill>
                <a:latin typeface="Times New Roman"/>
                <a:ea typeface="宋体"/>
                <a:cs typeface="Lucida Sans"/>
              </a:defRPr>
            </a:pPr>
            <a:r>
              <a:rPr lang="zh-CN"/>
              <a:t>支出决算结构图</a:t>
            </a:r>
          </a:p>
        </c:rich>
      </c:tx>
      <c:layout/>
      <c:overlay val="0"/>
      <c:spPr>
        <a:noFill/>
        <a:ln>
          <a:noFill/>
        </a:ln>
      </c:spPr>
    </c:title>
    <c:autoTitleDeleted val="1"/>
    <c:plotArea>
      <c:layout/>
      <c:pieChart>
        <c:varyColors val="1"/>
        <c:ser>
          <c:idx val="0"/>
          <c:order val="0"/>
          <c:tx>
            <c:v>支出</c:v>
          </c:tx>
          <c:spPr>
            <a:solidFill>
              <a:srgbClr val="F79646"/>
            </a:solidFill>
            <a:ln>
              <a:noFill/>
            </a:ln>
          </c:spPr>
          <c:dPt>
            <c:idx val="0"/>
            <c:bubble3D val="0"/>
            <c:spPr>
              <a:solidFill>
                <a:srgbClr val="F79646"/>
              </a:solidFill>
              <a:ln w="6350">
                <a:solidFill>
                  <a:srgbClr val="FFFFFF"/>
                </a:solidFill>
                <a:prstDash val="solid"/>
              </a:ln>
            </c:spPr>
          </c:dPt>
          <c:dLbls>
            <c:dLbl>
              <c:idx val="0"/>
              <c:numFmt formatCode="General" sourceLinked="0"/>
              <c:spPr>
                <a:noFill/>
                <a:ln>
                  <a:noFill/>
                </a:ln>
              </c:spPr>
              <c:txPr>
                <a:bodyPr vert="horz"/>
                <a:lstStyle/>
                <a:p>
                  <a:pPr>
                    <a:defRPr sz="1000" b="0" i="0" u="none" strike="noStrike" baseline="0">
                      <a:solidFill>
                        <a:srgbClr val="000000"/>
                      </a:solidFill>
                      <a:latin typeface="Times New Roman"/>
                      <a:ea typeface="宋体"/>
                      <a:cs typeface="Lucida Sans"/>
                    </a:defRPr>
                  </a:pPr>
                  <a:endParaRPr lang="zh-CN"/>
                </a:p>
              </c:txPr>
              <c:delete val="1"/>
            </c:dLbl>
            <c:showLegendKey val="0"/>
            <c:showVal val="0"/>
            <c:showCatName val="0"/>
            <c:showSerName val="0"/>
            <c:showPercent val="0"/>
            <c:showBubbleSize val="0"/>
            <c:showLeaderLines val="0"/>
          </c:dLbls>
          <c:cat>
            <c:strLit>
              <c:ptCount val="1"/>
              <c:pt idx="0">
                <c:v>基本支出</c:v>
              </c:pt>
            </c:strLit>
          </c:cat>
          <c:val>
            <c:numRef>
              <c:f/>
              <c:numCache>
                <c:formatCode>General</c:formatCode>
                <c:ptCount val="1"/>
                <c:pt idx="0">
                  <c:v>645.48</c:v>
                </c:pt>
              </c:numCache>
            </c:numRef>
          </c:val>
        </c:ser>
        <c:firstSliceAng val="35"/>
      </c:pieChart>
      <c:spPr>
        <a:noFill/>
        <a:ln>
          <a:noFill/>
        </a:ln>
      </c:spPr>
    </c:plotArea>
    <c:legend>
      <c:legendPos val="b"/>
      <c:layout/>
      <c:overlay val="0"/>
      <c:spPr>
        <a:noFill/>
        <a:ln>
          <a:noFill/>
        </a:ln>
      </c:spPr>
      <c:txPr>
        <a:bodyPr/>
        <a:lstStyle/>
        <a:p>
          <a:pPr>
            <a:defRPr sz="900" b="0" i="0" u="none" strike="noStrike" baseline="0">
              <a:solidFill>
                <a:srgbClr val="595959"/>
              </a:solidFill>
              <a:latin typeface="Times New Roman"/>
              <a:ea typeface="宋体"/>
              <a:cs typeface="Lucida Sans"/>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1" i="0" u="none" strike="noStrike" baseline="0">
                <a:solidFill>
                  <a:srgbClr val="404040"/>
                </a:solidFill>
                <a:latin typeface="Times New Roman"/>
                <a:ea typeface="宋体"/>
                <a:cs typeface="Lucida Sans"/>
              </a:defRPr>
            </a:pPr>
            <a:r>
              <a:rPr lang="zh-CN"/>
              <a:t>财政拨款收、支决算总计变动情况图</a:t>
            </a:r>
          </a:p>
        </c:rich>
      </c:tx>
      <c:layout/>
      <c:overlay val="0"/>
      <c:spPr>
        <a:noFill/>
        <a:ln>
          <a:noFill/>
        </a:ln>
      </c:spPr>
    </c:title>
    <c:autoTitleDeleted val="1"/>
    <c:plotArea>
      <c:layout/>
      <c:barChart>
        <c:barDir val="col"/>
        <c:grouping val="clustered"/>
        <c:varyColors val="0"/>
        <c:ser>
          <c:idx val="0"/>
          <c:order val="0"/>
          <c:tx>
            <c:strRef>
              <c:f>'Sheet1 (4)'!$B$1</c:f>
              <c:strCache>
                <c:ptCount val="1"/>
                <c:pt idx="0">
                  <c:v>财政拨款收、支总计（万元）</c:v>
                </c:pt>
              </c:strCache>
            </c:strRef>
          </c:tx>
          <c:spPr>
            <a:solidFill>
              <a:srgbClr val="4F81BD"/>
            </a:solidFill>
            <a:ln>
              <a:noFill/>
            </a:ln>
          </c:spPr>
          <c:invertIfNegative val="0"/>
          <c:dLbls>
            <c:dLbl>
              <c:idx val="0"/>
              <c:spPr>
                <a:noFill/>
                <a:ln>
                  <a:noFill/>
                </a:ln>
              </c:spPr>
              <c:txPr>
                <a:bodyPr vert="horz"/>
                <a:lstStyle/>
                <a:p>
                  <a:pPr>
                    <a:defRPr sz="1000" b="0" i="0" u="none" strike="noStrike" baseline="0">
                      <a:solidFill>
                        <a:srgbClr val="000000"/>
                      </a:solidFill>
                      <a:latin typeface="Times New Roman"/>
                      <a:ea typeface="宋体"/>
                      <a:cs typeface="Lucida Sans"/>
                    </a:defRPr>
                  </a:pPr>
                  <a:endParaRPr lang="zh-CN"/>
                </a:p>
              </c:txPr>
              <c:dLblPos val="outEnd"/>
              <c:delete val="1"/>
            </c:dLbl>
            <c:dLbl>
              <c:idx val="1"/>
              <c:spPr>
                <a:noFill/>
                <a:ln>
                  <a:noFill/>
                </a:ln>
              </c:spPr>
              <c:txPr>
                <a:bodyPr vert="horz"/>
                <a:lstStyle/>
                <a:p>
                  <a:pPr>
                    <a:defRPr sz="1000" b="0" i="0" u="none" strike="noStrike" baseline="0">
                      <a:solidFill>
                        <a:srgbClr val="000000"/>
                      </a:solidFill>
                      <a:latin typeface="Times New Roman"/>
                      <a:ea typeface="宋体"/>
                      <a:cs typeface="Lucida Sans"/>
                    </a:defRPr>
                  </a:pPr>
                  <a:endParaRPr lang="zh-CN"/>
                </a:p>
              </c:txPr>
              <c:dLblPos val="outEnd"/>
              <c:delete val="1"/>
            </c:dLbl>
            <c:dLblPos val="outEnd"/>
            <c:showLegendKey val="0"/>
            <c:showVal val="0"/>
            <c:showCatName val="0"/>
            <c:showSerName val="0"/>
            <c:showPercent val="0"/>
            <c:showBubbleSize val="0"/>
            <c:showLeaderLines val="0"/>
          </c:dLbls>
          <c:cat>
            <c:strRef>
              <c:f>'Sheet1 (4)'!$A$2:$A$3</c:f>
              <c:strCache>
                <c:ptCount val="2"/>
                <c:pt idx="0">
                  <c:v>2021年度</c:v>
                </c:pt>
                <c:pt idx="1">
                  <c:v>2022年度</c:v>
                </c:pt>
              </c:strCache>
            </c:strRef>
          </c:cat>
          <c:val>
            <c:numRef>
              <c:f>'Sheet1 (4)'!$B$2:$B$3</c:f>
              <c:numCache>
                <c:formatCode>General</c:formatCode>
                <c:ptCount val="2"/>
                <c:pt idx="0">
                  <c:v>518.69</c:v>
                </c:pt>
                <c:pt idx="1">
                  <c:v>645.48</c:v>
                </c:pt>
              </c:numCache>
            </c:numRef>
          </c:val>
        </c:ser>
        <c:overlap val="-28"/>
        <c:gapWidth val="246"/>
        <c:axId val="0"/>
        <c:axId val="1"/>
      </c:barChart>
      <c:catAx>
        <c:axId val="0"/>
        <c:scaling>
          <c:orientation val="minMax"/>
        </c:scaling>
        <c:delete val="0"/>
        <c:axPos val="b"/>
        <c:numFmt formatCode="General" sourceLinked="1"/>
        <c:majorTickMark val="none"/>
        <c:minorTickMark val="none"/>
        <c:tickLblPos val="nextTo"/>
        <c:spPr>
          <a:ln w="6350">
            <a:solidFill>
              <a:srgbClr val="D9D9D9"/>
            </a:solidFill>
            <a:prstDash val="solid"/>
          </a:ln>
        </c:spPr>
        <c:txPr>
          <a:bodyPr/>
          <a:lstStyle/>
          <a:p>
            <a:pPr>
              <a:defRPr sz="900" b="0" i="0" u="none" strike="noStrike" baseline="0">
                <a:solidFill>
                  <a:srgbClr val="595959"/>
                </a:solidFill>
                <a:latin typeface="Times New Roman"/>
                <a:ea typeface="宋体"/>
                <a:cs typeface="Lucida Sans"/>
              </a:defRPr>
            </a:pPr>
            <a:endParaRPr lang="zh-CN"/>
          </a:p>
        </c:txPr>
        <c:crosses val="autoZero"/>
        <c:auto val="1"/>
        <c:lblOffset val="100"/>
        <c:lblAlgn val="ctr"/>
        <c:noMultiLvlLbl val="0"/>
        <c:crossAx val="1"/>
      </c:catAx>
      <c:valAx>
        <c:axId val="1"/>
        <c:scaling>
          <c:orientation val="minMax"/>
          <c:min val="0.0"/>
          <c:max val="700.0"/>
        </c:scaling>
        <c:delete val="0"/>
        <c:axPos val="l"/>
        <c:majorGridlines>
          <c:spPr>
            <a:ln w="6350">
              <a:solidFill>
                <a:srgbClr val="E6E6E6"/>
              </a:solidFill>
              <a:prstDash val="solid"/>
            </a:ln>
          </c:spPr>
        </c:majorGridlines>
        <c:numFmt formatCode="General" sourceLinked="1"/>
        <c:majorTickMark val="none"/>
        <c:minorTickMark val="none"/>
        <c:tickLblPos val="nextTo"/>
        <c:spPr>
          <a:ln>
            <a:noFill/>
          </a:ln>
        </c:spPr>
        <c:txPr>
          <a:bodyPr/>
          <a:lstStyle/>
          <a:p>
            <a:pPr>
              <a:defRPr sz="900" b="0" i="0" u="none" strike="noStrike" baseline="0">
                <a:solidFill>
                  <a:srgbClr val="595959"/>
                </a:solidFill>
                <a:latin typeface="Times New Roman"/>
                <a:ea typeface="宋体"/>
                <a:cs typeface="Lucida Sans"/>
              </a:defRPr>
            </a:pPr>
            <a:endParaRPr lang="zh-CN"/>
          </a:p>
        </c:txPr>
        <c:crossesAt val="1.0"/>
        <c:crossBetween val="between"/>
        <c:crossAx val="0"/>
      </c:valAx>
      <c:spPr>
        <a:noFill/>
        <a:ln>
          <a:noFill/>
        </a:ln>
      </c:spPr>
    </c:plotArea>
    <c:legend>
      <c:legendPos val="b"/>
      <c:layout/>
      <c:overlay val="0"/>
      <c:spPr>
        <a:noFill/>
        <a:ln>
          <a:noFill/>
        </a:ln>
      </c:spPr>
      <c:txPr>
        <a:bodyPr/>
        <a:lstStyle/>
        <a:p>
          <a:pPr>
            <a:defRPr sz="900" b="0" i="0" u="none" strike="noStrike" baseline="0">
              <a:solidFill>
                <a:srgbClr val="595959"/>
              </a:solidFill>
              <a:latin typeface="Times New Roman"/>
              <a:ea typeface="宋体"/>
              <a:cs typeface="Lucida Sans"/>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1" i="0" u="none" strike="noStrike" baseline="0">
                <a:solidFill>
                  <a:srgbClr val="404040"/>
                </a:solidFill>
                <a:latin typeface="Times New Roman"/>
                <a:ea typeface="宋体"/>
                <a:cs typeface="Lucida Sans"/>
              </a:defRPr>
            </a:pPr>
            <a:r>
              <a:rPr lang="zh-CN"/>
              <a:t>一般公共预算财政拨款支出决算变动情况图</a:t>
            </a:r>
          </a:p>
        </c:rich>
      </c:tx>
      <c:layout/>
      <c:overlay val="0"/>
      <c:spPr>
        <a:noFill/>
        <a:ln>
          <a:noFill/>
        </a:ln>
      </c:spPr>
    </c:title>
    <c:autoTitleDeleted val="1"/>
    <c:plotArea>
      <c:layout/>
      <c:barChart>
        <c:barDir val="col"/>
        <c:grouping val="clustered"/>
        <c:varyColors val="0"/>
        <c:ser>
          <c:idx val="0"/>
          <c:order val="0"/>
          <c:tx>
            <c:strRef>
              <c:f>'Sheet1 (5)'!$B$1</c:f>
              <c:strCache>
                <c:ptCount val="1"/>
                <c:pt idx="0">
                  <c:v>一般公共预算财政拨款支出（万元）</c:v>
                </c:pt>
              </c:strCache>
            </c:strRef>
          </c:tx>
          <c:spPr>
            <a:solidFill>
              <a:srgbClr val="C0504D"/>
            </a:solidFill>
            <a:ln>
              <a:noFill/>
            </a:ln>
          </c:spPr>
          <c:invertIfNegative val="0"/>
          <c:dLbls>
            <c:dLbl>
              <c:idx val="0"/>
              <c:spPr>
                <a:noFill/>
                <a:ln>
                  <a:noFill/>
                </a:ln>
              </c:spPr>
              <c:txPr>
                <a:bodyPr vert="horz"/>
                <a:lstStyle/>
                <a:p>
                  <a:pPr>
                    <a:defRPr sz="1000" b="0" i="0" u="none" strike="noStrike" baseline="0">
                      <a:solidFill>
                        <a:srgbClr val="000000"/>
                      </a:solidFill>
                      <a:latin typeface="Times New Roman"/>
                      <a:ea typeface="宋体"/>
                      <a:cs typeface="Lucida Sans"/>
                    </a:defRPr>
                  </a:pPr>
                  <a:endParaRPr lang="zh-CN"/>
                </a:p>
              </c:txPr>
              <c:dLblPos val="outEnd"/>
              <c:delete val="1"/>
            </c:dLbl>
            <c:dLbl>
              <c:idx val="1"/>
              <c:spPr>
                <a:noFill/>
                <a:ln>
                  <a:noFill/>
                </a:ln>
              </c:spPr>
              <c:txPr>
                <a:bodyPr vert="horz"/>
                <a:lstStyle/>
                <a:p>
                  <a:pPr>
                    <a:defRPr sz="1000" b="0" i="0" u="none" strike="noStrike" baseline="0">
                      <a:solidFill>
                        <a:srgbClr val="000000"/>
                      </a:solidFill>
                      <a:latin typeface="Times New Roman"/>
                      <a:ea typeface="宋体"/>
                      <a:cs typeface="Lucida Sans"/>
                    </a:defRPr>
                  </a:pPr>
                  <a:endParaRPr lang="zh-CN"/>
                </a:p>
              </c:txPr>
              <c:dLblPos val="outEnd"/>
              <c:delete val="1"/>
            </c:dLbl>
            <c:dLblPos val="outEnd"/>
            <c:showLegendKey val="0"/>
            <c:showVal val="0"/>
            <c:showCatName val="0"/>
            <c:showSerName val="0"/>
            <c:showPercent val="0"/>
            <c:showBubbleSize val="0"/>
            <c:showLeaderLines val="0"/>
          </c:dLbls>
          <c:cat>
            <c:strRef>
              <c:f>'Sheet1 (5)'!$A$2:$A$3</c:f>
              <c:strCache>
                <c:ptCount val="2"/>
                <c:pt idx="0">
                  <c:v>2021年度</c:v>
                </c:pt>
                <c:pt idx="1">
                  <c:v>2022年度</c:v>
                </c:pt>
              </c:strCache>
            </c:strRef>
          </c:cat>
          <c:val>
            <c:numRef>
              <c:f>'Sheet1 (5)'!$B$2:$B$3</c:f>
              <c:numCache>
                <c:formatCode>General</c:formatCode>
                <c:ptCount val="2"/>
                <c:pt idx="0">
                  <c:v>518.69</c:v>
                </c:pt>
                <c:pt idx="1">
                  <c:v>645.48</c:v>
                </c:pt>
              </c:numCache>
            </c:numRef>
          </c:val>
        </c:ser>
        <c:overlap val="-28"/>
        <c:gapWidth val="246"/>
        <c:axId val="0"/>
        <c:axId val="1"/>
      </c:barChart>
      <c:catAx>
        <c:axId val="0"/>
        <c:scaling>
          <c:orientation val="minMax"/>
        </c:scaling>
        <c:delete val="0"/>
        <c:axPos val="b"/>
        <c:numFmt formatCode="General" sourceLinked="1"/>
        <c:majorTickMark val="none"/>
        <c:minorTickMark val="none"/>
        <c:tickLblPos val="nextTo"/>
        <c:spPr>
          <a:ln w="6350">
            <a:solidFill>
              <a:srgbClr val="D9D9D9"/>
            </a:solidFill>
            <a:prstDash val="solid"/>
          </a:ln>
        </c:spPr>
        <c:txPr>
          <a:bodyPr/>
          <a:lstStyle/>
          <a:p>
            <a:pPr>
              <a:defRPr sz="900" b="0" i="0" u="none" strike="noStrike" baseline="0">
                <a:solidFill>
                  <a:srgbClr val="595959"/>
                </a:solidFill>
                <a:latin typeface="Times New Roman"/>
                <a:ea typeface="宋体"/>
                <a:cs typeface="Lucida Sans"/>
              </a:defRPr>
            </a:pPr>
            <a:endParaRPr lang="zh-CN"/>
          </a:p>
        </c:txPr>
        <c:crosses val="autoZero"/>
        <c:auto val="1"/>
        <c:lblOffset val="100"/>
        <c:lblAlgn val="ctr"/>
        <c:noMultiLvlLbl val="0"/>
        <c:crossAx val="1"/>
      </c:catAx>
      <c:valAx>
        <c:axId val="1"/>
        <c:scaling>
          <c:orientation val="minMax"/>
          <c:min val="0.0"/>
        </c:scaling>
        <c:delete val="0"/>
        <c:axPos val="l"/>
        <c:majorGridlines>
          <c:spPr>
            <a:ln w="6350">
              <a:solidFill>
                <a:srgbClr val="E6E6E6"/>
              </a:solidFill>
              <a:prstDash val="solid"/>
            </a:ln>
          </c:spPr>
        </c:majorGridlines>
        <c:numFmt formatCode="General" sourceLinked="1"/>
        <c:majorTickMark val="none"/>
        <c:minorTickMark val="none"/>
        <c:tickLblPos val="nextTo"/>
        <c:spPr>
          <a:ln>
            <a:noFill/>
          </a:ln>
        </c:spPr>
        <c:txPr>
          <a:bodyPr/>
          <a:lstStyle/>
          <a:p>
            <a:pPr>
              <a:defRPr sz="900" b="0" i="0" u="none" strike="noStrike" baseline="0">
                <a:solidFill>
                  <a:srgbClr val="595959"/>
                </a:solidFill>
                <a:latin typeface="Times New Roman"/>
                <a:ea typeface="宋体"/>
                <a:cs typeface="Lucida Sans"/>
              </a:defRPr>
            </a:pPr>
            <a:endParaRPr lang="zh-CN"/>
          </a:p>
        </c:txPr>
        <c:crossesAt val="1.0"/>
        <c:crossBetween val="between"/>
        <c:crossAx val="0"/>
      </c:valAx>
      <c:spPr>
        <a:noFill/>
        <a:ln>
          <a:noFill/>
        </a:ln>
      </c:spPr>
    </c:plotArea>
    <c:legend>
      <c:legendPos val="b"/>
      <c:layout/>
      <c:overlay val="0"/>
      <c:spPr>
        <a:noFill/>
        <a:ln>
          <a:noFill/>
        </a:ln>
      </c:spPr>
      <c:txPr>
        <a:bodyPr/>
        <a:lstStyle/>
        <a:p>
          <a:pPr>
            <a:defRPr sz="900" b="0" i="0" u="none" strike="noStrike" baseline="0">
              <a:solidFill>
                <a:srgbClr val="595959"/>
              </a:solidFill>
              <a:latin typeface="Times New Roman"/>
              <a:ea typeface="宋体"/>
              <a:cs typeface="Lucida Sans"/>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1" i="0" u="none" strike="noStrike" baseline="0">
                <a:solidFill>
                  <a:srgbClr val="737373"/>
                </a:solidFill>
                <a:latin typeface="Times New Roman"/>
                <a:ea typeface="宋体"/>
                <a:cs typeface="Lucida Sans"/>
              </a:defRPr>
            </a:pPr>
            <a:r>
              <a:rPr lang="zh-CN"/>
              <a:t>一般公共预算财政拨款支出决算结构图</a:t>
            </a:r>
          </a:p>
        </c:rich>
      </c:tx>
      <c:layout/>
      <c:overlay val="0"/>
      <c:spPr>
        <a:noFill/>
        <a:ln>
          <a:noFill/>
        </a:ln>
      </c:spPr>
    </c:title>
    <c:autoTitleDeleted val="1"/>
    <c:plotArea>
      <c:layout/>
      <c:pieChart>
        <c:varyColors val="1"/>
        <c:ser>
          <c:idx val="0"/>
          <c:order val="0"/>
          <c:tx>
            <c:v>一般公共预算财政拨款支出</c:v>
          </c:tx>
          <c:spPr>
            <a:solidFill>
              <a:srgbClr val="4F81BD"/>
            </a:solidFill>
            <a:ln>
              <a:noFill/>
            </a:ln>
          </c:spPr>
          <c:dPt>
            <c:idx val="0"/>
            <c:bubble3D val="0"/>
            <c:spPr>
              <a:solidFill>
                <a:srgbClr val="4F81BD"/>
              </a:solidFill>
              <a:ln w="6350">
                <a:solidFill>
                  <a:srgbClr val="FFFFFF"/>
                </a:solidFill>
                <a:prstDash val="solid"/>
              </a:ln>
            </c:spPr>
          </c:dPt>
          <c:dPt>
            <c:idx val="1"/>
            <c:bubble3D val="0"/>
            <c:spPr>
              <a:solidFill>
                <a:srgbClr val="C0504D"/>
              </a:solidFill>
              <a:ln w="6350">
                <a:solidFill>
                  <a:srgbClr val="FFFFFF"/>
                </a:solidFill>
                <a:prstDash val="solid"/>
              </a:ln>
            </c:spPr>
          </c:dPt>
          <c:dPt>
            <c:idx val="2"/>
            <c:bubble3D val="0"/>
            <c:spPr>
              <a:solidFill>
                <a:srgbClr val="9BBB59"/>
              </a:solidFill>
              <a:ln w="6350">
                <a:solidFill>
                  <a:srgbClr val="FFFFFF"/>
                </a:solidFill>
                <a:prstDash val="solid"/>
              </a:ln>
            </c:spPr>
          </c:dPt>
          <c:dPt>
            <c:idx val="3"/>
            <c:bubble3D val="0"/>
            <c:spPr>
              <a:solidFill>
                <a:srgbClr val="8064A2"/>
              </a:solidFill>
              <a:ln w="6350">
                <a:solidFill>
                  <a:srgbClr val="FFFFFF"/>
                </a:solidFill>
                <a:prstDash val="solid"/>
              </a:ln>
            </c:spPr>
          </c:dPt>
          <c:dLbls>
            <c:dLbl>
              <c:idx val="0"/>
              <c:numFmt formatCode="General" sourceLinked="0"/>
              <c:spPr>
                <a:noFill/>
                <a:ln>
                  <a:noFill/>
                </a:ln>
              </c:spPr>
              <c:txPr>
                <a:bodyPr vert="horz"/>
                <a:lstStyle/>
                <a:p>
                  <a:pPr>
                    <a:defRPr sz="1000" b="0" i="0" u="none" strike="noStrike" baseline="0">
                      <a:solidFill>
                        <a:srgbClr val="000000"/>
                      </a:solidFill>
                      <a:latin typeface="Times New Roman"/>
                      <a:ea typeface="宋体"/>
                      <a:cs typeface="Lucida Sans"/>
                    </a:defRPr>
                  </a:pPr>
                  <a:endParaRPr lang="zh-CN"/>
                </a:p>
              </c:txPr>
              <c:delete val="1"/>
            </c:dLbl>
            <c:dLbl>
              <c:idx val="1"/>
              <c:numFmt formatCode="General" sourceLinked="0"/>
              <c:spPr>
                <a:noFill/>
                <a:ln>
                  <a:noFill/>
                </a:ln>
              </c:spPr>
              <c:txPr>
                <a:bodyPr vert="horz"/>
                <a:lstStyle/>
                <a:p>
                  <a:pPr>
                    <a:defRPr sz="1000" b="0" i="0" u="none" strike="noStrike" baseline="0">
                      <a:solidFill>
                        <a:srgbClr val="000000"/>
                      </a:solidFill>
                      <a:latin typeface="Times New Roman"/>
                      <a:ea typeface="宋体"/>
                      <a:cs typeface="Lucida Sans"/>
                    </a:defRPr>
                  </a:pPr>
                  <a:endParaRPr lang="zh-CN"/>
                </a:p>
              </c:txPr>
              <c:delete val="1"/>
            </c:dLbl>
            <c:dLbl>
              <c:idx val="2"/>
              <c:numFmt formatCode="General" sourceLinked="0"/>
              <c:spPr>
                <a:noFill/>
                <a:ln>
                  <a:noFill/>
                </a:ln>
              </c:spPr>
              <c:txPr>
                <a:bodyPr vert="horz"/>
                <a:lstStyle/>
                <a:p>
                  <a:pPr>
                    <a:defRPr sz="1000" b="0" i="0" u="none" strike="noStrike" baseline="0">
                      <a:solidFill>
                        <a:srgbClr val="000000"/>
                      </a:solidFill>
                      <a:latin typeface="Times New Roman"/>
                      <a:ea typeface="宋体"/>
                      <a:cs typeface="Lucida Sans"/>
                    </a:defRPr>
                  </a:pPr>
                  <a:endParaRPr lang="zh-CN"/>
                </a:p>
              </c:txPr>
              <c:delete val="1"/>
            </c:dLbl>
            <c:dLbl>
              <c:idx val="3"/>
              <c:numFmt formatCode="General" sourceLinked="0"/>
              <c:spPr>
                <a:noFill/>
                <a:ln>
                  <a:noFill/>
                </a:ln>
              </c:spPr>
              <c:txPr>
                <a:bodyPr vert="horz"/>
                <a:lstStyle/>
                <a:p>
                  <a:pPr>
                    <a:defRPr sz="1000" b="0" i="0" u="none" strike="noStrike" baseline="0">
                      <a:solidFill>
                        <a:srgbClr val="000000"/>
                      </a:solidFill>
                      <a:latin typeface="Times New Roman"/>
                      <a:ea typeface="宋体"/>
                      <a:cs typeface="Lucida Sans"/>
                    </a:defRPr>
                  </a:pPr>
                  <a:endParaRPr lang="zh-CN"/>
                </a:p>
              </c:txPr>
              <c:delete val="1"/>
            </c:dLbl>
            <c:showLegendKey val="0"/>
            <c:showVal val="0"/>
            <c:showCatName val="0"/>
            <c:showSerName val="0"/>
            <c:showPercent val="0"/>
            <c:showBubbleSize val="0"/>
            <c:showLeaderLines val="0"/>
          </c:dLbls>
          <c:cat>
            <c:strLit>
              <c:ptCount val="4"/>
              <c:pt idx="0">
                <c:v>一般公共服务支出</c:v>
              </c:pt>
              <c:pt idx="1">
                <c:v>社会保障和就业支出</c:v>
              </c:pt>
              <c:pt idx="2">
                <c:v>卫生健康支出</c:v>
              </c:pt>
              <c:pt idx="3">
                <c:v>住房保障支出</c:v>
              </c:pt>
            </c:strLit>
          </c:cat>
          <c:val>
            <c:numRef>
              <c:f/>
              <c:numCache>
                <c:formatCode>General</c:formatCode>
                <c:ptCount val="4"/>
                <c:pt idx="0">
                  <c:v>539.46</c:v>
                </c:pt>
                <c:pt idx="1">
                  <c:v>58.22</c:v>
                </c:pt>
                <c:pt idx="2">
                  <c:v>17.06</c:v>
                </c:pt>
                <c:pt idx="3">
                  <c:v>30.73</c:v>
                </c:pt>
              </c:numCache>
            </c:numRef>
          </c:val>
        </c:ser>
        <c:firstSliceAng val="0"/>
      </c:pieChart>
      <c:spPr>
        <a:noFill/>
        <a:ln>
          <a:noFill/>
        </a:ln>
      </c:spPr>
    </c:plotArea>
    <c:legend>
      <c:legendPos val="b"/>
      <c:layout/>
      <c:overlay val="0"/>
      <c:spPr>
        <a:noFill/>
        <a:ln>
          <a:noFill/>
        </a:ln>
      </c:spPr>
      <c:txPr>
        <a:bodyPr/>
        <a:lstStyle/>
        <a:p>
          <a:pPr>
            <a:defRPr sz="900" b="0" i="0" u="none" strike="noStrike" baseline="0">
              <a:solidFill>
                <a:srgbClr val="858585"/>
              </a:solidFill>
              <a:latin typeface="Times New Roman"/>
              <a:ea typeface="宋体"/>
              <a:cs typeface="Lucida Sans"/>
            </a:defRPr>
          </a:pPr>
          <a:endParaRPr lang="zh-CN"/>
        </a:p>
      </c:txPr>
    </c:legend>
    <c:plotVisOnly val="1"/>
    <c:dispBlanksAs val="gap"/>
    <c:showDLblsOverMax val="0"/>
  </c:chart>
  <c:spPr>
    <a:solidFill>
      <a:srgbClr val="FFFFFF"/>
    </a:solidFill>
    <a:ln w="6350">
      <a:solidFill>
        <a:srgbClr val="E3E3E3"/>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1" i="0" u="none" strike="noStrike" baseline="0">
                <a:solidFill>
                  <a:srgbClr val="404040"/>
                </a:solidFill>
                <a:latin typeface="Times New Roman"/>
                <a:ea typeface="宋体"/>
                <a:cs typeface="Lucida Sans"/>
              </a:defRPr>
            </a:pPr>
            <a:r>
              <a:rPr lang="zh-CN"/>
              <a:t>“三公”经费财政拨款支出结构图</a:t>
            </a:r>
          </a:p>
        </c:rich>
      </c:tx>
      <c:layout/>
      <c:overlay val="0"/>
      <c:spPr>
        <a:noFill/>
        <a:ln>
          <a:noFill/>
        </a:ln>
      </c:spPr>
    </c:title>
    <c:autoTitleDeleted val="1"/>
    <c:plotArea>
      <c:layout/>
      <c:pieChart>
        <c:varyColors val="1"/>
        <c:ser>
          <c:idx val="0"/>
          <c:order val="0"/>
          <c:tx>
            <c:strRef>
              <c:f>'Sheet1 (6)'!$B$1</c:f>
              <c:strCache>
                <c:ptCount val="1"/>
                <c:pt idx="0">
                  <c:v>销售额</c:v>
                </c:pt>
              </c:strCache>
            </c:strRef>
          </c:tx>
          <c:spPr>
            <a:solidFill>
              <a:srgbClr val="4F81BD"/>
            </a:solidFill>
            <a:ln>
              <a:noFill/>
            </a:ln>
          </c:spPr>
          <c:dPt>
            <c:idx val="0"/>
            <c:bubble3D val="0"/>
            <c:spPr>
              <a:solidFill>
                <a:srgbClr val="4F81BD"/>
              </a:solidFill>
              <a:ln w="6350">
                <a:solidFill>
                  <a:srgbClr val="FFFFFF"/>
                </a:solidFill>
                <a:prstDash val="solid"/>
              </a:ln>
            </c:spPr>
          </c:dPt>
          <c:dPt>
            <c:idx val="1"/>
            <c:bubble3D val="0"/>
            <c:spPr>
              <a:solidFill>
                <a:srgbClr val="B3A2C7"/>
              </a:solidFill>
              <a:ln w="6350">
                <a:solidFill>
                  <a:srgbClr val="FFFFFF"/>
                </a:solidFill>
                <a:prstDash val="solid"/>
              </a:ln>
            </c:spPr>
          </c:dPt>
          <c:dPt>
            <c:idx val="2"/>
            <c:bubble3D val="0"/>
            <c:spPr>
              <a:solidFill>
                <a:srgbClr val="9BBB59"/>
              </a:solidFill>
              <a:ln w="6350">
                <a:solidFill>
                  <a:srgbClr val="FFFFFF"/>
                </a:solidFill>
                <a:prstDash val="solid"/>
              </a:ln>
            </c:spPr>
          </c:dPt>
          <c:dLbls>
            <c:dLbl>
              <c:idx val="0"/>
              <c:spPr>
                <a:noFill/>
                <a:ln>
                  <a:noFill/>
                </a:ln>
              </c:spPr>
              <c:txPr>
                <a:bodyPr vert="horz"/>
                <a:lstStyle/>
                <a:p>
                  <a:pPr>
                    <a:defRPr sz="1000" b="0" i="0" u="none" strike="noStrike" baseline="0">
                      <a:solidFill>
                        <a:srgbClr val="000000"/>
                      </a:solidFill>
                      <a:latin typeface="Times New Roman"/>
                      <a:ea typeface="宋体"/>
                      <a:cs typeface="Lucida Sans"/>
                    </a:defRPr>
                  </a:pPr>
                  <a:endParaRPr lang="zh-CN"/>
                </a:p>
              </c:txPr>
              <c:delete val="1"/>
            </c:dLbl>
            <c:dLbl>
              <c:idx val="1"/>
              <c:spPr>
                <a:noFill/>
                <a:ln>
                  <a:noFill/>
                </a:ln>
              </c:spPr>
              <c:txPr>
                <a:bodyPr vert="horz"/>
                <a:lstStyle/>
                <a:p>
                  <a:pPr>
                    <a:defRPr sz="1000" b="0" i="0" u="none" strike="noStrike" baseline="0">
                      <a:solidFill>
                        <a:srgbClr val="000000"/>
                      </a:solidFill>
                      <a:latin typeface="Times New Roman"/>
                      <a:ea typeface="宋体"/>
                      <a:cs typeface="Lucida Sans"/>
                    </a:defRPr>
                  </a:pPr>
                  <a:endParaRPr lang="zh-CN"/>
                </a:p>
              </c:txPr>
              <c:delete val="1"/>
            </c:dLbl>
            <c:dLbl>
              <c:idx val="2"/>
              <c:spPr>
                <a:noFill/>
                <a:ln>
                  <a:noFill/>
                </a:ln>
              </c:spPr>
              <c:txPr>
                <a:bodyPr vert="horz"/>
                <a:lstStyle/>
                <a:p>
                  <a:pPr>
                    <a:defRPr sz="1000" b="0" i="0" u="none" strike="noStrike" baseline="0">
                      <a:solidFill>
                        <a:srgbClr val="000000"/>
                      </a:solidFill>
                      <a:latin typeface="Times New Roman"/>
                      <a:ea typeface="宋体"/>
                      <a:cs typeface="Lucida Sans"/>
                    </a:defRPr>
                  </a:pPr>
                  <a:endParaRPr lang="zh-CN"/>
                </a:p>
              </c:txPr>
              <c:delete val="1"/>
            </c:dLbl>
            <c:showLegendKey val="0"/>
            <c:showVal val="0"/>
            <c:showCatName val="0"/>
            <c:showSerName val="0"/>
            <c:showPercent val="0"/>
            <c:showBubbleSize val="0"/>
            <c:showLeaderLines val="0"/>
          </c:dLbls>
          <c:cat>
            <c:strRef>
              <c:f>'Sheet1 (6)'!$A$2:$A$4</c:f>
              <c:strCache>
                <c:ptCount val="3"/>
                <c:pt idx="0">
                  <c:v>因公出国（境）费支出</c:v>
                </c:pt>
                <c:pt idx="1">
                  <c:v>公务用车购置及运行维护费支出</c:v>
                </c:pt>
                <c:pt idx="2">
                  <c:v>公务接待费支出</c:v>
                </c:pt>
              </c:strCache>
            </c:strRef>
          </c:cat>
          <c:val>
            <c:numRef>
              <c:f>'Sheet1 (6)'!$B$2:$B$4</c:f>
              <c:numCache>
                <c:formatCode>General</c:formatCode>
                <c:ptCount val="3"/>
                <c:pt idx="0">
                  <c:v>0.0</c:v>
                </c:pt>
                <c:pt idx="1">
                  <c:v>13.1</c:v>
                </c:pt>
                <c:pt idx="2">
                  <c:v>0.0</c:v>
                </c:pt>
              </c:numCache>
            </c:numRef>
          </c:val>
        </c:ser>
        <c:firstSliceAng val="15"/>
      </c:pieChart>
      <c:spPr>
        <a:noFill/>
        <a:ln>
          <a:noFill/>
        </a:ln>
      </c:spPr>
    </c:plotArea>
    <c:legend>
      <c:legendPos val="b"/>
      <c:layout/>
      <c:overlay val="0"/>
      <c:spPr>
        <a:noFill/>
        <a:ln>
          <a:noFill/>
        </a:ln>
      </c:spPr>
      <c:txPr>
        <a:bodyPr/>
        <a:lstStyle/>
        <a:p>
          <a:pPr>
            <a:defRPr sz="900" b="0" i="0" u="none" strike="noStrike" baseline="0">
              <a:solidFill>
                <a:srgbClr val="595959"/>
              </a:solidFill>
              <a:latin typeface="Times New Roman"/>
              <a:ea typeface="宋体"/>
              <a:cs typeface="Lucida Sans"/>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docProps/app.xml><?xml version="1.0" encoding="utf-8"?>
<Properties xmlns="http://schemas.openxmlformats.org/officeDocument/2006/extended-properties">
  <Template>Normal.eit</Template>
  <TotalTime>31</TotalTime>
  <Application>Yozo_Office27021597764231179</Application>
  <Pages>24</Pages>
  <Words>8247</Words>
  <Characters>8765</Characters>
  <Lines>472</Lines>
  <Paragraphs>168</Paragraphs>
  <CharactersWithSpaces>10201</CharactersWithSpaces>
  <Company>四川省财政厅</Company>
</Properties>
</file>

<file path=docProps/core.xml><?xml version="1.0" encoding="utf-8"?>
<cp:coreProperties xmlns:cp="http://schemas.openxmlformats.org/package/2006/metadata/core-properties" xmlns:dc="http://purl.org/dc/elements/1.1/" xmlns:dcterms="http://purl.org/dc/terms/" xmlns:xsi="http://www.w3.org/2001/XMLSchema-instance">
  <dc:title>四川省***</dc:title>
  <dc:creator>曹颖</dc:creator>
  <cp:lastModifiedBy>user</cp:lastModifiedBy>
  <cp:revision>33</cp:revision>
  <cp:lastPrinted>2023-09-21T05:54:00Z</cp:lastPrinted>
  <dcterms:created xsi:type="dcterms:W3CDTF">2020-08-05T01:49:00Z</dcterms:created>
  <dcterms:modified xsi:type="dcterms:W3CDTF">2023-10-16T03:30:10Z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2052-12.1.0.15374</vt:lpwstr>
  </property>
  <property fmtid="{D5CDD505-2E9C-101B-9397-08002B2CF9AE}" pid="3" name="ICV">
    <vt:lpwstr>5439D5752D74403186306F59BA5701C6_12</vt:lpwstr>
  </property>
</Properties>
</file>