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left"/>
        <w:outlineLvl w:val="0"/>
        <w:rPr>
          <w:rFonts w:ascii="Times New Roman" w:eastAsia="方正小标宋简体" w:cs="Times New Roman" w:hAnsi="Times New Roman"/>
          <w:color w:val="auto"/>
          <w:sz w:val="21"/>
          <w:szCs w:val="21"/>
          <w:highlight w:val="auto"/>
        </w:rPr>
      </w:pPr>
      <w:bookmarkStart w:id="0" w:name="_Toc15306267"/>
    </w:p>
    <w:p>
      <w:pPr>
        <w:spacing w:line="600" w:lineRule="exact"/>
        <w:jc w:val="center"/>
        <w:outlineLvl w:val="0"/>
        <w:rPr>
          <w:rFonts w:ascii="Times New Roman" w:eastAsia="方正小标宋简体" w:cs="Times New Roman" w:hAnsi="Times New Roman"/>
          <w:color w:val="auto"/>
          <w:sz w:val="72"/>
          <w:szCs w:val="72"/>
          <w:highlight w:val="auto"/>
        </w:rPr>
      </w:pPr>
    </w:p>
    <w:p>
      <w:pPr>
        <w:spacing w:line="600" w:lineRule="exact"/>
        <w:jc w:val="center"/>
        <w:outlineLvl w:val="0"/>
        <w:rPr>
          <w:rFonts w:ascii="Times New Roman" w:eastAsia="方正小标宋简体" w:cs="Times New Roman" w:hAnsi="Times New Roman"/>
          <w:color w:val="auto"/>
          <w:sz w:val="72"/>
          <w:szCs w:val="72"/>
          <w:highlight w:val="auto"/>
        </w:rPr>
      </w:pPr>
    </w:p>
    <w:p>
      <w:pPr>
        <w:pStyle w:val="15"/>
        <w:rPr>
          <w:rFonts w:ascii="Times New Roman" w:eastAsia="方正小标宋简体" w:cs="Times New Roman" w:hAnsi="Times New Roman"/>
          <w:color w:val="auto"/>
          <w:sz w:val="72"/>
          <w:szCs w:val="72"/>
          <w:highlight w:val="auto"/>
        </w:rPr>
      </w:pPr>
    </w:p>
    <w:p>
      <w:pPr>
        <w:pStyle w:val="15"/>
        <w:rPr>
          <w:rFonts w:ascii="Times New Roman" w:eastAsia="方正小标宋简体" w:cs="Times New Roman" w:hAnsi="Times New Roman"/>
          <w:color w:val="auto"/>
          <w:sz w:val="72"/>
          <w:szCs w:val="72"/>
          <w:highlight w:val="auto"/>
        </w:rPr>
      </w:pPr>
    </w:p>
    <w:p>
      <w:pPr>
        <w:adjustRightInd w:val="0"/>
        <w:snapToGrid w:val="0"/>
        <w:spacing w:line="360" w:lineRule="auto"/>
        <w:jc w:val="center"/>
        <w:outlineLvl w:val="0"/>
        <w:rPr>
          <w:rFonts w:ascii="Times New Roman" w:eastAsia="方正小标宋简体" w:cs="Times New Roman" w:hAnsi="Times New Roman"/>
          <w:color w:val="auto"/>
          <w:sz w:val="72"/>
          <w:szCs w:val="72"/>
          <w:highlight w:val="auto"/>
        </w:rPr>
      </w:pPr>
      <w:bookmarkStart w:id="1" w:name="_Toc15396597"/>
      <w:bookmarkStart w:id="2" w:name="_Toc15377425"/>
      <w:bookmarkStart w:id="3" w:name="_Toc15396475"/>
      <w:bookmarkStart w:id="4" w:name="_Toc15377193"/>
      <w:bookmarkStart w:id="5" w:name="_Toc15378441"/>
      <w:r>
        <w:rPr>
          <w:rFonts w:ascii="Times New Roman" w:eastAsia="方正小标宋简体" w:cs="Times New Roman" w:hAnsi="Times New Roman"/>
          <w:color w:val="auto"/>
          <w:sz w:val="72"/>
          <w:szCs w:val="72"/>
          <w:highlight w:val="auto"/>
        </w:rPr>
        <w:t>20</w:t>
      </w:r>
      <w:r>
        <w:rPr>
          <w:rFonts w:ascii="Times New Roman" w:eastAsia="方正小标宋简体" w:cs="Times New Roman" w:hAnsi="Times New Roman"/>
          <w:color w:val="auto"/>
          <w:sz w:val="72"/>
          <w:szCs w:val="72"/>
          <w:lang w:val="en-US" w:eastAsia="zh-CN"/>
          <w:highlight w:val="auto"/>
        </w:rPr>
        <w:t>22</w:t>
      </w:r>
      <w:r>
        <w:rPr>
          <w:rFonts w:ascii="Times New Roman" w:eastAsia="方正小标宋简体" w:cs="Times New Roman" w:hAnsi="Times New Roman"/>
          <w:color w:val="auto"/>
          <w:sz w:val="72"/>
          <w:szCs w:val="72"/>
          <w:highlight w:val="auto"/>
        </w:rPr>
        <w:t>年度</w:t>
      </w:r>
      <w:bookmarkEnd w:id="1"/>
      <w:bookmarkEnd w:id="2"/>
      <w:bookmarkEnd w:id="3"/>
      <w:bookmarkEnd w:id="4"/>
      <w:bookmarkEnd w:id="5"/>
    </w:p>
    <w:p>
      <w:pPr>
        <w:adjustRightInd w:val="0"/>
        <w:snapToGrid w:val="0"/>
        <w:spacing w:line="360" w:lineRule="auto"/>
        <w:jc w:val="center"/>
        <w:outlineLvl w:val="0"/>
        <w:rPr>
          <w:rFonts w:ascii="Times New Roman" w:eastAsia="方正小标宋简体" w:cs="Times New Roman" w:hAnsi="Times New Roman"/>
          <w:color w:val="auto"/>
          <w:sz w:val="72"/>
          <w:szCs w:val="72"/>
          <w:lang w:val="en-US" w:eastAsia="zh-CN"/>
          <w:highlight w:val="auto"/>
        </w:rPr>
      </w:pPr>
      <w:bookmarkStart w:id="6" w:name="_Toc15378442"/>
      <w:bookmarkStart w:id="7" w:name="_Toc15396476"/>
      <w:bookmarkStart w:id="8" w:name="_Toc15377426"/>
      <w:bookmarkStart w:id="9" w:name="_Toc15396598"/>
      <w:bookmarkStart w:id="10" w:name="_Toc15377194"/>
      <w:r>
        <w:rPr>
          <w:rFonts w:ascii="Times New Roman" w:eastAsia="方正小标宋简体" w:cs="Times New Roman" w:hAnsi="Times New Roman"/>
          <w:color w:val="auto"/>
          <w:sz w:val="72"/>
          <w:szCs w:val="72"/>
          <w:highlight w:val="auto"/>
        </w:rPr>
        <w:t>阿坝州</w:t>
      </w:r>
      <w:bookmarkStart w:id="11" w:name="_Toc15306268"/>
      <w:bookmarkEnd w:id="0"/>
      <w:r>
        <w:rPr>
          <w:rFonts w:ascii="Times New Roman" w:eastAsia="方正小标宋简体" w:cs="Times New Roman" w:hAnsi="Times New Roman"/>
          <w:color w:val="auto"/>
          <w:sz w:val="72"/>
          <w:szCs w:val="72"/>
          <w:lang w:val="en-US" w:eastAsia="zh-CN"/>
          <w:highlight w:val="auto"/>
        </w:rPr>
        <w:t>机构编制实名制</w:t>
      </w:r>
    </w:p>
    <w:p>
      <w:pPr>
        <w:adjustRightInd w:val="0"/>
        <w:snapToGrid w:val="0"/>
        <w:spacing w:line="360" w:lineRule="auto"/>
        <w:jc w:val="center"/>
        <w:outlineLvl w:val="0"/>
        <w:rPr>
          <w:rFonts w:ascii="Times New Roman" w:eastAsia="方正小标宋简体" w:cs="Times New Roman" w:hAnsi="Times New Roman" w:hint="eastAsia"/>
          <w:color w:val="auto"/>
          <w:sz w:val="72"/>
          <w:szCs w:val="72"/>
          <w:lang w:val="en-US" w:eastAsia="zh-CN"/>
          <w:highlight w:val="auto"/>
        </w:rPr>
      </w:pPr>
      <w:r>
        <w:rPr>
          <w:rFonts w:ascii="Times New Roman" w:eastAsia="方正小标宋简体" w:cs="Times New Roman" w:hAnsi="Times New Roman"/>
          <w:color w:val="auto"/>
          <w:sz w:val="72"/>
          <w:szCs w:val="72"/>
          <w:lang w:val="en-US" w:eastAsia="zh-CN"/>
          <w:highlight w:val="auto"/>
        </w:rPr>
        <w:t>管理中心</w:t>
      </w:r>
      <w:r>
        <w:rPr>
          <w:rFonts w:ascii="Times New Roman" w:eastAsia="方正小标宋简体" w:cs="Times New Roman" w:hAnsi="Times New Roman"/>
          <w:color w:val="auto"/>
          <w:sz w:val="72"/>
          <w:szCs w:val="72"/>
          <w:lang w:eastAsia="zh-CN"/>
          <w:highlight w:val="auto"/>
        </w:rPr>
        <w:t>单位</w:t>
      </w:r>
      <w:r>
        <w:rPr>
          <w:rFonts w:ascii="Times New Roman" w:eastAsia="方正小标宋简体" w:cs="Times New Roman" w:hAnsi="Times New Roman"/>
          <w:color w:val="auto"/>
          <w:sz w:val="72"/>
          <w:szCs w:val="72"/>
          <w:highlight w:val="auto"/>
        </w:rPr>
        <w:t>决算</w:t>
      </w:r>
      <w:bookmarkEnd w:id="6"/>
      <w:bookmarkEnd w:id="7"/>
      <w:bookmarkEnd w:id="8"/>
      <w:bookmarkEnd w:id="9"/>
      <w:bookmarkEnd w:id="10"/>
      <w:bookmarkEnd w:id="11"/>
      <w:r>
        <w:rPr>
          <w:rFonts w:eastAsia="方正小标宋简体" w:cs="Times New Roman" w:hint="eastAsia"/>
          <w:color w:val="auto"/>
          <w:sz w:val="72"/>
          <w:szCs w:val="72"/>
          <w:lang w:val="en-US" w:eastAsia="zh-CN"/>
          <w:highlight w:val="auto"/>
        </w:rPr>
        <w:t>公开</w:t>
      </w:r>
    </w:p>
    <w:p>
      <w:pPr>
        <w:widowControl/>
        <w:jc w:val="center"/>
        <w:rPr>
          <w:rFonts w:ascii="Times New Roman" w:eastAsia="方正小标宋简体" w:cs="Times New Roman" w:hAnsi="Times New Roman"/>
          <w:color w:val="auto"/>
          <w:sz w:val="36"/>
          <w:szCs w:val="36"/>
          <w:highlight w:val="auto"/>
        </w:rPr>
      </w:pPr>
    </w:p>
    <w:p>
      <w:pPr>
        <w:widowControl/>
        <w:jc w:val="center"/>
        <w:rPr>
          <w:rFonts w:ascii="Times New Roman" w:eastAsia="方正小标宋简体" w:cs="Times New Roman" w:hAnsi="Times New Roman"/>
          <w:color w:val="auto"/>
          <w:sz w:val="36"/>
          <w:szCs w:val="36"/>
          <w:highlight w:val="auto"/>
        </w:rPr>
      </w:pPr>
    </w:p>
    <w:p>
      <w:pPr>
        <w:widowControl/>
        <w:jc w:val="center"/>
        <w:rPr>
          <w:rFonts w:ascii="Times New Roman" w:eastAsia="方正小标宋简体" w:cs="Times New Roman" w:hAnsi="Times New Roman"/>
          <w:color w:val="auto"/>
          <w:sz w:val="36"/>
          <w:szCs w:val="36"/>
          <w:highlight w:val="auto"/>
        </w:rPr>
      </w:pPr>
      <w:bookmarkStart w:id="12" w:name="_GoBack"/>
      <w:bookmarkEnd w:id="12"/>
    </w:p>
    <w:p>
      <w:pPr>
        <w:pStyle w:val="15"/>
        <w:rPr>
          <w:rFonts w:ascii="Times New Roman" w:eastAsia="方正小标宋简体" w:cs="Times New Roman" w:hAnsi="Times New Roman"/>
          <w:color w:val="auto"/>
          <w:sz w:val="36"/>
          <w:szCs w:val="36"/>
          <w:highlight w:val="auto"/>
        </w:rPr>
      </w:pPr>
    </w:p>
    <w:p>
      <w:pPr>
        <w:pStyle w:val="23"/>
        <w:shd w:val="clear" w:color="auto" w:fill="FFFFFF"/>
        <w:spacing w:before="0" w:beforeAutospacing="0"/>
        <w:ind w:left="0"/>
        <w:jc w:val="center"/>
        <w:rPr>
          <w:sz w:val="32"/>
          <w:szCs w:val="32"/>
        </w:rPr>
      </w:pPr>
      <w:r>
        <w:rPr>
          <w:rFonts w:hint="eastAsia"/>
          <w:sz w:val="32"/>
          <w:szCs w:val="32"/>
          <w:lang w:eastAsia="zh-CN"/>
        </w:rPr>
        <w:t>已经</w:t>
      </w:r>
      <w:r>
        <w:rPr>
          <w:sz w:val="32"/>
          <w:szCs w:val="32"/>
        </w:rPr>
        <w:t>保密审查、内容审定，同意对外公开</w:t>
      </w:r>
    </w:p>
    <w:p>
      <w:pPr>
        <w:pStyle w:val="15"/>
        <w:rPr>
          <w:rFonts w:ascii="Times New Roman" w:eastAsia="方正小标宋简体" w:cs="Times New Roman" w:hAnsi="Times New Roman"/>
          <w:color w:val="auto"/>
          <w:sz w:val="36"/>
          <w:szCs w:val="36"/>
          <w:highlight w:val="auto"/>
        </w:rPr>
      </w:pPr>
    </w:p>
    <w:p>
      <w:pPr>
        <w:keepNext w:val="0"/>
        <w:keepLines w:val="0"/>
        <w:pageBreakBefore w:val="0"/>
        <w:widowControl/>
        <w:kinsoku/>
        <w:wordWrap/>
        <w:overflowPunct/>
        <w:topLinePunct w:val="0"/>
        <w:autoSpaceDE/>
        <w:autoSpaceDN/>
        <w:bidi w:val="0"/>
        <w:spacing w:line="560" w:lineRule="exact"/>
        <w:jc w:val="center"/>
        <w:textAlignment w:val="auto"/>
        <w:rPr>
          <w:rFonts w:ascii="Times New Roman" w:eastAsia="方正小标宋简体" w:cs="Times New Roman" w:hAnsi="Times New Roman"/>
          <w:color w:val="auto"/>
          <w:sz w:val="36"/>
          <w:szCs w:val="36"/>
          <w:highlight w:val="auto"/>
        </w:rPr>
        <w:sectPr>
          <w:headerReference w:type="default" r:id="rId2"/>
          <w:pgSz w:w="11906" w:h="16838"/>
          <w:pgMar w:top="1440" w:right="1800" w:bottom="1440" w:left="1800" w:header="851" w:footer="992" w:gutter="0"/>
          <w:pgNumType w:start="1"/>
          <w:titlePg/>
          <w:docGrid w:type="lines" w:linePitch="312" w:charSpace="0"/>
        </w:sectPr>
      </w:pPr>
    </w:p>
    <w:p>
      <w:pPr>
        <w:pStyle w:val="15"/>
      </w:pPr>
    </w:p>
    <w:p>
      <w:pPr>
        <w:keepNext w:val="0"/>
        <w:keepLines w:val="0"/>
        <w:pageBreakBefore w:val="0"/>
        <w:widowControl/>
        <w:kinsoku/>
        <w:wordWrap/>
        <w:overflowPunct/>
        <w:topLinePunct w:val="0"/>
        <w:autoSpaceDE/>
        <w:autoSpaceDN/>
        <w:bidi w:val="0"/>
        <w:spacing w:line="560" w:lineRule="exact"/>
        <w:jc w:val="center"/>
        <w:textAlignment w:val="auto"/>
        <w:rPr>
          <w:rFonts w:ascii="Times New Roman" w:eastAsia="黑体" w:cs="Times New Roman" w:hAnsi="Times New Roman"/>
          <w:color w:val="auto"/>
          <w:sz w:val="48"/>
          <w:szCs w:val="48"/>
          <w:highlight w:val="auto"/>
        </w:rPr>
      </w:pPr>
      <w:r>
        <w:rPr>
          <w:rFonts w:ascii="Times New Roman" w:eastAsia="黑体" w:cs="Times New Roman" w:hAnsi="Times New Roman"/>
          <w:color w:val="auto"/>
          <w:sz w:val="48"/>
          <w:szCs w:val="48"/>
          <w:highlight w:val="auto"/>
        </w:rPr>
        <w:t>目</w:t>
      </w:r>
      <w:r>
        <w:rPr>
          <w:rFonts w:ascii="Times New Roman" w:eastAsia="黑体" w:cs="Times New Roman" w:hAnsi="Times New Roman"/>
          <w:color w:val="auto"/>
          <w:sz w:val="48"/>
          <w:szCs w:val="48"/>
          <w:lang w:val="en-US" w:eastAsia="zh-CN"/>
          <w:highlight w:val="auto"/>
        </w:rPr>
        <w:t xml:space="preserve">  </w:t>
      </w:r>
      <w:r>
        <w:rPr>
          <w:rFonts w:ascii="Times New Roman" w:eastAsia="黑体" w:cs="Times New Roman" w:hAnsi="Times New Roman"/>
          <w:color w:val="auto"/>
          <w:sz w:val="48"/>
          <w:szCs w:val="48"/>
          <w:highlight w:val="auto"/>
        </w:rPr>
        <w:t>录</w:t>
      </w:r>
    </w:p>
    <w:p>
      <w:pPr>
        <w:keepNext w:val="0"/>
        <w:keepLines w:val="0"/>
        <w:pageBreakBefore w:val="0"/>
        <w:widowControl/>
        <w:kinsoku/>
        <w:wordWrap/>
        <w:overflowPunct/>
        <w:topLinePunct w:val="0"/>
        <w:autoSpaceDE/>
        <w:autoSpaceDN/>
        <w:bidi w:val="0"/>
        <w:spacing w:line="560" w:lineRule="exact"/>
        <w:jc w:val="center"/>
        <w:textAlignment w:val="auto"/>
        <w:rPr>
          <w:rFonts w:ascii="Times New Roman" w:eastAsia="黑体" w:cs="Times New Roman" w:hAnsi="Times New Roman"/>
          <w:color w:val="auto"/>
          <w:sz w:val="28"/>
          <w:szCs w:val="28"/>
          <w:highlight w:val="auto"/>
        </w:rPr>
      </w:pP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楷体_GB2312" w:cs="Times New Roman" w:hAnsi="Times New Roman"/>
          <w:b w:val="0"/>
          <w:bCs w:val="0"/>
          <w:color w:val="auto"/>
          <w:sz w:val="32"/>
          <w:szCs w:val="32"/>
          <w:highlight w:val="auto"/>
        </w:rPr>
      </w:pPr>
      <w:r>
        <w:rPr>
          <w:rFonts w:ascii="Times New Roman" w:eastAsia="楷体_GB2312" w:cs="Times New Roman" w:hAnsi="Times New Roman"/>
          <w:b w:val="0"/>
          <w:bCs w:val="0"/>
          <w:color w:val="auto"/>
          <w:sz w:val="32"/>
          <w:szCs w:val="32"/>
          <w:highlight w:val="auto"/>
        </w:rPr>
        <w:t>公开时间：20</w:t>
      </w:r>
      <w:r>
        <w:rPr>
          <w:rFonts w:ascii="Times New Roman" w:eastAsia="楷体_GB2312" w:cs="Times New Roman" w:hAnsi="Times New Roman"/>
          <w:b w:val="0"/>
          <w:bCs w:val="0"/>
          <w:color w:val="auto"/>
          <w:sz w:val="32"/>
          <w:szCs w:val="32"/>
          <w:lang w:val="en-US" w:eastAsia="zh-CN"/>
          <w:highlight w:val="auto"/>
        </w:rPr>
        <w:t>23</w:t>
      </w:r>
      <w:r>
        <w:rPr>
          <w:rFonts w:ascii="Times New Roman" w:eastAsia="楷体_GB2312" w:cs="Times New Roman" w:hAnsi="Times New Roman"/>
          <w:b w:val="0"/>
          <w:bCs w:val="0"/>
          <w:color w:val="auto"/>
          <w:sz w:val="32"/>
          <w:szCs w:val="32"/>
          <w:highlight w:val="auto"/>
        </w:rPr>
        <w:t>年</w:t>
      </w:r>
      <w:r>
        <w:rPr>
          <w:rFonts w:ascii="Times New Roman" w:eastAsia="楷体_GB2312" w:cs="Times New Roman" w:hAnsi="Times New Roman"/>
          <w:b w:val="0"/>
          <w:bCs w:val="0"/>
          <w:color w:val="auto"/>
          <w:sz w:val="32"/>
          <w:szCs w:val="32"/>
          <w:lang w:val="en-US" w:eastAsia="zh-CN"/>
          <w:highlight w:val="auto"/>
        </w:rPr>
        <w:t>9</w:t>
      </w:r>
      <w:r>
        <w:rPr>
          <w:rFonts w:ascii="Times New Roman" w:eastAsia="楷体_GB2312" w:cs="Times New Roman" w:hAnsi="Times New Roman"/>
          <w:b w:val="0"/>
          <w:bCs w:val="0"/>
          <w:color w:val="auto"/>
          <w:sz w:val="32"/>
          <w:szCs w:val="32"/>
          <w:highlight w:val="auto"/>
        </w:rPr>
        <w:t>月</w:t>
      </w:r>
      <w:r>
        <w:rPr>
          <w:rFonts w:ascii="Times New Roman" w:eastAsia="楷体_GB2312" w:cs="Times New Roman" w:hAnsi="Times New Roman"/>
          <w:b w:val="0"/>
          <w:bCs w:val="0"/>
          <w:color w:val="auto"/>
          <w:sz w:val="32"/>
          <w:szCs w:val="32"/>
          <w:lang w:val="en-US" w:eastAsia="zh-CN"/>
          <w:highlight w:val="auto"/>
        </w:rPr>
        <w:t>22</w:t>
      </w:r>
      <w:r>
        <w:rPr>
          <w:rFonts w:ascii="Times New Roman" w:eastAsia="楷体_GB2312" w:cs="Times New Roman" w:hAnsi="Times New Roman"/>
          <w:b w:val="0"/>
          <w:bCs w:val="0"/>
          <w:color w:val="auto"/>
          <w:sz w:val="32"/>
          <w:szCs w:val="32"/>
          <w:highlight w:val="auto"/>
        </w:rPr>
        <w:t>日</w:t>
      </w:r>
    </w:p>
    <w:p>
      <w:pPr>
        <w:keepNext w:val="0"/>
        <w:keepLines w:val="0"/>
        <w:pageBreakBefore w:val="0"/>
        <w:widowControl w:val="0"/>
        <w:kinsoku/>
        <w:wordWrap/>
        <w:overflowPunct/>
        <w:topLinePunct w:val="0"/>
        <w:autoSpaceDE/>
        <w:autoSpaceDN/>
        <w:bidi w:val="0"/>
        <w:spacing w:line="560" w:lineRule="exact"/>
        <w:textAlignment w:val="auto"/>
        <w:rPr>
          <w:rFonts w:ascii="Times New Roman" w:cs="Times New Roman" w:hAnsi="Times New Roman"/>
          <w:color w:val="auto"/>
          <w:highlight w:val="auto"/>
        </w:rPr>
      </w:pP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ind w:left="0" w:firstLine="0"/>
        <w:jc w:val="left"/>
        <w:textAlignment w:val="auto"/>
        <w:rPr>
          <w:rFonts w:ascii="Times New Roman" w:eastAsia="黑体" w:cs="Times New Roman" w:hAnsi="Times New Roman"/>
          <w:color w:val="auto"/>
          <w:sz w:val="32"/>
          <w:szCs w:val="32"/>
          <w:highlight w:val="auto"/>
        </w:rPr>
      </w:pPr>
      <w:r>
        <w:rPr>
          <w:rFonts w:ascii="Times New Roman" w:eastAsia="黑体" w:cs="Times New Roman" w:hAnsi="Times New Roman"/>
          <w:color w:val="auto"/>
          <w:sz w:val="32"/>
          <w:szCs w:val="32"/>
          <w:highlight w:val="auto"/>
        </w:rPr>
        <w:t xml:space="preserve">第一部分 </w:t>
      </w:r>
      <w:r>
        <w:rPr>
          <w:rFonts w:ascii="Times New Roman" w:eastAsia="黑体" w:cs="Times New Roman" w:hAnsi="Times New Roman"/>
          <w:color w:val="auto"/>
          <w:sz w:val="32"/>
          <w:szCs w:val="32"/>
          <w:lang w:eastAsia="zh-CN"/>
          <w:highlight w:val="auto"/>
        </w:rPr>
        <w:t>单位</w:t>
      </w:r>
      <w:r>
        <w:rPr>
          <w:rFonts w:ascii="Times New Roman" w:eastAsia="黑体" w:cs="Times New Roman" w:hAnsi="Times New Roman"/>
          <w:color w:val="auto"/>
          <w:sz w:val="32"/>
          <w:szCs w:val="32"/>
          <w:highlight w:val="auto"/>
        </w:rPr>
        <w:t>概况</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lang w:val="en-US" w:eastAsia="zh-CN"/>
          <w:highlight w:val="auto"/>
        </w:rPr>
      </w:pPr>
      <w:r>
        <w:rPr>
          <w:rFonts w:ascii="Times New Roman" w:eastAsia="仿宋_GB2312" w:cs="Times New Roman" w:hAnsi="Times New Roman"/>
          <w:color w:val="auto"/>
          <w:sz w:val="32"/>
          <w:szCs w:val="32"/>
          <w:highlight w:val="auto"/>
        </w:rPr>
        <w:t>一、</w:t>
      </w:r>
      <w:r>
        <w:rPr>
          <w:rFonts w:ascii="Times New Roman" w:eastAsia="仿宋_GB2312" w:cs="Times New Roman" w:hAnsi="Times New Roman"/>
          <w:color w:val="auto"/>
          <w:sz w:val="32"/>
          <w:szCs w:val="32"/>
          <w:lang w:eastAsia="zh-CN"/>
          <w:highlight w:val="auto"/>
        </w:rPr>
        <w:t>主要职责</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lang w:eastAsia="zh-CN"/>
          <w:highlight w:val="auto"/>
        </w:rPr>
        <w:t>二</w:t>
      </w:r>
      <w:r>
        <w:rPr>
          <w:rFonts w:ascii="Times New Roman" w:eastAsia="仿宋_GB2312" w:cs="Times New Roman" w:hAnsi="Times New Roman"/>
          <w:color w:val="auto"/>
          <w:sz w:val="32"/>
          <w:szCs w:val="32"/>
          <w:highlight w:val="auto"/>
        </w:rPr>
        <w:t>、</w:t>
      </w:r>
      <w:r>
        <w:rPr>
          <w:rFonts w:ascii="Times New Roman" w:eastAsia="仿宋_GB2312" w:cs="Times New Roman" w:hAnsi="Times New Roman"/>
          <w:color w:val="auto"/>
          <w:sz w:val="32"/>
          <w:szCs w:val="32"/>
          <w:lang w:eastAsia="zh-CN"/>
          <w:highlight w:val="auto"/>
        </w:rPr>
        <w:t>机构设置</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ind w:left="0" w:firstLine="0"/>
        <w:jc w:val="left"/>
        <w:textAlignment w:val="auto"/>
        <w:rPr>
          <w:rFonts w:ascii="Times New Roman" w:eastAsia="黑体" w:cs="Times New Roman" w:hAnsi="Times New Roman"/>
          <w:color w:val="auto"/>
          <w:sz w:val="32"/>
          <w:szCs w:val="32"/>
          <w:highlight w:val="auto"/>
        </w:rPr>
      </w:pPr>
      <w:r>
        <w:rPr>
          <w:rFonts w:ascii="Times New Roman" w:eastAsia="黑体" w:cs="Times New Roman" w:hAnsi="Times New Roman"/>
          <w:color w:val="auto"/>
          <w:sz w:val="32"/>
          <w:szCs w:val="32"/>
          <w:highlight w:val="auto"/>
        </w:rPr>
        <w:t>第二部分</w:t>
      </w:r>
      <w:r>
        <w:rPr>
          <w:rFonts w:ascii="Times New Roman" w:eastAsia="黑体" w:cs="Times New Roman" w:hAnsi="Times New Roman"/>
          <w:color w:val="auto"/>
          <w:sz w:val="32"/>
          <w:szCs w:val="32"/>
          <w:lang w:val="en-US" w:eastAsia="zh-CN"/>
          <w:highlight w:val="auto"/>
        </w:rPr>
        <w:t xml:space="preserve"> 2022年度</w:t>
      </w:r>
      <w:r>
        <w:rPr>
          <w:rFonts w:ascii="Times New Roman" w:eastAsia="黑体" w:cs="Times New Roman" w:hAnsi="Times New Roman"/>
          <w:color w:val="auto"/>
          <w:sz w:val="32"/>
          <w:szCs w:val="32"/>
          <w:lang w:eastAsia="zh-CN"/>
          <w:highlight w:val="auto"/>
        </w:rPr>
        <w:t>单位</w:t>
      </w:r>
      <w:r>
        <w:rPr>
          <w:rFonts w:ascii="Times New Roman" w:eastAsia="黑体" w:cs="Times New Roman" w:hAnsi="Times New Roman"/>
          <w:color w:val="auto"/>
          <w:sz w:val="32"/>
          <w:szCs w:val="32"/>
          <w:highlight w:val="auto"/>
        </w:rPr>
        <w:t>决算情况说明</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ind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一、收入支出决算总体情况说明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二、收入决算情况说明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三、支出决算情况说明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四、财政拨款收入支出决算总体情况说明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五、一般公共预算财政拨款支出决算情况说明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六、一般公共预算财政拨款基本支出决算情况说明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七、财政拨款</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highlight w:val="auto"/>
        </w:rPr>
        <w:t>三公”经费支出决算情况说明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八、政府性基金预算支出决算情况说明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九、国有资本经营预算支出决算情况说明</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highlight w:val="auto"/>
        </w:rPr>
        <w:t>十、其他重要事项的情况说明</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ind w:left="0" w:firstLine="0"/>
        <w:jc w:val="left"/>
        <w:textAlignment w:val="auto"/>
        <w:rPr>
          <w:rFonts w:ascii="Times New Roman" w:eastAsia="黑体" w:cs="Times New Roman" w:hAnsi="Times New Roman"/>
          <w:color w:val="auto"/>
          <w:sz w:val="32"/>
          <w:szCs w:val="32"/>
          <w:highlight w:val="auto"/>
        </w:rPr>
      </w:pPr>
      <w:r>
        <w:rPr>
          <w:rFonts w:ascii="Times New Roman" w:eastAsia="黑体" w:cs="Times New Roman" w:hAnsi="Times New Roman"/>
          <w:color w:val="auto"/>
          <w:sz w:val="32"/>
          <w:szCs w:val="32"/>
          <w:highlight w:val="auto"/>
        </w:rPr>
        <w:t>第三部分 名词解释</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ind w:left="0" w:firstLine="0"/>
        <w:jc w:val="left"/>
        <w:textAlignment w:val="auto"/>
        <w:rPr>
          <w:rFonts w:ascii="Times New Roman" w:eastAsia="黑体" w:cs="Times New Roman" w:hAnsi="Times New Roman"/>
          <w:color w:val="auto"/>
          <w:sz w:val="32"/>
          <w:szCs w:val="32"/>
          <w:highlight w:val="auto"/>
        </w:rPr>
      </w:pPr>
      <w:r>
        <w:rPr>
          <w:rFonts w:ascii="Times New Roman" w:eastAsia="黑体" w:cs="Times New Roman" w:hAnsi="Times New Roman"/>
          <w:color w:val="auto"/>
          <w:sz w:val="32"/>
          <w:szCs w:val="32"/>
          <w:highlight w:val="auto"/>
        </w:rPr>
        <w:t>第四部分 附件</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ind w:left="0" w:firstLine="0"/>
        <w:jc w:val="left"/>
        <w:textAlignment w:val="auto"/>
        <w:rPr>
          <w:rFonts w:ascii="Times New Roman" w:eastAsia="仿宋_GB2312" w:cs="Times New Roman" w:hAnsi="Times New Roman"/>
          <w:color w:val="auto"/>
          <w:sz w:val="32"/>
          <w:szCs w:val="32"/>
          <w:highlight w:val="auto"/>
        </w:rPr>
      </w:pPr>
      <w:r>
        <w:rPr>
          <w:rFonts w:ascii="Times New Roman" w:eastAsia="黑体" w:cs="Times New Roman" w:hAnsi="Times New Roman"/>
          <w:color w:val="auto"/>
          <w:sz w:val="32"/>
          <w:szCs w:val="32"/>
          <w:highlight w:val="auto"/>
        </w:rPr>
        <w:t>第五部分 附表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一、收入支出决算总表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二、收入决算表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三、支出决算表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四、财政拨款收入支出决算总表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五、财政拨款支出决算明细表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六、一般公共预算财政拨款支出决算表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七、一般公共预算财政拨款支出决算明细表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八、一般公共预算财政拨款基本支出决算</w:t>
      </w:r>
      <w:r>
        <w:rPr>
          <w:rFonts w:ascii="Times New Roman" w:eastAsia="仿宋_GB2312" w:cs="Times New Roman" w:hAnsi="Times New Roman"/>
          <w:color w:val="auto"/>
          <w:sz w:val="32"/>
          <w:szCs w:val="32"/>
          <w:lang w:eastAsia="zh-CN"/>
          <w:highlight w:val="auto"/>
        </w:rPr>
        <w:t>明细</w:t>
      </w:r>
      <w:r>
        <w:rPr>
          <w:rFonts w:ascii="Times New Roman" w:eastAsia="仿宋_GB2312" w:cs="Times New Roman" w:hAnsi="Times New Roman"/>
          <w:color w:val="auto"/>
          <w:sz w:val="32"/>
          <w:szCs w:val="32"/>
          <w:highlight w:val="auto"/>
        </w:rPr>
        <w:t>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九、一般公共预算财政拨款项目支出决算表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十、政府性基金预算财政拨款收入支出决算表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十一、国有资本经营预算财政拨款收入支出决算表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lang w:val="en-US" w:eastAsia="zh-CN"/>
          <w:highlight w:val="auto"/>
        </w:rPr>
      </w:pPr>
      <w:r>
        <w:rPr>
          <w:rFonts w:ascii="Times New Roman" w:eastAsia="仿宋_GB2312" w:cs="Times New Roman" w:hAnsi="Times New Roman"/>
          <w:color w:val="auto"/>
          <w:sz w:val="32"/>
          <w:szCs w:val="32"/>
          <w:highlight w:val="auto"/>
        </w:rPr>
        <w:t>十二、</w:t>
      </w:r>
      <w:r>
        <w:rPr>
          <w:rFonts w:ascii="Times New Roman" w:eastAsia="仿宋_GB2312" w:cs="Times New Roman" w:hAnsi="Times New Roman"/>
          <w:color w:val="auto"/>
          <w:sz w:val="32"/>
          <w:szCs w:val="32"/>
          <w:lang w:val="en-US" w:eastAsia="zh-CN"/>
          <w:highlight w:val="auto"/>
        </w:rPr>
        <w:t>国有资本经营预算财政拨款支出决算表</w:t>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ascii="Times New Roman" w:eastAsia="仿宋_GB2312" w:cs="Times New Roman" w:hAnsi="Times New Roman"/>
          <w:bCs/>
          <w:color w:val="auto"/>
          <w:kern w:val="44"/>
          <w:sz w:val="32"/>
          <w:szCs w:val="32"/>
          <w:highlight w:val="auto"/>
        </w:rPr>
      </w:pPr>
      <w:bookmarkStart w:id="13" w:name="_Toc15377196"/>
      <w:bookmarkStart w:id="14" w:name="_Toc15396599"/>
      <w:r>
        <w:rPr>
          <w:rFonts w:ascii="Times New Roman" w:eastAsia="仿宋_GB2312" w:cs="Times New Roman" w:hAnsi="Times New Roman"/>
          <w:b/>
          <w:color w:val="auto"/>
          <w:sz w:val="32"/>
          <w:szCs w:val="32"/>
          <w:highlight w:val="auto"/>
        </w:rPr>
        <w:br w:type="page"/>
      </w:r>
    </w:p>
    <w:p>
      <w:pPr>
        <w:pStyle w:val="1"/>
        <w:keepNext/>
        <w:keepLines/>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黑体" w:cs="Times New Roman" w:hAnsi="Times New Roman"/>
          <w:b w:val="0"/>
          <w:color w:val="auto"/>
          <w:highlight w:val="auto"/>
        </w:rPr>
      </w:pPr>
    </w:p>
    <w:p>
      <w:pPr>
        <w:pStyle w:val="1"/>
        <w:keepNext/>
        <w:keepLines/>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黑体" w:cs="Times New Roman" w:hAnsi="Times New Roman"/>
          <w:color w:val="auto"/>
          <w:sz w:val="32"/>
          <w:szCs w:val="32"/>
          <w:highlight w:val="auto"/>
        </w:rPr>
      </w:pPr>
      <w:r>
        <w:rPr>
          <w:rFonts w:ascii="Times New Roman" w:eastAsia="黑体" w:cs="Times New Roman" w:hAnsi="Times New Roman"/>
          <w:b w:val="0"/>
          <w:color w:val="auto"/>
          <w:highlight w:val="auto"/>
        </w:rPr>
        <w:t xml:space="preserve">第一部分 </w:t>
      </w:r>
      <w:r>
        <w:rPr>
          <w:rFonts w:ascii="Times New Roman" w:eastAsia="黑体" w:cs="Times New Roman" w:hAnsi="Times New Roman"/>
          <w:b w:val="0"/>
          <w:color w:val="auto"/>
          <w:lang w:eastAsia="zh-CN"/>
          <w:highlight w:val="auto"/>
        </w:rPr>
        <w:t>单位</w:t>
      </w:r>
      <w:r>
        <w:rPr>
          <w:rStyle w:val="1Char"/>
          <w:rFonts w:ascii="Times New Roman" w:eastAsia="黑体" w:cs="Times New Roman" w:hAnsi="Times New Roman"/>
          <w:b w:val="0"/>
          <w:bCs w:val="0"/>
          <w:color w:val="auto"/>
          <w:highlight w:val="auto"/>
        </w:rPr>
        <w:t>概况</w:t>
      </w:r>
      <w:bookmarkEnd w:id="13"/>
      <w:bookmarkEnd w:id="14"/>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cs="黑体" w:hint="eastAsia"/>
          <w:sz w:val="32"/>
          <w:szCs w:val="32"/>
          <w:lang w:eastAsia="zh-CN"/>
        </w:rPr>
      </w:pPr>
      <w:bookmarkStart w:id="15" w:name="_Toc15396600"/>
      <w:bookmarkStart w:id="16" w:name="_Toc15377197"/>
      <w:r>
        <w:rPr>
          <w:rFonts w:ascii="黑体" w:eastAsia="黑体" w:cs="黑体" w:hint="eastAsia"/>
          <w:sz w:val="32"/>
          <w:szCs w:val="32"/>
          <w:lang w:val="en-US" w:eastAsia="zh-CN"/>
        </w:rPr>
        <w:t>一、</w:t>
      </w:r>
      <w:r>
        <w:rPr>
          <w:rFonts w:ascii="黑体" w:eastAsia="黑体" w:cs="黑体" w:hint="eastAsia"/>
          <w:sz w:val="32"/>
          <w:szCs w:val="32"/>
          <w:lang w:eastAsia="zh-CN"/>
        </w:rPr>
        <w:t>主要职责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rPr>
        <w:t>阿坝州机构编制实名制管理中心，为州委编办所属正科级公益一类事业单位，其主要职责为负责全州机构编制统计工作，指导县（市）相关工作；负责全州机构编制实名制管理及网络系统运行、维护等工作，指导和协调各县（市）相关工作；负责州级党政群机关事业单位政务和公益中文域名注册登记和网站名称审核工作，指导和监督县（市）相关工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Chars="200" w:firstLine="640"/>
        <w:textAlignment w:val="auto"/>
        <w:rPr>
          <w:rFonts w:ascii="Times New Roman" w:eastAsia="黑体" w:cs="Times New Roman" w:hAnsi="Times New Roman"/>
          <w:sz w:val="32"/>
          <w:szCs w:val="32"/>
          <w:lang w:val="en-US" w:eastAsia="zh-CN"/>
        </w:rPr>
      </w:pPr>
      <w:r>
        <w:rPr>
          <w:rFonts w:ascii="Times New Roman" w:eastAsia="黑体" w:cs="Times New Roman" w:hAnsi="Times New Roman"/>
          <w:sz w:val="32"/>
          <w:szCs w:val="32"/>
          <w:lang w:val="en-US" w:eastAsia="zh-CN"/>
        </w:rPr>
        <w:t>机构设置</w:t>
      </w: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r>
        <w:rPr>
          <w:rFonts w:ascii="Times New Roman" w:eastAsia="仿宋_GB2312" w:cs="Times New Roman" w:hAnsi="Times New Roman"/>
          <w:kern w:val="2"/>
          <w:sz w:val="32"/>
          <w:szCs w:val="32"/>
          <w:lang w:val="en-US" w:eastAsia="zh-CN" w:bidi="ar-SA"/>
        </w:rPr>
        <w:t>我单位无二级预算单位</w:t>
      </w:r>
      <w:r>
        <w:rPr>
          <w:rFonts w:ascii="Times New Roman" w:cs="Times New Roman" w:hAnsi="Times New Roman"/>
          <w:kern w:val="2"/>
          <w:sz w:val="32"/>
          <w:szCs w:val="32"/>
          <w:lang w:val="en-US" w:eastAsia="zh-CN" w:bidi="ar-SA"/>
        </w:rPr>
        <w:t>。</w:t>
      </w: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p>
    <w:p>
      <w:pPr>
        <w:pStyle w:val="1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kern w:val="2"/>
          <w:sz w:val="32"/>
          <w:szCs w:val="32"/>
          <w:lang w:val="en-US" w:eastAsia="zh-CN" w:bidi="ar-SA"/>
        </w:rPr>
      </w:pPr>
    </w:p>
    <w:p>
      <w:pPr>
        <w:widowControl/>
        <w:jc w:val="left"/>
        <w:rPr>
          <w:rFonts w:ascii="Times New Roman" w:eastAsia="仿宋" w:cs="Times New Roman" w:hAnsi="Times New Roman"/>
          <w:color w:val="auto"/>
          <w:kern w:val="0"/>
          <w:sz w:val="32"/>
          <w:szCs w:val="32"/>
          <w:highlight w:val="auto"/>
        </w:rPr>
      </w:pPr>
      <w:bookmarkEnd w:id="15"/>
      <w:bookmarkEnd w:id="16"/>
      <w:r>
        <w:rPr>
          <w:rFonts w:ascii="Times New Roman" w:eastAsia="仿宋" w:cs="Times New Roman" w:hAnsi="Times New Roman"/>
          <w:color w:val="auto"/>
          <w:sz w:val="32"/>
          <w:szCs w:val="32"/>
          <w:highlight w:val="auto"/>
        </w:rPr>
        <w:br w:type="page"/>
      </w:r>
    </w:p>
    <w:p>
      <w:pPr>
        <w:pStyle w:val="1"/>
        <w:keepNext/>
        <w:keepLines/>
        <w:pageBreakBefore w:val="0"/>
        <w:widowControl w:val="0"/>
        <w:kinsoku/>
        <w:wordWrap/>
        <w:overflowPunct/>
        <w:topLinePunct w:val="0"/>
        <w:autoSpaceDE/>
        <w:autoSpaceDN/>
        <w:bidi w:val="0"/>
        <w:adjustRightInd/>
        <w:snapToGrid/>
        <w:spacing w:line="560" w:lineRule="exact"/>
        <w:ind w:right="440"/>
        <w:jc w:val="center"/>
        <w:textAlignment w:val="auto"/>
        <w:rPr>
          <w:rFonts w:ascii="Times New Roman" w:eastAsia="黑体" w:cs="Times New Roman" w:hAnsi="Times New Roman"/>
          <w:b w:val="0"/>
          <w:bCs/>
          <w:color w:val="auto"/>
          <w:lang w:val="en-US" w:eastAsia="zh-CN"/>
          <w:highlight w:val="auto"/>
        </w:rPr>
      </w:pPr>
      <w:bookmarkStart w:id="17" w:name="_Toc15396602"/>
      <w:bookmarkStart w:id="18" w:name="_Toc15377204"/>
    </w:p>
    <w:p>
      <w:pPr>
        <w:pStyle w:val="1"/>
        <w:keepNext/>
        <w:keepLines/>
        <w:pageBreakBefore w:val="0"/>
        <w:widowControl w:val="0"/>
        <w:kinsoku/>
        <w:wordWrap/>
        <w:overflowPunct/>
        <w:topLinePunct w:val="0"/>
        <w:autoSpaceDE/>
        <w:autoSpaceDN/>
        <w:bidi w:val="0"/>
        <w:adjustRightInd/>
        <w:snapToGrid/>
        <w:spacing w:line="560" w:lineRule="exact"/>
        <w:ind w:right="440"/>
        <w:jc w:val="center"/>
        <w:textAlignment w:val="auto"/>
        <w:rPr>
          <w:rStyle w:val="1Char"/>
          <w:rFonts w:ascii="Times New Roman" w:eastAsia="黑体" w:cs="Times New Roman" w:hAnsi="Times New Roman"/>
          <w:b w:val="0"/>
          <w:bCs/>
          <w:color w:val="auto"/>
          <w:highlight w:val="auto"/>
        </w:rPr>
      </w:pPr>
      <w:r>
        <w:rPr>
          <w:rFonts w:ascii="Times New Roman" w:eastAsia="黑体" w:cs="Times New Roman" w:hAnsi="Times New Roman"/>
          <w:b w:val="0"/>
          <w:bCs/>
          <w:color w:val="auto"/>
          <w:lang w:val="en-US" w:eastAsia="zh-CN"/>
          <w:highlight w:val="auto"/>
        </w:rPr>
        <w:t xml:space="preserve"> </w:t>
      </w:r>
      <w:r>
        <w:rPr>
          <w:rFonts w:ascii="Times New Roman" w:eastAsia="黑体" w:cs="Times New Roman" w:hAnsi="Times New Roman"/>
          <w:b w:val="0"/>
          <w:bCs/>
          <w:color w:val="auto"/>
          <w:highlight w:val="auto"/>
        </w:rPr>
        <w:t xml:space="preserve">第二部分 </w:t>
      </w:r>
      <w:r>
        <w:rPr>
          <w:rFonts w:ascii="Times New Roman" w:eastAsia="黑体" w:cs="Times New Roman" w:hAnsi="Times New Roman"/>
          <w:b w:val="0"/>
          <w:bCs/>
          <w:color w:val="auto"/>
          <w:lang w:val="en-US" w:eastAsia="zh-CN"/>
          <w:highlight w:val="auto"/>
        </w:rPr>
        <w:t>2022年度</w:t>
      </w:r>
      <w:r>
        <w:rPr>
          <w:rStyle w:val="1Char"/>
          <w:rFonts w:ascii="Times New Roman" w:eastAsia="黑体" w:cs="Times New Roman" w:hAnsi="Times New Roman"/>
          <w:b w:val="0"/>
          <w:bCs/>
          <w:color w:val="auto"/>
          <w:lang w:eastAsia="zh-CN"/>
          <w:highlight w:val="auto"/>
        </w:rPr>
        <w:t>单位</w:t>
      </w:r>
      <w:r>
        <w:rPr>
          <w:rStyle w:val="1Char"/>
          <w:rFonts w:ascii="Times New Roman" w:eastAsia="黑体" w:cs="Times New Roman" w:hAnsi="Times New Roman"/>
          <w:b w:val="0"/>
          <w:bCs/>
          <w:color w:val="auto"/>
          <w:highlight w:val="auto"/>
        </w:rPr>
        <w:t>决算情况说明</w:t>
      </w:r>
      <w:bookmarkEnd w:id="17"/>
      <w:bookmarkEnd w:id="18"/>
    </w:p>
    <w:p>
      <w:pPr>
        <w:pageBreakBefore w:val="0"/>
        <w:widowControl w:val="0"/>
        <w:kinsoku/>
        <w:wordWrap/>
        <w:overflowPunct/>
        <w:topLinePunct w:val="0"/>
        <w:autoSpaceDE/>
        <w:autoSpaceDN/>
        <w:bidi w:val="0"/>
        <w:adjustRightInd/>
        <w:snapToGrid/>
        <w:spacing w:line="560" w:lineRule="exact"/>
        <w:textAlignment w:val="auto"/>
        <w:rPr>
          <w:rFonts w:ascii="Times New Roman" w:cs="Times New Roman" w:hAnsi="Times New Roman"/>
          <w:color w:val="auto"/>
          <w:highlight w:val="auto"/>
        </w:rPr>
      </w:pPr>
    </w:p>
    <w:p>
      <w:pPr>
        <w:pStyle w:val="31"/>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outlineLvl w:val="1"/>
        <w:rPr>
          <w:rStyle w:val="2Char"/>
          <w:rFonts w:ascii="Times New Roman" w:eastAsia="黑体" w:cs="Times New Roman" w:hAnsi="Times New Roman"/>
          <w:b w:val="0"/>
          <w:color w:val="auto"/>
          <w:highlight w:val="auto"/>
        </w:rPr>
      </w:pPr>
      <w:bookmarkStart w:id="19" w:name="_Toc15377205"/>
      <w:bookmarkStart w:id="20" w:name="_Toc15396603"/>
      <w:r>
        <w:rPr>
          <w:rFonts w:ascii="Times New Roman" w:eastAsia="黑体" w:cs="Times New Roman" w:hAnsi="Times New Roman"/>
          <w:color w:val="auto"/>
          <w:sz w:val="32"/>
          <w:szCs w:val="32"/>
          <w:highlight w:val="auto"/>
        </w:rPr>
        <w:t>收</w:t>
      </w:r>
      <w:r>
        <w:rPr>
          <w:rStyle w:val="2Char"/>
          <w:rFonts w:ascii="Times New Roman" w:eastAsia="黑体" w:cs="Times New Roman" w:hAnsi="Times New Roman"/>
          <w:b w:val="0"/>
          <w:color w:val="auto"/>
          <w:highlight w:val="auto"/>
        </w:rPr>
        <w:t>入支出决算总体情况说明</w:t>
      </w:r>
      <w:bookmarkEnd w:id="19"/>
      <w:bookmarkEnd w:id="20"/>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 w:cs="Times New Roman" w:hAnsi="Times New Roman"/>
          <w:color w:val="E6B9B8"/>
          <w:sz w:val="32"/>
          <w:szCs w:val="32"/>
          <w:lang w:eastAsia="zh-CN"/>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年度收、支总计</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万元。与20</w:t>
      </w:r>
      <w:r>
        <w:rPr>
          <w:rFonts w:ascii="Times New Roman" w:eastAsia="仿宋" w:cs="Times New Roman" w:hAnsi="Times New Roman"/>
          <w:color w:val="auto"/>
          <w:sz w:val="32"/>
          <w:szCs w:val="32"/>
          <w:lang w:val="en-US" w:eastAsia="zh-CN"/>
          <w:highlight w:val="auto"/>
        </w:rPr>
        <w:t>21</w:t>
      </w:r>
      <w:r>
        <w:rPr>
          <w:rFonts w:ascii="Times New Roman" w:eastAsia="仿宋" w:cs="Times New Roman" w:hAnsi="Times New Roman"/>
          <w:color w:val="auto"/>
          <w:sz w:val="32"/>
          <w:szCs w:val="32"/>
          <w:highlight w:val="auto"/>
        </w:rPr>
        <w:t>年相比，收、支总计各增加</w:t>
      </w:r>
      <w:r>
        <w:rPr>
          <w:rFonts w:ascii="Times New Roman" w:eastAsia="仿宋" w:cs="Times New Roman" w:hAnsi="Times New Roman"/>
          <w:color w:val="auto"/>
          <w:sz w:val="32"/>
          <w:szCs w:val="32"/>
          <w:lang w:val="en-US" w:eastAsia="zh-CN"/>
          <w:highlight w:val="auto"/>
        </w:rPr>
        <w:t>51.47</w:t>
      </w:r>
      <w:r>
        <w:rPr>
          <w:rFonts w:ascii="Times New Roman" w:eastAsia="仿宋" w:cs="Times New Roman" w:hAnsi="Times New Roman"/>
          <w:color w:val="auto"/>
          <w:sz w:val="32"/>
          <w:szCs w:val="32"/>
          <w:highlight w:val="auto"/>
        </w:rPr>
        <w:t>万元，增长</w:t>
      </w:r>
      <w:r>
        <w:rPr>
          <w:rFonts w:ascii="Times New Roman" w:eastAsia="仿宋" w:cs="Times New Roman" w:hAnsi="Times New Roman"/>
          <w:color w:val="auto"/>
          <w:sz w:val="32"/>
          <w:szCs w:val="32"/>
          <w:lang w:val="en-US" w:eastAsia="zh-CN"/>
          <w:highlight w:val="auto"/>
        </w:rPr>
        <w:t>51.03</w:t>
      </w:r>
      <w:r>
        <w:rPr>
          <w:rFonts w:ascii="Times New Roman" w:eastAsia="仿宋" w:cs="Times New Roman" w:hAnsi="Times New Roman"/>
          <w:color w:val="auto"/>
          <w:sz w:val="32"/>
          <w:szCs w:val="32"/>
          <w:highlight w:val="auto"/>
        </w:rPr>
        <w:t>%。主要变动原因是</w:t>
      </w:r>
      <w:r>
        <w:rPr>
          <w:rFonts w:ascii="Times New Roman" w:eastAsia="仿宋" w:cs="Times New Roman" w:hAnsi="Times New Roman"/>
          <w:color w:val="auto"/>
          <w:sz w:val="32"/>
          <w:szCs w:val="32"/>
          <w:lang w:val="en-US" w:eastAsia="zh-CN"/>
          <w:highlight w:val="auto"/>
        </w:rPr>
        <w:t>人员变动</w:t>
      </w:r>
      <w:r>
        <w:rPr>
          <w:rFonts w:ascii="Times New Roman" w:eastAsia="仿宋" w:cs="Times New Roman" w:hAnsi="Times New Roman"/>
          <w:color w:val="auto"/>
          <w:sz w:val="32"/>
          <w:szCs w:val="32"/>
          <w:lang w:eastAsia="zh-CN"/>
          <w:highlight w:val="auto"/>
        </w:rPr>
        <w:t>。</w:t>
      </w:r>
    </w:p>
    <w:p>
      <w:pPr>
        <w:pStyle w:val="26"/>
        <w:rPr>
          <w:rFonts w:ascii="Times New Roman" w:eastAsia="仿宋" w:cs="Times New Roman" w:hAnsi="Times New Roman"/>
          <w:color w:val="E6B9B8"/>
          <w:sz w:val="32"/>
          <w:szCs w:val="32"/>
          <w:lang w:eastAsia="zh-CN"/>
          <w:highlight w:val="auto"/>
        </w:rPr>
      </w:pPr>
      <w:r>
        <w:rPr>
          <w:rFonts w:ascii="Times New Roman" w:eastAsia="仿宋" w:cs="Times New Roman" w:hAnsi="Times New Roman"/>
          <w:color w:val="E6B9B8"/>
          <w:sz w:val="32"/>
          <w:szCs w:val="32"/>
          <w:lang w:eastAsia="zh-CN"/>
          <w:highlight w:val="auto"/>
        </w:rPr>
        <w:drawing>
          <wp:inline distT="0" distB="0" distL="114300" distR="114300">
            <wp:extent cx="5256530" cy="2988310"/>
            <wp:effectExtent l="0" t="0" r="0" b="0"/>
            <wp:docPr id="7"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6"/>
        <w:rPr>
          <w:rFonts w:ascii="Times New Roman" w:eastAsia="仿宋" w:cs="Times New Roman" w:hAnsi="Times New Roman"/>
          <w:color w:val="E6B9B8"/>
          <w:sz w:val="32"/>
          <w:szCs w:val="32"/>
          <w:lang w:eastAsia="zh-CN"/>
          <w:highlight w:val="auto"/>
        </w:rPr>
      </w:pPr>
    </w:p>
    <w:p>
      <w:pPr>
        <w:pStyle w:val="31"/>
        <w:numPr>
          <w:ilvl w:val="0"/>
          <w:numId w:val="2"/>
        </w:numPr>
        <w:spacing w:line="600" w:lineRule="exact"/>
        <w:ind w:firstLineChars="0"/>
        <w:outlineLvl w:val="1"/>
        <w:rPr>
          <w:rStyle w:val="2Char"/>
          <w:rFonts w:ascii="Times New Roman" w:eastAsia="黑体" w:cs="Times New Roman" w:hAnsi="Times New Roman"/>
          <w:b w:val="0"/>
          <w:color w:val="auto"/>
          <w:highlight w:val="auto"/>
        </w:rPr>
      </w:pPr>
      <w:bookmarkStart w:id="21" w:name="_Toc15377206"/>
      <w:bookmarkStart w:id="22" w:name="_Toc15396604"/>
      <w:r>
        <w:rPr>
          <w:rFonts w:ascii="Times New Roman" w:eastAsia="黑体" w:cs="Times New Roman" w:hAnsi="Times New Roman"/>
          <w:color w:val="auto"/>
          <w:sz w:val="32"/>
          <w:szCs w:val="32"/>
          <w:highlight w:val="auto"/>
        </w:rPr>
        <w:t>收</w:t>
      </w:r>
      <w:r>
        <w:rPr>
          <w:rStyle w:val="2Char"/>
          <w:rFonts w:ascii="Times New Roman" w:eastAsia="黑体" w:cs="Times New Roman" w:hAnsi="Times New Roman"/>
          <w:b w:val="0"/>
          <w:color w:val="auto"/>
          <w:highlight w:val="auto"/>
        </w:rPr>
        <w:t>入决算情况说明</w:t>
      </w:r>
      <w:bookmarkEnd w:id="21"/>
      <w:bookmarkEnd w:id="22"/>
    </w:p>
    <w:p>
      <w:pPr>
        <w:spacing w:line="600" w:lineRule="exact"/>
        <w:ind w:firstLineChars="200" w:firstLine="640"/>
        <w:outlineLvl w:val="1"/>
        <w:rPr>
          <w:rFonts w:ascii="Times New Roman" w:eastAsia="仿宋" w:cs="Times New Roman" w:hAnsi="Times New Roman"/>
          <w:color w:val="auto"/>
          <w:sz w:val="32"/>
          <w:szCs w:val="32"/>
          <w:lang w:eastAsia="zh-CN"/>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年本年收入合计</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万元，其中：一般公共预算财政拨款收入</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100</w:t>
      </w:r>
      <w:r>
        <w:rPr>
          <w:rFonts w:ascii="Times New Roman" w:eastAsia="仿宋" w:cs="Times New Roman" w:hAnsi="Times New Roman"/>
          <w:color w:val="auto"/>
          <w:sz w:val="32"/>
          <w:szCs w:val="32"/>
          <w:highlight w:val="auto"/>
        </w:rPr>
        <w:t>%</w:t>
      </w:r>
      <w:r>
        <w:rPr>
          <w:rFonts w:ascii="Times New Roman" w:eastAsia="仿宋" w:cs="Times New Roman" w:hAnsi="Times New Roman"/>
          <w:color w:val="auto"/>
          <w:sz w:val="32"/>
          <w:szCs w:val="32"/>
          <w:lang w:eastAsia="zh-CN"/>
          <w:highlight w:val="auto"/>
        </w:rPr>
        <w:t>。</w:t>
      </w:r>
    </w:p>
    <w:p>
      <w:pPr>
        <w:pStyle w:val="26"/>
        <w:rPr>
          <w:rFonts w:ascii="Times New Roman" w:eastAsia="仿宋" w:cs="Times New Roman" w:hAnsi="Times New Roman"/>
          <w:color w:val="auto"/>
          <w:sz w:val="32"/>
          <w:szCs w:val="32"/>
          <w:highlight w:val="auto"/>
        </w:rPr>
      </w:pPr>
    </w:p>
    <w:p>
      <w:pPr>
        <w:pStyle w:val="26"/>
        <w:rPr>
          <w:rFonts w:ascii="Times New Roman" w:eastAsia="仿宋_GB2312" w:cs="Times New Roman" w:hAnsi="Times New Roman"/>
          <w:color w:val="auto"/>
          <w:sz w:val="32"/>
          <w:szCs w:val="32"/>
          <w:highlight w:val="auto"/>
        </w:rPr>
      </w:pPr>
      <w:r>
        <w:rPr>
          <w:rFonts w:ascii="Times New Roman" w:cs="Times New Roman" w:hAnsi="Times New Roman"/>
          <w:sz w:val="32"/>
        </w:rPr>
        <mc:AlternateContent>
          <mc:Choice Requires="wps">
            <w:drawing>
              <wp:anchor distT="0" distB="0" distL="114298" distR="114298" simplePos="0" relativeHeight="37" behindDoc="0" locked="0" layoutInCell="1" hidden="0" allowOverlap="1">
                <wp:simplePos x="0" y="0"/>
                <wp:positionH relativeFrom="column">
                  <wp:posOffset>2489835</wp:posOffset>
                </wp:positionH>
                <wp:positionV relativeFrom="paragraph">
                  <wp:posOffset>1631950</wp:posOffset>
                </wp:positionV>
                <wp:extent cx="666750" cy="294640"/>
                <wp:effectExtent l="0" t="0" r="0" b="0"/>
                <wp:wrapNone/>
                <wp:docPr id="8" name="文本框 4"/>
                <wp:cNvGraphicFramePr>
                  <a:graphicFrameLocks noChangeAspect="0"/>
                </wp:cNvGraphicFramePr>
                <a:graphic>
                  <a:graphicData uri="http://schemas.microsoft.com/office/word/2010/wordprocessingShape">
                    <wps:wsp>
                      <wps:cNvSpPr/>
                      <wps:spPr>
                        <a:xfrm rot="0">
                          <a:off x="0" y="0"/>
                          <a:ext cx="666750" cy="294640"/>
                        </a:xfrm>
                        <a:prstGeom prst="rect"/>
                        <a:solidFill>
                          <a:srgbClr val="9BBB59"/>
                        </a:solidFill>
                        <a:ln w="6350" cmpd="sng" cap="flat">
                          <a:noFill/>
                          <a:prstDash val="solid"/>
                          <a:round/>
                        </a:ln>
                      </wps:spPr>
                      <wps:txbx id="9">
                        <w:txbxContent>
                          <w:p>
                            <w:pPr>
                              <w:rPr>
                                <w:rFonts w:hint="eastAsia"/>
                                <w:lang w:val="en-US" w:eastAsia="zh-CN"/>
                              </w:rPr>
                            </w:pPr>
                            <w:r>
                              <w:rPr>
                                <w:rFonts w:hint="eastAsia"/>
                                <w:lang w:val="en-US" w:eastAsia="zh-CN"/>
                              </w:rPr>
                              <w:t>100%</w:t>
                            </w:r>
                          </w:p>
                          <w:p>
                            <w:pPr>
                              <w:pStyle w:val="26"/>
                              <w:rPr>
                                <w:lang w:val="en-US" w:eastAsia="zh-CN"/>
                              </w:rPr>
                            </w:pPr>
                          </w:p>
                        </w:txbxContent>
                      </wps:txbx>
                      <wps:bodyPr vert="horz" wrap="square" lIns="91440" tIns="45720" rIns="91440" bIns="45720" anchor="t" anchorCtr="0" upright="0">
                        <a:noAutofit/>
                      </wps:bodyPr>
                    </wps:wsp>
                  </a:graphicData>
                </a:graphic>
              </wp:anchor>
            </w:drawing>
          </mc:Choice>
          <mc:Fallback>
            <w:pict>
              <v:rect type="#_x0000_t1" id="文本框 4 10" o:spid="_x0000_s10" fillcolor="#9BBB59" stroked="f" strokeweight="0.5pt" style="position:absolute;margin-left:196.05pt;margin-top:128.5pt;width:52.5pt;height:23.200003pt;z-index:37;mso-position-horizontal:absolute;mso-position-vertical:absolute;mso-wrap-distance-left:8.999863pt;mso-wrap-distance-right:8.999863pt;mso-wrap-style:square;">
                <v:stroke color="#000000"/>
                <v:textbox id="854" inset="2.54mm,1.27mm,2.54mm,1.27mm" o:insetmode="custom" style="layout-flow:horizontal;v-text-anchor:top;">
                  <w:txbxContent>
                    <w:p>
                      <w:pPr>
                        <w:rPr>
                          <w:rFonts w:hint="eastAsia"/>
                          <w:lang w:val="en-US" w:eastAsia="zh-CN"/>
                        </w:rPr>
                      </w:pPr>
                      <w:r>
                        <w:rPr>
                          <w:rFonts w:hint="eastAsia"/>
                          <w:lang w:val="en-US" w:eastAsia="zh-CN"/>
                        </w:rPr>
                        <w:t>100%</w:t>
                      </w:r>
                    </w:p>
                    <w:p>
                      <w:pPr>
                        <w:pStyle w:val="26"/>
                        <w:rPr>
                          <w:lang w:val="en-US" w:eastAsia="zh-CN"/>
                        </w:rPr>
                      </w:pPr>
                    </w:p>
                  </w:txbxContent>
                </v:textbox>
              </v:rect>
            </w:pict>
          </mc:Fallback>
        </mc:AlternateContent>
      </w: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11"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31"/>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outlineLvl w:val="1"/>
        <w:rPr>
          <w:rStyle w:val="2Char"/>
          <w:rFonts w:ascii="Times New Roman" w:eastAsia="黑体" w:cs="Times New Roman" w:hAnsi="Times New Roman"/>
          <w:b w:val="0"/>
          <w:color w:val="auto"/>
          <w:highlight w:val="auto"/>
        </w:rPr>
      </w:pPr>
      <w:bookmarkStart w:id="23" w:name="_Toc15377207"/>
      <w:bookmarkStart w:id="24" w:name="_Toc15396605"/>
      <w:r>
        <w:rPr>
          <w:rFonts w:ascii="Times New Roman" w:eastAsia="黑体" w:cs="Times New Roman" w:hAnsi="Times New Roman"/>
          <w:color w:val="auto"/>
          <w:sz w:val="32"/>
          <w:szCs w:val="32"/>
          <w:highlight w:val="auto"/>
        </w:rPr>
        <w:t>支</w:t>
      </w:r>
      <w:r>
        <w:rPr>
          <w:rStyle w:val="2Char"/>
          <w:rFonts w:ascii="Times New Roman" w:eastAsia="黑体" w:cs="Times New Roman" w:hAnsi="Times New Roman"/>
          <w:b w:val="0"/>
          <w:color w:val="auto"/>
          <w:highlight w:val="auto"/>
        </w:rPr>
        <w:t>出决算情况说明</w:t>
      </w:r>
      <w:bookmarkEnd w:id="23"/>
      <w:bookmarkEnd w:id="24"/>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Times New Roman" w:eastAsia="仿宋" w:cs="Times New Roman" w:hAnsi="Times New Roman"/>
          <w:color w:val="auto"/>
          <w:sz w:val="32"/>
          <w:szCs w:val="32"/>
          <w:shd w:val="pct10" w:color="auto" w:fill="FFFFFF"/>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年本年支出合计</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万元，其中：基本支出</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100</w:t>
      </w:r>
      <w:r>
        <w:rPr>
          <w:rFonts w:ascii="Times New Roman" w:eastAsia="仿宋" w:cs="Times New Roman" w:hAnsi="Times New Roman"/>
          <w:color w:val="auto"/>
          <w:sz w:val="32"/>
          <w:szCs w:val="32"/>
          <w:highlight w:val="auto"/>
        </w:rPr>
        <w:t>%</w:t>
      </w:r>
      <w:r>
        <w:rPr>
          <w:rFonts w:ascii="Times New Roman" w:eastAsia="仿宋" w:cs="Times New Roman" w:hAnsi="Times New Roman"/>
          <w:color w:val="auto"/>
          <w:sz w:val="32"/>
          <w:szCs w:val="32"/>
          <w:lang w:eastAsia="zh-CN"/>
          <w:highlight w:val="auto"/>
        </w:rPr>
        <w:t>。</w:t>
      </w:r>
    </w:p>
    <w:p>
      <w:pPr>
        <w:pStyle w:val="26"/>
        <w:rPr>
          <w:rFonts w:ascii="Times New Roman" w:eastAsia="仿宋_GB2312" w:cs="Times New Roman" w:hAnsi="Times New Roman"/>
          <w:color w:val="auto"/>
          <w:sz w:val="32"/>
          <w:szCs w:val="32"/>
          <w:highlight w:val="auto"/>
        </w:rPr>
      </w:pPr>
      <w:r>
        <w:rPr>
          <w:rFonts w:ascii="Times New Roman" w:cs="Times New Roman" w:hAnsi="Times New Roman"/>
          <w:sz w:val="32"/>
        </w:rPr>
        <mc:AlternateContent>
          <mc:Choice Requires="wps">
            <w:drawing>
              <wp:anchor distT="0" distB="0" distL="114298" distR="114298" simplePos="0" relativeHeight="39" behindDoc="0" locked="0" layoutInCell="1" hidden="0" allowOverlap="1">
                <wp:simplePos x="0" y="0"/>
                <wp:positionH relativeFrom="column">
                  <wp:posOffset>2461260</wp:posOffset>
                </wp:positionH>
                <wp:positionV relativeFrom="paragraph">
                  <wp:posOffset>1622425</wp:posOffset>
                </wp:positionV>
                <wp:extent cx="1028700" cy="361950"/>
                <wp:effectExtent l="0" t="0" r="0" b="0"/>
                <wp:wrapNone/>
                <wp:docPr id="12" name="文本框 6"/>
                <wp:cNvGraphicFramePr>
                  <a:graphicFrameLocks noChangeAspect="0"/>
                </wp:cNvGraphicFramePr>
                <a:graphic>
                  <a:graphicData uri="http://schemas.microsoft.com/office/word/2010/wordprocessingShape">
                    <wps:wsp>
                      <wps:cNvSpPr/>
                      <wps:spPr>
                        <a:xfrm rot="0">
                          <a:off x="0" y="0"/>
                          <a:ext cx="1028700" cy="361950"/>
                        </a:xfrm>
                        <a:prstGeom prst="rect"/>
                        <a:solidFill>
                          <a:srgbClr val="8064A2"/>
                        </a:solidFill>
                        <a:ln w="6350" cmpd="sng" cap="flat">
                          <a:noFill/>
                          <a:prstDash val="solid"/>
                          <a:round/>
                        </a:ln>
                      </wps:spPr>
                      <wps:txbx id="13">
                        <w:txbxContent>
                          <w:p>
                            <w:pPr>
                              <w:rPr>
                                <w:rFonts w:eastAsia="宋体"/>
                                <w:lang w:val="en-US" w:eastAsia="zh-CN"/>
                              </w:rPr>
                            </w:pPr>
                            <w:r>
                              <w:rPr>
                                <w:rFonts w:hint="eastAsia"/>
                                <w:lang w:val="en-US" w:eastAsia="zh-CN"/>
                              </w:rPr>
                              <w:t>100%</w:t>
                            </w:r>
                          </w:p>
                        </w:txbxContent>
                      </wps:txbx>
                      <wps:bodyPr vert="horz" wrap="square" lIns="91440" tIns="45720" rIns="91440" bIns="45720" anchor="t" anchorCtr="0" upright="0">
                        <a:noAutofit/>
                      </wps:bodyPr>
                    </wps:wsp>
                  </a:graphicData>
                </a:graphic>
              </wp:anchor>
            </w:drawing>
          </mc:Choice>
          <mc:Fallback>
            <w:pict>
              <v:rect type="#_x0000_t1" id="文本框 6 14" o:spid="_x0000_s14" fillcolor="#8064A2" stroked="f" strokeweight="0.5pt" style="position:absolute;margin-left:193.8pt;margin-top:127.74999pt;width:81.0pt;height:28.5pt;z-index:39;mso-position-horizontal:absolute;mso-position-vertical:absolute;mso-wrap-distance-left:8.999863pt;mso-wrap-distance-right:8.999863pt;mso-wrap-style:square;">
                <v:stroke color="#000000"/>
                <v:textbox id="855" inset="2.54mm,1.27mm,2.54mm,1.27mm" o:insetmode="custom" style="layout-flow:horizontal;v-text-anchor:top;">
                  <w:txbxContent>
                    <w:p>
                      <w:pPr>
                        <w:rPr>
                          <w:rFonts w:eastAsia="宋体"/>
                          <w:lang w:val="en-US" w:eastAsia="zh-CN"/>
                        </w:rPr>
                      </w:pPr>
                      <w:r>
                        <w:rPr>
                          <w:rFonts w:hint="eastAsia"/>
                          <w:lang w:val="en-US" w:eastAsia="zh-CN"/>
                        </w:rPr>
                        <w:t>100%</w:t>
                      </w:r>
                    </w:p>
                  </w:txbxContent>
                </v:textbox>
              </v:rect>
            </w:pict>
          </mc:Fallback>
        </mc:AlternateContent>
      </w:r>
      <w:r>
        <w:rPr>
          <w:rFonts w:ascii="Times New Roman" w:eastAsia="仿宋" w:cs="Times New Roman" w:hAnsi="Times New Roman"/>
          <w:color w:val="auto"/>
          <w:sz w:val="32"/>
          <w:szCs w:val="32"/>
          <w:shd w:val="pct10" w:color="auto" w:fill="FFFFFF"/>
          <w:lang w:eastAsia="zh-CN"/>
          <w:highlight w:val="auto"/>
        </w:rPr>
        <w:drawing>
          <wp:inline distT="0" distB="0" distL="114300" distR="114300">
            <wp:extent cx="5256530" cy="2988310"/>
            <wp:effectExtent l="0" t="0" r="0" b="0"/>
            <wp:docPr id="15" name="图表 5"/>
            <wp:cNvGraphicFramePr>
              <a:graphicFrameLocks noChangeAspect="0"/>
            </wp:cNvGraphicFramePr>
            <a:graphic>
              <a:graphicData uri="http://schemas.openxmlformats.org/drawingml/2006/chart">
                <c:chart xmlns:c="http://schemas.openxmlformats.org/drawingml/2006/chart" r:id="rId7"/>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Style w:val="2Char"/>
          <w:rFonts w:ascii="Times New Roman" w:eastAsia="黑体" w:cs="Times New Roman" w:hAnsi="Times New Roman"/>
          <w:b w:val="0"/>
          <w:color w:val="auto"/>
          <w:highlight w:val="auto"/>
        </w:rPr>
      </w:pPr>
      <w:bookmarkStart w:id="25" w:name="_Toc15396606"/>
      <w:bookmarkStart w:id="26" w:name="_Toc15377208"/>
      <w:r>
        <w:rPr>
          <w:rFonts w:ascii="Times New Roman" w:eastAsia="黑体" w:cs="Times New Roman" w:hAnsi="Times New Roman"/>
          <w:color w:val="auto"/>
          <w:sz w:val="32"/>
          <w:szCs w:val="32"/>
          <w:highlight w:val="auto"/>
        </w:rPr>
        <w:t>四、财</w:t>
      </w:r>
      <w:r>
        <w:rPr>
          <w:rStyle w:val="2Char"/>
          <w:rFonts w:ascii="Times New Roman" w:eastAsia="黑体" w:cs="Times New Roman" w:hAnsi="Times New Roman"/>
          <w:b w:val="0"/>
          <w:color w:val="auto"/>
          <w:highlight w:val="auto"/>
        </w:rPr>
        <w:t>政拨款收入支出决算总体情况说明</w:t>
      </w:r>
      <w:bookmarkEnd w:id="25"/>
      <w:bookmarkEnd w:id="26"/>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 w:cs="Times New Roman" w:hAnsi="Times New Roman"/>
          <w:color w:val="auto"/>
          <w:sz w:val="32"/>
          <w:szCs w:val="32"/>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年财政拨款收、支总计</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万元。与20</w:t>
      </w:r>
      <w:r>
        <w:rPr>
          <w:rFonts w:ascii="Times New Roman" w:eastAsia="仿宋" w:cs="Times New Roman" w:hAnsi="Times New Roman"/>
          <w:color w:val="auto"/>
          <w:sz w:val="32"/>
          <w:szCs w:val="32"/>
          <w:lang w:val="en-US" w:eastAsia="zh-CN"/>
          <w:highlight w:val="auto"/>
        </w:rPr>
        <w:t>21</w:t>
      </w:r>
      <w:r>
        <w:rPr>
          <w:rFonts w:ascii="Times New Roman" w:eastAsia="仿宋" w:cs="Times New Roman" w:hAnsi="Times New Roman"/>
          <w:color w:val="auto"/>
          <w:sz w:val="32"/>
          <w:szCs w:val="32"/>
          <w:highlight w:val="auto"/>
        </w:rPr>
        <w:t>年相比，财政拨款收、支总计各增加</w:t>
      </w:r>
      <w:r>
        <w:rPr>
          <w:rFonts w:ascii="Times New Roman" w:eastAsia="仿宋" w:cs="Times New Roman" w:hAnsi="Times New Roman"/>
          <w:color w:val="auto"/>
          <w:sz w:val="32"/>
          <w:szCs w:val="32"/>
          <w:lang w:val="en-US" w:eastAsia="zh-CN"/>
          <w:highlight w:val="auto"/>
        </w:rPr>
        <w:t>51.47</w:t>
      </w:r>
      <w:r>
        <w:rPr>
          <w:rFonts w:ascii="Times New Roman" w:eastAsia="仿宋" w:cs="Times New Roman" w:hAnsi="Times New Roman"/>
          <w:color w:val="auto"/>
          <w:sz w:val="32"/>
          <w:szCs w:val="32"/>
          <w:highlight w:val="auto"/>
        </w:rPr>
        <w:t>万元，增长</w:t>
      </w:r>
      <w:r>
        <w:rPr>
          <w:rFonts w:ascii="Times New Roman" w:eastAsia="仿宋" w:cs="Times New Roman" w:hAnsi="Times New Roman"/>
          <w:color w:val="auto"/>
          <w:sz w:val="32"/>
          <w:szCs w:val="32"/>
          <w:lang w:val="en-US" w:eastAsia="zh-CN"/>
          <w:highlight w:val="auto"/>
        </w:rPr>
        <w:t>51.03</w:t>
      </w:r>
      <w:r>
        <w:rPr>
          <w:rFonts w:ascii="Times New Roman" w:eastAsia="仿宋" w:cs="Times New Roman" w:hAnsi="Times New Roman"/>
          <w:color w:val="auto"/>
          <w:sz w:val="32"/>
          <w:szCs w:val="32"/>
          <w:highlight w:val="auto"/>
        </w:rPr>
        <w:t>%。主要变动原因是</w:t>
      </w:r>
      <w:r>
        <w:rPr>
          <w:rFonts w:ascii="Times New Roman" w:eastAsia="仿宋" w:cs="Times New Roman" w:hAnsi="Times New Roman"/>
          <w:color w:val="auto"/>
          <w:sz w:val="32"/>
          <w:szCs w:val="32"/>
          <w:lang w:val="en-US" w:eastAsia="zh-CN"/>
          <w:highlight w:val="auto"/>
        </w:rPr>
        <w:t>人员变动。</w:t>
      </w:r>
    </w:p>
    <w:p>
      <w:pPr>
        <w:pStyle w:val="26"/>
        <w:rPr>
          <w:rFonts w:ascii="Times New Roman" w:eastAsia="仿宋" w:cs="Times New Roman" w:hAnsi="Times New Roman"/>
          <w:color w:val="auto"/>
          <w:sz w:val="32"/>
          <w:szCs w:val="32"/>
          <w:lang w:eastAsia="zh-CN"/>
          <w:highlight w:val="auto"/>
        </w:rPr>
      </w:pP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16" name="图表 7"/>
            <wp:cNvGraphicFramePr>
              <a:graphicFrameLocks noChangeAspect="0"/>
            </wp:cNvGraphicFramePr>
            <a:graphic>
              <a:graphicData uri="http://schemas.openxmlformats.org/drawingml/2006/chart">
                <c:chart xmlns:c="http://schemas.openxmlformats.org/drawingml/2006/chart" r:id="rId8"/>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Style w:val="2Char"/>
          <w:rFonts w:ascii="Times New Roman" w:eastAsia="黑体" w:cs="Times New Roman" w:hAnsi="Times New Roman"/>
          <w:b w:val="0"/>
          <w:color w:val="auto"/>
          <w:highlight w:val="auto"/>
        </w:rPr>
      </w:pPr>
      <w:bookmarkStart w:id="27" w:name="_Toc15377209"/>
      <w:bookmarkStart w:id="28" w:name="_Toc15396607"/>
      <w:r>
        <w:rPr>
          <w:rFonts w:ascii="Times New Roman" w:eastAsia="黑体" w:cs="Times New Roman" w:hAnsi="Times New Roman"/>
          <w:color w:val="auto"/>
          <w:sz w:val="32"/>
          <w:szCs w:val="32"/>
          <w:highlight w:val="auto"/>
        </w:rPr>
        <w:t>五、</w:t>
      </w:r>
      <w:r>
        <w:rPr>
          <w:rFonts w:ascii="Times New Roman" w:eastAsia="黑体" w:cs="Times New Roman" w:hAnsi="Times New Roman"/>
          <w:b/>
          <w:color w:val="auto"/>
          <w:sz w:val="32"/>
          <w:szCs w:val="32"/>
          <w:highlight w:val="auto"/>
        </w:rPr>
        <w:t>一</w:t>
      </w:r>
      <w:r>
        <w:rPr>
          <w:rStyle w:val="2Char"/>
          <w:rFonts w:ascii="Times New Roman" w:eastAsia="黑体" w:cs="Times New Roman" w:hAnsi="Times New Roman"/>
          <w:b w:val="0"/>
          <w:color w:val="auto"/>
          <w:highlight w:val="auto"/>
        </w:rPr>
        <w:t>般公共预算财政拨款支出决算情况说明</w:t>
      </w:r>
      <w:bookmarkEnd w:id="27"/>
      <w:bookmarkEnd w:id="28"/>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楷体_GB2312" w:eastAsia="楷体_GB2312" w:cs="楷体_GB2312" w:hint="eastAsia"/>
          <w:b/>
          <w:color w:val="auto"/>
          <w:sz w:val="32"/>
          <w:szCs w:val="32"/>
          <w:highlight w:val="auto"/>
        </w:rPr>
      </w:pPr>
      <w:bookmarkStart w:id="29" w:name="_Toc15377210"/>
      <w:r>
        <w:rPr>
          <w:rFonts w:ascii="楷体_GB2312" w:eastAsia="楷体_GB2312" w:cs="楷体_GB2312" w:hint="eastAsia"/>
          <w:b/>
          <w:color w:val="auto"/>
          <w:sz w:val="32"/>
          <w:szCs w:val="32"/>
          <w:highlight w:val="auto"/>
        </w:rPr>
        <w:t>（一）一般公共预算财政拨款支出决算总体情况</w:t>
      </w:r>
      <w:bookmarkEnd w:id="29"/>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 w:cs="Times New Roman" w:hAnsi="Times New Roman"/>
          <w:color w:val="auto"/>
          <w:sz w:val="32"/>
          <w:szCs w:val="32"/>
          <w:lang w:val="en-US" w:eastAsia="zh-CN"/>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年一般公共预算财政拨款支出</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万元，占本年支出合计的</w:t>
      </w:r>
      <w:r>
        <w:rPr>
          <w:rFonts w:ascii="Times New Roman" w:eastAsia="仿宋" w:cs="Times New Roman" w:hAnsi="Times New Roman"/>
          <w:color w:val="auto"/>
          <w:sz w:val="32"/>
          <w:szCs w:val="32"/>
          <w:lang w:val="en-US" w:eastAsia="zh-CN"/>
          <w:highlight w:val="auto"/>
        </w:rPr>
        <w:t>100</w:t>
      </w:r>
      <w:r>
        <w:rPr>
          <w:rFonts w:ascii="Times New Roman" w:eastAsia="仿宋" w:cs="Times New Roman" w:hAnsi="Times New Roman"/>
          <w:color w:val="auto"/>
          <w:sz w:val="32"/>
          <w:szCs w:val="32"/>
          <w:highlight w:val="auto"/>
        </w:rPr>
        <w:t>%。与20</w:t>
      </w:r>
      <w:r>
        <w:rPr>
          <w:rFonts w:ascii="Times New Roman" w:eastAsia="仿宋" w:cs="Times New Roman" w:hAnsi="Times New Roman"/>
          <w:color w:val="auto"/>
          <w:sz w:val="32"/>
          <w:szCs w:val="32"/>
          <w:lang w:val="en-US" w:eastAsia="zh-CN"/>
          <w:highlight w:val="auto"/>
        </w:rPr>
        <w:t>21</w:t>
      </w:r>
      <w:r>
        <w:rPr>
          <w:rFonts w:ascii="Times New Roman" w:eastAsia="仿宋" w:cs="Times New Roman" w:hAnsi="Times New Roman"/>
          <w:color w:val="auto"/>
          <w:sz w:val="32"/>
          <w:szCs w:val="32"/>
          <w:highlight w:val="auto"/>
        </w:rPr>
        <w:t>年相比，一般公共预算财政拨款</w:t>
      </w:r>
      <w:r>
        <w:rPr>
          <w:rFonts w:ascii="Times New Roman" w:eastAsia="仿宋" w:cs="Times New Roman" w:hAnsi="Times New Roman"/>
          <w:color w:val="auto"/>
          <w:sz w:val="32"/>
          <w:szCs w:val="32"/>
          <w:lang w:eastAsia="zh-CN"/>
          <w:highlight w:val="auto"/>
        </w:rPr>
        <w:t>支出</w:t>
      </w:r>
      <w:r>
        <w:rPr>
          <w:rFonts w:ascii="Times New Roman" w:eastAsia="仿宋" w:cs="Times New Roman" w:hAnsi="Times New Roman"/>
          <w:color w:val="auto"/>
          <w:sz w:val="32"/>
          <w:szCs w:val="32"/>
          <w:highlight w:val="auto"/>
        </w:rPr>
        <w:t>增加</w:t>
      </w:r>
      <w:r>
        <w:rPr>
          <w:rFonts w:ascii="Times New Roman" w:eastAsia="仿宋" w:cs="Times New Roman" w:hAnsi="Times New Roman"/>
          <w:color w:val="auto"/>
          <w:sz w:val="32"/>
          <w:szCs w:val="32"/>
          <w:lang w:val="en-US" w:eastAsia="zh-CN"/>
          <w:highlight w:val="auto"/>
        </w:rPr>
        <w:t>51.47</w:t>
      </w:r>
      <w:r>
        <w:rPr>
          <w:rFonts w:ascii="Times New Roman" w:eastAsia="仿宋" w:cs="Times New Roman" w:hAnsi="Times New Roman"/>
          <w:color w:val="auto"/>
          <w:sz w:val="32"/>
          <w:szCs w:val="32"/>
          <w:highlight w:val="auto"/>
        </w:rPr>
        <w:t>万元，增长</w:t>
      </w:r>
      <w:r>
        <w:rPr>
          <w:rFonts w:ascii="Times New Roman" w:eastAsia="仿宋" w:cs="Times New Roman" w:hAnsi="Times New Roman"/>
          <w:color w:val="auto"/>
          <w:sz w:val="32"/>
          <w:szCs w:val="32"/>
          <w:lang w:val="en-US" w:eastAsia="zh-CN"/>
          <w:highlight w:val="auto"/>
        </w:rPr>
        <w:t>51.03</w:t>
      </w:r>
      <w:r>
        <w:rPr>
          <w:rFonts w:ascii="Times New Roman" w:eastAsia="仿宋" w:cs="Times New Roman" w:hAnsi="Times New Roman"/>
          <w:color w:val="auto"/>
          <w:sz w:val="32"/>
          <w:szCs w:val="32"/>
          <w:highlight w:val="auto"/>
        </w:rPr>
        <w:t>%。主要变动原因是</w:t>
      </w:r>
      <w:r>
        <w:rPr>
          <w:rFonts w:ascii="Times New Roman" w:eastAsia="仿宋" w:cs="Times New Roman" w:hAnsi="Times New Roman"/>
          <w:color w:val="auto"/>
          <w:sz w:val="32"/>
          <w:szCs w:val="32"/>
          <w:lang w:val="en-US" w:eastAsia="zh-CN"/>
          <w:highlight w:val="auto"/>
        </w:rPr>
        <w:t>人员变动。</w:t>
      </w:r>
    </w:p>
    <w:p>
      <w:pPr>
        <w:pStyle w:val="26"/>
        <w:rPr>
          <w:rFonts w:ascii="Times New Roman" w:eastAsia="仿宋" w:cs="Times New Roman" w:hAnsi="Times New Roman"/>
          <w:color w:val="auto"/>
          <w:sz w:val="32"/>
          <w:szCs w:val="32"/>
          <w:lang w:val="en-US" w:eastAsia="zh-CN"/>
          <w:highlight w:val="auto"/>
        </w:rPr>
      </w:pPr>
      <w:r>
        <w:rPr>
          <w:rFonts w:ascii="Times New Roman" w:eastAsia="仿宋" w:cs="Times New Roman" w:hAnsi="Times New Roman"/>
          <w:color w:val="auto"/>
          <w:sz w:val="32"/>
          <w:szCs w:val="32"/>
          <w:lang w:val="en-US" w:eastAsia="zh-CN"/>
          <w:highlight w:val="auto"/>
        </w:rPr>
        <w:drawing>
          <wp:inline distT="0" distB="0" distL="114300" distR="114300">
            <wp:extent cx="5256530" cy="2988310"/>
            <wp:effectExtent l="0" t="0" r="0" b="0"/>
            <wp:docPr id="17" name="图表 8"/>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Times New Roman" w:eastAsia="仿宋" w:cs="Times New Roman" w:hAnsi="Times New Roman"/>
          <w:b/>
          <w:color w:val="auto"/>
          <w:sz w:val="32"/>
          <w:szCs w:val="32"/>
          <w:highlight w:val="auto"/>
        </w:rPr>
      </w:pPr>
      <w:bookmarkStart w:id="30" w:name="_Toc15377211"/>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楷体_GB2312" w:eastAsia="楷体_GB2312" w:cs="楷体_GB2312"/>
          <w:b/>
          <w:color w:val="auto"/>
          <w:sz w:val="32"/>
          <w:szCs w:val="32"/>
          <w:highlight w:val="auto"/>
        </w:rPr>
      </w:pPr>
      <w:r>
        <w:rPr>
          <w:rFonts w:ascii="楷体_GB2312" w:eastAsia="楷体_GB2312" w:cs="楷体_GB2312"/>
          <w:b/>
          <w:color w:val="auto"/>
          <w:sz w:val="32"/>
          <w:szCs w:val="32"/>
          <w:highlight w:val="auto"/>
        </w:rPr>
        <w:t>（二）一般公共预算财政拨款支出决算结构情况</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 w:cs="Times New Roman" w:hAnsi="Times New Roman"/>
          <w:color w:val="auto"/>
          <w:sz w:val="32"/>
          <w:szCs w:val="32"/>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年一般公共预算财政拨款支出</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万元，主要用于以下方面:</w:t>
      </w:r>
      <w:r>
        <w:rPr>
          <w:rFonts w:ascii="Times New Roman" w:eastAsia="仿宋" w:cs="Times New Roman" w:hAnsi="Times New Roman"/>
          <w:b/>
          <w:color w:val="auto"/>
          <w:sz w:val="32"/>
          <w:szCs w:val="32"/>
          <w:highlight w:val="auto"/>
        </w:rPr>
        <w:t>一般公共服务</w:t>
      </w:r>
      <w:r>
        <w:rPr>
          <w:rFonts w:ascii="Times New Roman" w:eastAsia="仿宋" w:cs="Times New Roman" w:hAnsi="Times New Roman"/>
          <w:b/>
          <w:bCs/>
          <w:color w:val="auto"/>
          <w:sz w:val="32"/>
          <w:szCs w:val="32"/>
          <w:highlight w:val="auto"/>
        </w:rPr>
        <w:t>支出</w:t>
      </w:r>
      <w:r>
        <w:rPr>
          <w:rFonts w:ascii="Times New Roman" w:eastAsia="仿宋" w:cs="Times New Roman" w:hAnsi="Times New Roman"/>
          <w:color w:val="auto"/>
          <w:sz w:val="32"/>
          <w:szCs w:val="32"/>
          <w:lang w:val="en-US" w:eastAsia="zh-CN"/>
          <w:highlight w:val="auto"/>
        </w:rPr>
        <w:t>131.8</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86.52</w:t>
      </w:r>
      <w:r>
        <w:rPr>
          <w:rFonts w:ascii="Times New Roman" w:eastAsia="仿宋" w:cs="Times New Roman" w:hAnsi="Times New Roman"/>
          <w:color w:val="auto"/>
          <w:sz w:val="32"/>
          <w:szCs w:val="32"/>
          <w:highlight w:val="auto"/>
        </w:rPr>
        <w:t>%；</w:t>
      </w:r>
      <w:r>
        <w:rPr>
          <w:rFonts w:ascii="Times New Roman" w:eastAsia="仿宋" w:cs="Times New Roman" w:hAnsi="Times New Roman"/>
          <w:b/>
          <w:color w:val="auto"/>
          <w:sz w:val="32"/>
          <w:szCs w:val="32"/>
          <w:highlight w:val="auto"/>
        </w:rPr>
        <w:t>社会保障和就业</w:t>
      </w:r>
      <w:r>
        <w:rPr>
          <w:rFonts w:ascii="Times New Roman" w:eastAsia="仿宋" w:cs="Times New Roman" w:hAnsi="Times New Roman"/>
          <w:b/>
          <w:bCs/>
          <w:color w:val="auto"/>
          <w:sz w:val="32"/>
          <w:szCs w:val="32"/>
          <w:highlight w:val="auto"/>
        </w:rPr>
        <w:t>支出</w:t>
      </w:r>
      <w:r>
        <w:rPr>
          <w:rFonts w:ascii="Times New Roman" w:eastAsia="仿宋" w:cs="Times New Roman" w:hAnsi="Times New Roman"/>
          <w:color w:val="auto"/>
          <w:sz w:val="32"/>
          <w:szCs w:val="32"/>
          <w:lang w:val="en-US" w:eastAsia="zh-CN"/>
          <w:highlight w:val="auto"/>
        </w:rPr>
        <w:t>10.84</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7.12</w:t>
      </w:r>
      <w:r>
        <w:rPr>
          <w:rFonts w:ascii="Times New Roman" w:eastAsia="仿宋" w:cs="Times New Roman" w:hAnsi="Times New Roman"/>
          <w:color w:val="auto"/>
          <w:sz w:val="32"/>
          <w:szCs w:val="32"/>
          <w:highlight w:val="auto"/>
        </w:rPr>
        <w:t>%；</w:t>
      </w:r>
      <w:r>
        <w:rPr>
          <w:rFonts w:ascii="Times New Roman" w:eastAsia="仿宋" w:cs="Times New Roman" w:hAnsi="Times New Roman"/>
          <w:b/>
          <w:bCs/>
          <w:color w:val="auto"/>
          <w:sz w:val="32"/>
          <w:szCs w:val="32"/>
          <w:highlight w:val="auto"/>
        </w:rPr>
        <w:t>卫生健康支出</w:t>
      </w:r>
      <w:r>
        <w:rPr>
          <w:rFonts w:ascii="Times New Roman" w:eastAsia="仿宋" w:cs="Times New Roman" w:hAnsi="Times New Roman"/>
          <w:color w:val="auto"/>
          <w:sz w:val="32"/>
          <w:szCs w:val="32"/>
          <w:lang w:val="en-US" w:eastAsia="zh-CN"/>
          <w:highlight w:val="auto"/>
        </w:rPr>
        <w:t>2.87</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1.88</w:t>
      </w:r>
      <w:r>
        <w:rPr>
          <w:rFonts w:ascii="Times New Roman" w:eastAsia="仿宋" w:cs="Times New Roman" w:hAnsi="Times New Roman"/>
          <w:color w:val="auto"/>
          <w:sz w:val="32"/>
          <w:szCs w:val="32"/>
          <w:highlight w:val="auto"/>
        </w:rPr>
        <w:t>%；</w:t>
      </w:r>
      <w:r>
        <w:rPr>
          <w:rFonts w:ascii="Times New Roman" w:eastAsia="仿宋" w:cs="Times New Roman" w:hAnsi="Times New Roman"/>
          <w:b/>
          <w:bCs/>
          <w:color w:val="auto"/>
          <w:sz w:val="32"/>
          <w:szCs w:val="32"/>
          <w:highlight w:val="auto"/>
        </w:rPr>
        <w:t>住房保障支出</w:t>
      </w:r>
      <w:r>
        <w:rPr>
          <w:rFonts w:ascii="Times New Roman" w:eastAsia="仿宋" w:cs="Times New Roman" w:hAnsi="Times New Roman"/>
          <w:color w:val="auto"/>
          <w:sz w:val="32"/>
          <w:szCs w:val="32"/>
          <w:lang w:val="en-US" w:eastAsia="zh-CN"/>
          <w:highlight w:val="auto"/>
        </w:rPr>
        <w:t>6.82</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4.48</w:t>
      </w:r>
      <w:r>
        <w:rPr>
          <w:rFonts w:ascii="Times New Roman" w:eastAsia="仿宋" w:cs="Times New Roman" w:hAnsi="Times New Roman"/>
          <w:color w:val="auto"/>
          <w:sz w:val="32"/>
          <w:szCs w:val="32"/>
          <w:highlight w:val="auto"/>
        </w:rPr>
        <w:t>%。</w:t>
      </w:r>
    </w:p>
    <w:p>
      <w:pPr>
        <w:pStyle w:val="26"/>
        <w:rPr>
          <w:rFonts w:ascii="Times New Roman" w:eastAsia="仿宋" w:cs="Times New Roman" w:hAnsi="Times New Roman"/>
          <w:color w:val="auto"/>
          <w:sz w:val="32"/>
          <w:szCs w:val="32"/>
          <w:highlight w:val="auto"/>
        </w:rPr>
      </w:pPr>
      <w:r>
        <w:rPr>
          <w:rFonts w:ascii="Times New Roman" w:cs="Times New Roman" w:hAnsi="Times New Roman"/>
          <w:sz w:val="32"/>
        </w:rPr>
        <mc:AlternateContent>
          <mc:Choice Requires="wps">
            <w:drawing>
              <wp:anchor distT="0" distB="0" distL="114298" distR="114298" simplePos="0" relativeHeight="41" behindDoc="0" locked="0" layoutInCell="1" hidden="0" allowOverlap="1">
                <wp:simplePos x="0" y="0"/>
                <wp:positionH relativeFrom="column">
                  <wp:posOffset>2284730</wp:posOffset>
                </wp:positionH>
                <wp:positionV relativeFrom="paragraph">
                  <wp:posOffset>344170</wp:posOffset>
                </wp:positionV>
                <wp:extent cx="628650" cy="285749"/>
                <wp:effectExtent l="0" t="0" r="0" b="0"/>
                <wp:wrapNone/>
                <wp:docPr id="18" name="文本框 13"/>
                <wp:cNvGraphicFramePr>
                  <a:graphicFrameLocks noChangeAspect="0"/>
                </wp:cNvGraphicFramePr>
                <a:graphic>
                  <a:graphicData uri="http://schemas.microsoft.com/office/word/2010/wordprocessingShape">
                    <wps:wsp>
                      <wps:cNvSpPr/>
                      <wps:spPr>
                        <a:xfrm rot="0">
                          <a:off x="0" y="0"/>
                          <a:ext cx="628650" cy="285749"/>
                        </a:xfrm>
                        <a:prstGeom prst="rect"/>
                        <a:noFill/>
                        <a:ln w="6350" cmpd="sng" cap="flat">
                          <a:noFill/>
                          <a:prstDash val="solid"/>
                          <a:round/>
                        </a:ln>
                      </wps:spPr>
                      <wps:txbx id="19">
                        <w:txbxContent>
                          <w:p>
                            <w:pPr>
                              <w:rPr>
                                <w:rFonts w:eastAsia="宋体"/>
                                <w:lang w:val="en-US" w:eastAsia="zh-CN"/>
                              </w:rPr>
                            </w:pPr>
                            <w:r>
                              <w:rPr>
                                <w:rFonts w:hint="eastAsia"/>
                                <w:lang w:val="en-US" w:eastAsia="zh-CN"/>
                              </w:rPr>
                              <w:t>4.48%</w:t>
                            </w:r>
                          </w:p>
                        </w:txbxContent>
                      </wps:txbx>
                      <wps:bodyPr vert="horz" wrap="square" lIns="91440" tIns="45720" rIns="91440" bIns="45720" anchor="t" anchorCtr="0" upright="0">
                        <a:noAutofit/>
                      </wps:bodyPr>
                    </wps:wsp>
                  </a:graphicData>
                </a:graphic>
              </wp:anchor>
            </w:drawing>
          </mc:Choice>
          <mc:Fallback>
            <w:pict>
              <v:rect type="#_x0000_t1" id="文本框 13 20" o:spid="_x0000_s20" filled="f" stroked="f" strokeweight="0.5pt" style="position:absolute;margin-left:179.9pt;margin-top:27.1pt;width:49.50001pt;height:22.499998pt;z-index:41;mso-position-horizontal:absolute;mso-position-vertical:absolute;mso-wrap-distance-left:8.999863pt;mso-wrap-distance-right:8.999863pt;mso-wrap-style:square;">
                <v:stroke color="#000000"/>
                <v:textbox id="856" inset="2.54mm,1.27mm,2.54mm,1.27mm" o:insetmode="custom" style="layout-flow:horizontal;v-text-anchor:top;">
                  <w:txbxContent>
                    <w:p>
                      <w:pPr>
                        <w:rPr>
                          <w:rFonts w:eastAsia="宋体"/>
                          <w:lang w:val="en-US" w:eastAsia="zh-CN"/>
                        </w:rPr>
                      </w:pPr>
                      <w:r>
                        <w:rPr>
                          <w:rFonts w:hint="eastAsia"/>
                          <w:lang w:val="en-US" w:eastAsia="zh-CN"/>
                        </w:rPr>
                        <w:t>4.48%</w:t>
                      </w:r>
                    </w:p>
                  </w:txbxContent>
                </v:textbox>
              </v:rect>
            </w:pict>
          </mc:Fallback>
        </mc:AlternateContent>
      </w: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21" name="图表 1"/>
            <wp:cNvGraphicFramePr>
              <a:graphicFrameLocks noChangeAspect="0"/>
            </wp:cNvGraphicFramePr>
            <a:graphic>
              <a:graphicData uri="http://schemas.openxmlformats.org/drawingml/2006/chart">
                <c:chart xmlns:c="http://schemas.openxmlformats.org/drawingml/2006/chart" r:id="rId10"/>
              </a:graphicData>
            </a:graphic>
          </wp:inline>
        </w:drawing>
      </w:r>
      <w:r>
        <w:rPr>
          <w:rFonts w:ascii="Times New Roman" w:cs="Times New Roman" w:hAnsi="Times New Roman"/>
          <w:sz w:val="32"/>
        </w:rPr>
        <mc:AlternateContent>
          <mc:Choice Requires="wps">
            <w:drawing>
              <wp:anchor distT="0" distB="0" distL="114298" distR="114298" simplePos="0" relativeHeight="43" behindDoc="0" locked="0" layoutInCell="1" hidden="0" allowOverlap="1">
                <wp:simplePos x="0" y="0"/>
                <wp:positionH relativeFrom="column">
                  <wp:posOffset>1875155</wp:posOffset>
                </wp:positionH>
                <wp:positionV relativeFrom="paragraph">
                  <wp:posOffset>429260</wp:posOffset>
                </wp:positionV>
                <wp:extent cx="628650" cy="304800"/>
                <wp:effectExtent l="0" t="0" r="0" b="0"/>
                <wp:wrapNone/>
                <wp:docPr id="22" name="文本框 12"/>
                <wp:cNvGraphicFramePr>
                  <a:graphicFrameLocks noChangeAspect="0"/>
                </wp:cNvGraphicFramePr>
                <a:graphic>
                  <a:graphicData uri="http://schemas.microsoft.com/office/word/2010/wordprocessingShape">
                    <wps:wsp>
                      <wps:cNvSpPr/>
                      <wps:spPr>
                        <a:xfrm rot="0">
                          <a:off x="0" y="0"/>
                          <a:ext cx="628650" cy="304800"/>
                        </a:xfrm>
                        <a:prstGeom prst="rect"/>
                        <a:noFill/>
                        <a:ln w="6350" cmpd="sng" cap="flat">
                          <a:noFill/>
                          <a:prstDash val="solid"/>
                          <a:round/>
                        </a:ln>
                      </wps:spPr>
                      <wps:txbx id="23">
                        <w:txbxContent>
                          <w:p>
                            <w:pPr>
                              <w:rPr>
                                <w:rFonts w:eastAsia="宋体"/>
                                <w:lang w:val="en-US" w:eastAsia="zh-CN"/>
                              </w:rPr>
                            </w:pPr>
                            <w:r>
                              <w:rPr>
                                <w:rFonts w:hint="eastAsia"/>
                                <w:lang w:val="en-US" w:eastAsia="zh-CN"/>
                              </w:rPr>
                              <w:t>1.88%</w:t>
                            </w:r>
                          </w:p>
                        </w:txbxContent>
                      </wps:txbx>
                      <wps:bodyPr vert="horz" wrap="square" lIns="91440" tIns="45720" rIns="91440" bIns="45720" anchor="t" anchorCtr="0" upright="0">
                        <a:noAutofit/>
                      </wps:bodyPr>
                    </wps:wsp>
                  </a:graphicData>
                </a:graphic>
              </wp:anchor>
            </w:drawing>
          </mc:Choice>
          <mc:Fallback>
            <w:pict>
              <v:rect type="#_x0000_t1" id="文本框 12 24" o:spid="_x0000_s24" filled="f" stroked="f" strokeweight="0.5pt" style="position:absolute;margin-left:147.65pt;margin-top:33.8pt;width:49.5pt;height:24.0pt;z-index:43;mso-position-horizontal:absolute;mso-position-vertical:absolute;mso-wrap-distance-left:8.999863pt;mso-wrap-distance-right:8.999863pt;mso-wrap-style:square;">
                <v:stroke color="#000000"/>
                <v:textbox id="857" inset="2.54mm,1.27mm,2.54mm,1.27mm" o:insetmode="custom" style="layout-flow:horizontal;v-text-anchor:top;">
                  <w:txbxContent>
                    <w:p>
                      <w:pPr>
                        <w:rPr>
                          <w:rFonts w:eastAsia="宋体"/>
                          <w:lang w:val="en-US" w:eastAsia="zh-CN"/>
                        </w:rPr>
                      </w:pPr>
                      <w:r>
                        <w:rPr>
                          <w:rFonts w:hint="eastAsia"/>
                          <w:lang w:val="en-US" w:eastAsia="zh-CN"/>
                        </w:rPr>
                        <w:t>1.88%</w:t>
                      </w:r>
                    </w:p>
                  </w:txbxContent>
                </v:textbox>
              </v:rect>
            </w:pict>
          </mc:Fallback>
        </mc:AlternateContent>
      </w:r>
      <w:r>
        <w:rPr>
          <w:rFonts w:ascii="Times New Roman" w:cs="Times New Roman" w:hAnsi="Times New Roman"/>
          <w:sz w:val="32"/>
        </w:rPr>
        <mc:AlternateContent>
          <mc:Choice Requires="wps">
            <w:drawing>
              <wp:anchor distT="0" distB="0" distL="114298" distR="114298" simplePos="0" relativeHeight="45" behindDoc="0" locked="0" layoutInCell="1" hidden="0" allowOverlap="1">
                <wp:simplePos x="0" y="0"/>
                <wp:positionH relativeFrom="column">
                  <wp:posOffset>1837055</wp:posOffset>
                </wp:positionH>
                <wp:positionV relativeFrom="paragraph">
                  <wp:posOffset>791845</wp:posOffset>
                </wp:positionV>
                <wp:extent cx="609600" cy="295275"/>
                <wp:effectExtent l="0" t="0" r="0" b="0"/>
                <wp:wrapNone/>
                <wp:docPr id="25" name="文本框 11"/>
                <wp:cNvGraphicFramePr>
                  <a:graphicFrameLocks noChangeAspect="0"/>
                </wp:cNvGraphicFramePr>
                <a:graphic>
                  <a:graphicData uri="http://schemas.microsoft.com/office/word/2010/wordprocessingShape">
                    <wps:wsp>
                      <wps:cNvSpPr/>
                      <wps:spPr>
                        <a:xfrm rot="0">
                          <a:off x="0" y="0"/>
                          <a:ext cx="609600" cy="295275"/>
                        </a:xfrm>
                        <a:prstGeom prst="rect"/>
                        <a:noFill/>
                        <a:ln w="6350" cmpd="sng" cap="flat">
                          <a:noFill/>
                          <a:prstDash val="solid"/>
                          <a:round/>
                        </a:ln>
                      </wps:spPr>
                      <wps:txbx id="26">
                        <w:txbxContent>
                          <w:p>
                            <w:pPr>
                              <w:rPr>
                                <w:rFonts w:eastAsia="宋体"/>
                                <w:lang w:val="en-US" w:eastAsia="zh-CN"/>
                              </w:rPr>
                            </w:pPr>
                            <w:r>
                              <w:rPr>
                                <w:rFonts w:hint="eastAsia"/>
                                <w:lang w:val="en-US" w:eastAsia="zh-CN"/>
                              </w:rPr>
                              <w:t>7.12%</w:t>
                            </w:r>
                          </w:p>
                        </w:txbxContent>
                      </wps:txbx>
                      <wps:bodyPr vert="horz" wrap="square" lIns="91440" tIns="45720" rIns="91440" bIns="45720" anchor="t" anchorCtr="0" upright="0">
                        <a:noAutofit/>
                      </wps:bodyPr>
                    </wps:wsp>
                  </a:graphicData>
                </a:graphic>
              </wp:anchor>
            </w:drawing>
          </mc:Choice>
          <mc:Fallback>
            <w:pict>
              <v:rect type="#_x0000_t1" id="文本框 11 27" o:spid="_x0000_s27" filled="f" stroked="f" strokeweight="0.5pt" style="position:absolute;margin-left:144.65pt;margin-top:62.35pt;width:48.0pt;height:23.25pt;z-index:45;mso-position-horizontal:absolute;mso-position-vertical:absolute;mso-wrap-distance-left:8.999863pt;mso-wrap-distance-right:8.999863pt;mso-wrap-style:square;">
                <v:stroke color="#000000"/>
                <v:textbox id="858" inset="2.54mm,1.27mm,2.54mm,1.27mm" o:insetmode="custom" style="layout-flow:horizontal;v-text-anchor:top;">
                  <w:txbxContent>
                    <w:p>
                      <w:pPr>
                        <w:rPr>
                          <w:rFonts w:eastAsia="宋体"/>
                          <w:lang w:val="en-US" w:eastAsia="zh-CN"/>
                        </w:rPr>
                      </w:pPr>
                      <w:r>
                        <w:rPr>
                          <w:rFonts w:hint="eastAsia"/>
                          <w:lang w:val="en-US" w:eastAsia="zh-CN"/>
                        </w:rPr>
                        <w:t>7.12%</w:t>
                      </w:r>
                    </w:p>
                  </w:txbxContent>
                </v:textbox>
              </v:rect>
            </w:pict>
          </mc:Fallback>
        </mc:AlternateContent>
      </w:r>
      <w:r>
        <w:rPr>
          <w:rFonts w:ascii="Times New Roman" w:cs="Times New Roman" w:hAnsi="Times New Roman"/>
          <w:sz w:val="32"/>
        </w:rPr>
        <mc:AlternateContent>
          <mc:Choice Requires="wps">
            <w:drawing>
              <wp:anchor distT="0" distB="0" distL="114298" distR="114298" simplePos="0" relativeHeight="47" behindDoc="0" locked="0" layoutInCell="1" hidden="0" allowOverlap="1">
                <wp:simplePos x="0" y="0"/>
                <wp:positionH relativeFrom="column">
                  <wp:posOffset>2389505</wp:posOffset>
                </wp:positionH>
                <wp:positionV relativeFrom="paragraph">
                  <wp:posOffset>1639570</wp:posOffset>
                </wp:positionV>
                <wp:extent cx="781050" cy="295275"/>
                <wp:effectExtent l="0" t="0" r="0" b="0"/>
                <wp:wrapNone/>
                <wp:docPr id="28" name="文本框 10"/>
                <wp:cNvGraphicFramePr>
                  <a:graphicFrameLocks noChangeAspect="0"/>
                </wp:cNvGraphicFramePr>
                <a:graphic>
                  <a:graphicData uri="http://schemas.microsoft.com/office/word/2010/wordprocessingShape">
                    <wps:wsp>
                      <wps:cNvSpPr/>
                      <wps:spPr>
                        <a:xfrm rot="0">
                          <a:off x="0" y="0"/>
                          <a:ext cx="781050" cy="295275"/>
                        </a:xfrm>
                        <a:prstGeom prst="rect"/>
                        <a:solidFill>
                          <a:srgbClr val="4F81BD"/>
                        </a:solidFill>
                        <a:ln w="6350" cmpd="sng" cap="flat">
                          <a:noFill/>
                          <a:prstDash val="solid"/>
                          <a:round/>
                        </a:ln>
                      </wps:spPr>
                      <wps:txbx id="29">
                        <w:txbxContent>
                          <w:p>
                            <w:pPr>
                              <w:rPr>
                                <w:rFonts w:eastAsia="宋体"/>
                                <w:lang w:val="en-US" w:eastAsia="zh-CN"/>
                              </w:rPr>
                            </w:pPr>
                            <w:r>
                              <w:rPr>
                                <w:rFonts w:hint="eastAsia"/>
                                <w:lang w:val="en-US" w:eastAsia="zh-CN"/>
                              </w:rPr>
                              <w:t>86.52%</w:t>
                            </w:r>
                          </w:p>
                        </w:txbxContent>
                      </wps:txbx>
                      <wps:bodyPr vert="horz" wrap="square" lIns="91440" tIns="45720" rIns="91440" bIns="45720" anchor="t" anchorCtr="0" upright="0">
                        <a:noAutofit/>
                      </wps:bodyPr>
                    </wps:wsp>
                  </a:graphicData>
                </a:graphic>
              </wp:anchor>
            </w:drawing>
          </mc:Choice>
          <mc:Fallback>
            <w:pict>
              <v:rect type="#_x0000_t1" id="文本框 10 30" o:spid="_x0000_s30" fillcolor="#4F81BD" stroked="f" strokeweight="0.5pt" style="position:absolute;margin-left:188.15pt;margin-top:129.1pt;width:61.5pt;height:23.25pt;z-index:47;mso-position-horizontal:absolute;mso-position-vertical:absolute;mso-wrap-distance-left:8.999863pt;mso-wrap-distance-right:8.999863pt;mso-wrap-style:square;">
                <v:stroke color="#000000"/>
                <v:textbox id="859" inset="2.54mm,1.27mm,2.54mm,1.27mm" o:insetmode="custom" style="layout-flow:horizontal;v-text-anchor:top;">
                  <w:txbxContent>
                    <w:p>
                      <w:pPr>
                        <w:rPr>
                          <w:rFonts w:eastAsia="宋体"/>
                          <w:lang w:val="en-US" w:eastAsia="zh-CN"/>
                        </w:rPr>
                      </w:pPr>
                      <w:r>
                        <w:rPr>
                          <w:rFonts w:hint="eastAsia"/>
                          <w:lang w:val="en-US" w:eastAsia="zh-CN"/>
                        </w:rPr>
                        <w:t>86.52%</w:t>
                      </w: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楷体_GB2312" w:eastAsia="楷体_GB2312" w:cs="楷体_GB2312"/>
          <w:b/>
          <w:color w:val="auto"/>
          <w:sz w:val="32"/>
          <w:szCs w:val="32"/>
          <w:highlight w:val="auto"/>
        </w:rPr>
      </w:pPr>
      <w:bookmarkStart w:id="31" w:name="_Toc15377212"/>
      <w:r>
        <w:rPr>
          <w:rFonts w:ascii="楷体_GB2312" w:eastAsia="楷体_GB2312" w:cs="楷体_GB2312"/>
          <w:b/>
          <w:color w:val="auto"/>
          <w:sz w:val="32"/>
          <w:szCs w:val="32"/>
          <w:highlight w:val="auto"/>
        </w:rPr>
        <w:t>（三）一般公共预算财政拨款支出决算具体情况</w:t>
      </w:r>
      <w:bookmarkEnd w:id="31"/>
    </w:p>
    <w:p>
      <w:pPr>
        <w:keepNext w:val="0"/>
        <w:keepLines w:val="0"/>
        <w:pageBreakBefore w:val="0"/>
        <w:widowControl w:val="0"/>
        <w:kinsoku/>
        <w:wordWrap/>
        <w:overflowPunct/>
        <w:topLinePunct w:val="0"/>
        <w:bidi w:val="0"/>
        <w:snapToGrid/>
        <w:spacing w:line="560" w:lineRule="exact"/>
        <w:ind w:firstLineChars="200" w:firstLine="640"/>
        <w:textAlignment w:val="auto"/>
        <w:outlineLvl w:val="2"/>
        <w:rPr>
          <w:rFonts w:ascii="Times New Roman" w:eastAsia="仿宋" w:cs="Times New Roman" w:hAnsi="Times New Roman"/>
          <w:color w:val="auto"/>
          <w:sz w:val="32"/>
          <w:szCs w:val="32"/>
          <w:highlight w:val="auto"/>
        </w:rPr>
      </w:pPr>
      <w:bookmarkStart w:id="32" w:name="_Toc15377213"/>
      <w:bookmarkStart w:id="33" w:name="_Toc15378460"/>
      <w:bookmarkStart w:id="34" w:name="_Toc15377444"/>
      <w:r>
        <w:rPr>
          <w:rFonts w:ascii="Times New Roman" w:eastAsia="仿宋" w:cs="Times New Roman" w:hAnsi="Times New Roman"/>
          <w:b/>
          <w:color w:val="auto"/>
          <w:sz w:val="32"/>
          <w:szCs w:val="32"/>
          <w:highlight w:val="auto"/>
        </w:rPr>
        <w:t>20</w:t>
      </w:r>
      <w:r>
        <w:rPr>
          <w:rFonts w:ascii="Times New Roman" w:eastAsia="仿宋" w:cs="Times New Roman" w:hAnsi="Times New Roman"/>
          <w:b/>
          <w:color w:val="auto"/>
          <w:sz w:val="32"/>
          <w:szCs w:val="32"/>
          <w:lang w:val="en-US" w:eastAsia="zh-CN"/>
          <w:highlight w:val="auto"/>
        </w:rPr>
        <w:t>22</w:t>
      </w:r>
      <w:r>
        <w:rPr>
          <w:rFonts w:ascii="Times New Roman" w:eastAsia="仿宋" w:cs="Times New Roman" w:hAnsi="Times New Roman"/>
          <w:b/>
          <w:color w:val="auto"/>
          <w:sz w:val="32"/>
          <w:szCs w:val="32"/>
          <w:highlight w:val="auto"/>
        </w:rPr>
        <w:t>年</w:t>
      </w:r>
      <w:r>
        <w:rPr>
          <w:rFonts w:ascii="Times New Roman" w:eastAsia="仿宋" w:cs="Times New Roman" w:hAnsi="Times New Roman"/>
          <w:b/>
          <w:color w:val="auto"/>
          <w:sz w:val="32"/>
          <w:szCs w:val="32"/>
          <w:lang w:eastAsia="zh-CN"/>
          <w:highlight w:val="auto"/>
        </w:rPr>
        <w:t>一</w:t>
      </w:r>
      <w:r>
        <w:rPr>
          <w:rFonts w:ascii="Times New Roman" w:eastAsia="仿宋" w:cs="Times New Roman" w:hAnsi="Times New Roman"/>
          <w:b/>
          <w:color w:val="auto"/>
          <w:sz w:val="32"/>
          <w:szCs w:val="32"/>
          <w:highlight w:val="auto"/>
        </w:rPr>
        <w:t>般公共预算支出决算数为</w:t>
      </w:r>
      <w:r>
        <w:rPr>
          <w:rFonts w:ascii="Times New Roman" w:eastAsia="仿宋" w:cs="Times New Roman" w:hAnsi="Times New Roman"/>
          <w:b/>
          <w:color w:val="auto"/>
          <w:sz w:val="32"/>
          <w:szCs w:val="32"/>
          <w:lang w:val="en-US" w:eastAsia="zh-CN"/>
          <w:highlight w:val="auto"/>
        </w:rPr>
        <w:t>152.33万元</w:t>
      </w:r>
      <w:r>
        <w:rPr>
          <w:rFonts w:ascii="Times New Roman" w:eastAsia="仿宋" w:cs="Times New Roman" w:hAnsi="Times New Roman"/>
          <w:color w:val="auto"/>
          <w:sz w:val="32"/>
          <w:szCs w:val="32"/>
          <w:highlight w:val="auto"/>
        </w:rPr>
        <w:t>，</w:t>
      </w:r>
      <w:r>
        <w:rPr>
          <w:rStyle w:val="24"/>
          <w:rFonts w:ascii="Times New Roman" w:eastAsia="仿宋" w:cs="Times New Roman" w:hAnsi="Times New Roman"/>
          <w:bCs/>
          <w:color w:val="auto"/>
          <w:sz w:val="32"/>
          <w:szCs w:val="32"/>
          <w:highlight w:val="auto"/>
        </w:rPr>
        <w:t>完成预算</w:t>
      </w:r>
      <w:r>
        <w:rPr>
          <w:rStyle w:val="24"/>
          <w:rFonts w:ascii="Times New Roman" w:eastAsia="仿宋" w:cs="Times New Roman" w:hAnsi="Times New Roman"/>
          <w:bCs/>
          <w:color w:val="auto"/>
          <w:sz w:val="32"/>
          <w:szCs w:val="32"/>
          <w:lang w:val="en-US" w:eastAsia="zh-CN"/>
          <w:highlight w:val="auto"/>
        </w:rPr>
        <w:t>100</w:t>
      </w:r>
      <w:r>
        <w:rPr>
          <w:rStyle w:val="24"/>
          <w:rFonts w:ascii="Times New Roman" w:eastAsia="仿宋" w:cs="Times New Roman" w:hAnsi="Times New Roman"/>
          <w:bCs/>
          <w:color w:val="auto"/>
          <w:sz w:val="32"/>
          <w:szCs w:val="32"/>
          <w:highlight w:val="auto"/>
        </w:rPr>
        <w:t>%。其中：</w:t>
      </w:r>
      <w:bookmarkEnd w:id="32"/>
      <w:bookmarkEnd w:id="33"/>
      <w:bookmarkEnd w:id="34"/>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 w:cs="Times New Roman" w:hAnsi="Times New Roman"/>
          <w:b/>
          <w:color w:val="auto"/>
          <w:sz w:val="32"/>
          <w:szCs w:val="32"/>
          <w:highlight w:val="auto"/>
        </w:rPr>
      </w:pPr>
      <w:r>
        <w:rPr>
          <w:rStyle w:val="24"/>
          <w:rFonts w:ascii="Times New Roman" w:eastAsia="仿宋" w:cs="Times New Roman" w:hAnsi="Times New Roman"/>
          <w:bCs/>
          <w:color w:val="auto"/>
          <w:sz w:val="32"/>
          <w:szCs w:val="32"/>
          <w:highlight w:val="auto"/>
        </w:rPr>
        <w:t>1.一般公共服务</w:t>
      </w:r>
      <w:r>
        <w:rPr>
          <w:rStyle w:val="24"/>
          <w:rFonts w:ascii="Times New Roman" w:eastAsia="仿宋" w:cs="Times New Roman" w:hAnsi="Times New Roman"/>
          <w:bCs/>
          <w:color w:val="auto"/>
          <w:sz w:val="32"/>
          <w:szCs w:val="32"/>
          <w:lang w:val="en-US" w:eastAsia="zh-CN"/>
          <w:highlight w:val="auto"/>
        </w:rPr>
        <w:t>支出</w:t>
      </w:r>
      <w:r>
        <w:rPr>
          <w:rStyle w:val="24"/>
          <w:rFonts w:ascii="Times New Roman" w:eastAsia="仿宋" w:cs="Times New Roman" w:hAnsi="Times New Roman"/>
          <w:bCs/>
          <w:color w:val="auto"/>
          <w:sz w:val="32"/>
          <w:szCs w:val="32"/>
          <w:highlight w:val="auto"/>
        </w:rPr>
        <w:t>（类）</w:t>
      </w:r>
      <w:r>
        <w:rPr>
          <w:rStyle w:val="24"/>
          <w:rFonts w:ascii="Times New Roman" w:eastAsia="仿宋" w:cs="Times New Roman" w:hAnsi="Times New Roman"/>
          <w:bCs/>
          <w:color w:val="auto"/>
          <w:sz w:val="32"/>
          <w:szCs w:val="32"/>
          <w:lang w:val="en-US" w:eastAsia="zh-CN"/>
          <w:highlight w:val="auto"/>
        </w:rPr>
        <w:t>党委办公厅（室）及相关机构事务</w:t>
      </w:r>
      <w:r>
        <w:rPr>
          <w:rStyle w:val="24"/>
          <w:rFonts w:ascii="Times New Roman" w:eastAsia="仿宋" w:cs="Times New Roman" w:hAnsi="Times New Roman"/>
          <w:bCs/>
          <w:color w:val="auto"/>
          <w:sz w:val="32"/>
          <w:szCs w:val="32"/>
          <w:highlight w:val="auto"/>
        </w:rPr>
        <w:t>（款）</w:t>
      </w:r>
      <w:r>
        <w:rPr>
          <w:rStyle w:val="24"/>
          <w:rFonts w:ascii="Times New Roman" w:eastAsia="仿宋" w:cs="Times New Roman" w:hAnsi="Times New Roman"/>
          <w:bCs/>
          <w:color w:val="auto"/>
          <w:sz w:val="32"/>
          <w:szCs w:val="32"/>
          <w:lang w:val="en-US" w:eastAsia="zh-CN"/>
          <w:highlight w:val="auto"/>
        </w:rPr>
        <w:t>事业运行</w:t>
      </w:r>
      <w:r>
        <w:rPr>
          <w:rStyle w:val="24"/>
          <w:rFonts w:ascii="Times New Roman" w:eastAsia="仿宋" w:cs="Times New Roman" w:hAnsi="Times New Roman"/>
          <w:bCs/>
          <w:color w:val="auto"/>
          <w:sz w:val="32"/>
          <w:szCs w:val="32"/>
          <w:highlight w:val="auto"/>
        </w:rPr>
        <w:t>（项）:</w:t>
      </w:r>
      <w:r>
        <w:rPr>
          <w:rStyle w:val="24"/>
          <w:rFonts w:ascii="Times New Roman" w:eastAsia="仿宋" w:cs="Times New Roman" w:hAnsi="Times New Roman"/>
          <w:b w:val="0"/>
          <w:bCs/>
          <w:color w:val="auto"/>
          <w:sz w:val="32"/>
          <w:szCs w:val="32"/>
          <w:highlight w:val="auto"/>
        </w:rPr>
        <w:t xml:space="preserve"> 支出决算为</w:t>
      </w:r>
      <w:r>
        <w:rPr>
          <w:rStyle w:val="24"/>
          <w:rFonts w:ascii="Times New Roman" w:eastAsia="仿宋" w:cs="Times New Roman" w:hAnsi="Times New Roman"/>
          <w:b w:val="0"/>
          <w:bCs/>
          <w:color w:val="auto"/>
          <w:sz w:val="32"/>
          <w:szCs w:val="32"/>
          <w:lang w:val="en-US" w:eastAsia="zh-CN"/>
          <w:highlight w:val="auto"/>
        </w:rPr>
        <w:t>131.8</w:t>
      </w:r>
      <w:r>
        <w:rPr>
          <w:rStyle w:val="24"/>
          <w:rFonts w:ascii="Times New Roman" w:eastAsia="仿宋" w:cs="Times New Roman" w:hAnsi="Times New Roman"/>
          <w:b w:val="0"/>
          <w:bCs/>
          <w:color w:val="auto"/>
          <w:sz w:val="32"/>
          <w:szCs w:val="32"/>
          <w:highlight w:val="auto"/>
        </w:rPr>
        <w:t>万元，完成预算</w:t>
      </w:r>
      <w:r>
        <w:rPr>
          <w:rStyle w:val="24"/>
          <w:rFonts w:ascii="Times New Roman" w:eastAsia="仿宋" w:cs="Times New Roman" w:hAnsi="Times New Roman"/>
          <w:b w:val="0"/>
          <w:bCs/>
          <w:color w:val="auto"/>
          <w:sz w:val="32"/>
          <w:szCs w:val="32"/>
          <w:lang w:val="en-US" w:eastAsia="zh-CN"/>
          <w:highlight w:val="auto"/>
        </w:rPr>
        <w:t>100</w:t>
      </w:r>
      <w:r>
        <w:rPr>
          <w:rStyle w:val="24"/>
          <w:rFonts w:ascii="Times New Roman" w:eastAsia="仿宋" w:cs="Times New Roman" w:hAnsi="Times New Roman"/>
          <w:b w:val="0"/>
          <w:bCs/>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 w:cs="Times New Roman" w:hAnsi="Times New Roman"/>
          <w:b/>
          <w:color w:val="auto"/>
          <w:sz w:val="32"/>
          <w:szCs w:val="32"/>
          <w:highlight w:val="auto"/>
        </w:rPr>
      </w:pPr>
      <w:r>
        <w:rPr>
          <w:rStyle w:val="24"/>
          <w:rFonts w:ascii="Times New Roman" w:eastAsia="仿宋" w:cs="Times New Roman" w:hAnsi="Times New Roman"/>
          <w:bCs/>
          <w:color w:val="auto"/>
          <w:sz w:val="32"/>
          <w:szCs w:val="32"/>
          <w:lang w:val="en-US" w:eastAsia="zh-CN"/>
          <w:highlight w:val="auto"/>
        </w:rPr>
        <w:t>2</w:t>
      </w:r>
      <w:r>
        <w:rPr>
          <w:rStyle w:val="24"/>
          <w:rFonts w:ascii="Times New Roman" w:eastAsia="仿宋" w:cs="Times New Roman" w:hAnsi="Times New Roman"/>
          <w:bCs/>
          <w:color w:val="auto"/>
          <w:sz w:val="32"/>
          <w:szCs w:val="32"/>
          <w:highlight w:val="auto"/>
        </w:rPr>
        <w:t>.社会保障和就业</w:t>
      </w:r>
      <w:r>
        <w:rPr>
          <w:rStyle w:val="24"/>
          <w:rFonts w:ascii="Times New Roman" w:eastAsia="仿宋" w:cs="Times New Roman" w:hAnsi="Times New Roman"/>
          <w:bCs/>
          <w:color w:val="auto"/>
          <w:sz w:val="32"/>
          <w:szCs w:val="32"/>
          <w:lang w:val="en-US" w:eastAsia="zh-CN"/>
          <w:highlight w:val="auto"/>
        </w:rPr>
        <w:t>支出</w:t>
      </w:r>
      <w:r>
        <w:rPr>
          <w:rStyle w:val="24"/>
          <w:rFonts w:ascii="Times New Roman" w:eastAsia="仿宋" w:cs="Times New Roman" w:hAnsi="Times New Roman"/>
          <w:bCs/>
          <w:color w:val="auto"/>
          <w:sz w:val="32"/>
          <w:szCs w:val="32"/>
          <w:highlight w:val="auto"/>
        </w:rPr>
        <w:t>（类）</w:t>
      </w:r>
      <w:r>
        <w:rPr>
          <w:rStyle w:val="24"/>
          <w:rFonts w:ascii="Times New Roman" w:eastAsia="仿宋" w:cs="Times New Roman" w:hAnsi="Times New Roman"/>
          <w:bCs/>
          <w:color w:val="auto"/>
          <w:sz w:val="32"/>
          <w:szCs w:val="32"/>
          <w:lang w:val="en-US" w:eastAsia="zh-CN"/>
          <w:highlight w:val="auto"/>
        </w:rPr>
        <w:t>行政事业单位养老支出</w:t>
      </w:r>
      <w:r>
        <w:rPr>
          <w:rStyle w:val="24"/>
          <w:rFonts w:ascii="Times New Roman" w:eastAsia="仿宋" w:cs="Times New Roman" w:hAnsi="Times New Roman"/>
          <w:bCs/>
          <w:color w:val="auto"/>
          <w:sz w:val="32"/>
          <w:szCs w:val="32"/>
          <w:highlight w:val="auto"/>
        </w:rPr>
        <w:t>（款）</w:t>
      </w:r>
      <w:r>
        <w:rPr>
          <w:rStyle w:val="24"/>
          <w:rFonts w:ascii="Times New Roman" w:eastAsia="仿宋" w:cs="Times New Roman" w:hAnsi="Times New Roman"/>
          <w:bCs/>
          <w:color w:val="auto"/>
          <w:sz w:val="32"/>
          <w:szCs w:val="32"/>
          <w:lang w:val="en-US" w:eastAsia="zh-CN"/>
          <w:highlight w:val="auto"/>
        </w:rPr>
        <w:t>机关事业单位基本养老保险缴费支出</w:t>
      </w:r>
      <w:r>
        <w:rPr>
          <w:rStyle w:val="24"/>
          <w:rFonts w:ascii="Times New Roman" w:eastAsia="仿宋" w:cs="Times New Roman" w:hAnsi="Times New Roman"/>
          <w:bCs/>
          <w:color w:val="auto"/>
          <w:sz w:val="32"/>
          <w:szCs w:val="32"/>
          <w:highlight w:val="auto"/>
        </w:rPr>
        <w:t>（项）:</w:t>
      </w:r>
      <w:r>
        <w:rPr>
          <w:rStyle w:val="24"/>
          <w:rFonts w:ascii="Times New Roman" w:eastAsia="仿宋" w:cs="Times New Roman" w:hAnsi="Times New Roman"/>
          <w:b w:val="0"/>
          <w:bCs/>
          <w:color w:val="auto"/>
          <w:sz w:val="32"/>
          <w:szCs w:val="32"/>
          <w:highlight w:val="auto"/>
        </w:rPr>
        <w:t xml:space="preserve"> 支出决算为</w:t>
      </w:r>
      <w:r>
        <w:rPr>
          <w:rStyle w:val="24"/>
          <w:rFonts w:ascii="Times New Roman" w:eastAsia="仿宋" w:cs="Times New Roman" w:hAnsi="Times New Roman"/>
          <w:b w:val="0"/>
          <w:bCs/>
          <w:color w:val="auto"/>
          <w:sz w:val="32"/>
          <w:szCs w:val="32"/>
          <w:lang w:val="en-US" w:eastAsia="zh-CN"/>
          <w:highlight w:val="auto"/>
        </w:rPr>
        <w:t>6.39</w:t>
      </w:r>
      <w:r>
        <w:rPr>
          <w:rStyle w:val="24"/>
          <w:rFonts w:ascii="Times New Roman" w:eastAsia="仿宋" w:cs="Times New Roman" w:hAnsi="Times New Roman"/>
          <w:b w:val="0"/>
          <w:bCs/>
          <w:color w:val="auto"/>
          <w:sz w:val="32"/>
          <w:szCs w:val="32"/>
          <w:highlight w:val="auto"/>
        </w:rPr>
        <w:t>万元，完成预算</w:t>
      </w:r>
      <w:r>
        <w:rPr>
          <w:rStyle w:val="24"/>
          <w:rFonts w:ascii="Times New Roman" w:eastAsia="仿宋" w:cs="Times New Roman" w:hAnsi="Times New Roman"/>
          <w:b w:val="0"/>
          <w:bCs/>
          <w:color w:val="auto"/>
          <w:sz w:val="32"/>
          <w:szCs w:val="32"/>
          <w:lang w:val="en-US" w:eastAsia="zh-CN"/>
          <w:highlight w:val="auto"/>
        </w:rPr>
        <w:t>100</w:t>
      </w:r>
      <w:r>
        <w:rPr>
          <w:rStyle w:val="24"/>
          <w:rFonts w:ascii="Times New Roman" w:eastAsia="仿宋" w:cs="Times New Roman" w:hAnsi="Times New Roman"/>
          <w:b w:val="0"/>
          <w:bCs/>
          <w:color w:val="auto"/>
          <w:sz w:val="32"/>
          <w:szCs w:val="32"/>
          <w:highlight w:val="auto"/>
        </w:rPr>
        <w:t>%。</w:t>
      </w:r>
      <w:r>
        <w:rPr>
          <w:rStyle w:val="24"/>
          <w:rFonts w:ascii="Times New Roman" w:eastAsia="仿宋" w:cs="Times New Roman" w:hAnsi="Times New Roman"/>
          <w:bCs/>
          <w:color w:val="auto"/>
          <w:sz w:val="32"/>
          <w:szCs w:val="32"/>
          <w:highlight w:val="auto"/>
        </w:rPr>
        <w:t>社会保障和就业</w:t>
      </w:r>
      <w:r>
        <w:rPr>
          <w:rStyle w:val="24"/>
          <w:rFonts w:ascii="Times New Roman" w:eastAsia="仿宋" w:cs="Times New Roman" w:hAnsi="Times New Roman"/>
          <w:bCs/>
          <w:color w:val="auto"/>
          <w:sz w:val="32"/>
          <w:szCs w:val="32"/>
          <w:lang w:val="en-US" w:eastAsia="zh-CN"/>
          <w:highlight w:val="auto"/>
        </w:rPr>
        <w:t>支出</w:t>
      </w:r>
      <w:r>
        <w:rPr>
          <w:rStyle w:val="24"/>
          <w:rFonts w:ascii="Times New Roman" w:eastAsia="仿宋" w:cs="Times New Roman" w:hAnsi="Times New Roman"/>
          <w:bCs/>
          <w:color w:val="auto"/>
          <w:sz w:val="32"/>
          <w:szCs w:val="32"/>
          <w:highlight w:val="auto"/>
        </w:rPr>
        <w:t>（类）</w:t>
      </w:r>
      <w:r>
        <w:rPr>
          <w:rStyle w:val="24"/>
          <w:rFonts w:ascii="Times New Roman" w:eastAsia="仿宋" w:cs="Times New Roman" w:hAnsi="Times New Roman"/>
          <w:bCs/>
          <w:color w:val="auto"/>
          <w:sz w:val="32"/>
          <w:szCs w:val="32"/>
          <w:lang w:val="en-US" w:eastAsia="zh-CN"/>
          <w:highlight w:val="auto"/>
        </w:rPr>
        <w:t>行政事业单位养老支出</w:t>
      </w:r>
      <w:r>
        <w:rPr>
          <w:rStyle w:val="24"/>
          <w:rFonts w:ascii="Times New Roman" w:eastAsia="仿宋" w:cs="Times New Roman" w:hAnsi="Times New Roman"/>
          <w:bCs/>
          <w:color w:val="auto"/>
          <w:sz w:val="32"/>
          <w:szCs w:val="32"/>
          <w:highlight w:val="auto"/>
        </w:rPr>
        <w:t>（款）</w:t>
      </w:r>
      <w:r>
        <w:rPr>
          <w:rStyle w:val="24"/>
          <w:rFonts w:ascii="Times New Roman" w:eastAsia="仿宋" w:cs="Times New Roman" w:hAnsi="Times New Roman"/>
          <w:bCs/>
          <w:color w:val="auto"/>
          <w:sz w:val="32"/>
          <w:szCs w:val="32"/>
          <w:lang w:val="en-US" w:eastAsia="zh-CN"/>
          <w:highlight w:val="auto"/>
        </w:rPr>
        <w:t>机关事业单位职业年金缴费支出</w:t>
      </w:r>
      <w:r>
        <w:rPr>
          <w:rStyle w:val="24"/>
          <w:rFonts w:ascii="Times New Roman" w:eastAsia="仿宋" w:cs="Times New Roman" w:hAnsi="Times New Roman"/>
          <w:bCs/>
          <w:color w:val="auto"/>
          <w:sz w:val="32"/>
          <w:szCs w:val="32"/>
          <w:highlight w:val="auto"/>
        </w:rPr>
        <w:t>（项）:</w:t>
      </w:r>
      <w:r>
        <w:rPr>
          <w:rStyle w:val="24"/>
          <w:rFonts w:ascii="Times New Roman" w:eastAsia="仿宋" w:cs="Times New Roman" w:hAnsi="Times New Roman"/>
          <w:b w:val="0"/>
          <w:bCs/>
          <w:color w:val="auto"/>
          <w:sz w:val="32"/>
          <w:szCs w:val="32"/>
          <w:highlight w:val="auto"/>
        </w:rPr>
        <w:t xml:space="preserve"> 支出决算为</w:t>
      </w:r>
      <w:r>
        <w:rPr>
          <w:rStyle w:val="24"/>
          <w:rFonts w:ascii="Times New Roman" w:eastAsia="仿宋" w:cs="Times New Roman" w:hAnsi="Times New Roman"/>
          <w:b w:val="0"/>
          <w:bCs/>
          <w:color w:val="auto"/>
          <w:sz w:val="32"/>
          <w:szCs w:val="32"/>
          <w:lang w:val="en-US" w:eastAsia="zh-CN"/>
          <w:highlight w:val="auto"/>
        </w:rPr>
        <w:t>4.45</w:t>
      </w:r>
      <w:r>
        <w:rPr>
          <w:rStyle w:val="24"/>
          <w:rFonts w:ascii="Times New Roman" w:eastAsia="仿宋" w:cs="Times New Roman" w:hAnsi="Times New Roman"/>
          <w:b w:val="0"/>
          <w:bCs/>
          <w:color w:val="auto"/>
          <w:sz w:val="32"/>
          <w:szCs w:val="32"/>
          <w:highlight w:val="auto"/>
        </w:rPr>
        <w:t>万元，完成预算</w:t>
      </w:r>
      <w:r>
        <w:rPr>
          <w:rStyle w:val="24"/>
          <w:rFonts w:ascii="Times New Roman" w:eastAsia="仿宋" w:cs="Times New Roman" w:hAnsi="Times New Roman"/>
          <w:b w:val="0"/>
          <w:bCs/>
          <w:color w:val="auto"/>
          <w:sz w:val="32"/>
          <w:szCs w:val="32"/>
          <w:lang w:val="en-US" w:eastAsia="zh-CN"/>
          <w:highlight w:val="auto"/>
        </w:rPr>
        <w:t>100</w:t>
      </w:r>
      <w:r>
        <w:rPr>
          <w:rStyle w:val="24"/>
          <w:rFonts w:ascii="Times New Roman" w:eastAsia="仿宋" w:cs="Times New Roman" w:hAnsi="Times New Roman"/>
          <w:b w:val="0"/>
          <w:bCs/>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4"/>
          <w:rFonts w:ascii="Times New Roman" w:eastAsia="仿宋" w:cs="Times New Roman" w:hAnsi="Times New Roman"/>
          <w:b w:val="0"/>
          <w:bCs/>
          <w:color w:val="auto"/>
          <w:sz w:val="32"/>
          <w:szCs w:val="32"/>
          <w:lang w:eastAsia="zh-CN"/>
          <w:highlight w:val="auto"/>
        </w:rPr>
      </w:pPr>
      <w:r>
        <w:rPr>
          <w:rStyle w:val="24"/>
          <w:rFonts w:ascii="Times New Roman" w:eastAsia="仿宋" w:cs="Times New Roman" w:hAnsi="Times New Roman"/>
          <w:bCs/>
          <w:color w:val="auto"/>
          <w:sz w:val="32"/>
          <w:szCs w:val="32"/>
          <w:lang w:val="en-US" w:eastAsia="zh-CN"/>
          <w:highlight w:val="auto"/>
        </w:rPr>
        <w:t>3</w:t>
      </w:r>
      <w:r>
        <w:rPr>
          <w:rStyle w:val="24"/>
          <w:rFonts w:ascii="Times New Roman" w:eastAsia="仿宋" w:cs="Times New Roman" w:hAnsi="Times New Roman"/>
          <w:bCs/>
          <w:color w:val="auto"/>
          <w:sz w:val="32"/>
          <w:szCs w:val="32"/>
          <w:highlight w:val="auto"/>
        </w:rPr>
        <w:t>.</w:t>
      </w:r>
      <w:r>
        <w:rPr>
          <w:rFonts w:ascii="Times New Roman" w:eastAsia="仿宋" w:cs="Times New Roman" w:hAnsi="Times New Roman"/>
          <w:b/>
          <w:bCs/>
          <w:color w:val="auto"/>
          <w:sz w:val="32"/>
          <w:szCs w:val="32"/>
          <w:highlight w:val="auto"/>
        </w:rPr>
        <w:t>卫生健康</w:t>
      </w:r>
      <w:r>
        <w:rPr>
          <w:rFonts w:ascii="Times New Roman" w:eastAsia="仿宋" w:cs="Times New Roman" w:hAnsi="Times New Roman"/>
          <w:b/>
          <w:bCs/>
          <w:color w:val="auto"/>
          <w:sz w:val="32"/>
          <w:szCs w:val="32"/>
          <w:lang w:val="en-US" w:eastAsia="zh-CN"/>
          <w:highlight w:val="auto"/>
        </w:rPr>
        <w:t>支出</w:t>
      </w:r>
      <w:r>
        <w:rPr>
          <w:rStyle w:val="24"/>
          <w:rFonts w:ascii="Times New Roman" w:eastAsia="仿宋" w:cs="Times New Roman" w:hAnsi="Times New Roman"/>
          <w:bCs/>
          <w:color w:val="auto"/>
          <w:sz w:val="32"/>
          <w:szCs w:val="32"/>
          <w:highlight w:val="auto"/>
        </w:rPr>
        <w:t>（类）</w:t>
      </w:r>
      <w:r>
        <w:rPr>
          <w:rStyle w:val="24"/>
          <w:rFonts w:ascii="Times New Roman" w:eastAsia="仿宋" w:cs="Times New Roman" w:hAnsi="Times New Roman"/>
          <w:bCs/>
          <w:color w:val="auto"/>
          <w:sz w:val="32"/>
          <w:szCs w:val="32"/>
          <w:lang w:val="en-US" w:eastAsia="zh-CN"/>
          <w:highlight w:val="auto"/>
        </w:rPr>
        <w:t>行政事业单位医疗</w:t>
      </w:r>
      <w:r>
        <w:rPr>
          <w:rStyle w:val="24"/>
          <w:rFonts w:ascii="Times New Roman" w:eastAsia="仿宋" w:cs="Times New Roman" w:hAnsi="Times New Roman"/>
          <w:bCs/>
          <w:color w:val="auto"/>
          <w:sz w:val="32"/>
          <w:szCs w:val="32"/>
          <w:highlight w:val="auto"/>
        </w:rPr>
        <w:t>（款）</w:t>
      </w:r>
      <w:r>
        <w:rPr>
          <w:rStyle w:val="24"/>
          <w:rFonts w:ascii="Times New Roman" w:eastAsia="仿宋" w:cs="Times New Roman" w:hAnsi="Times New Roman"/>
          <w:bCs/>
          <w:color w:val="auto"/>
          <w:sz w:val="32"/>
          <w:szCs w:val="32"/>
          <w:lang w:val="en-US" w:eastAsia="zh-CN"/>
          <w:highlight w:val="auto"/>
        </w:rPr>
        <w:t>事业单位医疗</w:t>
      </w:r>
      <w:r>
        <w:rPr>
          <w:rStyle w:val="24"/>
          <w:rFonts w:ascii="Times New Roman" w:eastAsia="仿宋" w:cs="Times New Roman" w:hAnsi="Times New Roman"/>
          <w:bCs/>
          <w:color w:val="auto"/>
          <w:sz w:val="32"/>
          <w:szCs w:val="32"/>
          <w:highlight w:val="auto"/>
        </w:rPr>
        <w:t>（项）:</w:t>
      </w:r>
      <w:r>
        <w:rPr>
          <w:rStyle w:val="24"/>
          <w:rFonts w:ascii="Times New Roman" w:eastAsia="仿宋" w:cs="Times New Roman" w:hAnsi="Times New Roman"/>
          <w:b w:val="0"/>
          <w:bCs/>
          <w:color w:val="auto"/>
          <w:sz w:val="32"/>
          <w:szCs w:val="32"/>
          <w:highlight w:val="auto"/>
        </w:rPr>
        <w:t>支出决算为</w:t>
      </w:r>
      <w:r>
        <w:rPr>
          <w:rStyle w:val="24"/>
          <w:rFonts w:ascii="Times New Roman" w:eastAsia="仿宋" w:cs="Times New Roman" w:hAnsi="Times New Roman"/>
          <w:b w:val="0"/>
          <w:bCs/>
          <w:color w:val="auto"/>
          <w:sz w:val="32"/>
          <w:szCs w:val="32"/>
          <w:lang w:val="en-US" w:eastAsia="zh-CN"/>
          <w:highlight w:val="auto"/>
        </w:rPr>
        <w:t>2.87</w:t>
      </w:r>
      <w:r>
        <w:rPr>
          <w:rStyle w:val="24"/>
          <w:rFonts w:ascii="Times New Roman" w:eastAsia="仿宋" w:cs="Times New Roman" w:hAnsi="Times New Roman"/>
          <w:b w:val="0"/>
          <w:bCs/>
          <w:color w:val="auto"/>
          <w:sz w:val="32"/>
          <w:szCs w:val="32"/>
          <w:highlight w:val="auto"/>
        </w:rPr>
        <w:t>万元，完成预算</w:t>
      </w:r>
      <w:r>
        <w:rPr>
          <w:rStyle w:val="24"/>
          <w:rFonts w:ascii="Times New Roman" w:eastAsia="仿宋" w:cs="Times New Roman" w:hAnsi="Times New Roman"/>
          <w:b w:val="0"/>
          <w:bCs/>
          <w:color w:val="auto"/>
          <w:sz w:val="32"/>
          <w:szCs w:val="32"/>
          <w:lang w:val="en-US" w:eastAsia="zh-CN"/>
          <w:highlight w:val="auto"/>
        </w:rPr>
        <w:t>100</w:t>
      </w:r>
      <w:r>
        <w:rPr>
          <w:rStyle w:val="24"/>
          <w:rFonts w:ascii="Times New Roman" w:eastAsia="仿宋" w:cs="Times New Roman" w:hAnsi="Times New Roman"/>
          <w:b w:val="0"/>
          <w:bCs/>
          <w:color w:val="auto"/>
          <w:sz w:val="32"/>
          <w:szCs w:val="32"/>
          <w:highlight w:val="auto"/>
        </w:rPr>
        <w:t>%</w:t>
      </w:r>
      <w:r>
        <w:rPr>
          <w:rStyle w:val="24"/>
          <w:rFonts w:ascii="Times New Roman" w:eastAsia="仿宋" w:cs="Times New Roman" w:hAnsi="Times New Roman"/>
          <w:b w:val="0"/>
          <w:bCs/>
          <w:color w:val="auto"/>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 w:cs="Times New Roman" w:hAnsi="Times New Roman"/>
          <w:b/>
          <w:color w:val="auto"/>
          <w:sz w:val="32"/>
          <w:szCs w:val="32"/>
          <w:highlight w:val="auto"/>
        </w:rPr>
      </w:pPr>
      <w:r>
        <w:rPr>
          <w:rStyle w:val="24"/>
          <w:rFonts w:ascii="Times New Roman" w:eastAsia="仿宋" w:cs="Times New Roman" w:hAnsi="Times New Roman"/>
          <w:bCs/>
          <w:color w:val="auto"/>
          <w:sz w:val="32"/>
          <w:szCs w:val="32"/>
          <w:lang w:val="en-US" w:eastAsia="zh-CN"/>
          <w:highlight w:val="auto"/>
        </w:rPr>
        <w:t>4</w:t>
      </w:r>
      <w:r>
        <w:rPr>
          <w:rStyle w:val="24"/>
          <w:rFonts w:ascii="Times New Roman" w:eastAsia="仿宋" w:cs="Times New Roman" w:hAnsi="Times New Roman"/>
          <w:bCs/>
          <w:color w:val="auto"/>
          <w:sz w:val="32"/>
          <w:szCs w:val="32"/>
          <w:highlight w:val="auto"/>
        </w:rPr>
        <w:t>.</w:t>
      </w:r>
      <w:r>
        <w:rPr>
          <w:rFonts w:ascii="Times New Roman" w:eastAsia="仿宋" w:cs="Times New Roman" w:hAnsi="Times New Roman"/>
          <w:b/>
          <w:bCs/>
          <w:color w:val="auto"/>
          <w:sz w:val="32"/>
          <w:szCs w:val="32"/>
          <w:lang w:val="en-US" w:eastAsia="zh-CN"/>
          <w:highlight w:val="auto"/>
        </w:rPr>
        <w:t>住房保障支出</w:t>
      </w:r>
      <w:r>
        <w:rPr>
          <w:rStyle w:val="24"/>
          <w:rFonts w:ascii="Times New Roman" w:eastAsia="仿宋" w:cs="Times New Roman" w:hAnsi="Times New Roman"/>
          <w:bCs/>
          <w:color w:val="auto"/>
          <w:sz w:val="32"/>
          <w:szCs w:val="32"/>
          <w:highlight w:val="auto"/>
        </w:rPr>
        <w:t>（类）</w:t>
      </w:r>
      <w:r>
        <w:rPr>
          <w:rStyle w:val="24"/>
          <w:rFonts w:ascii="Times New Roman" w:eastAsia="仿宋" w:cs="Times New Roman" w:hAnsi="Times New Roman"/>
          <w:bCs/>
          <w:color w:val="auto"/>
          <w:sz w:val="32"/>
          <w:szCs w:val="32"/>
          <w:lang w:val="en-US" w:eastAsia="zh-CN"/>
          <w:highlight w:val="auto"/>
        </w:rPr>
        <w:t>住房改革支出</w:t>
      </w:r>
      <w:r>
        <w:rPr>
          <w:rStyle w:val="24"/>
          <w:rFonts w:ascii="Times New Roman" w:eastAsia="仿宋" w:cs="Times New Roman" w:hAnsi="Times New Roman"/>
          <w:bCs/>
          <w:color w:val="auto"/>
          <w:sz w:val="32"/>
          <w:szCs w:val="32"/>
          <w:highlight w:val="auto"/>
        </w:rPr>
        <w:t>（款）</w:t>
      </w:r>
      <w:r>
        <w:rPr>
          <w:rStyle w:val="24"/>
          <w:rFonts w:ascii="Times New Roman" w:eastAsia="仿宋" w:cs="Times New Roman" w:hAnsi="Times New Roman"/>
          <w:bCs/>
          <w:color w:val="auto"/>
          <w:sz w:val="32"/>
          <w:szCs w:val="32"/>
          <w:lang w:val="en-US" w:eastAsia="zh-CN"/>
          <w:highlight w:val="auto"/>
        </w:rPr>
        <w:t>住房公积金</w:t>
      </w:r>
      <w:r>
        <w:rPr>
          <w:rStyle w:val="24"/>
          <w:rFonts w:ascii="Times New Roman" w:eastAsia="仿宋" w:cs="Times New Roman" w:hAnsi="Times New Roman"/>
          <w:bCs/>
          <w:color w:val="auto"/>
          <w:sz w:val="32"/>
          <w:szCs w:val="32"/>
          <w:highlight w:val="auto"/>
        </w:rPr>
        <w:t>（项）:</w:t>
      </w:r>
      <w:r>
        <w:rPr>
          <w:rStyle w:val="24"/>
          <w:rFonts w:ascii="Times New Roman" w:eastAsia="仿宋" w:cs="Times New Roman" w:hAnsi="Times New Roman"/>
          <w:b w:val="0"/>
          <w:bCs/>
          <w:color w:val="auto"/>
          <w:sz w:val="32"/>
          <w:szCs w:val="32"/>
          <w:highlight w:val="auto"/>
        </w:rPr>
        <w:t>支出决算为</w:t>
      </w:r>
      <w:r>
        <w:rPr>
          <w:rStyle w:val="24"/>
          <w:rFonts w:ascii="Times New Roman" w:eastAsia="仿宋" w:cs="Times New Roman" w:hAnsi="Times New Roman"/>
          <w:b w:val="0"/>
          <w:bCs/>
          <w:color w:val="auto"/>
          <w:sz w:val="32"/>
          <w:szCs w:val="32"/>
          <w:lang w:val="en-US" w:eastAsia="zh-CN"/>
          <w:highlight w:val="auto"/>
        </w:rPr>
        <w:t>6.82</w:t>
      </w:r>
      <w:r>
        <w:rPr>
          <w:rStyle w:val="24"/>
          <w:rFonts w:ascii="Times New Roman" w:eastAsia="仿宋" w:cs="Times New Roman" w:hAnsi="Times New Roman"/>
          <w:b w:val="0"/>
          <w:bCs/>
          <w:color w:val="auto"/>
          <w:sz w:val="32"/>
          <w:szCs w:val="32"/>
          <w:highlight w:val="auto"/>
        </w:rPr>
        <w:t>万元，完成预算</w:t>
      </w:r>
      <w:r>
        <w:rPr>
          <w:rStyle w:val="24"/>
          <w:rFonts w:ascii="Times New Roman" w:eastAsia="仿宋" w:cs="Times New Roman" w:hAnsi="Times New Roman"/>
          <w:b w:val="0"/>
          <w:bCs/>
          <w:color w:val="auto"/>
          <w:sz w:val="32"/>
          <w:szCs w:val="32"/>
          <w:lang w:val="en-US" w:eastAsia="zh-CN"/>
          <w:highlight w:val="auto"/>
        </w:rPr>
        <w:t>100</w:t>
      </w:r>
      <w:r>
        <w:rPr>
          <w:rStyle w:val="24"/>
          <w:rFonts w:ascii="Times New Roman" w:eastAsia="仿宋" w:cs="Times New Roman" w:hAnsi="Times New Roman"/>
          <w:b w:val="0"/>
          <w:bCs/>
          <w:color w:val="auto"/>
          <w:sz w:val="32"/>
          <w:szCs w:val="32"/>
          <w:highlight w:val="auto"/>
        </w:rPr>
        <w:t>%。</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2Char"/>
          <w:rFonts w:ascii="Times New Roman" w:cs="Times New Roman" w:hAnsi="Times New Roman"/>
          <w:color w:val="auto"/>
          <w:highlight w:val="auto"/>
        </w:rPr>
      </w:pPr>
      <w:bookmarkStart w:id="35" w:name="_Toc15396608"/>
      <w:bookmarkStart w:id="36" w:name="_Toc15377214"/>
      <w:r>
        <w:rPr>
          <w:rFonts w:ascii="黑体" w:eastAsia="黑体" w:cs="黑体" w:hint="eastAsia"/>
          <w:b w:val="0"/>
          <w:bCs/>
          <w:color w:val="auto"/>
          <w:sz w:val="32"/>
          <w:szCs w:val="32"/>
          <w:highlight w:val="auto"/>
        </w:rPr>
        <w:t>六、一般公共预算财政拨款基本支出决算情况说明</w:t>
      </w:r>
      <w:bookmarkEnd w:id="35"/>
      <w:bookmarkEnd w:id="36"/>
      <w:r>
        <w:rPr>
          <w:rStyle w:val="2Char"/>
          <w:rFonts w:ascii="Times New Roman" w:eastAsia="黑体" w:cs="Times New Roman" w:hAnsi="Times New Roman"/>
          <w:b w:val="0"/>
          <w:color w:val="auto"/>
          <w:highlight w:val="auto"/>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Times New Roman" w:eastAsia="仿宋" w:cs="Times New Roman" w:hAnsi="Times New Roman"/>
          <w:color w:val="auto"/>
          <w:sz w:val="32"/>
          <w:szCs w:val="32"/>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年一般公共预算财政拨款基本支出</w:t>
      </w:r>
      <w:r>
        <w:rPr>
          <w:rFonts w:ascii="Times New Roman" w:eastAsia="仿宋" w:cs="Times New Roman" w:hAnsi="Times New Roman"/>
          <w:color w:val="auto"/>
          <w:sz w:val="32"/>
          <w:szCs w:val="32"/>
          <w:lang w:val="en-US" w:eastAsia="zh-CN"/>
          <w:highlight w:val="auto"/>
        </w:rPr>
        <w:t>152.33</w:t>
      </w:r>
      <w:r>
        <w:rPr>
          <w:rFonts w:ascii="Times New Roman" w:eastAsia="仿宋" w:cs="Times New Roman" w:hAnsi="Times New Roman"/>
          <w:color w:val="auto"/>
          <w:sz w:val="32"/>
          <w:szCs w:val="32"/>
          <w:highlight w:val="auto"/>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Times New Roman" w:eastAsia="仿宋" w:cs="Times New Roman" w:hAnsi="Times New Roman"/>
          <w:color w:val="auto"/>
          <w:sz w:val="32"/>
          <w:szCs w:val="32"/>
          <w:highlight w:val="auto"/>
        </w:rPr>
      </w:pPr>
      <w:r>
        <w:rPr>
          <w:rFonts w:ascii="Times New Roman" w:eastAsia="仿宋" w:cs="Times New Roman" w:hAnsi="Times New Roman"/>
          <w:color w:val="auto"/>
          <w:sz w:val="32"/>
          <w:szCs w:val="32"/>
          <w:highlight w:val="auto"/>
        </w:rPr>
        <w:t>人员经费</w:t>
      </w:r>
      <w:r>
        <w:rPr>
          <w:rFonts w:ascii="Times New Roman" w:eastAsia="仿宋" w:cs="Times New Roman" w:hAnsi="Times New Roman"/>
          <w:color w:val="auto"/>
          <w:sz w:val="32"/>
          <w:szCs w:val="32"/>
          <w:lang w:val="en-US" w:eastAsia="zh-CN"/>
          <w:highlight w:val="auto"/>
        </w:rPr>
        <w:t>141.67</w:t>
      </w:r>
      <w:r>
        <w:rPr>
          <w:rFonts w:ascii="Times New Roman" w:eastAsia="仿宋" w:cs="Times New Roman" w:hAnsi="Times New Roman"/>
          <w:color w:val="auto"/>
          <w:sz w:val="32"/>
          <w:szCs w:val="32"/>
          <w:highlight w:val="auto"/>
        </w:rPr>
        <w:t>万元，主要包括：基本工资、津贴补贴、奖金、绩效工资、机关事业单位基本养老保险缴费、职业年金缴费、</w:t>
      </w:r>
      <w:r>
        <w:rPr>
          <w:rFonts w:ascii="Times New Roman" w:eastAsia="仿宋" w:cs="Times New Roman" w:hAnsi="Times New Roman"/>
          <w:color w:val="auto"/>
          <w:sz w:val="32"/>
          <w:szCs w:val="32"/>
          <w:lang w:val="en-US" w:eastAsia="zh-CN"/>
          <w:highlight w:val="auto"/>
        </w:rPr>
        <w:t>职工基本医疗保险缴费、</w:t>
      </w:r>
      <w:r>
        <w:rPr>
          <w:rFonts w:ascii="Times New Roman" w:eastAsia="仿宋" w:cs="Times New Roman" w:hAnsi="Times New Roman"/>
          <w:color w:val="auto"/>
          <w:sz w:val="32"/>
          <w:szCs w:val="32"/>
          <w:highlight w:val="auto"/>
        </w:rPr>
        <w:t>住房公积金。</w:t>
        <w:br/>
      </w:r>
      <w:r>
        <w:rPr>
          <w:rFonts w:ascii="Times New Roman" w:eastAsia="仿宋" w:cs="Times New Roman" w:hAnsi="Times New Roman"/>
          <w:color w:val="auto"/>
          <w:sz w:val="32"/>
          <w:szCs w:val="32"/>
          <w:lang w:val="en-US" w:eastAsia="zh-CN"/>
          <w:highlight w:val="auto"/>
        </w:rPr>
        <w:t xml:space="preserve">    </w:t>
      </w:r>
      <w:r>
        <w:rPr>
          <w:rFonts w:ascii="Times New Roman" w:eastAsia="仿宋" w:cs="Times New Roman" w:hAnsi="Times New Roman"/>
          <w:color w:val="auto"/>
          <w:sz w:val="32"/>
          <w:szCs w:val="32"/>
          <w:highlight w:val="auto"/>
        </w:rPr>
        <w:t>公用经费</w:t>
      </w:r>
      <w:r>
        <w:rPr>
          <w:rFonts w:ascii="Times New Roman" w:eastAsia="仿宋" w:cs="Times New Roman" w:hAnsi="Times New Roman"/>
          <w:color w:val="auto"/>
          <w:sz w:val="32"/>
          <w:szCs w:val="32"/>
          <w:lang w:val="en-US" w:eastAsia="zh-CN"/>
          <w:highlight w:val="auto"/>
        </w:rPr>
        <w:t>10.66</w:t>
      </w:r>
      <w:r>
        <w:rPr>
          <w:rFonts w:ascii="Times New Roman" w:eastAsia="仿宋" w:cs="Times New Roman" w:hAnsi="Times New Roman"/>
          <w:color w:val="auto"/>
          <w:sz w:val="32"/>
          <w:szCs w:val="32"/>
          <w:highlight w:val="auto"/>
        </w:rPr>
        <w:t>万元，主要包括：办公费、电费、邮电费、差旅费、培训费、福利费、其他商品和服务支出。</w:t>
      </w:r>
    </w:p>
    <w:p>
      <w:pPr>
        <w:keepNext w:val="0"/>
        <w:keepLines w:val="0"/>
        <w:pageBreakBefore w:val="0"/>
        <w:widowControl w:val="0"/>
        <w:kinsoku/>
        <w:wordWrap/>
        <w:overflowPunct/>
        <w:topLinePunct w:val="0"/>
        <w:bidi w:val="0"/>
        <w:snapToGrid/>
        <w:spacing w:line="560" w:lineRule="exact"/>
        <w:ind w:firstLine="640"/>
        <w:textAlignment w:val="auto"/>
        <w:outlineLvl w:val="1"/>
        <w:rPr>
          <w:rStyle w:val="2Char"/>
          <w:rFonts w:ascii="Times New Roman" w:eastAsia="黑体" w:cs="Times New Roman" w:hAnsi="Times New Roman"/>
          <w:b w:val="0"/>
          <w:color w:val="auto"/>
          <w:highlight w:val="auto"/>
        </w:rPr>
      </w:pPr>
      <w:bookmarkStart w:id="37" w:name="_Toc15377215"/>
      <w:bookmarkStart w:id="38" w:name="_Toc15396609"/>
      <w:r>
        <w:rPr>
          <w:rFonts w:ascii="Times New Roman" w:eastAsia="黑体" w:cs="Times New Roman" w:hAnsi="Times New Roman"/>
          <w:color w:val="auto"/>
          <w:sz w:val="32"/>
          <w:szCs w:val="32"/>
          <w:highlight w:val="auto"/>
        </w:rPr>
        <w:t>七、</w:t>
      </w:r>
      <w:r>
        <w:rPr>
          <w:rStyle w:val="2Char"/>
          <w:rFonts w:ascii="Times New Roman" w:eastAsia="黑体" w:cs="Times New Roman" w:hAnsi="Times New Roman"/>
          <w:b w:val="0"/>
          <w:color w:val="auto"/>
          <w:highlight w:val="auto"/>
        </w:rPr>
        <w:t>财政拨款</w:t>
      </w:r>
      <w:r>
        <w:rPr>
          <w:rStyle w:val="2Char"/>
          <w:rFonts w:ascii="Times New Roman" w:eastAsia="黑体" w:cs="Times New Roman" w:hAnsi="Times New Roman"/>
          <w:color w:val="auto"/>
          <w:highlight w:val="auto"/>
        </w:rPr>
        <w:t>“</w:t>
      </w:r>
      <w:r>
        <w:rPr>
          <w:rStyle w:val="2Char"/>
          <w:rFonts w:ascii="Times New Roman" w:eastAsia="黑体" w:cs="Times New Roman" w:hAnsi="Times New Roman"/>
          <w:b w:val="0"/>
          <w:color w:val="auto"/>
          <w:highlight w:val="auto"/>
        </w:rPr>
        <w:t>三公”经费支出决算情况说明</w:t>
      </w:r>
      <w:bookmarkEnd w:id="37"/>
      <w:bookmarkEnd w:id="38"/>
    </w:p>
    <w:p>
      <w:pPr>
        <w:keepNext w:val="0"/>
        <w:keepLines w:val="0"/>
        <w:pageBreakBefore w:val="0"/>
        <w:widowControl w:val="0"/>
        <w:kinsoku/>
        <w:wordWrap/>
        <w:overflowPunct/>
        <w:topLinePunct w:val="0"/>
        <w:bidi w:val="0"/>
        <w:snapToGrid/>
        <w:spacing w:line="560" w:lineRule="exact"/>
        <w:ind w:firstLine="640"/>
        <w:textAlignment w:val="auto"/>
        <w:outlineLvl w:val="2"/>
        <w:rPr>
          <w:rFonts w:ascii="楷体_GB2312" w:eastAsia="楷体_GB2312" w:cs="楷体_GB2312" w:hint="eastAsia"/>
          <w:b/>
          <w:color w:val="auto"/>
          <w:sz w:val="32"/>
          <w:szCs w:val="32"/>
          <w:highlight w:val="auto"/>
        </w:rPr>
      </w:pPr>
      <w:bookmarkStart w:id="39" w:name="_Toc15377216"/>
      <w:r>
        <w:rPr>
          <w:rFonts w:ascii="楷体_GB2312" w:eastAsia="楷体_GB2312" w:cs="楷体_GB2312" w:hint="eastAsia"/>
          <w:b/>
          <w:color w:val="auto"/>
          <w:sz w:val="32"/>
          <w:szCs w:val="32"/>
          <w:highlight w:val="auto"/>
        </w:rPr>
        <w:t>（一）“三公”经费财政拨款支出决算总体情况说明</w:t>
      </w:r>
      <w:bookmarkEnd w:id="39"/>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 w:cs="Times New Roman" w:hAnsi="Times New Roman"/>
          <w:b/>
          <w:color w:val="auto"/>
          <w:sz w:val="32"/>
          <w:szCs w:val="32"/>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年“三公”经费财政拨款支出决算为</w:t>
      </w:r>
      <w:r>
        <w:rPr>
          <w:rFonts w:ascii="Times New Roman" w:eastAsia="仿宋" w:cs="Times New Roman" w:hAnsi="Times New Roman"/>
          <w:color w:val="auto"/>
          <w:sz w:val="32"/>
          <w:szCs w:val="32"/>
          <w:lang w:val="en-US" w:eastAsia="zh-CN"/>
          <w:highlight w:val="auto"/>
        </w:rPr>
        <w:t>0</w:t>
      </w:r>
      <w:r>
        <w:rPr>
          <w:rFonts w:ascii="Times New Roman" w:eastAsia="仿宋" w:cs="Times New Roman" w:hAnsi="Times New Roman"/>
          <w:color w:val="auto"/>
          <w:sz w:val="32"/>
          <w:szCs w:val="32"/>
          <w:highlight w:val="auto"/>
        </w:rPr>
        <w:t>万元</w:t>
      </w:r>
      <w:r>
        <w:rPr>
          <w:rFonts w:ascii="Times New Roman" w:eastAsia="仿宋" w:cs="Times New Roman" w:hAnsi="Times New Roman"/>
          <w:color w:val="auto"/>
          <w:sz w:val="32"/>
          <w:szCs w:val="32"/>
          <w:lang w:eastAsia="zh-CN"/>
          <w:highlight w:val="auto"/>
        </w:rPr>
        <w:t>。</w:t>
      </w:r>
    </w:p>
    <w:p>
      <w:pPr>
        <w:keepNext w:val="0"/>
        <w:keepLines w:val="0"/>
        <w:pageBreakBefore w:val="0"/>
        <w:widowControl w:val="0"/>
        <w:kinsoku/>
        <w:wordWrap/>
        <w:overflowPunct/>
        <w:topLinePunct w:val="0"/>
        <w:bidi w:val="0"/>
        <w:snapToGrid/>
        <w:spacing w:line="560" w:lineRule="exact"/>
        <w:ind w:firstLine="640"/>
        <w:textAlignment w:val="auto"/>
        <w:outlineLvl w:val="2"/>
        <w:rPr>
          <w:rFonts w:ascii="楷体_GB2312" w:eastAsia="楷体_GB2312" w:cs="楷体_GB2312"/>
          <w:b/>
          <w:color w:val="auto"/>
          <w:sz w:val="32"/>
          <w:szCs w:val="32"/>
          <w:highlight w:val="auto"/>
        </w:rPr>
      </w:pPr>
      <w:bookmarkStart w:id="40" w:name="_Toc15377217"/>
      <w:r>
        <w:rPr>
          <w:rFonts w:ascii="楷体_GB2312" w:eastAsia="楷体_GB2312" w:cs="楷体_GB2312" w:hint="eastAsia"/>
          <w:b/>
          <w:color w:val="auto"/>
          <w:sz w:val="32"/>
          <w:szCs w:val="32"/>
          <w:lang w:eastAsia="zh-CN"/>
          <w:highlight w:val="auto"/>
        </w:rPr>
        <w:t>（二）</w:t>
      </w:r>
      <w:r>
        <w:rPr>
          <w:rFonts w:ascii="楷体_GB2312" w:eastAsia="楷体_GB2312" w:cs="楷体_GB2312"/>
          <w:b/>
          <w:color w:val="auto"/>
          <w:sz w:val="32"/>
          <w:szCs w:val="32"/>
          <w:highlight w:val="auto"/>
        </w:rPr>
        <w:t>“三公”经费财政拨款支出决算具体情况说明</w:t>
      </w:r>
      <w:bookmarkEnd w:id="40"/>
    </w:p>
    <w:p>
      <w:pPr>
        <w:keepNext w:val="0"/>
        <w:keepLines w:val="0"/>
        <w:pageBreakBefore w:val="0"/>
        <w:widowControl w:val="0"/>
        <w:kinsoku/>
        <w:wordWrap/>
        <w:overflowPunct/>
        <w:topLinePunct w:val="0"/>
        <w:bidi w:val="0"/>
        <w:snapToGrid/>
        <w:spacing w:line="560" w:lineRule="exact"/>
        <w:ind w:firstLine="640"/>
        <w:textAlignment w:val="auto"/>
        <w:rPr>
          <w:rFonts w:ascii="Times New Roman" w:eastAsia="仿宋" w:cs="Times New Roman" w:hAnsi="Times New Roman"/>
          <w:color w:val="auto"/>
          <w:sz w:val="32"/>
          <w:szCs w:val="32"/>
          <w:highlight w:val="auto"/>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年“三公”经费财政拨款支出决算中，因公出国（境）费支出决算</w:t>
      </w:r>
      <w:r>
        <w:rPr>
          <w:rFonts w:ascii="Times New Roman" w:eastAsia="仿宋" w:cs="Times New Roman" w:hAnsi="Times New Roman"/>
          <w:color w:val="auto"/>
          <w:sz w:val="32"/>
          <w:szCs w:val="32"/>
          <w:lang w:val="en-US" w:eastAsia="zh-CN"/>
          <w:highlight w:val="auto"/>
        </w:rPr>
        <w:t>0</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0</w:t>
      </w:r>
      <w:r>
        <w:rPr>
          <w:rFonts w:ascii="Times New Roman" w:eastAsia="仿宋" w:cs="Times New Roman" w:hAnsi="Times New Roman"/>
          <w:color w:val="auto"/>
          <w:sz w:val="32"/>
          <w:szCs w:val="32"/>
          <w:highlight w:val="auto"/>
        </w:rPr>
        <w:t>%；公务用车购置及运行维护费支出决算</w:t>
      </w:r>
      <w:r>
        <w:rPr>
          <w:rFonts w:ascii="Times New Roman" w:eastAsia="仿宋" w:cs="Times New Roman" w:hAnsi="Times New Roman"/>
          <w:color w:val="auto"/>
          <w:sz w:val="32"/>
          <w:szCs w:val="32"/>
          <w:lang w:val="en-US" w:eastAsia="zh-CN"/>
          <w:highlight w:val="auto"/>
        </w:rPr>
        <w:t>0</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0</w:t>
      </w:r>
      <w:r>
        <w:rPr>
          <w:rFonts w:ascii="Times New Roman" w:eastAsia="仿宋" w:cs="Times New Roman" w:hAnsi="Times New Roman"/>
          <w:color w:val="auto"/>
          <w:sz w:val="32"/>
          <w:szCs w:val="32"/>
          <w:highlight w:val="auto"/>
        </w:rPr>
        <w:t>%；公务接待费支出决算</w:t>
      </w:r>
      <w:r>
        <w:rPr>
          <w:rFonts w:ascii="Times New Roman" w:eastAsia="仿宋" w:cs="Times New Roman" w:hAnsi="Times New Roman"/>
          <w:color w:val="auto"/>
          <w:sz w:val="32"/>
          <w:szCs w:val="32"/>
          <w:lang w:val="en-US" w:eastAsia="zh-CN"/>
          <w:highlight w:val="auto"/>
        </w:rPr>
        <w:t>0</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0</w:t>
      </w:r>
      <w:r>
        <w:rPr>
          <w:rFonts w:ascii="Times New Roman" w:eastAsia="仿宋" w:cs="Times New Roman" w:hAnsi="Times New Roman"/>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640"/>
        <w:textAlignment w:val="auto"/>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b/>
          <w:color w:val="auto"/>
          <w:sz w:val="32"/>
          <w:szCs w:val="32"/>
          <w:lang w:val="en-US" w:eastAsia="zh-CN"/>
          <w:highlight w:val="auto"/>
        </w:rPr>
        <w:t>1.</w:t>
      </w:r>
      <w:r>
        <w:rPr>
          <w:rFonts w:ascii="Times New Roman" w:eastAsia="仿宋_GB2312" w:cs="Times New Roman" w:hAnsi="Times New Roman"/>
          <w:b/>
          <w:color w:val="auto"/>
          <w:sz w:val="32"/>
          <w:szCs w:val="32"/>
          <w:highlight w:val="auto"/>
        </w:rPr>
        <w:t>因公出国（境）经费支出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w:t>
      </w:r>
      <w:r>
        <w:rPr>
          <w:rStyle w:val="24"/>
          <w:rFonts w:ascii="Times New Roman" w:eastAsia="仿宋" w:cs="Times New Roman" w:hAnsi="Times New Roman"/>
          <w:b w:val="0"/>
          <w:bCs/>
          <w:color w:val="auto"/>
          <w:sz w:val="32"/>
          <w:szCs w:val="32"/>
          <w:highlight w:val="auto"/>
        </w:rPr>
        <w:t>完成预算</w:t>
      </w:r>
      <w:r>
        <w:rPr>
          <w:rStyle w:val="24"/>
          <w:rFonts w:ascii="Times New Roman" w:eastAsia="仿宋" w:cs="Times New Roman" w:hAnsi="Times New Roman"/>
          <w:b w:val="0"/>
          <w:bCs/>
          <w:color w:val="auto"/>
          <w:sz w:val="32"/>
          <w:szCs w:val="32"/>
          <w:lang w:val="en-US" w:eastAsia="zh-CN"/>
          <w:highlight w:val="auto"/>
        </w:rPr>
        <w:t>0</w:t>
      </w:r>
      <w:r>
        <w:rPr>
          <w:rStyle w:val="24"/>
          <w:rFonts w:ascii="Times New Roman" w:eastAsia="仿宋" w:cs="Times New Roman" w:hAnsi="Times New Roman"/>
          <w:b w:val="0"/>
          <w:bCs/>
          <w:color w:val="auto"/>
          <w:sz w:val="32"/>
          <w:szCs w:val="32"/>
          <w:highlight w:val="auto"/>
        </w:rPr>
        <w:t>%。</w:t>
      </w:r>
      <w:r>
        <w:rPr>
          <w:rFonts w:ascii="Times New Roman" w:eastAsia="仿宋_GB2312" w:cs="Times New Roman" w:hAnsi="Times New Roman"/>
          <w:color w:val="auto"/>
          <w:sz w:val="32"/>
          <w:szCs w:val="32"/>
          <w:highlight w:val="auto"/>
        </w:rPr>
        <w:t>全年安排因公出国（境）团组</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次，出国（境）</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人</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sz w:val="32"/>
          <w:szCs w:val="32"/>
        </w:rPr>
        <w:t>因公出国（境）支出决算同202</w:t>
      </w:r>
      <w:r>
        <w:rPr>
          <w:rFonts w:ascii="Times New Roman" w:eastAsia="仿宋_GB2312" w:cs="Times New Roman" w:hAnsi="Times New Roman"/>
          <w:sz w:val="32"/>
          <w:szCs w:val="32"/>
          <w:lang w:val="en-US" w:eastAsia="zh-CN"/>
        </w:rPr>
        <w:t>1</w:t>
      </w:r>
      <w:r>
        <w:rPr>
          <w:rFonts w:ascii="Times New Roman" w:eastAsia="仿宋_GB2312" w:cs="Times New Roman" w:hAnsi="Times New Roman"/>
          <w:sz w:val="32"/>
          <w:szCs w:val="32"/>
        </w:rPr>
        <w:t>年持平</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rPr>
        <w:t>主要原因是</w:t>
      </w:r>
      <w:r>
        <w:rPr>
          <w:rFonts w:ascii="Times New Roman" w:eastAsia="仿宋_GB2312" w:cs="Times New Roman" w:hAnsi="Times New Roman"/>
          <w:sz w:val="32"/>
          <w:szCs w:val="32"/>
          <w:lang w:val="en-US" w:eastAsia="zh-CN"/>
        </w:rPr>
        <w:t>我单位</w:t>
      </w:r>
      <w:r>
        <w:rPr>
          <w:rFonts w:ascii="Times New Roman" w:eastAsia="仿宋_GB2312" w:cs="Times New Roman" w:hAnsi="Times New Roman"/>
          <w:sz w:val="32"/>
          <w:szCs w:val="32"/>
        </w:rPr>
        <w:t>不涉及出国（境）业务。</w:t>
      </w:r>
    </w:p>
    <w:p>
      <w:pPr>
        <w:keepNext w:val="0"/>
        <w:keepLines w:val="0"/>
        <w:pageBreakBefore w:val="0"/>
        <w:widowControl w:val="0"/>
        <w:kinsoku/>
        <w:wordWrap/>
        <w:overflowPunct/>
        <w:topLinePunct w:val="0"/>
        <w:bidi w:val="0"/>
        <w:snapToGrid/>
        <w:spacing w:line="560" w:lineRule="exact"/>
        <w:ind w:left="0" w:firstLineChars="200" w:firstLine="640"/>
        <w:textAlignment w:val="auto"/>
        <w:rPr>
          <w:rFonts w:ascii="Times New Roman" w:eastAsia="仿宋_GB2312" w:cs="Times New Roman" w:hAnsi="Times New Roman"/>
          <w:b/>
          <w:color w:val="auto"/>
          <w:sz w:val="32"/>
          <w:szCs w:val="32"/>
          <w:highlight w:val="auto"/>
        </w:rPr>
      </w:pPr>
      <w:r>
        <w:rPr>
          <w:rFonts w:ascii="Times New Roman" w:eastAsia="仿宋_GB2312" w:cs="Times New Roman" w:hAnsi="Times New Roman"/>
          <w:b/>
          <w:color w:val="auto"/>
          <w:sz w:val="32"/>
          <w:szCs w:val="32"/>
          <w:highlight w:val="auto"/>
        </w:rPr>
        <w:t>2.公务用车购置及运行维护费支出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w:t>
      </w:r>
      <w:r>
        <w:rPr>
          <w:rStyle w:val="24"/>
          <w:rFonts w:ascii="Times New Roman" w:eastAsia="仿宋" w:cs="Times New Roman" w:hAnsi="Times New Roman"/>
          <w:b w:val="0"/>
          <w:bCs/>
          <w:color w:val="auto"/>
          <w:sz w:val="32"/>
          <w:szCs w:val="32"/>
          <w:highlight w:val="auto"/>
        </w:rPr>
        <w:t>完成预算</w:t>
      </w:r>
      <w:r>
        <w:rPr>
          <w:rStyle w:val="24"/>
          <w:rFonts w:ascii="Times New Roman" w:eastAsia="仿宋" w:cs="Times New Roman" w:hAnsi="Times New Roman"/>
          <w:b w:val="0"/>
          <w:bCs/>
          <w:color w:val="auto"/>
          <w:sz w:val="32"/>
          <w:szCs w:val="32"/>
          <w:lang w:val="en-US" w:eastAsia="zh-CN"/>
          <w:highlight w:val="auto"/>
        </w:rPr>
        <w:t>0</w:t>
      </w:r>
      <w:r>
        <w:rPr>
          <w:rStyle w:val="24"/>
          <w:rFonts w:ascii="Times New Roman" w:eastAsia="仿宋" w:cs="Times New Roman" w:hAnsi="Times New Roman"/>
          <w:b w:val="0"/>
          <w:bCs/>
          <w:color w:val="auto"/>
          <w:sz w:val="32"/>
          <w:szCs w:val="32"/>
          <w:highlight w:val="auto"/>
        </w:rPr>
        <w:t>%。</w:t>
      </w:r>
      <w:r>
        <w:rPr>
          <w:rFonts w:ascii="Times New Roman" w:eastAsia="仿宋_GB2312" w:cs="Times New Roman" w:hAnsi="Times New Roman"/>
          <w:color w:val="auto"/>
          <w:sz w:val="32"/>
          <w:szCs w:val="32"/>
          <w:highlight w:val="auto"/>
        </w:rPr>
        <w:t>公务用车购置及运行维护费支出决算比20</w:t>
      </w:r>
      <w:r>
        <w:rPr>
          <w:rFonts w:ascii="Times New Roman" w:eastAsia="仿宋_GB2312" w:cs="Times New Roman" w:hAnsi="Times New Roman"/>
          <w:color w:val="auto"/>
          <w:sz w:val="32"/>
          <w:szCs w:val="32"/>
          <w:lang w:val="en-US" w:eastAsia="zh-CN"/>
          <w:highlight w:val="auto"/>
        </w:rPr>
        <w:t>21</w:t>
      </w:r>
      <w:r>
        <w:rPr>
          <w:rFonts w:ascii="Times New Roman" w:eastAsia="仿宋_GB2312" w:cs="Times New Roman" w:hAnsi="Times New Roman"/>
          <w:color w:val="auto"/>
          <w:sz w:val="32"/>
          <w:szCs w:val="32"/>
          <w:highlight w:val="auto"/>
        </w:rPr>
        <w:t>年增加</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万元，增长</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b/>
          <w:color w:val="auto"/>
          <w:sz w:val="32"/>
          <w:szCs w:val="32"/>
          <w:highlight w:val="auto"/>
        </w:rPr>
      </w:pPr>
      <w:r>
        <w:rPr>
          <w:rFonts w:ascii="Times New Roman" w:eastAsia="仿宋_GB2312" w:cs="Times New Roman" w:hAnsi="Times New Roman"/>
          <w:color w:val="auto"/>
          <w:sz w:val="32"/>
          <w:szCs w:val="32"/>
          <w:highlight w:val="auto"/>
        </w:rPr>
        <w:t>截至20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年12月底，单位共有公务用车</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辆。</w:t>
      </w:r>
    </w:p>
    <w:p>
      <w:pPr>
        <w:keepNext w:val="0"/>
        <w:keepLines w:val="0"/>
        <w:pageBreakBefore w:val="0"/>
        <w:widowControl w:val="0"/>
        <w:kinsoku/>
        <w:wordWrap/>
        <w:overflowPunct/>
        <w:topLinePunct w:val="0"/>
        <w:bidi w:val="0"/>
        <w:snapToGrid/>
        <w:spacing w:line="560" w:lineRule="exact"/>
        <w:ind w:firstLine="640"/>
        <w:textAlignment w:val="auto"/>
        <w:rPr>
          <w:rFonts w:ascii="Times New Roman" w:eastAsia="仿宋_GB2312" w:cs="Times New Roman" w:hAnsi="Times New Roman"/>
          <w:b w:val="0"/>
          <w:bCs/>
          <w:color w:val="auto"/>
          <w:sz w:val="32"/>
          <w:szCs w:val="32"/>
          <w:highlight w:val="auto"/>
        </w:rPr>
      </w:pPr>
      <w:r>
        <w:rPr>
          <w:rFonts w:ascii="Times New Roman" w:eastAsia="仿宋_GB2312" w:cs="Times New Roman" w:hAnsi="Times New Roman"/>
          <w:b w:val="0"/>
          <w:bCs/>
          <w:color w:val="auto"/>
          <w:sz w:val="32"/>
          <w:szCs w:val="32"/>
          <w:highlight w:val="auto"/>
        </w:rPr>
        <w:t>公务用车运行维护费支出</w:t>
      </w:r>
      <w:r>
        <w:rPr>
          <w:rFonts w:ascii="Times New Roman" w:eastAsia="仿宋_GB2312" w:cs="Times New Roman" w:hAnsi="Times New Roman"/>
          <w:b w:val="0"/>
          <w:bCs/>
          <w:color w:val="auto"/>
          <w:sz w:val="32"/>
          <w:szCs w:val="32"/>
          <w:lang w:val="en-US" w:eastAsia="zh-CN"/>
          <w:highlight w:val="auto"/>
        </w:rPr>
        <w:t>0</w:t>
      </w:r>
      <w:r>
        <w:rPr>
          <w:rFonts w:ascii="Times New Roman" w:eastAsia="仿宋_GB2312" w:cs="Times New Roman" w:hAnsi="Times New Roman"/>
          <w:b w:val="0"/>
          <w:bCs/>
          <w:color w:val="auto"/>
          <w:sz w:val="32"/>
          <w:szCs w:val="32"/>
          <w:highlight w:val="auto"/>
        </w:rPr>
        <w:t>万元。</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b w:val="0"/>
          <w:bCs/>
          <w:color w:val="auto"/>
          <w:sz w:val="32"/>
          <w:szCs w:val="32"/>
          <w:highlight w:val="auto"/>
        </w:rPr>
        <w:t>公务接待费支出</w:t>
      </w:r>
      <w:r>
        <w:rPr>
          <w:rFonts w:ascii="Times New Roman" w:eastAsia="仿宋_GB2312" w:cs="Times New Roman" w:hAnsi="Times New Roman"/>
          <w:b w:val="0"/>
          <w:bCs/>
          <w:color w:val="auto"/>
          <w:sz w:val="32"/>
          <w:szCs w:val="32"/>
          <w:lang w:val="en-US" w:eastAsia="zh-CN"/>
          <w:highlight w:val="auto"/>
        </w:rPr>
        <w:t>0</w:t>
      </w:r>
      <w:r>
        <w:rPr>
          <w:rFonts w:ascii="Times New Roman" w:eastAsia="仿宋_GB2312" w:cs="Times New Roman" w:hAnsi="Times New Roman"/>
          <w:color w:val="auto"/>
          <w:sz w:val="32"/>
          <w:szCs w:val="32"/>
          <w:highlight w:val="auto"/>
        </w:rPr>
        <w:t>万元</w:t>
      </w:r>
      <w:bookmarkStart w:id="41" w:name="_Toc15377218"/>
      <w:bookmarkStart w:id="42" w:name="_Toc15396610"/>
      <w:r>
        <w:rPr>
          <w:rFonts w:ascii="Times New Roman" w:eastAsia="仿宋_GB2312" w:cs="Times New Roman" w:hAnsi="Times New Roman"/>
          <w:color w:val="auto"/>
          <w:sz w:val="32"/>
          <w:szCs w:val="32"/>
          <w:lang w:eastAsia="zh-CN"/>
          <w:highlight w:val="auto"/>
        </w:rPr>
        <w:t>。</w:t>
      </w:r>
    </w:p>
    <w:p>
      <w:pPr>
        <w:keepNext w:val="0"/>
        <w:keepLines w:val="0"/>
        <w:pageBreakBefore w:val="0"/>
        <w:widowControl w:val="0"/>
        <w:kinsoku/>
        <w:wordWrap/>
        <w:overflowPunct/>
        <w:topLinePunct w:val="0"/>
        <w:bidi w:val="0"/>
        <w:snapToGrid/>
        <w:spacing w:line="560" w:lineRule="exact"/>
        <w:ind w:firstLine="640"/>
        <w:textAlignment w:val="auto"/>
        <w:outlineLvl w:val="1"/>
        <w:rPr>
          <w:rStyle w:val="2Char"/>
          <w:rFonts w:ascii="Times New Roman" w:eastAsia="黑体" w:cs="Times New Roman" w:hAnsi="Times New Roman"/>
          <w:color w:val="auto"/>
          <w:highlight w:val="auto"/>
        </w:rPr>
      </w:pPr>
      <w:r>
        <w:rPr>
          <w:rFonts w:ascii="Times New Roman" w:eastAsia="黑体" w:cs="Times New Roman" w:hAnsi="Times New Roman"/>
          <w:color w:val="auto"/>
          <w:sz w:val="32"/>
          <w:szCs w:val="32"/>
          <w:highlight w:val="auto"/>
        </w:rPr>
        <w:t>八、</w:t>
      </w:r>
      <w:r>
        <w:rPr>
          <w:rStyle w:val="2Char"/>
          <w:rFonts w:ascii="Times New Roman" w:eastAsia="黑体" w:cs="Times New Roman" w:hAnsi="Times New Roman"/>
          <w:b w:val="0"/>
          <w:color w:val="auto"/>
          <w:highlight w:val="auto"/>
        </w:rPr>
        <w:t>政府性基金预算支出决算情况说明</w:t>
      </w:r>
      <w:bookmarkEnd w:id="41"/>
      <w:bookmarkEnd w:id="42"/>
    </w:p>
    <w:p>
      <w:pPr>
        <w:keepNext w:val="0"/>
        <w:keepLines w:val="0"/>
        <w:pageBreakBefore w:val="0"/>
        <w:widowControl w:val="0"/>
        <w:kinsoku/>
        <w:wordWrap/>
        <w:overflowPunct/>
        <w:topLinePunct w:val="0"/>
        <w:bidi w:val="0"/>
        <w:snapToGrid/>
        <w:spacing w:line="560" w:lineRule="exact"/>
        <w:ind w:firstLine="640"/>
        <w:textAlignment w:val="auto"/>
        <w:rPr>
          <w:rFonts w:ascii="Times New Roman" w:eastAsia="仿宋_GB2312" w:cs="Times New Roman" w:hAnsi="Times New Roman"/>
          <w:color w:val="auto"/>
          <w:sz w:val="32"/>
          <w:szCs w:val="32"/>
          <w:lang w:eastAsia="zh-CN"/>
          <w:highlight w:val="auto"/>
        </w:rPr>
      </w:pPr>
      <w:r>
        <w:rPr>
          <w:rFonts w:eastAsia="仿宋_GB2312" w:cs="Times New Roman" w:hint="eastAsia"/>
          <w:color w:val="auto"/>
          <w:sz w:val="32"/>
          <w:szCs w:val="32"/>
          <w:lang w:val="en-US" w:eastAsia="zh-CN"/>
          <w:highlight w:val="auto"/>
        </w:rPr>
        <w:t>本单位没有政府性基金预算支出</w:t>
      </w:r>
    </w:p>
    <w:p>
      <w:pPr>
        <w:keepNext w:val="0"/>
        <w:keepLines w:val="0"/>
        <w:pageBreakBefore w:val="0"/>
        <w:widowControl w:val="0"/>
        <w:numPr>
          <w:ilvl w:val="0"/>
          <w:numId w:val="3"/>
        </w:numPr>
        <w:kinsoku/>
        <w:wordWrap/>
        <w:overflowPunct/>
        <w:topLinePunct w:val="0"/>
        <w:bidi w:val="0"/>
        <w:snapToGrid/>
        <w:spacing w:line="560" w:lineRule="exact"/>
        <w:ind w:left="0" w:firstLine="640"/>
        <w:textAlignment w:val="auto"/>
        <w:outlineLvl w:val="1"/>
        <w:rPr>
          <w:rStyle w:val="2Char"/>
          <w:rFonts w:ascii="Times New Roman" w:eastAsia="黑体" w:cs="Times New Roman" w:hAnsi="Times New Roman"/>
          <w:b w:val="0"/>
          <w:color w:val="auto"/>
          <w:highlight w:val="auto"/>
        </w:rPr>
      </w:pPr>
      <w:bookmarkStart w:id="43" w:name="_Toc15377219"/>
      <w:bookmarkStart w:id="44" w:name="_Toc15396611"/>
      <w:r>
        <w:rPr>
          <w:rStyle w:val="2Char"/>
          <w:rFonts w:ascii="Times New Roman" w:eastAsia="黑体" w:cs="Times New Roman" w:hAnsi="Times New Roman"/>
          <w:b w:val="0"/>
          <w:color w:val="auto"/>
          <w:highlight w:val="auto"/>
        </w:rPr>
        <w:t>国有资本经营预算支出决算情况说明</w:t>
      </w:r>
      <w:bookmarkEnd w:id="43"/>
      <w:bookmarkEnd w:id="44"/>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Times New Roman" w:eastAsia="方正小标宋简体" w:cs="Times New Roman" w:hAnsi="Times New Roman"/>
          <w:color w:val="auto"/>
          <w:sz w:val="44"/>
          <w:szCs w:val="44"/>
          <w:lang w:eastAsia="zh-CN"/>
          <w:highlight w:val="auto"/>
        </w:rPr>
      </w:pPr>
      <w:r>
        <w:rPr>
          <w:rFonts w:eastAsia="仿宋_GB2312" w:cs="Times New Roman" w:hint="eastAsia"/>
          <w:color w:val="auto"/>
          <w:sz w:val="32"/>
          <w:szCs w:val="32"/>
          <w:lang w:val="en-US" w:eastAsia="zh-CN"/>
          <w:highlight w:val="auto"/>
        </w:rPr>
        <w:t>本单位没有国有资本经营预算支出</w:t>
      </w:r>
    </w:p>
    <w:p>
      <w:pPr>
        <w:keepNext w:val="0"/>
        <w:keepLines w:val="0"/>
        <w:pageBreakBefore w:val="0"/>
        <w:widowControl w:val="0"/>
        <w:numPr>
          <w:ilvl w:val="0"/>
          <w:numId w:val="3"/>
        </w:numPr>
        <w:kinsoku/>
        <w:wordWrap/>
        <w:overflowPunct/>
        <w:topLinePunct w:val="0"/>
        <w:bidi w:val="0"/>
        <w:snapToGrid/>
        <w:spacing w:line="560" w:lineRule="exact"/>
        <w:ind w:left="0" w:firstLine="640"/>
        <w:textAlignment w:val="auto"/>
        <w:outlineLvl w:val="1"/>
        <w:rPr>
          <w:rStyle w:val="2Char"/>
          <w:rFonts w:ascii="Times New Roman" w:eastAsia="黑体" w:cs="Times New Roman" w:hAnsi="Times New Roman"/>
          <w:b w:val="0"/>
          <w:color w:val="auto"/>
          <w:highlight w:val="auto"/>
        </w:rPr>
      </w:pPr>
      <w:bookmarkStart w:id="45" w:name="_Toc15377221"/>
      <w:bookmarkStart w:id="46" w:name="_Toc15396612"/>
      <w:r>
        <w:rPr>
          <w:rStyle w:val="2Char"/>
          <w:rFonts w:ascii="Times New Roman" w:eastAsia="黑体" w:cs="Times New Roman" w:hAnsi="Times New Roman"/>
          <w:b w:val="0"/>
          <w:color w:val="auto"/>
          <w:highlight w:val="auto"/>
        </w:rPr>
        <w:t>其他重要事项的情况说明</w:t>
      </w:r>
      <w:bookmarkEnd w:id="45"/>
      <w:bookmarkEnd w:id="46"/>
    </w:p>
    <w:p>
      <w:pPr>
        <w:keepNext w:val="0"/>
        <w:keepLines w:val="0"/>
        <w:pageBreakBefore w:val="0"/>
        <w:widowControl w:val="0"/>
        <w:kinsoku/>
        <w:wordWrap/>
        <w:overflowPunct/>
        <w:topLinePunct w:val="0"/>
        <w:bidi w:val="0"/>
        <w:snapToGrid/>
        <w:spacing w:line="560" w:lineRule="exact"/>
        <w:ind w:firstLineChars="200" w:firstLine="640"/>
        <w:textAlignment w:val="auto"/>
        <w:outlineLvl w:val="2"/>
        <w:rPr>
          <w:rFonts w:ascii="Times New Roman" w:eastAsia="仿宋" w:cs="Times New Roman" w:hAnsi="Times New Roman"/>
          <w:color w:val="auto"/>
          <w:sz w:val="32"/>
          <w:szCs w:val="32"/>
          <w:highlight w:val="auto"/>
        </w:rPr>
      </w:pPr>
      <w:bookmarkStart w:id="47" w:name="_Toc15377222"/>
      <w:r>
        <w:rPr>
          <w:rFonts w:ascii="楷体_GB2312" w:eastAsia="楷体_GB2312" w:cs="楷体_GB2312" w:hint="eastAsia"/>
          <w:b/>
          <w:color w:val="auto"/>
          <w:sz w:val="32"/>
          <w:szCs w:val="32"/>
          <w:highlight w:val="auto"/>
        </w:rPr>
        <w:t>（一）机关运行经费支出情况</w:t>
      </w:r>
      <w:bookmarkEnd w:id="47"/>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w:t>
      </w:r>
      <w:r>
        <w:rPr>
          <w:rFonts w:ascii="Times New Roman" w:eastAsia="仿宋_GB2312" w:cs="Times New Roman" w:hAnsi="Times New Roman"/>
          <w:color w:val="auto"/>
          <w:sz w:val="32"/>
          <w:szCs w:val="32"/>
          <w:lang w:val="en-US" w:eastAsia="zh-CN"/>
          <w:highlight w:val="auto"/>
        </w:rPr>
        <w:t>阿坝州机构编制实名制管理中心</w:t>
      </w:r>
      <w:r>
        <w:rPr>
          <w:rFonts w:ascii="Times New Roman" w:eastAsia="仿宋_GB2312" w:cs="Times New Roman" w:hAnsi="Times New Roman"/>
          <w:color w:val="auto"/>
          <w:sz w:val="32"/>
          <w:szCs w:val="32"/>
          <w:highlight w:val="auto"/>
        </w:rPr>
        <w:t>机关运行经费支出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万元，与20</w:t>
      </w:r>
      <w:r>
        <w:rPr>
          <w:rFonts w:ascii="Times New Roman" w:eastAsia="仿宋_GB2312" w:cs="Times New Roman" w:hAnsi="Times New Roman"/>
          <w:color w:val="auto"/>
          <w:sz w:val="32"/>
          <w:szCs w:val="32"/>
          <w:lang w:val="en-US" w:eastAsia="zh-CN"/>
          <w:highlight w:val="auto"/>
        </w:rPr>
        <w:t>21</w:t>
      </w:r>
      <w:r>
        <w:rPr>
          <w:rFonts w:ascii="Times New Roman" w:eastAsia="仿宋_GB2312" w:cs="Times New Roman" w:hAnsi="Times New Roman"/>
          <w:color w:val="auto"/>
          <w:sz w:val="32"/>
          <w:szCs w:val="32"/>
          <w:highlight w:val="auto"/>
        </w:rPr>
        <w:t>年决算数持平。主要原因是</w:t>
      </w:r>
      <w:r>
        <w:rPr>
          <w:rFonts w:ascii="Times New Roman" w:eastAsia="仿宋_GB2312" w:cs="Times New Roman" w:hAnsi="Times New Roman"/>
          <w:color w:val="auto"/>
          <w:sz w:val="32"/>
          <w:szCs w:val="32"/>
          <w:lang w:val="en-US" w:eastAsia="zh-CN"/>
          <w:highlight w:val="auto"/>
        </w:rPr>
        <w:t>阿坝州机构编制实名制管理中心为州委编办所属事业单位，不存在机关运行经费支出</w:t>
      </w:r>
      <w:r>
        <w:rPr>
          <w:rFonts w:ascii="Times New Roman" w:eastAsia="仿宋_GB2312" w:cs="Times New Roman" w:hAnsi="Times New Roman"/>
          <w:color w:val="auto"/>
          <w:sz w:val="32"/>
          <w:szCs w:val="32"/>
          <w:lang w:eastAsia="zh-CN"/>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2"/>
        <w:rPr>
          <w:rFonts w:ascii="楷体_GB2312" w:eastAsia="楷体_GB2312" w:cs="楷体_GB2312"/>
          <w:b/>
          <w:color w:val="auto"/>
          <w:sz w:val="32"/>
          <w:szCs w:val="32"/>
          <w:highlight w:val="auto"/>
        </w:rPr>
      </w:pPr>
      <w:bookmarkStart w:id="48" w:name="_Toc15377223"/>
      <w:r>
        <w:rPr>
          <w:rFonts w:ascii="楷体_GB2312" w:eastAsia="楷体_GB2312" w:cs="楷体_GB2312"/>
          <w:b/>
          <w:color w:val="auto"/>
          <w:sz w:val="32"/>
          <w:szCs w:val="32"/>
          <w:highlight w:val="auto"/>
        </w:rPr>
        <w:t>（二）政府采购支出情况</w:t>
      </w:r>
      <w:bookmarkEnd w:id="48"/>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w:t>
      </w:r>
      <w:r>
        <w:rPr>
          <w:rFonts w:ascii="Times New Roman" w:eastAsia="仿宋_GB2312" w:cs="Times New Roman" w:hAnsi="Times New Roman"/>
          <w:color w:val="auto"/>
          <w:sz w:val="32"/>
          <w:szCs w:val="32"/>
          <w:lang w:val="en-US" w:eastAsia="zh-CN"/>
          <w:highlight w:val="auto"/>
        </w:rPr>
        <w:t>阿坝州机构编制实名制管理中心</w:t>
      </w:r>
      <w:r>
        <w:rPr>
          <w:rFonts w:ascii="Times New Roman" w:eastAsia="仿宋_GB2312" w:cs="Times New Roman" w:hAnsi="Times New Roman"/>
          <w:color w:val="auto"/>
          <w:sz w:val="32"/>
          <w:szCs w:val="32"/>
          <w:highlight w:val="auto"/>
        </w:rPr>
        <w:t>政府采购支出总额</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万元，其中：政府采购货物支出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万元、政府采购工程支出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万元、政府采购服务支出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万元。授予中小企业合同金额</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万元，占政府采购支出总额的</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%，其中：授予小微企业合同金额</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万元，占政府采购支出总额的</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2"/>
        <w:rPr>
          <w:rFonts w:ascii="楷体_GB2312" w:eastAsia="楷体_GB2312" w:cs="楷体_GB2312"/>
          <w:b/>
          <w:color w:val="auto"/>
          <w:sz w:val="32"/>
          <w:szCs w:val="32"/>
          <w:highlight w:val="auto"/>
        </w:rPr>
      </w:pPr>
      <w:bookmarkStart w:id="49" w:name="_Toc15377224"/>
      <w:r>
        <w:rPr>
          <w:rFonts w:ascii="楷体_GB2312" w:eastAsia="楷体_GB2312" w:cs="楷体_GB2312"/>
          <w:b/>
          <w:color w:val="auto"/>
          <w:sz w:val="32"/>
          <w:szCs w:val="32"/>
          <w:highlight w:val="auto"/>
        </w:rPr>
        <w:t>（三）国有资产占有使用情况</w:t>
      </w:r>
      <w:bookmarkEnd w:id="49"/>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left"/>
        <w:textAlignment w:val="auto"/>
        <w:outlineLvl w:val="2"/>
        <w:rPr>
          <w:rFonts w:ascii="Times New Roman" w:eastAsia="仿宋_GB2312" w:cs="Times New Roman" w:hAnsi="Times New Roman"/>
          <w:i w:val="0"/>
          <w:iCs w:val="0"/>
          <w:caps w:val="0"/>
          <w:smallCaps w:val="0"/>
          <w:color w:val="000000"/>
          <w:spacing w:val="0"/>
          <w:sz w:val="32"/>
          <w:szCs w:val="32"/>
          <w:shd w:val="clear" w:color="auto" w:fill="FFFFFF"/>
        </w:rPr>
      </w:pPr>
      <w:r>
        <w:rPr>
          <w:rFonts w:ascii="Times New Roman" w:eastAsia="仿宋_GB2312" w:cs="Times New Roman" w:hAnsi="Times New Roman"/>
          <w:i w:val="0"/>
          <w:iCs w:val="0"/>
          <w:caps w:val="0"/>
          <w:smallCaps w:val="0"/>
          <w:color w:val="000000"/>
          <w:spacing w:val="0"/>
          <w:sz w:val="32"/>
          <w:szCs w:val="32"/>
          <w:shd w:val="clear" w:color="auto" w:fill="FFFFFF"/>
        </w:rPr>
        <w:t>截至202</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2</w:t>
      </w:r>
      <w:r>
        <w:rPr>
          <w:rFonts w:ascii="Times New Roman" w:eastAsia="仿宋_GB2312" w:cs="Times New Roman" w:hAnsi="Times New Roman"/>
          <w:i w:val="0"/>
          <w:iCs w:val="0"/>
          <w:caps w:val="0"/>
          <w:smallCaps w:val="0"/>
          <w:color w:val="000000"/>
          <w:spacing w:val="0"/>
          <w:sz w:val="32"/>
          <w:szCs w:val="32"/>
          <w:shd w:val="clear" w:color="auto" w:fill="FFFFFF"/>
        </w:rPr>
        <w:t>年12月31日，州</w:t>
      </w:r>
      <w:r>
        <w:rPr>
          <w:rFonts w:ascii="Times New Roman" w:eastAsia="仿宋_GB2312" w:cs="Times New Roman" w:hAnsi="Times New Roman"/>
          <w:i w:val="0"/>
          <w:iCs w:val="0"/>
          <w:caps w:val="0"/>
          <w:smallCaps w:val="0"/>
          <w:color w:val="000000"/>
          <w:spacing w:val="0"/>
          <w:sz w:val="32"/>
          <w:szCs w:val="32"/>
          <w:shd w:val="clear" w:color="auto" w:fill="FFFFFF"/>
          <w:lang w:eastAsia="zh-CN"/>
        </w:rPr>
        <w:t>机构编制实名制管理中心</w:t>
      </w:r>
      <w:r>
        <w:rPr>
          <w:rFonts w:ascii="Times New Roman" w:eastAsia="仿宋_GB2312" w:cs="Times New Roman" w:hAnsi="Times New Roman"/>
          <w:i w:val="0"/>
          <w:iCs w:val="0"/>
          <w:caps w:val="0"/>
          <w:smallCaps w:val="0"/>
          <w:color w:val="000000"/>
          <w:spacing w:val="0"/>
          <w:sz w:val="32"/>
          <w:szCs w:val="32"/>
          <w:shd w:val="clear" w:color="auto" w:fill="FFFFFF"/>
        </w:rPr>
        <w:t>无固定资产。州</w:t>
      </w:r>
      <w:r>
        <w:rPr>
          <w:rFonts w:ascii="Times New Roman" w:eastAsia="仿宋_GB2312" w:cs="Times New Roman" w:hAnsi="Times New Roman"/>
          <w:i w:val="0"/>
          <w:iCs w:val="0"/>
          <w:caps w:val="0"/>
          <w:smallCaps w:val="0"/>
          <w:color w:val="000000"/>
          <w:spacing w:val="0"/>
          <w:sz w:val="32"/>
          <w:szCs w:val="32"/>
          <w:shd w:val="clear" w:color="auto" w:fill="FFFFFF"/>
          <w:lang w:eastAsia="zh-CN"/>
        </w:rPr>
        <w:t>机构编制实名制管理中心</w:t>
      </w:r>
      <w:r>
        <w:rPr>
          <w:rFonts w:ascii="Times New Roman" w:eastAsia="仿宋_GB2312" w:cs="Times New Roman" w:hAnsi="Times New Roman"/>
          <w:i w:val="0"/>
          <w:iCs w:val="0"/>
          <w:caps w:val="0"/>
          <w:smallCaps w:val="0"/>
          <w:color w:val="000000"/>
          <w:spacing w:val="0"/>
          <w:sz w:val="32"/>
          <w:szCs w:val="32"/>
          <w:shd w:val="clear" w:color="auto" w:fill="FFFFFF"/>
        </w:rPr>
        <w:t>为</w:t>
      </w:r>
      <w:r>
        <w:rPr>
          <w:rFonts w:ascii="Times New Roman" w:eastAsia="仿宋_GB2312" w:cs="Times New Roman" w:hAnsi="Times New Roman"/>
          <w:i w:val="0"/>
          <w:iCs w:val="0"/>
          <w:caps w:val="0"/>
          <w:smallCaps w:val="0"/>
          <w:color w:val="000000"/>
          <w:spacing w:val="0"/>
          <w:sz w:val="32"/>
          <w:szCs w:val="32"/>
          <w:shd w:val="clear" w:color="auto" w:fill="FFFFFF"/>
          <w:lang w:eastAsia="zh-CN"/>
        </w:rPr>
        <w:t>阿坝州委编办所</w:t>
      </w:r>
      <w:r>
        <w:rPr>
          <w:rFonts w:ascii="Times New Roman" w:eastAsia="仿宋_GB2312" w:cs="Times New Roman" w:hAnsi="Times New Roman"/>
          <w:i w:val="0"/>
          <w:iCs w:val="0"/>
          <w:caps w:val="0"/>
          <w:smallCaps w:val="0"/>
          <w:color w:val="000000"/>
          <w:spacing w:val="0"/>
          <w:sz w:val="32"/>
          <w:szCs w:val="32"/>
          <w:shd w:val="clear" w:color="auto" w:fill="FFFFFF"/>
        </w:rPr>
        <w:t>属事业单位，办公地点和人员与</w:t>
      </w:r>
      <w:r>
        <w:rPr>
          <w:rFonts w:ascii="Times New Roman" w:eastAsia="仿宋_GB2312" w:cs="Times New Roman" w:hAnsi="Times New Roman"/>
          <w:i w:val="0"/>
          <w:iCs w:val="0"/>
          <w:caps w:val="0"/>
          <w:smallCaps w:val="0"/>
          <w:color w:val="000000"/>
          <w:spacing w:val="0"/>
          <w:sz w:val="32"/>
          <w:szCs w:val="32"/>
          <w:shd w:val="clear" w:color="auto" w:fill="FFFFFF"/>
          <w:lang w:eastAsia="zh-CN"/>
        </w:rPr>
        <w:t>办</w:t>
      </w:r>
      <w:r>
        <w:rPr>
          <w:rFonts w:ascii="Times New Roman" w:eastAsia="仿宋_GB2312" w:cs="Times New Roman" w:hAnsi="Times New Roman"/>
          <w:i w:val="0"/>
          <w:iCs w:val="0"/>
          <w:caps w:val="0"/>
          <w:smallCaps w:val="0"/>
          <w:color w:val="000000"/>
          <w:spacing w:val="0"/>
          <w:sz w:val="32"/>
          <w:szCs w:val="32"/>
          <w:shd w:val="clear" w:color="auto" w:fill="FFFFFF"/>
        </w:rPr>
        <w:t>机关在一起，资产未单独核算和管理。</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2"/>
        <w:rPr>
          <w:rFonts w:ascii="楷体_GB2312" w:eastAsia="楷体_GB2312" w:cs="楷体_GB2312"/>
          <w:b/>
          <w:color w:val="auto"/>
          <w:sz w:val="32"/>
          <w:szCs w:val="32"/>
          <w:lang w:eastAsia="zh-CN"/>
          <w:highlight w:val="auto"/>
        </w:rPr>
      </w:pPr>
      <w:r>
        <w:rPr>
          <w:rFonts w:ascii="楷体_GB2312" w:eastAsia="楷体_GB2312" w:cs="楷体_GB2312"/>
          <w:b/>
          <w:color w:val="auto"/>
          <w:sz w:val="32"/>
          <w:szCs w:val="32"/>
          <w:highlight w:val="auto"/>
        </w:rPr>
        <w:t>（四）预算绩效管理情况</w:t>
      </w:r>
    </w:p>
    <w:p>
      <w:pPr>
        <w:pStyle w:val="15"/>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cs="Times New Roman" w:hAnsi="Times New Roman"/>
          <w:color w:val="auto"/>
          <w:highlight w:val="auto"/>
        </w:rPr>
      </w:pPr>
      <w:r>
        <w:rPr>
          <w:rFonts w:ascii="Times New Roman" w:eastAsia="仿宋_GB2312" w:cs="Times New Roman" w:hAnsi="Times New Roman"/>
          <w:color w:val="auto"/>
          <w:sz w:val="32"/>
          <w:szCs w:val="32"/>
          <w:highlight w:val="auto"/>
        </w:rPr>
        <w:t>根据预算绩效管理要求，本单位在202</w:t>
      </w:r>
      <w:r>
        <w:rPr>
          <w:rFonts w:ascii="Times New Roman" w:cs="Times New Roman" w:hAnsi="Times New Roman"/>
          <w:color w:val="auto"/>
          <w:sz w:val="32"/>
          <w:szCs w:val="32"/>
          <w:lang w:val="en-US" w:eastAsia="zh-CN"/>
          <w:highlight w:val="auto"/>
        </w:rPr>
        <w:t>2</w:t>
      </w:r>
      <w:r>
        <w:rPr>
          <w:rFonts w:ascii="Times New Roman" w:eastAsia="仿宋_GB2312" w:cs="Times New Roman" w:hAnsi="Times New Roman"/>
          <w:color w:val="auto"/>
          <w:sz w:val="32"/>
          <w:szCs w:val="32"/>
          <w:highlight w:val="auto"/>
        </w:rPr>
        <w:t>年度预算编制阶段，组织对</w:t>
      </w:r>
      <w:r>
        <w:rPr>
          <w:rFonts w:ascii="Times New Roman" w:cs="Times New Roman" w:hAnsi="Times New Roman"/>
          <w:color w:val="auto"/>
          <w:sz w:val="32"/>
          <w:szCs w:val="32"/>
          <w:lang w:eastAsia="zh-CN"/>
          <w:highlight w:val="auto"/>
        </w:rPr>
        <w:t>单位缴费、定额公用经费</w:t>
      </w:r>
      <w:r>
        <w:rPr>
          <w:rFonts w:ascii="Times New Roman" w:eastAsia="仿宋_GB2312" w:cs="Times New Roman" w:hAnsi="Times New Roman"/>
          <w:color w:val="auto"/>
          <w:sz w:val="32"/>
          <w:szCs w:val="32"/>
          <w:highlight w:val="auto"/>
        </w:rPr>
        <w:t>等</w:t>
      </w:r>
      <w:r>
        <w:rPr>
          <w:rFonts w:ascii="Times New Roman" w:cs="Times New Roman" w:hAnsi="Times New Roman"/>
          <w:color w:val="auto"/>
          <w:sz w:val="32"/>
          <w:szCs w:val="32"/>
          <w:lang w:val="en-US" w:eastAsia="zh-CN"/>
          <w:highlight w:val="auto"/>
        </w:rPr>
        <w:t>3</w:t>
      </w:r>
      <w:r>
        <w:rPr>
          <w:rFonts w:ascii="Times New Roman" w:eastAsia="仿宋_GB2312" w:cs="Times New Roman" w:hAnsi="Times New Roman"/>
          <w:color w:val="auto"/>
          <w:sz w:val="32"/>
          <w:szCs w:val="32"/>
          <w:highlight w:val="auto"/>
        </w:rPr>
        <w:t>个项目开展了预算事前绩效评估，对</w:t>
      </w:r>
      <w:r>
        <w:rPr>
          <w:rFonts w:ascii="Times New Roman" w:cs="Times New Roman" w:hAnsi="Times New Roman"/>
          <w:color w:val="auto"/>
          <w:sz w:val="32"/>
          <w:szCs w:val="32"/>
          <w:lang w:val="en-US" w:eastAsia="zh-CN"/>
          <w:highlight w:val="auto"/>
        </w:rPr>
        <w:t>3</w:t>
      </w:r>
      <w:r>
        <w:rPr>
          <w:rFonts w:ascii="Times New Roman" w:eastAsia="仿宋_GB2312" w:cs="Times New Roman" w:hAnsi="Times New Roman"/>
          <w:color w:val="auto"/>
          <w:sz w:val="32"/>
          <w:szCs w:val="32"/>
          <w:highlight w:val="auto"/>
        </w:rPr>
        <w:t>个项目编制了绩效目标，预算执行过程中，选取</w:t>
      </w:r>
      <w:r>
        <w:rPr>
          <w:rFonts w:ascii="Times New Roman" w:cs="Times New Roman" w:hAnsi="Times New Roman"/>
          <w:color w:val="auto"/>
          <w:sz w:val="32"/>
          <w:szCs w:val="32"/>
          <w:lang w:val="en-US" w:eastAsia="zh-CN"/>
          <w:highlight w:val="auto"/>
        </w:rPr>
        <w:t>1</w:t>
      </w:r>
      <w:r>
        <w:rPr>
          <w:rFonts w:ascii="Times New Roman" w:eastAsia="仿宋_GB2312" w:cs="Times New Roman" w:hAnsi="Times New Roman"/>
          <w:color w:val="auto"/>
          <w:sz w:val="32"/>
          <w:szCs w:val="32"/>
          <w:highlight w:val="auto"/>
        </w:rPr>
        <w:t>个项目开展绩效监控，组织对</w:t>
      </w:r>
      <w:r>
        <w:rPr>
          <w:rFonts w:ascii="Times New Roman" w:cs="Times New Roman" w:hAnsi="Times New Roman"/>
          <w:color w:val="auto"/>
          <w:sz w:val="32"/>
          <w:szCs w:val="32"/>
          <w:lang w:val="en-US" w:eastAsia="zh-CN"/>
          <w:highlight w:val="auto"/>
        </w:rPr>
        <w:t>3</w:t>
      </w:r>
      <w:r>
        <w:rPr>
          <w:rFonts w:ascii="Times New Roman" w:eastAsia="仿宋_GB2312" w:cs="Times New Roman" w:hAnsi="Times New Roman"/>
          <w:color w:val="auto"/>
          <w:sz w:val="32"/>
          <w:szCs w:val="32"/>
          <w:highlight w:val="auto"/>
        </w:rPr>
        <w:t>个项目开展绩效自评，绩效自评表详见</w:t>
      </w:r>
      <w:r>
        <w:rPr>
          <w:rFonts w:ascii="Times New Roman" w:cs="Times New Roman" w:hAnsi="Times New Roman"/>
          <w:color w:val="auto"/>
          <w:sz w:val="32"/>
          <w:szCs w:val="32"/>
          <w:lang w:eastAsia="zh-CN"/>
          <w:highlight w:val="auto"/>
        </w:rPr>
        <w:t>第四部分</w:t>
      </w:r>
      <w:r>
        <w:rPr>
          <w:rFonts w:ascii="Times New Roman" w:eastAsia="仿宋_GB2312" w:cs="Times New Roman" w:hAnsi="Times New Roman"/>
          <w:color w:val="auto"/>
          <w:sz w:val="32"/>
          <w:szCs w:val="32"/>
          <w:highlight w:val="auto"/>
        </w:rPr>
        <w:t>附件。</w:t>
      </w:r>
    </w:p>
    <w:p>
      <w:pPr>
        <w:keepNext w:val="0"/>
        <w:keepLines w:val="0"/>
        <w:pageBreakBefore w:val="0"/>
        <w:widowControl/>
        <w:kinsoku/>
        <w:wordWrap/>
        <w:overflowPunct/>
        <w:topLinePunct w:val="0"/>
        <w:bidi w:val="0"/>
        <w:snapToGrid/>
        <w:spacing w:line="560" w:lineRule="exact"/>
        <w:jc w:val="left"/>
        <w:textAlignment w:val="auto"/>
        <w:rPr>
          <w:rFonts w:ascii="Times New Roman" w:eastAsia="仿宋_GB2312" w:cs="Times New Roman" w:hAnsi="Times New Roman"/>
          <w:color w:val="auto"/>
          <w:sz w:val="32"/>
          <w:szCs w:val="32"/>
          <w:lang w:val="en-US" w:eastAsia="zh-CN"/>
          <w:highlight w:val="yellow"/>
        </w:rPr>
      </w:pPr>
    </w:p>
    <w:p>
      <w:pPr>
        <w:widowControl/>
        <w:jc w:val="left"/>
        <w:rPr>
          <w:rFonts w:ascii="Times New Roman" w:eastAsia="仿宋_GB2312" w:cs="Times New Roman" w:hAnsi="Times New Roman"/>
          <w:color w:val="auto"/>
          <w:sz w:val="32"/>
          <w:szCs w:val="32"/>
          <w:lang w:val="en-US" w:eastAsia="zh-CN"/>
          <w:highlight w:val="yellow"/>
        </w:rPr>
      </w:pPr>
    </w:p>
    <w:p>
      <w:pPr>
        <w:widowControl/>
        <w:jc w:val="left"/>
        <w:rPr>
          <w:rFonts w:ascii="Times New Roman" w:eastAsia="宋体" w:cs="Times New Roman" w:hAnsi="Times New Roman"/>
          <w:i w:val="0"/>
          <w:iCs w:val="0"/>
          <w:caps w:val="0"/>
          <w:smallCaps w:val="0"/>
          <w:color w:val="000000"/>
          <w:spacing w:val="0"/>
          <w:sz w:val="24"/>
          <w:szCs w:val="24"/>
          <w:shd w:val="clear" w:color="auto" w:fill="FFFFFF"/>
        </w:rPr>
      </w:pPr>
    </w:p>
    <w:p>
      <w:pPr>
        <w:widowControl/>
        <w:jc w:val="left"/>
        <w:rPr>
          <w:rFonts w:ascii="Times New Roman" w:eastAsia="仿宋_GB2312" w:cs="Times New Roman" w:hAnsi="Times New Roman"/>
          <w:b/>
          <w:color w:val="auto"/>
          <w:sz w:val="32"/>
          <w:szCs w:val="32"/>
          <w:highlight w:val="auto"/>
        </w:rPr>
      </w:pPr>
      <w:r>
        <w:rPr>
          <w:rFonts w:ascii="Times New Roman" w:eastAsia="仿宋_GB2312" w:cs="Times New Roman" w:hAnsi="Times New Roman"/>
          <w:b/>
          <w:color w:val="auto"/>
          <w:sz w:val="32"/>
          <w:szCs w:val="32"/>
          <w:highlight w:val="auto"/>
        </w:rPr>
        <w:br w:type="page"/>
      </w:r>
    </w:p>
    <w:p>
      <w:pPr>
        <w:pStyle w:val="15"/>
      </w:pPr>
    </w:p>
    <w:p>
      <w:pPr>
        <w:numPr>
          <w:ilvl w:val="0"/>
          <w:numId w:val="4"/>
        </w:numPr>
        <w:spacing w:line="600" w:lineRule="exact"/>
        <w:ind w:left="0" w:firstLineChars="150" w:firstLine="660"/>
        <w:jc w:val="center"/>
        <w:outlineLvl w:val="0"/>
        <w:rPr>
          <w:rStyle w:val="1Char"/>
          <w:rFonts w:ascii="Times New Roman" w:eastAsia="黑体" w:cs="Times New Roman" w:hAnsi="Times New Roman"/>
          <w:b w:val="0"/>
          <w:color w:val="auto"/>
          <w:highlight w:val="auto"/>
        </w:rPr>
      </w:pPr>
      <w:bookmarkStart w:id="50" w:name="_Toc15396613"/>
      <w:bookmarkStart w:id="51" w:name="_Toc15377225"/>
      <w:r>
        <w:rPr>
          <w:rFonts w:ascii="Times New Roman" w:eastAsia="黑体" w:cs="Times New Roman" w:hAnsi="Times New Roman"/>
          <w:color w:val="auto"/>
          <w:sz w:val="44"/>
          <w:szCs w:val="44"/>
          <w:highlight w:val="auto"/>
        </w:rPr>
        <w:t>名</w:t>
      </w:r>
      <w:r>
        <w:rPr>
          <w:rStyle w:val="1Char"/>
          <w:rFonts w:ascii="Times New Roman" w:eastAsia="黑体" w:cs="Times New Roman" w:hAnsi="Times New Roman"/>
          <w:b w:val="0"/>
          <w:color w:val="auto"/>
          <w:highlight w:val="auto"/>
        </w:rPr>
        <w:t>词解释</w:t>
      </w:r>
      <w:bookmarkEnd w:id="50"/>
      <w:bookmarkEnd w:id="51"/>
    </w:p>
    <w:p>
      <w:pPr>
        <w:spacing w:line="600" w:lineRule="exact"/>
        <w:jc w:val="left"/>
        <w:rPr>
          <w:rFonts w:ascii="Times New Roman" w:cs="Times New Roman" w:hAnsi="Times New Roman"/>
          <w:b/>
          <w:color w:val="auto"/>
          <w:sz w:val="44"/>
          <w:szCs w:val="44"/>
          <w:highlight w:val="auto"/>
        </w:rPr>
      </w:pPr>
    </w:p>
    <w:p>
      <w:pPr>
        <w:pStyle w:val="30"/>
        <w:spacing w:line="560" w:lineRule="exact"/>
        <w:ind w:firstLineChars="200" w:firstLine="640"/>
        <w:rPr>
          <w:rFonts w:ascii="Times New Roman" w:eastAsia="仿宋_GB2312" w:cs="Times New Roman" w:hAnsi="Times New Roman"/>
          <w:color w:val="auto"/>
          <w:sz w:val="32"/>
          <w:szCs w:val="32"/>
          <w:highlight w:val="auto"/>
        </w:rPr>
      </w:pPr>
      <w:bookmarkStart w:id="52" w:name="_Toc15377226"/>
      <w:r>
        <w:rPr>
          <w:rFonts w:ascii="Times New Roman" w:eastAsia="仿宋_GB2312" w:cs="Times New Roman" w:hAnsi="Times New Roman"/>
          <w:color w:val="auto"/>
          <w:sz w:val="32"/>
          <w:szCs w:val="32"/>
          <w:highlight w:val="auto"/>
        </w:rPr>
        <w:t>1.财政拨款收入：指单位从同级财政部门取得的财政预算资金。</w:t>
      </w:r>
    </w:p>
    <w:p>
      <w:pPr>
        <w:pStyle w:val="30"/>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2.事业收入：指事业单位开展专业业务活动及辅助活动取得的收入。</w:t>
      </w:r>
    </w:p>
    <w:p>
      <w:pPr>
        <w:pStyle w:val="30"/>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3.经营收入：指事业单位在专业业务活动及其辅助活动之外开展非独立核算经营活动取得的收入。</w:t>
      </w:r>
    </w:p>
    <w:p>
      <w:pPr>
        <w:pStyle w:val="30"/>
        <w:spacing w:line="560" w:lineRule="exact"/>
        <w:ind w:leftChars="304" w:left="638" w:firstLine="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4.其他收入：指单位取得的除上述收入以外的各项收</w:t>
      </w:r>
    </w:p>
    <w:p>
      <w:pPr>
        <w:pStyle w:val="30"/>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5.</w:t>
      </w:r>
      <w:r>
        <w:rPr>
          <w:rFonts w:ascii="Times New Roman" w:eastAsia="仿宋_GB2312" w:cs="Times New Roman" w:hAnsi="Times New Roman"/>
          <w:color w:val="auto"/>
          <w:sz w:val="32"/>
          <w:szCs w:val="32"/>
          <w:lang w:eastAsia="zh-CN"/>
          <w:highlight w:val="auto"/>
        </w:rPr>
        <w:t>使用非财政拨款结余</w:t>
      </w:r>
      <w:r>
        <w:rPr>
          <w:rFonts w:ascii="Times New Roman" w:eastAsia="仿宋_GB2312" w:cs="Times New Roman" w:hAnsi="Times New Roman"/>
          <w:color w:val="auto"/>
          <w:sz w:val="32"/>
          <w:szCs w:val="32"/>
          <w:highlight w:val="auto"/>
        </w:rPr>
        <w:t>：指事业单位</w:t>
      </w:r>
      <w:r>
        <w:rPr>
          <w:rFonts w:ascii="Times New Roman" w:eastAsia="仿宋_GB2312" w:cs="Times New Roman" w:hAnsi="Times New Roman"/>
          <w:color w:val="auto"/>
          <w:sz w:val="32"/>
          <w:szCs w:val="32"/>
          <w:lang w:eastAsia="zh-CN"/>
          <w:highlight w:val="auto"/>
        </w:rPr>
        <w:t>使用以前年度积累的非财政拨款结余弥补当年收支差额的金额。</w:t>
      </w:r>
    </w:p>
    <w:p>
      <w:pPr>
        <w:pStyle w:val="30"/>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 xml:space="preserve">6.年初结转和结余：指以前年度尚未完成、结转到本年按有关规定继续使用的资金。 </w:t>
      </w:r>
    </w:p>
    <w:p>
      <w:pPr>
        <w:pStyle w:val="30"/>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7.结余分配：指事业单位按照会计制度规定</w:t>
      </w:r>
      <w:r>
        <w:rPr>
          <w:rFonts w:ascii="Times New Roman" w:eastAsia="仿宋_GB2312" w:cs="Times New Roman" w:hAnsi="Times New Roman"/>
          <w:color w:val="auto"/>
          <w:sz w:val="32"/>
          <w:szCs w:val="32"/>
          <w:lang w:eastAsia="zh-CN"/>
          <w:highlight w:val="auto"/>
        </w:rPr>
        <w:t>缴纳的所得税、提取的专用结余以及转入非财政拨款结余的金额</w:t>
      </w:r>
      <w:r>
        <w:rPr>
          <w:rFonts w:ascii="Times New Roman" w:eastAsia="仿宋_GB2312" w:cs="Times New Roman" w:hAnsi="Times New Roman"/>
          <w:color w:val="auto"/>
          <w:sz w:val="32"/>
          <w:szCs w:val="32"/>
          <w:highlight w:val="auto"/>
        </w:rPr>
        <w:t>等。</w:t>
      </w:r>
    </w:p>
    <w:p>
      <w:pPr>
        <w:pStyle w:val="30"/>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8</w:t>
      </w:r>
      <w:r>
        <w:rPr>
          <w:rFonts w:ascii="Times New Roman" w:eastAsia="仿宋_GB2312" w:cs="Times New Roman" w:hAnsi="Times New Roman"/>
          <w:color w:val="auto"/>
          <w:sz w:val="32"/>
          <w:szCs w:val="32"/>
          <w:lang w:val="en-US" w:eastAsia="zh-CN"/>
          <w:highlight w:val="auto"/>
        </w:rPr>
        <w:t>.</w:t>
      </w:r>
      <w:r>
        <w:rPr>
          <w:rFonts w:ascii="Times New Roman" w:eastAsia="仿宋_GB2312" w:cs="Times New Roman" w:hAnsi="Times New Roman"/>
          <w:color w:val="auto"/>
          <w:sz w:val="32"/>
          <w:szCs w:val="32"/>
          <w:highlight w:val="auto"/>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cs="Times New Roman" w:hAnsi="Times New Roman"/>
        </w:rPr>
      </w:pPr>
      <w:r>
        <w:rPr>
          <w:rFonts w:ascii="Times New Roman" w:eastAsia="仿宋_GB2312" w:cs="Times New Roman" w:hAnsi="Times New Roman"/>
          <w:color w:val="auto"/>
          <w:kern w:val="0"/>
          <w:sz w:val="32"/>
          <w:szCs w:val="32"/>
          <w:lang w:val="en-US" w:eastAsia="zh-CN" w:bidi="ar-SA"/>
          <w:highlight w:val="auto"/>
        </w:rPr>
        <w:t>9.一般公共服务（类）党委办公厅（室）及相关机构事务（款）行政运行（项）:指行政单位（包括实行公务员管理的事业单位）的基本支出。</w:t>
      </w:r>
    </w:p>
    <w:p>
      <w:pPr>
        <w:ind w:firstLineChars="200" w:firstLine="640"/>
        <w:rPr>
          <w:rFonts w:ascii="Times New Roman" w:eastAsia="仿宋_GB2312" w:cs="Times New Roman" w:hAnsi="Times New Roman"/>
          <w:color w:val="auto"/>
          <w:kern w:val="0"/>
          <w:sz w:val="32"/>
          <w:szCs w:val="32"/>
          <w:lang w:val="en-US" w:eastAsia="zh-CN" w:bidi="ar-SA"/>
          <w:highlight w:val="auto"/>
        </w:rPr>
      </w:pPr>
      <w:r>
        <w:rPr>
          <w:rFonts w:ascii="Times New Roman" w:eastAsia="仿宋_GB2312" w:cs="Times New Roman" w:hAnsi="Times New Roman"/>
          <w:color w:val="auto"/>
          <w:sz w:val="32"/>
          <w:szCs w:val="32"/>
          <w:highlight w:val="auto"/>
        </w:rPr>
        <w:t>10.</w:t>
      </w:r>
      <w:r>
        <w:rPr>
          <w:rFonts w:ascii="Times New Roman" w:eastAsia="仿宋_GB2312" w:cs="Times New Roman" w:hAnsi="Times New Roman"/>
          <w:color w:val="auto"/>
          <w:kern w:val="0"/>
          <w:sz w:val="32"/>
          <w:szCs w:val="32"/>
          <w:lang w:val="en-US" w:eastAsia="zh-CN" w:bidi="ar-SA"/>
          <w:highlight w:val="auto"/>
        </w:rPr>
        <w:t>社会保障和就业（类）行政事业单位养老支出（款）机关事业单位基本养老保险缴费支出（项）:</w:t>
      </w:r>
      <w:r>
        <w:rPr>
          <w:rFonts w:ascii="Times New Roman" w:eastAsia="仿宋_GB2312" w:cs="Times New Roman" w:hAnsi="Times New Roman"/>
          <w:i w:val="0"/>
          <w:iCs w:val="0"/>
          <w:caps w:val="0"/>
          <w:smallCaps w:val="0"/>
          <w:color w:val="000000"/>
          <w:spacing w:val="0"/>
          <w:sz w:val="32"/>
          <w:szCs w:val="32"/>
          <w:shd w:val="clear" w:color="auto" w:fill="FFFFFF"/>
        </w:rPr>
        <w:t>指机关事业单位实施养老保险制度由单位缴纳的基本养老保险费支出。</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kern w:val="0"/>
          <w:sz w:val="32"/>
          <w:szCs w:val="32"/>
          <w:lang w:val="en-US" w:eastAsia="zh-CN" w:bidi="ar-SA"/>
          <w:highlight w:val="auto"/>
        </w:rPr>
        <w:t>1</w:t>
      </w:r>
      <w:r>
        <w:rPr>
          <w:rFonts w:ascii="Times New Roman" w:eastAsia="仿宋_GB2312" w:cs="Times New Roman" w:hAnsi="Times New Roman"/>
          <w:color w:val="auto"/>
          <w:sz w:val="32"/>
          <w:szCs w:val="32"/>
          <w:highlight w:val="auto"/>
        </w:rPr>
        <w:t>1.</w:t>
      </w:r>
      <w:r>
        <w:rPr>
          <w:rFonts w:ascii="Times New Roman" w:eastAsia="仿宋_GB2312" w:cs="Times New Roman" w:hAnsi="Times New Roman"/>
          <w:color w:val="auto"/>
          <w:kern w:val="0"/>
          <w:sz w:val="32"/>
          <w:szCs w:val="32"/>
          <w:lang w:val="en-US" w:eastAsia="zh-CN" w:bidi="ar-SA"/>
          <w:highlight w:val="auto"/>
        </w:rPr>
        <w:t>社会保障和就业（类）行政事业单位养老支出（款）机关事业单位职业年金缴费支出（项）:</w:t>
      </w:r>
      <w:r>
        <w:rPr>
          <w:rFonts w:ascii="Times New Roman" w:eastAsia="仿宋_GB2312" w:cs="Times New Roman" w:hAnsi="Times New Roman"/>
          <w:i w:val="0"/>
          <w:iCs w:val="0"/>
          <w:caps w:val="0"/>
          <w:smallCaps w:val="0"/>
          <w:color w:val="000000"/>
          <w:spacing w:val="0"/>
          <w:sz w:val="32"/>
          <w:szCs w:val="32"/>
          <w:shd w:val="clear" w:color="auto" w:fill="FFFFFF"/>
        </w:rPr>
        <w:t>指机关事业单位实施养老保险制度由单位</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实际</w:t>
      </w:r>
      <w:r>
        <w:rPr>
          <w:rFonts w:ascii="Times New Roman" w:eastAsia="仿宋_GB2312" w:cs="Times New Roman" w:hAnsi="Times New Roman"/>
          <w:i w:val="0"/>
          <w:iCs w:val="0"/>
          <w:caps w:val="0"/>
          <w:smallCaps w:val="0"/>
          <w:color w:val="000000"/>
          <w:spacing w:val="0"/>
          <w:sz w:val="32"/>
          <w:szCs w:val="32"/>
          <w:shd w:val="clear" w:color="auto" w:fill="FFFFFF"/>
        </w:rPr>
        <w:t>缴纳的职业年金支出。</w:t>
      </w:r>
    </w:p>
    <w:p>
      <w:pPr>
        <w:ind w:firstLineChars="200" w:firstLine="640"/>
        <w:rPr>
          <w:rFonts w:ascii="Times New Roman" w:eastAsia="仿宋_GB2312" w:cs="Times New Roman" w:hAnsi="Times New Roman"/>
          <w:i w:val="0"/>
          <w:iCs w:val="0"/>
          <w:caps w:val="0"/>
          <w:smallCaps w:val="0"/>
          <w:color w:val="000000"/>
          <w:spacing w:val="0"/>
          <w:sz w:val="32"/>
          <w:szCs w:val="32"/>
          <w:shd w:val="clear" w:color="auto" w:fill="FFFFFF"/>
        </w:rPr>
      </w:pPr>
      <w:r>
        <w:rPr>
          <w:rFonts w:ascii="Times New Roman" w:eastAsia="仿宋_GB2312" w:cs="Times New Roman" w:hAnsi="Times New Roman"/>
          <w:color w:val="auto"/>
          <w:sz w:val="32"/>
          <w:szCs w:val="32"/>
          <w:highlight w:val="auto"/>
        </w:rPr>
        <w:t>12.</w:t>
      </w:r>
      <w:r>
        <w:rPr>
          <w:rFonts w:ascii="Times New Roman" w:eastAsia="仿宋_GB2312" w:cs="Times New Roman" w:hAnsi="Times New Roman"/>
          <w:color w:val="auto"/>
          <w:kern w:val="0"/>
          <w:sz w:val="32"/>
          <w:szCs w:val="32"/>
          <w:lang w:val="en-US" w:eastAsia="zh-CN" w:bidi="ar-SA"/>
          <w:highlight w:val="auto"/>
        </w:rPr>
        <w:t>卫生健康（类）行政事业单位医疗（款）行政单位医疗（项）：</w:t>
      </w:r>
      <w:r>
        <w:rPr>
          <w:rFonts w:ascii="Times New Roman" w:eastAsia="仿宋_GB2312" w:cs="Times New Roman" w:hAnsi="Times New Roman"/>
          <w:i w:val="0"/>
          <w:iCs w:val="0"/>
          <w:caps w:val="0"/>
          <w:smallCaps w:val="0"/>
          <w:color w:val="000000"/>
          <w:spacing w:val="0"/>
          <w:sz w:val="32"/>
          <w:szCs w:val="32"/>
          <w:shd w:val="clear" w:color="auto" w:fill="FFFFFF"/>
        </w:rPr>
        <w:t>指财政部门安排的行政单位基本医疗保险缴费经费，未参加医疗保险的行政单位的公费医疗经费，按国家规定享受离休人员、红军老战士待遇人员的医疗经费。</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13.</w:t>
      </w:r>
      <w:r>
        <w:rPr>
          <w:rFonts w:ascii="Times New Roman" w:eastAsia="仿宋_GB2312" w:cs="Times New Roman" w:hAnsi="Times New Roman"/>
          <w:i w:val="0"/>
          <w:iCs w:val="0"/>
          <w:caps w:val="0"/>
          <w:smallCaps w:val="0"/>
          <w:color w:val="000000"/>
          <w:spacing w:val="0"/>
          <w:sz w:val="32"/>
          <w:szCs w:val="32"/>
          <w:shd w:val="clear" w:color="auto" w:fill="FFFFFF"/>
        </w:rPr>
        <w:t>卫生健康（类）</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行政事业单位医疗</w:t>
      </w:r>
      <w:r>
        <w:rPr>
          <w:rFonts w:ascii="Times New Roman" w:eastAsia="仿宋_GB2312" w:cs="Times New Roman" w:hAnsi="Times New Roman"/>
          <w:i w:val="0"/>
          <w:iCs w:val="0"/>
          <w:caps w:val="0"/>
          <w:smallCaps w:val="0"/>
          <w:color w:val="000000"/>
          <w:spacing w:val="0"/>
          <w:sz w:val="32"/>
          <w:szCs w:val="32"/>
          <w:shd w:val="clear" w:color="auto" w:fill="FFFFFF"/>
        </w:rPr>
        <w:t>（款）</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公务员医疗补助</w:t>
      </w:r>
      <w:r>
        <w:rPr>
          <w:rFonts w:ascii="Times New Roman" w:eastAsia="仿宋_GB2312" w:cs="Times New Roman" w:hAnsi="Times New Roman"/>
          <w:i w:val="0"/>
          <w:iCs w:val="0"/>
          <w:caps w:val="0"/>
          <w:smallCaps w:val="0"/>
          <w:color w:val="000000"/>
          <w:spacing w:val="0"/>
          <w:sz w:val="32"/>
          <w:szCs w:val="32"/>
          <w:shd w:val="clear" w:color="auto" w:fill="FFFFFF"/>
        </w:rPr>
        <w:t>（项）</w:t>
      </w:r>
      <w:r>
        <w:rPr>
          <w:rFonts w:ascii="Times New Roman" w:eastAsia="仿宋_GB2312" w:cs="Times New Roman" w:hAnsi="Times New Roman"/>
          <w:color w:val="auto"/>
          <w:sz w:val="32"/>
          <w:szCs w:val="32"/>
          <w:highlight w:val="auto"/>
        </w:rPr>
        <w:t>：指</w:t>
      </w:r>
      <w:r>
        <w:rPr>
          <w:rFonts w:ascii="Times New Roman" w:eastAsia="仿宋_GB2312" w:cs="Times New Roman" w:hAnsi="Times New Roman"/>
          <w:i w:val="0"/>
          <w:iCs w:val="0"/>
          <w:caps w:val="0"/>
          <w:smallCaps w:val="0"/>
          <w:color w:val="000000"/>
          <w:spacing w:val="0"/>
          <w:sz w:val="32"/>
          <w:szCs w:val="32"/>
          <w:shd w:val="clear" w:color="auto" w:fill="FFFFFF"/>
        </w:rPr>
        <w:t>财政部门集中安排的公务员医疗补助经费。</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14.</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住房保障支出（类）住房改革支出（款）住房公积金（项）</w:t>
      </w:r>
      <w:r>
        <w:rPr>
          <w:rFonts w:ascii="Times New Roman" w:eastAsia="仿宋_GB2312" w:cs="Times New Roman" w:hAnsi="Times New Roman"/>
          <w:color w:val="auto"/>
          <w:sz w:val="32"/>
          <w:szCs w:val="32"/>
          <w:highlight w:val="auto"/>
        </w:rPr>
        <w:t>：指</w:t>
      </w:r>
      <w:r>
        <w:rPr>
          <w:rFonts w:ascii="Times New Roman" w:eastAsia="仿宋_GB2312" w:cs="Times New Roman" w:hAnsi="Times New Roman"/>
          <w:i w:val="0"/>
          <w:iCs w:val="0"/>
          <w:caps w:val="0"/>
          <w:smallCaps w:val="0"/>
          <w:color w:val="000000"/>
          <w:spacing w:val="0"/>
          <w:sz w:val="32"/>
          <w:szCs w:val="32"/>
          <w:shd w:val="clear" w:color="auto" w:fill="FFFFFF"/>
        </w:rPr>
        <w:t>行政事业单位按人力资源和社会保障部、财政部规定的基本工资和津贴补贴以及规定比例为职工缴纳的住房公积金。</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15</w:t>
      </w:r>
      <w:r>
        <w:rPr>
          <w:rFonts w:ascii="Times New Roman" w:eastAsia="仿宋_GB2312" w:cs="Times New Roman" w:hAnsi="Times New Roman"/>
          <w:color w:val="auto"/>
          <w:sz w:val="32"/>
          <w:szCs w:val="32"/>
          <w:highlight w:val="auto"/>
        </w:rPr>
        <w:t>.基本支出：指为保障机构正常运转、完成日常工作任务而发生的人员支出和公用支出。</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16</w:t>
      </w:r>
      <w:r>
        <w:rPr>
          <w:rFonts w:ascii="Times New Roman" w:eastAsia="仿宋_GB2312" w:cs="Times New Roman" w:hAnsi="Times New Roman"/>
          <w:color w:val="auto"/>
          <w:sz w:val="32"/>
          <w:szCs w:val="32"/>
          <w:highlight w:val="auto"/>
        </w:rPr>
        <w:t xml:space="preserve">.项目支出：指在基本支出之外为完成特定行政任务和事业发展目标所发生的支出。 </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17</w:t>
      </w:r>
      <w:r>
        <w:rPr>
          <w:rFonts w:ascii="Times New Roman" w:eastAsia="仿宋_GB2312" w:cs="Times New Roman" w:hAnsi="Times New Roman"/>
          <w:color w:val="auto"/>
          <w:sz w:val="32"/>
          <w:szCs w:val="32"/>
          <w:highlight w:val="auto"/>
        </w:rPr>
        <w:t>.经营支出：指事业单位在专业业务活动及其辅助活动之外开展非独立核算经营活动发生的支出。</w:t>
      </w:r>
    </w:p>
    <w:p>
      <w:pPr>
        <w:pStyle w:val="30"/>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18</w:t>
      </w:r>
      <w:r>
        <w:rPr>
          <w:rFonts w:ascii="Times New Roman" w:eastAsia="仿宋_GB2312" w:cs="Times New Roman" w:hAnsi="Times New Roman"/>
          <w:color w:val="auto"/>
          <w:sz w:val="32"/>
          <w:szCs w:val="32"/>
          <w:highlight w:val="auto"/>
        </w:rPr>
        <w:t>.“三公”经费：指</w:t>
      </w:r>
      <w:r>
        <w:rPr>
          <w:rFonts w:ascii="Times New Roman" w:eastAsia="仿宋_GB2312" w:cs="Times New Roman" w:hAnsi="Times New Roman"/>
          <w:color w:val="auto"/>
          <w:sz w:val="32"/>
          <w:szCs w:val="32"/>
          <w:lang w:eastAsia="zh-CN"/>
          <w:highlight w:val="auto"/>
        </w:rPr>
        <w:t>单位</w:t>
      </w:r>
      <w:r>
        <w:rPr>
          <w:rFonts w:ascii="Times New Roman" w:eastAsia="仿宋_GB2312" w:cs="Times New Roman" w:hAnsi="Times New Roman"/>
          <w:color w:val="auto"/>
          <w:sz w:val="32"/>
          <w:szCs w:val="32"/>
          <w:highlight w:val="auto"/>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19</w:t>
      </w:r>
      <w:r>
        <w:rPr>
          <w:rFonts w:ascii="Times New Roman" w:eastAsia="仿宋_GB2312" w:cs="Times New Roman" w:hAnsi="Times New Roman"/>
          <w:color w:val="auto"/>
          <w:sz w:val="32"/>
          <w:szCs w:val="32"/>
          <w:highlight w:val="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Times New Roman" w:cs="Times New Roman" w:hAnsi="Times New Roman"/>
          <w:b/>
          <w:color w:val="auto"/>
          <w:sz w:val="44"/>
          <w:szCs w:val="44"/>
          <w:highlight w:val="auto"/>
        </w:rPr>
        <w:sectPr>
          <w:footerReference w:type="default" r:id="rId3"/>
          <w:footerReference w:type="first" r:id="rId4"/>
          <w:pgSz w:w="11906" w:h="16838"/>
          <w:pgMar w:top="1440" w:right="1800" w:bottom="1440" w:left="1800" w:header="851" w:footer="992" w:gutter="0"/>
          <w:pgNumType w:start="1"/>
          <w:titlePg/>
          <w:docGrid w:type="lines" w:linePitch="312" w:charSpace="0"/>
        </w:sectPr>
      </w:pPr>
    </w:p>
    <w:p>
      <w:pPr>
        <w:spacing w:line="600" w:lineRule="exact"/>
        <w:jc w:val="center"/>
        <w:outlineLvl w:val="0"/>
        <w:rPr>
          <w:rFonts w:ascii="Times New Roman" w:eastAsia="黑体" w:cs="Times New Roman" w:hAnsi="Times New Roman"/>
          <w:color w:val="auto"/>
          <w:sz w:val="44"/>
          <w:szCs w:val="44"/>
          <w:highlight w:val="auto"/>
        </w:rPr>
      </w:pPr>
      <w:bookmarkStart w:id="53" w:name="_Toc15396614"/>
    </w:p>
    <w:p>
      <w:pPr>
        <w:spacing w:line="600" w:lineRule="exact"/>
        <w:jc w:val="center"/>
        <w:outlineLvl w:val="0"/>
        <w:rPr>
          <w:rStyle w:val="1Char"/>
          <w:rFonts w:ascii="Times New Roman" w:eastAsia="黑体" w:cs="Times New Roman" w:hAnsi="Times New Roman"/>
          <w:b w:val="0"/>
          <w:color w:val="auto"/>
          <w:highlight w:val="auto"/>
        </w:rPr>
      </w:pPr>
      <w:r>
        <w:rPr>
          <w:rFonts w:ascii="Times New Roman" w:eastAsia="黑体" w:cs="Times New Roman" w:hAnsi="Times New Roman"/>
          <w:color w:val="auto"/>
          <w:sz w:val="44"/>
          <w:szCs w:val="44"/>
          <w:highlight w:val="auto"/>
        </w:rPr>
        <w:t>第</w:t>
      </w:r>
      <w:r>
        <w:rPr>
          <w:rStyle w:val="1Char"/>
          <w:rFonts w:ascii="Times New Roman" w:eastAsia="黑体" w:cs="Times New Roman" w:hAnsi="Times New Roman"/>
          <w:b w:val="0"/>
          <w:color w:val="auto"/>
          <w:highlight w:val="auto"/>
        </w:rPr>
        <w:t>四部分 附件</w:t>
      </w:r>
      <w:bookmarkEnd w:id="53"/>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仿宋_GB2312" w:cs="Times New Roman" w:hAnsi="Times New Roman"/>
          <w:color w:val="auto"/>
          <w:sz w:val="32"/>
          <w:szCs w:val="32"/>
          <w:highlight w:val="auto"/>
        </w:rPr>
      </w:pPr>
    </w:p>
    <w:tbl>
      <w:tblPr>
        <w:jc w:val="left"/>
        <w:tblInd w:w="93" w:type="dxa"/>
        <w:tblW w:w="12780"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711"/>
        <w:gridCol w:w="3"/>
        <w:gridCol w:w="1189"/>
        <w:gridCol w:w="292"/>
        <w:gridCol w:w="662"/>
        <w:gridCol w:w="954"/>
        <w:gridCol w:w="924"/>
        <w:gridCol w:w="528"/>
        <w:gridCol w:w="780"/>
        <w:gridCol w:w="799"/>
        <w:gridCol w:w="776"/>
        <w:gridCol w:w="180"/>
        <w:gridCol w:w="405"/>
        <w:gridCol w:w="1045"/>
        <w:gridCol w:w="240"/>
        <w:gridCol w:w="236"/>
        <w:gridCol w:w="2701"/>
        <w:gridCol w:w="355"/>
      </w:tblGrid>
      <w:tr>
        <w:trPr>
          <w:trHeight w:val="957"/>
          <w:gridAfter w:val="4"/>
          <w:wAfter w:w="3532" w:type="dxa"/>
        </w:trPr>
        <w:tc>
          <w:tcPr>
            <w:tcW w:w="9248" w:type="dxa"/>
            <w:gridSpan w:val="1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黑体" w:cs="Times New Roman" w:hAnsi="Times New Roman"/>
                <w:b/>
                <w:bCs/>
                <w:i w:val="0"/>
                <w:iCs w:val="0"/>
                <w:color w:val="000000"/>
                <w:sz w:val="30"/>
                <w:szCs w:val="30"/>
                <w:u w:val="none"/>
              </w:rPr>
            </w:pPr>
            <w:bookmarkStart w:id="54" w:name="_Toc15396618"/>
            <w:r>
              <w:rPr>
                <w:rFonts w:ascii="Times New Roman" w:eastAsia="黑体" w:cs="Times New Roman" w:hAnsi="Times New Roman"/>
                <w:b/>
                <w:bCs/>
                <w:i w:val="0"/>
                <w:iCs w:val="0"/>
                <w:color w:val="000000"/>
                <w:kern w:val="0"/>
                <w:sz w:val="30"/>
                <w:szCs w:val="30"/>
                <w:u w:val="none"/>
                <w:lang w:val="en-US" w:eastAsia="zh-CN"/>
              </w:rPr>
              <w:t>部门预算项目支出绩效自评表（2022年度）</w:t>
            </w:r>
          </w:p>
        </w:tc>
      </w:tr>
      <w:tr>
        <w:trPr>
          <w:trHeight w:val="608"/>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项目名称</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51000021R000000019951-工资性支出</w:t>
            </w:r>
          </w:p>
        </w:tc>
      </w:tr>
      <w:tr>
        <w:trPr>
          <w:trHeight w:val="1190"/>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主管部门</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州委编办部门</w:t>
            </w:r>
          </w:p>
        </w:tc>
        <w:tc>
          <w:tcPr>
            <w:tcW w:w="1308"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实施单位 （盖章）</w:t>
            </w:r>
          </w:p>
        </w:tc>
        <w:tc>
          <w:tcPr>
            <w:tcW w:w="320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州机构编制实名制管理中心</w:t>
            </w:r>
          </w:p>
        </w:tc>
      </w:tr>
      <w:tr>
        <w:trPr>
          <w:trHeight w:val="646"/>
          <w:gridAfter w:val="4"/>
          <w:wAfter w:w="3532" w:type="dxa"/>
        </w:trPr>
        <w:tc>
          <w:tcPr>
            <w:tcW w:w="7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项目基本情况</w:t>
            </w:r>
          </w:p>
        </w:tc>
        <w:tc>
          <w:tcPr>
            <w:tcW w:w="11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1.项目年度目标完成情况</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项目年度目标</w:t>
            </w:r>
          </w:p>
        </w:tc>
        <w:tc>
          <w:tcPr>
            <w:tcW w:w="451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年度目标完成情况</w:t>
            </w:r>
          </w:p>
        </w:tc>
      </w:tr>
      <w:tr>
        <w:trPr>
          <w:trHeight w:val="1480"/>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hint="eastAsia"/>
                <w:i w:val="0"/>
                <w:iCs w:val="0"/>
                <w:color w:val="000000"/>
                <w:sz w:val="18"/>
                <w:szCs w:val="18"/>
                <w:u w:val="none"/>
                <w:lang w:eastAsia="zh-CN"/>
              </w:rPr>
            </w:pPr>
            <w:r>
              <w:rPr>
                <w:rFonts w:ascii="Times New Roman" w:eastAsia="宋体" w:cs="Times New Roman" w:hAnsi="Times New Roman"/>
                <w:i w:val="0"/>
                <w:iCs w:val="0"/>
                <w:color w:val="000000"/>
                <w:kern w:val="0"/>
                <w:sz w:val="18"/>
                <w:szCs w:val="18"/>
                <w:u w:val="none"/>
                <w:lang w:val="en-US" w:eastAsia="zh-CN"/>
              </w:rPr>
              <w:t>严格执行相关政策，保障工资及时发放、足额发放，预算编制科学合理，减少结余</w:t>
            </w:r>
            <w:r>
              <w:rPr>
                <w:rFonts w:cs="Times New Roman" w:hint="eastAsia"/>
                <w:i w:val="0"/>
                <w:iCs w:val="0"/>
                <w:color w:val="000000"/>
                <w:kern w:val="0"/>
                <w:sz w:val="18"/>
                <w:szCs w:val="18"/>
                <w:u w:val="none"/>
                <w:lang w:val="en-US" w:eastAsia="zh-CN"/>
              </w:rPr>
              <w:t>资金</w:t>
            </w:r>
          </w:p>
        </w:tc>
        <w:tc>
          <w:tcPr>
            <w:tcW w:w="451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严格执行相关政策，保障</w:t>
            </w:r>
            <w:r>
              <w:rPr>
                <w:rFonts w:ascii="Times New Roman" w:cs="Times New Roman" w:hAnsi="Times New Roman" w:hint="eastAsia"/>
                <w:i w:val="0"/>
                <w:iCs w:val="0"/>
                <w:color w:val="000000"/>
                <w:kern w:val="0"/>
                <w:sz w:val="18"/>
                <w:szCs w:val="18"/>
                <w:u w:val="none"/>
                <w:lang w:val="en-US" w:eastAsia="zh-CN"/>
              </w:rPr>
              <w:t>了</w:t>
            </w:r>
            <w:r>
              <w:rPr>
                <w:rFonts w:ascii="Times New Roman" w:eastAsia="宋体" w:cs="Times New Roman" w:hAnsi="Times New Roman"/>
                <w:i w:val="0"/>
                <w:iCs w:val="0"/>
                <w:color w:val="000000"/>
                <w:kern w:val="0"/>
                <w:sz w:val="18"/>
                <w:szCs w:val="18"/>
                <w:u w:val="none"/>
                <w:lang w:val="en-US" w:eastAsia="zh-CN"/>
              </w:rPr>
              <w:t>工资及时发放、足额发放</w:t>
            </w:r>
          </w:p>
        </w:tc>
      </w:tr>
      <w:tr>
        <w:trPr>
          <w:trHeight w:val="850"/>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2.项目实施内容及过程概述</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全年工资于每月月底及时进行拨付,保证工资及时发放、足额发放</w:t>
            </w:r>
          </w:p>
        </w:tc>
      </w:tr>
      <w:tr>
        <w:trPr>
          <w:trHeight w:val="1580"/>
          <w:gridAfter w:val="4"/>
          <w:wAfter w:w="3532" w:type="dxa"/>
        </w:trPr>
        <w:tc>
          <w:tcPr>
            <w:tcW w:w="7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预算执行情况（10分）</w:t>
            </w: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年度预算数（万元）</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年初预算</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调整后预算数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预算执行数</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预算执行率</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权重</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得分</w:t>
            </w:r>
          </w:p>
        </w:tc>
        <w:tc>
          <w:tcPr>
            <w:tcW w:w="163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原因</w:t>
            </w:r>
          </w:p>
        </w:tc>
      </w:tr>
      <w:tr>
        <w:trPr>
          <w:trHeight w:val="895"/>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总额</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43.34</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99.79</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99.79</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w:t>
            </w:r>
          </w:p>
        </w:tc>
        <w:tc>
          <w:tcPr>
            <w:tcW w:w="16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iCs/>
                <w:color w:val="000000"/>
                <w:sz w:val="18"/>
                <w:szCs w:val="18"/>
                <w:u w:val="none"/>
              </w:rPr>
            </w:pPr>
            <w:r>
              <w:rPr>
                <w:rFonts w:hint="eastAsia"/>
                <w:sz w:val="18"/>
                <w:szCs w:val="21"/>
                <w:lang w:val="en-US" w:eastAsia="zh-CN"/>
              </w:rPr>
              <w:t>主要变动原因是由于人员变动情况较大,及工资标准变动涉及增资等影响年度工资预算数整体调整</w:t>
            </w:r>
          </w:p>
        </w:tc>
      </w:tr>
      <w:tr>
        <w:trPr>
          <w:trHeight w:val="1190"/>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其中：财政资金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43.34</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99.79</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99.79</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34"/>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财政专户管理资金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130"/>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单位资金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60"/>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其他资金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580"/>
          <w:gridAfter w:val="4"/>
          <w:wAfter w:w="3532" w:type="dxa"/>
        </w:trPr>
        <w:tc>
          <w:tcPr>
            <w:tcW w:w="7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绩效指标（90分）</w:t>
            </w: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一级指标</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二级指标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三级指标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指标性质</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指标值</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度量单位</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完成值</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权重</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得分</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未完成原因分析</w:t>
            </w:r>
          </w:p>
        </w:tc>
      </w:tr>
      <w:tr>
        <w:trPr>
          <w:trHeight w:val="805"/>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产出指标</w:t>
            </w:r>
          </w:p>
        </w:tc>
        <w:tc>
          <w:tcPr>
            <w:tcW w:w="95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数量指标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足额保障率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850"/>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科目调整次数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次</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925"/>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时效指标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按时发放率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1642"/>
          <w:gridAfter w:val="4"/>
          <w:wAfter w:w="3532" w:type="dxa"/>
        </w:trPr>
        <w:tc>
          <w:tcPr>
            <w:tcW w:w="7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效益指标</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经济效益指标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结余率（计算方法为：结余数/预算数）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649"/>
          <w:gridAfter w:val="4"/>
          <w:wAfter w:w="3532" w:type="dxa"/>
        </w:trPr>
        <w:tc>
          <w:tcPr>
            <w:tcW w:w="6043"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合计</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100</w:t>
            </w:r>
          </w:p>
        </w:tc>
        <w:tc>
          <w:tcPr>
            <w:tcW w:w="163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100</w:t>
            </w:r>
          </w:p>
        </w:tc>
      </w:tr>
      <w:tr>
        <w:trPr>
          <w:trHeight w:val="801"/>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评价结论</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hint="eastAsia"/>
                <w:sz w:val="16"/>
                <w:szCs w:val="20"/>
                <w:lang w:val="en-US" w:eastAsia="zh-CN"/>
              </w:rPr>
              <w:t>自评得分为100分,该项目按月足额发放,按时足额完成年度发放目标,但由于人员变动,工资变动等原因,我单位根据相关政策规定及时调整了预算.</w:t>
            </w:r>
          </w:p>
        </w:tc>
      </w:tr>
      <w:tr>
        <w:trPr>
          <w:trHeight w:val="739"/>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存在问题</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eastAsia="微软雅黑" w:cs="Times New Roman" w:hint="eastAsia"/>
                <w:i/>
                <w:iCs/>
                <w:color w:val="000000"/>
                <w:kern w:val="0"/>
                <w:sz w:val="16"/>
                <w:szCs w:val="16"/>
                <w:u w:val="none"/>
                <w:lang w:val="en-US" w:eastAsia="zh-CN"/>
              </w:rPr>
              <w:t>无</w:t>
            </w:r>
          </w:p>
        </w:tc>
      </w:tr>
      <w:tr>
        <w:trPr>
          <w:trHeight w:val="813"/>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改进措施</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eastAsia="微软雅黑" w:cs="Times New Roman" w:hint="eastAsia"/>
                <w:i/>
                <w:iCs/>
                <w:color w:val="000000"/>
                <w:kern w:val="0"/>
                <w:sz w:val="16"/>
                <w:szCs w:val="16"/>
                <w:u w:val="none"/>
                <w:lang w:val="en-US" w:eastAsia="zh-CN"/>
              </w:rPr>
              <w:t>无</w:t>
            </w:r>
          </w:p>
        </w:tc>
      </w:tr>
      <w:tr>
        <w:trPr>
          <w:trHeight w:val="419"/>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项目负责人：</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财务负责人：</w:t>
            </w:r>
          </w:p>
        </w:tc>
      </w:tr>
      <w:tr>
        <w:trPr>
          <w:trHeight w:val="1147"/>
          <w:gridAfter w:val="4"/>
          <w:wAfter w:w="3532" w:type="dxa"/>
        </w:trPr>
        <w:tc>
          <w:tcPr>
            <w:tcW w:w="9248" w:type="dxa"/>
            <w:gridSpan w:val="1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黑体" w:cs="Times New Roman" w:hAnsi="Times New Roman"/>
                <w:b/>
                <w:bCs/>
                <w:i w:val="0"/>
                <w:iCs w:val="0"/>
                <w:color w:val="000000"/>
                <w:sz w:val="30"/>
                <w:szCs w:val="30"/>
                <w:u w:val="none"/>
              </w:rPr>
            </w:pPr>
            <w:r>
              <w:rPr>
                <w:rFonts w:ascii="Times New Roman" w:eastAsia="黑体" w:cs="Times New Roman" w:hAnsi="Times New Roman"/>
                <w:b/>
                <w:bCs/>
                <w:i w:val="0"/>
                <w:iCs w:val="0"/>
                <w:color w:val="000000"/>
                <w:kern w:val="0"/>
                <w:sz w:val="30"/>
                <w:szCs w:val="30"/>
                <w:u w:val="none"/>
                <w:lang w:val="en-US" w:eastAsia="zh-CN"/>
              </w:rPr>
              <w:t>部门预算项目支出绩效自评表（2022年度）</w:t>
            </w:r>
          </w:p>
        </w:tc>
      </w:tr>
      <w:tr>
        <w:trPr>
          <w:trHeight w:val="419"/>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项目名称</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51000021R000000019953-单位缴费</w:t>
            </w:r>
          </w:p>
        </w:tc>
      </w:tr>
      <w:tr>
        <w:trPr>
          <w:trHeight w:val="1190"/>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主管部门</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州委编办部门</w:t>
            </w:r>
          </w:p>
        </w:tc>
        <w:tc>
          <w:tcPr>
            <w:tcW w:w="1308"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实施单位 （盖章）</w:t>
            </w:r>
          </w:p>
        </w:tc>
        <w:tc>
          <w:tcPr>
            <w:tcW w:w="320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州机构编制实名制管理中心</w:t>
            </w:r>
          </w:p>
        </w:tc>
      </w:tr>
      <w:tr>
        <w:trPr>
          <w:trHeight w:val="419"/>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项目基本情况</w:t>
            </w:r>
          </w:p>
        </w:tc>
        <w:tc>
          <w:tcPr>
            <w:tcW w:w="11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1.项目年度目标完成情况</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项目年度目标</w:t>
            </w:r>
          </w:p>
        </w:tc>
        <w:tc>
          <w:tcPr>
            <w:tcW w:w="451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年度目标完成情况</w:t>
            </w:r>
          </w:p>
        </w:tc>
      </w:tr>
      <w:tr>
        <w:trPr>
          <w:trHeight w:val="154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严格执行相关政策，保障工资及时发放、足额发放，预算编制科学合理，减少结余资金</w:t>
            </w:r>
          </w:p>
        </w:tc>
        <w:tc>
          <w:tcPr>
            <w:tcW w:w="451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宋体" w:cs="Times New Roman" w:hAnsi="Times New Roman" w:hint="eastAsia"/>
                <w:i w:val="0"/>
                <w:iCs w:val="0"/>
                <w:color w:val="000000"/>
                <w:kern w:val="0"/>
                <w:sz w:val="18"/>
                <w:szCs w:val="18"/>
                <w:u w:val="none"/>
                <w:lang w:val="en-US" w:eastAsia="zh-CN"/>
              </w:rPr>
              <w:t>严格执行相关政策,保障了本年度单位职工保险及住房公积金等费用的及时缴纳,足额缴纳。</w:t>
            </w:r>
          </w:p>
        </w:tc>
      </w:tr>
      <w:tr>
        <w:trPr>
          <w:trHeight w:val="915"/>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2.项目实施内容及过程概述</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rPr>
            </w:pPr>
            <w:r>
              <w:rPr>
                <w:rFonts w:ascii="宋体" w:eastAsia="宋体" w:cs="宋体" w:hint="eastAsia"/>
                <w:i w:val="0"/>
                <w:iCs w:val="0"/>
                <w:color w:val="000000"/>
                <w:kern w:val="0"/>
                <w:sz w:val="18"/>
                <w:szCs w:val="18"/>
                <w:u w:val="none"/>
                <w:lang w:val="en-US" w:eastAsia="zh-CN"/>
              </w:rPr>
              <w:t>对单位干部职工保险及时进行缴纳,避免脱保影响干部职工切身利益.</w:t>
            </w:r>
          </w:p>
        </w:tc>
      </w:tr>
      <w:tr>
        <w:trPr>
          <w:trHeight w:val="1120"/>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预算执行情况（10分）</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年度预算数（万元）</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年初预算</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调整后预算数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预算执行数</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预算执行率</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权重</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得分</w:t>
            </w:r>
          </w:p>
        </w:tc>
        <w:tc>
          <w:tcPr>
            <w:tcW w:w="163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原因</w:t>
            </w:r>
          </w:p>
        </w:tc>
      </w:tr>
      <w:tr>
        <w:trPr>
          <w:trHeight w:val="823"/>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总额</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23.90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31.14</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31.14</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w:t>
            </w:r>
          </w:p>
        </w:tc>
        <w:tc>
          <w:tcPr>
            <w:tcW w:w="16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iCs/>
                <w:color w:val="000000"/>
                <w:sz w:val="18"/>
                <w:szCs w:val="18"/>
                <w:u w:val="none"/>
              </w:rPr>
            </w:pPr>
            <w:r>
              <w:rPr>
                <w:rFonts w:hint="eastAsia"/>
                <w:sz w:val="18"/>
                <w:szCs w:val="18"/>
                <w:lang w:val="en-US" w:eastAsia="zh-CN"/>
              </w:rPr>
              <w:t>主要变动原因是由于人员变动情况较大,及工资标准变动涉及增资等影响年度工资变动导致保险基数变动,从而影响保险预算数调整</w:t>
            </w:r>
          </w:p>
        </w:tc>
      </w:tr>
      <w:tr>
        <w:trPr>
          <w:trHeight w:val="85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其中：财政资金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23.90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31.14</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31.14</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82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财政专户管理资金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38"/>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单位资金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38"/>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其他资金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135"/>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绩效指标（90分）</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一级指标</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二级指标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三级指标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指标性质</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指标值</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度量单位</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完成值</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权重</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得分</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未完成原因分析</w:t>
            </w:r>
          </w:p>
        </w:tc>
      </w:tr>
      <w:tr>
        <w:trPr>
          <w:trHeight w:val="91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产出指标</w:t>
            </w:r>
          </w:p>
        </w:tc>
        <w:tc>
          <w:tcPr>
            <w:tcW w:w="95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数量指标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足额保障率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88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科目调整次数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次</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94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时效指标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按时发放率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1837"/>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效益指标</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经济效益指标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结余率（计算方法为：结余数/预算数）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hint="eastAsia"/>
                <w:i/>
                <w:iCs/>
                <w:color w:val="000000"/>
                <w:sz w:val="16"/>
                <w:szCs w:val="16"/>
                <w:u w:val="none"/>
                <w:lang w:val="en-US" w:eastAsia="zh-CN"/>
              </w:rPr>
            </w:pPr>
            <w:r>
              <w:rPr>
                <w:rFonts w:eastAsia="微软雅黑" w:cs="Times New Roman" w:hint="eastAsia"/>
                <w:i/>
                <w:iCs/>
                <w:color w:val="000000"/>
                <w:sz w:val="16"/>
                <w:szCs w:val="16"/>
                <w:u w:val="none"/>
                <w:lang w:val="en-US" w:eastAsia="zh-CN"/>
              </w:rPr>
              <w:t>5</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419"/>
          <w:gridAfter w:val="4"/>
          <w:wAfter w:w="3532" w:type="dxa"/>
        </w:trPr>
        <w:tc>
          <w:tcPr>
            <w:tcW w:w="6043"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合计</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100</w:t>
            </w:r>
          </w:p>
        </w:tc>
        <w:tc>
          <w:tcPr>
            <w:tcW w:w="163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100</w:t>
            </w:r>
          </w:p>
        </w:tc>
      </w:tr>
      <w:tr>
        <w:trPr>
          <w:trHeight w:val="801"/>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评价结论</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ascii="微软雅黑" w:eastAsia="微软雅黑" w:cs="微软雅黑" w:hint="eastAsia"/>
                <w:i/>
                <w:iCs/>
                <w:color w:val="000000"/>
                <w:kern w:val="0"/>
                <w:sz w:val="16"/>
                <w:szCs w:val="16"/>
                <w:u w:val="none"/>
                <w:lang w:val="en-US" w:eastAsia="zh-CN"/>
              </w:rPr>
              <w:t>自评得分为100分,该项目按月足额发放,按时足额完成年度发放目标。</w:t>
            </w:r>
          </w:p>
        </w:tc>
      </w:tr>
      <w:tr>
        <w:trPr>
          <w:trHeight w:val="739"/>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存在问题</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hint="eastAsia"/>
                <w:i/>
                <w:iCs/>
                <w:color w:val="000000"/>
                <w:sz w:val="16"/>
                <w:szCs w:val="16"/>
                <w:u w:val="none"/>
                <w:lang w:val="en-US" w:eastAsia="zh-CN"/>
              </w:rPr>
            </w:pPr>
            <w:r>
              <w:rPr>
                <w:rFonts w:eastAsia="微软雅黑" w:cs="Times New Roman" w:hint="eastAsia"/>
                <w:i/>
                <w:iCs/>
                <w:color w:val="000000"/>
                <w:sz w:val="16"/>
                <w:szCs w:val="16"/>
                <w:u w:val="none"/>
                <w:lang w:val="en-US" w:eastAsia="zh-CN"/>
              </w:rPr>
              <w:t>无</w:t>
            </w:r>
          </w:p>
        </w:tc>
      </w:tr>
      <w:tr>
        <w:trPr>
          <w:trHeight w:val="813"/>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改进措施</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eastAsia="微软雅黑" w:cs="Times New Roman" w:hint="eastAsia"/>
                <w:i/>
                <w:iCs/>
                <w:color w:val="000000"/>
                <w:kern w:val="0"/>
                <w:sz w:val="16"/>
                <w:szCs w:val="16"/>
                <w:u w:val="none"/>
                <w:lang w:val="en-US" w:eastAsia="zh-CN"/>
              </w:rPr>
              <w:t>无</w:t>
            </w:r>
          </w:p>
        </w:tc>
      </w:tr>
      <w:tr>
        <w:trPr>
          <w:trHeight w:val="419"/>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项目负责人：</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财务负责人：</w:t>
            </w:r>
          </w:p>
        </w:tc>
      </w:tr>
      <w:tr>
        <w:trPr>
          <w:trHeight w:val="1147"/>
          <w:gridAfter w:val="4"/>
          <w:wAfter w:w="3532" w:type="dxa"/>
        </w:trPr>
        <w:tc>
          <w:tcPr>
            <w:tcW w:w="9248" w:type="dxa"/>
            <w:gridSpan w:val="1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黑体" w:cs="Times New Roman" w:hAnsi="Times New Roman"/>
                <w:b/>
                <w:bCs/>
                <w:i w:val="0"/>
                <w:iCs w:val="0"/>
                <w:color w:val="000000"/>
                <w:sz w:val="30"/>
                <w:szCs w:val="30"/>
                <w:u w:val="none"/>
              </w:rPr>
            </w:pPr>
            <w:r>
              <w:rPr>
                <w:rFonts w:ascii="Times New Roman" w:eastAsia="黑体" w:cs="Times New Roman" w:hAnsi="Times New Roman"/>
                <w:b/>
                <w:bCs/>
                <w:i w:val="0"/>
                <w:iCs w:val="0"/>
                <w:color w:val="000000"/>
                <w:kern w:val="0"/>
                <w:sz w:val="30"/>
                <w:szCs w:val="30"/>
                <w:u w:val="none"/>
                <w:lang w:val="en-US" w:eastAsia="zh-CN"/>
              </w:rPr>
              <w:t>部门预算项目支出绩效自评表（2022年度）</w:t>
            </w:r>
          </w:p>
        </w:tc>
      </w:tr>
      <w:tr>
        <w:trPr>
          <w:trHeight w:val="419"/>
          <w:gridAfter w:val="4"/>
          <w:wAfter w:w="3532" w:type="dxa"/>
        </w:trPr>
        <w:tc>
          <w:tcPr>
            <w:tcW w:w="190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项目名称</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51000021Y000000011490-定额公用经费</w:t>
            </w:r>
          </w:p>
        </w:tc>
      </w:tr>
      <w:tr>
        <w:trPr>
          <w:trHeight w:val="419"/>
          <w:gridAfter w:val="4"/>
          <w:wAfter w:w="3532" w:type="dxa"/>
        </w:trPr>
        <w:tc>
          <w:tcPr>
            <w:tcW w:w="1903"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51000021Y000000011490-日常公用经费</w:t>
            </w:r>
          </w:p>
        </w:tc>
      </w:tr>
      <w:tr>
        <w:trPr>
          <w:trHeight w:val="1190"/>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主管部门</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州委编办部门</w:t>
            </w:r>
          </w:p>
        </w:tc>
        <w:tc>
          <w:tcPr>
            <w:tcW w:w="1308"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实施单位 （盖章）</w:t>
            </w:r>
          </w:p>
        </w:tc>
        <w:tc>
          <w:tcPr>
            <w:tcW w:w="320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州机构编制实名制管理中心</w:t>
            </w:r>
          </w:p>
        </w:tc>
      </w:tr>
      <w:tr>
        <w:trPr>
          <w:trHeight w:val="419"/>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项目基本情况</w:t>
            </w:r>
          </w:p>
        </w:tc>
        <w:tc>
          <w:tcPr>
            <w:tcW w:w="11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1.项目年度目标完成情况</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项目年度目标</w:t>
            </w:r>
          </w:p>
        </w:tc>
        <w:tc>
          <w:tcPr>
            <w:tcW w:w="451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年度目标完成情况</w:t>
            </w:r>
          </w:p>
        </w:tc>
      </w:tr>
      <w:tr>
        <w:trPr>
          <w:trHeight w:val="97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保障单位日常运转，提高预算编制质量，严格执行预算</w:t>
            </w:r>
          </w:p>
        </w:tc>
        <w:tc>
          <w:tcPr>
            <w:tcW w:w="451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黑体" w:eastAsia="黑体" w:cs="黑体" w:hint="eastAsia"/>
                <w:i w:val="0"/>
                <w:iCs w:val="0"/>
                <w:color w:val="000000"/>
                <w:kern w:val="0"/>
                <w:sz w:val="18"/>
                <w:szCs w:val="18"/>
                <w:u w:val="none"/>
                <w:lang w:val="en-US" w:eastAsia="zh-CN"/>
              </w:rPr>
              <w:t>按照年度目标，严格控制该费用的支出，严格按照预算目标绩效管理该笔资金的支付。</w:t>
            </w:r>
          </w:p>
        </w:tc>
      </w:tr>
      <w:tr>
        <w:trPr>
          <w:trHeight w:val="127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2.项目实施内容及过程概述</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保障单位日常运转，提高预算编制质量，严格执行预算</w:t>
            </w:r>
          </w:p>
        </w:tc>
      </w:tr>
      <w:tr>
        <w:trPr>
          <w:trHeight w:val="1180"/>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预算执行情况（10分）</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年度预算数（万元）</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年初预算</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调整后预算数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预算执行数</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预算执行率</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权重</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得分</w:t>
            </w:r>
          </w:p>
        </w:tc>
        <w:tc>
          <w:tcPr>
            <w:tcW w:w="163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原因</w:t>
            </w:r>
          </w:p>
        </w:tc>
      </w:tr>
      <w:tr>
        <w:trPr>
          <w:trHeight w:val="865"/>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总额</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10.90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10.66</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10.66</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w:t>
            </w:r>
          </w:p>
        </w:tc>
        <w:tc>
          <w:tcPr>
            <w:tcW w:w="16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iCs/>
                <w:color w:val="000000"/>
                <w:sz w:val="18"/>
                <w:szCs w:val="18"/>
                <w:u w:val="none"/>
              </w:rPr>
            </w:pPr>
            <w:r>
              <w:rPr>
                <w:rFonts w:ascii="Times New Roman" w:eastAsia="黑体" w:cs="Times New Roman" w:hAnsi="Times New Roman"/>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97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其中：财政资金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10.90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10.66</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10.66</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1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财政专户管理资金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859"/>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单位资金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077"/>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其他资金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63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40"/>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绩效指标（90分）</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一级指标</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二级指标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三级指标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指标性质</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指标值</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度量单位</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完成值</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权重</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得分</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未完成原因分析</w:t>
            </w:r>
          </w:p>
        </w:tc>
      </w:tr>
      <w:tr>
        <w:trPr>
          <w:trHeight w:val="985"/>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产出指标</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数量指标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科目调整次数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次</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2439"/>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质量指标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预算编制准确率（计算方法为：∣（执行数-预算数）/预算数∣）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hint="eastAsia"/>
                <w:i/>
                <w:iCs/>
                <w:color w:val="000000"/>
                <w:sz w:val="16"/>
                <w:szCs w:val="16"/>
                <w:u w:val="none"/>
                <w:lang w:val="en-US" w:eastAsia="zh-CN"/>
              </w:rPr>
            </w:pPr>
            <w:r>
              <w:rPr>
                <w:rFonts w:eastAsia="微软雅黑" w:cs="Times New Roman" w:hint="eastAsia"/>
                <w:i/>
                <w:iCs/>
                <w:color w:val="000000"/>
                <w:sz w:val="16"/>
                <w:szCs w:val="16"/>
                <w:u w:val="none"/>
                <w:lang w:val="en-US" w:eastAsia="zh-CN"/>
              </w:rPr>
              <w:t>5</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3207"/>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效益指标</w:t>
            </w:r>
          </w:p>
        </w:tc>
        <w:tc>
          <w:tcPr>
            <w:tcW w:w="95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经济效益指标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“三公经费”控制率[计算方法为：（三公经费实际支出数/预算安排数]×100%）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119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运转保障率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lang w:val="en-US" w:eastAsia="zh-CN"/>
              </w:rPr>
            </w:pPr>
            <w:r>
              <w:rPr>
                <w:rFonts w:eastAsia="微软雅黑" w:cs="Times New Roman" w:hint="eastAsia"/>
                <w:i/>
                <w:iCs/>
                <w:color w:val="000000"/>
                <w:sz w:val="16"/>
                <w:szCs w:val="16"/>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22.5</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22.5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r>
        <w:trPr>
          <w:trHeight w:val="646"/>
          <w:gridAfter w:val="4"/>
          <w:wAfter w:w="3532" w:type="dxa"/>
        </w:trPr>
        <w:tc>
          <w:tcPr>
            <w:tcW w:w="6043"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合计</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163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100</w:t>
            </w:r>
          </w:p>
        </w:tc>
      </w:tr>
      <w:tr>
        <w:trPr>
          <w:trHeight w:val="801"/>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评价结论</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ascii="微软雅黑" w:eastAsia="微软雅黑" w:cs="微软雅黑" w:hint="eastAsia"/>
                <w:i/>
                <w:iCs/>
                <w:color w:val="000000"/>
                <w:kern w:val="0"/>
                <w:sz w:val="16"/>
                <w:szCs w:val="16"/>
                <w:u w:val="none"/>
                <w:lang w:val="en-US" w:eastAsia="zh-CN"/>
              </w:rPr>
              <w:t>自评得分100分,该项目年初预算数,调整预算数,执行数保持一致,取得成果较好.</w:t>
            </w:r>
          </w:p>
        </w:tc>
      </w:tr>
      <w:tr>
        <w:trPr>
          <w:trHeight w:val="739"/>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存在问题</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eastAsia="微软雅黑" w:cs="Times New Roman" w:hint="eastAsia"/>
                <w:i/>
                <w:iCs/>
                <w:color w:val="000000"/>
                <w:kern w:val="0"/>
                <w:sz w:val="16"/>
                <w:szCs w:val="16"/>
                <w:u w:val="none"/>
                <w:lang w:val="en-US" w:eastAsia="zh-CN"/>
              </w:rPr>
              <w:t>无</w:t>
            </w:r>
          </w:p>
        </w:tc>
      </w:tr>
      <w:tr>
        <w:trPr>
          <w:trHeight w:val="813"/>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改进措施</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eastAsia="微软雅黑" w:cs="Times New Roman" w:hint="eastAsia"/>
                <w:i/>
                <w:iCs/>
                <w:color w:val="000000"/>
                <w:kern w:val="0"/>
                <w:sz w:val="16"/>
                <w:szCs w:val="16"/>
                <w:u w:val="none"/>
                <w:lang w:val="en-US" w:eastAsia="zh-CN"/>
              </w:rPr>
              <w:t>无</w:t>
            </w:r>
          </w:p>
        </w:tc>
      </w:tr>
      <w:tr>
        <w:trPr>
          <w:trHeight w:val="419"/>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项目负责人：</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财务负责人：</w:t>
            </w:r>
          </w:p>
        </w:tc>
      </w:tr>
      <w:tr>
        <w:trPr>
          <w:trHeight w:val="419"/>
        </w:trPr>
        <w:tc>
          <w:tcPr>
            <w:tcW w:w="714" w:type="dxa"/>
            <w:gridSpan w:val="2"/>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1481" w:type="dxa"/>
            <w:gridSpan w:val="2"/>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662" w:type="dxa"/>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954" w:type="dxa"/>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924" w:type="dxa"/>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528" w:type="dxa"/>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3985" w:type="dxa"/>
            <w:gridSpan w:val="6"/>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240" w:type="dxa"/>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236" w:type="dxa"/>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2701" w:type="dxa"/>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c>
          <w:tcPr>
            <w:tcW w:w="355" w:type="dxa"/>
            <w:tcBorders>
              <w:top w:val="nil"/>
              <w:left w:val="nil"/>
              <w:bottom w:val="nil"/>
              <w:right w:val="nil"/>
            </w:tcBorders>
            <w:shd w:val="clear" w:color="auto" w:fill="auto"/>
            <w:noWrap/>
            <w:vAlign w:val="center"/>
          </w:tcPr>
          <w:p>
            <w:pPr>
              <w:rPr>
                <w:rFonts w:ascii="Times New Roman" w:eastAsia="宋体" w:cs="Times New Roman" w:hAnsi="Times New Roman"/>
                <w:i w:val="0"/>
                <w:iCs w:val="0"/>
                <w:color w:val="000000"/>
                <w:sz w:val="18"/>
                <w:szCs w:val="18"/>
                <w:u w:val="none"/>
              </w:rPr>
            </w:pPr>
          </w:p>
        </w:tc>
      </w:tr>
      <w:tr>
        <w:trPr>
          <w:trHeight w:val="1147"/>
          <w:gridAfter w:val="4"/>
          <w:wAfter w:w="3532" w:type="dxa"/>
        </w:trPr>
        <w:tc>
          <w:tcPr>
            <w:tcW w:w="9248" w:type="dxa"/>
            <w:gridSpan w:val="1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黑体" w:cs="Times New Roman" w:hAnsi="Times New Roman"/>
                <w:b/>
                <w:bCs/>
                <w:i w:val="0"/>
                <w:iCs w:val="0"/>
                <w:color w:val="000000"/>
                <w:sz w:val="30"/>
                <w:szCs w:val="30"/>
                <w:u w:val="none"/>
              </w:rPr>
            </w:pPr>
            <w:r>
              <w:rPr>
                <w:rFonts w:ascii="Times New Roman" w:eastAsia="黑体" w:cs="Times New Roman" w:hAnsi="Times New Roman"/>
                <w:b/>
                <w:bCs/>
                <w:i w:val="0"/>
                <w:iCs w:val="0"/>
                <w:color w:val="000000"/>
                <w:kern w:val="0"/>
                <w:sz w:val="30"/>
                <w:szCs w:val="30"/>
                <w:u w:val="none"/>
                <w:lang w:val="en-US" w:eastAsia="zh-CN"/>
              </w:rPr>
              <w:t>部门预算项目支出绩效自评表（2022年度）</w:t>
            </w:r>
          </w:p>
        </w:tc>
      </w:tr>
      <w:tr>
        <w:trPr>
          <w:trHeight w:val="419"/>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项目名称</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51320022R000005017162-2020年绩效目标奖（事业）</w:t>
            </w:r>
          </w:p>
        </w:tc>
      </w:tr>
      <w:tr>
        <w:trPr>
          <w:trHeight w:val="1030"/>
          <w:gridAfter w:val="4"/>
          <w:wAfter w:w="3532" w:type="dxa"/>
        </w:trPr>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主管部门</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州委编办部门</w:t>
            </w:r>
          </w:p>
        </w:tc>
        <w:tc>
          <w:tcPr>
            <w:tcW w:w="1308"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实施单位 （盖章）</w:t>
            </w:r>
          </w:p>
        </w:tc>
        <w:tc>
          <w:tcPr>
            <w:tcW w:w="320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州机构编制实名制管理中心</w:t>
            </w:r>
          </w:p>
        </w:tc>
      </w:tr>
      <w:tr>
        <w:trPr>
          <w:trHeight w:val="419"/>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项目基本情况</w:t>
            </w:r>
          </w:p>
        </w:tc>
        <w:tc>
          <w:tcPr>
            <w:tcW w:w="11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1.项目年度目标完成情况</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项目年度目标</w:t>
            </w:r>
          </w:p>
        </w:tc>
        <w:tc>
          <w:tcPr>
            <w:tcW w:w="451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年度目标完成情况</w:t>
            </w:r>
          </w:p>
        </w:tc>
      </w:tr>
      <w:tr>
        <w:trPr>
          <w:trHeight w:val="9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cs="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 xml:space="preserve">  </w:t>
            </w:r>
          </w:p>
          <w:p>
            <w:pPr>
              <w:pStyle w:val="15"/>
            </w:pPr>
          </w:p>
        </w:tc>
        <w:tc>
          <w:tcPr>
            <w:tcW w:w="451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p>
        </w:tc>
      </w:tr>
      <w:tr>
        <w:trPr>
          <w:trHeight w:val="1065"/>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2.项目实施内容及过程概述</w:t>
            </w:r>
          </w:p>
        </w:tc>
        <w:tc>
          <w:tcPr>
            <w:tcW w:w="734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rPr>
            </w:pPr>
          </w:p>
        </w:tc>
      </w:tr>
      <w:tr>
        <w:trPr>
          <w:trHeight w:val="870"/>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预算执行情况（10分）</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年度预算数（万元）</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年初预算</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调整后预算数</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预算执行数</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预算执行率</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权重</w:t>
            </w: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得分</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原因</w:t>
            </w:r>
          </w:p>
        </w:tc>
      </w:tr>
      <w:tr>
        <w:trPr>
          <w:trHeight w:val="701"/>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总额</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10.74</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10.74</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w:t>
            </w: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lang w:val="en-US" w:eastAsia="zh-CN"/>
              </w:rPr>
            </w:pPr>
          </w:p>
        </w:tc>
        <w:tc>
          <w:tcPr>
            <w:tcW w:w="14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iCs/>
                <w:color w:val="000000"/>
                <w:sz w:val="18"/>
                <w:szCs w:val="18"/>
                <w:u w:val="none"/>
              </w:rPr>
            </w:pPr>
            <w:r>
              <w:rPr>
                <w:rFonts w:ascii="Times New Roman" w:eastAsia="黑体" w:cs="Times New Roman" w:hAnsi="Times New Roman"/>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97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其中：财政资金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10.74</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10.74</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45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70"/>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财政专户管理资金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45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875"/>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单位资金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45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269"/>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其他资金</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w:t>
            </w:r>
          </w:p>
        </w:tc>
        <w:tc>
          <w:tcPr>
            <w:tcW w:w="145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580"/>
          <w:gridAfter w:val="4"/>
          <w:wAfter w:w="3532" w:type="dxa"/>
        </w:trPr>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绩效指标（90分）</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一级指标</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二级指标</w:t>
            </w: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三级指标</w:t>
            </w: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指标性质</w:t>
            </w: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指标值</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度量单位</w:t>
            </w: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完成值</w:t>
            </w: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权重</w:t>
            </w:r>
          </w:p>
        </w:tc>
        <w:tc>
          <w:tcPr>
            <w:tcW w:w="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得分</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未完成原因分析</w:t>
            </w:r>
          </w:p>
        </w:tc>
      </w:tr>
      <w:tr>
        <w:trPr>
          <w:trHeight w:val="988"/>
          <w:gridAfter w:val="4"/>
          <w:wAfter w:w="3532" w:type="dxa"/>
        </w:trPr>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p>
        </w:tc>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微软雅黑" w:cs="Times New Roman" w:hAnsi="Times New Roman"/>
                <w:i/>
                <w:iCs/>
                <w:color w:val="000000"/>
                <w:sz w:val="16"/>
                <w:szCs w:val="16"/>
                <w:u w:val="none"/>
              </w:rPr>
            </w:pPr>
          </w:p>
        </w:tc>
      </w:tr>
    </w:tbl>
    <w:p>
      <w:pPr>
        <w:rPr>
          <w:rFonts w:ascii="Times New Roman" w:cs="Times New Roman" w:hAnsi="Times New Roman"/>
        </w:rPr>
      </w:pPr>
    </w:p>
    <w:tbl>
      <w:tblPr>
        <w:jc w:val="left"/>
        <w:tblInd w:w="93" w:type="dxa"/>
        <w:tblW w:w="9248"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903"/>
        <w:gridCol w:w="4209"/>
        <w:gridCol w:w="735"/>
        <w:gridCol w:w="600"/>
        <w:gridCol w:w="600"/>
        <w:gridCol w:w="1201"/>
      </w:tblGrid>
      <w:tr>
        <w:trPr>
          <w:trHeight w:val="646"/>
        </w:trPr>
        <w:tc>
          <w:tcPr>
            <w:tcW w:w="61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合计</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lang w:val="en-US" w:eastAsia="zh-CN"/>
              </w:rPr>
            </w:pPr>
            <w:r>
              <w:rPr>
                <w:rFonts w:ascii="Times New Roman" w:eastAsia="宋体" w:cs="Times New Roman" w:hAnsi="Times New Roman"/>
                <w:i w:val="0"/>
                <w:iCs w:val="0"/>
                <w:color w:val="000000"/>
                <w:sz w:val="18"/>
                <w:szCs w:val="18"/>
                <w:u w:val="none"/>
                <w:lang w:val="en-US" w:eastAsia="zh-CN"/>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lang w:val="en-US" w:eastAsia="zh-CN"/>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lang w:val="en-US" w:eastAsia="zh-CN"/>
              </w:rPr>
            </w:pPr>
            <w:r>
              <w:rPr>
                <w:rFonts w:cs="Times New Roman" w:hint="eastAsia"/>
                <w:i w:val="0"/>
                <w:iCs w:val="0"/>
                <w:color w:val="000000"/>
                <w:sz w:val="18"/>
                <w:szCs w:val="18"/>
                <w:u w:val="none"/>
                <w:lang w:val="en-US" w:eastAsia="zh-CN"/>
              </w:rPr>
              <w:t>100</w:t>
            </w:r>
          </w:p>
        </w:tc>
        <w:tc>
          <w:tcPr>
            <w:tcW w:w="12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Times New Roman" w:eastAsia="宋体" w:cs="Times New Roman" w:hAnsi="Times New Roman"/>
                <w:i w:val="0"/>
                <w:iCs w:val="0"/>
                <w:color w:val="000000"/>
                <w:sz w:val="18"/>
                <w:szCs w:val="18"/>
                <w:u w:val="none"/>
              </w:rPr>
            </w:pPr>
          </w:p>
        </w:tc>
      </w:tr>
      <w:tr>
        <w:trPr>
          <w:trHeight w:val="801"/>
        </w:trPr>
        <w:tc>
          <w:tcPr>
            <w:tcW w:w="1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评价结论</w:t>
            </w:r>
          </w:p>
        </w:tc>
        <w:tc>
          <w:tcPr>
            <w:tcW w:w="734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ascii="微软雅黑" w:eastAsia="微软雅黑" w:cs="微软雅黑" w:hint="eastAsia"/>
                <w:i/>
                <w:iCs/>
                <w:color w:val="000000"/>
                <w:kern w:val="0"/>
                <w:sz w:val="16"/>
                <w:szCs w:val="16"/>
                <w:u w:val="none"/>
                <w:lang w:val="en-US" w:eastAsia="zh-CN"/>
              </w:rPr>
              <w:t>自评得分100分,该项目年初预算数,调整预算数,执行数保持一致,取得成果较好.</w:t>
            </w:r>
          </w:p>
        </w:tc>
      </w:tr>
      <w:tr>
        <w:trPr>
          <w:trHeight w:val="739"/>
        </w:trPr>
        <w:tc>
          <w:tcPr>
            <w:tcW w:w="1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存在问题</w:t>
            </w:r>
          </w:p>
        </w:tc>
        <w:tc>
          <w:tcPr>
            <w:tcW w:w="734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eastAsia="微软雅黑" w:cs="Times New Roman" w:hint="eastAsia"/>
                <w:i/>
                <w:iCs/>
                <w:color w:val="000000"/>
                <w:kern w:val="0"/>
                <w:sz w:val="16"/>
                <w:szCs w:val="16"/>
                <w:u w:val="none"/>
                <w:lang w:val="en-US" w:eastAsia="zh-CN"/>
              </w:rPr>
              <w:t>无</w:t>
            </w:r>
          </w:p>
        </w:tc>
      </w:tr>
      <w:tr>
        <w:trPr>
          <w:trHeight w:val="813"/>
        </w:trPr>
        <w:tc>
          <w:tcPr>
            <w:tcW w:w="1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改进措施</w:t>
            </w:r>
          </w:p>
        </w:tc>
        <w:tc>
          <w:tcPr>
            <w:tcW w:w="734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微软雅黑" w:cs="Times New Roman" w:hAnsi="Times New Roman"/>
                <w:i/>
                <w:iCs/>
                <w:color w:val="000000"/>
                <w:sz w:val="16"/>
                <w:szCs w:val="16"/>
                <w:u w:val="none"/>
              </w:rPr>
            </w:pPr>
            <w:r>
              <w:rPr>
                <w:rFonts w:eastAsia="微软雅黑" w:cs="Times New Roman" w:hint="eastAsia"/>
                <w:i/>
                <w:iCs/>
                <w:color w:val="000000"/>
                <w:kern w:val="0"/>
                <w:sz w:val="16"/>
                <w:szCs w:val="16"/>
                <w:u w:val="none"/>
                <w:lang w:val="en-US" w:eastAsia="zh-CN"/>
              </w:rPr>
              <w:t>无</w:t>
            </w:r>
          </w:p>
        </w:tc>
      </w:tr>
      <w:tr>
        <w:trPr>
          <w:trHeight w:val="419"/>
        </w:trPr>
        <w:tc>
          <w:tcPr>
            <w:tcW w:w="1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项目负责人：</w:t>
            </w:r>
          </w:p>
        </w:tc>
        <w:tc>
          <w:tcPr>
            <w:tcW w:w="734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黑体" w:cs="Times New Roman" w:hAnsi="Times New Roman"/>
                <w:i w:val="0"/>
                <w:iCs w:val="0"/>
                <w:color w:val="000000"/>
                <w:sz w:val="18"/>
                <w:szCs w:val="18"/>
                <w:u w:val="none"/>
              </w:rPr>
            </w:pPr>
            <w:r>
              <w:rPr>
                <w:rFonts w:ascii="Times New Roman" w:eastAsia="黑体" w:cs="Times New Roman" w:hAnsi="Times New Roman"/>
                <w:i w:val="0"/>
                <w:iCs w:val="0"/>
                <w:color w:val="000000"/>
                <w:kern w:val="0"/>
                <w:sz w:val="18"/>
                <w:szCs w:val="18"/>
                <w:u w:val="none"/>
                <w:lang w:val="en-US" w:eastAsia="zh-CN"/>
              </w:rPr>
              <w:t>财务负责人：</w:t>
            </w:r>
          </w:p>
        </w:tc>
      </w:tr>
      <w:tr>
        <w:trPr>
          <w:trHeight w:val="779"/>
        </w:trPr>
        <w:tc>
          <w:tcPr>
            <w:tcW w:w="9248"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1、报表说明:该报表查询项目信息、绩效目标信息、预算及执行情况，用于预算单位查询导出开展项目自评。</w:t>
            </w:r>
          </w:p>
        </w:tc>
      </w:tr>
      <w:tr>
        <w:trPr>
          <w:trHeight w:val="779"/>
        </w:trPr>
        <w:tc>
          <w:tcPr>
            <w:tcW w:w="9248"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2、取数口径：部门项目绩效目标表信息，包括年初预算、追加预算、结转预算和调整预算的绩效目标（以项目的最终绩效目标为准）。</w:t>
            </w:r>
          </w:p>
        </w:tc>
      </w:tr>
      <w:tr>
        <w:trPr>
          <w:trHeight w:val="389"/>
        </w:trPr>
        <w:tc>
          <w:tcPr>
            <w:tcW w:w="9248"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适用地区：全省范围</w:t>
            </w:r>
          </w:p>
        </w:tc>
      </w:tr>
      <w:tr>
        <w:trPr>
          <w:trHeight w:val="389"/>
        </w:trPr>
        <w:tc>
          <w:tcPr>
            <w:tcW w:w="9248"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适用用户：部门用户、单位用户</w:t>
            </w:r>
          </w:p>
        </w:tc>
      </w:tr>
    </w:tbl>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p>
    <w:p>
      <w:pPr>
        <w:jc w:val="center"/>
        <w:rPr>
          <w:rFonts w:ascii="黑体" w:eastAsia="黑体" w:cs="黑体" w:hint="eastAsia"/>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黑体" w:hint="eastAsia"/>
          <w:sz w:val="44"/>
          <w:szCs w:val="44"/>
        </w:rPr>
      </w:pPr>
      <w:r>
        <w:rPr>
          <w:rFonts w:ascii="黑体" w:eastAsia="黑体" w:cs="黑体" w:hint="eastAsia"/>
          <w:sz w:val="44"/>
          <w:szCs w:val="44"/>
        </w:rPr>
        <w:t>第五部分 附表</w:t>
      </w:r>
      <w:bookmarkStart w:id="55" w:name="_Toc15396619"/>
      <w:bookmarkEnd w:id="54"/>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一、收入支出决算总表</w:t>
      </w:r>
      <w:bookmarkEnd w:id="55"/>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56" w:name="_Toc15396620"/>
      <w:r>
        <w:rPr>
          <w:rFonts w:ascii="仿宋_GB2312" w:eastAsia="仿宋_GB2312" w:cs="仿宋_GB2312" w:hint="eastAsia"/>
          <w:sz w:val="32"/>
          <w:szCs w:val="32"/>
        </w:rPr>
        <w:t>二、收入决算表</w:t>
      </w:r>
      <w:bookmarkEnd w:id="56"/>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57" w:name="_Toc15396621"/>
      <w:r>
        <w:rPr>
          <w:rFonts w:ascii="仿宋_GB2312" w:eastAsia="仿宋_GB2312" w:cs="仿宋_GB2312" w:hint="eastAsia"/>
          <w:sz w:val="32"/>
          <w:szCs w:val="32"/>
        </w:rPr>
        <w:t>三、支出决算表</w:t>
      </w:r>
      <w:bookmarkEnd w:id="57"/>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58" w:name="_Toc15396622"/>
      <w:r>
        <w:rPr>
          <w:rFonts w:ascii="仿宋_GB2312" w:eastAsia="仿宋_GB2312" w:cs="仿宋_GB2312" w:hint="eastAsia"/>
          <w:sz w:val="32"/>
          <w:szCs w:val="32"/>
        </w:rPr>
        <w:t>四、财政拨款收入支出决算总表</w:t>
      </w:r>
      <w:bookmarkEnd w:id="58"/>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59" w:name="_Toc15396623"/>
      <w:r>
        <w:rPr>
          <w:rFonts w:ascii="仿宋_GB2312" w:eastAsia="仿宋_GB2312" w:cs="仿宋_GB2312" w:hint="eastAsia"/>
          <w:sz w:val="32"/>
          <w:szCs w:val="32"/>
        </w:rPr>
        <w:t>五、财政拨款支出决算明细表</w:t>
      </w:r>
      <w:bookmarkStart w:id="60" w:name="_Toc15396624"/>
      <w:bookmarkEnd w:id="59"/>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六、一般公共预算财政拨款支出决算表</w:t>
      </w:r>
      <w:bookmarkEnd w:id="6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1" w:name="_Toc15396625"/>
      <w:r>
        <w:rPr>
          <w:rFonts w:ascii="仿宋_GB2312" w:eastAsia="仿宋_GB2312" w:cs="仿宋_GB2312" w:hint="eastAsia"/>
          <w:sz w:val="32"/>
          <w:szCs w:val="32"/>
        </w:rPr>
        <w:t>七、一般公共预算财政拨款支出决算明细表</w:t>
      </w:r>
      <w:bookmarkEnd w:id="61"/>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2" w:name="_Toc15396626"/>
      <w:r>
        <w:rPr>
          <w:rFonts w:ascii="仿宋_GB2312" w:eastAsia="仿宋_GB2312" w:cs="仿宋_GB2312" w:hint="eastAsia"/>
          <w:sz w:val="32"/>
          <w:szCs w:val="32"/>
        </w:rPr>
        <w:t>八、一般公共预算财政拨款基本支出决算表</w:t>
      </w:r>
      <w:bookmarkEnd w:id="62"/>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3" w:name="_Toc15396627"/>
      <w:r>
        <w:rPr>
          <w:rFonts w:ascii="仿宋_GB2312" w:eastAsia="仿宋_GB2312" w:cs="仿宋_GB2312" w:hint="eastAsia"/>
          <w:sz w:val="32"/>
          <w:szCs w:val="32"/>
        </w:rPr>
        <w:t>九、一般公共预算财政拨款项目支出决算表</w:t>
      </w:r>
      <w:bookmarkEnd w:id="63"/>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4" w:name="_Toc15396628"/>
      <w:r>
        <w:rPr>
          <w:rFonts w:ascii="仿宋_GB2312" w:eastAsia="仿宋_GB2312" w:cs="仿宋_GB2312" w:hint="eastAsia"/>
          <w:sz w:val="32"/>
          <w:szCs w:val="32"/>
        </w:rPr>
        <w:t>十、</w:t>
      </w:r>
      <w:bookmarkEnd w:id="64"/>
      <w:r>
        <w:rPr>
          <w:rFonts w:ascii="仿宋_GB2312" w:eastAsia="仿宋_GB2312" w:cs="仿宋_GB2312" w:hint="eastAsia"/>
          <w:sz w:val="32"/>
          <w:szCs w:val="32"/>
        </w:rPr>
        <w:t>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5" w:name="_Toc15396629"/>
      <w:r>
        <w:rPr>
          <w:rFonts w:ascii="仿宋_GB2312" w:eastAsia="仿宋_GB2312" w:cs="仿宋_GB2312" w:hint="eastAsia"/>
          <w:sz w:val="32"/>
          <w:szCs w:val="32"/>
        </w:rPr>
        <w:t>十一、</w:t>
      </w:r>
      <w:bookmarkEnd w:id="65"/>
      <w:r>
        <w:rPr>
          <w:rFonts w:ascii="仿宋_GB2312" w:eastAsia="仿宋_GB2312" w:cs="仿宋_GB2312" w:hint="eastAsia"/>
          <w:sz w:val="32"/>
          <w:szCs w:val="32"/>
        </w:rPr>
        <w:t>国有资本经营预算</w:t>
      </w:r>
      <w:r>
        <w:rPr>
          <w:rFonts w:ascii="仿宋_GB2312" w:eastAsia="仿宋_GB2312" w:cs="仿宋_GB2312" w:hint="eastAsia"/>
          <w:sz w:val="32"/>
          <w:szCs w:val="32"/>
          <w:lang w:eastAsia="zh-CN"/>
        </w:rPr>
        <w:t>财政拨款收入</w:t>
      </w:r>
      <w:r>
        <w:rPr>
          <w:rFonts w:ascii="仿宋_GB2312" w:eastAsia="仿宋_GB2312" w:cs="仿宋_GB2312" w:hint="eastAsia"/>
          <w:sz w:val="32"/>
          <w:szCs w:val="32"/>
        </w:rPr>
        <w:t>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6" w:name="_Toc15396630"/>
      <w:r>
        <w:rPr>
          <w:rFonts w:ascii="仿宋_GB2312" w:eastAsia="仿宋_GB2312" w:cs="仿宋_GB2312" w:hint="eastAsia"/>
          <w:sz w:val="32"/>
          <w:szCs w:val="32"/>
        </w:rPr>
        <w:t>十二、</w:t>
      </w:r>
      <w:bookmarkEnd w:id="66"/>
      <w:r>
        <w:rPr>
          <w:rFonts w:ascii="仿宋_GB2312" w:eastAsia="仿宋_GB2312" w:cs="仿宋_GB2312" w:hint="eastAsia"/>
          <w:sz w:val="32"/>
          <w:szCs w:val="32"/>
          <w:lang w:eastAsia="zh-CN"/>
        </w:rPr>
        <w:t>国有资本经营预算财政拨款支出决算表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eastAsia="zh-CN"/>
        </w:rPr>
      </w:pPr>
      <w:bookmarkStart w:id="67" w:name="_Toc15396631"/>
      <w:r>
        <w:rPr>
          <w:rFonts w:ascii="仿宋_GB2312" w:eastAsia="仿宋_GB2312" w:cs="仿宋_GB2312" w:hint="eastAsia"/>
          <w:sz w:val="32"/>
          <w:szCs w:val="32"/>
        </w:rPr>
        <w:t>十三、</w:t>
      </w:r>
      <w:bookmarkEnd w:id="67"/>
      <w:r>
        <w:rPr>
          <w:rFonts w:ascii="仿宋_GB2312" w:eastAsia="仿宋_GB2312" w:cs="仿宋_GB2312" w:hint="eastAsia"/>
          <w:sz w:val="32"/>
          <w:szCs w:val="32"/>
          <w:lang w:eastAsia="zh-CN"/>
        </w:rPr>
        <w:t>财政拨款“三公”经费支出决算表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eastAsia="zh-CN"/>
        </w:rPr>
      </w:pPr>
      <w:bookmarkEnd w:id="52"/>
    </w:p>
    <w:sectPr>
      <w:pgSz w:w="11906" w:h="16838"/>
      <w:pgMar w:top="1440" w:right="1800" w:bottom="1440" w:left="1800" w:header="851" w:footer="992" w:gutter="0"/>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方正小标宋简体">
    <w:panose1 w:val="02010601030101010101"/>
    <w:charset w:val="86"/>
    <w:family w:val="script"/>
    <w:pitch w:val="variable"/>
    <w:sig w:usb0="00000001" w:usb1="080E0000" w:usb2="00000000" w:usb3="00000000" w:csb0="00040000" w:csb1="00000000"/>
  </w:font>
  <w:font w:name="宋体">
    <w:panose1 w:val="02010600030101010101"/>
    <w:charset w:val="02"/>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微软雅黑">
    <w:altName w:val="宋体"/>
    <w:panose1 w:val="020B0503020204020204"/>
    <w:charset w:val="86"/>
    <w:family w:val="auto"/>
    <w:pitch w:val="variable"/>
    <w:sig w:usb0="80000287" w:usb1="280F3C52" w:usb2="00000016" w:usb3="00000000" w:csb0="0004001F" w:csb1="00000000"/>
  </w:font>
  <w:font w:name="Cambria">
    <w:altName w:val="DejaVu Sans"/>
    <w:panose1 w:val="02040503050406030204"/>
    <w:charset w:val="00"/>
    <w:family w:val="roman"/>
    <w:pitch w:val="variable"/>
    <w:sig w:usb0="E00002FF" w:usb1="400004FF" w:usb2="00000000" w:usb3="00000000" w:csb0="2000019F" w:csb1="00000000"/>
  </w:font>
  <w:font w:name="Calibri Light">
    <w:altName w:val="DejaVu Sans"/>
    <w:panose1 w:val="020F0302020204030204"/>
    <w:charset w:val="00"/>
    <w:family w:val="auto"/>
    <w:pitch w:val="variable"/>
    <w:sig w:usb0="A00002EF" w:usb1="4000207B"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49" behindDoc="0" locked="0" layoutInCell="1" hidden="0" allowOverlap="1">
              <wp:simplePos x="0" y="0"/>
              <wp:positionH relativeFrom="margin">
                <wp:align>center</wp:align>
              </wp:positionH>
              <wp:positionV relativeFrom="paragraph">
                <wp:posOffset>0</wp:posOffset>
              </wp:positionV>
              <wp:extent cx="177799" cy="230251"/>
              <wp:effectExtent l="0" t="0" r="0" b="0"/>
              <wp:wrapNone/>
              <wp:docPr id="1" name="文本框 15"/>
              <wp:cNvGraphicFramePr>
                <a:graphicFrameLocks noChangeAspect="0"/>
              </wp:cNvGraphicFramePr>
              <a:graphic>
                <a:graphicData uri="http://schemas.microsoft.com/office/word/2010/wordprocessingShape">
                  <wps:wsp>
                    <wps:cNvSpPr/>
                    <wps:spPr>
                      <a:xfrm rot="0">
                        <a:off x="0" y="0"/>
                        <a:ext cx="177799" cy="230251"/>
                      </a:xfrm>
                      <a:prstGeom prst="rect"/>
                      <a:noFill/>
                      <a:ln w="6350" cmpd="sng" cap="flat">
                        <a:noFill/>
                        <a:prstDash val="solid"/>
                        <a:round/>
                      </a:ln>
                    </wps:spPr>
                    <wps:txbx id="2">
                      <w:txbxContent>
                        <w:p>
                          <w:pPr>
                            <w:pStyle w:val="19"/>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p>
                      </w:txbxContent>
                    </wps:txbx>
                    <wps:bodyPr vert="horz" wrap="none" lIns="0" tIns="0" rIns="0" bIns="0" anchor="t" anchorCtr="0" upright="0">
                      <a:spAutoFit/>
                    </wps:bodyPr>
                  </wps:wsp>
                </a:graphicData>
              </a:graphic>
            </wp:anchor>
          </w:drawing>
        </mc:Choice>
        <mc:Fallback>
          <w:pict>
            <v:rect type="#_x0000_t1" id="文本框 15 3" o:spid="_x0000_s3" filled="f" stroked="f" strokeweight="0.5pt" style="position:absolute;margin-left:0.0pt;margin-top:0.0pt;width:13.999985pt;height:18.130003pt;z-index:49;mso-position-horizontal:center;mso-position-horizontal-relative:margin;mso-position-vertical:absolute;mso-wrap-distance-left:8.999863pt;mso-wrap-distance-right:8.999863pt;mso-wrap-style:none;">
              <v:stroke color="#000000"/>
              <v:textbox id="860" inset="0mm,0mm,0mm,0mm" o:insetmode="custom" style="layout-flow:horizontal;v-text-anchor:top;mso-fit-shape-to-text:t;">
                <w:txbxContent>
                  <w:p>
                    <w:pPr>
                      <w:pStyle w:val="19"/>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p>
                </w:txbxContent>
              </v:textbox>
            </v:rect>
          </w:pict>
        </mc:Fallback>
      </mc:AlternateContent>
    </w:r>
    <w:r>
      <w:rPr>
        <w:rFonts w:hint="eastAsia"/>
        <w:lang w:eastAsia="zh-CN"/>
      </w:rPr>
      <w:tab/>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51" behindDoc="0" locked="0" layoutInCell="1" hidden="0" allowOverlap="1">
              <wp:simplePos x="0" y="0"/>
              <wp:positionH relativeFrom="margin">
                <wp:posOffset>2604770</wp:posOffset>
              </wp:positionH>
              <wp:positionV relativeFrom="paragraph">
                <wp:posOffset>103504</wp:posOffset>
              </wp:positionV>
              <wp:extent cx="88899" cy="230251"/>
              <wp:effectExtent l="0" t="0" r="0" b="0"/>
              <wp:wrapNone/>
              <wp:docPr id="4" name="文本框 16"/>
              <wp:cNvGraphicFramePr>
                <a:graphicFrameLocks noChangeAspect="0"/>
              </wp:cNvGraphicFramePr>
              <a:graphic>
                <a:graphicData uri="http://schemas.microsoft.com/office/word/2010/wordprocessingShape">
                  <wps:wsp>
                    <wps:cNvSpPr/>
                    <wps:spPr>
                      <a:xfrm rot="0">
                        <a:off x="0" y="0"/>
                        <a:ext cx="88899" cy="230251"/>
                      </a:xfrm>
                      <a:prstGeom prst="rect"/>
                      <a:noFill/>
                      <a:ln w="6350" cmpd="sng" cap="flat">
                        <a:noFill/>
                        <a:prstDash val="solid"/>
                        <a:round/>
                      </a:ln>
                    </wps:spPr>
                    <wps:txbx id="5">
                      <w:txbxContent>
                        <w:p>
                          <w:pPr>
                            <w:pStyle w:val="19"/>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1</w:t>
                          </w:r>
                          <w:r>
                            <w:rPr>
                              <w:rFonts w:ascii="宋体" w:eastAsia="宋体" w:cs="宋体" w:hint="eastAsia"/>
                              <w:sz w:val="28"/>
                              <w:szCs w:val="28"/>
                            </w:rPr>
                            <w:fldChar w:fldCharType="end"/>
                          </w:r>
                        </w:p>
                      </w:txbxContent>
                    </wps:txbx>
                    <wps:bodyPr vert="horz" wrap="none" lIns="0" tIns="0" rIns="0" bIns="0" anchor="t" anchorCtr="0" upright="0">
                      <a:spAutoFit/>
                    </wps:bodyPr>
                  </wps:wsp>
                </a:graphicData>
              </a:graphic>
            </wp:anchor>
          </w:drawing>
        </mc:Choice>
        <mc:Fallback>
          <w:pict>
            <v:rect type="#_x0000_t1" id="文本框 16 6" o:spid="_x0000_s6" filled="f" stroked="f" strokeweight="0.5pt" style="position:absolute;margin-left:205.09999pt;margin-top:8.149992pt;width:6.9999924pt;height:18.130003pt;z-index:51;mso-position-horizontal:absolute;mso-position-horizontal-relative:margin;mso-position-vertical:absolute;mso-wrap-distance-left:8.999863pt;mso-wrap-distance-right:8.999863pt;mso-wrap-style:none;">
              <v:stroke color="#000000"/>
              <v:textbox id="861" inset="0mm,0mm,0mm,0mm" o:insetmode="custom" style="layout-flow:horizontal;v-text-anchor:top;mso-fit-shape-to-text:t;">
                <w:txbxContent>
                  <w:p>
                    <w:pPr>
                      <w:pStyle w:val="19"/>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1</w:t>
                    </w:r>
                    <w:r>
                      <w:rPr>
                        <w:rFonts w:ascii="宋体" w:eastAsia="宋体" w:cs="宋体" w:hint="eastAsia"/>
                        <w:sz w:val="28"/>
                        <w:szCs w:val="28"/>
                      </w:rP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353620B"/>
    <w:multiLevelType w:val="singleLevel"/>
    <w:tmpl w:val="C353620B"/>
    <w:lvl w:ilvl="0">
      <w:start w:val="2"/>
      <w:numFmt w:val="chineseCounting"/>
      <w:lvlRestart w:val="0"/>
      <w:suff w:val="nothing"/>
      <w:lvlText w:val="%1、"/>
      <w:lvlJc w:val="left"/>
      <w:pPr>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ind w:left="0" w:hanging="0"/>
      </w:pPr>
      <w:rPr>
        <w:rFonts w:ascii="黑体" w:hAnsi="黑体" w:eastAsia="黑体" w:cs="黑体" w:hint="eastAsia"/>
        <w:sz w:val="44"/>
        <w:szCs w:val="44"/>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TIxMGM2YTQ2OTdmMWZkOWMwNWRlYTcwNWQ1ZjI5Z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next w:val="16"/>
    <w:pPr>
      <w:spacing w:beforeLines="30" w:before="30"/>
    </w:pPr>
    <w:rPr>
      <w:rFonts w:ascii="仿宋_GB2312" w:eastAsia="仿宋_GB2312"/>
      <w:kern w:val="0"/>
      <w:sz w:val="30"/>
    </w:rPr>
  </w:style>
  <w:style w:type="paragraph" w:styleId="16">
    <w:name w:val="Subtitle"/>
    <w:basedOn w:val="0"/>
    <w:next w:val="0"/>
    <w:pPr>
      <w:spacing w:before="240" w:after="60" w:line="312" w:lineRule="auto"/>
      <w:jc w:val="center"/>
      <w:outlineLvl w:val="1"/>
    </w:pPr>
    <w:rPr>
      <w:rFonts w:ascii="Calibri Light" w:hAnsi="Calibri Light"/>
      <w:b/>
      <w:bCs/>
      <w:kern w:val="28"/>
      <w:sz w:val="32"/>
      <w:szCs w:val="32"/>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character" w:styleId="24">
    <w:name w:val="Strong"/>
    <w:basedOn w:val="10"/>
    <w:rPr>
      <w:b/>
    </w:rPr>
  </w:style>
  <w:style w:type="character" w:styleId="25">
    <w:name w:val="Hyperlink"/>
    <w:basedOn w:val="10"/>
    <w:rPr>
      <w:color w:val="0000FF"/>
      <w:u w:val="single"/>
    </w:rPr>
  </w:style>
  <w:style w:type="paragraph" w:customStyle="1" w:styleId="26">
    <w:name w:val="文档正文"/>
    <w:basedOn w:val="0"/>
    <w:pPr>
      <w:adjustRightInd w:val="0"/>
      <w:spacing w:line="480" w:lineRule="atLeast"/>
    </w:pPr>
    <w:rPr>
      <w:rFonts w:ascii="Arial" w:hAnsi="Arial"/>
      <w:kern w:val="0"/>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3">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收、支决算总计变动情况图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收入（万元）</c:v>
                </c:pt>
              </c:strCache>
            </c:strRef>
          </c:tx>
          <c:spPr>
            <a:solidFill>
              <a:srgbClr val="9BBB59"/>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2021年度</c:v>
                </c:pt>
                <c:pt idx="1">
                  <c:v>2022年度</c:v>
                </c:pt>
              </c:strCache>
            </c:strRef>
          </c:cat>
          <c:val>
            <c:numRef>
              <c:f>'Sheet1'!$B$2:$B$3</c:f>
              <c:numCache>
                <c:formatCode>General</c:formatCode>
                <c:ptCount val="2"/>
                <c:pt idx="0">
                  <c:v>100.86</c:v>
                </c:pt>
                <c:pt idx="1">
                  <c:v>152.33</c:v>
                </c:pt>
              </c:numCache>
            </c:numRef>
          </c:val>
        </c:ser>
        <c:ser>
          <c:idx val="1"/>
          <c:order val="1"/>
          <c:tx>
            <c:strRef>
              <c:f>'Sheet1'!$C$1</c:f>
              <c:strCache>
                <c:ptCount val="1"/>
                <c:pt idx="0">
                  <c:v>支出（万元）</c:v>
                </c:pt>
              </c:strCache>
            </c:strRef>
          </c:tx>
          <c:spPr>
            <a:solidFill>
              <a:srgbClr val="8064A2"/>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2021年度</c:v>
                </c:pt>
                <c:pt idx="1">
                  <c:v>2022年度</c:v>
                </c:pt>
              </c:strCache>
            </c:strRef>
          </c:cat>
          <c:val>
            <c:numRef>
              <c:f>'Sheet1'!$C$2:$C$3</c:f>
              <c:numCache>
                <c:formatCode>General</c:formatCode>
                <c:ptCount val="2"/>
                <c:pt idx="0">
                  <c:v>100.86</c:v>
                </c:pt>
                <c:pt idx="1">
                  <c:v>152.33</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9BBB59"/>
            </a:solidFill>
            <a:ln>
              <a:noFill/>
            </a:ln>
          </c:spPr>
          <c:dPt>
            <c:idx val="0"/>
            <c:bubble3D val="0"/>
            <c:spPr>
              <a:solidFill>
                <a:srgbClr val="9BBB59"/>
              </a:solidFill>
              <a:ln w="63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(2)'!$A$2</c:f>
              <c:strCache>
                <c:ptCount val="1"/>
                <c:pt idx="0">
                  <c:v>一般公共预算财政拨款收入</c:v>
                </c:pt>
              </c:strCache>
            </c:strRef>
          </c:cat>
          <c:val>
            <c:numRef>
              <c:f>Sheet1 (2)!$B$2</c:f>
              <c:numCache>
                <c:formatCode>General</c:formatCode>
                <c:ptCount val="1"/>
                <c:pt idx="0">
                  <c:v>152.33</c:v>
                </c:pt>
              </c:numCache>
            </c:numRef>
          </c:val>
        </c:ser>
        <c:firstSliceAng val="35"/>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8064A2"/>
            </a:solidFill>
            <a:ln>
              <a:noFill/>
            </a:ln>
          </c:spPr>
          <c:dPt>
            <c:idx val="0"/>
            <c:bubble3D val="0"/>
            <c:spPr>
              <a:solidFill>
                <a:srgbClr val="8064A2"/>
              </a:solidFill>
              <a:ln w="63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(3)'!$A$2</c:f>
              <c:strCache>
                <c:ptCount val="1"/>
                <c:pt idx="0">
                  <c:v>基本支出</c:v>
                </c:pt>
              </c:strCache>
            </c:strRef>
          </c:cat>
          <c:val>
            <c:numRef>
              <c:f>Sheet1 (3)!$B$2</c:f>
              <c:numCache>
                <c:formatCode>General</c:formatCode>
                <c:ptCount val="1"/>
                <c:pt idx="0">
                  <c:v>152.33</c:v>
                </c:pt>
              </c:numCache>
            </c:numRef>
          </c:val>
        </c:ser>
        <c:firstSliceAng val="5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财政拨款收、支决算总计变动情况图</a:t>
            </a:r>
          </a:p>
        </c:rich>
      </c:tx>
      <c:layout>
        <c:manualLayout>
          <c:xMode val="edge"/>
          <c:yMode val="edge"/>
          <c:x val="0.21128292"/>
          <c:y val="0.031874202"/>
        </c:manualLayout>
      </c:layout>
      <c:overlay val="0"/>
      <c:spPr>
        <a:noFill/>
        <a:ln>
          <a:noFill/>
        </a:ln>
      </c:spPr>
    </c:title>
    <c:autoTitleDeleted val="1"/>
    <c:plotArea>
      <c:layout/>
      <c:barChart>
        <c:barDir val="col"/>
        <c:grouping val="clustered"/>
        <c:varyColors val="0"/>
        <c:ser>
          <c:idx val="0"/>
          <c:order val="0"/>
          <c:tx>
            <c:strRef>
              <c:f>'Sheet1 (4)'!$B$1</c:f>
              <c:strCache>
                <c:ptCount val="1"/>
                <c:pt idx="0">
                  <c:v>财政拨款收、支总计（万元）</c:v>
                </c:pt>
              </c:strCache>
            </c:strRef>
          </c:tx>
          <c:spPr>
            <a:solidFill>
              <a:srgbClr val="9BBB59"/>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 (4)'!$A$2:$A$3</c:f>
              <c:strCache>
                <c:ptCount val="2"/>
                <c:pt idx="0">
                  <c:v>2021年度</c:v>
                </c:pt>
                <c:pt idx="1">
                  <c:v>2022年度</c:v>
                </c:pt>
              </c:strCache>
            </c:strRef>
          </c:cat>
          <c:val>
            <c:numRef>
              <c:f>'Sheet1 (4)'!$B$2:$B$3</c:f>
              <c:numCache>
                <c:formatCode>General</c:formatCode>
                <c:ptCount val="2"/>
                <c:pt idx="0">
                  <c:v>100.86</c:v>
                </c:pt>
                <c:pt idx="1">
                  <c:v>152.33</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一般公共预算财政拨款支出决算变动情况图</a:t>
            </a:r>
          </a:p>
        </c:rich>
      </c:tx>
      <c:layout/>
      <c:overlay val="0"/>
      <c:spPr>
        <a:noFill/>
        <a:ln>
          <a:noFill/>
        </a:ln>
      </c:spPr>
    </c:title>
    <c:autoTitleDeleted val="1"/>
    <c:plotArea>
      <c:layout/>
      <c:barChart>
        <c:barDir val="col"/>
        <c:grouping val="clustered"/>
        <c:varyColors val="0"/>
        <c:ser>
          <c:idx val="0"/>
          <c:order val="0"/>
          <c:tx>
            <c:strRef>
              <c:f>'Sheet1 (5)'!$B$1</c:f>
              <c:strCache>
                <c:ptCount val="1"/>
                <c:pt idx="0">
                  <c:v>一般公共预算财政拨款支出（万元）</c:v>
                </c:pt>
              </c:strCache>
            </c:strRef>
          </c:tx>
          <c:spPr>
            <a:solidFill>
              <a:srgbClr val="F79646"/>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 (5)'!$A$2:$A$3</c:f>
              <c:strCache>
                <c:ptCount val="2"/>
                <c:pt idx="0">
                  <c:v>2021年度</c:v>
                </c:pt>
                <c:pt idx="1">
                  <c:v>2022年度</c:v>
                </c:pt>
              </c:strCache>
            </c:strRef>
          </c:cat>
          <c:val>
            <c:numRef>
              <c:f>'Sheet1 (5)'!$B$2:$B$3</c:f>
              <c:numCache>
                <c:formatCode>General</c:formatCode>
                <c:ptCount val="2"/>
                <c:pt idx="0">
                  <c:v>100.86</c:v>
                </c:pt>
                <c:pt idx="1">
                  <c:v>152.33</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一般公共预算财政拨款支出决算结构图</a:t>
            </a:r>
          </a:p>
        </c:rich>
      </c:tx>
      <c:layout/>
      <c:overlay val="0"/>
      <c:spPr>
        <a:noFill/>
        <a:ln>
          <a:noFill/>
        </a:ln>
      </c:spPr>
    </c:title>
    <c:autoTitleDeleted val="1"/>
    <c:plotArea>
      <c:layout/>
      <c:pieChart>
        <c:varyColors val="1"/>
        <c:ser>
          <c:idx val="0"/>
          <c:order val="0"/>
          <c:tx>
            <c:strRef>
              <c:f>'Sheet1 (6)'!$B$1</c:f>
              <c:strCache>
                <c:ptCount val="1"/>
                <c:pt idx="0">
                  <c:v>一般公共预算财政拨款支出</c:v>
                </c:pt>
              </c:strCache>
            </c:strRef>
          </c:tx>
          <c:spPr>
            <a:solidFill>
              <a:srgbClr val="4F81BD"/>
            </a:solidFill>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(6)'!$A$2:$A$5</c:f>
              <c:strCache>
                <c:ptCount val="4"/>
                <c:pt idx="0">
                  <c:v>一般公共服务支出</c:v>
                </c:pt>
                <c:pt idx="1">
                  <c:v>社会保障和就业支出</c:v>
                </c:pt>
                <c:pt idx="2">
                  <c:v>卫生健康支出</c:v>
                </c:pt>
                <c:pt idx="3">
                  <c:v>住房保障支出</c:v>
                </c:pt>
              </c:strCache>
            </c:strRef>
          </c:cat>
          <c:val>
            <c:numRef>
              <c:f>'Sheet1 (6)'!$B$2:$B$5</c:f>
              <c:numCache>
                <c:formatCode>General</c:formatCode>
                <c:ptCount val="4"/>
                <c:pt idx="0">
                  <c:v>131.8</c:v>
                </c:pt>
                <c:pt idx="1">
                  <c:v>10.84</c:v>
                </c:pt>
                <c:pt idx="2">
                  <c:v>2.87</c:v>
                </c:pt>
                <c:pt idx="3">
                  <c:v>6.82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22</Pages>
  <Words>6085</Words>
  <Characters>6909</Characters>
  <Lines>913</Lines>
  <Paragraphs>535</Paragraphs>
  <CharactersWithSpaces>6940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2023-07-31T02:35:00Z</cp:lastPrinted>
  <dcterms:created xsi:type="dcterms:W3CDTF">2020-08-05T01:49:00Z</dcterms:created>
  <dcterms:modified xsi:type="dcterms:W3CDTF">2023-10-16T02:14:24Z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2052-12.1.0.15712</vt:lpwstr>
  </property>
  <property fmtid="{D5CDD505-2E9C-101B-9397-08002B2CF9AE}" pid="3" name="ICV">
    <vt:lpwstr>F3BD1CB88DD341F2B4BA55F926250BD6_12</vt:lpwstr>
  </property>
</Properties>
</file>