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rPr>
          <w:rFonts w:ascii="Times New Roman" w:hAnsi="Times New Roman"/>
        </w:rPr>
      </w:pPr>
      <w:bookmarkStart w:id="0" w:name="_Toc15377425"/>
      <w:bookmarkStart w:id="1" w:name="_Toc15378441"/>
      <w:bookmarkStart w:id="2" w:name="_Toc15377193"/>
      <w:bookmarkStart w:id="3" w:name="_Toc15396475"/>
      <w:bookmarkStart w:id="4" w:name="_Toc15396597"/>
      <w:bookmarkStart w:id="5" w:name="_Toc15306267"/>
    </w:p>
    <w:p>
      <w:pPr>
        <w:pStyle w:val="6"/>
        <w:jc w:val="both"/>
        <w:rPr>
          <w:rFonts w:hint="eastAsia" w:ascii="Times New Roman" w:hAnsi="Times New Roman" w:eastAsia="方正小标宋简体" w:cs="Times New Roman"/>
          <w:color w:val="auto"/>
          <w:kern w:val="2"/>
          <w:sz w:val="44"/>
          <w:szCs w:val="44"/>
          <w:highlight w:val="none"/>
          <w:lang w:val="en-US" w:eastAsia="zh-CN" w:bidi="ar-SA"/>
        </w:rPr>
      </w:pPr>
    </w:p>
    <w:p>
      <w:pPr>
        <w:pStyle w:val="6"/>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6"/>
        <w:jc w:val="center"/>
        <w:rPr>
          <w:rFonts w:hint="eastAsia" w:ascii="Times New Roman" w:eastAsia="方正小标宋简体" w:cs="Times New Roman"/>
          <w:color w:val="auto"/>
          <w:kern w:val="2"/>
          <w:sz w:val="44"/>
          <w:szCs w:val="44"/>
          <w:highlight w:val="none"/>
          <w:lang w:val="en-US" w:eastAsia="zh-CN" w:bidi="ar-SA"/>
        </w:rPr>
      </w:pPr>
      <w:bookmarkStart w:id="6" w:name="_Toc15378442"/>
      <w:bookmarkStart w:id="7" w:name="_Toc15396476"/>
      <w:bookmarkStart w:id="8" w:name="_Toc15377194"/>
      <w:bookmarkStart w:id="9" w:name="_Toc15377426"/>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中共阿坝州委巡察工作</w:t>
      </w: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领导小组办公室</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r>
        <w:rPr>
          <w:rFonts w:hint="eastAsia" w:ascii="Times New Roman" w:eastAsia="方正小标宋简体" w:cs="Times New Roman"/>
          <w:color w:val="auto"/>
          <w:kern w:val="2"/>
          <w:sz w:val="44"/>
          <w:szCs w:val="44"/>
          <w:highlight w:val="none"/>
          <w:lang w:val="en-US" w:eastAsia="zh-CN" w:bidi="ar-SA"/>
        </w:rPr>
        <w:t>公开</w:t>
      </w: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pStyle w:val="2"/>
        <w:rPr>
          <w:rFonts w:hint="eastAsia"/>
        </w:rPr>
      </w:pPr>
    </w:p>
    <w:p>
      <w:pPr>
        <w:pStyle w:val="13"/>
        <w:rPr>
          <w:rFonts w:hint="eastAsia" w:ascii="Times New Roman" w:hAnsi="Times New Roman" w:eastAsia="仿宋_GB2312" w:cs="仿宋_GB2312"/>
          <w:color w:val="auto"/>
          <w:sz w:val="32"/>
          <w:szCs w:val="32"/>
          <w:highlight w:val="none"/>
        </w:rPr>
      </w:pPr>
      <w:bookmarkStart w:id="12" w:name="_Toc1944731792_WPSOffice_Level1"/>
      <w:r>
        <w:rPr>
          <w:rFonts w:hint="eastAsia" w:ascii="Times New Roman" w:hAnsi="Times New Roman" w:eastAsia="仿宋_GB2312" w:cs="仿宋_GB2312"/>
          <w:color w:val="auto"/>
          <w:sz w:val="32"/>
          <w:szCs w:val="32"/>
          <w:highlight w:val="none"/>
        </w:rPr>
        <w:t>公开时间：</w:t>
      </w:r>
      <w:r>
        <w:rPr>
          <w:rFonts w:hint="eastAsia" w:ascii="Times New Roman" w:hAnsi="Times New Roman" w:eastAsia="仿宋_GB2312" w:cs="仿宋_GB2312"/>
          <w:color w:val="auto"/>
          <w:sz w:val="32"/>
          <w:szCs w:val="32"/>
          <w:highlight w:val="none"/>
          <w:lang w:val="en-US" w:eastAsia="zh-CN"/>
        </w:rPr>
        <w:t>2025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15 </w:t>
      </w:r>
      <w:r>
        <w:rPr>
          <w:rFonts w:hint="eastAsia" w:ascii="Times New Roman" w:hAnsi="Times New Roman" w:eastAsia="仿宋_GB2312" w:cs="仿宋_GB2312"/>
          <w:color w:val="auto"/>
          <w:sz w:val="32"/>
          <w:szCs w:val="32"/>
          <w:highlight w:val="none"/>
        </w:rPr>
        <w:t>日</w:t>
      </w:r>
      <w:bookmarkEnd w:id="12"/>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84"/>
          <w:szCs w:val="84"/>
          <w:highlight w:val="none"/>
        </w:rPr>
      </w:pPr>
      <w:bookmarkStart w:id="147" w:name="_GoBack"/>
      <w:bookmarkEnd w:id="147"/>
    </w:p>
    <w:p>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pPr>
    </w:p>
    <w:sdt>
      <w:sdtPr>
        <w:rPr>
          <w:rFonts w:ascii="宋体" w:hAnsi="宋体" w:eastAsia="宋体" w:cs="Times New Roman"/>
          <w:kern w:val="2"/>
          <w:sz w:val="21"/>
          <w:szCs w:val="24"/>
          <w:lang w:val="en-US" w:eastAsia="zh-CN" w:bidi="ar-SA"/>
        </w:rPr>
        <w:id w:val="769925585"/>
        <w:docPartObj>
          <w:docPartGallery w:val="Table of Contents"/>
          <w:docPartUnique/>
        </w:docPartObj>
      </w:sdtPr>
      <w:sdtEndPr>
        <w:rPr>
          <w:rFonts w:asciiTheme="minorHAnsi" w:hAnsiTheme="minorHAnsi" w:eastAsiaTheme="minorEastAsia" w:cstheme="minorBidi"/>
          <w:sz w:val="20"/>
          <w:szCs w:val="20"/>
        </w:rPr>
      </w:sdtEndPr>
      <w:sdtContent>
        <w:p>
          <w:pPr>
            <w:spacing w:before="0" w:beforeLines="0" w:after="0" w:afterLines="0" w:line="240" w:lineRule="auto"/>
            <w:ind w:left="0" w:leftChars="0" w:right="0" w:rightChars="0" w:firstLine="0" w:firstLineChars="0"/>
            <w:jc w:val="center"/>
          </w:pPr>
          <w:bookmarkStart w:id="13" w:name="_Toc1410164242_WPSOffice_Type2"/>
          <w:r>
            <w:rPr>
              <w:rFonts w:ascii="宋体" w:hAnsi="宋体" w:eastAsia="宋体"/>
              <w:sz w:val="21"/>
            </w:rPr>
            <w:t>目录</w:t>
          </w:r>
        </w:p>
        <w:p>
          <w:pPr>
            <w:pStyle w:val="37"/>
            <w:tabs>
              <w:tab w:val="right" w:leader="dot" w:pos="8306"/>
            </w:tabs>
          </w:pPr>
          <w:r>
            <w:rPr>
              <w:b/>
              <w:bCs/>
            </w:rPr>
            <w:fldChar w:fldCharType="begin"/>
          </w:r>
          <w:r>
            <w:instrText xml:space="preserve"> HYPERLINK \l _Toc2079636851_WPSOffice_Level1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56788f4b-049f-4150-8974-d1ed634f748c}"/>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第一部分  部门概况</w:t>
              </w:r>
            </w:sdtContent>
          </w:sdt>
          <w:r>
            <w:rPr>
              <w:b/>
              <w:bCs/>
            </w:rPr>
            <w:tab/>
          </w:r>
          <w:bookmarkStart w:id="14" w:name="_Toc2079636851_WPSOffice_Level1Page"/>
          <w:r>
            <w:rPr>
              <w:b/>
              <w:bCs/>
            </w:rPr>
            <w:t>4</w:t>
          </w:r>
          <w:bookmarkEnd w:id="14"/>
          <w:r>
            <w:rPr>
              <w:b/>
              <w:bCs/>
            </w:rPr>
            <w:fldChar w:fldCharType="end"/>
          </w:r>
        </w:p>
        <w:p>
          <w:pPr>
            <w:pStyle w:val="38"/>
            <w:tabs>
              <w:tab w:val="right" w:leader="dot" w:pos="8306"/>
            </w:tabs>
          </w:pPr>
          <w:r>
            <w:fldChar w:fldCharType="begin"/>
          </w:r>
          <w:r>
            <w:instrText xml:space="preserve"> HYPERLINK \l _Toc1410164242_WPSOffice_Level2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3b2c5f29-336d-48c4-af64-1e3a77b800f0}"/>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一、部门职责</w:t>
              </w:r>
            </w:sdtContent>
          </w:sdt>
          <w:r>
            <w:tab/>
          </w:r>
          <w:bookmarkStart w:id="15" w:name="_Toc1410164242_WPSOffice_Level2Page"/>
          <w:r>
            <w:t>4</w:t>
          </w:r>
          <w:bookmarkEnd w:id="15"/>
          <w:r>
            <w:fldChar w:fldCharType="end"/>
          </w:r>
        </w:p>
        <w:p>
          <w:pPr>
            <w:pStyle w:val="38"/>
            <w:tabs>
              <w:tab w:val="right" w:leader="dot" w:pos="8306"/>
            </w:tabs>
          </w:pPr>
          <w:r>
            <w:fldChar w:fldCharType="begin"/>
          </w:r>
          <w:r>
            <w:instrText xml:space="preserve"> HYPERLINK \l _Toc1639308339_WPSOffice_Level2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1d22071a-7b98-4db3-b054-7194bc22d72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二、机构设置</w:t>
              </w:r>
            </w:sdtContent>
          </w:sdt>
          <w:r>
            <w:tab/>
          </w:r>
          <w:bookmarkStart w:id="16" w:name="_Toc1639308339_WPSOffice_Level2Page"/>
          <w:r>
            <w:t>5</w:t>
          </w:r>
          <w:bookmarkEnd w:id="16"/>
          <w:r>
            <w:fldChar w:fldCharType="end"/>
          </w:r>
        </w:p>
        <w:p>
          <w:pPr>
            <w:pStyle w:val="37"/>
            <w:tabs>
              <w:tab w:val="right" w:leader="dot" w:pos="8306"/>
            </w:tabs>
          </w:pPr>
          <w:r>
            <w:rPr>
              <w:b/>
              <w:bCs/>
            </w:rPr>
            <w:fldChar w:fldCharType="begin"/>
          </w:r>
          <w:r>
            <w:instrText xml:space="preserve"> HYPERLINK \l _Toc1410164242_WPSOffice_Level1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301d5b66-f90b-4f89-a383-e5a1811b8bc5}"/>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第二部分  2024年度部门决算情况说明</w:t>
              </w:r>
            </w:sdtContent>
          </w:sdt>
          <w:r>
            <w:rPr>
              <w:b/>
              <w:bCs/>
            </w:rPr>
            <w:tab/>
          </w:r>
          <w:bookmarkStart w:id="17" w:name="_Toc1410164242_WPSOffice_Level1Page"/>
          <w:r>
            <w:rPr>
              <w:b/>
              <w:bCs/>
            </w:rPr>
            <w:t>5</w:t>
          </w:r>
          <w:bookmarkEnd w:id="17"/>
          <w:r>
            <w:rPr>
              <w:b/>
              <w:bCs/>
            </w:rPr>
            <w:fldChar w:fldCharType="end"/>
          </w:r>
        </w:p>
        <w:p>
          <w:pPr>
            <w:pStyle w:val="38"/>
            <w:tabs>
              <w:tab w:val="right" w:leader="dot" w:pos="8306"/>
            </w:tabs>
          </w:pPr>
          <w:r>
            <w:fldChar w:fldCharType="begin"/>
          </w:r>
          <w:r>
            <w:instrText xml:space="preserve"> HYPERLINK \l _Toc326840428_WPSOffice_Level2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1e38704-eade-4982-8f7b-9d0427e703f8}"/>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一、收</w:t>
              </w:r>
              <w:r>
                <w:rPr>
                  <w:rFonts w:hint="eastAsia" w:ascii="Times New Roman" w:hAnsi="Times New Roman" w:eastAsia="黑体" w:cstheme="majorBidi"/>
                </w:rPr>
                <w:t>入支出决算总体情况说明</w:t>
              </w:r>
            </w:sdtContent>
          </w:sdt>
          <w:r>
            <w:tab/>
          </w:r>
          <w:bookmarkStart w:id="18" w:name="_Toc326840428_WPSOffice_Level2Page"/>
          <w:r>
            <w:t>5</w:t>
          </w:r>
          <w:bookmarkEnd w:id="18"/>
          <w:r>
            <w:fldChar w:fldCharType="end"/>
          </w:r>
        </w:p>
        <w:p>
          <w:pPr>
            <w:pStyle w:val="38"/>
            <w:tabs>
              <w:tab w:val="right" w:leader="dot" w:pos="8306"/>
            </w:tabs>
          </w:pPr>
          <w:r>
            <w:fldChar w:fldCharType="begin"/>
          </w:r>
          <w:r>
            <w:instrText xml:space="preserve"> HYPERLINK \l _Toc202323142_WPSOffice_Level2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437e2734-cde7-41ae-aa89-45d22cfea45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二、收入决算情况说明</w:t>
              </w:r>
            </w:sdtContent>
          </w:sdt>
          <w:r>
            <w:tab/>
          </w:r>
          <w:bookmarkStart w:id="19" w:name="_Toc202323142_WPSOffice_Level2Page"/>
          <w:r>
            <w:t>6</w:t>
          </w:r>
          <w:bookmarkEnd w:id="19"/>
          <w:r>
            <w:fldChar w:fldCharType="end"/>
          </w:r>
        </w:p>
        <w:p>
          <w:pPr>
            <w:pStyle w:val="38"/>
            <w:tabs>
              <w:tab w:val="right" w:leader="dot" w:pos="8306"/>
            </w:tabs>
          </w:pPr>
          <w:r>
            <w:fldChar w:fldCharType="begin"/>
          </w:r>
          <w:r>
            <w:instrText xml:space="preserve"> HYPERLINK \l _Toc1375993658_WPSOffice_Level2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8cae92dc-2afa-485d-b186-aa434e9d53a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三、支</w:t>
              </w:r>
              <w:r>
                <w:rPr>
                  <w:rFonts w:hint="eastAsia" w:ascii="Times New Roman" w:hAnsi="Times New Roman" w:eastAsia="黑体" w:cstheme="majorBidi"/>
                </w:rPr>
                <w:t>出决算情况说明</w:t>
              </w:r>
            </w:sdtContent>
          </w:sdt>
          <w:r>
            <w:tab/>
          </w:r>
          <w:bookmarkStart w:id="20" w:name="_Toc1375993658_WPSOffice_Level2Page"/>
          <w:r>
            <w:t>7</w:t>
          </w:r>
          <w:bookmarkEnd w:id="20"/>
          <w:r>
            <w:fldChar w:fldCharType="end"/>
          </w:r>
        </w:p>
        <w:p>
          <w:pPr>
            <w:pStyle w:val="38"/>
            <w:tabs>
              <w:tab w:val="right" w:leader="dot" w:pos="8306"/>
            </w:tabs>
          </w:pPr>
          <w:r>
            <w:fldChar w:fldCharType="begin"/>
          </w:r>
          <w:r>
            <w:instrText xml:space="preserve"> HYPERLINK \l _Toc1551861936_WPSOffice_Level2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b596d70c-20f0-4934-96b2-e1afb08ae6b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四、财</w:t>
              </w:r>
              <w:r>
                <w:rPr>
                  <w:rFonts w:hint="eastAsia" w:ascii="Times New Roman" w:hAnsi="Times New Roman" w:eastAsia="黑体" w:cstheme="majorBidi"/>
                </w:rPr>
                <w:t>政拨款收入支出决算总体情况说明</w:t>
              </w:r>
            </w:sdtContent>
          </w:sdt>
          <w:r>
            <w:tab/>
          </w:r>
          <w:bookmarkStart w:id="21" w:name="_Toc1551861936_WPSOffice_Level2Page"/>
          <w:r>
            <w:t>7</w:t>
          </w:r>
          <w:bookmarkEnd w:id="21"/>
          <w:r>
            <w:fldChar w:fldCharType="end"/>
          </w:r>
        </w:p>
        <w:p>
          <w:pPr>
            <w:pStyle w:val="38"/>
            <w:tabs>
              <w:tab w:val="right" w:leader="dot" w:pos="8306"/>
            </w:tabs>
          </w:pPr>
          <w:r>
            <w:fldChar w:fldCharType="begin"/>
          </w:r>
          <w:r>
            <w:instrText xml:space="preserve"> HYPERLINK \l _Toc574408098_WPSOffice_Level2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cfe48a4-202e-45ed-8585-3b8bf378d43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五、一</w:t>
              </w:r>
              <w:r>
                <w:rPr>
                  <w:rFonts w:hint="eastAsia" w:ascii="Times New Roman" w:hAnsi="Times New Roman" w:eastAsia="黑体" w:cstheme="majorBidi"/>
                </w:rPr>
                <w:t>般公共预算财政拨款支出决算情况说明</w:t>
              </w:r>
            </w:sdtContent>
          </w:sdt>
          <w:r>
            <w:tab/>
          </w:r>
          <w:bookmarkStart w:id="22" w:name="_Toc574408098_WPSOffice_Level2Page"/>
          <w:r>
            <w:t>8</w:t>
          </w:r>
          <w:bookmarkEnd w:id="22"/>
          <w:r>
            <w:fldChar w:fldCharType="end"/>
          </w:r>
        </w:p>
        <w:p>
          <w:pPr>
            <w:pStyle w:val="38"/>
            <w:tabs>
              <w:tab w:val="right" w:leader="dot" w:pos="8306"/>
            </w:tabs>
          </w:pPr>
          <w:r>
            <w:fldChar w:fldCharType="begin"/>
          </w:r>
          <w:r>
            <w:instrText xml:space="preserve"> HYPERLINK \l _Toc1936908636_WPSOffice_Level2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57e37e26-f901-41e4-aac3-5e3f93e0811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六、一</w:t>
              </w:r>
              <w:r>
                <w:rPr>
                  <w:rFonts w:hint="eastAsia" w:ascii="Times New Roman" w:hAnsi="Times New Roman" w:eastAsia="黑体" w:cstheme="majorBidi"/>
                </w:rPr>
                <w:t>般公共预算财政拨款基本支出决算情况说明</w:t>
              </w:r>
            </w:sdtContent>
          </w:sdt>
          <w:r>
            <w:tab/>
          </w:r>
          <w:bookmarkStart w:id="23" w:name="_Toc1936908636_WPSOffice_Level2Page"/>
          <w:r>
            <w:t>11</w:t>
          </w:r>
          <w:bookmarkEnd w:id="23"/>
          <w:r>
            <w:fldChar w:fldCharType="end"/>
          </w:r>
        </w:p>
        <w:p>
          <w:pPr>
            <w:pStyle w:val="38"/>
            <w:tabs>
              <w:tab w:val="right" w:leader="dot" w:pos="8306"/>
            </w:tabs>
          </w:pPr>
          <w:r>
            <w:fldChar w:fldCharType="begin"/>
          </w:r>
          <w:r>
            <w:instrText xml:space="preserve"> HYPERLINK \l _Toc592197930_WPSOffice_Level2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c5b96b95-cf4a-4d24-ac51-d623d436ed8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七、</w:t>
              </w:r>
              <w:r>
                <w:rPr>
                  <w:rFonts w:hint="eastAsia" w:ascii="Times New Roman" w:hAnsi="Times New Roman" w:eastAsia="黑体" w:cstheme="majorBidi"/>
                </w:rPr>
                <w:t>财政拨款“三公”经费支出决算情况说明</w:t>
              </w:r>
            </w:sdtContent>
          </w:sdt>
          <w:r>
            <w:tab/>
          </w:r>
          <w:bookmarkStart w:id="24" w:name="_Toc592197930_WPSOffice_Level2Page"/>
          <w:r>
            <w:t>11</w:t>
          </w:r>
          <w:bookmarkEnd w:id="24"/>
          <w:r>
            <w:fldChar w:fldCharType="end"/>
          </w:r>
        </w:p>
        <w:p>
          <w:pPr>
            <w:pStyle w:val="38"/>
            <w:tabs>
              <w:tab w:val="right" w:leader="dot" w:pos="8306"/>
            </w:tabs>
          </w:pPr>
          <w:r>
            <w:fldChar w:fldCharType="begin"/>
          </w:r>
          <w:r>
            <w:instrText xml:space="preserve"> HYPERLINK \l _Toc409496610_WPSOffice_Level2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63044ae6-2129-4a18-9d6a-01df7ae6d49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八、</w:t>
              </w:r>
              <w:r>
                <w:rPr>
                  <w:rFonts w:hint="eastAsia" w:ascii="Times New Roman" w:hAnsi="Times New Roman" w:eastAsia="黑体" w:cstheme="majorBidi"/>
                </w:rPr>
                <w:t>政府性基金预算支出决算情况说明</w:t>
              </w:r>
            </w:sdtContent>
          </w:sdt>
          <w:r>
            <w:tab/>
          </w:r>
          <w:bookmarkStart w:id="25" w:name="_Toc409496610_WPSOffice_Level2Page"/>
          <w:r>
            <w:t>13</w:t>
          </w:r>
          <w:bookmarkEnd w:id="25"/>
          <w:r>
            <w:fldChar w:fldCharType="end"/>
          </w:r>
        </w:p>
        <w:p>
          <w:pPr>
            <w:pStyle w:val="38"/>
            <w:tabs>
              <w:tab w:val="right" w:leader="dot" w:pos="8306"/>
            </w:tabs>
          </w:pPr>
          <w:r>
            <w:fldChar w:fldCharType="begin"/>
          </w:r>
          <w:r>
            <w:instrText xml:space="preserve"> HYPERLINK \l _Toc364992143_WPSOffice_Level2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87c993e-5ae9-4006-8f0a-eb52df1bb40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九、国有资本经营预算支出决算情况说明</w:t>
              </w:r>
            </w:sdtContent>
          </w:sdt>
          <w:r>
            <w:tab/>
          </w:r>
          <w:bookmarkStart w:id="26" w:name="_Toc364992143_WPSOffice_Level2Page"/>
          <w:r>
            <w:t>13</w:t>
          </w:r>
          <w:bookmarkEnd w:id="26"/>
          <w:r>
            <w:fldChar w:fldCharType="end"/>
          </w:r>
        </w:p>
        <w:p>
          <w:pPr>
            <w:pStyle w:val="38"/>
            <w:tabs>
              <w:tab w:val="right" w:leader="dot" w:pos="8306"/>
            </w:tabs>
          </w:pPr>
          <w:r>
            <w:fldChar w:fldCharType="begin"/>
          </w:r>
          <w:r>
            <w:instrText xml:space="preserve"> HYPERLINK \l _Toc2140296646_WPSOffice_Level2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cb0ce420-7742-42bd-9289-62806f27b993}"/>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十、其他重要事项的情况说明</w:t>
              </w:r>
            </w:sdtContent>
          </w:sdt>
          <w:r>
            <w:tab/>
          </w:r>
          <w:bookmarkStart w:id="27" w:name="_Toc2140296646_WPSOffice_Level2Page"/>
          <w:r>
            <w:t>13</w:t>
          </w:r>
          <w:bookmarkEnd w:id="27"/>
          <w:r>
            <w:fldChar w:fldCharType="end"/>
          </w:r>
        </w:p>
        <w:p>
          <w:pPr>
            <w:pStyle w:val="37"/>
            <w:tabs>
              <w:tab w:val="right" w:leader="dot" w:pos="8306"/>
            </w:tabs>
          </w:pPr>
          <w:r>
            <w:rPr>
              <w:b/>
              <w:bCs/>
            </w:rPr>
            <w:fldChar w:fldCharType="begin"/>
          </w:r>
          <w:r>
            <w:instrText xml:space="preserve"> HYPERLINK \l _Toc1639308339_WPSOffice_Level1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1c41c87e-c5f9-4017-a042-6e12458de0ef}"/>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第三部分  名词解释</w:t>
              </w:r>
            </w:sdtContent>
          </w:sdt>
          <w:r>
            <w:rPr>
              <w:b/>
              <w:bCs/>
            </w:rPr>
            <w:tab/>
          </w:r>
          <w:bookmarkStart w:id="28" w:name="_Toc1639308339_WPSOffice_Level1Page"/>
          <w:r>
            <w:rPr>
              <w:b/>
              <w:bCs/>
            </w:rPr>
            <w:t>15</w:t>
          </w:r>
          <w:bookmarkEnd w:id="28"/>
          <w:r>
            <w:rPr>
              <w:b/>
              <w:bCs/>
            </w:rPr>
            <w:fldChar w:fldCharType="end"/>
          </w:r>
        </w:p>
        <w:p>
          <w:pPr>
            <w:pStyle w:val="37"/>
            <w:tabs>
              <w:tab w:val="right" w:leader="dot" w:pos="8306"/>
            </w:tabs>
          </w:pPr>
          <w:r>
            <w:rPr>
              <w:b/>
              <w:bCs/>
            </w:rPr>
            <w:fldChar w:fldCharType="begin"/>
          </w:r>
          <w:r>
            <w:instrText xml:space="preserve"> HYPERLINK \l _Toc326840428_WPSOffice_Level1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363dd1d1-487e-41e5-8b4c-61f4c2adf015}"/>
              </w:placeholder>
            </w:sdtPr>
            <w:sdtEndPr>
              <w:rPr>
                <w:rFonts w:ascii="Times New Roman" w:hAnsi="Times New Roman" w:eastAsia="宋体" w:cs="Times New Roman"/>
                <w:b/>
                <w:bCs/>
                <w:kern w:val="2"/>
                <w:sz w:val="21"/>
                <w:szCs w:val="24"/>
                <w:lang w:val="en-US" w:eastAsia="zh-CN" w:bidi="ar-SA"/>
              </w:rPr>
            </w:sdtEndPr>
            <w:sdtContent>
              <w:r>
                <w:rPr>
                  <w:rFonts w:hint="eastAsia" w:ascii="CESI仿宋-GB13000" w:hAnsi="CESI仿宋-GB13000" w:eastAsia="CESI仿宋-GB13000" w:cs="CESI仿宋-GB13000"/>
                  <w:b/>
                  <w:bCs/>
                </w:rPr>
                <w:t>中共阿坝州委巡察工作领导小组办公室</w:t>
              </w:r>
            </w:sdtContent>
          </w:sdt>
          <w:r>
            <w:rPr>
              <w:b/>
              <w:bCs/>
            </w:rPr>
            <w:tab/>
          </w:r>
          <w:bookmarkStart w:id="29" w:name="_Toc326840428_WPSOffice_Level1Page"/>
          <w:r>
            <w:rPr>
              <w:b/>
              <w:bCs/>
            </w:rPr>
            <w:t>17</w:t>
          </w:r>
          <w:bookmarkEnd w:id="29"/>
          <w:r>
            <w:rPr>
              <w:b/>
              <w:bCs/>
            </w:rPr>
            <w:fldChar w:fldCharType="end"/>
          </w:r>
        </w:p>
        <w:p>
          <w:pPr>
            <w:pStyle w:val="37"/>
            <w:tabs>
              <w:tab w:val="right" w:leader="dot" w:pos="8306"/>
            </w:tabs>
          </w:pPr>
          <w:r>
            <w:rPr>
              <w:b/>
              <w:bCs/>
            </w:rPr>
            <w:fldChar w:fldCharType="begin"/>
          </w:r>
          <w:r>
            <w:instrText xml:space="preserve"> HYPERLINK \l _Toc202323142_WPSOffice_Level1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4741bf0a-166f-4a08-bf20-ff117ce03e0f}"/>
              </w:placeholder>
            </w:sdtPr>
            <w:sdtEndPr>
              <w:rPr>
                <w:rFonts w:ascii="Times New Roman" w:hAnsi="Times New Roman" w:eastAsia="宋体" w:cs="Times New Roman"/>
                <w:b/>
                <w:bCs/>
                <w:kern w:val="2"/>
                <w:sz w:val="21"/>
                <w:szCs w:val="24"/>
                <w:lang w:val="en-US" w:eastAsia="zh-CN" w:bidi="ar-SA"/>
              </w:rPr>
            </w:sdtEndPr>
            <w:sdtContent>
              <w:r>
                <w:rPr>
                  <w:rFonts w:hint="eastAsia" w:ascii="CESI仿宋-GB13000" w:hAnsi="CESI仿宋-GB13000" w:eastAsia="CESI仿宋-GB13000" w:cs="CESI仿宋-GB13000"/>
                  <w:b/>
                  <w:bCs/>
                </w:rPr>
                <w:t>关于2024年度州级部门预算绩效评价报告</w:t>
              </w:r>
            </w:sdtContent>
          </w:sdt>
          <w:r>
            <w:rPr>
              <w:b/>
              <w:bCs/>
            </w:rPr>
            <w:tab/>
          </w:r>
          <w:bookmarkStart w:id="30" w:name="_Toc202323142_WPSOffice_Level1Page"/>
          <w:r>
            <w:rPr>
              <w:b/>
              <w:bCs/>
            </w:rPr>
            <w:t>17</w:t>
          </w:r>
          <w:bookmarkEnd w:id="30"/>
          <w:r>
            <w:rPr>
              <w:b/>
              <w:bCs/>
            </w:rPr>
            <w:fldChar w:fldCharType="end"/>
          </w:r>
        </w:p>
        <w:p>
          <w:pPr>
            <w:pStyle w:val="38"/>
            <w:tabs>
              <w:tab w:val="right" w:leader="dot" w:pos="8306"/>
            </w:tabs>
          </w:pPr>
          <w:r>
            <w:fldChar w:fldCharType="begin"/>
          </w:r>
          <w:r>
            <w:instrText xml:space="preserve"> HYPERLINK \l _Toc322309421_WPSOffice_Level2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0b005ad8-4554-4584-a9c4-d3b29bffa7b0}"/>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一、</w:t>
              </w:r>
              <w:r>
                <w:rPr>
                  <w:rFonts w:hint="default" w:ascii="Times New Roman" w:hAnsi="Times New Roman" w:eastAsia="黑体" w:cs="Times New Roman"/>
                </w:rPr>
                <w:t>部门（单位）基本情况</w:t>
              </w:r>
            </w:sdtContent>
          </w:sdt>
          <w:r>
            <w:tab/>
          </w:r>
          <w:bookmarkStart w:id="31" w:name="_Toc322309421_WPSOffice_Level2Page"/>
          <w:r>
            <w:t>17</w:t>
          </w:r>
          <w:bookmarkEnd w:id="31"/>
          <w:r>
            <w:fldChar w:fldCharType="end"/>
          </w:r>
        </w:p>
        <w:p>
          <w:pPr>
            <w:pStyle w:val="38"/>
            <w:tabs>
              <w:tab w:val="right" w:leader="dot" w:pos="8306"/>
            </w:tabs>
          </w:pPr>
          <w:r>
            <w:fldChar w:fldCharType="begin"/>
          </w:r>
          <w:r>
            <w:instrText xml:space="preserve"> HYPERLINK \l _Toc631371062_WPSOffice_Level2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2dc7d3e4-e481-4628-95e4-4c68e5c9b9fe}"/>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二、部门资金收支情况</w:t>
              </w:r>
            </w:sdtContent>
          </w:sdt>
          <w:r>
            <w:tab/>
          </w:r>
          <w:bookmarkStart w:id="32" w:name="_Toc631371062_WPSOffice_Level2Page"/>
          <w:r>
            <w:t>18</w:t>
          </w:r>
          <w:bookmarkEnd w:id="32"/>
          <w:r>
            <w:fldChar w:fldCharType="end"/>
          </w:r>
        </w:p>
        <w:p>
          <w:pPr>
            <w:pStyle w:val="38"/>
            <w:tabs>
              <w:tab w:val="right" w:leader="dot" w:pos="8306"/>
            </w:tabs>
          </w:pPr>
          <w:r>
            <w:fldChar w:fldCharType="begin"/>
          </w:r>
          <w:r>
            <w:instrText xml:space="preserve"> HYPERLINK \l _Toc131932181_WPSOffice_Level2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0cba22b5-afcd-41a6-9efb-819fbdc50e13}"/>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三、部门预算绩效分析</w:t>
              </w:r>
            </w:sdtContent>
          </w:sdt>
          <w:r>
            <w:tab/>
          </w:r>
          <w:bookmarkStart w:id="33" w:name="_Toc131932181_WPSOffice_Level2Page"/>
          <w:r>
            <w:t>18</w:t>
          </w:r>
          <w:bookmarkEnd w:id="33"/>
          <w:r>
            <w:fldChar w:fldCharType="end"/>
          </w:r>
        </w:p>
        <w:p>
          <w:pPr>
            <w:pStyle w:val="38"/>
            <w:tabs>
              <w:tab w:val="right" w:leader="dot" w:pos="8306"/>
            </w:tabs>
          </w:pPr>
          <w:r>
            <w:fldChar w:fldCharType="begin"/>
          </w:r>
          <w:r>
            <w:instrText xml:space="preserve"> HYPERLINK \l _Toc1672582803_WPSOffice_Level2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7e11df17-22a0-47e0-8933-cf043e6d7490}"/>
              </w:placeholder>
            </w:sdtPr>
            <w:sdtEndPr>
              <w:rPr>
                <w:rFonts w:ascii="Times New Roman" w:hAnsi="Times New Roman" w:eastAsia="宋体" w:cs="Times New Roman"/>
                <w:kern w:val="2"/>
                <w:sz w:val="21"/>
                <w:szCs w:val="24"/>
                <w:lang w:val="en-US" w:eastAsia="zh-CN" w:bidi="ar-SA"/>
              </w:rPr>
            </w:sdtEndPr>
            <w:sdtContent>
              <w:r>
                <w:rPr>
                  <w:rFonts w:hint="default" w:ascii="Times New Roman" w:hAnsi="Times New Roman" w:eastAsia="黑体" w:cs="Times New Roman"/>
                </w:rPr>
                <w:t>四、评价结论及建议</w:t>
              </w:r>
            </w:sdtContent>
          </w:sdt>
          <w:r>
            <w:tab/>
          </w:r>
          <w:bookmarkStart w:id="34" w:name="_Toc1672582803_WPSOffice_Level2Page"/>
          <w:r>
            <w:t>20</w:t>
          </w:r>
          <w:bookmarkEnd w:id="34"/>
          <w:r>
            <w:fldChar w:fldCharType="end"/>
          </w:r>
        </w:p>
        <w:p>
          <w:pPr>
            <w:pStyle w:val="37"/>
            <w:tabs>
              <w:tab w:val="right" w:leader="dot" w:pos="8306"/>
            </w:tabs>
          </w:pPr>
          <w:r>
            <w:rPr>
              <w:b/>
              <w:bCs/>
            </w:rPr>
            <w:fldChar w:fldCharType="begin"/>
          </w:r>
          <w:r>
            <w:instrText xml:space="preserve"> HYPERLINK \l _Toc1375993658_WPSOffice_Level1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769925585"/>
              <w:placeholder>
                <w:docPart w:val="{197602a7-b68a-4570-bff2-5bb9d7a4af6b}"/>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第五部分 附表</w:t>
              </w:r>
            </w:sdtContent>
          </w:sdt>
          <w:r>
            <w:rPr>
              <w:b/>
              <w:bCs/>
            </w:rPr>
            <w:tab/>
          </w:r>
          <w:bookmarkStart w:id="35" w:name="_Toc1375993658_WPSOffice_Level1Page"/>
          <w:r>
            <w:rPr>
              <w:b/>
              <w:bCs/>
            </w:rPr>
            <w:t>1</w:t>
          </w:r>
          <w:bookmarkEnd w:id="35"/>
          <w:r>
            <w:rPr>
              <w:b/>
              <w:bCs/>
            </w:rPr>
            <w:fldChar w:fldCharType="end"/>
          </w:r>
        </w:p>
        <w:p>
          <w:pPr>
            <w:pStyle w:val="38"/>
            <w:tabs>
              <w:tab w:val="right" w:leader="dot" w:pos="8306"/>
            </w:tabs>
          </w:pPr>
          <w:r>
            <w:fldChar w:fldCharType="begin"/>
          </w:r>
          <w:r>
            <w:instrText xml:space="preserve"> HYPERLINK \l _Toc1052116105_WPSOffice_Level2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3b3b8410-b1ae-497b-ab11-6ea4ccc2cff1}"/>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一、收入支出决算总表</w:t>
              </w:r>
            </w:sdtContent>
          </w:sdt>
          <w:r>
            <w:tab/>
          </w:r>
          <w:bookmarkStart w:id="36" w:name="_Toc1052116105_WPSOffice_Level2Page"/>
          <w:r>
            <w:t>1</w:t>
          </w:r>
          <w:bookmarkEnd w:id="36"/>
          <w:r>
            <w:fldChar w:fldCharType="end"/>
          </w:r>
        </w:p>
        <w:p>
          <w:pPr>
            <w:pStyle w:val="38"/>
            <w:tabs>
              <w:tab w:val="right" w:leader="dot" w:pos="8306"/>
            </w:tabs>
          </w:pPr>
          <w:r>
            <w:fldChar w:fldCharType="begin"/>
          </w:r>
          <w:r>
            <w:instrText xml:space="preserve"> HYPERLINK \l _Toc652260100_WPSOffice_Level2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8feca45f-bae7-43a7-b1b3-1f4d20473ff9}"/>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二、收入决算表</w:t>
              </w:r>
            </w:sdtContent>
          </w:sdt>
          <w:r>
            <w:tab/>
          </w:r>
          <w:bookmarkStart w:id="37" w:name="_Toc652260100_WPSOffice_Level2Page"/>
          <w:r>
            <w:t>1</w:t>
          </w:r>
          <w:bookmarkEnd w:id="37"/>
          <w:r>
            <w:fldChar w:fldCharType="end"/>
          </w:r>
        </w:p>
        <w:p>
          <w:pPr>
            <w:pStyle w:val="38"/>
            <w:tabs>
              <w:tab w:val="right" w:leader="dot" w:pos="8306"/>
            </w:tabs>
          </w:pPr>
          <w:r>
            <w:fldChar w:fldCharType="begin"/>
          </w:r>
          <w:r>
            <w:instrText xml:space="preserve"> HYPERLINK \l _Toc782020489_WPSOffice_Level2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a2acec8-4fb2-4b93-852a-1dadbeab383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三、支出决算表</w:t>
              </w:r>
            </w:sdtContent>
          </w:sdt>
          <w:r>
            <w:tab/>
          </w:r>
          <w:bookmarkStart w:id="38" w:name="_Toc782020489_WPSOffice_Level2Page"/>
          <w:r>
            <w:t>1</w:t>
          </w:r>
          <w:bookmarkEnd w:id="38"/>
          <w:r>
            <w:fldChar w:fldCharType="end"/>
          </w:r>
        </w:p>
        <w:p>
          <w:pPr>
            <w:pStyle w:val="38"/>
            <w:tabs>
              <w:tab w:val="right" w:leader="dot" w:pos="8306"/>
            </w:tabs>
          </w:pPr>
          <w:r>
            <w:fldChar w:fldCharType="begin"/>
          </w:r>
          <w:r>
            <w:instrText xml:space="preserve"> HYPERLINK \l _Toc1755986919_WPSOffice_Level2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8395c108-59bc-4c00-a4d0-791a0b48ad37}"/>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四、财政拨款收入支出决算总表</w:t>
              </w:r>
            </w:sdtContent>
          </w:sdt>
          <w:r>
            <w:tab/>
          </w:r>
          <w:bookmarkStart w:id="39" w:name="_Toc1755986919_WPSOffice_Level2Page"/>
          <w:r>
            <w:t>1</w:t>
          </w:r>
          <w:bookmarkEnd w:id="39"/>
          <w:r>
            <w:fldChar w:fldCharType="end"/>
          </w:r>
        </w:p>
        <w:p>
          <w:pPr>
            <w:pStyle w:val="38"/>
            <w:tabs>
              <w:tab w:val="right" w:leader="dot" w:pos="8306"/>
            </w:tabs>
          </w:pPr>
          <w:r>
            <w:fldChar w:fldCharType="begin"/>
          </w:r>
          <w:r>
            <w:instrText xml:space="preserve"> HYPERLINK \l _Toc761990068_WPSOffice_Level2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59fb2293-a21b-4878-942d-5d738f50398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五、财政拨款支出决算明细表</w:t>
              </w:r>
            </w:sdtContent>
          </w:sdt>
          <w:r>
            <w:tab/>
          </w:r>
          <w:bookmarkStart w:id="40" w:name="_Toc761990068_WPSOffice_Level2Page"/>
          <w:r>
            <w:t>1</w:t>
          </w:r>
          <w:bookmarkEnd w:id="40"/>
          <w:r>
            <w:fldChar w:fldCharType="end"/>
          </w:r>
        </w:p>
        <w:p>
          <w:pPr>
            <w:pStyle w:val="38"/>
            <w:tabs>
              <w:tab w:val="right" w:leader="dot" w:pos="8306"/>
            </w:tabs>
          </w:pPr>
          <w:r>
            <w:fldChar w:fldCharType="begin"/>
          </w:r>
          <w:r>
            <w:instrText xml:space="preserve"> HYPERLINK \l _Toc927065404_WPSOffice_Level2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f5f7ba65-f8bd-463e-b416-581dcb3436d1}"/>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41" w:name="_Toc927065404_WPSOffice_Level2Page"/>
          <w:r>
            <w:t>1</w:t>
          </w:r>
          <w:bookmarkEnd w:id="41"/>
          <w:r>
            <w:fldChar w:fldCharType="end"/>
          </w:r>
        </w:p>
        <w:p>
          <w:pPr>
            <w:pStyle w:val="38"/>
            <w:tabs>
              <w:tab w:val="right" w:leader="dot" w:pos="8306"/>
            </w:tabs>
          </w:pPr>
          <w:r>
            <w:fldChar w:fldCharType="begin"/>
          </w:r>
          <w:r>
            <w:instrText xml:space="preserve"> HYPERLINK \l _Toc1404211719_WPSOffice_Level2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e1296684-1dc6-4267-ae22-b13784bd161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42" w:name="_Toc1404211719_WPSOffice_Level2Page"/>
          <w:r>
            <w:t>1</w:t>
          </w:r>
          <w:bookmarkEnd w:id="42"/>
          <w:r>
            <w:fldChar w:fldCharType="end"/>
          </w:r>
        </w:p>
        <w:p>
          <w:pPr>
            <w:pStyle w:val="38"/>
            <w:tabs>
              <w:tab w:val="right" w:leader="dot" w:pos="8306"/>
            </w:tabs>
          </w:pPr>
          <w:r>
            <w:fldChar w:fldCharType="begin"/>
          </w:r>
          <w:r>
            <w:instrText xml:space="preserve"> HYPERLINK \l _Toc1210183522_WPSOffice_Level2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60a445f1-b062-45de-a6c8-fb389b9a6288}"/>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八、一般公共预算财政拨款基本支出决算表</w:t>
              </w:r>
            </w:sdtContent>
          </w:sdt>
          <w:r>
            <w:tab/>
          </w:r>
          <w:bookmarkStart w:id="43" w:name="_Toc1210183522_WPSOffice_Level2Page"/>
          <w:r>
            <w:t>1</w:t>
          </w:r>
          <w:bookmarkEnd w:id="43"/>
          <w:r>
            <w:fldChar w:fldCharType="end"/>
          </w:r>
        </w:p>
        <w:p>
          <w:pPr>
            <w:pStyle w:val="38"/>
            <w:tabs>
              <w:tab w:val="right" w:leader="dot" w:pos="8306"/>
            </w:tabs>
          </w:pPr>
          <w:r>
            <w:fldChar w:fldCharType="begin"/>
          </w:r>
          <w:r>
            <w:instrText xml:space="preserve"> HYPERLINK \l _Toc70939817_WPSOffice_Level2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d3a190fc-6c0b-4986-81ce-d12b30000cf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44" w:name="_Toc70939817_WPSOffice_Level2Page"/>
          <w:r>
            <w:t>1</w:t>
          </w:r>
          <w:bookmarkEnd w:id="44"/>
          <w:r>
            <w:fldChar w:fldCharType="end"/>
          </w:r>
        </w:p>
        <w:p>
          <w:pPr>
            <w:pStyle w:val="38"/>
            <w:tabs>
              <w:tab w:val="right" w:leader="dot" w:pos="8306"/>
            </w:tabs>
          </w:pPr>
          <w:r>
            <w:fldChar w:fldCharType="begin"/>
          </w:r>
          <w:r>
            <w:instrText xml:space="preserve"> HYPERLINK \l _Toc150526077_WPSOffice_Level2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f7380710-97de-4fd3-a4b3-ec4d802ca51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45" w:name="_Toc150526077_WPSOffice_Level2Page"/>
          <w:r>
            <w:t>1</w:t>
          </w:r>
          <w:bookmarkEnd w:id="45"/>
          <w:r>
            <w:fldChar w:fldCharType="end"/>
          </w:r>
        </w:p>
        <w:p>
          <w:pPr>
            <w:pStyle w:val="38"/>
            <w:tabs>
              <w:tab w:val="right" w:leader="dot" w:pos="8306"/>
            </w:tabs>
          </w:pPr>
          <w:r>
            <w:fldChar w:fldCharType="begin"/>
          </w:r>
          <w:r>
            <w:instrText xml:space="preserve"> HYPERLINK \l _Toc217964823_WPSOffice_Level2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c6d8d7f-f9c4-43c3-856e-18d960992f9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46" w:name="_Toc217964823_WPSOffice_Level2Page"/>
          <w:r>
            <w:t>1</w:t>
          </w:r>
          <w:bookmarkEnd w:id="46"/>
          <w:r>
            <w:fldChar w:fldCharType="end"/>
          </w:r>
        </w:p>
        <w:p>
          <w:pPr>
            <w:pStyle w:val="38"/>
            <w:tabs>
              <w:tab w:val="right" w:leader="dot" w:pos="8306"/>
            </w:tabs>
          </w:pPr>
          <w:r>
            <w:fldChar w:fldCharType="begin"/>
          </w:r>
          <w:r>
            <w:instrText xml:space="preserve"> HYPERLINK \l _Toc171912350_WPSOffice_Level2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24ec273c-8a29-4198-8b07-f5a643815309}"/>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47" w:name="_Toc171912350_WPSOffice_Level2Page"/>
          <w:r>
            <w:t>1</w:t>
          </w:r>
          <w:bookmarkEnd w:id="47"/>
          <w:r>
            <w:fldChar w:fldCharType="end"/>
          </w:r>
        </w:p>
        <w:p>
          <w:pPr>
            <w:pStyle w:val="38"/>
            <w:tabs>
              <w:tab w:val="right" w:leader="dot" w:pos="8306"/>
            </w:tabs>
          </w:pPr>
          <w:r>
            <w:fldChar w:fldCharType="begin"/>
          </w:r>
          <w:r>
            <w:instrText xml:space="preserve"> HYPERLINK \l _Toc250251008_WPSOffice_Level2 </w:instrText>
          </w:r>
          <w:r>
            <w:fldChar w:fldCharType="separate"/>
          </w:r>
          <w:sdt>
            <w:sdtPr>
              <w:rPr>
                <w:rFonts w:ascii="Times New Roman" w:hAnsi="Times New Roman" w:eastAsia="宋体" w:cs="Times New Roman"/>
                <w:kern w:val="2"/>
                <w:sz w:val="21"/>
                <w:szCs w:val="24"/>
                <w:lang w:val="en-US" w:eastAsia="zh-CN" w:bidi="ar-SA"/>
              </w:rPr>
              <w:id w:val="769925585"/>
              <w:placeholder>
                <w:docPart w:val="{adb695ca-2eda-46d0-b1f8-4bb56d8cbaf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48" w:name="_Toc250251008_WPSOffice_Level2Page"/>
          <w:r>
            <w:t>1</w:t>
          </w:r>
          <w:bookmarkEnd w:id="48"/>
          <w:r>
            <w:fldChar w:fldCharType="end"/>
          </w:r>
          <w:bookmarkEnd w:id="13"/>
        </w:p>
      </w:sdtContent>
    </w:sdt>
    <w:p>
      <w:pPr>
        <w:pStyle w:val="2"/>
      </w:pPr>
    </w:p>
    <w:p>
      <w:pPr>
        <w:pStyle w:val="3"/>
        <w:jc w:val="both"/>
        <w:rPr>
          <w:rFonts w:hint="eastAsia" w:ascii="Times New Roman" w:hAnsi="Times New Roman" w:eastAsia="方正小标宋简体" w:cs="方正小标宋简体"/>
          <w:b w:val="0"/>
          <w:color w:val="auto"/>
          <w:highlight w:val="none"/>
        </w:rPr>
      </w:pPr>
      <w:bookmarkStart w:id="49" w:name="_Toc15396599"/>
      <w:bookmarkStart w:id="50" w:name="_Toc15377196"/>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rPr>
      </w:pPr>
    </w:p>
    <w:p>
      <w:pPr>
        <w:pStyle w:val="3"/>
        <w:jc w:val="center"/>
        <w:rPr>
          <w:rStyle w:val="30"/>
          <w:rFonts w:hint="eastAsia" w:ascii="Times New Roman" w:hAnsi="Times New Roman" w:eastAsia="方正小标宋简体" w:cs="方正小标宋简体"/>
          <w:b/>
          <w:bCs w:val="0"/>
          <w:color w:val="auto"/>
          <w:highlight w:val="none"/>
        </w:rPr>
      </w:pPr>
      <w:bookmarkStart w:id="51" w:name="_Toc2079636851_WPSOffice_Level1"/>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49"/>
      <w:bookmarkEnd w:id="50"/>
      <w:bookmarkEnd w:id="51"/>
    </w:p>
    <w:p>
      <w:pPr>
        <w:widowControl/>
        <w:jc w:val="left"/>
        <w:rPr>
          <w:rFonts w:ascii="Times New Roman" w:hAnsi="Times New Roman" w:eastAsia="黑体"/>
          <w:color w:val="auto"/>
          <w:sz w:val="32"/>
          <w:szCs w:val="32"/>
          <w:highlight w:val="none"/>
        </w:rPr>
      </w:pPr>
    </w:p>
    <w:p>
      <w:pPr>
        <w:pStyle w:val="4"/>
        <w:rPr>
          <w:rStyle w:val="31"/>
          <w:rFonts w:hint="eastAsia" w:ascii="Times New Roman" w:hAnsi="Times New Roman" w:eastAsia="黑体"/>
          <w:b w:val="0"/>
          <w:bCs w:val="0"/>
          <w:color w:val="auto"/>
          <w:highlight w:val="none"/>
          <w:lang w:eastAsia="zh-CN"/>
        </w:rPr>
      </w:pPr>
      <w:bookmarkStart w:id="52" w:name="_Toc15396600"/>
      <w:bookmarkStart w:id="53" w:name="_Toc15377197"/>
      <w:bookmarkStart w:id="54" w:name="_Toc1410164242_WPSOffice_Level2"/>
      <w:r>
        <w:rPr>
          <w:rFonts w:hint="eastAsia" w:ascii="Times New Roman" w:hAnsi="Times New Roman" w:eastAsia="黑体"/>
          <w:b w:val="0"/>
          <w:color w:val="auto"/>
          <w:highlight w:val="none"/>
        </w:rPr>
        <w:t>一、</w:t>
      </w:r>
      <w:bookmarkEnd w:id="52"/>
      <w:bookmarkEnd w:id="53"/>
      <w:r>
        <w:rPr>
          <w:rFonts w:hint="eastAsia" w:ascii="Times New Roman" w:hAnsi="Times New Roman" w:eastAsia="黑体"/>
          <w:b w:val="0"/>
          <w:color w:val="auto"/>
          <w:highlight w:val="none"/>
          <w:lang w:eastAsia="zh-CN"/>
        </w:rPr>
        <w:t>部门职责</w:t>
      </w:r>
      <w:bookmarkEnd w:id="54"/>
    </w:p>
    <w:p>
      <w:pPr>
        <w:snapToGrid w:val="0"/>
        <w:spacing w:line="520" w:lineRule="exact"/>
        <w:ind w:firstLine="640" w:firstLineChars="200"/>
        <w:rPr>
          <w:rFonts w:hint="eastAsia" w:ascii="Times New Roman" w:hAnsi="Times New Roman" w:eastAsia="黑体"/>
          <w:b w:val="0"/>
          <w:color w:val="auto"/>
          <w:highlight w:val="none"/>
        </w:rPr>
      </w:pPr>
      <w:bookmarkStart w:id="55" w:name="_Toc15377200"/>
      <w:bookmarkStart w:id="56" w:name="_Toc15396601"/>
      <w:r>
        <w:rPr>
          <w:rFonts w:hint="eastAsia" w:ascii="仿宋_GB2312" w:hAnsi="仿宋_GB2312" w:eastAsia="仿宋_GB2312" w:cs="仿宋_GB2312"/>
          <w:color w:val="000000"/>
          <w:kern w:val="2"/>
          <w:sz w:val="32"/>
          <w:szCs w:val="32"/>
          <w:lang w:val="en-US" w:eastAsia="zh-CN" w:bidi="ar-SA"/>
        </w:rPr>
        <w:t>向省委巡视办和州委巡察工作领导小组办公室报告巡察工作情况，传达贯彻省委巡视办、州委巡察工作领导小组的决策和部署；统筹、协调、指导巡察组开展工作；承担政策研究、制度建设等工作、组织起草州委巡察工作规划、年度计划、年度巡察工作总结等重要材料；对州委和州委巡察工作领导小组决定的事项进行督办；配合州纪委、州委组织部等部门对巡察工作人员进行培训、考核、监督和管理负责与纪委监委机关、组织、政法、审计和信访等部门的沟通衔接工作；指导县（市）党委巡察工作；承担州委巡察工作领导小组职责；办理州委巡察工作领导小组和上级巡视工作领导小组办公室交办的其他事项。</w:t>
      </w:r>
    </w:p>
    <w:p>
      <w:pPr>
        <w:pStyle w:val="4"/>
        <w:rPr>
          <w:rStyle w:val="31"/>
          <w:rFonts w:ascii="Times New Roman" w:hAnsi="Times New Roman"/>
          <w:b w:val="0"/>
          <w:bCs w:val="0"/>
          <w:color w:val="auto"/>
          <w:highlight w:val="none"/>
        </w:rPr>
      </w:pPr>
      <w:bookmarkStart w:id="57" w:name="_Toc1639308339_WPSOffice_Level2"/>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55"/>
      <w:bookmarkEnd w:id="56"/>
      <w:bookmarkEnd w:id="57"/>
    </w:p>
    <w:p>
      <w:pPr>
        <w:keepNext w:val="0"/>
        <w:keepLines w:val="0"/>
        <w:widowControl/>
        <w:suppressLineNumbers w:val="0"/>
        <w:ind w:firstLine="640" w:firstLineChars="200"/>
        <w:jc w:val="left"/>
        <w:rPr>
          <w:rFonts w:ascii="仿宋" w:hAnsi="仿宋" w:eastAsia="仿宋"/>
          <w:sz w:val="32"/>
          <w:szCs w:val="32"/>
        </w:rPr>
      </w:pPr>
      <w:r>
        <w:rPr>
          <w:rFonts w:hint="eastAsia" w:ascii="仿宋" w:hAnsi="仿宋" w:eastAsia="仿宋"/>
          <w:b w:val="0"/>
          <w:bCs w:val="0"/>
          <w:sz w:val="32"/>
          <w:szCs w:val="32"/>
        </w:rPr>
        <w:t>中共阿坝州委巡察工作领导小组办公室</w:t>
      </w:r>
      <w:r>
        <w:rPr>
          <w:rFonts w:hint="eastAsia" w:ascii="仿宋" w:hAnsi="仿宋" w:eastAsia="仿宋"/>
          <w:b w:val="0"/>
          <w:bCs w:val="0"/>
          <w:sz w:val="32"/>
          <w:szCs w:val="32"/>
          <w:lang w:eastAsia="zh-CN"/>
        </w:rPr>
        <w:t>部门</w:t>
      </w:r>
      <w:r>
        <w:rPr>
          <w:rFonts w:hint="eastAsia" w:ascii="仿宋" w:hAnsi="仿宋" w:eastAsia="仿宋"/>
          <w:b w:val="0"/>
          <w:bCs w:val="0"/>
          <w:sz w:val="32"/>
          <w:szCs w:val="32"/>
          <w:lang w:val="en-US" w:eastAsia="zh-CN"/>
        </w:rPr>
        <w:t>下属二级</w:t>
      </w:r>
      <w:r>
        <w:rPr>
          <w:rFonts w:hint="eastAsia" w:ascii="仿宋" w:hAnsi="仿宋" w:eastAsia="仿宋"/>
          <w:b w:val="0"/>
          <w:bCs w:val="0"/>
          <w:sz w:val="32"/>
          <w:szCs w:val="32"/>
        </w:rPr>
        <w:t>预算单位1个，</w:t>
      </w:r>
      <w:r>
        <w:rPr>
          <w:rFonts w:hint="eastAsia" w:ascii="仿宋" w:hAnsi="仿宋" w:eastAsia="仿宋"/>
          <w:b w:val="0"/>
          <w:bCs w:val="0"/>
          <w:sz w:val="32"/>
          <w:szCs w:val="32"/>
          <w:lang w:val="en-US" w:eastAsia="zh-CN"/>
        </w:rPr>
        <w:t>其中行政单位1 个，参照公务员法管理的事业单位 0 个，其他事业单位0 个。</w:t>
      </w:r>
    </w:p>
    <w:p>
      <w:pPr>
        <w:keepNext w:val="0"/>
        <w:keepLines w:val="0"/>
        <w:widowControl/>
        <w:suppressLineNumbers w:val="0"/>
        <w:ind w:firstLine="960" w:firstLineChars="300"/>
        <w:jc w:val="left"/>
        <w:rPr>
          <w:rFonts w:hint="eastAsia" w:ascii="仿宋" w:hAnsi="仿宋" w:eastAsia="仿宋" w:cs="Times New Roman"/>
          <w:sz w:val="32"/>
          <w:szCs w:val="32"/>
        </w:rPr>
      </w:pPr>
      <w:bookmarkStart w:id="58" w:name="_Toc15377433"/>
      <w:bookmarkStart w:id="59" w:name="_Toc15306276"/>
      <w:bookmarkStart w:id="60" w:name="_Toc15378449"/>
      <w:bookmarkStart w:id="61" w:name="_Toc15377202"/>
      <w:r>
        <w:rPr>
          <w:rFonts w:hint="eastAsia" w:ascii="仿宋" w:hAnsi="仿宋" w:eastAsia="仿宋" w:cs="Times New Roman"/>
          <w:sz w:val="32"/>
          <w:szCs w:val="32"/>
        </w:rPr>
        <w:t>纳入中共阿坝州委巡察工作领导小组办公室2023年度部门决算编制范围的</w:t>
      </w:r>
      <w:r>
        <w:rPr>
          <w:rFonts w:hint="eastAsia" w:ascii="仿宋" w:hAnsi="仿宋" w:eastAsia="仿宋" w:cs="Times New Roman"/>
          <w:sz w:val="32"/>
          <w:szCs w:val="32"/>
          <w:lang w:val="en-US" w:eastAsia="zh-CN"/>
        </w:rPr>
        <w:t>二级预算单</w:t>
      </w:r>
      <w:r>
        <w:rPr>
          <w:rFonts w:hint="eastAsia" w:ascii="仿宋" w:hAnsi="仿宋" w:eastAsia="仿宋" w:cs="Times New Roman"/>
          <w:sz w:val="32"/>
          <w:szCs w:val="32"/>
        </w:rPr>
        <w:t>包括：</w:t>
      </w:r>
    </w:p>
    <w:p>
      <w:pPr>
        <w:pStyle w:val="6"/>
        <w:numPr>
          <w:ilvl w:val="0"/>
          <w:numId w:val="1"/>
        </w:numPr>
        <w:adjustRightInd w:val="0"/>
        <w:snapToGrid w:val="0"/>
        <w:spacing w:before="93" w:line="600" w:lineRule="exact"/>
        <w:outlineLvl w:val="2"/>
        <w:rPr>
          <w:rFonts w:ascii="Times New Roman" w:hAnsi="Times New Roman" w:eastAsia="仿宋"/>
          <w:color w:val="auto"/>
          <w:kern w:val="0"/>
          <w:sz w:val="32"/>
          <w:szCs w:val="32"/>
          <w:highlight w:val="none"/>
        </w:rPr>
      </w:pPr>
      <w:r>
        <w:rPr>
          <w:rFonts w:ascii="Times New Roman" w:eastAsia="宋体"/>
          <w:kern w:val="2"/>
          <w:sz w:val="32"/>
          <w:szCs w:val="32"/>
        </w:rPr>
        <w:t>中共阿坝州委巡察工作领导小组办公室</w:t>
      </w:r>
      <w:bookmarkEnd w:id="58"/>
      <w:bookmarkEnd w:id="59"/>
      <w:bookmarkEnd w:id="60"/>
      <w:bookmarkEnd w:id="61"/>
      <w:r>
        <w:rPr>
          <w:rFonts w:hint="eastAsia" w:ascii="Times New Roman" w:eastAsia="宋体"/>
          <w:kern w:val="2"/>
          <w:sz w:val="32"/>
          <w:szCs w:val="32"/>
          <w:lang w:eastAsia="zh-CN"/>
        </w:rPr>
        <w:t>。</w:t>
      </w:r>
    </w:p>
    <w:p>
      <w:pPr>
        <w:pStyle w:val="3"/>
        <w:jc w:val="center"/>
        <w:rPr>
          <w:rFonts w:hint="eastAsia" w:ascii="Times New Roman" w:hAnsi="Times New Roman" w:eastAsia="方正小标宋简体" w:cs="方正小标宋简体"/>
          <w:b w:val="0"/>
          <w:color w:val="auto"/>
          <w:highlight w:val="none"/>
        </w:rPr>
      </w:pPr>
      <w:bookmarkStart w:id="62" w:name="_Toc15377204"/>
      <w:bookmarkStart w:id="63" w:name="_Toc15396602"/>
      <w:bookmarkStart w:id="64" w:name="_Toc1410164242_WPSOffice_Level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62"/>
      <w:bookmarkEnd w:id="63"/>
      <w:bookmarkEnd w:id="64"/>
    </w:p>
    <w:p>
      <w:pPr>
        <w:rPr>
          <w:rFonts w:ascii="Times New Roman" w:hAnsi="Times New Roman"/>
          <w:color w:val="auto"/>
          <w:highlight w:val="none"/>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65" w:name="_Toc15377205"/>
      <w:bookmarkStart w:id="66" w:name="_Toc15396603"/>
      <w:bookmarkStart w:id="67" w:name="_Toc326840428_WPSOffice_Level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65"/>
      <w:bookmarkEnd w:id="66"/>
      <w:bookmarkEnd w:id="67"/>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640.64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72.17</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11.2</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2024年巡察工作量减少，二是因人员调动。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eastAsia" w:ascii="Times New Roman" w:hAnsi="Times New Roman" w:eastAsia="仿宋_GB2312" w:cs="仿宋_GB2312"/>
          <w:color w:val="auto"/>
          <w:sz w:val="32"/>
          <w:szCs w:val="32"/>
          <w:highlight w:val="none"/>
        </w:rPr>
      </w:pPr>
    </w:p>
    <w:p>
      <w:pPr>
        <w:rPr>
          <w:rFonts w:hint="eastAsia" w:ascii="Times New Roman" w:hAnsi="Times New Roman" w:eastAsia="仿宋_GB2312" w:cs="仿宋_GB2312"/>
          <w:color w:val="auto"/>
          <w:sz w:val="32"/>
          <w:szCs w:val="32"/>
          <w:highlight w:val="none"/>
        </w:rPr>
      </w:pPr>
    </w:p>
    <w:p>
      <w:pPr>
        <w:pStyle w:val="2"/>
        <w:rPr>
          <w:rFonts w:hint="eastAsia" w:ascii="Times New Roman" w:hAnsi="Times New Roman" w:eastAsia="仿宋_GB2312" w:cs="仿宋_GB2312"/>
          <w:color w:val="auto"/>
          <w:sz w:val="32"/>
          <w:szCs w:val="32"/>
          <w:highlight w:val="none"/>
        </w:rPr>
      </w:pPr>
    </w:p>
    <w:p>
      <w:pPr>
        <w:rPr>
          <w:rFonts w:hint="eastAsia"/>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68" w:name="_Toc15377206"/>
      <w:bookmarkStart w:id="69" w:name="_Toc15396604"/>
      <w:bookmarkStart w:id="70" w:name="_Toc202323142_WPSOffice_Level2"/>
      <w:r>
        <w:rPr>
          <w:rFonts w:hint="eastAsia" w:ascii="Times New Roman" w:hAnsi="Times New Roman" w:eastAsia="黑体"/>
          <w:color w:val="auto"/>
          <w:sz w:val="32"/>
          <w:szCs w:val="32"/>
          <w:highlight w:val="none"/>
          <w:lang w:eastAsia="zh-CN"/>
        </w:rPr>
        <w:t>二、收入决算情况说明</w:t>
      </w:r>
      <w:bookmarkEnd w:id="68"/>
      <w:bookmarkEnd w:id="69"/>
      <w:bookmarkEnd w:id="70"/>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640.64万元，其中：一般公共预算财政拨款收入640.64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2"/>
        <w:rPr>
          <w:rFonts w:hint="eastAsia"/>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lang w:eastAsia="zh-CN"/>
        </w:rPr>
        <w:drawing>
          <wp:inline distT="0" distB="0" distL="114300" distR="114300">
            <wp:extent cx="3435350" cy="1905635"/>
            <wp:effectExtent l="5080" t="4445" r="7620"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left="0" w:leftChars="0" w:firstLine="0" w:firstLineChars="0"/>
        <w:rPr>
          <w:rFonts w:hint="eastAsia"/>
          <w:lang w:eastAsia="zh-CN"/>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Style w:val="31"/>
          <w:rFonts w:hint="eastAsia" w:ascii="Times New Roman" w:hAnsi="Times New Roman" w:eastAsia="黑体"/>
          <w:b w:val="0"/>
          <w:color w:val="auto"/>
          <w:highlight w:val="none"/>
        </w:rPr>
      </w:pPr>
      <w:bookmarkStart w:id="71" w:name="_Toc15396605"/>
      <w:bookmarkStart w:id="72" w:name="_Toc15377207"/>
      <w:bookmarkStart w:id="73" w:name="_Toc1375993658_WPSOffice_Level2"/>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71"/>
      <w:bookmarkEnd w:id="72"/>
      <w:bookmarkEnd w:id="73"/>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640.64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475.61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74.23</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165.03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25.76</w:t>
      </w:r>
      <w:r>
        <w:rPr>
          <w:rFonts w:hint="eastAsia" w:ascii="仿宋_GB2312" w:hAnsi="仿宋_GB2312" w:eastAsia="仿宋_GB2312" w:cs="仿宋_GB2312"/>
          <w:color w:val="auto"/>
          <w:sz w:val="32"/>
          <w:szCs w:val="32"/>
          <w:highlight w:val="none"/>
          <w:lang w:eastAsia="zh-CN"/>
        </w:rPr>
        <w:t>%。</w:t>
      </w:r>
    </w:p>
    <w:p>
      <w:pPr>
        <w:ind w:firstLine="800" w:firstLineChars="250"/>
        <w:rPr>
          <w:rFonts w:hint="eastAsia" w:ascii="Times New Roman" w:hAnsi="Times New Roman" w:eastAsia="仿宋_GB2312" w:cs="仿宋_GB2312"/>
          <w:color w:val="auto"/>
          <w:sz w:val="32"/>
          <w:szCs w:val="32"/>
          <w:highlight w:val="none"/>
          <w:lang w:eastAsia="zh-CN"/>
        </w:rPr>
      </w:pPr>
    </w:p>
    <w:p>
      <w:pPr>
        <w:ind w:firstLine="1440" w:firstLineChars="4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pStyle w:val="2"/>
        <w:rPr>
          <w:rFonts w:hint="eastAsia"/>
          <w:lang w:eastAsia="zh-CN"/>
        </w:rPr>
      </w:pP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lang w:eastAsia="zh-CN"/>
        </w:rPr>
        <w:drawing>
          <wp:inline distT="0" distB="0" distL="114300" distR="114300">
            <wp:extent cx="4032250" cy="2091055"/>
            <wp:effectExtent l="5080" t="4445" r="20320" b="190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rPr>
          <w:rFonts w:hint="eastAsia" w:ascii="Times New Roman" w:hAnsi="Times New Roman" w:eastAsia="仿宋_GB2312" w:cs="仿宋_GB2312"/>
          <w:color w:val="auto"/>
          <w:sz w:val="32"/>
          <w:szCs w:val="32"/>
          <w:highlight w:val="none"/>
          <w:lang w:eastAsia="zh-CN"/>
        </w:rPr>
      </w:pPr>
    </w:p>
    <w:p>
      <w:pPr>
        <w:pStyle w:val="2"/>
        <w:ind w:left="0" w:leftChars="0" w:firstLine="0" w:firstLineChars="0"/>
        <w:rPr>
          <w:rFonts w:hint="eastAsia"/>
          <w:lang w:eastAsia="zh-CN"/>
        </w:rPr>
      </w:pPr>
    </w:p>
    <w:p>
      <w:pPr>
        <w:spacing w:line="600" w:lineRule="exact"/>
        <w:ind w:firstLine="640" w:firstLineChars="200"/>
        <w:outlineLvl w:val="1"/>
        <w:rPr>
          <w:rStyle w:val="31"/>
          <w:rFonts w:ascii="Times New Roman" w:hAnsi="Times New Roman" w:eastAsia="黑体"/>
          <w:b w:val="0"/>
          <w:color w:val="auto"/>
          <w:highlight w:val="none"/>
        </w:rPr>
      </w:pPr>
      <w:bookmarkStart w:id="74" w:name="_Toc15396606"/>
      <w:bookmarkStart w:id="75" w:name="_Toc15377208"/>
      <w:bookmarkStart w:id="76" w:name="_Toc1551861936_WPSOffice_Level2"/>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74"/>
      <w:bookmarkEnd w:id="75"/>
      <w:bookmarkEnd w:id="76"/>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640.64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eastAsia="仿宋_GB2312" w:cs="仿宋_GB2312"/>
          <w:color w:val="auto"/>
          <w:sz w:val="32"/>
          <w:szCs w:val="32"/>
          <w:highlight w:val="none"/>
          <w:lang w:val="en-US" w:eastAsia="zh-CN"/>
        </w:rPr>
        <w:t>72.17</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11.2</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2024年巡察工作量减少，二是因人员调动。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outlineLvl w:val="1"/>
        <w:rPr>
          <w:rFonts w:hint="eastAsia" w:ascii="Times New Roman" w:hAnsi="Times New Roman" w:eastAsia="黑体"/>
          <w:color w:val="auto"/>
          <w:sz w:val="32"/>
          <w:szCs w:val="32"/>
          <w:highlight w:val="none"/>
        </w:rPr>
      </w:pPr>
      <w:bookmarkStart w:id="77" w:name="_Toc15396607"/>
      <w:bookmarkStart w:id="78" w:name="_Toc15377209"/>
    </w:p>
    <w:p>
      <w:pPr>
        <w:pStyle w:val="2"/>
        <w:rPr>
          <w:rFonts w:hint="eastAsia" w:eastAsia="黑体"/>
          <w:lang w:eastAsia="zh-CN"/>
        </w:rPr>
      </w:pPr>
      <w:r>
        <w:rPr>
          <w:rFonts w:hint="eastAsia" w:eastAsia="黑体"/>
          <w:lang w:val="en-US" w:eastAsia="zh-CN"/>
        </w:rPr>
        <w:t xml:space="preserve">      </w:t>
      </w:r>
      <w:r>
        <w:rPr>
          <w:rFonts w:hint="eastAsia" w:eastAsia="黑体"/>
          <w:lang w:eastAsia="zh-CN"/>
        </w:rPr>
        <w:drawing>
          <wp:inline distT="0" distB="0" distL="114300" distR="114300">
            <wp:extent cx="4445635" cy="4153535"/>
            <wp:effectExtent l="4445" t="4445" r="7620" b="1397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outlineLvl w:val="1"/>
        <w:rPr>
          <w:rFonts w:hint="eastAsia" w:ascii="Times New Roman" w:hAnsi="Times New Roman" w:eastAsia="黑体"/>
          <w:color w:val="auto"/>
          <w:sz w:val="32"/>
          <w:szCs w:val="32"/>
          <w:highlight w:val="none"/>
        </w:rPr>
      </w:pPr>
    </w:p>
    <w:p>
      <w:pPr>
        <w:rPr>
          <w:rFonts w:hint="eastAsia" w:ascii="Times New Roman" w:hAnsi="Times New Roman" w:eastAsia="黑体"/>
          <w:color w:val="auto"/>
          <w:sz w:val="32"/>
          <w:szCs w:val="32"/>
          <w:highlight w:val="none"/>
        </w:rPr>
      </w:pPr>
    </w:p>
    <w:p>
      <w:pPr>
        <w:pStyle w:val="2"/>
        <w:rPr>
          <w:rFonts w:hint="eastAsia" w:ascii="Times New Roman" w:hAnsi="Times New Roman" w:eastAsia="黑体"/>
          <w:color w:val="auto"/>
          <w:sz w:val="32"/>
          <w:szCs w:val="32"/>
          <w:highlight w:val="none"/>
        </w:rPr>
      </w:pPr>
    </w:p>
    <w:p>
      <w:pPr>
        <w:rPr>
          <w:rFonts w:hint="eastAsia"/>
        </w:rPr>
      </w:pPr>
    </w:p>
    <w:p>
      <w:pPr>
        <w:pStyle w:val="2"/>
        <w:rPr>
          <w:rFonts w:hint="eastAsia"/>
        </w:rPr>
      </w:pPr>
    </w:p>
    <w:p>
      <w:pPr>
        <w:spacing w:line="600" w:lineRule="exact"/>
        <w:ind w:firstLine="640" w:firstLineChars="200"/>
        <w:outlineLvl w:val="1"/>
        <w:rPr>
          <w:rStyle w:val="31"/>
          <w:rFonts w:ascii="Times New Roman" w:hAnsi="Times New Roman" w:eastAsia="黑体"/>
          <w:b w:val="0"/>
          <w:color w:val="auto"/>
          <w:highlight w:val="none"/>
        </w:rPr>
      </w:pPr>
      <w:bookmarkStart w:id="79" w:name="_Toc574408098_WPSOffice_Level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77"/>
      <w:bookmarkEnd w:id="78"/>
      <w:bookmarkEnd w:id="7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8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80"/>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640.64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eastAsia="仿宋_GB2312" w:cs="仿宋_GB2312"/>
          <w:color w:val="auto"/>
          <w:sz w:val="32"/>
          <w:szCs w:val="32"/>
          <w:highlight w:val="none"/>
          <w:lang w:val="en-US" w:eastAsia="zh-CN"/>
        </w:rPr>
        <w:t>72.17</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11.2</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2024年巡察工作量减少，二是因人员调动。</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2"/>
        <w:rPr>
          <w:rFonts w:hint="default"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 xml:space="preserve"> </w:t>
      </w:r>
    </w:p>
    <w:p>
      <w:pPr>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4965700" cy="3841750"/>
            <wp:effectExtent l="5080" t="4445" r="20320" b="2095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8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81"/>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640.64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525.9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60.38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21.75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32.61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4806950" cy="3143885"/>
            <wp:effectExtent l="4445" t="4445" r="8255" b="1397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8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8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83" w:name="_Toc15378460"/>
      <w:bookmarkStart w:id="84" w:name="_Toc15377444"/>
      <w:bookmarkStart w:id="85"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640.64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640.64</w:t>
      </w:r>
      <w:r>
        <w:rPr>
          <w:rFonts w:hint="eastAsia" w:ascii="Times New Roman" w:hAnsi="Times New Roman" w:eastAsia="仿宋_GB2312" w:cs="仿宋_GB2312"/>
          <w:color w:val="auto"/>
          <w:kern w:val="2"/>
          <w:sz w:val="32"/>
          <w:szCs w:val="32"/>
          <w:highlight w:val="none"/>
          <w:lang w:val="en-US" w:eastAsia="zh-CN" w:bidi="ar-SA"/>
        </w:rPr>
        <w:t>%。其中：</w:t>
      </w:r>
      <w:bookmarkEnd w:id="83"/>
      <w:bookmarkEnd w:id="84"/>
      <w:bookmarkEnd w:id="8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w:t>
      </w:r>
      <w:r>
        <w:rPr>
          <w:rFonts w:hint="eastAsia" w:eastAsia="仿宋_GB2312" w:cs="仿宋_GB2312"/>
          <w:color w:val="auto"/>
          <w:kern w:val="2"/>
          <w:sz w:val="32"/>
          <w:szCs w:val="32"/>
          <w:highlight w:val="none"/>
          <w:lang w:val="en-US" w:eastAsia="zh-CN" w:bidi="ar-SA"/>
        </w:rPr>
        <w:t>纪检检查事务</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行政运行</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525.9</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w:t>
      </w:r>
      <w:r>
        <w:rPr>
          <w:rFonts w:hint="eastAsia" w:eastAsia="仿宋_GB2312" w:cs="仿宋_GB2312"/>
          <w:color w:val="auto"/>
          <w:kern w:val="2"/>
          <w:sz w:val="32"/>
          <w:szCs w:val="32"/>
          <w:highlight w:val="none"/>
          <w:lang w:val="en-US" w:eastAsia="zh-CN" w:bidi="ar-SA"/>
        </w:rPr>
        <w:t>数持平。</w:t>
      </w:r>
    </w:p>
    <w:p>
      <w:pPr>
        <w:keepNext w:val="0"/>
        <w:keepLines w:val="0"/>
        <w:widowControl/>
        <w:suppressLineNumbers w:val="0"/>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.社会保障和就业（类）行政事业单位养老支出(类）机关事业单位基本养老保险缴费支出（项）:支出决算为</w:t>
      </w:r>
      <w:r>
        <w:rPr>
          <w:rFonts w:hint="eastAsia" w:eastAsia="仿宋_GB2312" w:cs="仿宋_GB2312"/>
          <w:color w:val="auto"/>
          <w:kern w:val="2"/>
          <w:sz w:val="32"/>
          <w:szCs w:val="32"/>
          <w:highlight w:val="none"/>
          <w:lang w:val="en-US" w:eastAsia="zh-CN" w:bidi="ar-SA"/>
        </w:rPr>
        <w:t>40.26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机关事业单位职业年金缴费支出（项）：支出决算为</w:t>
      </w:r>
      <w:r>
        <w:rPr>
          <w:rFonts w:hint="eastAsia" w:eastAsia="仿宋_GB2312" w:cs="仿宋_GB2312"/>
          <w:color w:val="auto"/>
          <w:kern w:val="2"/>
          <w:sz w:val="32"/>
          <w:szCs w:val="32"/>
          <w:highlight w:val="none"/>
          <w:lang w:val="en-US" w:eastAsia="zh-CN" w:bidi="ar-SA"/>
        </w:rPr>
        <w:t>20.13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万元，完成预算100%，决算数等于预算数持平。</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3.卫生健康（类）行政事业单位医疗（款）行政单位医疗（项）：支出决算为</w:t>
      </w:r>
      <w:r>
        <w:rPr>
          <w:rFonts w:hint="eastAsia" w:eastAsia="仿宋_GB2312" w:cs="仿宋_GB2312"/>
          <w:color w:val="auto"/>
          <w:kern w:val="2"/>
          <w:sz w:val="32"/>
          <w:szCs w:val="32"/>
          <w:highlight w:val="none"/>
          <w:lang w:val="en-US" w:eastAsia="zh-CN" w:bidi="ar-SA"/>
        </w:rPr>
        <w:t>21.75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%，决算数小于/等于预算数</w:t>
      </w:r>
      <w:r>
        <w:rPr>
          <w:rFonts w:hint="eastAsia" w:eastAsia="仿宋_GB2312" w:cs="仿宋_GB2312"/>
          <w:color w:val="auto"/>
          <w:kern w:val="2"/>
          <w:sz w:val="32"/>
          <w:szCs w:val="32"/>
          <w:highlight w:val="none"/>
          <w:lang w:val="en-US" w:eastAsia="zh-CN" w:bidi="ar-SA"/>
        </w:rPr>
        <w:t>持平。</w:t>
      </w:r>
    </w:p>
    <w:p>
      <w:pPr>
        <w:spacing w:line="600" w:lineRule="exact"/>
        <w:ind w:firstLine="640"/>
        <w:rPr>
          <w:rFonts w:hint="eastAsia"/>
          <w:lang w:val="en-US" w:eastAsia="zh-CN"/>
        </w:rPr>
      </w:pPr>
      <w:r>
        <w:rPr>
          <w:rFonts w:hint="eastAsia" w:eastAsia="仿宋_GB2312" w:cs="仿宋_GB2312"/>
          <w:color w:val="auto"/>
          <w:kern w:val="2"/>
          <w:sz w:val="32"/>
          <w:szCs w:val="32"/>
          <w:highlight w:val="none"/>
          <w:lang w:val="en-US" w:eastAsia="zh-CN" w:bidi="ar-SA"/>
        </w:rPr>
        <w:t>4.住房保障（类）住房改革(款）住房公积金（项）：</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32.61</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%，决算数小于/等于预算数</w:t>
      </w:r>
      <w:r>
        <w:rPr>
          <w:rFonts w:hint="eastAsia" w:eastAsia="仿宋_GB2312" w:cs="仿宋_GB2312"/>
          <w:color w:val="auto"/>
          <w:kern w:val="2"/>
          <w:sz w:val="32"/>
          <w:szCs w:val="32"/>
          <w:highlight w:val="none"/>
          <w:lang w:val="en-US" w:eastAsia="zh-CN" w:bidi="ar-SA"/>
        </w:rPr>
        <w:t>持平。</w:t>
      </w:r>
    </w:p>
    <w:p>
      <w:pPr>
        <w:tabs>
          <w:tab w:val="right" w:pos="8306"/>
        </w:tabs>
        <w:spacing w:line="600" w:lineRule="exact"/>
        <w:ind w:firstLine="640"/>
        <w:outlineLvl w:val="1"/>
        <w:rPr>
          <w:rStyle w:val="31"/>
          <w:rFonts w:ascii="Times New Roman" w:hAnsi="Times New Roman"/>
          <w:color w:val="auto"/>
          <w:highlight w:val="none"/>
        </w:rPr>
      </w:pPr>
      <w:bookmarkStart w:id="86" w:name="_Toc15377214"/>
      <w:bookmarkStart w:id="87" w:name="_Toc15396608"/>
      <w:bookmarkStart w:id="88" w:name="_Toc1936908636_WPSOffice_Level2"/>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86"/>
      <w:bookmarkEnd w:id="87"/>
      <w:bookmarkEnd w:id="88"/>
      <w:r>
        <w:rPr>
          <w:rStyle w:val="3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475.61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418.19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57.43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手续费、水费、电费、邮电费、差旅费、因公出国（境）费用、维修（护）费、租赁费、劳务费、委托业务费、工会经费、公务用车运行维护费、其他商品和服务支出、办公设备购置、专用设备购置。</w:t>
      </w:r>
    </w:p>
    <w:p>
      <w:pPr>
        <w:spacing w:line="600" w:lineRule="exact"/>
        <w:ind w:firstLine="640"/>
        <w:outlineLvl w:val="1"/>
        <w:rPr>
          <w:rStyle w:val="31"/>
          <w:rFonts w:ascii="Times New Roman" w:hAnsi="Times New Roman" w:eastAsia="黑体"/>
          <w:b w:val="0"/>
          <w:color w:val="auto"/>
          <w:highlight w:val="none"/>
        </w:rPr>
      </w:pPr>
      <w:bookmarkStart w:id="89" w:name="_Toc15396609"/>
      <w:bookmarkStart w:id="90" w:name="_Toc15377215"/>
      <w:bookmarkStart w:id="91" w:name="_Toc592197930_WPSOffice_Level2"/>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89"/>
      <w:bookmarkEnd w:id="90"/>
      <w:bookmarkEnd w:id="9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9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9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15.09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5.39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35.7</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eastAsia="仿宋_GB2312" w:cs="仿宋_GB2312"/>
          <w:color w:val="auto"/>
          <w:kern w:val="2"/>
          <w:sz w:val="32"/>
          <w:szCs w:val="32"/>
          <w:highlight w:val="none"/>
          <w:lang w:val="en-US" w:eastAsia="zh-CN" w:bidi="ar-SA"/>
        </w:rPr>
        <w:t>等于</w:t>
      </w:r>
      <w:r>
        <w:rPr>
          <w:rFonts w:hint="eastAsia" w:ascii="Times New Roman" w:hAnsi="Times New Roman" w:eastAsia="仿宋_GB2312" w:cs="仿宋_GB2312"/>
          <w:color w:val="auto"/>
          <w:kern w:val="2"/>
          <w:sz w:val="32"/>
          <w:szCs w:val="32"/>
          <w:highlight w:val="none"/>
          <w:lang w:val="en-US" w:eastAsia="zh-CN" w:bidi="ar-SA"/>
        </w:rPr>
        <w:t>预算数持平</w:t>
      </w:r>
      <w:r>
        <w:rPr>
          <w:rFonts w:hint="eastAsia"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9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9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15.09</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pStyle w:val="2"/>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pStyle w:val="2"/>
        <w:rPr>
          <w:rFonts w:hint="eastAsia"/>
          <w:lang w:val="en-US" w:eastAsia="zh-CN"/>
        </w:rPr>
      </w:pPr>
    </w:p>
    <w:p>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4667885" cy="2820035"/>
            <wp:effectExtent l="4445" t="5080" r="13970" b="1333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2"/>
        <w:rPr>
          <w:rFonts w:hint="eastAsia"/>
          <w:lang w:val="en-US" w:eastAsia="zh-CN"/>
        </w:rPr>
      </w:pPr>
    </w:p>
    <w:p>
      <w:pPr>
        <w:numPr>
          <w:ilvl w:val="0"/>
          <w:numId w:val="2"/>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w:t>
      </w:r>
      <w:r>
        <w:rPr>
          <w:rFonts w:hint="eastAsia" w:eastAsia="仿宋_GB2312" w:cs="仿宋_GB2312"/>
          <w:color w:val="auto"/>
          <w:kern w:val="2"/>
          <w:sz w:val="32"/>
          <w:szCs w:val="32"/>
          <w:highlight w:val="none"/>
          <w:lang w:val="en-US" w:eastAsia="zh-CN" w:bidi="ar-SA"/>
        </w:rPr>
        <w:t>一致。</w:t>
      </w:r>
    </w:p>
    <w:p>
      <w:pPr>
        <w:numPr>
          <w:ilvl w:val="0"/>
          <w:numId w:val="0"/>
        </w:numPr>
        <w:spacing w:line="600" w:lineRule="exact"/>
        <w:ind w:firstLine="963" w:firstLineChars="3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15.09万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5.39</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35.7</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15.09</w:t>
      </w:r>
      <w:r>
        <w:rPr>
          <w:rFonts w:hint="eastAsia" w:ascii="Times New Roman" w:hAnsi="Times New Roman" w:eastAsia="仿宋_GB2312" w:cs="仿宋_GB2312"/>
          <w:color w:val="auto"/>
          <w:kern w:val="2"/>
          <w:sz w:val="32"/>
          <w:szCs w:val="32"/>
          <w:highlight w:val="none"/>
          <w:lang w:val="en-US" w:eastAsia="zh-CN" w:bidi="ar-SA"/>
        </w:rPr>
        <w:t>万元。主要用于所需的公务用车燃料费、维修费、过路过桥费、保险费等支出。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94" w:name="_Toc15396610"/>
      <w:bookmarkStart w:id="95" w:name="_Toc15377218"/>
    </w:p>
    <w:p>
      <w:pPr>
        <w:spacing w:line="600" w:lineRule="exact"/>
        <w:ind w:firstLine="640"/>
        <w:outlineLvl w:val="1"/>
        <w:rPr>
          <w:rStyle w:val="31"/>
          <w:rFonts w:ascii="Times New Roman" w:hAnsi="Times New Roman" w:eastAsia="黑体"/>
          <w:color w:val="auto"/>
          <w:highlight w:val="none"/>
        </w:rPr>
      </w:pPr>
      <w:bookmarkStart w:id="96" w:name="_Toc409496610_WPSOffice_Level2"/>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94"/>
      <w:bookmarkEnd w:id="95"/>
      <w:bookmarkEnd w:id="9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w:t>
      </w:r>
      <w:r>
        <w:rPr>
          <w:rFonts w:hint="eastAsia" w:eastAsia="仿宋_GB2312" w:cs="仿宋_GB2312"/>
          <w:color w:val="auto"/>
          <w:kern w:val="2"/>
          <w:sz w:val="32"/>
          <w:szCs w:val="32"/>
          <w:highlight w:val="none"/>
          <w:lang w:val="en-US" w:eastAsia="zh-CN" w:bidi="ar-SA"/>
        </w:rPr>
        <w:t>持平。</w:t>
      </w:r>
    </w:p>
    <w:p>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97" w:name="_Toc15377219"/>
      <w:bookmarkStart w:id="98" w:name="_Toc15396611"/>
      <w:bookmarkStart w:id="99" w:name="_Toc364992143_WPSOffice_Level2"/>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97"/>
      <w:bookmarkEnd w:id="98"/>
      <w:bookmarkEnd w:id="9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w:t>
      </w:r>
      <w:r>
        <w:rPr>
          <w:rFonts w:hint="eastAsia" w:eastAsia="仿宋_GB2312" w:cs="仿宋_GB2312"/>
          <w:color w:val="auto"/>
          <w:kern w:val="2"/>
          <w:sz w:val="32"/>
          <w:szCs w:val="32"/>
          <w:highlight w:val="none"/>
          <w:lang w:val="en-US" w:eastAsia="zh-CN" w:bidi="ar-SA"/>
        </w:rPr>
        <w:t>持平。</w:t>
      </w:r>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100" w:name="_Toc15396612"/>
      <w:bookmarkStart w:id="101" w:name="_Toc15377221"/>
      <w:bookmarkStart w:id="102" w:name="_Toc2140296646_WPSOffice_Level2"/>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100"/>
      <w:bookmarkEnd w:id="101"/>
      <w:bookmarkEnd w:id="102"/>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103" w:name="_Toc15377222"/>
      <w:r>
        <w:rPr>
          <w:rFonts w:hint="eastAsia" w:ascii="Times New Roman" w:hAnsi="Times New Roman" w:eastAsia="楷体_GB2312" w:cs="楷体_GB2312"/>
          <w:b/>
          <w:color w:val="auto"/>
          <w:sz w:val="32"/>
          <w:szCs w:val="32"/>
          <w:highlight w:val="none"/>
        </w:rPr>
        <w:t>（一）机关运行经费支出情况</w:t>
      </w:r>
      <w:bookmarkEnd w:id="10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中共阿坝州委巡察工作领导小组办公室</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57.43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17.8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30.99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人员减少。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104" w:name="_Toc15377223"/>
      <w:r>
        <w:rPr>
          <w:rFonts w:hint="eastAsia" w:ascii="Times New Roman" w:hAnsi="Times New Roman" w:eastAsia="楷体_GB2312" w:cs="楷体_GB2312"/>
          <w:b/>
          <w:color w:val="auto"/>
          <w:sz w:val="32"/>
          <w:szCs w:val="32"/>
          <w:highlight w:val="none"/>
        </w:rPr>
        <w:t>（二）政府采购支出情况</w:t>
      </w:r>
      <w:bookmarkEnd w:id="10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中共阿坝州委巡察工作领导小组办公室</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105" w:name="_Toc15377224"/>
      <w:r>
        <w:rPr>
          <w:rFonts w:hint="eastAsia" w:ascii="Times New Roman" w:hAnsi="Times New Roman" w:eastAsia="楷体_GB2312" w:cs="楷体_GB2312"/>
          <w:b/>
          <w:color w:val="auto"/>
          <w:sz w:val="32"/>
          <w:szCs w:val="32"/>
          <w:highlight w:val="none"/>
        </w:rPr>
        <w:t>（三）国有资产占有使用情况</w:t>
      </w:r>
      <w:bookmarkEnd w:id="10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中共阿坝州委巡察工作领导小组办公室</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根据预算绩效管理要求，本部门在</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rPr>
        <w:t>年度预算编制阶段，组织对</w:t>
      </w:r>
      <w:r>
        <w:rPr>
          <w:rFonts w:hint="eastAsia" w:ascii="仿宋_GB2312" w:hAnsi="仿宋_GB2312" w:eastAsia="仿宋_GB2312" w:cs="仿宋_GB2312"/>
          <w:sz w:val="32"/>
          <w:szCs w:val="32"/>
          <w:highlight w:val="none"/>
          <w:lang w:eastAsia="zh-CN"/>
        </w:rPr>
        <w:t>巡察专项经费</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个项目开展了预算事前绩效评估，对</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highlight w:val="none"/>
        </w:rPr>
        <w:t>组织对</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rPr>
        <w:t>年度一般公共预算全面开展绩效自评，形成</w:t>
      </w:r>
      <w:r>
        <w:rPr>
          <w:rFonts w:hint="eastAsia" w:ascii="仿宋_GB2312" w:hAnsi="仿宋_GB2312" w:eastAsia="仿宋_GB2312" w:cs="仿宋_GB2312"/>
          <w:sz w:val="32"/>
          <w:szCs w:val="32"/>
          <w:highlight w:val="none"/>
          <w:lang w:eastAsia="zh-CN"/>
        </w:rPr>
        <w:t>巡察办</w:t>
      </w:r>
      <w:r>
        <w:rPr>
          <w:rFonts w:hint="eastAsia" w:ascii="仿宋_GB2312" w:hAnsi="仿宋_GB2312" w:eastAsia="仿宋_GB2312" w:cs="仿宋_GB2312"/>
          <w:sz w:val="32"/>
          <w:szCs w:val="32"/>
          <w:highlight w:val="none"/>
        </w:rPr>
        <w:t>部门整体绩效自评报告，其中，</w:t>
      </w:r>
      <w:r>
        <w:rPr>
          <w:rFonts w:hint="eastAsia" w:ascii="仿宋_GB2312" w:hAnsi="仿宋_GB2312" w:eastAsia="仿宋_GB2312" w:cs="仿宋_GB2312"/>
          <w:sz w:val="32"/>
          <w:szCs w:val="32"/>
          <w:highlight w:val="none"/>
          <w:lang w:eastAsia="zh-CN"/>
        </w:rPr>
        <w:t>巡察办</w:t>
      </w:r>
      <w:r>
        <w:rPr>
          <w:rFonts w:hint="eastAsia" w:ascii="仿宋_GB2312" w:hAnsi="仿宋_GB2312" w:eastAsia="仿宋_GB2312" w:cs="仿宋_GB2312"/>
          <w:sz w:val="32"/>
          <w:szCs w:val="32"/>
          <w:highlight w:val="none"/>
        </w:rPr>
        <w:t>部门整体绩效自评得分为</w:t>
      </w:r>
      <w:r>
        <w:rPr>
          <w:rFonts w:hint="eastAsia" w:ascii="仿宋_GB2312" w:hAnsi="仿宋_GB2312" w:eastAsia="仿宋_GB2312" w:cs="仿宋_GB2312"/>
          <w:sz w:val="32"/>
          <w:szCs w:val="32"/>
          <w:highlight w:val="none"/>
          <w:lang w:val="en-US" w:eastAsia="zh-CN"/>
        </w:rPr>
        <w:t>97</w:t>
      </w:r>
      <w:r>
        <w:rPr>
          <w:rFonts w:hint="eastAsia" w:ascii="仿宋_GB2312" w:hAnsi="仿宋_GB2312" w:eastAsia="仿宋_GB2312" w:cs="仿宋_GB2312"/>
          <w:sz w:val="32"/>
          <w:szCs w:val="32"/>
          <w:highlight w:val="none"/>
        </w:rPr>
        <w:t>分，绩效自评报告详见附件。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numPr>
          <w:ilvl w:val="0"/>
          <w:numId w:val="0"/>
        </w:numPr>
        <w:spacing w:line="600" w:lineRule="exact"/>
        <w:jc w:val="center"/>
        <w:outlineLvl w:val="0"/>
        <w:rPr>
          <w:rFonts w:ascii="Times New Roman" w:hAnsi="Times New Roman"/>
          <w:b/>
          <w:color w:val="auto"/>
          <w:sz w:val="44"/>
          <w:szCs w:val="44"/>
          <w:highlight w:val="none"/>
        </w:rPr>
      </w:pPr>
      <w:bookmarkStart w:id="106" w:name="_Toc15377225"/>
      <w:bookmarkStart w:id="107" w:name="_Toc15396613"/>
      <w:bookmarkStart w:id="108" w:name="_Toc1639308339_WPSOffice_Level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06"/>
      <w:bookmarkEnd w:id="107"/>
      <w:bookmarkEnd w:id="10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default"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w:t>
      </w:r>
      <w:r>
        <w:rPr>
          <w:rFonts w:hint="eastAsia" w:eastAsia="仿宋_GB2312" w:cs="仿宋_GB2312"/>
          <w:color w:val="auto"/>
          <w:kern w:val="2"/>
          <w:sz w:val="32"/>
          <w:szCs w:val="32"/>
          <w:highlight w:val="none"/>
          <w:lang w:val="en-US" w:eastAsia="zh-CN" w:bidi="ar-SA"/>
        </w:rPr>
        <w:t>纪检检查事务</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行政运行</w:t>
      </w:r>
      <w:r>
        <w:rPr>
          <w:rFonts w:hint="eastAsia" w:ascii="Times New Roman" w:hAnsi="Times New Roman" w:eastAsia="仿宋_GB2312" w:cs="仿宋_GB2312"/>
          <w:color w:val="auto"/>
          <w:kern w:val="2"/>
          <w:sz w:val="32"/>
          <w:szCs w:val="32"/>
          <w:highlight w:val="none"/>
          <w:lang w:val="en-US" w:eastAsia="zh-CN" w:bidi="ar-SA"/>
        </w:rPr>
        <w:t>（项）：指</w:t>
      </w:r>
      <w:r>
        <w:rPr>
          <w:rFonts w:hint="eastAsia" w:eastAsia="仿宋_GB2312" w:cs="仿宋_GB2312"/>
          <w:color w:val="auto"/>
          <w:kern w:val="2"/>
          <w:sz w:val="32"/>
          <w:szCs w:val="32"/>
          <w:highlight w:val="none"/>
          <w:lang w:val="en-US" w:eastAsia="zh-CN" w:bidi="ar-SA"/>
        </w:rPr>
        <w:t>反映行政单位（包括实行公务员管理德事业单位）的基本支出。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.社会保障和就业（类）行政事业单位养老支出(类）机关事业单位基本养老保险缴费支出（项）：指</w:t>
      </w:r>
      <w:r>
        <w:rPr>
          <w:rFonts w:hint="eastAsia" w:eastAsia="仿宋_GB2312" w:cs="仿宋_GB2312"/>
          <w:color w:val="auto"/>
          <w:kern w:val="2"/>
          <w:sz w:val="32"/>
          <w:szCs w:val="32"/>
          <w:highlight w:val="none"/>
          <w:lang w:val="en-US" w:eastAsia="zh-CN" w:bidi="ar-SA"/>
        </w:rPr>
        <w:t>反映机关事业单位实施养老保险制度由单位缴纳的基本养老保险及职业年金。</w:t>
      </w:r>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.卫生健康（类）行政事业单位医疗（款）行政单位医疗（项）：指</w:t>
      </w:r>
      <w:r>
        <w:rPr>
          <w:rFonts w:hint="eastAsia" w:eastAsia="仿宋_GB2312" w:cs="仿宋_GB2312"/>
          <w:color w:val="auto"/>
          <w:kern w:val="2"/>
          <w:sz w:val="32"/>
          <w:szCs w:val="32"/>
          <w:highlight w:val="none"/>
          <w:lang w:val="en-US" w:eastAsia="zh-CN" w:bidi="ar-SA"/>
        </w:rPr>
        <w:t>行政事业医疗方面的支出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住房保障（类）住房改革(款）住房公积金（项）</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jc w:val="left"/>
        <w:rPr>
          <w:rStyle w:val="30"/>
          <w:rFonts w:hint="eastAsia" w:ascii="Times New Roman" w:hAnsi="Times New Roman" w:eastAsia="黑体"/>
          <w:b w:val="0"/>
          <w:color w:val="auto"/>
          <w:highlight w:val="none"/>
          <w:lang w:eastAsia="zh-CN"/>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邮电费、差旅费、会议费、福利费、日常维修费、一般设备购置费、办公用房水电费、公务用车运行维护费以及其他费用。</w:t>
      </w:r>
      <w:bookmarkStart w:id="109"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110"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10"/>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widowControl/>
        <w:spacing w:line="580" w:lineRule="exact"/>
        <w:contextualSpacing/>
        <w:jc w:val="center"/>
        <w:rPr>
          <w:rFonts w:hint="eastAsia" w:ascii="CESI仿宋-GB13000" w:hAnsi="CESI仿宋-GB13000" w:eastAsia="CESI仿宋-GB13000" w:cs="CESI仿宋-GB13000"/>
          <w:b/>
          <w:sz w:val="44"/>
          <w:szCs w:val="44"/>
          <w:shd w:val="clear" w:color="auto" w:fill="FFFFFF"/>
          <w:lang w:eastAsia="zh-CN"/>
        </w:rPr>
      </w:pPr>
      <w:bookmarkStart w:id="111" w:name="_Toc1220845794_WPSOffice_Level1"/>
      <w:bookmarkStart w:id="112" w:name="_Toc326840428_WPSOffice_Level1"/>
      <w:r>
        <w:rPr>
          <w:rFonts w:hint="eastAsia" w:ascii="CESI仿宋-GB13000" w:hAnsi="CESI仿宋-GB13000" w:eastAsia="CESI仿宋-GB13000" w:cs="CESI仿宋-GB13000"/>
          <w:b/>
          <w:sz w:val="44"/>
          <w:szCs w:val="44"/>
          <w:shd w:val="clear" w:color="auto" w:fill="FFFFFF"/>
          <w:lang w:eastAsia="zh-CN"/>
        </w:rPr>
        <w:t>中共阿坝州委巡察工作领导小组办公室</w:t>
      </w:r>
      <w:bookmarkEnd w:id="111"/>
      <w:bookmarkEnd w:id="112"/>
    </w:p>
    <w:p>
      <w:pPr>
        <w:widowControl/>
        <w:spacing w:line="580" w:lineRule="exact"/>
        <w:contextualSpacing/>
        <w:jc w:val="center"/>
        <w:rPr>
          <w:rFonts w:hint="eastAsia" w:ascii="CESI仿宋-GB13000" w:hAnsi="CESI仿宋-GB13000" w:eastAsia="CESI仿宋-GB13000" w:cs="CESI仿宋-GB13000"/>
          <w:b/>
          <w:sz w:val="44"/>
          <w:szCs w:val="44"/>
          <w:shd w:val="clear" w:color="auto" w:fill="FFFFFF"/>
        </w:rPr>
      </w:pPr>
      <w:bookmarkStart w:id="113" w:name="_Toc412023521_WPSOffice_Level1"/>
      <w:bookmarkStart w:id="114" w:name="_Toc202323142_WPSOffice_Level1"/>
      <w:r>
        <w:rPr>
          <w:rFonts w:hint="eastAsia" w:ascii="CESI仿宋-GB13000" w:hAnsi="CESI仿宋-GB13000" w:eastAsia="CESI仿宋-GB13000" w:cs="CESI仿宋-GB13000"/>
          <w:b/>
          <w:sz w:val="44"/>
          <w:szCs w:val="44"/>
          <w:shd w:val="clear" w:color="auto" w:fill="FFFFFF"/>
          <w:lang w:eastAsia="zh-CN"/>
        </w:rPr>
        <w:t>关于</w:t>
      </w:r>
      <w:r>
        <w:rPr>
          <w:rFonts w:hint="eastAsia" w:ascii="CESI仿宋-GB13000" w:hAnsi="CESI仿宋-GB13000" w:eastAsia="CESI仿宋-GB13000" w:cs="CESI仿宋-GB13000"/>
          <w:b/>
          <w:sz w:val="44"/>
          <w:szCs w:val="44"/>
          <w:shd w:val="clear" w:color="auto" w:fill="FFFFFF"/>
          <w:lang w:val="en-US" w:eastAsia="zh-CN"/>
        </w:rPr>
        <w:t>2024年度</w:t>
      </w:r>
      <w:r>
        <w:rPr>
          <w:rFonts w:hint="eastAsia" w:ascii="CESI仿宋-GB13000" w:hAnsi="CESI仿宋-GB13000" w:eastAsia="CESI仿宋-GB13000" w:cs="CESI仿宋-GB13000"/>
          <w:b/>
          <w:sz w:val="44"/>
          <w:szCs w:val="44"/>
          <w:shd w:val="clear" w:color="auto" w:fill="FFFFFF"/>
        </w:rPr>
        <w:t>州级部门</w:t>
      </w:r>
      <w:r>
        <w:rPr>
          <w:rFonts w:hint="eastAsia" w:ascii="CESI仿宋-GB13000" w:hAnsi="CESI仿宋-GB13000" w:eastAsia="CESI仿宋-GB13000" w:cs="CESI仿宋-GB13000"/>
          <w:b/>
          <w:sz w:val="44"/>
          <w:szCs w:val="44"/>
          <w:shd w:val="clear" w:color="auto" w:fill="FFFFFF"/>
          <w:lang w:eastAsia="zh-CN"/>
        </w:rPr>
        <w:t>预算</w:t>
      </w:r>
      <w:r>
        <w:rPr>
          <w:rFonts w:hint="eastAsia" w:ascii="CESI仿宋-GB13000" w:hAnsi="CESI仿宋-GB13000" w:eastAsia="CESI仿宋-GB13000" w:cs="CESI仿宋-GB13000"/>
          <w:b/>
          <w:sz w:val="44"/>
          <w:szCs w:val="44"/>
          <w:shd w:val="clear" w:color="auto" w:fill="FFFFFF"/>
        </w:rPr>
        <w:t>绩效评价报告</w:t>
      </w:r>
      <w:bookmarkEnd w:id="113"/>
      <w:bookmarkEnd w:id="114"/>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bookmarkStart w:id="115" w:name="_Toc322309421_WPSOffice_Level2"/>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bookmarkEnd w:id="115"/>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pPr>
        <w:ind w:firstLine="640" w:firstLineChars="200"/>
        <w:rPr>
          <w:rFonts w:hint="default" w:ascii="Times New Roman" w:hAnsi="Times New Roman" w:eastAsia="楷体_GB2312" w:cs="楷体_GB2312"/>
          <w:b/>
          <w:color w:val="auto"/>
          <w:sz w:val="32"/>
          <w:szCs w:val="32"/>
          <w:highlight w:val="none"/>
          <w:lang w:val="zh-CN"/>
        </w:rPr>
      </w:pPr>
      <w:r>
        <w:rPr>
          <w:rFonts w:hint="eastAsia" w:ascii="仿宋_GB2312" w:eastAsia="仿宋_GB2312"/>
          <w:sz w:val="32"/>
          <w:szCs w:val="32"/>
        </w:rPr>
        <w:t>州委巡察办属一级预算单位，无下属二级预算单位，其中：行政单位</w:t>
      </w:r>
      <w:r>
        <w:rPr>
          <w:rFonts w:ascii="Arial" w:hAnsi="Arial" w:eastAsia="仿宋_GB2312" w:cs="Arial"/>
          <w:sz w:val="32"/>
          <w:szCs w:val="32"/>
        </w:rPr>
        <w:t>1</w:t>
      </w:r>
      <w:r>
        <w:rPr>
          <w:rFonts w:hint="eastAsia" w:ascii="仿宋_GB2312" w:eastAsia="仿宋_GB2312"/>
          <w:sz w:val="32"/>
          <w:szCs w:val="32"/>
        </w:rPr>
        <w:t>个，无参照公务员法管理的事业单位，无其他事业单位。</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pPr>
        <w:snapToGrid w:val="0"/>
        <w:spacing w:line="576" w:lineRule="exact"/>
        <w:ind w:firstLine="640" w:firstLineChars="200"/>
        <w:rPr>
          <w:rFonts w:hint="eastAsia" w:ascii="楷体_GB2312" w:eastAsia="楷体_GB2312"/>
          <w:b/>
          <w:sz w:val="32"/>
          <w:szCs w:val="32"/>
        </w:rPr>
      </w:pPr>
      <w:r>
        <w:rPr>
          <w:rFonts w:eastAsia="仿宋_GB2312"/>
          <w:sz w:val="32"/>
          <w:szCs w:val="32"/>
        </w:rPr>
        <w:t>向省委巡视工作领导小组办公室报送巡察工作规划、年度计划、年度巡察工作总结、</w:t>
      </w:r>
      <w:r>
        <w:rPr>
          <w:rFonts w:eastAsia="仿宋_GB2312"/>
          <w:spacing w:val="-20"/>
          <w:sz w:val="32"/>
          <w:szCs w:val="32"/>
        </w:rPr>
        <w:t>重要情况和信息</w:t>
      </w:r>
      <w:r>
        <w:rPr>
          <w:rFonts w:hint="eastAsia" w:eastAsia="仿宋_GB2312"/>
          <w:spacing w:val="-20"/>
          <w:sz w:val="32"/>
          <w:szCs w:val="32"/>
        </w:rPr>
        <w:t>；</w:t>
      </w:r>
      <w:r>
        <w:rPr>
          <w:rFonts w:eastAsia="仿宋_GB2312"/>
          <w:sz w:val="32"/>
          <w:szCs w:val="32"/>
        </w:rPr>
        <w:t>向州委巡察工作领导小组报告工作情况，传达贯彻州委巡察工作领导小组的决策和部署</w:t>
      </w:r>
      <w:r>
        <w:rPr>
          <w:rFonts w:hint="eastAsia" w:eastAsia="仿宋_GB2312"/>
          <w:sz w:val="32"/>
          <w:szCs w:val="32"/>
        </w:rPr>
        <w:t>；</w:t>
      </w:r>
      <w:r>
        <w:rPr>
          <w:rFonts w:eastAsia="仿宋_GB2312"/>
          <w:sz w:val="32"/>
          <w:szCs w:val="32"/>
        </w:rPr>
        <w:t>统筹、协调、指导巡察组开展工作；承担政策研究、制度建设等工作；对州委和州委巡察工作领导小组决定的事项进行督办；配合州纪委、州委组织部等部门对巡察工作人员进行培训、考核、监督和管理；健全与纪检、政法</w:t>
      </w:r>
      <w:r>
        <w:rPr>
          <w:rFonts w:hint="eastAsia" w:eastAsia="仿宋_GB2312"/>
          <w:sz w:val="32"/>
          <w:szCs w:val="32"/>
        </w:rPr>
        <w:t>、</w:t>
      </w:r>
      <w:r>
        <w:rPr>
          <w:rFonts w:eastAsia="仿宋_GB2312"/>
          <w:sz w:val="32"/>
          <w:szCs w:val="32"/>
        </w:rPr>
        <w:t>组织、审计、信访等机关和部门的联系机制，负责与其进行沟通衔接；办理州委巡察工作领导小组</w:t>
      </w:r>
      <w:r>
        <w:rPr>
          <w:rFonts w:hint="eastAsia" w:eastAsia="仿宋_GB2312"/>
          <w:sz w:val="32"/>
          <w:szCs w:val="32"/>
        </w:rPr>
        <w:t>和上级巡视工作领导小组办公室</w:t>
      </w:r>
      <w:r>
        <w:rPr>
          <w:rFonts w:eastAsia="仿宋_GB2312"/>
          <w:sz w:val="32"/>
          <w:szCs w:val="32"/>
        </w:rPr>
        <w:t>交办的其他事项。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eastAsia" w:eastAsia="仿宋_GB2312"/>
          <w:sz w:val="32"/>
          <w:szCs w:val="32"/>
        </w:rPr>
        <w:t>州委巡察办行政编制12名，其中，巡察办主任1名、副主任1名，巡察组组长4名(正县级)，副组长4名(副县级)，巡察专员4名(由副组长兼任)。机关工勤人员2名。</w:t>
      </w:r>
      <w:r>
        <w:rPr>
          <w:rFonts w:hint="eastAsia" w:eastAsia="仿宋_GB2312"/>
          <w:sz w:val="32"/>
          <w:szCs w:val="32"/>
          <w:lang w:val="en-US" w:eastAsia="zh-CN"/>
        </w:rPr>
        <w:t>2024</w:t>
      </w:r>
      <w:r>
        <w:rPr>
          <w:rFonts w:hint="eastAsia" w:eastAsia="仿宋_GB2312"/>
          <w:sz w:val="32"/>
          <w:szCs w:val="32"/>
        </w:rPr>
        <w:t>年末，实际有巡察办主任、副主任各1名，巡察组组长</w:t>
      </w:r>
      <w:r>
        <w:rPr>
          <w:rFonts w:hint="eastAsia" w:eastAsia="仿宋_GB2312"/>
          <w:sz w:val="32"/>
          <w:szCs w:val="32"/>
          <w:lang w:val="en-US" w:eastAsia="zh-CN"/>
        </w:rPr>
        <w:t>6</w:t>
      </w:r>
      <w:r>
        <w:rPr>
          <w:rFonts w:hint="eastAsia" w:eastAsia="仿宋_GB2312"/>
          <w:sz w:val="32"/>
          <w:szCs w:val="32"/>
        </w:rPr>
        <w:t>名，副组长</w:t>
      </w:r>
      <w:r>
        <w:rPr>
          <w:rFonts w:hint="eastAsia" w:eastAsia="仿宋_GB2312"/>
          <w:sz w:val="32"/>
          <w:szCs w:val="32"/>
          <w:lang w:val="en-US" w:eastAsia="zh-CN"/>
        </w:rPr>
        <w:t>5</w:t>
      </w:r>
      <w:r>
        <w:rPr>
          <w:rFonts w:hint="eastAsia" w:eastAsia="仿宋_GB2312"/>
          <w:sz w:val="32"/>
          <w:szCs w:val="32"/>
        </w:rPr>
        <w:t>名，</w:t>
      </w:r>
      <w:r>
        <w:rPr>
          <w:rFonts w:hint="eastAsia"/>
          <w:sz w:val="32"/>
          <w:szCs w:val="32"/>
          <w:lang w:eastAsia="zh-CN"/>
        </w:rPr>
        <w:t>正县级普通工作人员</w:t>
      </w:r>
      <w:r>
        <w:rPr>
          <w:rFonts w:hint="eastAsia"/>
          <w:sz w:val="32"/>
          <w:szCs w:val="32"/>
          <w:lang w:val="en-US" w:eastAsia="zh-CN"/>
        </w:rPr>
        <w:t>2名，工勤人员1名，</w:t>
      </w:r>
      <w:r>
        <w:rPr>
          <w:rFonts w:hint="eastAsia" w:eastAsia="仿宋_GB2312"/>
          <w:sz w:val="32"/>
          <w:szCs w:val="32"/>
        </w:rPr>
        <w:t>共</w:t>
      </w:r>
      <w:r>
        <w:rPr>
          <w:rFonts w:hint="eastAsia" w:eastAsia="仿宋_GB2312"/>
          <w:sz w:val="32"/>
          <w:szCs w:val="32"/>
          <w:lang w:val="en-US" w:eastAsia="zh-CN"/>
        </w:rPr>
        <w:t>15</w:t>
      </w:r>
      <w:r>
        <w:rPr>
          <w:rFonts w:hint="eastAsia"/>
          <w:sz w:val="32"/>
          <w:szCs w:val="32"/>
          <w:lang w:eastAsia="zh-CN"/>
        </w:rPr>
        <w:t>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bookmarkStart w:id="116" w:name="_Toc631371062_WPSOffice_Level2"/>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bookmarkEnd w:id="116"/>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仿宋_GB2312" w:cs="Times New Roman"/>
          <w:sz w:val="32"/>
          <w:szCs w:val="32"/>
          <w:lang w:val="zh-CN"/>
        </w:rPr>
        <w:t>州委巡察办本年度的部门财政资金总收入为</w:t>
      </w:r>
      <w:r>
        <w:rPr>
          <w:rFonts w:hint="eastAsia" w:eastAsia="仿宋_GB2312" w:cs="Times New Roman"/>
          <w:sz w:val="32"/>
          <w:szCs w:val="32"/>
          <w:lang w:val="en-US" w:eastAsia="zh-CN"/>
        </w:rPr>
        <w:t>640.64</w:t>
      </w:r>
      <w:r>
        <w:rPr>
          <w:rFonts w:hint="eastAsia" w:ascii="Times New Roman" w:hAnsi="Times New Roman" w:eastAsia="仿宋_GB2312" w:cs="Times New Roman"/>
          <w:sz w:val="32"/>
          <w:szCs w:val="32"/>
          <w:lang w:val="en-US" w:eastAsia="zh-CN"/>
        </w:rPr>
        <w:t>万元，其中公用经费为</w:t>
      </w:r>
      <w:r>
        <w:rPr>
          <w:rFonts w:hint="eastAsia" w:eastAsia="仿宋_GB2312" w:cs="Times New Roman"/>
          <w:sz w:val="32"/>
          <w:szCs w:val="32"/>
          <w:lang w:val="en-US" w:eastAsia="zh-CN"/>
        </w:rPr>
        <w:t>57.43</w:t>
      </w:r>
      <w:r>
        <w:rPr>
          <w:rFonts w:hint="eastAsia" w:ascii="Times New Roman" w:hAnsi="Times New Roman" w:eastAsia="仿宋_GB2312" w:cs="Times New Roman"/>
          <w:sz w:val="32"/>
          <w:szCs w:val="32"/>
          <w:lang w:val="en-US" w:eastAsia="zh-CN"/>
        </w:rPr>
        <w:t>万元，占总收入的</w:t>
      </w:r>
      <w:r>
        <w:rPr>
          <w:rFonts w:hint="eastAsia" w:eastAsia="仿宋_GB2312" w:cs="Times New Roman"/>
          <w:sz w:val="32"/>
          <w:szCs w:val="32"/>
          <w:lang w:val="en-US" w:eastAsia="zh-CN"/>
        </w:rPr>
        <w:t>8.9</w:t>
      </w:r>
      <w:r>
        <w:rPr>
          <w:rFonts w:hint="eastAsia" w:ascii="Times New Roman" w:hAnsi="Times New Roman" w:eastAsia="仿宋_GB2312" w:cs="Times New Roman"/>
          <w:sz w:val="32"/>
          <w:szCs w:val="32"/>
          <w:lang w:val="en-US" w:eastAsia="zh-CN"/>
        </w:rPr>
        <w:t>%，人员经费为</w:t>
      </w:r>
      <w:r>
        <w:rPr>
          <w:rFonts w:hint="eastAsia" w:eastAsia="仿宋_GB2312" w:cs="Times New Roman"/>
          <w:sz w:val="32"/>
          <w:szCs w:val="32"/>
          <w:lang w:val="en-US" w:eastAsia="zh-CN"/>
        </w:rPr>
        <w:t>418.19</w:t>
      </w:r>
      <w:r>
        <w:rPr>
          <w:rFonts w:hint="eastAsia" w:ascii="Times New Roman" w:hAnsi="Times New Roman" w:eastAsia="仿宋_GB2312" w:cs="Times New Roman"/>
          <w:sz w:val="32"/>
          <w:szCs w:val="32"/>
          <w:lang w:val="en-US" w:eastAsia="zh-CN"/>
        </w:rPr>
        <w:t>万元，占总收入的</w:t>
      </w:r>
      <w:r>
        <w:rPr>
          <w:rFonts w:hint="eastAsia" w:eastAsia="仿宋_GB2312" w:cs="Times New Roman"/>
          <w:sz w:val="32"/>
          <w:szCs w:val="32"/>
          <w:lang w:val="en-US" w:eastAsia="zh-CN"/>
        </w:rPr>
        <w:t>65.3</w:t>
      </w:r>
      <w:r>
        <w:rPr>
          <w:rFonts w:hint="eastAsia" w:ascii="Times New Roman" w:hAnsi="Times New Roman" w:eastAsia="仿宋_GB2312" w:cs="Times New Roman"/>
          <w:sz w:val="32"/>
          <w:szCs w:val="32"/>
          <w:lang w:val="en-US" w:eastAsia="zh-CN"/>
        </w:rPr>
        <w:t>%，项目经费</w:t>
      </w:r>
      <w:r>
        <w:rPr>
          <w:rFonts w:hint="eastAsia" w:eastAsia="仿宋_GB2312" w:cs="Times New Roman"/>
          <w:sz w:val="32"/>
          <w:szCs w:val="32"/>
          <w:lang w:val="en-US" w:eastAsia="zh-CN"/>
        </w:rPr>
        <w:t>165.03</w:t>
      </w:r>
      <w:r>
        <w:rPr>
          <w:rFonts w:hint="eastAsia" w:ascii="Times New Roman" w:hAnsi="Times New Roman" w:eastAsia="仿宋_GB2312" w:cs="Times New Roman"/>
          <w:sz w:val="32"/>
          <w:szCs w:val="32"/>
          <w:lang w:val="en-US" w:eastAsia="zh-CN"/>
        </w:rPr>
        <w:t>万元，占总收入的</w:t>
      </w:r>
      <w:r>
        <w:rPr>
          <w:rFonts w:hint="eastAsia" w:eastAsia="仿宋_GB2312" w:cs="Times New Roman"/>
          <w:sz w:val="32"/>
          <w:szCs w:val="32"/>
          <w:lang w:val="en-US" w:eastAsia="zh-CN"/>
        </w:rPr>
        <w:t>25.7</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仿宋_GB2312" w:cs="Times New Roman"/>
          <w:sz w:val="32"/>
          <w:szCs w:val="32"/>
          <w:lang w:val="zh-CN"/>
        </w:rPr>
        <w:t>州委巡察办本年度</w:t>
      </w:r>
      <w:r>
        <w:rPr>
          <w:rFonts w:hint="eastAsia" w:ascii="Times New Roman" w:hAnsi="Times New Roman" w:eastAsia="仿宋_GB2312" w:cs="Times New Roman"/>
          <w:sz w:val="32"/>
          <w:szCs w:val="32"/>
          <w:lang w:val="en-US" w:eastAsia="zh-CN"/>
        </w:rPr>
        <w:t>1月至12月</w:t>
      </w:r>
      <w:r>
        <w:rPr>
          <w:rFonts w:hint="eastAsia" w:ascii="Times New Roman" w:hAnsi="Times New Roman" w:eastAsia="仿宋_GB2312" w:cs="Times New Roman"/>
          <w:sz w:val="32"/>
          <w:szCs w:val="32"/>
          <w:lang w:val="zh-CN"/>
        </w:rPr>
        <w:t>的部门财政资金总支出为</w:t>
      </w:r>
      <w:r>
        <w:rPr>
          <w:rFonts w:hint="eastAsia" w:eastAsia="仿宋_GB2312" w:cs="Times New Roman"/>
          <w:sz w:val="32"/>
          <w:szCs w:val="32"/>
          <w:lang w:val="en-US" w:eastAsia="zh-CN"/>
        </w:rPr>
        <w:t>640.64</w:t>
      </w:r>
      <w:r>
        <w:rPr>
          <w:rFonts w:hint="eastAsia" w:ascii="Times New Roman" w:hAnsi="Times New Roman" w:eastAsia="仿宋_GB2312" w:cs="Times New Roman"/>
          <w:sz w:val="32"/>
          <w:szCs w:val="32"/>
          <w:lang w:val="en-US" w:eastAsia="zh-CN"/>
        </w:rPr>
        <w:t>万元，其中公用经费为</w:t>
      </w:r>
      <w:r>
        <w:rPr>
          <w:rFonts w:hint="eastAsia" w:eastAsia="仿宋_GB2312" w:cs="Times New Roman"/>
          <w:sz w:val="32"/>
          <w:szCs w:val="32"/>
          <w:lang w:val="en-US" w:eastAsia="zh-CN"/>
        </w:rPr>
        <w:t>57.43</w:t>
      </w:r>
      <w:r>
        <w:rPr>
          <w:rFonts w:hint="eastAsia" w:ascii="Times New Roman" w:hAnsi="Times New Roman" w:eastAsia="仿宋_GB2312" w:cs="Times New Roman"/>
          <w:sz w:val="32"/>
          <w:szCs w:val="32"/>
          <w:lang w:val="en-US" w:eastAsia="zh-CN"/>
        </w:rPr>
        <w:t>万元，占总支出的</w:t>
      </w:r>
      <w:r>
        <w:rPr>
          <w:rFonts w:hint="eastAsia"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.9%，人员经费为</w:t>
      </w:r>
      <w:r>
        <w:rPr>
          <w:rFonts w:hint="eastAsia" w:eastAsia="仿宋_GB2312" w:cs="Times New Roman"/>
          <w:sz w:val="32"/>
          <w:szCs w:val="32"/>
          <w:lang w:val="en-US" w:eastAsia="zh-CN"/>
        </w:rPr>
        <w:t>418.19</w:t>
      </w:r>
      <w:r>
        <w:rPr>
          <w:rFonts w:hint="eastAsia" w:ascii="Times New Roman" w:hAnsi="Times New Roman" w:eastAsia="仿宋_GB2312" w:cs="Times New Roman"/>
          <w:sz w:val="32"/>
          <w:szCs w:val="32"/>
          <w:lang w:val="en-US" w:eastAsia="zh-CN"/>
        </w:rPr>
        <w:t>万元，占总支出的</w:t>
      </w:r>
      <w:r>
        <w:rPr>
          <w:rFonts w:hint="eastAsia" w:eastAsia="仿宋_GB2312" w:cs="Times New Roman"/>
          <w:sz w:val="32"/>
          <w:szCs w:val="32"/>
          <w:lang w:val="en-US" w:eastAsia="zh-CN"/>
        </w:rPr>
        <w:t>65.3</w:t>
      </w:r>
      <w:r>
        <w:rPr>
          <w:rFonts w:hint="eastAsia" w:ascii="Times New Roman" w:hAnsi="Times New Roman" w:eastAsia="仿宋_GB2312" w:cs="Times New Roman"/>
          <w:sz w:val="32"/>
          <w:szCs w:val="32"/>
          <w:lang w:val="en-US" w:eastAsia="zh-CN"/>
        </w:rPr>
        <w:t>%，项目支出</w:t>
      </w:r>
      <w:r>
        <w:rPr>
          <w:rFonts w:hint="eastAsia" w:eastAsia="仿宋_GB2312" w:cs="Times New Roman"/>
          <w:sz w:val="32"/>
          <w:szCs w:val="32"/>
          <w:lang w:val="en-US" w:eastAsia="zh-CN"/>
        </w:rPr>
        <w:t>165.03</w:t>
      </w:r>
      <w:r>
        <w:rPr>
          <w:rFonts w:hint="eastAsia" w:ascii="Times New Roman" w:hAnsi="Times New Roman" w:eastAsia="仿宋_GB2312" w:cs="Times New Roman"/>
          <w:sz w:val="32"/>
          <w:szCs w:val="32"/>
          <w:lang w:val="en-US" w:eastAsia="zh-CN"/>
        </w:rPr>
        <w:t>万元，占总支出的</w:t>
      </w:r>
      <w:r>
        <w:rPr>
          <w:rFonts w:hint="eastAsia" w:eastAsia="仿宋_GB2312" w:cs="Times New Roman"/>
          <w:sz w:val="32"/>
          <w:szCs w:val="32"/>
          <w:lang w:val="en-US" w:eastAsia="zh-CN"/>
        </w:rPr>
        <w:t>25</w:t>
      </w:r>
      <w:r>
        <w:rPr>
          <w:rFonts w:hint="eastAsia" w:ascii="Times New Roman" w:hAnsi="Times New Roman" w:eastAsia="仿宋_GB2312" w:cs="Times New Roman"/>
          <w:sz w:val="32"/>
          <w:szCs w:val="32"/>
          <w:lang w:val="en-US" w:eastAsia="zh-CN"/>
        </w:rPr>
        <w:t>.7%。</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1280" w:firstLineChars="4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eastAsia" w:ascii="Times New Roman" w:hAnsi="Times New Roman" w:eastAsia="仿宋_GB2312" w:cs="Times New Roman"/>
          <w:sz w:val="32"/>
          <w:szCs w:val="32"/>
          <w:lang w:val="zh-CN" w:eastAsia="zh-CN"/>
        </w:rPr>
        <w:t>我办无结转结余情况</w:t>
      </w:r>
      <w:r>
        <w:rPr>
          <w:rFonts w:hint="eastAsia" w:eastAsia="仿宋_GB2312" w:cs="Times New Roman"/>
          <w:sz w:val="32"/>
          <w:szCs w:val="32"/>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bookmarkStart w:id="117" w:name="_Toc131932181_WPSOffice_Level2"/>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bookmarkEnd w:id="117"/>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rPr>
      </w:pP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zh-CN"/>
        </w:rPr>
        <w:t>履职效能。</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rPr>
        <w:t>我办整体绩效目标有巡察专项经费。根据根据省、州委的要求，已完成</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rPr>
        <w:t>轮常规巡察及其他相关工作</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rPr>
      </w:pP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zh-CN"/>
        </w:rPr>
        <w:t>预算管理</w:t>
      </w:r>
      <w:r>
        <w:rPr>
          <w:rFonts w:hint="eastAsia" w:ascii="Times New Roman" w:hAnsi="Times New Roman" w:eastAsia="仿宋_GB2312" w:cs="Times New Roman"/>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en-US" w:eastAsia="zh-CN"/>
        </w:rPr>
        <w:t>一是严格按要求编制年初部门预算，年初预算编制的科学性和准确性，根据年度经济社会发展目标、国家宏观调控总体要求和跨年度预算平衡的需要，参考上一年预算执行情况、有关支出绩效评价结果和本年度收支预测，按照规定程序征求各方面意见后，进行编制。</w:t>
      </w:r>
      <w:r>
        <w:rPr>
          <w:rFonts w:hint="eastAsia" w:ascii="Times New Roman" w:hAnsi="Times New Roman" w:eastAsia="仿宋_GB2312" w:cs="Times New Roman"/>
          <w:sz w:val="32"/>
          <w:szCs w:val="32"/>
          <w:lang w:val="zh-TW" w:eastAsia="zh-CN"/>
        </w:rPr>
        <w:t>预算编制做到依据充分、程序规范、方法科学、编制及时、内容完整、项目细化、数据准确、测算合规。二是无自有收入；三</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lang w:val="zh-CN"/>
        </w:rPr>
        <w:t>我办无年终结余；五是根据财政要求严控“三公”经费支出</w:t>
      </w:r>
      <w:r>
        <w:rPr>
          <w:rFonts w:hint="eastAsia" w:eastAsia="仿宋_GB2312" w:cs="Times New Roman"/>
          <w:sz w:val="32"/>
          <w:szCs w:val="32"/>
          <w:lang w:val="en-US" w:eastAsia="zh-CN"/>
        </w:rPr>
        <w:t>15.09</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zh-CN"/>
        </w:rPr>
        <w:t>，差旅费</w:t>
      </w:r>
      <w:r>
        <w:rPr>
          <w:rFonts w:hint="eastAsia" w:eastAsia="仿宋_GB2312" w:cs="Times New Roman"/>
          <w:sz w:val="32"/>
          <w:szCs w:val="32"/>
          <w:lang w:val="en-US" w:eastAsia="zh-CN"/>
        </w:rPr>
        <w:t>96.69</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eastAsia="zh-CN"/>
        </w:rPr>
        <w:t>财务管理</w:t>
      </w:r>
      <w:r>
        <w:rPr>
          <w:rFonts w:hint="eastAsia" w:ascii="Times New Roman" w:hAnsi="Times New Roman" w:eastAsia="仿宋_GB2312" w:cs="Times New Roman"/>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eastAsia="zh-CN"/>
        </w:rPr>
        <w:t>我办已制定内部财务管理制度制度机制，</w:t>
      </w:r>
      <w:r>
        <w:rPr>
          <w:rFonts w:hint="eastAsia" w:eastAsia="仿宋_GB2312" w:cs="Times New Roman"/>
          <w:sz w:val="32"/>
          <w:szCs w:val="32"/>
          <w:lang w:val="en-US" w:eastAsia="zh-CN"/>
        </w:rPr>
        <w:t>2024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度</w:t>
      </w:r>
      <w:r>
        <w:rPr>
          <w:rFonts w:hint="eastAsia" w:ascii="Times New Roman" w:hAnsi="Times New Roman" w:eastAsia="仿宋_GB2312" w:cs="Times New Roman"/>
          <w:sz w:val="32"/>
          <w:szCs w:val="32"/>
          <w:lang w:val="en-US" w:eastAsia="zh-CN"/>
        </w:rPr>
        <w:t>财务管理</w:t>
      </w:r>
      <w:r>
        <w:rPr>
          <w:rFonts w:hint="eastAsia" w:ascii="Times New Roman" w:hAnsi="Times New Roman" w:eastAsia="仿宋_GB2312" w:cs="Times New Roman"/>
          <w:sz w:val="32"/>
          <w:szCs w:val="32"/>
          <w:lang w:val="zh-CN" w:eastAsia="zh-CN"/>
        </w:rPr>
        <w:t>管理制度得到落实，设置财务工作岗位，明确职责权限，并严格实行不相容岗位分离，资金使用严格按照相关财务管理制度规定执行。</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资产管理</w:t>
      </w:r>
      <w:r>
        <w:rPr>
          <w:rFonts w:hint="eastAsia" w:ascii="Times New Roman" w:hAnsi="Times New Roman" w:eastAsia="仿宋_GB2312" w:cs="Times New Roman"/>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我办不存在闲置资产，因此并无资产判活率。</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zh-CN" w:eastAsia="zh-CN"/>
        </w:rPr>
        <w:t>采购管理</w:t>
      </w:r>
      <w:r>
        <w:rPr>
          <w:rFonts w:hint="eastAsia" w:ascii="Times New Roman" w:hAnsi="Times New Roman" w:eastAsia="仿宋_GB2312" w:cs="Times New Roman"/>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对适宜由中小企业提供的采购项目，预留采购份额专门面向中小企业采购，并在采购预算中单独列示。</w:t>
      </w:r>
    </w:p>
    <w:p>
      <w:pPr>
        <w:ind w:firstLine="642" w:firstLineChars="200"/>
        <w:rPr>
          <w:rFonts w:eastAsia="仿宋_GB2312"/>
          <w:sz w:val="32"/>
          <w:szCs w:val="32"/>
          <w:lang w:val="zh-CN"/>
        </w:rPr>
      </w:pPr>
      <w:r>
        <w:rPr>
          <w:rFonts w:hint="eastAsia" w:ascii="楷体_GB2312" w:eastAsia="楷体_GB2312"/>
          <w:b/>
          <w:sz w:val="32"/>
          <w:szCs w:val="32"/>
        </w:rPr>
        <w:t>（二）部门预算项目绩效分析。</w:t>
      </w:r>
    </w:p>
    <w:p>
      <w:pPr>
        <w:ind w:firstLine="640" w:firstLineChars="200"/>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常年项目绩效分析。</w:t>
      </w:r>
      <w:r>
        <w:rPr>
          <w:rFonts w:hint="default"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zh-CN" w:eastAsia="zh-CN"/>
        </w:rPr>
        <w:t>个，涉及预算总金额</w:t>
      </w:r>
      <w:r>
        <w:rPr>
          <w:rFonts w:hint="eastAsia" w:eastAsia="仿宋_GB2312" w:cs="Times New Roman"/>
          <w:sz w:val="32"/>
          <w:szCs w:val="32"/>
          <w:lang w:val="en-US" w:eastAsia="zh-CN"/>
        </w:rPr>
        <w:t>165.03</w:t>
      </w:r>
      <w:r>
        <w:rPr>
          <w:rFonts w:hint="default" w:ascii="Times New Roman" w:hAnsi="Times New Roman" w:eastAsia="仿宋_GB2312" w:cs="Times New Roman"/>
          <w:sz w:val="32"/>
          <w:szCs w:val="32"/>
          <w:lang w:val="zh-CN" w:eastAsia="zh-CN"/>
        </w:rPr>
        <w:t>万元，</w:t>
      </w:r>
      <w:r>
        <w:rPr>
          <w:rFonts w:hint="default" w:ascii="Times New Roman" w:hAnsi="Times New Roman" w:eastAsia="仿宋_GB2312" w:cs="Times New Roman"/>
          <w:sz w:val="32"/>
          <w:szCs w:val="32"/>
          <w:lang w:val="zh-CN"/>
        </w:rPr>
        <w:t>1</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月预算执行总体进度为</w:t>
      </w:r>
      <w:r>
        <w:rPr>
          <w:rFonts w:hint="eastAsia" w:eastAsia="仿宋_GB2312" w:cs="Times New Roman"/>
          <w:sz w:val="32"/>
          <w:szCs w:val="32"/>
          <w:lang w:val="en-US" w:eastAsia="zh-CN"/>
        </w:rPr>
        <w:t>84</w:t>
      </w:r>
      <w:r>
        <w:rPr>
          <w:rFonts w:hint="default" w:ascii="Times New Roman" w:hAnsi="Times New Roman" w:eastAsia="仿宋_GB2312" w:cs="Times New Roman"/>
          <w:sz w:val="32"/>
          <w:szCs w:val="32"/>
          <w:lang w:val="zh-CN"/>
        </w:rPr>
        <w:t>%，其中：</w:t>
      </w:r>
      <w:r>
        <w:rPr>
          <w:rFonts w:hint="default" w:ascii="Times New Roman" w:hAnsi="Times New Roman" w:eastAsia="仿宋_GB2312" w:cs="Times New Roman"/>
          <w:sz w:val="32"/>
          <w:szCs w:val="32"/>
          <w:lang w:val="zh-CN" w:eastAsia="zh-CN"/>
        </w:rPr>
        <w:t>预算结余率大于</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zh-CN" w:eastAsia="zh-CN"/>
        </w:rPr>
        <w:t>的项目共计</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个。</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项目决策。</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我办</w:t>
      </w:r>
      <w:r>
        <w:rPr>
          <w:rFonts w:hint="eastAsia" w:eastAsia="仿宋_GB2312" w:cs="Times New Roman"/>
          <w:sz w:val="32"/>
          <w:szCs w:val="32"/>
          <w:lang w:val="en-US" w:eastAsia="zh-CN"/>
        </w:rPr>
        <w:t>2024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度</w:t>
      </w:r>
      <w:r>
        <w:rPr>
          <w:rFonts w:hint="eastAsia" w:ascii="Times New Roman" w:hAnsi="Times New Roman" w:eastAsia="仿宋_GB2312" w:cs="Times New Roman"/>
          <w:sz w:val="32"/>
          <w:szCs w:val="32"/>
          <w:lang w:val="en-US" w:eastAsia="zh-CN"/>
        </w:rPr>
        <w:t>年初对每项项目都已</w:t>
      </w:r>
      <w:r>
        <w:rPr>
          <w:rFonts w:hint="eastAsia" w:ascii="Times New Roman" w:hAnsi="Times New Roman" w:eastAsia="仿宋_GB2312" w:cs="Times New Roman"/>
          <w:sz w:val="32"/>
          <w:szCs w:val="32"/>
          <w:lang w:val="zh-CN" w:eastAsia="zh-CN"/>
        </w:rPr>
        <w:t>履行事前评估程序，已按照项目绩效目标完成相关任务、预算安排的资金支付基本达到</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val="zh-CN" w:eastAsia="zh-CN"/>
        </w:rPr>
        <w:t>，绩效目标是根据科学合理、规范完整、量化细化、预算。</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2.项目执行</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实际列支内容与绩效目标设置方向相符，不存在应采取未采取收回预算、调整目标。</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目标实现。</w:t>
      </w:r>
    </w:p>
    <w:p>
      <w:pPr>
        <w:ind w:firstLine="640" w:firstLineChars="200"/>
        <w:rPr>
          <w:rFonts w:eastAsia="仿宋_GB2312"/>
          <w:sz w:val="32"/>
          <w:szCs w:val="32"/>
          <w:lang w:val="zh-CN"/>
        </w:rPr>
      </w:pPr>
      <w:r>
        <w:rPr>
          <w:rFonts w:hint="eastAsia" w:ascii="Times New Roman" w:hAnsi="Times New Roman" w:eastAsia="仿宋_GB2312" w:cs="Times New Roman"/>
          <w:sz w:val="32"/>
          <w:szCs w:val="32"/>
          <w:lang w:val="zh-CN" w:eastAsia="zh-CN"/>
        </w:rPr>
        <w:t>已按照预算项目绩效目标完成数量指标。</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仿宋_GB2312" w:cs="Times New Roman"/>
          <w:sz w:val="32"/>
          <w:szCs w:val="32"/>
          <w:highlight w:val="none"/>
          <w:u w:val="none"/>
          <w:lang w:bidi="ar"/>
        </w:rPr>
      </w:pPr>
      <w:r>
        <w:rPr>
          <w:rFonts w:hint="eastAsia" w:ascii="Times New Roman" w:hAnsi="Times New Roman" w:eastAsia="仿宋_GB2312" w:cs="Times New Roman"/>
          <w:sz w:val="32"/>
          <w:szCs w:val="32"/>
          <w:lang w:val="en-US" w:eastAsia="zh-CN"/>
        </w:rPr>
        <w:t>州委巡察办按照相关要求及时公开了绩效自评公开、评价结果整改和应用结果反馈等情况</w:t>
      </w:r>
      <w:r>
        <w:rPr>
          <w:rFonts w:hint="eastAsia" w:ascii="Times New Roman" w:hAnsi="Times New Roman" w:eastAsia="仿宋_GB2312" w:cs="Times New Roman"/>
          <w:sz w:val="32"/>
          <w:szCs w:val="32"/>
          <w:lang w:val="zh-CN"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bookmarkStart w:id="118" w:name="_Toc1672582803_WPSOffice_Level2"/>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bookmarkEnd w:id="118"/>
    </w:p>
    <w:p>
      <w:pPr>
        <w:ind w:firstLine="642" w:firstLineChars="200"/>
        <w:rPr>
          <w:rFonts w:eastAsia="仿宋_GB2312"/>
          <w:sz w:val="32"/>
          <w:szCs w:val="32"/>
          <w:lang w:val="zh-CN"/>
        </w:rPr>
      </w:pPr>
      <w:r>
        <w:rPr>
          <w:rFonts w:hint="eastAsia" w:ascii="楷体_GB2312" w:eastAsia="楷体_GB2312"/>
          <w:b/>
          <w:sz w:val="32"/>
          <w:szCs w:val="32"/>
        </w:rPr>
        <w:t>（一）评价结论。</w:t>
      </w:r>
    </w:p>
    <w:p>
      <w:pPr>
        <w:pStyle w:val="16"/>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楷体_GB2312" w:eastAsia="楷体_GB2312"/>
          <w:b/>
          <w:sz w:val="32"/>
          <w:szCs w:val="32"/>
        </w:rPr>
      </w:pPr>
      <w:r>
        <w:rPr>
          <w:rFonts w:hint="eastAsia" w:cs="Times New Roman"/>
          <w:sz w:val="32"/>
          <w:szCs w:val="32"/>
          <w:lang w:val="en-US" w:eastAsia="zh-CN"/>
        </w:rPr>
        <w:t>2024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度</w:t>
      </w:r>
      <w:r>
        <w:rPr>
          <w:rFonts w:hint="eastAsia" w:ascii="Times New Roman" w:hAnsi="Times New Roman" w:eastAsia="仿宋_GB2312" w:cs="Times New Roman"/>
          <w:sz w:val="32"/>
          <w:szCs w:val="32"/>
          <w:lang w:val="en-US" w:eastAsia="zh-CN"/>
        </w:rPr>
        <w:t>我办严格按照年初预算批复认真组织实施,严格执行财经纪律相关管理规定，做到各项收支安排使用符合事业发展计划和财政政策的要求，确保了单位正常运行和重大项目的实施，按照预算要求较好地完成了</w:t>
      </w:r>
      <w:r>
        <w:rPr>
          <w:rFonts w:hint="eastAsia" w:cs="Times New Roman"/>
          <w:sz w:val="32"/>
          <w:szCs w:val="32"/>
          <w:lang w:val="en-US" w:eastAsia="zh-CN"/>
        </w:rPr>
        <w:t>2024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度</w:t>
      </w:r>
      <w:r>
        <w:rPr>
          <w:rFonts w:hint="eastAsia" w:ascii="Times New Roman" w:hAnsi="Times New Roman" w:eastAsia="仿宋_GB2312" w:cs="Times New Roman"/>
          <w:sz w:val="32"/>
          <w:szCs w:val="32"/>
          <w:lang w:val="en-US" w:eastAsia="zh-CN"/>
        </w:rPr>
        <w:t>部门预算编制工作。</w:t>
      </w:r>
      <w:r>
        <w:rPr>
          <w:rFonts w:eastAsia="仿宋_GB2312"/>
          <w:sz w:val="32"/>
          <w:szCs w:val="32"/>
        </w:rPr>
        <w:t>经评价，本次</w:t>
      </w:r>
      <w:r>
        <w:rPr>
          <w:rFonts w:hint="eastAsia" w:eastAsia="仿宋_GB2312"/>
          <w:sz w:val="32"/>
          <w:szCs w:val="32"/>
          <w:lang w:val="en-US" w:eastAsia="zh-CN"/>
        </w:rPr>
        <w:t>巡察</w:t>
      </w:r>
      <w:r>
        <w:rPr>
          <w:rFonts w:eastAsia="仿宋_GB2312"/>
          <w:sz w:val="32"/>
          <w:szCs w:val="32"/>
        </w:rPr>
        <w:t>项</w:t>
      </w:r>
      <w:r>
        <w:rPr>
          <w:rFonts w:hint="eastAsia" w:eastAsia="仿宋_GB2312"/>
          <w:sz w:val="32"/>
          <w:szCs w:val="32"/>
        </w:rPr>
        <w:t>目</w:t>
      </w:r>
      <w:r>
        <w:rPr>
          <w:rFonts w:eastAsia="仿宋_GB2312"/>
          <w:sz w:val="32"/>
          <w:szCs w:val="32"/>
        </w:rPr>
        <w:t>支出绩效自评等级</w:t>
      </w:r>
      <w:r>
        <w:rPr>
          <w:rFonts w:hint="eastAsia" w:eastAsia="仿宋_GB2312"/>
          <w:sz w:val="32"/>
          <w:szCs w:val="32"/>
          <w:lang w:eastAsia="zh-CN"/>
        </w:rPr>
        <w:t>较好</w:t>
      </w:r>
      <w:r>
        <w:rPr>
          <w:rFonts w:eastAsia="仿宋_GB2312"/>
          <w:sz w:val="32"/>
          <w:szCs w:val="32"/>
        </w:rPr>
        <w:t>。</w:t>
      </w:r>
    </w:p>
    <w:p>
      <w:pPr>
        <w:ind w:firstLine="642" w:firstLineChars="200"/>
        <w:rPr>
          <w:rFonts w:eastAsia="仿宋_GB2312"/>
          <w:sz w:val="32"/>
          <w:szCs w:val="32"/>
          <w:lang w:val="zh-CN"/>
        </w:rPr>
      </w:pPr>
      <w:r>
        <w:rPr>
          <w:rFonts w:hint="eastAsia" w:ascii="楷体_GB2312" w:eastAsia="楷体_GB2312"/>
          <w:b/>
          <w:sz w:val="32"/>
          <w:szCs w:val="32"/>
        </w:rPr>
        <w:t>（二）存在问题。</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楷体_GB2312" w:eastAsia="楷体_GB2312"/>
          <w:b/>
          <w:sz w:val="32"/>
          <w:szCs w:val="32"/>
        </w:rPr>
      </w:pPr>
      <w:r>
        <w:rPr>
          <w:rFonts w:hint="default" w:ascii="Times New Roman" w:hAnsi="Times New Roman" w:eastAsia="仿宋_GB2312" w:cs="Times New Roman"/>
          <w:sz w:val="32"/>
          <w:szCs w:val="32"/>
        </w:rPr>
        <w:t>财务制度</w:t>
      </w:r>
      <w:r>
        <w:rPr>
          <w:rFonts w:hint="eastAsia" w:cs="Times New Roman"/>
          <w:sz w:val="32"/>
          <w:szCs w:val="32"/>
          <w:lang w:eastAsia="zh-CN"/>
        </w:rPr>
        <w:t>相对</w:t>
      </w:r>
      <w:r>
        <w:rPr>
          <w:rFonts w:hint="default" w:ascii="Times New Roman" w:hAnsi="Times New Roman" w:eastAsia="仿宋_GB2312" w:cs="Times New Roman"/>
          <w:sz w:val="32"/>
          <w:szCs w:val="32"/>
        </w:rPr>
        <w:t>不够完善，个别项目</w:t>
      </w:r>
      <w:r>
        <w:rPr>
          <w:rFonts w:hint="eastAsia" w:cs="Times New Roman"/>
          <w:sz w:val="32"/>
          <w:szCs w:val="32"/>
          <w:lang w:eastAsia="zh-CN"/>
        </w:rPr>
        <w:t>支付</w:t>
      </w:r>
      <w:r>
        <w:rPr>
          <w:rFonts w:hint="default" w:ascii="Times New Roman" w:hAnsi="Times New Roman" w:eastAsia="仿宋_GB2312" w:cs="Times New Roman"/>
          <w:sz w:val="32"/>
          <w:szCs w:val="32"/>
        </w:rPr>
        <w:t>进度缓慢、绩效管理工作有待加强等问题。</w:t>
      </w:r>
    </w:p>
    <w:p>
      <w:pPr>
        <w:ind w:firstLine="642" w:firstLineChars="200"/>
        <w:rPr>
          <w:rFonts w:eastAsia="仿宋_GB2312"/>
          <w:sz w:val="32"/>
          <w:szCs w:val="32"/>
          <w:lang w:val="zh-CN"/>
        </w:rPr>
      </w:pPr>
      <w:r>
        <w:rPr>
          <w:rFonts w:hint="eastAsia" w:ascii="楷体_GB2312" w:eastAsia="楷体_GB2312"/>
          <w:b/>
          <w:sz w:val="32"/>
          <w:szCs w:val="32"/>
        </w:rPr>
        <w:t>（三）改进建议。</w:t>
      </w: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eastAsia="仿宋_GB2312" w:cs="Times New Roman"/>
          <w:sz w:val="32"/>
          <w:szCs w:val="32"/>
          <w:lang w:eastAsia="zh-CN"/>
        </w:rPr>
      </w:pPr>
      <w:r>
        <w:rPr>
          <w:rFonts w:hint="default" w:ascii="Times New Roman" w:hAnsi="Times New Roman" w:eastAsia="仿宋_GB2312" w:cs="Times New Roman"/>
          <w:sz w:val="32"/>
          <w:szCs w:val="32"/>
        </w:rPr>
        <w:t>加强管理，做到监管机构环环相扣，不断出现断层、行政单位预算是财政总预算的基础，规范财务管理信息质量严格按照《会计法》、《行政单位会计制度》、《行政单位财务规定》等规定，结合实际情况，严格执行单位经费支出制度，规范财务核算，完整披露相关信息。今后的工作中,我</w:t>
      </w:r>
      <w:r>
        <w:rPr>
          <w:rFonts w:hint="eastAsia" w:cs="Times New Roman"/>
          <w:sz w:val="32"/>
          <w:szCs w:val="32"/>
          <w:lang w:eastAsia="zh-CN"/>
        </w:rPr>
        <w:t>办</w:t>
      </w:r>
      <w:r>
        <w:rPr>
          <w:rFonts w:hint="default" w:ascii="Times New Roman" w:hAnsi="Times New Roman" w:eastAsia="仿宋_GB2312" w:cs="Times New Roman"/>
          <w:sz w:val="32"/>
          <w:szCs w:val="32"/>
        </w:rPr>
        <w:t>将严格按照新《预算法》的要求，加强预算编制的科学性、合理性,让预算编制更贴合实际，使项目预算与工作结合更加紧密。严格按照批复预算执行，及时将预算分解下达到各单位，并按照项目开展进度有计划申请资金及时支付。加强预算绩效管理，增强预算约束力，做好预算项目支出绩效目标及各项绩效指标的细化、量化工作,用好用活各类财政资金，提高财政资金的使用</w:t>
      </w:r>
      <w:r>
        <w:rPr>
          <w:rFonts w:hint="eastAsia" w:eastAsia="仿宋_GB2312" w:cs="Times New Roman"/>
          <w:sz w:val="32"/>
          <w:szCs w:val="32"/>
          <w:lang w:eastAsia="zh-CN"/>
        </w:rPr>
        <w:t>。</w:t>
      </w: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rPr>
          <w:rFonts w:hint="eastAsia" w:ascii="Times New Roman" w:hAnsi="Times New Roman" w:eastAsia="仿宋_GB2312" w:cs="Times New Roman"/>
          <w:sz w:val="32"/>
          <w:szCs w:val="32"/>
          <w:lang w:eastAsia="zh-CN"/>
        </w:rPr>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pPr>
    </w:p>
    <w:tbl>
      <w:tblPr>
        <w:tblStyle w:val="17"/>
        <w:tblW w:w="142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3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264" w:type="dxa"/>
            <w:gridSpan w:val="11"/>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黑体" w:hAnsi="宋体" w:eastAsia="黑体" w:cs="黑体"/>
                <w:b w:val="0"/>
                <w:bCs/>
                <w:i w:val="0"/>
                <w:color w:val="000000"/>
                <w:sz w:val="20"/>
                <w:szCs w:val="20"/>
                <w:u w:val="none"/>
              </w:rPr>
            </w:pPr>
            <w:r>
              <w:rPr>
                <w:rFonts w:hint="eastAsia" w:ascii="黑体" w:hAnsi="宋体" w:eastAsia="黑体" w:cs="黑体"/>
                <w:b w:val="0"/>
                <w:bCs/>
                <w:i w:val="0"/>
                <w:color w:val="000000"/>
                <w:kern w:val="0"/>
                <w:sz w:val="20"/>
                <w:szCs w:val="2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6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项目名称</w:t>
            </w:r>
          </w:p>
        </w:tc>
        <w:tc>
          <w:tcPr>
            <w:tcW w:w="12104" w:type="dxa"/>
            <w:gridSpan w:val="9"/>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巡视巡察专项经费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主管部门</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州委巡察办部门</w:t>
            </w:r>
          </w:p>
        </w:tc>
        <w:tc>
          <w:tcPr>
            <w:tcW w:w="108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simhei" w:hAnsi="simhei" w:eastAsia="simhei" w:cs="simhei"/>
                <w:i w:val="0"/>
                <w:color w:val="000000"/>
                <w:sz w:val="10"/>
                <w:szCs w:val="10"/>
                <w:u w:val="none"/>
              </w:rPr>
            </w:pPr>
            <w:r>
              <w:rPr>
                <w:rFonts w:hint="default" w:ascii="simhei" w:hAnsi="simhei" w:eastAsia="simhei" w:cs="simhei"/>
                <w:i w:val="0"/>
                <w:color w:val="000000"/>
                <w:kern w:val="0"/>
                <w:sz w:val="10"/>
                <w:szCs w:val="10"/>
                <w:u w:val="none"/>
                <w:lang w:val="en-US" w:eastAsia="zh-CN" w:bidi="ar"/>
              </w:rPr>
              <w:t>实施单位 （盖章）</w:t>
            </w:r>
          </w:p>
        </w:tc>
        <w:tc>
          <w:tcPr>
            <w:tcW w:w="56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州委巡察办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项目基本情况</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1.项目年度目标完成情况</w:t>
            </w: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项目年度目标</w:t>
            </w:r>
          </w:p>
        </w:tc>
        <w:tc>
          <w:tcPr>
            <w:tcW w:w="67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0"/>
                <w:szCs w:val="10"/>
                <w:u w:val="none"/>
              </w:rPr>
            </w:pPr>
            <w:r>
              <w:rPr>
                <w:rFonts w:hint="default" w:ascii="simhei" w:hAnsi="simhei" w:eastAsia="simhei" w:cs="simhei"/>
                <w:i w:val="0"/>
                <w:color w:val="000000"/>
                <w:kern w:val="0"/>
                <w:sz w:val="10"/>
                <w:szCs w:val="10"/>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0"/>
                <w:szCs w:val="1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0"/>
                <w:szCs w:val="10"/>
                <w:u w:val="none"/>
              </w:rPr>
            </w:pPr>
          </w:p>
        </w:tc>
        <w:tc>
          <w:tcPr>
            <w:tcW w:w="54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hint="eastAsia" w:ascii="宋体" w:hAnsi="宋体" w:cs="宋体"/>
                <w:i w:val="0"/>
                <w:color w:val="000000"/>
                <w:kern w:val="0"/>
                <w:sz w:val="10"/>
                <w:szCs w:val="10"/>
                <w:u w:val="none"/>
                <w:lang w:val="en-US" w:eastAsia="zh-CN" w:bidi="ar"/>
              </w:rPr>
              <w:t>2024</w:t>
            </w:r>
            <w:r>
              <w:rPr>
                <w:rFonts w:ascii="宋体" w:hAnsi="宋体" w:eastAsia="宋体" w:cs="宋体"/>
                <w:i w:val="0"/>
                <w:color w:val="000000"/>
                <w:kern w:val="0"/>
                <w:sz w:val="10"/>
                <w:szCs w:val="10"/>
                <w:u w:val="none"/>
                <w:lang w:val="en-US" w:eastAsia="zh-CN" w:bidi="ar"/>
              </w:rPr>
              <w:t>年，组织开展2轮常规巡查，每轮巡察12个单位，全年共巡察24个单位，其他根据当年工作安排执行。</w:t>
            </w:r>
          </w:p>
        </w:tc>
        <w:tc>
          <w:tcPr>
            <w:tcW w:w="67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0"/>
                <w:szCs w:val="10"/>
                <w:u w:val="none"/>
              </w:rPr>
            </w:pPr>
            <w:r>
              <w:rPr>
                <w:rFonts w:hint="default" w:ascii="simhei" w:hAnsi="simhei" w:eastAsia="simhei" w:cs="simhei"/>
                <w:i w:val="0"/>
                <w:color w:val="000000"/>
                <w:kern w:val="0"/>
                <w:sz w:val="10"/>
                <w:szCs w:val="10"/>
                <w:u w:val="none"/>
                <w:lang w:val="en-US" w:eastAsia="zh-CN" w:bidi="ar"/>
              </w:rPr>
              <w:t>完成</w:t>
            </w:r>
            <w:r>
              <w:rPr>
                <w:rFonts w:hint="eastAsia" w:ascii="simhei" w:hAnsi="simhei" w:eastAsia="simhei" w:cs="simhei"/>
                <w:i w:val="0"/>
                <w:color w:val="000000"/>
                <w:kern w:val="0"/>
                <w:sz w:val="10"/>
                <w:szCs w:val="10"/>
                <w:u w:val="none"/>
                <w:lang w:val="en-US" w:eastAsia="zh-CN" w:bidi="ar"/>
              </w:rPr>
              <w:t>2024</w:t>
            </w:r>
            <w:r>
              <w:rPr>
                <w:rFonts w:hint="default" w:ascii="simhei" w:hAnsi="simhei" w:eastAsia="simhei" w:cs="simhei"/>
                <w:i w:val="0"/>
                <w:color w:val="000000"/>
                <w:kern w:val="0"/>
                <w:sz w:val="10"/>
                <w:szCs w:val="10"/>
                <w:u w:val="none"/>
                <w:lang w:val="en-US" w:eastAsia="zh-CN" w:bidi="ar"/>
              </w:rPr>
              <w:t>年，组织开展2轮常规巡查，每轮巡察12个单位，全年共巡察24个单位，其他根据当年工作安排执行。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2.项目实施内容及过程概述</w:t>
            </w:r>
          </w:p>
        </w:tc>
        <w:tc>
          <w:tcPr>
            <w:tcW w:w="121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0"/>
                <w:szCs w:val="10"/>
                <w:u w:val="none"/>
              </w:rPr>
            </w:pPr>
            <w:r>
              <w:rPr>
                <w:rFonts w:hint="eastAsia" w:ascii="宋体" w:hAnsi="宋体" w:cs="宋体"/>
                <w:i w:val="0"/>
                <w:color w:val="000000"/>
                <w:kern w:val="0"/>
                <w:sz w:val="10"/>
                <w:szCs w:val="10"/>
                <w:u w:val="none"/>
                <w:lang w:val="en-US" w:eastAsia="zh-CN" w:bidi="ar"/>
              </w:rPr>
              <w:t>2024</w:t>
            </w:r>
            <w:r>
              <w:rPr>
                <w:rFonts w:ascii="宋体" w:hAnsi="宋体" w:eastAsia="宋体" w:cs="宋体"/>
                <w:i w:val="0"/>
                <w:color w:val="000000"/>
                <w:kern w:val="0"/>
                <w:sz w:val="10"/>
                <w:szCs w:val="10"/>
                <w:u w:val="none"/>
                <w:lang w:val="en-US" w:eastAsia="zh-CN" w:bidi="ar"/>
              </w:rPr>
              <w:t>年上半年开始实施第一轮常规巡察，下半年实施第二轮常规巡察及其他相关工作。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预算执行情况（10分）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年度预算数（万元）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年初预算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调整后预算数</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预算执行数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预算执行率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得分</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196.00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165.03</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165.03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hint="eastAsia" w:ascii="宋体" w:hAnsi="宋体" w:cs="宋体"/>
                <w:i w:val="0"/>
                <w:color w:val="000000"/>
                <w:kern w:val="0"/>
                <w:sz w:val="10"/>
                <w:szCs w:val="10"/>
                <w:u w:val="none"/>
                <w:lang w:val="en-US" w:eastAsia="zh-CN" w:bidi="ar"/>
              </w:rPr>
              <w:t>84.19</w:t>
            </w: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hint="eastAsia" w:ascii="宋体" w:hAnsi="宋体" w:cs="宋体"/>
                <w:i w:val="0"/>
                <w:color w:val="000000"/>
                <w:kern w:val="0"/>
                <w:sz w:val="10"/>
                <w:szCs w:val="10"/>
                <w:u w:val="none"/>
                <w:lang w:val="en-US" w:eastAsia="zh-CN" w:bidi="ar"/>
              </w:rPr>
              <w:t>8</w:t>
            </w:r>
          </w:p>
        </w:tc>
        <w:tc>
          <w:tcPr>
            <w:tcW w:w="34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simhei" w:hAnsi="simhei" w:eastAsia="simhei" w:cs="simhei"/>
                <w:i/>
                <w:color w:val="000000"/>
                <w:sz w:val="10"/>
                <w:szCs w:val="10"/>
                <w:u w:val="none"/>
                <w:lang w:eastAsia="zh-CN"/>
              </w:rPr>
            </w:pPr>
            <w:r>
              <w:rPr>
                <w:rFonts w:hint="eastAsia" w:ascii="simhei" w:hAnsi="simhei" w:eastAsia="simhei" w:cs="simhei"/>
                <w:i/>
                <w:color w:val="000000"/>
                <w:sz w:val="10"/>
                <w:szCs w:val="10"/>
                <w:u w:val="none"/>
                <w:lang w:eastAsia="zh-CN"/>
              </w:rPr>
              <w:t>原因是报账进度缓慢，委巡察组安排的统一住宿年底未支付完成。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其中：财政资金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196.00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165.03</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165.03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hint="eastAsia" w:ascii="宋体" w:hAnsi="宋体" w:cs="宋体"/>
                <w:i w:val="0"/>
                <w:color w:val="000000"/>
                <w:kern w:val="0"/>
                <w:sz w:val="10"/>
                <w:szCs w:val="10"/>
                <w:u w:val="none"/>
                <w:lang w:val="en-US" w:eastAsia="zh-CN" w:bidi="ar"/>
              </w:rPr>
              <w:t>84.19</w:t>
            </w: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3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财政专户管理资金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3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单位资金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3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其他资金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8"/>
                <w:szCs w:val="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34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绩效指标（90分）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指标性质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度量单位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权重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得分</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经济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45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45</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社会效益指标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实效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19</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效益度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0"/>
                <w:szCs w:val="1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经济成本指标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成本控制率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165.03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color w:val="000000"/>
                <w:sz w:val="8"/>
                <w:szCs w:val="8"/>
                <w:u w:val="none"/>
                <w:lang w:val="en-US"/>
              </w:rPr>
            </w:pPr>
            <w:r>
              <w:rPr>
                <w:rFonts w:hint="eastAsia" w:ascii="微软雅黑" w:hAnsi="微软雅黑" w:eastAsia="微软雅黑" w:cs="微软雅黑"/>
                <w:i/>
                <w:color w:val="000000"/>
                <w:kern w:val="0"/>
                <w:sz w:val="8"/>
                <w:szCs w:val="8"/>
                <w:u w:val="none"/>
                <w:lang w:val="en-US" w:eastAsia="zh-CN" w:bidi="ar"/>
              </w:rPr>
              <w:t>165.03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15</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color w:val="000000"/>
                <w:sz w:val="8"/>
                <w:szCs w:val="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6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color w:val="000000"/>
                <w:sz w:val="10"/>
                <w:szCs w:val="10"/>
                <w:u w:val="none"/>
                <w:lang w:val="en-US"/>
              </w:rPr>
            </w:pPr>
            <w:r>
              <w:rPr>
                <w:rFonts w:hint="eastAsia" w:ascii="宋体" w:hAnsi="宋体" w:cs="宋体"/>
                <w:i w:val="0"/>
                <w:color w:val="000000"/>
                <w:kern w:val="0"/>
                <w:sz w:val="10"/>
                <w:szCs w:val="10"/>
                <w:u w:val="none"/>
                <w:lang w:val="en-US" w:eastAsia="zh-CN" w:bidi="ar"/>
              </w:rPr>
              <w:t>97</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评价结论</w:t>
            </w:r>
          </w:p>
        </w:tc>
        <w:tc>
          <w:tcPr>
            <w:tcW w:w="13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通过自评，中共阿坝州委巡察办需要进一步提高预算编制准确度和预算执行进度外，绩效目标制定要素完整、程序规范，支出控制有力，部门整体绩效良好。自评得分</w:t>
            </w:r>
            <w:r>
              <w:rPr>
                <w:rFonts w:hint="eastAsia" w:ascii="微软雅黑" w:hAnsi="微软雅黑" w:eastAsia="微软雅黑" w:cs="微软雅黑"/>
                <w:i/>
                <w:color w:val="000000"/>
                <w:kern w:val="0"/>
                <w:sz w:val="8"/>
                <w:szCs w:val="8"/>
                <w:u w:val="none"/>
                <w:lang w:val="en-US" w:eastAsia="zh-CN" w:bidi="ar"/>
              </w:rPr>
              <w:t>97</w:t>
            </w:r>
            <w:r>
              <w:rPr>
                <w:rFonts w:hint="default" w:ascii="微软雅黑" w:hAnsi="微软雅黑" w:eastAsia="微软雅黑" w:cs="微软雅黑"/>
                <w:i/>
                <w:color w:val="000000"/>
                <w:kern w:val="0"/>
                <w:sz w:val="8"/>
                <w:szCs w:val="8"/>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存在问题</w:t>
            </w:r>
          </w:p>
        </w:tc>
        <w:tc>
          <w:tcPr>
            <w:tcW w:w="13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存在预算管理不够规范，整体绩效有待提高。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0"/>
                <w:szCs w:val="10"/>
                <w:u w:val="none"/>
              </w:rPr>
            </w:pPr>
            <w:r>
              <w:rPr>
                <w:rFonts w:ascii="宋体" w:hAnsi="宋体" w:eastAsia="宋体" w:cs="宋体"/>
                <w:i w:val="0"/>
                <w:color w:val="000000"/>
                <w:kern w:val="0"/>
                <w:sz w:val="10"/>
                <w:szCs w:val="10"/>
                <w:u w:val="none"/>
                <w:lang w:val="en-US" w:eastAsia="zh-CN" w:bidi="ar"/>
              </w:rPr>
              <w:t>改进措施</w:t>
            </w:r>
          </w:p>
        </w:tc>
        <w:tc>
          <w:tcPr>
            <w:tcW w:w="131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color w:val="000000"/>
                <w:sz w:val="8"/>
                <w:szCs w:val="8"/>
                <w:u w:val="none"/>
              </w:rPr>
            </w:pPr>
            <w:r>
              <w:rPr>
                <w:rFonts w:hint="default" w:ascii="微软雅黑" w:hAnsi="微软雅黑" w:eastAsia="微软雅黑" w:cs="微软雅黑"/>
                <w:i/>
                <w:color w:val="000000"/>
                <w:kern w:val="0"/>
                <w:sz w:val="8"/>
                <w:szCs w:val="8"/>
                <w:u w:val="none"/>
                <w:lang w:val="en-US" w:eastAsia="zh-CN" w:bidi="ar"/>
              </w:rPr>
              <w:t>为进一步提高整体绩效水平，加强预算支出执行监控，及时督促相关项目执行力度，切实提高资金使用绩效。</w:t>
            </w:r>
          </w:p>
        </w:tc>
      </w:tr>
    </w:tbl>
    <w:p>
      <w:pPr>
        <w:rPr>
          <w:rFonts w:hint="eastAsia" w:ascii="Times New Roman" w:hAnsi="Times New Roman" w:cs="宋体"/>
          <w:color w:val="FF0000"/>
          <w:kern w:val="0"/>
          <w:sz w:val="32"/>
          <w:szCs w:val="32"/>
          <w:highlight w:val="yellow"/>
          <w:shd w:val="clear" w:color="auto" w:fill="FFFFFF"/>
          <w:lang w:val="zh-CN"/>
        </w:rPr>
        <w:sectPr>
          <w:footerReference r:id="rId7" w:type="first"/>
          <w:headerReference r:id="rId5" w:type="default"/>
          <w:footerReference r:id="rId6" w:type="default"/>
          <w:pgSz w:w="16838" w:h="11906" w:orient="landscape"/>
          <w:pgMar w:top="1800" w:right="1440" w:bottom="1800" w:left="1440" w:header="851" w:footer="992" w:gutter="0"/>
          <w:pgNumType w:fmt="numberInDash" w:start="1"/>
          <w:cols w:space="425" w:num="1"/>
          <w:titlePg/>
          <w:docGrid w:type="lines" w:linePitch="312" w:charSpace="0"/>
        </w:sectPr>
      </w:pPr>
    </w:p>
    <w:p>
      <w:pPr>
        <w:keepNext w:val="0"/>
        <w:keepLines w:val="0"/>
        <w:pageBreakBefore w:val="0"/>
        <w:widowControl w:val="0"/>
        <w:kinsoku/>
        <w:wordWrap/>
        <w:overflowPunct/>
        <w:topLinePunct w:val="0"/>
        <w:autoSpaceDE/>
        <w:autoSpaceDN/>
        <w:bidi w:val="0"/>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119" w:name="_Toc15396618"/>
    </w:p>
    <w:p>
      <w:pPr>
        <w:widowControl/>
        <w:jc w:val="center"/>
        <w:rPr>
          <w:rFonts w:hint="eastAsia" w:ascii="Times New Roman" w:hAnsi="Times New Roman" w:eastAsia="仿宋"/>
          <w:b w:val="0"/>
          <w:color w:val="auto"/>
          <w:highlight w:val="none"/>
        </w:rPr>
      </w:pPr>
      <w:bookmarkStart w:id="120" w:name="_Toc1375993658_WPSOffice_Level1"/>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109"/>
      <w:bookmarkEnd w:id="119"/>
      <w:bookmarkEnd w:id="120"/>
      <w:bookmarkStart w:id="121"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2" w:name="_Toc1052116105_WPSOffice_Level2"/>
      <w:r>
        <w:rPr>
          <w:rFonts w:hint="eastAsia" w:ascii="Times New Roman" w:hAnsi="Times New Roman" w:eastAsia="仿宋_GB2312" w:cs="仿宋_GB2312"/>
          <w:color w:val="auto"/>
          <w:sz w:val="32"/>
          <w:szCs w:val="32"/>
          <w:highlight w:val="none"/>
        </w:rPr>
        <w:t>一、收入支出决算总表</w:t>
      </w:r>
      <w:bookmarkEnd w:id="121"/>
      <w:bookmarkEnd w:id="12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3" w:name="_Toc15396620"/>
      <w:bookmarkStart w:id="124" w:name="_Toc652260100_WPSOffice_Level2"/>
      <w:r>
        <w:rPr>
          <w:rFonts w:hint="eastAsia" w:ascii="Times New Roman" w:hAnsi="Times New Roman" w:eastAsia="仿宋_GB2312" w:cs="仿宋_GB2312"/>
          <w:color w:val="auto"/>
          <w:sz w:val="32"/>
          <w:szCs w:val="32"/>
          <w:highlight w:val="none"/>
        </w:rPr>
        <w:t>二、收入决算表</w:t>
      </w:r>
      <w:bookmarkEnd w:id="123"/>
      <w:bookmarkEnd w:id="1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5" w:name="_Toc15396621"/>
      <w:bookmarkStart w:id="126" w:name="_Toc782020489_WPSOffice_Level2"/>
      <w:r>
        <w:rPr>
          <w:rFonts w:hint="eastAsia" w:ascii="Times New Roman" w:hAnsi="Times New Roman" w:eastAsia="仿宋_GB2312" w:cs="仿宋_GB2312"/>
          <w:color w:val="auto"/>
          <w:sz w:val="32"/>
          <w:szCs w:val="32"/>
          <w:highlight w:val="none"/>
        </w:rPr>
        <w:t>三、支出决算表</w:t>
      </w:r>
      <w:bookmarkEnd w:id="125"/>
      <w:bookmarkEnd w:id="12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7" w:name="_Toc15396622"/>
      <w:bookmarkStart w:id="128" w:name="_Toc1755986919_WPSOffice_Level2"/>
      <w:r>
        <w:rPr>
          <w:rFonts w:hint="eastAsia" w:ascii="Times New Roman" w:hAnsi="Times New Roman" w:eastAsia="仿宋_GB2312" w:cs="仿宋_GB2312"/>
          <w:color w:val="auto"/>
          <w:sz w:val="32"/>
          <w:szCs w:val="32"/>
          <w:highlight w:val="none"/>
        </w:rPr>
        <w:t>四、财政拨款收入支出决算总表</w:t>
      </w:r>
      <w:bookmarkEnd w:id="127"/>
      <w:bookmarkEnd w:id="12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9" w:name="_Toc15396623"/>
      <w:bookmarkStart w:id="130" w:name="_Toc761990068_WPSOffice_Level2"/>
      <w:r>
        <w:rPr>
          <w:rFonts w:hint="eastAsia" w:ascii="Times New Roman" w:hAnsi="Times New Roman" w:eastAsia="仿宋_GB2312" w:cs="仿宋_GB2312"/>
          <w:color w:val="auto"/>
          <w:sz w:val="32"/>
          <w:szCs w:val="32"/>
          <w:highlight w:val="none"/>
        </w:rPr>
        <w:t>五、财政拨款支出决算明细表</w:t>
      </w:r>
      <w:bookmarkEnd w:id="129"/>
      <w:bookmarkEnd w:id="130"/>
      <w:bookmarkStart w:id="131"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2" w:name="_Toc927065404_WPSOffice_Level2"/>
      <w:r>
        <w:rPr>
          <w:rFonts w:hint="eastAsia" w:ascii="Times New Roman" w:hAnsi="Times New Roman" w:eastAsia="仿宋_GB2312" w:cs="仿宋_GB2312"/>
          <w:color w:val="auto"/>
          <w:sz w:val="32"/>
          <w:szCs w:val="32"/>
          <w:highlight w:val="none"/>
        </w:rPr>
        <w:t>六、一般公共预算财政拨款支出决算表</w:t>
      </w:r>
      <w:bookmarkEnd w:id="131"/>
      <w:bookmarkEnd w:id="13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3" w:name="_Toc15396625"/>
      <w:bookmarkStart w:id="134" w:name="_Toc1404211719_WPSOffice_Level2"/>
      <w:r>
        <w:rPr>
          <w:rFonts w:hint="eastAsia" w:ascii="Times New Roman" w:hAnsi="Times New Roman" w:eastAsia="仿宋_GB2312" w:cs="仿宋_GB2312"/>
          <w:color w:val="auto"/>
          <w:sz w:val="32"/>
          <w:szCs w:val="32"/>
          <w:highlight w:val="none"/>
        </w:rPr>
        <w:t>七、一般公共预算财政拨款支出决算明细表</w:t>
      </w:r>
      <w:bookmarkEnd w:id="133"/>
      <w:bookmarkEnd w:id="13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5" w:name="_Toc15396626"/>
      <w:bookmarkStart w:id="136" w:name="_Toc1210183522_WPSOffice_Level2"/>
      <w:r>
        <w:rPr>
          <w:rFonts w:hint="eastAsia" w:ascii="Times New Roman" w:hAnsi="Times New Roman" w:eastAsia="仿宋_GB2312" w:cs="仿宋_GB2312"/>
          <w:color w:val="auto"/>
          <w:sz w:val="32"/>
          <w:szCs w:val="32"/>
          <w:highlight w:val="none"/>
        </w:rPr>
        <w:t>八、一般公共预算财政拨款基本支出决算表</w:t>
      </w:r>
      <w:bookmarkEnd w:id="135"/>
      <w:bookmarkEnd w:id="13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7" w:name="_Toc15396627"/>
      <w:bookmarkStart w:id="138" w:name="_Toc70939817_WPSOffice_Level2"/>
      <w:r>
        <w:rPr>
          <w:rFonts w:hint="eastAsia" w:ascii="Times New Roman" w:hAnsi="Times New Roman" w:eastAsia="仿宋_GB2312" w:cs="仿宋_GB2312"/>
          <w:color w:val="auto"/>
          <w:sz w:val="32"/>
          <w:szCs w:val="32"/>
          <w:highlight w:val="none"/>
        </w:rPr>
        <w:t>九、一般公共预算财政拨款项目支出决算表</w:t>
      </w:r>
      <w:bookmarkEnd w:id="137"/>
      <w:bookmarkEnd w:id="13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39" w:name="_Toc15396628"/>
      <w:bookmarkStart w:id="140" w:name="_Toc150526077_WPSOffice_Level2"/>
      <w:r>
        <w:rPr>
          <w:rFonts w:hint="eastAsia" w:ascii="Times New Roman" w:hAnsi="Times New Roman" w:eastAsia="仿宋_GB2312" w:cs="仿宋_GB2312"/>
          <w:color w:val="auto"/>
          <w:sz w:val="32"/>
          <w:szCs w:val="32"/>
          <w:highlight w:val="none"/>
        </w:rPr>
        <w:t>十、</w:t>
      </w:r>
      <w:bookmarkEnd w:id="139"/>
      <w:r>
        <w:rPr>
          <w:rFonts w:hint="eastAsia" w:ascii="Times New Roman" w:hAnsi="Times New Roman" w:eastAsia="仿宋_GB2312" w:cs="仿宋_GB2312"/>
          <w:color w:val="auto"/>
          <w:sz w:val="32"/>
          <w:szCs w:val="32"/>
          <w:highlight w:val="none"/>
        </w:rPr>
        <w:t>政府性基金预算财政拨款收入支出决算表</w:t>
      </w:r>
      <w:bookmarkEnd w:id="14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41" w:name="_Toc15396629"/>
      <w:bookmarkStart w:id="142" w:name="_Toc217964823_WPSOffice_Level2"/>
      <w:r>
        <w:rPr>
          <w:rFonts w:hint="eastAsia" w:ascii="Times New Roman" w:hAnsi="Times New Roman" w:eastAsia="仿宋_GB2312" w:cs="仿宋_GB2312"/>
          <w:color w:val="auto"/>
          <w:sz w:val="32"/>
          <w:szCs w:val="32"/>
          <w:highlight w:val="none"/>
        </w:rPr>
        <w:t>十一、</w:t>
      </w:r>
      <w:bookmarkEnd w:id="14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14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43" w:name="_Toc15396630"/>
      <w:bookmarkStart w:id="144" w:name="_Toc171912350_WPSOffice_Level2"/>
      <w:r>
        <w:rPr>
          <w:rFonts w:hint="eastAsia" w:ascii="Times New Roman" w:hAnsi="Times New Roman" w:eastAsia="仿宋_GB2312" w:cs="仿宋_GB2312"/>
          <w:color w:val="auto"/>
          <w:sz w:val="32"/>
          <w:szCs w:val="32"/>
          <w:highlight w:val="none"/>
        </w:rPr>
        <w:t>十二、</w:t>
      </w:r>
      <w:bookmarkEnd w:id="143"/>
      <w:r>
        <w:rPr>
          <w:rFonts w:hint="eastAsia" w:ascii="Times New Roman" w:hAnsi="Times New Roman" w:eastAsia="仿宋_GB2312" w:cs="仿宋_GB2312"/>
          <w:color w:val="auto"/>
          <w:sz w:val="32"/>
          <w:szCs w:val="32"/>
          <w:highlight w:val="none"/>
          <w:lang w:eastAsia="zh-CN"/>
        </w:rPr>
        <w:t>国有资本经营预算财政拨款支出决算表</w:t>
      </w:r>
      <w:bookmarkEnd w:id="14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45" w:name="_Toc15396631"/>
      <w:bookmarkStart w:id="146" w:name="_Toc250251008_WPSOffice_Level2"/>
      <w:r>
        <w:rPr>
          <w:rFonts w:hint="eastAsia" w:ascii="Times New Roman" w:hAnsi="Times New Roman" w:eastAsia="仿宋_GB2312" w:cs="仿宋_GB2312"/>
          <w:color w:val="auto"/>
          <w:sz w:val="32"/>
          <w:szCs w:val="32"/>
          <w:highlight w:val="none"/>
        </w:rPr>
        <w:t>十三、</w:t>
      </w:r>
      <w:bookmarkEnd w:id="145"/>
      <w:r>
        <w:rPr>
          <w:rFonts w:hint="eastAsia" w:ascii="Times New Roman" w:hAnsi="Times New Roman" w:eastAsia="仿宋_GB2312" w:cs="仿宋_GB2312"/>
          <w:color w:val="auto"/>
          <w:sz w:val="32"/>
          <w:szCs w:val="32"/>
          <w:highlight w:val="none"/>
          <w:lang w:eastAsia="zh-CN"/>
        </w:rPr>
        <w:t>财政拨款“三公”经费支出决算表</w:t>
      </w:r>
      <w:bookmarkEnd w:id="146"/>
    </w:p>
    <w:p>
      <w:pPr>
        <w:rPr>
          <w:rFonts w:hint="eastAsia" w:ascii="Times New Roman" w:hAnsi="Times New Roman"/>
          <w:lang w:eastAsia="zh-CN"/>
        </w:rPr>
      </w:pPr>
    </w:p>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CESI仿宋-GB13000">
    <w:panose1 w:val="02000500000000000000"/>
    <w:charset w:val="86"/>
    <w:family w:val="auto"/>
    <w:pitch w:val="default"/>
    <w:sig w:usb0="800002BF" w:usb1="18CF7CF8"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simhei">
    <w:altName w:val="仿宋"/>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s>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1">
    <w:nsid w:val="7F9F30E9"/>
    <w:multiLevelType w:val="singleLevel"/>
    <w:tmpl w:val="7F9F30E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DFE29DE"/>
    <w:rsid w:val="0E254B6B"/>
    <w:rsid w:val="0F98263C"/>
    <w:rsid w:val="101860EC"/>
    <w:rsid w:val="101F47CC"/>
    <w:rsid w:val="10C055FF"/>
    <w:rsid w:val="11694EBD"/>
    <w:rsid w:val="11772AA4"/>
    <w:rsid w:val="118107EC"/>
    <w:rsid w:val="12E24EE2"/>
    <w:rsid w:val="13D50BC4"/>
    <w:rsid w:val="14B17F78"/>
    <w:rsid w:val="165E0673"/>
    <w:rsid w:val="16B831D5"/>
    <w:rsid w:val="16BB723D"/>
    <w:rsid w:val="16F79167"/>
    <w:rsid w:val="177D2DA6"/>
    <w:rsid w:val="17E50567"/>
    <w:rsid w:val="17F9A579"/>
    <w:rsid w:val="186504BB"/>
    <w:rsid w:val="19A445FC"/>
    <w:rsid w:val="1B364F3D"/>
    <w:rsid w:val="1BE8440E"/>
    <w:rsid w:val="1D155CEE"/>
    <w:rsid w:val="1D1638FE"/>
    <w:rsid w:val="1DADFCDB"/>
    <w:rsid w:val="1E312DEB"/>
    <w:rsid w:val="1E740ACF"/>
    <w:rsid w:val="1F5E15F9"/>
    <w:rsid w:val="1FF35744"/>
    <w:rsid w:val="1FF6A03F"/>
    <w:rsid w:val="1FF6BC77"/>
    <w:rsid w:val="1FFB9A21"/>
    <w:rsid w:val="1FFD1D39"/>
    <w:rsid w:val="20FBFD9F"/>
    <w:rsid w:val="2186353C"/>
    <w:rsid w:val="23860B96"/>
    <w:rsid w:val="240371BF"/>
    <w:rsid w:val="244F3473"/>
    <w:rsid w:val="24C97D99"/>
    <w:rsid w:val="25A718F0"/>
    <w:rsid w:val="25BB59F6"/>
    <w:rsid w:val="25DD4CF1"/>
    <w:rsid w:val="260F557C"/>
    <w:rsid w:val="26970054"/>
    <w:rsid w:val="279E3276"/>
    <w:rsid w:val="281408E2"/>
    <w:rsid w:val="29FD04D3"/>
    <w:rsid w:val="2BFF7BC6"/>
    <w:rsid w:val="2C5B72C9"/>
    <w:rsid w:val="2C7C451D"/>
    <w:rsid w:val="2C8A61B5"/>
    <w:rsid w:val="2DF04E50"/>
    <w:rsid w:val="2E586DFA"/>
    <w:rsid w:val="2F040D46"/>
    <w:rsid w:val="2F6B035B"/>
    <w:rsid w:val="2FAE5751"/>
    <w:rsid w:val="2FAF486E"/>
    <w:rsid w:val="2FB1A395"/>
    <w:rsid w:val="2FD9A7D8"/>
    <w:rsid w:val="2FDBF714"/>
    <w:rsid w:val="30AB6865"/>
    <w:rsid w:val="317FB390"/>
    <w:rsid w:val="319F7F4E"/>
    <w:rsid w:val="31F7C435"/>
    <w:rsid w:val="32BD1EF1"/>
    <w:rsid w:val="3304709D"/>
    <w:rsid w:val="33A6E08A"/>
    <w:rsid w:val="33A773CB"/>
    <w:rsid w:val="349D6851"/>
    <w:rsid w:val="36AA5135"/>
    <w:rsid w:val="36BE0DA7"/>
    <w:rsid w:val="376B6AA6"/>
    <w:rsid w:val="376D39B2"/>
    <w:rsid w:val="37BB6F0E"/>
    <w:rsid w:val="37DD0588"/>
    <w:rsid w:val="37E16F03"/>
    <w:rsid w:val="37EF0E24"/>
    <w:rsid w:val="37F53A3B"/>
    <w:rsid w:val="389B6C89"/>
    <w:rsid w:val="38D469F0"/>
    <w:rsid w:val="39627CCD"/>
    <w:rsid w:val="397BAF1F"/>
    <w:rsid w:val="3AB79AF3"/>
    <w:rsid w:val="3AE834C0"/>
    <w:rsid w:val="3B7EF35A"/>
    <w:rsid w:val="3B9FDB6C"/>
    <w:rsid w:val="3BBF2E56"/>
    <w:rsid w:val="3BF5BC2F"/>
    <w:rsid w:val="3CEBA265"/>
    <w:rsid w:val="3CF6D6D6"/>
    <w:rsid w:val="3D3DCECE"/>
    <w:rsid w:val="3D6D0CDC"/>
    <w:rsid w:val="3D98207C"/>
    <w:rsid w:val="3DEE7CF3"/>
    <w:rsid w:val="3E740A63"/>
    <w:rsid w:val="3E78745D"/>
    <w:rsid w:val="3ED74CB7"/>
    <w:rsid w:val="3EDFD6A1"/>
    <w:rsid w:val="3EE17838"/>
    <w:rsid w:val="3F55381A"/>
    <w:rsid w:val="3F7F7599"/>
    <w:rsid w:val="3F9D68EF"/>
    <w:rsid w:val="3FE76F43"/>
    <w:rsid w:val="3FF4CAE0"/>
    <w:rsid w:val="3FF7B227"/>
    <w:rsid w:val="3FFBC51C"/>
    <w:rsid w:val="3FFE3664"/>
    <w:rsid w:val="44E268DA"/>
    <w:rsid w:val="450D13D7"/>
    <w:rsid w:val="45506656"/>
    <w:rsid w:val="486A6C7A"/>
    <w:rsid w:val="4A627F82"/>
    <w:rsid w:val="4AFAF624"/>
    <w:rsid w:val="4B0E749A"/>
    <w:rsid w:val="4B2477C4"/>
    <w:rsid w:val="4B4F25DA"/>
    <w:rsid w:val="4BE068DB"/>
    <w:rsid w:val="4D4B4489"/>
    <w:rsid w:val="4D577224"/>
    <w:rsid w:val="4DBF1CEB"/>
    <w:rsid w:val="4DF0007C"/>
    <w:rsid w:val="4EAB630A"/>
    <w:rsid w:val="4ECE2238"/>
    <w:rsid w:val="4F4E9D5B"/>
    <w:rsid w:val="4F7F07F3"/>
    <w:rsid w:val="4F833267"/>
    <w:rsid w:val="4F9FBAF3"/>
    <w:rsid w:val="4FE9BD67"/>
    <w:rsid w:val="4FFB052F"/>
    <w:rsid w:val="502FECF2"/>
    <w:rsid w:val="51FED7AB"/>
    <w:rsid w:val="537E6D0A"/>
    <w:rsid w:val="53F74C96"/>
    <w:rsid w:val="55170BA8"/>
    <w:rsid w:val="553218C9"/>
    <w:rsid w:val="567E1AA5"/>
    <w:rsid w:val="56E47B74"/>
    <w:rsid w:val="56FD9C5A"/>
    <w:rsid w:val="57175D52"/>
    <w:rsid w:val="57951698"/>
    <w:rsid w:val="57BD3DD4"/>
    <w:rsid w:val="57F79AAB"/>
    <w:rsid w:val="57F946C0"/>
    <w:rsid w:val="593F5B8A"/>
    <w:rsid w:val="59D56911"/>
    <w:rsid w:val="59E6B2FD"/>
    <w:rsid w:val="5AF92295"/>
    <w:rsid w:val="5B250254"/>
    <w:rsid w:val="5BBBAEAE"/>
    <w:rsid w:val="5BD462C2"/>
    <w:rsid w:val="5BDD79E6"/>
    <w:rsid w:val="5BE65919"/>
    <w:rsid w:val="5BF561CA"/>
    <w:rsid w:val="5BFF5DFC"/>
    <w:rsid w:val="5CD71FC4"/>
    <w:rsid w:val="5D1F11B5"/>
    <w:rsid w:val="5D695134"/>
    <w:rsid w:val="5D7511AD"/>
    <w:rsid w:val="5DAE1B18"/>
    <w:rsid w:val="5DE7D9E5"/>
    <w:rsid w:val="5E6F9472"/>
    <w:rsid w:val="5ECEC941"/>
    <w:rsid w:val="5EFA7CCD"/>
    <w:rsid w:val="5FBF9FF3"/>
    <w:rsid w:val="5FCD4E2C"/>
    <w:rsid w:val="5FD6DF36"/>
    <w:rsid w:val="5FDAB3E6"/>
    <w:rsid w:val="5FEF394A"/>
    <w:rsid w:val="5FF67715"/>
    <w:rsid w:val="5FF6DC26"/>
    <w:rsid w:val="62BF3928"/>
    <w:rsid w:val="63B3701E"/>
    <w:rsid w:val="63BB7265"/>
    <w:rsid w:val="647F5392"/>
    <w:rsid w:val="64FFF25A"/>
    <w:rsid w:val="657DA2B1"/>
    <w:rsid w:val="65E66580"/>
    <w:rsid w:val="664B1D71"/>
    <w:rsid w:val="664B4E8E"/>
    <w:rsid w:val="67277B67"/>
    <w:rsid w:val="67AA3209"/>
    <w:rsid w:val="67ED9A5F"/>
    <w:rsid w:val="698D0931"/>
    <w:rsid w:val="6A7FE5F3"/>
    <w:rsid w:val="6AD98431"/>
    <w:rsid w:val="6B053271"/>
    <w:rsid w:val="6BDD78B3"/>
    <w:rsid w:val="6C4A05C8"/>
    <w:rsid w:val="6C8742B8"/>
    <w:rsid w:val="6D71B7FC"/>
    <w:rsid w:val="6DBF5E93"/>
    <w:rsid w:val="6DD744CD"/>
    <w:rsid w:val="6DF9D9A4"/>
    <w:rsid w:val="6DFF077E"/>
    <w:rsid w:val="6E714EF0"/>
    <w:rsid w:val="6E7E3605"/>
    <w:rsid w:val="6E7FDCC7"/>
    <w:rsid w:val="6E9C780D"/>
    <w:rsid w:val="6EB70F0C"/>
    <w:rsid w:val="6ED6A62E"/>
    <w:rsid w:val="6EE00B15"/>
    <w:rsid w:val="6EEDA3D3"/>
    <w:rsid w:val="6EEF4C04"/>
    <w:rsid w:val="6EFFAF58"/>
    <w:rsid w:val="6F1A800A"/>
    <w:rsid w:val="6F4946FB"/>
    <w:rsid w:val="6F6FB3EB"/>
    <w:rsid w:val="6F8731EA"/>
    <w:rsid w:val="6FBB27F8"/>
    <w:rsid w:val="6FCE6052"/>
    <w:rsid w:val="6FD57C00"/>
    <w:rsid w:val="6FEFFFD8"/>
    <w:rsid w:val="6FF5CC65"/>
    <w:rsid w:val="6FF6D1AB"/>
    <w:rsid w:val="6FFB47EC"/>
    <w:rsid w:val="6FFDD6C3"/>
    <w:rsid w:val="6FFF034A"/>
    <w:rsid w:val="6FFF438D"/>
    <w:rsid w:val="6FFFD882"/>
    <w:rsid w:val="70484440"/>
    <w:rsid w:val="712A28F1"/>
    <w:rsid w:val="715C0E4B"/>
    <w:rsid w:val="71992E7C"/>
    <w:rsid w:val="72233669"/>
    <w:rsid w:val="72734D90"/>
    <w:rsid w:val="73160E6D"/>
    <w:rsid w:val="7332FE48"/>
    <w:rsid w:val="73AB61DA"/>
    <w:rsid w:val="73AD73D5"/>
    <w:rsid w:val="73B6EB34"/>
    <w:rsid w:val="73BF9150"/>
    <w:rsid w:val="73FA497D"/>
    <w:rsid w:val="73FFA4D0"/>
    <w:rsid w:val="744731E5"/>
    <w:rsid w:val="74BBD01D"/>
    <w:rsid w:val="74ED5379"/>
    <w:rsid w:val="74FBA421"/>
    <w:rsid w:val="757DE146"/>
    <w:rsid w:val="75D22508"/>
    <w:rsid w:val="75DEEEC2"/>
    <w:rsid w:val="75E32345"/>
    <w:rsid w:val="75F86814"/>
    <w:rsid w:val="76D386C8"/>
    <w:rsid w:val="76D74DB9"/>
    <w:rsid w:val="76E3355F"/>
    <w:rsid w:val="76FF5125"/>
    <w:rsid w:val="775F87B6"/>
    <w:rsid w:val="776F6FFA"/>
    <w:rsid w:val="777B5C53"/>
    <w:rsid w:val="778769C8"/>
    <w:rsid w:val="77A75DCA"/>
    <w:rsid w:val="77BE08E8"/>
    <w:rsid w:val="77DC22F5"/>
    <w:rsid w:val="77FF1F3A"/>
    <w:rsid w:val="783E271A"/>
    <w:rsid w:val="78616DE9"/>
    <w:rsid w:val="78E875D7"/>
    <w:rsid w:val="78FB7D40"/>
    <w:rsid w:val="79086DAD"/>
    <w:rsid w:val="79B7DED7"/>
    <w:rsid w:val="79D7FD79"/>
    <w:rsid w:val="79EE5BA4"/>
    <w:rsid w:val="7A490B7F"/>
    <w:rsid w:val="7A894339"/>
    <w:rsid w:val="7AD284E8"/>
    <w:rsid w:val="7AFF7572"/>
    <w:rsid w:val="7B27B859"/>
    <w:rsid w:val="7B6C7DFB"/>
    <w:rsid w:val="7BAF618D"/>
    <w:rsid w:val="7BBFBED0"/>
    <w:rsid w:val="7BC3E394"/>
    <w:rsid w:val="7C1F3737"/>
    <w:rsid w:val="7CBFC87B"/>
    <w:rsid w:val="7CFE0F48"/>
    <w:rsid w:val="7CFEB411"/>
    <w:rsid w:val="7CFF2815"/>
    <w:rsid w:val="7D272ABC"/>
    <w:rsid w:val="7D7EC23E"/>
    <w:rsid w:val="7DAF0ECC"/>
    <w:rsid w:val="7DC96C38"/>
    <w:rsid w:val="7DD77B6B"/>
    <w:rsid w:val="7E559C7F"/>
    <w:rsid w:val="7E717B02"/>
    <w:rsid w:val="7E8ADEBF"/>
    <w:rsid w:val="7EC0817E"/>
    <w:rsid w:val="7EEF11D3"/>
    <w:rsid w:val="7EF78120"/>
    <w:rsid w:val="7EFA0590"/>
    <w:rsid w:val="7EFD668D"/>
    <w:rsid w:val="7EFE4840"/>
    <w:rsid w:val="7EFF7C7F"/>
    <w:rsid w:val="7F0971A6"/>
    <w:rsid w:val="7F1D62E7"/>
    <w:rsid w:val="7F2DF172"/>
    <w:rsid w:val="7F3F679B"/>
    <w:rsid w:val="7F4FC4EF"/>
    <w:rsid w:val="7F5BDA77"/>
    <w:rsid w:val="7F5E4D54"/>
    <w:rsid w:val="7F6E0135"/>
    <w:rsid w:val="7F7745FA"/>
    <w:rsid w:val="7F79F205"/>
    <w:rsid w:val="7F7D58EC"/>
    <w:rsid w:val="7F7E36BD"/>
    <w:rsid w:val="7FA30C79"/>
    <w:rsid w:val="7FA79C44"/>
    <w:rsid w:val="7FAF8ABF"/>
    <w:rsid w:val="7FAF9130"/>
    <w:rsid w:val="7FB720C9"/>
    <w:rsid w:val="7FB7269E"/>
    <w:rsid w:val="7FBDDA52"/>
    <w:rsid w:val="7FC96657"/>
    <w:rsid w:val="7FDA9588"/>
    <w:rsid w:val="7FDF220F"/>
    <w:rsid w:val="7FE7065E"/>
    <w:rsid w:val="7FEDBDD7"/>
    <w:rsid w:val="7FEDC5F7"/>
    <w:rsid w:val="7FEDD9DE"/>
    <w:rsid w:val="7FEFA894"/>
    <w:rsid w:val="7FF16B14"/>
    <w:rsid w:val="7FF35B28"/>
    <w:rsid w:val="7FF5890D"/>
    <w:rsid w:val="7FF714A5"/>
    <w:rsid w:val="7FF7D394"/>
    <w:rsid w:val="7FF93490"/>
    <w:rsid w:val="7FFA53BE"/>
    <w:rsid w:val="7FFB288B"/>
    <w:rsid w:val="871FABE2"/>
    <w:rsid w:val="8BFD73C4"/>
    <w:rsid w:val="94BEF04E"/>
    <w:rsid w:val="96FF9D3C"/>
    <w:rsid w:val="99FF2014"/>
    <w:rsid w:val="9AF5EEF5"/>
    <w:rsid w:val="9AF99101"/>
    <w:rsid w:val="9B463D77"/>
    <w:rsid w:val="9BBB82E1"/>
    <w:rsid w:val="9BBFFC76"/>
    <w:rsid w:val="9BFB7E57"/>
    <w:rsid w:val="9D4B5CFF"/>
    <w:rsid w:val="9DF73716"/>
    <w:rsid w:val="9EBB49D6"/>
    <w:rsid w:val="9F67785E"/>
    <w:rsid w:val="9F9F63C8"/>
    <w:rsid w:val="9FEABD47"/>
    <w:rsid w:val="9FFB43FA"/>
    <w:rsid w:val="9FFF30BC"/>
    <w:rsid w:val="A6DD0D7F"/>
    <w:rsid w:val="A97F9EF0"/>
    <w:rsid w:val="A9CFB043"/>
    <w:rsid w:val="ACFF4FBB"/>
    <w:rsid w:val="ADC6F725"/>
    <w:rsid w:val="ADFFE7C8"/>
    <w:rsid w:val="AEC59F53"/>
    <w:rsid w:val="AFFC51FB"/>
    <w:rsid w:val="B27717EB"/>
    <w:rsid w:val="B2FA1EE2"/>
    <w:rsid w:val="B7CF06AB"/>
    <w:rsid w:val="B7CFA926"/>
    <w:rsid w:val="B7F8786B"/>
    <w:rsid w:val="B8FF4A1B"/>
    <w:rsid w:val="BA7B23C6"/>
    <w:rsid w:val="BA7D6A93"/>
    <w:rsid w:val="BABB6AA1"/>
    <w:rsid w:val="BB2F4199"/>
    <w:rsid w:val="BBBFACD4"/>
    <w:rsid w:val="BCBD1F8C"/>
    <w:rsid w:val="BCFFB442"/>
    <w:rsid w:val="BD079C78"/>
    <w:rsid w:val="BD733540"/>
    <w:rsid w:val="BDEF898D"/>
    <w:rsid w:val="BDF7B37B"/>
    <w:rsid w:val="BEBE8A6E"/>
    <w:rsid w:val="BF3735D5"/>
    <w:rsid w:val="BF7F09AC"/>
    <w:rsid w:val="BFBEB463"/>
    <w:rsid w:val="BFD475C3"/>
    <w:rsid w:val="BFDD08F3"/>
    <w:rsid w:val="BFDE5EA6"/>
    <w:rsid w:val="BFDF1371"/>
    <w:rsid w:val="BFE97B24"/>
    <w:rsid w:val="BFFFE488"/>
    <w:rsid w:val="C37D583A"/>
    <w:rsid w:val="C3FC6E3E"/>
    <w:rsid w:val="C6133010"/>
    <w:rsid w:val="C6A9B4C4"/>
    <w:rsid w:val="C7BE6358"/>
    <w:rsid w:val="CBDFD412"/>
    <w:rsid w:val="CF5E781D"/>
    <w:rsid w:val="CF6B677A"/>
    <w:rsid w:val="CF6FC6F3"/>
    <w:rsid w:val="CF9F404A"/>
    <w:rsid w:val="CFD3D3D7"/>
    <w:rsid w:val="CFDF1009"/>
    <w:rsid w:val="CFFF7263"/>
    <w:rsid w:val="D1EFEDB7"/>
    <w:rsid w:val="D4CFDF1F"/>
    <w:rsid w:val="D5FF755D"/>
    <w:rsid w:val="D7D7B16A"/>
    <w:rsid w:val="D7F56584"/>
    <w:rsid w:val="D7FF213B"/>
    <w:rsid w:val="D8D6DB89"/>
    <w:rsid w:val="DAFFC5D8"/>
    <w:rsid w:val="DB6F4CAB"/>
    <w:rsid w:val="DB777682"/>
    <w:rsid w:val="DBD79E3E"/>
    <w:rsid w:val="DCAD6FA1"/>
    <w:rsid w:val="DD1FB521"/>
    <w:rsid w:val="DDDF1B0B"/>
    <w:rsid w:val="DDFF459F"/>
    <w:rsid w:val="DEFBFEAE"/>
    <w:rsid w:val="DF054F09"/>
    <w:rsid w:val="DF1F3B80"/>
    <w:rsid w:val="DF6F9789"/>
    <w:rsid w:val="DF7F1148"/>
    <w:rsid w:val="DFE9BE81"/>
    <w:rsid w:val="DFF62837"/>
    <w:rsid w:val="DFF7E9E8"/>
    <w:rsid w:val="DFFD62A1"/>
    <w:rsid w:val="DFFFA9E8"/>
    <w:rsid w:val="DFFFDD67"/>
    <w:rsid w:val="E07FF265"/>
    <w:rsid w:val="E1DD80B8"/>
    <w:rsid w:val="E3DF6309"/>
    <w:rsid w:val="E3FFC87C"/>
    <w:rsid w:val="E5F4E9DC"/>
    <w:rsid w:val="E657BF03"/>
    <w:rsid w:val="E70FE695"/>
    <w:rsid w:val="E77E5AFB"/>
    <w:rsid w:val="E7F79A66"/>
    <w:rsid w:val="E9DA7892"/>
    <w:rsid w:val="E9E7A1DE"/>
    <w:rsid w:val="E9F71EFB"/>
    <w:rsid w:val="EB2E368B"/>
    <w:rsid w:val="EBB7D7C7"/>
    <w:rsid w:val="ECFED1BC"/>
    <w:rsid w:val="ED1D69BB"/>
    <w:rsid w:val="ED337054"/>
    <w:rsid w:val="ED7FD312"/>
    <w:rsid w:val="EDF762CC"/>
    <w:rsid w:val="EDFE93F9"/>
    <w:rsid w:val="EDFF2D4A"/>
    <w:rsid w:val="EEF99006"/>
    <w:rsid w:val="EF2E1AC6"/>
    <w:rsid w:val="EF53993F"/>
    <w:rsid w:val="EF669442"/>
    <w:rsid w:val="EF6FD633"/>
    <w:rsid w:val="EF771ABF"/>
    <w:rsid w:val="EFBA8093"/>
    <w:rsid w:val="EFBFB2F4"/>
    <w:rsid w:val="EFBFFA21"/>
    <w:rsid w:val="EFF7639F"/>
    <w:rsid w:val="EFF9AC27"/>
    <w:rsid w:val="EFFE09DE"/>
    <w:rsid w:val="EFFE4531"/>
    <w:rsid w:val="F2BEBCB8"/>
    <w:rsid w:val="F31ABB61"/>
    <w:rsid w:val="F36FB518"/>
    <w:rsid w:val="F3DE1A04"/>
    <w:rsid w:val="F3DF1C2D"/>
    <w:rsid w:val="F3F722E5"/>
    <w:rsid w:val="F3FD6A64"/>
    <w:rsid w:val="F4FBCD07"/>
    <w:rsid w:val="F6FE0C94"/>
    <w:rsid w:val="F71F8B39"/>
    <w:rsid w:val="F75EDFBA"/>
    <w:rsid w:val="F78EEC0B"/>
    <w:rsid w:val="F7BF17A9"/>
    <w:rsid w:val="F7CF8D5F"/>
    <w:rsid w:val="F7EE3CAE"/>
    <w:rsid w:val="F93B55BB"/>
    <w:rsid w:val="F99EBDED"/>
    <w:rsid w:val="F9CF24C9"/>
    <w:rsid w:val="F9D7C3A2"/>
    <w:rsid w:val="F9DB3F13"/>
    <w:rsid w:val="FA5F1E70"/>
    <w:rsid w:val="FA5FDB97"/>
    <w:rsid w:val="FABE8C2B"/>
    <w:rsid w:val="FAEF93C7"/>
    <w:rsid w:val="FB7E255A"/>
    <w:rsid w:val="FB7F486A"/>
    <w:rsid w:val="FBEF92EC"/>
    <w:rsid w:val="FBF7B655"/>
    <w:rsid w:val="FBFBF1EE"/>
    <w:rsid w:val="FBFF5B2E"/>
    <w:rsid w:val="FC97B113"/>
    <w:rsid w:val="FCFF1DBD"/>
    <w:rsid w:val="FCFF9936"/>
    <w:rsid w:val="FD16E90D"/>
    <w:rsid w:val="FD7BA566"/>
    <w:rsid w:val="FD7FFB1D"/>
    <w:rsid w:val="FD7FFE2B"/>
    <w:rsid w:val="FDEE196B"/>
    <w:rsid w:val="FDEFED67"/>
    <w:rsid w:val="FDF04379"/>
    <w:rsid w:val="FDFE6575"/>
    <w:rsid w:val="FDFF4573"/>
    <w:rsid w:val="FE66DF03"/>
    <w:rsid w:val="FE734873"/>
    <w:rsid w:val="FEC34BC9"/>
    <w:rsid w:val="FEC36DD9"/>
    <w:rsid w:val="FEDA40C8"/>
    <w:rsid w:val="FEDFDDC2"/>
    <w:rsid w:val="FEED32F6"/>
    <w:rsid w:val="FEF781DD"/>
    <w:rsid w:val="FEFF6657"/>
    <w:rsid w:val="FEFFFD64"/>
    <w:rsid w:val="FF2BEB11"/>
    <w:rsid w:val="FF3F7E3F"/>
    <w:rsid w:val="FF56FF4B"/>
    <w:rsid w:val="FF77AE0D"/>
    <w:rsid w:val="FF87D544"/>
    <w:rsid w:val="FF94302A"/>
    <w:rsid w:val="FFAB3B06"/>
    <w:rsid w:val="FFBA12D7"/>
    <w:rsid w:val="FFBF79B3"/>
    <w:rsid w:val="FFCBD314"/>
    <w:rsid w:val="FFDD6EE6"/>
    <w:rsid w:val="FFDFF91C"/>
    <w:rsid w:val="FFDFFAEE"/>
    <w:rsid w:val="FFE3960B"/>
    <w:rsid w:val="FFE426F7"/>
    <w:rsid w:val="FFEBB561"/>
    <w:rsid w:val="FFEF6777"/>
    <w:rsid w:val="FFF3BAE4"/>
    <w:rsid w:val="FFF762D3"/>
    <w:rsid w:val="FFF9B57B"/>
    <w:rsid w:val="FFFD61D9"/>
    <w:rsid w:val="FFFD8F59"/>
    <w:rsid w:val="FFFF200F"/>
    <w:rsid w:val="FFFF2BB1"/>
    <w:rsid w:val="FFFFB04D"/>
    <w:rsid w:val="FFFFFA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WPSOffice手动目录 1"/>
    <w:qFormat/>
    <w:uiPriority w:val="0"/>
    <w:pPr>
      <w:ind w:leftChars="0"/>
    </w:pPr>
    <w:rPr>
      <w:rFonts w:asciiTheme="minorHAnsi" w:hAnsiTheme="minorHAnsi" w:eastAsiaTheme="minorEastAsia" w:cstheme="minorBidi"/>
      <w:sz w:val="20"/>
      <w:szCs w:val="20"/>
    </w:rPr>
  </w:style>
  <w:style w:type="paragraph" w:customStyle="1" w:styleId="3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2024年</c:v>
                </c:pt>
              </c:strCache>
            </c:strRef>
          </c:tx>
          <c:spPr>
            <a:solidFill>
              <a:schemeClr val="accent1"/>
            </a:solidFill>
            <a:ln>
              <a:noFill/>
            </a:ln>
            <a:effectLst/>
          </c:spPr>
          <c:invertIfNegative val="false"/>
          <c:dLbls>
            <c:spPr>
              <a:noFill/>
              <a:ln>
                <a:noFill/>
              </a:ln>
              <a:effectLst/>
            </c:spPr>
            <c:txPr>
              <a:bodyPr rot="-5400000" spcFirstLastPara="1" vertOverflow="clip" horzOverflow="clip" vert="horz" wrap="square" lIns="38100" tIns="19050" rIns="38100" bIns="19050" anchor="ctr" anchorCtr="true">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Sheet1!$B$2:$B$3</c:f>
              <c:numCache>
                <c:formatCode>General</c:formatCode>
                <c:ptCount val="2"/>
                <c:pt idx="0">
                  <c:v>640.64</c:v>
                </c:pt>
                <c:pt idx="1">
                  <c:v>640.64</c:v>
                </c:pt>
              </c:numCache>
            </c:numRef>
          </c:val>
        </c:ser>
        <c:ser>
          <c:idx val="1"/>
          <c:order val="1"/>
          <c:tx>
            <c:strRef>
              <c:f>Sheet1!$C$1</c:f>
              <c:strCache>
                <c:ptCount val="1"/>
                <c:pt idx="0">
                  <c:v>2023年</c:v>
                </c:pt>
              </c:strCache>
            </c:strRef>
          </c:tx>
          <c:spPr>
            <a:solidFill>
              <a:schemeClr val="accent2"/>
            </a:solidFill>
            <a:ln>
              <a:noFill/>
            </a:ln>
            <a:effectLst/>
          </c:spPr>
          <c:invertIfNegative val="false"/>
          <c:dLbls>
            <c:spPr>
              <a:noFill/>
              <a:ln>
                <a:noFill/>
              </a:ln>
              <a:effectLst/>
            </c:spPr>
            <c:txPr>
              <a:bodyPr rot="-5400000" spcFirstLastPara="1" vertOverflow="clip" horzOverflow="clip" vert="horz" wrap="square" lIns="38100" tIns="19050" rIns="38100" bIns="19050" anchor="ctr" anchorCtr="true">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Sheet1!$C$2:$C$3</c:f>
              <c:numCache>
                <c:formatCode>General</c:formatCode>
                <c:ptCount val="2"/>
                <c:pt idx="0">
                  <c:v>712.81</c:v>
                </c:pt>
                <c:pt idx="1">
                  <c:v>712.81</c:v>
                </c:pt>
              </c:numCache>
            </c:numRef>
          </c:val>
        </c:ser>
        <c:ser>
          <c:idx val="2"/>
          <c:order val="2"/>
          <c:tx>
            <c:strRef>
              <c:f>Sheet1!#REF!</c:f>
              <c:strCache>
                <c:ptCount val="1"/>
                <c:pt idx="0">
                  <c:v/>
                </c:pt>
              </c:strCache>
            </c:strRef>
          </c:tx>
          <c:spPr>
            <a:solidFill>
              <a:schemeClr val="accent3"/>
            </a:solidFill>
            <a:ln>
              <a:noFill/>
            </a:ln>
            <a:effectLst/>
          </c:spPr>
          <c:invertIfNegative val="false"/>
          <c:dLbls>
            <c:dLbl>
              <c:idx val="0"/>
              <c:delete val="true"/>
            </c:dLbl>
            <c:spPr>
              <a:noFill/>
              <a:ln>
                <a:noFill/>
              </a:ln>
              <a:effectLst/>
            </c:spPr>
            <c:txPr>
              <a:bodyPr rot="-5400000" spcFirstLastPara="1" vertOverflow="clip" horzOverflow="clip" vert="horz" wrap="square" lIns="38100" tIns="19050" rIns="38100" bIns="19050" anchor="ctr" anchorCtr="true">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a:solidFill>
                        <a:schemeClr val="tx1">
                          <a:lumMod val="35000"/>
                          <a:lumOff val="65000"/>
                        </a:schemeClr>
                      </a:solidFill>
                    </a:ln>
                    <a:effectLst/>
                  </c:spPr>
                </c15:leaderLines>
              </c:ext>
            </c:extLst>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444"/>
        <c:overlap val="-90"/>
        <c:axId val="135102522"/>
        <c:axId val="985240976"/>
      </c:barChart>
      <c:catAx>
        <c:axId val="135102522"/>
        <c:scaling>
          <c:orientation val="minMax"/>
        </c:scaling>
        <c:delete val="false"/>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985240976"/>
        <c:crosses val="autoZero"/>
        <c:auto val="true"/>
        <c:lblAlgn val="ctr"/>
        <c:lblOffset val="100"/>
        <c:noMultiLvlLbl val="false"/>
      </c:catAx>
      <c:valAx>
        <c:axId val="985240976"/>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35102522"/>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doughnutChart>
        <c:varyColors val="true"/>
        <c:ser>
          <c:idx val="0"/>
          <c:order val="0"/>
          <c:tx>
            <c:strRef>
              <c:f>Sheet1!$B$1</c:f>
              <c:strCache>
                <c:ptCount val="1"/>
                <c:pt idx="0">
                  <c:v>2024年</c:v>
                </c:pt>
              </c:strCache>
            </c:strRef>
          </c:tx>
          <c:spPr/>
          <c:explosion val="0"/>
          <c:dPt>
            <c:idx val="0"/>
            <c:bubble3D val="false"/>
            <c:spPr>
              <a:solidFill>
                <a:schemeClr val="accent1"/>
              </a:solidFill>
              <a:ln w="19050">
                <a:solidFill>
                  <a:schemeClr val="lt1"/>
                </a:solidFill>
              </a:ln>
              <a:effectLst/>
            </c:spPr>
          </c:dPt>
          <c:dLbls>
            <c:delete val="true"/>
          </c:dLbls>
          <c:cat>
            <c:strRef>
              <c:f>Sheet1!$A$2</c:f>
              <c:strCache>
                <c:ptCount val="1"/>
                <c:pt idx="0">
                  <c:v>一般公共预算财政拨款收入</c:v>
                </c:pt>
              </c:strCache>
            </c:strRef>
          </c:cat>
          <c:val>
            <c:numRef>
              <c:f>Sheet1!$B$2</c:f>
              <c:numCache>
                <c:formatCode>General</c:formatCode>
                <c:ptCount val="1"/>
                <c:pt idx="0">
                  <c:v>640.64</c:v>
                </c:pt>
              </c:numCache>
            </c:numRef>
          </c:val>
        </c:ser>
        <c:dLbls>
          <c:showLegendKey val="false"/>
          <c:showVal val="false"/>
          <c:showCatName val="false"/>
          <c:showSerName val="false"/>
          <c:showPercent val="false"/>
          <c:showBubbleSize val="false"/>
          <c:showLeaderLines val="true"/>
        </c:dLbls>
        <c:firstSliceAng val="0"/>
        <c:holeSize val="75"/>
      </c:doughnut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2024年支出</c:v>
                </c:pt>
              </c:strCache>
            </c:strRef>
          </c:tx>
          <c:spPr/>
          <c:explosion val="0"/>
          <c:dPt>
            <c:idx val="0"/>
            <c:bubble3D val="false"/>
            <c:spPr>
              <a:solidFill>
                <a:schemeClr val="accent1"/>
              </a:solidFill>
              <a:ln>
                <a:noFill/>
              </a:ln>
              <a:effectLst>
                <a:outerShdw blurRad="317500" algn="ctr" rotWithShape="0">
                  <a:prstClr val="black">
                    <a:alpha val="25000"/>
                  </a:prstClr>
                </a:outerShdw>
              </a:effectLst>
            </c:spPr>
          </c:dPt>
          <c:dPt>
            <c:idx val="1"/>
            <c:bubble3D val="false"/>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true"/>
              <a:lstStyle/>
              <a:p>
                <a:pPr>
                  <a:defRPr lang="zh-CN" sz="900" b="1" i="0" u="none" strike="noStrike" kern="1200" baseline="0">
                    <a:solidFill>
                      <a:schemeClr val="lt1"/>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35000"/>
                          <a:lumOff val="65000"/>
                        </a:schemeClr>
                      </a:solidFill>
                      <a:round/>
                    </a:ln>
                    <a:effectLst/>
                  </c:spPr>
                </c15:leaderLines>
              </c:ext>
            </c:extLst>
          </c:dLbls>
          <c:cat>
            <c:strRef>
              <c:extLst>
                <c:ext xmlns:c15="http://schemas.microsoft.com/office/drawing/2012/chart" uri="{02D57815-91ED-43cb-92C2-25804820EDAC}">
                  <c15:fullRef>
                    <c15:sqref>Sheet1!$A$2:$A$3</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475.61</c:v>
                </c:pt>
                <c:pt idx="1">
                  <c:v>165.03</c:v>
                </c:pt>
              </c:numCache>
            </c:numRef>
          </c:val>
        </c:ser>
        <c:dLbls>
          <c:showLegendKey val="false"/>
          <c:showVal val="false"/>
          <c:showCatName val="true"/>
          <c:showSerName val="false"/>
          <c:showPercent val="false"/>
          <c:showBubbleSize val="false"/>
          <c:showLeaderLines val="true"/>
        </c:dLbls>
        <c:firstSliceAng val="0"/>
      </c:pieChart>
      <c:spPr>
        <a:noFill/>
        <a:ln>
          <a:noFill/>
        </a:ln>
        <a:effectLst/>
      </c:spPr>
    </c:plotArea>
    <c:legend>
      <c:legendPos val="b"/>
      <c:layout/>
      <c:overlay val="false"/>
      <c:spPr>
        <a:solidFill>
          <a:schemeClr val="lt1">
            <a:alpha val="78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50" baseline="0">
                <a:solidFill>
                  <a:schemeClr val="tx1">
                    <a:lumMod val="65000"/>
                    <a:lumOff val="35000"/>
                  </a:schemeClr>
                </a:solidFill>
                <a:latin typeface="+mn-lt"/>
                <a:ea typeface="+mn-ea"/>
                <a:cs typeface="+mn-cs"/>
              </a:defRPr>
            </a:pPr>
            <a:r>
              <a:t>财政拨款收支情况表</a:t>
            </a:r>
          </a:p>
        </c:rich>
      </c:tx>
      <c:layout>
        <c:manualLayout>
          <c:xMode val="edge"/>
          <c:yMode val="edge"/>
          <c:x val="0.305838799889518"/>
          <c:y val="0.00652032166920235"/>
        </c:manualLayout>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2024年</c:v>
                </c:pt>
              </c:strCache>
            </c:strRef>
          </c:tx>
          <c:spPr>
            <a:gradFill flip="none" rotWithShape="true">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false"/>
            </a:gradFill>
            <a:ln>
              <a:noFill/>
            </a:ln>
            <a:effectLst/>
          </c:spPr>
          <c:invertIfNegative val="false"/>
          <c:dLbls>
            <c:delete val="true"/>
          </c:dLbls>
          <c:cat>
            <c:strRef>
              <c:f>Sheet1!$A$2:$A$3</c:f>
              <c:strCache>
                <c:ptCount val="2"/>
                <c:pt idx="0">
                  <c:v>财政拨款收入</c:v>
                </c:pt>
                <c:pt idx="1">
                  <c:v>财政拨款支出</c:v>
                </c:pt>
              </c:strCache>
            </c:strRef>
          </c:cat>
          <c:val>
            <c:numRef>
              <c:f>Sheet1!$B$2:$B$3</c:f>
              <c:numCache>
                <c:formatCode>General</c:formatCode>
                <c:ptCount val="2"/>
                <c:pt idx="0">
                  <c:v>640.64</c:v>
                </c:pt>
                <c:pt idx="1">
                  <c:v>640.64</c:v>
                </c:pt>
              </c:numCache>
            </c:numRef>
          </c:val>
        </c:ser>
        <c:ser>
          <c:idx val="1"/>
          <c:order val="1"/>
          <c:tx>
            <c:strRef>
              <c:f>Sheet1!$C$1</c:f>
              <c:strCache>
                <c:ptCount val="1"/>
                <c:pt idx="0">
                  <c:v>2023年</c:v>
                </c:pt>
              </c:strCache>
            </c:strRef>
          </c:tx>
          <c:spPr>
            <a:gradFill flip="none" rotWithShape="true">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false"/>
            </a:gradFill>
            <a:ln>
              <a:noFill/>
            </a:ln>
            <a:effectLst/>
          </c:spPr>
          <c:invertIfNegative val="false"/>
          <c:dLbls>
            <c:delete val="true"/>
          </c:dLbls>
          <c:cat>
            <c:strRef>
              <c:f>Sheet1!$A$2:$A$3</c:f>
              <c:strCache>
                <c:ptCount val="2"/>
                <c:pt idx="0">
                  <c:v>财政拨款收入</c:v>
                </c:pt>
                <c:pt idx="1">
                  <c:v>财政拨款支出</c:v>
                </c:pt>
              </c:strCache>
            </c:strRef>
          </c:cat>
          <c:val>
            <c:numRef>
              <c:f>Sheet1!$C$2:$C$3</c:f>
              <c:numCache>
                <c:formatCode>General</c:formatCode>
                <c:ptCount val="2"/>
                <c:pt idx="0">
                  <c:v>712.81</c:v>
                </c:pt>
                <c:pt idx="1">
                  <c:v>712.81</c:v>
                </c:pt>
              </c:numCache>
            </c:numRef>
          </c:val>
        </c:ser>
        <c:ser>
          <c:idx val="2"/>
          <c:order val="2"/>
          <c:tx>
            <c:strRef>
              <c:f>Sheet1!#REF!</c:f>
              <c:strCache>
                <c:ptCount val="1"/>
                <c:pt idx="0">
                  <c:v/>
                </c:pt>
              </c:strCache>
            </c:strRef>
          </c:tx>
          <c:spPr>
            <a:gradFill flip="none" rotWithShape="true">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false"/>
            </a:gradFill>
            <a:ln>
              <a:noFill/>
            </a:ln>
            <a:effectLst/>
          </c:spPr>
          <c:invertIfNegative val="false"/>
          <c:dLbls>
            <c:delete val="true"/>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355"/>
        <c:overlap val="-70"/>
        <c:axId val="766161054"/>
        <c:axId val="725257492"/>
      </c:barChart>
      <c:catAx>
        <c:axId val="76616105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25257492"/>
        <c:crosses val="autoZero"/>
        <c:auto val="true"/>
        <c:lblAlgn val="ctr"/>
        <c:lblOffset val="100"/>
        <c:noMultiLvlLbl val="false"/>
      </c:catAx>
      <c:valAx>
        <c:axId val="725257492"/>
        <c:scaling>
          <c:orientation val="minMax"/>
        </c:scaling>
        <c:delete val="false"/>
        <c:axPos val="l"/>
        <c:majorGridlines>
          <c:spPr>
            <a:ln w="9525" cap="flat" cmpd="sng" algn="ctr">
              <a:gradFill>
                <a:gsLst>
                  <a:gs pos="100000">
                    <a:schemeClr val="tx1">
                      <a:lumMod val="5000"/>
                      <a:lumOff val="95000"/>
                    </a:schemeClr>
                  </a:gs>
                  <a:gs pos="0">
                    <a:schemeClr val="tx1">
                      <a:lumMod val="25000"/>
                      <a:lumOff val="75000"/>
                    </a:schemeClr>
                  </a:gs>
                </a:gsLst>
                <a:lin ang="5400000" scaled="false"/>
              </a:gra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66161054"/>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2023年</c:v>
                </c:pt>
              </c:strCache>
            </c:strRef>
          </c:tx>
          <c:spPr>
            <a:noFill/>
            <a:ln w="25400" cap="flat" cmpd="sng" algn="ctr">
              <a:solidFill>
                <a:schemeClr val="accent1"/>
              </a:solidFill>
              <a:miter lim="800000"/>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712.81</c:v>
                </c:pt>
              </c:numCache>
            </c:numRef>
          </c:val>
        </c:ser>
        <c:ser>
          <c:idx val="1"/>
          <c:order val="1"/>
          <c:tx>
            <c:strRef>
              <c:f>Sheet1!$C$1</c:f>
              <c:strCache>
                <c:ptCount val="1"/>
                <c:pt idx="0">
                  <c:v>2024年</c:v>
                </c:pt>
              </c:strCache>
            </c:strRef>
          </c:tx>
          <c:spPr>
            <a:noFill/>
            <a:ln w="25400" cap="flat" cmpd="sng" algn="ctr">
              <a:solidFill>
                <a:schemeClr val="accent2"/>
              </a:solidFill>
              <a:miter lim="800000"/>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640.64</c:v>
                </c:pt>
              </c:numCache>
            </c:numRef>
          </c:val>
        </c:ser>
        <c:ser>
          <c:idx val="2"/>
          <c:order val="2"/>
          <c:tx>
            <c:strRef>
              <c:f>Sheet1!#REF!</c:f>
              <c:strCache>
                <c:ptCount val="1"/>
                <c:pt idx="0">
                  <c:v/>
                </c:pt>
              </c:strCache>
            </c:strRef>
          </c:tx>
          <c:spPr>
            <a:noFill/>
            <a:ln w="25400" cap="flat" cmpd="sng" algn="ctr">
              <a:solidFill>
                <a:schemeClr val="accent3"/>
              </a:solidFill>
              <a:miter lim="800000"/>
            </a:ln>
            <a:effectLst/>
          </c:spPr>
          <c:invertIfNegative val="false"/>
          <c:dLbls>
            <c:delete val="true"/>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164"/>
        <c:overlap val="-35"/>
        <c:axId val="376442261"/>
        <c:axId val="775721909"/>
      </c:barChart>
      <c:catAx>
        <c:axId val="376442261"/>
        <c:scaling>
          <c:orientation val="minMax"/>
        </c:scaling>
        <c:delete val="false"/>
        <c:axPos val="b"/>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crossAx val="775721909"/>
        <c:crosses val="autoZero"/>
        <c:auto val="true"/>
        <c:lblAlgn val="ctr"/>
        <c:lblOffset val="100"/>
        <c:noMultiLvlLbl val="false"/>
      </c:catAx>
      <c:valAx>
        <c:axId val="775721909"/>
        <c:scaling>
          <c:orientation val="minMax"/>
        </c:scaling>
        <c:delete val="false"/>
        <c:axPos val="l"/>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crossAx val="376442261"/>
        <c:crosses val="autoZero"/>
        <c:crossBetween val="between"/>
      </c:valAx>
      <c:spPr>
        <a:noFill/>
        <a:ln>
          <a:noFill/>
        </a:ln>
        <a:effectLst/>
      </c:spPr>
    </c:plotArea>
    <c:legend>
      <c:legendPos val="t"/>
      <c:legendEntry>
        <c:idx val="2"/>
        <c:delete val="true"/>
      </c:legendEntry>
      <c:layout>
        <c:manualLayout>
          <c:xMode val="edge"/>
          <c:yMode val="edge"/>
          <c:x val="0.370588235294117"/>
          <c:y val="0.0525619834710742"/>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150" baseline="0">
                <a:solidFill>
                  <a:schemeClr val="tx1">
                    <a:lumMod val="50000"/>
                    <a:lumOff val="50000"/>
                  </a:schemeClr>
                </a:solidFill>
                <a:latin typeface="+mn-lt"/>
                <a:ea typeface="+mn-ea"/>
                <a:cs typeface="+mn-cs"/>
              </a:defRPr>
            </a:pPr>
            <a:r>
              <a:t>一般公共预算财政拨款支出</a:t>
            </a:r>
          </a:p>
        </c:rich>
      </c:tx>
      <c:layout/>
      <c:overlay val="false"/>
      <c:spPr>
        <a:noFill/>
        <a:ln>
          <a:noFill/>
        </a:ln>
        <a:effectLst/>
      </c:spPr>
    </c:title>
    <c:autoTitleDeleted val="false"/>
    <c:plotArea>
      <c:layout/>
      <c:pieChart>
        <c:varyColors val="true"/>
        <c:ser>
          <c:idx val="0"/>
          <c:order val="0"/>
          <c:tx>
            <c:strRef>
              <c:f>Sheet1!$B$1</c:f>
              <c:strCache>
                <c:ptCount val="1"/>
                <c:pt idx="0">
                  <c:v>2024年一般公共预算财政拨款支出</c:v>
                </c:pt>
              </c:strCache>
            </c:strRef>
          </c:tx>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false"/>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false"/>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dLbl>
              <c:idx val="1"/>
              <c:layout>
                <c:manualLayout>
                  <c:x val="0.00219540342533838"/>
                  <c:y val="0.0743425447933575"/>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0234912841541535"/>
                  <c:y val="0.03204515494711"/>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3"/>
              <c:layout>
                <c:manualLayout>
                  <c:x val="0.0297377124234564"/>
                  <c:y val="0.0277436373467402"/>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525.9</c:v>
                </c:pt>
                <c:pt idx="1">
                  <c:v>60.38</c:v>
                </c:pt>
                <c:pt idx="2">
                  <c:v>21.75</c:v>
                </c:pt>
                <c:pt idx="3">
                  <c:v>32.61</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legend>
      <c:legendPos val="t"/>
      <c:layout>
        <c:manualLayout>
          <c:xMode val="edge"/>
          <c:yMode val="edge"/>
          <c:x val="0.0990302655017813"/>
          <c:y val="0.111277115734195"/>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a:noFill/>
              </a:ln>
              <a:effectLst>
                <a:outerShdw blurRad="63500" sx="102000" sy="102000" algn="ctr" rotWithShape="0">
                  <a:prstClr val="black">
                    <a:alpha val="20000"/>
                  </a:prstClr>
                </a:outerShdw>
              </a:effectLst>
            </c:spPr>
          </c:dPt>
          <c:dPt>
            <c:idx val="1"/>
            <c:bubble3D val="false"/>
            <c:spPr>
              <a:solidFill>
                <a:schemeClr val="accent2"/>
              </a:solidFill>
              <a:ln>
                <a:noFill/>
              </a:ln>
              <a:effectLst>
                <a:outerShdw blurRad="63500" sx="102000" sy="102000" algn="ctr" rotWithShape="0">
                  <a:prstClr val="black">
                    <a:alpha val="20000"/>
                  </a:prstClr>
                </a:outerShdw>
              </a:effectLst>
            </c:spPr>
          </c:dPt>
          <c:dPt>
            <c:idx val="2"/>
            <c:bubble3D val="false"/>
            <c:spPr>
              <a:solidFill>
                <a:schemeClr val="accent3"/>
              </a:solidFill>
              <a:ln>
                <a:noFill/>
              </a:ln>
              <a:effectLst>
                <a:outerShdw blurRad="63500" sx="102000" sy="102000" algn="ctr" rotWithShape="0">
                  <a:prstClr val="black">
                    <a:alpha val="20000"/>
                  </a:prstClr>
                </a:outerShdw>
              </a:effectLst>
            </c:spPr>
          </c:dPt>
          <c:dLbls>
            <c:dLbl>
              <c:idx val="0"/>
              <c:layout>
                <c:manualLayout>
                  <c:x val="-0.286297102435043"/>
                  <c:y val="0.205992128271904"/>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2525"/>
                  <c:y val="0.08"/>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2"/>
                      </a:solidFill>
                      <a:latin typeface="+mn-lt"/>
                      <a:ea typeface="+mn-ea"/>
                      <a:cs typeface="+mn-cs"/>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36"/>
                  <c:y val="-0.43513164379181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3"/>
                      </a:solidFill>
                      <a:latin typeface="+mn-lt"/>
                      <a:ea typeface="+mn-ea"/>
                      <a:cs typeface="+mn-cs"/>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spc="0" baseline="0">
                    <a:solidFill>
                      <a:schemeClr val="accent1"/>
                    </a:solidFill>
                    <a:latin typeface="+mn-lt"/>
                    <a:ea typeface="+mn-ea"/>
                    <a:cs typeface="+mn-cs"/>
                  </a:defRPr>
                </a:pPr>
              </a:p>
            </c:txPr>
            <c:dLblPos val="out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公务接待费</c:v>
                </c:pt>
                <c:pt idx="2">
                  <c:v>公务用车购置及运行维护费</c:v>
                </c:pt>
              </c:strCache>
            </c:strRef>
          </c:cat>
          <c:val>
            <c:numRef>
              <c:f>Sheet1!$B$2:$B$4</c:f>
              <c:numCache>
                <c:formatCode>General</c:formatCode>
                <c:ptCount val="3"/>
                <c:pt idx="0">
                  <c:v>0</c:v>
                </c:pt>
                <c:pt idx="1">
                  <c:v>0</c:v>
                </c:pt>
                <c:pt idx="2">
                  <c:v>15.09</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true">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
  <cs:dataPoint3D>
    <cs:lnRef idx="0"/>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true">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false"/>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false"/>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6788f4b-049f-4150-8974-d1ed634f748c}"/>
        <w:style w:val=""/>
        <w:category>
          <w:name w:val="常规"/>
          <w:gallery w:val="placeholder"/>
        </w:category>
        <w:types>
          <w:type w:val="bbPlcHdr"/>
        </w:types>
        <w:behaviors>
          <w:behavior w:val="content"/>
        </w:behaviors>
        <w:description w:val=""/>
        <w:guid w:val="{56788f4b-049f-4150-8974-d1ed634f748c}"/>
      </w:docPartPr>
      <w:docPartBody>
        <w:p>
          <w:r>
            <w:rPr>
              <w:color w:val="808080"/>
            </w:rPr>
            <w:t>单击此处输入文字。</w:t>
          </w:r>
        </w:p>
      </w:docPartBody>
    </w:docPart>
    <w:docPart>
      <w:docPartPr>
        <w:name w:val="{3b2c5f29-336d-48c4-af64-1e3a77b800f0}"/>
        <w:style w:val=""/>
        <w:category>
          <w:name w:val="常规"/>
          <w:gallery w:val="placeholder"/>
        </w:category>
        <w:types>
          <w:type w:val="bbPlcHdr"/>
        </w:types>
        <w:behaviors>
          <w:behavior w:val="content"/>
        </w:behaviors>
        <w:description w:val=""/>
        <w:guid w:val="{3b2c5f29-336d-48c4-af64-1e3a77b800f0}"/>
      </w:docPartPr>
      <w:docPartBody>
        <w:p>
          <w:r>
            <w:rPr>
              <w:color w:val="808080"/>
            </w:rPr>
            <w:t>单击此处输入文字。</w:t>
          </w:r>
        </w:p>
      </w:docPartBody>
    </w:docPart>
    <w:docPart>
      <w:docPartPr>
        <w:name w:val="{1d22071a-7b98-4db3-b054-7194bc22d725}"/>
        <w:style w:val=""/>
        <w:category>
          <w:name w:val="常规"/>
          <w:gallery w:val="placeholder"/>
        </w:category>
        <w:types>
          <w:type w:val="bbPlcHdr"/>
        </w:types>
        <w:behaviors>
          <w:behavior w:val="content"/>
        </w:behaviors>
        <w:description w:val=""/>
        <w:guid w:val="{1d22071a-7b98-4db3-b054-7194bc22d725}"/>
      </w:docPartPr>
      <w:docPartBody>
        <w:p>
          <w:r>
            <w:rPr>
              <w:color w:val="808080"/>
            </w:rPr>
            <w:t>单击此处输入文字。</w:t>
          </w:r>
        </w:p>
      </w:docPartBody>
    </w:docPart>
    <w:docPart>
      <w:docPartPr>
        <w:name w:val="{301d5b66-f90b-4f89-a383-e5a1811b8bc5}"/>
        <w:style w:val=""/>
        <w:category>
          <w:name w:val="常规"/>
          <w:gallery w:val="placeholder"/>
        </w:category>
        <w:types>
          <w:type w:val="bbPlcHdr"/>
        </w:types>
        <w:behaviors>
          <w:behavior w:val="content"/>
        </w:behaviors>
        <w:description w:val=""/>
        <w:guid w:val="{301d5b66-f90b-4f89-a383-e5a1811b8bc5}"/>
      </w:docPartPr>
      <w:docPartBody>
        <w:p>
          <w:r>
            <w:rPr>
              <w:color w:val="808080"/>
            </w:rPr>
            <w:t>单击此处输入文字。</w:t>
          </w:r>
        </w:p>
      </w:docPartBody>
    </w:docPart>
    <w:docPart>
      <w:docPartPr>
        <w:name w:val="{a1e38704-eade-4982-8f7b-9d0427e703f8}"/>
        <w:style w:val=""/>
        <w:category>
          <w:name w:val="常规"/>
          <w:gallery w:val="placeholder"/>
        </w:category>
        <w:types>
          <w:type w:val="bbPlcHdr"/>
        </w:types>
        <w:behaviors>
          <w:behavior w:val="content"/>
        </w:behaviors>
        <w:description w:val=""/>
        <w:guid w:val="{a1e38704-eade-4982-8f7b-9d0427e703f8}"/>
      </w:docPartPr>
      <w:docPartBody>
        <w:p>
          <w:r>
            <w:rPr>
              <w:color w:val="808080"/>
            </w:rPr>
            <w:t>单击此处输入文字。</w:t>
          </w:r>
        </w:p>
      </w:docPartBody>
    </w:docPart>
    <w:docPart>
      <w:docPartPr>
        <w:name w:val="{437e2734-cde7-41ae-aa89-45d22cfea452}"/>
        <w:style w:val=""/>
        <w:category>
          <w:name w:val="常规"/>
          <w:gallery w:val="placeholder"/>
        </w:category>
        <w:types>
          <w:type w:val="bbPlcHdr"/>
        </w:types>
        <w:behaviors>
          <w:behavior w:val="content"/>
        </w:behaviors>
        <w:description w:val=""/>
        <w:guid w:val="{437e2734-cde7-41ae-aa89-45d22cfea452}"/>
      </w:docPartPr>
      <w:docPartBody>
        <w:p>
          <w:r>
            <w:rPr>
              <w:color w:val="808080"/>
            </w:rPr>
            <w:t>单击此处输入文字。</w:t>
          </w:r>
        </w:p>
      </w:docPartBody>
    </w:docPart>
    <w:docPart>
      <w:docPartPr>
        <w:name w:val="{8cae92dc-2afa-485d-b186-aa434e9d53aa}"/>
        <w:style w:val=""/>
        <w:category>
          <w:name w:val="常规"/>
          <w:gallery w:val="placeholder"/>
        </w:category>
        <w:types>
          <w:type w:val="bbPlcHdr"/>
        </w:types>
        <w:behaviors>
          <w:behavior w:val="content"/>
        </w:behaviors>
        <w:description w:val=""/>
        <w:guid w:val="{8cae92dc-2afa-485d-b186-aa434e9d53aa}"/>
      </w:docPartPr>
      <w:docPartBody>
        <w:p>
          <w:r>
            <w:rPr>
              <w:color w:val="808080"/>
            </w:rPr>
            <w:t>单击此处输入文字。</w:t>
          </w:r>
        </w:p>
      </w:docPartBody>
    </w:docPart>
    <w:docPart>
      <w:docPartPr>
        <w:name w:val="{b596d70c-20f0-4934-96b2-e1afb08ae6b5}"/>
        <w:style w:val=""/>
        <w:category>
          <w:name w:val="常规"/>
          <w:gallery w:val="placeholder"/>
        </w:category>
        <w:types>
          <w:type w:val="bbPlcHdr"/>
        </w:types>
        <w:behaviors>
          <w:behavior w:val="content"/>
        </w:behaviors>
        <w:description w:val=""/>
        <w:guid w:val="{b596d70c-20f0-4934-96b2-e1afb08ae6b5}"/>
      </w:docPartPr>
      <w:docPartBody>
        <w:p>
          <w:r>
            <w:rPr>
              <w:color w:val="808080"/>
            </w:rPr>
            <w:t>单击此处输入文字。</w:t>
          </w:r>
        </w:p>
      </w:docPartBody>
    </w:docPart>
    <w:docPart>
      <w:docPartPr>
        <w:name w:val="{acfe48a4-202e-45ed-8585-3b8bf378d436}"/>
        <w:style w:val=""/>
        <w:category>
          <w:name w:val="常规"/>
          <w:gallery w:val="placeholder"/>
        </w:category>
        <w:types>
          <w:type w:val="bbPlcHdr"/>
        </w:types>
        <w:behaviors>
          <w:behavior w:val="content"/>
        </w:behaviors>
        <w:description w:val=""/>
        <w:guid w:val="{acfe48a4-202e-45ed-8585-3b8bf378d436}"/>
      </w:docPartPr>
      <w:docPartBody>
        <w:p>
          <w:r>
            <w:rPr>
              <w:color w:val="808080"/>
            </w:rPr>
            <w:t>单击此处输入文字。</w:t>
          </w:r>
        </w:p>
      </w:docPartBody>
    </w:docPart>
    <w:docPart>
      <w:docPartPr>
        <w:name w:val="{57e37e26-f901-41e4-aac3-5e3f93e08114}"/>
        <w:style w:val=""/>
        <w:category>
          <w:name w:val="常规"/>
          <w:gallery w:val="placeholder"/>
        </w:category>
        <w:types>
          <w:type w:val="bbPlcHdr"/>
        </w:types>
        <w:behaviors>
          <w:behavior w:val="content"/>
        </w:behaviors>
        <w:description w:val=""/>
        <w:guid w:val="{57e37e26-f901-41e4-aac3-5e3f93e08114}"/>
      </w:docPartPr>
      <w:docPartBody>
        <w:p>
          <w:r>
            <w:rPr>
              <w:color w:val="808080"/>
            </w:rPr>
            <w:t>单击此处输入文字。</w:t>
          </w:r>
        </w:p>
      </w:docPartBody>
    </w:docPart>
    <w:docPart>
      <w:docPartPr>
        <w:name w:val="{c5b96b95-cf4a-4d24-ac51-d623d436ed8c}"/>
        <w:style w:val=""/>
        <w:category>
          <w:name w:val="常规"/>
          <w:gallery w:val="placeholder"/>
        </w:category>
        <w:types>
          <w:type w:val="bbPlcHdr"/>
        </w:types>
        <w:behaviors>
          <w:behavior w:val="content"/>
        </w:behaviors>
        <w:description w:val=""/>
        <w:guid w:val="{c5b96b95-cf4a-4d24-ac51-d623d436ed8c}"/>
      </w:docPartPr>
      <w:docPartBody>
        <w:p>
          <w:r>
            <w:rPr>
              <w:color w:val="808080"/>
            </w:rPr>
            <w:t>单击此处输入文字。</w:t>
          </w:r>
        </w:p>
      </w:docPartBody>
    </w:docPart>
    <w:docPart>
      <w:docPartPr>
        <w:name w:val="{63044ae6-2129-4a18-9d6a-01df7ae6d494}"/>
        <w:style w:val=""/>
        <w:category>
          <w:name w:val="常规"/>
          <w:gallery w:val="placeholder"/>
        </w:category>
        <w:types>
          <w:type w:val="bbPlcHdr"/>
        </w:types>
        <w:behaviors>
          <w:behavior w:val="content"/>
        </w:behaviors>
        <w:description w:val=""/>
        <w:guid w:val="{63044ae6-2129-4a18-9d6a-01df7ae6d494}"/>
      </w:docPartPr>
      <w:docPartBody>
        <w:p>
          <w:r>
            <w:rPr>
              <w:color w:val="808080"/>
            </w:rPr>
            <w:t>单击此处输入文字。</w:t>
          </w:r>
        </w:p>
      </w:docPartBody>
    </w:docPart>
    <w:docPart>
      <w:docPartPr>
        <w:name w:val="{a87c993e-5ae9-4006-8f0a-eb52df1bb406}"/>
        <w:style w:val=""/>
        <w:category>
          <w:name w:val="常规"/>
          <w:gallery w:val="placeholder"/>
        </w:category>
        <w:types>
          <w:type w:val="bbPlcHdr"/>
        </w:types>
        <w:behaviors>
          <w:behavior w:val="content"/>
        </w:behaviors>
        <w:description w:val=""/>
        <w:guid w:val="{a87c993e-5ae9-4006-8f0a-eb52df1bb406}"/>
      </w:docPartPr>
      <w:docPartBody>
        <w:p>
          <w:r>
            <w:rPr>
              <w:color w:val="808080"/>
            </w:rPr>
            <w:t>单击此处输入文字。</w:t>
          </w:r>
        </w:p>
      </w:docPartBody>
    </w:docPart>
    <w:docPart>
      <w:docPartPr>
        <w:name w:val="{cb0ce420-7742-42bd-9289-62806f27b993}"/>
        <w:style w:val=""/>
        <w:category>
          <w:name w:val="常规"/>
          <w:gallery w:val="placeholder"/>
        </w:category>
        <w:types>
          <w:type w:val="bbPlcHdr"/>
        </w:types>
        <w:behaviors>
          <w:behavior w:val="content"/>
        </w:behaviors>
        <w:description w:val=""/>
        <w:guid w:val="{cb0ce420-7742-42bd-9289-62806f27b993}"/>
      </w:docPartPr>
      <w:docPartBody>
        <w:p>
          <w:r>
            <w:rPr>
              <w:color w:val="808080"/>
            </w:rPr>
            <w:t>单击此处输入文字。</w:t>
          </w:r>
        </w:p>
      </w:docPartBody>
    </w:docPart>
    <w:docPart>
      <w:docPartPr>
        <w:name w:val="{1c41c87e-c5f9-4017-a042-6e12458de0ef}"/>
        <w:style w:val=""/>
        <w:category>
          <w:name w:val="常规"/>
          <w:gallery w:val="placeholder"/>
        </w:category>
        <w:types>
          <w:type w:val="bbPlcHdr"/>
        </w:types>
        <w:behaviors>
          <w:behavior w:val="content"/>
        </w:behaviors>
        <w:description w:val=""/>
        <w:guid w:val="{1c41c87e-c5f9-4017-a042-6e12458de0ef}"/>
      </w:docPartPr>
      <w:docPartBody>
        <w:p>
          <w:r>
            <w:rPr>
              <w:color w:val="808080"/>
            </w:rPr>
            <w:t>单击此处输入文字。</w:t>
          </w:r>
        </w:p>
      </w:docPartBody>
    </w:docPart>
    <w:docPart>
      <w:docPartPr>
        <w:name w:val="{363dd1d1-487e-41e5-8b4c-61f4c2adf015}"/>
        <w:style w:val=""/>
        <w:category>
          <w:name w:val="常规"/>
          <w:gallery w:val="placeholder"/>
        </w:category>
        <w:types>
          <w:type w:val="bbPlcHdr"/>
        </w:types>
        <w:behaviors>
          <w:behavior w:val="content"/>
        </w:behaviors>
        <w:description w:val=""/>
        <w:guid w:val="{363dd1d1-487e-41e5-8b4c-61f4c2adf015}"/>
      </w:docPartPr>
      <w:docPartBody>
        <w:p>
          <w:r>
            <w:rPr>
              <w:color w:val="808080"/>
            </w:rPr>
            <w:t>单击此处输入文字。</w:t>
          </w:r>
        </w:p>
      </w:docPartBody>
    </w:docPart>
    <w:docPart>
      <w:docPartPr>
        <w:name w:val="{4741bf0a-166f-4a08-bf20-ff117ce03e0f}"/>
        <w:style w:val=""/>
        <w:category>
          <w:name w:val="常规"/>
          <w:gallery w:val="placeholder"/>
        </w:category>
        <w:types>
          <w:type w:val="bbPlcHdr"/>
        </w:types>
        <w:behaviors>
          <w:behavior w:val="content"/>
        </w:behaviors>
        <w:description w:val=""/>
        <w:guid w:val="{4741bf0a-166f-4a08-bf20-ff117ce03e0f}"/>
      </w:docPartPr>
      <w:docPartBody>
        <w:p>
          <w:r>
            <w:rPr>
              <w:color w:val="808080"/>
            </w:rPr>
            <w:t>单击此处输入文字。</w:t>
          </w:r>
        </w:p>
      </w:docPartBody>
    </w:docPart>
    <w:docPart>
      <w:docPartPr>
        <w:name w:val="{0b005ad8-4554-4584-a9c4-d3b29bffa7b0}"/>
        <w:style w:val=""/>
        <w:category>
          <w:name w:val="常规"/>
          <w:gallery w:val="placeholder"/>
        </w:category>
        <w:types>
          <w:type w:val="bbPlcHdr"/>
        </w:types>
        <w:behaviors>
          <w:behavior w:val="content"/>
        </w:behaviors>
        <w:description w:val=""/>
        <w:guid w:val="{0b005ad8-4554-4584-a9c4-d3b29bffa7b0}"/>
      </w:docPartPr>
      <w:docPartBody>
        <w:p>
          <w:r>
            <w:rPr>
              <w:color w:val="808080"/>
            </w:rPr>
            <w:t>单击此处输入文字。</w:t>
          </w:r>
        </w:p>
      </w:docPartBody>
    </w:docPart>
    <w:docPart>
      <w:docPartPr>
        <w:name w:val="{2dc7d3e4-e481-4628-95e4-4c68e5c9b9fe}"/>
        <w:style w:val=""/>
        <w:category>
          <w:name w:val="常规"/>
          <w:gallery w:val="placeholder"/>
        </w:category>
        <w:types>
          <w:type w:val="bbPlcHdr"/>
        </w:types>
        <w:behaviors>
          <w:behavior w:val="content"/>
        </w:behaviors>
        <w:description w:val=""/>
        <w:guid w:val="{2dc7d3e4-e481-4628-95e4-4c68e5c9b9fe}"/>
      </w:docPartPr>
      <w:docPartBody>
        <w:p>
          <w:r>
            <w:rPr>
              <w:color w:val="808080"/>
            </w:rPr>
            <w:t>单击此处输入文字。</w:t>
          </w:r>
        </w:p>
      </w:docPartBody>
    </w:docPart>
    <w:docPart>
      <w:docPartPr>
        <w:name w:val="{0cba22b5-afcd-41a6-9efb-819fbdc50e13}"/>
        <w:style w:val=""/>
        <w:category>
          <w:name w:val="常规"/>
          <w:gallery w:val="placeholder"/>
        </w:category>
        <w:types>
          <w:type w:val="bbPlcHdr"/>
        </w:types>
        <w:behaviors>
          <w:behavior w:val="content"/>
        </w:behaviors>
        <w:description w:val=""/>
        <w:guid w:val="{0cba22b5-afcd-41a6-9efb-819fbdc50e13}"/>
      </w:docPartPr>
      <w:docPartBody>
        <w:p>
          <w:r>
            <w:rPr>
              <w:color w:val="808080"/>
            </w:rPr>
            <w:t>单击此处输入文字。</w:t>
          </w:r>
        </w:p>
      </w:docPartBody>
    </w:docPart>
    <w:docPart>
      <w:docPartPr>
        <w:name w:val="{7e11df17-22a0-47e0-8933-cf043e6d7490}"/>
        <w:style w:val=""/>
        <w:category>
          <w:name w:val="常规"/>
          <w:gallery w:val="placeholder"/>
        </w:category>
        <w:types>
          <w:type w:val="bbPlcHdr"/>
        </w:types>
        <w:behaviors>
          <w:behavior w:val="content"/>
        </w:behaviors>
        <w:description w:val=""/>
        <w:guid w:val="{7e11df17-22a0-47e0-8933-cf043e6d7490}"/>
      </w:docPartPr>
      <w:docPartBody>
        <w:p>
          <w:r>
            <w:rPr>
              <w:color w:val="808080"/>
            </w:rPr>
            <w:t>单击此处输入文字。</w:t>
          </w:r>
        </w:p>
      </w:docPartBody>
    </w:docPart>
    <w:docPart>
      <w:docPartPr>
        <w:name w:val="{197602a7-b68a-4570-bff2-5bb9d7a4af6b}"/>
        <w:style w:val=""/>
        <w:category>
          <w:name w:val="常规"/>
          <w:gallery w:val="placeholder"/>
        </w:category>
        <w:types>
          <w:type w:val="bbPlcHdr"/>
        </w:types>
        <w:behaviors>
          <w:behavior w:val="content"/>
        </w:behaviors>
        <w:description w:val=""/>
        <w:guid w:val="{197602a7-b68a-4570-bff2-5bb9d7a4af6b}"/>
      </w:docPartPr>
      <w:docPartBody>
        <w:p>
          <w:r>
            <w:rPr>
              <w:color w:val="808080"/>
            </w:rPr>
            <w:t>单击此处输入文字。</w:t>
          </w:r>
        </w:p>
      </w:docPartBody>
    </w:docPart>
    <w:docPart>
      <w:docPartPr>
        <w:name w:val="{3b3b8410-b1ae-497b-ab11-6ea4ccc2cff1}"/>
        <w:style w:val=""/>
        <w:category>
          <w:name w:val="常规"/>
          <w:gallery w:val="placeholder"/>
        </w:category>
        <w:types>
          <w:type w:val="bbPlcHdr"/>
        </w:types>
        <w:behaviors>
          <w:behavior w:val="content"/>
        </w:behaviors>
        <w:description w:val=""/>
        <w:guid w:val="{3b3b8410-b1ae-497b-ab11-6ea4ccc2cff1}"/>
      </w:docPartPr>
      <w:docPartBody>
        <w:p>
          <w:r>
            <w:rPr>
              <w:color w:val="808080"/>
            </w:rPr>
            <w:t>单击此处输入文字。</w:t>
          </w:r>
        </w:p>
      </w:docPartBody>
    </w:docPart>
    <w:docPart>
      <w:docPartPr>
        <w:name w:val="{8feca45f-bae7-43a7-b1b3-1f4d20473ff9}"/>
        <w:style w:val=""/>
        <w:category>
          <w:name w:val="常规"/>
          <w:gallery w:val="placeholder"/>
        </w:category>
        <w:types>
          <w:type w:val="bbPlcHdr"/>
        </w:types>
        <w:behaviors>
          <w:behavior w:val="content"/>
        </w:behaviors>
        <w:description w:val=""/>
        <w:guid w:val="{8feca45f-bae7-43a7-b1b3-1f4d20473ff9}"/>
      </w:docPartPr>
      <w:docPartBody>
        <w:p>
          <w:r>
            <w:rPr>
              <w:color w:val="808080"/>
            </w:rPr>
            <w:t>单击此处输入文字。</w:t>
          </w:r>
        </w:p>
      </w:docPartBody>
    </w:docPart>
    <w:docPart>
      <w:docPartPr>
        <w:name w:val="{aa2acec8-4fb2-4b93-852a-1dadbeab3835}"/>
        <w:style w:val=""/>
        <w:category>
          <w:name w:val="常规"/>
          <w:gallery w:val="placeholder"/>
        </w:category>
        <w:types>
          <w:type w:val="bbPlcHdr"/>
        </w:types>
        <w:behaviors>
          <w:behavior w:val="content"/>
        </w:behaviors>
        <w:description w:val=""/>
        <w:guid w:val="{aa2acec8-4fb2-4b93-852a-1dadbeab3835}"/>
      </w:docPartPr>
      <w:docPartBody>
        <w:p>
          <w:r>
            <w:rPr>
              <w:color w:val="808080"/>
            </w:rPr>
            <w:t>单击此处输入文字。</w:t>
          </w:r>
        </w:p>
      </w:docPartBody>
    </w:docPart>
    <w:docPart>
      <w:docPartPr>
        <w:name w:val="{8395c108-59bc-4c00-a4d0-791a0b48ad37}"/>
        <w:style w:val=""/>
        <w:category>
          <w:name w:val="常规"/>
          <w:gallery w:val="placeholder"/>
        </w:category>
        <w:types>
          <w:type w:val="bbPlcHdr"/>
        </w:types>
        <w:behaviors>
          <w:behavior w:val="content"/>
        </w:behaviors>
        <w:description w:val=""/>
        <w:guid w:val="{8395c108-59bc-4c00-a4d0-791a0b48ad37}"/>
      </w:docPartPr>
      <w:docPartBody>
        <w:p>
          <w:r>
            <w:rPr>
              <w:color w:val="808080"/>
            </w:rPr>
            <w:t>单击此处输入文字。</w:t>
          </w:r>
        </w:p>
      </w:docPartBody>
    </w:docPart>
    <w:docPart>
      <w:docPartPr>
        <w:name w:val="{59fb2293-a21b-4878-942d-5d738f503985}"/>
        <w:style w:val=""/>
        <w:category>
          <w:name w:val="常规"/>
          <w:gallery w:val="placeholder"/>
        </w:category>
        <w:types>
          <w:type w:val="bbPlcHdr"/>
        </w:types>
        <w:behaviors>
          <w:behavior w:val="content"/>
        </w:behaviors>
        <w:description w:val=""/>
        <w:guid w:val="{59fb2293-a21b-4878-942d-5d738f503985}"/>
      </w:docPartPr>
      <w:docPartBody>
        <w:p>
          <w:r>
            <w:rPr>
              <w:color w:val="808080"/>
            </w:rPr>
            <w:t>单击此处输入文字。</w:t>
          </w:r>
        </w:p>
      </w:docPartBody>
    </w:docPart>
    <w:docPart>
      <w:docPartPr>
        <w:name w:val="{f5f7ba65-f8bd-463e-b416-581dcb3436d1}"/>
        <w:style w:val=""/>
        <w:category>
          <w:name w:val="常规"/>
          <w:gallery w:val="placeholder"/>
        </w:category>
        <w:types>
          <w:type w:val="bbPlcHdr"/>
        </w:types>
        <w:behaviors>
          <w:behavior w:val="content"/>
        </w:behaviors>
        <w:description w:val=""/>
        <w:guid w:val="{f5f7ba65-f8bd-463e-b416-581dcb3436d1}"/>
      </w:docPartPr>
      <w:docPartBody>
        <w:p>
          <w:r>
            <w:rPr>
              <w:color w:val="808080"/>
            </w:rPr>
            <w:t>单击此处输入文字。</w:t>
          </w:r>
        </w:p>
      </w:docPartBody>
    </w:docPart>
    <w:docPart>
      <w:docPartPr>
        <w:name w:val="{e1296684-1dc6-4267-ae22-b13784bd1616}"/>
        <w:style w:val=""/>
        <w:category>
          <w:name w:val="常规"/>
          <w:gallery w:val="placeholder"/>
        </w:category>
        <w:types>
          <w:type w:val="bbPlcHdr"/>
        </w:types>
        <w:behaviors>
          <w:behavior w:val="content"/>
        </w:behaviors>
        <w:description w:val=""/>
        <w:guid w:val="{e1296684-1dc6-4267-ae22-b13784bd1616}"/>
      </w:docPartPr>
      <w:docPartBody>
        <w:p>
          <w:r>
            <w:rPr>
              <w:color w:val="808080"/>
            </w:rPr>
            <w:t>单击此处输入文字。</w:t>
          </w:r>
        </w:p>
      </w:docPartBody>
    </w:docPart>
    <w:docPart>
      <w:docPartPr>
        <w:name w:val="{60a445f1-b062-45de-a6c8-fb389b9a6288}"/>
        <w:style w:val=""/>
        <w:category>
          <w:name w:val="常规"/>
          <w:gallery w:val="placeholder"/>
        </w:category>
        <w:types>
          <w:type w:val="bbPlcHdr"/>
        </w:types>
        <w:behaviors>
          <w:behavior w:val="content"/>
        </w:behaviors>
        <w:description w:val=""/>
        <w:guid w:val="{60a445f1-b062-45de-a6c8-fb389b9a6288}"/>
      </w:docPartPr>
      <w:docPartBody>
        <w:p>
          <w:r>
            <w:rPr>
              <w:color w:val="808080"/>
            </w:rPr>
            <w:t>单击此处输入文字。</w:t>
          </w:r>
        </w:p>
      </w:docPartBody>
    </w:docPart>
    <w:docPart>
      <w:docPartPr>
        <w:name w:val="{d3a190fc-6c0b-4986-81ce-d12b30000cfa}"/>
        <w:style w:val=""/>
        <w:category>
          <w:name w:val="常规"/>
          <w:gallery w:val="placeholder"/>
        </w:category>
        <w:types>
          <w:type w:val="bbPlcHdr"/>
        </w:types>
        <w:behaviors>
          <w:behavior w:val="content"/>
        </w:behaviors>
        <w:description w:val=""/>
        <w:guid w:val="{d3a190fc-6c0b-4986-81ce-d12b30000cfa}"/>
      </w:docPartPr>
      <w:docPartBody>
        <w:p>
          <w:r>
            <w:rPr>
              <w:color w:val="808080"/>
            </w:rPr>
            <w:t>单击此处输入文字。</w:t>
          </w:r>
        </w:p>
      </w:docPartBody>
    </w:docPart>
    <w:docPart>
      <w:docPartPr>
        <w:name w:val="{f7380710-97de-4fd3-a4b3-ec4d802ca51f}"/>
        <w:style w:val=""/>
        <w:category>
          <w:name w:val="常规"/>
          <w:gallery w:val="placeholder"/>
        </w:category>
        <w:types>
          <w:type w:val="bbPlcHdr"/>
        </w:types>
        <w:behaviors>
          <w:behavior w:val="content"/>
        </w:behaviors>
        <w:description w:val=""/>
        <w:guid w:val="{f7380710-97de-4fd3-a4b3-ec4d802ca51f}"/>
      </w:docPartPr>
      <w:docPartBody>
        <w:p>
          <w:r>
            <w:rPr>
              <w:color w:val="808080"/>
            </w:rPr>
            <w:t>单击此处输入文字。</w:t>
          </w:r>
        </w:p>
      </w:docPartBody>
    </w:docPart>
    <w:docPart>
      <w:docPartPr>
        <w:name w:val="{ac6d8d7f-f9c4-43c3-856e-18d960992f9c}"/>
        <w:style w:val=""/>
        <w:category>
          <w:name w:val="常规"/>
          <w:gallery w:val="placeholder"/>
        </w:category>
        <w:types>
          <w:type w:val="bbPlcHdr"/>
        </w:types>
        <w:behaviors>
          <w:behavior w:val="content"/>
        </w:behaviors>
        <w:description w:val=""/>
        <w:guid w:val="{ac6d8d7f-f9c4-43c3-856e-18d960992f9c}"/>
      </w:docPartPr>
      <w:docPartBody>
        <w:p>
          <w:r>
            <w:rPr>
              <w:color w:val="808080"/>
            </w:rPr>
            <w:t>单击此处输入文字。</w:t>
          </w:r>
        </w:p>
      </w:docPartBody>
    </w:docPart>
    <w:docPart>
      <w:docPartPr>
        <w:name w:val="{24ec273c-8a29-4198-8b07-f5a643815309}"/>
        <w:style w:val=""/>
        <w:category>
          <w:name w:val="常规"/>
          <w:gallery w:val="placeholder"/>
        </w:category>
        <w:types>
          <w:type w:val="bbPlcHdr"/>
        </w:types>
        <w:behaviors>
          <w:behavior w:val="content"/>
        </w:behaviors>
        <w:description w:val=""/>
        <w:guid w:val="{24ec273c-8a29-4198-8b07-f5a643815309}"/>
      </w:docPartPr>
      <w:docPartBody>
        <w:p>
          <w:r>
            <w:rPr>
              <w:color w:val="808080"/>
            </w:rPr>
            <w:t>单击此处输入文字。</w:t>
          </w:r>
        </w:p>
      </w:docPartBody>
    </w:docPart>
    <w:docPart>
      <w:docPartPr>
        <w:name w:val="{adb695ca-2eda-46d0-b1f8-4bb56d8cbafc}"/>
        <w:style w:val=""/>
        <w:category>
          <w:name w:val="常规"/>
          <w:gallery w:val="placeholder"/>
        </w:category>
        <w:types>
          <w:type w:val="bbPlcHdr"/>
        </w:types>
        <w:behaviors>
          <w:behavior w:val="content"/>
        </w:behaviors>
        <w:description w:val=""/>
        <w:guid w:val="{adb695ca-2eda-46d0-b1f8-4bb56d8cbaf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4</TotalTime>
  <ScaleCrop>false</ScaleCrop>
  <LinksUpToDate>false</LinksUpToDate>
  <CharactersWithSpaces>8692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2020-08-12T01:49:00Z</dcterms:created>
  <dc:creator>曹颖</dc:creator>
  <cp:lastModifiedBy>user</cp:lastModifiedBy>
  <cp:lastPrinted>2025-09-28T09:47:08Z</cp:lastPrinted>
  <dcterms:modified xsi:type="dcterms:W3CDTF">2025-09-28T09:48:13Z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04787F2533EB45DC91BCDE4AB213247F</vt:lpwstr>
  </property>
</Properties>
</file>