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hd w:val="clear" w:color="auto" w:fill="FFFFFF"/>
        <w:jc w:val="center"/>
        <w:rPr>
          <w:rStyle w:val="9"/>
          <w:rFonts w:hint="eastAsia" w:ascii="仿宋_GB2312" w:hAnsi="宋体" w:eastAsia="仿宋_GB2312" w:cs="宋体"/>
          <w:sz w:val="44"/>
          <w:szCs w:val="44"/>
          <w:shd w:val="clear" w:color="auto" w:fill="FFFFFF"/>
          <w:lang w:val="en-US"/>
        </w:rPr>
      </w:pPr>
    </w:p>
    <w:p>
      <w:pPr>
        <w:pStyle w:val="7"/>
        <w:shd w:val="clear" w:color="auto" w:fill="FFFFFF"/>
        <w:jc w:val="center"/>
        <w:rPr>
          <w:rStyle w:val="9"/>
          <w:rFonts w:hint="eastAsia" w:ascii="仿宋_GB2312" w:hAnsi="宋体" w:eastAsia="仿宋_GB2312" w:cs="宋体"/>
          <w:sz w:val="44"/>
          <w:szCs w:val="44"/>
          <w:shd w:val="clear" w:color="auto" w:fill="FFFFFF"/>
          <w:lang w:val="en-US"/>
        </w:rPr>
      </w:pPr>
    </w:p>
    <w:p>
      <w:pPr>
        <w:pStyle w:val="7"/>
        <w:shd w:val="clear" w:color="auto" w:fill="FFFFFF"/>
        <w:jc w:val="center"/>
        <w:rPr>
          <w:sz w:val="44"/>
          <w:szCs w:val="44"/>
        </w:rPr>
      </w:pPr>
      <w:r>
        <w:rPr>
          <w:rStyle w:val="9"/>
          <w:rFonts w:hint="eastAsia" w:ascii="仿宋_GB2312" w:hAnsi="宋体" w:eastAsia="仿宋_GB2312" w:cs="宋体"/>
          <w:sz w:val="44"/>
          <w:szCs w:val="44"/>
          <w:shd w:val="clear" w:color="auto" w:fill="FFFFFF"/>
          <w:lang w:val="en-US"/>
        </w:rPr>
        <w:t>2019</w:t>
      </w:r>
      <w:r>
        <w:rPr>
          <w:rStyle w:val="9"/>
          <w:rFonts w:hint="eastAsia" w:ascii="仿宋_GB2312" w:hAnsi="宋体" w:eastAsia="仿宋_GB2312" w:cs="宋体"/>
          <w:sz w:val="44"/>
          <w:szCs w:val="44"/>
          <w:shd w:val="clear" w:color="auto" w:fill="FFFFFF"/>
          <w:lang w:eastAsia="zh-CN"/>
        </w:rPr>
        <w:t>年度</w:t>
      </w:r>
    </w:p>
    <w:p>
      <w:pPr>
        <w:pStyle w:val="7"/>
        <w:shd w:val="clear" w:color="auto" w:fill="FFFFFF"/>
        <w:jc w:val="center"/>
        <w:rPr>
          <w:rStyle w:val="9"/>
          <w:rFonts w:hint="eastAsia" w:ascii="仿宋_GB2312" w:eastAsia="仿宋_GB2312" w:cs="宋体"/>
          <w:sz w:val="44"/>
          <w:szCs w:val="44"/>
          <w:shd w:val="clear" w:color="auto" w:fill="FFFFFF"/>
          <w:lang w:eastAsia="zh-CN"/>
        </w:rPr>
      </w:pPr>
      <w:r>
        <w:rPr>
          <w:rStyle w:val="9"/>
          <w:rFonts w:hint="eastAsia" w:ascii="仿宋_GB2312" w:hAnsi="宋体" w:eastAsia="仿宋_GB2312" w:cs="宋体"/>
          <w:sz w:val="44"/>
          <w:szCs w:val="44"/>
          <w:shd w:val="clear" w:color="auto" w:fill="FFFFFF"/>
          <w:lang w:eastAsia="zh-CN"/>
        </w:rPr>
        <w:t>四川省阿坝州</w:t>
      </w:r>
      <w:r>
        <w:rPr>
          <w:rStyle w:val="9"/>
          <w:rFonts w:hint="eastAsia" w:ascii="仿宋_GB2312" w:eastAsia="仿宋_GB2312" w:cs="宋体"/>
          <w:sz w:val="44"/>
          <w:szCs w:val="44"/>
          <w:shd w:val="clear" w:color="auto" w:fill="FFFFFF"/>
          <w:lang w:eastAsia="zh-CN"/>
        </w:rPr>
        <w:t>委巡察工作领导小组办公室</w:t>
      </w:r>
    </w:p>
    <w:p>
      <w:pPr>
        <w:pStyle w:val="7"/>
        <w:shd w:val="clear" w:color="auto" w:fill="FFFFFF"/>
        <w:jc w:val="center"/>
        <w:rPr>
          <w:sz w:val="44"/>
          <w:szCs w:val="44"/>
        </w:rPr>
      </w:pPr>
      <w:r>
        <w:rPr>
          <w:rStyle w:val="9"/>
          <w:rFonts w:hint="eastAsia" w:ascii="仿宋_GB2312" w:hAnsi="宋体" w:eastAsia="仿宋_GB2312" w:cs="宋体"/>
          <w:sz w:val="44"/>
          <w:szCs w:val="44"/>
          <w:shd w:val="clear" w:color="auto" w:fill="FFFFFF"/>
          <w:lang w:eastAsia="zh-CN"/>
        </w:rPr>
        <w:t>（本级）部门决算</w:t>
      </w:r>
    </w:p>
    <w:p>
      <w:pPr>
        <w:pStyle w:val="7"/>
        <w:shd w:val="clear" w:color="auto" w:fill="FFFFFF"/>
        <w:jc w:val="center"/>
        <w:rPr>
          <w:sz w:val="28"/>
          <w:szCs w:val="28"/>
        </w:rPr>
      </w:pPr>
    </w:p>
    <w:p>
      <w:pPr>
        <w:pStyle w:val="7"/>
        <w:shd w:val="clear" w:color="auto" w:fill="FFFFFF"/>
        <w:jc w:val="center"/>
      </w:pPr>
    </w:p>
    <w:p>
      <w:pPr>
        <w:pStyle w:val="7"/>
        <w:shd w:val="clear" w:color="auto" w:fill="FFFFFF"/>
        <w:jc w:val="center"/>
      </w:pPr>
    </w:p>
    <w:p>
      <w:pPr>
        <w:pStyle w:val="7"/>
        <w:shd w:val="clear" w:color="auto" w:fill="FFFFFF"/>
        <w:jc w:val="center"/>
      </w:pPr>
    </w:p>
    <w:p>
      <w:pPr>
        <w:pStyle w:val="7"/>
        <w:shd w:val="clear" w:color="auto" w:fill="FFFFFF"/>
        <w:jc w:val="center"/>
      </w:pPr>
    </w:p>
    <w:p>
      <w:pPr>
        <w:pStyle w:val="7"/>
        <w:shd w:val="clear" w:color="auto" w:fill="FFFFFF"/>
        <w:jc w:val="center"/>
      </w:pPr>
    </w:p>
    <w:p>
      <w:pPr>
        <w:pStyle w:val="7"/>
        <w:shd w:val="clear" w:color="auto" w:fill="FFFFFF"/>
        <w:jc w:val="both"/>
      </w:pPr>
    </w:p>
    <w:p>
      <w:pPr>
        <w:pStyle w:val="7"/>
        <w:shd w:val="clear" w:color="auto" w:fill="FFFFFF"/>
        <w:jc w:val="center"/>
        <w:rPr>
          <w:rFonts w:hint="eastAsia"/>
          <w:lang w:eastAsia="zh-CN"/>
        </w:rPr>
      </w:pPr>
    </w:p>
    <w:p>
      <w:pPr>
        <w:pStyle w:val="7"/>
        <w:shd w:val="clear" w:color="auto" w:fill="FFFFFF"/>
        <w:jc w:val="center"/>
        <w:rPr>
          <w:rFonts w:hint="eastAsia"/>
          <w:lang w:eastAsia="zh-CN"/>
        </w:rPr>
      </w:pPr>
    </w:p>
    <w:p>
      <w:pPr>
        <w:pStyle w:val="7"/>
        <w:shd w:val="clear" w:color="auto" w:fill="FFFFFF"/>
        <w:ind w:firstLine="840" w:firstLineChars="300"/>
        <w:rPr>
          <w:sz w:val="28"/>
          <w:szCs w:val="28"/>
        </w:rPr>
      </w:pPr>
      <w:r>
        <w:rPr>
          <w:rFonts w:hint="eastAsia" w:ascii="仿宋_GB2312" w:hAnsi="仿宋_GB2312" w:eastAsia="仿宋_GB2312" w:cs="仿宋_GB2312"/>
          <w:sz w:val="28"/>
          <w:szCs w:val="28"/>
          <w:shd w:val="clear" w:color="auto" w:fill="FFFFFF"/>
          <w:lang w:eastAsia="zh-CN"/>
        </w:rPr>
        <w:t>保密审查情况：已审查，内容审定</w:t>
      </w:r>
    </w:p>
    <w:p>
      <w:pPr>
        <w:pStyle w:val="7"/>
        <w:shd w:val="clear" w:color="auto" w:fill="FFFFFF"/>
        <w:ind w:firstLine="840" w:firstLineChars="300"/>
      </w:pPr>
      <w:r>
        <w:rPr>
          <w:rFonts w:hint="eastAsia" w:ascii="仿宋_GB2312" w:hAnsi="仿宋_GB2312" w:eastAsia="仿宋_GB2312" w:cs="仿宋_GB2312"/>
          <w:sz w:val="28"/>
          <w:szCs w:val="28"/>
          <w:shd w:val="clear" w:color="auto" w:fill="FFFFFF"/>
          <w:lang w:eastAsia="zh-CN"/>
        </w:rPr>
        <w:t>部门主要负责人审签情况：已审签，同意对外公开</w:t>
      </w:r>
    </w:p>
    <w:p>
      <w:pPr>
        <w:pStyle w:val="7"/>
        <w:shd w:val="clear" w:color="auto" w:fill="FFFFFF"/>
      </w:pPr>
    </w:p>
    <w:sdt>
      <w:sdtPr>
        <w:rPr>
          <w:rFonts w:ascii="宋体" w:hAnsi="宋体" w:eastAsia="宋体" w:cstheme="minorBidi"/>
          <w:kern w:val="2"/>
          <w:sz w:val="21"/>
          <w:szCs w:val="24"/>
          <w:lang w:val="en-US" w:eastAsia="zh-CN" w:bidi="ar-SA"/>
        </w:rPr>
        <w:id w:val="147472521"/>
        <w15:color w:val="DBDBDB"/>
        <w:docPartObj>
          <w:docPartGallery w:val="Table of Contents"/>
          <w:docPartUnique/>
        </w:docPartObj>
      </w:sdtPr>
      <w:sdtEndPr>
        <w:rPr>
          <w:rFonts w:ascii="宋体" w:hAnsi="宋体" w:eastAsia="宋体" w:cstheme="minorBidi"/>
          <w:kern w:val="2"/>
          <w:sz w:val="20"/>
          <w:szCs w:val="20"/>
          <w:lang w:val="en-US" w:eastAsia="zh-CN" w:bidi="ar-SA"/>
        </w:rPr>
      </w:sdtEndPr>
      <w:sdtContent>
        <w:p>
          <w:pPr>
            <w:spacing w:before="0" w:beforeLines="0" w:after="0" w:afterLines="0" w:line="240" w:lineRule="auto"/>
            <w:ind w:left="0" w:leftChars="0" w:right="0" w:rightChars="0" w:firstLine="0" w:firstLineChars="0"/>
            <w:jc w:val="center"/>
            <w:rPr>
              <w:rFonts w:hint="eastAsia" w:ascii="黑体" w:hAnsi="黑体" w:eastAsia="黑体" w:cs="黑体"/>
              <w:sz w:val="44"/>
              <w:szCs w:val="44"/>
            </w:rPr>
          </w:pPr>
          <w:bookmarkStart w:id="0" w:name="_Toc20613_WPSOffice_Type2"/>
          <w:r>
            <w:rPr>
              <w:rFonts w:hint="eastAsia" w:ascii="黑体" w:hAnsi="黑体" w:eastAsia="黑体" w:cs="黑体"/>
              <w:sz w:val="44"/>
              <w:szCs w:val="44"/>
            </w:rPr>
            <w:t>目</w:t>
          </w:r>
          <w:r>
            <w:rPr>
              <w:rFonts w:hint="eastAsia" w:ascii="黑体" w:hAnsi="黑体" w:eastAsia="黑体" w:cs="黑体"/>
              <w:sz w:val="44"/>
              <w:szCs w:val="44"/>
              <w:lang w:val="en-US" w:eastAsia="zh-CN"/>
            </w:rPr>
            <w:t xml:space="preserve">  </w:t>
          </w:r>
          <w:r>
            <w:rPr>
              <w:rFonts w:hint="eastAsia" w:ascii="黑体" w:hAnsi="黑体" w:eastAsia="黑体" w:cs="黑体"/>
              <w:sz w:val="44"/>
              <w:szCs w:val="44"/>
            </w:rPr>
            <w:t>录</w:t>
          </w:r>
        </w:p>
        <w:p>
          <w:pPr>
            <w:spacing w:before="0" w:beforeLines="0" w:after="0" w:afterLines="0" w:line="240" w:lineRule="auto"/>
            <w:ind w:left="0" w:leftChars="0" w:right="0" w:rightChars="0" w:firstLine="0" w:firstLineChars="0"/>
            <w:jc w:val="center"/>
            <w:rPr>
              <w:rFonts w:hint="eastAsia" w:ascii="黑体" w:hAnsi="黑体" w:eastAsia="黑体" w:cs="黑体"/>
              <w:sz w:val="44"/>
              <w:szCs w:val="44"/>
            </w:rPr>
          </w:pPr>
        </w:p>
        <w:p>
          <w:pPr>
            <w:ind w:firstLine="1920" w:firstLineChars="6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公开时间：2020年9月28日</w:t>
          </w:r>
        </w:p>
        <w:p>
          <w:pPr>
            <w:pStyle w:val="5"/>
            <w:tabs>
              <w:tab w:val="right" w:leader="dot" w:pos="8845"/>
            </w:tabs>
            <w:rPr>
              <w:sz w:val="28"/>
              <w:szCs w:val="28"/>
            </w:rPr>
          </w:pPr>
          <w:r>
            <w:rPr>
              <w:rFonts w:hint="eastAsia"/>
              <w:sz w:val="28"/>
              <w:szCs w:val="28"/>
            </w:rPr>
            <w:fldChar w:fldCharType="begin"/>
          </w:r>
          <w:r>
            <w:rPr>
              <w:rFonts w:hint="eastAsia"/>
              <w:sz w:val="28"/>
              <w:szCs w:val="28"/>
            </w:rPr>
            <w:instrText xml:space="preserve"> HYPERLINK \l _Toc648 </w:instrText>
          </w:r>
          <w:r>
            <w:rPr>
              <w:rFonts w:hint="eastAsia"/>
              <w:sz w:val="28"/>
              <w:szCs w:val="28"/>
            </w:rPr>
            <w:fldChar w:fldCharType="separate"/>
          </w:r>
          <w:r>
            <w:rPr>
              <w:rFonts w:hint="eastAsia" w:ascii="黑体" w:hAnsi="宋体" w:eastAsia="黑体" w:cs="黑体"/>
              <w:kern w:val="0"/>
              <w:sz w:val="28"/>
              <w:szCs w:val="28"/>
              <w:shd w:val="clear" w:color="auto" w:fill="FFFFFF"/>
              <w:lang w:val="en-US" w:eastAsia="zh-CN" w:bidi="ar"/>
            </w:rPr>
            <w:t>第一部分  部门概述</w:t>
          </w:r>
          <w:r>
            <w:rPr>
              <w:sz w:val="28"/>
              <w:szCs w:val="28"/>
            </w:rPr>
            <w:tab/>
          </w:r>
          <w:r>
            <w:rPr>
              <w:rFonts w:hint="eastAsia"/>
              <w:sz w:val="28"/>
              <w:szCs w:val="28"/>
              <w:lang w:val="en-US" w:eastAsia="zh-CN"/>
            </w:rPr>
            <w:t>1</w:t>
          </w:r>
          <w:r>
            <w:rPr>
              <w:rFonts w:hint="eastAsia"/>
              <w:sz w:val="28"/>
              <w:szCs w:val="28"/>
            </w:rPr>
            <w:fldChar w:fldCharType="end"/>
          </w:r>
        </w:p>
        <w:p>
          <w:pPr>
            <w:pStyle w:val="6"/>
            <w:tabs>
              <w:tab w:val="right" w:leader="dot" w:pos="8845"/>
            </w:tabs>
            <w:rPr>
              <w:rFonts w:hint="eastAsia" w:eastAsiaTheme="minorEastAsia"/>
              <w:sz w:val="28"/>
              <w:szCs w:val="28"/>
              <w:lang w:val="en-US" w:eastAsia="zh-CN"/>
            </w:rPr>
          </w:pPr>
          <w:r>
            <w:rPr>
              <w:rFonts w:hint="eastAsia"/>
              <w:sz w:val="28"/>
              <w:szCs w:val="28"/>
            </w:rPr>
            <w:fldChar w:fldCharType="begin"/>
          </w:r>
          <w:r>
            <w:rPr>
              <w:rFonts w:hint="eastAsia"/>
              <w:sz w:val="28"/>
              <w:szCs w:val="28"/>
            </w:rPr>
            <w:instrText xml:space="preserve"> HYPERLINK \l _Toc23283 </w:instrText>
          </w:r>
          <w:r>
            <w:rPr>
              <w:rFonts w:hint="eastAsia"/>
              <w:sz w:val="28"/>
              <w:szCs w:val="28"/>
            </w:rPr>
            <w:fldChar w:fldCharType="separate"/>
          </w:r>
          <w:r>
            <w:rPr>
              <w:rFonts w:hint="eastAsia" w:ascii="黑体" w:hAnsi="宋体" w:eastAsia="黑体" w:cs="黑体"/>
              <w:sz w:val="28"/>
              <w:szCs w:val="28"/>
              <w:lang w:eastAsia="zh-CN"/>
            </w:rPr>
            <w:t>一、基本职能及主要工作</w:t>
          </w:r>
          <w:r>
            <w:rPr>
              <w:sz w:val="28"/>
              <w:szCs w:val="28"/>
            </w:rPr>
            <w:tab/>
          </w:r>
          <w:r>
            <w:rPr>
              <w:rFonts w:hint="eastAsia"/>
              <w:sz w:val="28"/>
              <w:szCs w:val="28"/>
            </w:rPr>
            <w:fldChar w:fldCharType="end"/>
          </w:r>
          <w:r>
            <w:rPr>
              <w:rFonts w:hint="eastAsia"/>
              <w:sz w:val="28"/>
              <w:szCs w:val="28"/>
              <w:lang w:val="en-US" w:eastAsia="zh-CN"/>
            </w:rPr>
            <w:t>1</w:t>
          </w:r>
        </w:p>
        <w:p>
          <w:pPr>
            <w:pStyle w:val="2"/>
            <w:tabs>
              <w:tab w:val="right" w:leader="dot" w:pos="8845"/>
            </w:tabs>
            <w:rPr>
              <w:rFonts w:hint="eastAsia" w:eastAsiaTheme="minorEastAsia"/>
              <w:sz w:val="28"/>
              <w:szCs w:val="28"/>
              <w:lang w:val="en-US" w:eastAsia="zh-CN"/>
            </w:rPr>
          </w:pPr>
          <w:r>
            <w:rPr>
              <w:rFonts w:hint="eastAsia"/>
              <w:sz w:val="28"/>
              <w:szCs w:val="28"/>
            </w:rPr>
            <w:fldChar w:fldCharType="begin"/>
          </w:r>
          <w:r>
            <w:rPr>
              <w:rFonts w:hint="eastAsia"/>
              <w:sz w:val="28"/>
              <w:szCs w:val="28"/>
            </w:rPr>
            <w:instrText xml:space="preserve"> HYPERLINK \l _Toc15692 </w:instrText>
          </w:r>
          <w:r>
            <w:rPr>
              <w:rFonts w:hint="eastAsia"/>
              <w:sz w:val="28"/>
              <w:szCs w:val="28"/>
            </w:rPr>
            <w:fldChar w:fldCharType="separate"/>
          </w:r>
          <w:r>
            <w:rPr>
              <w:rFonts w:hint="eastAsia" w:ascii="楷体_GB2312" w:hAnsi="仿宋" w:eastAsia="楷体_GB2312" w:cs="楷体_GB2312"/>
              <w:bCs w:val="0"/>
              <w:sz w:val="28"/>
              <w:szCs w:val="28"/>
              <w:lang w:eastAsia="zh-CN"/>
            </w:rPr>
            <w:t>（一）主要职能。</w:t>
          </w:r>
          <w:r>
            <w:rPr>
              <w:sz w:val="28"/>
              <w:szCs w:val="28"/>
            </w:rPr>
            <w:tab/>
          </w:r>
          <w:r>
            <w:rPr>
              <w:rFonts w:hint="eastAsia"/>
              <w:sz w:val="28"/>
              <w:szCs w:val="28"/>
            </w:rPr>
            <w:fldChar w:fldCharType="end"/>
          </w:r>
          <w:r>
            <w:rPr>
              <w:rFonts w:hint="eastAsia"/>
              <w:sz w:val="28"/>
              <w:szCs w:val="28"/>
              <w:lang w:val="en-US" w:eastAsia="zh-CN"/>
            </w:rPr>
            <w:t>1</w:t>
          </w:r>
        </w:p>
        <w:p>
          <w:pPr>
            <w:pStyle w:val="2"/>
            <w:tabs>
              <w:tab w:val="right" w:leader="dot" w:pos="8845"/>
            </w:tabs>
            <w:rPr>
              <w:sz w:val="28"/>
              <w:szCs w:val="28"/>
            </w:rPr>
          </w:pPr>
          <w:r>
            <w:rPr>
              <w:rFonts w:hint="eastAsia"/>
              <w:sz w:val="28"/>
              <w:szCs w:val="28"/>
            </w:rPr>
            <w:fldChar w:fldCharType="begin"/>
          </w:r>
          <w:r>
            <w:rPr>
              <w:rFonts w:hint="eastAsia"/>
              <w:sz w:val="28"/>
              <w:szCs w:val="28"/>
            </w:rPr>
            <w:instrText xml:space="preserve"> HYPERLINK \l _Toc25252 </w:instrText>
          </w:r>
          <w:r>
            <w:rPr>
              <w:rFonts w:hint="eastAsia"/>
              <w:sz w:val="28"/>
              <w:szCs w:val="28"/>
            </w:rPr>
            <w:fldChar w:fldCharType="separate"/>
          </w:r>
          <w:r>
            <w:rPr>
              <w:rFonts w:hint="eastAsia" w:ascii="楷体_GB2312" w:hAnsi="仿宋" w:eastAsia="楷体_GB2312" w:cs="楷体_GB2312"/>
              <w:bCs w:val="0"/>
              <w:sz w:val="28"/>
              <w:szCs w:val="28"/>
              <w:lang w:eastAsia="zh-CN"/>
            </w:rPr>
            <w:t>（二）</w:t>
          </w:r>
          <w:r>
            <w:rPr>
              <w:rFonts w:hint="eastAsia" w:ascii="楷体_GB2312" w:hAnsi="仿宋" w:eastAsia="楷体_GB2312" w:cs="楷体_GB2312"/>
              <w:bCs w:val="0"/>
              <w:sz w:val="28"/>
              <w:szCs w:val="28"/>
              <w:lang w:val="en-US"/>
            </w:rPr>
            <w:t>2019</w:t>
          </w:r>
          <w:r>
            <w:rPr>
              <w:rFonts w:hint="eastAsia" w:ascii="楷体_GB2312" w:hAnsi="仿宋" w:eastAsia="楷体_GB2312" w:cs="楷体_GB2312"/>
              <w:bCs w:val="0"/>
              <w:sz w:val="28"/>
              <w:szCs w:val="28"/>
              <w:lang w:eastAsia="zh-CN"/>
            </w:rPr>
            <w:t>年重点工作完成情况。</w:t>
          </w:r>
          <w:r>
            <w:rPr>
              <w:sz w:val="28"/>
              <w:szCs w:val="28"/>
            </w:rPr>
            <w:tab/>
          </w:r>
          <w:r>
            <w:rPr>
              <w:rFonts w:hint="eastAsia"/>
              <w:sz w:val="28"/>
              <w:szCs w:val="28"/>
              <w:lang w:val="en-US" w:eastAsia="zh-CN"/>
            </w:rPr>
            <w:t>1</w:t>
          </w:r>
          <w:r>
            <w:rPr>
              <w:rFonts w:hint="eastAsia"/>
              <w:sz w:val="28"/>
              <w:szCs w:val="28"/>
            </w:rPr>
            <w:fldChar w:fldCharType="end"/>
          </w:r>
        </w:p>
        <w:p>
          <w:pPr>
            <w:pStyle w:val="6"/>
            <w:tabs>
              <w:tab w:val="right" w:leader="dot" w:pos="8845"/>
            </w:tabs>
            <w:rPr>
              <w:sz w:val="28"/>
              <w:szCs w:val="28"/>
            </w:rPr>
          </w:pPr>
          <w:r>
            <w:rPr>
              <w:rFonts w:hint="eastAsia"/>
              <w:sz w:val="28"/>
              <w:szCs w:val="28"/>
            </w:rPr>
            <w:fldChar w:fldCharType="begin"/>
          </w:r>
          <w:r>
            <w:rPr>
              <w:rFonts w:hint="eastAsia"/>
              <w:sz w:val="28"/>
              <w:szCs w:val="28"/>
            </w:rPr>
            <w:instrText xml:space="preserve"> HYPERLINK \l _Toc8166 </w:instrText>
          </w:r>
          <w:r>
            <w:rPr>
              <w:rFonts w:hint="eastAsia"/>
              <w:sz w:val="28"/>
              <w:szCs w:val="28"/>
            </w:rPr>
            <w:fldChar w:fldCharType="separate"/>
          </w:r>
          <w:r>
            <w:rPr>
              <w:rFonts w:hint="eastAsia" w:ascii="黑体" w:hAnsi="宋体" w:eastAsia="黑体" w:cs="黑体"/>
              <w:sz w:val="28"/>
              <w:szCs w:val="28"/>
              <w:lang w:val="en-US" w:eastAsia="zh-CN"/>
            </w:rPr>
            <w:t>二、</w:t>
          </w:r>
          <w:r>
            <w:rPr>
              <w:rFonts w:hint="eastAsia" w:ascii="黑体" w:hAnsi="宋体" w:eastAsia="黑体" w:cs="黑体"/>
              <w:sz w:val="28"/>
              <w:szCs w:val="28"/>
              <w:lang w:eastAsia="zh-CN"/>
            </w:rPr>
            <w:t>机构设置</w:t>
          </w:r>
          <w:r>
            <w:rPr>
              <w:sz w:val="28"/>
              <w:szCs w:val="28"/>
            </w:rPr>
            <w:tab/>
          </w:r>
          <w:r>
            <w:rPr>
              <w:rFonts w:hint="eastAsia"/>
              <w:sz w:val="28"/>
              <w:szCs w:val="28"/>
              <w:lang w:val="en-US" w:eastAsia="zh-CN"/>
            </w:rPr>
            <w:t>2</w:t>
          </w:r>
          <w:r>
            <w:rPr>
              <w:rFonts w:hint="eastAsia"/>
              <w:sz w:val="28"/>
              <w:szCs w:val="28"/>
            </w:rPr>
            <w:fldChar w:fldCharType="end"/>
          </w:r>
        </w:p>
        <w:p>
          <w:pPr>
            <w:pStyle w:val="5"/>
            <w:tabs>
              <w:tab w:val="right" w:leader="dot" w:pos="8845"/>
            </w:tabs>
            <w:rPr>
              <w:sz w:val="28"/>
              <w:szCs w:val="28"/>
            </w:rPr>
          </w:pPr>
          <w:r>
            <w:rPr>
              <w:rFonts w:hint="eastAsia"/>
              <w:sz w:val="28"/>
              <w:szCs w:val="28"/>
            </w:rPr>
            <w:fldChar w:fldCharType="begin"/>
          </w:r>
          <w:r>
            <w:rPr>
              <w:rFonts w:hint="eastAsia"/>
              <w:sz w:val="28"/>
              <w:szCs w:val="28"/>
            </w:rPr>
            <w:instrText xml:space="preserve"> HYPERLINK \l _Toc26864 </w:instrText>
          </w:r>
          <w:r>
            <w:rPr>
              <w:rFonts w:hint="eastAsia"/>
              <w:sz w:val="28"/>
              <w:szCs w:val="28"/>
            </w:rPr>
            <w:fldChar w:fldCharType="separate"/>
          </w:r>
          <w:r>
            <w:rPr>
              <w:rFonts w:hint="eastAsia" w:ascii="黑体" w:hAnsi="宋体" w:eastAsia="黑体" w:cs="黑体"/>
              <w:bCs w:val="0"/>
              <w:sz w:val="28"/>
              <w:szCs w:val="28"/>
              <w:shd w:val="clear" w:color="auto" w:fill="FFFFFF"/>
              <w:lang w:eastAsia="zh-CN"/>
            </w:rPr>
            <w:t>第二部分</w:t>
          </w:r>
          <w:r>
            <w:rPr>
              <w:rFonts w:hint="eastAsia" w:ascii="黑体" w:hAnsi="宋体" w:eastAsia="黑体" w:cs="黑体"/>
              <w:bCs w:val="0"/>
              <w:sz w:val="28"/>
              <w:szCs w:val="28"/>
              <w:shd w:val="clear" w:color="auto" w:fill="FFFFFF"/>
              <w:lang w:val="en-US" w:eastAsia="zh-CN"/>
            </w:rPr>
            <w:t xml:space="preserve">  </w:t>
          </w:r>
          <w:r>
            <w:rPr>
              <w:rFonts w:hint="eastAsia" w:ascii="黑体" w:hAnsi="宋体" w:eastAsia="黑体" w:cs="黑体"/>
              <w:bCs w:val="0"/>
              <w:sz w:val="28"/>
              <w:szCs w:val="28"/>
              <w:shd w:val="clear" w:color="auto" w:fill="FFFFFF"/>
              <w:lang w:val="en-US"/>
            </w:rPr>
            <w:t>2019</w:t>
          </w:r>
          <w:r>
            <w:rPr>
              <w:rFonts w:hint="eastAsia" w:ascii="黑体" w:hAnsi="宋体" w:eastAsia="黑体" w:cs="黑体"/>
              <w:bCs w:val="0"/>
              <w:sz w:val="28"/>
              <w:szCs w:val="28"/>
              <w:shd w:val="clear" w:color="auto" w:fill="FFFFFF"/>
              <w:lang w:eastAsia="zh-CN"/>
            </w:rPr>
            <w:t>年度部门决算情况说明</w:t>
          </w:r>
          <w:r>
            <w:rPr>
              <w:sz w:val="28"/>
              <w:szCs w:val="28"/>
            </w:rPr>
            <w:tab/>
          </w:r>
          <w:r>
            <w:rPr>
              <w:rFonts w:hint="eastAsia"/>
              <w:sz w:val="28"/>
              <w:szCs w:val="28"/>
              <w:lang w:val="en-US" w:eastAsia="zh-CN"/>
            </w:rPr>
            <w:t>3</w:t>
          </w:r>
          <w:r>
            <w:rPr>
              <w:rFonts w:hint="eastAsia"/>
              <w:sz w:val="28"/>
              <w:szCs w:val="28"/>
            </w:rPr>
            <w:fldChar w:fldCharType="end"/>
          </w:r>
        </w:p>
        <w:p>
          <w:pPr>
            <w:pStyle w:val="6"/>
            <w:tabs>
              <w:tab w:val="right" w:leader="dot" w:pos="8845"/>
            </w:tabs>
            <w:rPr>
              <w:sz w:val="28"/>
              <w:szCs w:val="28"/>
            </w:rPr>
          </w:pPr>
          <w:r>
            <w:rPr>
              <w:rFonts w:hint="eastAsia"/>
              <w:sz w:val="28"/>
              <w:szCs w:val="28"/>
            </w:rPr>
            <w:fldChar w:fldCharType="begin"/>
          </w:r>
          <w:r>
            <w:rPr>
              <w:rFonts w:hint="eastAsia"/>
              <w:sz w:val="28"/>
              <w:szCs w:val="28"/>
            </w:rPr>
            <w:instrText xml:space="preserve"> HYPERLINK \l _Toc12623 </w:instrText>
          </w:r>
          <w:r>
            <w:rPr>
              <w:rFonts w:hint="eastAsia"/>
              <w:sz w:val="28"/>
              <w:szCs w:val="28"/>
            </w:rPr>
            <w:fldChar w:fldCharType="separate"/>
          </w:r>
          <w:r>
            <w:rPr>
              <w:rFonts w:hint="eastAsia" w:ascii="黑体" w:hAnsi="宋体" w:eastAsia="黑体" w:cs="黑体"/>
              <w:sz w:val="28"/>
              <w:szCs w:val="28"/>
              <w:lang w:eastAsia="zh-CN"/>
            </w:rPr>
            <w:t>一、收入支出决算总体情况说明</w:t>
          </w:r>
          <w:r>
            <w:rPr>
              <w:sz w:val="28"/>
              <w:szCs w:val="28"/>
            </w:rPr>
            <w:tab/>
          </w:r>
          <w:r>
            <w:rPr>
              <w:rFonts w:hint="eastAsia"/>
              <w:sz w:val="28"/>
              <w:szCs w:val="28"/>
              <w:lang w:val="en-US" w:eastAsia="zh-CN"/>
            </w:rPr>
            <w:t>3</w:t>
          </w:r>
          <w:r>
            <w:rPr>
              <w:rFonts w:hint="eastAsia"/>
              <w:sz w:val="28"/>
              <w:szCs w:val="28"/>
            </w:rPr>
            <w:fldChar w:fldCharType="end"/>
          </w:r>
        </w:p>
        <w:p>
          <w:pPr>
            <w:pStyle w:val="6"/>
            <w:tabs>
              <w:tab w:val="right" w:leader="dot" w:pos="8845"/>
            </w:tabs>
            <w:rPr>
              <w:sz w:val="28"/>
              <w:szCs w:val="28"/>
            </w:rPr>
          </w:pPr>
          <w:r>
            <w:rPr>
              <w:rFonts w:hint="eastAsia"/>
              <w:sz w:val="28"/>
              <w:szCs w:val="28"/>
            </w:rPr>
            <w:fldChar w:fldCharType="begin"/>
          </w:r>
          <w:r>
            <w:rPr>
              <w:rFonts w:hint="eastAsia"/>
              <w:sz w:val="28"/>
              <w:szCs w:val="28"/>
            </w:rPr>
            <w:instrText xml:space="preserve"> HYPERLINK \l _Toc15337 </w:instrText>
          </w:r>
          <w:r>
            <w:rPr>
              <w:rFonts w:hint="eastAsia"/>
              <w:sz w:val="28"/>
              <w:szCs w:val="28"/>
            </w:rPr>
            <w:fldChar w:fldCharType="separate"/>
          </w:r>
          <w:r>
            <w:rPr>
              <w:rFonts w:hint="eastAsia" w:eastAsia="黑体"/>
              <w:bCs/>
              <w:sz w:val="28"/>
              <w:szCs w:val="28"/>
              <w:lang w:val="en-US" w:eastAsia="zh-CN"/>
            </w:rPr>
            <w:t>二、收入决算情况说明</w:t>
          </w:r>
          <w:r>
            <w:rPr>
              <w:sz w:val="28"/>
              <w:szCs w:val="28"/>
            </w:rPr>
            <w:tab/>
          </w:r>
          <w:r>
            <w:rPr>
              <w:rFonts w:hint="eastAsia"/>
              <w:sz w:val="28"/>
              <w:szCs w:val="28"/>
              <w:lang w:val="en-US" w:eastAsia="zh-CN"/>
            </w:rPr>
            <w:t>3</w:t>
          </w:r>
          <w:r>
            <w:rPr>
              <w:rFonts w:hint="eastAsia"/>
              <w:sz w:val="28"/>
              <w:szCs w:val="28"/>
            </w:rPr>
            <w:fldChar w:fldCharType="end"/>
          </w:r>
        </w:p>
        <w:p>
          <w:pPr>
            <w:pStyle w:val="6"/>
            <w:tabs>
              <w:tab w:val="right" w:leader="dot" w:pos="8845"/>
            </w:tabs>
            <w:rPr>
              <w:sz w:val="28"/>
              <w:szCs w:val="28"/>
            </w:rPr>
          </w:pPr>
          <w:r>
            <w:rPr>
              <w:rFonts w:hint="eastAsia"/>
              <w:sz w:val="28"/>
              <w:szCs w:val="28"/>
            </w:rPr>
            <w:fldChar w:fldCharType="begin"/>
          </w:r>
          <w:r>
            <w:rPr>
              <w:rFonts w:hint="eastAsia"/>
              <w:sz w:val="28"/>
              <w:szCs w:val="28"/>
            </w:rPr>
            <w:instrText xml:space="preserve"> HYPERLINK \l _Toc18024 </w:instrText>
          </w:r>
          <w:r>
            <w:rPr>
              <w:rFonts w:hint="eastAsia"/>
              <w:sz w:val="28"/>
              <w:szCs w:val="28"/>
            </w:rPr>
            <w:fldChar w:fldCharType="separate"/>
          </w:r>
          <w:r>
            <w:rPr>
              <w:rFonts w:hint="eastAsia" w:eastAsia="黑体"/>
              <w:bCs/>
              <w:sz w:val="28"/>
              <w:szCs w:val="28"/>
              <w:lang w:val="en-US" w:eastAsia="zh-CN"/>
            </w:rPr>
            <w:t>三、支出决算情况说明</w:t>
          </w:r>
          <w:r>
            <w:rPr>
              <w:sz w:val="28"/>
              <w:szCs w:val="28"/>
            </w:rPr>
            <w:tab/>
          </w:r>
          <w:r>
            <w:rPr>
              <w:rFonts w:hint="eastAsia"/>
              <w:sz w:val="28"/>
              <w:szCs w:val="28"/>
              <w:lang w:val="en-US" w:eastAsia="zh-CN"/>
            </w:rPr>
            <w:t>4</w:t>
          </w:r>
          <w:r>
            <w:rPr>
              <w:rFonts w:hint="eastAsia"/>
              <w:sz w:val="28"/>
              <w:szCs w:val="28"/>
            </w:rPr>
            <w:fldChar w:fldCharType="end"/>
          </w:r>
        </w:p>
        <w:p>
          <w:pPr>
            <w:pStyle w:val="6"/>
            <w:tabs>
              <w:tab w:val="right" w:leader="dot" w:pos="8845"/>
            </w:tabs>
            <w:rPr>
              <w:sz w:val="28"/>
              <w:szCs w:val="28"/>
            </w:rPr>
          </w:pPr>
          <w:r>
            <w:rPr>
              <w:rFonts w:hint="eastAsia"/>
              <w:sz w:val="28"/>
              <w:szCs w:val="28"/>
            </w:rPr>
            <w:fldChar w:fldCharType="begin"/>
          </w:r>
          <w:r>
            <w:rPr>
              <w:rFonts w:hint="eastAsia"/>
              <w:sz w:val="28"/>
              <w:szCs w:val="28"/>
            </w:rPr>
            <w:instrText xml:space="preserve"> HYPERLINK \l _Toc26552 </w:instrText>
          </w:r>
          <w:r>
            <w:rPr>
              <w:rFonts w:hint="eastAsia"/>
              <w:sz w:val="28"/>
              <w:szCs w:val="28"/>
            </w:rPr>
            <w:fldChar w:fldCharType="separate"/>
          </w:r>
          <w:r>
            <w:rPr>
              <w:rFonts w:hint="eastAsia" w:eastAsia="黑体"/>
              <w:bCs/>
              <w:sz w:val="28"/>
              <w:szCs w:val="28"/>
              <w:lang w:val="en-US" w:eastAsia="zh-CN"/>
            </w:rPr>
            <w:t>四、财政拨款收入支出决算总体情况说明</w:t>
          </w:r>
          <w:r>
            <w:rPr>
              <w:sz w:val="28"/>
              <w:szCs w:val="28"/>
            </w:rPr>
            <w:tab/>
          </w:r>
          <w:r>
            <w:rPr>
              <w:rFonts w:hint="eastAsia"/>
              <w:sz w:val="28"/>
              <w:szCs w:val="28"/>
              <w:lang w:val="en-US" w:eastAsia="zh-CN"/>
            </w:rPr>
            <w:t>5</w:t>
          </w:r>
          <w:r>
            <w:rPr>
              <w:rFonts w:hint="eastAsia"/>
              <w:sz w:val="28"/>
              <w:szCs w:val="28"/>
            </w:rPr>
            <w:fldChar w:fldCharType="end"/>
          </w:r>
        </w:p>
        <w:p>
          <w:pPr>
            <w:pStyle w:val="6"/>
            <w:tabs>
              <w:tab w:val="right" w:leader="dot" w:pos="8845"/>
            </w:tabs>
            <w:rPr>
              <w:sz w:val="28"/>
              <w:szCs w:val="28"/>
            </w:rPr>
          </w:pPr>
          <w:r>
            <w:rPr>
              <w:rFonts w:hint="eastAsia"/>
              <w:sz w:val="28"/>
              <w:szCs w:val="28"/>
            </w:rPr>
            <w:fldChar w:fldCharType="begin"/>
          </w:r>
          <w:r>
            <w:rPr>
              <w:rFonts w:hint="eastAsia"/>
              <w:sz w:val="28"/>
              <w:szCs w:val="28"/>
            </w:rPr>
            <w:instrText xml:space="preserve"> HYPERLINK \l _Toc16980 </w:instrText>
          </w:r>
          <w:r>
            <w:rPr>
              <w:rFonts w:hint="eastAsia"/>
              <w:sz w:val="28"/>
              <w:szCs w:val="28"/>
            </w:rPr>
            <w:fldChar w:fldCharType="separate"/>
          </w:r>
          <w:r>
            <w:rPr>
              <w:rFonts w:hint="eastAsia" w:eastAsia="黑体"/>
              <w:bCs/>
              <w:sz w:val="28"/>
              <w:szCs w:val="28"/>
              <w:lang w:val="en-US" w:eastAsia="zh-CN"/>
            </w:rPr>
            <w:t>五、一般公共预算财政拨款支出决算情况说明</w:t>
          </w:r>
          <w:r>
            <w:rPr>
              <w:sz w:val="28"/>
              <w:szCs w:val="28"/>
            </w:rPr>
            <w:tab/>
          </w:r>
          <w:r>
            <w:rPr>
              <w:rFonts w:hint="eastAsia"/>
              <w:sz w:val="28"/>
              <w:szCs w:val="28"/>
              <w:lang w:val="en-US" w:eastAsia="zh-CN"/>
            </w:rPr>
            <w:t>5</w:t>
          </w:r>
          <w:r>
            <w:rPr>
              <w:rFonts w:hint="eastAsia"/>
              <w:sz w:val="28"/>
              <w:szCs w:val="28"/>
            </w:rPr>
            <w:fldChar w:fldCharType="end"/>
          </w:r>
        </w:p>
        <w:p>
          <w:pPr>
            <w:pStyle w:val="2"/>
            <w:tabs>
              <w:tab w:val="right" w:leader="dot" w:pos="8845"/>
            </w:tabs>
            <w:rPr>
              <w:sz w:val="28"/>
              <w:szCs w:val="28"/>
            </w:rPr>
          </w:pPr>
          <w:r>
            <w:rPr>
              <w:rFonts w:hint="eastAsia"/>
              <w:sz w:val="28"/>
              <w:szCs w:val="28"/>
            </w:rPr>
            <w:fldChar w:fldCharType="begin"/>
          </w:r>
          <w:r>
            <w:rPr>
              <w:rFonts w:hint="eastAsia"/>
              <w:sz w:val="28"/>
              <w:szCs w:val="28"/>
            </w:rPr>
            <w:instrText xml:space="preserve"> HYPERLINK \l _Toc13318 </w:instrText>
          </w:r>
          <w:r>
            <w:rPr>
              <w:rFonts w:hint="eastAsia"/>
              <w:sz w:val="28"/>
              <w:szCs w:val="28"/>
            </w:rPr>
            <w:fldChar w:fldCharType="separate"/>
          </w:r>
          <w:r>
            <w:rPr>
              <w:rFonts w:hint="eastAsia" w:ascii="楷体_GB2312" w:hAnsi="仿宋" w:eastAsia="楷体_GB2312" w:cs="楷体_GB2312"/>
              <w:bCs w:val="0"/>
              <w:sz w:val="28"/>
              <w:szCs w:val="28"/>
              <w:lang w:val="en-US" w:eastAsia="zh-CN"/>
            </w:rPr>
            <w:t>（一）一般公共预算财政拨款支出决算总体情况</w:t>
          </w:r>
          <w:r>
            <w:rPr>
              <w:sz w:val="28"/>
              <w:szCs w:val="28"/>
            </w:rPr>
            <w:tab/>
          </w:r>
          <w:r>
            <w:rPr>
              <w:rFonts w:hint="eastAsia"/>
              <w:sz w:val="28"/>
              <w:szCs w:val="28"/>
              <w:lang w:val="en-US" w:eastAsia="zh-CN"/>
            </w:rPr>
            <w:t>5</w:t>
          </w:r>
          <w:r>
            <w:rPr>
              <w:rFonts w:hint="eastAsia"/>
              <w:sz w:val="28"/>
              <w:szCs w:val="28"/>
            </w:rPr>
            <w:fldChar w:fldCharType="end"/>
          </w:r>
        </w:p>
        <w:p>
          <w:pPr>
            <w:pStyle w:val="2"/>
            <w:tabs>
              <w:tab w:val="right" w:leader="dot" w:pos="8845"/>
            </w:tabs>
            <w:rPr>
              <w:sz w:val="28"/>
              <w:szCs w:val="28"/>
            </w:rPr>
          </w:pPr>
          <w:r>
            <w:rPr>
              <w:rFonts w:hint="eastAsia"/>
              <w:sz w:val="28"/>
              <w:szCs w:val="28"/>
            </w:rPr>
            <w:fldChar w:fldCharType="begin"/>
          </w:r>
          <w:r>
            <w:rPr>
              <w:rFonts w:hint="eastAsia"/>
              <w:sz w:val="28"/>
              <w:szCs w:val="28"/>
            </w:rPr>
            <w:instrText xml:space="preserve"> HYPERLINK \l _Toc25291 </w:instrText>
          </w:r>
          <w:r>
            <w:rPr>
              <w:rFonts w:hint="eastAsia"/>
              <w:sz w:val="28"/>
              <w:szCs w:val="28"/>
            </w:rPr>
            <w:fldChar w:fldCharType="separate"/>
          </w:r>
          <w:r>
            <w:rPr>
              <w:rFonts w:hint="eastAsia" w:ascii="楷体_GB2312" w:hAnsi="仿宋" w:eastAsia="楷体_GB2312" w:cs="楷体_GB2312"/>
              <w:bCs w:val="0"/>
              <w:sz w:val="28"/>
              <w:szCs w:val="28"/>
              <w:lang w:val="en-US" w:eastAsia="zh-CN"/>
            </w:rPr>
            <w:t>（二）一般公共预算财政拨款支出决算结构情况</w:t>
          </w:r>
          <w:r>
            <w:rPr>
              <w:sz w:val="28"/>
              <w:szCs w:val="28"/>
            </w:rPr>
            <w:tab/>
          </w:r>
          <w:r>
            <w:rPr>
              <w:rFonts w:hint="eastAsia"/>
              <w:sz w:val="28"/>
              <w:szCs w:val="28"/>
              <w:lang w:val="en-US" w:eastAsia="zh-CN"/>
            </w:rPr>
            <w:t>6</w:t>
          </w:r>
          <w:r>
            <w:rPr>
              <w:rFonts w:hint="eastAsia"/>
              <w:sz w:val="28"/>
              <w:szCs w:val="28"/>
            </w:rPr>
            <w:fldChar w:fldCharType="end"/>
          </w:r>
          <w:bookmarkStart w:id="47" w:name="_GoBack"/>
          <w:bookmarkEnd w:id="47"/>
        </w:p>
        <w:p>
          <w:pPr>
            <w:pStyle w:val="2"/>
            <w:tabs>
              <w:tab w:val="right" w:leader="dot" w:pos="8845"/>
            </w:tabs>
            <w:rPr>
              <w:sz w:val="28"/>
              <w:szCs w:val="28"/>
            </w:rPr>
          </w:pPr>
          <w:r>
            <w:rPr>
              <w:rFonts w:hint="eastAsia"/>
              <w:sz w:val="28"/>
              <w:szCs w:val="28"/>
            </w:rPr>
            <w:fldChar w:fldCharType="begin"/>
          </w:r>
          <w:r>
            <w:rPr>
              <w:rFonts w:hint="eastAsia"/>
              <w:sz w:val="28"/>
              <w:szCs w:val="28"/>
            </w:rPr>
            <w:instrText xml:space="preserve"> HYPERLINK \l _Toc29085 </w:instrText>
          </w:r>
          <w:r>
            <w:rPr>
              <w:rFonts w:hint="eastAsia"/>
              <w:sz w:val="28"/>
              <w:szCs w:val="28"/>
            </w:rPr>
            <w:fldChar w:fldCharType="separate"/>
          </w:r>
          <w:r>
            <w:rPr>
              <w:rFonts w:hint="eastAsia" w:ascii="楷体_GB2312" w:hAnsi="仿宋" w:eastAsia="楷体_GB2312" w:cs="楷体_GB2312"/>
              <w:bCs w:val="0"/>
              <w:sz w:val="28"/>
              <w:szCs w:val="28"/>
              <w:lang w:val="en-US" w:eastAsia="zh-CN"/>
            </w:rPr>
            <w:t>（三）一般公共预算财政拨款支出决算具体情况</w:t>
          </w:r>
          <w:r>
            <w:rPr>
              <w:sz w:val="28"/>
              <w:szCs w:val="28"/>
            </w:rPr>
            <w:tab/>
          </w:r>
          <w:r>
            <w:rPr>
              <w:rFonts w:hint="eastAsia"/>
              <w:sz w:val="28"/>
              <w:szCs w:val="28"/>
              <w:lang w:val="en-US" w:eastAsia="zh-CN"/>
            </w:rPr>
            <w:t>7</w:t>
          </w:r>
          <w:r>
            <w:rPr>
              <w:rFonts w:hint="eastAsia"/>
              <w:sz w:val="28"/>
              <w:szCs w:val="28"/>
            </w:rPr>
            <w:fldChar w:fldCharType="end"/>
          </w:r>
        </w:p>
        <w:p>
          <w:pPr>
            <w:pStyle w:val="6"/>
            <w:tabs>
              <w:tab w:val="right" w:leader="dot" w:pos="8845"/>
            </w:tabs>
            <w:rPr>
              <w:sz w:val="28"/>
              <w:szCs w:val="28"/>
            </w:rPr>
          </w:pPr>
          <w:r>
            <w:rPr>
              <w:rFonts w:hint="eastAsia"/>
              <w:sz w:val="28"/>
              <w:szCs w:val="28"/>
            </w:rPr>
            <w:fldChar w:fldCharType="begin"/>
          </w:r>
          <w:r>
            <w:rPr>
              <w:rFonts w:hint="eastAsia"/>
              <w:sz w:val="28"/>
              <w:szCs w:val="28"/>
            </w:rPr>
            <w:instrText xml:space="preserve"> HYPERLINK \l _Toc16306 </w:instrText>
          </w:r>
          <w:r>
            <w:rPr>
              <w:rFonts w:hint="eastAsia"/>
              <w:sz w:val="28"/>
              <w:szCs w:val="28"/>
            </w:rPr>
            <w:fldChar w:fldCharType="separate"/>
          </w:r>
          <w:r>
            <w:rPr>
              <w:rFonts w:hint="eastAsia" w:eastAsia="黑体"/>
              <w:bCs/>
              <w:sz w:val="28"/>
              <w:szCs w:val="28"/>
              <w:lang w:val="en-US" w:eastAsia="zh-CN"/>
            </w:rPr>
            <w:t>六、一般公共预算财政拨款基本支出决算情况说明</w:t>
          </w:r>
          <w:r>
            <w:rPr>
              <w:sz w:val="28"/>
              <w:szCs w:val="28"/>
            </w:rPr>
            <w:tab/>
          </w:r>
          <w:r>
            <w:rPr>
              <w:rFonts w:hint="eastAsia"/>
              <w:sz w:val="28"/>
              <w:szCs w:val="28"/>
              <w:lang w:val="en-US" w:eastAsia="zh-CN"/>
            </w:rPr>
            <w:t>7</w:t>
          </w:r>
          <w:r>
            <w:rPr>
              <w:rFonts w:hint="eastAsia"/>
              <w:sz w:val="28"/>
              <w:szCs w:val="28"/>
            </w:rPr>
            <w:fldChar w:fldCharType="end"/>
          </w:r>
        </w:p>
        <w:p>
          <w:pPr>
            <w:pStyle w:val="6"/>
            <w:tabs>
              <w:tab w:val="right" w:leader="dot" w:pos="8845"/>
            </w:tabs>
            <w:rPr>
              <w:sz w:val="28"/>
              <w:szCs w:val="28"/>
            </w:rPr>
          </w:pPr>
          <w:r>
            <w:rPr>
              <w:rFonts w:hint="eastAsia"/>
              <w:sz w:val="28"/>
              <w:szCs w:val="28"/>
            </w:rPr>
            <w:fldChar w:fldCharType="begin"/>
          </w:r>
          <w:r>
            <w:rPr>
              <w:rFonts w:hint="eastAsia"/>
              <w:sz w:val="28"/>
              <w:szCs w:val="28"/>
            </w:rPr>
            <w:instrText xml:space="preserve"> HYPERLINK \l _Toc16904 </w:instrText>
          </w:r>
          <w:r>
            <w:rPr>
              <w:rFonts w:hint="eastAsia"/>
              <w:sz w:val="28"/>
              <w:szCs w:val="28"/>
            </w:rPr>
            <w:fldChar w:fldCharType="separate"/>
          </w:r>
          <w:r>
            <w:rPr>
              <w:rFonts w:hint="eastAsia" w:eastAsia="黑体"/>
              <w:bCs/>
              <w:sz w:val="28"/>
              <w:szCs w:val="28"/>
              <w:lang w:val="en-US" w:eastAsia="zh-CN"/>
            </w:rPr>
            <w:t>七、“三公”经费财政拨款支出决算情况说明</w:t>
          </w:r>
          <w:r>
            <w:rPr>
              <w:sz w:val="28"/>
              <w:szCs w:val="28"/>
            </w:rPr>
            <w:tab/>
          </w:r>
          <w:r>
            <w:rPr>
              <w:rFonts w:hint="eastAsia"/>
              <w:sz w:val="28"/>
              <w:szCs w:val="28"/>
              <w:lang w:val="en-US" w:eastAsia="zh-CN"/>
            </w:rPr>
            <w:t>7</w:t>
          </w:r>
          <w:r>
            <w:rPr>
              <w:rFonts w:hint="eastAsia"/>
              <w:sz w:val="28"/>
              <w:szCs w:val="28"/>
            </w:rPr>
            <w:fldChar w:fldCharType="end"/>
          </w:r>
        </w:p>
        <w:p>
          <w:pPr>
            <w:pStyle w:val="12"/>
            <w:tabs>
              <w:tab w:val="right" w:leader="dot" w:pos="8845"/>
            </w:tabs>
            <w:ind w:firstLine="560" w:firstLineChars="200"/>
            <w:rPr>
              <w:rFonts w:hint="eastAsia" w:ascii="黑体" w:hAnsi="黑体" w:cs="黑体" w:eastAsiaTheme="minorEastAsia"/>
              <w:b w:val="0"/>
              <w:bCs w:val="0"/>
              <w:sz w:val="28"/>
              <w:szCs w:val="28"/>
              <w:lang w:val="en-US" w:eastAsia="zh-CN"/>
            </w:rPr>
          </w:pPr>
          <w:r>
            <w:rPr>
              <w:rFonts w:hint="eastAsia"/>
              <w:sz w:val="28"/>
              <w:szCs w:val="28"/>
            </w:rPr>
            <w:fldChar w:fldCharType="begin"/>
          </w:r>
          <w:r>
            <w:rPr>
              <w:rFonts w:hint="eastAsia"/>
              <w:sz w:val="28"/>
              <w:szCs w:val="28"/>
            </w:rPr>
            <w:instrText xml:space="preserve"> HYPERLINK \l _Toc13318 </w:instrText>
          </w:r>
          <w:r>
            <w:rPr>
              <w:rFonts w:hint="eastAsia"/>
              <w:sz w:val="28"/>
              <w:szCs w:val="28"/>
            </w:rPr>
            <w:fldChar w:fldCharType="separate"/>
          </w:r>
          <w:r>
            <w:rPr>
              <w:rFonts w:hint="eastAsia" w:ascii="黑体" w:hAnsi="黑体" w:eastAsia="黑体" w:cs="黑体"/>
              <w:b w:val="0"/>
              <w:bCs w:val="0"/>
              <w:sz w:val="28"/>
              <w:szCs w:val="28"/>
              <w:lang w:val="en-US" w:eastAsia="zh-CN"/>
            </w:rPr>
            <w:t>（一）“三公”经费财政拨款支出决算总体情况说明</w:t>
          </w:r>
          <w:r>
            <w:rPr>
              <w:sz w:val="28"/>
              <w:szCs w:val="28"/>
            </w:rPr>
            <w:tab/>
          </w:r>
          <w:r>
            <w:rPr>
              <w:rFonts w:hint="eastAsia"/>
              <w:sz w:val="28"/>
              <w:szCs w:val="28"/>
              <w:lang w:val="en-US" w:eastAsia="zh-CN"/>
            </w:rPr>
            <w:t>7</w:t>
          </w:r>
        </w:p>
        <w:p>
          <w:pPr>
            <w:pStyle w:val="2"/>
            <w:tabs>
              <w:tab w:val="right" w:leader="dot" w:pos="8845"/>
            </w:tabs>
            <w:rPr>
              <w:rFonts w:hint="eastAsia" w:eastAsiaTheme="minorEastAsia"/>
              <w:sz w:val="28"/>
              <w:szCs w:val="28"/>
              <w:lang w:val="en-US" w:eastAsia="zh-CN"/>
            </w:rPr>
          </w:pPr>
          <w:r>
            <w:rPr>
              <w:rFonts w:hint="eastAsia" w:ascii="黑体" w:hAnsi="黑体" w:eastAsia="黑体" w:cs="黑体"/>
              <w:b w:val="0"/>
              <w:bCs w:val="0"/>
              <w:sz w:val="28"/>
              <w:szCs w:val="28"/>
              <w:lang w:val="en-US" w:eastAsia="zh-CN"/>
            </w:rPr>
            <w:t>（二）“三公”经费财政拨款支出决算具体情况说明</w:t>
          </w:r>
          <w:r>
            <w:rPr>
              <w:sz w:val="28"/>
              <w:szCs w:val="28"/>
            </w:rPr>
            <w:tab/>
          </w:r>
          <w:r>
            <w:rPr>
              <w:rFonts w:hint="eastAsia"/>
              <w:sz w:val="28"/>
              <w:szCs w:val="28"/>
            </w:rPr>
            <w:fldChar w:fldCharType="end"/>
          </w:r>
          <w:r>
            <w:rPr>
              <w:rFonts w:hint="eastAsia"/>
              <w:sz w:val="28"/>
              <w:szCs w:val="28"/>
              <w:lang w:val="en-US" w:eastAsia="zh-CN"/>
            </w:rPr>
            <w:t>8</w:t>
          </w:r>
        </w:p>
        <w:p>
          <w:pPr>
            <w:pStyle w:val="6"/>
            <w:tabs>
              <w:tab w:val="right" w:leader="dot" w:pos="8845"/>
            </w:tabs>
            <w:rPr>
              <w:sz w:val="28"/>
              <w:szCs w:val="28"/>
            </w:rPr>
          </w:pPr>
          <w:r>
            <w:rPr>
              <w:rFonts w:hint="eastAsia"/>
              <w:sz w:val="28"/>
              <w:szCs w:val="28"/>
            </w:rPr>
            <w:fldChar w:fldCharType="begin"/>
          </w:r>
          <w:r>
            <w:rPr>
              <w:rFonts w:hint="eastAsia"/>
              <w:sz w:val="28"/>
              <w:szCs w:val="28"/>
            </w:rPr>
            <w:instrText xml:space="preserve"> HYPERLINK \l _Toc8376 </w:instrText>
          </w:r>
          <w:r>
            <w:rPr>
              <w:rFonts w:hint="eastAsia"/>
              <w:sz w:val="28"/>
              <w:szCs w:val="28"/>
            </w:rPr>
            <w:fldChar w:fldCharType="separate"/>
          </w:r>
          <w:r>
            <w:rPr>
              <w:rFonts w:hint="eastAsia" w:eastAsia="黑体"/>
              <w:bCs/>
              <w:sz w:val="28"/>
              <w:szCs w:val="28"/>
              <w:lang w:val="en-US" w:eastAsia="zh-CN"/>
            </w:rPr>
            <w:t>八、政府性基金预算支出决算情况说明</w:t>
          </w:r>
          <w:r>
            <w:rPr>
              <w:sz w:val="28"/>
              <w:szCs w:val="28"/>
            </w:rPr>
            <w:tab/>
          </w:r>
          <w:r>
            <w:rPr>
              <w:rFonts w:hint="eastAsia"/>
              <w:sz w:val="28"/>
              <w:szCs w:val="28"/>
              <w:lang w:val="en-US" w:eastAsia="zh-CN"/>
            </w:rPr>
            <w:t>9</w:t>
          </w:r>
          <w:r>
            <w:rPr>
              <w:rFonts w:hint="eastAsia"/>
              <w:sz w:val="28"/>
              <w:szCs w:val="28"/>
            </w:rPr>
            <w:fldChar w:fldCharType="end"/>
          </w:r>
        </w:p>
        <w:p>
          <w:pPr>
            <w:pStyle w:val="6"/>
            <w:tabs>
              <w:tab w:val="right" w:leader="dot" w:pos="8845"/>
            </w:tabs>
            <w:rPr>
              <w:sz w:val="28"/>
              <w:szCs w:val="28"/>
            </w:rPr>
          </w:pPr>
          <w:r>
            <w:rPr>
              <w:rFonts w:hint="eastAsia"/>
              <w:sz w:val="28"/>
              <w:szCs w:val="28"/>
            </w:rPr>
            <w:fldChar w:fldCharType="begin"/>
          </w:r>
          <w:r>
            <w:rPr>
              <w:rFonts w:hint="eastAsia"/>
              <w:sz w:val="28"/>
              <w:szCs w:val="28"/>
            </w:rPr>
            <w:instrText xml:space="preserve"> HYPERLINK \l _Toc4414 </w:instrText>
          </w:r>
          <w:r>
            <w:rPr>
              <w:rFonts w:hint="eastAsia"/>
              <w:sz w:val="28"/>
              <w:szCs w:val="28"/>
            </w:rPr>
            <w:fldChar w:fldCharType="separate"/>
          </w:r>
          <w:r>
            <w:rPr>
              <w:rFonts w:hint="eastAsia" w:eastAsia="黑体"/>
              <w:bCs/>
              <w:sz w:val="28"/>
              <w:szCs w:val="28"/>
              <w:lang w:val="en-US" w:eastAsia="zh-CN"/>
            </w:rPr>
            <w:t>九、国有资本经营预算支出决算情况说明</w:t>
          </w:r>
          <w:r>
            <w:rPr>
              <w:sz w:val="28"/>
              <w:szCs w:val="28"/>
            </w:rPr>
            <w:tab/>
          </w:r>
          <w:r>
            <w:rPr>
              <w:rFonts w:hint="eastAsia"/>
              <w:sz w:val="28"/>
              <w:szCs w:val="28"/>
              <w:lang w:val="en-US" w:eastAsia="zh-CN"/>
            </w:rPr>
            <w:t>9</w:t>
          </w:r>
          <w:r>
            <w:rPr>
              <w:rFonts w:hint="eastAsia"/>
              <w:sz w:val="28"/>
              <w:szCs w:val="28"/>
            </w:rPr>
            <w:fldChar w:fldCharType="end"/>
          </w:r>
        </w:p>
        <w:p>
          <w:pPr>
            <w:pStyle w:val="6"/>
            <w:tabs>
              <w:tab w:val="right" w:leader="dot" w:pos="8845"/>
            </w:tabs>
            <w:rPr>
              <w:rFonts w:hint="eastAsia" w:eastAsiaTheme="minorEastAsia"/>
              <w:sz w:val="28"/>
              <w:szCs w:val="28"/>
              <w:lang w:val="en-US" w:eastAsia="zh-CN"/>
            </w:rPr>
          </w:pPr>
          <w:r>
            <w:rPr>
              <w:rFonts w:hint="eastAsia"/>
              <w:sz w:val="28"/>
              <w:szCs w:val="28"/>
            </w:rPr>
            <w:fldChar w:fldCharType="begin"/>
          </w:r>
          <w:r>
            <w:rPr>
              <w:rFonts w:hint="eastAsia"/>
              <w:sz w:val="28"/>
              <w:szCs w:val="28"/>
            </w:rPr>
            <w:instrText xml:space="preserve"> HYPERLINK \l _Toc8414 </w:instrText>
          </w:r>
          <w:r>
            <w:rPr>
              <w:rFonts w:hint="eastAsia"/>
              <w:sz w:val="28"/>
              <w:szCs w:val="28"/>
            </w:rPr>
            <w:fldChar w:fldCharType="separate"/>
          </w:r>
          <w:r>
            <w:rPr>
              <w:rFonts w:hint="eastAsia" w:eastAsia="黑体"/>
              <w:bCs/>
              <w:sz w:val="28"/>
              <w:szCs w:val="28"/>
              <w:lang w:val="en-US" w:eastAsia="zh-CN"/>
            </w:rPr>
            <w:t>十、其他重要事项的情况说.</w:t>
          </w:r>
          <w:r>
            <w:rPr>
              <w:rFonts w:hint="eastAsia"/>
              <w:sz w:val="28"/>
              <w:szCs w:val="28"/>
            </w:rPr>
            <w:fldChar w:fldCharType="end"/>
          </w:r>
          <w:r>
            <w:rPr>
              <w:rFonts w:hint="eastAsia"/>
              <w:sz w:val="28"/>
              <w:szCs w:val="28"/>
              <w:lang w:val="en-US" w:eastAsia="zh-CN"/>
            </w:rPr>
            <w:t>.....................................................................9</w:t>
          </w:r>
        </w:p>
        <w:p>
          <w:pPr>
            <w:pStyle w:val="2"/>
            <w:tabs>
              <w:tab w:val="right" w:leader="dot" w:pos="8845"/>
            </w:tabs>
            <w:rPr>
              <w:rFonts w:hint="eastAsia" w:eastAsiaTheme="minorEastAsia"/>
              <w:sz w:val="28"/>
              <w:szCs w:val="28"/>
              <w:lang w:val="en-US" w:eastAsia="zh-CN"/>
            </w:rPr>
          </w:pPr>
          <w:r>
            <w:rPr>
              <w:rFonts w:hint="eastAsia"/>
              <w:sz w:val="28"/>
              <w:szCs w:val="28"/>
            </w:rPr>
            <w:fldChar w:fldCharType="begin"/>
          </w:r>
          <w:r>
            <w:rPr>
              <w:rFonts w:hint="eastAsia"/>
              <w:sz w:val="28"/>
              <w:szCs w:val="28"/>
            </w:rPr>
            <w:instrText xml:space="preserve"> HYPERLINK \l _Toc31130 </w:instrText>
          </w:r>
          <w:r>
            <w:rPr>
              <w:rFonts w:hint="eastAsia"/>
              <w:sz w:val="28"/>
              <w:szCs w:val="28"/>
            </w:rPr>
            <w:fldChar w:fldCharType="separate"/>
          </w:r>
          <w:r>
            <w:rPr>
              <w:rFonts w:hint="eastAsia" w:ascii="楷体_GB2312" w:hAnsi="仿宋" w:eastAsia="楷体_GB2312" w:cs="楷体_GB2312"/>
              <w:bCs w:val="0"/>
              <w:sz w:val="28"/>
              <w:szCs w:val="28"/>
              <w:lang w:val="en-US" w:eastAsia="zh-CN"/>
            </w:rPr>
            <w:t>（一）机关运行经费支出情况.</w:t>
          </w:r>
          <w:r>
            <w:rPr>
              <w:rFonts w:hint="eastAsia"/>
              <w:sz w:val="28"/>
              <w:szCs w:val="28"/>
            </w:rPr>
            <w:fldChar w:fldCharType="end"/>
          </w:r>
          <w:r>
            <w:rPr>
              <w:rFonts w:hint="eastAsia"/>
              <w:sz w:val="28"/>
              <w:szCs w:val="28"/>
              <w:lang w:val="en-US" w:eastAsia="zh-CN"/>
            </w:rPr>
            <w:t>........................................................9</w:t>
          </w:r>
        </w:p>
        <w:p>
          <w:pPr>
            <w:pStyle w:val="2"/>
            <w:tabs>
              <w:tab w:val="right" w:leader="dot" w:pos="8845"/>
            </w:tabs>
            <w:rPr>
              <w:sz w:val="28"/>
              <w:szCs w:val="28"/>
            </w:rPr>
          </w:pPr>
          <w:r>
            <w:rPr>
              <w:rFonts w:hint="eastAsia"/>
              <w:sz w:val="28"/>
              <w:szCs w:val="28"/>
            </w:rPr>
            <w:fldChar w:fldCharType="begin"/>
          </w:r>
          <w:r>
            <w:rPr>
              <w:rFonts w:hint="eastAsia"/>
              <w:sz w:val="28"/>
              <w:szCs w:val="28"/>
            </w:rPr>
            <w:instrText xml:space="preserve"> HYPERLINK \l _Toc5886 </w:instrText>
          </w:r>
          <w:r>
            <w:rPr>
              <w:rFonts w:hint="eastAsia"/>
              <w:sz w:val="28"/>
              <w:szCs w:val="28"/>
            </w:rPr>
            <w:fldChar w:fldCharType="separate"/>
          </w:r>
          <w:r>
            <w:rPr>
              <w:rFonts w:hint="eastAsia" w:ascii="楷体_GB2312" w:hAnsi="仿宋" w:eastAsia="楷体_GB2312" w:cs="楷体_GB2312"/>
              <w:bCs w:val="0"/>
              <w:sz w:val="28"/>
              <w:szCs w:val="28"/>
              <w:lang w:val="en-US" w:eastAsia="zh-CN"/>
            </w:rPr>
            <w:t>（二）政府采购支出情况</w:t>
          </w:r>
          <w:r>
            <w:rPr>
              <w:sz w:val="28"/>
              <w:szCs w:val="28"/>
            </w:rPr>
            <w:tab/>
          </w:r>
          <w:r>
            <w:rPr>
              <w:sz w:val="28"/>
              <w:szCs w:val="28"/>
            </w:rPr>
            <w:fldChar w:fldCharType="begin"/>
          </w:r>
          <w:r>
            <w:rPr>
              <w:sz w:val="28"/>
              <w:szCs w:val="28"/>
            </w:rPr>
            <w:instrText xml:space="preserve"> PAGEREF _Toc5886 </w:instrText>
          </w:r>
          <w:r>
            <w:rPr>
              <w:sz w:val="28"/>
              <w:szCs w:val="28"/>
            </w:rPr>
            <w:fldChar w:fldCharType="separate"/>
          </w:r>
          <w:r>
            <w:rPr>
              <w:sz w:val="28"/>
              <w:szCs w:val="28"/>
            </w:rPr>
            <w:t>- 9 -</w:t>
          </w:r>
          <w:r>
            <w:rPr>
              <w:sz w:val="28"/>
              <w:szCs w:val="28"/>
            </w:rPr>
            <w:fldChar w:fldCharType="end"/>
          </w:r>
          <w:r>
            <w:rPr>
              <w:rFonts w:hint="eastAsia"/>
              <w:sz w:val="28"/>
              <w:szCs w:val="28"/>
            </w:rPr>
            <w:fldChar w:fldCharType="end"/>
          </w:r>
        </w:p>
        <w:p>
          <w:pPr>
            <w:pStyle w:val="2"/>
            <w:tabs>
              <w:tab w:val="right" w:leader="dot" w:pos="8845"/>
            </w:tabs>
            <w:rPr>
              <w:sz w:val="28"/>
              <w:szCs w:val="28"/>
            </w:rPr>
          </w:pPr>
          <w:r>
            <w:rPr>
              <w:rFonts w:hint="eastAsia"/>
              <w:sz w:val="28"/>
              <w:szCs w:val="28"/>
            </w:rPr>
            <w:fldChar w:fldCharType="begin"/>
          </w:r>
          <w:r>
            <w:rPr>
              <w:rFonts w:hint="eastAsia"/>
              <w:sz w:val="28"/>
              <w:szCs w:val="28"/>
            </w:rPr>
            <w:instrText xml:space="preserve"> HYPERLINK \l _Toc19637 </w:instrText>
          </w:r>
          <w:r>
            <w:rPr>
              <w:rFonts w:hint="eastAsia"/>
              <w:sz w:val="28"/>
              <w:szCs w:val="28"/>
            </w:rPr>
            <w:fldChar w:fldCharType="separate"/>
          </w:r>
          <w:r>
            <w:rPr>
              <w:rFonts w:hint="eastAsia" w:ascii="楷体_GB2312" w:hAnsi="仿宋" w:eastAsia="楷体_GB2312" w:cs="楷体_GB2312"/>
              <w:bCs w:val="0"/>
              <w:sz w:val="28"/>
              <w:szCs w:val="28"/>
              <w:lang w:val="en-US" w:eastAsia="zh-CN"/>
            </w:rPr>
            <w:t>（三）国有资产占有使用情况</w:t>
          </w:r>
          <w:r>
            <w:rPr>
              <w:sz w:val="28"/>
              <w:szCs w:val="28"/>
            </w:rPr>
            <w:tab/>
          </w:r>
          <w:r>
            <w:rPr>
              <w:sz w:val="28"/>
              <w:szCs w:val="28"/>
            </w:rPr>
            <w:fldChar w:fldCharType="begin"/>
          </w:r>
          <w:r>
            <w:rPr>
              <w:sz w:val="28"/>
              <w:szCs w:val="28"/>
            </w:rPr>
            <w:instrText xml:space="preserve"> PAGEREF _Toc19637 </w:instrText>
          </w:r>
          <w:r>
            <w:rPr>
              <w:sz w:val="28"/>
              <w:szCs w:val="28"/>
            </w:rPr>
            <w:fldChar w:fldCharType="separate"/>
          </w:r>
          <w:r>
            <w:rPr>
              <w:sz w:val="28"/>
              <w:szCs w:val="28"/>
            </w:rPr>
            <w:t>- 9 -</w:t>
          </w:r>
          <w:r>
            <w:rPr>
              <w:sz w:val="28"/>
              <w:szCs w:val="28"/>
            </w:rPr>
            <w:fldChar w:fldCharType="end"/>
          </w:r>
          <w:r>
            <w:rPr>
              <w:rFonts w:hint="eastAsia"/>
              <w:sz w:val="28"/>
              <w:szCs w:val="28"/>
            </w:rPr>
            <w:fldChar w:fldCharType="end"/>
          </w:r>
        </w:p>
        <w:p>
          <w:pPr>
            <w:pStyle w:val="2"/>
            <w:tabs>
              <w:tab w:val="right" w:leader="dot" w:pos="8845"/>
            </w:tabs>
            <w:rPr>
              <w:sz w:val="28"/>
              <w:szCs w:val="28"/>
            </w:rPr>
          </w:pPr>
          <w:r>
            <w:rPr>
              <w:rFonts w:hint="eastAsia"/>
              <w:sz w:val="28"/>
              <w:szCs w:val="28"/>
            </w:rPr>
            <w:fldChar w:fldCharType="begin"/>
          </w:r>
          <w:r>
            <w:rPr>
              <w:rFonts w:hint="eastAsia"/>
              <w:sz w:val="28"/>
              <w:szCs w:val="28"/>
            </w:rPr>
            <w:instrText xml:space="preserve"> HYPERLINK \l _Toc13270 </w:instrText>
          </w:r>
          <w:r>
            <w:rPr>
              <w:rFonts w:hint="eastAsia"/>
              <w:sz w:val="28"/>
              <w:szCs w:val="28"/>
            </w:rPr>
            <w:fldChar w:fldCharType="separate"/>
          </w:r>
          <w:r>
            <w:rPr>
              <w:rFonts w:hint="eastAsia" w:ascii="楷体_GB2312" w:hAnsi="仿宋" w:eastAsia="楷体_GB2312" w:cs="楷体_GB2312"/>
              <w:bCs w:val="0"/>
              <w:sz w:val="28"/>
              <w:szCs w:val="28"/>
              <w:lang w:val="en-US" w:eastAsia="zh-CN"/>
            </w:rPr>
            <w:t>（四）预算绩效管理情况</w:t>
          </w:r>
          <w:r>
            <w:rPr>
              <w:sz w:val="28"/>
              <w:szCs w:val="28"/>
            </w:rPr>
            <w:tab/>
          </w:r>
          <w:r>
            <w:rPr>
              <w:sz w:val="28"/>
              <w:szCs w:val="28"/>
            </w:rPr>
            <w:fldChar w:fldCharType="begin"/>
          </w:r>
          <w:r>
            <w:rPr>
              <w:sz w:val="28"/>
              <w:szCs w:val="28"/>
            </w:rPr>
            <w:instrText xml:space="preserve"> PAGEREF _Toc13270 </w:instrText>
          </w:r>
          <w:r>
            <w:rPr>
              <w:sz w:val="28"/>
              <w:szCs w:val="28"/>
            </w:rPr>
            <w:fldChar w:fldCharType="separate"/>
          </w:r>
          <w:r>
            <w:rPr>
              <w:sz w:val="28"/>
              <w:szCs w:val="28"/>
            </w:rPr>
            <w:t>- 9 -</w:t>
          </w:r>
          <w:r>
            <w:rPr>
              <w:sz w:val="28"/>
              <w:szCs w:val="28"/>
            </w:rPr>
            <w:fldChar w:fldCharType="end"/>
          </w:r>
          <w:r>
            <w:rPr>
              <w:rFonts w:hint="eastAsia"/>
              <w:sz w:val="28"/>
              <w:szCs w:val="28"/>
            </w:rPr>
            <w:fldChar w:fldCharType="end"/>
          </w:r>
        </w:p>
        <w:p>
          <w:pPr>
            <w:pStyle w:val="5"/>
            <w:tabs>
              <w:tab w:val="right" w:leader="dot" w:pos="8845"/>
            </w:tabs>
            <w:ind w:firstLine="1400" w:firstLineChars="500"/>
            <w:rPr>
              <w:rFonts w:hint="default" w:ascii="楷体_GB2312" w:hAnsi="楷体_GB2312" w:cs="楷体_GB2312" w:eastAsiaTheme="minorEastAsia"/>
              <w:b w:val="0"/>
              <w:bCs w:val="0"/>
              <w:sz w:val="28"/>
              <w:szCs w:val="28"/>
              <w:lang w:val="en-US" w:eastAsia="zh-CN"/>
            </w:rPr>
          </w:pPr>
          <w:r>
            <w:rPr>
              <w:rFonts w:hint="eastAsia" w:ascii="楷体_GB2312" w:hAnsi="楷体_GB2312" w:eastAsia="楷体_GB2312" w:cs="楷体_GB2312"/>
              <w:b w:val="0"/>
              <w:bCs w:val="0"/>
              <w:sz w:val="28"/>
              <w:szCs w:val="28"/>
            </w:rPr>
            <w:t>1.项目绩效目标完成情况</w:t>
          </w:r>
          <w:r>
            <w:rPr>
              <w:sz w:val="28"/>
              <w:szCs w:val="28"/>
            </w:rPr>
            <w:tab/>
          </w:r>
          <w:r>
            <w:rPr>
              <w:rFonts w:hint="eastAsia"/>
              <w:sz w:val="28"/>
              <w:szCs w:val="28"/>
              <w:lang w:val="en-US" w:eastAsia="zh-CN"/>
            </w:rPr>
            <w:t>10</w:t>
          </w:r>
        </w:p>
        <w:p>
          <w:pPr>
            <w:spacing w:line="560" w:lineRule="exact"/>
            <w:ind w:firstLine="1400" w:firstLineChars="500"/>
            <w:rPr>
              <w:rFonts w:hint="default" w:ascii="仿宋_GB2312" w:hAnsi="仿宋_GB2312" w:eastAsia="楷体_GB2312" w:cs="仿宋_GB2312"/>
              <w:sz w:val="32"/>
              <w:szCs w:val="32"/>
              <w:lang w:val="en-US" w:eastAsia="zh-CN"/>
            </w:rPr>
          </w:pPr>
          <w:r>
            <w:rPr>
              <w:rFonts w:hint="eastAsia" w:ascii="楷体_GB2312" w:hAnsi="楷体_GB2312" w:eastAsia="楷体_GB2312" w:cs="楷体_GB2312"/>
              <w:b w:val="0"/>
              <w:bCs w:val="0"/>
              <w:sz w:val="28"/>
              <w:szCs w:val="28"/>
              <w:lang w:val="en-US" w:eastAsia="zh-CN"/>
            </w:rPr>
            <w:t>2.</w:t>
          </w:r>
          <w:r>
            <w:rPr>
              <w:rFonts w:hint="eastAsia" w:ascii="楷体_GB2312" w:hAnsi="楷体_GB2312" w:eastAsia="楷体_GB2312" w:cs="楷体_GB2312"/>
              <w:b w:val="0"/>
              <w:bCs w:val="0"/>
              <w:sz w:val="28"/>
              <w:szCs w:val="28"/>
            </w:rPr>
            <w:t>部门绩效评价结果</w:t>
          </w:r>
          <w:r>
            <w:rPr>
              <w:rFonts w:hint="eastAsia" w:ascii="楷体_GB2312" w:hAnsi="楷体_GB2312" w:eastAsia="楷体_GB2312" w:cs="楷体_GB2312"/>
              <w:b w:val="0"/>
              <w:bCs w:val="0"/>
              <w:sz w:val="28"/>
              <w:szCs w:val="28"/>
              <w:lang w:val="en-US" w:eastAsia="zh-CN"/>
            </w:rPr>
            <w:t>.................................12</w:t>
          </w:r>
        </w:p>
        <w:p>
          <w:pPr>
            <w:pStyle w:val="5"/>
            <w:tabs>
              <w:tab w:val="right" w:leader="dot" w:pos="8845"/>
            </w:tabs>
            <w:rPr>
              <w:rFonts w:hint="eastAsia" w:eastAsiaTheme="minorEastAsia"/>
              <w:sz w:val="28"/>
              <w:szCs w:val="28"/>
              <w:lang w:val="en-US" w:eastAsia="zh-CN"/>
            </w:rPr>
          </w:pPr>
          <w:r>
            <w:rPr>
              <w:rFonts w:hint="eastAsia"/>
              <w:sz w:val="28"/>
              <w:szCs w:val="28"/>
            </w:rPr>
            <w:fldChar w:fldCharType="begin"/>
          </w:r>
          <w:r>
            <w:rPr>
              <w:rFonts w:hint="eastAsia"/>
              <w:sz w:val="28"/>
              <w:szCs w:val="28"/>
            </w:rPr>
            <w:instrText xml:space="preserve"> HYPERLINK \l _Toc4054 </w:instrText>
          </w:r>
          <w:r>
            <w:rPr>
              <w:rFonts w:hint="eastAsia"/>
              <w:sz w:val="28"/>
              <w:szCs w:val="28"/>
            </w:rPr>
            <w:fldChar w:fldCharType="separate"/>
          </w:r>
          <w:r>
            <w:rPr>
              <w:rFonts w:hint="eastAsia" w:ascii="黑体" w:hAnsi="宋体" w:eastAsia="黑体" w:cs="黑体"/>
              <w:sz w:val="28"/>
              <w:szCs w:val="28"/>
              <w:shd w:val="clear" w:color="auto" w:fill="FFFFFF"/>
              <w:lang w:val="en-US" w:eastAsia="zh-CN"/>
            </w:rPr>
            <w:t>第三部分  名词解释</w:t>
          </w:r>
          <w:r>
            <w:rPr>
              <w:sz w:val="28"/>
              <w:szCs w:val="28"/>
            </w:rPr>
            <w:tab/>
          </w:r>
          <w:r>
            <w:rPr>
              <w:rFonts w:hint="eastAsia"/>
              <w:sz w:val="28"/>
              <w:szCs w:val="28"/>
              <w:lang w:val="en-US" w:eastAsia="zh-CN"/>
            </w:rPr>
            <w:t>1</w:t>
          </w:r>
          <w:r>
            <w:rPr>
              <w:rFonts w:hint="eastAsia"/>
              <w:sz w:val="28"/>
              <w:szCs w:val="28"/>
            </w:rPr>
            <w:fldChar w:fldCharType="end"/>
          </w:r>
          <w:r>
            <w:rPr>
              <w:rFonts w:hint="eastAsia"/>
              <w:sz w:val="28"/>
              <w:szCs w:val="28"/>
              <w:lang w:val="en-US" w:eastAsia="zh-CN"/>
            </w:rPr>
            <w:t>3</w:t>
          </w:r>
        </w:p>
        <w:p>
          <w:pPr>
            <w:pStyle w:val="5"/>
            <w:tabs>
              <w:tab w:val="right" w:leader="dot" w:pos="8845"/>
            </w:tabs>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第四部分  附件</w:t>
          </w:r>
        </w:p>
        <w:p>
          <w:pPr>
            <w:keepNext w:val="0"/>
            <w:keepLines w:val="0"/>
            <w:pageBreakBefore w:val="0"/>
            <w:widowControl w:val="0"/>
            <w:kinsoku/>
            <w:wordWrap/>
            <w:overflowPunct/>
            <w:topLinePunct w:val="0"/>
            <w:autoSpaceDE/>
            <w:autoSpaceDN/>
            <w:bidi w:val="0"/>
            <w:adjustRightInd/>
            <w:snapToGrid/>
            <w:spacing w:line="700" w:lineRule="exact"/>
            <w:ind w:left="1119" w:leftChars="266" w:hanging="560" w:hangingChars="200"/>
            <w:jc w:val="both"/>
            <w:textAlignment w:val="auto"/>
            <w:rPr>
              <w:rFonts w:hint="default" w:ascii="楷体_GB2312" w:hAnsi="楷体_GB2312" w:eastAsia="楷体_GB2312" w:cs="楷体_GB2312"/>
              <w:b w:val="0"/>
              <w:bCs w:val="0"/>
              <w:sz w:val="28"/>
              <w:szCs w:val="28"/>
              <w:lang w:val="en-US" w:eastAsia="zh-CN"/>
            </w:rPr>
          </w:pPr>
          <w:r>
            <w:rPr>
              <w:rFonts w:hint="eastAsia" w:ascii="黑体" w:hAnsi="黑体" w:eastAsia="黑体" w:cs="黑体"/>
              <w:sz w:val="28"/>
              <w:szCs w:val="28"/>
              <w:lang w:val="en-US" w:eastAsia="zh-CN"/>
            </w:rPr>
            <w:t>附件1：</w:t>
          </w:r>
          <w:r>
            <w:rPr>
              <w:rFonts w:hint="eastAsia" w:ascii="黑体" w:hAnsi="黑体" w:eastAsia="黑体" w:cs="黑体"/>
              <w:b w:val="0"/>
              <w:bCs w:val="0"/>
              <w:sz w:val="28"/>
              <w:szCs w:val="28"/>
            </w:rPr>
            <w:t>中共阿坝州委巡察工作领导小组办公室</w:t>
          </w:r>
          <w:r>
            <w:rPr>
              <w:rFonts w:hint="eastAsia" w:ascii="黑体" w:hAnsi="黑体" w:eastAsia="黑体" w:cs="黑体"/>
              <w:b w:val="0"/>
              <w:bCs w:val="0"/>
              <w:sz w:val="28"/>
              <w:szCs w:val="28"/>
              <w:lang w:val="en-US" w:eastAsia="zh-CN"/>
            </w:rPr>
            <w:t>2019</w:t>
          </w:r>
          <w:r>
            <w:rPr>
              <w:rFonts w:hint="eastAsia" w:ascii="黑体" w:hAnsi="黑体" w:eastAsia="黑体" w:cs="黑体"/>
              <w:b w:val="0"/>
              <w:bCs w:val="0"/>
              <w:sz w:val="28"/>
              <w:szCs w:val="28"/>
            </w:rPr>
            <w:t>年部门整体支出绩效</w:t>
          </w:r>
          <w:r>
            <w:rPr>
              <w:rFonts w:hint="eastAsia" w:ascii="黑体" w:hAnsi="黑体" w:eastAsia="黑体" w:cs="黑体"/>
              <w:b w:val="0"/>
              <w:bCs w:val="0"/>
              <w:sz w:val="28"/>
              <w:szCs w:val="28"/>
              <w:lang w:eastAsia="zh-CN"/>
            </w:rPr>
            <w:t>评价</w:t>
          </w:r>
          <w:r>
            <w:rPr>
              <w:rFonts w:hint="eastAsia" w:ascii="黑体" w:hAnsi="黑体" w:eastAsia="黑体" w:cs="黑体"/>
              <w:b w:val="0"/>
              <w:bCs w:val="0"/>
              <w:sz w:val="28"/>
              <w:szCs w:val="28"/>
            </w:rPr>
            <w:t>报告</w:t>
          </w:r>
          <w:r>
            <w:rPr>
              <w:rFonts w:hint="eastAsia" w:ascii="楷体_GB2312" w:hAnsi="楷体_GB2312" w:eastAsia="楷体_GB2312" w:cs="楷体_GB2312"/>
              <w:b w:val="0"/>
              <w:bCs w:val="0"/>
              <w:sz w:val="28"/>
              <w:szCs w:val="28"/>
              <w:lang w:val="en-US" w:eastAsia="zh-CN"/>
            </w:rPr>
            <w:t>.......................................16</w:t>
          </w:r>
        </w:p>
        <w:p>
          <w:pPr>
            <w:keepNext w:val="0"/>
            <w:keepLines w:val="0"/>
            <w:pageBreakBefore w:val="0"/>
            <w:kinsoku/>
            <w:wordWrap/>
            <w:overflowPunct/>
            <w:topLinePunct w:val="0"/>
            <w:autoSpaceDE/>
            <w:autoSpaceDN/>
            <w:bidi w:val="0"/>
            <w:spacing w:line="560" w:lineRule="exact"/>
            <w:ind w:firstLine="560" w:firstLineChars="200"/>
            <w:jc w:val="both"/>
            <w:textAlignment w:val="auto"/>
            <w:outlineLvl w:val="9"/>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附件2：</w:t>
          </w:r>
          <w:r>
            <w:rPr>
              <w:rFonts w:hint="eastAsia" w:ascii="黑体" w:hAnsi="黑体" w:eastAsia="黑体" w:cs="黑体"/>
              <w:color w:val="auto"/>
              <w:kern w:val="0"/>
              <w:sz w:val="28"/>
              <w:szCs w:val="28"/>
              <w:lang w:eastAsia="zh-CN"/>
            </w:rPr>
            <w:t>巡察专项经费</w:t>
          </w:r>
          <w:r>
            <w:rPr>
              <w:rFonts w:hint="eastAsia" w:ascii="黑体" w:hAnsi="黑体" w:eastAsia="黑体" w:cs="黑体"/>
              <w:color w:val="auto"/>
              <w:kern w:val="0"/>
              <w:sz w:val="28"/>
              <w:szCs w:val="28"/>
              <w:lang w:val="zh-CN"/>
            </w:rPr>
            <w:t>项目</w:t>
          </w:r>
          <w:r>
            <w:rPr>
              <w:rFonts w:hint="eastAsia" w:ascii="楷体_GB2312" w:hAnsi="楷体_GB2312" w:eastAsia="楷体_GB2312" w:cs="楷体_GB2312"/>
              <w:color w:val="auto"/>
              <w:kern w:val="0"/>
              <w:sz w:val="28"/>
              <w:szCs w:val="28"/>
              <w:lang w:val="en-US" w:eastAsia="zh-CN"/>
            </w:rPr>
            <w:t>..................................20</w:t>
          </w:r>
        </w:p>
        <w:p>
          <w:pPr>
            <w:pStyle w:val="5"/>
            <w:tabs>
              <w:tab w:val="right" w:leader="dot" w:pos="8845"/>
            </w:tabs>
            <w:rPr>
              <w:rFonts w:hint="eastAsia" w:eastAsiaTheme="minorEastAsia"/>
              <w:sz w:val="28"/>
              <w:szCs w:val="28"/>
              <w:lang w:val="en-US" w:eastAsia="zh-CN"/>
            </w:rPr>
          </w:pPr>
          <w:r>
            <w:rPr>
              <w:rFonts w:hint="eastAsia"/>
              <w:sz w:val="28"/>
              <w:szCs w:val="28"/>
            </w:rPr>
            <w:fldChar w:fldCharType="begin"/>
          </w:r>
          <w:r>
            <w:rPr>
              <w:rFonts w:hint="eastAsia"/>
              <w:sz w:val="28"/>
              <w:szCs w:val="28"/>
            </w:rPr>
            <w:instrText xml:space="preserve"> HYPERLINK \l _Toc2336 </w:instrText>
          </w:r>
          <w:r>
            <w:rPr>
              <w:rFonts w:hint="eastAsia"/>
              <w:sz w:val="28"/>
              <w:szCs w:val="28"/>
            </w:rPr>
            <w:fldChar w:fldCharType="separate"/>
          </w:r>
          <w:r>
            <w:rPr>
              <w:rFonts w:hint="eastAsia" w:ascii="黑体" w:hAnsi="宋体" w:eastAsia="黑体" w:cs="黑体"/>
              <w:sz w:val="28"/>
              <w:szCs w:val="28"/>
              <w:shd w:val="clear" w:color="auto" w:fill="FFFFFF"/>
              <w:lang w:val="en-US" w:eastAsia="zh-CN"/>
            </w:rPr>
            <w:t>第五部分  附表</w:t>
          </w:r>
          <w:r>
            <w:rPr>
              <w:sz w:val="28"/>
              <w:szCs w:val="28"/>
            </w:rPr>
            <w:tab/>
          </w:r>
          <w:r>
            <w:rPr>
              <w:rFonts w:hint="eastAsia"/>
              <w:sz w:val="28"/>
              <w:szCs w:val="28"/>
              <w:lang w:val="en-US" w:eastAsia="zh-CN"/>
            </w:rPr>
            <w:t>2</w:t>
          </w:r>
          <w:r>
            <w:rPr>
              <w:rFonts w:hint="eastAsia"/>
              <w:sz w:val="28"/>
              <w:szCs w:val="28"/>
            </w:rPr>
            <w:fldChar w:fldCharType="end"/>
          </w:r>
          <w:r>
            <w:rPr>
              <w:rFonts w:hint="eastAsia"/>
              <w:sz w:val="28"/>
              <w:szCs w:val="28"/>
              <w:lang w:val="en-US" w:eastAsia="zh-CN"/>
            </w:rPr>
            <w:t>3</w:t>
          </w:r>
        </w:p>
        <w:p>
          <w:pPr>
            <w:pStyle w:val="6"/>
            <w:tabs>
              <w:tab w:val="right" w:leader="dot" w:pos="8845"/>
            </w:tabs>
            <w:rPr>
              <w:rFonts w:hint="eastAsia" w:eastAsiaTheme="minorEastAsia"/>
              <w:sz w:val="28"/>
              <w:szCs w:val="28"/>
              <w:lang w:val="en-US" w:eastAsia="zh-CN"/>
            </w:rPr>
          </w:pPr>
          <w:r>
            <w:rPr>
              <w:rFonts w:hint="eastAsia"/>
              <w:sz w:val="28"/>
              <w:szCs w:val="28"/>
            </w:rPr>
            <w:fldChar w:fldCharType="begin"/>
          </w:r>
          <w:r>
            <w:rPr>
              <w:rFonts w:hint="eastAsia"/>
              <w:sz w:val="28"/>
              <w:szCs w:val="28"/>
            </w:rPr>
            <w:instrText xml:space="preserve"> HYPERLINK \l _Toc28946 </w:instrText>
          </w:r>
          <w:r>
            <w:rPr>
              <w:rFonts w:hint="eastAsia"/>
              <w:sz w:val="28"/>
              <w:szCs w:val="28"/>
            </w:rPr>
            <w:fldChar w:fldCharType="separate"/>
          </w:r>
          <w:r>
            <w:rPr>
              <w:rFonts w:hint="eastAsia" w:eastAsia="黑体"/>
              <w:bCs/>
              <w:sz w:val="28"/>
              <w:szCs w:val="28"/>
              <w:lang w:val="en-US" w:eastAsia="zh-CN"/>
            </w:rPr>
            <w:t>一、收入支出决算总表</w:t>
          </w:r>
          <w:r>
            <w:rPr>
              <w:sz w:val="28"/>
              <w:szCs w:val="28"/>
            </w:rPr>
            <w:tab/>
          </w:r>
          <w:r>
            <w:rPr>
              <w:rFonts w:hint="eastAsia"/>
              <w:sz w:val="28"/>
              <w:szCs w:val="28"/>
              <w:lang w:val="en-US" w:eastAsia="zh-CN"/>
            </w:rPr>
            <w:t>2</w:t>
          </w:r>
          <w:r>
            <w:rPr>
              <w:rFonts w:hint="eastAsia"/>
              <w:sz w:val="28"/>
              <w:szCs w:val="28"/>
            </w:rPr>
            <w:fldChar w:fldCharType="end"/>
          </w:r>
          <w:r>
            <w:rPr>
              <w:rFonts w:hint="eastAsia"/>
              <w:sz w:val="28"/>
              <w:szCs w:val="28"/>
              <w:lang w:val="en-US" w:eastAsia="zh-CN"/>
            </w:rPr>
            <w:t>3</w:t>
          </w:r>
        </w:p>
        <w:p>
          <w:pPr>
            <w:pStyle w:val="6"/>
            <w:tabs>
              <w:tab w:val="right" w:leader="dot" w:pos="8845"/>
            </w:tabs>
            <w:rPr>
              <w:rFonts w:hint="eastAsia" w:eastAsiaTheme="minorEastAsia"/>
              <w:sz w:val="28"/>
              <w:szCs w:val="28"/>
              <w:lang w:val="en-US" w:eastAsia="zh-CN"/>
            </w:rPr>
          </w:pPr>
          <w:r>
            <w:rPr>
              <w:rFonts w:hint="eastAsia"/>
              <w:sz w:val="28"/>
              <w:szCs w:val="28"/>
            </w:rPr>
            <w:fldChar w:fldCharType="begin"/>
          </w:r>
          <w:r>
            <w:rPr>
              <w:rFonts w:hint="eastAsia"/>
              <w:sz w:val="28"/>
              <w:szCs w:val="28"/>
            </w:rPr>
            <w:instrText xml:space="preserve"> HYPERLINK \l _Toc2751 </w:instrText>
          </w:r>
          <w:r>
            <w:rPr>
              <w:rFonts w:hint="eastAsia"/>
              <w:sz w:val="28"/>
              <w:szCs w:val="28"/>
            </w:rPr>
            <w:fldChar w:fldCharType="separate"/>
          </w:r>
          <w:r>
            <w:rPr>
              <w:rFonts w:hint="eastAsia" w:eastAsia="黑体"/>
              <w:bCs/>
              <w:sz w:val="28"/>
              <w:szCs w:val="28"/>
              <w:lang w:val="en-US" w:eastAsia="zh-CN"/>
            </w:rPr>
            <w:t>二、收入决算表</w:t>
          </w:r>
          <w:r>
            <w:rPr>
              <w:sz w:val="28"/>
              <w:szCs w:val="28"/>
            </w:rPr>
            <w:tab/>
          </w:r>
          <w:r>
            <w:rPr>
              <w:rFonts w:hint="eastAsia"/>
              <w:sz w:val="28"/>
              <w:szCs w:val="28"/>
              <w:lang w:val="en-US" w:eastAsia="zh-CN"/>
            </w:rPr>
            <w:t>2</w:t>
          </w:r>
          <w:r>
            <w:rPr>
              <w:rFonts w:hint="eastAsia"/>
              <w:sz w:val="28"/>
              <w:szCs w:val="28"/>
            </w:rPr>
            <w:fldChar w:fldCharType="end"/>
          </w:r>
          <w:r>
            <w:rPr>
              <w:rFonts w:hint="eastAsia"/>
              <w:sz w:val="28"/>
              <w:szCs w:val="28"/>
              <w:lang w:val="en-US" w:eastAsia="zh-CN"/>
            </w:rPr>
            <w:t>3</w:t>
          </w:r>
        </w:p>
        <w:p>
          <w:pPr>
            <w:pStyle w:val="6"/>
            <w:tabs>
              <w:tab w:val="right" w:leader="dot" w:pos="8845"/>
            </w:tabs>
            <w:rPr>
              <w:rFonts w:hint="eastAsia" w:eastAsiaTheme="minorEastAsia"/>
              <w:sz w:val="28"/>
              <w:szCs w:val="28"/>
              <w:lang w:val="en-US" w:eastAsia="zh-CN"/>
            </w:rPr>
          </w:pPr>
          <w:r>
            <w:rPr>
              <w:rFonts w:hint="eastAsia"/>
              <w:sz w:val="28"/>
              <w:szCs w:val="28"/>
            </w:rPr>
            <w:fldChar w:fldCharType="begin"/>
          </w:r>
          <w:r>
            <w:rPr>
              <w:rFonts w:hint="eastAsia"/>
              <w:sz w:val="28"/>
              <w:szCs w:val="28"/>
            </w:rPr>
            <w:instrText xml:space="preserve"> HYPERLINK \l _Toc8795 </w:instrText>
          </w:r>
          <w:r>
            <w:rPr>
              <w:rFonts w:hint="eastAsia"/>
              <w:sz w:val="28"/>
              <w:szCs w:val="28"/>
            </w:rPr>
            <w:fldChar w:fldCharType="separate"/>
          </w:r>
          <w:r>
            <w:rPr>
              <w:rFonts w:hint="eastAsia" w:eastAsia="黑体"/>
              <w:bCs/>
              <w:sz w:val="28"/>
              <w:szCs w:val="28"/>
              <w:lang w:val="en-US" w:eastAsia="zh-CN"/>
            </w:rPr>
            <w:t>三、支出决算表</w:t>
          </w:r>
          <w:r>
            <w:rPr>
              <w:sz w:val="28"/>
              <w:szCs w:val="28"/>
            </w:rPr>
            <w:tab/>
          </w:r>
          <w:r>
            <w:rPr>
              <w:rFonts w:hint="eastAsia"/>
              <w:sz w:val="28"/>
              <w:szCs w:val="28"/>
              <w:lang w:val="en-US" w:eastAsia="zh-CN"/>
            </w:rPr>
            <w:t>2</w:t>
          </w:r>
          <w:r>
            <w:rPr>
              <w:rFonts w:hint="eastAsia"/>
              <w:sz w:val="28"/>
              <w:szCs w:val="28"/>
            </w:rPr>
            <w:fldChar w:fldCharType="end"/>
          </w:r>
          <w:r>
            <w:rPr>
              <w:rFonts w:hint="eastAsia"/>
              <w:sz w:val="28"/>
              <w:szCs w:val="28"/>
              <w:lang w:val="en-US" w:eastAsia="zh-CN"/>
            </w:rPr>
            <w:t>3</w:t>
          </w:r>
        </w:p>
        <w:p>
          <w:pPr>
            <w:pStyle w:val="6"/>
            <w:tabs>
              <w:tab w:val="right" w:leader="dot" w:pos="8845"/>
            </w:tabs>
            <w:rPr>
              <w:rFonts w:hint="eastAsia" w:eastAsiaTheme="minorEastAsia"/>
              <w:sz w:val="28"/>
              <w:szCs w:val="28"/>
              <w:lang w:val="en-US" w:eastAsia="zh-CN"/>
            </w:rPr>
          </w:pPr>
          <w:r>
            <w:rPr>
              <w:rFonts w:hint="eastAsia"/>
              <w:sz w:val="28"/>
              <w:szCs w:val="28"/>
            </w:rPr>
            <w:fldChar w:fldCharType="begin"/>
          </w:r>
          <w:r>
            <w:rPr>
              <w:rFonts w:hint="eastAsia"/>
              <w:sz w:val="28"/>
              <w:szCs w:val="28"/>
            </w:rPr>
            <w:instrText xml:space="preserve"> HYPERLINK \l _Toc25103 </w:instrText>
          </w:r>
          <w:r>
            <w:rPr>
              <w:rFonts w:hint="eastAsia"/>
              <w:sz w:val="28"/>
              <w:szCs w:val="28"/>
            </w:rPr>
            <w:fldChar w:fldCharType="separate"/>
          </w:r>
          <w:r>
            <w:rPr>
              <w:rFonts w:hint="eastAsia" w:eastAsia="黑体"/>
              <w:bCs/>
              <w:sz w:val="28"/>
              <w:szCs w:val="28"/>
              <w:lang w:val="en-US" w:eastAsia="zh-CN"/>
            </w:rPr>
            <w:t>四、财政拨款收入支出决算总表</w:t>
          </w:r>
          <w:r>
            <w:rPr>
              <w:sz w:val="28"/>
              <w:szCs w:val="28"/>
            </w:rPr>
            <w:tab/>
          </w:r>
          <w:r>
            <w:rPr>
              <w:rFonts w:hint="eastAsia"/>
              <w:sz w:val="28"/>
              <w:szCs w:val="28"/>
              <w:lang w:val="en-US" w:eastAsia="zh-CN"/>
            </w:rPr>
            <w:t>2</w:t>
          </w:r>
          <w:r>
            <w:rPr>
              <w:rFonts w:hint="eastAsia"/>
              <w:sz w:val="28"/>
              <w:szCs w:val="28"/>
            </w:rPr>
            <w:fldChar w:fldCharType="end"/>
          </w:r>
          <w:r>
            <w:rPr>
              <w:rFonts w:hint="eastAsia"/>
              <w:sz w:val="28"/>
              <w:szCs w:val="28"/>
              <w:lang w:val="en-US" w:eastAsia="zh-CN"/>
            </w:rPr>
            <w:t>3</w:t>
          </w:r>
        </w:p>
        <w:p>
          <w:pPr>
            <w:pStyle w:val="6"/>
            <w:tabs>
              <w:tab w:val="right" w:leader="dot" w:pos="8845"/>
            </w:tabs>
            <w:rPr>
              <w:rFonts w:hint="eastAsia" w:eastAsiaTheme="minorEastAsia"/>
              <w:sz w:val="28"/>
              <w:szCs w:val="28"/>
              <w:lang w:val="en-US" w:eastAsia="zh-CN"/>
            </w:rPr>
          </w:pPr>
          <w:r>
            <w:rPr>
              <w:rFonts w:hint="eastAsia"/>
              <w:sz w:val="28"/>
              <w:szCs w:val="28"/>
            </w:rPr>
            <w:fldChar w:fldCharType="begin"/>
          </w:r>
          <w:r>
            <w:rPr>
              <w:rFonts w:hint="eastAsia"/>
              <w:sz w:val="28"/>
              <w:szCs w:val="28"/>
            </w:rPr>
            <w:instrText xml:space="preserve"> HYPERLINK \l _Toc12809 </w:instrText>
          </w:r>
          <w:r>
            <w:rPr>
              <w:rFonts w:hint="eastAsia"/>
              <w:sz w:val="28"/>
              <w:szCs w:val="28"/>
            </w:rPr>
            <w:fldChar w:fldCharType="separate"/>
          </w:r>
          <w:r>
            <w:rPr>
              <w:rFonts w:hint="eastAsia" w:eastAsia="黑体"/>
              <w:bCs/>
              <w:sz w:val="28"/>
              <w:szCs w:val="28"/>
              <w:lang w:val="en-US" w:eastAsia="zh-CN"/>
            </w:rPr>
            <w:t>五、财政拨款支出决算明细表</w:t>
          </w:r>
          <w:r>
            <w:rPr>
              <w:sz w:val="28"/>
              <w:szCs w:val="28"/>
            </w:rPr>
            <w:tab/>
          </w:r>
          <w:r>
            <w:rPr>
              <w:rFonts w:hint="eastAsia"/>
              <w:sz w:val="28"/>
              <w:szCs w:val="28"/>
              <w:lang w:val="en-US" w:eastAsia="zh-CN"/>
            </w:rPr>
            <w:t>2</w:t>
          </w:r>
          <w:r>
            <w:rPr>
              <w:rFonts w:hint="eastAsia"/>
              <w:sz w:val="28"/>
              <w:szCs w:val="28"/>
            </w:rPr>
            <w:fldChar w:fldCharType="end"/>
          </w:r>
          <w:r>
            <w:rPr>
              <w:rFonts w:hint="eastAsia"/>
              <w:sz w:val="28"/>
              <w:szCs w:val="28"/>
              <w:lang w:val="en-US" w:eastAsia="zh-CN"/>
            </w:rPr>
            <w:t>3</w:t>
          </w:r>
        </w:p>
        <w:p>
          <w:pPr>
            <w:pStyle w:val="6"/>
            <w:tabs>
              <w:tab w:val="right" w:leader="dot" w:pos="8845"/>
            </w:tabs>
            <w:rPr>
              <w:rFonts w:hint="eastAsia" w:eastAsiaTheme="minorEastAsia"/>
              <w:sz w:val="28"/>
              <w:szCs w:val="28"/>
              <w:lang w:val="en-US" w:eastAsia="zh-CN"/>
            </w:rPr>
          </w:pPr>
          <w:r>
            <w:rPr>
              <w:rFonts w:hint="eastAsia"/>
              <w:sz w:val="28"/>
              <w:szCs w:val="28"/>
            </w:rPr>
            <w:fldChar w:fldCharType="begin"/>
          </w:r>
          <w:r>
            <w:rPr>
              <w:rFonts w:hint="eastAsia"/>
              <w:sz w:val="28"/>
              <w:szCs w:val="28"/>
            </w:rPr>
            <w:instrText xml:space="preserve"> HYPERLINK \l _Toc27852 </w:instrText>
          </w:r>
          <w:r>
            <w:rPr>
              <w:rFonts w:hint="eastAsia"/>
              <w:sz w:val="28"/>
              <w:szCs w:val="28"/>
            </w:rPr>
            <w:fldChar w:fldCharType="separate"/>
          </w:r>
          <w:r>
            <w:rPr>
              <w:rFonts w:hint="eastAsia" w:eastAsia="黑体"/>
              <w:bCs/>
              <w:sz w:val="28"/>
              <w:szCs w:val="28"/>
              <w:lang w:val="en-US" w:eastAsia="zh-CN"/>
            </w:rPr>
            <w:t>六、一般公共预算财政拨款支出决算表</w:t>
          </w:r>
          <w:r>
            <w:rPr>
              <w:sz w:val="28"/>
              <w:szCs w:val="28"/>
            </w:rPr>
            <w:tab/>
          </w:r>
          <w:r>
            <w:rPr>
              <w:rFonts w:hint="eastAsia"/>
              <w:sz w:val="28"/>
              <w:szCs w:val="28"/>
              <w:lang w:val="en-US" w:eastAsia="zh-CN"/>
            </w:rPr>
            <w:t>2</w:t>
          </w:r>
          <w:r>
            <w:rPr>
              <w:rFonts w:hint="eastAsia"/>
              <w:sz w:val="28"/>
              <w:szCs w:val="28"/>
            </w:rPr>
            <w:fldChar w:fldCharType="end"/>
          </w:r>
          <w:r>
            <w:rPr>
              <w:rFonts w:hint="eastAsia"/>
              <w:sz w:val="28"/>
              <w:szCs w:val="28"/>
              <w:lang w:val="en-US" w:eastAsia="zh-CN"/>
            </w:rPr>
            <w:t>3</w:t>
          </w:r>
        </w:p>
        <w:p>
          <w:pPr>
            <w:pStyle w:val="6"/>
            <w:tabs>
              <w:tab w:val="right" w:leader="dot" w:pos="8845"/>
            </w:tabs>
            <w:rPr>
              <w:rFonts w:hint="eastAsia" w:eastAsiaTheme="minorEastAsia"/>
              <w:sz w:val="28"/>
              <w:szCs w:val="28"/>
              <w:lang w:val="en-US" w:eastAsia="zh-CN"/>
            </w:rPr>
          </w:pPr>
          <w:r>
            <w:rPr>
              <w:rFonts w:hint="eastAsia"/>
              <w:sz w:val="28"/>
              <w:szCs w:val="28"/>
            </w:rPr>
            <w:fldChar w:fldCharType="begin"/>
          </w:r>
          <w:r>
            <w:rPr>
              <w:rFonts w:hint="eastAsia"/>
              <w:sz w:val="28"/>
              <w:szCs w:val="28"/>
            </w:rPr>
            <w:instrText xml:space="preserve"> HYPERLINK \l _Toc29856 </w:instrText>
          </w:r>
          <w:r>
            <w:rPr>
              <w:rFonts w:hint="eastAsia"/>
              <w:sz w:val="28"/>
              <w:szCs w:val="28"/>
            </w:rPr>
            <w:fldChar w:fldCharType="separate"/>
          </w:r>
          <w:r>
            <w:rPr>
              <w:rFonts w:hint="eastAsia" w:eastAsia="黑体"/>
              <w:bCs/>
              <w:sz w:val="28"/>
              <w:szCs w:val="28"/>
              <w:lang w:val="en-US" w:eastAsia="zh-CN"/>
            </w:rPr>
            <w:t>七、一般公共预算财政拨款支出决算明细表</w:t>
          </w:r>
          <w:r>
            <w:rPr>
              <w:sz w:val="28"/>
              <w:szCs w:val="28"/>
            </w:rPr>
            <w:tab/>
          </w:r>
          <w:r>
            <w:rPr>
              <w:rFonts w:hint="eastAsia"/>
              <w:sz w:val="28"/>
              <w:szCs w:val="28"/>
              <w:lang w:val="en-US" w:eastAsia="zh-CN"/>
            </w:rPr>
            <w:t>2</w:t>
          </w:r>
          <w:r>
            <w:rPr>
              <w:rFonts w:hint="eastAsia"/>
              <w:sz w:val="28"/>
              <w:szCs w:val="28"/>
            </w:rPr>
            <w:fldChar w:fldCharType="end"/>
          </w:r>
          <w:r>
            <w:rPr>
              <w:rFonts w:hint="eastAsia"/>
              <w:sz w:val="28"/>
              <w:szCs w:val="28"/>
              <w:lang w:val="en-US" w:eastAsia="zh-CN"/>
            </w:rPr>
            <w:t>3</w:t>
          </w:r>
        </w:p>
        <w:p>
          <w:pPr>
            <w:pStyle w:val="6"/>
            <w:tabs>
              <w:tab w:val="right" w:leader="dot" w:pos="8845"/>
            </w:tabs>
            <w:rPr>
              <w:rFonts w:hint="eastAsia" w:eastAsiaTheme="minorEastAsia"/>
              <w:sz w:val="28"/>
              <w:szCs w:val="28"/>
              <w:lang w:val="en-US" w:eastAsia="zh-CN"/>
            </w:rPr>
          </w:pPr>
          <w:r>
            <w:rPr>
              <w:rFonts w:hint="eastAsia"/>
              <w:sz w:val="28"/>
              <w:szCs w:val="28"/>
            </w:rPr>
            <w:fldChar w:fldCharType="begin"/>
          </w:r>
          <w:r>
            <w:rPr>
              <w:rFonts w:hint="eastAsia"/>
              <w:sz w:val="28"/>
              <w:szCs w:val="28"/>
            </w:rPr>
            <w:instrText xml:space="preserve"> HYPERLINK \l _Toc19512 </w:instrText>
          </w:r>
          <w:r>
            <w:rPr>
              <w:rFonts w:hint="eastAsia"/>
              <w:sz w:val="28"/>
              <w:szCs w:val="28"/>
            </w:rPr>
            <w:fldChar w:fldCharType="separate"/>
          </w:r>
          <w:r>
            <w:rPr>
              <w:rFonts w:hint="eastAsia" w:eastAsia="黑体"/>
              <w:bCs/>
              <w:sz w:val="28"/>
              <w:szCs w:val="28"/>
              <w:lang w:val="en-US" w:eastAsia="zh-CN"/>
            </w:rPr>
            <w:t>八、一般公共预算财政拨款基本支出决算表</w:t>
          </w:r>
          <w:r>
            <w:rPr>
              <w:sz w:val="28"/>
              <w:szCs w:val="28"/>
            </w:rPr>
            <w:tab/>
          </w:r>
          <w:r>
            <w:rPr>
              <w:rFonts w:hint="eastAsia"/>
              <w:sz w:val="28"/>
              <w:szCs w:val="28"/>
              <w:lang w:val="en-US" w:eastAsia="zh-CN"/>
            </w:rPr>
            <w:t>2</w:t>
          </w:r>
          <w:r>
            <w:rPr>
              <w:rFonts w:hint="eastAsia"/>
              <w:sz w:val="28"/>
              <w:szCs w:val="28"/>
            </w:rPr>
            <w:fldChar w:fldCharType="end"/>
          </w:r>
          <w:r>
            <w:rPr>
              <w:rFonts w:hint="eastAsia"/>
              <w:sz w:val="28"/>
              <w:szCs w:val="28"/>
              <w:lang w:val="en-US" w:eastAsia="zh-CN"/>
            </w:rPr>
            <w:t>3</w:t>
          </w:r>
        </w:p>
        <w:p>
          <w:pPr>
            <w:pStyle w:val="6"/>
            <w:tabs>
              <w:tab w:val="right" w:leader="dot" w:pos="8845"/>
            </w:tabs>
            <w:rPr>
              <w:rFonts w:hint="eastAsia" w:eastAsiaTheme="minorEastAsia"/>
              <w:sz w:val="28"/>
              <w:szCs w:val="28"/>
              <w:lang w:val="en-US" w:eastAsia="zh-CN"/>
            </w:rPr>
          </w:pPr>
          <w:r>
            <w:rPr>
              <w:rFonts w:hint="eastAsia"/>
              <w:sz w:val="28"/>
              <w:szCs w:val="28"/>
            </w:rPr>
            <w:fldChar w:fldCharType="begin"/>
          </w:r>
          <w:r>
            <w:rPr>
              <w:rFonts w:hint="eastAsia"/>
              <w:sz w:val="28"/>
              <w:szCs w:val="28"/>
            </w:rPr>
            <w:instrText xml:space="preserve"> HYPERLINK \l _Toc29159 </w:instrText>
          </w:r>
          <w:r>
            <w:rPr>
              <w:rFonts w:hint="eastAsia"/>
              <w:sz w:val="28"/>
              <w:szCs w:val="28"/>
            </w:rPr>
            <w:fldChar w:fldCharType="separate"/>
          </w:r>
          <w:r>
            <w:rPr>
              <w:rFonts w:hint="eastAsia" w:eastAsia="黑体"/>
              <w:bCs/>
              <w:sz w:val="28"/>
              <w:szCs w:val="28"/>
              <w:lang w:val="en-US" w:eastAsia="zh-CN"/>
            </w:rPr>
            <w:t>九、一般公共预算财政拨款项目支出决算表</w:t>
          </w:r>
          <w:r>
            <w:rPr>
              <w:sz w:val="28"/>
              <w:szCs w:val="28"/>
            </w:rPr>
            <w:tab/>
          </w:r>
          <w:r>
            <w:rPr>
              <w:rFonts w:hint="eastAsia"/>
              <w:sz w:val="28"/>
              <w:szCs w:val="28"/>
              <w:lang w:val="en-US" w:eastAsia="zh-CN"/>
            </w:rPr>
            <w:t>2</w:t>
          </w:r>
          <w:r>
            <w:rPr>
              <w:rFonts w:hint="eastAsia"/>
              <w:sz w:val="28"/>
              <w:szCs w:val="28"/>
            </w:rPr>
            <w:fldChar w:fldCharType="end"/>
          </w:r>
          <w:r>
            <w:rPr>
              <w:rFonts w:hint="eastAsia"/>
              <w:sz w:val="28"/>
              <w:szCs w:val="28"/>
              <w:lang w:val="en-US" w:eastAsia="zh-CN"/>
            </w:rPr>
            <w:t>3</w:t>
          </w:r>
        </w:p>
        <w:p>
          <w:pPr>
            <w:pStyle w:val="6"/>
            <w:tabs>
              <w:tab w:val="right" w:leader="dot" w:pos="8845"/>
            </w:tabs>
            <w:rPr>
              <w:rFonts w:hint="eastAsia" w:eastAsiaTheme="minorEastAsia"/>
              <w:sz w:val="28"/>
              <w:szCs w:val="28"/>
              <w:lang w:val="en-US" w:eastAsia="zh-CN"/>
            </w:rPr>
          </w:pPr>
          <w:r>
            <w:rPr>
              <w:rFonts w:hint="eastAsia"/>
              <w:sz w:val="28"/>
              <w:szCs w:val="28"/>
            </w:rPr>
            <w:fldChar w:fldCharType="begin"/>
          </w:r>
          <w:r>
            <w:rPr>
              <w:rFonts w:hint="eastAsia"/>
              <w:sz w:val="28"/>
              <w:szCs w:val="28"/>
            </w:rPr>
            <w:instrText xml:space="preserve"> HYPERLINK \l _Toc20067 </w:instrText>
          </w:r>
          <w:r>
            <w:rPr>
              <w:rFonts w:hint="eastAsia"/>
              <w:sz w:val="28"/>
              <w:szCs w:val="28"/>
            </w:rPr>
            <w:fldChar w:fldCharType="separate"/>
          </w:r>
          <w:r>
            <w:rPr>
              <w:rFonts w:hint="eastAsia" w:eastAsia="黑体"/>
              <w:bCs/>
              <w:sz w:val="28"/>
              <w:szCs w:val="28"/>
              <w:lang w:val="en-US" w:eastAsia="zh-CN"/>
            </w:rPr>
            <w:t>十、一般公共预算财政拨款“三公”经费支出决算表</w:t>
          </w:r>
          <w:r>
            <w:rPr>
              <w:sz w:val="28"/>
              <w:szCs w:val="28"/>
            </w:rPr>
            <w:tab/>
          </w:r>
          <w:r>
            <w:rPr>
              <w:rFonts w:hint="eastAsia"/>
              <w:sz w:val="28"/>
              <w:szCs w:val="28"/>
              <w:lang w:val="en-US" w:eastAsia="zh-CN"/>
            </w:rPr>
            <w:t>2</w:t>
          </w:r>
          <w:r>
            <w:rPr>
              <w:rFonts w:hint="eastAsia"/>
              <w:sz w:val="28"/>
              <w:szCs w:val="28"/>
            </w:rPr>
            <w:fldChar w:fldCharType="end"/>
          </w:r>
          <w:r>
            <w:rPr>
              <w:rFonts w:hint="eastAsia"/>
              <w:sz w:val="28"/>
              <w:szCs w:val="28"/>
              <w:lang w:val="en-US" w:eastAsia="zh-CN"/>
            </w:rPr>
            <w:t>3</w:t>
          </w:r>
        </w:p>
        <w:p>
          <w:pPr>
            <w:pStyle w:val="6"/>
            <w:tabs>
              <w:tab w:val="right" w:leader="dot" w:pos="8845"/>
            </w:tabs>
            <w:rPr>
              <w:rFonts w:hint="eastAsia" w:eastAsiaTheme="minorEastAsia"/>
              <w:sz w:val="28"/>
              <w:szCs w:val="28"/>
              <w:lang w:val="en-US" w:eastAsia="zh-CN"/>
            </w:rPr>
          </w:pPr>
          <w:r>
            <w:rPr>
              <w:rFonts w:hint="eastAsia"/>
              <w:sz w:val="28"/>
              <w:szCs w:val="28"/>
            </w:rPr>
            <w:fldChar w:fldCharType="begin"/>
          </w:r>
          <w:r>
            <w:rPr>
              <w:rFonts w:hint="eastAsia"/>
              <w:sz w:val="28"/>
              <w:szCs w:val="28"/>
            </w:rPr>
            <w:instrText xml:space="preserve"> HYPERLINK \l _Toc6024 </w:instrText>
          </w:r>
          <w:r>
            <w:rPr>
              <w:rFonts w:hint="eastAsia"/>
              <w:sz w:val="28"/>
              <w:szCs w:val="28"/>
            </w:rPr>
            <w:fldChar w:fldCharType="separate"/>
          </w:r>
          <w:r>
            <w:rPr>
              <w:rFonts w:hint="eastAsia" w:eastAsia="黑体"/>
              <w:bCs/>
              <w:sz w:val="28"/>
              <w:szCs w:val="28"/>
              <w:lang w:val="en-US" w:eastAsia="zh-CN"/>
            </w:rPr>
            <w:t>十一、政府性基金预算财政拨款收入支出决算表</w:t>
          </w:r>
          <w:r>
            <w:rPr>
              <w:sz w:val="28"/>
              <w:szCs w:val="28"/>
            </w:rPr>
            <w:tab/>
          </w:r>
          <w:r>
            <w:rPr>
              <w:rFonts w:hint="eastAsia"/>
              <w:sz w:val="28"/>
              <w:szCs w:val="28"/>
              <w:lang w:val="en-US" w:eastAsia="zh-CN"/>
            </w:rPr>
            <w:t>2</w:t>
          </w:r>
          <w:r>
            <w:rPr>
              <w:rFonts w:hint="eastAsia"/>
              <w:sz w:val="28"/>
              <w:szCs w:val="28"/>
            </w:rPr>
            <w:fldChar w:fldCharType="end"/>
          </w:r>
          <w:r>
            <w:rPr>
              <w:rFonts w:hint="eastAsia"/>
              <w:sz w:val="28"/>
              <w:szCs w:val="28"/>
              <w:lang w:val="en-US" w:eastAsia="zh-CN"/>
            </w:rPr>
            <w:t>3</w:t>
          </w:r>
        </w:p>
        <w:bookmarkEnd w:id="0"/>
        <w:p>
          <w:pPr>
            <w:pStyle w:val="12"/>
            <w:tabs>
              <w:tab w:val="right" w:leader="dot" w:pos="8845"/>
            </w:tabs>
            <w:ind w:left="0" w:leftChars="0" w:firstLine="0" w:firstLineChars="0"/>
            <w:rPr>
              <w:rFonts w:ascii="宋体" w:hAnsi="宋体" w:eastAsia="宋体" w:cstheme="minorBidi"/>
              <w:kern w:val="2"/>
              <w:sz w:val="20"/>
              <w:szCs w:val="20"/>
              <w:lang w:val="en-US" w:eastAsia="zh-CN" w:bidi="ar-SA"/>
            </w:rPr>
            <w:sectPr>
              <w:pgSz w:w="11906" w:h="16838"/>
              <w:pgMar w:top="2098" w:right="1474" w:bottom="1984" w:left="1587" w:header="851" w:footer="992" w:gutter="0"/>
              <w:pgNumType w:fmt="numberInDash"/>
              <w:cols w:space="0" w:num="1"/>
              <w:docGrid w:type="lines" w:linePitch="312" w:charSpace="0"/>
            </w:sectPr>
          </w:pPr>
        </w:p>
        <w:p>
          <w:pPr>
            <w:pStyle w:val="12"/>
            <w:tabs>
              <w:tab w:val="right" w:leader="dot" w:pos="8845"/>
            </w:tabs>
            <w:ind w:left="0" w:leftChars="0" w:firstLine="0" w:firstLineChars="0"/>
          </w:pPr>
        </w:p>
      </w:sdtContent>
    </w:sdt>
    <w:p>
      <w:pPr>
        <w:snapToGrid w:val="0"/>
        <w:spacing w:line="576" w:lineRule="exact"/>
        <w:jc w:val="center"/>
        <w:rPr>
          <w:rFonts w:hint="eastAsia" w:ascii="黑体" w:hAnsi="黑体" w:eastAsia="黑体" w:cs="黑体"/>
          <w:sz w:val="44"/>
          <w:szCs w:val="44"/>
          <w:lang w:val="en-US" w:eastAsia="zh-CN"/>
        </w:rPr>
      </w:pPr>
      <w:r>
        <w:rPr>
          <w:rFonts w:hint="eastAsia" w:ascii="黑体" w:hAnsi="黑体" w:eastAsia="黑体" w:cs="黑体"/>
          <w:sz w:val="44"/>
          <w:szCs w:val="44"/>
          <w:lang w:eastAsia="zh-CN"/>
        </w:rPr>
        <w:t>第一部分</w:t>
      </w:r>
      <w:r>
        <w:rPr>
          <w:rFonts w:hint="eastAsia" w:ascii="黑体" w:hAnsi="黑体" w:eastAsia="黑体" w:cs="黑体"/>
          <w:sz w:val="44"/>
          <w:szCs w:val="44"/>
          <w:lang w:val="en-US" w:eastAsia="zh-CN"/>
        </w:rPr>
        <w:t xml:space="preserve">  部门概况</w:t>
      </w:r>
    </w:p>
    <w:p>
      <w:pPr>
        <w:snapToGrid w:val="0"/>
        <w:spacing w:line="576" w:lineRule="exact"/>
        <w:jc w:val="center"/>
        <w:rPr>
          <w:rFonts w:hint="eastAsia" w:ascii="黑体" w:hAnsi="黑体" w:eastAsia="黑体" w:cs="黑体"/>
          <w:sz w:val="44"/>
          <w:szCs w:val="44"/>
          <w:lang w:val="en-US" w:eastAsia="zh-CN"/>
        </w:rPr>
      </w:pPr>
    </w:p>
    <w:p>
      <w:pPr>
        <w:snapToGrid w:val="0"/>
        <w:spacing w:line="576" w:lineRule="exact"/>
        <w:ind w:firstLine="640" w:firstLineChars="200"/>
        <w:rPr>
          <w:rFonts w:hint="eastAsia" w:ascii="黑体" w:hAnsi="黑体" w:eastAsia="黑体"/>
          <w:sz w:val="32"/>
          <w:szCs w:val="32"/>
          <w:lang w:val="en-US" w:eastAsia="zh-CN"/>
        </w:rPr>
      </w:pPr>
      <w:r>
        <w:rPr>
          <w:rFonts w:hint="eastAsia" w:ascii="黑体" w:hAnsi="黑体" w:eastAsia="黑体"/>
          <w:sz w:val="32"/>
          <w:szCs w:val="32"/>
        </w:rPr>
        <w:t>一、</w:t>
      </w:r>
      <w:r>
        <w:rPr>
          <w:rFonts w:hint="eastAsia" w:ascii="黑体" w:hAnsi="黑体" w:eastAsia="黑体"/>
          <w:sz w:val="32"/>
          <w:szCs w:val="32"/>
          <w:lang w:eastAsia="zh-CN"/>
        </w:rPr>
        <w:t>基本职能及主要工作</w:t>
      </w:r>
    </w:p>
    <w:p>
      <w:pPr>
        <w:snapToGrid w:val="0"/>
        <w:spacing w:line="576" w:lineRule="exact"/>
        <w:ind w:firstLine="643"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（一）</w:t>
      </w:r>
      <w:r>
        <w:rPr>
          <w:rFonts w:hint="eastAsia" w:ascii="楷体_GB2312" w:hAnsi="楷体_GB2312" w:eastAsia="楷体_GB2312" w:cs="楷体_GB2312"/>
          <w:b/>
          <w:bCs/>
          <w:sz w:val="32"/>
          <w:szCs w:val="32"/>
        </w:rPr>
        <w:t>主要职能</w:t>
      </w:r>
    </w:p>
    <w:p>
      <w:pPr>
        <w:snapToGrid w:val="0"/>
        <w:spacing w:line="576" w:lineRule="exact"/>
        <w:ind w:firstLine="640" w:firstLineChars="200"/>
        <w:rPr>
          <w:rFonts w:eastAsia="仿宋_GB2312"/>
          <w:sz w:val="32"/>
          <w:szCs w:val="32"/>
        </w:rPr>
      </w:pPr>
      <w:r>
        <w:rPr>
          <w:rFonts w:eastAsia="仿宋_GB2312"/>
          <w:sz w:val="32"/>
          <w:szCs w:val="32"/>
        </w:rPr>
        <w:t>向省委巡视工作领导小组办公室报送巡察工作规划、年度计划、年度巡察工作总结、</w:t>
      </w:r>
      <w:r>
        <w:rPr>
          <w:rFonts w:eastAsia="仿宋_GB2312"/>
          <w:spacing w:val="-20"/>
          <w:sz w:val="32"/>
          <w:szCs w:val="32"/>
        </w:rPr>
        <w:t>重要情况和信息</w:t>
      </w:r>
      <w:r>
        <w:rPr>
          <w:rFonts w:hint="eastAsia" w:eastAsia="仿宋_GB2312"/>
          <w:spacing w:val="-20"/>
          <w:sz w:val="32"/>
          <w:szCs w:val="32"/>
        </w:rPr>
        <w:t>；</w:t>
      </w:r>
      <w:r>
        <w:rPr>
          <w:rFonts w:eastAsia="仿宋_GB2312"/>
          <w:sz w:val="32"/>
          <w:szCs w:val="32"/>
        </w:rPr>
        <w:t>向州委巡察工作领导小组报告工作情况，传达贯彻州委巡察工作领导小组的决策和部署</w:t>
      </w:r>
      <w:r>
        <w:rPr>
          <w:rFonts w:hint="eastAsia" w:eastAsia="仿宋_GB2312"/>
          <w:sz w:val="32"/>
          <w:szCs w:val="32"/>
        </w:rPr>
        <w:t>；</w:t>
      </w:r>
      <w:r>
        <w:rPr>
          <w:rFonts w:eastAsia="仿宋_GB2312"/>
          <w:sz w:val="32"/>
          <w:szCs w:val="32"/>
        </w:rPr>
        <w:t>统筹、协调、指导巡察组开展工作；承担政策研究、制度建设等工作；对州委和州委巡察工作领导小组决定的事项进行督办；配合州纪委、州委组织部等部门对巡察工作人员进行培训、考核、监督和管理；健全与纪检、政法</w:t>
      </w:r>
      <w:r>
        <w:rPr>
          <w:rFonts w:hint="eastAsia" w:eastAsia="仿宋_GB2312"/>
          <w:sz w:val="32"/>
          <w:szCs w:val="32"/>
        </w:rPr>
        <w:t>、</w:t>
      </w:r>
      <w:r>
        <w:rPr>
          <w:rFonts w:eastAsia="仿宋_GB2312"/>
          <w:sz w:val="32"/>
          <w:szCs w:val="32"/>
        </w:rPr>
        <w:t>组织、审计、信访等机关和部门的联系机制，负责与其进行沟通衔接；办理州委巡察工作领导小组</w:t>
      </w:r>
      <w:r>
        <w:rPr>
          <w:rFonts w:hint="eastAsia" w:eastAsia="仿宋_GB2312"/>
          <w:sz w:val="32"/>
          <w:szCs w:val="32"/>
        </w:rPr>
        <w:t>和上级巡视工作领导小组办公室</w:t>
      </w:r>
      <w:r>
        <w:rPr>
          <w:rFonts w:eastAsia="仿宋_GB2312"/>
          <w:sz w:val="32"/>
          <w:szCs w:val="32"/>
        </w:rPr>
        <w:t>交办的其他事项。</w:t>
      </w:r>
    </w:p>
    <w:p>
      <w:pPr>
        <w:snapToGrid w:val="0"/>
        <w:spacing w:line="576" w:lineRule="exact"/>
        <w:ind w:firstLine="643" w:firstLineChars="200"/>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eastAsia="zh-CN"/>
        </w:rPr>
        <w:t>（二）</w:t>
      </w:r>
      <w:r>
        <w:rPr>
          <w:rFonts w:hint="eastAsia" w:ascii="楷体_GB2312" w:hAnsi="楷体_GB2312" w:eastAsia="楷体_GB2312" w:cs="楷体_GB2312"/>
          <w:b/>
          <w:bCs/>
          <w:sz w:val="32"/>
          <w:szCs w:val="32"/>
          <w:lang w:val="en-US" w:eastAsia="zh-CN"/>
        </w:rPr>
        <w:t>2019年重点工作完成情况</w:t>
      </w:r>
    </w:p>
    <w:p>
      <w:pPr>
        <w:snapToGrid w:val="0"/>
        <w:spacing w:line="576" w:lineRule="exact"/>
        <w:ind w:firstLine="640" w:firstLineChars="200"/>
        <w:rPr>
          <w:rFonts w:eastAsia="仿宋_GB2312"/>
          <w:bCs/>
          <w:sz w:val="32"/>
          <w:szCs w:val="32"/>
        </w:rPr>
      </w:pPr>
      <w:r>
        <w:rPr>
          <w:rFonts w:eastAsia="仿宋_GB2312"/>
          <w:color w:val="000000"/>
          <w:sz w:val="32"/>
          <w:szCs w:val="32"/>
        </w:rPr>
        <w:t>按照州委和州委巡察工作领导小组要求，3月启动对</w:t>
      </w:r>
      <w:r>
        <w:rPr>
          <w:rFonts w:eastAsia="仿宋_GB2312"/>
          <w:color w:val="0C0C0C"/>
          <w:sz w:val="32"/>
          <w:szCs w:val="32"/>
        </w:rPr>
        <w:t>州教育局、州民族宗教事务委员会等</w:t>
      </w:r>
      <w:r>
        <w:rPr>
          <w:rFonts w:eastAsia="仿宋_GB2312"/>
          <w:color w:val="000000"/>
          <w:sz w:val="32"/>
          <w:szCs w:val="32"/>
        </w:rPr>
        <w:t>9个州级部门党组织的回访督查，共发现主要问题45个。</w:t>
      </w:r>
      <w:r>
        <w:rPr>
          <w:rFonts w:eastAsia="仿宋_GB2312"/>
          <w:sz w:val="32"/>
          <w:szCs w:val="32"/>
          <w:shd w:val="clear" w:color="auto" w:fill="FFFFFF"/>
        </w:rPr>
        <w:t>开展第六轮和第七轮常规巡察（巡视巡察联动），完成对17个州级部门党组织的政治体检，共发现主要问题344个，问题线索48件。</w:t>
      </w:r>
      <w:r>
        <w:rPr>
          <w:rFonts w:eastAsia="仿宋_GB2312"/>
          <w:color w:val="000000"/>
          <w:sz w:val="32"/>
          <w:szCs w:val="32"/>
        </w:rPr>
        <w:t>截止目前，已开展7轮常规巡察，完成全覆盖目标任务的68%。督促推动已巡察部门党组织抓好巡察整改，第一轮至第五轮巡察反馈意见已全部整改落实。对照巡视巡察专项整改2个方面11项具体整改任务，建立完善巡察工作领导小组常态化学习、政策法规咨询专家库巡察结果通报等制度机制；制定《阿坝州巡察工作规程》，进一步规范巡察工作，提升巡视工作质效；举办巡察业务知识培训会6次，选派1名松潘县巡察组长参与省委巡视工作，7名州、县（市）巡察办主任参加中央巡视办举办的市县党委巡察办主任培训，通过“实践+培训”的方式，切实提升巡察干部能力水平；州、县（市）在机构改革中落实巡察干部编制85个，</w:t>
      </w:r>
      <w:r>
        <w:rPr>
          <w:rFonts w:hint="eastAsia" w:eastAsia="仿宋_GB2312"/>
          <w:color w:val="000000"/>
          <w:sz w:val="32"/>
          <w:szCs w:val="32"/>
        </w:rPr>
        <w:t>完成</w:t>
      </w:r>
      <w:r>
        <w:rPr>
          <w:rFonts w:eastAsia="仿宋_GB2312"/>
          <w:color w:val="000000"/>
          <w:sz w:val="32"/>
          <w:szCs w:val="32"/>
        </w:rPr>
        <w:t>整改任务。</w:t>
      </w:r>
      <w:r>
        <w:rPr>
          <w:rFonts w:hint="eastAsia" w:eastAsia="仿宋_GB2312"/>
          <w:color w:val="000000"/>
          <w:sz w:val="32"/>
          <w:szCs w:val="32"/>
        </w:rPr>
        <w:t>组</w:t>
      </w:r>
      <w:r>
        <w:rPr>
          <w:rFonts w:eastAsia="仿宋_GB2312"/>
          <w:sz w:val="32"/>
          <w:szCs w:val="32"/>
        </w:rPr>
        <w:t>建2个巡察组，配合省委第六巡视组开展巡视带巡察工作</w:t>
      </w:r>
      <w:r>
        <w:rPr>
          <w:rFonts w:eastAsia="仿宋_GB2312"/>
          <w:bCs/>
          <w:sz w:val="32"/>
          <w:szCs w:val="32"/>
        </w:rPr>
        <w:t>，确保省委第六巡视组各项工作安排落地落实。</w:t>
      </w:r>
    </w:p>
    <w:p>
      <w:pPr>
        <w:snapToGrid w:val="0"/>
        <w:spacing w:line="576" w:lineRule="exact"/>
        <w:ind w:firstLine="640" w:firstLineChars="200"/>
        <w:rPr>
          <w:rFonts w:hint="eastAsia" w:ascii="黑体" w:hAnsi="黑体" w:eastAsia="黑体" w:cs="黑体"/>
          <w:bCs/>
          <w:sz w:val="32"/>
          <w:szCs w:val="32"/>
          <w:lang w:eastAsia="zh-CN"/>
        </w:rPr>
      </w:pPr>
      <w:r>
        <w:rPr>
          <w:rFonts w:hint="eastAsia" w:ascii="黑体" w:hAnsi="黑体" w:eastAsia="黑体" w:cs="黑体"/>
          <w:bCs/>
          <w:sz w:val="32"/>
          <w:szCs w:val="32"/>
          <w:lang w:eastAsia="zh-CN"/>
        </w:rPr>
        <w:t>二、机构设置</w:t>
      </w:r>
    </w:p>
    <w:p>
      <w:pPr>
        <w:ind w:firstLine="640" w:firstLineChars="200"/>
        <w:rPr>
          <w:rFonts w:ascii="仿宋_GB2312" w:eastAsia="仿宋_GB2312"/>
          <w:sz w:val="32"/>
          <w:szCs w:val="32"/>
        </w:rPr>
      </w:pPr>
      <w:r>
        <w:rPr>
          <w:rFonts w:hint="eastAsia" w:ascii="仿宋_GB2312" w:eastAsia="仿宋_GB2312"/>
          <w:sz w:val="32"/>
          <w:szCs w:val="32"/>
        </w:rPr>
        <w:t>州委巡察办属一级预算单位，无下属二级预算单位，其中：行政单位</w:t>
      </w:r>
      <w:r>
        <w:rPr>
          <w:rFonts w:ascii="Arial" w:hAnsi="Arial" w:eastAsia="仿宋_GB2312" w:cs="Arial"/>
          <w:sz w:val="32"/>
          <w:szCs w:val="32"/>
        </w:rPr>
        <w:t>1</w:t>
      </w:r>
      <w:r>
        <w:rPr>
          <w:rFonts w:hint="eastAsia" w:ascii="仿宋_GB2312" w:eastAsia="仿宋_GB2312"/>
          <w:sz w:val="32"/>
          <w:szCs w:val="32"/>
        </w:rPr>
        <w:t>个，无参照公务员法管理的事业单位，无其他事业单位。</w:t>
      </w:r>
    </w:p>
    <w:p>
      <w:pPr>
        <w:snapToGrid w:val="0"/>
        <w:spacing w:line="576" w:lineRule="exact"/>
        <w:ind w:firstLine="880" w:firstLineChars="200"/>
        <w:rPr>
          <w:rFonts w:hint="eastAsia" w:ascii="黑体" w:hAnsi="黑体" w:eastAsia="黑体" w:cs="黑体"/>
          <w:bCs/>
          <w:sz w:val="44"/>
          <w:szCs w:val="44"/>
          <w:lang w:val="en-US" w:eastAsia="zh-CN"/>
        </w:rPr>
      </w:pPr>
    </w:p>
    <w:p>
      <w:pPr>
        <w:snapToGrid w:val="0"/>
        <w:spacing w:line="576" w:lineRule="exact"/>
        <w:ind w:firstLine="880" w:firstLineChars="200"/>
        <w:rPr>
          <w:rFonts w:hint="eastAsia" w:ascii="黑体" w:hAnsi="黑体" w:eastAsia="黑体" w:cs="黑体"/>
          <w:bCs/>
          <w:sz w:val="44"/>
          <w:szCs w:val="44"/>
          <w:lang w:val="en-US" w:eastAsia="zh-CN"/>
        </w:rPr>
      </w:pPr>
    </w:p>
    <w:p>
      <w:pPr>
        <w:snapToGrid w:val="0"/>
        <w:spacing w:line="576" w:lineRule="exact"/>
        <w:ind w:firstLine="880" w:firstLineChars="200"/>
        <w:rPr>
          <w:rFonts w:hint="eastAsia" w:ascii="黑体" w:hAnsi="黑体" w:eastAsia="黑体" w:cs="黑体"/>
          <w:bCs/>
          <w:sz w:val="44"/>
          <w:szCs w:val="44"/>
          <w:lang w:val="en-US" w:eastAsia="zh-CN"/>
        </w:rPr>
      </w:pPr>
    </w:p>
    <w:p>
      <w:pPr>
        <w:snapToGrid w:val="0"/>
        <w:spacing w:line="576" w:lineRule="exact"/>
        <w:ind w:firstLine="880" w:firstLineChars="200"/>
        <w:rPr>
          <w:rFonts w:hint="eastAsia" w:ascii="黑体" w:hAnsi="黑体" w:eastAsia="黑体" w:cs="黑体"/>
          <w:bCs/>
          <w:sz w:val="44"/>
          <w:szCs w:val="44"/>
          <w:lang w:val="en-US" w:eastAsia="zh-CN"/>
        </w:rPr>
      </w:pPr>
    </w:p>
    <w:p>
      <w:pPr>
        <w:snapToGrid w:val="0"/>
        <w:spacing w:line="576" w:lineRule="exact"/>
        <w:ind w:firstLine="880" w:firstLineChars="200"/>
        <w:rPr>
          <w:rFonts w:hint="eastAsia" w:ascii="黑体" w:hAnsi="黑体" w:eastAsia="黑体" w:cs="黑体"/>
          <w:bCs/>
          <w:sz w:val="44"/>
          <w:szCs w:val="44"/>
          <w:lang w:val="en-US" w:eastAsia="zh-CN"/>
        </w:rPr>
      </w:pPr>
    </w:p>
    <w:p>
      <w:pPr>
        <w:snapToGrid w:val="0"/>
        <w:spacing w:line="576" w:lineRule="exact"/>
        <w:ind w:firstLine="880" w:firstLineChars="200"/>
        <w:rPr>
          <w:rFonts w:hint="eastAsia" w:ascii="黑体" w:hAnsi="黑体" w:eastAsia="黑体" w:cs="黑体"/>
          <w:bCs/>
          <w:sz w:val="44"/>
          <w:szCs w:val="44"/>
          <w:lang w:val="en-US" w:eastAsia="zh-CN"/>
        </w:rPr>
      </w:pPr>
    </w:p>
    <w:p>
      <w:pPr>
        <w:snapToGrid w:val="0"/>
        <w:spacing w:line="576" w:lineRule="exact"/>
        <w:ind w:firstLine="880" w:firstLineChars="200"/>
        <w:rPr>
          <w:rFonts w:hint="eastAsia" w:ascii="黑体" w:hAnsi="黑体" w:eastAsia="黑体" w:cs="黑体"/>
          <w:bCs/>
          <w:sz w:val="44"/>
          <w:szCs w:val="44"/>
          <w:lang w:val="en-US" w:eastAsia="zh-CN"/>
        </w:rPr>
      </w:pPr>
    </w:p>
    <w:p>
      <w:pPr>
        <w:snapToGrid w:val="0"/>
        <w:spacing w:line="576" w:lineRule="exact"/>
        <w:ind w:firstLine="880" w:firstLineChars="200"/>
        <w:rPr>
          <w:rFonts w:hint="eastAsia" w:ascii="黑体" w:hAnsi="黑体" w:eastAsia="黑体" w:cs="黑体"/>
          <w:bCs/>
          <w:sz w:val="44"/>
          <w:szCs w:val="44"/>
          <w:lang w:val="en-US" w:eastAsia="zh-CN"/>
        </w:rPr>
      </w:pPr>
    </w:p>
    <w:p>
      <w:pPr>
        <w:snapToGrid w:val="0"/>
        <w:spacing w:line="576" w:lineRule="exact"/>
        <w:ind w:firstLine="880" w:firstLineChars="200"/>
        <w:jc w:val="center"/>
        <w:rPr>
          <w:rFonts w:hint="eastAsia" w:ascii="黑体" w:hAnsi="黑体" w:eastAsia="黑体" w:cs="黑体"/>
          <w:bCs/>
          <w:sz w:val="44"/>
          <w:szCs w:val="44"/>
          <w:lang w:val="en-US" w:eastAsia="zh-CN"/>
        </w:rPr>
      </w:pPr>
      <w:r>
        <w:rPr>
          <w:rFonts w:hint="eastAsia" w:ascii="黑体" w:hAnsi="黑体" w:eastAsia="黑体" w:cs="黑体"/>
          <w:bCs/>
          <w:sz w:val="44"/>
          <w:szCs w:val="44"/>
          <w:lang w:val="en-US" w:eastAsia="zh-CN"/>
        </w:rPr>
        <w:t>第二部分  2019年度部门决算情况说明</w:t>
      </w:r>
    </w:p>
    <w:p>
      <w:pPr>
        <w:snapToGrid w:val="0"/>
        <w:spacing w:line="576" w:lineRule="exact"/>
        <w:ind w:firstLine="880" w:firstLineChars="200"/>
        <w:jc w:val="center"/>
        <w:rPr>
          <w:rFonts w:hint="eastAsia" w:ascii="黑体" w:hAnsi="黑体" w:eastAsia="黑体" w:cs="黑体"/>
          <w:bCs/>
          <w:sz w:val="44"/>
          <w:szCs w:val="44"/>
          <w:lang w:val="en-US" w:eastAsia="zh-CN"/>
        </w:rPr>
      </w:pPr>
    </w:p>
    <w:p>
      <w:pPr>
        <w:pStyle w:val="12"/>
        <w:tabs>
          <w:tab w:val="right" w:leader="dot" w:pos="8845"/>
        </w:tabs>
        <w:ind w:firstLine="643" w:firstLineChars="200"/>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一、收入支出决算总体情况说明</w:t>
      </w:r>
    </w:p>
    <w:p>
      <w:pPr>
        <w:snapToGrid w:val="0"/>
        <w:spacing w:line="576" w:lineRule="exact"/>
        <w:ind w:firstLine="420" w:firstLineChars="200"/>
        <w:rPr>
          <w:rFonts w:hint="eastAsia" w:ascii="仿宋_GB2312" w:hAnsi="仿宋" w:eastAsia="仿宋_GB2312"/>
          <w:sz w:val="32"/>
          <w:szCs w:val="32"/>
        </w:rPr>
      </w:pPr>
      <w:r>
        <w:rPr>
          <w:rFonts w:hint="eastAsia" w:ascii="仿宋_GB2312" w:hAnsi="仿宋_GB2312" w:eastAsia="仿宋_GB2312" w:cs="仿宋_GB2312"/>
          <w:shd w:val="clear" w:color="auto" w:fill="FFFFFF"/>
          <w:lang w:eastAsia="zh-CN"/>
        </w:rPr>
        <w:drawing>
          <wp:anchor distT="0" distB="0" distL="114300" distR="114300" simplePos="0" relativeHeight="251658240" behindDoc="0" locked="0" layoutInCell="1" allowOverlap="1">
            <wp:simplePos x="0" y="0"/>
            <wp:positionH relativeFrom="column">
              <wp:posOffset>483870</wp:posOffset>
            </wp:positionH>
            <wp:positionV relativeFrom="paragraph">
              <wp:posOffset>2445385</wp:posOffset>
            </wp:positionV>
            <wp:extent cx="4171950" cy="2647950"/>
            <wp:effectExtent l="4445" t="4445" r="14605" b="14605"/>
            <wp:wrapTopAndBottom/>
            <wp:docPr id="9" name="图表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_GB2312" w:hAnsi="仿宋_GB2312" w:eastAsia="仿宋_GB2312" w:cs="仿宋_GB2312"/>
          <w:sz w:val="32"/>
          <w:szCs w:val="32"/>
          <w:lang w:val="en-US" w:eastAsia="zh-CN"/>
        </w:rPr>
        <w:t>2019年度收、支总计224万元。与2018年相比，收入、支出总计减少48万元.主要原因是：</w:t>
      </w:r>
      <w:r>
        <w:rPr>
          <w:rFonts w:hint="eastAsia" w:ascii="仿宋_GB2312" w:hAnsi="仿宋" w:eastAsia="仿宋_GB2312"/>
          <w:b/>
          <w:sz w:val="32"/>
          <w:szCs w:val="32"/>
        </w:rPr>
        <w:t>一是</w:t>
      </w:r>
      <w:r>
        <w:rPr>
          <w:rFonts w:hint="eastAsia" w:ascii="仿宋_GB2312" w:hAnsi="仿宋" w:eastAsia="仿宋_GB2312"/>
          <w:sz w:val="32"/>
          <w:szCs w:val="32"/>
        </w:rPr>
        <w:t>2018年财政预算中包含购置3辆公务用车预算；</w:t>
      </w:r>
      <w:r>
        <w:rPr>
          <w:rFonts w:hint="eastAsia" w:ascii="仿宋_GB2312" w:hAnsi="仿宋" w:eastAsia="仿宋_GB2312"/>
          <w:b/>
          <w:sz w:val="32"/>
          <w:szCs w:val="32"/>
        </w:rPr>
        <w:t>二是</w:t>
      </w:r>
      <w:r>
        <w:rPr>
          <w:rFonts w:hint="eastAsia" w:ascii="仿宋_GB2312" w:hAnsi="仿宋" w:eastAsia="仿宋_GB2312"/>
          <w:sz w:val="32"/>
          <w:szCs w:val="32"/>
        </w:rPr>
        <w:t>2019年巡察工作任务主要在州级相关部门，差旅费、公务用车运行维护费等日常公用经费开支相对减少；</w:t>
      </w:r>
      <w:r>
        <w:rPr>
          <w:rFonts w:hint="eastAsia" w:ascii="仿宋_GB2312" w:hAnsi="仿宋" w:eastAsia="仿宋_GB2312"/>
          <w:b/>
          <w:sz w:val="32"/>
          <w:szCs w:val="32"/>
        </w:rPr>
        <w:t>三是</w:t>
      </w:r>
      <w:r>
        <w:rPr>
          <w:rFonts w:hint="eastAsia" w:ascii="仿宋_GB2312" w:hAnsi="仿宋" w:eastAsia="仿宋_GB2312"/>
          <w:sz w:val="32"/>
          <w:szCs w:val="32"/>
        </w:rPr>
        <w:t>巡察办制定完善相关制度，加强管理，厉行节约，巡察工作经费大幅度减少。</w:t>
      </w:r>
    </w:p>
    <w:p>
      <w:pPr>
        <w:snapToGrid w:val="0"/>
        <w:spacing w:line="576" w:lineRule="exact"/>
        <w:ind w:firstLine="2730" w:firstLineChars="1300"/>
        <w:jc w:val="left"/>
        <w:rPr>
          <w:rFonts w:hint="eastAsia" w:ascii="仿宋_GB2312" w:hAnsi="仿宋" w:eastAsia="仿宋_GB2312"/>
          <w:sz w:val="32"/>
          <w:szCs w:val="32"/>
          <w:lang w:val="en-US" w:eastAsia="zh-CN"/>
        </w:rPr>
      </w:pPr>
      <w:r>
        <w:rPr>
          <w:rFonts w:hint="eastAsia" w:ascii="仿宋_GB2312" w:hAnsi="仿宋_GB2312" w:eastAsia="仿宋_GB2312" w:cs="仿宋_GB2312"/>
          <w:shd w:val="clear" w:color="auto" w:fill="FFFFFF"/>
          <w:lang w:eastAsia="zh-CN"/>
        </w:rPr>
        <w:t>（图</w:t>
      </w:r>
      <w:r>
        <w:rPr>
          <w:rFonts w:hint="eastAsia" w:ascii="仿宋_GB2312" w:hAnsi="仿宋_GB2312" w:eastAsia="仿宋_GB2312" w:cs="仿宋_GB2312"/>
          <w:shd w:val="clear" w:color="auto" w:fill="FFFFFF"/>
          <w:lang w:val="en-US"/>
        </w:rPr>
        <w:t>1</w:t>
      </w:r>
      <w:r>
        <w:rPr>
          <w:rFonts w:hint="eastAsia" w:ascii="仿宋_GB2312" w:hAnsi="仿宋_GB2312" w:eastAsia="仿宋_GB2312" w:cs="仿宋_GB2312"/>
          <w:shd w:val="clear" w:color="auto" w:fill="FFFFFF"/>
          <w:lang w:eastAsia="zh-CN"/>
        </w:rPr>
        <w:t>：收、支决算总计变动情况图）</w:t>
      </w:r>
    </w:p>
    <w:p>
      <w:pPr>
        <w:pStyle w:val="12"/>
        <w:tabs>
          <w:tab w:val="right" w:leader="dot" w:pos="8845"/>
        </w:tabs>
        <w:ind w:firstLine="643" w:firstLineChars="200"/>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二、收入决算情况说明</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rPr>
          <w:sz w:val="32"/>
          <w:szCs w:val="32"/>
        </w:rPr>
      </w:pPr>
      <w:r>
        <w:rPr>
          <w:rFonts w:hint="eastAsia" w:ascii="仿宋_GB2312" w:hAnsi="仿宋_GB2312" w:eastAsia="仿宋_GB2312" w:cs="仿宋_GB2312"/>
          <w:b w:val="0"/>
          <w:bCs w:val="0"/>
          <w:sz w:val="32"/>
          <w:szCs w:val="32"/>
          <w:lang w:val="en-US" w:eastAsia="zh-CN"/>
        </w:rPr>
        <w:t>2019年本年收入合计224万元，其中：一般公共预算财政拨款收入224万元，占100%；</w:t>
      </w:r>
      <w:r>
        <w:rPr>
          <w:rFonts w:hint="eastAsia" w:ascii="仿宋_GB2312" w:hAnsi="仿宋_GB2312" w:eastAsia="仿宋_GB2312" w:cs="仿宋_GB2312"/>
          <w:sz w:val="32"/>
          <w:szCs w:val="32"/>
          <w:shd w:val="clear" w:color="auto" w:fill="FFFFFF"/>
          <w:lang w:val="en-US" w:eastAsia="zh-CN"/>
        </w:rPr>
        <w:t>政府性基金预算财政拨款收入</w:t>
      </w:r>
      <w:r>
        <w:rPr>
          <w:rFonts w:hint="eastAsia" w:ascii="仿宋_GB2312" w:hAnsi="仿宋_GB2312" w:eastAsia="仿宋_GB2312" w:cs="仿宋_GB2312"/>
          <w:sz w:val="32"/>
          <w:szCs w:val="32"/>
          <w:shd w:val="clear" w:color="auto" w:fill="FFFFFF"/>
          <w:lang w:val="en-US"/>
        </w:rPr>
        <w:t>0.00</w:t>
      </w:r>
      <w:r>
        <w:rPr>
          <w:rFonts w:hint="eastAsia" w:ascii="仿宋_GB2312" w:hAnsi="仿宋_GB2312" w:eastAsia="仿宋_GB2312" w:cs="仿宋_GB2312"/>
          <w:sz w:val="32"/>
          <w:szCs w:val="32"/>
          <w:shd w:val="clear" w:color="auto" w:fill="FFFFFF"/>
          <w:lang w:val="en-US" w:eastAsia="zh-CN"/>
        </w:rPr>
        <w:t>万元，占</w:t>
      </w:r>
      <w:r>
        <w:rPr>
          <w:rFonts w:hint="eastAsia" w:ascii="仿宋_GB2312" w:hAnsi="仿宋_GB2312" w:eastAsia="仿宋_GB2312" w:cs="仿宋_GB2312"/>
          <w:sz w:val="32"/>
          <w:szCs w:val="32"/>
          <w:shd w:val="clear" w:color="auto" w:fill="FFFFFF"/>
          <w:lang w:val="en-US"/>
        </w:rPr>
        <w:t>0.00%</w:t>
      </w:r>
      <w:r>
        <w:rPr>
          <w:rFonts w:hint="eastAsia" w:ascii="仿宋_GB2312" w:hAnsi="仿宋_GB2312" w:eastAsia="仿宋_GB2312" w:cs="仿宋_GB2312"/>
          <w:sz w:val="32"/>
          <w:szCs w:val="32"/>
          <w:shd w:val="clear" w:color="auto" w:fill="FFFFFF"/>
          <w:lang w:val="en-US" w:eastAsia="zh-CN"/>
        </w:rPr>
        <w:t>；上级补助收入</w:t>
      </w:r>
      <w:r>
        <w:rPr>
          <w:rFonts w:hint="eastAsia" w:ascii="仿宋_GB2312" w:hAnsi="仿宋_GB2312" w:eastAsia="仿宋_GB2312" w:cs="仿宋_GB2312"/>
          <w:sz w:val="32"/>
          <w:szCs w:val="32"/>
          <w:shd w:val="clear" w:color="auto" w:fill="FFFFFF"/>
          <w:lang w:val="en-US"/>
        </w:rPr>
        <w:t>0.00</w:t>
      </w:r>
      <w:r>
        <w:rPr>
          <w:rFonts w:hint="eastAsia" w:ascii="仿宋_GB2312" w:hAnsi="仿宋_GB2312" w:eastAsia="仿宋_GB2312" w:cs="仿宋_GB2312"/>
          <w:sz w:val="32"/>
          <w:szCs w:val="32"/>
          <w:shd w:val="clear" w:color="auto" w:fill="FFFFFF"/>
          <w:lang w:val="en-US" w:eastAsia="zh-CN"/>
        </w:rPr>
        <w:t>万元，占</w:t>
      </w:r>
      <w:r>
        <w:rPr>
          <w:rFonts w:hint="eastAsia" w:ascii="仿宋_GB2312" w:hAnsi="仿宋_GB2312" w:eastAsia="仿宋_GB2312" w:cs="仿宋_GB2312"/>
          <w:sz w:val="32"/>
          <w:szCs w:val="32"/>
          <w:shd w:val="clear" w:color="auto" w:fill="FFFFFF"/>
          <w:lang w:val="en-US"/>
        </w:rPr>
        <w:t>0.00%</w:t>
      </w:r>
      <w:r>
        <w:rPr>
          <w:rFonts w:hint="eastAsia" w:ascii="仿宋_GB2312" w:hAnsi="仿宋_GB2312" w:eastAsia="仿宋_GB2312" w:cs="仿宋_GB2312"/>
          <w:sz w:val="32"/>
          <w:szCs w:val="32"/>
          <w:shd w:val="clear" w:color="auto" w:fill="FFFFFF"/>
          <w:lang w:val="en-US" w:eastAsia="zh-CN"/>
        </w:rPr>
        <w:t>；事业收入</w:t>
      </w:r>
      <w:r>
        <w:rPr>
          <w:rFonts w:hint="eastAsia" w:ascii="仿宋_GB2312" w:hAnsi="仿宋_GB2312" w:eastAsia="仿宋_GB2312" w:cs="仿宋_GB2312"/>
          <w:sz w:val="32"/>
          <w:szCs w:val="32"/>
          <w:shd w:val="clear" w:color="auto" w:fill="FFFFFF"/>
          <w:lang w:val="en-US"/>
        </w:rPr>
        <w:t>0.00</w:t>
      </w:r>
      <w:r>
        <w:rPr>
          <w:rFonts w:hint="eastAsia" w:ascii="仿宋_GB2312" w:hAnsi="仿宋_GB2312" w:eastAsia="仿宋_GB2312" w:cs="仿宋_GB2312"/>
          <w:sz w:val="32"/>
          <w:szCs w:val="32"/>
          <w:shd w:val="clear" w:color="auto" w:fill="FFFFFF"/>
          <w:lang w:val="en-US" w:eastAsia="zh-CN"/>
        </w:rPr>
        <w:t>万元，占</w:t>
      </w:r>
      <w:r>
        <w:rPr>
          <w:rFonts w:hint="eastAsia" w:ascii="仿宋_GB2312" w:hAnsi="仿宋_GB2312" w:eastAsia="仿宋_GB2312" w:cs="仿宋_GB2312"/>
          <w:sz w:val="32"/>
          <w:szCs w:val="32"/>
          <w:shd w:val="clear" w:color="auto" w:fill="FFFFFF"/>
          <w:lang w:val="en-US"/>
        </w:rPr>
        <w:t>0.00%</w:t>
      </w:r>
      <w:r>
        <w:rPr>
          <w:rFonts w:hint="eastAsia" w:ascii="仿宋_GB2312" w:hAnsi="仿宋_GB2312" w:eastAsia="仿宋_GB2312" w:cs="仿宋_GB2312"/>
          <w:sz w:val="32"/>
          <w:szCs w:val="32"/>
          <w:shd w:val="clear" w:color="auto" w:fill="FFFFFF"/>
          <w:lang w:val="en-US" w:eastAsia="zh-CN"/>
        </w:rPr>
        <w:t>；经营收入</w:t>
      </w:r>
      <w:r>
        <w:rPr>
          <w:rFonts w:hint="eastAsia" w:ascii="仿宋_GB2312" w:hAnsi="仿宋_GB2312" w:eastAsia="仿宋_GB2312" w:cs="仿宋_GB2312"/>
          <w:sz w:val="32"/>
          <w:szCs w:val="32"/>
          <w:shd w:val="clear" w:color="auto" w:fill="FFFFFF"/>
          <w:lang w:val="en-US"/>
        </w:rPr>
        <w:t>0.00</w:t>
      </w:r>
      <w:r>
        <w:rPr>
          <w:rFonts w:hint="eastAsia" w:ascii="仿宋_GB2312" w:hAnsi="仿宋_GB2312" w:eastAsia="仿宋_GB2312" w:cs="仿宋_GB2312"/>
          <w:sz w:val="32"/>
          <w:szCs w:val="32"/>
          <w:shd w:val="clear" w:color="auto" w:fill="FFFFFF"/>
          <w:lang w:val="en-US" w:eastAsia="zh-CN"/>
        </w:rPr>
        <w:t>万元，占</w:t>
      </w:r>
      <w:r>
        <w:rPr>
          <w:rFonts w:hint="eastAsia" w:ascii="仿宋_GB2312" w:hAnsi="仿宋_GB2312" w:eastAsia="仿宋_GB2312" w:cs="仿宋_GB2312"/>
          <w:sz w:val="32"/>
          <w:szCs w:val="32"/>
          <w:shd w:val="clear" w:color="auto" w:fill="FFFFFF"/>
          <w:lang w:val="en-US"/>
        </w:rPr>
        <w:t>0.00%</w:t>
      </w:r>
      <w:r>
        <w:rPr>
          <w:rFonts w:hint="eastAsia" w:ascii="仿宋_GB2312" w:hAnsi="仿宋_GB2312" w:eastAsia="仿宋_GB2312" w:cs="仿宋_GB2312"/>
          <w:sz w:val="32"/>
          <w:szCs w:val="32"/>
          <w:shd w:val="clear" w:color="auto" w:fill="FFFFFF"/>
          <w:lang w:val="en-US" w:eastAsia="zh-CN"/>
        </w:rPr>
        <w:t>；附属单位上缴收入</w:t>
      </w:r>
      <w:r>
        <w:rPr>
          <w:rFonts w:hint="eastAsia" w:ascii="仿宋_GB2312" w:hAnsi="仿宋_GB2312" w:eastAsia="仿宋_GB2312" w:cs="仿宋_GB2312"/>
          <w:sz w:val="32"/>
          <w:szCs w:val="32"/>
          <w:shd w:val="clear" w:color="auto" w:fill="FFFFFF"/>
          <w:lang w:val="en-US"/>
        </w:rPr>
        <w:t>0.00</w:t>
      </w:r>
      <w:r>
        <w:rPr>
          <w:rFonts w:hint="eastAsia" w:ascii="仿宋_GB2312" w:hAnsi="仿宋_GB2312" w:eastAsia="仿宋_GB2312" w:cs="仿宋_GB2312"/>
          <w:sz w:val="32"/>
          <w:szCs w:val="32"/>
          <w:shd w:val="clear" w:color="auto" w:fill="FFFFFF"/>
          <w:lang w:val="en-US" w:eastAsia="zh-CN"/>
        </w:rPr>
        <w:t>万元，占</w:t>
      </w:r>
      <w:r>
        <w:rPr>
          <w:rFonts w:hint="eastAsia" w:ascii="仿宋_GB2312" w:hAnsi="仿宋_GB2312" w:eastAsia="仿宋_GB2312" w:cs="仿宋_GB2312"/>
          <w:sz w:val="32"/>
          <w:szCs w:val="32"/>
          <w:shd w:val="clear" w:color="auto" w:fill="FFFFFF"/>
          <w:lang w:val="en-US"/>
        </w:rPr>
        <w:t>0.00%</w:t>
      </w:r>
      <w:r>
        <w:rPr>
          <w:rFonts w:hint="eastAsia" w:ascii="仿宋_GB2312" w:hAnsi="仿宋_GB2312" w:eastAsia="仿宋_GB2312" w:cs="仿宋_GB2312"/>
          <w:sz w:val="32"/>
          <w:szCs w:val="32"/>
          <w:shd w:val="clear" w:color="auto" w:fill="FFFFFF"/>
          <w:lang w:val="en-US" w:eastAsia="zh-CN"/>
        </w:rPr>
        <w:t>；其他收入</w:t>
      </w:r>
      <w:r>
        <w:rPr>
          <w:rFonts w:hint="eastAsia" w:ascii="仿宋_GB2312" w:hAnsi="仿宋_GB2312" w:eastAsia="仿宋_GB2312" w:cs="仿宋_GB2312"/>
          <w:sz w:val="32"/>
          <w:szCs w:val="32"/>
          <w:shd w:val="clear" w:color="auto" w:fill="FFFFFF"/>
          <w:lang w:val="en-US"/>
        </w:rPr>
        <w:t>0.00</w:t>
      </w:r>
      <w:r>
        <w:rPr>
          <w:rFonts w:hint="eastAsia" w:ascii="仿宋_GB2312" w:hAnsi="仿宋_GB2312" w:eastAsia="仿宋_GB2312" w:cs="仿宋_GB2312"/>
          <w:sz w:val="32"/>
          <w:szCs w:val="32"/>
          <w:shd w:val="clear" w:color="auto" w:fill="FFFFFF"/>
          <w:lang w:val="en-US" w:eastAsia="zh-CN"/>
        </w:rPr>
        <w:t>万元，占</w:t>
      </w:r>
      <w:r>
        <w:rPr>
          <w:rFonts w:hint="eastAsia" w:ascii="仿宋_GB2312" w:hAnsi="仿宋_GB2312" w:eastAsia="仿宋_GB2312" w:cs="仿宋_GB2312"/>
          <w:sz w:val="32"/>
          <w:szCs w:val="32"/>
          <w:shd w:val="clear" w:color="auto" w:fill="FFFFFF"/>
          <w:lang w:val="en-US"/>
        </w:rPr>
        <w:t>0.00%</w:t>
      </w:r>
      <w:r>
        <w:rPr>
          <w:rFonts w:hint="eastAsia" w:ascii="仿宋_GB2312" w:hAnsi="仿宋_GB2312" w:eastAsia="仿宋_GB2312" w:cs="仿宋_GB2312"/>
          <w:sz w:val="32"/>
          <w:szCs w:val="32"/>
          <w:shd w:val="clear" w:color="auto" w:fill="FFFFFF"/>
          <w:lang w:val="en-US" w:eastAsia="zh-CN"/>
        </w:rPr>
        <w:t>。</w:t>
      </w:r>
    </w:p>
    <w:p>
      <w:pPr>
        <w:pStyle w:val="12"/>
        <w:tabs>
          <w:tab w:val="right" w:leader="dot" w:pos="8845"/>
        </w:tabs>
        <w:ind w:left="0" w:leftChars="0" w:firstLine="0" w:firstLineChars="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hd w:val="clear" w:color="auto" w:fill="FFFFFF"/>
          <w:lang w:val="en-US" w:eastAsia="zh-CN"/>
        </w:rPr>
        <w:drawing>
          <wp:anchor distT="0" distB="0" distL="114300" distR="114300" simplePos="0" relativeHeight="251660288" behindDoc="0" locked="0" layoutInCell="1" allowOverlap="1">
            <wp:simplePos x="0" y="0"/>
            <wp:positionH relativeFrom="column">
              <wp:posOffset>928370</wp:posOffset>
            </wp:positionH>
            <wp:positionV relativeFrom="paragraph">
              <wp:posOffset>115570</wp:posOffset>
            </wp:positionV>
            <wp:extent cx="3962400" cy="2438400"/>
            <wp:effectExtent l="4445" t="4445" r="14605" b="14605"/>
            <wp:wrapTopAndBottom/>
            <wp:docPr id="11" name="图表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hd w:val="clear" w:color="auto" w:fill="FFFFFF"/>
          <w:lang w:eastAsia="zh-CN"/>
        </w:rPr>
        <w:t>（图</w:t>
      </w:r>
      <w:r>
        <w:rPr>
          <w:rFonts w:hint="eastAsia" w:ascii="仿宋_GB2312" w:hAnsi="仿宋_GB2312" w:eastAsia="仿宋_GB2312" w:cs="仿宋_GB2312"/>
          <w:shd w:val="clear" w:color="auto" w:fill="FFFFFF"/>
          <w:lang w:val="en-US" w:eastAsia="zh-CN"/>
        </w:rPr>
        <w:t>2</w:t>
      </w:r>
      <w:r>
        <w:rPr>
          <w:rFonts w:hint="eastAsia" w:ascii="仿宋_GB2312" w:hAnsi="仿宋_GB2312" w:eastAsia="仿宋_GB2312" w:cs="仿宋_GB2312"/>
          <w:shd w:val="clear" w:color="auto" w:fill="FFFFFF"/>
          <w:lang w:eastAsia="zh-CN"/>
        </w:rPr>
        <w:t>：收入决算结构图）</w:t>
      </w:r>
    </w:p>
    <w:p>
      <w:pPr>
        <w:pStyle w:val="12"/>
        <w:tabs>
          <w:tab w:val="right" w:leader="dot" w:pos="8845"/>
        </w:tabs>
        <w:ind w:firstLine="643" w:firstLineChars="200"/>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三、支出决算情况说明</w:t>
      </w:r>
    </w:p>
    <w:p>
      <w:pPr>
        <w:pStyle w:val="12"/>
        <w:tabs>
          <w:tab w:val="right" w:leader="dot" w:pos="8845"/>
        </w:tabs>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2019年本年支出合计224万元，其中：基本支出148万元，占66%；项目支出75万元，占33%；无上缴上级支出、经营支出、对附属单位补助支出。</w:t>
      </w:r>
    </w:p>
    <w:p>
      <w:pPr>
        <w:pStyle w:val="12"/>
        <w:tabs>
          <w:tab w:val="right" w:leader="dot" w:pos="8845"/>
        </w:tabs>
        <w:ind w:firstLine="40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hd w:val="clear" w:color="auto" w:fill="FFFFFF"/>
          <w:lang w:val="en-US" w:eastAsia="zh-CN"/>
        </w:rPr>
        <w:drawing>
          <wp:anchor distT="0" distB="0" distL="114300" distR="114300" simplePos="0" relativeHeight="251663360" behindDoc="0" locked="0" layoutInCell="1" allowOverlap="1">
            <wp:simplePos x="0" y="0"/>
            <wp:positionH relativeFrom="column">
              <wp:posOffset>1144270</wp:posOffset>
            </wp:positionH>
            <wp:positionV relativeFrom="paragraph">
              <wp:posOffset>264160</wp:posOffset>
            </wp:positionV>
            <wp:extent cx="3279140" cy="1999615"/>
            <wp:effectExtent l="4445" t="4445" r="12065" b="15240"/>
            <wp:wrapSquare wrapText="bothSides"/>
            <wp:docPr id="12" name="图表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12"/>
        <w:tabs>
          <w:tab w:val="right" w:leader="dot" w:pos="8845"/>
        </w:tabs>
        <w:ind w:firstLine="640" w:firstLineChars="200"/>
        <w:rPr>
          <w:rFonts w:hint="eastAsia" w:ascii="仿宋_GB2312" w:hAnsi="仿宋_GB2312" w:eastAsia="仿宋_GB2312" w:cs="仿宋_GB2312"/>
          <w:b w:val="0"/>
          <w:bCs w:val="0"/>
          <w:sz w:val="32"/>
          <w:szCs w:val="32"/>
          <w:lang w:val="en-US" w:eastAsia="zh-CN"/>
        </w:rPr>
      </w:pPr>
    </w:p>
    <w:p>
      <w:pPr>
        <w:pStyle w:val="12"/>
        <w:tabs>
          <w:tab w:val="right" w:leader="dot" w:pos="8845"/>
        </w:tabs>
        <w:ind w:firstLine="640" w:firstLineChars="200"/>
        <w:rPr>
          <w:rFonts w:hint="eastAsia" w:ascii="仿宋_GB2312" w:hAnsi="仿宋_GB2312" w:eastAsia="仿宋_GB2312" w:cs="仿宋_GB2312"/>
          <w:b w:val="0"/>
          <w:bCs w:val="0"/>
          <w:sz w:val="32"/>
          <w:szCs w:val="32"/>
          <w:lang w:val="en-US" w:eastAsia="zh-CN"/>
        </w:rPr>
      </w:pPr>
    </w:p>
    <w:p>
      <w:pPr>
        <w:pStyle w:val="12"/>
        <w:tabs>
          <w:tab w:val="right" w:leader="dot" w:pos="8845"/>
        </w:tabs>
        <w:ind w:firstLine="640" w:firstLineChars="200"/>
        <w:rPr>
          <w:rFonts w:hint="eastAsia" w:ascii="仿宋_GB2312" w:hAnsi="仿宋_GB2312" w:eastAsia="仿宋_GB2312" w:cs="仿宋_GB2312"/>
          <w:b w:val="0"/>
          <w:bCs w:val="0"/>
          <w:sz w:val="32"/>
          <w:szCs w:val="32"/>
          <w:lang w:val="en-US" w:eastAsia="zh-CN"/>
        </w:rPr>
      </w:pPr>
    </w:p>
    <w:p>
      <w:pPr>
        <w:pStyle w:val="12"/>
        <w:tabs>
          <w:tab w:val="right" w:leader="dot" w:pos="8845"/>
        </w:tabs>
        <w:ind w:left="0" w:leftChars="0" w:firstLine="0" w:firstLineChars="0"/>
        <w:rPr>
          <w:rFonts w:hint="eastAsia" w:ascii="仿宋_GB2312" w:hAnsi="仿宋_GB2312" w:eastAsia="仿宋_GB2312" w:cs="仿宋_GB2312"/>
          <w:shd w:val="clear" w:color="auto" w:fill="FFFFFF"/>
          <w:lang w:val="en-US" w:eastAsia="zh-CN"/>
        </w:rPr>
      </w:pPr>
    </w:p>
    <w:p>
      <w:pPr>
        <w:pStyle w:val="12"/>
        <w:tabs>
          <w:tab w:val="right" w:leader="dot" w:pos="8845"/>
        </w:tabs>
        <w:ind w:firstLine="400" w:firstLineChars="200"/>
        <w:jc w:val="center"/>
        <w:rPr>
          <w:rFonts w:hint="eastAsia" w:ascii="仿宋_GB2312" w:hAnsi="仿宋_GB2312" w:eastAsia="仿宋_GB2312" w:cs="仿宋_GB2312"/>
          <w:shd w:val="clear" w:color="auto" w:fill="FFFFFF"/>
          <w:lang w:val="en-US" w:eastAsia="zh-CN"/>
        </w:rPr>
      </w:pPr>
    </w:p>
    <w:p>
      <w:pPr>
        <w:pStyle w:val="12"/>
        <w:tabs>
          <w:tab w:val="right" w:leader="dot" w:pos="8845"/>
        </w:tabs>
        <w:ind w:firstLine="400" w:firstLineChars="200"/>
        <w:jc w:val="center"/>
        <w:rPr>
          <w:rFonts w:hint="eastAsia" w:ascii="仿宋_GB2312" w:hAnsi="仿宋_GB2312" w:eastAsia="仿宋_GB2312" w:cs="仿宋_GB2312"/>
          <w:shd w:val="clear" w:color="auto" w:fill="FFFFFF"/>
          <w:lang w:val="en-US" w:eastAsia="zh-CN"/>
        </w:rPr>
      </w:pPr>
    </w:p>
    <w:p>
      <w:pPr>
        <w:pStyle w:val="12"/>
        <w:tabs>
          <w:tab w:val="right" w:leader="dot" w:pos="8845"/>
        </w:tabs>
        <w:ind w:firstLine="400" w:firstLineChars="200"/>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hd w:val="clear" w:color="auto" w:fill="FFFFFF"/>
          <w:lang w:val="en-US" w:eastAsia="zh-CN"/>
        </w:rPr>
        <w:t>（图3：支出决算结构图）</w:t>
      </w:r>
    </w:p>
    <w:p>
      <w:pPr>
        <w:pStyle w:val="12"/>
        <w:tabs>
          <w:tab w:val="right" w:leader="dot" w:pos="8845"/>
        </w:tabs>
        <w:ind w:firstLine="321" w:firstLineChars="100"/>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四、财政拨款收入支出决算总体情况说明</w:t>
      </w:r>
    </w:p>
    <w:p>
      <w:pPr>
        <w:snapToGrid w:val="0"/>
        <w:spacing w:line="576" w:lineRule="exact"/>
        <w:ind w:firstLine="640" w:firstLineChars="200"/>
        <w:rPr>
          <w:rFonts w:hint="eastAsia" w:ascii="仿宋_GB2312" w:hAnsi="仿宋" w:eastAsia="仿宋_GB2312"/>
          <w:sz w:val="32"/>
          <w:szCs w:val="32"/>
        </w:rPr>
      </w:pPr>
      <w:r>
        <w:rPr>
          <w:rFonts w:hint="eastAsia" w:ascii="仿宋_GB2312" w:hAnsi="仿宋_GB2312" w:eastAsia="仿宋_GB2312" w:cs="仿宋_GB2312"/>
          <w:b w:val="0"/>
          <w:bCs w:val="0"/>
          <w:sz w:val="32"/>
          <w:szCs w:val="32"/>
          <w:lang w:val="en-US" w:eastAsia="zh-CN"/>
        </w:rPr>
        <w:t>2019年财政拨款收、支总计224万元。与2018年相比，财政拨款收、支总计减少48万元，主要原因是：</w:t>
      </w:r>
      <w:r>
        <w:rPr>
          <w:rFonts w:hint="eastAsia" w:ascii="仿宋_GB2312" w:hAnsi="仿宋" w:eastAsia="仿宋_GB2312"/>
          <w:b/>
          <w:sz w:val="32"/>
          <w:szCs w:val="32"/>
        </w:rPr>
        <w:t>一是</w:t>
      </w:r>
      <w:r>
        <w:rPr>
          <w:rFonts w:hint="eastAsia" w:ascii="仿宋_GB2312" w:hAnsi="仿宋" w:eastAsia="仿宋_GB2312"/>
          <w:sz w:val="32"/>
          <w:szCs w:val="32"/>
        </w:rPr>
        <w:t>2018年财政预算中包含购置3辆公务用车预算；</w:t>
      </w:r>
      <w:r>
        <w:rPr>
          <w:rFonts w:hint="eastAsia" w:ascii="仿宋_GB2312" w:hAnsi="仿宋" w:eastAsia="仿宋_GB2312"/>
          <w:b/>
          <w:sz w:val="32"/>
          <w:szCs w:val="32"/>
        </w:rPr>
        <w:t>二是</w:t>
      </w:r>
      <w:r>
        <w:rPr>
          <w:rFonts w:hint="eastAsia" w:ascii="仿宋_GB2312" w:hAnsi="仿宋" w:eastAsia="仿宋_GB2312"/>
          <w:sz w:val="32"/>
          <w:szCs w:val="32"/>
        </w:rPr>
        <w:t>2019年巡察工作任务主要在州级相关部门，差旅费、公务用车运行维护费等日常公用经费开支相对减少；</w:t>
      </w:r>
      <w:r>
        <w:rPr>
          <w:rFonts w:hint="eastAsia" w:ascii="仿宋_GB2312" w:hAnsi="仿宋" w:eastAsia="仿宋_GB2312"/>
          <w:b/>
          <w:sz w:val="32"/>
          <w:szCs w:val="32"/>
        </w:rPr>
        <w:t>三是</w:t>
      </w:r>
      <w:r>
        <w:rPr>
          <w:rFonts w:hint="eastAsia" w:ascii="仿宋_GB2312" w:hAnsi="仿宋" w:eastAsia="仿宋_GB2312"/>
          <w:sz w:val="32"/>
          <w:szCs w:val="32"/>
        </w:rPr>
        <w:t>巡察办制定完善相关制度，加强管理，厉行节约，巡察工作经费大幅度减少。</w:t>
      </w:r>
    </w:p>
    <w:p>
      <w:pPr>
        <w:jc w:val="center"/>
        <w:rPr>
          <w:rFonts w:hint="default" w:ascii="仿宋_GB2312" w:hAnsi="仿宋" w:eastAsia="仿宋_GB2312"/>
          <w:sz w:val="32"/>
          <w:szCs w:val="32"/>
          <w:lang w:val="en-US" w:eastAsia="zh-CN"/>
        </w:rPr>
      </w:pPr>
      <w:r>
        <w:rPr>
          <w:rFonts w:hint="eastAsia" w:ascii="仿宋_GB2312" w:hAnsi="仿宋_GB2312" w:eastAsia="仿宋_GB2312" w:cs="仿宋_GB2312"/>
          <w:shd w:val="clear" w:color="auto" w:fill="FFFFFF"/>
          <w:lang w:eastAsia="zh-CN"/>
        </w:rPr>
        <w:drawing>
          <wp:anchor distT="0" distB="0" distL="114300" distR="114300" simplePos="0" relativeHeight="251671552" behindDoc="0" locked="0" layoutInCell="1" allowOverlap="1">
            <wp:simplePos x="0" y="0"/>
            <wp:positionH relativeFrom="column">
              <wp:posOffset>795655</wp:posOffset>
            </wp:positionH>
            <wp:positionV relativeFrom="paragraph">
              <wp:posOffset>51435</wp:posOffset>
            </wp:positionV>
            <wp:extent cx="4362450" cy="2305050"/>
            <wp:effectExtent l="4445" t="4445" r="14605" b="14605"/>
            <wp:wrapTopAndBottom/>
            <wp:docPr id="14" name="图表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_GB2312" w:hAnsi="仿宋_GB2312" w:eastAsia="仿宋_GB2312" w:cs="仿宋_GB2312"/>
          <w:shd w:val="clear" w:color="auto" w:fill="FFFFFF"/>
          <w:lang w:eastAsia="zh-CN"/>
        </w:rPr>
        <w:t>（图</w:t>
      </w:r>
      <w:r>
        <w:rPr>
          <w:rFonts w:hint="eastAsia" w:ascii="仿宋_GB2312" w:hAnsi="仿宋_GB2312" w:eastAsia="仿宋_GB2312" w:cs="仿宋_GB2312"/>
          <w:shd w:val="clear" w:color="auto" w:fill="FFFFFF"/>
          <w:lang w:val="en-US"/>
        </w:rPr>
        <w:t>4</w:t>
      </w:r>
      <w:r>
        <w:rPr>
          <w:rFonts w:hint="eastAsia" w:ascii="仿宋_GB2312" w:hAnsi="仿宋_GB2312" w:eastAsia="仿宋_GB2312" w:cs="仿宋_GB2312"/>
          <w:shd w:val="clear" w:color="auto" w:fill="FFFFFF"/>
          <w:lang w:eastAsia="zh-CN"/>
        </w:rPr>
        <w:t>：财政拨款收、支决算总计变动情况）</w:t>
      </w:r>
    </w:p>
    <w:p>
      <w:pPr>
        <w:pStyle w:val="12"/>
        <w:tabs>
          <w:tab w:val="right" w:leader="dot" w:pos="8845"/>
        </w:tabs>
        <w:ind w:firstLine="643" w:firstLineChars="200"/>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五、一般公共预算财政拨款支出决算情况说明</w:t>
      </w:r>
    </w:p>
    <w:p>
      <w:pPr>
        <w:pStyle w:val="12"/>
        <w:tabs>
          <w:tab w:val="right" w:leader="dot" w:pos="8845"/>
        </w:tabs>
        <w:ind w:firstLine="321" w:firstLineChars="1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（一）一般公共预算财政拨款支出决算总体情况</w:t>
      </w:r>
    </w:p>
    <w:p>
      <w:pPr>
        <w:pStyle w:val="12"/>
        <w:tabs>
          <w:tab w:val="right" w:leader="dot" w:pos="8845"/>
        </w:tabs>
        <w:ind w:firstLine="640" w:firstLineChars="200"/>
        <w:rPr>
          <w:rFonts w:hint="eastAsia" w:ascii="仿宋_GB2312" w:hAnsi="仿宋" w:eastAsia="仿宋_GB2312"/>
          <w:sz w:val="32"/>
          <w:szCs w:val="32"/>
          <w:lang w:eastAsia="zh-CN"/>
        </w:rPr>
      </w:pPr>
      <w:r>
        <w:rPr>
          <w:rFonts w:hint="eastAsia" w:ascii="仿宋_GB2312" w:hAnsi="仿宋_GB2312" w:eastAsia="仿宋_GB2312" w:cs="仿宋_GB2312"/>
          <w:b w:val="0"/>
          <w:bCs w:val="0"/>
          <w:sz w:val="32"/>
          <w:szCs w:val="32"/>
          <w:lang w:val="en-US" w:eastAsia="zh-CN"/>
        </w:rPr>
        <w:t>2019年一般公共预算财政拨款支出224万元，占本年支出合计的100%，与2018年相比，一般公共预算财政拨款减少48万元，主要原因是</w:t>
      </w:r>
      <w:r>
        <w:rPr>
          <w:rFonts w:hint="eastAsia" w:ascii="仿宋_GB2312" w:hAnsi="仿宋" w:eastAsia="仿宋_GB2312"/>
          <w:sz w:val="32"/>
          <w:szCs w:val="32"/>
        </w:rPr>
        <w:t>2019年巡察工作任务主要在州级相关部门，差旅费、公务用车运行维护费等日常公用经费开支相对减少</w:t>
      </w:r>
      <w:r>
        <w:rPr>
          <w:rFonts w:hint="eastAsia" w:ascii="仿宋_GB2312" w:hAnsi="仿宋" w:eastAsia="仿宋_GB2312"/>
          <w:sz w:val="32"/>
          <w:szCs w:val="32"/>
          <w:lang w:eastAsia="zh-CN"/>
        </w:rPr>
        <w:t>。</w:t>
      </w:r>
    </w:p>
    <w:p>
      <w:pPr>
        <w:jc w:val="center"/>
        <w:rPr>
          <w:rFonts w:hint="eastAsia" w:ascii="仿宋_GB2312" w:hAnsi="仿宋" w:eastAsia="仿宋_GB2312"/>
          <w:sz w:val="32"/>
          <w:szCs w:val="32"/>
          <w:lang w:val="en-US" w:eastAsia="zh-CN"/>
        </w:rPr>
      </w:pPr>
      <w:r>
        <w:rPr>
          <w:rFonts w:hint="eastAsia" w:ascii="仿宋_GB2312" w:hAnsi="仿宋_GB2312" w:eastAsia="仿宋_GB2312" w:cs="仿宋_GB2312"/>
          <w:shd w:val="clear" w:color="auto" w:fill="FFFFFF"/>
          <w:lang w:val="en-US" w:eastAsia="zh-CN"/>
        </w:rPr>
        <w:t>（图5：一般公共预算财政拨款支出决算变动情况）</w:t>
      </w:r>
      <w:r>
        <w:rPr>
          <w:rFonts w:hint="eastAsia" w:ascii="仿宋_GB2312" w:hAnsi="仿宋_GB2312" w:eastAsia="仿宋_GB2312" w:cs="仿宋_GB2312"/>
          <w:shd w:val="clear" w:color="auto" w:fill="FFFFFF"/>
          <w:lang w:eastAsia="zh-CN"/>
        </w:rPr>
        <w:drawing>
          <wp:anchor distT="0" distB="0" distL="114300" distR="114300" simplePos="0" relativeHeight="251676672" behindDoc="0" locked="0" layoutInCell="1" allowOverlap="1">
            <wp:simplePos x="0" y="0"/>
            <wp:positionH relativeFrom="column">
              <wp:posOffset>678180</wp:posOffset>
            </wp:positionH>
            <wp:positionV relativeFrom="paragraph">
              <wp:posOffset>178435</wp:posOffset>
            </wp:positionV>
            <wp:extent cx="4177030" cy="2038350"/>
            <wp:effectExtent l="4445" t="4445" r="9525" b="14605"/>
            <wp:wrapTopAndBottom/>
            <wp:docPr id="15" name="图表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12"/>
        <w:tabs>
          <w:tab w:val="right" w:leader="dot" w:pos="8845"/>
        </w:tabs>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（二）一般公共预算财政拨款支出决算结构情况</w:t>
      </w:r>
    </w:p>
    <w:p>
      <w:pPr>
        <w:pStyle w:val="12"/>
        <w:tabs>
          <w:tab w:val="right" w:leader="dot" w:pos="8845"/>
        </w:tabs>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2019年一般公共预算财政拨款支出224万元，主要用于以下方面：一般公共服务（类）支出191万元，占85%；社会保障和就业（类）支出16万，占7%；卫生健康支出5万元，占2%；住房保障支出11万元，占5%。</w:t>
      </w:r>
    </w:p>
    <w:p>
      <w:pPr>
        <w:pStyle w:val="12"/>
        <w:tabs>
          <w:tab w:val="right" w:leader="dot" w:pos="8845"/>
        </w:tabs>
        <w:ind w:left="0" w:leftChars="0" w:firstLine="0" w:firstLineChars="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hd w:val="clear" w:color="auto" w:fill="FFFFFF"/>
          <w:lang w:val="en-US" w:eastAsia="zh-CN"/>
        </w:rPr>
        <w:drawing>
          <wp:anchor distT="0" distB="0" distL="114300" distR="114300" simplePos="0" relativeHeight="251682816" behindDoc="0" locked="0" layoutInCell="1" allowOverlap="1">
            <wp:simplePos x="0" y="0"/>
            <wp:positionH relativeFrom="column">
              <wp:posOffset>619760</wp:posOffset>
            </wp:positionH>
            <wp:positionV relativeFrom="paragraph">
              <wp:posOffset>133985</wp:posOffset>
            </wp:positionV>
            <wp:extent cx="4610100" cy="2667000"/>
            <wp:effectExtent l="4445" t="4445" r="14605" b="14605"/>
            <wp:wrapTopAndBottom/>
            <wp:docPr id="16" name="图表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jc w:val="center"/>
        <w:rPr>
          <w:rFonts w:hint="eastAsia" w:ascii="仿宋_GB2312" w:hAnsi="仿宋_GB2312" w:eastAsia="仿宋_GB2312" w:cs="仿宋_GB2312"/>
          <w:shd w:val="clear" w:color="auto" w:fill="FFFFFF"/>
          <w:lang w:val="en-US" w:eastAsia="zh-CN"/>
        </w:rPr>
      </w:pPr>
    </w:p>
    <w:p>
      <w:pPr>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hd w:val="clear" w:color="auto" w:fill="FFFFFF"/>
          <w:lang w:val="en-US" w:eastAsia="zh-CN"/>
        </w:rPr>
        <w:t>（图6：一般公共预算财政拨款支出决算结构）</w:t>
      </w:r>
    </w:p>
    <w:p>
      <w:pPr>
        <w:pStyle w:val="12"/>
        <w:tabs>
          <w:tab w:val="right" w:leader="dot" w:pos="8845"/>
        </w:tabs>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（三）一般公共预算财政拨款支出决算具体情况</w:t>
      </w:r>
    </w:p>
    <w:p>
      <w:pPr>
        <w:pStyle w:val="12"/>
        <w:tabs>
          <w:tab w:val="right" w:leader="dot" w:pos="8845"/>
        </w:tabs>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2019年一般公共预算支出决算数为224万元，完成预算100%。其中：</w:t>
      </w:r>
    </w:p>
    <w:p>
      <w:pPr>
        <w:pStyle w:val="12"/>
        <w:tabs>
          <w:tab w:val="right" w:leader="dot" w:pos="8845"/>
        </w:tabs>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1.一般公共服务：支出决算为191万元，完成预算100%，决算数与预算数一致。</w:t>
      </w:r>
    </w:p>
    <w:p>
      <w:pPr>
        <w:pStyle w:val="12"/>
        <w:tabs>
          <w:tab w:val="right" w:leader="dot" w:pos="8845"/>
        </w:tabs>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2.社会保障和就业：支出决算为16万元，完成预算100%，决算数与预算数一致。</w:t>
      </w:r>
    </w:p>
    <w:p>
      <w:pPr>
        <w:pStyle w:val="12"/>
        <w:tabs>
          <w:tab w:val="right" w:leader="dot" w:pos="8845"/>
        </w:tabs>
        <w:ind w:firstLine="640" w:firstLineChars="200"/>
        <w:rPr>
          <w:rFonts w:hint="default" w:ascii="仿宋_GB2312" w:hAnsi="仿宋" w:eastAsiaTheme="minorEastAsia"/>
          <w:sz w:val="32"/>
          <w:szCs w:val="32"/>
          <w:lang w:val="en-US" w:eastAsia="zh-CN"/>
        </w:rPr>
      </w:pPr>
      <w:r>
        <w:rPr>
          <w:rFonts w:hint="eastAsia" w:ascii="仿宋_GB2312" w:hAnsi="仿宋" w:eastAsia="仿宋_GB2312"/>
          <w:sz w:val="32"/>
          <w:szCs w:val="32"/>
          <w:lang w:val="en-US" w:eastAsia="zh-CN"/>
        </w:rPr>
        <w:t>3.</w:t>
      </w:r>
      <w:r>
        <w:rPr>
          <w:rFonts w:hint="eastAsia" w:hAnsi="Calibri"/>
          <w:kern w:val="2"/>
          <w:sz w:val="32"/>
          <w:szCs w:val="32"/>
        </w:rPr>
        <w:t>卫生健康支出（类）行政事业单位医疗（款）行政单位医疗（项目）</w:t>
      </w:r>
      <w:r>
        <w:rPr>
          <w:rFonts w:hint="eastAsia" w:ascii="仿宋_GB2312" w:hAnsi="仿宋" w:eastAsia="仿宋_GB2312"/>
          <w:sz w:val="32"/>
          <w:szCs w:val="32"/>
          <w:lang w:val="en-US" w:eastAsia="zh-CN"/>
        </w:rPr>
        <w:t>支出决算为5万元，完成预算100%，决算数等于预算数</w:t>
      </w:r>
      <w:r>
        <w:rPr>
          <w:rFonts w:hint="eastAsia" w:ascii="仿宋_GB2312" w:hAnsi="仿宋" w:eastAsia="仿宋_GB2312"/>
          <w:sz w:val="32"/>
          <w:szCs w:val="32"/>
          <w:lang w:eastAsia="zh-CN"/>
        </w:rPr>
        <w:t>。</w:t>
      </w:r>
      <w:r>
        <w:rPr>
          <w:rFonts w:hint="eastAsia" w:hAnsi="Calibri"/>
          <w:kern w:val="2"/>
          <w:sz w:val="32"/>
          <w:szCs w:val="32"/>
        </w:rPr>
        <w:t>卫生健康支出（类）</w:t>
      </w:r>
      <w:r>
        <w:rPr>
          <w:rFonts w:hint="eastAsia" w:hAnsi="Calibri"/>
          <w:kern w:val="2"/>
          <w:sz w:val="32"/>
          <w:szCs w:val="32"/>
          <w:lang w:eastAsia="zh-CN"/>
        </w:rPr>
        <w:t>公务员医疗补助</w:t>
      </w:r>
      <w:r>
        <w:rPr>
          <w:rFonts w:hint="eastAsia" w:hAnsi="Calibri"/>
          <w:kern w:val="2"/>
          <w:sz w:val="32"/>
          <w:szCs w:val="32"/>
        </w:rPr>
        <w:t>（款）</w:t>
      </w:r>
      <w:r>
        <w:rPr>
          <w:rFonts w:hint="eastAsia" w:hAnsi="Calibri"/>
          <w:kern w:val="2"/>
          <w:sz w:val="32"/>
          <w:szCs w:val="32"/>
          <w:lang w:eastAsia="zh-CN"/>
        </w:rPr>
        <w:t>支出决算数</w:t>
      </w:r>
      <w:r>
        <w:rPr>
          <w:rFonts w:hint="eastAsia" w:hAnsi="Calibri"/>
          <w:kern w:val="2"/>
          <w:sz w:val="32"/>
          <w:szCs w:val="32"/>
          <w:lang w:val="en-US" w:eastAsia="zh-CN"/>
        </w:rPr>
        <w:t>0.83万元，完成预算100%。</w:t>
      </w:r>
      <w:r>
        <w:rPr>
          <w:rFonts w:hint="eastAsia" w:ascii="仿宋_GB2312" w:hAnsi="仿宋" w:eastAsia="仿宋_GB2312"/>
          <w:sz w:val="32"/>
          <w:szCs w:val="32"/>
          <w:lang w:val="en-US" w:eastAsia="zh-CN"/>
        </w:rPr>
        <w:t>决算数与预算数一致。</w:t>
      </w:r>
    </w:p>
    <w:p>
      <w:pPr>
        <w:pStyle w:val="12"/>
        <w:tabs>
          <w:tab w:val="right" w:leader="dot" w:pos="8845"/>
        </w:tabs>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4.住房保障：支出决算为11万元，完成预算100%，决算数与预算数一致</w:t>
      </w:r>
      <w:r>
        <w:rPr>
          <w:rFonts w:hint="eastAsia" w:ascii="仿宋_GB2312" w:hAnsi="仿宋" w:eastAsia="仿宋_GB2312"/>
          <w:sz w:val="32"/>
          <w:szCs w:val="32"/>
          <w:lang w:eastAsia="zh-CN"/>
        </w:rPr>
        <w:t>。</w:t>
      </w:r>
    </w:p>
    <w:p>
      <w:pPr>
        <w:pStyle w:val="12"/>
        <w:tabs>
          <w:tab w:val="right" w:leader="dot" w:pos="8845"/>
        </w:tabs>
        <w:ind w:firstLine="643" w:firstLineChars="200"/>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六、一般公共预算财政拨款基本支出决算情况说明</w:t>
      </w:r>
    </w:p>
    <w:p>
      <w:pPr>
        <w:pStyle w:val="12"/>
        <w:tabs>
          <w:tab w:val="right" w:leader="dot" w:pos="8845"/>
        </w:tabs>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2019年一般公共预算财政拨款基本支出224万元，其中：</w:t>
      </w:r>
    </w:p>
    <w:p>
      <w:pPr>
        <w:pStyle w:val="12"/>
        <w:tabs>
          <w:tab w:val="right" w:leader="dot" w:pos="8845"/>
        </w:tabs>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人员经费117万元，主要包括基本工资、津贴补贴、奖金、伙食补助费、机关事业养老保险缴费、职业年金缴费、职工基本医疗保险缴费、公务员医疗补助缴费、其他社会保障缴费、住房公积金、医疗费、其他工资福利支出等。</w:t>
      </w:r>
    </w:p>
    <w:p>
      <w:pPr>
        <w:pStyle w:val="12"/>
        <w:tabs>
          <w:tab w:val="right" w:leader="dot" w:pos="8845"/>
        </w:tabs>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日常公用经费107万元，主要包括：办公费、手续费、电费、邮电费、差旅费、维修（护）费、租赁费、培训费、公务接待费、劳务费、公务用车运行维护费、信息网络及软件购置更新费等。</w:t>
      </w:r>
    </w:p>
    <w:p>
      <w:pPr>
        <w:pStyle w:val="12"/>
        <w:tabs>
          <w:tab w:val="right" w:leader="dot" w:pos="8845"/>
        </w:tabs>
        <w:ind w:firstLine="643" w:firstLineChars="200"/>
        <w:rPr>
          <w:rFonts w:hint="eastAsia" w:ascii="仿宋_GB2312" w:hAnsi="仿宋" w:eastAsia="仿宋_GB2312"/>
          <w:sz w:val="32"/>
          <w:szCs w:val="32"/>
          <w:lang w:val="en-US" w:eastAsia="zh-CN"/>
        </w:rPr>
      </w:pPr>
      <w:r>
        <w:rPr>
          <w:rFonts w:hint="eastAsia" w:ascii="楷体_GB2312" w:hAnsi="楷体_GB2312" w:eastAsia="楷体_GB2312" w:cs="楷体_GB2312"/>
          <w:b/>
          <w:bCs/>
          <w:sz w:val="32"/>
          <w:szCs w:val="32"/>
          <w:lang w:val="en-US" w:eastAsia="zh-CN"/>
        </w:rPr>
        <w:t>七、“三公”经费财政拨款支出决算情况说明</w:t>
      </w:r>
    </w:p>
    <w:p>
      <w:pPr>
        <w:pStyle w:val="12"/>
        <w:tabs>
          <w:tab w:val="right" w:leader="dot" w:pos="8845"/>
        </w:tabs>
        <w:ind w:firstLine="643" w:firstLineChars="200"/>
        <w:rPr>
          <w:rFonts w:hint="default" w:ascii="仿宋_GB2312" w:hAnsi="仿宋" w:eastAsia="仿宋_GB2312"/>
          <w:b/>
          <w:bCs/>
          <w:sz w:val="32"/>
          <w:szCs w:val="32"/>
          <w:lang w:val="en-US" w:eastAsia="zh-CN"/>
        </w:rPr>
      </w:pPr>
      <w:r>
        <w:rPr>
          <w:rFonts w:hint="eastAsia" w:ascii="仿宋_GB2312" w:hAnsi="仿宋" w:eastAsia="仿宋_GB2312"/>
          <w:b/>
          <w:bCs/>
          <w:sz w:val="32"/>
          <w:szCs w:val="32"/>
          <w:lang w:val="en-US" w:eastAsia="zh-CN"/>
        </w:rPr>
        <w:t>（一）“三公”经费财政拨款支出决算总体情况说明</w:t>
      </w:r>
    </w:p>
    <w:p>
      <w:pPr>
        <w:pStyle w:val="12"/>
        <w:tabs>
          <w:tab w:val="right" w:leader="dot" w:pos="8845"/>
        </w:tabs>
        <w:ind w:firstLine="640" w:firstLineChars="200"/>
        <w:rPr>
          <w:rFonts w:hint="eastAsia" w:ascii="仿宋_GB2312" w:hAnsi="仿宋" w:eastAsia="仿宋_GB2312"/>
          <w:b w:val="0"/>
          <w:bCs w:val="0"/>
          <w:sz w:val="32"/>
          <w:szCs w:val="32"/>
          <w:lang w:val="en-US" w:eastAsia="zh-CN"/>
        </w:rPr>
      </w:pPr>
      <w:r>
        <w:rPr>
          <w:rFonts w:hint="eastAsia" w:ascii="仿宋_GB2312" w:hAnsi="仿宋" w:eastAsia="仿宋_GB2312"/>
          <w:sz w:val="32"/>
          <w:szCs w:val="32"/>
          <w:lang w:val="en-US" w:eastAsia="zh-CN"/>
        </w:rPr>
        <w:t>2019年“三公”</w:t>
      </w:r>
      <w:r>
        <w:rPr>
          <w:rFonts w:hint="eastAsia" w:ascii="仿宋_GB2312" w:hAnsi="仿宋" w:eastAsia="仿宋_GB2312"/>
          <w:b w:val="0"/>
          <w:bCs w:val="0"/>
          <w:sz w:val="32"/>
          <w:szCs w:val="32"/>
          <w:lang w:val="en-US" w:eastAsia="zh-CN"/>
        </w:rPr>
        <w:t>经费财政拨款支出决算12万元，完成预算100%，决算数等于预算数。</w:t>
      </w:r>
    </w:p>
    <w:p>
      <w:pPr>
        <w:pStyle w:val="12"/>
        <w:tabs>
          <w:tab w:val="right" w:leader="dot" w:pos="8845"/>
        </w:tabs>
        <w:ind w:firstLine="643" w:firstLineChars="200"/>
        <w:rPr>
          <w:rFonts w:hint="eastAsia" w:ascii="仿宋_GB2312" w:hAnsi="仿宋" w:eastAsia="仿宋_GB2312"/>
          <w:b/>
          <w:bCs/>
          <w:sz w:val="32"/>
          <w:szCs w:val="32"/>
          <w:lang w:val="en-US" w:eastAsia="zh-CN"/>
        </w:rPr>
      </w:pPr>
      <w:r>
        <w:rPr>
          <w:rFonts w:hint="eastAsia" w:ascii="仿宋_GB2312" w:hAnsi="仿宋" w:eastAsia="仿宋_GB2312"/>
          <w:b/>
          <w:bCs/>
          <w:sz w:val="32"/>
          <w:szCs w:val="32"/>
          <w:lang w:val="en-US" w:eastAsia="zh-CN"/>
        </w:rPr>
        <w:t>（二）“三公”经费财政拨款支出决算具体情况说明</w:t>
      </w:r>
    </w:p>
    <w:p>
      <w:pPr>
        <w:pStyle w:val="12"/>
        <w:tabs>
          <w:tab w:val="right" w:leader="dot" w:pos="8845"/>
        </w:tabs>
        <w:ind w:firstLine="640" w:firstLineChars="200"/>
        <w:rPr>
          <w:rFonts w:hint="eastAsia" w:ascii="仿宋_GB2312" w:hAnsi="仿宋" w:eastAsia="仿宋_GB2312"/>
          <w:b w:val="0"/>
          <w:bCs w:val="0"/>
          <w:sz w:val="32"/>
          <w:szCs w:val="32"/>
          <w:lang w:val="en-US" w:eastAsia="zh-CN"/>
        </w:rPr>
      </w:pPr>
      <w:r>
        <w:rPr>
          <w:rFonts w:hint="eastAsia" w:ascii="仿宋_GB2312" w:hAnsi="仿宋" w:eastAsia="仿宋_GB2312"/>
          <w:b w:val="0"/>
          <w:bCs w:val="0"/>
          <w:sz w:val="32"/>
          <w:szCs w:val="32"/>
          <w:lang w:val="en-US" w:eastAsia="zh-CN"/>
        </w:rPr>
        <w:t>2019年</w:t>
      </w:r>
      <w:r>
        <w:rPr>
          <w:rFonts w:hint="eastAsia" w:ascii="仿宋_GB2312" w:hAnsi="仿宋" w:eastAsia="仿宋_GB2312"/>
          <w:sz w:val="32"/>
          <w:szCs w:val="32"/>
          <w:lang w:val="en-US" w:eastAsia="zh-CN"/>
        </w:rPr>
        <w:t>“三公”</w:t>
      </w:r>
      <w:r>
        <w:rPr>
          <w:rFonts w:hint="eastAsia" w:ascii="仿宋_GB2312" w:hAnsi="仿宋" w:eastAsia="仿宋_GB2312"/>
          <w:b w:val="0"/>
          <w:bCs w:val="0"/>
          <w:sz w:val="32"/>
          <w:szCs w:val="32"/>
          <w:lang w:val="en-US" w:eastAsia="zh-CN"/>
        </w:rPr>
        <w:t>经费财政拨款支出决算中，公务用车购置及运行维护费支出决算12万元，占100%；公务接待费支出决算0.05万元；无因公出国（境）费用。具体情况如下：</w:t>
      </w:r>
    </w:p>
    <w:p>
      <w:pPr>
        <w:spacing w:line="576" w:lineRule="exact"/>
        <w:ind w:firstLine="709"/>
        <w:rPr>
          <w:rFonts w:hint="eastAsia" w:ascii="??_GB2312" w:hAnsi="仿宋" w:eastAsia="宋体" w:cs="Times New Roman"/>
          <w:color w:val="FF0000"/>
          <w:sz w:val="32"/>
          <w:szCs w:val="32"/>
          <w:lang w:val="en-US" w:eastAsia="zh-CN"/>
        </w:rPr>
      </w:pPr>
      <w:r>
        <w:rPr>
          <w:rFonts w:hint="eastAsia" w:ascii="仿宋_GB2312" w:hAnsi="仿宋" w:eastAsia="仿宋_GB2312"/>
          <w:b w:val="0"/>
          <w:bCs w:val="0"/>
          <w:sz w:val="32"/>
          <w:szCs w:val="32"/>
          <w:lang w:val="en-US" w:eastAsia="zh-CN"/>
        </w:rPr>
        <w:t>1.公务用车购置及运行维护费支出12万元，完成预算100%。公务用车购置及运行维护费支出决算比2018年</w:t>
      </w:r>
      <w:r>
        <w:rPr>
          <w:rFonts w:ascii="??_GB2312" w:hAnsi="仿宋" w:eastAsia="Times New Roman" w:cs="仿宋"/>
          <w:color w:val="000000"/>
          <w:sz w:val="32"/>
          <w:szCs w:val="32"/>
        </w:rPr>
        <w:t>决算数相比增加13.82%，</w:t>
      </w:r>
      <w:r>
        <w:rPr>
          <w:rFonts w:hint="eastAsia" w:ascii="??_GB2312" w:hAnsi="仿宋" w:eastAsia="宋体" w:cs="仿宋"/>
          <w:color w:val="000000"/>
          <w:sz w:val="32"/>
          <w:szCs w:val="32"/>
          <w:lang w:eastAsia="zh-CN"/>
        </w:rPr>
        <w:t>主要原因是</w:t>
      </w:r>
      <w:r>
        <w:rPr>
          <w:rFonts w:ascii="??_GB2312" w:hAnsi="仿宋" w:eastAsia="Times New Roman" w:cs="仿宋"/>
          <w:color w:val="000000"/>
          <w:sz w:val="32"/>
          <w:szCs w:val="32"/>
        </w:rPr>
        <w:t>车辆维修维护费增加。</w:t>
      </w:r>
      <w:r>
        <w:rPr>
          <w:rFonts w:hint="eastAsia" w:ascii="??_GB2312" w:hAnsi="仿宋" w:eastAsia="宋体" w:cs="仿宋"/>
          <w:color w:val="000000"/>
          <w:sz w:val="32"/>
          <w:szCs w:val="32"/>
          <w:lang w:val="en-US" w:eastAsia="zh-CN"/>
        </w:rPr>
        <w:t xml:space="preserve"> </w:t>
      </w:r>
    </w:p>
    <w:p>
      <w:pPr>
        <w:pStyle w:val="12"/>
        <w:tabs>
          <w:tab w:val="right" w:leader="dot" w:pos="8845"/>
        </w:tabs>
        <w:ind w:left="0" w:leftChars="0" w:firstLine="640" w:firstLineChars="200"/>
        <w:rPr>
          <w:rFonts w:hint="eastAsia" w:ascii="仿宋_GB2312" w:hAnsi="仿宋" w:eastAsia="仿宋_GB2312"/>
          <w:b w:val="0"/>
          <w:bCs w:val="0"/>
          <w:sz w:val="32"/>
          <w:szCs w:val="32"/>
          <w:lang w:val="en-US" w:eastAsia="zh-CN"/>
        </w:rPr>
      </w:pPr>
      <w:r>
        <w:rPr>
          <w:rFonts w:hint="eastAsia" w:ascii="仿宋_GB2312" w:hAnsi="仿宋" w:eastAsia="仿宋_GB2312"/>
          <w:b w:val="0"/>
          <w:bCs w:val="0"/>
          <w:sz w:val="32"/>
          <w:szCs w:val="32"/>
          <w:lang w:val="en-US" w:eastAsia="zh-CN"/>
        </w:rPr>
        <w:t>公务用车购置支出0万元；公务用车运行维护费支出12万元。主要用于出差等所需的公务用车燃料费、维修费、过路过桥费、保险费等支出。</w:t>
      </w:r>
    </w:p>
    <w:p>
      <w:pPr>
        <w:pStyle w:val="12"/>
        <w:tabs>
          <w:tab w:val="right" w:leader="dot" w:pos="8845"/>
        </w:tabs>
        <w:ind w:left="0" w:leftChars="0" w:firstLine="640" w:firstLineChars="200"/>
        <w:rPr>
          <w:rFonts w:hint="eastAsia" w:ascii="仿宋_GB2312" w:hAnsi="仿宋" w:eastAsia="仿宋_GB2312"/>
          <w:b w:val="0"/>
          <w:bCs w:val="0"/>
          <w:sz w:val="32"/>
          <w:szCs w:val="32"/>
          <w:lang w:val="en-US" w:eastAsia="zh-CN"/>
        </w:rPr>
      </w:pPr>
      <w:r>
        <w:rPr>
          <w:rFonts w:hint="eastAsia" w:ascii="仿宋_GB2312" w:hAnsi="仿宋" w:eastAsia="仿宋_GB2312"/>
          <w:b w:val="0"/>
          <w:bCs w:val="0"/>
          <w:sz w:val="32"/>
          <w:szCs w:val="32"/>
          <w:lang w:val="en-US" w:eastAsia="zh-CN"/>
        </w:rPr>
        <w:t>2.公务接待费支出0.05万元，公务接待费支出决算比2018年增加0.03万元，主要原因</w:t>
      </w:r>
      <w:r>
        <w:rPr>
          <w:rFonts w:ascii="??_GB2312" w:hAnsi="仿宋" w:eastAsia="Times New Roman" w:cs="仿宋"/>
          <w:color w:val="000000"/>
          <w:sz w:val="32"/>
          <w:szCs w:val="32"/>
        </w:rPr>
        <w:t>是因接待人数增加，费用相应增加。</w:t>
      </w:r>
    </w:p>
    <w:p>
      <w:pPr>
        <w:pStyle w:val="12"/>
        <w:tabs>
          <w:tab w:val="right" w:leader="dot" w:pos="8845"/>
        </w:tabs>
        <w:ind w:firstLine="640" w:firstLineChars="200"/>
        <w:rPr>
          <w:rFonts w:hint="eastAsia" w:ascii="仿宋_GB2312" w:hAnsi="仿宋_GB2312" w:eastAsia="仿宋_GB2312" w:cs="仿宋_GB2312"/>
          <w:sz w:val="32"/>
          <w:szCs w:val="32"/>
          <w:lang w:val="en-US" w:eastAsia="zh-CN"/>
        </w:rPr>
      </w:pPr>
      <w:r>
        <w:rPr>
          <w:rFonts w:hint="eastAsia" w:ascii="仿宋_GB2312" w:hAnsi="仿宋" w:eastAsia="仿宋_GB2312"/>
          <w:b w:val="0"/>
          <w:bCs w:val="0"/>
          <w:sz w:val="32"/>
          <w:szCs w:val="32"/>
          <w:lang w:val="en-US" w:eastAsia="zh-CN"/>
        </w:rPr>
        <w:t>国内公务接待支出0.05万元，主要用于执行公务、开展业务活动开支的交通费、住宿费、用餐费等。</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outlineLvl w:val="1"/>
        <w:rPr>
          <w:rFonts w:hint="eastAsia" w:eastAsia="黑体"/>
          <w:b w:val="0"/>
          <w:bCs/>
          <w:sz w:val="32"/>
          <w:szCs w:val="32"/>
          <w:lang w:val="en-US" w:eastAsia="zh-CN"/>
        </w:rPr>
      </w:pPr>
      <w:bookmarkStart w:id="1" w:name="_Toc8376"/>
      <w:r>
        <w:rPr>
          <w:rFonts w:hint="eastAsia" w:eastAsia="黑体"/>
          <w:b w:val="0"/>
          <w:bCs/>
          <w:sz w:val="32"/>
          <w:szCs w:val="32"/>
          <w:lang w:val="en-US" w:eastAsia="zh-CN"/>
        </w:rPr>
        <w:t>八、政府性基金预算支出决算情况说明</w:t>
      </w:r>
      <w:bookmarkEnd w:id="1"/>
    </w:p>
    <w:p>
      <w:pPr>
        <w:keepNext w:val="0"/>
        <w:keepLines w:val="0"/>
        <w:pageBreakBefore w:val="0"/>
        <w:widowControl/>
        <w:kinsoku/>
        <w:wordWrap/>
        <w:overflowPunct/>
        <w:topLinePunct w:val="0"/>
        <w:autoSpaceDE/>
        <w:autoSpaceDN/>
        <w:bidi w:val="0"/>
        <w:adjustRightInd/>
        <w:snapToGrid/>
        <w:spacing w:line="576" w:lineRule="exact"/>
        <w:ind w:firstLine="1280" w:firstLine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2019年政府性基金预算拨款支出0万元。</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outlineLvl w:val="1"/>
        <w:rPr>
          <w:rFonts w:hint="eastAsia" w:eastAsia="黑体"/>
          <w:b w:val="0"/>
          <w:bCs/>
          <w:sz w:val="32"/>
          <w:szCs w:val="32"/>
          <w:lang w:val="en-US" w:eastAsia="zh-CN"/>
        </w:rPr>
      </w:pPr>
      <w:bookmarkStart w:id="2" w:name="_Toc4414"/>
      <w:r>
        <w:rPr>
          <w:rFonts w:hint="eastAsia" w:eastAsia="黑体"/>
          <w:b w:val="0"/>
          <w:bCs/>
          <w:sz w:val="32"/>
          <w:szCs w:val="32"/>
          <w:lang w:val="en-US" w:eastAsia="zh-CN"/>
        </w:rPr>
        <w:t>九、国有资本经营预算支出决算情况说明</w:t>
      </w:r>
      <w:bookmarkEnd w:id="2"/>
    </w:p>
    <w:p>
      <w:pPr>
        <w:keepNext w:val="0"/>
        <w:keepLines w:val="0"/>
        <w:pageBreakBefore w:val="0"/>
        <w:widowControl/>
        <w:kinsoku/>
        <w:wordWrap/>
        <w:overflowPunct/>
        <w:topLinePunct w:val="0"/>
        <w:autoSpaceDE/>
        <w:autoSpaceDN/>
        <w:bidi w:val="0"/>
        <w:adjustRightInd/>
        <w:snapToGrid/>
        <w:spacing w:line="576" w:lineRule="exact"/>
        <w:ind w:firstLine="1280" w:firstLine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2019年国有资本经营预算拨款支出0万元。</w:t>
      </w:r>
    </w:p>
    <w:p>
      <w:pPr>
        <w:pStyle w:val="12"/>
        <w:tabs>
          <w:tab w:val="right" w:leader="dot" w:pos="8845"/>
        </w:tabs>
        <w:ind w:left="0" w:leftChars="0" w:firstLine="643" w:firstLineChars="200"/>
        <w:rPr>
          <w:rFonts w:hint="default" w:ascii="仿宋_GB2312" w:hAnsi="仿宋" w:eastAsia="仿宋_GB2312"/>
          <w:b/>
          <w:bCs/>
          <w:sz w:val="32"/>
          <w:szCs w:val="32"/>
          <w:lang w:val="en-US" w:eastAsia="zh-CN"/>
        </w:rPr>
      </w:pPr>
      <w:r>
        <w:rPr>
          <w:rFonts w:hint="eastAsia" w:ascii="仿宋_GB2312" w:hAnsi="仿宋" w:eastAsia="仿宋_GB2312"/>
          <w:b/>
          <w:bCs/>
          <w:sz w:val="32"/>
          <w:szCs w:val="32"/>
          <w:lang w:val="en-US" w:eastAsia="zh-CN"/>
        </w:rPr>
        <w:t>十、其他重要事项的情况说明</w:t>
      </w:r>
    </w:p>
    <w:p>
      <w:pPr>
        <w:pStyle w:val="12"/>
        <w:tabs>
          <w:tab w:val="right" w:leader="dot" w:pos="8845"/>
        </w:tabs>
        <w:ind w:firstLine="321" w:firstLineChars="1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（一）机关运行经费支出情况</w:t>
      </w:r>
    </w:p>
    <w:p>
      <w:pPr>
        <w:pStyle w:val="12"/>
        <w:tabs>
          <w:tab w:val="right" w:leader="dot" w:pos="8845"/>
        </w:tabs>
        <w:ind w:firstLine="640" w:firstLineChars="200"/>
        <w:rPr>
          <w:rFonts w:ascii="??_GB2312" w:hAnsi="仿宋" w:eastAsia="Times New Roman" w:cs="仿宋"/>
          <w:bCs/>
          <w:color w:val="000000"/>
          <w:sz w:val="32"/>
          <w:szCs w:val="32"/>
        </w:rPr>
      </w:pPr>
      <w:r>
        <w:rPr>
          <w:rFonts w:ascii="??_GB2312" w:hAnsi="仿宋" w:eastAsia="Times New Roman" w:cs="仿宋"/>
          <w:bCs/>
          <w:color w:val="000000"/>
          <w:sz w:val="32"/>
          <w:szCs w:val="32"/>
        </w:rPr>
        <w:t>单位机关运行经费，2019年为32</w:t>
      </w:r>
      <w:r>
        <w:rPr>
          <w:rFonts w:hint="eastAsia" w:ascii="??_GB2312" w:hAnsi="仿宋" w:eastAsia="宋体" w:cs="仿宋"/>
          <w:bCs/>
          <w:color w:val="000000"/>
          <w:sz w:val="32"/>
          <w:szCs w:val="32"/>
          <w:lang w:eastAsia="zh-CN"/>
        </w:rPr>
        <w:t>万</w:t>
      </w:r>
      <w:r>
        <w:rPr>
          <w:rFonts w:ascii="??_GB2312" w:hAnsi="仿宋" w:eastAsia="Times New Roman" w:cs="仿宋"/>
          <w:bCs/>
          <w:color w:val="000000"/>
          <w:sz w:val="32"/>
          <w:szCs w:val="32"/>
        </w:rPr>
        <w:t>元，</w:t>
      </w:r>
      <w:r>
        <w:rPr>
          <w:rFonts w:hint="eastAsia" w:ascii="仿宋" w:hAnsi="仿宋" w:eastAsia="仿宋" w:cs="仿宋"/>
          <w:color w:val="000000"/>
          <w:kern w:val="0"/>
          <w:sz w:val="32"/>
          <w:szCs w:val="32"/>
        </w:rPr>
        <w:t>比上年减少</w:t>
      </w:r>
      <w:r>
        <w:rPr>
          <w:rFonts w:ascii="仿宋" w:hAnsi="仿宋" w:eastAsia="仿宋" w:cs="仿宋"/>
          <w:color w:val="000000"/>
          <w:kern w:val="0"/>
          <w:sz w:val="32"/>
          <w:szCs w:val="32"/>
        </w:rPr>
        <w:t>4</w:t>
      </w:r>
      <w:r>
        <w:rPr>
          <w:rFonts w:hint="eastAsia" w:ascii="仿宋" w:hAnsi="仿宋" w:eastAsia="仿宋" w:cs="仿宋"/>
          <w:color w:val="000000"/>
          <w:kern w:val="0"/>
          <w:sz w:val="32"/>
          <w:szCs w:val="32"/>
          <w:lang w:val="en-US" w:eastAsia="zh-CN"/>
        </w:rPr>
        <w:t>5万</w:t>
      </w:r>
      <w:r>
        <w:rPr>
          <w:rFonts w:hint="eastAsia" w:ascii="仿宋" w:hAnsi="仿宋" w:eastAsia="仿宋" w:cs="仿宋"/>
          <w:color w:val="000000"/>
          <w:kern w:val="0"/>
          <w:sz w:val="32"/>
          <w:szCs w:val="32"/>
        </w:rPr>
        <w:t>元，</w:t>
      </w:r>
      <w:r>
        <w:rPr>
          <w:rFonts w:hint="eastAsia" w:ascii="??_GB2312" w:hAnsi="仿宋" w:eastAsia="宋体" w:cs="仿宋"/>
          <w:bCs/>
          <w:color w:val="000000"/>
          <w:sz w:val="32"/>
          <w:szCs w:val="32"/>
          <w:lang w:eastAsia="zh-CN"/>
        </w:rPr>
        <w:t>主要原因是：</w:t>
      </w:r>
      <w:r>
        <w:rPr>
          <w:rFonts w:ascii="??_GB2312" w:hAnsi="仿宋" w:eastAsia="Times New Roman" w:cs="仿宋"/>
          <w:bCs/>
          <w:color w:val="000000"/>
          <w:sz w:val="32"/>
          <w:szCs w:val="32"/>
        </w:rPr>
        <w:t>2018年将各巡察组专项巡察发生的差旅费、公务用车运行维护费、劳务费等项目经费纳入巡察办机关日常公用经费核算，2019年按规定纳入项目核算。</w:t>
      </w:r>
    </w:p>
    <w:p>
      <w:pPr>
        <w:keepNext w:val="0"/>
        <w:keepLines w:val="0"/>
        <w:widowControl w:val="0"/>
        <w:suppressLineNumbers w:val="0"/>
        <w:snapToGrid w:val="0"/>
        <w:spacing w:line="570" w:lineRule="exact"/>
        <w:ind w:left="0" w:firstLine="643" w:firstLineChars="200"/>
        <w:outlineLvl w:val="2"/>
        <w:rPr>
          <w:rFonts w:hint="eastAsia" w:ascii="楷体_GB2312" w:hAnsi="仿宋" w:eastAsia="楷体_GB2312" w:cs="楷体_GB2312"/>
          <w:b/>
          <w:bCs w:val="0"/>
          <w:sz w:val="32"/>
          <w:szCs w:val="32"/>
          <w:lang w:val="en-US" w:eastAsia="zh-CN"/>
        </w:rPr>
      </w:pPr>
      <w:bookmarkStart w:id="3" w:name="_Toc5886"/>
      <w:r>
        <w:rPr>
          <w:rFonts w:hint="eastAsia" w:ascii="楷体_GB2312" w:hAnsi="仿宋" w:eastAsia="楷体_GB2312" w:cs="楷体_GB2312"/>
          <w:b/>
          <w:bCs w:val="0"/>
          <w:sz w:val="32"/>
          <w:szCs w:val="32"/>
          <w:lang w:val="en-US" w:eastAsia="zh-CN"/>
        </w:rPr>
        <w:t>（二）政府采购支出情况</w:t>
      </w:r>
      <w:bookmarkEnd w:id="3"/>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2019年，四川省阿坝州委巡察工作领导小组办公室政府采购支出总额0.00万元。</w:t>
      </w:r>
    </w:p>
    <w:p>
      <w:pPr>
        <w:keepNext w:val="0"/>
        <w:keepLines w:val="0"/>
        <w:widowControl w:val="0"/>
        <w:suppressLineNumbers w:val="0"/>
        <w:snapToGrid w:val="0"/>
        <w:spacing w:line="570" w:lineRule="exact"/>
        <w:ind w:left="0" w:firstLine="643" w:firstLineChars="200"/>
        <w:outlineLvl w:val="2"/>
        <w:rPr>
          <w:rFonts w:hint="eastAsia" w:ascii="楷体_GB2312" w:hAnsi="仿宋" w:eastAsia="楷体_GB2312" w:cs="楷体_GB2312"/>
          <w:b/>
          <w:bCs w:val="0"/>
          <w:sz w:val="32"/>
          <w:szCs w:val="32"/>
          <w:lang w:val="en-US" w:eastAsia="zh-CN"/>
        </w:rPr>
      </w:pPr>
      <w:bookmarkStart w:id="4" w:name="_Toc19637"/>
      <w:r>
        <w:rPr>
          <w:rFonts w:hint="eastAsia" w:ascii="楷体_GB2312" w:hAnsi="仿宋" w:eastAsia="楷体_GB2312" w:cs="楷体_GB2312"/>
          <w:b/>
          <w:bCs w:val="0"/>
          <w:sz w:val="32"/>
          <w:szCs w:val="32"/>
          <w:lang w:val="en-US" w:eastAsia="zh-CN"/>
        </w:rPr>
        <w:t>（三）国有资产占有使用情况</w:t>
      </w:r>
      <w:bookmarkEnd w:id="4"/>
    </w:p>
    <w:p>
      <w:pPr>
        <w:keepNext w:val="0"/>
        <w:keepLines w:val="0"/>
        <w:pageBreakBefore w:val="0"/>
        <w:widowControl w:val="0"/>
        <w:kinsoku/>
        <w:wordWrap/>
        <w:overflowPunct/>
        <w:topLinePunct w:val="0"/>
        <w:autoSpaceDE/>
        <w:autoSpaceDN/>
        <w:bidi w:val="0"/>
        <w:adjustRightInd/>
        <w:spacing w:line="570" w:lineRule="exact"/>
        <w:ind w:firstLine="640" w:firstLineChars="200"/>
        <w:textAlignment w:val="auto"/>
        <w:rPr>
          <w:rFonts w:hint="eastAsia" w:ascii="仿宋_GB2312" w:eastAsia="仿宋_GB2312"/>
          <w:sz w:val="32"/>
          <w:szCs w:val="32"/>
        </w:rPr>
      </w:pPr>
      <w:r>
        <w:rPr>
          <w:rFonts w:hint="eastAsia" w:ascii="仿宋_GB2312" w:hAnsi="仿宋_GB2312" w:eastAsia="仿宋_GB2312" w:cs="仿宋_GB2312"/>
          <w:sz w:val="32"/>
          <w:szCs w:val="32"/>
          <w:lang w:val="en-US" w:eastAsia="zh-CN"/>
        </w:rPr>
        <w:t>截至2019年12月31日，四川省阿坝州委巡察工作领导小组办公室共有车辆0辆，单价50万元以上通用设备0台（套），单价100万元以上专用设备0台（套）。</w:t>
      </w:r>
    </w:p>
    <w:p>
      <w:pPr>
        <w:keepNext w:val="0"/>
        <w:keepLines w:val="0"/>
        <w:widowControl w:val="0"/>
        <w:suppressLineNumbers w:val="0"/>
        <w:snapToGrid w:val="0"/>
        <w:spacing w:line="570" w:lineRule="exact"/>
        <w:ind w:left="0" w:firstLine="643" w:firstLineChars="200"/>
        <w:outlineLvl w:val="2"/>
        <w:rPr>
          <w:rFonts w:hint="eastAsia" w:ascii="楷体_GB2312" w:hAnsi="仿宋" w:eastAsia="楷体_GB2312" w:cs="楷体_GB2312"/>
          <w:b/>
          <w:bCs w:val="0"/>
          <w:sz w:val="32"/>
          <w:szCs w:val="32"/>
          <w:lang w:val="en-US" w:eastAsia="zh-CN"/>
        </w:rPr>
      </w:pPr>
      <w:bookmarkStart w:id="5" w:name="_Toc13270"/>
      <w:r>
        <w:rPr>
          <w:rFonts w:hint="eastAsia" w:ascii="楷体_GB2312" w:hAnsi="仿宋" w:eastAsia="楷体_GB2312" w:cs="楷体_GB2312"/>
          <w:b/>
          <w:bCs w:val="0"/>
          <w:sz w:val="32"/>
          <w:szCs w:val="32"/>
          <w:lang w:val="en-US" w:eastAsia="zh-CN"/>
        </w:rPr>
        <w:t>（四）预算绩效管理情况</w:t>
      </w:r>
      <w:bookmarkEnd w:id="5"/>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根据预算绩效管理要求，本单位在年初预算编制阶段，无项目经费，未编制项目绩效目标。预算执行过程中，基本支出年终执行100%。</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本部门按要求对2019年部门整体支出开展绩效自评，从评价情况来看2019年我</w:t>
      </w:r>
      <w:r>
        <w:rPr>
          <w:rFonts w:hint="eastAsia" w:ascii="仿宋_GB2312" w:hAnsi="仿宋_GB2312" w:eastAsia="仿宋_GB2312" w:cs="仿宋_GB2312"/>
          <w:sz w:val="32"/>
          <w:szCs w:val="32"/>
          <w:lang w:eastAsia="zh-CN"/>
        </w:rPr>
        <w:t>委</w:t>
      </w:r>
      <w:r>
        <w:rPr>
          <w:rFonts w:hint="eastAsia" w:ascii="仿宋_GB2312" w:hAnsi="仿宋_GB2312" w:eastAsia="仿宋_GB2312" w:cs="仿宋_GB2312"/>
          <w:sz w:val="32"/>
          <w:szCs w:val="32"/>
        </w:rPr>
        <w:t>部门整体支出绩效评价自查自评结果良好，全年基本支出保证了部门的正常运行和日常工作的正常开展，项目支出保障了重点工作的开展。</w:t>
      </w:r>
    </w:p>
    <w:p>
      <w:pPr>
        <w:keepNext w:val="0"/>
        <w:keepLines w:val="0"/>
        <w:pageBreakBefore w:val="0"/>
        <w:kinsoku/>
        <w:wordWrap/>
        <w:overflowPunct/>
        <w:topLinePunct w:val="0"/>
        <w:bidi w:val="0"/>
        <w:snapToGrid/>
        <w:spacing w:line="560" w:lineRule="exact"/>
        <w:ind w:firstLine="643" w:firstLineChars="200"/>
        <w:textAlignment w:val="auto"/>
        <w:rPr>
          <w:rFonts w:ascii="仿宋_GB2312" w:hAnsi="仿宋_GB2312" w:eastAsia="仿宋_GB2312" w:cs="仿宋_GB2312"/>
          <w:sz w:val="32"/>
          <w:szCs w:val="32"/>
        </w:rPr>
      </w:pPr>
      <w:bookmarkStart w:id="6" w:name="_Toc16421"/>
      <w:bookmarkStart w:id="7" w:name="_Toc12620"/>
      <w:bookmarkStart w:id="8" w:name="_Toc30241"/>
      <w:bookmarkStart w:id="9" w:name="_Toc17543"/>
      <w:bookmarkStart w:id="10" w:name="_Toc29664"/>
      <w:bookmarkStart w:id="11" w:name="_Toc12507"/>
      <w:bookmarkStart w:id="12" w:name="_Toc4054"/>
      <w:bookmarkStart w:id="13" w:name="_Toc23867"/>
      <w:bookmarkStart w:id="14" w:name="_Toc28327"/>
      <w:bookmarkStart w:id="15" w:name="_Toc13812"/>
      <w:bookmarkStart w:id="16" w:name="_Toc868"/>
      <w:bookmarkStart w:id="17" w:name="_Toc30271"/>
      <w:bookmarkStart w:id="18" w:name="_Toc20555"/>
      <w:bookmarkStart w:id="19" w:name="_Toc21388"/>
      <w:bookmarkStart w:id="20" w:name="_Toc1628"/>
      <w:r>
        <w:rPr>
          <w:rFonts w:hint="eastAsia" w:ascii="仿宋_GB2312" w:hAnsi="仿宋_GB2312" w:eastAsia="仿宋_GB2312" w:cs="仿宋_GB2312"/>
          <w:b/>
          <w:bCs/>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w:t>
      </w:r>
      <w:r>
        <w:rPr>
          <w:rFonts w:hint="eastAsia" w:ascii="仿宋_GB2312" w:hAnsi="仿宋_GB2312" w:eastAsia="仿宋_GB2312" w:cs="仿宋_GB2312"/>
          <w:sz w:val="32"/>
          <w:szCs w:val="32"/>
          <w:lang w:eastAsia="zh-CN"/>
        </w:rPr>
        <w:t>“巡察专项经费”</w:t>
      </w:r>
      <w:r>
        <w:rPr>
          <w:rFonts w:hint="eastAsia" w:ascii="仿宋_GB2312" w:hAnsi="仿宋_GB2312" w:eastAsia="仿宋_GB2312" w:cs="仿宋_GB2312"/>
          <w:sz w:val="32"/>
          <w:szCs w:val="32"/>
        </w:rPr>
        <w:t>项目绩效目标实际完成情况。</w:t>
      </w:r>
    </w:p>
    <w:p>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default" w:ascii="Times New Roman" w:hAnsi="Times New Roman" w:eastAsia="仿宋_GB2312" w:cs="Times New Roman"/>
          <w:sz w:val="32"/>
          <w:szCs w:val="32"/>
        </w:rPr>
      </w:pPr>
      <w:r>
        <w:rPr>
          <w:rFonts w:hint="eastAsia" w:ascii="仿宋_GB2312" w:hAnsi="仿宋_GB2312" w:eastAsia="仿宋_GB2312" w:cs="仿宋_GB2312"/>
          <w:sz w:val="32"/>
          <w:szCs w:val="32"/>
          <w:lang w:eastAsia="zh-CN"/>
        </w:rPr>
        <w:t>巡察专项</w:t>
      </w:r>
      <w:r>
        <w:rPr>
          <w:rFonts w:hint="eastAsia" w:ascii="仿宋_GB2312" w:hAnsi="仿宋_GB2312" w:eastAsia="仿宋_GB2312" w:cs="仿宋_GB2312"/>
          <w:sz w:val="32"/>
          <w:szCs w:val="32"/>
        </w:rPr>
        <w:t>经费项目绩效目标完成情况综述。项目全年预算数</w:t>
      </w:r>
      <w:r>
        <w:rPr>
          <w:rFonts w:hint="eastAsia" w:ascii="仿宋_GB2312" w:hAnsi="仿宋_GB2312" w:eastAsia="仿宋_GB2312" w:cs="仿宋_GB2312"/>
          <w:sz w:val="32"/>
          <w:szCs w:val="32"/>
          <w:lang w:val="en-US" w:eastAsia="zh-CN"/>
        </w:rPr>
        <w:t>75.31</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75.31</w:t>
      </w:r>
      <w:r>
        <w:rPr>
          <w:rFonts w:hint="eastAsia" w:ascii="仿宋_GB2312" w:hAnsi="仿宋_GB2312" w:eastAsia="仿宋_GB2312" w:cs="仿宋_GB2312"/>
          <w:sz w:val="32"/>
          <w:szCs w:val="32"/>
        </w:rPr>
        <w:t>万元，完成预算的100%。通过项目实施，</w:t>
      </w:r>
      <w:r>
        <w:rPr>
          <w:rFonts w:hint="eastAsia" w:ascii="仿宋_GB2312" w:hAnsi="仿宋_GB2312" w:eastAsia="仿宋_GB2312" w:cs="仿宋_GB2312"/>
          <w:sz w:val="32"/>
          <w:szCs w:val="32"/>
          <w:lang w:eastAsia="zh-CN"/>
        </w:rPr>
        <w:t>保障了我委工作人员巡察差旅费及办公费。</w:t>
      </w:r>
      <w:r>
        <w:rPr>
          <w:rFonts w:hint="eastAsia" w:ascii="仿宋_GB2312" w:hAnsi="仿宋_GB2312" w:eastAsia="仿宋_GB2312" w:cs="仿宋_GB2312"/>
          <w:sz w:val="32"/>
          <w:szCs w:val="32"/>
        </w:rPr>
        <w:t>发现的主要问题：</w:t>
      </w:r>
      <w:r>
        <w:rPr>
          <w:rFonts w:hint="default" w:ascii="Times New Roman" w:hAnsi="Times New Roman" w:eastAsia="仿宋_GB2312" w:cs="Times New Roman"/>
          <w:sz w:val="32"/>
          <w:szCs w:val="32"/>
        </w:rPr>
        <w:t>财务制度不够完善，资产管理不够严谨。存在预算编制不够完善,个别项目进度缓慢、绩效管理工作有待加强等问题</w:t>
      </w:r>
      <w:r>
        <w:rPr>
          <w:rFonts w:hint="eastAsia" w:ascii="Times New Roman" w:hAnsi="Times New Roman" w:eastAsia="仿宋_GB2312" w:cs="Times New Roman"/>
          <w:sz w:val="32"/>
          <w:szCs w:val="32"/>
          <w:lang w:eastAsia="zh-CN"/>
        </w:rPr>
        <w:t>。</w:t>
      </w:r>
      <w:r>
        <w:rPr>
          <w:rFonts w:hint="eastAsia" w:ascii="仿宋_GB2312" w:hAnsi="仿宋_GB2312" w:eastAsia="仿宋_GB2312" w:cs="仿宋_GB2312"/>
          <w:sz w:val="32"/>
          <w:szCs w:val="32"/>
        </w:rPr>
        <w:t>下一步改进措施：</w:t>
      </w:r>
      <w:r>
        <w:rPr>
          <w:rFonts w:hint="default" w:ascii="Times New Roman" w:hAnsi="Times New Roman" w:eastAsia="仿宋_GB2312" w:cs="Times New Roman"/>
          <w:sz w:val="32"/>
          <w:szCs w:val="32"/>
        </w:rPr>
        <w:t>加强预算绩效管理，增强预算约束力，做好预算项目支出绩效目标及各项绩效指标的细化、量化工作,用好用活各类财政资金，提高财政资金的使用效益。</w:t>
      </w:r>
    </w:p>
    <w:p>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default" w:ascii="Times New Roman" w:hAnsi="Times New Roman" w:eastAsia="仿宋_GB2312" w:cs="Times New Roman"/>
          <w:sz w:val="32"/>
          <w:szCs w:val="32"/>
        </w:rPr>
      </w:pPr>
    </w:p>
    <w:tbl>
      <w:tblPr>
        <w:tblStyle w:val="10"/>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Layout w:type="fixed"/>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15"/>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(2019年度)</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巡察专项经费</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中共阿坝州委</w:t>
            </w:r>
            <w:r>
              <w:rPr>
                <w:rFonts w:hint="eastAsia" w:ascii="宋体" w:hAnsi="宋体" w:cs="宋体"/>
                <w:color w:val="000000"/>
                <w:sz w:val="24"/>
                <w:lang w:eastAsia="zh-CN"/>
              </w:rPr>
              <w:t>巡察工作领导小组办公室</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eastAsiaTheme="minorEastAsia"/>
                <w:color w:val="000000"/>
                <w:sz w:val="24"/>
                <w:lang w:val="en-US" w:eastAsia="zh-CN"/>
              </w:rPr>
            </w:pPr>
            <w:r>
              <w:rPr>
                <w:rFonts w:hint="eastAsia" w:ascii="宋体" w:hAnsi="宋体" w:cs="宋体"/>
                <w:color w:val="000000"/>
                <w:sz w:val="24"/>
                <w:lang w:val="en-US" w:eastAsia="zh-CN"/>
              </w:rPr>
              <w:t>75.31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eastAsiaTheme="minorEastAsia"/>
                <w:color w:val="000000"/>
                <w:sz w:val="24"/>
                <w:lang w:val="en-US" w:eastAsia="zh-CN"/>
              </w:rPr>
            </w:pPr>
            <w:r>
              <w:rPr>
                <w:rFonts w:hint="eastAsia" w:ascii="宋体" w:hAnsi="宋体" w:cs="宋体"/>
                <w:color w:val="000000"/>
                <w:sz w:val="24"/>
                <w:lang w:val="en-US" w:eastAsia="zh-CN"/>
              </w:rPr>
              <w:t>75.31</w:t>
            </w:r>
          </w:p>
        </w:tc>
      </w:tr>
      <w:tr>
        <w:tblPrEx>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eastAsiaTheme="minorEastAsia"/>
                <w:color w:val="000000"/>
                <w:sz w:val="24"/>
                <w:lang w:val="en-US" w:eastAsia="zh-CN"/>
              </w:rPr>
            </w:pPr>
            <w:r>
              <w:rPr>
                <w:rFonts w:hint="eastAsia" w:ascii="宋体" w:hAnsi="宋体" w:cs="宋体"/>
                <w:color w:val="000000"/>
                <w:sz w:val="24"/>
                <w:lang w:val="en-US" w:eastAsia="zh-CN"/>
              </w:rPr>
              <w:t>75.31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eastAsiaTheme="minorEastAsia"/>
                <w:color w:val="000000"/>
                <w:sz w:val="24"/>
                <w:lang w:val="en-US" w:eastAsia="zh-CN"/>
              </w:rPr>
            </w:pPr>
            <w:r>
              <w:rPr>
                <w:rFonts w:hint="eastAsia" w:ascii="宋体" w:hAnsi="宋体" w:cs="宋体"/>
                <w:color w:val="000000"/>
                <w:sz w:val="24"/>
                <w:lang w:val="en-US" w:eastAsia="zh-CN"/>
              </w:rPr>
              <w:t>75.31</w:t>
            </w:r>
          </w:p>
        </w:tc>
      </w:tr>
      <w:tr>
        <w:tblPrEx>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sz w:val="24"/>
                <w:szCs w:val="24"/>
                <w:lang w:eastAsia="zh-CN"/>
              </w:rPr>
              <w:t>巡察专项</w:t>
            </w:r>
            <w:r>
              <w:rPr>
                <w:rFonts w:hint="eastAsia" w:asciiTheme="minorEastAsia" w:hAnsiTheme="minorEastAsia" w:eastAsiaTheme="minorEastAsia" w:cstheme="minorEastAsia"/>
                <w:sz w:val="24"/>
                <w:szCs w:val="24"/>
              </w:rPr>
              <w:t>工作坚持执行财经纪律相关管理规定，做到各项收支安排使用符合事业发展计划和财政政策的要求，确保单位正常运行和重大项目的实施</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sz w:val="24"/>
                <w:szCs w:val="24"/>
              </w:rPr>
              <w:t>较好地完成了</w:t>
            </w:r>
            <w:r>
              <w:rPr>
                <w:rFonts w:hint="eastAsia" w:asciiTheme="minorEastAsia" w:hAnsiTheme="minorEastAsia" w:cstheme="minorEastAsia"/>
                <w:sz w:val="24"/>
                <w:szCs w:val="24"/>
                <w:lang w:val="en-US" w:eastAsia="zh-CN"/>
              </w:rPr>
              <w:t>2019</w:t>
            </w:r>
            <w:r>
              <w:rPr>
                <w:rFonts w:hint="eastAsia" w:asciiTheme="minorEastAsia" w:hAnsiTheme="minorEastAsia" w:eastAsiaTheme="minorEastAsia" w:cstheme="minorEastAsia"/>
                <w:sz w:val="24"/>
                <w:szCs w:val="24"/>
              </w:rPr>
              <w:t>年</w:t>
            </w:r>
            <w:r>
              <w:rPr>
                <w:rFonts w:hint="eastAsia" w:asciiTheme="minorEastAsia" w:hAnsiTheme="minorEastAsia" w:cstheme="minorEastAsia"/>
                <w:sz w:val="24"/>
                <w:szCs w:val="24"/>
                <w:lang w:eastAsia="zh-CN"/>
              </w:rPr>
              <w:t>项目</w:t>
            </w:r>
            <w:r>
              <w:rPr>
                <w:rFonts w:hint="eastAsia" w:asciiTheme="minorEastAsia" w:hAnsiTheme="minorEastAsia" w:eastAsiaTheme="minorEastAsia" w:cstheme="minorEastAsia"/>
                <w:sz w:val="24"/>
                <w:szCs w:val="24"/>
              </w:rPr>
              <w:t>任务，</w:t>
            </w:r>
            <w:r>
              <w:rPr>
                <w:rFonts w:hint="eastAsia" w:asciiTheme="minorEastAsia" w:hAnsiTheme="minorEastAsia" w:cstheme="minorEastAsia"/>
                <w:sz w:val="24"/>
                <w:szCs w:val="24"/>
                <w:lang w:eastAsia="zh-CN"/>
              </w:rPr>
              <w:t>提升</w:t>
            </w:r>
            <w:r>
              <w:rPr>
                <w:rFonts w:hint="eastAsia" w:asciiTheme="minorEastAsia" w:hAnsiTheme="minorEastAsia" w:eastAsiaTheme="minorEastAsia" w:cstheme="minorEastAsia"/>
                <w:sz w:val="24"/>
                <w:szCs w:val="24"/>
              </w:rPr>
              <w:t>执行情况</w:t>
            </w:r>
          </w:p>
        </w:tc>
      </w:tr>
      <w:tr>
        <w:tblPrEx>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Layout w:type="fixed"/>
          <w:tblCellMar>
            <w:top w:w="0" w:type="dxa"/>
            <w:left w:w="0" w:type="dxa"/>
            <w:bottom w:w="0" w:type="dxa"/>
            <w:right w:w="0" w:type="dxa"/>
          </w:tblCellMar>
        </w:tblPrEx>
        <w:trPr>
          <w:trHeight w:val="9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75.31</w:t>
            </w:r>
            <w:r>
              <w:rPr>
                <w:rFonts w:hint="eastAsia" w:ascii="宋体" w:hAnsi="宋体" w:cs="宋体"/>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75.31</w:t>
            </w:r>
            <w:r>
              <w:rPr>
                <w:rFonts w:hint="eastAsia" w:ascii="宋体" w:hAnsi="宋体" w:cs="宋体"/>
                <w:color w:val="000000"/>
                <w:sz w:val="24"/>
              </w:rPr>
              <w:t>万元</w:t>
            </w:r>
          </w:p>
        </w:tc>
      </w:tr>
      <w:tr>
        <w:tblPrEx>
          <w:tblLayout w:type="fixed"/>
          <w:tblCellMar>
            <w:top w:w="0" w:type="dxa"/>
            <w:left w:w="0" w:type="dxa"/>
            <w:bottom w:w="0" w:type="dxa"/>
            <w:right w:w="0" w:type="dxa"/>
          </w:tblCellMar>
        </w:tblPrEx>
        <w:trPr>
          <w:trHeight w:val="79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完成时限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2019年12月前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2019年</w:t>
            </w:r>
            <w:r>
              <w:rPr>
                <w:rFonts w:hint="eastAsia" w:ascii="宋体" w:hAnsi="宋体" w:cs="宋体"/>
                <w:color w:val="000000"/>
                <w:sz w:val="24"/>
                <w:lang w:val="en-US" w:eastAsia="zh-CN"/>
              </w:rPr>
              <w:t>12</w:t>
            </w:r>
            <w:r>
              <w:rPr>
                <w:rFonts w:hint="eastAsia" w:ascii="宋体" w:hAnsi="宋体" w:cs="宋体"/>
                <w:color w:val="000000"/>
                <w:sz w:val="24"/>
              </w:rPr>
              <w:t>月</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Theme="minorEastAsia" w:hAnsiTheme="minorEastAsia" w:eastAsiaTheme="minorEastAsia" w:cstheme="minorEastAsia"/>
                <w:color w:val="000000"/>
                <w:sz w:val="24"/>
              </w:rPr>
            </w:pPr>
            <w:r>
              <w:rPr>
                <w:rFonts w:hint="eastAsia" w:asciiTheme="minorEastAsia" w:hAnsiTheme="minorEastAsia" w:cstheme="minorEastAsia"/>
                <w:sz w:val="24"/>
                <w:szCs w:val="24"/>
                <w:lang w:eastAsia="zh-CN"/>
              </w:rPr>
              <w:t>提高</w:t>
            </w:r>
            <w:r>
              <w:rPr>
                <w:rFonts w:hint="eastAsia" w:asciiTheme="minorEastAsia" w:hAnsiTheme="minorEastAsia" w:eastAsiaTheme="minorEastAsia" w:cstheme="minorEastAsia"/>
                <w:sz w:val="24"/>
                <w:szCs w:val="24"/>
                <w:lang w:eastAsia="zh-CN"/>
              </w:rPr>
              <w:t>工作人员巡察差旅费及办公费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sz w:val="24"/>
                <w:szCs w:val="24"/>
              </w:rPr>
              <w:t>通过项目实施，</w:t>
            </w:r>
            <w:r>
              <w:rPr>
                <w:rFonts w:hint="eastAsia" w:asciiTheme="minorEastAsia" w:hAnsiTheme="minorEastAsia" w:eastAsiaTheme="minorEastAsia" w:cstheme="minorEastAsia"/>
                <w:sz w:val="24"/>
                <w:szCs w:val="24"/>
                <w:lang w:eastAsia="zh-CN"/>
              </w:rPr>
              <w:t>保障了我委工作人员巡察差旅费及办公费</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sz w:val="24"/>
                <w:szCs w:val="24"/>
              </w:rPr>
              <w:t>较好地</w:t>
            </w:r>
            <w:r>
              <w:rPr>
                <w:rFonts w:hint="eastAsia" w:asciiTheme="minorEastAsia" w:hAnsiTheme="minorEastAsia" w:cstheme="minorEastAsia"/>
                <w:sz w:val="24"/>
                <w:szCs w:val="24"/>
                <w:lang w:eastAsia="zh-CN"/>
              </w:rPr>
              <w:t>提升</w:t>
            </w:r>
            <w:r>
              <w:rPr>
                <w:rFonts w:hint="eastAsia" w:asciiTheme="minorEastAsia" w:hAnsiTheme="minorEastAsia" w:eastAsiaTheme="minorEastAsia" w:cstheme="minorEastAsia"/>
                <w:sz w:val="24"/>
                <w:szCs w:val="24"/>
              </w:rPr>
              <w:t>执行情况</w:t>
            </w:r>
          </w:p>
        </w:tc>
      </w:tr>
      <w:tr>
        <w:tblPrEx>
          <w:tblLayout w:type="fixed"/>
          <w:tblCellMar>
            <w:top w:w="0" w:type="dxa"/>
            <w:left w:w="0" w:type="dxa"/>
            <w:bottom w:w="0" w:type="dxa"/>
            <w:right w:w="0" w:type="dxa"/>
          </w:tblCellMar>
        </w:tblPrEx>
        <w:trPr>
          <w:trHeight w:val="11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项目完成率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bl>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部门绩效评价结果</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本部门按要求对2019年部门整体支出绩效评价情况开展自评，《中共阿坝州委</w:t>
      </w:r>
      <w:r>
        <w:rPr>
          <w:rFonts w:hint="eastAsia" w:ascii="仿宋_GB2312" w:hAnsi="仿宋_GB2312" w:eastAsia="仿宋_GB2312" w:cs="仿宋_GB2312"/>
          <w:sz w:val="32"/>
          <w:szCs w:val="32"/>
          <w:lang w:eastAsia="zh-CN"/>
        </w:rPr>
        <w:t>巡察工作领导小组办公室</w:t>
      </w:r>
      <w:r>
        <w:rPr>
          <w:rFonts w:hint="eastAsia" w:ascii="仿宋_GB2312" w:hAnsi="仿宋_GB2312" w:eastAsia="仿宋_GB2312" w:cs="仿宋_GB2312"/>
          <w:sz w:val="32"/>
          <w:szCs w:val="32"/>
        </w:rPr>
        <w:t>2019年部门整体支出绩效评价报告》见附件（附件1）。</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eastAsia="zh-CN"/>
        </w:rPr>
        <w:t>巡察专项经费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项目开展了绩效评价，《中共阿坝州委</w:t>
      </w:r>
      <w:r>
        <w:rPr>
          <w:rFonts w:hint="eastAsia" w:ascii="仿宋_GB2312" w:hAnsi="仿宋_GB2312" w:eastAsia="仿宋_GB2312" w:cs="仿宋_GB2312"/>
          <w:sz w:val="32"/>
          <w:szCs w:val="32"/>
          <w:lang w:eastAsia="zh-CN"/>
        </w:rPr>
        <w:t>巡察工作领导小组办公室</w:t>
      </w:r>
      <w:r>
        <w:rPr>
          <w:rFonts w:hint="eastAsia" w:ascii="仿宋_GB2312" w:hAnsi="仿宋_GB2312" w:eastAsia="仿宋_GB2312" w:cs="仿宋_GB2312"/>
          <w:sz w:val="32"/>
          <w:szCs w:val="32"/>
        </w:rPr>
        <w:t>2019年项目绩效评价报告》见附件（附件2）。</w:t>
      </w: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lang w:val="en-US" w:eastAsia="zh-CN"/>
        </w:rPr>
      </w:pPr>
    </w:p>
    <w:p>
      <w:pPr>
        <w:pStyle w:val="7"/>
        <w:shd w:val="clear" w:color="auto" w:fill="FFFFFF"/>
        <w:snapToGrid w:val="0"/>
        <w:jc w:val="center"/>
        <w:outlineLvl w:val="0"/>
        <w:rPr>
          <w:rFonts w:hint="eastAsia" w:ascii="黑体" w:hAnsi="宋体" w:eastAsia="黑体" w:cs="黑体"/>
          <w:b/>
          <w:sz w:val="44"/>
          <w:szCs w:val="44"/>
          <w:shd w:val="clear" w:color="auto" w:fill="FFFFFF"/>
          <w:lang w:val="en-US" w:eastAsia="zh-CN"/>
        </w:rPr>
      </w:pPr>
      <w:r>
        <w:rPr>
          <w:rFonts w:hint="eastAsia" w:ascii="黑体" w:hAnsi="宋体" w:eastAsia="黑体" w:cs="黑体"/>
          <w:b/>
          <w:sz w:val="44"/>
          <w:szCs w:val="44"/>
          <w:shd w:val="clear" w:color="auto" w:fill="FFFFFF"/>
          <w:lang w:val="en-US" w:eastAsia="zh-CN"/>
        </w:rPr>
        <w:t>第三部分</w:t>
      </w:r>
      <w:r>
        <w:rPr>
          <w:rFonts w:hint="eastAsia" w:ascii="黑体" w:eastAsia="黑体" w:cs="黑体"/>
          <w:b/>
          <w:sz w:val="44"/>
          <w:szCs w:val="44"/>
          <w:shd w:val="clear" w:color="auto" w:fill="FFFFFF"/>
          <w:lang w:val="en-US" w:eastAsia="zh-CN"/>
        </w:rPr>
        <w:t xml:space="preserve">  </w:t>
      </w:r>
      <w:r>
        <w:rPr>
          <w:rFonts w:hint="eastAsia" w:ascii="黑体" w:hAnsi="宋体" w:eastAsia="黑体" w:cs="黑体"/>
          <w:b/>
          <w:sz w:val="44"/>
          <w:szCs w:val="44"/>
          <w:shd w:val="clear" w:color="auto" w:fill="FFFFFF"/>
          <w:lang w:val="en-US" w:eastAsia="zh-CN"/>
        </w:rPr>
        <w:t>名词解释</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1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pPr>
        <w:pStyle w:val="1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pStyle w:val="1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1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4.其他收入：指单位取得的除上述收入以外的各项收入。主要是利息收入（收入类型）等。 </w:t>
      </w:r>
    </w:p>
    <w:p>
      <w:pPr>
        <w:pStyle w:val="1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1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pStyle w:val="1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7.结余分配：指事业单位按照事业单位会计制度的规定从非财政补助结余中分配的事业基金和职工福利基金等。</w:t>
      </w:r>
    </w:p>
    <w:p>
      <w:pPr>
        <w:pStyle w:val="1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9.一般公共服务（类）纪检监察事务（款）</w:t>
      </w:r>
      <w:r>
        <w:rPr>
          <w:rFonts w:hint="eastAsia" w:ascii="仿宋_GB2312" w:eastAsia="仿宋_GB2312"/>
          <w:color w:val="000000"/>
          <w:sz w:val="32"/>
          <w:szCs w:val="32"/>
          <w:lang w:eastAsia="zh-CN"/>
        </w:rPr>
        <w:t>事业运行</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州纪委监委下属事业单位</w:t>
      </w:r>
      <w:r>
        <w:rPr>
          <w:rFonts w:hint="eastAsia" w:ascii="仿宋_GB2312" w:eastAsia="仿宋_GB2312"/>
          <w:color w:val="000000"/>
          <w:sz w:val="32"/>
          <w:szCs w:val="32"/>
        </w:rPr>
        <w:t>的基本支出。</w:t>
      </w:r>
    </w:p>
    <w:p>
      <w:pPr>
        <w:numPr>
          <w:ilvl w:val="0"/>
          <w:numId w:val="0"/>
        </w:numPr>
        <w:ind w:leftChars="200" w:right="0" w:rightChars="0"/>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社会保障和就业支出（类）行政事业单位离退休（款）机关事业单位基本养老保险缴费（项）：指机关事业单位实施养老保险制度由单位缴纳的基本养老保险费支出。</w:t>
      </w:r>
    </w:p>
    <w:p>
      <w:pPr>
        <w:numPr>
          <w:ilvl w:val="0"/>
          <w:numId w:val="1"/>
        </w:num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社会保障和就业支出（类）行政事业单位离退休（款）机关事业单位职业年金缴费（项）：指事业单位实施养老保险制度由单位实际缴纳的职业年金支出。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13.医疗卫生与计划生育（类）医疗保障（款）</w:t>
      </w:r>
      <w:r>
        <w:rPr>
          <w:rFonts w:hint="eastAsia" w:ascii="仿宋_GB2312" w:eastAsia="仿宋_GB2312"/>
          <w:color w:val="000000"/>
          <w:sz w:val="32"/>
          <w:szCs w:val="32"/>
          <w:lang w:eastAsia="zh-CN"/>
        </w:rPr>
        <w:t>事业</w:t>
      </w:r>
      <w:r>
        <w:rPr>
          <w:rFonts w:hint="eastAsia" w:ascii="仿宋_GB2312" w:eastAsia="仿宋_GB2312"/>
          <w:color w:val="000000"/>
          <w:sz w:val="32"/>
          <w:szCs w:val="32"/>
        </w:rPr>
        <w:t>单位医疗（项）：指由</w:t>
      </w:r>
      <w:r>
        <w:rPr>
          <w:rFonts w:hint="eastAsia" w:ascii="仿宋_GB2312" w:eastAsia="仿宋_GB2312"/>
          <w:color w:val="000000"/>
          <w:sz w:val="32"/>
          <w:szCs w:val="32"/>
          <w:lang w:eastAsia="zh-CN"/>
        </w:rPr>
        <w:t>事业</w:t>
      </w:r>
      <w:r>
        <w:rPr>
          <w:rFonts w:hint="eastAsia" w:ascii="仿宋_GB2312" w:eastAsia="仿宋_GB2312"/>
          <w:color w:val="000000"/>
          <w:sz w:val="32"/>
          <w:szCs w:val="32"/>
        </w:rPr>
        <w:t>单位缴纳的医疗保险费支出。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14.住房保障（类）住房改革（款）住房公积金（项）：按人力资源和社会保障部、财政部规定的基本工资和津补贴以及规定比例为职工缴纳的住房公积金。</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15.基本支出：指为保障机构正常运转、完成日常工作任务而发生的人员支出和公用支出。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 xml:space="preserve">16.项目支出：指在基本支出之外为完成特定行政任务和事业发展目标所发生的支出。 </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17.经营支出：指事业单位在专业业务活动及其辅助活动之外开展非独立核算经营活动发生的支出。</w:t>
      </w:r>
    </w:p>
    <w:p>
      <w:pPr>
        <w:pStyle w:val="1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3"/>
        <w:spacing w:line="560" w:lineRule="exact"/>
        <w:rPr>
          <w:rFonts w:hint="eastAsia" w:ascii="仿宋_GB2312" w:eastAsia="仿宋_GB2312"/>
          <w:sz w:val="32"/>
          <w:szCs w:val="32"/>
        </w:rPr>
      </w:pPr>
    </w:p>
    <w:p>
      <w:pPr>
        <w:pStyle w:val="13"/>
        <w:spacing w:line="560" w:lineRule="exact"/>
        <w:rPr>
          <w:rFonts w:hint="eastAsia" w:ascii="仿宋_GB2312" w:eastAsia="仿宋_GB2312"/>
          <w:sz w:val="32"/>
          <w:szCs w:val="32"/>
        </w:rPr>
      </w:pPr>
    </w:p>
    <w:p>
      <w:pPr>
        <w:pStyle w:val="13"/>
        <w:spacing w:line="560" w:lineRule="exact"/>
        <w:rPr>
          <w:rFonts w:hint="eastAsia" w:ascii="仿宋_GB2312" w:eastAsia="仿宋_GB2312"/>
          <w:sz w:val="32"/>
          <w:szCs w:val="32"/>
        </w:rPr>
      </w:pPr>
    </w:p>
    <w:p>
      <w:pPr>
        <w:pStyle w:val="13"/>
        <w:spacing w:line="560" w:lineRule="exact"/>
        <w:rPr>
          <w:rFonts w:hint="eastAsia" w:ascii="仿宋_GB2312" w:eastAsia="仿宋_GB2312"/>
          <w:sz w:val="32"/>
          <w:szCs w:val="32"/>
        </w:rPr>
      </w:pPr>
    </w:p>
    <w:p>
      <w:pPr>
        <w:pStyle w:val="13"/>
        <w:spacing w:line="560" w:lineRule="exact"/>
        <w:rPr>
          <w:rFonts w:hint="eastAsia" w:ascii="仿宋_GB2312" w:eastAsia="仿宋_GB2312"/>
          <w:sz w:val="32"/>
          <w:szCs w:val="32"/>
        </w:rPr>
      </w:pPr>
    </w:p>
    <w:p>
      <w:pPr>
        <w:pStyle w:val="13"/>
        <w:spacing w:line="560" w:lineRule="exact"/>
        <w:rPr>
          <w:rFonts w:hint="eastAsia" w:ascii="仿宋_GB2312" w:eastAsia="仿宋_GB2312"/>
          <w:sz w:val="32"/>
          <w:szCs w:val="32"/>
        </w:rPr>
      </w:pPr>
    </w:p>
    <w:p>
      <w:pPr>
        <w:pStyle w:val="13"/>
        <w:spacing w:line="560" w:lineRule="exact"/>
        <w:rPr>
          <w:rFonts w:hint="eastAsia" w:ascii="仿宋_GB2312" w:eastAsia="仿宋_GB2312"/>
          <w:sz w:val="32"/>
          <w:szCs w:val="32"/>
        </w:rPr>
      </w:pPr>
    </w:p>
    <w:p>
      <w:pPr>
        <w:pStyle w:val="13"/>
        <w:spacing w:line="560" w:lineRule="exact"/>
        <w:rPr>
          <w:rFonts w:hint="eastAsia" w:ascii="仿宋_GB2312" w:eastAsia="仿宋_GB2312"/>
          <w:sz w:val="32"/>
          <w:szCs w:val="32"/>
        </w:rPr>
      </w:pPr>
    </w:p>
    <w:p>
      <w:pPr>
        <w:pStyle w:val="13"/>
        <w:spacing w:line="560" w:lineRule="exact"/>
        <w:rPr>
          <w:rFonts w:hint="eastAsia" w:ascii="仿宋_GB2312" w:eastAsia="仿宋_GB2312"/>
          <w:sz w:val="32"/>
          <w:szCs w:val="32"/>
        </w:rPr>
      </w:pPr>
    </w:p>
    <w:p>
      <w:pPr>
        <w:pStyle w:val="13"/>
        <w:spacing w:line="560" w:lineRule="exact"/>
        <w:rPr>
          <w:rFonts w:hint="eastAsia" w:ascii="仿宋_GB2312" w:eastAsia="仿宋_GB2312"/>
          <w:sz w:val="32"/>
          <w:szCs w:val="32"/>
        </w:rPr>
      </w:pPr>
    </w:p>
    <w:p>
      <w:pPr>
        <w:pStyle w:val="13"/>
        <w:spacing w:line="560" w:lineRule="exact"/>
        <w:rPr>
          <w:rFonts w:hint="eastAsia" w:ascii="仿宋_GB2312" w:eastAsia="仿宋_GB2312"/>
          <w:sz w:val="32"/>
          <w:szCs w:val="32"/>
        </w:rPr>
      </w:pPr>
    </w:p>
    <w:p>
      <w:pPr>
        <w:pStyle w:val="13"/>
        <w:spacing w:line="560" w:lineRule="exact"/>
        <w:rPr>
          <w:rFonts w:hint="eastAsia" w:ascii="仿宋_GB2312" w:eastAsia="仿宋_GB2312"/>
          <w:sz w:val="32"/>
          <w:szCs w:val="32"/>
        </w:rPr>
      </w:pPr>
    </w:p>
    <w:p>
      <w:pPr>
        <w:pStyle w:val="13"/>
        <w:spacing w:line="560" w:lineRule="exact"/>
        <w:rPr>
          <w:rFonts w:hint="eastAsia" w:ascii="仿宋_GB2312" w:eastAsia="仿宋_GB2312"/>
          <w:sz w:val="32"/>
          <w:szCs w:val="32"/>
        </w:rPr>
      </w:pPr>
    </w:p>
    <w:p>
      <w:pPr>
        <w:pStyle w:val="7"/>
        <w:shd w:val="clear" w:color="auto" w:fill="FFFFFF"/>
        <w:snapToGrid w:val="0"/>
        <w:jc w:val="center"/>
        <w:outlineLvl w:val="0"/>
        <w:rPr>
          <w:rFonts w:hint="eastAsia" w:ascii="黑体" w:eastAsia="黑体" w:cs="黑体"/>
          <w:b/>
          <w:sz w:val="44"/>
          <w:szCs w:val="44"/>
          <w:shd w:val="clear" w:color="auto" w:fill="FFFFFF"/>
          <w:lang w:val="en-US" w:eastAsia="zh-CN"/>
        </w:rPr>
      </w:pPr>
      <w:bookmarkStart w:id="21" w:name="_Toc1621"/>
      <w:bookmarkStart w:id="22" w:name="_Toc2070"/>
      <w:bookmarkStart w:id="23" w:name="_Toc8510"/>
      <w:bookmarkStart w:id="24" w:name="_Toc28388"/>
      <w:bookmarkStart w:id="25" w:name="_Toc29530"/>
      <w:bookmarkStart w:id="26" w:name="_Toc7673"/>
      <w:bookmarkStart w:id="27" w:name="_Toc29469"/>
      <w:bookmarkStart w:id="28" w:name="_Toc4233"/>
      <w:bookmarkStart w:id="29" w:name="_Toc22774"/>
      <w:bookmarkStart w:id="30" w:name="_Toc10363"/>
      <w:bookmarkStart w:id="31" w:name="_Toc22558"/>
      <w:bookmarkStart w:id="32" w:name="_Toc4020"/>
      <w:bookmarkStart w:id="33" w:name="_Toc2336"/>
      <w:r>
        <w:rPr>
          <w:rFonts w:hint="eastAsia" w:ascii="黑体" w:hAnsi="宋体" w:eastAsia="黑体" w:cs="黑体"/>
          <w:b/>
          <w:sz w:val="44"/>
          <w:szCs w:val="44"/>
          <w:shd w:val="clear" w:color="auto" w:fill="FFFFFF"/>
          <w:lang w:val="en-US" w:eastAsia="zh-CN"/>
        </w:rPr>
        <w:t>第</w:t>
      </w:r>
      <w:r>
        <w:rPr>
          <w:rFonts w:hint="eastAsia" w:ascii="黑体" w:eastAsia="黑体" w:cs="黑体"/>
          <w:b/>
          <w:sz w:val="44"/>
          <w:szCs w:val="44"/>
          <w:shd w:val="clear" w:color="auto" w:fill="FFFFFF"/>
          <w:lang w:val="en-US" w:eastAsia="zh-CN"/>
        </w:rPr>
        <w:t>四</w:t>
      </w:r>
      <w:r>
        <w:rPr>
          <w:rFonts w:hint="eastAsia" w:ascii="黑体" w:hAnsi="宋体" w:eastAsia="黑体" w:cs="黑体"/>
          <w:b/>
          <w:sz w:val="44"/>
          <w:szCs w:val="44"/>
          <w:shd w:val="clear" w:color="auto" w:fill="FFFFFF"/>
          <w:lang w:val="en-US" w:eastAsia="zh-CN"/>
        </w:rPr>
        <w:t>部分</w:t>
      </w:r>
      <w:r>
        <w:rPr>
          <w:rFonts w:hint="eastAsia" w:ascii="黑体" w:eastAsia="黑体" w:cs="黑体"/>
          <w:b/>
          <w:sz w:val="44"/>
          <w:szCs w:val="44"/>
          <w:shd w:val="clear" w:color="auto" w:fill="FFFFFF"/>
          <w:lang w:val="en-US" w:eastAsia="zh-CN"/>
        </w:rPr>
        <w:t xml:space="preserve">  </w:t>
      </w:r>
      <w:r>
        <w:rPr>
          <w:rFonts w:hint="eastAsia" w:ascii="黑体" w:hAnsi="宋体" w:eastAsia="黑体" w:cs="黑体"/>
          <w:b/>
          <w:sz w:val="44"/>
          <w:szCs w:val="44"/>
          <w:shd w:val="clear" w:color="auto" w:fill="FFFFFF"/>
          <w:lang w:val="en-US" w:eastAsia="zh-CN"/>
        </w:rPr>
        <w:t>附</w:t>
      </w:r>
      <w:r>
        <w:rPr>
          <w:rFonts w:hint="eastAsia" w:ascii="黑体" w:eastAsia="黑体" w:cs="黑体"/>
          <w:b/>
          <w:sz w:val="44"/>
          <w:szCs w:val="44"/>
          <w:shd w:val="clear" w:color="auto" w:fill="FFFFFF"/>
          <w:lang w:val="en-US" w:eastAsia="zh-CN"/>
        </w:rPr>
        <w:t>件</w:t>
      </w:r>
    </w:p>
    <w:p>
      <w:pPr>
        <w:pStyle w:val="7"/>
        <w:shd w:val="clear" w:color="auto" w:fill="FFFFFF"/>
        <w:snapToGrid w:val="0"/>
        <w:jc w:val="both"/>
        <w:outlineLvl w:val="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附件1：</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sz w:val="44"/>
          <w:szCs w:val="44"/>
        </w:rPr>
        <w:t>中共阿坝州委巡察工作领导小组办公室</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b w:val="0"/>
          <w:bCs w:val="0"/>
          <w:sz w:val="44"/>
          <w:szCs w:val="44"/>
        </w:rPr>
      </w:pPr>
      <w:r>
        <w:rPr>
          <w:rFonts w:hint="eastAsia" w:ascii="Times New Roman" w:hAnsi="Times New Roman" w:eastAsia="方正小标宋简体" w:cs="Times New Roman"/>
          <w:b w:val="0"/>
          <w:bCs w:val="0"/>
          <w:sz w:val="44"/>
          <w:szCs w:val="44"/>
          <w:lang w:val="en-US" w:eastAsia="zh-CN"/>
        </w:rPr>
        <w:t>2019</w:t>
      </w:r>
      <w:r>
        <w:rPr>
          <w:rFonts w:hint="default" w:ascii="Times New Roman" w:hAnsi="Times New Roman" w:eastAsia="方正小标宋简体" w:cs="Times New Roman"/>
          <w:b w:val="0"/>
          <w:bCs w:val="0"/>
          <w:sz w:val="44"/>
          <w:szCs w:val="44"/>
        </w:rPr>
        <w:t>年部门整体支出绩效</w:t>
      </w:r>
      <w:r>
        <w:rPr>
          <w:rFonts w:hint="eastAsia" w:ascii="Times New Roman" w:hAnsi="Times New Roman" w:eastAsia="方正小标宋简体" w:cs="Times New Roman"/>
          <w:b w:val="0"/>
          <w:bCs w:val="0"/>
          <w:sz w:val="44"/>
          <w:szCs w:val="44"/>
          <w:lang w:eastAsia="zh-CN"/>
        </w:rPr>
        <w:t>评价</w:t>
      </w:r>
      <w:r>
        <w:rPr>
          <w:rFonts w:hint="default" w:ascii="Times New Roman" w:hAnsi="Times New Roman" w:eastAsia="方正小标宋简体" w:cs="Times New Roman"/>
          <w:b w:val="0"/>
          <w:bCs w:val="0"/>
          <w:sz w:val="44"/>
          <w:szCs w:val="44"/>
        </w:rPr>
        <w:t>报告</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b w:val="0"/>
          <w:bCs w:val="0"/>
          <w:sz w:val="44"/>
          <w:szCs w:val="44"/>
        </w:rPr>
      </w:pPr>
    </w:p>
    <w:p>
      <w:pPr>
        <w:keepNext w:val="0"/>
        <w:keepLines w:val="0"/>
        <w:pageBreakBefore w:val="0"/>
        <w:widowControl w:val="0"/>
        <w:kinsoku/>
        <w:wordWrap/>
        <w:overflowPunct/>
        <w:topLinePunct w:val="0"/>
        <w:autoSpaceDE/>
        <w:autoSpaceDN/>
        <w:bidi w:val="0"/>
        <w:adjustRightInd/>
        <w:spacing w:line="576" w:lineRule="exact"/>
        <w:ind w:firstLine="643" w:firstLineChars="200"/>
        <w:textAlignment w:val="auto"/>
        <w:rPr>
          <w:rFonts w:hint="eastAsia" w:ascii="Times New Roman" w:hAnsi="Times New Roman" w:eastAsia="黑体" w:cs="Times New Roman"/>
          <w:b/>
          <w:bCs/>
          <w:sz w:val="32"/>
          <w:szCs w:val="32"/>
          <w:lang w:eastAsia="zh-CN"/>
        </w:rPr>
      </w:pPr>
      <w:r>
        <w:rPr>
          <w:rFonts w:hint="default" w:ascii="Times New Roman" w:hAnsi="Times New Roman" w:eastAsia="黑体" w:cs="Times New Roman"/>
          <w:b/>
          <w:bCs/>
          <w:sz w:val="32"/>
          <w:szCs w:val="32"/>
        </w:rPr>
        <w:t>一、</w:t>
      </w:r>
      <w:r>
        <w:rPr>
          <w:rFonts w:hint="eastAsia" w:ascii="Times New Roman" w:hAnsi="Times New Roman" w:eastAsia="黑体" w:cs="Times New Roman"/>
          <w:b/>
          <w:bCs/>
          <w:sz w:val="32"/>
          <w:szCs w:val="32"/>
          <w:lang w:eastAsia="zh-CN"/>
        </w:rPr>
        <w:t>部门概况</w:t>
      </w:r>
    </w:p>
    <w:p>
      <w:pPr>
        <w:keepNext w:val="0"/>
        <w:keepLines w:val="0"/>
        <w:pageBreakBefore w:val="0"/>
        <w:widowControl w:val="0"/>
        <w:kinsoku/>
        <w:wordWrap/>
        <w:overflowPunct/>
        <w:topLinePunct w:val="0"/>
        <w:autoSpaceDE/>
        <w:autoSpaceDN/>
        <w:bidi w:val="0"/>
        <w:adjustRightInd/>
        <w:snapToGrid w:val="0"/>
        <w:spacing w:line="576"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w:t>
      </w:r>
      <w:r>
        <w:rPr>
          <w:rFonts w:hint="eastAsia" w:ascii="Times New Roman" w:hAnsi="Times New Roman" w:eastAsia="方正楷体_GBK" w:cs="Times New Roman"/>
          <w:b/>
          <w:bCs/>
          <w:sz w:val="32"/>
          <w:szCs w:val="32"/>
          <w:lang w:eastAsia="zh-CN"/>
        </w:rPr>
        <w:t>一</w:t>
      </w:r>
      <w:r>
        <w:rPr>
          <w:rFonts w:hint="default" w:ascii="Times New Roman" w:hAnsi="Times New Roman" w:eastAsia="方正楷体_GBK" w:cs="Times New Roman"/>
          <w:b/>
          <w:bCs/>
          <w:sz w:val="32"/>
          <w:szCs w:val="32"/>
        </w:rPr>
        <w:t>）机构组成</w:t>
      </w:r>
    </w:p>
    <w:p>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Times New Roman" w:hAnsi="Times New Roman" w:eastAsia="黑体" w:cs="Times New Roman"/>
          <w:sz w:val="32"/>
          <w:szCs w:val="32"/>
          <w:lang w:eastAsia="zh-CN"/>
        </w:rPr>
      </w:pPr>
      <w:r>
        <w:rPr>
          <w:rFonts w:hint="default" w:ascii="Times New Roman" w:hAnsi="Times New Roman" w:eastAsia="仿宋_GB2312" w:cs="Times New Roman"/>
          <w:sz w:val="32"/>
          <w:szCs w:val="32"/>
        </w:rPr>
        <w:t>州委巡察办下设综合室、巡察室2个工作机构。以上机构设置与三定方案相符，无违规滥设机构行为。</w:t>
      </w:r>
    </w:p>
    <w:p>
      <w:pPr>
        <w:keepNext w:val="0"/>
        <w:keepLines w:val="0"/>
        <w:pageBreakBefore w:val="0"/>
        <w:widowControl w:val="0"/>
        <w:kinsoku/>
        <w:wordWrap/>
        <w:overflowPunct/>
        <w:topLinePunct w:val="0"/>
        <w:autoSpaceDE/>
        <w:autoSpaceDN/>
        <w:bidi w:val="0"/>
        <w:adjustRightInd/>
        <w:snapToGrid w:val="0"/>
        <w:spacing w:line="576"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w:t>
      </w:r>
      <w:r>
        <w:rPr>
          <w:rFonts w:hint="eastAsia" w:ascii="Times New Roman" w:hAnsi="Times New Roman" w:eastAsia="方正楷体_GBK" w:cs="Times New Roman"/>
          <w:b/>
          <w:bCs/>
          <w:sz w:val="32"/>
          <w:szCs w:val="32"/>
          <w:lang w:eastAsia="zh-CN"/>
        </w:rPr>
        <w:t>二</w:t>
      </w:r>
      <w:r>
        <w:rPr>
          <w:rFonts w:hint="default" w:ascii="Times New Roman" w:hAnsi="Times New Roman" w:eastAsia="方正楷体_GBK" w:cs="Times New Roman"/>
          <w:b/>
          <w:bCs/>
          <w:sz w:val="32"/>
          <w:szCs w:val="32"/>
        </w:rPr>
        <w:t>）机构职能</w:t>
      </w:r>
    </w:p>
    <w:p>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主要职向省委巡视工作领导小组办公室报送巡察工作规划、年度计划、年度巡察工作总结、</w:t>
      </w:r>
      <w:r>
        <w:rPr>
          <w:rFonts w:hint="default" w:ascii="Times New Roman" w:hAnsi="Times New Roman" w:eastAsia="仿宋_GB2312" w:cs="Times New Roman"/>
          <w:spacing w:val="-20"/>
          <w:sz w:val="32"/>
          <w:szCs w:val="32"/>
        </w:rPr>
        <w:t>重要情况和信息；</w:t>
      </w:r>
      <w:r>
        <w:rPr>
          <w:rFonts w:hint="default" w:ascii="Times New Roman" w:hAnsi="Times New Roman" w:eastAsia="仿宋_GB2312" w:cs="Times New Roman"/>
          <w:sz w:val="32"/>
          <w:szCs w:val="32"/>
        </w:rPr>
        <w:t>向州委巡察工作领导小组报告工作情况，传达贯彻州委巡察工作领导小组的决策和部署；统筹、协调、指导巡察组开展工作；承担政策研究、制度建设等工作；对州委和州委巡察工作领导小组决定的事项进行督办；配合州纪委、州委组织部等部门对巡察工作人员进行培训、考核、监督和管理；健全与纪检、政法、组织、审计、信访等机关和部门的联系机制，负责与其进行沟通衔接；办理州委巡察工作领导小组和上级巡视工作领导小组办公室交办的其他事项。</w:t>
      </w:r>
    </w:p>
    <w:p>
      <w:pPr>
        <w:keepNext w:val="0"/>
        <w:keepLines w:val="0"/>
        <w:pageBreakBefore w:val="0"/>
        <w:widowControl w:val="0"/>
        <w:kinsoku/>
        <w:wordWrap/>
        <w:overflowPunct/>
        <w:topLinePunct w:val="0"/>
        <w:autoSpaceDE/>
        <w:autoSpaceDN/>
        <w:bidi w:val="0"/>
        <w:adjustRightInd/>
        <w:snapToGrid w:val="0"/>
        <w:spacing w:line="576" w:lineRule="exact"/>
        <w:textAlignment w:val="auto"/>
        <w:rPr>
          <w:rFonts w:hint="default" w:ascii="Times New Roman" w:hAnsi="Times New Roman" w:eastAsia="方正楷体_GBK" w:cs="Times New Roman"/>
          <w:b/>
          <w:bCs/>
          <w:sz w:val="32"/>
          <w:szCs w:val="32"/>
        </w:rPr>
        <w:sectPr>
          <w:footerReference r:id="rId3" w:type="default"/>
          <w:pgSz w:w="11906" w:h="16838"/>
          <w:pgMar w:top="2098" w:right="1474" w:bottom="1984" w:left="1587" w:header="851" w:footer="992" w:gutter="0"/>
          <w:pgNumType w:fmt="numberInDash" w:start="1"/>
          <w:cols w:space="0" w:num="1"/>
          <w:docGrid w:type="lines" w:linePitch="312" w:charSpace="0"/>
        </w:sectPr>
      </w:pPr>
    </w:p>
    <w:p>
      <w:pPr>
        <w:keepNext w:val="0"/>
        <w:keepLines w:val="0"/>
        <w:pageBreakBefore w:val="0"/>
        <w:widowControl w:val="0"/>
        <w:kinsoku/>
        <w:wordWrap/>
        <w:overflowPunct/>
        <w:topLinePunct w:val="0"/>
        <w:autoSpaceDE/>
        <w:autoSpaceDN/>
        <w:bidi w:val="0"/>
        <w:adjustRightInd/>
        <w:snapToGrid w:val="0"/>
        <w:spacing w:line="576" w:lineRule="exact"/>
        <w:ind w:firstLine="643" w:firstLineChars="200"/>
        <w:textAlignment w:val="auto"/>
        <w:rPr>
          <w:rFonts w:hint="default" w:ascii="Times New Roman" w:hAnsi="Times New Roman" w:eastAsia="方正楷体_GBK" w:cs="Times New Roman"/>
          <w:b/>
          <w:bCs/>
          <w:sz w:val="32"/>
          <w:szCs w:val="32"/>
          <w:lang w:val="en-US" w:eastAsia="zh-CN"/>
        </w:rPr>
      </w:pPr>
      <w:r>
        <w:rPr>
          <w:rFonts w:hint="default" w:ascii="Times New Roman" w:hAnsi="Times New Roman" w:eastAsia="方正楷体_GBK" w:cs="Times New Roman"/>
          <w:b/>
          <w:bCs/>
          <w:sz w:val="32"/>
          <w:szCs w:val="32"/>
        </w:rPr>
        <w:t>（三）人员概况</w:t>
      </w:r>
    </w:p>
    <w:p>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员情况，州委巡察办行政编制12名，其中，巡察办主任1名、副主任1名，巡察组组长4名（正县级），副组长4名（副县级），巡察专员4名（由副组长兼任）；科级领导职数2名。机关工勤人员事业编制2名。年末，实际有巡察办主任、副主任各1名，巡察组组长4名，副组长2名，科级领导2名，共10人。</w:t>
      </w:r>
    </w:p>
    <w:p>
      <w:pPr>
        <w:keepNext w:val="0"/>
        <w:keepLines w:val="0"/>
        <w:pageBreakBefore w:val="0"/>
        <w:widowControl w:val="0"/>
        <w:kinsoku/>
        <w:wordWrap/>
        <w:overflowPunct/>
        <w:topLinePunct w:val="0"/>
        <w:autoSpaceDE/>
        <w:autoSpaceDN/>
        <w:bidi w:val="0"/>
        <w:adjustRightInd/>
        <w:spacing w:line="576" w:lineRule="exact"/>
        <w:ind w:firstLine="643"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rPr>
        <w:t>二、部门财政资金收支情况</w:t>
      </w:r>
    </w:p>
    <w:p>
      <w:pPr>
        <w:keepNext w:val="0"/>
        <w:keepLines w:val="0"/>
        <w:pageBreakBefore w:val="0"/>
        <w:widowControl w:val="0"/>
        <w:kinsoku/>
        <w:wordWrap/>
        <w:overflowPunct/>
        <w:topLinePunct w:val="0"/>
        <w:autoSpaceDE/>
        <w:autoSpaceDN/>
        <w:bidi w:val="0"/>
        <w:adjustRightInd/>
        <w:spacing w:line="576" w:lineRule="exact"/>
        <w:ind w:firstLine="482" w:firstLineChars="15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（一）部门财</w:t>
      </w:r>
      <w:r>
        <w:rPr>
          <w:rFonts w:hint="eastAsia" w:ascii="Times New Roman" w:hAnsi="Times New Roman" w:eastAsia="方正楷体_GBK" w:cs="Times New Roman"/>
          <w:b/>
          <w:bCs/>
          <w:sz w:val="32"/>
          <w:szCs w:val="32"/>
          <w:lang w:eastAsia="zh-CN"/>
        </w:rPr>
        <w:t>政</w:t>
      </w:r>
      <w:r>
        <w:rPr>
          <w:rFonts w:hint="default" w:ascii="Times New Roman" w:hAnsi="Times New Roman" w:eastAsia="方正楷体_GBK" w:cs="Times New Roman"/>
          <w:b/>
          <w:bCs/>
          <w:sz w:val="32"/>
          <w:szCs w:val="32"/>
        </w:rPr>
        <w:t>资金收入情况</w:t>
      </w:r>
    </w:p>
    <w:p>
      <w:pPr>
        <w:pStyle w:val="14"/>
        <w:keepNext w:val="0"/>
        <w:keepLines w:val="0"/>
        <w:pageBreakBefore w:val="0"/>
        <w:widowControl w:val="0"/>
        <w:kinsoku/>
        <w:wordWrap/>
        <w:overflowPunct/>
        <w:topLinePunct w:val="0"/>
        <w:autoSpaceDE/>
        <w:autoSpaceDN/>
        <w:bidi w:val="0"/>
        <w:adjustRightInd/>
        <w:spacing w:before="0" w:line="576" w:lineRule="exact"/>
        <w:ind w:firstLine="495"/>
        <w:textAlignment w:val="auto"/>
        <w:rPr>
          <w:rFonts w:hint="eastAsia" w:ascii="Times New Roman" w:hAnsi="Times New Roman" w:eastAsia="仿宋_GB2312" w:cs="Times New Roman"/>
          <w:b/>
          <w:kern w:val="2"/>
          <w:sz w:val="32"/>
          <w:szCs w:val="32"/>
          <w:lang w:eastAsia="zh-CN"/>
        </w:rPr>
      </w:pPr>
      <w:r>
        <w:rPr>
          <w:rFonts w:hint="default" w:ascii="Times New Roman" w:hAnsi="Times New Roman" w:eastAsia="仿宋_GB2312" w:cs="Times New Roman"/>
          <w:sz w:val="32"/>
          <w:szCs w:val="32"/>
        </w:rPr>
        <w:t>2019年部门</w:t>
      </w:r>
      <w:r>
        <w:rPr>
          <w:rFonts w:hint="eastAsia" w:ascii="Times New Roman" w:hAnsi="Times New Roman" w:eastAsia="仿宋_GB2312" w:cs="Times New Roman"/>
          <w:sz w:val="32"/>
          <w:szCs w:val="32"/>
          <w:lang w:eastAsia="zh-CN"/>
        </w:rPr>
        <w:t>收入</w:t>
      </w:r>
      <w:r>
        <w:rPr>
          <w:rFonts w:hint="default" w:ascii="Times New Roman" w:hAnsi="Times New Roman" w:eastAsia="仿宋_GB2312" w:cs="Times New Roman"/>
          <w:sz w:val="32"/>
          <w:szCs w:val="32"/>
        </w:rPr>
        <w:t>安排</w:t>
      </w:r>
      <w:r>
        <w:rPr>
          <w:rFonts w:hint="eastAsia" w:ascii="Times New Roman" w:hAnsi="Times New Roman" w:eastAsia="仿宋_GB2312" w:cs="Times New Roman"/>
          <w:sz w:val="32"/>
          <w:szCs w:val="32"/>
          <w:lang w:val="en-US" w:eastAsia="zh-CN"/>
        </w:rPr>
        <w:t>224.03</w:t>
      </w:r>
      <w:r>
        <w:rPr>
          <w:rFonts w:hint="default" w:ascii="Times New Roman" w:hAnsi="Times New Roman" w:eastAsia="仿宋_GB2312" w:cs="Times New Roman"/>
          <w:sz w:val="32"/>
          <w:szCs w:val="32"/>
        </w:rPr>
        <w:t>万元，与上年对比减少</w:t>
      </w:r>
      <w:r>
        <w:rPr>
          <w:rFonts w:hint="eastAsia" w:ascii="Times New Roman" w:hAnsi="Times New Roman" w:eastAsia="仿宋_GB2312" w:cs="Times New Roman"/>
          <w:sz w:val="32"/>
          <w:szCs w:val="32"/>
          <w:lang w:val="en-US" w:eastAsia="zh-CN"/>
        </w:rPr>
        <w:t>48.20</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减少主要原因是：厉行节约。</w:t>
      </w:r>
    </w:p>
    <w:p>
      <w:pPr>
        <w:keepNext w:val="0"/>
        <w:keepLines w:val="0"/>
        <w:pageBreakBefore w:val="0"/>
        <w:widowControl w:val="0"/>
        <w:kinsoku/>
        <w:wordWrap/>
        <w:overflowPunct/>
        <w:topLinePunct w:val="0"/>
        <w:autoSpaceDE/>
        <w:autoSpaceDN/>
        <w:bidi w:val="0"/>
        <w:adjustRightInd/>
        <w:spacing w:line="576" w:lineRule="exact"/>
        <w:ind w:firstLine="482" w:firstLineChars="15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lang w:eastAsia="zh-CN"/>
        </w:rPr>
        <w:t>（</w:t>
      </w:r>
      <w:r>
        <w:rPr>
          <w:rFonts w:hint="default" w:ascii="Times New Roman" w:hAnsi="Times New Roman" w:eastAsia="方正楷体_GBK" w:cs="Times New Roman"/>
          <w:b/>
          <w:bCs/>
          <w:sz w:val="32"/>
          <w:szCs w:val="32"/>
        </w:rPr>
        <w:t>二）部门财政支出管理情况</w:t>
      </w:r>
    </w:p>
    <w:p>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2019年总的收入支出中,人员经费</w:t>
      </w:r>
      <w:r>
        <w:rPr>
          <w:rFonts w:hint="eastAsia" w:ascii="Times New Roman" w:hAnsi="Times New Roman" w:eastAsia="仿宋_GB2312" w:cs="Times New Roman"/>
          <w:sz w:val="32"/>
          <w:szCs w:val="32"/>
          <w:lang w:eastAsia="zh-CN"/>
        </w:rPr>
        <w:t>支出为</w:t>
      </w:r>
      <w:r>
        <w:rPr>
          <w:rFonts w:hint="eastAsia" w:ascii="Times New Roman" w:hAnsi="Times New Roman" w:eastAsia="仿宋_GB2312" w:cs="Times New Roman"/>
          <w:sz w:val="32"/>
          <w:szCs w:val="32"/>
          <w:lang w:val="en-US" w:eastAsia="zh-CN"/>
        </w:rPr>
        <w:t>116.76</w:t>
      </w:r>
      <w:r>
        <w:rPr>
          <w:rFonts w:hint="default" w:ascii="Times New Roman" w:hAnsi="Times New Roman" w:eastAsia="仿宋_GB2312" w:cs="Times New Roman"/>
          <w:sz w:val="32"/>
          <w:szCs w:val="32"/>
        </w:rPr>
        <w:t>万元，占总收入支出的</w:t>
      </w:r>
      <w:r>
        <w:rPr>
          <w:rFonts w:hint="eastAsia" w:ascii="Times New Roman" w:hAnsi="Times New Roman" w:eastAsia="仿宋_GB2312" w:cs="Times New Roman"/>
          <w:sz w:val="32"/>
          <w:szCs w:val="32"/>
          <w:lang w:val="en-US" w:eastAsia="zh-CN"/>
        </w:rPr>
        <w:t>52%，</w:t>
      </w:r>
      <w:r>
        <w:rPr>
          <w:rFonts w:hint="default" w:ascii="Times New Roman" w:hAnsi="Times New Roman" w:eastAsia="仿宋_GB2312" w:cs="Times New Roman"/>
          <w:sz w:val="32"/>
          <w:szCs w:val="32"/>
        </w:rPr>
        <w:t>商品和服务支出为</w:t>
      </w:r>
      <w:r>
        <w:rPr>
          <w:rFonts w:hint="eastAsia" w:ascii="Times New Roman" w:hAnsi="Times New Roman" w:eastAsia="仿宋_GB2312" w:cs="Times New Roman"/>
          <w:sz w:val="32"/>
          <w:szCs w:val="32"/>
          <w:lang w:val="en-US" w:eastAsia="zh-CN"/>
        </w:rPr>
        <w:t>31.71</w:t>
      </w:r>
      <w:r>
        <w:rPr>
          <w:rFonts w:hint="default" w:ascii="Times New Roman" w:hAnsi="Times New Roman" w:eastAsia="仿宋_GB2312" w:cs="Times New Roman"/>
          <w:sz w:val="32"/>
          <w:szCs w:val="32"/>
        </w:rPr>
        <w:t>万元，占总收入支出的</w:t>
      </w:r>
      <w:r>
        <w:rPr>
          <w:rFonts w:hint="eastAsia"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pacing w:line="576" w:lineRule="exact"/>
        <w:ind w:firstLine="643"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rPr>
        <w:t>三、部门</w:t>
      </w:r>
      <w:r>
        <w:rPr>
          <w:rFonts w:hint="eastAsia" w:ascii="黑体" w:hAnsi="黑体" w:eastAsia="黑体" w:cs="黑体"/>
          <w:b/>
          <w:bCs/>
          <w:sz w:val="32"/>
          <w:szCs w:val="32"/>
          <w:lang w:eastAsia="zh-CN"/>
        </w:rPr>
        <w:t>整体预算绩效管理</w:t>
      </w:r>
      <w:r>
        <w:rPr>
          <w:rFonts w:hint="eastAsia" w:ascii="黑体" w:hAnsi="黑体" w:eastAsia="黑体" w:cs="黑体"/>
          <w:b/>
          <w:bCs/>
          <w:sz w:val="32"/>
          <w:szCs w:val="32"/>
        </w:rPr>
        <w:t>情况</w:t>
      </w:r>
    </w:p>
    <w:p>
      <w:pPr>
        <w:keepNext w:val="0"/>
        <w:keepLines w:val="0"/>
        <w:pageBreakBefore w:val="0"/>
        <w:widowControl w:val="0"/>
        <w:kinsoku/>
        <w:wordWrap/>
        <w:overflowPunct/>
        <w:topLinePunct w:val="0"/>
        <w:autoSpaceDE/>
        <w:autoSpaceDN/>
        <w:bidi w:val="0"/>
        <w:adjustRightInd/>
        <w:spacing w:line="576" w:lineRule="exact"/>
        <w:ind w:firstLine="482" w:firstLineChars="15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w:t>
      </w:r>
      <w:r>
        <w:rPr>
          <w:rFonts w:hint="eastAsia" w:ascii="Times New Roman" w:hAnsi="Times New Roman" w:eastAsia="方正楷体_GBK" w:cs="Times New Roman"/>
          <w:b/>
          <w:bCs/>
          <w:sz w:val="32"/>
          <w:szCs w:val="32"/>
          <w:lang w:eastAsia="zh-CN"/>
        </w:rPr>
        <w:t>部门</w:t>
      </w:r>
      <w:r>
        <w:rPr>
          <w:rFonts w:hint="default" w:ascii="Times New Roman" w:hAnsi="Times New Roman" w:eastAsia="方正楷体_GBK" w:cs="Times New Roman"/>
          <w:b/>
          <w:bCs/>
          <w:sz w:val="32"/>
          <w:szCs w:val="32"/>
        </w:rPr>
        <w:t>预算</w:t>
      </w:r>
      <w:r>
        <w:rPr>
          <w:rFonts w:hint="eastAsia" w:ascii="Times New Roman" w:hAnsi="Times New Roman" w:eastAsia="方正楷体_GBK" w:cs="Times New Roman"/>
          <w:b/>
          <w:bCs/>
          <w:sz w:val="32"/>
          <w:szCs w:val="32"/>
          <w:lang w:eastAsia="zh-CN"/>
        </w:rPr>
        <w:t>管理</w:t>
      </w:r>
      <w:r>
        <w:rPr>
          <w:rFonts w:hint="default" w:ascii="Times New Roman" w:hAnsi="Times New Roman" w:eastAsia="方正楷体_GBK" w:cs="Times New Roman"/>
          <w:b/>
          <w:bCs/>
          <w:sz w:val="32"/>
          <w:szCs w:val="32"/>
        </w:rPr>
        <w:t>情况</w:t>
      </w:r>
    </w:p>
    <w:p>
      <w:pPr>
        <w:pStyle w:val="14"/>
        <w:keepNext w:val="0"/>
        <w:keepLines w:val="0"/>
        <w:pageBreakBefore w:val="0"/>
        <w:widowControl w:val="0"/>
        <w:kinsoku/>
        <w:wordWrap/>
        <w:overflowPunct/>
        <w:topLinePunct w:val="0"/>
        <w:autoSpaceDE/>
        <w:autoSpaceDN/>
        <w:bidi w:val="0"/>
        <w:adjustRightInd/>
        <w:spacing w:before="0" w:line="576"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严格按照预算管理的相关规定和市级部门预算编制要求，科学合理编制次年项目预算，</w:t>
      </w:r>
      <w:r>
        <w:rPr>
          <w:rFonts w:hint="eastAsia" w:ascii="Times New Roman" w:hAnsi="Times New Roman" w:eastAsia="仿宋_GB2312" w:cs="Times New Roman"/>
          <w:sz w:val="32"/>
          <w:szCs w:val="32"/>
          <w:lang w:eastAsia="zh-CN"/>
        </w:rPr>
        <w:t>部门绩效目标制度、目标实现、预算编制准确无违规记录等情况。</w:t>
      </w:r>
    </w:p>
    <w:p>
      <w:pPr>
        <w:pStyle w:val="14"/>
        <w:keepNext w:val="0"/>
        <w:keepLines w:val="0"/>
        <w:pageBreakBefore w:val="0"/>
        <w:widowControl w:val="0"/>
        <w:kinsoku/>
        <w:wordWrap/>
        <w:overflowPunct/>
        <w:topLinePunct w:val="0"/>
        <w:autoSpaceDE/>
        <w:autoSpaceDN/>
        <w:bidi w:val="0"/>
        <w:adjustRightInd/>
        <w:spacing w:before="0" w:line="576" w:lineRule="exact"/>
        <w:ind w:firstLine="643" w:firstLineChars="200"/>
        <w:textAlignment w:val="auto"/>
        <w:rPr>
          <w:rFonts w:hint="eastAsia" w:ascii="Times New Roman" w:hAnsi="Times New Roman" w:eastAsia="方正楷体_GBK" w:cs="Times New Roman"/>
          <w:b/>
          <w:bCs/>
          <w:sz w:val="32"/>
          <w:szCs w:val="32"/>
          <w:lang w:eastAsia="zh-CN"/>
        </w:rPr>
      </w:pPr>
      <w:r>
        <w:rPr>
          <w:rFonts w:hint="default" w:ascii="Times New Roman" w:hAnsi="Times New Roman" w:eastAsia="方正楷体_GBK" w:cs="Times New Roman"/>
          <w:b/>
          <w:bCs/>
          <w:sz w:val="32"/>
          <w:szCs w:val="32"/>
        </w:rPr>
        <w:t>（</w:t>
      </w:r>
      <w:r>
        <w:rPr>
          <w:rFonts w:hint="eastAsia" w:ascii="Times New Roman" w:hAnsi="Times New Roman" w:eastAsia="方正楷体_GBK" w:cs="Times New Roman"/>
          <w:b/>
          <w:bCs/>
          <w:sz w:val="32"/>
          <w:szCs w:val="32"/>
          <w:lang w:eastAsia="zh-CN"/>
        </w:rPr>
        <w:t>二</w:t>
      </w:r>
      <w:r>
        <w:rPr>
          <w:rFonts w:hint="default" w:ascii="Times New Roman" w:hAnsi="Times New Roman" w:eastAsia="方正楷体_GBK" w:cs="Times New Roman"/>
          <w:b/>
          <w:bCs/>
          <w:sz w:val="32"/>
          <w:szCs w:val="32"/>
        </w:rPr>
        <w:t>）</w:t>
      </w:r>
      <w:r>
        <w:rPr>
          <w:rFonts w:hint="eastAsia" w:ascii="Times New Roman" w:hAnsi="Times New Roman" w:eastAsia="方正楷体_GBK" w:cs="Times New Roman"/>
          <w:b/>
          <w:bCs/>
          <w:sz w:val="32"/>
          <w:szCs w:val="32"/>
          <w:lang w:eastAsia="zh-CN"/>
        </w:rPr>
        <w:t>结果应用情况</w:t>
      </w:r>
    </w:p>
    <w:p>
      <w:pPr>
        <w:pStyle w:val="14"/>
        <w:keepNext w:val="0"/>
        <w:keepLines w:val="0"/>
        <w:pageBreakBefore w:val="0"/>
        <w:widowControl w:val="0"/>
        <w:kinsoku/>
        <w:wordWrap/>
        <w:overflowPunct/>
        <w:topLinePunct w:val="0"/>
        <w:autoSpaceDE/>
        <w:autoSpaceDN/>
        <w:bidi w:val="0"/>
        <w:adjustRightInd/>
        <w:spacing w:before="0" w:line="576" w:lineRule="exact"/>
        <w:ind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及时公开了绩效自评公开、评价结果整改和应用结果反馈等情况。</w:t>
      </w:r>
    </w:p>
    <w:p>
      <w:pPr>
        <w:keepNext w:val="0"/>
        <w:keepLines w:val="0"/>
        <w:pageBreakBefore w:val="0"/>
        <w:widowControl w:val="0"/>
        <w:kinsoku/>
        <w:wordWrap/>
        <w:overflowPunct/>
        <w:topLinePunct w:val="0"/>
        <w:autoSpaceDE/>
        <w:autoSpaceDN/>
        <w:bidi w:val="0"/>
        <w:adjustRightInd/>
        <w:spacing w:line="576" w:lineRule="exact"/>
        <w:ind w:firstLine="643" w:firstLineChars="200"/>
        <w:textAlignment w:val="auto"/>
        <w:rPr>
          <w:rFonts w:hint="eastAsia" w:ascii="黑体" w:hAnsi="黑体" w:eastAsia="黑体" w:cs="黑体"/>
          <w:b/>
          <w:bCs/>
          <w:color w:val="000000"/>
          <w:sz w:val="32"/>
          <w:szCs w:val="32"/>
        </w:rPr>
      </w:pPr>
      <w:r>
        <w:rPr>
          <w:rFonts w:hint="eastAsia" w:ascii="黑体" w:hAnsi="黑体" w:eastAsia="黑体" w:cs="黑体"/>
          <w:b/>
          <w:bCs/>
          <w:sz w:val="32"/>
          <w:szCs w:val="32"/>
        </w:rPr>
        <w:t>五、评价结论及建议</w:t>
      </w:r>
    </w:p>
    <w:p>
      <w:pPr>
        <w:keepNext w:val="0"/>
        <w:keepLines w:val="0"/>
        <w:pageBreakBefore w:val="0"/>
        <w:widowControl w:val="0"/>
        <w:kinsoku/>
        <w:wordWrap/>
        <w:overflowPunct/>
        <w:topLinePunct w:val="0"/>
        <w:autoSpaceDE/>
        <w:autoSpaceDN/>
        <w:bidi w:val="0"/>
        <w:adjustRightInd/>
        <w:spacing w:line="576" w:lineRule="exact"/>
        <w:ind w:firstLine="482" w:firstLineChars="15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（一）评价结论</w:t>
      </w:r>
    </w:p>
    <w:p>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加强财务管理，严格财务审核，完善资产管理，抓好三公经费控制。</w:t>
      </w:r>
      <w:r>
        <w:rPr>
          <w:rFonts w:hint="eastAsia" w:ascii="Times New Roman" w:hAnsi="Times New Roman" w:eastAsia="仿宋_GB2312" w:cs="Times New Roman"/>
          <w:sz w:val="32"/>
          <w:szCs w:val="32"/>
          <w:lang w:val="en-US" w:eastAsia="zh-CN"/>
        </w:rPr>
        <w:t>2019年</w:t>
      </w:r>
      <w:r>
        <w:rPr>
          <w:rFonts w:hint="default" w:ascii="Times New Roman" w:hAnsi="Times New Roman" w:eastAsia="仿宋_GB2312" w:cs="Times New Roman"/>
          <w:sz w:val="32"/>
          <w:szCs w:val="32"/>
        </w:rPr>
        <w:t>，我委严格按照年初预算批复认真组织实施,严格执行财经纪律相关管理规定，做到各项收支安排使用符合事业发展计划和财政政策的要求，确保了单位正常运行和重大项目的实施，较好地完成了</w:t>
      </w:r>
      <w:r>
        <w:rPr>
          <w:rFonts w:hint="eastAsia" w:ascii="Times New Roman" w:hAnsi="Times New Roman" w:eastAsia="仿宋_GB2312" w:cs="Times New Roman"/>
          <w:sz w:val="32"/>
          <w:szCs w:val="32"/>
          <w:lang w:val="en-US" w:eastAsia="zh-CN"/>
        </w:rPr>
        <w:t>2019</w:t>
      </w:r>
      <w:r>
        <w:rPr>
          <w:rFonts w:hint="default" w:ascii="Times New Roman" w:hAnsi="Times New Roman" w:eastAsia="仿宋_GB2312" w:cs="Times New Roman"/>
          <w:sz w:val="32"/>
          <w:szCs w:val="32"/>
        </w:rPr>
        <w:t>年部门预算编制和决算汇总工作,</w:t>
      </w:r>
      <w:r>
        <w:rPr>
          <w:rFonts w:hint="eastAsia" w:ascii="Times New Roman" w:hAnsi="Times New Roman" w:eastAsia="仿宋_GB2312" w:cs="Times New Roman"/>
          <w:sz w:val="32"/>
          <w:szCs w:val="32"/>
          <w:lang w:val="en-US" w:eastAsia="zh-CN"/>
        </w:rPr>
        <w:t>2019</w:t>
      </w:r>
      <w:r>
        <w:rPr>
          <w:rFonts w:hint="default" w:ascii="Times New Roman" w:hAnsi="Times New Roman" w:eastAsia="仿宋_GB2312" w:cs="Times New Roman"/>
          <w:sz w:val="32"/>
          <w:szCs w:val="32"/>
        </w:rPr>
        <w:t>年目标任务基本完成，预算执行情况较</w:t>
      </w:r>
      <w:r>
        <w:rPr>
          <w:rFonts w:hint="eastAsia" w:ascii="Times New Roman" w:hAnsi="Times New Roman" w:eastAsia="仿宋_GB2312" w:cs="Times New Roman"/>
          <w:sz w:val="32"/>
          <w:szCs w:val="32"/>
          <w:lang w:eastAsia="zh-CN"/>
        </w:rPr>
        <w:t>好</w:t>
      </w:r>
      <w:r>
        <w:rPr>
          <w:rFonts w:hint="default" w:ascii="Times New Roman" w:hAnsi="Times New Roman" w:eastAsia="仿宋_GB2312" w:cs="Times New Roman"/>
          <w:sz w:val="32"/>
          <w:szCs w:val="32"/>
        </w:rPr>
        <w:t xml:space="preserve">。 </w:t>
      </w:r>
    </w:p>
    <w:p>
      <w:pPr>
        <w:keepNext w:val="0"/>
        <w:keepLines w:val="0"/>
        <w:pageBreakBefore w:val="0"/>
        <w:widowControl w:val="0"/>
        <w:kinsoku/>
        <w:wordWrap/>
        <w:overflowPunct/>
        <w:topLinePunct w:val="0"/>
        <w:autoSpaceDE/>
        <w:autoSpaceDN/>
        <w:bidi w:val="0"/>
        <w:adjustRightInd/>
        <w:spacing w:line="576" w:lineRule="exact"/>
        <w:ind w:firstLine="482" w:firstLineChars="15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（二）存在问题</w:t>
      </w:r>
    </w:p>
    <w:p>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财务制度不够完善，资产管理不够严谨。存在预算编制不够完善,个别项目进度缓慢、绩效管理工作有待加强等问题。</w:t>
      </w:r>
    </w:p>
    <w:p>
      <w:pPr>
        <w:keepNext w:val="0"/>
        <w:keepLines w:val="0"/>
        <w:pageBreakBefore w:val="0"/>
        <w:widowControl w:val="0"/>
        <w:kinsoku/>
        <w:wordWrap/>
        <w:overflowPunct/>
        <w:topLinePunct w:val="0"/>
        <w:autoSpaceDE/>
        <w:autoSpaceDN/>
        <w:bidi w:val="0"/>
        <w:adjustRightInd/>
        <w:spacing w:line="576" w:lineRule="exact"/>
        <w:ind w:firstLine="482" w:firstLineChars="15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（三）改进建议</w:t>
      </w:r>
    </w:p>
    <w:p>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加强管理，做到监管机构环环相扣，不断出现断层、行政单位预算是财政总预算的基础，他是党和国家方针政策和社会发展战在行政单位预算中的体现，是行政单位正常开展业务活动的重要经济保证。规范财务管理信息质量严格按照《会计法》、《行政单位会计制度》、《行政单位财务规定》等规定，结合实际情况，严格执行单位经费支出制度，规范财务核算，完整披露相关信息。今后的工作中,我局将严格按照新《预算法》的要求，加强预算编制的科学性、合理性,让预算编制更贴合实际，使项目预算与工作结合更加紧密。严格按照批复预算执行，及时将预算分解下达到各单位，并按照项目开展进度有计划申请资金及时支付。加强预算绩效管理，增强预算约束力，做好预算项目支出绩效目标及各项绩效指标的细化、量化工作,用好用活各类财政资金，提高财政资金的使用效益。</w:t>
      </w:r>
    </w:p>
    <w:p>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特此报告。</w:t>
      </w:r>
    </w:p>
    <w:p>
      <w:pPr>
        <w:pStyle w:val="14"/>
        <w:keepNext w:val="0"/>
        <w:keepLines w:val="0"/>
        <w:pageBreakBefore w:val="0"/>
        <w:widowControl w:val="0"/>
        <w:kinsoku/>
        <w:wordWrap/>
        <w:overflowPunct/>
        <w:topLinePunct w:val="0"/>
        <w:autoSpaceDE/>
        <w:autoSpaceDN/>
        <w:bidi w:val="0"/>
        <w:adjustRightInd/>
        <w:spacing w:before="0" w:line="576" w:lineRule="exact"/>
        <w:ind w:firstLine="640" w:firstLineChars="200"/>
        <w:textAlignment w:val="auto"/>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Times New Roman" w:hAnsi="Times New Roman" w:eastAsia="仿宋_GB2312" w:cs="Times New Roman"/>
          <w:sz w:val="32"/>
          <w:szCs w:val="32"/>
          <w:lang w:eastAsia="zh-CN"/>
        </w:rPr>
      </w:pPr>
    </w:p>
    <w:p>
      <w:pPr>
        <w:pStyle w:val="7"/>
        <w:shd w:val="clear" w:color="auto" w:fill="FFFFFF"/>
        <w:snapToGrid w:val="0"/>
        <w:jc w:val="both"/>
        <w:outlineLvl w:val="0"/>
        <w:rPr>
          <w:rFonts w:hint="default" w:ascii="黑体" w:eastAsia="黑体" w:cs="黑体"/>
          <w:b/>
          <w:sz w:val="44"/>
          <w:szCs w:val="44"/>
          <w:shd w:val="clear" w:color="auto" w:fill="FFFFFF"/>
          <w:lang w:val="en-US" w:eastAsia="zh-CN"/>
        </w:rPr>
      </w:pPr>
    </w:p>
    <w:p>
      <w:pPr>
        <w:pStyle w:val="7"/>
        <w:shd w:val="clear" w:color="auto" w:fill="FFFFFF"/>
        <w:snapToGrid w:val="0"/>
        <w:jc w:val="center"/>
        <w:outlineLvl w:val="0"/>
        <w:rPr>
          <w:rFonts w:hint="eastAsia" w:ascii="黑体" w:hAnsi="宋体" w:eastAsia="黑体" w:cs="黑体"/>
          <w:b/>
          <w:sz w:val="44"/>
          <w:szCs w:val="44"/>
          <w:shd w:val="clear" w:color="auto" w:fill="FFFFFF"/>
          <w:lang w:val="en-US" w:eastAsia="zh-CN"/>
        </w:rPr>
      </w:pPr>
    </w:p>
    <w:p>
      <w:pPr>
        <w:pStyle w:val="7"/>
        <w:shd w:val="clear" w:color="auto" w:fill="FFFFFF"/>
        <w:snapToGrid w:val="0"/>
        <w:jc w:val="center"/>
        <w:outlineLvl w:val="0"/>
        <w:rPr>
          <w:rFonts w:hint="eastAsia" w:ascii="黑体" w:hAnsi="宋体" w:eastAsia="黑体" w:cs="黑体"/>
          <w:b/>
          <w:sz w:val="44"/>
          <w:szCs w:val="44"/>
          <w:shd w:val="clear" w:color="auto" w:fill="FFFFFF"/>
          <w:lang w:val="en-US" w:eastAsia="zh-CN"/>
        </w:rPr>
      </w:pPr>
    </w:p>
    <w:p>
      <w:pPr>
        <w:pStyle w:val="7"/>
        <w:shd w:val="clear" w:color="auto" w:fill="FFFFFF"/>
        <w:snapToGrid w:val="0"/>
        <w:jc w:val="center"/>
        <w:outlineLvl w:val="0"/>
        <w:rPr>
          <w:rFonts w:hint="eastAsia" w:ascii="黑体" w:hAnsi="宋体" w:eastAsia="黑体" w:cs="黑体"/>
          <w:b/>
          <w:sz w:val="44"/>
          <w:szCs w:val="44"/>
          <w:shd w:val="clear" w:color="auto" w:fill="FFFFFF"/>
          <w:lang w:val="en-US" w:eastAsia="zh-CN"/>
        </w:rPr>
      </w:pPr>
    </w:p>
    <w:p>
      <w:pPr>
        <w:pStyle w:val="7"/>
        <w:shd w:val="clear" w:color="auto" w:fill="FFFFFF"/>
        <w:snapToGrid w:val="0"/>
        <w:jc w:val="center"/>
        <w:outlineLvl w:val="0"/>
        <w:rPr>
          <w:rFonts w:hint="eastAsia" w:ascii="黑体" w:hAnsi="宋体" w:eastAsia="黑体" w:cs="黑体"/>
          <w:b/>
          <w:sz w:val="44"/>
          <w:szCs w:val="44"/>
          <w:shd w:val="clear" w:color="auto" w:fill="FFFFFF"/>
          <w:lang w:val="en-US" w:eastAsia="zh-CN"/>
        </w:rPr>
      </w:pPr>
    </w:p>
    <w:p>
      <w:pPr>
        <w:pStyle w:val="7"/>
        <w:shd w:val="clear" w:color="auto" w:fill="FFFFFF"/>
        <w:snapToGrid w:val="0"/>
        <w:jc w:val="center"/>
        <w:outlineLvl w:val="0"/>
        <w:rPr>
          <w:rFonts w:hint="eastAsia" w:ascii="黑体" w:hAnsi="宋体" w:eastAsia="黑体" w:cs="黑体"/>
          <w:b/>
          <w:sz w:val="44"/>
          <w:szCs w:val="44"/>
          <w:shd w:val="clear" w:color="auto" w:fill="FFFFFF"/>
          <w:lang w:val="en-US" w:eastAsia="zh-CN"/>
        </w:rPr>
      </w:pPr>
    </w:p>
    <w:p>
      <w:pPr>
        <w:pStyle w:val="7"/>
        <w:shd w:val="clear" w:color="auto" w:fill="FFFFFF"/>
        <w:snapToGrid w:val="0"/>
        <w:jc w:val="center"/>
        <w:outlineLvl w:val="0"/>
        <w:rPr>
          <w:rFonts w:hint="eastAsia" w:ascii="黑体" w:hAnsi="宋体" w:eastAsia="黑体" w:cs="黑体"/>
          <w:b/>
          <w:sz w:val="44"/>
          <w:szCs w:val="44"/>
          <w:shd w:val="clear" w:color="auto" w:fill="FFFFFF"/>
          <w:lang w:val="en-US" w:eastAsia="zh-CN"/>
        </w:rPr>
      </w:pPr>
    </w:p>
    <w:p>
      <w:pPr>
        <w:pStyle w:val="7"/>
        <w:shd w:val="clear" w:color="auto" w:fill="FFFFFF"/>
        <w:snapToGrid w:val="0"/>
        <w:jc w:val="center"/>
        <w:outlineLvl w:val="0"/>
        <w:rPr>
          <w:rFonts w:hint="eastAsia" w:ascii="黑体" w:hAnsi="宋体" w:eastAsia="黑体" w:cs="黑体"/>
          <w:b/>
          <w:sz w:val="44"/>
          <w:szCs w:val="44"/>
          <w:shd w:val="clear" w:color="auto" w:fill="FFFFFF"/>
          <w:lang w:val="en-US" w:eastAsia="zh-CN"/>
        </w:rPr>
      </w:pPr>
    </w:p>
    <w:p>
      <w:pPr>
        <w:pStyle w:val="7"/>
        <w:shd w:val="clear" w:color="auto" w:fill="FFFFFF"/>
        <w:snapToGrid w:val="0"/>
        <w:jc w:val="center"/>
        <w:outlineLvl w:val="0"/>
        <w:rPr>
          <w:rFonts w:hint="eastAsia" w:ascii="黑体" w:hAnsi="宋体" w:eastAsia="黑体" w:cs="黑体"/>
          <w:b/>
          <w:sz w:val="44"/>
          <w:szCs w:val="44"/>
          <w:shd w:val="clear" w:color="auto" w:fill="FFFFFF"/>
          <w:lang w:val="en-US" w:eastAsia="zh-CN"/>
        </w:rPr>
      </w:pPr>
    </w:p>
    <w:p>
      <w:pPr>
        <w:pStyle w:val="7"/>
        <w:shd w:val="clear" w:color="auto" w:fill="FFFFFF"/>
        <w:snapToGrid w:val="0"/>
        <w:jc w:val="both"/>
        <w:outlineLvl w:val="0"/>
        <w:rPr>
          <w:rFonts w:hint="eastAsia" w:ascii="黑体" w:hAnsi="宋体" w:eastAsia="黑体" w:cs="黑体"/>
          <w:b/>
          <w:sz w:val="44"/>
          <w:szCs w:val="44"/>
          <w:shd w:val="clear" w:color="auto" w:fill="FFFFFF"/>
          <w:lang w:val="en-US" w:eastAsia="zh-CN"/>
        </w:rPr>
      </w:pPr>
    </w:p>
    <w:p>
      <w:pPr>
        <w:pStyle w:val="7"/>
        <w:shd w:val="clear" w:color="auto" w:fill="FFFFFF"/>
        <w:snapToGrid w:val="0"/>
        <w:jc w:val="both"/>
        <w:outlineLvl w:val="0"/>
        <w:rPr>
          <w:rFonts w:hint="eastAsia" w:ascii="仿宋_GB2312" w:hAnsi="仿宋_GB2312" w:eastAsia="仿宋_GB2312" w:cs="仿宋_GB2312"/>
          <w:b/>
          <w:sz w:val="32"/>
          <w:szCs w:val="32"/>
          <w:shd w:val="clear" w:color="auto" w:fill="FFFFFF"/>
          <w:lang w:val="en-US" w:eastAsia="zh-CN"/>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pPr>
        <w:spacing w:line="580" w:lineRule="exact"/>
        <w:ind w:firstLine="640" w:firstLineChars="200"/>
        <w:rPr>
          <w:rFonts w:ascii="仿宋_GB2312" w:hAnsi="仿宋_GB2312" w:eastAsia="仿宋_GB2312" w:cs="仿宋_GB2312"/>
          <w:sz w:val="32"/>
          <w:szCs w:val="32"/>
        </w:rPr>
      </w:pPr>
    </w:p>
    <w:p>
      <w:pPr>
        <w:keepNext w:val="0"/>
        <w:keepLines w:val="0"/>
        <w:pageBreakBefore w:val="0"/>
        <w:kinsoku/>
        <w:wordWrap/>
        <w:overflowPunct/>
        <w:topLinePunct w:val="0"/>
        <w:autoSpaceDE/>
        <w:autoSpaceDN/>
        <w:bidi w:val="0"/>
        <w:spacing w:line="560" w:lineRule="exact"/>
        <w:jc w:val="center"/>
        <w:textAlignment w:val="auto"/>
        <w:outlineLvl w:val="9"/>
        <w:rPr>
          <w:rFonts w:ascii="方正小标宋简体" w:hAnsi="宋体" w:eastAsia="方正小标宋简体"/>
          <w:color w:val="auto"/>
          <w:kern w:val="0"/>
          <w:sz w:val="44"/>
          <w:szCs w:val="44"/>
          <w:lang w:val="zh-CN"/>
        </w:rPr>
      </w:pPr>
      <w:r>
        <w:rPr>
          <w:rFonts w:hint="eastAsia" w:ascii="方正小标宋简体" w:hAnsi="宋体" w:eastAsia="方正小标宋简体"/>
          <w:color w:val="auto"/>
          <w:kern w:val="0"/>
          <w:sz w:val="44"/>
          <w:szCs w:val="44"/>
          <w:lang w:eastAsia="zh-CN"/>
        </w:rPr>
        <w:t>巡察专项经费</w:t>
      </w:r>
      <w:r>
        <w:rPr>
          <w:rFonts w:hint="eastAsia" w:ascii="方正小标宋简体" w:hAnsi="宋体" w:eastAsia="方正小标宋简体"/>
          <w:color w:val="auto"/>
          <w:kern w:val="0"/>
          <w:sz w:val="44"/>
          <w:szCs w:val="44"/>
          <w:lang w:val="zh-CN"/>
        </w:rPr>
        <w:t>项目</w:t>
      </w:r>
    </w:p>
    <w:p>
      <w:pPr>
        <w:keepNext w:val="0"/>
        <w:keepLines w:val="0"/>
        <w:pageBreakBefore w:val="0"/>
        <w:kinsoku/>
        <w:wordWrap/>
        <w:overflowPunct/>
        <w:topLinePunct w:val="0"/>
        <w:autoSpaceDE/>
        <w:autoSpaceDN/>
        <w:bidi w:val="0"/>
        <w:spacing w:line="560" w:lineRule="exact"/>
        <w:jc w:val="center"/>
        <w:textAlignment w:val="auto"/>
        <w:outlineLvl w:val="9"/>
        <w:rPr>
          <w:rFonts w:ascii="方正小标宋简体" w:hAnsi="宋体" w:eastAsia="方正小标宋简体"/>
          <w:color w:val="auto"/>
          <w:kern w:val="0"/>
          <w:sz w:val="44"/>
          <w:szCs w:val="44"/>
        </w:rPr>
      </w:pPr>
      <w:r>
        <w:rPr>
          <w:rFonts w:hint="eastAsia" w:ascii="方正小标宋简体" w:hAnsi="宋体" w:eastAsia="方正小标宋简体"/>
          <w:color w:val="auto"/>
          <w:kern w:val="0"/>
          <w:sz w:val="44"/>
          <w:szCs w:val="44"/>
        </w:rPr>
        <w:t>2019年</w:t>
      </w:r>
      <w:r>
        <w:rPr>
          <w:rFonts w:hint="eastAsia" w:ascii="方正小标宋简体" w:hAnsi="宋体" w:eastAsia="方正小标宋简体"/>
          <w:color w:val="auto"/>
          <w:kern w:val="0"/>
          <w:sz w:val="44"/>
          <w:szCs w:val="44"/>
          <w:lang w:val="zh-CN"/>
        </w:rPr>
        <w:t>绩效评价报告</w:t>
      </w:r>
    </w:p>
    <w:p>
      <w:pPr>
        <w:keepNext w:val="0"/>
        <w:keepLines w:val="0"/>
        <w:pageBreakBefore w:val="0"/>
        <w:kinsoku/>
        <w:wordWrap/>
        <w:overflowPunct/>
        <w:topLinePunct w:val="0"/>
        <w:autoSpaceDE/>
        <w:autoSpaceDN/>
        <w:bidi w:val="0"/>
        <w:spacing w:line="560" w:lineRule="exact"/>
        <w:textAlignment w:val="auto"/>
        <w:outlineLvl w:val="9"/>
        <w:rPr>
          <w:rFonts w:ascii="宋体" w:hAnsi="宋体"/>
          <w:color w:val="auto"/>
          <w:sz w:val="32"/>
          <w:szCs w:val="32"/>
        </w:rPr>
      </w:pP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9"/>
        <w:rPr>
          <w:rFonts w:ascii="黑体" w:hAnsi="宋体" w:eastAsia="黑体"/>
          <w:color w:val="auto"/>
          <w:sz w:val="32"/>
          <w:szCs w:val="32"/>
          <w:lang w:val="zh-CN"/>
        </w:rPr>
      </w:pPr>
      <w:r>
        <w:rPr>
          <w:rFonts w:hint="eastAsia" w:ascii="黑体" w:hAnsi="宋体" w:eastAsia="黑体"/>
          <w:color w:val="auto"/>
          <w:sz w:val="32"/>
          <w:szCs w:val="32"/>
          <w:lang w:val="zh-CN"/>
        </w:rPr>
        <w:t>一、项目概况</w:t>
      </w:r>
    </w:p>
    <w:p>
      <w:pPr>
        <w:pStyle w:val="7"/>
        <w:keepNext w:val="0"/>
        <w:keepLines w:val="0"/>
        <w:pageBreakBefore w:val="0"/>
        <w:widowControl/>
        <w:kinsoku/>
        <w:wordWrap/>
        <w:overflowPunct/>
        <w:topLinePunct w:val="0"/>
        <w:autoSpaceDE/>
        <w:autoSpaceDN/>
        <w:bidi w:val="0"/>
        <w:spacing w:beforeAutospacing="0" w:after="150" w:afterAutospacing="0" w:line="560" w:lineRule="exact"/>
        <w:ind w:right="45" w:firstLine="640" w:firstLineChars="200"/>
        <w:jc w:val="both"/>
        <w:textAlignment w:val="auto"/>
        <w:outlineLvl w:val="9"/>
        <w:rPr>
          <w:rFonts w:eastAsia="仿宋_GB2312"/>
          <w:color w:val="auto"/>
          <w:sz w:val="32"/>
          <w:szCs w:val="32"/>
        </w:rPr>
      </w:pPr>
      <w:r>
        <w:rPr>
          <w:rFonts w:eastAsia="仿宋_GB2312"/>
          <w:color w:val="auto"/>
          <w:sz w:val="32"/>
          <w:szCs w:val="32"/>
        </w:rPr>
        <w:t>为加强财政专项资金管理，提高资金使用效益，根据《中华人民共和国预算法》和</w:t>
      </w:r>
      <w:r>
        <w:rPr>
          <w:rFonts w:hint="eastAsia" w:eastAsia="仿宋_GB2312"/>
          <w:color w:val="auto"/>
          <w:sz w:val="32"/>
          <w:szCs w:val="32"/>
        </w:rPr>
        <w:t>《关于开展2020年财政支出绩效评价工作通知》（阿州财监绩</w:t>
      </w:r>
      <w:r>
        <w:rPr>
          <w:rFonts w:hint="eastAsia" w:ascii="仿宋_GB2312" w:hAnsi="仿宋_GB2312" w:eastAsia="仿宋_GB2312" w:cs="仿宋_GB2312"/>
          <w:color w:val="auto"/>
          <w:sz w:val="32"/>
          <w:szCs w:val="32"/>
        </w:rPr>
        <w:t>〔2020〕11号</w:t>
      </w:r>
      <w:r>
        <w:rPr>
          <w:rFonts w:hint="eastAsia" w:eastAsia="仿宋_GB2312"/>
          <w:color w:val="auto"/>
          <w:sz w:val="32"/>
          <w:szCs w:val="32"/>
        </w:rPr>
        <w:t>）</w:t>
      </w:r>
      <w:r>
        <w:rPr>
          <w:rFonts w:eastAsia="仿宋_GB2312"/>
          <w:color w:val="auto"/>
          <w:sz w:val="32"/>
          <w:szCs w:val="32"/>
        </w:rPr>
        <w:t>的要求，我</w:t>
      </w:r>
      <w:r>
        <w:rPr>
          <w:rFonts w:hint="eastAsia" w:eastAsia="仿宋_GB2312"/>
          <w:color w:val="auto"/>
          <w:sz w:val="32"/>
          <w:szCs w:val="32"/>
          <w:lang w:eastAsia="zh-CN"/>
        </w:rPr>
        <w:t>委</w:t>
      </w:r>
      <w:r>
        <w:rPr>
          <w:rFonts w:eastAsia="仿宋_GB2312"/>
          <w:color w:val="auto"/>
          <w:sz w:val="32"/>
          <w:szCs w:val="32"/>
        </w:rPr>
        <w:t>对201</w:t>
      </w:r>
      <w:r>
        <w:rPr>
          <w:rFonts w:hint="eastAsia" w:eastAsia="仿宋_GB2312"/>
          <w:color w:val="auto"/>
          <w:sz w:val="32"/>
          <w:szCs w:val="32"/>
        </w:rPr>
        <w:t>9</w:t>
      </w:r>
      <w:r>
        <w:rPr>
          <w:rFonts w:eastAsia="仿宋_GB2312"/>
          <w:color w:val="auto"/>
          <w:sz w:val="32"/>
          <w:szCs w:val="32"/>
        </w:rPr>
        <w:t>年度</w:t>
      </w:r>
      <w:r>
        <w:rPr>
          <w:rFonts w:hint="eastAsia" w:eastAsia="仿宋_GB2312"/>
          <w:color w:val="auto"/>
          <w:sz w:val="32"/>
          <w:szCs w:val="32"/>
        </w:rPr>
        <w:t>“</w:t>
      </w:r>
      <w:r>
        <w:rPr>
          <w:rFonts w:hint="eastAsia" w:eastAsia="仿宋_GB2312"/>
          <w:color w:val="auto"/>
          <w:sz w:val="32"/>
          <w:szCs w:val="32"/>
          <w:lang w:eastAsia="zh-CN"/>
        </w:rPr>
        <w:t>巡察专项经费</w:t>
      </w:r>
      <w:r>
        <w:rPr>
          <w:rFonts w:hint="eastAsia" w:eastAsia="仿宋_GB2312"/>
          <w:color w:val="auto"/>
          <w:sz w:val="32"/>
          <w:szCs w:val="32"/>
        </w:rPr>
        <w:t>”</w:t>
      </w:r>
      <w:r>
        <w:rPr>
          <w:rFonts w:eastAsia="仿宋_GB2312"/>
          <w:color w:val="auto"/>
          <w:sz w:val="32"/>
          <w:szCs w:val="32"/>
        </w:rPr>
        <w:t>进行绩效评价</w:t>
      </w:r>
      <w:r>
        <w:rPr>
          <w:rFonts w:hint="eastAsia" w:eastAsia="仿宋_GB2312"/>
          <w:color w:val="auto"/>
          <w:sz w:val="32"/>
          <w:szCs w:val="32"/>
        </w:rPr>
        <w:t>。</w:t>
      </w:r>
    </w:p>
    <w:p>
      <w:pPr>
        <w:pStyle w:val="15"/>
        <w:keepNext w:val="0"/>
        <w:keepLines w:val="0"/>
        <w:pageBreakBefore w:val="0"/>
        <w:numPr>
          <w:ilvl w:val="0"/>
          <w:numId w:val="2"/>
        </w:numPr>
        <w:kinsoku/>
        <w:wordWrap/>
        <w:overflowPunct/>
        <w:topLinePunct w:val="0"/>
        <w:autoSpaceDE/>
        <w:autoSpaceDN/>
        <w:bidi w:val="0"/>
        <w:adjustRightInd w:val="0"/>
        <w:snapToGrid w:val="0"/>
        <w:spacing w:line="560" w:lineRule="exact"/>
        <w:ind w:firstLineChars="0"/>
        <w:textAlignment w:val="auto"/>
        <w:outlineLvl w:val="9"/>
        <w:rPr>
          <w:rFonts w:ascii="楷体_GB2312" w:hAnsi="宋体" w:eastAsia="楷体_GB2312"/>
          <w:b/>
          <w:color w:val="auto"/>
          <w:sz w:val="32"/>
          <w:szCs w:val="32"/>
          <w:lang w:val="zh-CN"/>
        </w:rPr>
      </w:pPr>
      <w:r>
        <w:rPr>
          <w:rFonts w:hint="eastAsia" w:ascii="楷体_GB2312" w:hAnsi="宋体" w:eastAsia="楷体_GB2312"/>
          <w:b/>
          <w:color w:val="auto"/>
          <w:sz w:val="32"/>
          <w:szCs w:val="32"/>
          <w:lang w:val="zh-CN"/>
        </w:rPr>
        <w:t>项目基本情况</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Times New Roman" w:hAnsi="Times New Roman" w:eastAsia="仿宋_GB2312" w:cs="Times New Roman"/>
          <w:color w:val="auto"/>
          <w:kern w:val="0"/>
          <w:sz w:val="32"/>
          <w:szCs w:val="32"/>
          <w:lang w:val="en-US" w:eastAsia="zh-CN" w:bidi="ar-SA"/>
        </w:rPr>
      </w:pPr>
      <w:r>
        <w:rPr>
          <w:rFonts w:hint="eastAsia" w:ascii="仿宋_GB2312" w:hAnsi="仿宋_GB2312" w:eastAsia="仿宋_GB2312" w:cs="仿宋_GB2312"/>
          <w:sz w:val="32"/>
          <w:szCs w:val="32"/>
          <w:lang w:eastAsia="zh-CN"/>
        </w:rPr>
        <w:t>巡察专项</w:t>
      </w:r>
      <w:r>
        <w:rPr>
          <w:rFonts w:hint="eastAsia" w:ascii="仿宋_GB2312" w:hAnsi="仿宋_GB2312" w:eastAsia="仿宋_GB2312" w:cs="仿宋_GB2312"/>
          <w:sz w:val="32"/>
          <w:szCs w:val="32"/>
        </w:rPr>
        <w:t>工作坚持执行财经纪律相关管理规定，做到各项收支安排使用符合事业发展计划和财政政策的要求，确保单位正常运行和重大项目的实施</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支付方式</w:t>
      </w:r>
      <w:r>
        <w:rPr>
          <w:rFonts w:hint="eastAsia" w:eastAsia="仿宋_GB2312" w:cs="Times New Roman"/>
          <w:color w:val="auto"/>
          <w:kern w:val="0"/>
          <w:sz w:val="32"/>
          <w:szCs w:val="32"/>
          <w:lang w:val="en-US" w:eastAsia="zh-CN" w:bidi="ar-SA"/>
        </w:rPr>
        <w:t>：财政集中支付。</w:t>
      </w:r>
    </w:p>
    <w:p>
      <w:pPr>
        <w:keepNext w:val="0"/>
        <w:keepLines w:val="0"/>
        <w:pageBreakBefore w:val="0"/>
        <w:numPr>
          <w:ilvl w:val="0"/>
          <w:numId w:val="2"/>
        </w:numPr>
        <w:kinsoku/>
        <w:wordWrap/>
        <w:overflowPunct/>
        <w:topLinePunct w:val="0"/>
        <w:autoSpaceDE/>
        <w:autoSpaceDN/>
        <w:bidi w:val="0"/>
        <w:adjustRightInd w:val="0"/>
        <w:snapToGrid w:val="0"/>
        <w:spacing w:line="560" w:lineRule="exact"/>
        <w:ind w:left="1725" w:leftChars="0" w:hanging="1005" w:firstLineChars="0"/>
        <w:textAlignment w:val="auto"/>
        <w:outlineLvl w:val="9"/>
        <w:rPr>
          <w:rFonts w:hint="eastAsia" w:ascii="楷体_GB2312" w:hAnsi="宋体" w:eastAsia="楷体_GB2312"/>
          <w:b/>
          <w:color w:val="auto"/>
          <w:sz w:val="32"/>
          <w:szCs w:val="32"/>
          <w:lang w:val="zh-CN"/>
        </w:rPr>
      </w:pPr>
      <w:r>
        <w:rPr>
          <w:rFonts w:hint="eastAsia" w:ascii="楷体_GB2312" w:hAnsi="宋体" w:eastAsia="楷体_GB2312"/>
          <w:b/>
          <w:color w:val="auto"/>
          <w:sz w:val="32"/>
          <w:szCs w:val="32"/>
          <w:lang w:val="zh-CN"/>
        </w:rPr>
        <w:t>项目绩效目标</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Times New Roman" w:hAnsi="Times New Roman" w:eastAsia="仿宋_GB2312" w:cs="Times New Roman"/>
          <w:color w:val="auto"/>
          <w:kern w:val="0"/>
          <w:sz w:val="32"/>
          <w:szCs w:val="32"/>
          <w:lang w:val="en-US" w:eastAsia="zh-CN" w:bidi="ar-SA"/>
        </w:rPr>
      </w:pPr>
      <w:r>
        <w:rPr>
          <w:rFonts w:hint="eastAsia" w:ascii="仿宋_GB2312" w:hAnsi="仿宋_GB2312" w:eastAsia="仿宋_GB2312" w:cs="仿宋_GB2312"/>
          <w:sz w:val="32"/>
          <w:szCs w:val="32"/>
        </w:rPr>
        <w:t>确保单位正常运行和重大项目的实施</w:t>
      </w:r>
      <w:r>
        <w:rPr>
          <w:rFonts w:hint="eastAsia" w:ascii="仿宋_GB2312" w:hAnsi="仿宋_GB2312" w:eastAsia="仿宋_GB2312" w:cs="仿宋_GB2312"/>
          <w:sz w:val="32"/>
          <w:szCs w:val="32"/>
          <w:lang w:eastAsia="zh-CN"/>
        </w:rPr>
        <w:t>。</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left="720" w:leftChars="0"/>
        <w:textAlignment w:val="auto"/>
        <w:outlineLvl w:val="9"/>
        <w:rPr>
          <w:rFonts w:hint="eastAsia" w:ascii="楷体_GB2312" w:hAnsi="宋体" w:eastAsia="楷体_GB2312"/>
          <w:b/>
          <w:color w:val="auto"/>
          <w:sz w:val="32"/>
          <w:szCs w:val="32"/>
          <w:lang w:val="en-US" w:eastAsia="zh-CN"/>
        </w:rPr>
      </w:pPr>
      <w:r>
        <w:rPr>
          <w:rFonts w:hint="eastAsia" w:ascii="楷体_GB2312" w:hAnsi="宋体" w:eastAsia="楷体_GB2312"/>
          <w:b/>
          <w:color w:val="auto"/>
          <w:sz w:val="32"/>
          <w:szCs w:val="32"/>
          <w:lang w:val="en-US" w:eastAsia="zh-CN"/>
        </w:rPr>
        <w:t>（三）项目资金申报相符性</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textAlignment w:val="auto"/>
        <w:outlineLvl w:val="9"/>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201</w:t>
      </w:r>
      <w:r>
        <w:rPr>
          <w:rFonts w:hint="eastAsia" w:eastAsia="仿宋_GB2312" w:cs="Times New Roman"/>
          <w:color w:val="auto"/>
          <w:kern w:val="0"/>
          <w:sz w:val="32"/>
          <w:szCs w:val="32"/>
          <w:lang w:val="en-US" w:eastAsia="zh-CN" w:bidi="ar-SA"/>
        </w:rPr>
        <w:t>9</w:t>
      </w:r>
      <w:r>
        <w:rPr>
          <w:rFonts w:hint="eastAsia" w:ascii="Times New Roman" w:hAnsi="Times New Roman" w:eastAsia="仿宋_GB2312" w:cs="Times New Roman"/>
          <w:color w:val="auto"/>
          <w:kern w:val="0"/>
          <w:sz w:val="32"/>
          <w:szCs w:val="32"/>
          <w:lang w:val="en-US" w:eastAsia="zh-CN" w:bidi="ar-SA"/>
        </w:rPr>
        <w:t>年实施的</w:t>
      </w:r>
      <w:r>
        <w:rPr>
          <w:rFonts w:hint="eastAsia" w:eastAsia="仿宋_GB2312" w:cs="Times New Roman"/>
          <w:color w:val="auto"/>
          <w:kern w:val="0"/>
          <w:sz w:val="32"/>
          <w:szCs w:val="32"/>
          <w:lang w:val="en-US" w:eastAsia="zh-CN" w:bidi="ar-SA"/>
        </w:rPr>
        <w:t>巡察专项经费</w:t>
      </w:r>
      <w:r>
        <w:rPr>
          <w:rFonts w:hint="eastAsia" w:ascii="Times New Roman" w:hAnsi="Times New Roman" w:eastAsia="仿宋_GB2312" w:cs="Times New Roman"/>
          <w:color w:val="auto"/>
          <w:kern w:val="0"/>
          <w:sz w:val="32"/>
          <w:szCs w:val="32"/>
          <w:lang w:val="en-US" w:eastAsia="zh-CN" w:bidi="ar-SA"/>
        </w:rPr>
        <w:t>项目，均</w:t>
      </w:r>
      <w:r>
        <w:rPr>
          <w:rFonts w:hint="eastAsia" w:eastAsia="仿宋_GB2312" w:cs="Times New Roman"/>
          <w:color w:val="auto"/>
          <w:kern w:val="0"/>
          <w:sz w:val="32"/>
          <w:szCs w:val="32"/>
          <w:lang w:val="en-US" w:eastAsia="zh-CN" w:bidi="ar-SA"/>
        </w:rPr>
        <w:t>参照川财行</w:t>
      </w:r>
      <w:r>
        <w:rPr>
          <w:rFonts w:hint="eastAsia" w:ascii="Times New Roman" w:hAnsi="Times New Roman" w:eastAsia="仿宋_GB2312" w:cs="Times New Roman"/>
          <w:color w:val="auto"/>
          <w:kern w:val="0"/>
          <w:sz w:val="32"/>
          <w:szCs w:val="32"/>
          <w:lang w:val="en-US" w:eastAsia="zh-CN" w:bidi="ar-SA"/>
        </w:rPr>
        <w:t>〔201</w:t>
      </w:r>
      <w:r>
        <w:rPr>
          <w:rFonts w:hint="eastAsia" w:eastAsia="仿宋_GB2312" w:cs="Times New Roman"/>
          <w:color w:val="auto"/>
          <w:kern w:val="0"/>
          <w:sz w:val="32"/>
          <w:szCs w:val="32"/>
          <w:lang w:val="en-US" w:eastAsia="zh-CN" w:bidi="ar-SA"/>
        </w:rPr>
        <w:t>7</w:t>
      </w:r>
      <w:r>
        <w:rPr>
          <w:rFonts w:hint="eastAsia" w:ascii="Times New Roman" w:hAnsi="Times New Roman" w:eastAsia="仿宋_GB2312" w:cs="Times New Roman"/>
          <w:color w:val="auto"/>
          <w:kern w:val="0"/>
          <w:sz w:val="32"/>
          <w:szCs w:val="32"/>
          <w:lang w:val="en-US" w:eastAsia="zh-CN" w:bidi="ar-SA"/>
        </w:rPr>
        <w:t>〕</w:t>
      </w:r>
      <w:r>
        <w:rPr>
          <w:rFonts w:hint="eastAsia" w:eastAsia="仿宋_GB2312" w:cs="Times New Roman"/>
          <w:color w:val="auto"/>
          <w:kern w:val="0"/>
          <w:sz w:val="32"/>
          <w:szCs w:val="32"/>
          <w:lang w:val="en-US" w:eastAsia="zh-CN" w:bidi="ar-SA"/>
        </w:rPr>
        <w:t>77</w:t>
      </w:r>
      <w:r>
        <w:rPr>
          <w:rFonts w:hint="eastAsia" w:ascii="Times New Roman" w:hAnsi="Times New Roman" w:eastAsia="仿宋_GB2312" w:cs="Times New Roman"/>
          <w:color w:val="auto"/>
          <w:kern w:val="0"/>
          <w:sz w:val="32"/>
          <w:szCs w:val="32"/>
          <w:lang w:val="en-US" w:eastAsia="zh-CN" w:bidi="ar-SA"/>
        </w:rPr>
        <w:t>号等文件精神和</w:t>
      </w:r>
      <w:r>
        <w:rPr>
          <w:rFonts w:hint="eastAsia" w:eastAsia="仿宋_GB2312" w:cs="Times New Roman"/>
          <w:color w:val="auto"/>
          <w:kern w:val="0"/>
          <w:sz w:val="32"/>
          <w:szCs w:val="32"/>
          <w:lang w:val="en-US" w:eastAsia="zh-CN" w:bidi="ar-SA"/>
        </w:rPr>
        <w:t>州委</w:t>
      </w:r>
      <w:r>
        <w:rPr>
          <w:rFonts w:hint="eastAsia" w:ascii="Times New Roman" w:hAnsi="Times New Roman" w:eastAsia="仿宋_GB2312" w:cs="Times New Roman"/>
          <w:color w:val="auto"/>
          <w:kern w:val="0"/>
          <w:sz w:val="32"/>
          <w:szCs w:val="32"/>
          <w:lang w:val="en-US" w:eastAsia="zh-CN" w:bidi="ar-SA"/>
        </w:rPr>
        <w:t>下达的目标任务、部署要求组织实施，与项目资金使用范围内容相符。</w:t>
      </w: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二</w:t>
      </w:r>
      <w:r>
        <w:rPr>
          <w:rFonts w:hint="eastAsia" w:ascii="黑体" w:hAnsi="黑体" w:eastAsia="黑体" w:cs="黑体"/>
          <w:color w:val="auto"/>
          <w:sz w:val="32"/>
          <w:szCs w:val="32"/>
        </w:rPr>
        <w:t>、项目实施及管理情况</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3" w:firstLineChars="200"/>
        <w:textAlignment w:val="auto"/>
        <w:outlineLvl w:val="9"/>
        <w:rPr>
          <w:rFonts w:hint="eastAsia" w:ascii="楷体_GB2312" w:hAnsi="宋体" w:eastAsia="楷体_GB2312"/>
          <w:b/>
          <w:color w:val="auto"/>
          <w:sz w:val="32"/>
          <w:szCs w:val="32"/>
          <w:lang w:val="zh-CN" w:eastAsia="zh-CN"/>
        </w:rPr>
      </w:pPr>
      <w:r>
        <w:rPr>
          <w:rFonts w:hint="eastAsia" w:ascii="楷体_GB2312" w:hAnsi="宋体" w:eastAsia="楷体_GB2312"/>
          <w:b/>
          <w:color w:val="auto"/>
          <w:sz w:val="32"/>
          <w:szCs w:val="32"/>
          <w:lang w:val="zh-CN" w:eastAsia="zh-CN"/>
        </w:rPr>
        <w:t>（一）项目资金申报及批复情况</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outlineLvl w:val="9"/>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201</w:t>
      </w:r>
      <w:r>
        <w:rPr>
          <w:rFonts w:hint="eastAsia" w:eastAsia="仿宋_GB2312" w:cs="Times New Roman"/>
          <w:color w:val="auto"/>
          <w:kern w:val="0"/>
          <w:sz w:val="32"/>
          <w:szCs w:val="32"/>
          <w:lang w:val="en-US" w:eastAsia="zh-CN" w:bidi="ar-SA"/>
        </w:rPr>
        <w:t>9</w:t>
      </w:r>
      <w:r>
        <w:rPr>
          <w:rFonts w:hint="eastAsia" w:ascii="Times New Roman" w:hAnsi="Times New Roman" w:eastAsia="仿宋_GB2312" w:cs="Times New Roman"/>
          <w:color w:val="auto"/>
          <w:kern w:val="0"/>
          <w:sz w:val="32"/>
          <w:szCs w:val="32"/>
          <w:lang w:val="en-US" w:eastAsia="zh-CN" w:bidi="ar-SA"/>
        </w:rPr>
        <w:t>年，州本级财政预算</w:t>
      </w:r>
      <w:r>
        <w:rPr>
          <w:rFonts w:hint="eastAsia" w:eastAsia="仿宋_GB2312" w:cs="Times New Roman"/>
          <w:color w:val="auto"/>
          <w:kern w:val="0"/>
          <w:sz w:val="32"/>
          <w:szCs w:val="32"/>
          <w:lang w:val="en-US" w:eastAsia="zh-CN" w:bidi="ar-SA"/>
        </w:rPr>
        <w:t>巡察专项经费75.31</w:t>
      </w:r>
      <w:r>
        <w:rPr>
          <w:rFonts w:hint="eastAsia" w:ascii="Times New Roman" w:hAnsi="Times New Roman" w:eastAsia="仿宋_GB2312" w:cs="Times New Roman"/>
          <w:color w:val="auto"/>
          <w:kern w:val="0"/>
          <w:sz w:val="32"/>
          <w:szCs w:val="32"/>
          <w:lang w:val="en-US" w:eastAsia="zh-CN" w:bidi="ar-SA"/>
        </w:rPr>
        <w:t>万元，实行</w:t>
      </w:r>
      <w:r>
        <w:rPr>
          <w:rFonts w:hint="eastAsia" w:eastAsia="仿宋_GB2312" w:cs="Times New Roman"/>
          <w:color w:val="auto"/>
          <w:kern w:val="0"/>
          <w:sz w:val="32"/>
          <w:szCs w:val="32"/>
          <w:lang w:val="en-US" w:eastAsia="zh-CN" w:bidi="ar-SA"/>
        </w:rPr>
        <w:t>巡察工作完成</w:t>
      </w:r>
      <w:r>
        <w:rPr>
          <w:rFonts w:hint="eastAsia" w:ascii="Times New Roman" w:hAnsi="Times New Roman" w:eastAsia="仿宋_GB2312" w:cs="Times New Roman"/>
          <w:color w:val="auto"/>
          <w:kern w:val="0"/>
          <w:sz w:val="32"/>
          <w:szCs w:val="32"/>
          <w:lang w:val="en-US" w:eastAsia="zh-CN" w:bidi="ar-SA"/>
        </w:rPr>
        <w:t>后向</w:t>
      </w:r>
      <w:r>
        <w:rPr>
          <w:rFonts w:hint="eastAsia" w:eastAsia="仿宋_GB2312" w:cs="Times New Roman"/>
          <w:color w:val="auto"/>
          <w:kern w:val="0"/>
          <w:sz w:val="32"/>
          <w:szCs w:val="32"/>
          <w:lang w:val="en-US" w:eastAsia="zh-CN" w:bidi="ar-SA"/>
        </w:rPr>
        <w:t>本级财政部门</w:t>
      </w:r>
      <w:r>
        <w:rPr>
          <w:rFonts w:hint="eastAsia" w:ascii="Times New Roman" w:hAnsi="Times New Roman" w:eastAsia="仿宋_GB2312" w:cs="Times New Roman"/>
          <w:color w:val="auto"/>
          <w:kern w:val="0"/>
          <w:sz w:val="32"/>
          <w:szCs w:val="32"/>
          <w:lang w:val="en-US" w:eastAsia="zh-CN" w:bidi="ar-SA"/>
        </w:rPr>
        <w:t>申请拨付。</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3" w:firstLineChars="200"/>
        <w:textAlignment w:val="auto"/>
        <w:outlineLvl w:val="9"/>
        <w:rPr>
          <w:rFonts w:hint="eastAsia" w:ascii="楷体_GB2312" w:hAnsi="宋体" w:eastAsia="楷体_GB2312"/>
          <w:b/>
          <w:color w:val="auto"/>
          <w:sz w:val="32"/>
          <w:szCs w:val="32"/>
          <w:lang w:val="zh-CN" w:eastAsia="zh-CN"/>
        </w:rPr>
      </w:pPr>
      <w:r>
        <w:rPr>
          <w:rFonts w:hint="eastAsia" w:ascii="楷体_GB2312" w:hAnsi="宋体" w:eastAsia="楷体_GB2312"/>
          <w:b/>
          <w:color w:val="auto"/>
          <w:sz w:val="32"/>
          <w:szCs w:val="32"/>
          <w:lang w:val="zh-CN" w:eastAsia="zh-CN"/>
        </w:rPr>
        <w:t>（二）资金计划、到位及使用情况。</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outlineLvl w:val="9"/>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zh-CN" w:eastAsia="zh-CN" w:bidi="ar-SA"/>
        </w:rPr>
        <w:t>1．资金计划</w:t>
      </w:r>
      <w:r>
        <w:rPr>
          <w:rFonts w:hint="eastAsia" w:ascii="Times New Roman" w:hAnsi="Times New Roman" w:eastAsia="仿宋_GB2312" w:cs="Times New Roman"/>
          <w:color w:val="auto"/>
          <w:kern w:val="0"/>
          <w:sz w:val="32"/>
          <w:szCs w:val="32"/>
          <w:lang w:val="en-US" w:eastAsia="zh-CN" w:bidi="ar-SA"/>
        </w:rPr>
        <w:t>和资金到位</w:t>
      </w:r>
      <w:r>
        <w:rPr>
          <w:rFonts w:hint="eastAsia" w:ascii="Times New Roman" w:hAnsi="Times New Roman" w:eastAsia="仿宋_GB2312" w:cs="Times New Roman"/>
          <w:color w:val="auto"/>
          <w:kern w:val="0"/>
          <w:sz w:val="32"/>
          <w:szCs w:val="32"/>
          <w:lang w:val="zh-CN" w:eastAsia="zh-CN" w:bidi="ar-SA"/>
        </w:rPr>
        <w:t>。</w:t>
      </w:r>
      <w:r>
        <w:rPr>
          <w:rFonts w:hint="eastAsia" w:ascii="Times New Roman" w:hAnsi="Times New Roman" w:eastAsia="仿宋_GB2312" w:cs="Times New Roman"/>
          <w:color w:val="auto"/>
          <w:kern w:val="0"/>
          <w:sz w:val="32"/>
          <w:szCs w:val="32"/>
          <w:lang w:val="en-US" w:eastAsia="zh-CN" w:bidi="ar-SA"/>
        </w:rPr>
        <w:t>2019年预算安排经费75.31万元，实际到位75.31万元。</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outlineLvl w:val="9"/>
        <w:rPr>
          <w:rFonts w:hint="eastAsia" w:ascii="Times New Roman" w:hAnsi="Times New Roman" w:eastAsia="仿宋_GB2312" w:cs="Times New Roman"/>
          <w:color w:val="auto"/>
          <w:kern w:val="0"/>
          <w:sz w:val="32"/>
          <w:szCs w:val="32"/>
          <w:lang w:val="zh-CN" w:eastAsia="zh-CN" w:bidi="ar-SA"/>
        </w:rPr>
      </w:pPr>
      <w:r>
        <w:rPr>
          <w:rFonts w:hint="eastAsia" w:eastAsia="仿宋_GB2312" w:cs="Times New Roman"/>
          <w:color w:val="auto"/>
          <w:kern w:val="0"/>
          <w:sz w:val="32"/>
          <w:szCs w:val="32"/>
          <w:lang w:val="en-US" w:eastAsia="zh-CN" w:bidi="ar-SA"/>
        </w:rPr>
        <w:t>2</w:t>
      </w:r>
      <w:r>
        <w:rPr>
          <w:rFonts w:hint="eastAsia" w:ascii="Times New Roman" w:hAnsi="Times New Roman" w:eastAsia="仿宋_GB2312" w:cs="Times New Roman"/>
          <w:color w:val="auto"/>
          <w:kern w:val="0"/>
          <w:sz w:val="32"/>
          <w:szCs w:val="32"/>
          <w:lang w:val="zh-CN" w:eastAsia="zh-CN" w:bidi="ar-SA"/>
        </w:rPr>
        <w:t>．资金使用。</w:t>
      </w:r>
      <w:r>
        <w:rPr>
          <w:rFonts w:hint="eastAsia" w:ascii="Times New Roman" w:hAnsi="Times New Roman" w:eastAsia="仿宋_GB2312" w:cs="Times New Roman"/>
          <w:color w:val="auto"/>
          <w:kern w:val="0"/>
          <w:sz w:val="32"/>
          <w:szCs w:val="32"/>
          <w:lang w:val="en-US" w:eastAsia="zh-CN" w:bidi="ar-SA"/>
        </w:rPr>
        <w:t>2019年巡察经费75.31万元，实际支</w:t>
      </w:r>
      <w:r>
        <w:rPr>
          <w:rFonts w:hint="eastAsia" w:eastAsia="仿宋_GB2312" w:cs="Times New Roman"/>
          <w:color w:val="auto"/>
          <w:kern w:val="0"/>
          <w:sz w:val="32"/>
          <w:szCs w:val="32"/>
          <w:lang w:val="en-US" w:eastAsia="zh-CN" w:bidi="ar-SA"/>
        </w:rPr>
        <w:t>付75.31</w:t>
      </w:r>
      <w:r>
        <w:rPr>
          <w:rFonts w:hint="eastAsia" w:ascii="Times New Roman" w:hAnsi="Times New Roman" w:eastAsia="仿宋_GB2312" w:cs="Times New Roman"/>
          <w:color w:val="auto"/>
          <w:kern w:val="0"/>
          <w:sz w:val="32"/>
          <w:szCs w:val="32"/>
          <w:lang w:val="en-US" w:eastAsia="zh-CN" w:bidi="ar-SA"/>
        </w:rPr>
        <w:t>万元</w:t>
      </w:r>
      <w:r>
        <w:rPr>
          <w:rFonts w:hint="eastAsia" w:eastAsia="仿宋_GB2312" w:cs="Times New Roman"/>
          <w:color w:val="auto"/>
          <w:kern w:val="0"/>
          <w:sz w:val="32"/>
          <w:szCs w:val="32"/>
          <w:lang w:val="en-US" w:eastAsia="zh-CN" w:bidi="ar-SA"/>
        </w:rPr>
        <w:t>。</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3" w:firstLineChars="200"/>
        <w:textAlignment w:val="auto"/>
        <w:outlineLvl w:val="9"/>
        <w:rPr>
          <w:rFonts w:hint="eastAsia" w:ascii="楷体_GB2312" w:hAnsi="宋体" w:eastAsia="楷体_GB2312"/>
          <w:b/>
          <w:color w:val="auto"/>
          <w:sz w:val="32"/>
          <w:szCs w:val="32"/>
          <w:lang w:val="zh-CN" w:eastAsia="zh-CN"/>
        </w:rPr>
      </w:pPr>
      <w:r>
        <w:rPr>
          <w:rFonts w:hint="eastAsia" w:ascii="楷体_GB2312" w:hAnsi="宋体" w:eastAsia="楷体_GB2312"/>
          <w:b/>
          <w:color w:val="auto"/>
          <w:sz w:val="32"/>
          <w:szCs w:val="32"/>
          <w:lang w:val="zh-CN" w:eastAsia="zh-CN"/>
        </w:rPr>
        <w:t>（三）项目财务管理情况</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Times New Roman" w:hAnsi="Times New Roman" w:eastAsia="仿宋_GB2312" w:cs="Times New Roman"/>
          <w:color w:val="auto"/>
          <w:kern w:val="0"/>
          <w:sz w:val="32"/>
          <w:szCs w:val="32"/>
          <w:lang w:val="zh-CN" w:eastAsia="zh-CN" w:bidi="ar-SA"/>
        </w:rPr>
      </w:pPr>
      <w:r>
        <w:rPr>
          <w:rFonts w:hint="eastAsia" w:ascii="Times New Roman" w:hAnsi="Times New Roman" w:eastAsia="仿宋_GB2312" w:cs="Times New Roman"/>
          <w:color w:val="auto"/>
          <w:kern w:val="0"/>
          <w:sz w:val="32"/>
          <w:szCs w:val="32"/>
          <w:lang w:val="zh-CN" w:eastAsia="zh-CN" w:bidi="ar-SA"/>
        </w:rPr>
        <w:t>根据《中华人民共和国预算法》等要求，</w:t>
      </w:r>
      <w:r>
        <w:rPr>
          <w:rFonts w:hint="eastAsia" w:ascii="Times New Roman" w:hAnsi="Times New Roman" w:eastAsia="仿宋_GB2312" w:cs="Times New Roman"/>
          <w:color w:val="auto"/>
          <w:kern w:val="0"/>
          <w:sz w:val="32"/>
          <w:szCs w:val="32"/>
          <w:lang w:val="en-US" w:eastAsia="zh-CN" w:bidi="ar-SA"/>
        </w:rPr>
        <w:t>项目支出实行国库集中支付方式进行，资金支出严格依据相关财务制度规定的标准和要求，支付专项经费，不存在资金截留、挤占和挪用现象</w:t>
      </w:r>
      <w:r>
        <w:rPr>
          <w:rFonts w:hint="eastAsia" w:eastAsia="仿宋_GB2312" w:cs="Times New Roman"/>
          <w:color w:val="auto"/>
          <w:kern w:val="0"/>
          <w:sz w:val="32"/>
          <w:szCs w:val="32"/>
          <w:lang w:val="en-US" w:eastAsia="zh-CN" w:bidi="ar-SA"/>
        </w:rPr>
        <w:t>。</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outlineLvl w:val="9"/>
        <w:rPr>
          <w:rFonts w:ascii="仿宋_GB2312" w:hAnsi="宋体" w:eastAsia="仿宋_GB2312"/>
          <w:sz w:val="32"/>
          <w:szCs w:val="32"/>
          <w:lang w:val="zh-CN"/>
        </w:rPr>
      </w:pPr>
      <w:r>
        <w:rPr>
          <w:rFonts w:hint="eastAsia" w:ascii="黑体" w:hAnsi="宋体" w:eastAsia="黑体"/>
          <w:sz w:val="32"/>
          <w:szCs w:val="32"/>
          <w:lang w:val="en-US" w:eastAsia="zh-CN"/>
        </w:rPr>
        <w:t>三</w:t>
      </w:r>
      <w:r>
        <w:rPr>
          <w:rFonts w:hint="eastAsia" w:ascii="黑体" w:hAnsi="宋体" w:eastAsia="黑体"/>
          <w:sz w:val="32"/>
          <w:szCs w:val="32"/>
        </w:rPr>
        <w:t>、项目绩效情况</w:t>
      </w:r>
      <w:r>
        <w:rPr>
          <w:rFonts w:hint="eastAsia" w:ascii="仿宋_GB2312" w:hAnsi="宋体" w:eastAsia="仿宋_GB2312"/>
          <w:sz w:val="32"/>
          <w:szCs w:val="32"/>
          <w:lang w:val="zh-CN"/>
        </w:rPr>
        <w:tab/>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outlineLvl w:val="9"/>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9"/>
        <w:rPr>
          <w:rFonts w:ascii="仿宋" w:hAnsi="仿宋" w:eastAsia="仿宋" w:cs="仿宋_GB2312"/>
          <w:sz w:val="32"/>
          <w:szCs w:val="32"/>
        </w:rPr>
      </w:pPr>
      <w:r>
        <w:rPr>
          <w:rFonts w:hint="eastAsia" w:ascii="仿宋_GB2312" w:hAnsi="仿宋_GB2312" w:eastAsia="仿宋_GB2312" w:cs="仿宋_GB2312"/>
          <w:sz w:val="32"/>
          <w:szCs w:val="32"/>
          <w:lang w:eastAsia="zh-CN"/>
        </w:rPr>
        <w:t>巡察专项</w:t>
      </w:r>
      <w:r>
        <w:rPr>
          <w:rFonts w:hint="eastAsia" w:ascii="仿宋_GB2312" w:hAnsi="仿宋_GB2312" w:eastAsia="仿宋_GB2312" w:cs="仿宋_GB2312"/>
          <w:sz w:val="32"/>
          <w:szCs w:val="32"/>
        </w:rPr>
        <w:t>经费全年预算数</w:t>
      </w:r>
      <w:r>
        <w:rPr>
          <w:rFonts w:hint="eastAsia" w:ascii="仿宋_GB2312" w:hAnsi="仿宋_GB2312" w:eastAsia="仿宋_GB2312" w:cs="仿宋_GB2312"/>
          <w:sz w:val="32"/>
          <w:szCs w:val="32"/>
          <w:lang w:val="en-US" w:eastAsia="zh-CN"/>
        </w:rPr>
        <w:t>75.31</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75.31</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%。通过项目实施，确保单位正常运行和重大项目的实施</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outlineLvl w:val="9"/>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pStyle w:val="7"/>
        <w:keepNext w:val="0"/>
        <w:keepLines w:val="0"/>
        <w:pageBreakBefore w:val="0"/>
        <w:kinsoku/>
        <w:wordWrap/>
        <w:overflowPunct/>
        <w:topLinePunct w:val="0"/>
        <w:autoSpaceDE/>
        <w:autoSpaceDN/>
        <w:bidi w:val="0"/>
        <w:spacing w:beforeAutospacing="0" w:afterAutospacing="0" w:line="560" w:lineRule="exact"/>
        <w:ind w:firstLine="643" w:firstLineChars="200"/>
        <w:textAlignment w:val="auto"/>
        <w:outlineLvl w:val="9"/>
        <w:rPr>
          <w:rFonts w:hint="eastAsia" w:eastAsia="仿宋_GB2312"/>
          <w:sz w:val="32"/>
          <w:szCs w:val="32"/>
          <w:lang w:eastAsia="zh-CN"/>
        </w:rPr>
      </w:pPr>
      <w:r>
        <w:rPr>
          <w:rFonts w:hint="eastAsia" w:eastAsia="仿宋_GB2312"/>
          <w:b/>
          <w:bCs/>
          <w:sz w:val="32"/>
          <w:szCs w:val="32"/>
        </w:rPr>
        <w:t>一是</w:t>
      </w:r>
      <w:r>
        <w:rPr>
          <w:rFonts w:eastAsia="仿宋_GB2312"/>
          <w:sz w:val="32"/>
          <w:szCs w:val="32"/>
        </w:rPr>
        <w:t>经济性分析</w:t>
      </w:r>
      <w:r>
        <w:rPr>
          <w:rFonts w:hint="eastAsia" w:eastAsia="仿宋_GB2312"/>
          <w:sz w:val="32"/>
          <w:szCs w:val="32"/>
        </w:rPr>
        <w:t>。</w:t>
      </w:r>
      <w:r>
        <w:rPr>
          <w:rFonts w:eastAsia="仿宋_GB2312"/>
          <w:sz w:val="32"/>
          <w:szCs w:val="32"/>
        </w:rPr>
        <w:t>我</w:t>
      </w:r>
      <w:r>
        <w:rPr>
          <w:rFonts w:hint="eastAsia" w:eastAsia="仿宋_GB2312"/>
          <w:sz w:val="32"/>
          <w:szCs w:val="32"/>
          <w:lang w:eastAsia="zh-CN"/>
        </w:rPr>
        <w:t>委</w:t>
      </w:r>
      <w:r>
        <w:rPr>
          <w:rFonts w:eastAsia="仿宋_GB2312"/>
          <w:sz w:val="32"/>
          <w:szCs w:val="32"/>
        </w:rPr>
        <w:t>201</w:t>
      </w:r>
      <w:r>
        <w:rPr>
          <w:rFonts w:hint="eastAsia" w:eastAsia="仿宋_GB2312"/>
          <w:sz w:val="32"/>
          <w:szCs w:val="32"/>
        </w:rPr>
        <w:t>9</w:t>
      </w:r>
      <w:r>
        <w:rPr>
          <w:rFonts w:eastAsia="仿宋_GB2312"/>
          <w:sz w:val="32"/>
          <w:szCs w:val="32"/>
        </w:rPr>
        <w:t>年</w:t>
      </w:r>
      <w:r>
        <w:rPr>
          <w:rFonts w:hint="eastAsia" w:eastAsia="仿宋_GB2312"/>
          <w:sz w:val="32"/>
          <w:szCs w:val="32"/>
          <w:lang w:val="en-US" w:eastAsia="zh-CN"/>
        </w:rPr>
        <w:t>巡察专项</w:t>
      </w:r>
      <w:r>
        <w:rPr>
          <w:rFonts w:eastAsia="仿宋_GB2312"/>
          <w:sz w:val="32"/>
          <w:szCs w:val="32"/>
        </w:rPr>
        <w:t>项目资金拨付到位，并按照相关规定全部用于项目支出，通过总结资金使用管理经验，完善资金管理办法，提高财政资金的使用效率，为以后年度编制项目预算、选择项目实施主体等提供参考依据</w:t>
      </w:r>
      <w:r>
        <w:rPr>
          <w:rFonts w:hint="eastAsia" w:eastAsia="仿宋_GB2312"/>
          <w:sz w:val="32"/>
          <w:szCs w:val="32"/>
          <w:lang w:eastAsia="zh-CN"/>
        </w:rPr>
        <w:t>。</w:t>
      </w:r>
    </w:p>
    <w:p>
      <w:pPr>
        <w:pStyle w:val="7"/>
        <w:keepNext w:val="0"/>
        <w:keepLines w:val="0"/>
        <w:pageBreakBefore w:val="0"/>
        <w:kinsoku/>
        <w:wordWrap/>
        <w:overflowPunct/>
        <w:topLinePunct w:val="0"/>
        <w:autoSpaceDE/>
        <w:autoSpaceDN/>
        <w:bidi w:val="0"/>
        <w:spacing w:beforeAutospacing="0" w:afterAutospacing="0" w:line="560" w:lineRule="exact"/>
        <w:ind w:firstLine="643" w:firstLineChars="200"/>
        <w:textAlignment w:val="auto"/>
        <w:outlineLvl w:val="9"/>
        <w:rPr>
          <w:rFonts w:eastAsia="仿宋_GB2312"/>
          <w:sz w:val="32"/>
          <w:szCs w:val="32"/>
        </w:rPr>
      </w:pPr>
      <w:r>
        <w:rPr>
          <w:rFonts w:hint="eastAsia" w:eastAsia="仿宋_GB2312"/>
          <w:b/>
          <w:bCs/>
          <w:sz w:val="32"/>
          <w:szCs w:val="32"/>
        </w:rPr>
        <w:t>二是</w:t>
      </w:r>
      <w:r>
        <w:rPr>
          <w:rFonts w:eastAsia="仿宋_GB2312"/>
          <w:sz w:val="32"/>
          <w:szCs w:val="32"/>
        </w:rPr>
        <w:t>效率性分析</w:t>
      </w:r>
      <w:r>
        <w:rPr>
          <w:rFonts w:hint="eastAsia" w:eastAsia="仿宋_GB2312"/>
          <w:sz w:val="32"/>
          <w:szCs w:val="32"/>
        </w:rPr>
        <w:t>。</w:t>
      </w:r>
      <w:r>
        <w:rPr>
          <w:rFonts w:eastAsia="仿宋_GB2312"/>
          <w:sz w:val="32"/>
          <w:szCs w:val="32"/>
        </w:rPr>
        <w:t>我</w:t>
      </w:r>
      <w:r>
        <w:rPr>
          <w:rFonts w:hint="eastAsia" w:eastAsia="仿宋_GB2312"/>
          <w:sz w:val="32"/>
          <w:szCs w:val="32"/>
          <w:lang w:eastAsia="zh-CN"/>
        </w:rPr>
        <w:t>委</w:t>
      </w:r>
      <w:r>
        <w:rPr>
          <w:rFonts w:eastAsia="仿宋_GB2312"/>
          <w:sz w:val="32"/>
          <w:szCs w:val="32"/>
        </w:rPr>
        <w:t>201</w:t>
      </w:r>
      <w:r>
        <w:rPr>
          <w:rFonts w:hint="eastAsia" w:eastAsia="仿宋_GB2312"/>
          <w:sz w:val="32"/>
          <w:szCs w:val="32"/>
        </w:rPr>
        <w:t>9</w:t>
      </w:r>
      <w:r>
        <w:rPr>
          <w:rFonts w:eastAsia="仿宋_GB2312"/>
          <w:sz w:val="32"/>
          <w:szCs w:val="32"/>
        </w:rPr>
        <w:t>年部门项目支出绩效情况良好，均按年初设定的目标任务执行效率完成各项工作。</w:t>
      </w:r>
    </w:p>
    <w:p>
      <w:pPr>
        <w:pStyle w:val="7"/>
        <w:keepNext w:val="0"/>
        <w:keepLines w:val="0"/>
        <w:pageBreakBefore w:val="0"/>
        <w:kinsoku/>
        <w:wordWrap/>
        <w:overflowPunct/>
        <w:topLinePunct w:val="0"/>
        <w:autoSpaceDE/>
        <w:autoSpaceDN/>
        <w:bidi w:val="0"/>
        <w:spacing w:beforeAutospacing="0" w:afterAutospacing="0" w:line="560" w:lineRule="exact"/>
        <w:ind w:firstLine="643" w:firstLineChars="200"/>
        <w:textAlignment w:val="auto"/>
        <w:outlineLvl w:val="9"/>
        <w:rPr>
          <w:rFonts w:ascii="仿宋" w:hAnsi="仿宋" w:eastAsia="仿宋" w:cs="仿宋_GB2312"/>
          <w:sz w:val="32"/>
          <w:szCs w:val="32"/>
        </w:rPr>
      </w:pPr>
      <w:r>
        <w:rPr>
          <w:rFonts w:hint="eastAsia" w:eastAsia="仿宋_GB2312"/>
          <w:b/>
          <w:bCs/>
          <w:sz w:val="32"/>
          <w:szCs w:val="32"/>
        </w:rPr>
        <w:t>三是</w:t>
      </w:r>
      <w:r>
        <w:rPr>
          <w:rFonts w:eastAsia="仿宋_GB2312"/>
          <w:sz w:val="32"/>
          <w:szCs w:val="32"/>
        </w:rPr>
        <w:t>效益性分析</w:t>
      </w:r>
      <w:r>
        <w:rPr>
          <w:rFonts w:hint="eastAsia" w:eastAsia="仿宋_GB2312"/>
          <w:sz w:val="32"/>
          <w:szCs w:val="32"/>
        </w:rPr>
        <w:t>。</w:t>
      </w:r>
      <w:r>
        <w:rPr>
          <w:rFonts w:eastAsia="仿宋_GB2312"/>
          <w:sz w:val="32"/>
          <w:szCs w:val="32"/>
        </w:rPr>
        <w:t>我</w:t>
      </w:r>
      <w:r>
        <w:rPr>
          <w:rFonts w:hint="eastAsia" w:eastAsia="仿宋_GB2312"/>
          <w:sz w:val="32"/>
          <w:szCs w:val="32"/>
          <w:lang w:eastAsia="zh-CN"/>
        </w:rPr>
        <w:t>委</w:t>
      </w:r>
      <w:r>
        <w:rPr>
          <w:rFonts w:eastAsia="仿宋_GB2312"/>
          <w:sz w:val="32"/>
          <w:szCs w:val="32"/>
        </w:rPr>
        <w:t>较好地完成了201</w:t>
      </w:r>
      <w:r>
        <w:rPr>
          <w:rFonts w:hint="eastAsia" w:eastAsia="仿宋_GB2312"/>
          <w:sz w:val="32"/>
          <w:szCs w:val="32"/>
        </w:rPr>
        <w:t>9</w:t>
      </w:r>
      <w:r>
        <w:rPr>
          <w:rFonts w:eastAsia="仿宋_GB2312"/>
          <w:sz w:val="32"/>
          <w:szCs w:val="32"/>
        </w:rPr>
        <w:t>年初设定的工作任务，201</w:t>
      </w:r>
      <w:r>
        <w:rPr>
          <w:rFonts w:hint="eastAsia" w:eastAsia="仿宋_GB2312"/>
          <w:sz w:val="32"/>
          <w:szCs w:val="32"/>
        </w:rPr>
        <w:t>9</w:t>
      </w:r>
      <w:r>
        <w:rPr>
          <w:rFonts w:eastAsia="仿宋_GB2312"/>
          <w:sz w:val="32"/>
          <w:szCs w:val="32"/>
        </w:rPr>
        <w:t>年专项经费实际支出未超出预算规定，认真履行工作职责，及时完成年初制定的各项工作任务，质量达标。</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ascii="黑体" w:hAnsi="宋体" w:eastAsia="黑体"/>
          <w:sz w:val="32"/>
          <w:szCs w:val="32"/>
        </w:rPr>
      </w:pPr>
      <w:r>
        <w:rPr>
          <w:rFonts w:hint="eastAsia" w:ascii="黑体" w:hAnsi="宋体" w:eastAsia="黑体"/>
          <w:sz w:val="32"/>
          <w:szCs w:val="32"/>
          <w:lang w:eastAsia="zh-CN"/>
        </w:rPr>
        <w:t>四</w:t>
      </w:r>
      <w:r>
        <w:rPr>
          <w:rFonts w:hint="eastAsia" w:ascii="黑体" w:hAnsi="宋体" w:eastAsia="黑体"/>
          <w:sz w:val="32"/>
          <w:szCs w:val="32"/>
        </w:rPr>
        <w:t>、评价结论及建议</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pStyle w:val="7"/>
        <w:keepNext w:val="0"/>
        <w:keepLines w:val="0"/>
        <w:pageBreakBefore w:val="0"/>
        <w:kinsoku/>
        <w:wordWrap/>
        <w:overflowPunct/>
        <w:topLinePunct w:val="0"/>
        <w:autoSpaceDE/>
        <w:autoSpaceDN/>
        <w:bidi w:val="0"/>
        <w:spacing w:beforeAutospacing="0" w:afterAutospacing="0" w:line="560" w:lineRule="exact"/>
        <w:ind w:firstLine="640" w:firstLineChars="200"/>
        <w:textAlignment w:val="auto"/>
        <w:rPr>
          <w:rFonts w:ascii="楷体_GB2312" w:hAnsi="楷体_GB2312" w:eastAsia="楷体_GB2312" w:cs="楷体_GB2312"/>
          <w:sz w:val="32"/>
          <w:szCs w:val="32"/>
        </w:rPr>
      </w:pPr>
      <w:r>
        <w:rPr>
          <w:rFonts w:eastAsia="仿宋_GB2312"/>
          <w:sz w:val="32"/>
          <w:szCs w:val="32"/>
        </w:rPr>
        <w:t>经评价，本次</w:t>
      </w:r>
      <w:r>
        <w:rPr>
          <w:rFonts w:hint="eastAsia" w:eastAsia="仿宋_GB2312"/>
          <w:sz w:val="32"/>
          <w:szCs w:val="32"/>
          <w:lang w:val="en-US" w:eastAsia="zh-CN"/>
        </w:rPr>
        <w:t>巡察</w:t>
      </w:r>
      <w:r>
        <w:rPr>
          <w:rFonts w:eastAsia="仿宋_GB2312"/>
          <w:sz w:val="32"/>
          <w:szCs w:val="32"/>
        </w:rPr>
        <w:t>项</w:t>
      </w:r>
      <w:r>
        <w:rPr>
          <w:rFonts w:hint="eastAsia" w:eastAsia="仿宋_GB2312"/>
          <w:sz w:val="32"/>
          <w:szCs w:val="32"/>
        </w:rPr>
        <w:t>目</w:t>
      </w:r>
      <w:r>
        <w:rPr>
          <w:rFonts w:eastAsia="仿宋_GB2312"/>
          <w:sz w:val="32"/>
          <w:szCs w:val="32"/>
        </w:rPr>
        <w:t>支出绩效自评得分：90.00分，评价等级为“优”。</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 w:hAnsi="仿宋" w:eastAsia="仿宋_GB2312" w:cs="仿宋_GB2312"/>
          <w:sz w:val="32"/>
          <w:szCs w:val="32"/>
        </w:rPr>
      </w:pPr>
      <w:r>
        <w:rPr>
          <w:rFonts w:eastAsia="仿宋_GB2312"/>
          <w:sz w:val="32"/>
          <w:szCs w:val="32"/>
        </w:rPr>
        <w:t>部分绩效内容的在设定上量化、细化不够</w:t>
      </w:r>
      <w:r>
        <w:rPr>
          <w:rFonts w:hint="eastAsia" w:eastAsia="仿宋_GB2312"/>
          <w:sz w:val="32"/>
          <w:szCs w:val="32"/>
        </w:rPr>
        <w:t>。</w:t>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加强预算绩效管理，增强预算约束力，做好预算项目支出绩效目标及各项绩效指标的细化、量化工作,用好用活各类财政资金，提高财政资金的使用效益。</w:t>
      </w:r>
    </w:p>
    <w:p>
      <w:pPr>
        <w:pStyle w:val="7"/>
        <w:shd w:val="clear" w:color="auto" w:fill="FFFFFF"/>
        <w:snapToGrid w:val="0"/>
        <w:ind w:firstLine="640" w:firstLineChars="200"/>
        <w:jc w:val="both"/>
        <w:outlineLvl w:val="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特此报告</w:t>
      </w:r>
    </w:p>
    <w:p>
      <w:pPr>
        <w:pStyle w:val="7"/>
        <w:shd w:val="clear" w:color="auto" w:fill="FFFFFF"/>
        <w:snapToGrid w:val="0"/>
        <w:jc w:val="both"/>
        <w:outlineLvl w:val="0"/>
        <w:rPr>
          <w:rFonts w:hint="eastAsia" w:ascii="黑体" w:hAnsi="宋体" w:eastAsia="黑体" w:cs="黑体"/>
          <w:b/>
          <w:sz w:val="44"/>
          <w:szCs w:val="44"/>
          <w:shd w:val="clear" w:color="auto" w:fill="FFFFFF"/>
          <w:lang w:val="en-US" w:eastAsia="zh-CN"/>
        </w:rPr>
      </w:pPr>
    </w:p>
    <w:p>
      <w:pPr>
        <w:pStyle w:val="7"/>
        <w:shd w:val="clear" w:color="auto" w:fill="FFFFFF"/>
        <w:snapToGrid w:val="0"/>
        <w:jc w:val="both"/>
        <w:outlineLvl w:val="0"/>
        <w:rPr>
          <w:rFonts w:hint="eastAsia" w:ascii="黑体" w:hAnsi="宋体" w:eastAsia="黑体" w:cs="黑体"/>
          <w:b/>
          <w:sz w:val="44"/>
          <w:szCs w:val="44"/>
          <w:shd w:val="clear" w:color="auto" w:fill="FFFFFF"/>
          <w:lang w:val="en-US" w:eastAsia="zh-CN"/>
        </w:rPr>
      </w:pPr>
    </w:p>
    <w:p>
      <w:pPr>
        <w:pStyle w:val="7"/>
        <w:shd w:val="clear" w:color="auto" w:fill="FFFFFF"/>
        <w:snapToGrid w:val="0"/>
        <w:jc w:val="both"/>
        <w:outlineLvl w:val="0"/>
        <w:rPr>
          <w:rFonts w:hint="eastAsia" w:ascii="黑体" w:hAnsi="宋体" w:eastAsia="黑体" w:cs="黑体"/>
          <w:b/>
          <w:sz w:val="44"/>
          <w:szCs w:val="44"/>
          <w:shd w:val="clear" w:color="auto" w:fill="FFFFFF"/>
          <w:lang w:val="en-US" w:eastAsia="zh-CN"/>
        </w:rPr>
      </w:pPr>
    </w:p>
    <w:p>
      <w:pPr>
        <w:pStyle w:val="7"/>
        <w:shd w:val="clear" w:color="auto" w:fill="FFFFFF"/>
        <w:snapToGrid w:val="0"/>
        <w:jc w:val="center"/>
        <w:outlineLvl w:val="0"/>
        <w:rPr>
          <w:rFonts w:hint="eastAsia" w:ascii="黑体" w:hAnsi="宋体" w:eastAsia="黑体" w:cs="黑体"/>
          <w:b/>
          <w:sz w:val="44"/>
          <w:szCs w:val="44"/>
          <w:shd w:val="clear" w:color="auto" w:fill="FFFFFF"/>
          <w:lang w:val="en-US" w:eastAsia="zh-CN"/>
        </w:rPr>
      </w:pPr>
      <w:r>
        <w:rPr>
          <w:rFonts w:hint="eastAsia" w:ascii="黑体" w:hAnsi="宋体" w:eastAsia="黑体" w:cs="黑体"/>
          <w:b/>
          <w:sz w:val="44"/>
          <w:szCs w:val="44"/>
          <w:shd w:val="clear" w:color="auto" w:fill="FFFFFF"/>
          <w:lang w:val="en-US" w:eastAsia="zh-CN"/>
        </w:rPr>
        <w:t>第</w:t>
      </w:r>
      <w:r>
        <w:rPr>
          <w:rFonts w:hint="eastAsia" w:ascii="黑体" w:eastAsia="黑体" w:cs="黑体"/>
          <w:b/>
          <w:sz w:val="44"/>
          <w:szCs w:val="44"/>
          <w:shd w:val="clear" w:color="auto" w:fill="FFFFFF"/>
          <w:lang w:val="en-US" w:eastAsia="zh-CN"/>
        </w:rPr>
        <w:t>五</w:t>
      </w:r>
      <w:r>
        <w:rPr>
          <w:rFonts w:hint="eastAsia" w:ascii="黑体" w:hAnsi="宋体" w:eastAsia="黑体" w:cs="黑体"/>
          <w:b/>
          <w:sz w:val="44"/>
          <w:szCs w:val="44"/>
          <w:shd w:val="clear" w:color="auto" w:fill="FFFFFF"/>
          <w:lang w:val="en-US" w:eastAsia="zh-CN"/>
        </w:rPr>
        <w:t>部分</w:t>
      </w:r>
      <w:r>
        <w:rPr>
          <w:rFonts w:hint="eastAsia" w:ascii="黑体" w:eastAsia="黑体" w:cs="黑体"/>
          <w:b/>
          <w:sz w:val="44"/>
          <w:szCs w:val="44"/>
          <w:shd w:val="clear" w:color="auto" w:fill="FFFFFF"/>
          <w:lang w:val="en-US" w:eastAsia="zh-CN"/>
        </w:rPr>
        <w:t xml:space="preserve">  </w:t>
      </w:r>
      <w:r>
        <w:rPr>
          <w:rFonts w:hint="eastAsia" w:ascii="黑体" w:hAnsi="宋体" w:eastAsia="黑体" w:cs="黑体"/>
          <w:b/>
          <w:sz w:val="44"/>
          <w:szCs w:val="44"/>
          <w:shd w:val="clear" w:color="auto" w:fill="FFFFFF"/>
          <w:lang w:val="en-US" w:eastAsia="zh-CN"/>
        </w:rPr>
        <w:t>附表</w:t>
      </w:r>
      <w:bookmarkEnd w:id="21"/>
      <w:bookmarkEnd w:id="22"/>
      <w:bookmarkEnd w:id="23"/>
      <w:bookmarkEnd w:id="24"/>
      <w:bookmarkEnd w:id="25"/>
      <w:bookmarkEnd w:id="26"/>
      <w:bookmarkEnd w:id="27"/>
      <w:bookmarkEnd w:id="28"/>
      <w:bookmarkEnd w:id="29"/>
      <w:bookmarkEnd w:id="30"/>
      <w:bookmarkEnd w:id="31"/>
      <w:bookmarkEnd w:id="32"/>
      <w:bookmarkEnd w:id="33"/>
    </w:p>
    <w:p>
      <w:pPr>
        <w:pStyle w:val="7"/>
        <w:shd w:val="clear" w:color="auto" w:fill="FFFFFF"/>
        <w:snapToGrid w:val="0"/>
        <w:jc w:val="center"/>
        <w:outlineLvl w:val="0"/>
        <w:rPr>
          <w:rFonts w:hint="eastAsia" w:ascii="黑体" w:hAnsi="宋体" w:eastAsia="黑体" w:cs="黑体"/>
          <w:b/>
          <w:sz w:val="44"/>
          <w:szCs w:val="44"/>
          <w:shd w:val="clear" w:color="auto" w:fill="FFFFFF"/>
          <w:lang w:val="en-US" w:eastAsia="zh-CN"/>
        </w:rPr>
      </w:pP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outlineLvl w:val="1"/>
        <w:rPr>
          <w:rFonts w:hint="eastAsia" w:ascii="仿宋_GB2312" w:hAnsi="仿宋_GB2312" w:eastAsia="仿宋_GB2312" w:cs="仿宋_GB2312"/>
          <w:b w:val="0"/>
          <w:bCs/>
          <w:sz w:val="32"/>
          <w:szCs w:val="32"/>
          <w:lang w:val="en-US" w:eastAsia="zh-CN"/>
        </w:rPr>
      </w:pPr>
      <w:bookmarkStart w:id="34" w:name="_Toc28946"/>
      <w:r>
        <w:rPr>
          <w:rFonts w:hint="eastAsia" w:ascii="仿宋_GB2312" w:hAnsi="仿宋_GB2312" w:eastAsia="仿宋_GB2312" w:cs="仿宋_GB2312"/>
          <w:b w:val="0"/>
          <w:bCs/>
          <w:sz w:val="32"/>
          <w:szCs w:val="32"/>
          <w:lang w:val="en-US" w:eastAsia="zh-CN"/>
        </w:rPr>
        <w:t>一、收入支出决算总表</w:t>
      </w:r>
      <w:bookmarkEnd w:id="34"/>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outlineLvl w:val="1"/>
        <w:rPr>
          <w:rFonts w:hint="eastAsia" w:ascii="仿宋_GB2312" w:hAnsi="仿宋_GB2312" w:eastAsia="仿宋_GB2312" w:cs="仿宋_GB2312"/>
          <w:b w:val="0"/>
          <w:bCs/>
          <w:sz w:val="32"/>
          <w:szCs w:val="32"/>
          <w:lang w:val="en-US" w:eastAsia="zh-CN"/>
        </w:rPr>
      </w:pPr>
      <w:bookmarkStart w:id="35" w:name="_Toc2751"/>
      <w:r>
        <w:rPr>
          <w:rFonts w:hint="eastAsia" w:ascii="仿宋_GB2312" w:hAnsi="仿宋_GB2312" w:eastAsia="仿宋_GB2312" w:cs="仿宋_GB2312"/>
          <w:b w:val="0"/>
          <w:bCs/>
          <w:sz w:val="32"/>
          <w:szCs w:val="32"/>
          <w:lang w:val="en-US" w:eastAsia="zh-CN"/>
        </w:rPr>
        <w:t>二、收入决算表</w:t>
      </w:r>
      <w:bookmarkEnd w:id="35"/>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outlineLvl w:val="1"/>
        <w:rPr>
          <w:rFonts w:hint="eastAsia" w:ascii="仿宋_GB2312" w:hAnsi="仿宋_GB2312" w:eastAsia="仿宋_GB2312" w:cs="仿宋_GB2312"/>
          <w:b w:val="0"/>
          <w:bCs/>
          <w:sz w:val="32"/>
          <w:szCs w:val="32"/>
          <w:lang w:val="en-US" w:eastAsia="zh-CN"/>
        </w:rPr>
      </w:pPr>
      <w:bookmarkStart w:id="36" w:name="_Toc8795"/>
      <w:r>
        <w:rPr>
          <w:rFonts w:hint="eastAsia" w:ascii="仿宋_GB2312" w:hAnsi="仿宋_GB2312" w:eastAsia="仿宋_GB2312" w:cs="仿宋_GB2312"/>
          <w:b w:val="0"/>
          <w:bCs/>
          <w:sz w:val="32"/>
          <w:szCs w:val="32"/>
          <w:lang w:val="en-US" w:eastAsia="zh-CN"/>
        </w:rPr>
        <w:t>三、支出决算表</w:t>
      </w:r>
      <w:bookmarkEnd w:id="36"/>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outlineLvl w:val="1"/>
        <w:rPr>
          <w:rFonts w:hint="eastAsia" w:ascii="仿宋_GB2312" w:hAnsi="仿宋_GB2312" w:eastAsia="仿宋_GB2312" w:cs="仿宋_GB2312"/>
          <w:b w:val="0"/>
          <w:bCs/>
          <w:sz w:val="32"/>
          <w:szCs w:val="32"/>
          <w:lang w:val="en-US" w:eastAsia="zh-CN"/>
        </w:rPr>
      </w:pPr>
      <w:bookmarkStart w:id="37" w:name="_Toc25103"/>
      <w:r>
        <w:rPr>
          <w:rFonts w:hint="eastAsia" w:ascii="仿宋_GB2312" w:hAnsi="仿宋_GB2312" w:eastAsia="仿宋_GB2312" w:cs="仿宋_GB2312"/>
          <w:b w:val="0"/>
          <w:bCs/>
          <w:sz w:val="32"/>
          <w:szCs w:val="32"/>
          <w:lang w:val="en-US" w:eastAsia="zh-CN"/>
        </w:rPr>
        <w:t>四、财政拨款收入支出决算总表</w:t>
      </w:r>
      <w:bookmarkEnd w:id="37"/>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outlineLvl w:val="1"/>
        <w:rPr>
          <w:rFonts w:hint="eastAsia" w:ascii="仿宋_GB2312" w:hAnsi="仿宋_GB2312" w:eastAsia="仿宋_GB2312" w:cs="仿宋_GB2312"/>
          <w:b w:val="0"/>
          <w:bCs/>
          <w:sz w:val="32"/>
          <w:szCs w:val="32"/>
          <w:lang w:val="en-US" w:eastAsia="zh-CN"/>
        </w:rPr>
      </w:pPr>
      <w:bookmarkStart w:id="38" w:name="_Toc12809"/>
      <w:r>
        <w:rPr>
          <w:rFonts w:hint="eastAsia" w:ascii="仿宋_GB2312" w:hAnsi="仿宋_GB2312" w:eastAsia="仿宋_GB2312" w:cs="仿宋_GB2312"/>
          <w:b w:val="0"/>
          <w:bCs/>
          <w:sz w:val="32"/>
          <w:szCs w:val="32"/>
          <w:lang w:val="en-US" w:eastAsia="zh-CN"/>
        </w:rPr>
        <w:t>五、财政拨款支出决算明细表</w:t>
      </w:r>
      <w:bookmarkEnd w:id="38"/>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outlineLvl w:val="1"/>
        <w:rPr>
          <w:rFonts w:hint="eastAsia" w:ascii="仿宋_GB2312" w:hAnsi="仿宋_GB2312" w:eastAsia="仿宋_GB2312" w:cs="仿宋_GB2312"/>
          <w:b w:val="0"/>
          <w:bCs/>
          <w:sz w:val="32"/>
          <w:szCs w:val="32"/>
          <w:lang w:val="en-US" w:eastAsia="zh-CN"/>
        </w:rPr>
      </w:pPr>
      <w:bookmarkStart w:id="39" w:name="_Toc27852"/>
      <w:r>
        <w:rPr>
          <w:rFonts w:hint="eastAsia" w:ascii="仿宋_GB2312" w:hAnsi="仿宋_GB2312" w:eastAsia="仿宋_GB2312" w:cs="仿宋_GB2312"/>
          <w:b w:val="0"/>
          <w:bCs/>
          <w:sz w:val="32"/>
          <w:szCs w:val="32"/>
          <w:lang w:val="en-US" w:eastAsia="zh-CN"/>
        </w:rPr>
        <w:t>六、一般公共预算财政拨款支出决算表</w:t>
      </w:r>
      <w:bookmarkEnd w:id="39"/>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outlineLvl w:val="1"/>
        <w:rPr>
          <w:rFonts w:hint="eastAsia" w:ascii="仿宋_GB2312" w:hAnsi="仿宋_GB2312" w:eastAsia="仿宋_GB2312" w:cs="仿宋_GB2312"/>
          <w:b w:val="0"/>
          <w:bCs/>
          <w:sz w:val="32"/>
          <w:szCs w:val="32"/>
          <w:lang w:val="en-US" w:eastAsia="zh-CN"/>
        </w:rPr>
      </w:pPr>
      <w:bookmarkStart w:id="40" w:name="_Toc29856"/>
      <w:r>
        <w:rPr>
          <w:rFonts w:hint="eastAsia" w:ascii="仿宋_GB2312" w:hAnsi="仿宋_GB2312" w:eastAsia="仿宋_GB2312" w:cs="仿宋_GB2312"/>
          <w:b w:val="0"/>
          <w:bCs/>
          <w:sz w:val="32"/>
          <w:szCs w:val="32"/>
          <w:lang w:val="en-US" w:eastAsia="zh-CN"/>
        </w:rPr>
        <w:t>七、一般公共预算财政拨款支出决算明细表</w:t>
      </w:r>
      <w:bookmarkEnd w:id="40"/>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outlineLvl w:val="1"/>
        <w:rPr>
          <w:rFonts w:hint="eastAsia" w:ascii="仿宋_GB2312" w:hAnsi="仿宋_GB2312" w:eastAsia="仿宋_GB2312" w:cs="仿宋_GB2312"/>
          <w:b w:val="0"/>
          <w:bCs/>
          <w:sz w:val="32"/>
          <w:szCs w:val="32"/>
          <w:lang w:val="en-US" w:eastAsia="zh-CN"/>
        </w:rPr>
      </w:pPr>
      <w:bookmarkStart w:id="41" w:name="_Toc19512"/>
      <w:r>
        <w:rPr>
          <w:rFonts w:hint="eastAsia" w:ascii="仿宋_GB2312" w:hAnsi="仿宋_GB2312" w:eastAsia="仿宋_GB2312" w:cs="仿宋_GB2312"/>
          <w:b w:val="0"/>
          <w:bCs/>
          <w:sz w:val="32"/>
          <w:szCs w:val="32"/>
          <w:lang w:val="en-US" w:eastAsia="zh-CN"/>
        </w:rPr>
        <w:t>八、一般公共预算财政拨款基本支出决算表</w:t>
      </w:r>
      <w:bookmarkEnd w:id="41"/>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outlineLvl w:val="1"/>
        <w:rPr>
          <w:rFonts w:hint="eastAsia" w:ascii="仿宋_GB2312" w:hAnsi="仿宋_GB2312" w:eastAsia="仿宋_GB2312" w:cs="仿宋_GB2312"/>
          <w:b w:val="0"/>
          <w:bCs/>
          <w:sz w:val="32"/>
          <w:szCs w:val="32"/>
          <w:lang w:val="en-US" w:eastAsia="zh-CN"/>
        </w:rPr>
      </w:pPr>
      <w:bookmarkStart w:id="42" w:name="_Toc29159"/>
      <w:r>
        <w:rPr>
          <w:rFonts w:hint="eastAsia" w:ascii="仿宋_GB2312" w:hAnsi="仿宋_GB2312" w:eastAsia="仿宋_GB2312" w:cs="仿宋_GB2312"/>
          <w:b w:val="0"/>
          <w:bCs/>
          <w:sz w:val="32"/>
          <w:szCs w:val="32"/>
          <w:lang w:val="en-US" w:eastAsia="zh-CN"/>
        </w:rPr>
        <w:t>九、一般公共预算财政拨款项目支出决算表</w:t>
      </w:r>
      <w:bookmarkEnd w:id="42"/>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outlineLvl w:val="1"/>
        <w:rPr>
          <w:rFonts w:hint="eastAsia" w:ascii="仿宋_GB2312" w:hAnsi="仿宋_GB2312" w:eastAsia="仿宋_GB2312" w:cs="仿宋_GB2312"/>
          <w:b w:val="0"/>
          <w:bCs/>
          <w:sz w:val="32"/>
          <w:szCs w:val="32"/>
          <w:lang w:val="en-US" w:eastAsia="zh-CN"/>
        </w:rPr>
      </w:pPr>
      <w:bookmarkStart w:id="43" w:name="_Toc20067"/>
      <w:r>
        <w:rPr>
          <w:rFonts w:hint="eastAsia" w:ascii="仿宋_GB2312" w:hAnsi="仿宋_GB2312" w:eastAsia="仿宋_GB2312" w:cs="仿宋_GB2312"/>
          <w:b w:val="0"/>
          <w:bCs/>
          <w:sz w:val="32"/>
          <w:szCs w:val="32"/>
          <w:lang w:val="en-US" w:eastAsia="zh-CN"/>
        </w:rPr>
        <w:t>十、一般公共预算财政拨款“三公”经费支出决算表</w:t>
      </w:r>
      <w:bookmarkEnd w:id="43"/>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outlineLvl w:val="1"/>
        <w:rPr>
          <w:rFonts w:hint="eastAsia" w:ascii="仿宋_GB2312" w:hAnsi="仿宋_GB2312" w:eastAsia="仿宋_GB2312" w:cs="仿宋_GB2312"/>
          <w:b w:val="0"/>
          <w:bCs/>
          <w:sz w:val="32"/>
          <w:szCs w:val="32"/>
          <w:lang w:val="en-US" w:eastAsia="zh-CN"/>
        </w:rPr>
      </w:pPr>
      <w:bookmarkStart w:id="44" w:name="_Toc6024"/>
      <w:r>
        <w:rPr>
          <w:rFonts w:hint="eastAsia" w:ascii="仿宋_GB2312" w:hAnsi="仿宋_GB2312" w:eastAsia="仿宋_GB2312" w:cs="仿宋_GB2312"/>
          <w:b w:val="0"/>
          <w:bCs/>
          <w:sz w:val="32"/>
          <w:szCs w:val="32"/>
          <w:lang w:val="en-US" w:eastAsia="zh-CN"/>
        </w:rPr>
        <w:t>十一、政府性基金预算财政拨款收入支出决算表</w:t>
      </w:r>
      <w:bookmarkEnd w:id="44"/>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outlineLvl w:val="1"/>
        <w:rPr>
          <w:rFonts w:hint="eastAsia" w:ascii="仿宋_GB2312" w:hAnsi="仿宋_GB2312" w:eastAsia="仿宋_GB2312" w:cs="仿宋_GB2312"/>
          <w:b w:val="0"/>
          <w:bCs/>
          <w:sz w:val="32"/>
          <w:szCs w:val="32"/>
          <w:lang w:val="en-US" w:eastAsia="zh-CN"/>
        </w:rPr>
      </w:pPr>
      <w:bookmarkStart w:id="45" w:name="_Toc2753"/>
      <w:r>
        <w:rPr>
          <w:rFonts w:hint="eastAsia" w:ascii="仿宋_GB2312" w:hAnsi="仿宋_GB2312" w:eastAsia="仿宋_GB2312" w:cs="仿宋_GB2312"/>
          <w:b w:val="0"/>
          <w:bCs/>
          <w:sz w:val="32"/>
          <w:szCs w:val="32"/>
          <w:lang w:val="en-US" w:eastAsia="zh-CN"/>
        </w:rPr>
        <w:t>十二、政府性基金预算财政拨款“三公”经费支出决算表</w:t>
      </w:r>
      <w:bookmarkEnd w:id="45"/>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outlineLvl w:val="1"/>
        <w:rPr>
          <w:rFonts w:hint="eastAsia" w:ascii="仿宋_GB2312" w:hAnsi="仿宋_GB2312" w:eastAsia="仿宋_GB2312" w:cs="仿宋_GB2312"/>
          <w:b w:val="0"/>
          <w:bCs/>
        </w:rPr>
      </w:pPr>
      <w:bookmarkStart w:id="46" w:name="_Toc17866"/>
      <w:r>
        <w:rPr>
          <w:rFonts w:hint="eastAsia" w:ascii="仿宋_GB2312" w:hAnsi="仿宋_GB2312" w:eastAsia="仿宋_GB2312" w:cs="仿宋_GB2312"/>
          <w:b w:val="0"/>
          <w:bCs/>
          <w:sz w:val="32"/>
          <w:szCs w:val="32"/>
          <w:lang w:val="en-US" w:eastAsia="zh-CN"/>
        </w:rPr>
        <w:t>十三、国有资本经营预算支出决算表</w:t>
      </w:r>
      <w:bookmarkEnd w:id="46"/>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lang w:val="en-US" w:eastAsia="zh-CN"/>
        </w:rPr>
      </w:pPr>
    </w:p>
    <w:p>
      <w:pPr>
        <w:pStyle w:val="12"/>
        <w:tabs>
          <w:tab w:val="right" w:leader="dot" w:pos="8845"/>
        </w:tabs>
        <w:ind w:firstLine="640" w:firstLineChars="200"/>
        <w:rPr>
          <w:rFonts w:hint="default" w:ascii="??_GB2312" w:hAnsi="仿宋" w:eastAsia="Times New Roman" w:cs="仿宋"/>
          <w:bCs/>
          <w:color w:val="000000"/>
          <w:sz w:val="32"/>
          <w:szCs w:val="32"/>
          <w:lang w:val="en-US" w:eastAsia="zh-CN"/>
        </w:rPr>
      </w:pPr>
    </w:p>
    <w:p>
      <w:pPr>
        <w:rPr>
          <w:rFonts w:hint="default" w:ascii="仿宋_GB2312" w:hAnsi="仿宋_GB2312" w:eastAsia="仿宋_GB2312" w:cs="仿宋_GB2312"/>
          <w:sz w:val="32"/>
          <w:szCs w:val="32"/>
          <w:lang w:val="en-US" w:eastAsia="zh-CN"/>
        </w:rPr>
      </w:pPr>
    </w:p>
    <w:sectPr>
      <w:footerReference r:id="rId4" w:type="default"/>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7698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98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VMiuIU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NUyK4hQCAAAVBAAADgAAAAAAAAAB&#10;ACAAAAAfAQAAZHJzL2Uyb0RvYy54bWxQSwUGAAAAAAYABgBZAQAApQU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B1AD4"/>
    <w:multiLevelType w:val="multilevel"/>
    <w:tmpl w:val="038B1AD4"/>
    <w:lvl w:ilvl="0" w:tentative="0">
      <w:start w:val="1"/>
      <w:numFmt w:val="japaneseCounting"/>
      <w:lvlText w:val="（%1）"/>
      <w:lvlJc w:val="left"/>
      <w:pPr>
        <w:ind w:left="1725" w:hanging="1005"/>
      </w:pPr>
      <w:rPr>
        <w:rFonts w:hint="default"/>
        <w:lang w:val="en-US"/>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1">
    <w:nsid w:val="0FE97348"/>
    <w:multiLevelType w:val="singleLevel"/>
    <w:tmpl w:val="0FE97348"/>
    <w:lvl w:ilvl="0" w:tentative="0">
      <w:start w:val="1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9847F6"/>
    <w:rsid w:val="00580A40"/>
    <w:rsid w:val="014F12B2"/>
    <w:rsid w:val="050C1B3F"/>
    <w:rsid w:val="08480D81"/>
    <w:rsid w:val="0A47634F"/>
    <w:rsid w:val="0B7428EF"/>
    <w:rsid w:val="10BD792B"/>
    <w:rsid w:val="12893B93"/>
    <w:rsid w:val="140D3BD1"/>
    <w:rsid w:val="15146041"/>
    <w:rsid w:val="1516240F"/>
    <w:rsid w:val="1539251F"/>
    <w:rsid w:val="1A196EEC"/>
    <w:rsid w:val="1B9E3312"/>
    <w:rsid w:val="1C567C7D"/>
    <w:rsid w:val="1CAF4EF7"/>
    <w:rsid w:val="1FE100B6"/>
    <w:rsid w:val="23F47B17"/>
    <w:rsid w:val="294A4F0C"/>
    <w:rsid w:val="2C3D60AB"/>
    <w:rsid w:val="2DCF1604"/>
    <w:rsid w:val="321B059F"/>
    <w:rsid w:val="323A3534"/>
    <w:rsid w:val="3A7647AE"/>
    <w:rsid w:val="3B3F097D"/>
    <w:rsid w:val="3CA55745"/>
    <w:rsid w:val="3F016910"/>
    <w:rsid w:val="409847F6"/>
    <w:rsid w:val="44AC14F2"/>
    <w:rsid w:val="44BF195E"/>
    <w:rsid w:val="45367F6E"/>
    <w:rsid w:val="4BC87D55"/>
    <w:rsid w:val="4BF85CF8"/>
    <w:rsid w:val="4E3A5624"/>
    <w:rsid w:val="4E9B52DC"/>
    <w:rsid w:val="51697C7D"/>
    <w:rsid w:val="52957CC8"/>
    <w:rsid w:val="564158D6"/>
    <w:rsid w:val="566B320F"/>
    <w:rsid w:val="58477F08"/>
    <w:rsid w:val="5AB3595F"/>
    <w:rsid w:val="5AC14100"/>
    <w:rsid w:val="5CD51ABE"/>
    <w:rsid w:val="5DC50369"/>
    <w:rsid w:val="5E311B99"/>
    <w:rsid w:val="5FEC18B6"/>
    <w:rsid w:val="61F463C2"/>
    <w:rsid w:val="64A073FB"/>
    <w:rsid w:val="68F32D0E"/>
    <w:rsid w:val="69E23498"/>
    <w:rsid w:val="6BF155E4"/>
    <w:rsid w:val="6D136293"/>
    <w:rsid w:val="71F467E9"/>
    <w:rsid w:val="73924451"/>
    <w:rsid w:val="744E0DC6"/>
    <w:rsid w:val="749F7881"/>
    <w:rsid w:val="77A02E62"/>
    <w:rsid w:val="79DF4C56"/>
    <w:rsid w:val="7B64003C"/>
    <w:rsid w:val="7B6E0A5C"/>
    <w:rsid w:val="7C0D1A7B"/>
    <w:rsid w:val="7E4A41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iPriority w:val="0"/>
  </w:style>
  <w:style w:type="table" w:default="1" w:styleId="10">
    <w:name w:val="Normal Table"/>
    <w:semiHidden/>
    <w:uiPriority w:val="0"/>
    <w:tblPr>
      <w:tblLayout w:type="fixed"/>
      <w:tblCellMar>
        <w:top w:w="0" w:type="dxa"/>
        <w:left w:w="108" w:type="dxa"/>
        <w:bottom w:w="0" w:type="dxa"/>
        <w:right w:w="108" w:type="dxa"/>
      </w:tblCellMar>
    </w:tblPr>
  </w:style>
  <w:style w:type="paragraph" w:styleId="2">
    <w:name w:val="toc 3"/>
    <w:basedOn w:val="1"/>
    <w:next w:val="1"/>
    <w:uiPriority w:val="0"/>
    <w:pPr>
      <w:ind w:left="840" w:leftChars="400"/>
    </w:pPr>
  </w:style>
  <w:style w:type="paragraph" w:styleId="3">
    <w:name w:val="footer"/>
    <w:basedOn w:val="1"/>
    <w:unhideWhenUsed/>
    <w:qFormat/>
    <w:uiPriority w:val="99"/>
    <w:pPr>
      <w:tabs>
        <w:tab w:val="center" w:pos="4153"/>
        <w:tab w:val="right" w:pos="8306"/>
      </w:tabs>
      <w:snapToGrid w:val="0"/>
      <w:jc w:val="left"/>
    </w:pPr>
    <w:rPr>
      <w:rFonts w:ascii="Calibri" w:hAnsi="Calibri"/>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0"/>
  </w:style>
  <w:style w:type="paragraph" w:styleId="6">
    <w:name w:val="toc 2"/>
    <w:basedOn w:val="1"/>
    <w:next w:val="1"/>
    <w:qFormat/>
    <w:uiPriority w:val="0"/>
    <w:pPr>
      <w:ind w:left="420" w:leftChars="200"/>
    </w:pPr>
  </w:style>
  <w:style w:type="paragraph" w:styleId="7">
    <w:name w:val="Normal (Web)"/>
    <w:basedOn w:val="1"/>
    <w:qFormat/>
    <w:uiPriority w:val="0"/>
    <w:pPr>
      <w:keepNext w:val="0"/>
      <w:keepLines w:val="0"/>
      <w:widowControl/>
      <w:suppressLineNumbers w:val="0"/>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character" w:styleId="9">
    <w:name w:val="Strong"/>
    <w:basedOn w:val="8"/>
    <w:qFormat/>
    <w:uiPriority w:val="0"/>
    <w:rPr>
      <w:b/>
    </w:rPr>
  </w:style>
  <w:style w:type="paragraph" w:customStyle="1" w:styleId="11">
    <w:name w:val="WPSOffice手动目录 1"/>
    <w:qFormat/>
    <w:uiPriority w:val="0"/>
    <w:pPr>
      <w:ind w:leftChars="0"/>
    </w:pPr>
    <w:rPr>
      <w:rFonts w:asciiTheme="minorHAnsi" w:hAnsiTheme="minorHAnsi" w:eastAsiaTheme="minorEastAsia" w:cstheme="minorBidi"/>
      <w:sz w:val="20"/>
      <w:szCs w:val="20"/>
    </w:rPr>
  </w:style>
  <w:style w:type="paragraph" w:customStyle="1" w:styleId="12">
    <w:name w:val="WPSOffice手动目录 2"/>
    <w:qFormat/>
    <w:uiPriority w:val="0"/>
    <w:pPr>
      <w:ind w:leftChars="200"/>
    </w:pPr>
    <w:rPr>
      <w:rFonts w:asciiTheme="minorHAnsi" w:hAnsiTheme="minorHAnsi" w:eastAsiaTheme="minorEastAsia" w:cstheme="minorBidi"/>
      <w:sz w:val="20"/>
      <w:szCs w:val="20"/>
    </w:rPr>
  </w:style>
  <w:style w:type="paragraph" w:customStyle="1" w:styleId="1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14">
    <w:name w:val="正文文本1"/>
    <w:basedOn w:val="1"/>
    <w:qFormat/>
    <w:uiPriority w:val="99"/>
    <w:pPr>
      <w:spacing w:before="93"/>
    </w:pPr>
    <w:rPr>
      <w:rFonts w:ascii="??_GB2312" w:hAnsi="??_GB2312"/>
      <w:kern w:val="0"/>
      <w:sz w:val="30"/>
      <w:szCs w:val="20"/>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20243531202435"/>
          <c:y val="0.0333333333333333"/>
          <c:w val="0.864475079533404"/>
          <c:h val="0.724675867837725"/>
        </c:manualLayout>
      </c:layout>
      <c:barChart>
        <c:barDir val="col"/>
        <c:grouping val="clustered"/>
        <c:varyColors val="0"/>
        <c:ser>
          <c:idx val="0"/>
          <c:order val="0"/>
          <c:tx>
            <c:strRef>
              <c:f>Sheet1!$B$1</c:f>
              <c:strCache>
                <c:ptCount val="1"/>
                <c:pt idx="0">
                  <c:v>2018年</c:v>
                </c:pt>
              </c:strCache>
            </c:strRef>
          </c:tx>
          <c:spPr>
            <a:solidFill>
              <a:srgbClr val="5B9BD5"/>
            </a:solidFill>
            <a:ln>
              <a:noFill/>
            </a:ln>
            <a:effectLst/>
          </c:spPr>
          <c:invertIfNegative val="0"/>
          <c:dLbls>
            <c:delete val="1"/>
          </c:dLbls>
          <c:cat>
            <c:strRef>
              <c:f>Sheet1!$A$2</c:f>
              <c:strCache>
                <c:ptCount val="1"/>
                <c:pt idx="0">
                  <c:v>收、支决算</c:v>
                </c:pt>
              </c:strCache>
            </c:strRef>
          </c:cat>
          <c:val>
            <c:numRef>
              <c:f>Sheet1!$B$2</c:f>
              <c:numCache>
                <c:formatCode>General</c:formatCode>
                <c:ptCount val="1"/>
                <c:pt idx="0">
                  <c:v>272</c:v>
                </c:pt>
              </c:numCache>
            </c:numRef>
          </c:val>
        </c:ser>
        <c:ser>
          <c:idx val="1"/>
          <c:order val="1"/>
          <c:tx>
            <c:strRef>
              <c:f>Sheet1!$C$1</c:f>
              <c:strCache>
                <c:ptCount val="1"/>
                <c:pt idx="0">
                  <c:v>2019年</c:v>
                </c:pt>
              </c:strCache>
            </c:strRef>
          </c:tx>
          <c:spPr>
            <a:solidFill>
              <a:srgbClr val="ED7D31"/>
            </a:solidFill>
            <a:ln>
              <a:noFill/>
            </a:ln>
            <a:effectLst/>
          </c:spPr>
          <c:invertIfNegative val="0"/>
          <c:dLbls>
            <c:delete val="1"/>
          </c:dLbls>
          <c:cat>
            <c:strRef>
              <c:f>Sheet1!$A$2</c:f>
              <c:strCache>
                <c:ptCount val="1"/>
                <c:pt idx="0">
                  <c:v>收、支决算</c:v>
                </c:pt>
              </c:strCache>
            </c:strRef>
          </c:cat>
          <c:val>
            <c:numRef>
              <c:f>Sheet1!$C$2</c:f>
              <c:numCache>
                <c:formatCode>General</c:formatCode>
                <c:ptCount val="1"/>
                <c:pt idx="0">
                  <c:v>224</c:v>
                </c:pt>
              </c:numCache>
            </c:numRef>
          </c:val>
        </c:ser>
        <c:dLbls>
          <c:showLegendKey val="0"/>
          <c:showVal val="0"/>
          <c:showCatName val="0"/>
          <c:showSerName val="0"/>
          <c:showPercent val="0"/>
          <c:showBubbleSize val="0"/>
        </c:dLbls>
        <c:gapWidth val="219"/>
        <c:overlap val="-27"/>
        <c:axId val="170993507"/>
        <c:axId val="179187261"/>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
                      </c:pt>
                    </c:strCache>
                  </c:strRef>
                </c:tx>
                <c:spPr>
                  <a:solidFill>
                    <a:srgbClr val="A5A5A5"/>
                  </a:solidFill>
                  <a:ln>
                    <a:noFill/>
                  </a:ln>
                  <a:effectLst/>
                </c:spPr>
                <c:invertIfNegative val="0"/>
                <c:dLbls>
                  <c:delete val="1"/>
                </c:dLbls>
                <c:cat>
                  <c:strRef>
                    <c:extLst>
                      <c:ext uri="{02D57815-91ED-43cb-92C2-25804820EDAC}">
                        <c15:fullRef>
                          <c15:sqref/>
                        </c15:fullRef>
                        <c15:formulaRef>
                          <c15:sqref>Sheet1!$A$2</c15:sqref>
                        </c15:formulaRef>
                      </c:ext>
                    </c:extLst>
                    <c:strCache>
                      <c:ptCount val="1"/>
                      <c:pt idx="0">
                        <c:v>收、支决算</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170993507"/>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179187261"/>
        <c:crosses val="autoZero"/>
        <c:auto val="1"/>
        <c:lblAlgn val="ctr"/>
        <c:lblOffset val="100"/>
        <c:noMultiLvlLbl val="0"/>
      </c:catAx>
      <c:valAx>
        <c:axId val="179187261"/>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170993507"/>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本年收入</c:v>
                </c:pt>
              </c:strCache>
            </c:strRef>
          </c:tx>
          <c:spPr/>
          <c:explosion val="0"/>
          <c:dPt>
            <c:idx val="0"/>
            <c:bubble3D val="0"/>
            <c:explosion val="0"/>
            <c:spPr>
              <a:solidFill>
                <a:srgbClr val="5B9BD5"/>
              </a:solidFill>
              <a:ln w="19050">
                <a:solidFill>
                  <a:srgbClr val="FFFFFF"/>
                </a:solidFill>
              </a:ln>
              <a:effectLst/>
            </c:spPr>
          </c:dPt>
          <c:dPt>
            <c:idx val="1"/>
            <c:bubble3D val="0"/>
            <c:spPr>
              <a:solidFill>
                <a:srgbClr val="ED7D31"/>
              </a:solidFill>
              <a:ln w="19050">
                <a:solidFill>
                  <a:srgbClr val="FFFFFF"/>
                </a:solidFill>
              </a:ln>
              <a:effectLst/>
            </c:spPr>
          </c:dPt>
          <c:dLbls>
            <c:dLbl>
              <c:idx val="0"/>
              <c:layout/>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Sheet1!$A$2:$A$3</c:f>
              <c:strCache>
                <c:ptCount val="2"/>
                <c:pt idx="0">
                  <c:v>一般公共预算财政拨款收入</c:v>
                </c:pt>
                <c:pt idx="1">
                  <c:v>其他收入</c:v>
                </c:pt>
              </c:strCache>
            </c:strRef>
          </c:cat>
          <c:val>
            <c:numRef>
              <c:f>Sheet1!$B$2:$B$3</c:f>
              <c:numCache>
                <c:formatCode>General</c:formatCode>
                <c:ptCount val="2"/>
                <c:pt idx="0">
                  <c:v>91.85</c:v>
                </c:pt>
                <c:pt idx="1">
                  <c:v>0</c:v>
                </c:pt>
              </c:numCache>
            </c:numRef>
          </c:val>
        </c:ser>
        <c:dLbls>
          <c:showLegendKey val="0"/>
          <c:showVal val="1"/>
          <c:showCatName val="0"/>
          <c:showSerName val="0"/>
          <c:showPercent val="0"/>
          <c:showBubbleSize val="0"/>
          <c:showLeaderLines val="1"/>
        </c:dLbls>
        <c:firstSliceAng val="43"/>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391025641026"/>
          <c:y val="0.0078125"/>
          <c:w val="0.47948717948718"/>
          <c:h val="0.779166666666667"/>
        </c:manualLayout>
      </c:layout>
      <c:pieChart>
        <c:varyColors val="1"/>
        <c:ser>
          <c:idx val="0"/>
          <c:order val="0"/>
          <c:tx>
            <c:strRef>
              <c:f>Sheet1!$B$1</c:f>
              <c:strCache>
                <c:ptCount val="1"/>
                <c:pt idx="0">
                  <c:v>本年收入</c:v>
                </c:pt>
              </c:strCache>
            </c:strRef>
          </c:tx>
          <c:spPr/>
          <c:explosion val="0"/>
          <c:dPt>
            <c:idx val="0"/>
            <c:bubble3D val="0"/>
            <c:explosion val="0"/>
            <c:spPr>
              <a:solidFill>
                <a:srgbClr val="5B9BD5"/>
              </a:solidFill>
              <a:ln w="19050">
                <a:solidFill>
                  <a:srgbClr val="FFFFFF"/>
                </a:solidFill>
              </a:ln>
              <a:effectLst/>
            </c:spPr>
          </c:dPt>
          <c:dPt>
            <c:idx val="1"/>
            <c:bubble3D val="0"/>
            <c:spPr>
              <a:solidFill>
                <a:srgbClr val="ED7D31"/>
              </a:solidFill>
              <a:ln w="19050">
                <a:solidFill>
                  <a:srgbClr val="FFFFFF"/>
                </a:solidFill>
              </a:ln>
              <a:effectLst/>
            </c:spPr>
          </c:dPt>
          <c:dLbls>
            <c:dLbl>
              <c:idx val="0"/>
              <c:layout/>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118.53</c:v>
                </c:pt>
                <c:pt idx="1">
                  <c:v>0</c:v>
                </c:pt>
              </c:numCache>
            </c:numRef>
          </c:val>
        </c:ser>
        <c:dLbls>
          <c:showLegendKey val="0"/>
          <c:showVal val="1"/>
          <c:showCatName val="0"/>
          <c:showSerName val="0"/>
          <c:showPercent val="0"/>
          <c:showBubbleSize val="0"/>
          <c:showLeaderLines val="1"/>
        </c:dLbls>
        <c:firstSliceAng val="43"/>
      </c:pieChart>
      <c:spPr>
        <a:noFill/>
        <a:ln>
          <a:noFill/>
        </a:ln>
        <a:effectLst/>
      </c:spPr>
    </c:plotArea>
    <c:legend>
      <c:legendPos val="r"/>
      <c:layout>
        <c:manualLayout>
          <c:xMode val="edge"/>
          <c:yMode val="edge"/>
          <c:x val="0.643189475373015"/>
          <c:y val="0.36913451511991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09892440539312"/>
          <c:y val="0.115851108322877"/>
          <c:w val="0.864475079533404"/>
          <c:h val="0.724675867837725"/>
        </c:manualLayout>
      </c:layout>
      <c:barChart>
        <c:barDir val="col"/>
        <c:grouping val="clustered"/>
        <c:varyColors val="0"/>
        <c:ser>
          <c:idx val="0"/>
          <c:order val="0"/>
          <c:tx>
            <c:strRef>
              <c:f>Sheet1!$B$1</c:f>
              <c:strCache>
                <c:ptCount val="1"/>
                <c:pt idx="0">
                  <c:v>2018年</c:v>
                </c:pt>
              </c:strCache>
            </c:strRef>
          </c:tx>
          <c:spPr>
            <a:solidFill>
              <a:srgbClr val="5B9BD5"/>
            </a:solidFill>
            <a:ln>
              <a:noFill/>
            </a:ln>
            <a:effectLst/>
          </c:spPr>
          <c:invertIfNegative val="0"/>
          <c:dLbls>
            <c:delete val="1"/>
          </c:dLbls>
          <c:cat>
            <c:strRef>
              <c:f>Sheet1!$A$2</c:f>
              <c:strCache>
                <c:ptCount val="1"/>
                <c:pt idx="0">
                  <c:v>财政拨款收、支决算</c:v>
                </c:pt>
              </c:strCache>
            </c:strRef>
          </c:cat>
          <c:val>
            <c:numRef>
              <c:f>Sheet1!$B$2</c:f>
              <c:numCache>
                <c:formatCode>General</c:formatCode>
                <c:ptCount val="1"/>
                <c:pt idx="0">
                  <c:v>272</c:v>
                </c:pt>
              </c:numCache>
            </c:numRef>
          </c:val>
        </c:ser>
        <c:ser>
          <c:idx val="1"/>
          <c:order val="1"/>
          <c:tx>
            <c:strRef>
              <c:f>Sheet1!$C$1</c:f>
              <c:strCache>
                <c:ptCount val="1"/>
                <c:pt idx="0">
                  <c:v>2019年</c:v>
                </c:pt>
              </c:strCache>
            </c:strRef>
          </c:tx>
          <c:spPr>
            <a:solidFill>
              <a:srgbClr val="ED7D31"/>
            </a:solidFill>
            <a:ln>
              <a:noFill/>
            </a:ln>
            <a:effectLst/>
          </c:spPr>
          <c:invertIfNegative val="0"/>
          <c:dLbls>
            <c:delete val="1"/>
          </c:dLbls>
          <c:cat>
            <c:strRef>
              <c:f>Sheet1!$A$2</c:f>
              <c:strCache>
                <c:ptCount val="1"/>
                <c:pt idx="0">
                  <c:v>财政拨款收、支决算</c:v>
                </c:pt>
              </c:strCache>
            </c:strRef>
          </c:cat>
          <c:val>
            <c:numRef>
              <c:f>Sheet1!$C$2</c:f>
              <c:numCache>
                <c:formatCode>General</c:formatCode>
                <c:ptCount val="1"/>
                <c:pt idx="0">
                  <c:v>224</c:v>
                </c:pt>
              </c:numCache>
            </c:numRef>
          </c:val>
        </c:ser>
        <c:dLbls>
          <c:showLegendKey val="0"/>
          <c:showVal val="0"/>
          <c:showCatName val="0"/>
          <c:showSerName val="0"/>
          <c:showPercent val="0"/>
          <c:showBubbleSize val="0"/>
        </c:dLbls>
        <c:gapWidth val="219"/>
        <c:overlap val="-27"/>
        <c:axId val="170993507"/>
        <c:axId val="179187261"/>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
                      </c:pt>
                    </c:strCache>
                  </c:strRef>
                </c:tx>
                <c:spPr>
                  <a:solidFill>
                    <a:srgbClr val="A5A5A5"/>
                  </a:solidFill>
                  <a:ln>
                    <a:noFill/>
                  </a:ln>
                  <a:effectLst/>
                </c:spPr>
                <c:invertIfNegative val="0"/>
                <c:dLbls>
                  <c:delete val="1"/>
                </c:dLbls>
                <c:cat>
                  <c:strRef>
                    <c:extLst>
                      <c:ext uri="{02D57815-91ED-43cb-92C2-25804820EDAC}">
                        <c15:fullRef>
                          <c15:sqref/>
                        </c15:fullRef>
                        <c15:formulaRef>
                          <c15:sqref>Sheet1!$A$2</c15:sqref>
                        </c15:formulaRef>
                      </c:ext>
                    </c:extLst>
                    <c:strCache>
                      <c:ptCount val="1"/>
                      <c:pt idx="0">
                        <c:v>财政拨款收、支决算</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170993507"/>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179187261"/>
        <c:crosses val="autoZero"/>
        <c:auto val="1"/>
        <c:lblAlgn val="ctr"/>
        <c:lblOffset val="100"/>
        <c:noMultiLvlLbl val="0"/>
      </c:catAx>
      <c:valAx>
        <c:axId val="179187261"/>
        <c:scaling>
          <c:orientation val="minMax"/>
          <c:max val="150"/>
          <c:min val="0"/>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170993507"/>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54589371980676"/>
          <c:y val="0.0458745874587459"/>
          <c:w val="0.864475079533404"/>
          <c:h val="0.724675867837725"/>
        </c:manualLayout>
      </c:layout>
      <c:barChart>
        <c:barDir val="col"/>
        <c:grouping val="clustered"/>
        <c:varyColors val="0"/>
        <c:ser>
          <c:idx val="0"/>
          <c:order val="0"/>
          <c:tx>
            <c:strRef>
              <c:f>Sheet1!$B$1</c:f>
              <c:strCache>
                <c:ptCount val="1"/>
                <c:pt idx="0">
                  <c:v>2018年</c:v>
                </c:pt>
              </c:strCache>
            </c:strRef>
          </c:tx>
          <c:spPr>
            <a:solidFill>
              <a:srgbClr val="5B9BD5"/>
            </a:solidFill>
            <a:ln>
              <a:noFill/>
            </a:ln>
            <a:effectLst/>
          </c:spPr>
          <c:invertIfNegative val="0"/>
          <c:dLbls>
            <c:delete val="1"/>
          </c:dLbls>
          <c:cat>
            <c:strRef>
              <c:f>Sheet1!$A$2</c:f>
              <c:strCache>
                <c:ptCount val="1"/>
                <c:pt idx="0">
                  <c:v>一般公共预算财政拨款支出</c:v>
                </c:pt>
              </c:strCache>
            </c:strRef>
          </c:cat>
          <c:val>
            <c:numRef>
              <c:f>Sheet1!$B$2</c:f>
              <c:numCache>
                <c:formatCode>General</c:formatCode>
                <c:ptCount val="1"/>
                <c:pt idx="0">
                  <c:v>272</c:v>
                </c:pt>
              </c:numCache>
            </c:numRef>
          </c:val>
        </c:ser>
        <c:ser>
          <c:idx val="1"/>
          <c:order val="1"/>
          <c:tx>
            <c:strRef>
              <c:f>Sheet1!$C$1</c:f>
              <c:strCache>
                <c:ptCount val="1"/>
                <c:pt idx="0">
                  <c:v>2019年</c:v>
                </c:pt>
              </c:strCache>
            </c:strRef>
          </c:tx>
          <c:spPr>
            <a:solidFill>
              <a:srgbClr val="ED7D31"/>
            </a:solidFill>
            <a:ln>
              <a:noFill/>
            </a:ln>
            <a:effectLst/>
          </c:spPr>
          <c:invertIfNegative val="0"/>
          <c:dLbls>
            <c:delete val="1"/>
          </c:dLbls>
          <c:cat>
            <c:strRef>
              <c:f>Sheet1!$A$2</c:f>
              <c:strCache>
                <c:ptCount val="1"/>
                <c:pt idx="0">
                  <c:v>一般公共预算财政拨款支出</c:v>
                </c:pt>
              </c:strCache>
            </c:strRef>
          </c:cat>
          <c:val>
            <c:numRef>
              <c:f>Sheet1!$C$2</c:f>
              <c:numCache>
                <c:formatCode>General</c:formatCode>
                <c:ptCount val="1"/>
                <c:pt idx="0">
                  <c:v>224</c:v>
                </c:pt>
              </c:numCache>
            </c:numRef>
          </c:val>
        </c:ser>
        <c:dLbls>
          <c:showLegendKey val="0"/>
          <c:showVal val="0"/>
          <c:showCatName val="0"/>
          <c:showSerName val="0"/>
          <c:showPercent val="0"/>
          <c:showBubbleSize val="0"/>
        </c:dLbls>
        <c:gapWidth val="219"/>
        <c:overlap val="-27"/>
        <c:axId val="170993507"/>
        <c:axId val="179187261"/>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
                      </c:pt>
                    </c:strCache>
                  </c:strRef>
                </c:tx>
                <c:spPr>
                  <a:solidFill>
                    <a:srgbClr val="A5A5A5"/>
                  </a:solidFill>
                  <a:ln>
                    <a:noFill/>
                  </a:ln>
                  <a:effectLst/>
                </c:spPr>
                <c:invertIfNegative val="0"/>
                <c:dLbls>
                  <c:delete val="1"/>
                </c:dLbls>
                <c:cat>
                  <c:strRef>
                    <c:extLst>
                      <c:ext uri="{02D57815-91ED-43cb-92C2-25804820EDAC}">
                        <c15:fullRef>
                          <c15:sqref/>
                        </c15:fullRef>
                        <c15:formulaRef>
                          <c15:sqref>Sheet1!$A$2</c15:sqref>
                        </c15:formulaRef>
                      </c:ext>
                    </c:extLst>
                    <c:strCache>
                      <c:ptCount val="1"/>
                      <c:pt idx="0">
                        <c:v>一般公共预算财政拨款支出</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170993507"/>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179187261"/>
        <c:crosses val="autoZero"/>
        <c:auto val="1"/>
        <c:lblAlgn val="ctr"/>
        <c:lblOffset val="100"/>
        <c:noMultiLvlLbl val="0"/>
      </c:catAx>
      <c:valAx>
        <c:axId val="179187261"/>
        <c:scaling>
          <c:orientation val="minMax"/>
          <c:max val="150"/>
          <c:min val="0"/>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170993507"/>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68595041322314"/>
          <c:y val="0.106095238095238"/>
          <c:w val="0.455757575757576"/>
          <c:h val="0.787809523809524"/>
        </c:manualLayout>
      </c:layout>
      <c:pieChart>
        <c:varyColors val="1"/>
        <c:ser>
          <c:idx val="0"/>
          <c:order val="0"/>
          <c:tx>
            <c:strRef>
              <c:f>Sheet1!$B$1</c:f>
              <c:strCache>
                <c:ptCount val="1"/>
                <c:pt idx="0">
                  <c:v>列1</c:v>
                </c:pt>
              </c:strCache>
            </c:strRef>
          </c:tx>
          <c:spPr/>
          <c:explosion val="16"/>
          <c:dPt>
            <c:idx val="0"/>
            <c:bubble3D val="0"/>
            <c:spPr>
              <a:solidFill>
                <a:srgbClr val="5B9BD5"/>
              </a:solidFill>
              <a:ln w="19050">
                <a:solidFill>
                  <a:srgbClr val="FFFFFF"/>
                </a:solidFill>
              </a:ln>
              <a:effectLst/>
            </c:spPr>
          </c:dPt>
          <c:dPt>
            <c:idx val="1"/>
            <c:bubble3D val="0"/>
            <c:spPr>
              <a:solidFill>
                <a:srgbClr val="ED7D31"/>
              </a:solidFill>
              <a:ln w="19050">
                <a:solidFill>
                  <a:srgbClr val="FFFFFF"/>
                </a:solidFill>
              </a:ln>
              <a:effectLst/>
            </c:spPr>
          </c:dPt>
          <c:dPt>
            <c:idx val="2"/>
            <c:bubble3D val="0"/>
            <c:spPr>
              <a:solidFill>
                <a:srgbClr val="A5A5A5"/>
              </a:solidFill>
              <a:ln w="19050">
                <a:solidFill>
                  <a:srgbClr val="FFFFFF"/>
                </a:solidFill>
              </a:ln>
              <a:effectLst/>
            </c:spPr>
          </c:dPt>
          <c:dPt>
            <c:idx val="3"/>
            <c:bubble3D val="0"/>
            <c:spPr>
              <a:solidFill>
                <a:srgbClr val="FFC000"/>
              </a:solidFill>
              <a:ln w="19050">
                <a:solidFill>
                  <a:srgbClr val="FFFFFF"/>
                </a:solidFill>
              </a:ln>
              <a:effectLst/>
            </c:spPr>
          </c:dPt>
          <c:dLbls>
            <c:dLbl>
              <c:idx val="0"/>
              <c:layout/>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0"/>
              <c:showCatName val="0"/>
              <c:showSerName val="0"/>
              <c:showPercent val="1"/>
              <c:showBubbleSize val="0"/>
              <c:separator> </c:separator>
              <c:extLst>
                <c:ext xmlns:c15="http://schemas.microsoft.com/office/drawing/2012/chart" uri="{CE6537A1-D6FC-4f65-9D91-7224C49458BB}"/>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0"/>
            <c:showCatName val="0"/>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Sheet1!$A$2:$A$5</c:f>
              <c:strCache>
                <c:ptCount val="4"/>
                <c:pt idx="0">
                  <c:v>一般公共服务（类）支出</c:v>
                </c:pt>
                <c:pt idx="1">
                  <c:v>社会保障和就业（类）支出</c:v>
                </c:pt>
                <c:pt idx="2">
                  <c:v>卫生健康支出（类）</c:v>
                </c:pt>
                <c:pt idx="3">
                  <c:v>住房保障支出（类）</c:v>
                </c:pt>
              </c:strCache>
            </c:strRef>
          </c:cat>
          <c:val>
            <c:numRef>
              <c:f>Sheet1!$B$2:$B$5</c:f>
              <c:numCache>
                <c:formatCode>General</c:formatCode>
                <c:ptCount val="4"/>
                <c:pt idx="0">
                  <c:v>191</c:v>
                </c:pt>
                <c:pt idx="1">
                  <c:v>16</c:v>
                </c:pt>
                <c:pt idx="2">
                  <c:v>5</c:v>
                </c:pt>
                <c:pt idx="3">
                  <c:v>11</c:v>
                </c:pt>
              </c:numCache>
            </c:numRef>
          </c:val>
        </c:ser>
        <c:dLbls>
          <c:showLegendKey val="0"/>
          <c:showVal val="1"/>
          <c:showCatName val="0"/>
          <c:showSerName val="0"/>
          <c:showPercent val="0"/>
          <c:showBubbleSize val="0"/>
          <c:showLeaderLines val="1"/>
        </c:dLbls>
        <c:firstSliceAng val="11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rgbClr val="5B9BD5"/>
  <a:srgbClr val="ED7D31"/>
  <a:srgbClr val="A5A5A5"/>
  <a:srgbClr val="FFC000"/>
  <a:srgbClr val="4472C4"/>
  <a:srgbClr val="70AD47"/>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rgbClr val="5B9BD5"/>
  <a:srgbClr val="ED7D31"/>
  <a:srgbClr val="A5A5A5"/>
  <a:srgbClr val="FFC000"/>
  <a:srgbClr val="4472C4"/>
  <a:srgbClr val="70AD47"/>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rgbClr val="5B9BD5"/>
  <a:srgbClr val="ED7D31"/>
  <a:srgbClr val="A5A5A5"/>
  <a:srgbClr val="FFC000"/>
  <a:srgbClr val="4472C4"/>
  <a:srgbClr val="70AD47"/>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rgbClr val="5B9BD5"/>
  <a:srgbClr val="ED7D31"/>
  <a:srgbClr val="A5A5A5"/>
  <a:srgbClr val="FFC000"/>
  <a:srgbClr val="4472C4"/>
  <a:srgbClr val="70AD47"/>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rgbClr val="5B9BD5"/>
  <a:srgbClr val="ED7D31"/>
  <a:srgbClr val="A5A5A5"/>
  <a:srgbClr val="FFC000"/>
  <a:srgbClr val="4472C4"/>
  <a:srgbClr val="70AD47"/>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rgbClr val="5B9BD5"/>
  <a:srgbClr val="ED7D31"/>
  <a:srgbClr val="A5A5A5"/>
  <a:srgbClr val="FFC000"/>
  <a:srgbClr val="4472C4"/>
  <a:srgbClr val="70AD47"/>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spPr>
      <a:ln w="19050">
        <a:solidFill>
          <a:srgbClr val="FFFFFF"/>
        </a:solidFill>
      </a:ln>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spPr>
      <a:ln w="19050">
        <a:solidFill>
          <a:srgbClr val="FFFFFF"/>
        </a:solidFill>
      </a:ln>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spPr>
      <a:ln w="19050">
        <a:solidFill>
          <a:srgbClr val="FFFFFF"/>
        </a:solidFill>
      </a:ln>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Office_10.1.0.7668_F1E327BC-269C-435d-A152-05C5408002CA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2020-09-23T01:12:00Z</dcterms:created>
  <dc:creator>admin</dc:creator>
  <cp:lastModifiedBy>Administrator</cp:lastModifiedBy>
  <cp:lastPrinted>2020-09-28T08:19:56Z</cp:lastPrinted>
  <dcterms:modified xsi:type="dcterms:W3CDTF">2020-09-28T08:22:57Z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