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bookmarkStart w:id="0" w:name="_Toc15378441"/>
      <w:bookmarkStart w:id="1" w:name="_Toc15396597"/>
      <w:bookmarkStart w:id="2" w:name="_Toc15396475"/>
      <w:bookmarkStart w:id="3" w:name="_Toc15377193"/>
      <w:bookmarkStart w:id="4" w:name="_Toc15377425"/>
      <w:bookmarkStart w:id="5" w:name="_Toc15306267"/>
      <w:r>
        <w:rPr>
          <w:rFonts w:hint="eastAsia" w:ascii="仿宋_GB2312" w:eastAsia="仿宋_GB2312"/>
          <w:sz w:val="32"/>
          <w:szCs w:val="32"/>
        </w:rPr>
        <w:t>附件</w:t>
      </w:r>
      <w:r>
        <w:rPr>
          <w:rFonts w:ascii="仿宋_GB2312" w:eastAsia="仿宋_GB2312"/>
          <w:sz w:val="32"/>
          <w:szCs w:val="32"/>
        </w:rPr>
        <w:t>2</w:t>
      </w: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2021年度</w:t>
      </w:r>
      <w:bookmarkEnd w:id="0"/>
      <w:bookmarkEnd w:id="1"/>
      <w:bookmarkEnd w:id="2"/>
      <w:bookmarkEnd w:id="3"/>
      <w:bookmarkEnd w:id="4"/>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6" w:name="_Toc15396598"/>
      <w:bookmarkStart w:id="7" w:name="_Toc15377426"/>
      <w:bookmarkStart w:id="8" w:name="_Toc15378442"/>
      <w:bookmarkStart w:id="9" w:name="_Toc15377194"/>
      <w:bookmarkStart w:id="10" w:name="_Toc15396476"/>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驻北京联络处</w:t>
      </w: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部门决算</w:t>
      </w:r>
      <w:bookmarkEnd w:id="6"/>
      <w:bookmarkEnd w:id="7"/>
      <w:bookmarkEnd w:id="8"/>
      <w:bookmarkEnd w:id="9"/>
      <w:bookmarkEnd w:id="10"/>
      <w:bookmarkEnd w:id="11"/>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0"/>
      </w:pPr>
      <w:r>
        <w:rPr>
          <w:rFonts w:hint="eastAsia"/>
        </w:rPr>
        <w:t>公开时间：2022年</w:t>
      </w:r>
      <w:r>
        <w:t>9</w:t>
      </w:r>
      <w:r>
        <w:rPr>
          <w:rFonts w:hint="eastAsia"/>
        </w:rPr>
        <w:t>月</w:t>
      </w:r>
      <w:r>
        <w:rPr>
          <w:rFonts w:hint="eastAsia"/>
          <w:lang w:val="en-US" w:eastAsia="zh-CN"/>
        </w:rPr>
        <w:t>26</w:t>
      </w:r>
      <w:r>
        <w:rPr>
          <w:rFonts w:hint="eastAsia"/>
        </w:rPr>
        <w:t>日</w:t>
      </w:r>
    </w:p>
    <w:p/>
    <w:p>
      <w:pPr>
        <w:pStyle w:val="10"/>
        <w:adjustRightInd w:val="0"/>
        <w:snapToGrid w:val="0"/>
        <w:spacing w:before="0" w:line="440" w:lineRule="exact"/>
        <w:jc w:val="left"/>
        <w:rPr>
          <w:rFonts w:hint="default" w:eastAsia="仿宋" w:cs="Arial"/>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eastAsia="zh-CN"/>
        </w:rPr>
        <w:t>——————————————————————</w:t>
      </w:r>
      <w:r>
        <w:rPr>
          <w:rFonts w:hint="eastAsia"/>
          <w:sz w:val="24"/>
          <w:lang w:val="en-US" w:eastAsia="zh-CN"/>
        </w:rPr>
        <w:t>4</w:t>
      </w:r>
    </w:p>
    <w:p>
      <w:pPr>
        <w:pStyle w:val="11"/>
        <w:adjustRightInd w:val="0"/>
        <w:snapToGrid w:val="0"/>
        <w:spacing w:line="440" w:lineRule="exact"/>
        <w:ind w:left="420"/>
        <w:jc w:val="left"/>
        <w:rPr>
          <w:rFonts w:hint="default" w:ascii="仿宋" w:eastAsia="宋体"/>
          <w:sz w:val="24"/>
          <w:lang w:val="en-US" w:eastAsia="zh-CN"/>
        </w:rPr>
      </w:pPr>
      <w:r>
        <w:rPr>
          <w:rFonts w:hint="eastAsia"/>
          <w:sz w:val="24"/>
        </w:rPr>
        <w:t>一、基本职能及主要工作</w:t>
      </w:r>
      <w:r>
        <w:rPr>
          <w:rFonts w:hint="eastAsia"/>
          <w:sz w:val="24"/>
          <w:lang w:val="en-US" w:eastAsia="zh-CN"/>
        </w:rPr>
        <w:t>-----------------------------------------------------4</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二、机构设置</w:t>
      </w:r>
      <w:r>
        <w:rPr>
          <w:rFonts w:hint="eastAsia"/>
          <w:sz w:val="24"/>
          <w:lang w:val="en-US" w:eastAsia="zh-CN"/>
        </w:rPr>
        <w:t>--------------------------------------------------------------------6</w:t>
      </w:r>
    </w:p>
    <w:p>
      <w:pPr>
        <w:pStyle w:val="10"/>
        <w:adjustRightInd w:val="0"/>
        <w:snapToGrid w:val="0"/>
        <w:spacing w:before="0" w:line="440" w:lineRule="exact"/>
        <w:jc w:val="left"/>
        <w:rPr>
          <w:rFonts w:hint="default" w:eastAsia="仿宋"/>
          <w:sz w:val="24"/>
          <w:szCs w:val="24"/>
          <w:lang w:val="en-US" w:eastAsia="zh-CN"/>
        </w:rPr>
      </w:pPr>
      <w:r>
        <w:rPr>
          <w:rFonts w:hint="eastAsia"/>
          <w:sz w:val="24"/>
        </w:rPr>
        <w:t>第二部分 2021年度部门决算情况说明</w:t>
      </w:r>
      <w:r>
        <w:rPr>
          <w:rFonts w:hint="eastAsia"/>
          <w:sz w:val="24"/>
          <w:lang w:val="en-US" w:eastAsia="zh-CN"/>
        </w:rPr>
        <w:t>---------------------------7</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一、收入支出决算总体情况说明</w:t>
      </w:r>
      <w:r>
        <w:rPr>
          <w:rFonts w:hint="eastAsia"/>
          <w:sz w:val="24"/>
          <w:lang w:val="en-US" w:eastAsia="zh-CN"/>
        </w:rPr>
        <w:t>--------------------------------------------7</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二、收入决算情况说明</w:t>
      </w:r>
      <w:r>
        <w:rPr>
          <w:rFonts w:hint="eastAsia"/>
          <w:sz w:val="24"/>
          <w:lang w:val="en-US" w:eastAsia="zh-CN"/>
        </w:rPr>
        <w:t>--------------------------------------------------------7</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三、支出决算情况说明</w:t>
      </w:r>
      <w:r>
        <w:rPr>
          <w:rFonts w:hint="eastAsia"/>
          <w:sz w:val="24"/>
          <w:lang w:val="en-US" w:eastAsia="zh-CN"/>
        </w:rPr>
        <w:t>--------------------------------------------------------8</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四、财政拨款收入支出决算总体情况说明</w:t>
      </w:r>
      <w:r>
        <w:rPr>
          <w:rFonts w:hint="eastAsia"/>
          <w:sz w:val="24"/>
          <w:lang w:val="en-US" w:eastAsia="zh-CN"/>
        </w:rPr>
        <w:t>--------------------------------9</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五、一般公共预算财政拨款支出决算情况说明</w:t>
      </w:r>
      <w:r>
        <w:rPr>
          <w:rFonts w:hint="eastAsia"/>
          <w:sz w:val="24"/>
          <w:lang w:val="en-US" w:eastAsia="zh-CN"/>
        </w:rPr>
        <w:t>-------------------------10</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六、一般公共预算财政拨款基本支出决算情况说明</w:t>
      </w:r>
      <w:r>
        <w:rPr>
          <w:rFonts w:hint="eastAsia"/>
          <w:sz w:val="24"/>
          <w:lang w:val="en-US" w:eastAsia="zh-CN"/>
        </w:rPr>
        <w:t>-------------------12</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七、“三公”经费财政拨款支出决算情况说明</w:t>
      </w:r>
      <w:r>
        <w:rPr>
          <w:rFonts w:hint="eastAsia"/>
          <w:sz w:val="24"/>
          <w:lang w:val="en-US" w:eastAsia="zh-CN"/>
        </w:rPr>
        <w:t>--------------------------13</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八、政府性基金预算支出决算情况说明</w:t>
      </w:r>
      <w:r>
        <w:rPr>
          <w:rFonts w:hint="eastAsia"/>
          <w:sz w:val="24"/>
          <w:lang w:val="en-US" w:eastAsia="zh-CN"/>
        </w:rPr>
        <w:t>----------------------------------15</w:t>
      </w:r>
    </w:p>
    <w:p>
      <w:pPr>
        <w:pStyle w:val="11"/>
        <w:adjustRightInd w:val="0"/>
        <w:snapToGrid w:val="0"/>
        <w:spacing w:line="440" w:lineRule="exact"/>
        <w:ind w:left="0" w:leftChars="0"/>
        <w:jc w:val="left"/>
        <w:rPr>
          <w:rFonts w:hint="default" w:ascii="宋体" w:eastAsia="宋体" w:cs="宋体"/>
          <w:sz w:val="24"/>
          <w:lang w:val="en-US" w:eastAsia="zh-CN"/>
        </w:rPr>
      </w:pPr>
      <w:r>
        <w:rPr>
          <w:rFonts w:hint="eastAsia" w:ascii="宋体" w:cs="宋体"/>
          <w:sz w:val="24"/>
        </w:rPr>
        <w:t>九、国有资本经营预算支出决算情况说明</w:t>
      </w:r>
      <w:r>
        <w:rPr>
          <w:rFonts w:hint="eastAsia" w:ascii="宋体" w:cs="宋体"/>
          <w:sz w:val="24"/>
          <w:lang w:val="en-US" w:eastAsia="zh-CN"/>
        </w:rPr>
        <w:t>------------------------15</w:t>
      </w:r>
    </w:p>
    <w:p>
      <w:pPr>
        <w:adjustRightInd w:val="0"/>
        <w:snapToGrid w:val="0"/>
        <w:spacing w:line="440" w:lineRule="exact"/>
        <w:ind w:firstLine="420" w:firstLineChars="175"/>
        <w:jc w:val="left"/>
        <w:rPr>
          <w:rFonts w:hint="default" w:ascii="宋体" w:eastAsia="宋体" w:cs="宋体"/>
          <w:sz w:val="24"/>
          <w:lang w:val="en-US" w:eastAsia="zh-CN"/>
        </w:rPr>
      </w:pPr>
      <w:r>
        <w:rPr>
          <w:rStyle w:val="15"/>
          <w:rFonts w:hint="eastAsia" w:ascii="宋体" w:cs="宋体"/>
          <w:color w:val="auto"/>
          <w:sz w:val="24"/>
          <w:u w:val="none"/>
        </w:rPr>
        <w:t>十、</w:t>
      </w:r>
      <w:r>
        <w:rPr>
          <w:rFonts w:hint="eastAsia" w:ascii="宋体" w:cs="宋体"/>
          <w:sz w:val="24"/>
        </w:rPr>
        <w:t>其他重要事项的情况说明</w:t>
      </w:r>
      <w:r>
        <w:rPr>
          <w:rFonts w:hint="eastAsia" w:ascii="宋体" w:cs="宋体"/>
          <w:sz w:val="24"/>
        </w:rPr>
        <w:tab/>
      </w:r>
      <w:r>
        <w:rPr>
          <w:rFonts w:hint="eastAsia" w:ascii="宋体" w:cs="宋体"/>
          <w:sz w:val="24"/>
          <w:lang w:val="en-US" w:eastAsia="zh-CN"/>
        </w:rPr>
        <w:t>-----------------------------15</w:t>
      </w:r>
    </w:p>
    <w:p>
      <w:pPr>
        <w:pStyle w:val="10"/>
        <w:adjustRightInd w:val="0"/>
        <w:snapToGrid w:val="0"/>
        <w:spacing w:before="0" w:line="440" w:lineRule="exact"/>
        <w:jc w:val="left"/>
        <w:rPr>
          <w:rFonts w:hint="default" w:eastAsia="仿宋" w:cs="Arial"/>
          <w:sz w:val="24"/>
          <w:szCs w:val="24"/>
          <w:lang w:val="en-US" w:eastAsia="zh-CN"/>
        </w:rPr>
      </w:pPr>
      <w:r>
        <w:rPr>
          <w:rFonts w:hint="eastAsia"/>
          <w:sz w:val="24"/>
        </w:rPr>
        <w:t>第三部分</w:t>
      </w:r>
      <w:r>
        <w:rPr>
          <w:sz w:val="24"/>
        </w:rPr>
        <w:t xml:space="preserve"> </w:t>
      </w:r>
      <w:r>
        <w:rPr>
          <w:rFonts w:hint="eastAsia"/>
          <w:sz w:val="24"/>
        </w:rPr>
        <w:t>名词解释</w:t>
      </w:r>
      <w:r>
        <w:rPr>
          <w:rFonts w:hint="eastAsia"/>
          <w:sz w:val="24"/>
          <w:lang w:val="en-US" w:eastAsia="zh-CN"/>
        </w:rPr>
        <w:t>-------------------------------------------18</w:t>
      </w:r>
    </w:p>
    <w:p>
      <w:pPr>
        <w:pStyle w:val="10"/>
        <w:adjustRightInd w:val="0"/>
        <w:snapToGrid w:val="0"/>
        <w:spacing w:before="0" w:line="440" w:lineRule="exact"/>
        <w:jc w:val="left"/>
        <w:rPr>
          <w:rFonts w:hint="default" w:eastAsia="仿宋" w:cs="Arial"/>
          <w:sz w:val="24"/>
          <w:szCs w:val="24"/>
          <w:lang w:val="en-US" w:eastAsia="zh-CN"/>
        </w:rPr>
      </w:pPr>
      <w:r>
        <w:rPr>
          <w:rFonts w:hint="eastAsia"/>
          <w:sz w:val="24"/>
        </w:rPr>
        <w:t>第四部分</w:t>
      </w:r>
      <w:r>
        <w:rPr>
          <w:sz w:val="24"/>
        </w:rPr>
        <w:t xml:space="preserve"> </w:t>
      </w:r>
      <w:r>
        <w:rPr>
          <w:rFonts w:hint="eastAsia"/>
          <w:sz w:val="24"/>
        </w:rPr>
        <w:t>附件</w:t>
      </w:r>
      <w:r>
        <w:rPr>
          <w:rFonts w:hint="eastAsia"/>
          <w:sz w:val="24"/>
          <w:lang w:val="en-US" w:eastAsia="zh-CN"/>
        </w:rPr>
        <w:t>-----------------------------------------------21</w:t>
      </w:r>
    </w:p>
    <w:p>
      <w:pPr>
        <w:pStyle w:val="10"/>
        <w:adjustRightInd w:val="0"/>
        <w:snapToGrid w:val="0"/>
        <w:spacing w:before="0" w:line="440" w:lineRule="exact"/>
        <w:jc w:val="left"/>
        <w:rPr>
          <w:rFonts w:hint="default" w:eastAsia="仿宋" w:cs="Arial"/>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-----------------------------------------------31</w:t>
      </w:r>
    </w:p>
    <w:p>
      <w:pPr>
        <w:pStyle w:val="11"/>
        <w:adjustRightInd w:val="0"/>
        <w:snapToGrid w:val="0"/>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pPr>
        <w:pStyle w:val="11"/>
        <w:adjustRightInd w:val="0"/>
        <w:snapToGrid w:val="0"/>
        <w:spacing w:line="440" w:lineRule="exact"/>
        <w:ind w:left="420"/>
        <w:jc w:val="left"/>
        <w:rPr>
          <w:rFonts w:ascii="宋体" w:cs="宋体"/>
          <w:sz w:val="24"/>
        </w:rPr>
      </w:pPr>
      <w:r>
        <w:rPr>
          <w:rFonts w:hint="eastAsia" w:ascii="宋体" w:cs="宋体"/>
          <w:sz w:val="24"/>
        </w:rPr>
        <w:t>二、收入决算表</w:t>
      </w:r>
    </w:p>
    <w:p>
      <w:pPr>
        <w:pStyle w:val="11"/>
        <w:adjustRightInd w:val="0"/>
        <w:snapToGrid w:val="0"/>
        <w:spacing w:line="440" w:lineRule="exact"/>
        <w:ind w:left="420"/>
        <w:jc w:val="left"/>
        <w:rPr>
          <w:rFonts w:ascii="宋体" w:cs="宋体"/>
          <w:sz w:val="24"/>
        </w:rPr>
      </w:pPr>
      <w:r>
        <w:rPr>
          <w:rFonts w:hint="eastAsia" w:ascii="宋体" w:cs="宋体"/>
          <w:sz w:val="24"/>
        </w:rPr>
        <w:t>三、支出决算表</w:t>
      </w:r>
    </w:p>
    <w:p>
      <w:pPr>
        <w:pStyle w:val="11"/>
        <w:adjustRightInd w:val="0"/>
        <w:snapToGrid w:val="0"/>
        <w:spacing w:line="440" w:lineRule="exact"/>
        <w:ind w:left="420"/>
        <w:jc w:val="left"/>
        <w:rPr>
          <w:rFonts w:ascii="宋体" w:cs="宋体"/>
          <w:sz w:val="24"/>
        </w:rPr>
      </w:pPr>
      <w:r>
        <w:rPr>
          <w:rFonts w:hint="eastAsia" w:ascii="宋体" w:cs="宋体"/>
          <w:sz w:val="24"/>
        </w:rPr>
        <w:t>四、财政拨款收入支出决算总表</w:t>
      </w:r>
    </w:p>
    <w:p>
      <w:pPr>
        <w:pStyle w:val="11"/>
        <w:adjustRightInd w:val="0"/>
        <w:snapToGrid w:val="0"/>
        <w:spacing w:line="440" w:lineRule="exact"/>
        <w:ind w:left="420"/>
        <w:jc w:val="left"/>
        <w:rPr>
          <w:rFonts w:ascii="宋体" w:cs="宋体"/>
          <w:sz w:val="24"/>
        </w:rPr>
      </w:pPr>
      <w:r>
        <w:rPr>
          <w:rFonts w:hint="eastAsia" w:ascii="宋体" w:cs="宋体"/>
          <w:sz w:val="24"/>
        </w:rPr>
        <w:t>五、财政拨款支出决算明细表</w:t>
      </w:r>
    </w:p>
    <w:p>
      <w:pPr>
        <w:pStyle w:val="11"/>
        <w:adjustRightInd w:val="0"/>
        <w:snapToGrid w:val="0"/>
        <w:spacing w:line="440" w:lineRule="exact"/>
        <w:ind w:left="420"/>
        <w:jc w:val="left"/>
        <w:rPr>
          <w:rFonts w:ascii="宋体" w:cs="宋体"/>
          <w:sz w:val="24"/>
        </w:rPr>
      </w:pPr>
      <w:r>
        <w:rPr>
          <w:rFonts w:hint="eastAsia" w:ascii="宋体" w:cs="宋体"/>
          <w:sz w:val="24"/>
        </w:rPr>
        <w:t>六、一般公共预算财政拨款支出决算表</w:t>
      </w:r>
    </w:p>
    <w:p>
      <w:pPr>
        <w:pStyle w:val="11"/>
        <w:adjustRightInd w:val="0"/>
        <w:snapToGrid w:val="0"/>
        <w:spacing w:line="440" w:lineRule="exact"/>
        <w:ind w:left="420"/>
        <w:jc w:val="left"/>
        <w:rPr>
          <w:rFonts w:ascii="宋体" w:cs="宋体"/>
          <w:sz w:val="24"/>
        </w:rPr>
      </w:pPr>
      <w:r>
        <w:rPr>
          <w:rFonts w:hint="eastAsia" w:ascii="宋体" w:cs="宋体"/>
          <w:sz w:val="24"/>
        </w:rPr>
        <w:t>七、一般公共预算财政拨款支出决算明细表</w:t>
      </w:r>
    </w:p>
    <w:p>
      <w:pPr>
        <w:pStyle w:val="11"/>
        <w:adjustRightInd w:val="0"/>
        <w:snapToGrid w:val="0"/>
        <w:spacing w:line="440" w:lineRule="exact"/>
        <w:ind w:left="420"/>
        <w:jc w:val="left"/>
        <w:rPr>
          <w:rFonts w:ascii="宋体" w:cs="宋体"/>
          <w:sz w:val="24"/>
        </w:rPr>
      </w:pPr>
      <w:r>
        <w:rPr>
          <w:rFonts w:hint="eastAsia" w:ascii="宋体" w:cs="宋体"/>
          <w:sz w:val="24"/>
        </w:rPr>
        <w:t>八、一般公共预算财政拨款基本支出决算表</w:t>
      </w:r>
    </w:p>
    <w:p>
      <w:pPr>
        <w:pStyle w:val="11"/>
        <w:adjustRightInd w:val="0"/>
        <w:snapToGrid w:val="0"/>
        <w:spacing w:line="440" w:lineRule="exact"/>
        <w:ind w:left="420"/>
        <w:jc w:val="left"/>
        <w:rPr>
          <w:rFonts w:ascii="宋体" w:cs="宋体"/>
          <w:sz w:val="24"/>
        </w:rPr>
      </w:pPr>
      <w:r>
        <w:rPr>
          <w:rFonts w:hint="eastAsia" w:ascii="宋体" w:cs="宋体"/>
          <w:sz w:val="24"/>
        </w:rPr>
        <w:t>九、一般公共预算财政拨款项目支出决算表</w:t>
      </w:r>
    </w:p>
    <w:p>
      <w:pPr>
        <w:pStyle w:val="11"/>
        <w:adjustRightInd w:val="0"/>
        <w:snapToGrid w:val="0"/>
        <w:spacing w:line="440" w:lineRule="exact"/>
        <w:ind w:left="420"/>
        <w:jc w:val="left"/>
        <w:rPr>
          <w:rFonts w:ascii="宋体" w:cs="宋体"/>
          <w:sz w:val="24"/>
        </w:rPr>
      </w:pPr>
      <w:r>
        <w:rPr>
          <w:rFonts w:hint="eastAsia" w:ascii="宋体" w:cs="宋体"/>
          <w:sz w:val="24"/>
        </w:rPr>
        <w:t>十、一般公共预算财政拨款“三公”经费支出决算表</w:t>
      </w:r>
    </w:p>
    <w:p>
      <w:pPr>
        <w:pStyle w:val="11"/>
        <w:adjustRightInd w:val="0"/>
        <w:snapToGrid w:val="0"/>
        <w:spacing w:line="440" w:lineRule="exact"/>
        <w:ind w:left="420"/>
        <w:jc w:val="left"/>
        <w:rPr>
          <w:rFonts w:ascii="宋体" w:cs="宋体"/>
          <w:sz w:val="24"/>
        </w:rPr>
      </w:pPr>
      <w:r>
        <w:rPr>
          <w:rFonts w:hint="eastAsia" w:ascii="宋体" w:cs="宋体"/>
          <w:sz w:val="24"/>
        </w:rPr>
        <w:t>十一、政府性基金预算财政拨款收入支出决算表</w:t>
      </w:r>
    </w:p>
    <w:p>
      <w:pPr>
        <w:pStyle w:val="11"/>
        <w:adjustRightInd w:val="0"/>
        <w:snapToGrid w:val="0"/>
        <w:spacing w:line="440" w:lineRule="exact"/>
        <w:ind w:left="420"/>
        <w:jc w:val="left"/>
        <w:rPr>
          <w:rFonts w:ascii="宋体" w:cs="宋体"/>
          <w:sz w:val="24"/>
        </w:rPr>
      </w:pPr>
      <w:r>
        <w:rPr>
          <w:rFonts w:hint="eastAsia" w:ascii="宋体" w:cs="宋体"/>
          <w:sz w:val="24"/>
        </w:rPr>
        <w:t>十二、政府性基金预算财政拨款“三公”经费支出决算表</w:t>
      </w:r>
    </w:p>
    <w:p>
      <w:pPr>
        <w:pStyle w:val="11"/>
        <w:adjustRightInd w:val="0"/>
        <w:snapToGrid w:val="0"/>
        <w:spacing w:line="440" w:lineRule="exact"/>
        <w:ind w:left="420"/>
        <w:jc w:val="left"/>
        <w:rPr>
          <w:rFonts w:ascii="宋体" w:cs="宋体"/>
          <w:sz w:val="24"/>
        </w:rPr>
      </w:pPr>
      <w:r>
        <w:rPr>
          <w:rFonts w:hint="eastAsia" w:ascii="宋体" w:cs="宋体"/>
          <w:sz w:val="24"/>
        </w:rPr>
        <w:t>十三、国有资本经营预算财政拨款收入支出决算表</w:t>
      </w:r>
    </w:p>
    <w:p>
      <w:pPr>
        <w:pStyle w:val="11"/>
        <w:adjustRightInd w:val="0"/>
        <w:snapToGrid w:val="0"/>
        <w:spacing w:line="440" w:lineRule="exact"/>
        <w:ind w:left="420"/>
        <w:jc w:val="left"/>
        <w:rPr>
          <w:rFonts w:ascii="宋体" w:cs="宋体"/>
          <w:sz w:val="24"/>
        </w:rPr>
      </w:pPr>
      <w:r>
        <w:rPr>
          <w:rFonts w:hint="eastAsia" w:ascii="宋体" w:cs="宋体"/>
          <w:sz w:val="24"/>
        </w:rPr>
        <w:t>十四、国有资本经营预算财政拨款支出决算表</w:t>
      </w:r>
    </w:p>
    <w:p>
      <w:pPr>
        <w:widowControl/>
        <w:adjustRightInd w:val="0"/>
        <w:snapToGrid w:val="0"/>
        <w:spacing w:line="440" w:lineRule="exact"/>
        <w:ind w:firstLine="1320" w:firstLineChars="550"/>
        <w:jc w:val="left"/>
        <w:rPr>
          <w:rFonts w:ascii="仿宋" w:eastAsia="仿宋"/>
          <w:sz w:val="24"/>
        </w:rPr>
      </w:pPr>
      <w:r>
        <w:rPr>
          <w:rFonts w:ascii="仿宋" w:eastAsia="仿宋"/>
          <w:sz w:val="24"/>
        </w:rPr>
        <w:t>(注：</w:t>
      </w:r>
      <w:r>
        <w:rPr>
          <w:rFonts w:hint="eastAsia" w:ascii="仿宋" w:eastAsia="仿宋"/>
          <w:sz w:val="24"/>
        </w:rPr>
        <w:t>请部门根据实际注明页码</w:t>
      </w:r>
      <w:r>
        <w:rPr>
          <w:rFonts w:ascii="仿宋" w:eastAsia="仿宋"/>
          <w:sz w:val="24"/>
        </w:rPr>
        <w:t>)</w:t>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3"/>
        <w:jc w:val="center"/>
        <w:rPr>
          <w:rStyle w:val="16"/>
          <w:rFonts w:ascii="黑体" w:eastAsia="黑体"/>
          <w:b/>
          <w:bCs w:val="0"/>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widowControl/>
        <w:jc w:val="left"/>
        <w:rPr>
          <w:rFonts w:ascii="黑体" w:eastAsia="黑体"/>
          <w:sz w:val="32"/>
          <w:szCs w:val="32"/>
        </w:rPr>
      </w:pPr>
    </w:p>
    <w:p>
      <w:pPr>
        <w:pStyle w:val="4"/>
        <w:rPr>
          <w:rStyle w:val="17"/>
          <w:rFonts w:ascii="仿宋" w:eastAsia="仿宋"/>
          <w:b w:val="0"/>
          <w:bCs w:val="0"/>
        </w:rPr>
      </w:pPr>
      <w:bookmarkStart w:id="14" w:name="_Toc15396600"/>
      <w:bookmarkStart w:id="15" w:name="_Toc15377197"/>
      <w:r>
        <w:rPr>
          <w:rFonts w:hint="eastAsia" w:ascii="黑体" w:eastAsia="黑体"/>
          <w:b w:val="0"/>
        </w:rPr>
        <w:t>一、基</w:t>
      </w:r>
      <w:r>
        <w:rPr>
          <w:rStyle w:val="17"/>
          <w:rFonts w:hint="eastAsia" w:ascii="黑体" w:eastAsia="黑体"/>
          <w:b w:val="0"/>
          <w:bCs w:val="0"/>
        </w:rPr>
        <w:t>本职能及主要工作</w:t>
      </w:r>
      <w:bookmarkEnd w:id="14"/>
      <w:bookmarkEnd w:id="15"/>
    </w:p>
    <w:p>
      <w:pPr>
        <w:pStyle w:val="2"/>
        <w:adjustRightInd w:val="0"/>
        <w:snapToGrid w:val="0"/>
        <w:spacing w:before="93" w:beforeLines="0" w:line="600" w:lineRule="exact"/>
        <w:ind w:firstLine="665" w:firstLineChars="208"/>
        <w:outlineLvl w:val="2"/>
        <w:rPr>
          <w:rFonts w:hint="eastAsia" w:ascii="仿宋" w:eastAsia="仿宋"/>
          <w:bCs/>
          <w:sz w:val="32"/>
          <w:szCs w:val="32"/>
        </w:rPr>
      </w:pPr>
      <w:bookmarkStart w:id="16" w:name="_Toc15377198"/>
      <w:bookmarkStart w:id="17" w:name="_Toc15378445"/>
      <w:r>
        <w:rPr>
          <w:rFonts w:hint="eastAsia" w:ascii="仿宋" w:eastAsia="仿宋"/>
          <w:bCs/>
          <w:sz w:val="32"/>
          <w:szCs w:val="32"/>
        </w:rPr>
        <w:t>（一）主要职能。</w:t>
      </w:r>
      <w:bookmarkEnd w:id="16"/>
      <w:bookmarkEnd w:id="17"/>
      <w:bookmarkStart w:id="18" w:name="_Toc15377199"/>
      <w:bookmarkStart w:id="19" w:name="_Toc15378446"/>
    </w:p>
    <w:p>
      <w:pPr>
        <w:pStyle w:val="2"/>
        <w:adjustRightInd w:val="0"/>
        <w:snapToGrid w:val="0"/>
        <w:spacing w:before="93" w:beforeLines="0" w:line="600" w:lineRule="exact"/>
        <w:ind w:firstLine="665" w:firstLineChars="208"/>
        <w:outlineLvl w:val="2"/>
        <w:rPr>
          <w:rFonts w:hint="eastAsia" w:ascii="ˎ̥" w:hAnsi="ˎ̥" w:eastAsia="宋体" w:cs="宋体"/>
          <w:kern w:val="0"/>
          <w:sz w:val="32"/>
          <w:szCs w:val="32"/>
        </w:rPr>
      </w:pPr>
      <w:r>
        <w:rPr>
          <w:rFonts w:hint="eastAsia" w:ascii="仿宋_GB2312" w:eastAsia="仿宋_GB2312"/>
          <w:sz w:val="32"/>
          <w:szCs w:val="32"/>
        </w:rPr>
        <w:t>在州委、州政府的领导下积极做好在驻地及其周边地区的政务联络、商会指导服务、机要电报、政务服务</w:t>
      </w:r>
      <w:r>
        <w:rPr>
          <w:rFonts w:hint="eastAsia" w:ascii="仿宋_GB2312" w:eastAsia="仿宋_GB2312"/>
          <w:sz w:val="32"/>
          <w:szCs w:val="32"/>
          <w:lang w:eastAsia="zh-CN"/>
        </w:rPr>
        <w:t>，</w:t>
      </w:r>
      <w:r>
        <w:rPr>
          <w:rFonts w:hint="eastAsia" w:ascii="仿宋_GB2312" w:eastAsia="仿宋_GB2312"/>
          <w:sz w:val="32"/>
          <w:szCs w:val="32"/>
          <w:lang w:val="en-US" w:eastAsia="zh-CN"/>
        </w:rPr>
        <w:t>党建</w:t>
      </w:r>
      <w:r>
        <w:rPr>
          <w:rFonts w:hint="eastAsia" w:ascii="仿宋_GB2312" w:eastAsia="仿宋_GB2312"/>
          <w:sz w:val="32"/>
          <w:szCs w:val="32"/>
        </w:rPr>
        <w:t>等工作，协助各相关部门做好社会管理、区域合作、招商引资、宣传推介、信访维稳、政务接待</w:t>
      </w:r>
      <w:r>
        <w:rPr>
          <w:rFonts w:hint="eastAsia" w:ascii="仿宋_GB2312" w:eastAsia="仿宋_GB2312"/>
          <w:sz w:val="32"/>
          <w:szCs w:val="32"/>
          <w:lang w:eastAsia="zh-CN"/>
        </w:rPr>
        <w:t>、</w:t>
      </w:r>
      <w:r>
        <w:rPr>
          <w:rFonts w:hint="eastAsia" w:ascii="仿宋_GB2312" w:eastAsia="仿宋_GB2312"/>
          <w:sz w:val="32"/>
          <w:szCs w:val="32"/>
          <w:lang w:val="en-US" w:eastAsia="zh-CN"/>
        </w:rPr>
        <w:t>农民工服务</w:t>
      </w:r>
      <w:r>
        <w:rPr>
          <w:rFonts w:hint="eastAsia" w:ascii="仿宋_GB2312" w:eastAsia="仿宋_GB2312"/>
          <w:sz w:val="32"/>
          <w:szCs w:val="32"/>
        </w:rPr>
        <w:t>等工作。</w:t>
      </w:r>
      <w:r>
        <w:rPr>
          <w:rFonts w:hint="eastAsia" w:ascii="ˎ̥" w:hAnsi="ˎ̥" w:eastAsia="宋体" w:cs="宋体"/>
          <w:kern w:val="0"/>
          <w:sz w:val="32"/>
          <w:szCs w:val="32"/>
        </w:rPr>
        <w:t xml:space="preserve"> </w:t>
      </w:r>
    </w:p>
    <w:p>
      <w:pPr>
        <w:pStyle w:val="2"/>
        <w:adjustRightInd w:val="0"/>
        <w:snapToGrid w:val="0"/>
        <w:spacing w:before="93" w:beforeLines="0" w:line="600" w:lineRule="exact"/>
        <w:ind w:firstLine="665" w:firstLineChars="208"/>
        <w:outlineLvl w:val="2"/>
        <w:rPr>
          <w:rFonts w:hint="eastAsia" w:ascii="仿宋" w:eastAsia="仿宋"/>
          <w:bCs/>
          <w:sz w:val="32"/>
          <w:szCs w:val="32"/>
        </w:rPr>
      </w:pPr>
      <w:r>
        <w:rPr>
          <w:rFonts w:hint="eastAsia" w:ascii="仿宋" w:eastAsia="仿宋"/>
          <w:bCs/>
          <w:sz w:val="32"/>
          <w:szCs w:val="32"/>
        </w:rPr>
        <w:t>（二）</w:t>
      </w:r>
      <w:r>
        <w:rPr>
          <w:rFonts w:ascii="仿宋" w:eastAsia="仿宋"/>
          <w:bCs/>
          <w:sz w:val="32"/>
          <w:szCs w:val="32"/>
        </w:rPr>
        <w:t>20</w:t>
      </w:r>
      <w:r>
        <w:rPr>
          <w:rFonts w:hint="eastAsia" w:ascii="仿宋" w:eastAsia="仿宋"/>
          <w:bCs/>
          <w:sz w:val="32"/>
          <w:szCs w:val="32"/>
        </w:rPr>
        <w:t>21年重点工作完成情况。</w:t>
      </w:r>
      <w:bookmarkEnd w:id="18"/>
      <w:bookmarkEnd w:id="19"/>
    </w:p>
    <w:p>
      <w:pPr>
        <w:rPr>
          <w:rFonts w:hint="eastAsia" w:ascii="方正仿宋_GBK" w:hAnsi="方正仿宋_GBK" w:eastAsia="方正仿宋_GBK" w:cs="方正仿宋_GBK"/>
          <w:sz w:val="32"/>
          <w:szCs w:val="32"/>
        </w:rPr>
      </w:pPr>
      <w:bookmarkStart w:id="20" w:name="_Toc15377200"/>
      <w:bookmarkStart w:id="21" w:name="_Toc15396601"/>
      <w:r>
        <w:rPr>
          <w:rFonts w:hint="eastAsia" w:ascii="方正仿宋_GBK" w:hAnsi="方正仿宋_GBK" w:eastAsia="方正仿宋_GBK" w:cs="方正仿宋_GBK"/>
          <w:b/>
          <w:bCs/>
          <w:sz w:val="32"/>
          <w:szCs w:val="32"/>
        </w:rPr>
        <w:t>一是</w:t>
      </w:r>
      <w:r>
        <w:rPr>
          <w:rFonts w:hint="eastAsia" w:ascii="方正仿宋_GBK" w:hAnsi="方正仿宋_GBK" w:eastAsia="方正仿宋_GBK" w:cs="方正仿宋_GBK"/>
          <w:sz w:val="32"/>
          <w:szCs w:val="32"/>
        </w:rPr>
        <w:t>持续不断拓展政务联络内涵外延，在加强与国家部委局和省直部门的联系联络为阿坝经济社会发展争取政策、项目、资金支持的同时加强与文化艺术、科学技术、社会科学、经济、工商、农业、教育、医药卫生等界别的联系联络，为阿坝经济社会发展增添助力，重点做好了州委、州政府领导到国家民委、交通运输部、农业农村部、林业和草原局等部委汇报工作的联络协调和后勤保障工作看，高质量完成了全国“两会”、省“两会”、全省文化旅游大会等重大节会服务工作，全力做好了州级领导在京、在蓉开展公务活动的后勤保障等工作。</w:t>
      </w:r>
      <w:r>
        <w:rPr>
          <w:rFonts w:hint="eastAsia" w:ascii="方正仿宋_GBK" w:hAnsi="方正仿宋_GBK" w:eastAsia="方正仿宋_GBK" w:cs="方正仿宋_GBK"/>
          <w:b/>
          <w:bCs/>
          <w:sz w:val="32"/>
          <w:szCs w:val="32"/>
        </w:rPr>
        <w:t>二是</w:t>
      </w:r>
      <w:r>
        <w:rPr>
          <w:rFonts w:hint="eastAsia" w:ascii="方正仿宋_GBK" w:hAnsi="方正仿宋_GBK" w:eastAsia="方正仿宋_GBK" w:cs="方正仿宋_GBK"/>
          <w:sz w:val="32"/>
          <w:szCs w:val="32"/>
        </w:rPr>
        <w:t>全面推进地域间合作及资促进，加强与州、县（市）招商引资部门和“飞地”园区的沟通联系摸清产业发展需求，加大市场特别是各行业龙头企业的投资意向调研力度建立企业联系库，通过发放宣传资料、图册、光盘、电子影音文件等资料加大宣传推介力度，加大对我处已引进项目的跟踪服务，积极组织参加首届中国城市文化发展大会、2021年四川建筑企业走进京津冀（雄安）展示推介会、川货进京等专项活动。</w:t>
      </w:r>
      <w:r>
        <w:rPr>
          <w:rFonts w:hint="eastAsia" w:ascii="方正仿宋_GBK" w:hAnsi="方正仿宋_GBK" w:eastAsia="方正仿宋_GBK" w:cs="方正仿宋_GBK"/>
          <w:b/>
          <w:bCs/>
          <w:sz w:val="32"/>
          <w:szCs w:val="32"/>
        </w:rPr>
        <w:t>三是</w:t>
      </w:r>
      <w:r>
        <w:rPr>
          <w:rFonts w:hint="eastAsia" w:ascii="方正仿宋_GBK" w:hAnsi="方正仿宋_GBK" w:eastAsia="方正仿宋_GBK" w:cs="方正仿宋_GBK"/>
          <w:sz w:val="32"/>
          <w:szCs w:val="32"/>
        </w:rPr>
        <w:t>坚持按照“属地管理、分级负责，谁主管、谁负责，依法、及时、就地解决问题与疏导教育相结合”的工作原则，不断完善信访维稳工作机制、落实责任、改进工作方法，在做好省信访接待点值班值守的同时，重点统筹做好全国“两会”、省“两会”、十九届六中全会等重点敏感时段的信访维稳工作，加强建党100周年驻京驻蓉信访安全保障工作，全年接访154批268人次，1名工作人员被省委省政府评为信访工作先进个人。</w:t>
      </w:r>
      <w:r>
        <w:rPr>
          <w:rFonts w:hint="eastAsia" w:ascii="方正仿宋_GBK" w:hAnsi="方正仿宋_GBK" w:eastAsia="方正仿宋_GBK" w:cs="方正仿宋_GBK"/>
          <w:b/>
          <w:bCs/>
          <w:sz w:val="32"/>
          <w:szCs w:val="32"/>
        </w:rPr>
        <w:t>四是</w:t>
      </w:r>
      <w:r>
        <w:rPr>
          <w:rFonts w:hint="eastAsia" w:ascii="方正仿宋_GBK" w:hAnsi="方正仿宋_GBK" w:eastAsia="方正仿宋_GBK" w:cs="方正仿宋_GBK"/>
          <w:sz w:val="32"/>
          <w:szCs w:val="32"/>
        </w:rPr>
        <w:t>加强人员培训和物防技防措施，扎实做好机要文件收发和呈送工作，确保了机要密码工作“零失误”。</w:t>
      </w:r>
      <w:r>
        <w:rPr>
          <w:rFonts w:hint="eastAsia" w:ascii="方正仿宋_GBK" w:hAnsi="方正仿宋_GBK" w:eastAsia="方正仿宋_GBK" w:cs="方正仿宋_GBK"/>
          <w:b/>
          <w:bCs/>
          <w:sz w:val="32"/>
          <w:szCs w:val="32"/>
        </w:rPr>
        <w:t>五是</w:t>
      </w:r>
      <w:r>
        <w:rPr>
          <w:rFonts w:hint="eastAsia" w:ascii="方正仿宋_GBK" w:hAnsi="方正仿宋_GBK" w:eastAsia="方正仿宋_GBK" w:cs="方正仿宋_GBK"/>
          <w:sz w:val="32"/>
          <w:szCs w:val="32"/>
        </w:rPr>
        <w:t>做好在京、在蓉农民工整体摸底，建立农民工服务保障机制，为我州群众（特别是州籍农民工）在驻地区域内就业、工作、生活、学习、就医等方面遇到的困难及时给予帮助，慰问帮扶困难农民工37名。</w:t>
      </w:r>
      <w:r>
        <w:rPr>
          <w:rFonts w:hint="eastAsia" w:ascii="方正仿宋_GBK" w:hAnsi="方正仿宋_GBK" w:eastAsia="方正仿宋_GBK" w:cs="方正仿宋_GBK"/>
          <w:b/>
          <w:bCs/>
          <w:sz w:val="32"/>
          <w:szCs w:val="32"/>
        </w:rPr>
        <w:t>六是</w:t>
      </w:r>
      <w:r>
        <w:rPr>
          <w:rFonts w:hint="eastAsia" w:ascii="方正仿宋_GBK" w:hAnsi="方正仿宋_GBK" w:eastAsia="方正仿宋_GBK" w:cs="方正仿宋_GBK"/>
          <w:sz w:val="32"/>
          <w:szCs w:val="32"/>
        </w:rPr>
        <w:t>加强对阿坝州籍在外商会、在外企业的服务指导工作，切实维护州籍企业合法权益。</w:t>
      </w:r>
      <w:r>
        <w:rPr>
          <w:rFonts w:hint="eastAsia" w:ascii="方正仿宋_GBK" w:hAnsi="方正仿宋_GBK" w:eastAsia="方正仿宋_GBK" w:cs="方正仿宋_GBK"/>
          <w:b/>
          <w:bCs/>
          <w:sz w:val="32"/>
          <w:szCs w:val="32"/>
        </w:rPr>
        <w:t>七是</w:t>
      </w:r>
      <w:r>
        <w:rPr>
          <w:rFonts w:hint="eastAsia" w:ascii="方正仿宋_GBK" w:hAnsi="方正仿宋_GBK" w:eastAsia="方正仿宋_GBK" w:cs="方正仿宋_GBK"/>
          <w:sz w:val="32"/>
          <w:szCs w:val="32"/>
        </w:rPr>
        <w:t>切实做好“两联一进”群众全覆工作，在“联寺联僧”中强化思想沟通、感情联络和法律宣传、政策宣讲，不断增进僧尼对党和政府的认同感和信任感；在“联户联情”工作中强化基层组织建设、矛盾纠纷化解，解决民生问题和困难。</w:t>
      </w:r>
      <w:r>
        <w:rPr>
          <w:rFonts w:hint="eastAsia" w:ascii="方正仿宋_GBK" w:hAnsi="方正仿宋_GBK" w:eastAsia="方正仿宋_GBK" w:cs="方正仿宋_GBK"/>
          <w:b/>
          <w:bCs/>
          <w:sz w:val="32"/>
          <w:szCs w:val="32"/>
        </w:rPr>
        <w:t>八是</w:t>
      </w:r>
      <w:r>
        <w:rPr>
          <w:rFonts w:hint="eastAsia" w:ascii="方正仿宋_GBK" w:hAnsi="方正仿宋_GBK" w:eastAsia="方正仿宋_GBK" w:cs="方正仿宋_GBK"/>
          <w:sz w:val="32"/>
          <w:szCs w:val="32"/>
        </w:rPr>
        <w:t>扎实做好脱贫攻坚与乡村振兴有效衔接工作，继续加强对驻村工作人员的工作支持，配合驻村工作组做好若尔盖县麦溪乡幕村产业发展、基础设施建设等规划，主动寻项目、找资金为该村脱贫奔小康添砖加瓦。</w:t>
      </w:r>
      <w:r>
        <w:rPr>
          <w:rFonts w:hint="eastAsia" w:ascii="方正仿宋_GBK" w:hAnsi="方正仿宋_GBK" w:eastAsia="方正仿宋_GBK" w:cs="方正仿宋_GBK"/>
          <w:b/>
          <w:bCs/>
          <w:sz w:val="32"/>
          <w:szCs w:val="32"/>
        </w:rPr>
        <w:t>九是</w:t>
      </w:r>
      <w:r>
        <w:rPr>
          <w:rFonts w:hint="eastAsia" w:ascii="方正仿宋_GBK" w:hAnsi="方正仿宋_GBK" w:eastAsia="方正仿宋_GBK" w:cs="方正仿宋_GBK"/>
          <w:sz w:val="32"/>
          <w:szCs w:val="32"/>
        </w:rPr>
        <w:t>做好新冠疫情防控工作，在落实疫情防控工作相关规定常态化开展好本单位疫情防控工作的同时协助州疫情防控指挥部做好防疫物资采购、转运等工作。</w:t>
      </w:r>
    </w:p>
    <w:p>
      <w:pPr>
        <w:pStyle w:val="4"/>
        <w:rPr>
          <w:rStyle w:val="17"/>
          <w:b w:val="0"/>
          <w:bCs w:val="0"/>
        </w:rPr>
      </w:pPr>
      <w:r>
        <w:rPr>
          <w:rFonts w:hint="eastAsia" w:ascii="黑体" w:eastAsia="黑体"/>
          <w:b w:val="0"/>
        </w:rPr>
        <w:t>二、机</w:t>
      </w:r>
      <w:r>
        <w:rPr>
          <w:rStyle w:val="17"/>
          <w:rFonts w:hint="eastAsia" w:ascii="黑体" w:eastAsia="黑体"/>
          <w:b w:val="0"/>
          <w:bCs w:val="0"/>
        </w:rPr>
        <w:t>构设置</w:t>
      </w:r>
      <w:bookmarkEnd w:id="20"/>
      <w:bookmarkEnd w:id="21"/>
    </w:p>
    <w:p>
      <w:pPr>
        <w:ind w:firstLine="800" w:firstLineChars="250"/>
        <w:rPr>
          <w:rFonts w:ascii="仿宋" w:eastAsia="仿宋"/>
          <w:sz w:val="32"/>
          <w:szCs w:val="32"/>
        </w:rPr>
      </w:pPr>
      <w:r>
        <w:rPr>
          <w:rFonts w:hint="eastAsia" w:ascii="仿宋" w:eastAsia="仿宋"/>
          <w:sz w:val="32"/>
          <w:szCs w:val="32"/>
        </w:rPr>
        <w:t>阿坝州政府驻北京联络处下属二级单位</w:t>
      </w:r>
      <w:r>
        <w:rPr>
          <w:rFonts w:hint="eastAsia" w:ascii="仿宋" w:eastAsia="仿宋"/>
          <w:sz w:val="32"/>
          <w:szCs w:val="32"/>
          <w:lang w:val="en-US" w:eastAsia="zh-CN"/>
        </w:rPr>
        <w:t>0</w:t>
      </w:r>
      <w:r>
        <w:rPr>
          <w:rFonts w:hint="eastAsia" w:ascii="仿宋" w:eastAsia="仿宋"/>
          <w:sz w:val="32"/>
          <w:szCs w:val="32"/>
        </w:rPr>
        <w:t>个，其中行政单位</w:t>
      </w:r>
      <w:r>
        <w:rPr>
          <w:rFonts w:hint="eastAsia" w:ascii="仿宋" w:eastAsia="仿宋"/>
          <w:sz w:val="32"/>
          <w:szCs w:val="32"/>
          <w:lang w:val="en-US" w:eastAsia="zh-CN"/>
        </w:rPr>
        <w:t>0</w:t>
      </w:r>
      <w:r>
        <w:rPr>
          <w:rFonts w:hint="eastAsia" w:ascii="仿宋" w:eastAsia="仿宋"/>
          <w:sz w:val="32"/>
          <w:szCs w:val="32"/>
        </w:rPr>
        <w:t>个，参照公务员法管理的事业单位</w:t>
      </w:r>
      <w:r>
        <w:rPr>
          <w:rFonts w:hint="eastAsia" w:ascii="仿宋" w:eastAsia="仿宋"/>
          <w:bCs/>
          <w:sz w:val="32"/>
          <w:szCs w:val="32"/>
          <w:lang w:val="en-US" w:eastAsia="zh-CN"/>
        </w:rPr>
        <w:t>1</w:t>
      </w:r>
      <w:r>
        <w:rPr>
          <w:rFonts w:hint="eastAsia" w:ascii="仿宋" w:eastAsia="仿宋"/>
          <w:sz w:val="32"/>
          <w:szCs w:val="32"/>
        </w:rPr>
        <w:t>个，其他事业单位</w:t>
      </w:r>
      <w:r>
        <w:rPr>
          <w:rFonts w:hint="eastAsia" w:ascii="仿宋" w:eastAsia="仿宋"/>
          <w:sz w:val="32"/>
          <w:szCs w:val="32"/>
          <w:lang w:val="en-US" w:eastAsia="zh-CN"/>
        </w:rPr>
        <w:t>0</w:t>
      </w:r>
      <w:r>
        <w:rPr>
          <w:rFonts w:hint="eastAsia" w:ascii="仿宋" w:eastAsia="仿宋"/>
          <w:sz w:val="32"/>
          <w:szCs w:val="32"/>
        </w:rPr>
        <w:t>个。</w:t>
      </w:r>
    </w:p>
    <w:p>
      <w:pPr>
        <w:widowControl/>
        <w:jc w:val="left"/>
        <w:rPr>
          <w:rFonts w:ascii="仿宋" w:eastAsia="仿宋"/>
          <w:kern w:val="0"/>
          <w:sz w:val="32"/>
          <w:szCs w:val="32"/>
        </w:rPr>
      </w:pPr>
      <w:r>
        <w:rPr>
          <w:rFonts w:ascii="仿宋" w:eastAsia="仿宋"/>
          <w:sz w:val="32"/>
          <w:szCs w:val="32"/>
        </w:rPr>
        <w:br w:type="page"/>
      </w:r>
    </w:p>
    <w:p>
      <w:pPr>
        <w:pStyle w:val="3"/>
        <w:ind w:right="440"/>
        <w:jc w:val="center"/>
        <w:rPr>
          <w:rStyle w:val="16"/>
          <w:rFonts w:ascii="黑体" w:eastAsia="黑体"/>
          <w:b w:val="0"/>
          <w:bCs/>
        </w:rPr>
      </w:pPr>
      <w:bookmarkStart w:id="22" w:name="_Toc15377204"/>
      <w:bookmarkStart w:id="23" w:name="_Toc15396602"/>
      <w:r>
        <w:rPr>
          <w:rFonts w:hint="eastAsia" w:ascii="黑体" w:eastAsia="黑体"/>
          <w:b w:val="0"/>
        </w:rPr>
        <w:t>第二部分 2021年度</w:t>
      </w:r>
      <w:r>
        <w:rPr>
          <w:rStyle w:val="16"/>
          <w:rFonts w:hint="eastAsia" w:ascii="黑体" w:eastAsia="黑体"/>
          <w:b w:val="0"/>
          <w:bCs/>
        </w:rPr>
        <w:t>部门决算情况说明</w:t>
      </w:r>
      <w:bookmarkEnd w:id="22"/>
      <w:bookmarkEnd w:id="23"/>
    </w:p>
    <w:p/>
    <w:p>
      <w:pPr>
        <w:pStyle w:val="22"/>
        <w:numPr>
          <w:ilvl w:val="0"/>
          <w:numId w:val="1"/>
        </w:numPr>
        <w:spacing w:line="600" w:lineRule="exact"/>
        <w:ind w:firstLineChars="0"/>
        <w:outlineLvl w:val="1"/>
        <w:rPr>
          <w:rStyle w:val="17"/>
          <w:rFonts w:ascii="黑体" w:eastAsia="黑体"/>
          <w:b w:val="0"/>
        </w:rPr>
      </w:pPr>
      <w:bookmarkStart w:id="24" w:name="_Toc15396603"/>
      <w:bookmarkStart w:id="25" w:name="_Toc15377205"/>
      <w:r>
        <w:rPr>
          <w:rFonts w:hint="eastAsia" w:ascii="黑体" w:eastAsia="黑体"/>
          <w:sz w:val="32"/>
          <w:szCs w:val="32"/>
        </w:rPr>
        <w:t>收</w:t>
      </w:r>
      <w:r>
        <w:rPr>
          <w:rStyle w:val="17"/>
          <w:rFonts w:hint="eastAsia" w:ascii="黑体" w:eastAsia="黑体"/>
          <w:b w:val="0"/>
        </w:rPr>
        <w:t>入支出决算总体情况说明</w:t>
      </w:r>
      <w:bookmarkEnd w:id="24"/>
      <w:bookmarkEnd w:id="25"/>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rPr>
        <w:t>2021年度收、支总计</w:t>
      </w:r>
      <w:r>
        <w:rPr>
          <w:rFonts w:hint="eastAsia" w:ascii="仿宋" w:eastAsia="仿宋"/>
          <w:sz w:val="32"/>
          <w:szCs w:val="32"/>
          <w:lang w:val="en-US" w:eastAsia="zh-CN"/>
        </w:rPr>
        <w:t>1262.57</w:t>
      </w:r>
      <w:r>
        <w:rPr>
          <w:rFonts w:hint="eastAsia" w:ascii="仿宋" w:eastAsia="仿宋"/>
          <w:sz w:val="32"/>
          <w:szCs w:val="32"/>
        </w:rPr>
        <w:t>万元。与2020年相比，收、支总计各增加</w:t>
      </w:r>
      <w:r>
        <w:rPr>
          <w:rFonts w:hint="eastAsia" w:ascii="仿宋" w:eastAsia="仿宋"/>
          <w:sz w:val="32"/>
          <w:szCs w:val="32"/>
          <w:lang w:val="en-US" w:eastAsia="zh-CN"/>
        </w:rPr>
        <w:t>166.72</w:t>
      </w:r>
      <w:r>
        <w:rPr>
          <w:rFonts w:hint="eastAsia" w:ascii="仿宋" w:eastAsia="仿宋"/>
          <w:sz w:val="32"/>
          <w:szCs w:val="32"/>
        </w:rPr>
        <w:t>万元，增长</w:t>
      </w:r>
      <w:r>
        <w:rPr>
          <w:rFonts w:hint="eastAsia" w:ascii="仿宋" w:eastAsia="仿宋"/>
          <w:sz w:val="32"/>
          <w:szCs w:val="32"/>
          <w:lang w:val="en-US" w:eastAsia="zh-CN"/>
        </w:rPr>
        <w:t>15.21</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val="en-US" w:eastAsia="zh-CN"/>
        </w:rPr>
        <w:t>2021增加北京办公区办公家具家电购买。</w:t>
      </w:r>
    </w:p>
    <w:p>
      <w:pPr>
        <w:pStyle w:val="2"/>
        <w:rPr>
          <w:rFonts w:hint="default"/>
          <w:lang w:val="en-US" w:eastAsia="zh-CN"/>
        </w:rPr>
      </w:pPr>
      <w:r>
        <w:rPr>
          <w:rFonts w:hint="eastAsia" w:ascii="仿宋_GB2312" w:eastAsia="仿宋_GB2312" w:cs="宋体"/>
          <w:kern w:val="0"/>
          <w:sz w:val="24"/>
          <w:lang w:eastAsia="zh-CN" w:bidi="ar-SA"/>
        </w:rPr>
        <w:drawing>
          <wp:anchor distT="0" distB="0" distL="114300" distR="114300" simplePos="0" relativeHeight="251659264" behindDoc="0" locked="0" layoutInCell="1" allowOverlap="1">
            <wp:simplePos x="0" y="0"/>
            <wp:positionH relativeFrom="column">
              <wp:posOffset>443230</wp:posOffset>
            </wp:positionH>
            <wp:positionV relativeFrom="paragraph">
              <wp:posOffset>255270</wp:posOffset>
            </wp:positionV>
            <wp:extent cx="5027295" cy="2786380"/>
            <wp:effectExtent l="4445" t="4445" r="16510" b="952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eastAsia="仿宋"/>
          <w:sz w:val="32"/>
          <w:szCs w:val="32"/>
          <w:lang w:val="en-US" w:eastAsia="zh-CN"/>
        </w:rPr>
        <w:t xml:space="preserve">  </w:t>
      </w:r>
    </w:p>
    <w:p>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spacing w:line="600" w:lineRule="exact"/>
        <w:ind w:firstLine="640" w:firstLineChars="200"/>
        <w:jc w:val="left"/>
        <w:rPr>
          <w:rFonts w:ascii="仿宋_GB2312" w:eastAsia="仿宋_GB2312"/>
          <w:sz w:val="32"/>
          <w:szCs w:val="32"/>
        </w:rPr>
      </w:pPr>
    </w:p>
    <w:p>
      <w:pPr>
        <w:pStyle w:val="22"/>
        <w:numPr>
          <w:ilvl w:val="0"/>
          <w:numId w:val="1"/>
        </w:numPr>
        <w:spacing w:line="600" w:lineRule="exact"/>
        <w:ind w:firstLineChars="0"/>
        <w:outlineLvl w:val="1"/>
        <w:rPr>
          <w:rStyle w:val="17"/>
          <w:rFonts w:ascii="黑体" w:eastAsia="黑体"/>
          <w:b w:val="0"/>
        </w:rPr>
      </w:pPr>
      <w:bookmarkStart w:id="26" w:name="_Toc15377206"/>
      <w:bookmarkStart w:id="27" w:name="_Toc15396604"/>
      <w:r>
        <w:rPr>
          <w:rFonts w:hint="eastAsia" w:ascii="黑体" w:eastAsia="黑体"/>
          <w:sz w:val="32"/>
          <w:szCs w:val="32"/>
        </w:rPr>
        <w:t>收</w:t>
      </w:r>
      <w:r>
        <w:rPr>
          <w:rStyle w:val="17"/>
          <w:rFonts w:hint="eastAsia" w:ascii="黑体" w:eastAsia="黑体"/>
          <w:b w:val="0"/>
        </w:rPr>
        <w:t>入决算情况说明</w:t>
      </w:r>
      <w:bookmarkEnd w:id="26"/>
      <w:bookmarkEnd w:id="27"/>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1048.56</w:t>
      </w:r>
      <w:r>
        <w:rPr>
          <w:rFonts w:hint="eastAsia" w:ascii="仿宋" w:eastAsia="仿宋"/>
          <w:sz w:val="32"/>
          <w:szCs w:val="32"/>
        </w:rPr>
        <w:t>万元，其中：一般公共预算财政拨款收入</w:t>
      </w:r>
      <w:r>
        <w:rPr>
          <w:rFonts w:hint="eastAsia" w:ascii="仿宋" w:eastAsia="仿宋"/>
          <w:sz w:val="32"/>
          <w:szCs w:val="32"/>
          <w:lang w:val="en-US" w:eastAsia="zh-CN"/>
        </w:rPr>
        <w:t>1048.56</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spacing w:line="600" w:lineRule="exact"/>
        <w:ind w:firstLine="643" w:firstLineChars="200"/>
        <w:outlineLvl w:val="1"/>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01表</w:t>
      </w:r>
      <w:r>
        <w:rPr>
          <w:rFonts w:hint="eastAsia" w:ascii="仿宋" w:eastAsia="仿宋"/>
          <w:b/>
          <w:sz w:val="32"/>
          <w:szCs w:val="32"/>
        </w:rPr>
        <w:t>，仅罗列本部门涉及的收入。</w:t>
      </w:r>
      <w:r>
        <w:rPr>
          <w:rFonts w:ascii="仿宋" w:eastAsia="仿宋"/>
          <w:b/>
          <w:sz w:val="32"/>
          <w:szCs w:val="32"/>
        </w:rPr>
        <w:t>）</w:t>
      </w:r>
    </w:p>
    <w:p>
      <w:pPr>
        <w:spacing w:line="600" w:lineRule="exact"/>
        <w:ind w:firstLine="640" w:firstLineChars="200"/>
        <w:outlineLvl w:val="1"/>
        <w:rPr>
          <w:rFonts w:ascii="仿宋" w:eastAsia="仿宋"/>
          <w:sz w:val="32"/>
          <w:szCs w:val="32"/>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1014095</wp:posOffset>
            </wp:positionH>
            <wp:positionV relativeFrom="paragraph">
              <wp:posOffset>33020</wp:posOffset>
            </wp:positionV>
            <wp:extent cx="3785870" cy="2427605"/>
            <wp:effectExtent l="4445" t="4445" r="19685" b="635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eastAsia="仿宋"/>
          <w:sz w:val="32"/>
          <w:szCs w:val="32"/>
        </w:rPr>
      </w:pPr>
      <w:r>
        <w:rPr>
          <w:rFonts w:hint="eastAsia" w:ascii="仿宋" w:eastAsia="仿宋"/>
          <w:sz w:val="32"/>
          <w:szCs w:val="32"/>
        </w:rPr>
        <w:t>（图2：收入决算结构图）（饼状图）</w:t>
      </w:r>
    </w:p>
    <w:p>
      <w:pPr>
        <w:spacing w:line="600" w:lineRule="exact"/>
        <w:ind w:firstLine="640" w:firstLineChars="200"/>
        <w:rPr>
          <w:rFonts w:ascii="仿宋_GB2312" w:eastAsia="仿宋_GB2312"/>
          <w:sz w:val="32"/>
          <w:szCs w:val="32"/>
        </w:rPr>
      </w:pPr>
    </w:p>
    <w:p>
      <w:pPr>
        <w:pStyle w:val="22"/>
        <w:numPr>
          <w:ilvl w:val="0"/>
          <w:numId w:val="1"/>
        </w:numPr>
        <w:spacing w:line="600" w:lineRule="exact"/>
        <w:ind w:firstLineChars="0"/>
        <w:outlineLvl w:val="1"/>
        <w:rPr>
          <w:rStyle w:val="17"/>
          <w:rFonts w:ascii="黑体" w:eastAsia="黑体"/>
          <w:b w:val="0"/>
        </w:rPr>
      </w:pPr>
      <w:bookmarkStart w:id="28" w:name="_Toc15377207"/>
      <w:bookmarkStart w:id="29" w:name="_Toc15396605"/>
      <w:r>
        <w:rPr>
          <w:rFonts w:hint="eastAsia" w:ascii="黑体" w:eastAsia="黑体"/>
          <w:sz w:val="32"/>
          <w:szCs w:val="32"/>
        </w:rPr>
        <w:t>支</w:t>
      </w:r>
      <w:r>
        <w:rPr>
          <w:rStyle w:val="17"/>
          <w:rFonts w:hint="eastAsia" w:ascii="黑体" w:eastAsia="黑体"/>
          <w:b w:val="0"/>
        </w:rPr>
        <w:t>出决算情况说明</w:t>
      </w:r>
      <w:bookmarkEnd w:id="28"/>
      <w:bookmarkEnd w:id="29"/>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1261.63</w:t>
      </w:r>
      <w:r>
        <w:rPr>
          <w:rFonts w:hint="eastAsia" w:ascii="仿宋" w:eastAsia="仿宋"/>
          <w:sz w:val="32"/>
          <w:szCs w:val="32"/>
        </w:rPr>
        <w:t>万元，其中：基本支出</w:t>
      </w:r>
      <w:r>
        <w:rPr>
          <w:rFonts w:hint="eastAsia" w:ascii="仿宋" w:eastAsia="仿宋"/>
          <w:sz w:val="32"/>
          <w:szCs w:val="32"/>
          <w:lang w:val="en-US" w:eastAsia="zh-CN"/>
        </w:rPr>
        <w:t>1051.81</w:t>
      </w:r>
      <w:r>
        <w:rPr>
          <w:rFonts w:hint="eastAsia" w:ascii="仿宋" w:eastAsia="仿宋"/>
          <w:sz w:val="32"/>
          <w:szCs w:val="32"/>
        </w:rPr>
        <w:t>万元，占</w:t>
      </w:r>
      <w:r>
        <w:rPr>
          <w:rFonts w:hint="eastAsia" w:ascii="仿宋" w:eastAsia="仿宋"/>
          <w:sz w:val="32"/>
          <w:szCs w:val="32"/>
          <w:lang w:val="en-US" w:eastAsia="zh-CN"/>
        </w:rPr>
        <w:t>83.37</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209.83</w:t>
      </w:r>
      <w:r>
        <w:rPr>
          <w:rFonts w:hint="eastAsia" w:ascii="仿宋" w:eastAsia="仿宋"/>
          <w:sz w:val="32"/>
          <w:szCs w:val="32"/>
        </w:rPr>
        <w:t>万元，占</w:t>
      </w:r>
      <w:r>
        <w:rPr>
          <w:rFonts w:hint="eastAsia" w:ascii="仿宋" w:eastAsia="仿宋"/>
          <w:sz w:val="32"/>
          <w:szCs w:val="32"/>
          <w:lang w:val="en-US" w:eastAsia="zh-CN"/>
        </w:rPr>
        <w:t>16.63</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spacing w:line="600" w:lineRule="exact"/>
        <w:ind w:firstLine="643" w:firstLineChars="200"/>
        <w:outlineLvl w:val="1"/>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04</w:t>
      </w:r>
      <w:r>
        <w:rPr>
          <w:rFonts w:hint="eastAsia" w:ascii="仿宋" w:eastAsia="仿宋"/>
          <w:b/>
          <w:sz w:val="32"/>
          <w:szCs w:val="32"/>
        </w:rPr>
        <w:t>表，仅罗列本部门涉及的支出。）</w:t>
      </w:r>
    </w:p>
    <w:p>
      <w:pPr>
        <w:spacing w:line="600" w:lineRule="exact"/>
        <w:ind w:firstLine="640"/>
        <w:rPr>
          <w:rFonts w:ascii="仿宋" w:eastAsia="仿宋"/>
          <w:sz w:val="32"/>
          <w:szCs w:val="32"/>
          <w:shd w:val="pct10" w:color="auto" w:fill="FFFFFF"/>
        </w:rPr>
      </w:pPr>
      <w:r>
        <w:rPr>
          <w:rFonts w:hint="eastAsia" w:ascii="仿宋" w:hAnsi="仿宋" w:eastAsia="仿宋"/>
          <w:color w:val="000000"/>
          <w:sz w:val="32"/>
          <w:szCs w:val="32"/>
          <w:shd w:val="pct10" w:color="auto" w:fill="FFFFFF"/>
          <w:lang w:eastAsia="zh-CN"/>
        </w:rPr>
        <w:drawing>
          <wp:anchor distT="0" distB="0" distL="114300" distR="114300" simplePos="0" relativeHeight="251661312" behindDoc="0" locked="0" layoutInCell="1" allowOverlap="1">
            <wp:simplePos x="0" y="0"/>
            <wp:positionH relativeFrom="column">
              <wp:posOffset>614045</wp:posOffset>
            </wp:positionH>
            <wp:positionV relativeFrom="paragraph">
              <wp:posOffset>-8539480</wp:posOffset>
            </wp:positionV>
            <wp:extent cx="4241165" cy="2723515"/>
            <wp:effectExtent l="4445" t="5080" r="21590"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eastAsia="仿宋"/>
          <w:sz w:val="32"/>
          <w:szCs w:val="32"/>
        </w:rPr>
      </w:pPr>
      <w:r>
        <w:rPr>
          <w:rFonts w:hint="eastAsia" w:ascii="仿宋" w:eastAsia="仿宋"/>
          <w:sz w:val="32"/>
          <w:szCs w:val="32"/>
        </w:rPr>
        <w:t>（图3：支出决算结构图）（饼状图）</w:t>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17"/>
          <w:rFonts w:ascii="黑体" w:eastAsia="黑体"/>
          <w:b w:val="0"/>
        </w:rPr>
      </w:pPr>
      <w:bookmarkStart w:id="30" w:name="_Toc15377208"/>
      <w:bookmarkStart w:id="31" w:name="_Toc15396606"/>
      <w:r>
        <w:rPr>
          <w:rFonts w:hint="eastAsia" w:ascii="黑体" w:eastAsia="黑体"/>
          <w:sz w:val="32"/>
          <w:szCs w:val="32"/>
        </w:rPr>
        <w:t>四、财</w:t>
      </w:r>
      <w:r>
        <w:rPr>
          <w:rStyle w:val="17"/>
          <w:rFonts w:hint="eastAsia" w:ascii="黑体" w:eastAsia="黑体"/>
          <w:b w:val="0"/>
        </w:rPr>
        <w:t>政拨款收入支出决算总体情况说明</w:t>
      </w:r>
      <w:bookmarkEnd w:id="30"/>
      <w:bookmarkEnd w:id="31"/>
    </w:p>
    <w:p>
      <w:pPr>
        <w:spacing w:line="600" w:lineRule="exact"/>
        <w:ind w:firstLine="640"/>
        <w:rPr>
          <w:rFonts w:ascii="仿宋" w:eastAsia="仿宋"/>
          <w:b/>
          <w:sz w:val="32"/>
          <w:szCs w:val="32"/>
        </w:rPr>
      </w:pPr>
      <w:r>
        <w:rPr>
          <w:rFonts w:ascii="仿宋" w:eastAsia="仿宋"/>
          <w:sz w:val="32"/>
          <w:szCs w:val="32"/>
        </w:rPr>
        <w:t>20</w:t>
      </w:r>
      <w:r>
        <w:rPr>
          <w:rFonts w:hint="eastAsia" w:ascii="仿宋" w:eastAsia="仿宋"/>
          <w:sz w:val="32"/>
          <w:szCs w:val="32"/>
        </w:rPr>
        <w:t>21年财政拨款收、支总计</w:t>
      </w:r>
      <w:r>
        <w:rPr>
          <w:rFonts w:hint="eastAsia" w:ascii="仿宋" w:eastAsia="仿宋"/>
          <w:sz w:val="32"/>
          <w:szCs w:val="32"/>
          <w:lang w:val="en-US" w:eastAsia="zh-CN"/>
        </w:rPr>
        <w:t>1261.63</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20年相比，财政拨款收、支总计各增加</w:t>
      </w:r>
      <w:r>
        <w:rPr>
          <w:rFonts w:hint="eastAsia" w:ascii="仿宋" w:eastAsia="仿宋"/>
          <w:sz w:val="32"/>
          <w:szCs w:val="32"/>
          <w:lang w:val="en-US" w:eastAsia="zh-CN"/>
        </w:rPr>
        <w:t>166.72</w:t>
      </w:r>
      <w:r>
        <w:rPr>
          <w:rFonts w:hint="eastAsia" w:ascii="仿宋" w:eastAsia="仿宋"/>
          <w:sz w:val="32"/>
          <w:szCs w:val="32"/>
        </w:rPr>
        <w:t>万元，增长</w:t>
      </w:r>
      <w:r>
        <w:rPr>
          <w:rFonts w:hint="eastAsia" w:ascii="仿宋" w:eastAsia="仿宋"/>
          <w:sz w:val="32"/>
          <w:szCs w:val="32"/>
          <w:lang w:val="en-US" w:eastAsia="zh-CN"/>
        </w:rPr>
        <w:t>15.22</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val="en-US" w:eastAsia="zh-CN"/>
        </w:rPr>
        <w:t>2021增加北京办公区办公家具家电购买。</w:t>
      </w:r>
      <w:r>
        <w:rPr>
          <w:rFonts w:hint="eastAsia" w:ascii="仿宋" w:eastAsia="仿宋"/>
          <w:b/>
          <w:sz w:val="32"/>
          <w:szCs w:val="32"/>
        </w:rPr>
        <w:t>（注：数据来源于财决</w:t>
      </w:r>
      <w:r>
        <w:rPr>
          <w:rFonts w:ascii="仿宋" w:eastAsia="仿宋"/>
          <w:b/>
          <w:sz w:val="32"/>
          <w:szCs w:val="32"/>
        </w:rPr>
        <w:t>01-1</w:t>
      </w:r>
      <w:r>
        <w:rPr>
          <w:rFonts w:hint="eastAsia" w:ascii="仿宋" w:eastAsia="仿宋"/>
          <w:b/>
          <w:sz w:val="32"/>
          <w:szCs w:val="32"/>
        </w:rPr>
        <w:t>表</w:t>
      </w:r>
      <w:r>
        <w:rPr>
          <w:rFonts w:ascii="仿宋" w:eastAsia="仿宋"/>
          <w:b/>
          <w:sz w:val="32"/>
          <w:szCs w:val="32"/>
        </w:rPr>
        <w:t>）</w:t>
      </w:r>
    </w:p>
    <w:p>
      <w:pPr>
        <w:spacing w:line="600" w:lineRule="exact"/>
        <w:rPr>
          <w:rFonts w:ascii="仿宋" w:eastAsia="仿宋"/>
          <w:sz w:val="32"/>
          <w:szCs w:val="32"/>
        </w:rPr>
      </w:pPr>
      <w:r>
        <w:rPr>
          <w:rFonts w:hint="eastAsia" w:ascii="仿宋_GB2312" w:eastAsia="仿宋_GB2312" w:cs="宋体"/>
          <w:kern w:val="0"/>
          <w:sz w:val="24"/>
          <w:lang w:eastAsia="zh-CN" w:bidi="ar-SA"/>
        </w:rPr>
        <w:drawing>
          <wp:anchor distT="0" distB="0" distL="114300" distR="114300" simplePos="0" relativeHeight="251662336" behindDoc="0" locked="0" layoutInCell="1" allowOverlap="1">
            <wp:simplePos x="0" y="0"/>
            <wp:positionH relativeFrom="column">
              <wp:posOffset>242570</wp:posOffset>
            </wp:positionH>
            <wp:positionV relativeFrom="paragraph">
              <wp:posOffset>184785</wp:posOffset>
            </wp:positionV>
            <wp:extent cx="5027295" cy="2786380"/>
            <wp:effectExtent l="4445" t="4445" r="16510" b="952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 w:eastAsia="仿宋"/>
          <w:sz w:val="32"/>
          <w:szCs w:val="32"/>
        </w:rPr>
      </w:pPr>
      <w:r>
        <w:rPr>
          <w:rFonts w:hint="eastAsia" w:ascii="仿宋" w:eastAsia="仿宋"/>
          <w:sz w:val="32"/>
          <w:szCs w:val="32"/>
        </w:rPr>
        <w:t>（图4：财政拨款收、支决算总计变动情况）（柱状图）</w:t>
      </w:r>
    </w:p>
    <w:p>
      <w:pPr>
        <w:spacing w:line="600" w:lineRule="exact"/>
        <w:ind w:firstLine="640"/>
        <w:rPr>
          <w:rFonts w:ascii="仿宋" w:eastAsia="仿宋"/>
          <w:b/>
          <w:sz w:val="32"/>
          <w:szCs w:val="32"/>
        </w:rPr>
      </w:pPr>
    </w:p>
    <w:p>
      <w:pPr>
        <w:spacing w:line="600" w:lineRule="exact"/>
        <w:ind w:firstLine="640" w:firstLineChars="200"/>
        <w:outlineLvl w:val="1"/>
        <w:rPr>
          <w:rStyle w:val="17"/>
          <w:rFonts w:ascii="黑体" w:eastAsia="黑体"/>
          <w:b w:val="0"/>
        </w:rPr>
      </w:pPr>
      <w:bookmarkStart w:id="32" w:name="_Toc15377209"/>
      <w:bookmarkStart w:id="33" w:name="_Toc15396607"/>
      <w:r>
        <w:rPr>
          <w:rFonts w:hint="eastAsia" w:ascii="黑体" w:eastAsia="黑体"/>
          <w:sz w:val="32"/>
          <w:szCs w:val="32"/>
        </w:rPr>
        <w:t>五、</w:t>
      </w:r>
      <w:r>
        <w:rPr>
          <w:rFonts w:hint="eastAsia" w:ascii="黑体" w:eastAsia="黑体"/>
          <w:b/>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sz w:val="32"/>
          <w:szCs w:val="32"/>
        </w:rPr>
      </w:pPr>
      <w:bookmarkStart w:id="34" w:name="_Toc15377210"/>
      <w:r>
        <w:rPr>
          <w:rFonts w:hint="eastAsia" w:ascii="仿宋" w:eastAsia="仿宋"/>
          <w:b/>
          <w:sz w:val="32"/>
          <w:szCs w:val="32"/>
        </w:rPr>
        <w:t>（一）一般公共预算财政拨款支出决算总体情况</w:t>
      </w:r>
      <w:bookmarkEnd w:id="34"/>
    </w:p>
    <w:p>
      <w:pPr>
        <w:spacing w:line="600" w:lineRule="exact"/>
        <w:ind w:firstLine="640" w:firstLineChars="200"/>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1261.63</w:t>
      </w:r>
      <w:r>
        <w:rPr>
          <w:rFonts w:hint="eastAsia" w:ascii="仿宋" w:eastAsia="仿宋"/>
          <w:sz w:val="32"/>
          <w:szCs w:val="32"/>
        </w:rPr>
        <w:t>万元，占本年支出合计的</w:t>
      </w:r>
      <w:r>
        <w:rPr>
          <w:rFonts w:hint="eastAsia" w:ascii="仿宋" w:eastAsia="仿宋"/>
          <w:sz w:val="32"/>
          <w:szCs w:val="32"/>
          <w:lang w:val="en-US" w:eastAsia="zh-CN"/>
        </w:rPr>
        <w:t>99.93</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w:t>
      </w:r>
      <w:r>
        <w:rPr>
          <w:rFonts w:hint="eastAsia" w:ascii="仿宋" w:eastAsia="仿宋"/>
          <w:sz w:val="32"/>
          <w:szCs w:val="32"/>
          <w:lang w:val="en-US" w:eastAsia="zh-CN"/>
        </w:rPr>
        <w:t>166.72</w:t>
      </w:r>
      <w:r>
        <w:rPr>
          <w:rFonts w:hint="eastAsia" w:ascii="仿宋" w:eastAsia="仿宋"/>
          <w:sz w:val="32"/>
          <w:szCs w:val="32"/>
        </w:rPr>
        <w:t>万元，增长</w:t>
      </w:r>
      <w:r>
        <w:rPr>
          <w:rFonts w:hint="eastAsia" w:ascii="仿宋" w:eastAsia="仿宋"/>
          <w:sz w:val="32"/>
          <w:szCs w:val="32"/>
          <w:lang w:val="en-US" w:eastAsia="zh-CN"/>
        </w:rPr>
        <w:t>15.22</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val="en-US" w:eastAsia="zh-CN"/>
        </w:rPr>
        <w:t>2021增加北京办公区办公家具家电购买。</w:t>
      </w:r>
    </w:p>
    <w:p>
      <w:pPr>
        <w:pStyle w:val="2"/>
        <w:rPr>
          <w:rFonts w:hint="eastAsia"/>
          <w:lang w:eastAsia="zh-CN"/>
        </w:rPr>
      </w:pPr>
      <w:r>
        <w:rPr>
          <w:rFonts w:hint="eastAsia" w:ascii="仿宋_GB2312" w:eastAsia="仿宋_GB2312" w:cs="宋体"/>
          <w:kern w:val="0"/>
          <w:sz w:val="24"/>
          <w:lang w:eastAsia="zh-CN" w:bidi="ar-SA"/>
        </w:rPr>
        <w:drawing>
          <wp:anchor distT="0" distB="0" distL="114300" distR="114300" simplePos="0" relativeHeight="251663360" behindDoc="0" locked="0" layoutInCell="1" allowOverlap="1">
            <wp:simplePos x="0" y="0"/>
            <wp:positionH relativeFrom="column">
              <wp:posOffset>337820</wp:posOffset>
            </wp:positionH>
            <wp:positionV relativeFrom="paragraph">
              <wp:posOffset>109220</wp:posOffset>
            </wp:positionV>
            <wp:extent cx="5027295" cy="2786380"/>
            <wp:effectExtent l="4445" t="4445" r="16510" b="952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35" w:name="_Toc15377211"/>
      <w:r>
        <w:rPr>
          <w:rFonts w:hint="eastAsia" w:ascii="仿宋" w:eastAsia="仿宋"/>
          <w:b/>
          <w:sz w:val="32"/>
          <w:szCs w:val="32"/>
        </w:rPr>
        <w:t>（二）一般公共预算财政拨款支出决算结构情况</w:t>
      </w:r>
      <w:bookmarkEnd w:id="3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1261.63</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1187.23</w:t>
      </w:r>
      <w:r>
        <w:rPr>
          <w:rFonts w:hint="eastAsia" w:ascii="仿宋" w:eastAsia="仿宋"/>
          <w:sz w:val="32"/>
          <w:szCs w:val="32"/>
        </w:rPr>
        <w:t>万元，占</w:t>
      </w:r>
      <w:r>
        <w:rPr>
          <w:rFonts w:hint="eastAsia" w:ascii="仿宋" w:eastAsia="仿宋"/>
          <w:sz w:val="32"/>
          <w:szCs w:val="32"/>
          <w:lang w:val="en-US" w:eastAsia="zh-CN"/>
        </w:rPr>
        <w:t>94.1</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35.14</w:t>
      </w:r>
      <w:r>
        <w:rPr>
          <w:rFonts w:hint="eastAsia" w:ascii="仿宋" w:eastAsia="仿宋"/>
          <w:sz w:val="32"/>
          <w:szCs w:val="32"/>
        </w:rPr>
        <w:t>万元，占</w:t>
      </w:r>
      <w:r>
        <w:rPr>
          <w:rFonts w:hint="eastAsia" w:ascii="仿宋" w:eastAsia="仿宋"/>
          <w:sz w:val="32"/>
          <w:szCs w:val="32"/>
          <w:lang w:val="en-US" w:eastAsia="zh-CN"/>
        </w:rPr>
        <w:t>2.79</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13.89</w:t>
      </w:r>
      <w:r>
        <w:rPr>
          <w:rFonts w:hint="eastAsia" w:ascii="仿宋" w:eastAsia="仿宋"/>
          <w:sz w:val="32"/>
          <w:szCs w:val="32"/>
        </w:rPr>
        <w:t>万元，占</w:t>
      </w:r>
      <w:r>
        <w:rPr>
          <w:rFonts w:hint="eastAsia" w:ascii="仿宋" w:eastAsia="仿宋"/>
          <w:sz w:val="32"/>
          <w:szCs w:val="32"/>
          <w:lang w:val="en-US" w:eastAsia="zh-CN"/>
        </w:rPr>
        <w:t>1.10</w:t>
      </w:r>
      <w:r>
        <w:rPr>
          <w:rFonts w:ascii="仿宋" w:eastAsia="仿宋"/>
          <w:sz w:val="32"/>
          <w:szCs w:val="32"/>
        </w:rPr>
        <w:t>%</w:t>
      </w:r>
      <w:r>
        <w:rPr>
          <w:rFonts w:hint="eastAsia" w:ascii="仿宋" w:eastAsia="仿宋"/>
          <w:sz w:val="32"/>
          <w:szCs w:val="32"/>
        </w:rPr>
        <w:t>；住房保障支出</w:t>
      </w:r>
      <w:r>
        <w:rPr>
          <w:rFonts w:hint="eastAsia" w:ascii="仿宋" w:eastAsia="仿宋"/>
          <w:sz w:val="32"/>
          <w:szCs w:val="32"/>
          <w:lang w:val="en-US" w:eastAsia="zh-CN"/>
        </w:rPr>
        <w:t>25.37</w:t>
      </w:r>
      <w:r>
        <w:rPr>
          <w:rFonts w:hint="eastAsia" w:ascii="仿宋" w:eastAsia="仿宋"/>
          <w:sz w:val="32"/>
          <w:szCs w:val="32"/>
        </w:rPr>
        <w:t>万元，占</w:t>
      </w:r>
      <w:r>
        <w:rPr>
          <w:rFonts w:hint="eastAsia" w:ascii="仿宋" w:eastAsia="仿宋"/>
          <w:sz w:val="32"/>
          <w:szCs w:val="32"/>
          <w:lang w:val="en-US" w:eastAsia="zh-CN"/>
        </w:rPr>
        <w:t>2.01</w:t>
      </w:r>
      <w:r>
        <w:rPr>
          <w:rFonts w:ascii="仿宋" w:eastAsia="仿宋"/>
          <w:sz w:val="32"/>
          <w:szCs w:val="32"/>
        </w:rPr>
        <w:t>%</w:t>
      </w:r>
      <w:r>
        <w:rPr>
          <w:rFonts w:hint="eastAsia" w:ascii="仿宋" w:eastAsia="仿宋"/>
          <w:sz w:val="32"/>
          <w:szCs w:val="32"/>
        </w:rPr>
        <w:t>。</w:t>
      </w:r>
    </w:p>
    <w:p>
      <w:pPr>
        <w:spacing w:line="600" w:lineRule="exact"/>
        <w:ind w:firstLine="640"/>
        <w:rPr>
          <w:rFonts w:ascii="仿宋" w:eastAsia="仿宋"/>
          <w:b/>
          <w:sz w:val="32"/>
          <w:szCs w:val="32"/>
        </w:rPr>
      </w:pPr>
      <w:r>
        <w:rPr>
          <w:rFonts w:hint="eastAsia" w:ascii="仿宋" w:eastAsia="仿宋"/>
          <w:b/>
          <w:sz w:val="32"/>
          <w:szCs w:val="32"/>
        </w:rPr>
        <w:t>（注：数据来源于财决01-1表，仅罗列本部门涉及的全部功能分类科目，至类级。）</w:t>
      </w:r>
    </w:p>
    <w:p>
      <w:pPr>
        <w:spacing w:line="600" w:lineRule="exact"/>
        <w:ind w:firstLine="640"/>
        <w:rPr>
          <w:rFonts w:ascii="仿宋" w:eastAsia="仿宋"/>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414020</wp:posOffset>
            </wp:positionH>
            <wp:positionV relativeFrom="paragraph">
              <wp:posOffset>194945</wp:posOffset>
            </wp:positionV>
            <wp:extent cx="4993005" cy="3914140"/>
            <wp:effectExtent l="4445" t="4445" r="12700" b="571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36" w:name="_Toc15377212"/>
      <w:r>
        <w:rPr>
          <w:rFonts w:hint="eastAsia" w:ascii="仿宋" w:eastAsia="仿宋"/>
          <w:b/>
          <w:sz w:val="32"/>
          <w:szCs w:val="32"/>
        </w:rPr>
        <w:t>（三）一般公共预算财政拨款支出决算具体情况</w:t>
      </w:r>
      <w:bookmarkEnd w:id="36"/>
    </w:p>
    <w:p>
      <w:pPr>
        <w:spacing w:line="600" w:lineRule="exact"/>
        <w:ind w:firstLine="643" w:firstLineChars="200"/>
        <w:outlineLvl w:val="2"/>
        <w:rPr>
          <w:rStyle w:val="14"/>
          <w:rFonts w:hint="eastAsia" w:ascii="仿宋" w:eastAsia="仿宋"/>
          <w:bCs/>
          <w:sz w:val="32"/>
          <w:szCs w:val="32"/>
        </w:rPr>
      </w:pPr>
      <w:bookmarkStart w:id="37" w:name="_Toc15377444"/>
      <w:bookmarkStart w:id="38" w:name="_Toc15377213"/>
      <w:bookmarkStart w:id="39" w:name="_Toc15378460"/>
      <w:r>
        <w:rPr>
          <w:rFonts w:hint="eastAsia" w:ascii="仿宋" w:eastAsia="仿宋"/>
          <w:b/>
          <w:sz w:val="32"/>
          <w:szCs w:val="32"/>
        </w:rPr>
        <w:t>2021年一般公共预算支出决算数为</w:t>
      </w:r>
      <w:r>
        <w:rPr>
          <w:rFonts w:hint="eastAsia" w:ascii="仿宋" w:eastAsia="仿宋"/>
          <w:b/>
          <w:sz w:val="32"/>
          <w:szCs w:val="32"/>
          <w:lang w:val="en-US" w:eastAsia="zh-CN"/>
        </w:rPr>
        <w:t>1261.63</w:t>
      </w:r>
      <w:r>
        <w:rPr>
          <w:rFonts w:hint="eastAsia" w:ascii="仿宋" w:eastAsia="仿宋"/>
          <w:sz w:val="32"/>
          <w:szCs w:val="32"/>
        </w:rPr>
        <w:t>，</w:t>
      </w:r>
      <w:r>
        <w:rPr>
          <w:rStyle w:val="14"/>
          <w:rFonts w:hint="eastAsia" w:ascii="仿宋" w:eastAsia="仿宋"/>
          <w:bCs/>
          <w:sz w:val="32"/>
          <w:szCs w:val="32"/>
        </w:rPr>
        <w:t>完成预算</w:t>
      </w:r>
      <w:r>
        <w:rPr>
          <w:rStyle w:val="14"/>
          <w:rFonts w:hint="eastAsia" w:ascii="仿宋" w:eastAsia="仿宋"/>
          <w:bCs/>
          <w:sz w:val="32"/>
          <w:szCs w:val="32"/>
          <w:lang w:val="en-US" w:eastAsia="zh-CN"/>
        </w:rPr>
        <w:t>100</w:t>
      </w:r>
      <w:r>
        <w:rPr>
          <w:rStyle w:val="14"/>
          <w:rFonts w:ascii="仿宋" w:eastAsia="仿宋"/>
          <w:bCs/>
          <w:sz w:val="32"/>
          <w:szCs w:val="32"/>
        </w:rPr>
        <w:t>%</w:t>
      </w:r>
      <w:r>
        <w:rPr>
          <w:rStyle w:val="14"/>
          <w:rFonts w:hint="eastAsia" w:ascii="仿宋" w:eastAsia="仿宋"/>
          <w:bCs/>
          <w:sz w:val="32"/>
          <w:szCs w:val="32"/>
        </w:rPr>
        <w:t>。其中：</w:t>
      </w:r>
      <w:bookmarkEnd w:id="37"/>
      <w:bookmarkEnd w:id="38"/>
      <w:bookmarkEnd w:id="39"/>
    </w:p>
    <w:p>
      <w:pPr>
        <w:numPr>
          <w:ilvl w:val="0"/>
          <w:numId w:val="0"/>
        </w:numPr>
        <w:spacing w:line="600" w:lineRule="exact"/>
        <w:ind w:firstLine="643" w:firstLineChars="200"/>
        <w:rPr>
          <w:rStyle w:val="14"/>
          <w:rFonts w:hint="eastAsia" w:ascii="仿宋" w:hAnsi="仿宋" w:eastAsia="仿宋"/>
          <w:b w:val="0"/>
          <w:bCs/>
          <w:color w:val="000000"/>
          <w:sz w:val="32"/>
          <w:szCs w:val="32"/>
        </w:rPr>
      </w:pPr>
      <w:r>
        <w:rPr>
          <w:rStyle w:val="14"/>
          <w:rFonts w:ascii="仿宋" w:eastAsia="仿宋"/>
          <w:bCs/>
          <w:sz w:val="32"/>
          <w:szCs w:val="32"/>
        </w:rPr>
        <w:t>1.</w:t>
      </w:r>
      <w:r>
        <w:rPr>
          <w:rStyle w:val="14"/>
          <w:rFonts w:hint="eastAsia" w:ascii="仿宋" w:hAnsi="仿宋" w:eastAsia="仿宋"/>
          <w:bCs/>
          <w:color w:val="000000"/>
          <w:sz w:val="32"/>
          <w:szCs w:val="32"/>
        </w:rPr>
        <w:t>一般公共服务（</w:t>
      </w:r>
      <w:r>
        <w:rPr>
          <w:rStyle w:val="14"/>
          <w:rFonts w:hint="eastAsia" w:ascii="仿宋" w:hAnsi="仿宋" w:eastAsia="仿宋"/>
          <w:bCs/>
          <w:color w:val="000000"/>
          <w:sz w:val="32"/>
          <w:szCs w:val="32"/>
          <w:lang w:val="en-US" w:eastAsia="zh-CN"/>
        </w:rPr>
        <w:t>201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政府办公厅（室）及相关机构</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行政运行</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977.41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numPr>
          <w:ilvl w:val="0"/>
          <w:numId w:val="0"/>
        </w:num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2.</w:t>
      </w:r>
      <w:r>
        <w:rPr>
          <w:rStyle w:val="14"/>
          <w:rFonts w:hint="eastAsia" w:ascii="仿宋" w:hAnsi="仿宋" w:eastAsia="仿宋"/>
          <w:bCs/>
          <w:color w:val="000000"/>
          <w:sz w:val="32"/>
          <w:szCs w:val="32"/>
        </w:rPr>
        <w:t>一般公共服务（</w:t>
      </w:r>
      <w:r>
        <w:rPr>
          <w:rStyle w:val="14"/>
          <w:rFonts w:hint="eastAsia" w:ascii="仿宋" w:hAnsi="仿宋" w:eastAsia="仿宋"/>
          <w:bCs/>
          <w:color w:val="000000"/>
          <w:sz w:val="32"/>
          <w:szCs w:val="32"/>
          <w:lang w:val="en-US" w:eastAsia="zh-CN"/>
        </w:rPr>
        <w:t>201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政府办公厅（室）及相关机构</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一般行政管理事物</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209.83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numPr>
          <w:ilvl w:val="0"/>
          <w:numId w:val="0"/>
        </w:num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3.</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行政事业单位养老支出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机关事业单位基本养老保险缴费支出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23.43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numPr>
          <w:ilvl w:val="0"/>
          <w:numId w:val="0"/>
        </w:num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4.</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行政事业单位养老支出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机关事业单位职业年金缴费支出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06</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11.71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numPr>
          <w:ilvl w:val="0"/>
          <w:numId w:val="0"/>
        </w:numPr>
        <w:spacing w:line="600" w:lineRule="exact"/>
        <w:ind w:firstLine="643" w:firstLineChars="200"/>
        <w:rPr>
          <w:rStyle w:val="14"/>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5.</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12.26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numPr>
          <w:ilvl w:val="0"/>
          <w:numId w:val="0"/>
        </w:numPr>
        <w:spacing w:line="600" w:lineRule="exact"/>
        <w:ind w:firstLine="643" w:firstLineChars="200"/>
        <w:rPr>
          <w:rStyle w:val="14"/>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6.</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公务员医疗补助</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03</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1.63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numPr>
          <w:ilvl w:val="0"/>
          <w:numId w:val="0"/>
        </w:num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
          <w:bCs w:val="0"/>
          <w:color w:val="000000"/>
          <w:sz w:val="32"/>
          <w:szCs w:val="32"/>
          <w:lang w:val="en-US" w:eastAsia="zh-CN"/>
        </w:rPr>
        <w:t>7.住房保障支出（221）住房改革支出（02）住房公积金（01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25.37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rPr>
          <w:rFonts w:ascii="仿宋" w:eastAsia="仿宋"/>
          <w:b/>
          <w:sz w:val="32"/>
          <w:szCs w:val="32"/>
        </w:rPr>
      </w:pPr>
    </w:p>
    <w:p>
      <w:pPr>
        <w:tabs>
          <w:tab w:val="right" w:pos="8306"/>
        </w:tabs>
        <w:spacing w:line="600" w:lineRule="exact"/>
        <w:ind w:firstLine="640"/>
        <w:outlineLvl w:val="1"/>
        <w:rPr>
          <w:rStyle w:val="17"/>
        </w:rPr>
      </w:pPr>
      <w:bookmarkStart w:id="40" w:name="_Toc15396608"/>
      <w:bookmarkStart w:id="41" w:name="_Toc15377214"/>
      <w:r>
        <w:rPr>
          <w:rFonts w:hint="eastAsia" w:ascii="黑体" w:eastAsia="黑体"/>
          <w:sz w:val="32"/>
          <w:szCs w:val="32"/>
        </w:rPr>
        <w:t>六</w:t>
      </w:r>
      <w:r>
        <w:rPr>
          <w:rFonts w:hint="eastAsia" w:ascii="黑体" w:eastAsia="黑体"/>
          <w:b/>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1051.81</w:t>
      </w:r>
      <w:r>
        <w:rPr>
          <w:rFonts w:hint="eastAsia" w:ascii="仿宋" w:eastAsia="仿宋"/>
          <w:sz w:val="32"/>
          <w:szCs w:val="32"/>
        </w:rPr>
        <w:t>万元，其中：</w:t>
      </w:r>
    </w:p>
    <w:p>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490</w:t>
      </w:r>
      <w:r>
        <w:rPr>
          <w:rFonts w:hint="eastAsia" w:ascii="仿宋" w:eastAsia="仿宋"/>
          <w:sz w:val="32"/>
          <w:szCs w:val="32"/>
        </w:rPr>
        <w:t>万元，主要包括：基本工资、津贴补贴、奖金、伙食补助费、机关事业单位基本养老保险缴费、职业年金缴费、其他社会保障缴费、其他工资福利支出、离休费、抚恤金、生活补助、医疗费补助、住房公积金、其他对个人和家庭的补助支出等。</w:t>
      </w:r>
    </w:p>
    <w:p>
      <w:pPr>
        <w:spacing w:line="600" w:lineRule="exact"/>
        <w:ind w:firstLine="645"/>
        <w:rPr>
          <w:rFonts w:ascii="仿宋" w:eastAsia="仿宋"/>
          <w:sz w:val="32"/>
          <w:szCs w:val="32"/>
        </w:rPr>
      </w:pPr>
      <w:r>
        <w:rPr>
          <w:rFonts w:hint="eastAsia" w:ascii="仿宋" w:eastAsia="仿宋"/>
          <w:sz w:val="32"/>
          <w:szCs w:val="32"/>
        </w:rPr>
        <w:t>公用经费</w:t>
      </w:r>
      <w:r>
        <w:rPr>
          <w:rFonts w:hint="eastAsia" w:ascii="仿宋" w:eastAsia="仿宋"/>
          <w:sz w:val="32"/>
          <w:szCs w:val="32"/>
          <w:lang w:val="en-US" w:eastAsia="zh-CN"/>
        </w:rPr>
        <w:t>561.75</w:t>
      </w:r>
      <w:r>
        <w:rPr>
          <w:rFonts w:hint="eastAsia" w:ascii="仿宋" w:eastAsia="仿宋"/>
          <w:sz w:val="32"/>
          <w:szCs w:val="32"/>
        </w:rPr>
        <w:t>万元，主要包括：办公费、印刷费、咨询费、手续费、水费、电费、邮电费、物业管理费、差旅费、维修（护）费、租赁费、会议费、培训费、公务接待费、劳务费、委托业务费、公务用车运行维护费、其他交通费、其他商品和服务支出、办公设备购置、专用设备购置、信息网络及软件购置更新、其他资本性支出等。</w:t>
      </w:r>
    </w:p>
    <w:p>
      <w:pPr>
        <w:spacing w:line="600" w:lineRule="exact"/>
        <w:ind w:firstLine="645"/>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7表和财决08-1表，仅罗列本部门实际支出涉及的经济分类科目。）</w:t>
      </w:r>
    </w:p>
    <w:p>
      <w:pPr>
        <w:spacing w:line="600" w:lineRule="exact"/>
        <w:ind w:firstLine="640"/>
        <w:rPr>
          <w:rFonts w:ascii="仿宋" w:eastAsia="仿宋"/>
          <w:b/>
          <w:sz w:val="32"/>
          <w:szCs w:val="32"/>
        </w:rPr>
      </w:pPr>
    </w:p>
    <w:p>
      <w:pPr>
        <w:spacing w:line="600" w:lineRule="exact"/>
        <w:ind w:firstLine="640"/>
        <w:outlineLvl w:val="1"/>
        <w:rPr>
          <w:rStyle w:val="17"/>
          <w:rFonts w:ascii="黑体" w:eastAsia="黑体"/>
          <w:b w:val="0"/>
        </w:rPr>
      </w:pPr>
      <w:bookmarkStart w:id="42" w:name="_Toc15377215"/>
      <w:bookmarkStart w:id="43" w:name="_Toc15396609"/>
      <w:r>
        <w:rPr>
          <w:rFonts w:hint="eastAsia" w:ascii="黑体" w:eastAsia="黑体"/>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sz w:val="32"/>
          <w:szCs w:val="32"/>
        </w:rPr>
      </w:pPr>
      <w:bookmarkStart w:id="44" w:name="_Toc15377216"/>
      <w:r>
        <w:rPr>
          <w:rFonts w:hint="eastAsia" w:ascii="仿宋" w:eastAsia="仿宋"/>
          <w:b/>
          <w:sz w:val="32"/>
          <w:szCs w:val="32"/>
        </w:rPr>
        <w:t>（一）“三公”经费财政拨款支出决算总体情况说明</w:t>
      </w:r>
      <w:bookmarkEnd w:id="44"/>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62.73</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，决算数</w:t>
      </w:r>
      <w:r>
        <w:rPr>
          <w:rFonts w:hint="eastAsia" w:ascii="仿宋" w:eastAsia="仿宋"/>
          <w:sz w:val="32"/>
          <w:szCs w:val="32"/>
          <w:lang w:val="en-US" w:eastAsia="zh-CN"/>
        </w:rPr>
        <w:t>等于</w:t>
      </w:r>
      <w:r>
        <w:rPr>
          <w:rFonts w:hint="eastAsia" w:ascii="仿宋" w:eastAsia="仿宋"/>
          <w:sz w:val="32"/>
          <w:szCs w:val="32"/>
        </w:rPr>
        <w:t>预算数。</w:t>
      </w:r>
    </w:p>
    <w:p>
      <w:pPr>
        <w:spacing w:line="600" w:lineRule="exact"/>
        <w:ind w:firstLine="640"/>
        <w:rPr>
          <w:rFonts w:ascii="仿宋" w:eastAsia="仿宋"/>
          <w:b/>
          <w:sz w:val="32"/>
          <w:szCs w:val="32"/>
        </w:rPr>
      </w:pPr>
      <w:r>
        <w:rPr>
          <w:rFonts w:hint="eastAsia" w:ascii="仿宋" w:eastAsia="仿宋"/>
          <w:b/>
          <w:sz w:val="32"/>
          <w:szCs w:val="32"/>
        </w:rPr>
        <w:t>（注：上述“预算”口径为调整预算数。）</w:t>
      </w:r>
    </w:p>
    <w:p>
      <w:pPr>
        <w:spacing w:line="600" w:lineRule="exact"/>
        <w:ind w:firstLine="640"/>
        <w:outlineLvl w:val="2"/>
        <w:rPr>
          <w:rFonts w:ascii="仿宋" w:eastAsia="仿宋"/>
          <w:b/>
          <w:sz w:val="32"/>
          <w:szCs w:val="32"/>
        </w:rPr>
      </w:pPr>
      <w:bookmarkStart w:id="45" w:name="_Toc15377217"/>
      <w:r>
        <w:rPr>
          <w:rFonts w:hint="eastAsia" w:ascii="仿宋" w:eastAsia="仿宋"/>
          <w:b/>
          <w:sz w:val="32"/>
          <w:szCs w:val="32"/>
        </w:rPr>
        <w:t>（二）“三公”经费财政拨款支出决算具体情况说明</w:t>
      </w:r>
      <w:bookmarkEnd w:id="45"/>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60.73</w:t>
      </w:r>
      <w:r>
        <w:rPr>
          <w:rFonts w:hint="eastAsia" w:ascii="仿宋" w:eastAsia="仿宋"/>
          <w:sz w:val="32"/>
          <w:szCs w:val="32"/>
        </w:rPr>
        <w:t>万元，占</w:t>
      </w:r>
      <w:r>
        <w:rPr>
          <w:rFonts w:hint="eastAsia" w:ascii="仿宋" w:eastAsia="仿宋"/>
          <w:sz w:val="32"/>
          <w:szCs w:val="32"/>
          <w:lang w:val="en-US" w:eastAsia="zh-CN"/>
        </w:rPr>
        <w:t>96.81</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2</w:t>
      </w:r>
      <w:r>
        <w:rPr>
          <w:rFonts w:hint="eastAsia" w:ascii="仿宋" w:eastAsia="仿宋"/>
          <w:sz w:val="32"/>
          <w:szCs w:val="32"/>
        </w:rPr>
        <w:t>万元，占</w:t>
      </w:r>
      <w:r>
        <w:rPr>
          <w:rFonts w:hint="eastAsia" w:ascii="仿宋" w:eastAsia="仿宋"/>
          <w:sz w:val="32"/>
          <w:szCs w:val="32"/>
          <w:lang w:val="en-US" w:eastAsia="zh-CN"/>
        </w:rPr>
        <w:t>3.19</w:t>
      </w:r>
      <w:r>
        <w:rPr>
          <w:rFonts w:ascii="仿宋" w:eastAsia="仿宋"/>
          <w:sz w:val="32"/>
          <w:szCs w:val="32"/>
        </w:rPr>
        <w:t>%</w:t>
      </w:r>
      <w:r>
        <w:rPr>
          <w:rFonts w:hint="eastAsia" w:ascii="仿宋" w:eastAsia="仿宋"/>
          <w:sz w:val="32"/>
          <w:szCs w:val="32"/>
        </w:rPr>
        <w:t>。具体情况如下：</w:t>
      </w:r>
    </w:p>
    <w:p>
      <w:pPr>
        <w:pStyle w:val="2"/>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566420</wp:posOffset>
            </wp:positionH>
            <wp:positionV relativeFrom="paragraph">
              <wp:posOffset>-8643620</wp:posOffset>
            </wp:positionV>
            <wp:extent cx="3928110" cy="3267710"/>
            <wp:effectExtent l="4445" t="5080" r="10795" b="2286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eastAsia="仿宋"/>
          <w:sz w:val="32"/>
          <w:szCs w:val="32"/>
        </w:rPr>
      </w:pPr>
      <w:r>
        <w:rPr>
          <w:rFonts w:hint="eastAsia" w:ascii="仿宋" w:eastAsia="仿宋"/>
          <w:sz w:val="32"/>
          <w:szCs w:val="32"/>
        </w:rPr>
        <w:t>（图7：“三公”经费财政拨款支出结构）（饼状图）</w:t>
      </w: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w:t>
      </w:r>
    </w:p>
    <w:p>
      <w:pPr>
        <w:spacing w:line="600" w:lineRule="exact"/>
        <w:ind w:firstLine="640"/>
        <w:rPr>
          <w:rFonts w:ascii="仿宋_GB2312" w:eastAsia="仿宋_GB2312"/>
          <w:b/>
          <w:color w:val="000000"/>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60.73</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9.34</w:t>
      </w:r>
      <w:r>
        <w:rPr>
          <w:rFonts w:hint="eastAsia" w:ascii="仿宋_GB2312" w:eastAsia="仿宋_GB2312"/>
          <w:sz w:val="32"/>
          <w:szCs w:val="32"/>
        </w:rPr>
        <w:t>万元，增长</w:t>
      </w:r>
      <w:r>
        <w:rPr>
          <w:rFonts w:hint="eastAsia" w:ascii="仿宋_GB2312" w:eastAsia="仿宋_GB2312"/>
          <w:sz w:val="32"/>
          <w:szCs w:val="32"/>
          <w:lang w:val="en-US" w:eastAsia="zh-CN"/>
        </w:rPr>
        <w:t>18.17</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单位</w:t>
      </w:r>
      <w:r>
        <w:rPr>
          <w:rFonts w:hint="eastAsia" w:ascii="仿宋_GB2312" w:eastAsia="仿宋_GB2312"/>
          <w:color w:val="000000"/>
          <w:sz w:val="32"/>
          <w:szCs w:val="32"/>
          <w:lang w:val="en-US" w:eastAsia="zh-CN"/>
        </w:rPr>
        <w:t>车辆使用年限长，车辆使用中出现故障较频繁，维修维护支出今年明显增多</w:t>
      </w:r>
      <w:r>
        <w:rPr>
          <w:rFonts w:hint="eastAsia" w:ascii="仿宋_GB2312" w:eastAsia="仿宋_GB2312"/>
          <w:color w:val="000000"/>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w:t>
      </w:r>
      <w:r>
        <w:rPr>
          <w:rFonts w:hint="eastAsia" w:ascii="仿宋_GB2312" w:eastAsia="仿宋_GB2312"/>
          <w:sz w:val="32"/>
          <w:szCs w:val="32"/>
          <w:lang w:val="en-US" w:eastAsia="zh-CN"/>
        </w:rPr>
        <w:t>无</w:t>
      </w:r>
      <w:r>
        <w:rPr>
          <w:rFonts w:hint="eastAsia" w:ascii="仿宋_GB2312" w:eastAsia="仿宋_GB2312"/>
          <w:sz w:val="32"/>
          <w:szCs w:val="32"/>
        </w:rPr>
        <w:t>更新购置公务用车</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60.73</w:t>
      </w:r>
      <w:r>
        <w:rPr>
          <w:rFonts w:hint="eastAsia" w:ascii="仿宋_GB2312" w:eastAsia="仿宋_GB2312"/>
          <w:sz w:val="32"/>
          <w:szCs w:val="32"/>
        </w:rPr>
        <w:t>万元。主要用于</w:t>
      </w:r>
      <w:r>
        <w:rPr>
          <w:rFonts w:hint="eastAsia" w:ascii="仿宋_GB2312" w:eastAsia="仿宋_GB2312"/>
          <w:sz w:val="32"/>
          <w:szCs w:val="32"/>
          <w:lang w:val="en-US" w:eastAsia="zh-CN"/>
        </w:rPr>
        <w:t>北京、成都两地政务联络接送机、接送领导，机要收发文件、信访维稳工作、招商引资等工作，单位日常运行中车辆的使用</w:t>
      </w:r>
      <w:r>
        <w:rPr>
          <w:rFonts w:hint="eastAsia" w:ascii="仿宋_GB2312" w:eastAsia="仿宋_GB2312"/>
          <w:sz w:val="32"/>
          <w:szCs w:val="32"/>
        </w:rPr>
        <w:t>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b/>
          <w:sz w:val="32"/>
          <w:szCs w:val="32"/>
          <w:lang w:val="en-US" w:eastAsia="zh-CN"/>
        </w:rPr>
        <w:t>2</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0.82</w:t>
      </w:r>
      <w:r>
        <w:rPr>
          <w:rFonts w:hint="eastAsia" w:ascii="仿宋_GB2312" w:eastAsia="仿宋_GB2312"/>
          <w:sz w:val="32"/>
          <w:szCs w:val="32"/>
        </w:rPr>
        <w:t>万元，增长</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当年接机浙江考察团机场用餐、州级各部门到北京汇报工作后勤保障</w:t>
      </w:r>
      <w:r>
        <w:rPr>
          <w:rFonts w:hint="eastAsia" w:ascii="仿宋_GB2312" w:eastAsia="仿宋_GB2312"/>
          <w:sz w:val="32"/>
          <w:szCs w:val="32"/>
        </w:rPr>
        <w:t>。其中：</w:t>
      </w:r>
      <w:r>
        <w:rPr>
          <w:rFonts w:hint="eastAsia" w:ascii="仿宋_GB2312" w:eastAsia="仿宋_GB2312"/>
          <w:sz w:val="32"/>
          <w:szCs w:val="32"/>
          <w:lang w:val="en-US" w:eastAsia="zh-CN"/>
        </w:rPr>
        <w:t>接机浙江考察团机场用餐0.16万元、州级各部门到北京汇报工作后勤保障1.83万元。</w:t>
      </w:r>
    </w:p>
    <w:p>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2</w:t>
      </w:r>
      <w:r>
        <w:rPr>
          <w:rFonts w:hint="eastAsia" w:ascii="仿宋_GB2312" w:eastAsia="仿宋_GB2312"/>
          <w:sz w:val="32"/>
          <w:szCs w:val="32"/>
        </w:rPr>
        <w:t>万元，主要用于</w:t>
      </w:r>
      <w:r>
        <w:rPr>
          <w:rFonts w:hint="eastAsia" w:ascii="仿宋_GB2312" w:eastAsia="仿宋_GB2312"/>
          <w:sz w:val="32"/>
          <w:szCs w:val="32"/>
          <w:lang w:val="en-US" w:eastAsia="zh-CN"/>
        </w:rPr>
        <w:t>接机浙江考察团机场用餐、州级各部门到北京汇报工作后勤保障</w:t>
      </w:r>
      <w:r>
        <w:rPr>
          <w:rFonts w:hint="eastAsia" w:ascii="仿宋_GB2312" w:eastAsia="仿宋_GB2312"/>
          <w:sz w:val="32"/>
          <w:szCs w:val="32"/>
        </w:rPr>
        <w:t>(执行公务、开展业务活动开支的交通费、住宿费、用餐费等)。国内公务接待</w:t>
      </w:r>
      <w:r>
        <w:rPr>
          <w:rFonts w:hint="eastAsia" w:ascii="仿宋_GB2312" w:eastAsia="仿宋_GB2312"/>
          <w:sz w:val="32"/>
          <w:szCs w:val="32"/>
          <w:lang w:val="en-US" w:eastAsia="zh-CN"/>
        </w:rPr>
        <w:t>5</w:t>
      </w:r>
      <w:r>
        <w:rPr>
          <w:rFonts w:hint="eastAsia" w:ascii="仿宋_GB2312" w:eastAsia="仿宋_GB2312"/>
          <w:sz w:val="32"/>
          <w:szCs w:val="32"/>
        </w:rPr>
        <w:t>批次，</w:t>
      </w:r>
      <w:r>
        <w:rPr>
          <w:rFonts w:hint="eastAsia" w:ascii="仿宋_GB2312" w:eastAsia="仿宋_GB2312"/>
          <w:sz w:val="32"/>
          <w:szCs w:val="32"/>
          <w:lang w:val="en-US" w:eastAsia="zh-CN"/>
        </w:rPr>
        <w:t>120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万元，具体内容包括：</w:t>
      </w:r>
      <w:r>
        <w:rPr>
          <w:rFonts w:hint="eastAsia" w:ascii="仿宋_GB2312" w:eastAsia="仿宋_GB2312"/>
          <w:sz w:val="32"/>
          <w:szCs w:val="32"/>
          <w:lang w:val="en-US" w:eastAsia="zh-CN"/>
        </w:rPr>
        <w:t>接机浙江考察团机场用餐0.16万元、州级各部门到北京汇报工作后勤保障1.83万元。</w:t>
      </w:r>
    </w:p>
    <w:p>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bookmarkStart w:id="46" w:name="_Toc15377218"/>
      <w:bookmarkStart w:id="47" w:name="_Toc15396610"/>
    </w:p>
    <w:p>
      <w:pPr>
        <w:spacing w:line="600" w:lineRule="exact"/>
        <w:ind w:firstLine="640"/>
        <w:outlineLvl w:val="1"/>
        <w:rPr>
          <w:rStyle w:val="17"/>
          <w:rFonts w:ascii="黑体" w:eastAsia="黑体"/>
        </w:rPr>
      </w:pPr>
      <w:r>
        <w:rPr>
          <w:rFonts w:hint="eastAsia" w:ascii="黑体" w:eastAsia="黑体"/>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2"/>
        </w:numPr>
        <w:spacing w:line="600" w:lineRule="exact"/>
        <w:ind w:firstLine="640"/>
        <w:outlineLvl w:val="1"/>
        <w:rPr>
          <w:rStyle w:val="17"/>
          <w:rFonts w:ascii="黑体" w:eastAsia="黑体"/>
          <w:b w:val="0"/>
        </w:rPr>
      </w:pPr>
      <w:bookmarkStart w:id="48" w:name="_Toc15377219"/>
      <w:bookmarkStart w:id="49" w:name="_Toc15396611"/>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2"/>
        </w:numPr>
        <w:spacing w:line="600" w:lineRule="exact"/>
        <w:ind w:firstLine="640"/>
        <w:outlineLvl w:val="1"/>
        <w:rPr>
          <w:rStyle w:val="17"/>
          <w:rFonts w:ascii="黑体" w:eastAsia="黑体"/>
          <w:b w:val="0"/>
        </w:rPr>
      </w:pPr>
      <w:bookmarkStart w:id="50" w:name="_Toc15377221"/>
      <w:bookmarkStart w:id="51" w:name="_Toc15396612"/>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sz w:val="32"/>
          <w:szCs w:val="32"/>
        </w:rPr>
      </w:pPr>
      <w:bookmarkStart w:id="52" w:name="_Toc15377222"/>
      <w:r>
        <w:rPr>
          <w:rFonts w:hint="eastAsia" w:ascii="仿宋" w:eastAsia="仿宋"/>
          <w:b/>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阿坝州政府驻北京联络处</w:t>
      </w:r>
      <w:r>
        <w:rPr>
          <w:rFonts w:hint="eastAsia" w:ascii="仿宋_GB2312" w:eastAsia="仿宋_GB2312"/>
          <w:sz w:val="32"/>
          <w:szCs w:val="32"/>
        </w:rPr>
        <w:t>机关运行经费支出</w:t>
      </w:r>
      <w:r>
        <w:rPr>
          <w:rFonts w:hint="eastAsia" w:ascii="仿宋_GB2312" w:eastAsia="仿宋_GB2312"/>
          <w:sz w:val="32"/>
          <w:szCs w:val="32"/>
          <w:lang w:val="en-US" w:eastAsia="zh-CN"/>
        </w:rPr>
        <w:t>561.75</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317.6</w:t>
      </w:r>
      <w:r>
        <w:rPr>
          <w:rFonts w:hint="eastAsia" w:ascii="仿宋_GB2312" w:eastAsia="仿宋_GB2312"/>
          <w:sz w:val="32"/>
          <w:szCs w:val="32"/>
        </w:rPr>
        <w:t>万元，增长</w:t>
      </w:r>
      <w:r>
        <w:rPr>
          <w:rFonts w:hint="eastAsia" w:ascii="仿宋_GB2312" w:eastAsia="仿宋_GB2312"/>
          <w:sz w:val="32"/>
          <w:szCs w:val="32"/>
          <w:lang w:val="en-US" w:eastAsia="zh-CN"/>
        </w:rPr>
        <w:t>130.08</w:t>
      </w:r>
      <w:r>
        <w:rPr>
          <w:rFonts w:ascii="仿宋_GB2312" w:eastAsia="仿宋_GB2312"/>
          <w:sz w:val="32"/>
          <w:szCs w:val="32"/>
        </w:rPr>
        <w:t>%</w:t>
      </w:r>
      <w:r>
        <w:rPr>
          <w:rFonts w:hint="eastAsia" w:ascii="仿宋_GB2312" w:eastAsia="仿宋_GB2312"/>
          <w:sz w:val="32"/>
          <w:szCs w:val="32"/>
        </w:rPr>
        <w:t>主要原因是</w:t>
      </w:r>
      <w:r>
        <w:rPr>
          <w:rFonts w:hint="eastAsia" w:ascii="仿宋" w:eastAsia="仿宋"/>
          <w:sz w:val="32"/>
          <w:szCs w:val="32"/>
          <w:lang w:val="en-US" w:eastAsia="zh-CN"/>
        </w:rPr>
        <w:t>2021增加北京办公区办公家具家电购买、增加北京临聘人员经费。</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53" w:name="_Toc15377223"/>
      <w:r>
        <w:rPr>
          <w:rFonts w:hint="eastAsia" w:ascii="仿宋" w:eastAsia="仿宋"/>
          <w:b/>
          <w:sz w:val="32"/>
          <w:szCs w:val="32"/>
        </w:rPr>
        <w:t>（二）政府采购支出情况</w:t>
      </w:r>
      <w:bookmarkEnd w:id="53"/>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阿坝州人民政府驻北京联络处</w:t>
      </w:r>
      <w:r>
        <w:rPr>
          <w:rFonts w:hint="eastAsia" w:ascii="仿宋_GB2312" w:eastAsia="仿宋_GB2312"/>
          <w:sz w:val="32"/>
          <w:szCs w:val="32"/>
        </w:rPr>
        <w:t>政府采购支出总额</w:t>
      </w:r>
      <w:r>
        <w:rPr>
          <w:rFonts w:hint="eastAsia" w:ascii="仿宋_GB2312" w:eastAsia="仿宋_GB2312"/>
          <w:sz w:val="32"/>
          <w:szCs w:val="32"/>
          <w:lang w:val="en-US" w:eastAsia="zh-CN"/>
        </w:rPr>
        <w:t>473.08</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263.24</w:t>
      </w:r>
      <w:r>
        <w:rPr>
          <w:rFonts w:hint="eastAsia" w:ascii="仿宋_GB2312" w:eastAsia="仿宋_GB2312"/>
          <w:sz w:val="32"/>
          <w:szCs w:val="32"/>
        </w:rPr>
        <w:t>万元、政府采购工程支出</w:t>
      </w:r>
      <w:r>
        <w:rPr>
          <w:rFonts w:hint="eastAsia" w:ascii="仿宋_GB2312" w:eastAsia="仿宋_GB2312"/>
          <w:sz w:val="32"/>
          <w:szCs w:val="32"/>
          <w:lang w:val="en-US" w:eastAsia="zh-CN"/>
        </w:rPr>
        <w:t>209.83</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hint="eastAsia" w:ascii="仿宋" w:eastAsia="仿宋"/>
          <w:sz w:val="32"/>
          <w:szCs w:val="32"/>
          <w:lang w:val="en-US" w:eastAsia="zh-CN"/>
        </w:rPr>
        <w:t>2021年增加北京办公区办公家具家电购买、北京办公区维修改造工程进度款。</w:t>
      </w:r>
      <w:r>
        <w:rPr>
          <w:rFonts w:hint="eastAsia" w:ascii="仿宋_GB2312" w:eastAsia="仿宋_GB2312"/>
          <w:sz w:val="32"/>
          <w:szCs w:val="32"/>
        </w:rPr>
        <w:t>授予中小企业合同金额</w:t>
      </w:r>
      <w:r>
        <w:rPr>
          <w:rFonts w:hint="eastAsia" w:ascii="仿宋_GB2312" w:eastAsia="仿宋_GB2312"/>
          <w:sz w:val="32"/>
          <w:szCs w:val="32"/>
          <w:lang w:val="en-US" w:eastAsia="zh-CN"/>
        </w:rPr>
        <w:t>263.24</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263.24</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54" w:name="_Toc15377224"/>
      <w:r>
        <w:rPr>
          <w:rFonts w:hint="eastAsia" w:ascii="仿宋" w:eastAsia="仿宋"/>
          <w:b/>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阿坝州人民政府驻北京联络处</w:t>
      </w:r>
      <w:r>
        <w:rPr>
          <w:rFonts w:hint="eastAsia" w:ascii="仿宋_GB2312" w:eastAsia="仿宋_GB2312"/>
          <w:sz w:val="32"/>
          <w:szCs w:val="32"/>
        </w:rPr>
        <w:t>共有车辆</w:t>
      </w:r>
      <w:r>
        <w:rPr>
          <w:rFonts w:hint="eastAsia" w:ascii="仿宋_GB2312" w:eastAsia="仿宋_GB2312"/>
          <w:sz w:val="32"/>
          <w:szCs w:val="32"/>
          <w:lang w:val="en-US" w:eastAsia="zh-CN"/>
        </w:rPr>
        <w:t>9</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9</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其他用车主要是用于</w:t>
      </w:r>
      <w:r>
        <w:rPr>
          <w:rFonts w:hint="eastAsia" w:ascii="仿宋_GB2312" w:eastAsia="仿宋_GB2312"/>
          <w:sz w:val="32"/>
          <w:szCs w:val="32"/>
          <w:lang w:val="en-US" w:eastAsia="zh-CN"/>
        </w:rPr>
        <w:t>北京、成都两地政务联络接送机、接送领导，机要收发文件、信访维稳工作、招商引资等工作，单位日常运行中车辆的使用</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表，按部门决算报表填报数据罗列车辆情况。）</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根据预算绩效管理要求，本部门在2021年度预算编制阶段，组织对</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政务联络、信访维稳、招商引资</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个项目开展了绩效自评。同时，本部门对2021年部门整体开展绩效自评，《2021年XX部门整体绩效评价报告》见附件（第四部分）。</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16"/>
          <w:rFonts w:ascii="黑体" w:eastAsia="黑体"/>
          <w:b w:val="0"/>
        </w:rPr>
      </w:pPr>
      <w:bookmarkStart w:id="55" w:name="_Toc15396613"/>
      <w:bookmarkStart w:id="56" w:name="_Toc15377225"/>
      <w:r>
        <w:rPr>
          <w:rFonts w:hint="eastAsia" w:ascii="黑体" w:eastAsia="黑体"/>
          <w:sz w:val="44"/>
          <w:szCs w:val="44"/>
        </w:rPr>
        <w:t>名</w:t>
      </w:r>
      <w:r>
        <w:rPr>
          <w:rStyle w:val="16"/>
          <w:rFonts w:hint="eastAsia" w:ascii="黑体" w:eastAsia="黑体"/>
          <w:b w:val="0"/>
        </w:rPr>
        <w:t>词解释</w:t>
      </w:r>
      <w:bookmarkEnd w:id="55"/>
      <w:bookmarkEnd w:id="56"/>
    </w:p>
    <w:p>
      <w:pPr>
        <w:pStyle w:val="21"/>
        <w:numPr>
          <w:ilvl w:val="0"/>
          <w:numId w:val="0"/>
        </w:numPr>
        <w:spacing w:line="560" w:lineRule="exact"/>
        <w:ind w:firstLine="640" w:firstLineChars="200"/>
        <w:rPr>
          <w:rFonts w:ascii="仿宋_GB2312" w:eastAsia="仿宋_GB2312"/>
          <w:sz w:val="32"/>
          <w:szCs w:val="32"/>
        </w:rPr>
      </w:pPr>
    </w:p>
    <w:p>
      <w:pPr>
        <w:pStyle w:val="21"/>
        <w:numPr>
          <w:ilvl w:val="0"/>
          <w:numId w:val="0"/>
        </w:num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left="638" w:leftChars="304" w:firstLine="0" w:firstLineChars="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numPr>
          <w:ilvl w:val="0"/>
          <w:numId w:val="0"/>
        </w:numPr>
        <w:spacing w:line="600" w:lineRule="exact"/>
        <w:ind w:leftChars="200" w:firstLine="320" w:firstLineChars="1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政府办公厅（室）及相关机构</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反映行政单位（包括实行公务员管理的事业单位）的基本支出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政府办公厅（室）及相关机构</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一般行政管理事物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反映行政单位（包括实行公务员管理的事业单位）未单独设置项及科目的其他项目支出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11社会保障和就业（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反映机关事业单位实施养老保险制度由单位缴纳的养老保险支出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12.社会保障和就业（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机关事业单位职业年金缴费支出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反映机关事业单位实施养老保险制度由单位实际缴纳的职业年金支出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13.卫生健康（</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反映财政部门安排的行政单位（包括实行公务员管理的事业单位）基本医疗保险缴费经费，未参加医疗保险的行政单位的公费医疗金凤，按国家规定享受离休人员、红军老战士待遇人员的医疗经费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14.卫生健康（</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反映财政部门安排的公务员（包括实行公务员管理的事业单位）医疗补助经费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hint="eastAsia" w:ascii="仿宋_GB2312" w:eastAsia="仿宋_GB2312"/>
          <w:color w:val="000000"/>
          <w:sz w:val="32"/>
          <w:szCs w:val="32"/>
          <w:lang w:val="en-US" w:eastAsia="zh-CN"/>
        </w:rPr>
        <w:t>住房保障支出（221）住房改革支出（02）住房公积金（01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反映行政事业单位按人力资源和社会保障部、财政部规定的基本工资和津贴补贴以及规定比列为职工缴纳的住房公积金</w:t>
      </w:r>
      <w:r>
        <w:rPr>
          <w:rFonts w:hint="eastAsia" w:ascii="仿宋_GB2312" w:eastAsia="仿宋_GB2312"/>
          <w:color w:val="000000"/>
          <w:sz w:val="32"/>
          <w:szCs w:val="32"/>
        </w:rPr>
        <w:t>。</w:t>
      </w:r>
    </w:p>
    <w:p>
      <w:pPr>
        <w:spacing w:line="600" w:lineRule="exact"/>
        <w:ind w:firstLine="640"/>
        <w:rPr>
          <w:rFonts w:ascii="仿宋" w:eastAsia="仿宋"/>
          <w:b/>
          <w:sz w:val="32"/>
          <w:szCs w:val="32"/>
        </w:rPr>
      </w:pPr>
      <w:r>
        <w:rPr>
          <w:rFonts w:hint="eastAsia" w:ascii="仿宋" w:eastAsia="仿宋"/>
          <w:b/>
          <w:sz w:val="32"/>
          <w:szCs w:val="32"/>
        </w:rPr>
        <w:t>（解释本部门决算报表中涉及的全部功能分类科目至项级，不涉及的科目请自行删除。请参照《</w:t>
      </w:r>
      <w:r>
        <w:rPr>
          <w:rFonts w:ascii="仿宋" w:eastAsia="仿宋"/>
          <w:b/>
          <w:sz w:val="32"/>
          <w:szCs w:val="32"/>
        </w:rPr>
        <w:t>20</w:t>
      </w:r>
      <w:r>
        <w:rPr>
          <w:rFonts w:hint="eastAsia" w:ascii="仿宋" w:eastAsia="仿宋"/>
          <w:b/>
          <w:sz w:val="32"/>
          <w:szCs w:val="32"/>
        </w:rPr>
        <w:t>21年政府收支分类科目》增减内容。）</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spacing w:line="560" w:lineRule="exact"/>
        <w:ind w:firstLine="640" w:firstLineChars="200"/>
        <w:rPr>
          <w:rFonts w:ascii="仿宋_GB2312" w:eastAsia="仿宋_GB2312" w:cs="黑体"/>
          <w:color w:val="auto"/>
          <w:sz w:val="32"/>
          <w:szCs w:val="32"/>
        </w:rPr>
      </w:pPr>
    </w:p>
    <w:p>
      <w:pPr>
        <w:ind w:firstLine="643" w:firstLineChars="200"/>
        <w:rPr>
          <w:rFonts w:ascii="仿宋" w:eastAsia="仿宋"/>
          <w:b/>
          <w:sz w:val="32"/>
          <w:szCs w:val="32"/>
        </w:rPr>
      </w:pPr>
      <w:r>
        <w:rPr>
          <w:rFonts w:hint="eastAsia" w:ascii="仿宋" w:eastAsia="仿宋"/>
          <w:b/>
          <w:sz w:val="32"/>
          <w:szCs w:val="32"/>
        </w:rPr>
        <w:t>（名词解释部分请根据各部门实际列支情况罗列，并根据本部门职责职能增减名词解释内容。）</w:t>
      </w:r>
    </w:p>
    <w:p>
      <w:pPr>
        <w:spacing w:line="600" w:lineRule="exact"/>
        <w:jc w:val="center"/>
        <w:outlineLvl w:val="0"/>
        <w:rPr>
          <w:rFonts w:ascii="宋体"/>
          <w:b/>
          <w:sz w:val="44"/>
          <w:szCs w:val="44"/>
        </w:rPr>
      </w:pPr>
      <w:bookmarkStart w:id="57" w:name="_Toc15377226"/>
      <w:r>
        <w:rPr>
          <w:rFonts w:ascii="宋体"/>
          <w:b/>
          <w:sz w:val="44"/>
          <w:szCs w:val="44"/>
        </w:rPr>
        <w:br w:type="page"/>
      </w:r>
      <w:bookmarkStart w:id="58" w:name="_Toc15396614"/>
    </w:p>
    <w:p>
      <w:pPr>
        <w:spacing w:line="600" w:lineRule="exact"/>
        <w:jc w:val="center"/>
        <w:outlineLvl w:val="0"/>
        <w:rPr>
          <w:rFonts w:ascii="宋体"/>
          <w:b/>
          <w:sz w:val="44"/>
          <w:szCs w:val="44"/>
        </w:rPr>
      </w:pPr>
    </w:p>
    <w:p>
      <w:pPr>
        <w:spacing w:line="600" w:lineRule="exact"/>
        <w:jc w:val="center"/>
        <w:outlineLvl w:val="0"/>
        <w:rPr>
          <w:rStyle w:val="16"/>
          <w:rFonts w:ascii="黑体" w:eastAsia="黑体"/>
          <w:b w:val="0"/>
        </w:rPr>
      </w:pPr>
      <w:r>
        <w:rPr>
          <w:rFonts w:hint="eastAsia" w:ascii="黑体" w:eastAsia="黑体"/>
          <w:sz w:val="44"/>
          <w:szCs w:val="44"/>
        </w:rPr>
        <w:t>第</w:t>
      </w:r>
      <w:r>
        <w:rPr>
          <w:rStyle w:val="16"/>
          <w:rFonts w:hint="eastAsia" w:ascii="黑体" w:eastAsia="黑体"/>
          <w:b w:val="0"/>
        </w:rPr>
        <w:t>四部分 附件</w:t>
      </w:r>
      <w:bookmarkEnd w:id="58"/>
    </w:p>
    <w:p>
      <w:pPr>
        <w:spacing w:line="572" w:lineRule="exact"/>
        <w:jc w:val="left"/>
        <w:outlineLvl w:val="0"/>
        <w:rPr>
          <w:rFonts w:ascii="方正小标宋简体" w:eastAsia="方正小标宋简体" w:cs="方正小标宋简体"/>
          <w:sz w:val="44"/>
          <w:szCs w:val="44"/>
        </w:rPr>
      </w:pPr>
      <w:r>
        <w:rPr>
          <w:rFonts w:hint="eastAsia" w:ascii="黑体" w:eastAsia="黑体" w:cs="黑体"/>
          <w:sz w:val="32"/>
          <w:szCs w:val="32"/>
        </w:rPr>
        <w:t>附件</w:t>
      </w:r>
    </w:p>
    <w:p>
      <w:pPr>
        <w:spacing w:line="572" w:lineRule="exact"/>
        <w:jc w:val="center"/>
        <w:rPr>
          <w:rFonts w:ascii="方正小标宋简体" w:eastAsia="方正小标宋简体"/>
          <w:kern w:val="0"/>
          <w:sz w:val="40"/>
          <w:szCs w:val="44"/>
          <w:lang w:val="zh-CN"/>
        </w:rPr>
      </w:pPr>
      <w:r>
        <w:rPr>
          <w:rFonts w:hint="eastAsia" w:ascii="方正小标宋简体" w:eastAsia="方正小标宋简体"/>
          <w:kern w:val="0"/>
          <w:sz w:val="40"/>
          <w:szCs w:val="44"/>
        </w:rPr>
        <w:t>2021年XX部门整体绩效评价报告</w:t>
      </w:r>
    </w:p>
    <w:p>
      <w:pPr>
        <w:widowControl/>
        <w:spacing w:line="572" w:lineRule="exact"/>
        <w:ind w:firstLine="640" w:firstLineChars="200"/>
        <w:contextualSpacing/>
        <w:jc w:val="center"/>
        <w:rPr>
          <w:rFonts w:ascii="仿宋_GB2312" w:eastAsia="仿宋_GB2312"/>
          <w:sz w:val="32"/>
          <w:szCs w:val="32"/>
          <w:shd w:val="clear" w:color="auto" w:fill="FFFFFF"/>
        </w:rPr>
      </w:pPr>
      <w:r>
        <w:rPr>
          <w:rFonts w:hint="eastAsia" w:ascii="仿宋_GB2312" w:eastAsia="仿宋_GB2312"/>
          <w:sz w:val="32"/>
          <w:szCs w:val="32"/>
          <w:shd w:val="clear" w:color="auto" w:fill="FFFFFF"/>
        </w:rPr>
        <w:t>（报告范围包括机关和下属单位）</w:t>
      </w:r>
    </w:p>
    <w:p>
      <w:pPr>
        <w:widowControl/>
        <w:adjustRightInd w:val="0"/>
        <w:snapToGrid w:val="0"/>
        <w:spacing w:line="572" w:lineRule="exact"/>
        <w:ind w:firstLine="480" w:firstLineChars="200"/>
        <w:contextualSpacing/>
        <w:jc w:val="left"/>
        <w:rPr>
          <w:rFonts w:ascii="黑体" w:eastAsia="黑体" w:cs="宋体"/>
          <w:kern w:val="0"/>
          <w:sz w:val="24"/>
          <w:szCs w:val="32"/>
          <w:shd w:val="clear" w:color="auto" w:fill="FFFFFF"/>
        </w:rPr>
      </w:pPr>
    </w:p>
    <w:p>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lang w:val="zh-CN"/>
        </w:rPr>
      </w:pPr>
      <w:r>
        <w:rPr>
          <w:rFonts w:hint="eastAsia" w:ascii="黑体" w:eastAsia="黑体" w:cs="宋体"/>
          <w:kern w:val="0"/>
          <w:sz w:val="32"/>
          <w:szCs w:val="32"/>
          <w:shd w:val="clear" w:color="auto" w:fill="FFFFFF"/>
        </w:rPr>
        <w:t>一、</w:t>
      </w:r>
      <w:r>
        <w:rPr>
          <w:rFonts w:hint="eastAsia" w:ascii="黑体" w:eastAsia="黑体" w:cs="宋体"/>
          <w:kern w:val="0"/>
          <w:sz w:val="32"/>
          <w:szCs w:val="32"/>
          <w:shd w:val="clear" w:color="auto" w:fill="FFFFFF"/>
          <w:lang w:val="zh-CN"/>
        </w:rPr>
        <w:t>部门（单位）概况</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（一）机构组成。</w:t>
      </w:r>
    </w:p>
    <w:p>
      <w:pPr>
        <w:widowControl/>
        <w:adjustRightInd w:val="0"/>
        <w:snapToGrid w:val="0"/>
        <w:spacing w:line="572" w:lineRule="exact"/>
        <w:ind w:firstLine="640" w:firstLineChars="200"/>
        <w:contextualSpacing/>
        <w:jc w:val="left"/>
        <w:rPr>
          <w:lang w:val="zh-CN"/>
        </w:rPr>
      </w:pPr>
      <w:r>
        <w:rPr>
          <w:rFonts w:hint="eastAsia" w:ascii="仿宋_GB2312" w:eastAsia="仿宋_GB2312" w:cs="宋体"/>
          <w:kern w:val="0"/>
          <w:sz w:val="32"/>
          <w:szCs w:val="32"/>
          <w:shd w:val="clear" w:color="auto" w:fill="FFFFFF"/>
          <w:lang w:val="zh-CN"/>
        </w:rPr>
        <w:t>阿坝州人民政府驻</w:t>
      </w:r>
      <w:r>
        <w:rPr>
          <w:rFonts w:hint="eastAsia" w:ascii="仿宋_GB2312" w:eastAsia="仿宋_GB2312" w:cs="宋体"/>
          <w:kern w:val="0"/>
          <w:sz w:val="32"/>
          <w:szCs w:val="32"/>
          <w:shd w:val="clear" w:color="auto" w:fill="FFFFFF"/>
          <w:lang w:val="zh-CN" w:eastAsia="zh-CN"/>
        </w:rPr>
        <w:t>外联络办公室</w:t>
      </w:r>
      <w:r>
        <w:rPr>
          <w:rFonts w:hint="eastAsia" w:ascii="仿宋_GB2312" w:eastAsia="仿宋_GB2312" w:cs="宋体"/>
          <w:kern w:val="0"/>
          <w:sz w:val="32"/>
          <w:szCs w:val="32"/>
          <w:shd w:val="clear" w:color="auto" w:fill="FFFFFF"/>
          <w:lang w:val="zh-CN"/>
        </w:rPr>
        <w:t>所属一级预算单位，单位性质为 参照公务员法管理事业单位</w:t>
      </w:r>
      <w:r>
        <w:rPr>
          <w:rFonts w:hint="eastAsia" w:ascii="仿宋_GB2312" w:eastAsia="仿宋_GB2312" w:cs="宋体"/>
          <w:kern w:val="0"/>
          <w:sz w:val="32"/>
          <w:szCs w:val="32"/>
          <w:shd w:val="clear" w:color="auto" w:fill="FFFFFF"/>
          <w:lang w:val="zh-CN" w:eastAsia="zh-CN"/>
        </w:rPr>
        <w:t>。下设</w:t>
      </w:r>
      <w:r>
        <w:rPr>
          <w:rFonts w:hint="eastAsia" w:ascii="仿宋_GB2312" w:eastAsia="仿宋_GB2312" w:cs="宋体"/>
          <w:kern w:val="0"/>
          <w:sz w:val="32"/>
          <w:szCs w:val="32"/>
          <w:shd w:val="clear" w:color="auto" w:fill="FFFFFF"/>
          <w:lang w:val="en-US" w:eastAsia="zh-CN"/>
        </w:rPr>
        <w:t>5个职能科室分别为：综合科、政务联络科、经济联络科、信访合作科、成都联络科。</w:t>
      </w:r>
    </w:p>
    <w:p>
      <w:pPr>
        <w:widowControl/>
        <w:numPr>
          <w:ilvl w:val="0"/>
          <w:numId w:val="4"/>
        </w:numPr>
        <w:adjustRightInd w:val="0"/>
        <w:snapToGrid w:val="0"/>
        <w:spacing w:line="580" w:lineRule="exact"/>
        <w:ind w:left="0" w:leftChars="0" w:firstLine="640" w:firstLineChars="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机构职能。</w:t>
      </w:r>
    </w:p>
    <w:p>
      <w:pPr>
        <w:widowControl/>
        <w:numPr>
          <w:ilvl w:val="0"/>
          <w:numId w:val="0"/>
        </w:numPr>
        <w:adjustRightInd w:val="0"/>
        <w:snapToGrid w:val="0"/>
        <w:spacing w:line="580"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 xml:space="preserve">在州委、州政府的领导下积极做好在驻地及其周边地区的政务联络、商会指导服务、机要电报、政务服务等工作，协助各相关部门做好社会管理、区域合作、招商引资、宣传推介、信访维稳、政务接待等工作。 </w:t>
      </w:r>
    </w:p>
    <w:p>
      <w:pPr>
        <w:widowControl/>
        <w:adjustRightInd w:val="0"/>
        <w:snapToGrid w:val="0"/>
        <w:spacing w:line="580"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1.深化拓展政务联络：负责加强与国家部委局、省级部门和各市（州）的联系联络，为我州发展争取政策、项目、资金支持，加强与文化艺术、科学技术、社会科学、经济、工商、农业、教育、医药卫生等界别的广泛联系；负责我州州级领导、州直部门和各县（市）在京开展工作期间的政务服务工作；负责办理我州在北京市和环渤海经济区内的政务接待工作；参与北京市城市社会管理及城市民族工作，协助处理涉及我州群众的应急突发事件，为在京的阿坝州籍群众服好务。</w:t>
      </w:r>
    </w:p>
    <w:p>
      <w:pPr>
        <w:widowControl/>
        <w:adjustRightInd w:val="0"/>
        <w:snapToGrid w:val="0"/>
        <w:spacing w:line="580"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2.加强经济协作任务，协助好我州以北京为中心覆盖环渤海经济区的招商引资工作，并随时了解驻地区域的经济发展动向，协助做好我州在北京市和环渤海经济区内的旅游宣传等推介工作；做好阿坝州籍商会的“联系、协调、指导、服务”工作，并通过阿坝州籍商会平台广泛联系阿坝籍民营企业，主动为阿坝籍企业的生产、经营和发展排忧解难。</w:t>
      </w:r>
    </w:p>
    <w:p>
      <w:pPr>
        <w:widowControl/>
        <w:adjustRightInd w:val="0"/>
        <w:snapToGrid w:val="0"/>
        <w:spacing w:line="580"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3.加强做好信访维稳，负责协助州信访局和各县（市）信访维稳部门做好驻地及周边地区信访维稳工作；承担驻外信访稳控工作领导小组办公室职能职责；负责我州在驻地及周边地区务工人员的服务保障相关工作。</w:t>
      </w:r>
    </w:p>
    <w:p>
      <w:pPr>
        <w:widowControl/>
        <w:adjustRightInd w:val="0"/>
        <w:snapToGrid w:val="0"/>
        <w:spacing w:line="580"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en-US" w:eastAsia="zh-CN"/>
        </w:rPr>
        <w:t>4</w:t>
      </w:r>
      <w:r>
        <w:rPr>
          <w:rFonts w:hint="eastAsia" w:ascii="仿宋_GB2312" w:eastAsia="仿宋_GB2312" w:cs="宋体"/>
          <w:kern w:val="0"/>
          <w:sz w:val="32"/>
          <w:szCs w:val="32"/>
          <w:shd w:val="clear" w:color="auto" w:fill="FFFFFF"/>
          <w:lang w:val="zh-CN"/>
        </w:rPr>
        <w:t>.负责做好我州在成都及其周边地区的政务联络、商会指导服务、机要电报、政务服务等工作，协助各职能部门做好社会管理、区域合作、招商引资、宣传推介、信访维稳、政务接待等工作。</w:t>
      </w:r>
    </w:p>
    <w:p>
      <w:pPr>
        <w:widowControl/>
        <w:adjustRightInd w:val="0"/>
        <w:snapToGrid w:val="0"/>
        <w:spacing w:line="580"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5.承办机关党建、人事财务、机构编制、教育培训、机关效能建设、督查督办、目标管理、绩效管理等工作；股则机关文电、会务、固定资产管理、公务用车、保密、档案、印鉴管理工作；负责机关和带关的离退休人员管理服务等工作。</w:t>
      </w:r>
    </w:p>
    <w:p>
      <w:pPr>
        <w:widowControl/>
        <w:adjustRightInd w:val="0"/>
        <w:snapToGrid w:val="0"/>
        <w:spacing w:line="572" w:lineRule="exact"/>
        <w:ind w:firstLine="640" w:firstLineChars="200"/>
        <w:contextualSpacing/>
        <w:jc w:val="left"/>
        <w:rPr>
          <w:rFonts w:ascii="仿宋_GB2312" w:eastAsia="仿宋_GB2312" w:cs="宋体"/>
          <w:kern w:val="0"/>
          <w:sz w:val="32"/>
          <w:szCs w:val="32"/>
          <w:shd w:val="clear" w:color="auto" w:fill="FFFFFF"/>
          <w:lang w:val="zh-CN"/>
        </w:rPr>
      </w:pPr>
    </w:p>
    <w:p>
      <w:pPr>
        <w:widowControl/>
        <w:numPr>
          <w:ilvl w:val="0"/>
          <w:numId w:val="4"/>
        </w:numPr>
        <w:adjustRightInd w:val="0"/>
        <w:snapToGrid w:val="0"/>
        <w:spacing w:line="572" w:lineRule="exact"/>
        <w:ind w:left="0" w:leftChars="0" w:firstLine="640" w:firstLineChars="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人员概况。</w:t>
      </w:r>
    </w:p>
    <w:p>
      <w:pPr>
        <w:snapToGrid w:val="0"/>
        <w:spacing w:line="480" w:lineRule="exact"/>
        <w:ind w:firstLine="640" w:firstLineChars="200"/>
        <w:rPr>
          <w:lang w:val="zh-CN"/>
        </w:rPr>
      </w:pPr>
      <w:r>
        <w:rPr>
          <w:rFonts w:hint="eastAsia" w:ascii="仿宋" w:hAnsi="仿宋" w:eastAsia="仿宋"/>
          <w:sz w:val="32"/>
          <w:szCs w:val="32"/>
        </w:rPr>
        <w:t>总编制21名，其中：参照公务员法管理人员</w:t>
      </w:r>
      <w:r>
        <w:rPr>
          <w:rFonts w:hint="eastAsia" w:ascii="仿宋" w:hAnsi="仿宋" w:eastAsia="仿宋"/>
          <w:sz w:val="32"/>
          <w:szCs w:val="32"/>
          <w:lang w:val="en-US" w:eastAsia="zh-CN"/>
        </w:rPr>
        <w:t>17</w:t>
      </w:r>
      <w:r>
        <w:rPr>
          <w:rFonts w:hint="eastAsia" w:ascii="仿宋" w:hAnsi="仿宋" w:eastAsia="仿宋"/>
          <w:sz w:val="32"/>
          <w:szCs w:val="32"/>
        </w:rPr>
        <w:t>名。在职人员总数</w:t>
      </w:r>
      <w:r>
        <w:rPr>
          <w:rFonts w:hint="eastAsia" w:ascii="仿宋" w:hAnsi="仿宋" w:eastAsia="仿宋"/>
          <w:sz w:val="32"/>
          <w:szCs w:val="32"/>
          <w:lang w:val="en-US" w:eastAsia="zh-CN"/>
        </w:rPr>
        <w:t>17</w:t>
      </w:r>
      <w:r>
        <w:rPr>
          <w:rFonts w:hint="eastAsia" w:ascii="仿宋" w:hAnsi="仿宋" w:eastAsia="仿宋"/>
          <w:sz w:val="32"/>
          <w:szCs w:val="32"/>
        </w:rPr>
        <w:t>名，离休人员1名。</w:t>
      </w:r>
    </w:p>
    <w:p>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二、部门财政资金收支情况</w:t>
      </w:r>
    </w:p>
    <w:p>
      <w:pPr>
        <w:snapToGrid w:val="0"/>
        <w:spacing w:line="480" w:lineRule="exact"/>
        <w:ind w:firstLine="640" w:firstLineChars="200"/>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（一）部门财政资金收入情况。</w:t>
      </w:r>
    </w:p>
    <w:p>
      <w:pPr>
        <w:widowControl/>
        <w:numPr>
          <w:ilvl w:val="0"/>
          <w:numId w:val="0"/>
        </w:numPr>
        <w:adjustRightInd w:val="0"/>
        <w:snapToGrid w:val="0"/>
        <w:spacing w:line="580" w:lineRule="exact"/>
        <w:ind w:firstLine="640" w:firstLineChars="200"/>
        <w:contextualSpacing/>
        <w:jc w:val="left"/>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仿宋_GB2312" w:hAnsi="Times New Roman" w:eastAsia="仿宋_GB2312" w:cs="宋体"/>
          <w:color w:val="000000"/>
          <w:kern w:val="0"/>
          <w:sz w:val="32"/>
          <w:szCs w:val="32"/>
          <w:shd w:val="clear" w:color="auto" w:fill="FFFFFF"/>
          <w:lang w:val="zh-CN" w:eastAsia="zh-CN" w:bidi="ar-SA"/>
        </w:rPr>
        <w:t>本单位本年度总收入为1,048.56万元。其中：一般公共预算财政拨款收入为1,048.56万元，占比100.00%；为0.00万元，其中：一般公共服务支出为1,187.23万元，占比94.10%；社会保障和就业支出为35.14万元，占比2.79%；卫生健康支出为13.89万元，占比1.10%；住房保障支出为25.37万元，占比2.01%</w:t>
      </w:r>
      <w:r>
        <w:rPr>
          <w:rFonts w:hint="eastAsia" w:ascii="仿宋_GB2312" w:cs="宋体"/>
          <w:color w:val="000000"/>
          <w:kern w:val="0"/>
          <w:sz w:val="32"/>
          <w:szCs w:val="32"/>
          <w:shd w:val="clear" w:color="auto" w:fill="FFFFFF"/>
          <w:lang w:val="zh-CN" w:eastAsia="zh-CN" w:bidi="ar-SA"/>
        </w:rPr>
        <w:t>。</w:t>
      </w:r>
    </w:p>
    <w:p>
      <w:pPr>
        <w:widowControl/>
        <w:numPr>
          <w:ilvl w:val="0"/>
          <w:numId w:val="5"/>
        </w:numPr>
        <w:adjustRightInd w:val="0"/>
        <w:snapToGrid w:val="0"/>
        <w:spacing w:line="580"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部门财政资金支出情况。</w:t>
      </w:r>
    </w:p>
    <w:p>
      <w:pPr>
        <w:widowControl/>
        <w:numPr>
          <w:ilvl w:val="0"/>
          <w:numId w:val="0"/>
        </w:numPr>
        <w:adjustRightInd w:val="0"/>
        <w:snapToGrid w:val="0"/>
        <w:spacing w:line="580" w:lineRule="exact"/>
        <w:ind w:firstLine="640" w:firstLineChars="200"/>
        <w:contextualSpacing/>
        <w:jc w:val="left"/>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仿宋_GB2312" w:hAnsi="Times New Roman" w:eastAsia="仿宋_GB2312" w:cs="宋体"/>
          <w:color w:val="000000"/>
          <w:kern w:val="0"/>
          <w:sz w:val="32"/>
          <w:szCs w:val="32"/>
          <w:shd w:val="clear" w:color="auto" w:fill="FFFFFF"/>
          <w:lang w:val="zh-CN" w:eastAsia="zh-CN" w:bidi="ar-SA"/>
        </w:rPr>
        <w:t>本单位本年度财政拨款支出为1,261.63万元，其中：基本支出中人员经费支出为490.06万元，公用经费支出为561.75万元。项目支出中基本建设类项目支出为0.00万元，支出要按照基本支出和项目支出分析具体构成及特点：</w:t>
      </w:r>
      <w:r>
        <w:rPr>
          <w:rFonts w:hint="eastAsia" w:ascii="仿宋_GB2312" w:hAnsi="Times New Roman" w:eastAsia="仿宋_GB2312" w:cs="宋体"/>
          <w:color w:val="000000"/>
          <w:kern w:val="0"/>
          <w:sz w:val="32"/>
          <w:szCs w:val="32"/>
          <w:shd w:val="clear" w:color="auto" w:fill="FFFFFF"/>
          <w:lang w:val="en-US" w:eastAsia="zh-CN" w:bidi="ar-SA"/>
        </w:rPr>
        <w:t>一、基本支出主要是：1、人员经费490万元，保障在职与离休职工工资及社保经费，保障第三方购买服务临聘人员工资，2、公用经费主要是办公用品及北京办公设备家电物价的购买，三公经费以及政务联络招商引资及信访机要等工作的后勤保障等方面的支出；项目支出主要是北京办公区维修改造工程使用存量资金支出209.83万元</w:t>
      </w:r>
      <w:r>
        <w:rPr>
          <w:rFonts w:hint="eastAsia" w:ascii="仿宋_GB2312" w:hAnsi="Times New Roman" w:eastAsia="仿宋_GB2312" w:cs="宋体"/>
          <w:color w:val="000000"/>
          <w:kern w:val="0"/>
          <w:sz w:val="32"/>
          <w:szCs w:val="32"/>
          <w:shd w:val="clear" w:color="auto" w:fill="FFFFFF"/>
          <w:lang w:val="zh-CN" w:eastAsia="zh-CN" w:bidi="ar-SA"/>
        </w:rPr>
        <w:t>。</w:t>
      </w:r>
    </w:p>
    <w:p>
      <w:pPr>
        <w:widowControl/>
        <w:adjustRightInd w:val="0"/>
        <w:snapToGrid w:val="0"/>
        <w:spacing w:line="572"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三、部门整体预算绩效管理情况（涉及到有专项预算的部门，专项预算项目自评报告作为附件报送；特定目标类部门预算项目绩效目标自评表作为附表报送）</w:t>
      </w:r>
    </w:p>
    <w:p>
      <w:pPr>
        <w:widowControl/>
        <w:adjustRightInd w:val="0"/>
        <w:snapToGrid w:val="0"/>
        <w:spacing w:line="572" w:lineRule="exact"/>
        <w:ind w:firstLine="640" w:firstLineChars="200"/>
        <w:contextualSpacing/>
        <w:jc w:val="left"/>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（一）部门预算项目绩效管理。</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部门绩效目标制定</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我单位按照州级部门预算编制通知和有关要求，</w:t>
      </w:r>
      <w:r>
        <w:rPr>
          <w:rFonts w:hint="eastAsia" w:ascii="仿宋_GB2312" w:eastAsia="仿宋_GB2312" w:cs="宋体"/>
          <w:kern w:val="0"/>
          <w:sz w:val="32"/>
          <w:szCs w:val="32"/>
          <w:shd w:val="clear" w:color="auto" w:fill="FFFFFF"/>
          <w:lang w:val="en-US" w:eastAsia="zh-CN"/>
        </w:rPr>
        <w:t>按照我单位的职能职责</w:t>
      </w:r>
      <w:r>
        <w:rPr>
          <w:rFonts w:hint="eastAsia" w:ascii="仿宋_GB2312" w:eastAsia="仿宋_GB2312" w:cs="宋体"/>
          <w:kern w:val="0"/>
          <w:sz w:val="32"/>
          <w:szCs w:val="32"/>
          <w:shd w:val="clear" w:color="auto" w:fill="FFFFFF"/>
          <w:lang w:val="zh-CN"/>
        </w:rPr>
        <w:t>按时完成</w:t>
      </w:r>
      <w:r>
        <w:rPr>
          <w:rFonts w:hint="eastAsia" w:ascii="仿宋_GB2312" w:eastAsia="仿宋_GB2312" w:cs="宋体"/>
          <w:kern w:val="0"/>
          <w:sz w:val="32"/>
          <w:szCs w:val="32"/>
          <w:shd w:val="clear" w:color="auto" w:fill="FFFFFF"/>
          <w:lang w:val="en-US" w:eastAsia="zh-CN"/>
        </w:rPr>
        <w:t>各项目标任务，做好</w:t>
      </w:r>
      <w:r>
        <w:rPr>
          <w:rFonts w:hint="eastAsia" w:ascii="仿宋_GB2312" w:eastAsia="仿宋_GB2312" w:cs="宋体"/>
          <w:kern w:val="0"/>
          <w:sz w:val="32"/>
          <w:szCs w:val="32"/>
          <w:shd w:val="clear" w:color="auto" w:fill="FFFFFF"/>
          <w:lang w:val="zh-CN"/>
        </w:rPr>
        <w:t>好社会管理、区域合作、招商引资、宣传推介、信访维稳、政务接待</w:t>
      </w:r>
      <w:r>
        <w:rPr>
          <w:rFonts w:hint="eastAsia" w:ascii="仿宋_GB2312" w:eastAsia="仿宋_GB2312" w:cs="宋体"/>
          <w:kern w:val="0"/>
          <w:sz w:val="32"/>
          <w:szCs w:val="32"/>
          <w:shd w:val="clear" w:color="auto" w:fill="FFFFFF"/>
          <w:lang w:val="zh-CN" w:eastAsia="zh-CN"/>
        </w:rPr>
        <w:t>、</w:t>
      </w:r>
      <w:r>
        <w:rPr>
          <w:rFonts w:hint="eastAsia" w:ascii="仿宋_GB2312" w:eastAsia="仿宋_GB2312" w:cs="宋体"/>
          <w:kern w:val="0"/>
          <w:sz w:val="32"/>
          <w:szCs w:val="32"/>
          <w:shd w:val="clear" w:color="auto" w:fill="FFFFFF"/>
          <w:lang w:val="en-US" w:eastAsia="zh-CN"/>
        </w:rPr>
        <w:t>机要保障</w:t>
      </w:r>
      <w:r>
        <w:rPr>
          <w:rFonts w:hint="eastAsia" w:ascii="仿宋_GB2312" w:eastAsia="仿宋_GB2312" w:cs="宋体"/>
          <w:kern w:val="0"/>
          <w:sz w:val="32"/>
          <w:szCs w:val="32"/>
          <w:shd w:val="clear" w:color="auto" w:fill="FFFFFF"/>
          <w:lang w:val="zh-CN"/>
        </w:rPr>
        <w:t>等工作。按要求完成预算编制质量、绩效目标填报等。（</w:t>
      </w:r>
      <w:r>
        <w:rPr>
          <w:rFonts w:hint="eastAsia" w:ascii="仿宋_GB2312" w:eastAsia="仿宋_GB2312" w:cs="宋体"/>
          <w:kern w:val="0"/>
          <w:sz w:val="32"/>
          <w:szCs w:val="32"/>
          <w:shd w:val="clear" w:color="auto" w:fill="FFFFFF"/>
          <w:lang w:val="en-US" w:eastAsia="zh-CN"/>
        </w:rPr>
        <w:t>我单位有北京办公区维修改造款由于疫情的影响至今还未竣工结算</w:t>
      </w:r>
      <w:r>
        <w:rPr>
          <w:rFonts w:hint="eastAsia" w:ascii="仿宋_GB2312" w:eastAsia="仿宋_GB2312" w:cs="宋体"/>
          <w:kern w:val="0"/>
          <w:sz w:val="32"/>
          <w:szCs w:val="32"/>
          <w:shd w:val="clear" w:color="auto" w:fill="FFFFFF"/>
          <w:lang w:val="zh-CN"/>
        </w:rPr>
        <w:t>）。</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目标实现</w:t>
      </w:r>
    </w:p>
    <w:p>
      <w:pPr>
        <w:widowControl/>
        <w:adjustRightInd w:val="0"/>
        <w:snapToGrid w:val="0"/>
        <w:spacing w:line="572" w:lineRule="exact"/>
        <w:ind w:firstLine="640" w:firstLineChars="200"/>
        <w:contextualSpacing/>
        <w:jc w:val="left"/>
        <w:rPr>
          <w:rFonts w:hint="default" w:ascii="仿宋_GB2312" w:eastAsia="仿宋_GB2312" w:cs="宋体"/>
          <w:kern w:val="0"/>
          <w:sz w:val="32"/>
          <w:szCs w:val="32"/>
          <w:shd w:val="clear" w:color="auto" w:fill="FFFFFF"/>
          <w:lang w:val="en-US" w:eastAsia="zh-CN"/>
        </w:rPr>
      </w:pPr>
      <w:r>
        <w:rPr>
          <w:rFonts w:hint="eastAsia" w:ascii="仿宋_GB2312" w:eastAsia="仿宋_GB2312" w:cs="宋体"/>
          <w:kern w:val="0"/>
          <w:sz w:val="32"/>
          <w:szCs w:val="32"/>
          <w:shd w:val="clear" w:color="auto" w:fill="FFFFFF"/>
          <w:lang w:val="en-US" w:eastAsia="zh-CN"/>
        </w:rPr>
        <w:t>实现</w:t>
      </w:r>
      <w:r>
        <w:rPr>
          <w:rFonts w:hint="eastAsia" w:ascii="仿宋_GB2312" w:eastAsia="仿宋_GB2312" w:cs="宋体"/>
          <w:kern w:val="0"/>
          <w:sz w:val="32"/>
          <w:szCs w:val="32"/>
          <w:shd w:val="clear" w:color="auto" w:fill="FFFFFF"/>
          <w:lang w:val="zh-CN"/>
        </w:rPr>
        <w:t>充分发挥驻地在外的地理和区位优势，改变原来单一的服务工作为融合联络、协调、服务、处置等多元化相融合的政务联络服务机制，主动加强与国家部委局和省级部门的对接联系，为我州向上争取政策和项目牵好线。</w:t>
      </w:r>
      <w:r>
        <w:rPr>
          <w:rFonts w:hint="eastAsia" w:ascii="仿宋_GB2312" w:eastAsia="仿宋_GB2312" w:cs="宋体"/>
          <w:kern w:val="0"/>
          <w:sz w:val="32"/>
          <w:szCs w:val="32"/>
          <w:shd w:val="clear" w:color="auto" w:fill="FFFFFF"/>
          <w:lang w:val="en-US" w:eastAsia="zh-CN"/>
        </w:rPr>
        <w:t>同时做好在京</w:t>
      </w:r>
      <w:r>
        <w:rPr>
          <w:rFonts w:hint="eastAsia" w:ascii="仿宋_GB2312" w:eastAsia="仿宋_GB2312" w:cs="宋体"/>
          <w:kern w:val="0"/>
          <w:sz w:val="32"/>
          <w:szCs w:val="32"/>
          <w:shd w:val="clear" w:color="auto" w:fill="FFFFFF"/>
          <w:lang w:val="zh-CN"/>
        </w:rPr>
        <w:t>农民工后勤保障工作，做好用工信息收集，向在京务工人员分享成都、阿坝州用工信息。</w:t>
      </w:r>
      <w:r>
        <w:rPr>
          <w:rFonts w:hint="eastAsia" w:ascii="仿宋_GB2312" w:eastAsia="仿宋_GB2312" w:cs="宋体"/>
          <w:kern w:val="0"/>
          <w:sz w:val="32"/>
          <w:szCs w:val="32"/>
          <w:shd w:val="clear" w:color="auto" w:fill="FFFFFF"/>
          <w:lang w:val="en-US" w:eastAsia="zh-CN"/>
        </w:rPr>
        <w:t>的阿坝籍农民工的，完成好在京的信访稳控工作。</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预算编制准确</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en-US" w:eastAsia="zh-CN"/>
        </w:rPr>
      </w:pPr>
      <w:r>
        <w:rPr>
          <w:rFonts w:hint="eastAsia" w:ascii="仿宋_GB2312" w:eastAsia="仿宋_GB2312" w:cs="宋体"/>
          <w:kern w:val="0"/>
          <w:sz w:val="32"/>
          <w:szCs w:val="32"/>
          <w:shd w:val="clear" w:color="auto" w:fill="FFFFFF"/>
          <w:lang w:val="en-US" w:eastAsia="zh-CN"/>
        </w:rPr>
        <w:t>加强预算的编审，结合上年预算支出情况和本年的实际工作安排各项预算，该方面有待加强。</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支出控制</w:t>
      </w:r>
    </w:p>
    <w:p>
      <w:pPr>
        <w:widowControl/>
        <w:adjustRightInd w:val="0"/>
        <w:snapToGrid w:val="0"/>
        <w:spacing w:line="572" w:lineRule="exact"/>
        <w:ind w:firstLine="640" w:firstLineChars="200"/>
        <w:contextualSpacing/>
        <w:jc w:val="left"/>
        <w:rPr>
          <w:rFonts w:hint="default" w:ascii="仿宋_GB2312" w:eastAsia="仿宋_GB2312" w:cs="宋体"/>
          <w:kern w:val="0"/>
          <w:sz w:val="32"/>
          <w:szCs w:val="32"/>
          <w:shd w:val="clear" w:color="auto" w:fill="FFFFFF"/>
          <w:lang w:val="en-US" w:eastAsia="zh-CN"/>
        </w:rPr>
      </w:pPr>
      <w:r>
        <w:rPr>
          <w:rFonts w:hint="eastAsia" w:ascii="仿宋_GB2312" w:eastAsia="仿宋_GB2312" w:cs="宋体"/>
          <w:kern w:val="0"/>
          <w:sz w:val="32"/>
          <w:szCs w:val="32"/>
          <w:shd w:val="clear" w:color="auto" w:fill="FFFFFF"/>
          <w:lang w:val="en-US" w:eastAsia="zh-CN"/>
        </w:rPr>
        <w:t>严格按照实报实销，及时办理各事项、及时支付；本着厉行节约的原则开展各项相关工作。</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预算动态调整</w:t>
      </w:r>
    </w:p>
    <w:p>
      <w:pPr>
        <w:widowControl/>
        <w:adjustRightInd w:val="0"/>
        <w:snapToGrid w:val="0"/>
        <w:spacing w:line="572" w:lineRule="exact"/>
        <w:ind w:firstLine="640" w:firstLineChars="200"/>
        <w:contextualSpacing/>
        <w:jc w:val="left"/>
        <w:rPr>
          <w:rFonts w:hint="default" w:ascii="仿宋_GB2312" w:eastAsia="仿宋_GB2312" w:cs="宋体"/>
          <w:kern w:val="0"/>
          <w:sz w:val="32"/>
          <w:szCs w:val="32"/>
          <w:shd w:val="clear" w:color="auto" w:fill="FFFFFF"/>
          <w:lang w:val="en-US" w:eastAsia="zh-CN"/>
        </w:rPr>
      </w:pPr>
      <w:r>
        <w:rPr>
          <w:rFonts w:hint="eastAsia" w:ascii="仿宋_GB2312" w:eastAsia="仿宋_GB2312" w:cs="宋体"/>
          <w:kern w:val="0"/>
          <w:sz w:val="32"/>
          <w:szCs w:val="32"/>
          <w:shd w:val="clear" w:color="auto" w:fill="FFFFFF"/>
          <w:lang w:val="en-US" w:eastAsia="zh-CN"/>
        </w:rPr>
        <w:t>我单位本年截止目前无预算调整，本着时刻监控预算执行的原则，对单位预算的执行和联系临时性或突发性事件调整本单位预算。</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执行进度</w:t>
      </w:r>
    </w:p>
    <w:p>
      <w:pPr>
        <w:widowControl/>
        <w:adjustRightInd w:val="0"/>
        <w:snapToGrid w:val="0"/>
        <w:spacing w:line="572" w:lineRule="exact"/>
        <w:ind w:firstLine="640" w:firstLineChars="200"/>
        <w:contextualSpacing/>
        <w:jc w:val="left"/>
        <w:rPr>
          <w:rFonts w:hint="default" w:ascii="仿宋_GB2312" w:eastAsia="仿宋_GB2312" w:cs="宋体"/>
          <w:kern w:val="0"/>
          <w:sz w:val="32"/>
          <w:szCs w:val="32"/>
          <w:shd w:val="clear" w:color="auto" w:fill="FFFFFF"/>
          <w:lang w:val="en-US"/>
        </w:rPr>
      </w:pPr>
      <w:r>
        <w:rPr>
          <w:rFonts w:hint="eastAsia" w:ascii="仿宋_GB2312" w:eastAsia="仿宋_GB2312" w:cs="宋体"/>
          <w:kern w:val="0"/>
          <w:sz w:val="32"/>
          <w:szCs w:val="32"/>
          <w:shd w:val="clear" w:color="auto" w:fill="FFFFFF"/>
          <w:lang w:val="en-US" w:eastAsia="zh-CN"/>
        </w:rPr>
        <w:t>2021年预算当年预算执行进度为100%，总支出决算完成度为99.93%，主要原因为结转以前年度非财政结余资金0.94万元。</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预算完成情况</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en-US" w:eastAsia="zh-CN"/>
        </w:rPr>
      </w:pPr>
      <w:r>
        <w:rPr>
          <w:rFonts w:hint="eastAsia" w:ascii="仿宋_GB2312" w:eastAsia="仿宋_GB2312" w:cs="宋体"/>
          <w:kern w:val="0"/>
          <w:sz w:val="32"/>
          <w:szCs w:val="32"/>
          <w:shd w:val="clear" w:color="auto" w:fill="FFFFFF"/>
          <w:lang w:val="en-US" w:eastAsia="zh-CN"/>
        </w:rPr>
        <w:t>本单位本年度收入调整预算数为1,048.56万元，收入决算数为1,048.56万元，预算完成度为100.00%，上年度预算完成度为100.00%，无差异。 本年度支出调整预算数为1,262.57万元，支出决算数为1,261.63万元，预算完成度为99.93%，上年度预算完成度为90.97%，存在差异的主要原因为结转以前年度非财政结余资金0.94万元。</w:t>
      </w:r>
    </w:p>
    <w:p>
      <w:pPr>
        <w:widowControl/>
        <w:adjustRightInd w:val="0"/>
        <w:snapToGrid w:val="0"/>
        <w:spacing w:line="572"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en-US" w:eastAsia="zh-CN"/>
        </w:rPr>
        <w:t>我单位截止目前无</w:t>
      </w:r>
      <w:r>
        <w:rPr>
          <w:rFonts w:hint="eastAsia" w:ascii="仿宋_GB2312" w:eastAsia="仿宋_GB2312" w:cs="宋体"/>
          <w:kern w:val="0"/>
          <w:sz w:val="32"/>
          <w:szCs w:val="32"/>
          <w:shd w:val="clear" w:color="auto" w:fill="FFFFFF"/>
          <w:lang w:val="zh-CN"/>
        </w:rPr>
        <w:t>违规记录等。</w:t>
      </w:r>
    </w:p>
    <w:p>
      <w:pPr>
        <w:widowControl/>
        <w:adjustRightInd w:val="0"/>
        <w:snapToGrid w:val="0"/>
        <w:spacing w:line="572" w:lineRule="exact"/>
        <w:ind w:firstLine="640" w:firstLineChars="200"/>
        <w:contextualSpacing/>
        <w:jc w:val="left"/>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（二）结果应用情况。</w:t>
      </w:r>
    </w:p>
    <w:p>
      <w:pPr>
        <w:widowControl/>
        <w:adjustRightInd w:val="0"/>
        <w:snapToGrid w:val="0"/>
        <w:spacing w:line="572" w:lineRule="exact"/>
        <w:ind w:firstLine="640" w:firstLineChars="200"/>
        <w:contextualSpacing/>
        <w:jc w:val="left"/>
        <w:rPr>
          <w:rFonts w:hint="default" w:ascii="仿宋_GB2312" w:eastAsia="仿宋_GB2312" w:cs="宋体"/>
          <w:kern w:val="0"/>
          <w:sz w:val="32"/>
          <w:szCs w:val="32"/>
          <w:shd w:val="clear" w:color="auto" w:fill="FFFFFF"/>
          <w:lang w:val="en-US"/>
        </w:rPr>
      </w:pPr>
      <w:r>
        <w:rPr>
          <w:rFonts w:hint="eastAsia" w:ascii="仿宋_GB2312" w:eastAsia="仿宋_GB2312" w:cs="宋体"/>
          <w:kern w:val="0"/>
          <w:sz w:val="32"/>
          <w:szCs w:val="32"/>
          <w:shd w:val="clear" w:color="auto" w:fill="FFFFFF"/>
          <w:lang w:val="en-US" w:eastAsia="zh-CN"/>
        </w:rPr>
        <w:t>我单位针对本次开展的</w:t>
      </w:r>
      <w:r>
        <w:rPr>
          <w:rFonts w:hint="eastAsia" w:ascii="仿宋_GB2312" w:eastAsia="仿宋_GB2312" w:cs="宋体"/>
          <w:kern w:val="0"/>
          <w:sz w:val="32"/>
          <w:szCs w:val="32"/>
          <w:shd w:val="clear" w:color="auto" w:fill="FFFFFF"/>
          <w:lang w:val="zh-CN"/>
        </w:rPr>
        <w:t>绩效自评</w:t>
      </w:r>
      <w:r>
        <w:rPr>
          <w:rFonts w:hint="eastAsia" w:ascii="仿宋_GB2312" w:eastAsia="仿宋_GB2312" w:cs="宋体"/>
          <w:kern w:val="0"/>
          <w:sz w:val="32"/>
          <w:szCs w:val="32"/>
          <w:shd w:val="clear" w:color="auto" w:fill="FFFFFF"/>
          <w:lang w:val="en-US" w:eastAsia="zh-CN"/>
        </w:rPr>
        <w:t>在我单位办公区公示栏进行了公开</w:t>
      </w:r>
      <w:r>
        <w:rPr>
          <w:rFonts w:hint="eastAsia" w:ascii="仿宋_GB2312" w:eastAsia="仿宋_GB2312" w:cs="宋体"/>
          <w:kern w:val="0"/>
          <w:sz w:val="32"/>
          <w:szCs w:val="32"/>
          <w:shd w:val="clear" w:color="auto" w:fill="FFFFFF"/>
          <w:lang w:val="zh-CN"/>
        </w:rPr>
        <w:t>、</w:t>
      </w:r>
      <w:r>
        <w:rPr>
          <w:rFonts w:hint="eastAsia" w:ascii="仿宋_GB2312" w:eastAsia="仿宋_GB2312" w:cs="宋体"/>
          <w:kern w:val="0"/>
          <w:sz w:val="32"/>
          <w:szCs w:val="32"/>
          <w:shd w:val="clear" w:color="auto" w:fill="FFFFFF"/>
          <w:lang w:val="en-US" w:eastAsia="zh-CN"/>
        </w:rPr>
        <w:t>并针对本次检查，力争下一年的预算编制中加强编制科目的运用，并加强项目绩效的监管。</w:t>
      </w:r>
    </w:p>
    <w:p>
      <w:pPr>
        <w:widowControl/>
        <w:numPr>
          <w:ilvl w:val="0"/>
          <w:numId w:val="6"/>
        </w:numPr>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自评质量</w:t>
      </w:r>
    </w:p>
    <w:p>
      <w:pPr>
        <w:widowControl/>
        <w:adjustRightInd w:val="0"/>
        <w:snapToGrid w:val="0"/>
        <w:spacing w:line="576" w:lineRule="exact"/>
        <w:contextualSpacing/>
        <w:jc w:val="left"/>
        <w:rPr>
          <w:rFonts w:ascii="仿宋_GB2312" w:eastAsia="仿宋_GB2312" w:cs="宋体"/>
          <w:kern w:val="0"/>
          <w:sz w:val="32"/>
          <w:szCs w:val="32"/>
          <w:shd w:val="clear" w:color="auto" w:fill="FFFFFF"/>
        </w:rPr>
      </w:pPr>
      <w:r>
        <w:rPr>
          <w:rFonts w:hint="eastAsia" w:ascii="仿宋_GB2312" w:eastAsia="仿宋_GB2312" w:cs="宋体"/>
          <w:kern w:val="0"/>
          <w:sz w:val="32"/>
          <w:szCs w:val="32"/>
          <w:shd w:val="clear" w:color="auto" w:fill="FFFFFF"/>
        </w:rPr>
        <w:t xml:space="preserve">  </w:t>
      </w:r>
      <w:r>
        <w:rPr>
          <w:rFonts w:hint="eastAsia" w:ascii="仿宋_GB2312" w:eastAsia="仿宋_GB2312" w:cs="宋体"/>
          <w:kern w:val="0"/>
          <w:sz w:val="32"/>
          <w:szCs w:val="32"/>
          <w:shd w:val="clear" w:color="auto" w:fill="FFFFFF"/>
          <w:lang w:val="en-US" w:eastAsia="zh-CN"/>
        </w:rPr>
        <w:t xml:space="preserve">  我单位切实按照绩效自评要求对单位预算绩效进行准确自评</w:t>
      </w:r>
      <w:r>
        <w:rPr>
          <w:rFonts w:hint="eastAsia" w:ascii="仿宋_GB2312" w:eastAsia="仿宋_GB2312" w:cs="宋体"/>
          <w:kern w:val="0"/>
          <w:sz w:val="32"/>
          <w:szCs w:val="32"/>
          <w:shd w:val="clear" w:color="auto" w:fill="FFFFFF"/>
        </w:rPr>
        <w:t>。</w:t>
      </w:r>
    </w:p>
    <w:p>
      <w:pPr>
        <w:widowControl/>
        <w:adjustRightInd w:val="0"/>
        <w:snapToGrid w:val="0"/>
        <w:spacing w:line="576"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四、评价结论及建议</w:t>
      </w:r>
    </w:p>
    <w:p>
      <w:pPr>
        <w:widowControl/>
        <w:adjustRightInd w:val="0"/>
        <w:snapToGrid w:val="0"/>
        <w:spacing w:line="576" w:lineRule="exact"/>
        <w:contextualSpacing/>
        <w:jc w:val="left"/>
        <w:rPr>
          <w:rFonts w:hint="eastAsia" w:ascii="仿宋_GB2312" w:eastAsia="仿宋_GB2312" w:cs="宋体"/>
          <w:kern w:val="0"/>
          <w:sz w:val="32"/>
          <w:szCs w:val="32"/>
          <w:shd w:val="clear" w:color="auto" w:fill="FFFFFF"/>
          <w:lang w:val="zh-CN" w:eastAsia="zh-CN"/>
        </w:rPr>
      </w:pPr>
      <w:r>
        <w:rPr>
          <w:rFonts w:hint="eastAsia" w:ascii="仿宋_GB2312" w:cs="宋体"/>
          <w:color w:val="000000"/>
          <w:kern w:val="0"/>
          <w:szCs w:val="32"/>
          <w:shd w:val="clear" w:color="auto" w:fill="FFFFFF"/>
          <w:lang w:val="zh-CN"/>
        </w:rPr>
        <w:t>（</w:t>
      </w:r>
      <w:r>
        <w:rPr>
          <w:rFonts w:hint="eastAsia" w:ascii="仿宋_GB2312" w:eastAsia="仿宋_GB2312" w:cs="宋体"/>
          <w:kern w:val="0"/>
          <w:sz w:val="32"/>
          <w:szCs w:val="32"/>
          <w:shd w:val="clear" w:color="auto" w:fill="FFFFFF"/>
          <w:lang w:val="zh-CN" w:eastAsia="zh-CN"/>
        </w:rPr>
        <w:t>一）评价结论。</w:t>
      </w:r>
    </w:p>
    <w:p>
      <w:pPr>
        <w:widowControl/>
        <w:adjustRightInd w:val="0"/>
        <w:snapToGrid w:val="0"/>
        <w:spacing w:line="576" w:lineRule="exact"/>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en-US" w:eastAsia="zh-CN"/>
        </w:rPr>
        <w:t>我单位2021年支出绩效评价为  78.3 分（单位涉及项目总分为90分，单位自评得分为70.5分(70.5/90)*100)</w:t>
      </w:r>
      <w:r>
        <w:rPr>
          <w:rFonts w:hint="eastAsia" w:ascii="仿宋_GB2312" w:eastAsia="仿宋_GB2312" w:cs="宋体"/>
          <w:kern w:val="0"/>
          <w:sz w:val="32"/>
          <w:szCs w:val="32"/>
          <w:shd w:val="clear" w:color="auto" w:fill="FFFFFF"/>
          <w:lang w:val="zh-CN" w:eastAsia="zh-CN"/>
        </w:rPr>
        <w:t>。</w:t>
      </w:r>
    </w:p>
    <w:p>
      <w:pPr>
        <w:widowControl/>
        <w:adjustRightInd w:val="0"/>
        <w:snapToGrid w:val="0"/>
        <w:spacing w:line="576" w:lineRule="exact"/>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（二）存在问题。</w:t>
      </w:r>
    </w:p>
    <w:p>
      <w:pPr>
        <w:widowControl/>
        <w:adjustRightInd w:val="0"/>
        <w:snapToGrid w:val="0"/>
        <w:spacing w:line="576" w:lineRule="exact"/>
        <w:contextualSpacing/>
        <w:jc w:val="left"/>
        <w:rPr>
          <w:rFonts w:hint="default" w:ascii="仿宋_GB2312" w:eastAsia="仿宋_GB2312" w:cs="宋体"/>
          <w:kern w:val="0"/>
          <w:sz w:val="32"/>
          <w:szCs w:val="32"/>
          <w:shd w:val="clear" w:color="auto" w:fill="FFFFFF"/>
          <w:lang w:val="en-US" w:eastAsia="zh-CN"/>
        </w:rPr>
      </w:pPr>
      <w:r>
        <w:rPr>
          <w:rFonts w:hint="eastAsia" w:ascii="仿宋_GB2312" w:eastAsia="仿宋_GB2312" w:cs="宋体"/>
          <w:kern w:val="0"/>
          <w:sz w:val="32"/>
          <w:szCs w:val="32"/>
          <w:shd w:val="clear" w:color="auto" w:fill="FFFFFF"/>
          <w:lang w:val="en-US" w:eastAsia="zh-CN"/>
        </w:rPr>
        <w:t>财</w:t>
      </w:r>
      <w:r>
        <w:rPr>
          <w:rFonts w:hint="eastAsia" w:ascii="仿宋_GB2312" w:eastAsia="仿宋_GB2312" w:cs="宋体"/>
          <w:kern w:val="0"/>
          <w:sz w:val="32"/>
          <w:szCs w:val="32"/>
          <w:shd w:val="clear" w:color="auto" w:fill="FFFFFF"/>
          <w:lang w:val="zh-CN" w:eastAsia="zh-CN"/>
        </w:rPr>
        <w:t>政预算</w:t>
      </w:r>
      <w:r>
        <w:rPr>
          <w:rFonts w:hint="eastAsia" w:ascii="仿宋_GB2312" w:eastAsia="仿宋_GB2312" w:cs="宋体"/>
          <w:kern w:val="0"/>
          <w:sz w:val="32"/>
          <w:szCs w:val="32"/>
          <w:shd w:val="clear" w:color="auto" w:fill="FFFFFF"/>
          <w:lang w:val="en-US" w:eastAsia="zh-CN"/>
        </w:rPr>
        <w:t>编制不够精确，特别经济分类科目，要结合单位实际产生的费用项来编制预算。内控制度执行力度不够强，加强内控的执行。</w:t>
      </w:r>
    </w:p>
    <w:p>
      <w:pPr>
        <w:widowControl/>
        <w:adjustRightInd w:val="0"/>
        <w:snapToGrid w:val="0"/>
        <w:spacing w:line="576" w:lineRule="exact"/>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（三）改进建议。</w:t>
      </w:r>
    </w:p>
    <w:p>
      <w:pPr>
        <w:widowControl/>
        <w:adjustRightInd w:val="0"/>
        <w:snapToGrid w:val="0"/>
        <w:spacing w:line="576" w:lineRule="exact"/>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en-US" w:eastAsia="zh-CN"/>
        </w:rPr>
        <w:t>按要求结合实际科学编制预算；加快加强业务知识、财政政策的学习，做好及时进行账务处理；在资金安全合规的情况下加快预算执行力度；强化单位内部（各部门、各人员）对内控制度的执行力。</w:t>
      </w:r>
    </w:p>
    <w:p>
      <w:pPr>
        <w:pStyle w:val="2"/>
        <w:spacing w:before="93"/>
        <w:rPr>
          <w:rFonts w:cs="宋体"/>
          <w:sz w:val="32"/>
          <w:szCs w:val="32"/>
          <w:shd w:val="clear" w:color="auto" w:fill="FFFFFF"/>
          <w:lang w:val="zh-CN"/>
        </w:rPr>
      </w:pPr>
    </w:p>
    <w:p>
      <w:pPr>
        <w:pStyle w:val="2"/>
        <w:spacing w:before="93"/>
        <w:rPr>
          <w:lang w:val="zh-CN"/>
        </w:rPr>
      </w:pPr>
      <w:r>
        <w:rPr>
          <w:rFonts w:hint="eastAsia" w:cs="宋体"/>
          <w:sz w:val="32"/>
          <w:szCs w:val="32"/>
          <w:shd w:val="clear" w:color="auto" w:fill="FFFFFF"/>
          <w:lang w:val="zh-CN"/>
        </w:rPr>
        <w:t>附件</w:t>
      </w:r>
      <w:r>
        <w:rPr>
          <w:rFonts w:hint="eastAsia" w:cs="宋体"/>
          <w:b/>
          <w:bCs/>
          <w:sz w:val="32"/>
          <w:szCs w:val="32"/>
          <w:shd w:val="clear" w:color="auto" w:fill="FFFFFF"/>
          <w:lang w:val="zh-CN"/>
        </w:rPr>
        <w:t>（</w:t>
      </w:r>
      <w:r>
        <w:rPr>
          <w:rFonts w:hint="eastAsia" w:cs="宋体"/>
          <w:b/>
          <w:bCs/>
          <w:sz w:val="32"/>
          <w:szCs w:val="32"/>
          <w:shd w:val="clear" w:color="auto" w:fill="FFFFFF"/>
          <w:lang w:val="en-US" w:eastAsia="zh-CN"/>
        </w:rPr>
        <w:t>2022年</w:t>
      </w:r>
      <w:r>
        <w:rPr>
          <w:rFonts w:hint="eastAsia" w:cs="宋体"/>
          <w:b/>
          <w:bCs/>
          <w:sz w:val="36"/>
          <w:szCs w:val="36"/>
          <w:shd w:val="clear" w:color="auto" w:fill="FFFFFF"/>
          <w:lang w:val="en-US" w:eastAsia="zh-CN"/>
        </w:rPr>
        <w:t>无</w:t>
      </w:r>
      <w:r>
        <w:rPr>
          <w:rFonts w:hint="eastAsia" w:cs="宋体"/>
          <w:b/>
          <w:bCs/>
          <w:sz w:val="32"/>
          <w:szCs w:val="32"/>
          <w:shd w:val="clear" w:color="auto" w:fill="FFFFFF"/>
          <w:lang w:val="en-US" w:eastAsia="zh-CN"/>
        </w:rPr>
        <w:t>专项预算项目</w:t>
      </w:r>
      <w:r>
        <w:rPr>
          <w:rFonts w:hint="eastAsia" w:cs="宋体"/>
          <w:b/>
          <w:bCs/>
          <w:sz w:val="32"/>
          <w:szCs w:val="32"/>
          <w:shd w:val="clear" w:color="auto" w:fill="FFFFFF"/>
          <w:lang w:val="zh-CN"/>
        </w:rPr>
        <w:t>）</w:t>
      </w:r>
    </w:p>
    <w:p>
      <w:pPr>
        <w:spacing w:line="600" w:lineRule="exact"/>
        <w:jc w:val="center"/>
        <w:rPr>
          <w:rFonts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2022年</w:t>
      </w:r>
      <w:r>
        <w:rPr>
          <w:rFonts w:hint="eastAsia" w:ascii="方正小标宋简体" w:eastAsia="方正小标宋简体" w:cs="方正小标宋简体"/>
          <w:sz w:val="40"/>
          <w:szCs w:val="40"/>
          <w:lang w:val="zh-CN"/>
        </w:rPr>
        <w:t>专项预算项目支出绩效自评报告范本</w:t>
      </w:r>
    </w:p>
    <w:p>
      <w:pPr>
        <w:spacing w:line="600" w:lineRule="exact"/>
        <w:ind w:firstLine="883"/>
        <w:jc w:val="center"/>
        <w:rPr>
          <w:rFonts w:ascii="仿宋_GB2312" w:eastAsia="仿宋_GB2312"/>
          <w:sz w:val="32"/>
          <w:szCs w:val="32"/>
          <w:lang w:val="zh-CN"/>
        </w:rPr>
      </w:pPr>
      <w:r>
        <w:rPr>
          <w:rFonts w:hint="eastAsia" w:ascii="仿宋_GB2312" w:eastAsia="仿宋_GB2312"/>
          <w:sz w:val="32"/>
          <w:szCs w:val="32"/>
          <w:lang w:val="zh-CN"/>
        </w:rPr>
        <w:t>（主管部门自评）</w:t>
      </w:r>
    </w:p>
    <w:p>
      <w:pPr>
        <w:spacing w:line="600" w:lineRule="exact"/>
        <w:ind w:firstLine="640"/>
        <w:jc w:val="center"/>
        <w:rPr>
          <w:rFonts w:ascii="宋体"/>
          <w:sz w:val="32"/>
          <w:szCs w:val="32"/>
          <w:lang w:val="zh-CN"/>
        </w:rPr>
      </w:pP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1．说明项目主管部门（单位）在该项目管理中的职能。</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2．项目立项、资金申报的依据。</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3．资金管理办法制定情况，资金支持具体项目的条件、范围与支持方式概况。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4．资金分配的原则及考虑因素。</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1．项目主要内容。</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2．项目应实现的具体绩效目标，包括目标的量化、细化情况以及项目实施进度计划等。</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3．分析评价申报内容是否与实际相符，申报目标是否合理可行。</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说明项目绩效自评采用的组织实施步骤及方法。</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说明项目资金申报、批复及预算调整等程序的相关情况。</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（二）资金计划、到位及使用情况（可用表格形式反映）。</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sz w:val="32"/>
          <w:szCs w:val="32"/>
          <w:lang w:val="zh-CN"/>
        </w:rPr>
        <w:t>1．资金计划。</w:t>
      </w:r>
      <w:r>
        <w:rPr>
          <w:rFonts w:hint="eastAsia" w:ascii="仿宋_GB2312" w:eastAsia="仿宋_GB2312"/>
          <w:sz w:val="32"/>
          <w:szCs w:val="32"/>
          <w:lang w:val="zh-CN"/>
        </w:rPr>
        <w:t>在说明该项目全</w:t>
      </w:r>
      <w:r>
        <w:rPr>
          <w:rFonts w:ascii="仿宋_GB2312" w:eastAsia="仿宋_GB2312"/>
          <w:sz w:val="32"/>
          <w:szCs w:val="32"/>
          <w:lang w:val="zh-CN"/>
        </w:rPr>
        <w:t>州</w:t>
      </w:r>
      <w:r>
        <w:rPr>
          <w:rFonts w:hint="eastAsia" w:ascii="仿宋_GB2312" w:eastAsia="仿宋_GB2312"/>
          <w:sz w:val="32"/>
          <w:szCs w:val="32"/>
          <w:lang w:val="zh-CN"/>
        </w:rPr>
        <w:t>资金计划的基础上，分项目大类或市（州）分别说明各类资金计划情况，包括中央、省、市（州）、县（市、区）财政资金、项目单位自筹、其他渠道资金（包括银行贷款及其他资金等）。</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sz w:val="32"/>
          <w:szCs w:val="32"/>
          <w:lang w:val="zh-CN"/>
        </w:rPr>
        <w:t>2．资金到位。</w:t>
      </w:r>
      <w:r>
        <w:rPr>
          <w:rFonts w:hint="eastAsia" w:ascii="仿宋_GB2312" w:eastAsia="仿宋_GB2312"/>
          <w:sz w:val="32"/>
          <w:szCs w:val="32"/>
          <w:lang w:val="zh-CN"/>
        </w:rPr>
        <w:t>汇总统计截止评价时点该项目全</w:t>
      </w:r>
      <w:r>
        <w:rPr>
          <w:rFonts w:ascii="仿宋_GB2312" w:eastAsia="仿宋_GB2312"/>
          <w:sz w:val="32"/>
          <w:szCs w:val="32"/>
          <w:lang w:val="zh-CN"/>
        </w:rPr>
        <w:t>州</w:t>
      </w:r>
      <w:r>
        <w:rPr>
          <w:rFonts w:hint="eastAsia" w:ascii="仿宋_GB2312" w:eastAsia="仿宋_GB2312"/>
          <w:sz w:val="32"/>
          <w:szCs w:val="32"/>
          <w:lang w:val="zh-CN"/>
        </w:rPr>
        <w:t>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sz w:val="32"/>
          <w:szCs w:val="32"/>
          <w:lang w:val="zh-CN"/>
        </w:rPr>
        <w:t>3．资金使用。</w:t>
      </w:r>
      <w:r>
        <w:rPr>
          <w:rFonts w:hint="eastAsia" w:ascii="仿宋_GB2312" w:eastAsia="仿宋_GB2312"/>
          <w:sz w:val="32"/>
          <w:szCs w:val="32"/>
          <w:lang w:val="zh-CN"/>
        </w:rPr>
        <w:t>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总体评价各项目实施单位财务管理制度是否健全，是否严格执行财务管理制度，账务处理是否及时，会计核算是否规范等。</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（一）项目组织架构及实施流程。</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（二）项目管理情况。</w:t>
      </w:r>
      <w:r>
        <w:rPr>
          <w:rFonts w:hint="eastAsia" w:ascii="仿宋_GB2312" w:eastAsia="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（三）项目监管情况。</w:t>
      </w:r>
      <w:r>
        <w:rPr>
          <w:rFonts w:hint="eastAsia" w:ascii="仿宋_GB2312" w:eastAsia="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hint="eastAsia"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600" w:lineRule="exact"/>
        <w:ind w:firstLine="720"/>
        <w:rPr>
          <w:rFonts w:ascii="楷体_GB2312" w:eastAsia="楷体_GB2312"/>
          <w:b/>
          <w:sz w:val="32"/>
          <w:szCs w:val="32"/>
          <w:lang w:val="zh-CN"/>
        </w:rPr>
      </w:pPr>
      <w:r>
        <w:rPr>
          <w:rFonts w:hint="eastAsia" w:ascii="仿宋_GB2312" w:eastAsia="仿宋_GB2312"/>
          <w:sz w:val="32"/>
          <w:szCs w:val="32"/>
          <w:lang w:val="zh-CN"/>
        </w:rPr>
        <w:t>包括项目完成数量、质量、时效、成本等情况，资金结余情况，违规记录等，对照项目计划完成目标，对截止评价时点的任务量完成、质量标准、进度计划、成本控制目标的实现程度进行评价，并进行分析说明。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从项目经济效益、社会效益、生态效益、可持续效益以及服务对象满意度等方面对项目效益进行全面分析评价。</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line="600" w:lineRule="exact"/>
        <w:ind w:firstLine="640" w:firstLineChars="200"/>
        <w:rPr>
          <w:rFonts w:ascii="仿宋_GB2312" w:eastAsia="仿宋_GB2312"/>
          <w:sz w:val="32"/>
          <w:szCs w:val="32"/>
          <w:bdr w:val="single" w:color="auto" w:sz="4" w:space="0"/>
          <w:lang w:val="zh-CN"/>
        </w:rPr>
      </w:pPr>
      <w:r>
        <w:rPr>
          <w:rFonts w:hint="eastAsia" w:ascii="仿宋_GB2312" w:eastAsia="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（二）存在的问题。</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eastAsia="仿宋_GB2312"/>
          <w:sz w:val="32"/>
          <w:szCs w:val="32"/>
          <w:lang w:val="zh-CN"/>
        </w:rPr>
        <w:t>结合自评情况，分析存在的问题及原因。</w:t>
      </w:r>
      <w:r>
        <w:rPr>
          <w:rFonts w:hint="eastAsia"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adjustRightInd w:val="0"/>
        <w:snapToGrid w:val="0"/>
        <w:spacing w:line="600" w:lineRule="exact"/>
        <w:ind w:firstLine="640" w:firstLineChars="200"/>
        <w:rPr>
          <w:lang w:val="zh-CN"/>
        </w:rPr>
      </w:pPr>
      <w:r>
        <w:rPr>
          <w:rFonts w:hint="eastAsia" w:ascii="仿宋_GB2312" w:eastAsia="仿宋_GB2312"/>
          <w:sz w:val="32"/>
          <w:szCs w:val="32"/>
          <w:lang w:val="zh-CN"/>
        </w:rPr>
        <w:t>针对项目自评中发现的问题，提出下一步改进完善的意见及有关政策性建议。</w:t>
      </w: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tbl>
      <w:tblPr>
        <w:tblStyle w:val="12"/>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项目预算</w:t>
            </w:r>
          </w:p>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执行情况</w:t>
            </w:r>
          </w:p>
          <w:p>
            <w:pPr>
              <w:widowControl/>
              <w:spacing w:line="320" w:lineRule="exact"/>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bl>
    <w:p>
      <w:pPr>
        <w:widowControl/>
        <w:adjustRightInd w:val="0"/>
        <w:snapToGrid w:val="0"/>
        <w:spacing w:line="580" w:lineRule="exact"/>
        <w:ind w:firstLine="640" w:firstLineChars="200"/>
        <w:contextualSpacing/>
        <w:jc w:val="left"/>
        <w:rPr>
          <w:rFonts w:hint="eastAsia" w:cs="宋体"/>
          <w:b/>
          <w:bCs/>
          <w:sz w:val="32"/>
          <w:szCs w:val="32"/>
          <w:shd w:val="clear" w:color="auto" w:fill="FFFFFF"/>
          <w:lang w:val="zh-CN"/>
        </w:rPr>
      </w:pPr>
      <w:r>
        <w:rPr>
          <w:rFonts w:hint="eastAsia" w:ascii="仿宋_GB2312" w:eastAsia="仿宋_GB2312" w:cs="宋体"/>
          <w:kern w:val="0"/>
          <w:sz w:val="32"/>
          <w:szCs w:val="32"/>
          <w:shd w:val="clear" w:color="auto" w:fill="FFFFFF"/>
          <w:lang w:val="zh-CN"/>
        </w:rPr>
        <w:t>附表：</w:t>
      </w:r>
      <w:r>
        <w:rPr>
          <w:rFonts w:hint="eastAsia" w:cs="宋体"/>
          <w:b/>
          <w:bCs/>
          <w:sz w:val="32"/>
          <w:szCs w:val="32"/>
          <w:shd w:val="clear" w:color="auto" w:fill="FFFFFF"/>
          <w:lang w:val="zh-CN"/>
        </w:rPr>
        <w:t>（</w:t>
      </w:r>
      <w:r>
        <w:rPr>
          <w:rFonts w:hint="eastAsia" w:cs="宋体"/>
          <w:b/>
          <w:bCs/>
          <w:sz w:val="32"/>
          <w:szCs w:val="32"/>
          <w:shd w:val="clear" w:color="auto" w:fill="FFFFFF"/>
          <w:lang w:val="en-US" w:eastAsia="zh-CN"/>
        </w:rPr>
        <w:t>2021年</w:t>
      </w:r>
      <w:r>
        <w:rPr>
          <w:rFonts w:hint="eastAsia" w:cs="宋体"/>
          <w:b/>
          <w:bCs/>
          <w:sz w:val="36"/>
          <w:szCs w:val="36"/>
          <w:shd w:val="clear" w:color="auto" w:fill="FFFFFF"/>
          <w:lang w:val="en-US" w:eastAsia="zh-CN"/>
        </w:rPr>
        <w:t>无</w:t>
      </w:r>
      <w:r>
        <w:rPr>
          <w:rFonts w:hint="eastAsia" w:ascii="宋体" w:cs="宋体"/>
          <w:b/>
          <w:sz w:val="32"/>
          <w:szCs w:val="32"/>
        </w:rPr>
        <w:t>100万元以上（含）特定目标类</w:t>
      </w:r>
      <w:r>
        <w:rPr>
          <w:rFonts w:hint="eastAsia" w:ascii="宋体" w:cs="宋体"/>
          <w:b/>
          <w:sz w:val="32"/>
          <w:szCs w:val="32"/>
          <w:lang w:val="en-US" w:eastAsia="zh-CN"/>
        </w:rPr>
        <w:t>项目</w:t>
      </w:r>
      <w:r>
        <w:rPr>
          <w:rFonts w:hint="eastAsia" w:cs="宋体"/>
          <w:b/>
          <w:bCs/>
          <w:sz w:val="32"/>
          <w:szCs w:val="32"/>
          <w:shd w:val="clear" w:color="auto" w:fill="FFFFFF"/>
          <w:lang w:val="zh-CN"/>
        </w:rPr>
        <w:t>）</w:t>
      </w:r>
    </w:p>
    <w:p>
      <w:pPr>
        <w:pStyle w:val="2"/>
        <w:rPr>
          <w:lang w:val="zh-CN"/>
        </w:rPr>
      </w:pPr>
    </w:p>
    <w:p>
      <w:pPr>
        <w:widowControl/>
        <w:adjustRightInd w:val="0"/>
        <w:snapToGrid w:val="0"/>
        <w:spacing w:line="580" w:lineRule="exact"/>
        <w:contextualSpacing/>
        <w:jc w:val="left"/>
      </w:pPr>
      <w:r>
        <w:rPr>
          <w:rFonts w:hint="eastAsia" w:ascii="仿宋_GB2312" w:eastAsia="仿宋_GB2312" w:cs="宋体"/>
          <w:kern w:val="0"/>
          <w:sz w:val="32"/>
          <w:szCs w:val="32"/>
          <w:shd w:val="clear" w:color="auto" w:fill="FFFFFF"/>
        </w:rPr>
        <w:t>（注：有两个及以上100万元以上（含）特定目标类部门预算项目的，需分别开展绩效目标自评并填写附表）</w:t>
      </w:r>
    </w:p>
    <w:p>
      <w:pPr>
        <w:spacing w:line="580" w:lineRule="exact"/>
        <w:rPr>
          <w:rStyle w:val="16"/>
          <w:rFonts w:ascii="黑体" w:eastAsia="黑体"/>
          <w:b w:val="0"/>
        </w:rPr>
      </w:pPr>
    </w:p>
    <w:p>
      <w:pPr>
        <w:widowControl/>
        <w:jc w:val="left"/>
        <w:rPr>
          <w:rStyle w:val="16"/>
          <w:rFonts w:ascii="黑体" w:eastAsia="黑体"/>
          <w:b w:val="0"/>
        </w:rPr>
      </w:pPr>
      <w:r>
        <w:rPr>
          <w:rStyle w:val="16"/>
          <w:rFonts w:ascii="黑体" w:eastAsia="黑体"/>
          <w:b w:val="0"/>
        </w:rPr>
        <w:br w:type="page"/>
      </w:r>
    </w:p>
    <w:p>
      <w:pPr>
        <w:spacing w:line="600" w:lineRule="exact"/>
        <w:jc w:val="center"/>
        <w:outlineLvl w:val="0"/>
        <w:rPr>
          <w:rFonts w:ascii="仿宋" w:eastAsia="仿宋"/>
        </w:rPr>
      </w:pPr>
      <w:bookmarkStart w:id="59" w:name="_Toc15396618"/>
      <w:r>
        <w:rPr>
          <w:rFonts w:hint="eastAsia" w:ascii="黑体" w:eastAsia="黑体"/>
          <w:sz w:val="44"/>
          <w:szCs w:val="44"/>
        </w:rPr>
        <w:t>第</w:t>
      </w:r>
      <w:r>
        <w:rPr>
          <w:rStyle w:val="16"/>
          <w:rFonts w:hint="eastAsia" w:ascii="黑体" w:eastAsia="黑体"/>
          <w:b w:val="0"/>
        </w:rPr>
        <w:t>五部分 附表</w:t>
      </w:r>
      <w:bookmarkEnd w:id="57"/>
      <w:bookmarkEnd w:id="59"/>
      <w:bookmarkStart w:id="60" w:name="_Toc15396619"/>
    </w:p>
    <w:p>
      <w:pPr>
        <w:pStyle w:val="4"/>
        <w:rPr>
          <w:rFonts w:ascii="仿宋" w:eastAsia="仿宋"/>
        </w:rPr>
      </w:pPr>
      <w:r>
        <w:rPr>
          <w:rFonts w:hint="eastAsia" w:ascii="仿宋" w:eastAsia="仿宋"/>
          <w:b w:val="0"/>
        </w:rPr>
        <w:t>一、收</w:t>
      </w:r>
      <w:r>
        <w:rPr>
          <w:rStyle w:val="17"/>
          <w:rFonts w:hint="eastAsia" w:ascii="仿宋" w:eastAsia="仿宋"/>
          <w:b w:val="0"/>
          <w:bCs w:val="0"/>
        </w:rPr>
        <w:t>入支出决算总表</w:t>
      </w:r>
      <w:bookmarkEnd w:id="60"/>
    </w:p>
    <w:p>
      <w:pPr>
        <w:pStyle w:val="4"/>
        <w:rPr>
          <w:rFonts w:ascii="仿宋" w:eastAsia="仿宋"/>
        </w:rPr>
      </w:pPr>
      <w:bookmarkStart w:id="61" w:name="_Toc15396620"/>
      <w:r>
        <w:rPr>
          <w:rFonts w:hint="eastAsia" w:ascii="仿宋" w:eastAsia="仿宋"/>
          <w:b w:val="0"/>
        </w:rPr>
        <w:t>二、收</w:t>
      </w:r>
      <w:r>
        <w:rPr>
          <w:rStyle w:val="17"/>
          <w:rFonts w:hint="eastAsia" w:ascii="仿宋" w:eastAsia="仿宋"/>
          <w:b w:val="0"/>
          <w:bCs w:val="0"/>
        </w:rPr>
        <w:t>入决算表</w:t>
      </w:r>
      <w:bookmarkEnd w:id="61"/>
    </w:p>
    <w:p>
      <w:pPr>
        <w:pStyle w:val="4"/>
        <w:rPr>
          <w:rFonts w:ascii="仿宋" w:eastAsia="仿宋"/>
        </w:rPr>
      </w:pPr>
      <w:bookmarkStart w:id="62" w:name="_Toc15396621"/>
      <w:r>
        <w:rPr>
          <w:rStyle w:val="17"/>
          <w:rFonts w:hint="eastAsia" w:ascii="仿宋" w:eastAsia="仿宋"/>
          <w:b w:val="0"/>
          <w:bCs w:val="0"/>
        </w:rPr>
        <w:t>三、</w:t>
      </w:r>
      <w:r>
        <w:rPr>
          <w:rFonts w:hint="eastAsia" w:ascii="仿宋" w:eastAsia="仿宋"/>
          <w:b w:val="0"/>
        </w:rPr>
        <w:t>支</w:t>
      </w:r>
      <w:r>
        <w:rPr>
          <w:rStyle w:val="17"/>
          <w:rFonts w:hint="eastAsia" w:ascii="仿宋" w:eastAsia="仿宋"/>
          <w:b w:val="0"/>
          <w:bCs w:val="0"/>
        </w:rPr>
        <w:t>出决算表</w:t>
      </w:r>
      <w:bookmarkEnd w:id="62"/>
    </w:p>
    <w:p>
      <w:pPr>
        <w:pStyle w:val="4"/>
        <w:rPr>
          <w:rFonts w:ascii="仿宋" w:eastAsia="仿宋"/>
          <w:b w:val="0"/>
        </w:rPr>
      </w:pPr>
      <w:bookmarkStart w:id="63" w:name="_Toc15396622"/>
      <w:r>
        <w:rPr>
          <w:rStyle w:val="17"/>
          <w:rFonts w:hint="eastAsia" w:ascii="仿宋" w:eastAsia="仿宋"/>
          <w:b w:val="0"/>
          <w:bCs w:val="0"/>
        </w:rPr>
        <w:t>四、</w:t>
      </w:r>
      <w:r>
        <w:rPr>
          <w:rFonts w:hint="eastAsia" w:ascii="仿宋" w:eastAsia="仿宋"/>
          <w:b w:val="0"/>
        </w:rPr>
        <w:t>财</w:t>
      </w:r>
      <w:r>
        <w:rPr>
          <w:rStyle w:val="17"/>
          <w:rFonts w:hint="eastAsia" w:ascii="仿宋" w:eastAsia="仿宋"/>
          <w:b w:val="0"/>
          <w:bCs w:val="0"/>
        </w:rPr>
        <w:t>政拨款收入支出决算总表</w:t>
      </w:r>
      <w:bookmarkEnd w:id="63"/>
    </w:p>
    <w:p>
      <w:pPr>
        <w:pStyle w:val="4"/>
        <w:rPr>
          <w:rStyle w:val="17"/>
          <w:rFonts w:ascii="仿宋" w:eastAsia="仿宋"/>
          <w:b w:val="0"/>
          <w:bCs w:val="0"/>
        </w:rPr>
      </w:pPr>
      <w:bookmarkStart w:id="64" w:name="_Toc15396623"/>
      <w:r>
        <w:rPr>
          <w:rStyle w:val="17"/>
          <w:rFonts w:hint="eastAsia" w:ascii="仿宋" w:eastAsia="仿宋"/>
          <w:b w:val="0"/>
          <w:bCs w:val="0"/>
        </w:rPr>
        <w:t>五、</w:t>
      </w:r>
      <w:r>
        <w:rPr>
          <w:rFonts w:hint="eastAsia" w:ascii="仿宋" w:eastAsia="仿宋"/>
          <w:b w:val="0"/>
        </w:rPr>
        <w:t>财</w:t>
      </w:r>
      <w:r>
        <w:rPr>
          <w:rStyle w:val="17"/>
          <w:rFonts w:hint="eastAsia" w:ascii="仿宋" w:eastAsia="仿宋"/>
          <w:b w:val="0"/>
          <w:bCs w:val="0"/>
        </w:rPr>
        <w:t>政拨款支出决算明细表</w:t>
      </w:r>
      <w:bookmarkEnd w:id="64"/>
      <w:bookmarkStart w:id="65" w:name="_Toc15396624"/>
    </w:p>
    <w:p>
      <w:pPr>
        <w:pStyle w:val="4"/>
        <w:rPr>
          <w:rFonts w:ascii="仿宋" w:eastAsia="仿宋"/>
        </w:rPr>
      </w:pPr>
      <w:r>
        <w:rPr>
          <w:rStyle w:val="17"/>
          <w:rFonts w:hint="eastAsia" w:ascii="仿宋" w:eastAsia="仿宋"/>
          <w:b w:val="0"/>
          <w:bCs w:val="0"/>
        </w:rPr>
        <w:t>六、</w:t>
      </w:r>
      <w:r>
        <w:rPr>
          <w:rFonts w:hint="eastAsia" w:ascii="仿宋" w:eastAsia="仿宋"/>
          <w:b w:val="0"/>
        </w:rPr>
        <w:t>一</w:t>
      </w:r>
      <w:r>
        <w:rPr>
          <w:rStyle w:val="17"/>
          <w:rFonts w:hint="eastAsia" w:ascii="仿宋" w:eastAsia="仿宋"/>
          <w:b w:val="0"/>
          <w:bCs w:val="0"/>
        </w:rPr>
        <w:t>般公共预算财政拨款支出决算表</w:t>
      </w:r>
      <w:bookmarkEnd w:id="65"/>
    </w:p>
    <w:p>
      <w:pPr>
        <w:pStyle w:val="4"/>
        <w:rPr>
          <w:rFonts w:ascii="仿宋" w:eastAsia="仿宋"/>
        </w:rPr>
      </w:pPr>
      <w:bookmarkStart w:id="66" w:name="_Toc15396625"/>
      <w:r>
        <w:rPr>
          <w:rStyle w:val="17"/>
          <w:rFonts w:hint="eastAsia" w:ascii="仿宋" w:eastAsia="仿宋"/>
          <w:b w:val="0"/>
          <w:bCs w:val="0"/>
        </w:rPr>
        <w:t>七、</w:t>
      </w:r>
      <w:r>
        <w:rPr>
          <w:rFonts w:hint="eastAsia" w:ascii="仿宋" w:eastAsia="仿宋"/>
          <w:b w:val="0"/>
        </w:rPr>
        <w:t>一</w:t>
      </w:r>
      <w:r>
        <w:rPr>
          <w:rStyle w:val="17"/>
          <w:rFonts w:hint="eastAsia" w:ascii="仿宋" w:eastAsia="仿宋"/>
          <w:b w:val="0"/>
          <w:bCs w:val="0"/>
        </w:rPr>
        <w:t>般公共预算财政拨款支出决算明细表</w:t>
      </w:r>
      <w:bookmarkEnd w:id="66"/>
    </w:p>
    <w:p>
      <w:pPr>
        <w:pStyle w:val="4"/>
        <w:rPr>
          <w:rFonts w:ascii="仿宋" w:eastAsia="仿宋"/>
        </w:rPr>
      </w:pPr>
      <w:bookmarkStart w:id="67" w:name="_Toc15396626"/>
      <w:r>
        <w:rPr>
          <w:rStyle w:val="17"/>
          <w:rFonts w:hint="eastAsia" w:ascii="仿宋" w:eastAsia="仿宋"/>
          <w:b w:val="0"/>
          <w:bCs w:val="0"/>
        </w:rPr>
        <w:t>八、</w:t>
      </w:r>
      <w:r>
        <w:rPr>
          <w:rFonts w:hint="eastAsia" w:ascii="仿宋" w:eastAsia="仿宋"/>
          <w:b w:val="0"/>
        </w:rPr>
        <w:t>一</w:t>
      </w:r>
      <w:r>
        <w:rPr>
          <w:rStyle w:val="17"/>
          <w:rFonts w:hint="eastAsia" w:ascii="仿宋" w:eastAsia="仿宋"/>
          <w:b w:val="0"/>
          <w:bCs w:val="0"/>
        </w:rPr>
        <w:t>般公共预算财政拨款基本支出决算表</w:t>
      </w:r>
      <w:bookmarkEnd w:id="67"/>
    </w:p>
    <w:p>
      <w:pPr>
        <w:pStyle w:val="4"/>
        <w:rPr>
          <w:rFonts w:ascii="仿宋" w:eastAsia="仿宋"/>
        </w:rPr>
      </w:pPr>
      <w:bookmarkStart w:id="68" w:name="_Toc15396627"/>
      <w:r>
        <w:rPr>
          <w:rStyle w:val="17"/>
          <w:rFonts w:hint="eastAsia" w:ascii="仿宋" w:eastAsia="仿宋"/>
          <w:b w:val="0"/>
          <w:bCs w:val="0"/>
        </w:rPr>
        <w:t>九、</w:t>
      </w:r>
      <w:r>
        <w:rPr>
          <w:rFonts w:hint="eastAsia" w:ascii="仿宋" w:eastAsia="仿宋"/>
          <w:b w:val="0"/>
        </w:rPr>
        <w:t>一</w:t>
      </w:r>
      <w:r>
        <w:rPr>
          <w:rStyle w:val="17"/>
          <w:rFonts w:hint="eastAsia" w:ascii="仿宋" w:eastAsia="仿宋"/>
          <w:b w:val="0"/>
          <w:bCs w:val="0"/>
        </w:rPr>
        <w:t>般公共预算财政拨款项目支出决算表</w:t>
      </w:r>
      <w:bookmarkEnd w:id="68"/>
      <w:bookmarkStart w:id="73" w:name="_GoBack"/>
      <w:bookmarkEnd w:id="73"/>
    </w:p>
    <w:p>
      <w:pPr>
        <w:pStyle w:val="4"/>
        <w:rPr>
          <w:rFonts w:ascii="仿宋" w:eastAsia="仿宋"/>
        </w:rPr>
      </w:pPr>
      <w:bookmarkStart w:id="69" w:name="_Toc15396628"/>
      <w:r>
        <w:rPr>
          <w:rStyle w:val="17"/>
          <w:rFonts w:hint="eastAsia" w:ascii="仿宋" w:eastAsia="仿宋"/>
          <w:b w:val="0"/>
          <w:bCs w:val="0"/>
        </w:rPr>
        <w:t>十、</w:t>
      </w:r>
      <w:r>
        <w:rPr>
          <w:rFonts w:hint="eastAsia" w:ascii="仿宋" w:eastAsia="仿宋"/>
          <w:b w:val="0"/>
        </w:rPr>
        <w:t>一</w:t>
      </w:r>
      <w:r>
        <w:rPr>
          <w:rStyle w:val="17"/>
          <w:rFonts w:hint="eastAsia" w:ascii="仿宋" w:eastAsia="仿宋"/>
          <w:b w:val="0"/>
          <w:bCs w:val="0"/>
        </w:rPr>
        <w:t>般公共预算财政拨款“三公”经费支出决算表</w:t>
      </w:r>
      <w:bookmarkEnd w:id="69"/>
    </w:p>
    <w:p>
      <w:pPr>
        <w:pStyle w:val="4"/>
        <w:rPr>
          <w:rFonts w:ascii="仿宋" w:eastAsia="仿宋"/>
        </w:rPr>
      </w:pPr>
      <w:bookmarkStart w:id="70" w:name="_Toc15396629"/>
      <w:r>
        <w:rPr>
          <w:rStyle w:val="17"/>
          <w:rFonts w:hint="eastAsia" w:ascii="仿宋" w:eastAsia="仿宋"/>
          <w:b w:val="0"/>
          <w:bCs w:val="0"/>
        </w:rPr>
        <w:t>十一、</w:t>
      </w:r>
      <w:r>
        <w:rPr>
          <w:rFonts w:hint="eastAsia" w:ascii="仿宋" w:eastAsia="仿宋"/>
          <w:b w:val="0"/>
        </w:rPr>
        <w:t>政</w:t>
      </w:r>
      <w:r>
        <w:rPr>
          <w:rStyle w:val="17"/>
          <w:rFonts w:hint="eastAsia" w:ascii="仿宋" w:eastAsia="仿宋"/>
          <w:b w:val="0"/>
          <w:bCs w:val="0"/>
        </w:rPr>
        <w:t>府性基金预算财政拨款收入支出决算表</w:t>
      </w:r>
      <w:bookmarkEnd w:id="70"/>
    </w:p>
    <w:p>
      <w:pPr>
        <w:pStyle w:val="4"/>
        <w:rPr>
          <w:rFonts w:ascii="仿宋" w:eastAsia="仿宋"/>
        </w:rPr>
      </w:pPr>
      <w:bookmarkStart w:id="71" w:name="_Toc15396630"/>
      <w:r>
        <w:rPr>
          <w:rStyle w:val="17"/>
          <w:rFonts w:hint="eastAsia" w:ascii="仿宋" w:eastAsia="仿宋"/>
          <w:b w:val="0"/>
          <w:bCs w:val="0"/>
        </w:rPr>
        <w:t>十二、</w:t>
      </w:r>
      <w:r>
        <w:rPr>
          <w:rFonts w:hint="eastAsia" w:ascii="仿宋" w:eastAsia="仿宋"/>
          <w:b w:val="0"/>
        </w:rPr>
        <w:t>政</w:t>
      </w:r>
      <w:r>
        <w:rPr>
          <w:rStyle w:val="17"/>
          <w:rFonts w:hint="eastAsia" w:ascii="仿宋" w:eastAsia="仿宋"/>
          <w:b w:val="0"/>
          <w:bCs w:val="0"/>
        </w:rPr>
        <w:t>府性基金预算财政拨款“三公”经费支出决算表</w:t>
      </w:r>
      <w:bookmarkEnd w:id="71"/>
    </w:p>
    <w:p>
      <w:pPr>
        <w:pStyle w:val="4"/>
        <w:rPr>
          <w:rStyle w:val="17"/>
          <w:rFonts w:ascii="仿宋" w:eastAsia="仿宋"/>
          <w:b w:val="0"/>
          <w:bCs w:val="0"/>
        </w:rPr>
      </w:pPr>
      <w:bookmarkStart w:id="72" w:name="_Toc15396631"/>
      <w:r>
        <w:rPr>
          <w:rStyle w:val="17"/>
          <w:rFonts w:hint="eastAsia" w:ascii="仿宋" w:eastAsia="仿宋"/>
          <w:b w:val="0"/>
          <w:bCs w:val="0"/>
        </w:rPr>
        <w:t>十三、</w:t>
      </w:r>
      <w:r>
        <w:rPr>
          <w:rFonts w:hint="eastAsia" w:ascii="仿宋" w:eastAsia="仿宋"/>
          <w:b w:val="0"/>
        </w:rPr>
        <w:t>国</w:t>
      </w:r>
      <w:r>
        <w:rPr>
          <w:rStyle w:val="17"/>
          <w:rFonts w:hint="eastAsia" w:ascii="仿宋" w:eastAsia="仿宋"/>
          <w:b w:val="0"/>
          <w:bCs w:val="0"/>
        </w:rPr>
        <w:t>有资本经营预算财政拨款收入支出决算表</w:t>
      </w:r>
      <w:bookmarkEnd w:id="72"/>
    </w:p>
    <w:p>
      <w:pPr>
        <w:rPr>
          <w:rFonts w:eastAsia="仿宋"/>
        </w:rPr>
      </w:pPr>
      <w:r>
        <w:rPr>
          <w:rStyle w:val="17"/>
          <w:rFonts w:hint="eastAsia" w:asci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E794925"/>
    <w:multiLevelType w:val="singleLevel"/>
    <w:tmpl w:val="3E794925"/>
    <w:lvl w:ilvl="0" w:tentative="0">
      <w:start w:val="3"/>
      <w:numFmt w:val="chineseCounting"/>
      <w:suff w:val="nothing"/>
      <w:lvlText w:val="（%1）"/>
      <w:lvlJc w:val="left"/>
      <w:pPr>
        <w:ind w:left="0" w:firstLine="0"/>
      </w:pPr>
      <w:rPr>
        <w:rFonts w:hint="eastAsia"/>
      </w:rPr>
    </w:lvl>
  </w:abstractNum>
  <w:abstractNum w:abstractNumId="4">
    <w:nsid w:val="61955A28"/>
    <w:multiLevelType w:val="singleLevel"/>
    <w:tmpl w:val="61955A28"/>
    <w:lvl w:ilvl="0" w:tentative="0">
      <w:start w:val="1"/>
      <w:numFmt w:val="chineseCounting"/>
      <w:suff w:val="nothing"/>
      <w:lvlText w:val="（%1）"/>
      <w:lvlJc w:val="left"/>
    </w:lvl>
  </w:abstractNum>
  <w:abstractNum w:abstractNumId="5">
    <w:nsid w:val="7F943078"/>
    <w:multiLevelType w:val="singleLevel"/>
    <w:tmpl w:val="7F943078"/>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mEwYTZjZWE3ZTg1Zjg0M2RhYjQ5ZjQ0ZDRkN2FjM2IifQ=="/>
  </w:docVars>
  <w:rsids>
    <w:rsidRoot w:val="005A6850"/>
    <w:rsid w:val="003369FF"/>
    <w:rsid w:val="005A6850"/>
    <w:rsid w:val="007E0B38"/>
    <w:rsid w:val="00B44167"/>
    <w:rsid w:val="00D12052"/>
    <w:rsid w:val="00D90040"/>
    <w:rsid w:val="00DD0E6F"/>
    <w:rsid w:val="04A46629"/>
    <w:rsid w:val="0DF0159B"/>
    <w:rsid w:val="11123DCE"/>
    <w:rsid w:val="13D56892"/>
    <w:rsid w:val="1F8953AB"/>
    <w:rsid w:val="234E6301"/>
    <w:rsid w:val="28D70B46"/>
    <w:rsid w:val="2AB8785C"/>
    <w:rsid w:val="32956239"/>
    <w:rsid w:val="35474E84"/>
    <w:rsid w:val="36C75277"/>
    <w:rsid w:val="36FD1F43"/>
    <w:rsid w:val="376B0DD8"/>
    <w:rsid w:val="38C86FE0"/>
    <w:rsid w:val="3E10451C"/>
    <w:rsid w:val="4122705A"/>
    <w:rsid w:val="46934F16"/>
    <w:rsid w:val="48CB6F03"/>
    <w:rsid w:val="4BDC413D"/>
    <w:rsid w:val="4DA92202"/>
    <w:rsid w:val="78BA4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字符"/>
    <w:basedOn w:val="13"/>
    <w:link w:val="3"/>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字符"/>
    <w:basedOn w:val="13"/>
    <w:link w:val="4"/>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年度收、支总计</c:v>
                </c:pt>
              </c:strCache>
            </c:strRef>
          </c:tx>
          <c:spPr>
            <a:solidFill>
              <a:schemeClr val="accent4">
                <a:lumMod val="60000"/>
                <a:lumOff val="40000"/>
              </a:schemeClr>
            </a:solidFill>
            <a:ln>
              <a:noFill/>
            </a:ln>
            <a:effectLst/>
          </c:spPr>
          <c:invertIfNegative val="0"/>
          <c:dPt>
            <c:idx val="1"/>
            <c:invertIfNegative val="0"/>
            <c:bubble3D val="0"/>
            <c:spPr>
              <a:solidFill>
                <a:schemeClr val="accent6"/>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1095.85</c:v>
                </c:pt>
                <c:pt idx="1">
                  <c:v>1262.57</c:v>
                </c:pt>
              </c:numCache>
            </c:numRef>
          </c:val>
        </c:ser>
        <c:dLbls>
          <c:showLegendKey val="0"/>
          <c:showVal val="1"/>
          <c:showCatName val="0"/>
          <c:showSerName val="0"/>
          <c:showPercent val="0"/>
          <c:showBubbleSize val="0"/>
        </c:dLbls>
        <c:gapWidth val="75"/>
        <c:overlap val="100"/>
        <c:axId val="882342724"/>
        <c:axId val="943953706"/>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2020年</c:v>
                      </c:pt>
                      <c:pt idx="1">
                        <c:v>2021年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2020年</c:v>
                      </c:pt>
                      <c:pt idx="1">
                        <c:v>2021年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8823427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953706"/>
        <c:crosses val="autoZero"/>
        <c:auto val="1"/>
        <c:lblAlgn val="ctr"/>
        <c:lblOffset val="100"/>
        <c:noMultiLvlLbl val="0"/>
      </c:catAx>
      <c:valAx>
        <c:axId val="943953706"/>
        <c:scaling>
          <c:orientation val="minMax"/>
        </c:scaling>
        <c:delete val="0"/>
        <c:axPos val="l"/>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3427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一般公共预算财政拨款收入100%</c:v>
                </c:pt>
                <c:pt idx="1">
                  <c:v>政府基金预算财政拨款收入0%</c:v>
                </c:pt>
                <c:pt idx="2">
                  <c:v>上级补助0%</c:v>
                </c:pt>
                <c:pt idx="3">
                  <c:v>事业收入0%</c:v>
                </c:pt>
                <c:pt idx="4">
                  <c:v>其他收入0%</c:v>
                </c:pt>
                <c:pt idx="5">
                  <c:v>附属单位上缴收入0%</c:v>
                </c:pt>
              </c:strCache>
            </c:strRef>
          </c:cat>
          <c:val>
            <c:numRef>
              <c:f>Sheet1!$B$2:$B$7</c:f>
              <c:numCache>
                <c:formatCode>General</c:formatCode>
                <c:ptCount val="6"/>
                <c:pt idx="0">
                  <c:v>559.86</c:v>
                </c:pt>
                <c:pt idx="1">
                  <c:v>0</c:v>
                </c:pt>
                <c:pt idx="2">
                  <c:v>0</c:v>
                </c:pt>
                <c:pt idx="3">
                  <c:v>0</c:v>
                </c:pt>
                <c:pt idx="4">
                  <c:v>0</c:v>
                </c:pt>
                <c:pt idx="5">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332010780056895"/>
          <c:y val="0.174166472371182"/>
          <c:w val="0.344961820631831"/>
          <c:h val="0.53718815574726"/>
        </c:manualLayout>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基本支出83.37%</c:v>
                </c:pt>
                <c:pt idx="1">
                  <c:v>项目支出16.63%</c:v>
                </c:pt>
                <c:pt idx="2">
                  <c:v>上缴上级支出0%</c:v>
                </c:pt>
                <c:pt idx="3">
                  <c:v>经营支出0%</c:v>
                </c:pt>
                <c:pt idx="4">
                  <c:v>对附属单位补助支出0%</c:v>
                </c:pt>
              </c:strCache>
            </c:strRef>
          </c:cat>
          <c:val>
            <c:numRef>
              <c:f>Sheet1!$B$2:$B$6</c:f>
              <c:numCache>
                <c:formatCode>General</c:formatCode>
                <c:ptCount val="5"/>
                <c:pt idx="0">
                  <c:v>1051.81</c:v>
                </c:pt>
                <c:pt idx="1">
                  <c:v>297.68</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1347732727"/>
          <c:y val="0.196672743846855"/>
          <c:w val="0.891297208538588"/>
          <c:h val="0.736873290793072"/>
        </c:manualLayout>
      </c:layout>
      <c:barChart>
        <c:barDir val="col"/>
        <c:grouping val="percentStacked"/>
        <c:varyColors val="0"/>
        <c:ser>
          <c:idx val="0"/>
          <c:order val="0"/>
          <c:tx>
            <c:strRef>
              <c:f>Sheet1!$B$1</c:f>
              <c:strCache>
                <c:ptCount val="1"/>
                <c:pt idx="0">
                  <c:v>年度收、支总计</c:v>
                </c:pt>
              </c:strCache>
            </c:strRef>
          </c:tx>
          <c:spPr>
            <a:solidFill>
              <a:schemeClr val="accent4">
                <a:lumMod val="60000"/>
                <a:lumOff val="40000"/>
              </a:schemeClr>
            </a:solidFill>
            <a:ln>
              <a:noFill/>
            </a:ln>
            <a:effectLst/>
          </c:spPr>
          <c:invertIfNegative val="0"/>
          <c:dPt>
            <c:idx val="1"/>
            <c:invertIfNegative val="0"/>
            <c:bubble3D val="0"/>
            <c:spPr>
              <a:solidFill>
                <a:schemeClr val="accent6"/>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1094.91</c:v>
                </c:pt>
                <c:pt idx="1">
                  <c:v>1261.63</c:v>
                </c:pt>
              </c:numCache>
            </c:numRef>
          </c:val>
        </c:ser>
        <c:dLbls>
          <c:showLegendKey val="0"/>
          <c:showVal val="1"/>
          <c:showCatName val="0"/>
          <c:showSerName val="0"/>
          <c:showPercent val="0"/>
          <c:showBubbleSize val="0"/>
        </c:dLbls>
        <c:gapWidth val="75"/>
        <c:overlap val="100"/>
        <c:axId val="882342724"/>
        <c:axId val="943953706"/>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2020年</c:v>
                      </c:pt>
                      <c:pt idx="1">
                        <c:v>2021年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2020年</c:v>
                      </c:pt>
                      <c:pt idx="1">
                        <c:v>2021年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8823427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953706"/>
        <c:crosses val="autoZero"/>
        <c:auto val="1"/>
        <c:lblAlgn val="ctr"/>
        <c:lblOffset val="100"/>
        <c:noMultiLvlLbl val="0"/>
      </c:catAx>
      <c:valAx>
        <c:axId val="943953706"/>
        <c:scaling>
          <c:orientation val="minMax"/>
        </c:scaling>
        <c:delete val="0"/>
        <c:axPos val="l"/>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3427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20727548313755"/>
          <c:y val="0.169325432999088"/>
          <c:w val="0.891297208538588"/>
          <c:h val="0.736873290793072"/>
        </c:manualLayout>
      </c:layout>
      <c:barChart>
        <c:barDir val="col"/>
        <c:grouping val="percentStacked"/>
        <c:varyColors val="0"/>
        <c:ser>
          <c:idx val="0"/>
          <c:order val="0"/>
          <c:tx>
            <c:strRef>
              <c:f>Sheet1!$B$1</c:f>
              <c:strCache>
                <c:ptCount val="1"/>
                <c:pt idx="0">
                  <c:v>年度收、支总计</c:v>
                </c:pt>
              </c:strCache>
            </c:strRef>
          </c:tx>
          <c:spPr>
            <a:solidFill>
              <a:schemeClr val="accent4">
                <a:lumMod val="60000"/>
                <a:lumOff val="40000"/>
              </a:schemeClr>
            </a:solidFill>
            <a:ln>
              <a:noFill/>
            </a:ln>
            <a:effectLst/>
          </c:spPr>
          <c:invertIfNegative val="0"/>
          <c:dPt>
            <c:idx val="1"/>
            <c:invertIfNegative val="0"/>
            <c:bubble3D val="0"/>
            <c:spPr>
              <a:solidFill>
                <a:schemeClr val="accent6"/>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1094.91</c:v>
                </c:pt>
                <c:pt idx="1">
                  <c:v>1261.63</c:v>
                </c:pt>
              </c:numCache>
            </c:numRef>
          </c:val>
        </c:ser>
        <c:dLbls>
          <c:showLegendKey val="0"/>
          <c:showVal val="1"/>
          <c:showCatName val="0"/>
          <c:showSerName val="0"/>
          <c:showPercent val="0"/>
          <c:showBubbleSize val="0"/>
        </c:dLbls>
        <c:gapWidth val="75"/>
        <c:overlap val="100"/>
        <c:axId val="882342724"/>
        <c:axId val="943953706"/>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2020年</c:v>
                      </c:pt>
                      <c:pt idx="1">
                        <c:v>2021年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2020年</c:v>
                      </c:pt>
                      <c:pt idx="1">
                        <c:v>2021年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8823427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953706"/>
        <c:crosses val="autoZero"/>
        <c:auto val="1"/>
        <c:lblAlgn val="ctr"/>
        <c:lblOffset val="100"/>
        <c:noMultiLvlLbl val="0"/>
      </c:catAx>
      <c:valAx>
        <c:axId val="943953706"/>
        <c:scaling>
          <c:orientation val="minMax"/>
        </c:scaling>
        <c:delete val="0"/>
        <c:axPos val="l"/>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3427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53609022556391"/>
          <c:y val="0.160576096302666"/>
          <c:w val="0.483759398496241"/>
          <c:h val="0.691530524505589"/>
        </c:manualLayout>
      </c:layout>
      <c:pieChart>
        <c:varyColors val="1"/>
        <c:ser>
          <c:idx val="0"/>
          <c:order val="0"/>
          <c:tx>
            <c:strRef>
              <c:f>Sheet1!$B$1</c:f>
              <c:strCache>
                <c:ptCount val="1"/>
                <c:pt idx="0">
                  <c:v>一般公共预算财政拨款支出明细</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gradFill>
                <a:gsLst>
                  <a:gs pos="0">
                    <a:srgbClr val="9EE256"/>
                  </a:gs>
                  <a:gs pos="100000">
                    <a:srgbClr val="52762D"/>
                  </a:gs>
                </a:gsLst>
                <a:lin ang="5400000" scaled="0"/>
              </a:gra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社会保障与就业支出</c:v>
                </c:pt>
                <c:pt idx="2">
                  <c:v>卫生健康支出</c:v>
                </c:pt>
                <c:pt idx="3">
                  <c:v>住房保障支出</c:v>
                </c:pt>
              </c:strCache>
            </c:strRef>
          </c:cat>
          <c:val>
            <c:numRef>
              <c:f>Sheet1!$B$2:$B$5</c:f>
              <c:numCache>
                <c:formatCode>General</c:formatCode>
                <c:ptCount val="4"/>
                <c:pt idx="0">
                  <c:v>1187.23</c:v>
                </c:pt>
                <c:pt idx="1">
                  <c:v>35.14</c:v>
                </c:pt>
                <c:pt idx="2">
                  <c:v>13.89</c:v>
                </c:pt>
                <c:pt idx="3">
                  <c:v>25.37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83005711531787"/>
          <c:y val="0.94110966904607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“三公”经费财政拨款支出明细</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因公出国（境）费用</c:v>
                </c:pt>
                <c:pt idx="1">
                  <c:v>公务用车购置及运行维护</c:v>
                </c:pt>
                <c:pt idx="2">
                  <c:v>公务接待费</c:v>
                </c:pt>
              </c:strCache>
            </c:strRef>
          </c:cat>
          <c:val>
            <c:numRef>
              <c:f>Sheet1!$B$2:$B$4</c:f>
              <c:numCache>
                <c:formatCode>General</c:formatCode>
                <c:ptCount val="3"/>
                <c:pt idx="0">
                  <c:v>0</c:v>
                </c:pt>
                <c:pt idx="1">
                  <c:v>60.73</c:v>
                </c:pt>
                <c:pt idx="2">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44196572906563"/>
          <c:y val="0.91780023319082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10540</Words>
  <Characters>11940</Characters>
  <Lines>57</Lines>
  <Paragraphs>16</Paragraphs>
  <TotalTime>60</TotalTime>
  <ScaleCrop>false</ScaleCrop>
  <LinksUpToDate>false</LinksUpToDate>
  <CharactersWithSpaces>11992</CharactersWithSpaces>
  <Application>WPS Office_11.1.0.12587_F1E327BC-269C-435d-A152-05C5408002CA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2022-09-27T03:03:58Z</cp:lastPrinted>
  <dcterms:modified xsi:type="dcterms:W3CDTF">2022-09-27T04:10:12Z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2052-11.1.0.12587</vt:lpwstr>
  </property>
  <property fmtid="{D5CDD505-2E9C-101B-9397-08002B2CF9AE}" pid="3" name="ICV">
    <vt:lpwstr>0911773CA82441AA981E5A618DDBDD15</vt:lpwstr>
  </property>
</Properties>
</file>