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97B5E">
      <w:pPr>
        <w:spacing w:line="600" w:lineRule="exact"/>
        <w:jc w:val="center"/>
        <w:outlineLvl w:val="0"/>
        <w:rPr>
          <w:rFonts w:ascii="方正小标宋简体" w:hAnsi="宋体" w:eastAsia="方正小标宋简体"/>
          <w:sz w:val="72"/>
          <w:szCs w:val="72"/>
        </w:rPr>
      </w:pPr>
      <w:bookmarkStart w:id="0" w:name="_Toc15377193"/>
      <w:bookmarkStart w:id="1" w:name="_Toc15396597"/>
      <w:bookmarkStart w:id="2" w:name="_Toc15377425"/>
      <w:bookmarkStart w:id="3" w:name="_Toc15378441"/>
      <w:bookmarkStart w:id="4" w:name="_Toc15396475"/>
      <w:bookmarkStart w:id="5" w:name="_Toc15306267"/>
    </w:p>
    <w:p w14:paraId="54F82109">
      <w:pPr>
        <w:pStyle w:val="6"/>
        <w:spacing w:before="93"/>
      </w:pPr>
    </w:p>
    <w:p w14:paraId="5A1B8B3E">
      <w:pPr>
        <w:spacing w:line="600" w:lineRule="exact"/>
        <w:jc w:val="center"/>
        <w:outlineLvl w:val="0"/>
        <w:rPr>
          <w:rFonts w:ascii="方正小标宋简体" w:hAnsi="宋体" w:eastAsia="方正小标宋简体"/>
          <w:sz w:val="72"/>
          <w:szCs w:val="72"/>
        </w:rPr>
      </w:pPr>
    </w:p>
    <w:p w14:paraId="38A78C47">
      <w:pPr>
        <w:spacing w:line="600" w:lineRule="exact"/>
        <w:jc w:val="center"/>
        <w:outlineLvl w:val="0"/>
        <w:rPr>
          <w:rFonts w:ascii="方正小标宋简体" w:hAnsi="宋体" w:eastAsia="方正小标宋简体"/>
          <w:sz w:val="72"/>
          <w:szCs w:val="72"/>
        </w:rPr>
      </w:pPr>
    </w:p>
    <w:p w14:paraId="2A19E16F">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outlineLvl w:val="0"/>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lang w:eastAsia="zh-CN"/>
        </w:rPr>
        <w:t>2024年</w:t>
      </w:r>
      <w:r>
        <w:rPr>
          <w:rFonts w:hint="eastAsia" w:ascii="方正公文小标宋" w:hAnsi="方正公文小标宋" w:eastAsia="方正公文小标宋" w:cs="方正公文小标宋"/>
          <w:sz w:val="44"/>
          <w:szCs w:val="44"/>
        </w:rPr>
        <w:t>度</w:t>
      </w:r>
      <w:bookmarkEnd w:id="0"/>
      <w:bookmarkEnd w:id="1"/>
      <w:bookmarkEnd w:id="2"/>
      <w:bookmarkEnd w:id="3"/>
      <w:bookmarkEnd w:id="4"/>
    </w:p>
    <w:p w14:paraId="61FC3430">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outlineLvl w:val="0"/>
        <w:rPr>
          <w:rFonts w:hint="eastAsia" w:ascii="方正公文小标宋" w:hAnsi="方正公文小标宋" w:eastAsia="方正公文小标宋" w:cs="方正公文小标宋"/>
          <w:sz w:val="44"/>
          <w:szCs w:val="44"/>
          <w:lang w:eastAsia="zh-CN"/>
        </w:rPr>
      </w:pPr>
      <w:bookmarkStart w:id="6" w:name="_Toc15396598"/>
      <w:bookmarkStart w:id="7" w:name="_Toc15377426"/>
      <w:bookmarkStart w:id="8" w:name="_Toc15378442"/>
      <w:bookmarkStart w:id="9" w:name="_Toc15396476"/>
      <w:bookmarkStart w:id="10" w:name="_Toc15377194"/>
      <w:r>
        <w:rPr>
          <w:rFonts w:hint="eastAsia" w:ascii="方正公文小标宋" w:hAnsi="方正公文小标宋" w:eastAsia="方正公文小标宋" w:cs="方正公文小标宋"/>
          <w:sz w:val="44"/>
          <w:szCs w:val="44"/>
        </w:rPr>
        <w:t>四川省</w:t>
      </w:r>
      <w:bookmarkEnd w:id="5"/>
      <w:bookmarkStart w:id="11" w:name="_Toc15306268"/>
      <w:r>
        <w:rPr>
          <w:rFonts w:hint="eastAsia" w:ascii="方正公文小标宋" w:hAnsi="方正公文小标宋" w:eastAsia="方正公文小标宋" w:cs="方正公文小标宋"/>
          <w:sz w:val="44"/>
          <w:szCs w:val="44"/>
          <w:lang w:eastAsia="zh-CN"/>
        </w:rPr>
        <w:t>阿坝州公务服务中心</w:t>
      </w:r>
    </w:p>
    <w:p w14:paraId="427696E6">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outlineLvl w:val="0"/>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部门决算</w:t>
      </w:r>
      <w:bookmarkEnd w:id="6"/>
      <w:bookmarkEnd w:id="7"/>
      <w:bookmarkEnd w:id="8"/>
      <w:bookmarkEnd w:id="9"/>
      <w:bookmarkEnd w:id="10"/>
      <w:bookmarkEnd w:id="11"/>
    </w:p>
    <w:p w14:paraId="0FF3E419">
      <w:pPr>
        <w:widowControl/>
        <w:jc w:val="center"/>
        <w:rPr>
          <w:rFonts w:hint="eastAsia" w:ascii="黑体" w:hAnsi="黑体" w:eastAsia="黑体"/>
          <w:sz w:val="48"/>
          <w:szCs w:val="48"/>
        </w:rPr>
      </w:pPr>
    </w:p>
    <w:p w14:paraId="6B44B48B">
      <w:pPr>
        <w:widowControl/>
        <w:jc w:val="center"/>
        <w:rPr>
          <w:rFonts w:hint="eastAsia" w:ascii="黑体" w:hAnsi="黑体" w:eastAsia="黑体"/>
          <w:sz w:val="48"/>
          <w:szCs w:val="48"/>
        </w:rPr>
      </w:pPr>
    </w:p>
    <w:p w14:paraId="53305F89">
      <w:pPr>
        <w:widowControl/>
        <w:jc w:val="center"/>
        <w:rPr>
          <w:rFonts w:hint="eastAsia" w:ascii="黑体" w:hAnsi="黑体" w:eastAsia="黑体"/>
          <w:sz w:val="48"/>
          <w:szCs w:val="48"/>
        </w:rPr>
      </w:pPr>
    </w:p>
    <w:p w14:paraId="3114EC4A">
      <w:pPr>
        <w:widowControl/>
        <w:jc w:val="center"/>
        <w:rPr>
          <w:rFonts w:hint="eastAsia" w:ascii="黑体" w:hAnsi="黑体" w:eastAsia="黑体"/>
          <w:sz w:val="48"/>
          <w:szCs w:val="48"/>
        </w:rPr>
      </w:pPr>
    </w:p>
    <w:p w14:paraId="26FE7795">
      <w:pPr>
        <w:widowControl/>
        <w:jc w:val="center"/>
        <w:rPr>
          <w:rFonts w:hint="eastAsia" w:ascii="黑体" w:hAnsi="黑体" w:eastAsia="黑体"/>
          <w:sz w:val="48"/>
          <w:szCs w:val="48"/>
        </w:rPr>
      </w:pPr>
    </w:p>
    <w:p w14:paraId="33C61B9A">
      <w:pPr>
        <w:widowControl/>
        <w:jc w:val="center"/>
        <w:rPr>
          <w:rFonts w:hint="eastAsia" w:ascii="黑体" w:hAnsi="黑体" w:eastAsia="黑体"/>
          <w:sz w:val="48"/>
          <w:szCs w:val="48"/>
        </w:rPr>
      </w:pPr>
    </w:p>
    <w:p w14:paraId="2B634730">
      <w:pPr>
        <w:rPr>
          <w:rFonts w:ascii="方正小标宋简体" w:hAnsi="宋体" w:eastAsia="方正小标宋简体"/>
          <w:sz w:val="36"/>
          <w:szCs w:val="36"/>
        </w:rPr>
      </w:pPr>
    </w:p>
    <w:p w14:paraId="745A60FC">
      <w:pPr>
        <w:widowControl/>
        <w:jc w:val="center"/>
        <w:rPr>
          <w:rFonts w:hint="eastAsia" w:ascii="黑体" w:hAnsi="黑体" w:eastAsia="黑体"/>
          <w:sz w:val="48"/>
          <w:szCs w:val="48"/>
        </w:rPr>
      </w:pPr>
    </w:p>
    <w:p w14:paraId="086A39F7">
      <w:pPr>
        <w:pStyle w:val="8"/>
        <w:rPr>
          <w:rFonts w:hint="eastAsia" w:ascii="黑体" w:hAnsi="黑体" w:eastAsia="黑体"/>
          <w:sz w:val="48"/>
          <w:szCs w:val="48"/>
        </w:rPr>
      </w:pPr>
    </w:p>
    <w:p w14:paraId="1471B93F">
      <w:pPr>
        <w:rPr>
          <w:rFonts w:hint="eastAsia" w:ascii="黑体" w:hAnsi="黑体" w:eastAsia="黑体"/>
          <w:sz w:val="48"/>
          <w:szCs w:val="48"/>
        </w:rPr>
      </w:pPr>
    </w:p>
    <w:p w14:paraId="4EACA48F">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1FD4262D">
      <w:pPr>
        <w:autoSpaceDE w:val="0"/>
        <w:autoSpaceDN w:val="0"/>
        <w:adjustRightInd w:val="0"/>
        <w:ind w:left="420" w:leftChars="200"/>
        <w:jc w:val="left"/>
        <w:rPr>
          <w:rFonts w:hint="default" w:ascii="宋体" w:hAnsi="宋体" w:eastAsia="宋体"/>
          <w:sz w:val="32"/>
          <w:szCs w:val="32"/>
          <w:lang w:val="en-US" w:eastAsia="zh-CN"/>
        </w:rPr>
      </w:pPr>
      <w:r>
        <w:rPr>
          <w:rFonts w:hint="eastAsia" w:ascii="宋体" w:hAnsi="宋体" w:cs="仿宋_GB2312"/>
          <w:sz w:val="32"/>
          <w:szCs w:val="32"/>
        </w:rPr>
        <w:t>部门主要负责人审签情况：</w:t>
      </w:r>
      <w:r>
        <w:rPr>
          <w:rFonts w:hint="eastAsia" w:ascii="宋体" w:hAnsi="宋体" w:cs="仿宋_GB2312"/>
          <w:sz w:val="32"/>
          <w:szCs w:val="32"/>
          <w:lang w:val="en-US" w:eastAsia="zh-CN"/>
        </w:rPr>
        <w:t>已审签，同意对外公开</w:t>
      </w:r>
    </w:p>
    <w:p w14:paraId="248B8AC9">
      <w:pPr>
        <w:pStyle w:val="8"/>
        <w:rPr>
          <w:rFonts w:hint="eastAsia"/>
        </w:rPr>
      </w:pPr>
    </w:p>
    <w:p w14:paraId="1B5B978C">
      <w:pPr>
        <w:widowControl/>
        <w:jc w:val="center"/>
        <w:rPr>
          <w:rFonts w:hint="eastAsia" w:ascii="黑体" w:hAnsi="黑体" w:eastAsia="黑体"/>
          <w:sz w:val="48"/>
          <w:szCs w:val="48"/>
        </w:rPr>
      </w:pPr>
    </w:p>
    <w:p w14:paraId="3890C6A6">
      <w:pPr>
        <w:widowControl/>
        <w:jc w:val="center"/>
        <w:rPr>
          <w:rFonts w:hint="eastAsia" w:ascii="黑体" w:hAnsi="黑体" w:eastAsia="黑体"/>
          <w:sz w:val="48"/>
          <w:szCs w:val="48"/>
        </w:rPr>
      </w:pPr>
    </w:p>
    <w:p w14:paraId="574A2A14">
      <w:pPr>
        <w:pStyle w:val="8"/>
        <w:rPr>
          <w:rFonts w:hint="eastAsia" w:ascii="黑体" w:hAnsi="黑体" w:eastAsia="黑体"/>
          <w:sz w:val="48"/>
          <w:szCs w:val="48"/>
        </w:rPr>
      </w:pPr>
    </w:p>
    <w:p w14:paraId="68D3CAE7">
      <w:pPr>
        <w:pStyle w:val="8"/>
        <w:ind w:left="0" w:leftChars="0" w:firstLine="0" w:firstLineChars="0"/>
        <w:rPr>
          <w:rFonts w:hint="eastAsia"/>
        </w:rPr>
      </w:pPr>
    </w:p>
    <w:p w14:paraId="048F7AB4">
      <w:pPr>
        <w:widowControl/>
        <w:jc w:val="center"/>
        <w:rPr>
          <w:rFonts w:ascii="黑体" w:hAnsi="黑体" w:eastAsia="黑体"/>
          <w:sz w:val="48"/>
          <w:szCs w:val="48"/>
        </w:rPr>
      </w:pPr>
      <w:r>
        <w:rPr>
          <w:rFonts w:hint="eastAsia" w:ascii="黑体" w:hAnsi="黑体" w:eastAsia="黑体"/>
          <w:sz w:val="48"/>
          <w:szCs w:val="48"/>
        </w:rPr>
        <w:t>目</w:t>
      </w:r>
      <w:r>
        <w:rPr>
          <w:rFonts w:hint="eastAsia" w:ascii="黑体" w:hAnsi="黑体" w:eastAsia="黑体"/>
          <w:sz w:val="48"/>
          <w:szCs w:val="48"/>
          <w:lang w:val="en-US" w:eastAsia="zh-CN"/>
        </w:rPr>
        <w:t xml:space="preserve">  </w:t>
      </w:r>
      <w:r>
        <w:rPr>
          <w:rFonts w:hint="eastAsia" w:ascii="黑体" w:hAnsi="黑体" w:eastAsia="黑体"/>
          <w:sz w:val="48"/>
          <w:szCs w:val="48"/>
        </w:rPr>
        <w:t>录</w:t>
      </w:r>
    </w:p>
    <w:p w14:paraId="33E8F015">
      <w:pPr>
        <w:widowControl/>
        <w:jc w:val="center"/>
        <w:rPr>
          <w:rFonts w:ascii="黑体" w:hAnsi="黑体" w:eastAsia="黑体" w:cstheme="minorBidi"/>
          <w:sz w:val="28"/>
          <w:szCs w:val="28"/>
        </w:rPr>
      </w:pPr>
    </w:p>
    <w:p w14:paraId="4E10B3F7">
      <w:pPr>
        <w:pStyle w:val="13"/>
      </w:pPr>
      <w:r>
        <w:rPr>
          <w:rFonts w:hint="eastAsia"/>
        </w:rPr>
        <w:t>公开时间：</w:t>
      </w:r>
      <w:r>
        <w:rPr>
          <w:rFonts w:hint="eastAsia"/>
          <w:lang w:eastAsia="zh-CN"/>
        </w:rPr>
        <w:t>2024年</w:t>
      </w:r>
      <w:r>
        <w:rPr>
          <w:rFonts w:hint="eastAsia"/>
          <w:lang w:val="en-US" w:eastAsia="zh-CN"/>
        </w:rPr>
        <w:t>9</w:t>
      </w:r>
      <w:r>
        <w:rPr>
          <w:rFonts w:hint="eastAsia"/>
        </w:rPr>
        <w:t>月</w:t>
      </w:r>
      <w:r>
        <w:rPr>
          <w:rFonts w:hint="eastAsia"/>
          <w:lang w:val="en-US" w:eastAsia="zh-CN"/>
        </w:rPr>
        <w:t>19</w:t>
      </w:r>
      <w:bookmarkStart w:id="140" w:name="_GoBack"/>
      <w:bookmarkEnd w:id="140"/>
      <w:r>
        <w:rPr>
          <w:rFonts w:hint="eastAsia"/>
        </w:rPr>
        <w:t>日</w:t>
      </w:r>
    </w:p>
    <w:sdt>
      <w:sdtPr>
        <w:rPr>
          <w:rFonts w:ascii="宋体" w:hAnsi="宋体" w:eastAsia="宋体" w:cs="Times New Roman"/>
          <w:kern w:val="2"/>
          <w:sz w:val="21"/>
          <w:szCs w:val="24"/>
          <w:lang w:val="en-US" w:eastAsia="zh-CN" w:bidi="ar-SA"/>
        </w:rPr>
        <w:id w:val="147452162"/>
        <w:docPartObj>
          <w:docPartGallery w:val="Table of Contents"/>
          <w:docPartUnique/>
        </w:docPartObj>
      </w:sdtPr>
      <w:sdtEndPr>
        <w:rPr>
          <w:rFonts w:ascii="Times New Roman" w:hAnsi="Times New Roman" w:eastAsia="宋体" w:cs="Times New Roman"/>
          <w:kern w:val="2"/>
          <w:sz w:val="20"/>
          <w:szCs w:val="20"/>
          <w:lang w:val="en-US" w:eastAsia="zh-CN" w:bidi="ar-SA"/>
        </w:rPr>
      </w:sdtEndPr>
      <w:sdtContent>
        <w:p w14:paraId="66BB0CC1">
          <w:pPr>
            <w:spacing w:before="0" w:beforeLines="0" w:after="0" w:afterLines="0" w:line="240" w:lineRule="auto"/>
            <w:ind w:left="0" w:leftChars="0" w:right="0" w:rightChars="0" w:firstLine="0" w:firstLineChars="0"/>
            <w:jc w:val="center"/>
          </w:pPr>
          <w:bookmarkStart w:id="12" w:name="_Toc1523376240_WPSOffice_Type2"/>
          <w:r>
            <w:rPr>
              <w:rFonts w:ascii="宋体" w:hAnsi="宋体" w:eastAsia="宋体"/>
              <w:sz w:val="21"/>
            </w:rPr>
            <w:t>目录</w:t>
          </w:r>
        </w:p>
        <w:p w14:paraId="745E5950">
          <w:pPr>
            <w:pStyle w:val="41"/>
            <w:tabs>
              <w:tab w:val="right" w:leader="dot" w:pos="8306"/>
            </w:tabs>
          </w:pPr>
          <w:r>
            <w:rPr>
              <w:b/>
              <w:bCs/>
            </w:rPr>
            <w:fldChar w:fldCharType="begin"/>
          </w:r>
          <w:r>
            <w:instrText xml:space="preserve"> HYPERLINK \l _Toc928437262_WPSOffice_Level1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76777547"/>
              <w:placeholder>
                <w:docPart w:val="{07b2c213-7fab-4a15-9c12-2092fe47efce}"/>
              </w:placeholder>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第一部分 部门概况</w:t>
              </w:r>
            </w:sdtContent>
          </w:sdt>
          <w:r>
            <w:rPr>
              <w:b/>
              <w:bCs/>
            </w:rPr>
            <w:tab/>
          </w:r>
          <w:bookmarkStart w:id="13" w:name="_Toc928437262_WPSOffice_Level1Page"/>
          <w:r>
            <w:rPr>
              <w:b/>
              <w:bCs/>
            </w:rPr>
            <w:t>4</w:t>
          </w:r>
          <w:bookmarkEnd w:id="13"/>
          <w:r>
            <w:rPr>
              <w:b/>
              <w:bCs/>
            </w:rPr>
            <w:fldChar w:fldCharType="end"/>
          </w:r>
        </w:p>
        <w:p w14:paraId="7EB25BD6">
          <w:pPr>
            <w:pStyle w:val="42"/>
            <w:tabs>
              <w:tab w:val="right" w:leader="dot" w:pos="8306"/>
            </w:tabs>
          </w:pPr>
          <w:r>
            <w:fldChar w:fldCharType="begin"/>
          </w:r>
          <w:r>
            <w:instrText xml:space="preserve"> HYPERLINK \l _Toc1523376240_WPSOffice_Level2 </w:instrText>
          </w:r>
          <w:r>
            <w:fldChar w:fldCharType="separate"/>
          </w:r>
          <w:sdt>
            <w:sdtPr>
              <w:rPr>
                <w:rFonts w:ascii="Times New Roman" w:hAnsi="Times New Roman" w:eastAsia="宋体" w:cs="Times New Roman"/>
                <w:kern w:val="2"/>
                <w:sz w:val="21"/>
                <w:szCs w:val="24"/>
                <w:lang w:val="en-US" w:eastAsia="zh-CN" w:bidi="ar-SA"/>
              </w:rPr>
              <w:id w:val="147458375"/>
              <w:placeholder>
                <w:docPart w:val="{ede6a936-8e4d-48dd-aac9-93a8d4c1faea}"/>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方正仿宋_GBK" w:cs="Times New Roman"/>
                </w:rPr>
                <w:t>一、</w:t>
              </w:r>
              <w:r>
                <w:rPr>
                  <w:rFonts w:hint="eastAsia" w:ascii="黑体" w:hAnsi="黑体" w:eastAsia="黑体" w:cstheme="majorBidi"/>
                </w:rPr>
                <w:t>部门职责</w:t>
              </w:r>
            </w:sdtContent>
          </w:sdt>
          <w:r>
            <w:tab/>
          </w:r>
          <w:bookmarkStart w:id="14" w:name="_Toc1523376240_WPSOffice_Level2Page"/>
          <w:r>
            <w:t>4</w:t>
          </w:r>
          <w:bookmarkEnd w:id="14"/>
          <w:r>
            <w:fldChar w:fldCharType="end"/>
          </w:r>
        </w:p>
        <w:p w14:paraId="43FDCDBE">
          <w:pPr>
            <w:pStyle w:val="42"/>
            <w:tabs>
              <w:tab w:val="right" w:leader="dot" w:pos="8306"/>
            </w:tabs>
          </w:pPr>
          <w:r>
            <w:fldChar w:fldCharType="begin"/>
          </w:r>
          <w:r>
            <w:instrText xml:space="preserve"> HYPERLINK \l _Toc538366594_WPSOffice_Level2 </w:instrText>
          </w:r>
          <w:r>
            <w:fldChar w:fldCharType="separate"/>
          </w:r>
          <w:sdt>
            <w:sdtPr>
              <w:rPr>
                <w:rFonts w:ascii="Times New Roman" w:hAnsi="Times New Roman" w:eastAsia="宋体" w:cs="Times New Roman"/>
                <w:kern w:val="2"/>
                <w:sz w:val="21"/>
                <w:szCs w:val="24"/>
                <w:lang w:val="en-US" w:eastAsia="zh-CN" w:bidi="ar-SA"/>
              </w:rPr>
              <w:id w:val="147473116"/>
              <w:placeholder>
                <w:docPart w:val="{76c949de-c48e-4ae3-90de-edb2ab88c372}"/>
              </w:placeholder>
            </w:sdtPr>
            <w:sdtEndPr>
              <w:rPr>
                <w:rFonts w:ascii="Times New Roman" w:hAnsi="Times New Roman" w:eastAsia="宋体" w:cs="Times New Roman"/>
                <w:kern w:val="2"/>
                <w:sz w:val="21"/>
                <w:szCs w:val="24"/>
                <w:lang w:val="en-US" w:eastAsia="zh-CN" w:bidi="ar-SA"/>
              </w:rPr>
            </w:sdtEndPr>
            <w:sdtContent>
              <w:r>
                <w:rPr>
                  <w:rFonts w:hint="eastAsia" w:ascii="黑体" w:eastAsia="黑体" w:hAnsiTheme="majorHAnsi" w:cstheme="majorBidi"/>
                </w:rPr>
                <w:t>二、</w:t>
              </w:r>
              <w:r>
                <w:rPr>
                  <w:rFonts w:hint="eastAsia" w:ascii="黑体" w:hAnsi="黑体" w:eastAsia="黑体" w:cstheme="majorBidi"/>
                </w:rPr>
                <w:t>机构设置</w:t>
              </w:r>
            </w:sdtContent>
          </w:sdt>
          <w:r>
            <w:tab/>
          </w:r>
          <w:bookmarkStart w:id="15" w:name="_Toc538366594_WPSOffice_Level2Page"/>
          <w:r>
            <w:t>4</w:t>
          </w:r>
          <w:bookmarkEnd w:id="15"/>
          <w:r>
            <w:fldChar w:fldCharType="end"/>
          </w:r>
        </w:p>
        <w:p w14:paraId="65FB768B">
          <w:pPr>
            <w:pStyle w:val="41"/>
            <w:tabs>
              <w:tab w:val="right" w:leader="dot" w:pos="8306"/>
            </w:tabs>
          </w:pPr>
          <w:r>
            <w:rPr>
              <w:b/>
              <w:bCs/>
            </w:rPr>
            <w:fldChar w:fldCharType="begin"/>
          </w:r>
          <w:r>
            <w:instrText xml:space="preserve"> HYPERLINK \l _Toc1523376240_WPSOffice_Level1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7966"/>
              <w:placeholder>
                <w:docPart w:val="{c3da9160-cc69-4f30-828d-794ddccbae1d}"/>
              </w:placeholder>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第二部分 2024年度部门决算情况说明</w:t>
              </w:r>
            </w:sdtContent>
          </w:sdt>
          <w:r>
            <w:rPr>
              <w:b/>
              <w:bCs/>
            </w:rPr>
            <w:tab/>
          </w:r>
          <w:bookmarkStart w:id="16" w:name="_Toc1523376240_WPSOffice_Level1Page"/>
          <w:r>
            <w:rPr>
              <w:b/>
              <w:bCs/>
            </w:rPr>
            <w:t>5</w:t>
          </w:r>
          <w:bookmarkEnd w:id="16"/>
          <w:r>
            <w:rPr>
              <w:b/>
              <w:bCs/>
            </w:rPr>
            <w:fldChar w:fldCharType="end"/>
          </w:r>
        </w:p>
        <w:p w14:paraId="1D39AFE3">
          <w:pPr>
            <w:pStyle w:val="42"/>
            <w:tabs>
              <w:tab w:val="right" w:leader="dot" w:pos="8306"/>
            </w:tabs>
          </w:pPr>
          <w:r>
            <w:fldChar w:fldCharType="begin"/>
          </w:r>
          <w:r>
            <w:instrText xml:space="preserve"> HYPERLINK \l _Toc1662103642_WPSOffice_Level2 </w:instrText>
          </w:r>
          <w:r>
            <w:fldChar w:fldCharType="separate"/>
          </w:r>
          <w:sdt>
            <w:sdtPr>
              <w:rPr>
                <w:rFonts w:ascii="Times New Roman" w:hAnsi="Times New Roman" w:eastAsia="宋体" w:cs="Times New Roman"/>
                <w:kern w:val="2"/>
                <w:sz w:val="21"/>
                <w:szCs w:val="24"/>
                <w:lang w:val="en-US" w:eastAsia="zh-CN" w:bidi="ar-SA"/>
              </w:rPr>
              <w:id w:val="147451144"/>
              <w:placeholder>
                <w:docPart w:val="{b759b438-c31c-4fc3-8f70-4d31a06ba1cb}"/>
              </w:placeholder>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一、</w:t>
              </w:r>
              <w:r>
                <w:rPr>
                  <w:rFonts w:hint="eastAsia" w:ascii="黑体" w:hAnsi="黑体" w:eastAsia="黑体" w:cs="Times New Roman"/>
                </w:rPr>
                <w:t>收</w:t>
              </w:r>
              <w:r>
                <w:rPr>
                  <w:rFonts w:hint="eastAsia" w:ascii="黑体" w:hAnsi="黑体" w:eastAsia="黑体" w:cstheme="majorBidi"/>
                </w:rPr>
                <w:t>入支出决算总体情况说明</w:t>
              </w:r>
            </w:sdtContent>
          </w:sdt>
          <w:r>
            <w:tab/>
          </w:r>
          <w:bookmarkStart w:id="17" w:name="_Toc1662103642_WPSOffice_Level2Page"/>
          <w:r>
            <w:t>5</w:t>
          </w:r>
          <w:bookmarkEnd w:id="17"/>
          <w:r>
            <w:fldChar w:fldCharType="end"/>
          </w:r>
        </w:p>
        <w:p w14:paraId="32407684">
          <w:pPr>
            <w:pStyle w:val="42"/>
            <w:tabs>
              <w:tab w:val="right" w:leader="dot" w:pos="8306"/>
            </w:tabs>
          </w:pPr>
          <w:r>
            <w:fldChar w:fldCharType="begin"/>
          </w:r>
          <w:r>
            <w:instrText xml:space="preserve"> HYPERLINK \l _Toc1428875751_WPSOffice_Level2 </w:instrText>
          </w:r>
          <w:r>
            <w:fldChar w:fldCharType="separate"/>
          </w:r>
          <w:sdt>
            <w:sdtPr>
              <w:rPr>
                <w:rFonts w:ascii="Times New Roman" w:hAnsi="Times New Roman" w:eastAsia="宋体" w:cs="Times New Roman"/>
                <w:kern w:val="2"/>
                <w:sz w:val="21"/>
                <w:szCs w:val="24"/>
                <w:lang w:val="en-US" w:eastAsia="zh-CN" w:bidi="ar-SA"/>
              </w:rPr>
              <w:id w:val="147458288"/>
              <w:placeholder>
                <w:docPart w:val="{a560a624-12df-4bd6-b262-19cc1ac6feff}"/>
              </w:placeholder>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二、</w:t>
              </w:r>
              <w:r>
                <w:rPr>
                  <w:rFonts w:hint="eastAsia" w:ascii="黑体" w:hAnsi="黑体" w:eastAsia="黑体" w:cs="Times New Roman"/>
                </w:rPr>
                <w:t>收</w:t>
              </w:r>
              <w:r>
                <w:rPr>
                  <w:rFonts w:hint="eastAsia" w:ascii="黑体" w:hAnsi="黑体" w:eastAsia="黑体" w:cstheme="majorBidi"/>
                </w:rPr>
                <w:t>入决算情况说明</w:t>
              </w:r>
            </w:sdtContent>
          </w:sdt>
          <w:r>
            <w:tab/>
          </w:r>
          <w:bookmarkStart w:id="18" w:name="_Toc1428875751_WPSOffice_Level2Page"/>
          <w:r>
            <w:t>5</w:t>
          </w:r>
          <w:bookmarkEnd w:id="18"/>
          <w:r>
            <w:fldChar w:fldCharType="end"/>
          </w:r>
        </w:p>
        <w:p w14:paraId="2F0A4AF1">
          <w:pPr>
            <w:pStyle w:val="42"/>
            <w:tabs>
              <w:tab w:val="right" w:leader="dot" w:pos="8306"/>
            </w:tabs>
          </w:pPr>
          <w:r>
            <w:fldChar w:fldCharType="begin"/>
          </w:r>
          <w:r>
            <w:instrText xml:space="preserve"> HYPERLINK \l _Toc1218731862_WPSOffice_Level2 </w:instrText>
          </w:r>
          <w:r>
            <w:fldChar w:fldCharType="separate"/>
          </w:r>
          <w:sdt>
            <w:sdtPr>
              <w:rPr>
                <w:rFonts w:ascii="Times New Roman" w:hAnsi="Times New Roman" w:eastAsia="宋体" w:cs="Times New Roman"/>
                <w:kern w:val="2"/>
                <w:sz w:val="21"/>
                <w:szCs w:val="24"/>
                <w:lang w:val="en-US" w:eastAsia="zh-CN" w:bidi="ar-SA"/>
              </w:rPr>
              <w:id w:val="147479349"/>
              <w:placeholder>
                <w:docPart w:val="{e80013ab-a528-4154-a15e-91535f3fa3e8}"/>
              </w:placeholder>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三、</w:t>
              </w:r>
              <w:r>
                <w:rPr>
                  <w:rFonts w:hint="eastAsia" w:ascii="黑体" w:hAnsi="黑体" w:eastAsia="黑体" w:cs="Times New Roman"/>
                </w:rPr>
                <w:t>支</w:t>
              </w:r>
              <w:r>
                <w:rPr>
                  <w:rFonts w:hint="eastAsia" w:ascii="黑体" w:hAnsi="黑体" w:eastAsia="黑体" w:cstheme="majorBidi"/>
                </w:rPr>
                <w:t>出决算情况说明</w:t>
              </w:r>
            </w:sdtContent>
          </w:sdt>
          <w:r>
            <w:tab/>
          </w:r>
          <w:bookmarkStart w:id="19" w:name="_Toc1218731862_WPSOffice_Level2Page"/>
          <w:r>
            <w:t>6</w:t>
          </w:r>
          <w:bookmarkEnd w:id="19"/>
          <w:r>
            <w:fldChar w:fldCharType="end"/>
          </w:r>
        </w:p>
        <w:p w14:paraId="1AAB3CB0">
          <w:pPr>
            <w:pStyle w:val="42"/>
            <w:tabs>
              <w:tab w:val="right" w:leader="dot" w:pos="8306"/>
            </w:tabs>
          </w:pPr>
          <w:r>
            <w:fldChar w:fldCharType="begin"/>
          </w:r>
          <w:r>
            <w:instrText xml:space="preserve"> HYPERLINK \l _Toc485345270_WPSOffice_Level2 </w:instrText>
          </w:r>
          <w:r>
            <w:fldChar w:fldCharType="separate"/>
          </w:r>
          <w:sdt>
            <w:sdtPr>
              <w:rPr>
                <w:rFonts w:ascii="Times New Roman" w:hAnsi="Times New Roman" w:eastAsia="宋体" w:cs="Times New Roman"/>
                <w:kern w:val="2"/>
                <w:sz w:val="21"/>
                <w:szCs w:val="24"/>
                <w:lang w:val="en-US" w:eastAsia="zh-CN" w:bidi="ar-SA"/>
              </w:rPr>
              <w:id w:val="147469181"/>
              <w:placeholder>
                <w:docPart w:val="{e709e225-c015-481a-a271-eac4e4b067a4}"/>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四、财</w:t>
              </w:r>
              <w:r>
                <w:rPr>
                  <w:rFonts w:hint="eastAsia" w:ascii="黑体" w:hAnsi="黑体" w:eastAsia="黑体" w:cstheme="majorBidi"/>
                </w:rPr>
                <w:t>政拨款收入支出决算总体情况说明</w:t>
              </w:r>
            </w:sdtContent>
          </w:sdt>
          <w:r>
            <w:tab/>
          </w:r>
          <w:bookmarkStart w:id="20" w:name="_Toc485345270_WPSOffice_Level2Page"/>
          <w:r>
            <w:t>7</w:t>
          </w:r>
          <w:bookmarkEnd w:id="20"/>
          <w:r>
            <w:fldChar w:fldCharType="end"/>
          </w:r>
        </w:p>
        <w:p w14:paraId="50E1F05E">
          <w:pPr>
            <w:pStyle w:val="42"/>
            <w:tabs>
              <w:tab w:val="right" w:leader="dot" w:pos="8306"/>
            </w:tabs>
          </w:pPr>
          <w:r>
            <w:fldChar w:fldCharType="begin"/>
          </w:r>
          <w:r>
            <w:instrText xml:space="preserve"> HYPERLINK \l _Toc903850769_WPSOffice_Level2 </w:instrText>
          </w:r>
          <w:r>
            <w:fldChar w:fldCharType="separate"/>
          </w:r>
          <w:sdt>
            <w:sdtPr>
              <w:rPr>
                <w:rFonts w:ascii="Times New Roman" w:hAnsi="Times New Roman" w:eastAsia="宋体" w:cs="Times New Roman"/>
                <w:kern w:val="2"/>
                <w:sz w:val="21"/>
                <w:szCs w:val="24"/>
                <w:lang w:val="en-US" w:eastAsia="zh-CN" w:bidi="ar-SA"/>
              </w:rPr>
              <w:id w:val="147470892"/>
              <w:placeholder>
                <w:docPart w:val="{05a813e8-970d-49be-9e8c-fd0bae4a1cbf}"/>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五、一</w:t>
              </w:r>
              <w:r>
                <w:rPr>
                  <w:rFonts w:hint="eastAsia" w:ascii="黑体" w:hAnsi="黑体" w:eastAsia="黑体" w:cstheme="majorBidi"/>
                </w:rPr>
                <w:t>般公共预算财政拨款支出决算情况说明</w:t>
              </w:r>
            </w:sdtContent>
          </w:sdt>
          <w:r>
            <w:tab/>
          </w:r>
          <w:bookmarkStart w:id="21" w:name="_Toc903850769_WPSOffice_Level2Page"/>
          <w:r>
            <w:t>7</w:t>
          </w:r>
          <w:bookmarkEnd w:id="21"/>
          <w:r>
            <w:fldChar w:fldCharType="end"/>
          </w:r>
        </w:p>
        <w:p w14:paraId="03FBCA86">
          <w:pPr>
            <w:pStyle w:val="42"/>
            <w:tabs>
              <w:tab w:val="right" w:leader="dot" w:pos="8306"/>
            </w:tabs>
          </w:pPr>
          <w:r>
            <w:fldChar w:fldCharType="begin"/>
          </w:r>
          <w:r>
            <w:instrText xml:space="preserve"> HYPERLINK \l _Toc157518650_WPSOffice_Level2 </w:instrText>
          </w:r>
          <w:r>
            <w:fldChar w:fldCharType="separate"/>
          </w:r>
          <w:sdt>
            <w:sdtPr>
              <w:rPr>
                <w:rFonts w:ascii="Times New Roman" w:hAnsi="Times New Roman" w:eastAsia="宋体" w:cs="Times New Roman"/>
                <w:kern w:val="2"/>
                <w:sz w:val="21"/>
                <w:szCs w:val="24"/>
                <w:lang w:val="en-US" w:eastAsia="zh-CN" w:bidi="ar-SA"/>
              </w:rPr>
              <w:id w:val="147472670"/>
              <w:placeholder>
                <w:docPart w:val="{80ec175d-eaa7-457a-a53e-64f3680e8767}"/>
              </w:placeholder>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六、</w:t>
              </w:r>
              <w:r>
                <w:rPr>
                  <w:rFonts w:hint="eastAsia" w:ascii="黑体" w:hAnsi="黑体" w:eastAsia="黑体" w:cs="Times New Roman"/>
                </w:rPr>
                <w:t>一</w:t>
              </w:r>
              <w:r>
                <w:rPr>
                  <w:rFonts w:hint="eastAsia" w:ascii="黑体" w:hAnsi="黑体" w:eastAsia="黑体" w:cstheme="majorBidi"/>
                </w:rPr>
                <w:t>般公共预算财政拨款基本支出决算情况说明</w:t>
              </w:r>
            </w:sdtContent>
          </w:sdt>
          <w:r>
            <w:tab/>
          </w:r>
          <w:bookmarkStart w:id="22" w:name="_Toc157518650_WPSOffice_Level2Page"/>
          <w:r>
            <w:t>9</w:t>
          </w:r>
          <w:bookmarkEnd w:id="22"/>
          <w:r>
            <w:fldChar w:fldCharType="end"/>
          </w:r>
        </w:p>
        <w:p w14:paraId="3BF494FA">
          <w:pPr>
            <w:pStyle w:val="42"/>
            <w:tabs>
              <w:tab w:val="right" w:leader="dot" w:pos="8306"/>
            </w:tabs>
          </w:pPr>
          <w:r>
            <w:fldChar w:fldCharType="begin"/>
          </w:r>
          <w:r>
            <w:instrText xml:space="preserve"> HYPERLINK \l _Toc1173817138_WPSOffice_Level2 </w:instrText>
          </w:r>
          <w:r>
            <w:fldChar w:fldCharType="separate"/>
          </w:r>
          <w:sdt>
            <w:sdtPr>
              <w:rPr>
                <w:rFonts w:ascii="Times New Roman" w:hAnsi="Times New Roman" w:eastAsia="宋体" w:cs="Times New Roman"/>
                <w:kern w:val="2"/>
                <w:sz w:val="21"/>
                <w:szCs w:val="24"/>
                <w:lang w:val="en-US" w:eastAsia="zh-CN" w:bidi="ar-SA"/>
              </w:rPr>
              <w:id w:val="147472022"/>
              <w:placeholder>
                <w:docPart w:val="{0bf0c566-bb93-4419-8d43-30acf57b94f4}"/>
              </w:placeholder>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七、</w:t>
              </w:r>
              <w:r>
                <w:rPr>
                  <w:rFonts w:hint="eastAsia" w:ascii="黑体" w:hAnsi="黑体" w:eastAsia="黑体" w:cstheme="majorBidi"/>
                </w:rPr>
                <w:t>财政拨款“三公”经费支出决算情况说明</w:t>
              </w:r>
            </w:sdtContent>
          </w:sdt>
          <w:r>
            <w:tab/>
          </w:r>
          <w:bookmarkStart w:id="23" w:name="_Toc1173817138_WPSOffice_Level2Page"/>
          <w:r>
            <w:t>10</w:t>
          </w:r>
          <w:bookmarkEnd w:id="23"/>
          <w:r>
            <w:fldChar w:fldCharType="end"/>
          </w:r>
        </w:p>
        <w:p w14:paraId="78A0E96F">
          <w:pPr>
            <w:pStyle w:val="42"/>
            <w:tabs>
              <w:tab w:val="right" w:leader="dot" w:pos="8306"/>
            </w:tabs>
          </w:pPr>
          <w:r>
            <w:fldChar w:fldCharType="begin"/>
          </w:r>
          <w:r>
            <w:instrText xml:space="preserve"> HYPERLINK \l _Toc1373117114_WPSOffice_Level2 </w:instrText>
          </w:r>
          <w:r>
            <w:fldChar w:fldCharType="separate"/>
          </w:r>
          <w:sdt>
            <w:sdtPr>
              <w:rPr>
                <w:rFonts w:ascii="Times New Roman" w:hAnsi="Times New Roman" w:eastAsia="宋体" w:cs="Times New Roman"/>
                <w:kern w:val="2"/>
                <w:sz w:val="21"/>
                <w:szCs w:val="24"/>
                <w:lang w:val="en-US" w:eastAsia="zh-CN" w:bidi="ar-SA"/>
              </w:rPr>
              <w:id w:val="147465555"/>
              <w:placeholder>
                <w:docPart w:val="{a51adb1a-feea-4e84-b07e-7657a1115b5f}"/>
              </w:placeholder>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八、</w:t>
              </w:r>
              <w:r>
                <w:rPr>
                  <w:rFonts w:hint="eastAsia" w:ascii="黑体" w:hAnsi="黑体" w:eastAsia="黑体" w:cstheme="majorBidi"/>
                </w:rPr>
                <w:t>政府性基金预算支出决算情况说明</w:t>
              </w:r>
            </w:sdtContent>
          </w:sdt>
          <w:r>
            <w:tab/>
          </w:r>
          <w:bookmarkStart w:id="24" w:name="_Toc1373117114_WPSOffice_Level2Page"/>
          <w:r>
            <w:t>12</w:t>
          </w:r>
          <w:bookmarkEnd w:id="24"/>
          <w:r>
            <w:fldChar w:fldCharType="end"/>
          </w:r>
        </w:p>
        <w:p w14:paraId="7E8383A6">
          <w:pPr>
            <w:pStyle w:val="42"/>
            <w:tabs>
              <w:tab w:val="right" w:leader="dot" w:pos="8306"/>
            </w:tabs>
          </w:pPr>
          <w:r>
            <w:fldChar w:fldCharType="begin"/>
          </w:r>
          <w:r>
            <w:instrText xml:space="preserve"> HYPERLINK \l _Toc1381236446_WPSOffice_Level2 </w:instrText>
          </w:r>
          <w:r>
            <w:fldChar w:fldCharType="separate"/>
          </w:r>
          <w:sdt>
            <w:sdtPr>
              <w:rPr>
                <w:rFonts w:ascii="Times New Roman" w:hAnsi="Times New Roman" w:eastAsia="宋体" w:cs="Times New Roman"/>
                <w:kern w:val="2"/>
                <w:sz w:val="21"/>
                <w:szCs w:val="24"/>
                <w:lang w:val="en-US" w:eastAsia="zh-CN" w:bidi="ar-SA"/>
              </w:rPr>
              <w:id w:val="147476860"/>
              <w:placeholder>
                <w:docPart w:val="{cc6c8870-58cc-4b38-9255-2177979601bc}"/>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heme="majorBidi"/>
                </w:rPr>
                <w:t>九、 国有资本经营预算支出决算情况说明</w:t>
              </w:r>
            </w:sdtContent>
          </w:sdt>
          <w:r>
            <w:tab/>
          </w:r>
          <w:bookmarkStart w:id="25" w:name="_Toc1381236446_WPSOffice_Level2Page"/>
          <w:r>
            <w:t>12</w:t>
          </w:r>
          <w:bookmarkEnd w:id="25"/>
          <w:r>
            <w:fldChar w:fldCharType="end"/>
          </w:r>
        </w:p>
        <w:p w14:paraId="477277B5">
          <w:pPr>
            <w:pStyle w:val="42"/>
            <w:tabs>
              <w:tab w:val="right" w:leader="dot" w:pos="8306"/>
            </w:tabs>
          </w:pPr>
          <w:r>
            <w:fldChar w:fldCharType="begin"/>
          </w:r>
          <w:r>
            <w:instrText xml:space="preserve"> HYPERLINK \l _Toc847849458_WPSOffice_Level2 </w:instrText>
          </w:r>
          <w:r>
            <w:fldChar w:fldCharType="separate"/>
          </w:r>
          <w:sdt>
            <w:sdtPr>
              <w:rPr>
                <w:rFonts w:ascii="Times New Roman" w:hAnsi="Times New Roman" w:eastAsia="宋体" w:cs="Times New Roman"/>
                <w:kern w:val="2"/>
                <w:sz w:val="21"/>
                <w:szCs w:val="24"/>
                <w:lang w:val="en-US" w:eastAsia="zh-CN" w:bidi="ar-SA"/>
              </w:rPr>
              <w:id w:val="147452529"/>
              <w:placeholder>
                <w:docPart w:val="{ae966aa1-3fd6-4576-b35f-4ad20543913b}"/>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heme="majorBidi"/>
                </w:rPr>
                <w:t>十、 其他重要事项的情况说明</w:t>
              </w:r>
            </w:sdtContent>
          </w:sdt>
          <w:r>
            <w:tab/>
          </w:r>
          <w:bookmarkStart w:id="26" w:name="_Toc847849458_WPSOffice_Level2Page"/>
          <w:r>
            <w:t>12</w:t>
          </w:r>
          <w:bookmarkEnd w:id="26"/>
          <w:r>
            <w:fldChar w:fldCharType="end"/>
          </w:r>
        </w:p>
        <w:p w14:paraId="3D5986F7">
          <w:pPr>
            <w:pStyle w:val="41"/>
            <w:tabs>
              <w:tab w:val="right" w:leader="dot" w:pos="8306"/>
            </w:tabs>
            <w:rPr>
              <w:b/>
              <w:bCs/>
            </w:rPr>
          </w:pPr>
          <w:r>
            <w:rPr>
              <w:b/>
              <w:bCs/>
            </w:rPr>
            <w:fldChar w:fldCharType="begin"/>
          </w:r>
          <w:r>
            <w:rPr>
              <w:b/>
              <w:bCs/>
            </w:rPr>
            <w:instrText xml:space="preserve"> HYPERLINK \l _Toc538366594_WPSOffice_Level1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58967"/>
              <w:placeholder>
                <w:docPart w:val="{1a26baf2-7bb4-45f8-a5cb-90c046e4199f}"/>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宋体" w:cs="Times New Roman"/>
                  <w:b/>
                  <w:bCs/>
                  <w:kern w:val="2"/>
                  <w:sz w:val="21"/>
                  <w:szCs w:val="24"/>
                  <w:lang w:val="en-US" w:eastAsia="zh-CN" w:bidi="ar-SA"/>
                </w:rPr>
                <w:t>第三部分 名词解释</w:t>
              </w:r>
            </w:sdtContent>
          </w:sdt>
          <w:r>
            <w:rPr>
              <w:b/>
              <w:bCs/>
            </w:rPr>
            <w:tab/>
          </w:r>
          <w:bookmarkStart w:id="27" w:name="_Toc538366594_WPSOffice_Level1Page"/>
          <w:r>
            <w:rPr>
              <w:b/>
              <w:bCs/>
            </w:rPr>
            <w:t>15</w:t>
          </w:r>
          <w:bookmarkEnd w:id="27"/>
          <w:r>
            <w:rPr>
              <w:b/>
              <w:bCs/>
            </w:rPr>
            <w:fldChar w:fldCharType="end"/>
          </w:r>
        </w:p>
        <w:p w14:paraId="2725D1D9">
          <w:pPr>
            <w:pStyle w:val="41"/>
            <w:tabs>
              <w:tab w:val="right" w:leader="dot" w:pos="8306"/>
            </w:tabs>
          </w:pPr>
          <w:r>
            <w:rPr>
              <w:b/>
              <w:bCs/>
            </w:rPr>
            <w:fldChar w:fldCharType="begin"/>
          </w:r>
          <w:r>
            <w:instrText xml:space="preserve"> HYPERLINK \l _Toc1662103642_WPSOffice_Level1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74218"/>
              <w:placeholder>
                <w:docPart w:val="{e40af981-8848-4128-bfd9-f2f47be24c2f}"/>
              </w:placeholder>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第四部分 附件</w:t>
              </w:r>
            </w:sdtContent>
          </w:sdt>
          <w:r>
            <w:rPr>
              <w:b/>
              <w:bCs/>
            </w:rPr>
            <w:tab/>
          </w:r>
          <w:bookmarkStart w:id="28" w:name="_Toc1662103642_WPSOffice_Level1Page"/>
          <w:r>
            <w:rPr>
              <w:b/>
              <w:bCs/>
            </w:rPr>
            <w:t>17</w:t>
          </w:r>
          <w:bookmarkEnd w:id="28"/>
          <w:r>
            <w:rPr>
              <w:b/>
              <w:bCs/>
            </w:rPr>
            <w:fldChar w:fldCharType="end"/>
          </w:r>
        </w:p>
        <w:p w14:paraId="22C45FBE">
          <w:pPr>
            <w:pStyle w:val="42"/>
            <w:tabs>
              <w:tab w:val="right" w:leader="dot" w:pos="8306"/>
            </w:tabs>
          </w:pPr>
          <w:sdt>
            <w:sdtPr>
              <w:rPr>
                <w:rFonts w:ascii="Times New Roman" w:hAnsi="Times New Roman" w:eastAsia="宋体" w:cs="Times New Roman"/>
                <w:kern w:val="2"/>
                <w:sz w:val="21"/>
                <w:szCs w:val="24"/>
                <w:lang w:val="en-US" w:eastAsia="zh-CN" w:bidi="ar-SA"/>
              </w:rPr>
              <w:id w:val="147476015"/>
              <w:placeholder>
                <w:docPart w:val="{1e98e201-6dc5-494d-a509-92d48bad842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方正小标宋简体" w:cs="Times New Roman"/>
                </w:rPr>
                <w:t>阿坝州公务服务中心</w:t>
              </w:r>
            </w:sdtContent>
          </w:sdt>
          <w:r>
            <w:fldChar w:fldCharType="begin"/>
          </w:r>
          <w:r>
            <w:instrText xml:space="preserve"> HYPERLINK \l _Toc195940664_WPSOffice_Level2 </w:instrText>
          </w:r>
          <w:r>
            <w:fldChar w:fldCharType="separate"/>
          </w:r>
          <w:sdt>
            <w:sdtPr>
              <w:rPr>
                <w:rFonts w:ascii="Times New Roman" w:hAnsi="Times New Roman" w:eastAsia="宋体" w:cs="Times New Roman"/>
                <w:kern w:val="2"/>
                <w:sz w:val="21"/>
                <w:szCs w:val="24"/>
                <w:lang w:val="en-US" w:eastAsia="zh-CN" w:bidi="ar-SA"/>
              </w:rPr>
              <w:id w:val="147480433"/>
              <w:placeholder>
                <w:docPart w:val="{6d1e2e73-1257-4324-a6e2-20199fac3414}"/>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方正小标宋简体" w:cs="Times New Roman"/>
                </w:rPr>
                <w:t>2024年</w:t>
              </w:r>
              <w:r>
                <w:rPr>
                  <w:rFonts w:hint="default" w:ascii="Times New Roman" w:hAnsi="Times New Roman" w:eastAsia="方正小标宋简体" w:cs="Times New Roman"/>
                </w:rPr>
                <w:t>部门</w:t>
              </w:r>
              <w:r>
                <w:rPr>
                  <w:rFonts w:hint="eastAsia" w:ascii="Times New Roman" w:hAnsi="Times New Roman" w:eastAsia="方正小标宋简体" w:cs="Times New Roman"/>
                </w:rPr>
                <w:t>预算</w:t>
              </w:r>
              <w:r>
                <w:rPr>
                  <w:rFonts w:hint="default" w:ascii="Times New Roman" w:hAnsi="Times New Roman" w:eastAsia="方正小标宋简体" w:cs="Times New Roman"/>
                </w:rPr>
                <w:t>绩效评价报告</w:t>
              </w:r>
            </w:sdtContent>
          </w:sdt>
          <w:r>
            <w:tab/>
          </w:r>
          <w:bookmarkStart w:id="29" w:name="_Toc195940664_WPSOffice_Level2Page"/>
          <w:r>
            <w:t>17</w:t>
          </w:r>
          <w:bookmarkEnd w:id="29"/>
          <w:r>
            <w:fldChar w:fldCharType="end"/>
          </w:r>
        </w:p>
        <w:p w14:paraId="5909E32D">
          <w:pPr>
            <w:pStyle w:val="42"/>
            <w:tabs>
              <w:tab w:val="right" w:leader="dot" w:pos="8306"/>
            </w:tabs>
          </w:pPr>
          <w:r>
            <w:fldChar w:fldCharType="begin"/>
          </w:r>
          <w:r>
            <w:instrText xml:space="preserve"> HYPERLINK \l _Toc1518932410_WPSOffice_Level2 </w:instrText>
          </w:r>
          <w:r>
            <w:fldChar w:fldCharType="separate"/>
          </w:r>
          <w:sdt>
            <w:sdtPr>
              <w:rPr>
                <w:rFonts w:ascii="Times New Roman" w:hAnsi="Times New Roman" w:eastAsia="宋体" w:cs="Times New Roman"/>
                <w:kern w:val="2"/>
                <w:sz w:val="21"/>
                <w:szCs w:val="24"/>
                <w:lang w:val="en-US" w:eastAsia="zh-CN" w:bidi="ar-SA"/>
              </w:rPr>
              <w:id w:val="147455497"/>
              <w:placeholder>
                <w:docPart w:val="{1c93176c-4dd5-4dcc-ba9b-6953007e9430}"/>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一、部门概况</w:t>
              </w:r>
            </w:sdtContent>
          </w:sdt>
          <w:r>
            <w:tab/>
          </w:r>
          <w:bookmarkStart w:id="30" w:name="_Toc1518932410_WPSOffice_Level2Page"/>
          <w:r>
            <w:t>17</w:t>
          </w:r>
          <w:bookmarkEnd w:id="30"/>
          <w:r>
            <w:fldChar w:fldCharType="end"/>
          </w:r>
        </w:p>
        <w:p w14:paraId="3C368320">
          <w:pPr>
            <w:pStyle w:val="42"/>
            <w:tabs>
              <w:tab w:val="right" w:leader="dot" w:pos="8306"/>
            </w:tabs>
          </w:pPr>
          <w:r>
            <w:fldChar w:fldCharType="begin"/>
          </w:r>
          <w:r>
            <w:instrText xml:space="preserve"> HYPERLINK \l _Toc1961440248_WPSOffice_Level2 </w:instrText>
          </w:r>
          <w:r>
            <w:fldChar w:fldCharType="separate"/>
          </w:r>
          <w:sdt>
            <w:sdtPr>
              <w:rPr>
                <w:rFonts w:ascii="Times New Roman" w:hAnsi="Times New Roman" w:eastAsia="宋体" w:cs="Times New Roman"/>
                <w:kern w:val="2"/>
                <w:sz w:val="21"/>
                <w:szCs w:val="24"/>
                <w:lang w:val="en-US" w:eastAsia="zh-CN" w:bidi="ar-SA"/>
              </w:rPr>
              <w:id w:val="147462972"/>
              <w:placeholder>
                <w:docPart w:val="{5b5345ef-b54b-4bf2-b644-8fa0d01b5f34}"/>
              </w:placeholder>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黑体"/>
                </w:rPr>
                <w:t>二、部门资金收支情况</w:t>
              </w:r>
            </w:sdtContent>
          </w:sdt>
          <w:r>
            <w:tab/>
          </w:r>
          <w:bookmarkStart w:id="31" w:name="_Toc1961440248_WPSOffice_Level2Page"/>
          <w:r>
            <w:t>19</w:t>
          </w:r>
          <w:bookmarkEnd w:id="31"/>
          <w:r>
            <w:fldChar w:fldCharType="end"/>
          </w:r>
        </w:p>
        <w:p w14:paraId="255345EA">
          <w:pPr>
            <w:pStyle w:val="42"/>
            <w:tabs>
              <w:tab w:val="right" w:leader="dot" w:pos="8306"/>
            </w:tabs>
          </w:pPr>
          <w:r>
            <w:fldChar w:fldCharType="begin"/>
          </w:r>
          <w:r>
            <w:instrText xml:space="preserve"> HYPERLINK \l _Toc462369301_WPSOffice_Level2 </w:instrText>
          </w:r>
          <w:r>
            <w:fldChar w:fldCharType="separate"/>
          </w:r>
          <w:sdt>
            <w:sdtPr>
              <w:rPr>
                <w:rFonts w:ascii="Times New Roman" w:hAnsi="Times New Roman" w:eastAsia="宋体" w:cs="Times New Roman"/>
                <w:kern w:val="2"/>
                <w:sz w:val="21"/>
                <w:szCs w:val="24"/>
                <w:lang w:val="en-US" w:eastAsia="zh-CN" w:bidi="ar-SA"/>
              </w:rPr>
              <w:id w:val="147474564"/>
              <w:placeholder>
                <w:docPart w:val="{ceef8955-9f5c-4666-bc9d-74ad2a86a5ac}"/>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三、部门预算绩效分析</w:t>
              </w:r>
            </w:sdtContent>
          </w:sdt>
          <w:r>
            <w:tab/>
          </w:r>
          <w:bookmarkStart w:id="32" w:name="_Toc462369301_WPSOffice_Level2Page"/>
          <w:r>
            <w:t>19</w:t>
          </w:r>
          <w:bookmarkEnd w:id="32"/>
          <w:r>
            <w:fldChar w:fldCharType="end"/>
          </w:r>
        </w:p>
        <w:p w14:paraId="3D12829D">
          <w:pPr>
            <w:pStyle w:val="42"/>
            <w:tabs>
              <w:tab w:val="right" w:leader="dot" w:pos="8306"/>
            </w:tabs>
          </w:pPr>
          <w:r>
            <w:fldChar w:fldCharType="begin"/>
          </w:r>
          <w:r>
            <w:instrText xml:space="preserve"> HYPERLINK \l _Toc1952331381_WPSOffice_Level2 </w:instrText>
          </w:r>
          <w:r>
            <w:fldChar w:fldCharType="separate"/>
          </w:r>
          <w:sdt>
            <w:sdtPr>
              <w:rPr>
                <w:rFonts w:ascii="Times New Roman" w:hAnsi="Times New Roman" w:eastAsia="宋体" w:cs="Times New Roman"/>
                <w:kern w:val="2"/>
                <w:sz w:val="21"/>
                <w:szCs w:val="24"/>
                <w:lang w:val="en-US" w:eastAsia="zh-CN" w:bidi="ar-SA"/>
              </w:rPr>
              <w:id w:val="147464850"/>
              <w:placeholder>
                <w:docPart w:val="{dce2f679-bd44-4b90-8012-642638f1d7cb}"/>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四、评价结论及建议</w:t>
              </w:r>
            </w:sdtContent>
          </w:sdt>
          <w:r>
            <w:tab/>
          </w:r>
          <w:bookmarkStart w:id="33" w:name="_Toc1952331381_WPSOffice_Level2Page"/>
          <w:r>
            <w:t>25</w:t>
          </w:r>
          <w:bookmarkEnd w:id="33"/>
          <w:r>
            <w:fldChar w:fldCharType="end"/>
          </w:r>
        </w:p>
        <w:p w14:paraId="32D92C3C">
          <w:pPr>
            <w:pStyle w:val="42"/>
            <w:tabs>
              <w:tab w:val="right" w:leader="dot" w:pos="8306"/>
            </w:tabs>
          </w:pPr>
          <w:r>
            <w:fldChar w:fldCharType="begin"/>
          </w:r>
          <w:r>
            <w:instrText xml:space="preserve"> HYPERLINK \l _Toc1534993383_WPSOffice_Level2 </w:instrText>
          </w:r>
          <w:r>
            <w:fldChar w:fldCharType="separate"/>
          </w:r>
          <w:sdt>
            <w:sdtPr>
              <w:rPr>
                <w:rFonts w:ascii="Times New Roman" w:hAnsi="Times New Roman" w:eastAsia="宋体" w:cs="Times New Roman"/>
                <w:kern w:val="2"/>
                <w:sz w:val="21"/>
                <w:szCs w:val="24"/>
                <w:lang w:val="en-US" w:eastAsia="zh-CN" w:bidi="ar-SA"/>
              </w:rPr>
              <w:id w:val="147479811"/>
              <w:placeholder>
                <w:docPart w:val="{6f6b40f2-bfff-4c17-9ac7-60994b8d0758}"/>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Times New Roman"/>
                </w:rPr>
                <w:t>附件：1.</w:t>
              </w:r>
              <w:r>
                <w:rPr>
                  <w:rFonts w:hint="default" w:ascii="Times New Roman" w:hAnsi="Times New Roman" w:eastAsia="仿宋_GB2312" w:cs="Times New Roman"/>
                </w:rPr>
                <w:t>部门整体支出绩效目标完成情况自评表</w:t>
              </w:r>
            </w:sdtContent>
          </w:sdt>
          <w:r>
            <w:tab/>
          </w:r>
          <w:bookmarkStart w:id="34" w:name="_Toc1534993383_WPSOffice_Level2Page"/>
          <w:r>
            <w:t>26</w:t>
          </w:r>
          <w:bookmarkEnd w:id="34"/>
          <w:r>
            <w:fldChar w:fldCharType="end"/>
          </w:r>
        </w:p>
        <w:p w14:paraId="25E21E7C">
          <w:pPr>
            <w:pStyle w:val="42"/>
            <w:tabs>
              <w:tab w:val="right" w:leader="dot" w:pos="8306"/>
            </w:tabs>
            <w:ind w:firstLine="600" w:firstLineChars="300"/>
          </w:pPr>
          <w:r>
            <w:fldChar w:fldCharType="begin"/>
          </w:r>
          <w:r>
            <w:instrText xml:space="preserve"> HYPERLINK \l _Toc1650038299_WPSOffice_Level2 </w:instrText>
          </w:r>
          <w:r>
            <w:fldChar w:fldCharType="separate"/>
          </w:r>
          <w:sdt>
            <w:sdtPr>
              <w:rPr>
                <w:rFonts w:ascii="Times New Roman" w:hAnsi="Times New Roman" w:eastAsia="宋体" w:cs="Times New Roman"/>
                <w:kern w:val="2"/>
                <w:sz w:val="21"/>
                <w:szCs w:val="24"/>
                <w:lang w:val="en-US" w:eastAsia="zh-CN" w:bidi="ar-SA"/>
              </w:rPr>
              <w:id w:val="147474674"/>
              <w:placeholder>
                <w:docPart w:val="{aed359f6-b11c-49ed-a613-639bd4af9259}"/>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Times New Roman"/>
                </w:rPr>
                <w:t>2.部门预算绩效自评打分表</w:t>
              </w:r>
            </w:sdtContent>
          </w:sdt>
          <w:r>
            <w:tab/>
          </w:r>
          <w:bookmarkStart w:id="35" w:name="_Toc1650038299_WPSOffice_Level2Page"/>
          <w:r>
            <w:t>26</w:t>
          </w:r>
          <w:bookmarkEnd w:id="35"/>
          <w:r>
            <w:fldChar w:fldCharType="end"/>
          </w:r>
        </w:p>
        <w:p w14:paraId="2A31881E">
          <w:pPr>
            <w:pStyle w:val="42"/>
            <w:tabs>
              <w:tab w:val="right" w:leader="dot" w:pos="8306"/>
            </w:tabs>
          </w:pPr>
          <w:r>
            <w:fldChar w:fldCharType="begin"/>
          </w:r>
          <w:r>
            <w:instrText xml:space="preserve"> HYPERLINK \l _Toc819040085_WPSOffice_Level2 </w:instrText>
          </w:r>
          <w:r>
            <w:fldChar w:fldCharType="separate"/>
          </w:r>
          <w:sdt>
            <w:sdtPr>
              <w:rPr>
                <w:rFonts w:ascii="Times New Roman" w:hAnsi="Times New Roman" w:eastAsia="宋体" w:cs="Times New Roman"/>
                <w:kern w:val="2"/>
                <w:sz w:val="21"/>
                <w:szCs w:val="24"/>
                <w:lang w:val="en-US" w:eastAsia="zh-CN" w:bidi="ar-SA"/>
              </w:rPr>
              <w:id w:val="147461167"/>
              <w:placeholder>
                <w:docPart w:val="{5ef4ca76-f9a7-489b-ad45-d1a767071fd0}"/>
              </w:placeholder>
            </w:sdtPr>
            <w:sdtEndPr>
              <w:rPr>
                <w:rFonts w:ascii="Times New Roman" w:hAnsi="Times New Roman" w:eastAsia="宋体" w:cs="Times New Roman"/>
                <w:kern w:val="2"/>
                <w:sz w:val="21"/>
                <w:szCs w:val="24"/>
                <w:lang w:val="en-US" w:eastAsia="zh-CN" w:bidi="ar-SA"/>
              </w:rPr>
            </w:sdtEndPr>
            <w:sdtContent>
              <w:r>
                <w:rPr>
                  <w:rFonts w:hint="eastAsia" w:cs="Times New Roman"/>
                  <w:kern w:val="2"/>
                  <w:sz w:val="21"/>
                  <w:szCs w:val="24"/>
                  <w:lang w:val="en-US" w:eastAsia="zh-CN" w:bidi="ar-SA"/>
                </w:rPr>
                <w:t xml:space="preserve">      </w:t>
              </w:r>
              <w:r>
                <w:rPr>
                  <w:rFonts w:hint="eastAsia" w:ascii="Times New Roman" w:hAnsi="Times New Roman" w:eastAsia="仿宋_GB2312" w:cs="Times New Roman"/>
                </w:rPr>
                <w:t>3.部门预算项目支出绩效自评表</w:t>
              </w:r>
            </w:sdtContent>
          </w:sdt>
          <w:r>
            <w:tab/>
          </w:r>
          <w:bookmarkStart w:id="36" w:name="_Toc819040085_WPSOffice_Level2Page"/>
          <w:r>
            <w:t>26</w:t>
          </w:r>
          <w:bookmarkEnd w:id="36"/>
          <w:r>
            <w:fldChar w:fldCharType="end"/>
          </w:r>
        </w:p>
        <w:p w14:paraId="73A1A8E8">
          <w:pPr>
            <w:pStyle w:val="41"/>
            <w:tabs>
              <w:tab w:val="right" w:leader="dot" w:pos="8306"/>
            </w:tabs>
          </w:pPr>
          <w:r>
            <w:rPr>
              <w:b/>
              <w:bCs/>
            </w:rPr>
            <w:fldChar w:fldCharType="begin"/>
          </w:r>
          <w:r>
            <w:instrText xml:space="preserve"> HYPERLINK \l _Toc1428875751_WPSOffice_Level1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4940"/>
              <w:placeholder>
                <w:docPart w:val="{ec763c52-78cd-4704-a633-a426f3eb5f4c}"/>
              </w:placeholder>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第五部分 附表</w:t>
              </w:r>
            </w:sdtContent>
          </w:sdt>
          <w:r>
            <w:rPr>
              <w:b/>
              <w:bCs/>
            </w:rPr>
            <w:tab/>
          </w:r>
          <w:bookmarkStart w:id="37" w:name="_Toc1428875751_WPSOffice_Level1Page"/>
          <w:r>
            <w:rPr>
              <w:b/>
              <w:bCs/>
            </w:rPr>
            <w:t>36</w:t>
          </w:r>
          <w:bookmarkEnd w:id="37"/>
          <w:r>
            <w:rPr>
              <w:b/>
              <w:bCs/>
            </w:rPr>
            <w:fldChar w:fldCharType="end"/>
          </w:r>
        </w:p>
        <w:p w14:paraId="3185C7DF">
          <w:pPr>
            <w:pStyle w:val="42"/>
            <w:tabs>
              <w:tab w:val="right" w:leader="dot" w:pos="8306"/>
            </w:tabs>
          </w:pPr>
          <w:r>
            <w:fldChar w:fldCharType="begin"/>
          </w:r>
          <w:r>
            <w:instrText xml:space="preserve"> HYPERLINK \l _Toc1452971778_WPSOffice_Level2 </w:instrText>
          </w:r>
          <w:r>
            <w:fldChar w:fldCharType="separate"/>
          </w:r>
          <w:sdt>
            <w:sdtPr>
              <w:rPr>
                <w:rFonts w:ascii="Times New Roman" w:hAnsi="Times New Roman" w:eastAsia="宋体" w:cs="Times New Roman"/>
                <w:kern w:val="2"/>
                <w:sz w:val="21"/>
                <w:szCs w:val="24"/>
                <w:lang w:val="en-US" w:eastAsia="zh-CN" w:bidi="ar-SA"/>
              </w:rPr>
              <w:id w:val="147459248"/>
              <w:placeholder>
                <w:docPart w:val="{252460df-bfd8-40cd-b4ed-70f7d5c6f664}"/>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一、收入支出决算总表</w:t>
              </w:r>
            </w:sdtContent>
          </w:sdt>
          <w:r>
            <w:tab/>
          </w:r>
          <w:bookmarkStart w:id="38" w:name="_Toc1452971778_WPSOffice_Level2Page"/>
          <w:r>
            <w:t>36</w:t>
          </w:r>
          <w:bookmarkEnd w:id="38"/>
          <w:r>
            <w:fldChar w:fldCharType="end"/>
          </w:r>
        </w:p>
        <w:p w14:paraId="7A967921">
          <w:pPr>
            <w:pStyle w:val="42"/>
            <w:tabs>
              <w:tab w:val="right" w:leader="dot" w:pos="8306"/>
            </w:tabs>
          </w:pPr>
          <w:r>
            <w:fldChar w:fldCharType="begin"/>
          </w:r>
          <w:r>
            <w:instrText xml:space="preserve"> HYPERLINK \l _Toc1548992680_WPSOffice_Level2 </w:instrText>
          </w:r>
          <w:r>
            <w:fldChar w:fldCharType="separate"/>
          </w:r>
          <w:sdt>
            <w:sdtPr>
              <w:rPr>
                <w:rFonts w:ascii="Times New Roman" w:hAnsi="Times New Roman" w:eastAsia="宋体" w:cs="Times New Roman"/>
                <w:kern w:val="2"/>
                <w:sz w:val="21"/>
                <w:szCs w:val="24"/>
                <w:lang w:val="en-US" w:eastAsia="zh-CN" w:bidi="ar-SA"/>
              </w:rPr>
              <w:id w:val="147462018"/>
              <w:placeholder>
                <w:docPart w:val="{7cc74b11-50bd-4a8a-be2c-1d172b9a48c6}"/>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二、收入决算表</w:t>
              </w:r>
            </w:sdtContent>
          </w:sdt>
          <w:r>
            <w:tab/>
          </w:r>
          <w:bookmarkStart w:id="39" w:name="_Toc1548992680_WPSOffice_Level2Page"/>
          <w:r>
            <w:t>36</w:t>
          </w:r>
          <w:bookmarkEnd w:id="39"/>
          <w:r>
            <w:fldChar w:fldCharType="end"/>
          </w:r>
        </w:p>
        <w:p w14:paraId="16E0BDF5">
          <w:pPr>
            <w:pStyle w:val="42"/>
            <w:tabs>
              <w:tab w:val="right" w:leader="dot" w:pos="8306"/>
            </w:tabs>
          </w:pPr>
          <w:r>
            <w:fldChar w:fldCharType="begin"/>
          </w:r>
          <w:r>
            <w:instrText xml:space="preserve"> HYPERLINK \l _Toc892682253_WPSOffice_Level2 </w:instrText>
          </w:r>
          <w:r>
            <w:fldChar w:fldCharType="separate"/>
          </w:r>
          <w:sdt>
            <w:sdtPr>
              <w:rPr>
                <w:rFonts w:ascii="Times New Roman" w:hAnsi="Times New Roman" w:eastAsia="宋体" w:cs="Times New Roman"/>
                <w:kern w:val="2"/>
                <w:sz w:val="21"/>
                <w:szCs w:val="24"/>
                <w:lang w:val="en-US" w:eastAsia="zh-CN" w:bidi="ar-SA"/>
              </w:rPr>
              <w:id w:val="147472512"/>
              <w:placeholder>
                <w:docPart w:val="{b4c7e32e-5e9b-4590-b842-65bf4ba3bea3}"/>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三、支出决算表</w:t>
              </w:r>
            </w:sdtContent>
          </w:sdt>
          <w:r>
            <w:tab/>
          </w:r>
          <w:bookmarkStart w:id="40" w:name="_Toc892682253_WPSOffice_Level2Page"/>
          <w:r>
            <w:t>36</w:t>
          </w:r>
          <w:bookmarkEnd w:id="40"/>
          <w:r>
            <w:fldChar w:fldCharType="end"/>
          </w:r>
        </w:p>
        <w:p w14:paraId="6A05D222">
          <w:pPr>
            <w:pStyle w:val="42"/>
            <w:tabs>
              <w:tab w:val="right" w:leader="dot" w:pos="8306"/>
            </w:tabs>
          </w:pPr>
          <w:r>
            <w:fldChar w:fldCharType="begin"/>
          </w:r>
          <w:r>
            <w:instrText xml:space="preserve"> HYPERLINK \l _Toc2040821639_WPSOffice_Level2 </w:instrText>
          </w:r>
          <w:r>
            <w:fldChar w:fldCharType="separate"/>
          </w:r>
          <w:sdt>
            <w:sdtPr>
              <w:rPr>
                <w:rFonts w:ascii="Times New Roman" w:hAnsi="Times New Roman" w:eastAsia="宋体" w:cs="Times New Roman"/>
                <w:kern w:val="2"/>
                <w:sz w:val="21"/>
                <w:szCs w:val="24"/>
                <w:lang w:val="en-US" w:eastAsia="zh-CN" w:bidi="ar-SA"/>
              </w:rPr>
              <w:id w:val="147473334"/>
              <w:placeholder>
                <w:docPart w:val="{eb57a6c8-fad4-4a8a-a7cc-5a30a04a4c11}"/>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四、财政拨款收入支出决算总表</w:t>
              </w:r>
            </w:sdtContent>
          </w:sdt>
          <w:r>
            <w:tab/>
          </w:r>
          <w:bookmarkStart w:id="41" w:name="_Toc2040821639_WPSOffice_Level2Page"/>
          <w:r>
            <w:t>36</w:t>
          </w:r>
          <w:bookmarkEnd w:id="41"/>
          <w:r>
            <w:fldChar w:fldCharType="end"/>
          </w:r>
        </w:p>
        <w:p w14:paraId="17C1A1C6">
          <w:pPr>
            <w:pStyle w:val="42"/>
            <w:tabs>
              <w:tab w:val="right" w:leader="dot" w:pos="8306"/>
            </w:tabs>
          </w:pPr>
          <w:r>
            <w:fldChar w:fldCharType="begin"/>
          </w:r>
          <w:r>
            <w:instrText xml:space="preserve"> HYPERLINK \l _Toc1595106532_WPSOffice_Level2 </w:instrText>
          </w:r>
          <w:r>
            <w:fldChar w:fldCharType="separate"/>
          </w:r>
          <w:sdt>
            <w:sdtPr>
              <w:rPr>
                <w:rFonts w:ascii="Times New Roman" w:hAnsi="Times New Roman" w:eastAsia="宋体" w:cs="Times New Roman"/>
                <w:kern w:val="2"/>
                <w:sz w:val="21"/>
                <w:szCs w:val="24"/>
                <w:lang w:val="en-US" w:eastAsia="zh-CN" w:bidi="ar-SA"/>
              </w:rPr>
              <w:id w:val="147451861"/>
              <w:placeholder>
                <w:docPart w:val="{2cd834a9-cb57-47a7-b397-e7883725a7f8}"/>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五、财政拨款支出决算明细表</w:t>
              </w:r>
            </w:sdtContent>
          </w:sdt>
          <w:r>
            <w:tab/>
          </w:r>
          <w:bookmarkStart w:id="42" w:name="_Toc1595106532_WPSOffice_Level2Page"/>
          <w:r>
            <w:t>36</w:t>
          </w:r>
          <w:bookmarkEnd w:id="42"/>
          <w:r>
            <w:fldChar w:fldCharType="end"/>
          </w:r>
        </w:p>
        <w:p w14:paraId="470FF7A9">
          <w:pPr>
            <w:pStyle w:val="42"/>
            <w:tabs>
              <w:tab w:val="right" w:leader="dot" w:pos="8306"/>
            </w:tabs>
          </w:pPr>
          <w:r>
            <w:fldChar w:fldCharType="begin"/>
          </w:r>
          <w:r>
            <w:instrText xml:space="preserve"> HYPERLINK \l _Toc9522045_WPSOffice_Level2 </w:instrText>
          </w:r>
          <w:r>
            <w:fldChar w:fldCharType="separate"/>
          </w:r>
          <w:sdt>
            <w:sdtPr>
              <w:rPr>
                <w:rFonts w:ascii="Times New Roman" w:hAnsi="Times New Roman" w:eastAsia="宋体" w:cs="Times New Roman"/>
                <w:kern w:val="2"/>
                <w:sz w:val="21"/>
                <w:szCs w:val="24"/>
                <w:lang w:val="en-US" w:eastAsia="zh-CN" w:bidi="ar-SA"/>
              </w:rPr>
              <w:id w:val="147454278"/>
              <w:placeholder>
                <w:docPart w:val="{721e9a8b-3ffc-4c45-b1c9-5b30829e49a9}"/>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六、一般公共预算财政拨款支出决算表</w:t>
              </w:r>
            </w:sdtContent>
          </w:sdt>
          <w:r>
            <w:tab/>
          </w:r>
          <w:bookmarkStart w:id="43" w:name="_Toc9522045_WPSOffice_Level2Page"/>
          <w:r>
            <w:t>36</w:t>
          </w:r>
          <w:bookmarkEnd w:id="43"/>
          <w:r>
            <w:fldChar w:fldCharType="end"/>
          </w:r>
        </w:p>
        <w:p w14:paraId="53EFAB64">
          <w:pPr>
            <w:pStyle w:val="42"/>
            <w:tabs>
              <w:tab w:val="right" w:leader="dot" w:pos="8306"/>
            </w:tabs>
          </w:pPr>
          <w:r>
            <w:fldChar w:fldCharType="begin"/>
          </w:r>
          <w:r>
            <w:instrText xml:space="preserve"> HYPERLINK \l _Toc1075600023_WPSOffice_Level2 </w:instrText>
          </w:r>
          <w:r>
            <w:fldChar w:fldCharType="separate"/>
          </w:r>
          <w:sdt>
            <w:sdtPr>
              <w:rPr>
                <w:rFonts w:ascii="Times New Roman" w:hAnsi="Times New Roman" w:eastAsia="宋体" w:cs="Times New Roman"/>
                <w:kern w:val="2"/>
                <w:sz w:val="21"/>
                <w:szCs w:val="24"/>
                <w:lang w:val="en-US" w:eastAsia="zh-CN" w:bidi="ar-SA"/>
              </w:rPr>
              <w:id w:val="147482199"/>
              <w:placeholder>
                <w:docPart w:val="{c94d5089-778a-4e29-93b0-52892b97474c}"/>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七、一般公共预算财政拨款支出决算明细表</w:t>
              </w:r>
            </w:sdtContent>
          </w:sdt>
          <w:r>
            <w:tab/>
          </w:r>
          <w:bookmarkStart w:id="44" w:name="_Toc1075600023_WPSOffice_Level2Page"/>
          <w:r>
            <w:t>36</w:t>
          </w:r>
          <w:bookmarkEnd w:id="44"/>
          <w:r>
            <w:fldChar w:fldCharType="end"/>
          </w:r>
        </w:p>
        <w:p w14:paraId="0813A368">
          <w:pPr>
            <w:pStyle w:val="42"/>
            <w:tabs>
              <w:tab w:val="right" w:leader="dot" w:pos="8306"/>
            </w:tabs>
          </w:pPr>
          <w:r>
            <w:fldChar w:fldCharType="begin"/>
          </w:r>
          <w:r>
            <w:instrText xml:space="preserve"> HYPERLINK \l _Toc1323111455_WPSOffice_Level2 </w:instrText>
          </w:r>
          <w:r>
            <w:fldChar w:fldCharType="separate"/>
          </w:r>
          <w:sdt>
            <w:sdtPr>
              <w:rPr>
                <w:rFonts w:ascii="Times New Roman" w:hAnsi="Times New Roman" w:eastAsia="宋体" w:cs="Times New Roman"/>
                <w:kern w:val="2"/>
                <w:sz w:val="21"/>
                <w:szCs w:val="24"/>
                <w:lang w:val="en-US" w:eastAsia="zh-CN" w:bidi="ar-SA"/>
              </w:rPr>
              <w:id w:val="147466886"/>
              <w:placeholder>
                <w:docPart w:val="{57e969d9-4b3a-46f0-8ea6-37b1fd40e706}"/>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八、一般公共预算财政拨款基本支出决算表</w:t>
              </w:r>
            </w:sdtContent>
          </w:sdt>
          <w:r>
            <w:tab/>
          </w:r>
          <w:bookmarkStart w:id="45" w:name="_Toc1323111455_WPSOffice_Level2Page"/>
          <w:r>
            <w:t>36</w:t>
          </w:r>
          <w:bookmarkEnd w:id="45"/>
          <w:r>
            <w:fldChar w:fldCharType="end"/>
          </w:r>
        </w:p>
        <w:p w14:paraId="30F467BE">
          <w:pPr>
            <w:pStyle w:val="42"/>
            <w:tabs>
              <w:tab w:val="right" w:leader="dot" w:pos="8306"/>
            </w:tabs>
          </w:pPr>
          <w:r>
            <w:fldChar w:fldCharType="begin"/>
          </w:r>
          <w:r>
            <w:instrText xml:space="preserve"> HYPERLINK \l _Toc1709702609_WPSOffice_Level2 </w:instrText>
          </w:r>
          <w:r>
            <w:fldChar w:fldCharType="separate"/>
          </w:r>
          <w:sdt>
            <w:sdtPr>
              <w:rPr>
                <w:rFonts w:ascii="Times New Roman" w:hAnsi="Times New Roman" w:eastAsia="宋体" w:cs="Times New Roman"/>
                <w:kern w:val="2"/>
                <w:sz w:val="21"/>
                <w:szCs w:val="24"/>
                <w:lang w:val="en-US" w:eastAsia="zh-CN" w:bidi="ar-SA"/>
              </w:rPr>
              <w:id w:val="147457316"/>
              <w:placeholder>
                <w:docPart w:val="{7ef6c2d2-7b38-469a-971c-d4cb742b0a02}"/>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九、一般公共预算财政拨款项目支出决算表</w:t>
              </w:r>
            </w:sdtContent>
          </w:sdt>
          <w:r>
            <w:tab/>
          </w:r>
          <w:bookmarkStart w:id="46" w:name="_Toc1709702609_WPSOffice_Level2Page"/>
          <w:r>
            <w:t>36</w:t>
          </w:r>
          <w:bookmarkEnd w:id="46"/>
          <w:r>
            <w:fldChar w:fldCharType="end"/>
          </w:r>
        </w:p>
        <w:p w14:paraId="7058B898">
          <w:pPr>
            <w:pStyle w:val="42"/>
            <w:tabs>
              <w:tab w:val="right" w:leader="dot" w:pos="8306"/>
            </w:tabs>
          </w:pPr>
          <w:r>
            <w:fldChar w:fldCharType="begin"/>
          </w:r>
          <w:r>
            <w:instrText xml:space="preserve"> HYPERLINK \l _Toc1146306123_WPSOffice_Level2 </w:instrText>
          </w:r>
          <w:r>
            <w:fldChar w:fldCharType="separate"/>
          </w:r>
          <w:sdt>
            <w:sdtPr>
              <w:rPr>
                <w:rFonts w:ascii="Times New Roman" w:hAnsi="Times New Roman" w:eastAsia="宋体" w:cs="Times New Roman"/>
                <w:kern w:val="2"/>
                <w:sz w:val="21"/>
                <w:szCs w:val="24"/>
                <w:lang w:val="en-US" w:eastAsia="zh-CN" w:bidi="ar-SA"/>
              </w:rPr>
              <w:id w:val="147481565"/>
              <w:placeholder>
                <w:docPart w:val="{5840e46e-6697-4c48-80b0-6924384fbf4e}"/>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十、政府性基金预算财政拨款收入支出决算表</w:t>
              </w:r>
            </w:sdtContent>
          </w:sdt>
          <w:r>
            <w:tab/>
          </w:r>
          <w:bookmarkStart w:id="47" w:name="_Toc1146306123_WPSOffice_Level2Page"/>
          <w:r>
            <w:t>36</w:t>
          </w:r>
          <w:bookmarkEnd w:id="47"/>
          <w:r>
            <w:fldChar w:fldCharType="end"/>
          </w:r>
        </w:p>
        <w:p w14:paraId="08BEE510">
          <w:pPr>
            <w:pStyle w:val="42"/>
            <w:tabs>
              <w:tab w:val="right" w:leader="dot" w:pos="8306"/>
            </w:tabs>
          </w:pPr>
          <w:r>
            <w:fldChar w:fldCharType="begin"/>
          </w:r>
          <w:r>
            <w:instrText xml:space="preserve"> HYPERLINK \l _Toc699004047_WPSOffice_Level2 </w:instrText>
          </w:r>
          <w:r>
            <w:fldChar w:fldCharType="separate"/>
          </w:r>
          <w:sdt>
            <w:sdtPr>
              <w:rPr>
                <w:rFonts w:ascii="Times New Roman" w:hAnsi="Times New Roman" w:eastAsia="宋体" w:cs="Times New Roman"/>
                <w:kern w:val="2"/>
                <w:sz w:val="21"/>
                <w:szCs w:val="24"/>
                <w:lang w:val="en-US" w:eastAsia="zh-CN" w:bidi="ar-SA"/>
              </w:rPr>
              <w:id w:val="147460042"/>
              <w:placeholder>
                <w:docPart w:val="{69c9e1a4-8df8-48c9-9a6c-945af6266f3f}"/>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十一、国有资本经营预算财政拨款收入支出决算表</w:t>
              </w:r>
            </w:sdtContent>
          </w:sdt>
          <w:r>
            <w:tab/>
          </w:r>
          <w:bookmarkStart w:id="48" w:name="_Toc699004047_WPSOffice_Level2Page"/>
          <w:r>
            <w:t>36</w:t>
          </w:r>
          <w:bookmarkEnd w:id="48"/>
          <w:r>
            <w:fldChar w:fldCharType="end"/>
          </w:r>
        </w:p>
        <w:p w14:paraId="2A0A59C6">
          <w:pPr>
            <w:pStyle w:val="42"/>
            <w:tabs>
              <w:tab w:val="right" w:leader="dot" w:pos="8306"/>
            </w:tabs>
          </w:pPr>
          <w:r>
            <w:fldChar w:fldCharType="begin"/>
          </w:r>
          <w:r>
            <w:instrText xml:space="preserve"> HYPERLINK \l _Toc100585555_WPSOffice_Level2 </w:instrText>
          </w:r>
          <w:r>
            <w:fldChar w:fldCharType="separate"/>
          </w:r>
          <w:sdt>
            <w:sdtPr>
              <w:rPr>
                <w:rFonts w:ascii="Times New Roman" w:hAnsi="Times New Roman" w:eastAsia="宋体" w:cs="Times New Roman"/>
                <w:kern w:val="2"/>
                <w:sz w:val="21"/>
                <w:szCs w:val="24"/>
                <w:lang w:val="en-US" w:eastAsia="zh-CN" w:bidi="ar-SA"/>
              </w:rPr>
              <w:id w:val="147470410"/>
              <w:placeholder>
                <w:docPart w:val="{6652507e-5e85-48e4-9c63-e0f853bb297b}"/>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十二、国有资本经营预算财政拨款支出决算表</w:t>
              </w:r>
            </w:sdtContent>
          </w:sdt>
          <w:r>
            <w:tab/>
          </w:r>
          <w:bookmarkStart w:id="49" w:name="_Toc100585555_WPSOffice_Level2Page"/>
          <w:r>
            <w:t>36</w:t>
          </w:r>
          <w:bookmarkEnd w:id="49"/>
          <w:r>
            <w:fldChar w:fldCharType="end"/>
          </w:r>
        </w:p>
        <w:p w14:paraId="4AFC0E14">
          <w:pPr>
            <w:pStyle w:val="42"/>
            <w:tabs>
              <w:tab w:val="right" w:leader="dot" w:pos="8306"/>
            </w:tabs>
          </w:pPr>
          <w:r>
            <w:fldChar w:fldCharType="begin"/>
          </w:r>
          <w:r>
            <w:instrText xml:space="preserve"> HYPERLINK \l _Toc660926117_WPSOffice_Level2 </w:instrText>
          </w:r>
          <w:r>
            <w:fldChar w:fldCharType="separate"/>
          </w:r>
          <w:sdt>
            <w:sdtPr>
              <w:rPr>
                <w:rFonts w:ascii="Times New Roman" w:hAnsi="Times New Roman" w:eastAsia="宋体" w:cs="Times New Roman"/>
                <w:kern w:val="2"/>
                <w:sz w:val="21"/>
                <w:szCs w:val="24"/>
                <w:lang w:val="en-US" w:eastAsia="zh-CN" w:bidi="ar-SA"/>
              </w:rPr>
              <w:id w:val="147450947"/>
              <w:placeholder>
                <w:docPart w:val="{8ed3b5b2-1588-4b9d-9a0e-2002af28be1e}"/>
              </w:placeholder>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十三、财政拨款“三公”经费支出决算表</w:t>
              </w:r>
            </w:sdtContent>
          </w:sdt>
          <w:r>
            <w:tab/>
          </w:r>
          <w:bookmarkStart w:id="50" w:name="_Toc660926117_WPSOffice_Level2Page"/>
          <w:r>
            <w:t>36</w:t>
          </w:r>
          <w:bookmarkEnd w:id="50"/>
          <w:r>
            <w:fldChar w:fldCharType="end"/>
          </w:r>
          <w:bookmarkEnd w:id="12"/>
        </w:p>
      </w:sdtContent>
    </w:sdt>
    <w:p w14:paraId="53EB2041">
      <w:pPr>
        <w:pStyle w:val="16"/>
        <w:adjustRightInd w:val="0"/>
        <w:snapToGrid w:val="0"/>
        <w:spacing w:line="440" w:lineRule="exact"/>
        <w:jc w:val="left"/>
        <w:rPr>
          <w:rFonts w:hint="eastAsia"/>
          <w:sz w:val="24"/>
        </w:rPr>
      </w:pPr>
    </w:p>
    <w:p w14:paraId="30050F94">
      <w:pPr>
        <w:pStyle w:val="3"/>
        <w:jc w:val="both"/>
        <w:rPr>
          <w:rFonts w:hint="eastAsia" w:ascii="黑体" w:hAnsi="黑体" w:eastAsia="黑体"/>
          <w:b w:val="0"/>
        </w:rPr>
      </w:pPr>
    </w:p>
    <w:p w14:paraId="5C97936B">
      <w:pPr>
        <w:pStyle w:val="3"/>
        <w:jc w:val="center"/>
        <w:rPr>
          <w:rStyle w:val="32"/>
          <w:rFonts w:ascii="黑体" w:hAnsi="黑体" w:eastAsia="黑体"/>
          <w:b/>
          <w:bCs w:val="0"/>
        </w:rPr>
      </w:pPr>
      <w:bookmarkStart w:id="51" w:name="_Toc928437262_WPSOffice_Level1"/>
      <w:r>
        <w:rPr>
          <w:rFonts w:hint="eastAsia" w:ascii="黑体" w:hAnsi="黑体" w:eastAsia="黑体"/>
          <w:b w:val="0"/>
        </w:rPr>
        <w:t xml:space="preserve">第一部分 </w:t>
      </w:r>
      <w:r>
        <w:rPr>
          <w:rStyle w:val="32"/>
          <w:rFonts w:hint="eastAsia" w:ascii="黑体" w:hAnsi="黑体" w:eastAsia="黑体"/>
          <w:b w:val="0"/>
          <w:bCs w:val="0"/>
        </w:rPr>
        <w:t>部门概况</w:t>
      </w:r>
      <w:bookmarkEnd w:id="51"/>
    </w:p>
    <w:p w14:paraId="1EF6457D">
      <w:pPr>
        <w:widowControl/>
        <w:jc w:val="left"/>
        <w:rPr>
          <w:rFonts w:ascii="黑体" w:eastAsia="黑体"/>
          <w:sz w:val="32"/>
          <w:szCs w:val="32"/>
        </w:rPr>
      </w:pPr>
    </w:p>
    <w:p w14:paraId="0B9CA520">
      <w:pPr>
        <w:pStyle w:val="4"/>
        <w:pageBreakBefore w:val="0"/>
        <w:widowControl w:val="0"/>
        <w:numPr>
          <w:ilvl w:val="0"/>
          <w:numId w:val="1"/>
        </w:numPr>
        <w:kinsoku/>
        <w:wordWrap/>
        <w:overflowPunct/>
        <w:topLinePunct w:val="0"/>
        <w:autoSpaceDE/>
        <w:autoSpaceDN/>
        <w:bidi w:val="0"/>
        <w:spacing w:line="576" w:lineRule="exact"/>
        <w:textAlignment w:val="auto"/>
        <w:rPr>
          <w:rFonts w:hint="eastAsia" w:ascii="Times New Roman" w:hAnsi="Times New Roman" w:eastAsia="方正仿宋_GBK" w:cs="Times New Roman"/>
          <w:color w:val="000000"/>
          <w:kern w:val="0"/>
          <w:sz w:val="32"/>
          <w:szCs w:val="32"/>
          <w:lang w:val="en-US" w:eastAsia="zh-CN" w:bidi="ar-SA"/>
        </w:rPr>
      </w:pPr>
      <w:bookmarkStart w:id="52" w:name="_Toc1523376240_WPSOffice_Level2"/>
      <w:r>
        <w:rPr>
          <w:rFonts w:hint="eastAsia" w:ascii="黑体" w:hAnsi="黑体" w:eastAsia="黑体"/>
          <w:b w:val="0"/>
        </w:rPr>
        <w:t>部门职责</w:t>
      </w:r>
      <w:bookmarkEnd w:id="52"/>
      <w:bookmarkStart w:id="53" w:name="_Toc922769956"/>
      <w:bookmarkStart w:id="54" w:name="_Toc1970040672"/>
      <w:bookmarkStart w:id="55" w:name="_Toc2105016073"/>
      <w:bookmarkStart w:id="56" w:name="_Toc1111133088"/>
      <w:bookmarkStart w:id="57" w:name="_Toc810291801"/>
      <w:bookmarkStart w:id="58" w:name="_Toc1121939178"/>
      <w:bookmarkStart w:id="59" w:name="_Toc730359890"/>
      <w:bookmarkStart w:id="60" w:name="_Toc341365225"/>
      <w:bookmarkStart w:id="61" w:name="_Toc1757734183"/>
      <w:bookmarkStart w:id="62" w:name="_Toc465066104"/>
      <w:bookmarkStart w:id="63" w:name="_Toc743346669"/>
      <w:bookmarkStart w:id="64" w:name="_Toc52507158"/>
      <w:bookmarkStart w:id="65" w:name="_Toc477463137"/>
      <w:bookmarkStart w:id="66" w:name="_Toc1820569198"/>
      <w:bookmarkStart w:id="67" w:name="_Toc885779708"/>
      <w:bookmarkStart w:id="68" w:name="_Toc15396601"/>
      <w:bookmarkStart w:id="69" w:name="_Toc15377200"/>
    </w:p>
    <w:p w14:paraId="2234F490">
      <w:pPr>
        <w:pStyle w:val="6"/>
        <w:keepNext w:val="0"/>
        <w:keepLines w:val="0"/>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color w:val="000000"/>
          <w:kern w:val="0"/>
          <w:sz w:val="32"/>
          <w:szCs w:val="32"/>
          <w:lang w:val="en-US" w:eastAsia="zh-CN" w:bidi="ar-SA"/>
        </w:rPr>
        <w:t>我中心主要职责为贯彻落实党中央关于公务服务工作的方针政策和省委、州委的决策部署，在履行职责过程中坚持和加强党对公务服务工作的集中统一领导。负责重大公务活动的服务保障工作，承担州委、州政府交办的外事接待、招商引资、大型会议、活动的接待服务保障工作和州委、州政府交办的其他任务。</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4327DB33">
      <w:pPr>
        <w:pStyle w:val="4"/>
        <w:pageBreakBefore w:val="0"/>
        <w:widowControl w:val="0"/>
        <w:kinsoku/>
        <w:wordWrap/>
        <w:overflowPunct/>
        <w:topLinePunct w:val="0"/>
        <w:autoSpaceDE/>
        <w:autoSpaceDN/>
        <w:bidi w:val="0"/>
        <w:spacing w:line="576" w:lineRule="exact"/>
        <w:textAlignment w:val="auto"/>
        <w:rPr>
          <w:rStyle w:val="33"/>
          <w:b w:val="0"/>
          <w:bCs w:val="0"/>
        </w:rPr>
      </w:pPr>
      <w:bookmarkStart w:id="70" w:name="_Toc538366594_WPSOffice_Level2"/>
      <w:r>
        <w:rPr>
          <w:rFonts w:hint="eastAsia" w:ascii="黑体" w:eastAsia="黑体"/>
          <w:b w:val="0"/>
        </w:rPr>
        <w:t>二、</w:t>
      </w:r>
      <w:r>
        <w:rPr>
          <w:rFonts w:hint="eastAsia" w:ascii="黑体" w:hAnsi="黑体" w:eastAsia="黑体"/>
          <w:b w:val="0"/>
        </w:rPr>
        <w:t>机</w:t>
      </w:r>
      <w:r>
        <w:rPr>
          <w:rStyle w:val="33"/>
          <w:rFonts w:hint="eastAsia" w:ascii="黑体" w:hAnsi="黑体" w:eastAsia="黑体"/>
          <w:b w:val="0"/>
          <w:bCs w:val="0"/>
        </w:rPr>
        <w:t>构设置</w:t>
      </w:r>
      <w:bookmarkEnd w:id="68"/>
      <w:bookmarkEnd w:id="69"/>
      <w:bookmarkEnd w:id="70"/>
    </w:p>
    <w:p w14:paraId="0E72A8F2">
      <w:pPr>
        <w:pStyle w:val="6"/>
        <w:keepNext w:val="0"/>
        <w:keepLines w:val="0"/>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color w:val="000000"/>
          <w:kern w:val="0"/>
          <w:sz w:val="32"/>
          <w:szCs w:val="32"/>
          <w:lang w:val="en-US" w:eastAsia="zh-CN" w:bidi="ar-SA"/>
        </w:rPr>
      </w:pPr>
      <w:r>
        <w:rPr>
          <w:rFonts w:hint="eastAsia" w:ascii="Times New Roman" w:eastAsia="方正仿宋_GBK" w:cs="Times New Roman"/>
          <w:color w:val="000000"/>
          <w:kern w:val="0"/>
          <w:sz w:val="32"/>
          <w:szCs w:val="32"/>
          <w:lang w:val="en-US" w:eastAsia="zh-CN" w:bidi="ar-SA"/>
        </w:rPr>
        <w:t>阿坝藏族羌族自治州公务服务中心</w:t>
      </w:r>
      <w:r>
        <w:rPr>
          <w:rFonts w:hint="eastAsia" w:ascii="Times New Roman" w:hAnsi="Times New Roman" w:eastAsia="方正仿宋_GBK" w:cs="Times New Roman"/>
          <w:color w:val="000000"/>
          <w:kern w:val="0"/>
          <w:sz w:val="32"/>
          <w:szCs w:val="32"/>
          <w:lang w:val="en-US" w:eastAsia="zh-CN" w:bidi="ar-SA"/>
        </w:rPr>
        <w:t>下属二级预算单位1个</w:t>
      </w:r>
      <w:r>
        <w:rPr>
          <w:rFonts w:hint="eastAsia" w:ascii="Times New Roman" w:eastAsia="方正仿宋_GBK" w:cs="Times New Roman"/>
          <w:color w:val="000000"/>
          <w:kern w:val="0"/>
          <w:sz w:val="32"/>
          <w:szCs w:val="32"/>
          <w:lang w:val="en-US" w:eastAsia="zh-CN" w:bidi="ar-SA"/>
        </w:rPr>
        <w:t>（</w:t>
      </w:r>
      <w:r>
        <w:rPr>
          <w:rFonts w:hint="eastAsia" w:ascii="仿宋_GB2312" w:hAnsi="仿宋_GB2312" w:eastAsia="仿宋_GB2312" w:cs="仿宋_GB2312"/>
          <w:sz w:val="32"/>
          <w:szCs w:val="32"/>
          <w:shd w:val="clear" w:color="auto" w:fill="FFFFFF"/>
        </w:rPr>
        <w:t>内设机构4个</w:t>
      </w:r>
      <w:r>
        <w:rPr>
          <w:rFonts w:hint="eastAsia" w:hAnsi="仿宋_GB2312" w:cs="仿宋_GB2312"/>
          <w:sz w:val="32"/>
          <w:szCs w:val="32"/>
          <w:shd w:val="clear" w:color="auto" w:fill="FFFFFF"/>
          <w:lang w:eastAsia="zh-CN"/>
        </w:rPr>
        <w:t>）</w:t>
      </w:r>
      <w:r>
        <w:rPr>
          <w:rFonts w:hint="eastAsia" w:ascii="Times New Roman" w:hAnsi="Times New Roman" w:eastAsia="方正仿宋_GBK" w:cs="Times New Roman"/>
          <w:color w:val="000000"/>
          <w:kern w:val="0"/>
          <w:sz w:val="32"/>
          <w:szCs w:val="32"/>
          <w:lang w:val="en-US" w:eastAsia="zh-CN" w:bidi="ar-SA"/>
        </w:rPr>
        <w:t>，其中行政单位0个，参照公务员法管理的事业单位1个，其他事业单位0个。</w:t>
      </w:r>
    </w:p>
    <w:p w14:paraId="66DFC4CB">
      <w:pPr>
        <w:pStyle w:val="6"/>
        <w:keepNext w:val="0"/>
        <w:keepLines w:val="0"/>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color w:val="000000"/>
          <w:kern w:val="0"/>
          <w:sz w:val="32"/>
          <w:szCs w:val="32"/>
          <w:lang w:val="en-US" w:eastAsia="zh-CN" w:bidi="ar-SA"/>
        </w:rPr>
        <w:t>纳入</w:t>
      </w:r>
      <w:r>
        <w:rPr>
          <w:rFonts w:hint="eastAsia" w:ascii="Times New Roman" w:eastAsia="方正仿宋_GBK" w:cs="Times New Roman"/>
          <w:color w:val="000000"/>
          <w:kern w:val="0"/>
          <w:sz w:val="32"/>
          <w:szCs w:val="32"/>
          <w:lang w:val="en-US" w:eastAsia="zh-CN" w:bidi="ar-SA"/>
        </w:rPr>
        <w:t>阿坝藏族羌族自治州公务服务中心2024年</w:t>
      </w:r>
      <w:r>
        <w:rPr>
          <w:rFonts w:hint="eastAsia" w:ascii="Times New Roman" w:hAnsi="Times New Roman" w:eastAsia="方正仿宋_GBK" w:cs="Times New Roman"/>
          <w:color w:val="000000"/>
          <w:kern w:val="0"/>
          <w:sz w:val="32"/>
          <w:szCs w:val="32"/>
          <w:lang w:val="en-US" w:eastAsia="zh-CN" w:bidi="ar-SA"/>
        </w:rPr>
        <w:t>度部门决算编制范围的二级预算单位包括：</w:t>
      </w:r>
      <w:bookmarkStart w:id="71" w:name="_Toc15396602"/>
      <w:bookmarkStart w:id="72" w:name="_Toc15377204"/>
      <w:r>
        <w:rPr>
          <w:rFonts w:hint="eastAsia" w:ascii="Times New Roman" w:eastAsia="方正仿宋_GBK" w:cs="Times New Roman"/>
          <w:color w:val="000000"/>
          <w:kern w:val="0"/>
          <w:sz w:val="32"/>
          <w:szCs w:val="32"/>
          <w:lang w:val="en-US" w:eastAsia="zh-CN" w:bidi="ar-SA"/>
        </w:rPr>
        <w:t>阿坝藏族羌族自治州公务服务中心</w:t>
      </w:r>
    </w:p>
    <w:p w14:paraId="0F59F14B">
      <w:pPr>
        <w:pageBreakBefore w:val="0"/>
        <w:widowControl w:val="0"/>
        <w:kinsoku/>
        <w:wordWrap/>
        <w:overflowPunct/>
        <w:topLinePunct w:val="0"/>
        <w:autoSpaceDE/>
        <w:autoSpaceDN/>
        <w:bidi w:val="0"/>
        <w:spacing w:line="576" w:lineRule="exact"/>
        <w:textAlignment w:val="auto"/>
        <w:rPr>
          <w:rFonts w:hint="eastAsia" w:ascii="Times New Roman" w:hAnsi="Times New Roman" w:eastAsia="方正仿宋_GBK" w:cs="Times New Roman"/>
          <w:color w:val="000000"/>
          <w:kern w:val="0"/>
          <w:sz w:val="32"/>
          <w:szCs w:val="32"/>
          <w:lang w:val="en-US" w:eastAsia="zh-CN" w:bidi="ar-SA"/>
        </w:rPr>
      </w:pPr>
    </w:p>
    <w:p w14:paraId="515387C8">
      <w:pPr>
        <w:pStyle w:val="8"/>
        <w:pageBreakBefore w:val="0"/>
        <w:widowControl w:val="0"/>
        <w:kinsoku/>
        <w:wordWrap/>
        <w:overflowPunct/>
        <w:topLinePunct w:val="0"/>
        <w:autoSpaceDE/>
        <w:autoSpaceDN/>
        <w:bidi w:val="0"/>
        <w:spacing w:line="576" w:lineRule="exact"/>
        <w:textAlignment w:val="auto"/>
        <w:rPr>
          <w:rFonts w:hint="eastAsia" w:ascii="Times New Roman" w:hAnsi="Times New Roman" w:eastAsia="方正仿宋_GBK" w:cs="Times New Roman"/>
          <w:color w:val="000000"/>
          <w:kern w:val="0"/>
          <w:sz w:val="32"/>
          <w:szCs w:val="32"/>
          <w:lang w:val="en-US" w:eastAsia="zh-CN" w:bidi="ar-SA"/>
        </w:rPr>
      </w:pPr>
    </w:p>
    <w:p w14:paraId="7DEBCE30">
      <w:pPr>
        <w:pageBreakBefore w:val="0"/>
        <w:widowControl w:val="0"/>
        <w:kinsoku/>
        <w:wordWrap/>
        <w:overflowPunct/>
        <w:topLinePunct w:val="0"/>
        <w:autoSpaceDE/>
        <w:autoSpaceDN/>
        <w:bidi w:val="0"/>
        <w:spacing w:line="576" w:lineRule="exact"/>
        <w:textAlignment w:val="auto"/>
        <w:rPr>
          <w:rFonts w:hint="eastAsia" w:ascii="Times New Roman" w:hAnsi="Times New Roman" w:eastAsia="方正仿宋_GBK" w:cs="Times New Roman"/>
          <w:color w:val="000000"/>
          <w:kern w:val="0"/>
          <w:sz w:val="32"/>
          <w:szCs w:val="32"/>
          <w:lang w:val="en-US" w:eastAsia="zh-CN" w:bidi="ar-SA"/>
        </w:rPr>
      </w:pPr>
    </w:p>
    <w:p w14:paraId="5C49C314">
      <w:pPr>
        <w:pStyle w:val="8"/>
        <w:pageBreakBefore w:val="0"/>
        <w:widowControl w:val="0"/>
        <w:kinsoku/>
        <w:wordWrap/>
        <w:overflowPunct/>
        <w:topLinePunct w:val="0"/>
        <w:autoSpaceDE/>
        <w:autoSpaceDN/>
        <w:bidi w:val="0"/>
        <w:spacing w:line="576" w:lineRule="exact"/>
        <w:textAlignment w:val="auto"/>
        <w:rPr>
          <w:rFonts w:hint="eastAsia"/>
        </w:rPr>
      </w:pPr>
    </w:p>
    <w:p w14:paraId="363FE790">
      <w:pPr>
        <w:pStyle w:val="3"/>
        <w:ind w:right="440"/>
        <w:jc w:val="center"/>
        <w:rPr>
          <w:rStyle w:val="32"/>
          <w:rFonts w:ascii="黑体" w:hAnsi="黑体" w:eastAsia="黑体"/>
          <w:b w:val="0"/>
          <w:bCs/>
        </w:rPr>
      </w:pPr>
      <w:bookmarkStart w:id="73" w:name="_Toc1523376240_WPSOffice_Level1"/>
      <w:r>
        <w:rPr>
          <w:rFonts w:hint="eastAsia" w:ascii="黑体" w:hAnsi="黑体" w:eastAsia="黑体"/>
          <w:b w:val="0"/>
        </w:rPr>
        <w:t xml:space="preserve">第二部分 </w:t>
      </w:r>
      <w:r>
        <w:rPr>
          <w:rFonts w:hint="eastAsia" w:ascii="黑体" w:hAnsi="黑体" w:eastAsia="黑体"/>
          <w:b w:val="0"/>
          <w:lang w:eastAsia="zh-CN"/>
        </w:rPr>
        <w:t>2024年</w:t>
      </w:r>
      <w:r>
        <w:rPr>
          <w:rFonts w:hint="eastAsia" w:ascii="黑体" w:hAnsi="黑体" w:eastAsia="黑体"/>
          <w:b w:val="0"/>
        </w:rPr>
        <w:t>度</w:t>
      </w:r>
      <w:r>
        <w:rPr>
          <w:rStyle w:val="32"/>
          <w:rFonts w:hint="eastAsia" w:ascii="黑体" w:hAnsi="黑体" w:eastAsia="黑体"/>
          <w:b w:val="0"/>
          <w:bCs/>
        </w:rPr>
        <w:t>部门决算情况说明</w:t>
      </w:r>
      <w:bookmarkEnd w:id="71"/>
      <w:bookmarkEnd w:id="72"/>
      <w:bookmarkEnd w:id="73"/>
    </w:p>
    <w:p w14:paraId="46E965F9"/>
    <w:p w14:paraId="02798438">
      <w:pPr>
        <w:pStyle w:val="31"/>
        <w:numPr>
          <w:ilvl w:val="0"/>
          <w:numId w:val="2"/>
        </w:numPr>
        <w:spacing w:line="600" w:lineRule="exact"/>
        <w:ind w:firstLineChars="0"/>
        <w:outlineLvl w:val="1"/>
        <w:rPr>
          <w:rStyle w:val="33"/>
          <w:rFonts w:ascii="黑体" w:hAnsi="黑体" w:eastAsia="黑体"/>
          <w:b w:val="0"/>
        </w:rPr>
      </w:pPr>
      <w:bookmarkStart w:id="74" w:name="_Toc1662103642_WPSOffice_Level2"/>
      <w:bookmarkStart w:id="75" w:name="_Toc15377205"/>
      <w:bookmarkStart w:id="76" w:name="_Toc15396603"/>
      <w:r>
        <w:rPr>
          <w:rFonts w:hint="eastAsia" w:ascii="黑体" w:hAnsi="黑体" w:eastAsia="黑体"/>
          <w:sz w:val="32"/>
          <w:szCs w:val="32"/>
        </w:rPr>
        <w:t>收</w:t>
      </w:r>
      <w:r>
        <w:rPr>
          <w:rStyle w:val="33"/>
          <w:rFonts w:hint="eastAsia" w:ascii="黑体" w:hAnsi="黑体" w:eastAsia="黑体"/>
          <w:b w:val="0"/>
        </w:rPr>
        <w:t>入支出决算总体情况说明</w:t>
      </w:r>
      <w:bookmarkEnd w:id="74"/>
      <w:bookmarkEnd w:id="75"/>
      <w:bookmarkEnd w:id="76"/>
    </w:p>
    <w:p w14:paraId="31F45966">
      <w:pPr>
        <w:spacing w:line="600" w:lineRule="exact"/>
        <w:ind w:firstLine="640" w:firstLineChars="200"/>
        <w:jc w:val="left"/>
        <w:rPr>
          <w:rFonts w:hint="eastAsia" w:ascii="仿宋" w:hAnsi="仿宋" w:eastAsia="仿宋"/>
          <w:sz w:val="32"/>
          <w:szCs w:val="32"/>
          <w:lang w:eastAsia="zh-CN"/>
        </w:rPr>
      </w:pPr>
      <w:r>
        <w:rPr>
          <w:rFonts w:hint="eastAsia" w:ascii="仿宋" w:hAnsi="仿宋" w:eastAsia="仿宋"/>
          <w:sz w:val="32"/>
          <w:szCs w:val="32"/>
          <w:lang w:eastAsia="zh-CN"/>
        </w:rPr>
        <w:t>2024年</w:t>
      </w:r>
      <w:r>
        <w:rPr>
          <w:rFonts w:hint="eastAsia" w:ascii="仿宋" w:hAnsi="仿宋" w:eastAsia="仿宋"/>
          <w:sz w:val="32"/>
          <w:szCs w:val="32"/>
        </w:rPr>
        <w:t>度收、支总计均为</w:t>
      </w:r>
      <w:r>
        <w:rPr>
          <w:rFonts w:hint="eastAsia" w:eastAsia="仿宋"/>
          <w:sz w:val="32"/>
          <w:szCs w:val="32"/>
          <w:lang w:val="en-US" w:eastAsia="zh-CN"/>
        </w:rPr>
        <w:t>698.24</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w:t>
      </w:r>
      <w:r>
        <w:rPr>
          <w:rFonts w:hint="eastAsia" w:ascii="仿宋" w:hAnsi="仿宋" w:eastAsia="仿宋"/>
          <w:sz w:val="32"/>
          <w:szCs w:val="32"/>
          <w:lang w:eastAsia="zh-CN"/>
        </w:rPr>
        <w:t>2023年</w:t>
      </w:r>
      <w:r>
        <w:rPr>
          <w:rFonts w:hint="eastAsia" w:ascii="仿宋" w:hAnsi="仿宋" w:eastAsia="仿宋"/>
          <w:sz w:val="32"/>
          <w:szCs w:val="32"/>
        </w:rPr>
        <w:t>度相比，收、支总计各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354.71</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33.69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减少了阿坝州成立70周年庆祝活动后勤保障经费及公用经费。</w:t>
      </w:r>
    </w:p>
    <w:p w14:paraId="5957771A">
      <w:pPr>
        <w:pStyle w:val="8"/>
      </w:pPr>
      <w:r>
        <w:rPr>
          <w:rFonts w:hint="eastAsia" w:ascii="仿宋" w:hAnsi="仿宋" w:eastAsia="仿宋"/>
          <w:color w:val="0000FF"/>
          <w:sz w:val="32"/>
          <w:szCs w:val="32"/>
          <w:lang w:eastAsia="zh-CN"/>
        </w:rPr>
        <w:object>
          <v:shape id="_x0000_i1025" o:spt="75" alt="olechartimg_1663559531743500_757295104" type="#_x0000_t75" style="height:207.4pt;width:357.65pt;" o:ole="t" filled="f" o:preferrelative="t" stroked="f" coordsize="21600,21600">
            <v:path/>
            <v:fill on="f" focussize="0,0"/>
            <v:stroke on="f"/>
            <v:imagedata r:id="rId7" o:title="olechartimg_1757320787441880_949294080"/>
            <o:lock v:ext="edit" aspectratio="t"/>
            <w10:wrap type="none"/>
            <w10:anchorlock/>
          </v:shape>
          <o:OLEObject Type="Embed" ProgID="Excel.Chart.8" ShapeID="_x0000_i1025" DrawAspect="Content" ObjectID="_1468075725" r:id="rId6">
            <o:LockedField>false</o:LockedField>
          </o:OLEObject>
        </w:object>
      </w:r>
    </w:p>
    <w:p w14:paraId="1606767E">
      <w:pPr>
        <w:spacing w:line="600" w:lineRule="exact"/>
        <w:ind w:firstLine="640" w:firstLineChars="200"/>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1CE764E2">
      <w:pPr>
        <w:pStyle w:val="31"/>
        <w:numPr>
          <w:ilvl w:val="0"/>
          <w:numId w:val="2"/>
        </w:numPr>
        <w:spacing w:line="600" w:lineRule="exact"/>
        <w:ind w:firstLineChars="0"/>
        <w:outlineLvl w:val="1"/>
        <w:rPr>
          <w:rStyle w:val="33"/>
          <w:rFonts w:ascii="黑体" w:hAnsi="黑体" w:eastAsia="黑体"/>
          <w:b w:val="0"/>
        </w:rPr>
      </w:pPr>
      <w:bookmarkStart w:id="77" w:name="_Toc15377206"/>
      <w:bookmarkStart w:id="78" w:name="_Toc15396604"/>
      <w:bookmarkStart w:id="79" w:name="_Toc1428875751_WPSOffice_Level2"/>
      <w:r>
        <w:rPr>
          <w:rFonts w:hint="eastAsia" w:ascii="黑体" w:hAnsi="黑体" w:eastAsia="黑体"/>
          <w:sz w:val="32"/>
          <w:szCs w:val="32"/>
        </w:rPr>
        <w:t>收</w:t>
      </w:r>
      <w:r>
        <w:rPr>
          <w:rStyle w:val="33"/>
          <w:rFonts w:hint="eastAsia" w:ascii="黑体" w:hAnsi="黑体" w:eastAsia="黑体"/>
          <w:b w:val="0"/>
        </w:rPr>
        <w:t>入决算情况说明</w:t>
      </w:r>
      <w:bookmarkEnd w:id="77"/>
      <w:bookmarkEnd w:id="78"/>
      <w:bookmarkEnd w:id="79"/>
    </w:p>
    <w:p w14:paraId="2A0EE782">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度本年收入合计</w:t>
      </w:r>
      <w:r>
        <w:rPr>
          <w:rFonts w:hint="eastAsia" w:eastAsia="仿宋"/>
          <w:sz w:val="32"/>
          <w:szCs w:val="32"/>
          <w:lang w:val="en-US" w:eastAsia="zh-CN"/>
        </w:rPr>
        <w:t>698.24</w:t>
      </w:r>
      <w:r>
        <w:rPr>
          <w:rFonts w:hint="eastAsia" w:ascii="仿宋" w:hAnsi="仿宋" w:eastAsia="仿宋"/>
          <w:sz w:val="32"/>
          <w:szCs w:val="32"/>
        </w:rPr>
        <w:t>万元，其中：一般公共预算财政拨款收入</w:t>
      </w:r>
      <w:r>
        <w:rPr>
          <w:rFonts w:hint="eastAsia" w:eastAsia="仿宋"/>
          <w:sz w:val="32"/>
          <w:szCs w:val="32"/>
          <w:lang w:val="en-US" w:eastAsia="zh-CN"/>
        </w:rPr>
        <w:t>697.42</w:t>
      </w:r>
      <w:r>
        <w:rPr>
          <w:rFonts w:hint="eastAsia" w:ascii="仿宋" w:hAnsi="仿宋" w:eastAsia="仿宋"/>
          <w:sz w:val="32"/>
          <w:szCs w:val="32"/>
        </w:rPr>
        <w:t>万元，占</w:t>
      </w:r>
      <w:r>
        <w:rPr>
          <w:rFonts w:hint="eastAsia" w:eastAsia="仿宋"/>
          <w:sz w:val="32"/>
          <w:szCs w:val="32"/>
          <w:lang w:val="en-US" w:eastAsia="zh-CN"/>
        </w:rPr>
        <w:t>99.88</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rFonts w:hint="eastAsia" w:eastAsia="仿宋"/>
          <w:sz w:val="32"/>
          <w:szCs w:val="32"/>
          <w:lang w:val="en-US" w:eastAsia="zh-CN"/>
        </w:rPr>
        <w:t>0.82</w:t>
      </w:r>
      <w:r>
        <w:rPr>
          <w:rFonts w:hint="eastAsia" w:ascii="仿宋" w:hAnsi="仿宋" w:eastAsia="仿宋"/>
          <w:sz w:val="32"/>
          <w:szCs w:val="32"/>
        </w:rPr>
        <w:t>万元，占</w:t>
      </w:r>
      <w:r>
        <w:rPr>
          <w:sz w:val="32"/>
          <w:szCs w:val="32"/>
        </w:rPr>
        <w:t>0</w:t>
      </w:r>
      <w:r>
        <w:rPr>
          <w:rFonts w:hint="eastAsia"/>
          <w:sz w:val="32"/>
          <w:szCs w:val="32"/>
          <w:lang w:val="en-US" w:eastAsia="zh-CN"/>
        </w:rPr>
        <w:t>.12</w:t>
      </w:r>
      <w:r>
        <w:rPr>
          <w:rFonts w:ascii="仿宋" w:hAnsi="仿宋" w:eastAsia="仿宋"/>
          <w:sz w:val="32"/>
          <w:szCs w:val="32"/>
        </w:rPr>
        <w:t>%</w:t>
      </w:r>
      <w:r>
        <w:rPr>
          <w:rFonts w:hint="eastAsia" w:ascii="仿宋" w:hAnsi="仿宋" w:eastAsia="仿宋"/>
          <w:sz w:val="32"/>
          <w:szCs w:val="32"/>
        </w:rPr>
        <w:t>。</w:t>
      </w:r>
    </w:p>
    <w:p w14:paraId="7E4DC44F">
      <w:pPr>
        <w:spacing w:line="600" w:lineRule="exact"/>
        <w:jc w:val="center"/>
        <w:rPr>
          <w:rFonts w:hint="eastAsia" w:ascii="仿宋" w:hAnsi="仿宋" w:eastAsia="仿宋"/>
          <w:sz w:val="32"/>
          <w:szCs w:val="32"/>
        </w:rPr>
      </w:pPr>
      <w:r>
        <w:rPr>
          <w:rFonts w:hint="eastAsia" w:ascii="仿宋" w:hAnsi="仿宋" w:eastAsia="仿宋"/>
          <w:sz w:val="32"/>
          <w:szCs w:val="32"/>
          <w:lang w:eastAsia="zh-CN"/>
        </w:rPr>
        <w:drawing>
          <wp:anchor distT="0" distB="0" distL="114300" distR="114300" simplePos="0" relativeHeight="251663360" behindDoc="0" locked="0" layoutInCell="1" allowOverlap="1">
            <wp:simplePos x="0" y="0"/>
            <wp:positionH relativeFrom="column">
              <wp:posOffset>601345</wp:posOffset>
            </wp:positionH>
            <wp:positionV relativeFrom="paragraph">
              <wp:posOffset>88265</wp:posOffset>
            </wp:positionV>
            <wp:extent cx="4231005" cy="3155950"/>
            <wp:effectExtent l="4445" t="4445" r="12700" b="2095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BBA0E4D">
      <w:pPr>
        <w:spacing w:line="600" w:lineRule="exact"/>
        <w:jc w:val="center"/>
        <w:rPr>
          <w:rFonts w:hint="eastAsia" w:ascii="仿宋" w:hAnsi="仿宋" w:eastAsia="仿宋"/>
          <w:sz w:val="32"/>
          <w:szCs w:val="32"/>
        </w:rPr>
      </w:pPr>
    </w:p>
    <w:p w14:paraId="0AB54BEA">
      <w:pPr>
        <w:spacing w:line="600" w:lineRule="exact"/>
        <w:jc w:val="center"/>
        <w:rPr>
          <w:rFonts w:hint="eastAsia" w:ascii="仿宋" w:hAnsi="仿宋" w:eastAsia="仿宋"/>
          <w:sz w:val="32"/>
          <w:szCs w:val="32"/>
        </w:rPr>
      </w:pPr>
    </w:p>
    <w:p w14:paraId="56E69B6A">
      <w:pPr>
        <w:spacing w:line="600" w:lineRule="exact"/>
        <w:jc w:val="center"/>
        <w:rPr>
          <w:rFonts w:hint="eastAsia" w:ascii="仿宋" w:hAnsi="仿宋" w:eastAsia="仿宋"/>
          <w:sz w:val="32"/>
          <w:szCs w:val="32"/>
        </w:rPr>
      </w:pPr>
    </w:p>
    <w:p w14:paraId="712F1D3E">
      <w:pPr>
        <w:spacing w:line="600" w:lineRule="exact"/>
        <w:jc w:val="center"/>
        <w:rPr>
          <w:rFonts w:hint="eastAsia" w:ascii="仿宋" w:hAnsi="仿宋" w:eastAsia="仿宋"/>
          <w:sz w:val="32"/>
          <w:szCs w:val="32"/>
        </w:rPr>
      </w:pPr>
    </w:p>
    <w:p w14:paraId="5BBB642C">
      <w:pPr>
        <w:spacing w:line="600" w:lineRule="exact"/>
        <w:jc w:val="center"/>
        <w:rPr>
          <w:rFonts w:hint="eastAsia" w:ascii="仿宋" w:hAnsi="仿宋" w:eastAsia="仿宋"/>
          <w:sz w:val="32"/>
          <w:szCs w:val="32"/>
        </w:rPr>
      </w:pPr>
    </w:p>
    <w:p w14:paraId="42C1D9ED">
      <w:pPr>
        <w:spacing w:line="600" w:lineRule="exact"/>
        <w:jc w:val="center"/>
        <w:rPr>
          <w:rFonts w:hint="eastAsia" w:ascii="仿宋" w:hAnsi="仿宋" w:eastAsia="仿宋"/>
          <w:sz w:val="32"/>
          <w:szCs w:val="32"/>
        </w:rPr>
      </w:pPr>
    </w:p>
    <w:p w14:paraId="18B9A50E">
      <w:pPr>
        <w:spacing w:line="600" w:lineRule="exact"/>
        <w:jc w:val="center"/>
        <w:rPr>
          <w:rFonts w:hint="eastAsia" w:ascii="仿宋" w:hAnsi="仿宋" w:eastAsia="仿宋"/>
          <w:sz w:val="32"/>
          <w:szCs w:val="32"/>
        </w:rPr>
      </w:pPr>
    </w:p>
    <w:p w14:paraId="1A38CA10">
      <w:pPr>
        <w:pStyle w:val="15"/>
        <w:ind w:left="0" w:leftChars="0" w:firstLine="0" w:firstLineChars="0"/>
        <w:rPr>
          <w:rFonts w:hint="eastAsia" w:ascii="仿宋" w:hAnsi="仿宋" w:eastAsia="仿宋"/>
          <w:sz w:val="32"/>
          <w:szCs w:val="32"/>
        </w:rPr>
      </w:pPr>
    </w:p>
    <w:p w14:paraId="5ADA7E4D">
      <w:pPr>
        <w:spacing w:line="600" w:lineRule="exact"/>
        <w:jc w:val="center"/>
        <w:rPr>
          <w:rFonts w:hint="eastAsia" w:ascii="仿宋" w:hAnsi="仿宋" w:eastAsia="仿宋"/>
          <w:sz w:val="32"/>
          <w:szCs w:val="32"/>
        </w:rPr>
      </w:pPr>
      <w:r>
        <w:rPr>
          <w:rFonts w:hint="eastAsia" w:ascii="仿宋" w:hAnsi="仿宋" w:eastAsia="仿宋"/>
          <w:sz w:val="32"/>
          <w:szCs w:val="32"/>
        </w:rPr>
        <w:t>（图2：收入决算结构图）（饼状图）</w:t>
      </w:r>
    </w:p>
    <w:p w14:paraId="678B33EA">
      <w:pPr>
        <w:pStyle w:val="14"/>
        <w:rPr>
          <w:rFonts w:hint="eastAsia"/>
        </w:rPr>
      </w:pPr>
    </w:p>
    <w:p w14:paraId="5F4A0678">
      <w:pPr>
        <w:pStyle w:val="31"/>
        <w:numPr>
          <w:ilvl w:val="0"/>
          <w:numId w:val="2"/>
        </w:numPr>
        <w:spacing w:line="600" w:lineRule="exact"/>
        <w:ind w:firstLineChars="0"/>
        <w:outlineLvl w:val="1"/>
        <w:rPr>
          <w:rStyle w:val="33"/>
          <w:rFonts w:ascii="黑体" w:hAnsi="黑体" w:eastAsia="黑体"/>
          <w:b w:val="0"/>
        </w:rPr>
      </w:pPr>
      <w:bookmarkStart w:id="80" w:name="_Toc15377207"/>
      <w:bookmarkStart w:id="81" w:name="_Toc15396605"/>
      <w:bookmarkStart w:id="82" w:name="_Toc1218731862_WPSOffice_Level2"/>
      <w:r>
        <w:rPr>
          <w:rFonts w:hint="eastAsia" w:ascii="黑体" w:hAnsi="黑体" w:eastAsia="黑体"/>
          <w:sz w:val="32"/>
          <w:szCs w:val="32"/>
        </w:rPr>
        <w:t>支</w:t>
      </w:r>
      <w:r>
        <w:rPr>
          <w:rStyle w:val="33"/>
          <w:rFonts w:hint="eastAsia" w:ascii="黑体" w:hAnsi="黑体" w:eastAsia="黑体"/>
          <w:b w:val="0"/>
        </w:rPr>
        <w:t>出决算情况说明</w:t>
      </w:r>
      <w:bookmarkEnd w:id="80"/>
      <w:bookmarkEnd w:id="81"/>
      <w:bookmarkEnd w:id="82"/>
    </w:p>
    <w:p w14:paraId="7A95B07A">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度本年支出合计</w:t>
      </w:r>
      <w:r>
        <w:rPr>
          <w:rFonts w:hint="eastAsia" w:eastAsia="仿宋"/>
          <w:sz w:val="32"/>
          <w:szCs w:val="32"/>
          <w:lang w:val="en-US" w:eastAsia="zh-CN"/>
        </w:rPr>
        <w:t>698.24</w:t>
      </w:r>
      <w:r>
        <w:rPr>
          <w:rFonts w:hint="eastAsia" w:ascii="仿宋" w:hAnsi="仿宋" w:eastAsia="仿宋"/>
          <w:sz w:val="32"/>
          <w:szCs w:val="32"/>
        </w:rPr>
        <w:t>万元，其中：基本支出</w:t>
      </w:r>
      <w:r>
        <w:rPr>
          <w:rFonts w:hint="eastAsia" w:eastAsia="仿宋"/>
          <w:sz w:val="32"/>
          <w:szCs w:val="32"/>
          <w:lang w:val="en-US" w:eastAsia="zh-CN"/>
        </w:rPr>
        <w:t>492.56</w:t>
      </w:r>
      <w:r>
        <w:rPr>
          <w:rFonts w:hint="eastAsia" w:ascii="仿宋" w:hAnsi="仿宋" w:eastAsia="仿宋"/>
          <w:sz w:val="32"/>
          <w:szCs w:val="32"/>
        </w:rPr>
        <w:t>万元，占</w:t>
      </w:r>
      <w:r>
        <w:rPr>
          <w:rFonts w:hint="eastAsia" w:ascii="仿宋" w:hAnsi="仿宋" w:eastAsia="仿宋"/>
          <w:sz w:val="32"/>
          <w:szCs w:val="32"/>
          <w:lang w:val="en-US" w:eastAsia="zh-CN"/>
        </w:rPr>
        <w:t>70.54</w:t>
      </w:r>
      <w:r>
        <w:rPr>
          <w:rFonts w:ascii="仿宋" w:hAnsi="仿宋" w:eastAsia="仿宋"/>
          <w:sz w:val="32"/>
          <w:szCs w:val="32"/>
        </w:rPr>
        <w:t>%</w:t>
      </w:r>
      <w:r>
        <w:rPr>
          <w:rFonts w:hint="eastAsia" w:ascii="仿宋" w:hAnsi="仿宋" w:eastAsia="仿宋"/>
          <w:sz w:val="32"/>
          <w:szCs w:val="32"/>
        </w:rPr>
        <w:t>；项目支出</w:t>
      </w:r>
      <w:r>
        <w:rPr>
          <w:rFonts w:hint="eastAsia" w:eastAsia="仿宋"/>
          <w:sz w:val="32"/>
          <w:szCs w:val="32"/>
          <w:lang w:val="en-US" w:eastAsia="zh-CN"/>
        </w:rPr>
        <w:t>205.68</w:t>
      </w:r>
      <w:r>
        <w:rPr>
          <w:rFonts w:hint="eastAsia" w:ascii="仿宋" w:hAnsi="仿宋" w:eastAsia="仿宋"/>
          <w:sz w:val="32"/>
          <w:szCs w:val="32"/>
        </w:rPr>
        <w:t>万元，占</w:t>
      </w:r>
      <w:r>
        <w:rPr>
          <w:rFonts w:hint="eastAsia" w:ascii="仿宋" w:hAnsi="仿宋" w:eastAsia="仿宋"/>
          <w:sz w:val="32"/>
          <w:szCs w:val="32"/>
          <w:lang w:val="en-US" w:eastAsia="zh-CN"/>
        </w:rPr>
        <w:t>29.46</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312E420F">
      <w:pPr>
        <w:pStyle w:val="2"/>
        <w:rPr>
          <w:rFonts w:hint="eastAsia" w:ascii="仿宋" w:hAnsi="仿宋" w:eastAsia="仿宋"/>
          <w:sz w:val="32"/>
          <w:szCs w:val="32"/>
        </w:rPr>
      </w:pPr>
      <w:r>
        <w:rPr>
          <w:rFonts w:hint="eastAsia" w:eastAsia="宋体"/>
          <w:lang w:eastAsia="zh-CN"/>
        </w:rPr>
        <w:pict>
          <v:shape id="_x0000_s1032" o:spid="_x0000_s1032" o:spt="75" alt="olechartimg_1725583589522887_1048671232" type="#_x0000_t75" style="position:absolute;left:0pt;margin-left:22.05pt;margin-top:10.15pt;height:142.8pt;width:334.8pt;mso-wrap-distance-bottom:0pt;mso-wrap-distance-left:9pt;mso-wrap-distance-right:9pt;mso-wrap-distance-top:0pt;z-index:251664384;mso-width-relative:page;mso-height-relative:page;" o:ole="t" filled="f" o:preferrelative="t" stroked="f" coordsize="21600,21600">
            <v:path/>
            <v:fill on="f" focussize="0,0"/>
            <v:stroke on="f"/>
            <v:imagedata r:id="rId10" o:title="olechartimg_1757559212327327_1029693440"/>
            <o:lock v:ext="edit" aspectratio="t"/>
            <w10:wrap type="square"/>
          </v:shape>
          <o:OLEObject Type="Embed" ProgID="Excel.Chart.8" ShapeID="_x0000_s1032" DrawAspect="Content" ObjectID="_1468075726" r:id="rId9">
            <o:LockedField>false</o:LockedField>
          </o:OLEObject>
        </w:pict>
      </w:r>
    </w:p>
    <w:p w14:paraId="73C1F7E1"/>
    <w:p w14:paraId="2B1AB4B3">
      <w:pPr>
        <w:spacing w:line="600" w:lineRule="exact"/>
        <w:ind w:firstLine="640"/>
        <w:rPr>
          <w:rFonts w:ascii="仿宋" w:hAnsi="仿宋" w:eastAsia="仿宋"/>
          <w:sz w:val="32"/>
          <w:szCs w:val="32"/>
          <w:shd w:val="pct10" w:color="auto" w:fill="FFFFFF"/>
        </w:rPr>
      </w:pPr>
    </w:p>
    <w:p w14:paraId="31DA0B30">
      <w:pPr>
        <w:spacing w:line="600" w:lineRule="exact"/>
        <w:ind w:firstLine="640" w:firstLineChars="200"/>
        <w:jc w:val="center"/>
        <w:rPr>
          <w:rFonts w:hint="eastAsia" w:ascii="仿宋" w:hAnsi="仿宋" w:eastAsia="仿宋"/>
          <w:sz w:val="32"/>
          <w:szCs w:val="32"/>
        </w:rPr>
      </w:pPr>
    </w:p>
    <w:p w14:paraId="62C3C794">
      <w:pPr>
        <w:spacing w:line="600" w:lineRule="exact"/>
        <w:ind w:firstLine="640" w:firstLineChars="200"/>
        <w:jc w:val="center"/>
        <w:rPr>
          <w:rFonts w:hint="eastAsia" w:ascii="仿宋" w:hAnsi="仿宋" w:eastAsia="仿宋"/>
          <w:sz w:val="32"/>
          <w:szCs w:val="32"/>
        </w:rPr>
      </w:pPr>
    </w:p>
    <w:p w14:paraId="6CCAE10A">
      <w:pPr>
        <w:spacing w:line="600" w:lineRule="exact"/>
        <w:ind w:firstLine="640" w:firstLineChars="200"/>
        <w:jc w:val="center"/>
        <w:rPr>
          <w:rFonts w:hint="eastAsia" w:ascii="仿宋" w:hAnsi="仿宋" w:eastAsia="仿宋"/>
          <w:sz w:val="32"/>
          <w:szCs w:val="32"/>
        </w:rPr>
      </w:pPr>
    </w:p>
    <w:p w14:paraId="3CBD3132">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（图3：支出决算结构图）（饼状图）</w:t>
      </w:r>
    </w:p>
    <w:p w14:paraId="2115C394">
      <w:pPr>
        <w:spacing w:line="600" w:lineRule="exact"/>
        <w:ind w:firstLine="640" w:firstLineChars="200"/>
        <w:jc w:val="center"/>
        <w:rPr>
          <w:rFonts w:ascii="仿宋_GB2312" w:eastAsia="仿宋_GB2312"/>
          <w:sz w:val="32"/>
          <w:szCs w:val="32"/>
        </w:rPr>
      </w:pPr>
    </w:p>
    <w:p w14:paraId="724E2317">
      <w:pPr>
        <w:spacing w:line="600" w:lineRule="exact"/>
        <w:ind w:firstLine="640" w:firstLineChars="200"/>
        <w:outlineLvl w:val="1"/>
        <w:rPr>
          <w:rStyle w:val="33"/>
          <w:rFonts w:ascii="黑体" w:hAnsi="黑体" w:eastAsia="黑体"/>
          <w:b w:val="0"/>
        </w:rPr>
      </w:pPr>
      <w:bookmarkStart w:id="83" w:name="_Toc485345270_WPSOffice_Level2"/>
      <w:bookmarkStart w:id="84" w:name="_Toc15396606"/>
      <w:bookmarkStart w:id="85" w:name="_Toc15377208"/>
      <w:r>
        <w:rPr>
          <w:rFonts w:hint="eastAsia" w:ascii="黑体" w:hAnsi="黑体" w:eastAsia="黑体"/>
          <w:sz w:val="32"/>
          <w:szCs w:val="32"/>
        </w:rPr>
        <w:t>四、财</w:t>
      </w:r>
      <w:r>
        <w:rPr>
          <w:rStyle w:val="33"/>
          <w:rFonts w:hint="eastAsia" w:ascii="黑体" w:hAnsi="黑体" w:eastAsia="黑体"/>
          <w:b w:val="0"/>
        </w:rPr>
        <w:t>政拨款收入支出决算总体情况说明</w:t>
      </w:r>
      <w:bookmarkEnd w:id="83"/>
      <w:bookmarkEnd w:id="84"/>
      <w:bookmarkEnd w:id="85"/>
    </w:p>
    <w:p w14:paraId="7425BE2B">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度财政拨款收、支总计均为</w:t>
      </w:r>
      <w:r>
        <w:rPr>
          <w:rFonts w:hint="eastAsia" w:eastAsia="仿宋"/>
          <w:sz w:val="32"/>
          <w:szCs w:val="32"/>
          <w:lang w:val="en-US" w:eastAsia="zh-CN"/>
        </w:rPr>
        <w:t>697.42</w:t>
      </w:r>
      <w:r>
        <w:rPr>
          <w:rFonts w:hint="eastAsia" w:ascii="仿宋" w:hAnsi="仿宋" w:eastAsia="仿宋"/>
          <w:sz w:val="32"/>
          <w:szCs w:val="32"/>
        </w:rPr>
        <w:t>万元。与</w:t>
      </w:r>
      <w:r>
        <w:rPr>
          <w:rFonts w:hint="eastAsia" w:ascii="仿宋" w:hAnsi="仿宋" w:eastAsia="仿宋"/>
          <w:sz w:val="32"/>
          <w:szCs w:val="32"/>
          <w:lang w:eastAsia="zh-CN"/>
        </w:rPr>
        <w:t>2023年</w:t>
      </w:r>
      <w:r>
        <w:rPr>
          <w:rFonts w:hint="eastAsia" w:ascii="仿宋" w:hAnsi="仿宋" w:eastAsia="仿宋"/>
          <w:sz w:val="32"/>
          <w:szCs w:val="32"/>
        </w:rPr>
        <w:t>度相比，与</w:t>
      </w:r>
      <w:r>
        <w:rPr>
          <w:rFonts w:hint="eastAsia" w:ascii="仿宋" w:hAnsi="仿宋" w:eastAsia="仿宋"/>
          <w:sz w:val="32"/>
          <w:szCs w:val="32"/>
          <w:lang w:eastAsia="zh-CN"/>
        </w:rPr>
        <w:t>2023年</w:t>
      </w:r>
      <w:r>
        <w:rPr>
          <w:rFonts w:hint="eastAsia" w:ascii="仿宋" w:hAnsi="仿宋" w:eastAsia="仿宋"/>
          <w:sz w:val="32"/>
          <w:szCs w:val="32"/>
        </w:rPr>
        <w:t>度相比，收、支总计各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355.53</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33.77</w:t>
      </w:r>
      <w:r>
        <w:rPr>
          <w:rFonts w:ascii="仿宋" w:hAnsi="仿宋" w:eastAsia="仿宋"/>
          <w:sz w:val="32"/>
          <w:szCs w:val="32"/>
        </w:rPr>
        <w:t>%</w:t>
      </w:r>
      <w:r>
        <w:rPr>
          <w:rFonts w:hint="eastAsia" w:ascii="仿宋" w:hAnsi="仿宋" w:eastAsia="仿宋"/>
          <w:sz w:val="32"/>
          <w:szCs w:val="32"/>
        </w:rPr>
        <w:t>。主要变动原因是减少了阿坝州成立70周年庆祝活动后勤保障经费及公用经费。</w:t>
      </w:r>
    </w:p>
    <w:p w14:paraId="3407A4CC">
      <w:pPr>
        <w:spacing w:line="600" w:lineRule="exact"/>
        <w:rPr>
          <w:rFonts w:ascii="仿宋" w:hAnsi="仿宋" w:eastAsia="仿宋"/>
          <w:sz w:val="32"/>
          <w:szCs w:val="32"/>
        </w:rPr>
      </w:pPr>
      <w:r>
        <w:rPr>
          <w:rFonts w:hint="eastAsia" w:eastAsia="宋体"/>
          <w:lang w:eastAsia="zh-CN"/>
        </w:rPr>
        <w:pict>
          <v:shape id="_x0000_s1028" o:spid="_x0000_s1028" o:spt="75" alt="olechartimg_1725583713705710_1048676352" type="#_x0000_t75" style="position:absolute;left:0pt;margin-left:38.8pt;margin-top:22.9pt;height:148.65pt;width:331.1pt;mso-wrap-distance-bottom:0pt;mso-wrap-distance-left:9pt;mso-wrap-distance-right:9pt;mso-wrap-distance-top:0pt;z-index:251659264;mso-width-relative:page;mso-height-relative:page;" o:ole="t" filled="f" o:preferrelative="t" stroked="f" coordsize="21600,21600">
            <v:path/>
            <v:fill on="f" focussize="0,0"/>
            <v:stroke on="f"/>
            <v:imagedata r:id="rId12" o:title="olechartimg_1757474179434370_949294080"/>
            <o:lock v:ext="edit" aspectratio="t"/>
            <w10:wrap type="square"/>
          </v:shape>
          <o:OLEObject Type="Embed" ProgID="Excel.Chart.8" ShapeID="_x0000_s1028" DrawAspect="Content" ObjectID="_1468075727" r:id="rId11">
            <o:LockedField>false</o:LockedField>
          </o:OLEObject>
        </w:pict>
      </w:r>
    </w:p>
    <w:p w14:paraId="66742C67">
      <w:pPr>
        <w:spacing w:line="600" w:lineRule="exact"/>
        <w:ind w:firstLine="640" w:firstLineChars="200"/>
        <w:rPr>
          <w:rFonts w:hint="eastAsia" w:ascii="仿宋" w:hAnsi="仿宋" w:eastAsia="仿宋"/>
          <w:sz w:val="32"/>
          <w:szCs w:val="32"/>
        </w:rPr>
      </w:pPr>
    </w:p>
    <w:p w14:paraId="1CD75552">
      <w:pPr>
        <w:spacing w:line="600" w:lineRule="exact"/>
        <w:ind w:firstLine="640" w:firstLineChars="200"/>
        <w:rPr>
          <w:rFonts w:hint="eastAsia" w:ascii="仿宋" w:hAnsi="仿宋" w:eastAsia="仿宋"/>
          <w:sz w:val="32"/>
          <w:szCs w:val="32"/>
        </w:rPr>
      </w:pPr>
    </w:p>
    <w:p w14:paraId="4CFA59BB">
      <w:pPr>
        <w:spacing w:line="600" w:lineRule="exact"/>
        <w:ind w:firstLine="640" w:firstLineChars="200"/>
        <w:rPr>
          <w:rFonts w:ascii="仿宋" w:hAnsi="仿宋" w:eastAsia="仿宋"/>
          <w:b/>
          <w:sz w:val="32"/>
          <w:szCs w:val="32"/>
        </w:rPr>
      </w:pPr>
      <w:r>
        <w:rPr>
          <w:rFonts w:hint="eastAsia" w:ascii="仿宋" w:hAnsi="仿宋" w:eastAsia="仿宋"/>
          <w:sz w:val="32"/>
          <w:szCs w:val="32"/>
        </w:rPr>
        <w:t>（图4：财政拨款收、支决算总计变动情况）（柱状图）</w:t>
      </w:r>
    </w:p>
    <w:p w14:paraId="15943A14">
      <w:pPr>
        <w:spacing w:line="600" w:lineRule="exact"/>
        <w:ind w:firstLine="640" w:firstLineChars="200"/>
        <w:outlineLvl w:val="1"/>
        <w:rPr>
          <w:rStyle w:val="33"/>
          <w:rFonts w:ascii="黑体" w:hAnsi="黑体" w:eastAsia="黑体"/>
          <w:b w:val="0"/>
        </w:rPr>
      </w:pPr>
      <w:bookmarkStart w:id="86" w:name="_Toc15396607"/>
      <w:bookmarkStart w:id="87" w:name="_Toc15377209"/>
      <w:bookmarkStart w:id="88" w:name="_Toc903850769_WPSOffice_Level2"/>
      <w:r>
        <w:rPr>
          <w:rFonts w:hint="eastAsia" w:ascii="黑体" w:hAnsi="黑体" w:eastAsia="黑体"/>
          <w:sz w:val="32"/>
          <w:szCs w:val="32"/>
        </w:rPr>
        <w:t>五、</w:t>
      </w:r>
      <w:r>
        <w:rPr>
          <w:rFonts w:hint="eastAsia" w:ascii="黑体" w:hAnsi="黑体" w:eastAsia="黑体"/>
          <w:b/>
          <w:sz w:val="32"/>
          <w:szCs w:val="32"/>
        </w:rPr>
        <w:t>一</w:t>
      </w:r>
      <w:r>
        <w:rPr>
          <w:rStyle w:val="33"/>
          <w:rFonts w:hint="eastAsia" w:ascii="黑体" w:hAnsi="黑体" w:eastAsia="黑体"/>
          <w:b w:val="0"/>
        </w:rPr>
        <w:t>般公共预算财政拨款支出决算情况说明</w:t>
      </w:r>
      <w:bookmarkEnd w:id="86"/>
      <w:bookmarkEnd w:id="87"/>
      <w:bookmarkEnd w:id="88"/>
    </w:p>
    <w:p w14:paraId="1A692744">
      <w:pPr>
        <w:spacing w:line="600" w:lineRule="exact"/>
        <w:ind w:firstLine="643" w:firstLineChars="200"/>
        <w:outlineLvl w:val="2"/>
        <w:rPr>
          <w:rFonts w:ascii="仿宋" w:hAnsi="仿宋" w:eastAsia="仿宋"/>
          <w:b/>
          <w:sz w:val="32"/>
          <w:szCs w:val="32"/>
        </w:rPr>
      </w:pPr>
      <w:bookmarkStart w:id="89" w:name="_Toc15377210"/>
      <w:r>
        <w:rPr>
          <w:rFonts w:hint="eastAsia" w:ascii="仿宋" w:hAnsi="仿宋" w:eastAsia="仿宋"/>
          <w:b/>
          <w:sz w:val="32"/>
          <w:szCs w:val="32"/>
        </w:rPr>
        <w:t>（一）一般公共预算财政拨款支出决算总体情况</w:t>
      </w:r>
      <w:bookmarkEnd w:id="89"/>
    </w:p>
    <w:p w14:paraId="6AB81551">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度一般公共预算财政拨款支出</w:t>
      </w:r>
      <w:r>
        <w:rPr>
          <w:rFonts w:hint="eastAsia" w:eastAsia="仿宋"/>
          <w:sz w:val="32"/>
          <w:szCs w:val="32"/>
          <w:lang w:val="en-US" w:eastAsia="zh-CN"/>
        </w:rPr>
        <w:t>697.42</w:t>
      </w:r>
      <w:r>
        <w:rPr>
          <w:rFonts w:hint="eastAsia" w:ascii="仿宋" w:hAnsi="仿宋" w:eastAsia="仿宋"/>
          <w:sz w:val="32"/>
          <w:szCs w:val="32"/>
        </w:rPr>
        <w:t>万元，占本年支出合计的</w:t>
      </w:r>
      <w:r>
        <w:rPr>
          <w:rFonts w:hint="eastAsia" w:eastAsia="仿宋"/>
          <w:sz w:val="32"/>
          <w:szCs w:val="32"/>
          <w:lang w:val="en-US" w:eastAsia="zh-CN"/>
        </w:rPr>
        <w:t>99.88</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2023年</w:t>
      </w:r>
      <w:r>
        <w:rPr>
          <w:rFonts w:hint="eastAsia" w:ascii="仿宋" w:hAnsi="仿宋" w:eastAsia="仿宋"/>
          <w:sz w:val="32"/>
          <w:szCs w:val="32"/>
        </w:rPr>
        <w:t>度相比，一般公共预算财政拨款支出</w:t>
      </w:r>
      <w:r>
        <w:rPr>
          <w:rFonts w:hint="eastAsia" w:ascii="仿宋" w:hAnsi="仿宋" w:eastAsia="仿宋"/>
          <w:sz w:val="32"/>
          <w:szCs w:val="32"/>
          <w:lang w:eastAsia="zh-CN"/>
        </w:rPr>
        <w:t>减少</w:t>
      </w:r>
      <w:r>
        <w:rPr>
          <w:rFonts w:hint="eastAsia" w:ascii="仿宋" w:hAnsi="仿宋" w:eastAsia="仿宋"/>
          <w:sz w:val="32"/>
          <w:szCs w:val="32"/>
          <w:lang w:val="en-US" w:eastAsia="zh-CN"/>
        </w:rPr>
        <w:t>355.53</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33.77</w:t>
      </w:r>
      <w:r>
        <w:rPr>
          <w:rFonts w:ascii="仿宋" w:hAnsi="仿宋" w:eastAsia="仿宋"/>
          <w:sz w:val="32"/>
          <w:szCs w:val="32"/>
        </w:rPr>
        <w:t>%</w:t>
      </w:r>
      <w:r>
        <w:rPr>
          <w:rFonts w:hint="eastAsia" w:ascii="仿宋" w:hAnsi="仿宋" w:eastAsia="仿宋"/>
          <w:sz w:val="32"/>
          <w:szCs w:val="32"/>
        </w:rPr>
        <w:t>。主要变动原因是减少了阿坝州成立70周年庆祝活动后勤保障经费及公用经费。</w:t>
      </w:r>
    </w:p>
    <w:p w14:paraId="2C4ACE9D">
      <w:pPr>
        <w:spacing w:line="600" w:lineRule="exact"/>
        <w:ind w:firstLine="640" w:firstLineChars="200"/>
        <w:rPr>
          <w:rFonts w:hint="eastAsia" w:ascii="仿宋" w:hAnsi="仿宋" w:eastAsia="仿宋"/>
          <w:sz w:val="32"/>
          <w:szCs w:val="32"/>
        </w:rPr>
      </w:pPr>
    </w:p>
    <w:p w14:paraId="3EE40D15">
      <w:pPr>
        <w:spacing w:line="600" w:lineRule="exact"/>
        <w:ind w:firstLine="640" w:firstLineChars="200"/>
        <w:rPr>
          <w:rFonts w:hint="eastAsia" w:ascii="仿宋" w:hAnsi="仿宋" w:eastAsia="仿宋"/>
          <w:sz w:val="32"/>
          <w:szCs w:val="32"/>
        </w:rPr>
      </w:pPr>
      <w:r>
        <w:rPr>
          <w:rFonts w:hint="eastAsia" w:ascii="仿宋_GB2312" w:hAnsi="仿宋_GB2312" w:eastAsia="仿宋_GB2312" w:cs="仿宋_GB2312"/>
          <w:sz w:val="32"/>
          <w:szCs w:val="32"/>
          <w:shd w:val="clear" w:color="auto" w:fill="FFFFFF"/>
          <w:lang w:eastAsia="zh-CN"/>
        </w:rPr>
        <w:pict>
          <v:shape id="_x0000_s1029" o:spid="_x0000_s1029" o:spt="75" alt="olechartimg_1663659424998520_765514752" type="#_x0000_t75" style="position:absolute;left:0pt;margin-left:59.55pt;margin-top:12.6pt;height:128.2pt;width:277.25pt;mso-wrap-distance-bottom:0pt;mso-wrap-distance-left:9pt;mso-wrap-distance-right:9pt;mso-wrap-distance-top:0pt;z-index:251660288;mso-width-relative:page;mso-height-relative:page;" o:ole="t" filled="f" o:preferrelative="t" stroked="f" coordsize="21600,21600">
            <v:path/>
            <v:fill on="f" focussize="0,0"/>
            <v:stroke on="f"/>
            <v:imagedata r:id="rId14" o:title="olechartimg_1757489098344875_1028687872"/>
            <o:lock v:ext="edit" aspectratio="t"/>
            <w10:wrap type="square"/>
          </v:shape>
          <o:OLEObject Type="Embed" ProgID="Excel.Chart.8" ShapeID="_x0000_s1029" DrawAspect="Content" ObjectID="_1468075728" r:id="rId13">
            <o:LockedField>false</o:LockedField>
          </o:OLEObject>
        </w:pict>
      </w:r>
    </w:p>
    <w:p w14:paraId="2BCBA2B8">
      <w:pPr>
        <w:spacing w:line="600" w:lineRule="exact"/>
        <w:ind w:firstLine="640" w:firstLineChars="200"/>
        <w:rPr>
          <w:rFonts w:hint="eastAsia" w:ascii="仿宋" w:hAnsi="仿宋" w:eastAsia="仿宋"/>
          <w:sz w:val="32"/>
          <w:szCs w:val="32"/>
        </w:rPr>
      </w:pPr>
    </w:p>
    <w:p w14:paraId="187B2A8D">
      <w:pPr>
        <w:spacing w:line="600" w:lineRule="exact"/>
        <w:rPr>
          <w:rFonts w:hint="eastAsia" w:ascii="仿宋" w:hAnsi="仿宋" w:eastAsia="仿宋"/>
          <w:sz w:val="32"/>
          <w:szCs w:val="32"/>
        </w:rPr>
      </w:pPr>
    </w:p>
    <w:p w14:paraId="3DAAEF84">
      <w:pPr>
        <w:spacing w:line="600" w:lineRule="exact"/>
        <w:jc w:val="both"/>
        <w:rPr>
          <w:rFonts w:hint="eastAsia" w:ascii="仿宋" w:hAnsi="仿宋" w:eastAsia="仿宋"/>
          <w:sz w:val="32"/>
          <w:szCs w:val="32"/>
        </w:rPr>
      </w:pPr>
    </w:p>
    <w:p w14:paraId="52D2703B">
      <w:pPr>
        <w:spacing w:line="600" w:lineRule="exact"/>
        <w:jc w:val="both"/>
        <w:rPr>
          <w:rFonts w:hint="eastAsia" w:ascii="仿宋" w:hAnsi="仿宋" w:eastAsia="仿宋"/>
          <w:sz w:val="32"/>
          <w:szCs w:val="32"/>
        </w:rPr>
      </w:pPr>
    </w:p>
    <w:p w14:paraId="09691BEA">
      <w:pPr>
        <w:spacing w:line="600" w:lineRule="exact"/>
        <w:jc w:val="center"/>
        <w:rPr>
          <w:rFonts w:hint="eastAsia" w:ascii="仿宋" w:hAnsi="仿宋" w:eastAsia="仿宋"/>
          <w:sz w:val="32"/>
          <w:szCs w:val="32"/>
          <w:lang w:eastAsia="zh-CN"/>
        </w:rPr>
      </w:pPr>
      <w:r>
        <w:rPr>
          <w:rFonts w:hint="eastAsia" w:ascii="仿宋" w:hAnsi="仿宋" w:eastAsia="仿宋"/>
          <w:sz w:val="32"/>
          <w:szCs w:val="32"/>
        </w:rPr>
        <w:t>（图5：一般公共预算财政拨款支出决算变动情况</w:t>
      </w:r>
      <w:r>
        <w:rPr>
          <w:rFonts w:hint="eastAsia" w:ascii="仿宋" w:hAnsi="仿宋" w:eastAsia="仿宋"/>
          <w:sz w:val="32"/>
          <w:szCs w:val="32"/>
          <w:lang w:eastAsia="zh-CN"/>
        </w:rPr>
        <w:t>）</w:t>
      </w:r>
    </w:p>
    <w:p w14:paraId="5ED17598">
      <w:pPr>
        <w:spacing w:line="600" w:lineRule="exact"/>
        <w:jc w:val="center"/>
        <w:rPr>
          <w:rFonts w:hint="eastAsia" w:ascii="仿宋" w:hAnsi="仿宋" w:eastAsia="仿宋"/>
          <w:sz w:val="32"/>
          <w:szCs w:val="32"/>
          <w:lang w:eastAsia="zh-CN"/>
        </w:rPr>
      </w:pPr>
      <w:r>
        <w:rPr>
          <w:rFonts w:hint="eastAsia" w:ascii="仿宋" w:hAnsi="仿宋" w:eastAsia="仿宋"/>
          <w:sz w:val="32"/>
          <w:szCs w:val="32"/>
        </w:rPr>
        <w:t>（柱状图）</w:t>
      </w:r>
    </w:p>
    <w:p w14:paraId="4B219A05">
      <w:pPr>
        <w:spacing w:line="600" w:lineRule="exact"/>
        <w:ind w:firstLine="643" w:firstLineChars="200"/>
        <w:outlineLvl w:val="2"/>
        <w:rPr>
          <w:rFonts w:ascii="仿宋" w:hAnsi="仿宋" w:eastAsia="仿宋"/>
          <w:b/>
          <w:sz w:val="32"/>
          <w:szCs w:val="32"/>
        </w:rPr>
      </w:pPr>
      <w:bookmarkStart w:id="90" w:name="_Toc15377211"/>
      <w:r>
        <w:rPr>
          <w:rFonts w:hint="eastAsia" w:ascii="仿宋" w:hAnsi="仿宋" w:eastAsia="仿宋"/>
          <w:b/>
          <w:sz w:val="32"/>
          <w:szCs w:val="32"/>
        </w:rPr>
        <w:t>（二）一般公共预算财政拨款支出决算结构情况</w:t>
      </w:r>
      <w:bookmarkEnd w:id="90"/>
    </w:p>
    <w:p w14:paraId="318F3157">
      <w:pPr>
        <w:spacing w:line="600" w:lineRule="exact"/>
        <w:ind w:firstLine="640"/>
        <w:rPr>
          <w:rFonts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度一般公共预算财政拨款支出</w:t>
      </w:r>
      <w:r>
        <w:rPr>
          <w:rFonts w:hint="eastAsia" w:eastAsia="仿宋"/>
          <w:sz w:val="32"/>
          <w:szCs w:val="32"/>
          <w:lang w:val="en-US" w:eastAsia="zh-CN"/>
        </w:rPr>
        <w:t>697.42</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b/>
          <w:bCs/>
          <w:sz w:val="32"/>
          <w:szCs w:val="32"/>
          <w:lang w:val="en-US" w:eastAsia="zh-CN"/>
        </w:rPr>
        <w:t>591.35</w:t>
      </w:r>
      <w:r>
        <w:rPr>
          <w:rFonts w:hint="eastAsia" w:ascii="仿宋" w:hAnsi="仿宋" w:eastAsia="仿宋"/>
          <w:sz w:val="32"/>
          <w:szCs w:val="32"/>
        </w:rPr>
        <w:t>万元，占</w:t>
      </w:r>
      <w:r>
        <w:rPr>
          <w:rFonts w:hint="eastAsia" w:ascii="仿宋" w:hAnsi="仿宋" w:eastAsia="仿宋"/>
          <w:sz w:val="32"/>
          <w:szCs w:val="32"/>
          <w:lang w:val="en-US" w:eastAsia="zh-CN"/>
        </w:rPr>
        <w:t>84.79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b/>
          <w:bCs/>
          <w:sz w:val="32"/>
          <w:szCs w:val="32"/>
          <w:lang w:val="en-US" w:eastAsia="zh-CN"/>
        </w:rPr>
        <w:t>54.34</w:t>
      </w:r>
      <w:r>
        <w:rPr>
          <w:rFonts w:hint="eastAsia" w:ascii="仿宋" w:hAnsi="仿宋" w:eastAsia="仿宋"/>
          <w:sz w:val="32"/>
          <w:szCs w:val="32"/>
        </w:rPr>
        <w:t>万元，占</w:t>
      </w:r>
      <w:r>
        <w:rPr>
          <w:rFonts w:hint="eastAsia" w:ascii="仿宋" w:hAnsi="仿宋" w:eastAsia="仿宋"/>
          <w:sz w:val="32"/>
          <w:szCs w:val="32"/>
          <w:lang w:val="en-US" w:eastAsia="zh-CN"/>
        </w:rPr>
        <w:t>7.79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b/>
          <w:bCs/>
          <w:sz w:val="32"/>
          <w:szCs w:val="32"/>
          <w:lang w:val="en-US" w:eastAsia="zh-CN"/>
        </w:rPr>
        <w:t>21.72</w:t>
      </w:r>
      <w:r>
        <w:rPr>
          <w:rFonts w:hint="eastAsia" w:ascii="仿宋" w:hAnsi="仿宋" w:eastAsia="仿宋"/>
          <w:sz w:val="32"/>
          <w:szCs w:val="32"/>
        </w:rPr>
        <w:t>万元，占</w:t>
      </w:r>
      <w:r>
        <w:rPr>
          <w:rFonts w:hint="eastAsia" w:ascii="仿宋" w:hAnsi="仿宋" w:eastAsia="仿宋"/>
          <w:sz w:val="32"/>
          <w:szCs w:val="32"/>
          <w:lang w:val="en-US" w:eastAsia="zh-CN"/>
        </w:rPr>
        <w:t>3.12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b/>
          <w:bCs/>
          <w:sz w:val="32"/>
          <w:szCs w:val="32"/>
          <w:lang w:val="en-US" w:eastAsia="zh-CN"/>
        </w:rPr>
        <w:t>30.01</w:t>
      </w:r>
      <w:r>
        <w:rPr>
          <w:rFonts w:hint="eastAsia" w:ascii="仿宋" w:hAnsi="仿宋" w:eastAsia="仿宋"/>
          <w:sz w:val="32"/>
          <w:szCs w:val="32"/>
        </w:rPr>
        <w:t>万元，占</w:t>
      </w:r>
      <w:r>
        <w:rPr>
          <w:rFonts w:hint="eastAsia" w:ascii="仿宋" w:hAnsi="仿宋" w:eastAsia="仿宋"/>
          <w:sz w:val="32"/>
          <w:szCs w:val="32"/>
          <w:lang w:val="en-US" w:eastAsia="zh-CN"/>
        </w:rPr>
        <w:t>4.30</w:t>
      </w:r>
      <w:r>
        <w:rPr>
          <w:rFonts w:ascii="仿宋" w:hAnsi="仿宋" w:eastAsia="仿宋"/>
          <w:sz w:val="32"/>
          <w:szCs w:val="32"/>
        </w:rPr>
        <w:t>%</w:t>
      </w:r>
      <w:r>
        <w:rPr>
          <w:rFonts w:hint="eastAsia" w:ascii="仿宋" w:hAnsi="仿宋" w:eastAsia="仿宋"/>
          <w:sz w:val="32"/>
          <w:szCs w:val="32"/>
        </w:rPr>
        <w:t>。</w:t>
      </w:r>
    </w:p>
    <w:p w14:paraId="17ED961F">
      <w:pPr>
        <w:spacing w:line="600" w:lineRule="exact"/>
        <w:ind w:firstLine="640"/>
        <w:rPr>
          <w:rFonts w:ascii="仿宋" w:hAnsi="仿宋" w:eastAsia="仿宋"/>
          <w:sz w:val="32"/>
          <w:szCs w:val="32"/>
        </w:rPr>
      </w:pPr>
      <w:r>
        <w:rPr>
          <w:rFonts w:hint="eastAsia" w:ascii="仿宋" w:hAnsi="仿宋" w:eastAsia="仿宋"/>
          <w:color w:val="000000"/>
          <w:sz w:val="32"/>
          <w:szCs w:val="32"/>
          <w:lang w:eastAsia="zh-CN"/>
        </w:rPr>
        <w:pict>
          <v:shape id="_x0000_s1030" o:spid="_x0000_s1030" o:spt="75" alt="olechartimg_1663662830244524_797237248" type="#_x0000_t75" style="position:absolute;left:0pt;margin-left:33.4pt;margin-top:25.15pt;height:147.75pt;width:335.85pt;mso-wrap-distance-bottom:0pt;mso-wrap-distance-left:9pt;mso-wrap-distance-right:9pt;mso-wrap-distance-top:0pt;z-index:251661312;mso-width-relative:page;mso-height-relative:page;" o:ole="t" filled="f" o:preferrelative="t" stroked="f" coordsize="21600,21600">
            <v:path/>
            <v:fill on="f" focussize="0,0"/>
            <v:stroke on="f"/>
            <v:imagedata r:id="rId16" o:title="olechartimg_1757552632149504_292339712"/>
            <o:lock v:ext="edit" aspectratio="t"/>
            <w10:wrap type="square"/>
          </v:shape>
          <o:OLEObject Type="Embed" ProgID="Excel.Chart.8" ShapeID="_x0000_s1030" DrawAspect="Content" ObjectID="_1468075729" r:id="rId15">
            <o:LockedField>false</o:LockedField>
          </o:OLEObject>
        </w:pict>
      </w:r>
    </w:p>
    <w:p w14:paraId="69DA5806">
      <w:pPr>
        <w:spacing w:line="600" w:lineRule="exact"/>
        <w:rPr>
          <w:rFonts w:hint="eastAsia" w:ascii="仿宋" w:hAnsi="仿宋" w:eastAsia="仿宋"/>
          <w:sz w:val="32"/>
          <w:szCs w:val="32"/>
        </w:rPr>
      </w:pPr>
    </w:p>
    <w:p w14:paraId="77CDB751">
      <w:pPr>
        <w:spacing w:line="600" w:lineRule="exact"/>
        <w:rPr>
          <w:rFonts w:hint="eastAsia" w:ascii="仿宋" w:hAnsi="仿宋" w:eastAsia="仿宋"/>
          <w:sz w:val="32"/>
          <w:szCs w:val="32"/>
        </w:rPr>
      </w:pPr>
    </w:p>
    <w:p w14:paraId="045471C7">
      <w:pPr>
        <w:spacing w:line="600" w:lineRule="exact"/>
        <w:rPr>
          <w:rFonts w:hint="eastAsia" w:ascii="仿宋" w:hAnsi="仿宋" w:eastAsia="仿宋"/>
          <w:sz w:val="32"/>
          <w:szCs w:val="32"/>
        </w:rPr>
      </w:pPr>
    </w:p>
    <w:p w14:paraId="60F5848A">
      <w:pPr>
        <w:spacing w:line="600" w:lineRule="exact"/>
        <w:rPr>
          <w:rFonts w:hint="eastAsia" w:ascii="仿宋" w:hAnsi="仿宋" w:eastAsia="仿宋"/>
          <w:sz w:val="32"/>
          <w:szCs w:val="32"/>
        </w:rPr>
      </w:pPr>
    </w:p>
    <w:p w14:paraId="545D4ABC">
      <w:pPr>
        <w:spacing w:line="600" w:lineRule="exact"/>
        <w:rPr>
          <w:rFonts w:hint="eastAsia" w:ascii="仿宋" w:hAnsi="仿宋" w:eastAsia="仿宋"/>
          <w:sz w:val="32"/>
          <w:szCs w:val="32"/>
        </w:rPr>
      </w:pPr>
    </w:p>
    <w:p w14:paraId="2465FFBB">
      <w:pPr>
        <w:spacing w:line="600" w:lineRule="exact"/>
        <w:rPr>
          <w:rFonts w:hint="eastAsia" w:ascii="仿宋" w:hAnsi="仿宋" w:eastAsia="仿宋"/>
          <w:sz w:val="32"/>
          <w:szCs w:val="32"/>
        </w:rPr>
      </w:pPr>
    </w:p>
    <w:p w14:paraId="0187B61E">
      <w:pPr>
        <w:spacing w:line="600" w:lineRule="exact"/>
        <w:rPr>
          <w:rFonts w:ascii="仿宋" w:hAnsi="仿宋" w:eastAsia="仿宋"/>
          <w:sz w:val="32"/>
          <w:szCs w:val="32"/>
        </w:rPr>
      </w:pPr>
      <w:r>
        <w:rPr>
          <w:rFonts w:hint="eastAsia" w:ascii="仿宋" w:hAnsi="仿宋" w:eastAsia="仿宋"/>
          <w:sz w:val="32"/>
          <w:szCs w:val="32"/>
        </w:rPr>
        <w:t>（图6：一般公共预算财政拨款支出决算结构）（饼状图）</w:t>
      </w:r>
    </w:p>
    <w:p w14:paraId="1F90486B">
      <w:pPr>
        <w:spacing w:line="600" w:lineRule="exact"/>
        <w:ind w:firstLine="643" w:firstLineChars="200"/>
        <w:outlineLvl w:val="2"/>
        <w:rPr>
          <w:rFonts w:ascii="仿宋" w:hAnsi="仿宋" w:eastAsia="仿宋"/>
          <w:b/>
          <w:sz w:val="32"/>
          <w:szCs w:val="32"/>
        </w:rPr>
      </w:pPr>
      <w:bookmarkStart w:id="91" w:name="_Toc15377212"/>
      <w:r>
        <w:rPr>
          <w:rFonts w:hint="eastAsia" w:ascii="仿宋" w:hAnsi="仿宋" w:eastAsia="仿宋"/>
          <w:b/>
          <w:sz w:val="32"/>
          <w:szCs w:val="32"/>
        </w:rPr>
        <w:t>（三）一般公共预算财政拨款支出决算具体情况</w:t>
      </w:r>
      <w:bookmarkEnd w:id="91"/>
    </w:p>
    <w:p w14:paraId="3E53CE57">
      <w:pPr>
        <w:spacing w:line="600" w:lineRule="exact"/>
        <w:ind w:firstLine="643" w:firstLineChars="200"/>
        <w:outlineLvl w:val="2"/>
        <w:rPr>
          <w:rFonts w:ascii="仿宋" w:hAnsi="仿宋" w:eastAsia="仿宋"/>
          <w:sz w:val="32"/>
          <w:szCs w:val="32"/>
        </w:rPr>
      </w:pPr>
      <w:bookmarkStart w:id="92" w:name="_Toc15377213"/>
      <w:bookmarkStart w:id="93" w:name="_Toc15378460"/>
      <w:bookmarkStart w:id="94" w:name="_Toc15377444"/>
      <w:r>
        <w:rPr>
          <w:rFonts w:hint="eastAsia" w:ascii="仿宋" w:hAnsi="仿宋" w:eastAsia="仿宋"/>
          <w:b/>
          <w:sz w:val="32"/>
          <w:szCs w:val="32"/>
          <w:lang w:eastAsia="zh-CN"/>
        </w:rPr>
        <w:t>2024年</w:t>
      </w:r>
      <w:r>
        <w:rPr>
          <w:rFonts w:hint="eastAsia" w:ascii="仿宋" w:hAnsi="仿宋" w:eastAsia="仿宋"/>
          <w:b/>
          <w:sz w:val="32"/>
          <w:szCs w:val="32"/>
        </w:rPr>
        <w:t>度一般公共预算支出决算数为</w:t>
      </w:r>
      <w:r>
        <w:rPr>
          <w:rFonts w:hint="eastAsia" w:eastAsia="仿宋"/>
          <w:sz w:val="32"/>
          <w:szCs w:val="32"/>
          <w:lang w:val="en-US" w:eastAsia="zh-CN"/>
        </w:rPr>
        <w:t>697.42</w:t>
      </w:r>
      <w:r>
        <w:rPr>
          <w:rFonts w:hint="eastAsia"/>
          <w:sz w:val="32"/>
          <w:szCs w:val="32"/>
          <w:lang w:eastAsia="zh-CN"/>
        </w:rPr>
        <w:t>万元</w:t>
      </w:r>
      <w:r>
        <w:rPr>
          <w:rFonts w:hint="eastAsia" w:ascii="仿宋" w:hAnsi="仿宋" w:eastAsia="仿宋"/>
          <w:sz w:val="32"/>
          <w:szCs w:val="32"/>
        </w:rPr>
        <w:t>，</w:t>
      </w:r>
      <w:r>
        <w:rPr>
          <w:rStyle w:val="21"/>
          <w:rFonts w:hint="eastAsia" w:ascii="仿宋" w:hAnsi="仿宋" w:eastAsia="仿宋"/>
          <w:bCs/>
          <w:sz w:val="32"/>
          <w:szCs w:val="32"/>
        </w:rPr>
        <w:t>完成预算</w:t>
      </w:r>
      <w:r>
        <w:rPr>
          <w:rStyle w:val="21"/>
          <w:rFonts w:hint="eastAsia" w:ascii="仿宋" w:hAnsi="仿宋" w:eastAsia="仿宋"/>
          <w:bCs/>
          <w:sz w:val="32"/>
          <w:szCs w:val="32"/>
          <w:lang w:val="en-US" w:eastAsia="zh-CN"/>
        </w:rPr>
        <w:t>100</w:t>
      </w:r>
      <w:r>
        <w:rPr>
          <w:rStyle w:val="21"/>
          <w:rFonts w:ascii="仿宋" w:hAnsi="仿宋" w:eastAsia="仿宋"/>
          <w:bCs/>
          <w:sz w:val="32"/>
          <w:szCs w:val="32"/>
        </w:rPr>
        <w:t>%</w:t>
      </w:r>
      <w:r>
        <w:rPr>
          <w:rStyle w:val="21"/>
          <w:rFonts w:hint="eastAsia" w:ascii="仿宋" w:hAnsi="仿宋" w:eastAsia="仿宋"/>
          <w:bCs/>
          <w:sz w:val="32"/>
          <w:szCs w:val="32"/>
        </w:rPr>
        <w:t>。其中：</w:t>
      </w:r>
      <w:bookmarkEnd w:id="92"/>
      <w:bookmarkEnd w:id="93"/>
      <w:bookmarkEnd w:id="94"/>
    </w:p>
    <w:p w14:paraId="1349D7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21"/>
          <w:rFonts w:hint="eastAsia" w:ascii="仿宋" w:hAnsi="仿宋" w:eastAsia="仿宋"/>
          <w:b w:val="0"/>
          <w:bCs/>
          <w:color w:val="000000"/>
          <w:sz w:val="32"/>
          <w:szCs w:val="32"/>
          <w:lang w:val="en-US" w:eastAsia="zh-CN"/>
        </w:rPr>
      </w:pPr>
      <w:r>
        <w:rPr>
          <w:rStyle w:val="21"/>
          <w:rFonts w:ascii="仿宋" w:hAnsi="仿宋" w:eastAsia="仿宋"/>
          <w:bCs/>
          <w:sz w:val="32"/>
          <w:szCs w:val="32"/>
        </w:rPr>
        <w:t>1.</w:t>
      </w:r>
      <w:r>
        <w:rPr>
          <w:rStyle w:val="21"/>
          <w:rFonts w:hint="eastAsia" w:ascii="仿宋" w:hAnsi="仿宋" w:eastAsia="仿宋"/>
          <w:bCs/>
          <w:color w:val="000000"/>
          <w:sz w:val="32"/>
          <w:szCs w:val="32"/>
        </w:rPr>
        <w:t>一般公共服务</w:t>
      </w:r>
      <w:r>
        <w:rPr>
          <w:rStyle w:val="21"/>
          <w:rFonts w:hint="eastAsia" w:ascii="仿宋" w:hAnsi="仿宋" w:eastAsia="仿宋"/>
          <w:bCs/>
          <w:color w:val="000000"/>
          <w:sz w:val="32"/>
          <w:szCs w:val="32"/>
          <w:lang w:eastAsia="zh-CN"/>
        </w:rPr>
        <w:t>支出</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591.35</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其中行政运行（</w:t>
      </w:r>
      <w:r>
        <w:rPr>
          <w:rStyle w:val="21"/>
          <w:rFonts w:hint="eastAsia" w:ascii="仿宋" w:hAnsi="仿宋" w:eastAsia="仿宋"/>
          <w:b w:val="0"/>
          <w:bCs/>
          <w:color w:val="000000"/>
          <w:sz w:val="32"/>
          <w:szCs w:val="32"/>
          <w:lang w:val="en-US" w:eastAsia="zh-CN"/>
        </w:rPr>
        <w:t>2013101）支出决算为386.49万元，完成预算数100%；一般行政管理事务（2013102）支出决算为204.86万元，完成预算数100%。</w:t>
      </w:r>
    </w:p>
    <w:p w14:paraId="5A3714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b/>
          <w:color w:val="000000"/>
          <w:sz w:val="32"/>
          <w:szCs w:val="32"/>
          <w:lang w:val="en-US" w:eastAsia="zh-CN"/>
        </w:rPr>
      </w:pPr>
      <w:r>
        <w:rPr>
          <w:rStyle w:val="21"/>
          <w:rFonts w:hint="eastAsia" w:ascii="仿宋" w:hAnsi="仿宋" w:eastAsia="仿宋"/>
          <w:bCs/>
          <w:sz w:val="32"/>
          <w:szCs w:val="32"/>
          <w:lang w:val="en-US" w:eastAsia="zh-CN"/>
        </w:rPr>
        <w:t>2</w:t>
      </w:r>
      <w:r>
        <w:rPr>
          <w:rStyle w:val="21"/>
          <w:rFonts w:ascii="仿宋" w:hAnsi="仿宋" w:eastAsia="仿宋"/>
          <w:bCs/>
          <w:sz w:val="32"/>
          <w:szCs w:val="32"/>
        </w:rPr>
        <w:t>.</w:t>
      </w:r>
      <w:r>
        <w:rPr>
          <w:rStyle w:val="21"/>
          <w:rFonts w:hint="eastAsia" w:ascii="仿宋" w:hAnsi="仿宋" w:eastAsia="仿宋"/>
          <w:bCs/>
          <w:color w:val="000000"/>
          <w:sz w:val="32"/>
          <w:szCs w:val="32"/>
        </w:rPr>
        <w:t>社会保障和就业</w:t>
      </w:r>
      <w:r>
        <w:rPr>
          <w:rStyle w:val="21"/>
          <w:rFonts w:hint="eastAsia" w:ascii="仿宋" w:hAnsi="仿宋" w:eastAsia="仿宋"/>
          <w:bCs/>
          <w:color w:val="000000"/>
          <w:sz w:val="32"/>
          <w:szCs w:val="32"/>
          <w:lang w:eastAsia="zh-CN"/>
        </w:rPr>
        <w:t>支出</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54.34</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其中机关事业单位基本养老保险缴费支出（</w:t>
      </w:r>
      <w:r>
        <w:rPr>
          <w:rStyle w:val="21"/>
          <w:rFonts w:hint="eastAsia" w:ascii="仿宋" w:hAnsi="仿宋" w:eastAsia="仿宋"/>
          <w:b w:val="0"/>
          <w:bCs/>
          <w:color w:val="000000"/>
          <w:sz w:val="32"/>
          <w:szCs w:val="32"/>
          <w:lang w:val="en-US" w:eastAsia="zh-CN"/>
        </w:rPr>
        <w:t>2080505）决算为36.22万元，完成预算数100%；</w:t>
      </w:r>
      <w:r>
        <w:rPr>
          <w:rStyle w:val="21"/>
          <w:rFonts w:hint="eastAsia" w:ascii="仿宋" w:hAnsi="仿宋" w:eastAsia="仿宋"/>
          <w:b w:val="0"/>
          <w:bCs/>
          <w:color w:val="000000"/>
          <w:sz w:val="32"/>
          <w:szCs w:val="32"/>
          <w:lang w:eastAsia="zh-CN"/>
        </w:rPr>
        <w:t>机关事业单位职业年金缴费支出（</w:t>
      </w:r>
      <w:r>
        <w:rPr>
          <w:rStyle w:val="21"/>
          <w:rFonts w:hint="eastAsia" w:ascii="仿宋" w:hAnsi="仿宋" w:eastAsia="仿宋"/>
          <w:b w:val="0"/>
          <w:bCs/>
          <w:color w:val="000000"/>
          <w:sz w:val="32"/>
          <w:szCs w:val="32"/>
          <w:lang w:val="en-US" w:eastAsia="zh-CN"/>
        </w:rPr>
        <w:t>2080506）决算为18.12万元，完成预算数100%。</w:t>
      </w:r>
    </w:p>
    <w:p w14:paraId="372AD5CA">
      <w:pPr>
        <w:spacing w:line="600" w:lineRule="exact"/>
        <w:ind w:firstLine="643" w:firstLineChars="200"/>
        <w:rPr>
          <w:rFonts w:hint="default" w:ascii="仿宋" w:hAnsi="仿宋" w:eastAsia="仿宋"/>
          <w:b/>
          <w:color w:val="000000"/>
          <w:sz w:val="32"/>
          <w:szCs w:val="32"/>
          <w:lang w:val="en-US" w:eastAsia="zh-CN"/>
        </w:rPr>
      </w:pPr>
      <w:r>
        <w:rPr>
          <w:rStyle w:val="21"/>
          <w:rFonts w:hint="eastAsia" w:ascii="仿宋" w:hAnsi="仿宋" w:eastAsia="仿宋"/>
          <w:bCs/>
          <w:sz w:val="32"/>
          <w:szCs w:val="32"/>
          <w:lang w:val="en-US" w:eastAsia="zh-CN"/>
        </w:rPr>
        <w:t>3</w:t>
      </w:r>
      <w:r>
        <w:rPr>
          <w:rStyle w:val="21"/>
          <w:rFonts w:ascii="仿宋" w:hAnsi="仿宋" w:eastAsia="仿宋"/>
          <w:bCs/>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lang w:eastAsia="zh-CN"/>
        </w:rPr>
        <w:t>支出</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21.72</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其中行政单位医疗（</w:t>
      </w:r>
      <w:r>
        <w:rPr>
          <w:rStyle w:val="21"/>
          <w:rFonts w:hint="eastAsia" w:ascii="仿宋" w:hAnsi="仿宋" w:eastAsia="仿宋"/>
          <w:b w:val="0"/>
          <w:bCs/>
          <w:color w:val="000000"/>
          <w:sz w:val="32"/>
          <w:szCs w:val="32"/>
          <w:lang w:val="en-US" w:eastAsia="zh-CN"/>
        </w:rPr>
        <w:t>2101101）支出决算为18万元，完成预算数100%；公务员医疗补助（2101103）支出决算为3.72万元，完成预算数100%。</w:t>
      </w:r>
    </w:p>
    <w:p w14:paraId="1FBF5A96">
      <w:pPr>
        <w:spacing w:line="600" w:lineRule="exact"/>
        <w:ind w:firstLine="643" w:firstLineChars="200"/>
        <w:rPr>
          <w:rFonts w:ascii="仿宋" w:hAnsi="仿宋" w:eastAsia="仿宋"/>
          <w:b/>
          <w:sz w:val="32"/>
          <w:szCs w:val="32"/>
        </w:rPr>
      </w:pPr>
      <w:r>
        <w:rPr>
          <w:rStyle w:val="21"/>
          <w:rFonts w:hint="eastAsia" w:ascii="仿宋" w:hAnsi="仿宋" w:eastAsia="仿宋"/>
          <w:bCs/>
          <w:color w:val="000000"/>
          <w:sz w:val="32"/>
          <w:szCs w:val="32"/>
          <w:lang w:val="en-US" w:eastAsia="zh-CN"/>
        </w:rPr>
        <w:t>4</w:t>
      </w:r>
      <w:r>
        <w:rPr>
          <w:rStyle w:val="21"/>
          <w:rFonts w:ascii="仿宋" w:hAnsi="仿宋" w:eastAsia="仿宋"/>
          <w:bCs/>
          <w:color w:val="000000"/>
          <w:sz w:val="32"/>
          <w:szCs w:val="32"/>
        </w:rPr>
        <w:t>.</w:t>
      </w:r>
      <w:r>
        <w:rPr>
          <w:rFonts w:hint="eastAsia" w:ascii="仿宋" w:hAnsi="仿宋" w:eastAsia="仿宋"/>
          <w:b/>
          <w:bCs/>
          <w:color w:val="000000"/>
          <w:sz w:val="32"/>
          <w:szCs w:val="32"/>
        </w:rPr>
        <w:t>住房保障</w:t>
      </w:r>
      <w:r>
        <w:rPr>
          <w:rStyle w:val="21"/>
          <w:rFonts w:hint="eastAsia" w:ascii="仿宋" w:hAnsi="仿宋" w:eastAsia="仿宋"/>
          <w:bCs/>
          <w:color w:val="000000"/>
          <w:sz w:val="32"/>
          <w:szCs w:val="32"/>
          <w:lang w:eastAsia="zh-CN"/>
        </w:rPr>
        <w:t>支出</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30.01</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其中住房公积金（</w:t>
      </w:r>
      <w:r>
        <w:rPr>
          <w:rStyle w:val="21"/>
          <w:rFonts w:hint="eastAsia" w:ascii="仿宋" w:hAnsi="仿宋" w:eastAsia="仿宋"/>
          <w:b w:val="0"/>
          <w:bCs/>
          <w:color w:val="000000"/>
          <w:sz w:val="32"/>
          <w:szCs w:val="32"/>
          <w:lang w:val="en-US" w:eastAsia="zh-CN"/>
        </w:rPr>
        <w:t>2210201）支出决算为30.01万元，完成预算数100%。</w:t>
      </w:r>
    </w:p>
    <w:p w14:paraId="7476AB81">
      <w:pPr>
        <w:tabs>
          <w:tab w:val="right" w:pos="8306"/>
        </w:tabs>
        <w:spacing w:line="600" w:lineRule="exact"/>
        <w:ind w:firstLine="640"/>
        <w:outlineLvl w:val="1"/>
        <w:rPr>
          <w:rStyle w:val="33"/>
        </w:rPr>
      </w:pPr>
      <w:bookmarkStart w:id="95" w:name="_Toc157518650_WPSOffice_Level2"/>
      <w:bookmarkStart w:id="96" w:name="_Toc15396608"/>
      <w:bookmarkStart w:id="97"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3"/>
          <w:rFonts w:hint="eastAsia" w:ascii="黑体" w:hAnsi="黑体" w:eastAsia="黑体"/>
          <w:b w:val="0"/>
        </w:rPr>
        <w:t>般公共预算财政拨款基本支出决算情况说明</w:t>
      </w:r>
      <w:bookmarkEnd w:id="95"/>
      <w:bookmarkEnd w:id="96"/>
      <w:bookmarkEnd w:id="97"/>
      <w:r>
        <w:rPr>
          <w:rStyle w:val="33"/>
          <w:rFonts w:ascii="黑体" w:hAnsi="黑体" w:eastAsia="黑体"/>
          <w:b w:val="0"/>
        </w:rPr>
        <w:tab/>
      </w:r>
    </w:p>
    <w:p w14:paraId="0F16CB4A">
      <w:pPr>
        <w:spacing w:line="600" w:lineRule="exact"/>
        <w:ind w:firstLine="645"/>
        <w:rPr>
          <w:rFonts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度一般公共预算财政拨款基本支出</w:t>
      </w:r>
      <w:r>
        <w:rPr>
          <w:rFonts w:hint="eastAsia" w:eastAsia="仿宋"/>
          <w:sz w:val="32"/>
          <w:szCs w:val="32"/>
          <w:lang w:val="en-US" w:eastAsia="zh-CN"/>
        </w:rPr>
        <w:t>492.56</w:t>
      </w:r>
      <w:r>
        <w:rPr>
          <w:rFonts w:hint="eastAsia" w:ascii="仿宋" w:hAnsi="仿宋" w:eastAsia="仿宋"/>
          <w:sz w:val="32"/>
          <w:szCs w:val="32"/>
        </w:rPr>
        <w:t>万元，其中：</w:t>
      </w:r>
    </w:p>
    <w:p w14:paraId="13C350A6">
      <w:pPr>
        <w:spacing w:line="600" w:lineRule="exact"/>
        <w:ind w:firstLine="645"/>
        <w:rPr>
          <w:rFonts w:ascii="仿宋" w:hAnsi="仿宋" w:eastAsia="仿宋"/>
          <w:b/>
          <w:sz w:val="32"/>
          <w:szCs w:val="32"/>
        </w:rPr>
      </w:pPr>
      <w:r>
        <w:rPr>
          <w:rFonts w:hint="eastAsia" w:ascii="仿宋" w:hAnsi="仿宋" w:eastAsia="仿宋"/>
          <w:sz w:val="32"/>
          <w:szCs w:val="32"/>
        </w:rPr>
        <w:t>人员经费</w:t>
      </w:r>
      <w:r>
        <w:rPr>
          <w:rFonts w:hint="eastAsia" w:eastAsia="仿宋"/>
          <w:sz w:val="32"/>
          <w:szCs w:val="32"/>
          <w:lang w:val="en-US" w:eastAsia="zh-CN"/>
        </w:rPr>
        <w:t>415.96</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lang w:val="en-US" w:eastAsia="zh-CN"/>
        </w:rPr>
        <w:t xml:space="preserve">   </w:t>
      </w:r>
      <w:r>
        <w:rPr>
          <w:rFonts w:hint="eastAsia" w:ascii="仿宋" w:hAnsi="仿宋" w:eastAsia="仿宋"/>
          <w:sz w:val="32"/>
          <w:szCs w:val="32"/>
        </w:rPr>
        <w:t>公用经费</w:t>
      </w:r>
      <w:r>
        <w:rPr>
          <w:rFonts w:hint="eastAsia" w:eastAsia="仿宋"/>
          <w:sz w:val="32"/>
          <w:szCs w:val="32"/>
          <w:lang w:val="en-US" w:eastAsia="zh-CN"/>
        </w:rPr>
        <w:t>76.6</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40C15B7">
      <w:pPr>
        <w:spacing w:line="600" w:lineRule="exact"/>
        <w:ind w:firstLine="640"/>
        <w:outlineLvl w:val="1"/>
        <w:rPr>
          <w:rStyle w:val="33"/>
          <w:rFonts w:ascii="黑体" w:hAnsi="黑体" w:eastAsia="黑体"/>
          <w:b w:val="0"/>
        </w:rPr>
      </w:pPr>
      <w:bookmarkStart w:id="98" w:name="_Toc1173817138_WPSOffice_Level2"/>
      <w:bookmarkStart w:id="99" w:name="_Toc15377215"/>
      <w:bookmarkStart w:id="100" w:name="_Toc15396609"/>
      <w:r>
        <w:rPr>
          <w:rFonts w:hint="eastAsia" w:ascii="黑体" w:eastAsia="黑体"/>
          <w:sz w:val="32"/>
          <w:szCs w:val="32"/>
        </w:rPr>
        <w:t>七、</w:t>
      </w:r>
      <w:r>
        <w:rPr>
          <w:rStyle w:val="33"/>
          <w:rFonts w:hint="eastAsia" w:ascii="黑体" w:hAnsi="黑体" w:eastAsia="黑体"/>
          <w:b w:val="0"/>
        </w:rPr>
        <w:t>财政拨款</w:t>
      </w:r>
      <w:r>
        <w:rPr>
          <w:rStyle w:val="33"/>
          <w:rFonts w:hint="eastAsia" w:ascii="黑体" w:hAnsi="黑体" w:eastAsia="黑体"/>
        </w:rPr>
        <w:t>“</w:t>
      </w:r>
      <w:r>
        <w:rPr>
          <w:rStyle w:val="33"/>
          <w:rFonts w:hint="eastAsia" w:ascii="黑体" w:hAnsi="黑体" w:eastAsia="黑体"/>
          <w:b w:val="0"/>
        </w:rPr>
        <w:t>三公”经费支出决算情况说明</w:t>
      </w:r>
      <w:bookmarkEnd w:id="98"/>
      <w:bookmarkEnd w:id="99"/>
      <w:bookmarkEnd w:id="100"/>
    </w:p>
    <w:p w14:paraId="251B20ED">
      <w:pPr>
        <w:spacing w:line="600" w:lineRule="exact"/>
        <w:ind w:firstLine="640"/>
        <w:outlineLvl w:val="2"/>
        <w:rPr>
          <w:rFonts w:ascii="仿宋" w:hAnsi="仿宋" w:eastAsia="仿宋"/>
          <w:b/>
          <w:sz w:val="32"/>
          <w:szCs w:val="32"/>
        </w:rPr>
      </w:pPr>
      <w:bookmarkStart w:id="101" w:name="_Toc15377216"/>
      <w:r>
        <w:rPr>
          <w:rFonts w:hint="eastAsia" w:ascii="仿宋" w:hAnsi="仿宋" w:eastAsia="仿宋"/>
          <w:b/>
          <w:sz w:val="32"/>
          <w:szCs w:val="32"/>
        </w:rPr>
        <w:t>（一）“三公”经费财政拨款支出决算总体情况说明</w:t>
      </w:r>
      <w:bookmarkEnd w:id="101"/>
    </w:p>
    <w:p w14:paraId="7A7D2FFF">
      <w:pPr>
        <w:spacing w:line="600" w:lineRule="exact"/>
        <w:ind w:firstLine="640"/>
        <w:rPr>
          <w:rFonts w:ascii="仿宋" w:hAnsi="仿宋" w:eastAsia="仿宋"/>
          <w:color w:val="000000"/>
          <w:sz w:val="32"/>
          <w:szCs w:val="32"/>
        </w:rPr>
      </w:pPr>
      <w:r>
        <w:rPr>
          <w:rFonts w:hint="eastAsia" w:ascii="仿宋" w:hAnsi="仿宋" w:eastAsia="仿宋"/>
          <w:sz w:val="32"/>
          <w:szCs w:val="32"/>
          <w:lang w:eastAsia="zh-CN"/>
        </w:rPr>
        <w:t>2024年</w:t>
      </w:r>
      <w:r>
        <w:rPr>
          <w:rFonts w:hint="eastAsia" w:ascii="仿宋" w:hAnsi="仿宋" w:eastAsia="仿宋"/>
          <w:sz w:val="32"/>
          <w:szCs w:val="32"/>
        </w:rPr>
        <w:t>度“三公”经费财政拨款支出决算为</w:t>
      </w:r>
      <w:r>
        <w:rPr>
          <w:rFonts w:hint="eastAsia" w:eastAsia="仿宋"/>
          <w:sz w:val="32"/>
          <w:szCs w:val="32"/>
          <w:lang w:val="en-US" w:eastAsia="zh-CN"/>
        </w:rPr>
        <w:t>203.4</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w:t>
      </w:r>
      <w:r>
        <w:rPr>
          <w:rFonts w:hint="eastAsia" w:ascii="仿宋" w:hAnsi="仿宋" w:eastAsia="仿宋"/>
          <w:sz w:val="32"/>
          <w:szCs w:val="32"/>
          <w:lang w:eastAsia="zh-CN"/>
        </w:rPr>
        <w:t>减少</w:t>
      </w:r>
      <w:r>
        <w:rPr>
          <w:rFonts w:hint="eastAsia" w:ascii="仿宋" w:hAnsi="仿宋" w:eastAsia="仿宋"/>
          <w:sz w:val="32"/>
          <w:szCs w:val="32"/>
          <w:lang w:val="en-US" w:eastAsia="zh-CN"/>
        </w:rPr>
        <w:t>236.46</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53.76</w:t>
      </w:r>
      <w:r>
        <w:rPr>
          <w:rFonts w:hint="eastAsia" w:ascii="仿宋" w:hAnsi="仿宋" w:eastAsia="仿宋"/>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与</w:t>
      </w:r>
      <w:r>
        <w:rPr>
          <w:rFonts w:hint="eastAsia" w:ascii="仿宋" w:hAnsi="仿宋" w:eastAsia="仿宋"/>
          <w:color w:val="000000"/>
          <w:sz w:val="32"/>
          <w:szCs w:val="32"/>
        </w:rPr>
        <w:t>预算数持平的主要原因是合理规划使用。</w:t>
      </w:r>
    </w:p>
    <w:p w14:paraId="031198E8">
      <w:pPr>
        <w:spacing w:line="600" w:lineRule="exact"/>
        <w:ind w:firstLine="640"/>
        <w:outlineLvl w:val="2"/>
        <w:rPr>
          <w:rFonts w:ascii="仿宋" w:hAnsi="仿宋" w:eastAsia="仿宋"/>
          <w:b/>
          <w:sz w:val="32"/>
          <w:szCs w:val="32"/>
        </w:rPr>
      </w:pPr>
      <w:bookmarkStart w:id="102" w:name="_Toc15377217"/>
      <w:r>
        <w:rPr>
          <w:rFonts w:hint="eastAsia" w:ascii="仿宋" w:hAnsi="仿宋" w:eastAsia="仿宋"/>
          <w:b/>
          <w:sz w:val="32"/>
          <w:szCs w:val="32"/>
        </w:rPr>
        <w:t>（二）“三公”经费财政拨款支出决算具体情况说明</w:t>
      </w:r>
      <w:bookmarkEnd w:id="102"/>
    </w:p>
    <w:p w14:paraId="364C25D9">
      <w:pPr>
        <w:spacing w:line="600" w:lineRule="exact"/>
        <w:ind w:firstLine="640"/>
        <w:rPr>
          <w:rFonts w:hint="eastAsia"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31.41</w:t>
      </w:r>
      <w:r>
        <w:rPr>
          <w:rFonts w:hint="eastAsia" w:ascii="仿宋" w:hAnsi="仿宋" w:eastAsia="仿宋"/>
          <w:sz w:val="32"/>
          <w:szCs w:val="32"/>
        </w:rPr>
        <w:t>万元，占</w:t>
      </w:r>
      <w:r>
        <w:rPr>
          <w:rFonts w:hint="eastAsia" w:eastAsia="仿宋"/>
          <w:sz w:val="32"/>
          <w:szCs w:val="32"/>
          <w:lang w:val="en-US" w:eastAsia="zh-CN"/>
        </w:rPr>
        <w:t>15.44</w:t>
      </w:r>
      <w:r>
        <w:rPr>
          <w:rFonts w:ascii="仿宋" w:hAnsi="仿宋" w:eastAsia="仿宋"/>
          <w:sz w:val="32"/>
          <w:szCs w:val="32"/>
        </w:rPr>
        <w:t>%</w:t>
      </w:r>
      <w:r>
        <w:rPr>
          <w:rFonts w:hint="eastAsia" w:ascii="仿宋" w:hAnsi="仿宋" w:eastAsia="仿宋"/>
          <w:sz w:val="32"/>
          <w:szCs w:val="32"/>
        </w:rPr>
        <w:t>；公务接待费支出决算</w:t>
      </w:r>
      <w:r>
        <w:rPr>
          <w:rFonts w:hint="eastAsia" w:eastAsia="仿宋"/>
          <w:sz w:val="32"/>
          <w:szCs w:val="32"/>
          <w:lang w:val="en-US" w:eastAsia="zh-CN"/>
        </w:rPr>
        <w:t>171.99</w:t>
      </w:r>
      <w:r>
        <w:rPr>
          <w:rFonts w:hint="eastAsia" w:ascii="仿宋" w:hAnsi="仿宋" w:eastAsia="仿宋"/>
          <w:sz w:val="32"/>
          <w:szCs w:val="32"/>
        </w:rPr>
        <w:t>万元，占</w:t>
      </w:r>
      <w:r>
        <w:rPr>
          <w:rFonts w:hint="eastAsia" w:eastAsia="仿宋"/>
          <w:sz w:val="32"/>
          <w:szCs w:val="32"/>
          <w:lang w:val="en-US" w:eastAsia="zh-CN"/>
        </w:rPr>
        <w:t>84.56</w:t>
      </w:r>
      <w:r>
        <w:rPr>
          <w:rFonts w:ascii="仿宋" w:hAnsi="仿宋" w:eastAsia="仿宋"/>
          <w:sz w:val="32"/>
          <w:szCs w:val="32"/>
        </w:rPr>
        <w:t>%</w:t>
      </w:r>
      <w:r>
        <w:rPr>
          <w:rFonts w:hint="eastAsia" w:ascii="仿宋" w:hAnsi="仿宋" w:eastAsia="仿宋"/>
          <w:sz w:val="32"/>
          <w:szCs w:val="32"/>
        </w:rPr>
        <w:t>。具体情况如下：</w:t>
      </w:r>
    </w:p>
    <w:p w14:paraId="391F9A8C">
      <w:pPr>
        <w:spacing w:line="600" w:lineRule="exact"/>
        <w:ind w:firstLine="640"/>
        <w:jc w:val="center"/>
        <w:rPr>
          <w:rFonts w:ascii="仿宋" w:hAnsi="仿宋" w:eastAsia="仿宋"/>
          <w:sz w:val="32"/>
          <w:szCs w:val="32"/>
        </w:rPr>
      </w:pPr>
      <w:r>
        <w:rPr>
          <w:rFonts w:hint="eastAsia" w:ascii="仿宋" w:hAnsi="仿宋" w:eastAsia="仿宋"/>
          <w:color w:val="000000"/>
          <w:sz w:val="32"/>
          <w:szCs w:val="32"/>
          <w:lang w:eastAsia="zh-CN"/>
        </w:rPr>
        <w:pict>
          <v:shape id="_x0000_s1031" o:spid="_x0000_s1031" o:spt="75" alt="olechartimg_1663665223991526_797242368" type="#_x0000_t75" style="position:absolute;left:0pt;margin-left:22.65pt;margin-top:15.2pt;height:204.55pt;width:424.45pt;mso-wrap-distance-bottom:0pt;mso-wrap-distance-left:9pt;mso-wrap-distance-right:9pt;mso-wrap-distance-top:0pt;z-index:251662336;mso-width-relative:page;mso-height-relative:page;" o:ole="t" filled="f" o:preferrelative="t" stroked="f" coordsize="21600,21600">
            <v:path/>
            <v:fill on="f" focussize="0,0"/>
            <v:stroke on="f"/>
            <v:imagedata r:id="rId18" o:title="olechartimg_1757553903714659_1028687872"/>
            <o:lock v:ext="edit" aspectratio="t"/>
            <w10:wrap type="square"/>
          </v:shape>
          <o:OLEObject Type="Embed" ProgID="Excel.Chart.8" ShapeID="_x0000_s1031" DrawAspect="Content" ObjectID="_1468075730" r:id="rId17">
            <o:LockedField>false</o:LockedField>
          </o:OLEObject>
        </w:pict>
      </w:r>
      <w:r>
        <w:rPr>
          <w:rFonts w:hint="eastAsia" w:ascii="仿宋" w:hAnsi="仿宋" w:eastAsia="仿宋"/>
          <w:sz w:val="32"/>
          <w:szCs w:val="32"/>
        </w:rPr>
        <w:t>（图7：“三公”经费财政拨款支出结构）（饼状图）</w:t>
      </w:r>
    </w:p>
    <w:p w14:paraId="63192501">
      <w:pPr>
        <w:spacing w:line="600" w:lineRule="exact"/>
        <w:ind w:firstLine="640"/>
        <w:rPr>
          <w:rFonts w:hint="eastAsia" w:ascii="仿宋_GB2312" w:eastAsia="仿宋_GB2312"/>
          <w:color w:val="000000"/>
          <w:sz w:val="32"/>
          <w:szCs w:val="32"/>
          <w:lang w:val="en-US" w:eastAsia="zh-CN"/>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1"/>
          <w:rFonts w:hint="eastAsia" w:ascii="仿宋" w:hAnsi="仿宋" w:eastAsia="仿宋"/>
          <w:b w:val="0"/>
          <w:bCs/>
          <w:sz w:val="32"/>
          <w:szCs w:val="32"/>
        </w:rPr>
        <w:t>完成预算</w:t>
      </w:r>
      <w:r>
        <w:rPr>
          <w:sz w:val="32"/>
          <w:szCs w:val="32"/>
        </w:rPr>
        <w:t>0</w:t>
      </w:r>
      <w:r>
        <w:rPr>
          <w:rStyle w:val="21"/>
          <w:rFonts w:ascii="仿宋" w:hAnsi="仿宋" w:eastAsia="仿宋"/>
          <w:b w:val="0"/>
          <w:bCs/>
          <w:sz w:val="32"/>
          <w:szCs w:val="32"/>
        </w:rPr>
        <w:t>%</w:t>
      </w:r>
      <w:r>
        <w:rPr>
          <w:rStyle w:val="21"/>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w:t>
      </w:r>
      <w:r>
        <w:rPr>
          <w:rFonts w:hint="eastAsia" w:ascii="仿宋_GB2312" w:eastAsia="仿宋_GB2312"/>
          <w:sz w:val="32"/>
          <w:szCs w:val="32"/>
          <w:lang w:eastAsia="zh-CN"/>
        </w:rPr>
        <w:t>2023年</w:t>
      </w:r>
      <w:r>
        <w:rPr>
          <w:rFonts w:hint="eastAsia" w:ascii="仿宋_GB2312" w:eastAsia="仿宋_GB2312"/>
          <w:sz w:val="32"/>
          <w:szCs w:val="32"/>
        </w:rPr>
        <w:t>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color w:val="000000"/>
          <w:sz w:val="32"/>
          <w:szCs w:val="32"/>
          <w:lang w:val="en-US" w:eastAsia="zh-CN"/>
        </w:rPr>
        <w:t>我中心不涉及因公出国（境）经费支出。</w:t>
      </w:r>
    </w:p>
    <w:p w14:paraId="217D0DCD">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31.41</w:t>
      </w:r>
      <w:r>
        <w:rPr>
          <w:rFonts w:hint="eastAsia" w:ascii="仿宋_GB2312" w:eastAsia="仿宋_GB2312"/>
          <w:sz w:val="32"/>
          <w:szCs w:val="32"/>
        </w:rPr>
        <w:t>万元,</w:t>
      </w:r>
      <w:r>
        <w:rPr>
          <w:rStyle w:val="21"/>
          <w:rFonts w:hint="eastAsia" w:ascii="仿宋" w:hAnsi="仿宋" w:eastAsia="仿宋"/>
          <w:b w:val="0"/>
          <w:bCs/>
          <w:sz w:val="32"/>
          <w:szCs w:val="32"/>
        </w:rPr>
        <w:t>完成预算</w:t>
      </w:r>
      <w:r>
        <w:rPr>
          <w:sz w:val="32"/>
          <w:szCs w:val="32"/>
        </w:rPr>
        <w:t>100</w:t>
      </w:r>
      <w:r>
        <w:rPr>
          <w:rStyle w:val="21"/>
          <w:rFonts w:ascii="仿宋" w:hAnsi="仿宋" w:eastAsia="仿宋"/>
          <w:b w:val="0"/>
          <w:bCs/>
          <w:sz w:val="32"/>
          <w:szCs w:val="32"/>
        </w:rPr>
        <w:t>%</w:t>
      </w:r>
      <w:r>
        <w:rPr>
          <w:rStyle w:val="21"/>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hint="eastAsia" w:ascii="仿宋_GB2312" w:eastAsia="仿宋_GB2312"/>
          <w:sz w:val="32"/>
          <w:szCs w:val="32"/>
          <w:lang w:eastAsia="zh-CN"/>
        </w:rPr>
        <w:t>2023年</w:t>
      </w:r>
      <w:r>
        <w:rPr>
          <w:rFonts w:hint="eastAsia" w:ascii="仿宋_GB2312" w:eastAsia="仿宋_GB2312"/>
          <w:sz w:val="32"/>
          <w:szCs w:val="32"/>
        </w:rPr>
        <w:t>度减少</w:t>
      </w:r>
      <w:r>
        <w:rPr>
          <w:rFonts w:hint="eastAsia" w:ascii="仿宋_GB2312" w:eastAsia="仿宋_GB2312"/>
          <w:sz w:val="32"/>
          <w:szCs w:val="32"/>
          <w:lang w:val="en-US" w:eastAsia="zh-CN"/>
        </w:rPr>
        <w:t>0.15</w:t>
      </w:r>
      <w:r>
        <w:rPr>
          <w:rFonts w:hint="eastAsia" w:ascii="仿宋_GB2312" w:eastAsia="仿宋_GB2312"/>
          <w:sz w:val="32"/>
          <w:szCs w:val="32"/>
        </w:rPr>
        <w:t>万元，下降</w:t>
      </w:r>
      <w:r>
        <w:rPr>
          <w:rFonts w:hint="eastAsia" w:ascii="仿宋_GB2312" w:eastAsia="仿宋_GB2312"/>
          <w:sz w:val="32"/>
          <w:szCs w:val="32"/>
          <w:lang w:val="en-US" w:eastAsia="zh-CN"/>
        </w:rPr>
        <w:t>0.47</w:t>
      </w:r>
      <w:r>
        <w:rPr>
          <w:rFonts w:ascii="仿宋_GB2312" w:eastAsia="仿宋_GB2312"/>
          <w:sz w:val="32"/>
          <w:szCs w:val="32"/>
        </w:rPr>
        <w:t>%</w:t>
      </w:r>
      <w:r>
        <w:rPr>
          <w:rFonts w:hint="eastAsia" w:ascii="仿宋_GB2312" w:eastAsia="仿宋_GB2312"/>
          <w:sz w:val="32"/>
          <w:szCs w:val="32"/>
        </w:rPr>
        <w:t>。主要原因是厉行节约。</w:t>
      </w:r>
    </w:p>
    <w:p w14:paraId="23E3EC1C">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hint="eastAsia" w:ascii="仿宋_GB2312" w:eastAsia="仿宋_GB2312"/>
          <w:sz w:val="32"/>
          <w:szCs w:val="32"/>
          <w:lang w:eastAsia="zh-CN"/>
        </w:rPr>
        <w:t>2024年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3</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3</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024C75DD">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eastAsia="仿宋_GB2312"/>
          <w:sz w:val="32"/>
          <w:szCs w:val="32"/>
          <w:lang w:val="en-US" w:eastAsia="zh-CN"/>
        </w:rPr>
        <w:t>31.41</w:t>
      </w:r>
      <w:r>
        <w:rPr>
          <w:rFonts w:hint="eastAsia" w:ascii="仿宋_GB2312" w:eastAsia="仿宋_GB2312"/>
          <w:sz w:val="32"/>
          <w:szCs w:val="32"/>
        </w:rPr>
        <w:t>万元。</w:t>
      </w:r>
      <w:r>
        <w:rPr>
          <w:rFonts w:hint="eastAsia" w:ascii="仿宋_GB2312" w:eastAsia="仿宋_GB2312"/>
          <w:color w:val="000000"/>
          <w:sz w:val="32"/>
          <w:szCs w:val="32"/>
        </w:rPr>
        <w:t>主要用于中心前往各县（市）开展公务服务</w:t>
      </w:r>
      <w:r>
        <w:rPr>
          <w:rFonts w:hint="eastAsia" w:ascii="仿宋_GB2312" w:eastAsia="仿宋_GB2312"/>
          <w:sz w:val="32"/>
          <w:szCs w:val="32"/>
        </w:rPr>
        <w:t>等所需的公务用车燃料费、维修费、过路过桥费、保险费等支出。</w:t>
      </w:r>
    </w:p>
    <w:p w14:paraId="1B0B6027">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eastAsia="仿宋_GB2312"/>
          <w:sz w:val="32"/>
          <w:szCs w:val="32"/>
          <w:lang w:val="en-US" w:eastAsia="zh-CN"/>
        </w:rPr>
        <w:t>171.99</w:t>
      </w:r>
      <w:r>
        <w:rPr>
          <w:rFonts w:hint="eastAsia" w:ascii="仿宋_GB2312" w:eastAsia="仿宋_GB2312"/>
          <w:sz w:val="32"/>
          <w:szCs w:val="32"/>
        </w:rPr>
        <w:t>万元，</w:t>
      </w:r>
      <w:r>
        <w:rPr>
          <w:rStyle w:val="21"/>
          <w:rFonts w:hint="eastAsia" w:ascii="仿宋" w:hAnsi="仿宋" w:eastAsia="仿宋"/>
          <w:b w:val="0"/>
          <w:bCs/>
          <w:sz w:val="32"/>
          <w:szCs w:val="32"/>
        </w:rPr>
        <w:t>完成预算</w:t>
      </w:r>
      <w:r>
        <w:rPr>
          <w:sz w:val="32"/>
          <w:szCs w:val="32"/>
        </w:rPr>
        <w:t>100%</w:t>
      </w:r>
      <w:r>
        <w:rPr>
          <w:rStyle w:val="21"/>
          <w:rFonts w:hint="eastAsia" w:ascii="仿宋" w:hAnsi="仿宋" w:eastAsia="仿宋"/>
          <w:b w:val="0"/>
          <w:bCs/>
          <w:sz w:val="32"/>
          <w:szCs w:val="32"/>
        </w:rPr>
        <w:t>。</w:t>
      </w:r>
      <w:r>
        <w:rPr>
          <w:rFonts w:hint="eastAsia" w:ascii="仿宋_GB2312" w:eastAsia="仿宋_GB2312"/>
          <w:sz w:val="32"/>
          <w:szCs w:val="32"/>
        </w:rPr>
        <w:t>公务接待费支出决算比</w:t>
      </w:r>
      <w:r>
        <w:rPr>
          <w:rFonts w:hint="eastAsia" w:ascii="仿宋_GB2312" w:eastAsia="仿宋_GB2312"/>
          <w:sz w:val="32"/>
          <w:szCs w:val="32"/>
          <w:lang w:eastAsia="zh-CN"/>
        </w:rPr>
        <w:t>2023年</w:t>
      </w:r>
      <w:r>
        <w:rPr>
          <w:rFonts w:hint="eastAsia" w:ascii="仿宋_GB2312" w:eastAsia="仿宋_GB2312"/>
          <w:sz w:val="32"/>
          <w:szCs w:val="32"/>
        </w:rPr>
        <w:t>度</w:t>
      </w:r>
      <w:r>
        <w:rPr>
          <w:rFonts w:hint="eastAsia" w:ascii="仿宋_GB2312" w:eastAsia="仿宋_GB2312"/>
          <w:sz w:val="32"/>
          <w:szCs w:val="32"/>
          <w:lang w:eastAsia="zh-CN"/>
        </w:rPr>
        <w:t>减少</w:t>
      </w:r>
      <w:r>
        <w:rPr>
          <w:rFonts w:hint="eastAsia" w:ascii="仿宋_GB2312" w:eastAsia="仿宋_GB2312"/>
          <w:sz w:val="32"/>
          <w:szCs w:val="32"/>
          <w:lang w:val="en-US" w:eastAsia="zh-CN"/>
        </w:rPr>
        <w:t>236.31</w:t>
      </w:r>
      <w:r>
        <w:rPr>
          <w:rFonts w:hint="eastAsia" w:ascii="仿宋_GB2312" w:eastAsia="仿宋_GB2312"/>
          <w:sz w:val="32"/>
          <w:szCs w:val="32"/>
        </w:rPr>
        <w:t>万元，</w:t>
      </w:r>
      <w:r>
        <w:rPr>
          <w:rFonts w:hint="eastAsia" w:ascii="仿宋_GB2312" w:eastAsia="仿宋_GB2312"/>
          <w:sz w:val="32"/>
          <w:szCs w:val="32"/>
          <w:lang w:eastAsia="zh-CN"/>
        </w:rPr>
        <w:t>下降</w:t>
      </w:r>
      <w:r>
        <w:rPr>
          <w:rFonts w:hint="eastAsia" w:ascii="仿宋_GB2312" w:eastAsia="仿宋_GB2312"/>
          <w:sz w:val="32"/>
          <w:szCs w:val="32"/>
          <w:lang w:val="en-US" w:eastAsia="zh-CN"/>
        </w:rPr>
        <w:t>57.88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2023年将阿坝州成立70周年庆祝活动后勤保障经费餐饮、住宿在此科目列支</w:t>
      </w:r>
      <w:r>
        <w:rPr>
          <w:rFonts w:hint="eastAsia" w:ascii="仿宋_GB2312" w:eastAsia="仿宋_GB2312"/>
          <w:sz w:val="32"/>
          <w:szCs w:val="32"/>
        </w:rPr>
        <w:t>。其中：</w:t>
      </w:r>
    </w:p>
    <w:p w14:paraId="0BA19CF9">
      <w:pPr>
        <w:spacing w:line="600" w:lineRule="exact"/>
        <w:ind w:firstLine="640"/>
        <w:rPr>
          <w:rFonts w:hint="eastAsia" w:ascii="仿宋_GB2312" w:eastAsia="仿宋_GB2312"/>
          <w:color w:val="000000"/>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171.99</w:t>
      </w:r>
      <w:r>
        <w:rPr>
          <w:rFonts w:hint="eastAsia" w:ascii="仿宋_GB2312" w:eastAsia="仿宋_GB2312"/>
          <w:sz w:val="32"/>
          <w:szCs w:val="32"/>
        </w:rPr>
        <w:t>万元，</w:t>
      </w:r>
      <w:r>
        <w:rPr>
          <w:rFonts w:hint="eastAsia" w:ascii="仿宋_GB2312" w:eastAsia="仿宋_GB2312"/>
          <w:color w:val="000000"/>
          <w:sz w:val="32"/>
          <w:szCs w:val="32"/>
        </w:rPr>
        <w:t>主要用于各级重大公务活动的服务保障工作，州委、州政府交办的外事接待、招商引资、大型会议、活动的接待服务保障工作和州委、州政府交办的其他任务开支</w:t>
      </w:r>
      <w:r>
        <w:rPr>
          <w:rFonts w:hint="eastAsia" w:ascii="仿宋_GB2312" w:eastAsia="仿宋_GB2312"/>
          <w:sz w:val="32"/>
          <w:szCs w:val="32"/>
        </w:rPr>
        <w:t>。国内公务接待</w:t>
      </w:r>
      <w:r>
        <w:rPr>
          <w:rFonts w:hint="eastAsia" w:ascii="仿宋_GB2312" w:eastAsia="仿宋_GB2312"/>
          <w:sz w:val="32"/>
          <w:szCs w:val="32"/>
          <w:lang w:val="en-US" w:eastAsia="zh-CN"/>
        </w:rPr>
        <w:t>108</w:t>
      </w:r>
      <w:r>
        <w:rPr>
          <w:rFonts w:hint="eastAsia" w:ascii="仿宋_GB2312" w:eastAsia="仿宋_GB2312"/>
          <w:sz w:val="32"/>
          <w:szCs w:val="32"/>
        </w:rPr>
        <w:t>批次，</w:t>
      </w:r>
      <w:r>
        <w:rPr>
          <w:rFonts w:hint="eastAsia" w:ascii="仿宋_GB2312" w:eastAsia="仿宋_GB2312"/>
          <w:sz w:val="32"/>
          <w:szCs w:val="32"/>
          <w:lang w:val="en-US" w:eastAsia="zh-CN"/>
        </w:rPr>
        <w:t>2020</w:t>
      </w:r>
      <w:r>
        <w:rPr>
          <w:rFonts w:hint="eastAsia" w:ascii="仿宋_GB2312" w:eastAsia="仿宋_GB2312"/>
          <w:sz w:val="32"/>
          <w:szCs w:val="32"/>
        </w:rPr>
        <w:t>人次，共计支出</w:t>
      </w:r>
      <w:r>
        <w:rPr>
          <w:rFonts w:hint="eastAsia" w:ascii="仿宋_GB2312" w:eastAsia="仿宋_GB2312"/>
          <w:sz w:val="32"/>
          <w:szCs w:val="32"/>
          <w:lang w:val="en-US" w:eastAsia="zh-CN"/>
        </w:rPr>
        <w:t>171.99</w:t>
      </w:r>
      <w:r>
        <w:rPr>
          <w:rFonts w:hint="eastAsia" w:ascii="仿宋_GB2312" w:eastAsia="仿宋_GB2312"/>
          <w:sz w:val="32"/>
          <w:szCs w:val="32"/>
        </w:rPr>
        <w:t>万元，具体内容包括：</w:t>
      </w:r>
      <w:r>
        <w:rPr>
          <w:rFonts w:hint="eastAsia" w:ascii="仿宋_GB2312" w:eastAsia="仿宋_GB2312"/>
          <w:color w:val="000000"/>
          <w:sz w:val="32"/>
          <w:szCs w:val="32"/>
          <w:lang w:val="en-US" w:eastAsia="zh-CN"/>
        </w:rPr>
        <w:t>245任务、24-90任务和2024年四川省“冬游四川”启动仪式、第五届黄河流域生态保护和高质量发展省际合作联席会议现场观摩调研会、阿坝州加强牧区教育发展现场推进会、阿坝州建设国际生态文化旅游目的地推进大会等全州大型活动及阿坝州党政代表团赴浙江、甘孜州考察学习</w:t>
      </w:r>
      <w:r>
        <w:rPr>
          <w:rFonts w:hint="default" w:ascii="仿宋_GB2312" w:eastAsia="仿宋_GB2312"/>
          <w:color w:val="000000"/>
          <w:sz w:val="32"/>
          <w:szCs w:val="32"/>
          <w:lang w:val="en-US" w:eastAsia="zh-CN"/>
        </w:rPr>
        <w:t>活动等重要活动</w:t>
      </w:r>
      <w:r>
        <w:rPr>
          <w:rFonts w:hint="eastAsia" w:ascii="仿宋_GB2312" w:eastAsia="仿宋_GB2312"/>
          <w:color w:val="000000"/>
          <w:sz w:val="32"/>
          <w:szCs w:val="32"/>
          <w:lang w:val="en-US" w:eastAsia="zh-CN"/>
        </w:rPr>
        <w:t>后勤保障支出171.99万元</w:t>
      </w:r>
      <w:r>
        <w:rPr>
          <w:rFonts w:hint="eastAsia" w:ascii="仿宋_GB2312" w:eastAsia="仿宋_GB2312"/>
          <w:color w:val="000000"/>
          <w:sz w:val="32"/>
          <w:szCs w:val="32"/>
        </w:rPr>
        <w:t>）。</w:t>
      </w:r>
    </w:p>
    <w:p w14:paraId="796C4089">
      <w:pPr>
        <w:pStyle w:val="39"/>
        <w:spacing w:line="566" w:lineRule="exact"/>
        <w:ind w:left="420" w:leftChars="200" w:firstLine="321" w:firstLineChars="100"/>
        <w:outlineLvl w:val="1"/>
        <w:rPr>
          <w:rFonts w:hint="eastAsia" w:ascii="仿宋_GB2312" w:eastAsia="仿宋_GB2312" w:cs="Times New Roman"/>
          <w:b w:val="0"/>
          <w:bCs w:val="0"/>
          <w:color w:val="000000"/>
          <w:kern w:val="2"/>
          <w:sz w:val="32"/>
          <w:szCs w:val="32"/>
          <w:lang w:val="en-US" w:eastAsia="zh-CN" w:bidi="ar-SA"/>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人次，共计支出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hAnsi="Calibri" w:eastAsia="仿宋_GB2312" w:cs="Times New Roman"/>
          <w:b w:val="0"/>
          <w:bCs w:val="0"/>
          <w:color w:val="000000"/>
          <w:kern w:val="2"/>
          <w:sz w:val="32"/>
          <w:szCs w:val="32"/>
          <w:lang w:val="en-US" w:eastAsia="zh-CN" w:bidi="ar-SA"/>
        </w:rPr>
        <w:t>主要</w:t>
      </w:r>
      <w:r>
        <w:rPr>
          <w:rFonts w:hint="eastAsia" w:ascii="仿宋_GB2312" w:eastAsia="仿宋_GB2312" w:cs="Times New Roman"/>
          <w:b w:val="0"/>
          <w:bCs w:val="0"/>
          <w:color w:val="000000"/>
          <w:kern w:val="2"/>
          <w:sz w:val="32"/>
          <w:szCs w:val="32"/>
          <w:lang w:val="en-US" w:eastAsia="zh-CN" w:bidi="ar-SA"/>
        </w:rPr>
        <w:t>原因是我中心不涉及外事接待支出</w:t>
      </w:r>
    </w:p>
    <w:p w14:paraId="76A9B165">
      <w:pPr>
        <w:spacing w:line="600" w:lineRule="exact"/>
        <w:ind w:firstLine="640"/>
        <w:outlineLvl w:val="1"/>
        <w:rPr>
          <w:rStyle w:val="33"/>
          <w:rFonts w:ascii="黑体" w:hAnsi="黑体" w:eastAsia="黑体"/>
        </w:rPr>
      </w:pPr>
      <w:bookmarkStart w:id="103" w:name="_Toc15377218"/>
      <w:bookmarkStart w:id="104" w:name="_Toc15396610"/>
      <w:bookmarkStart w:id="105" w:name="_Toc1373117114_WPSOffice_Level2"/>
      <w:r>
        <w:rPr>
          <w:rFonts w:hint="eastAsia" w:ascii="黑体" w:eastAsia="黑体"/>
          <w:sz w:val="32"/>
          <w:szCs w:val="32"/>
        </w:rPr>
        <w:t>八、</w:t>
      </w:r>
      <w:r>
        <w:rPr>
          <w:rStyle w:val="33"/>
          <w:rFonts w:hint="eastAsia" w:ascii="黑体" w:hAnsi="黑体" w:eastAsia="黑体"/>
          <w:b w:val="0"/>
        </w:rPr>
        <w:t>政府性基金预算支出决算情况说明</w:t>
      </w:r>
      <w:bookmarkEnd w:id="103"/>
      <w:bookmarkEnd w:id="104"/>
      <w:bookmarkEnd w:id="105"/>
    </w:p>
    <w:p w14:paraId="74320733">
      <w:pPr>
        <w:spacing w:line="600" w:lineRule="exact"/>
        <w:ind w:firstLine="640"/>
        <w:rPr>
          <w:rFonts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rPr>
        <w:t>度政府性基金预算财政拨款支出</w:t>
      </w:r>
      <w:r>
        <w:rPr>
          <w:sz w:val="32"/>
          <w:szCs w:val="32"/>
        </w:rPr>
        <w:t>0</w:t>
      </w:r>
      <w:r>
        <w:rPr>
          <w:rFonts w:hint="eastAsia" w:ascii="仿宋_GB2312" w:eastAsia="仿宋_GB2312"/>
          <w:sz w:val="32"/>
          <w:szCs w:val="32"/>
        </w:rPr>
        <w:t>万元。</w:t>
      </w:r>
    </w:p>
    <w:p w14:paraId="6B5012D4">
      <w:pPr>
        <w:numPr>
          <w:ilvl w:val="0"/>
          <w:numId w:val="3"/>
        </w:numPr>
        <w:spacing w:line="600" w:lineRule="exact"/>
        <w:ind w:firstLine="640"/>
        <w:outlineLvl w:val="1"/>
        <w:rPr>
          <w:rStyle w:val="33"/>
          <w:rFonts w:ascii="黑体" w:hAnsi="黑体" w:eastAsia="黑体"/>
          <w:b w:val="0"/>
        </w:rPr>
      </w:pPr>
      <w:bookmarkStart w:id="106" w:name="_Toc1381236446_WPSOffice_Level2"/>
      <w:bookmarkStart w:id="107" w:name="_Toc15396611"/>
      <w:bookmarkStart w:id="108" w:name="_Toc15377219"/>
      <w:r>
        <w:rPr>
          <w:rStyle w:val="33"/>
          <w:rFonts w:hint="eastAsia" w:ascii="黑体" w:hAnsi="黑体" w:eastAsia="黑体"/>
          <w:b w:val="0"/>
        </w:rPr>
        <w:t>国有资本经营预算支出决算情况说明</w:t>
      </w:r>
      <w:bookmarkEnd w:id="106"/>
      <w:bookmarkEnd w:id="107"/>
      <w:bookmarkEnd w:id="108"/>
    </w:p>
    <w:p w14:paraId="5A553E15">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lang w:eastAsia="zh-CN"/>
        </w:rPr>
        <w:t>2024年</w:t>
      </w:r>
      <w:r>
        <w:rPr>
          <w:rFonts w:hint="eastAsia" w:ascii="仿宋_GB2312" w:eastAsia="仿宋_GB2312"/>
          <w:sz w:val="32"/>
          <w:szCs w:val="32"/>
        </w:rPr>
        <w:t>度国有资本经营预算财政拨款支出</w:t>
      </w:r>
      <w:r>
        <w:rPr>
          <w:sz w:val="32"/>
          <w:szCs w:val="32"/>
        </w:rPr>
        <w:t>0</w:t>
      </w:r>
      <w:r>
        <w:rPr>
          <w:rFonts w:hint="eastAsia" w:ascii="仿宋_GB2312" w:eastAsia="仿宋_GB2312"/>
          <w:sz w:val="32"/>
          <w:szCs w:val="32"/>
        </w:rPr>
        <w:t>万元。</w:t>
      </w:r>
    </w:p>
    <w:p w14:paraId="12471087">
      <w:pPr>
        <w:numPr>
          <w:ilvl w:val="0"/>
          <w:numId w:val="3"/>
        </w:numPr>
        <w:spacing w:line="600" w:lineRule="exact"/>
        <w:ind w:firstLine="640"/>
        <w:outlineLvl w:val="1"/>
        <w:rPr>
          <w:rStyle w:val="33"/>
          <w:rFonts w:ascii="黑体" w:hAnsi="黑体" w:eastAsia="黑体"/>
          <w:b w:val="0"/>
        </w:rPr>
      </w:pPr>
      <w:bookmarkStart w:id="109" w:name="_Toc847849458_WPSOffice_Level2"/>
      <w:bookmarkStart w:id="110" w:name="_Toc15377221"/>
      <w:bookmarkStart w:id="111" w:name="_Toc15396612"/>
      <w:r>
        <w:rPr>
          <w:rStyle w:val="33"/>
          <w:rFonts w:hint="eastAsia" w:ascii="黑体" w:hAnsi="黑体" w:eastAsia="黑体"/>
          <w:b w:val="0"/>
        </w:rPr>
        <w:t>其他重要事项的情况说明</w:t>
      </w:r>
      <w:bookmarkEnd w:id="109"/>
      <w:bookmarkEnd w:id="110"/>
      <w:bookmarkEnd w:id="111"/>
    </w:p>
    <w:p w14:paraId="188BA35A">
      <w:pPr>
        <w:spacing w:line="600" w:lineRule="exact"/>
        <w:ind w:firstLine="643" w:firstLineChars="200"/>
        <w:outlineLvl w:val="2"/>
        <w:rPr>
          <w:rFonts w:ascii="仿宋" w:hAnsi="仿宋" w:eastAsia="仿宋"/>
          <w:sz w:val="32"/>
          <w:szCs w:val="32"/>
        </w:rPr>
      </w:pPr>
      <w:bookmarkStart w:id="112" w:name="_Toc15377222"/>
      <w:r>
        <w:rPr>
          <w:rFonts w:hint="eastAsia" w:ascii="仿宋" w:hAnsi="仿宋" w:eastAsia="仿宋"/>
          <w:b/>
          <w:sz w:val="32"/>
          <w:szCs w:val="32"/>
        </w:rPr>
        <w:t>（一）机关运行经费支出情况</w:t>
      </w:r>
      <w:bookmarkEnd w:id="112"/>
    </w:p>
    <w:p w14:paraId="2EEBD9B6">
      <w:pPr>
        <w:autoSpaceDE w:val="0"/>
        <w:autoSpaceDN w:val="0"/>
        <w:adjustRightInd w:val="0"/>
        <w:spacing w:line="600" w:lineRule="exact"/>
        <w:ind w:firstLine="640" w:firstLineChars="200"/>
        <w:jc w:val="left"/>
        <w:outlineLvl w:val="2"/>
        <w:rPr>
          <w:rFonts w:hint="eastAsia" w:ascii="仿宋_GB2312" w:eastAsia="仿宋_GB2312"/>
          <w:sz w:val="32"/>
          <w:szCs w:val="32"/>
          <w:lang w:eastAsia="zh-CN"/>
        </w:rPr>
      </w:pPr>
      <w:r>
        <w:rPr>
          <w:rFonts w:hint="eastAsia" w:ascii="仿宋_GB2312" w:eastAsia="仿宋_GB2312"/>
          <w:sz w:val="32"/>
          <w:szCs w:val="32"/>
          <w:lang w:eastAsia="zh-CN"/>
        </w:rPr>
        <w:t>2024年</w:t>
      </w:r>
      <w:r>
        <w:rPr>
          <w:rFonts w:hint="eastAsia" w:ascii="仿宋_GB2312" w:eastAsia="仿宋_GB2312"/>
          <w:sz w:val="32"/>
          <w:szCs w:val="32"/>
        </w:rPr>
        <w:t>度，</w:t>
      </w:r>
      <w:r>
        <w:rPr>
          <w:rFonts w:hint="eastAsia" w:ascii="仿宋_GB2312" w:hAnsi="仿宋_GB2312" w:eastAsia="仿宋_GB2312" w:cs="仿宋_GB2312"/>
          <w:sz w:val="32"/>
          <w:szCs w:val="32"/>
        </w:rPr>
        <w:t>阿坝藏族羌族自治州公务服务中心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76.6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ascii="仿宋_GB2312" w:eastAsia="仿宋_GB2312"/>
          <w:sz w:val="32"/>
          <w:szCs w:val="32"/>
        </w:rPr>
        <w:t>，比</w:t>
      </w:r>
      <w:r>
        <w:rPr>
          <w:rFonts w:hint="eastAsia" w:ascii="仿宋_GB2312" w:eastAsia="仿宋_GB2312"/>
          <w:sz w:val="32"/>
          <w:szCs w:val="32"/>
          <w:lang w:eastAsia="zh-CN"/>
        </w:rPr>
        <w:t>2023年</w:t>
      </w:r>
      <w:r>
        <w:rPr>
          <w:rFonts w:hint="eastAsia" w:ascii="仿宋_GB2312" w:eastAsia="仿宋_GB2312"/>
          <w:sz w:val="32"/>
          <w:szCs w:val="32"/>
        </w:rPr>
        <w:t>度</w:t>
      </w:r>
      <w:r>
        <w:rPr>
          <w:rFonts w:hint="eastAsia" w:ascii="仿宋_GB2312" w:eastAsia="仿宋_GB2312"/>
          <w:sz w:val="32"/>
          <w:szCs w:val="32"/>
          <w:lang w:eastAsia="zh-CN"/>
        </w:rPr>
        <w:t>减少</w:t>
      </w:r>
      <w:r>
        <w:rPr>
          <w:rFonts w:hint="eastAsia" w:ascii="仿宋_GB2312" w:eastAsia="仿宋_GB2312"/>
          <w:sz w:val="32"/>
          <w:szCs w:val="32"/>
          <w:lang w:val="en-US" w:eastAsia="zh-CN"/>
        </w:rPr>
        <w:t>9.57</w:t>
      </w:r>
      <w:r>
        <w:rPr>
          <w:rFonts w:hint="eastAsia" w:ascii="仿宋_GB2312" w:eastAsia="仿宋_GB2312"/>
          <w:sz w:val="32"/>
          <w:szCs w:val="32"/>
        </w:rPr>
        <w:t>万元，</w:t>
      </w:r>
      <w:r>
        <w:rPr>
          <w:rFonts w:hint="eastAsia" w:ascii="仿宋_GB2312" w:eastAsia="仿宋_GB2312"/>
          <w:sz w:val="32"/>
          <w:szCs w:val="32"/>
          <w:lang w:eastAsia="zh-CN"/>
        </w:rPr>
        <w:t>下降</w:t>
      </w:r>
      <w:r>
        <w:rPr>
          <w:rFonts w:hint="eastAsia" w:ascii="仿宋_GB2312" w:eastAsia="仿宋_GB2312"/>
          <w:sz w:val="32"/>
          <w:szCs w:val="32"/>
          <w:lang w:val="en-US" w:eastAsia="zh-CN"/>
        </w:rPr>
        <w:t>11.1</w:t>
      </w:r>
      <w:r>
        <w:rPr>
          <w:rFonts w:hint="eastAsia" w:ascii="仿宋_GB2312" w:eastAsia="仿宋_GB2312"/>
          <w:sz w:val="32"/>
          <w:szCs w:val="32"/>
        </w:rPr>
        <w:t>%。主要原因是</w:t>
      </w:r>
      <w:bookmarkStart w:id="113" w:name="_Toc15377223"/>
      <w:r>
        <w:rPr>
          <w:rFonts w:hint="eastAsia" w:ascii="仿宋_GB2312" w:eastAsia="仿宋_GB2312"/>
          <w:sz w:val="32"/>
          <w:szCs w:val="32"/>
        </w:rPr>
        <w:t>2023年因州庆公用经费增加,今年减少</w:t>
      </w:r>
      <w:r>
        <w:rPr>
          <w:rFonts w:hint="eastAsia" w:ascii="仿宋_GB2312" w:eastAsia="仿宋_GB2312"/>
          <w:sz w:val="32"/>
          <w:szCs w:val="32"/>
          <w:lang w:eastAsia="zh-CN"/>
        </w:rPr>
        <w:t>。</w:t>
      </w:r>
    </w:p>
    <w:p w14:paraId="294DC2F5">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（二）政府采购支出情况</w:t>
      </w:r>
      <w:bookmarkEnd w:id="113"/>
    </w:p>
    <w:p w14:paraId="42F1F8F3">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w:t>
      </w:r>
      <w:r>
        <w:rPr>
          <w:rFonts w:hint="eastAsia" w:ascii="仿宋_GB2312" w:hAnsi="仿宋_GB2312" w:eastAsia="仿宋_GB2312" w:cs="仿宋_GB2312"/>
          <w:sz w:val="32"/>
          <w:szCs w:val="32"/>
          <w:lang w:eastAsia="zh-CN"/>
        </w:rPr>
        <w:t>阿坝藏族羌族自治州公务服务中心</w:t>
      </w:r>
      <w:r>
        <w:rPr>
          <w:rFonts w:hint="eastAsia" w:ascii="仿宋_GB2312" w:hAnsi="仿宋_GB2312" w:eastAsia="仿宋_GB2312" w:cs="仿宋_GB2312"/>
          <w:sz w:val="32"/>
          <w:szCs w:val="32"/>
        </w:rPr>
        <w:t>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万元、政府采购工程支出0万元、政府采购服务支出0万元。授予中小企业合同金额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401299F4">
      <w:pPr>
        <w:autoSpaceDE w:val="0"/>
        <w:autoSpaceDN w:val="0"/>
        <w:adjustRightInd w:val="0"/>
        <w:spacing w:line="600" w:lineRule="exact"/>
        <w:ind w:firstLine="643" w:firstLineChars="200"/>
        <w:jc w:val="left"/>
        <w:outlineLvl w:val="2"/>
        <w:rPr>
          <w:rFonts w:ascii="仿宋" w:hAnsi="仿宋" w:eastAsia="仿宋"/>
          <w:b/>
          <w:sz w:val="32"/>
          <w:szCs w:val="32"/>
        </w:rPr>
      </w:pPr>
      <w:bookmarkStart w:id="114" w:name="_Toc15377224"/>
      <w:r>
        <w:rPr>
          <w:rFonts w:hint="eastAsia" w:ascii="仿宋" w:hAnsi="仿宋" w:eastAsia="仿宋"/>
          <w:b/>
          <w:sz w:val="32"/>
          <w:szCs w:val="32"/>
        </w:rPr>
        <w:t>（三）国有资产占有使用情况</w:t>
      </w:r>
      <w:bookmarkEnd w:id="114"/>
    </w:p>
    <w:p w14:paraId="4303C684">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12月31日，</w:t>
      </w:r>
      <w:r>
        <w:rPr>
          <w:rFonts w:hint="eastAsia" w:ascii="仿宋_GB2312" w:hAnsi="仿宋_GB2312" w:eastAsia="仿宋_GB2312" w:cs="仿宋_GB2312"/>
          <w:sz w:val="32"/>
          <w:szCs w:val="32"/>
          <w:lang w:eastAsia="zh-CN"/>
        </w:rPr>
        <w:t>阿坝藏族羌族自治州公务服务中心</w:t>
      </w:r>
      <w:r>
        <w:rPr>
          <w:rFonts w:hint="eastAsia" w:ascii="仿宋_GB2312" w:hAnsi="仿宋_GB2312" w:eastAsia="仿宋_GB2312" w:cs="仿宋_GB2312"/>
          <w:sz w:val="32"/>
          <w:szCs w:val="32"/>
        </w:rPr>
        <w:t>共有车辆3辆，其中：主要领导干部用车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主要是</w:t>
      </w:r>
      <w:r>
        <w:rPr>
          <w:rFonts w:hint="eastAsia" w:ascii="仿宋_GB2312" w:hAnsi="仿宋_GB2312" w:eastAsia="仿宋_GB2312" w:cs="仿宋_GB2312"/>
          <w:sz w:val="32"/>
          <w:szCs w:val="32"/>
        </w:rPr>
        <w:t>用于日常赴驻地外开展工作。单价100万元以上设备（不含车辆）0台（套）。</w:t>
      </w:r>
    </w:p>
    <w:p w14:paraId="2CA329DD">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0C4370E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度预算编制阶段，组织对公务接待工作经费</w:t>
      </w:r>
      <w:r>
        <w:rPr>
          <w:rFonts w:hint="eastAsia" w:ascii="仿宋_GB2312" w:hAnsi="仿宋_GB2312" w:eastAsia="仿宋_GB2312" w:cs="仿宋_GB2312"/>
          <w:sz w:val="32"/>
          <w:szCs w:val="32"/>
          <w:lang w:eastAsia="zh-CN"/>
        </w:rPr>
        <w:t>、公务服务工作经费、办公楼维修项目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w:t>
      </w:r>
    </w:p>
    <w:p w14:paraId="5C9546C4">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组织对</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州公务服务中心</w:t>
      </w:r>
      <w:r>
        <w:rPr>
          <w:rFonts w:hint="eastAsia" w:ascii="仿宋_GB2312" w:hAnsi="仿宋_GB2312" w:eastAsia="仿宋_GB2312" w:cs="仿宋_GB2312"/>
          <w:sz w:val="32"/>
          <w:szCs w:val="32"/>
        </w:rPr>
        <w:t>部门整体（含部门预算项目）绩效自评报告，其中，</w:t>
      </w:r>
      <w:r>
        <w:rPr>
          <w:rFonts w:hint="eastAsia" w:ascii="仿宋_GB2312" w:hAnsi="仿宋_GB2312" w:eastAsia="仿宋_GB2312" w:cs="仿宋_GB2312"/>
          <w:sz w:val="32"/>
          <w:szCs w:val="32"/>
          <w:lang w:eastAsia="zh-CN"/>
        </w:rPr>
        <w:t>州公务服务中心</w:t>
      </w:r>
      <w:r>
        <w:rPr>
          <w:rFonts w:hint="eastAsia" w:ascii="仿宋_GB2312" w:hAnsi="仿宋_GB2312" w:eastAsia="仿宋_GB2312" w:cs="仿宋_GB2312"/>
          <w:sz w:val="32"/>
          <w:szCs w:val="32"/>
        </w:rPr>
        <w:t>部门整体（含部门预算项目）绩效自评得分为</w:t>
      </w:r>
      <w:r>
        <w:rPr>
          <w:rFonts w:hint="eastAsia" w:eastAsia="仿宋_GB2312" w:cs="Times New Roman"/>
          <w:i w:val="0"/>
          <w:caps w:val="0"/>
          <w:color w:val="auto"/>
          <w:spacing w:val="0"/>
          <w:kern w:val="0"/>
          <w:sz w:val="32"/>
          <w:szCs w:val="32"/>
          <w:shd w:val="clear" w:color="auto" w:fill="FFFFFF"/>
          <w:lang w:val="en-US" w:eastAsia="zh-CN" w:bidi="ar"/>
        </w:rPr>
        <w:t>91.44</w:t>
      </w:r>
      <w:r>
        <w:rPr>
          <w:rFonts w:hint="eastAsia" w:ascii="仿宋_GB2312" w:hAnsi="仿宋_GB2312" w:eastAsia="仿宋_GB2312" w:cs="仿宋_GB2312"/>
          <w:sz w:val="32"/>
          <w:szCs w:val="32"/>
        </w:rPr>
        <w:t>分，绩效自评综述：我中心严格按照预算执行及绩效管理相关要求，强化责任主体意识，积极采取有效措施，不断优化支出结构，不断提升预算执行管理水平。经费支付进度虽较2023年有所改善，但经费支付进度还是不太理想，还有提升的空间。还有就是因接待批次量多量少没有定数，估计起来困难，导致绩效指标量化还不精准。绩效自评报告详见附件。</w:t>
      </w:r>
    </w:p>
    <w:p w14:paraId="42860475">
      <w:pPr>
        <w:pStyle w:val="8"/>
        <w:rPr>
          <w:rFonts w:hint="eastAsia" w:ascii="仿宋_GB2312" w:hAnsi="仿宋_GB2312" w:eastAsia="仿宋_GB2312" w:cs="仿宋_GB2312"/>
          <w:sz w:val="32"/>
          <w:szCs w:val="32"/>
        </w:rPr>
      </w:pPr>
    </w:p>
    <w:p w14:paraId="38005BE7">
      <w:pPr>
        <w:rPr>
          <w:rFonts w:hint="eastAsia" w:ascii="仿宋_GB2312" w:hAnsi="仿宋_GB2312" w:eastAsia="仿宋_GB2312" w:cs="仿宋_GB2312"/>
          <w:sz w:val="32"/>
          <w:szCs w:val="32"/>
        </w:rPr>
      </w:pPr>
    </w:p>
    <w:p w14:paraId="4FEF1AE5">
      <w:pPr>
        <w:pStyle w:val="8"/>
        <w:rPr>
          <w:rFonts w:hint="eastAsia" w:ascii="仿宋_GB2312" w:hAnsi="仿宋_GB2312" w:eastAsia="仿宋_GB2312" w:cs="仿宋_GB2312"/>
          <w:sz w:val="32"/>
          <w:szCs w:val="32"/>
        </w:rPr>
      </w:pPr>
    </w:p>
    <w:p w14:paraId="414E70D8">
      <w:pPr>
        <w:rPr>
          <w:rFonts w:hint="eastAsia" w:ascii="仿宋_GB2312" w:hAnsi="仿宋_GB2312" w:eastAsia="仿宋_GB2312" w:cs="仿宋_GB2312"/>
          <w:sz w:val="32"/>
          <w:szCs w:val="32"/>
        </w:rPr>
      </w:pPr>
    </w:p>
    <w:p w14:paraId="51585855">
      <w:pPr>
        <w:pStyle w:val="8"/>
        <w:rPr>
          <w:rFonts w:hint="eastAsia" w:ascii="仿宋_GB2312" w:hAnsi="仿宋_GB2312" w:eastAsia="仿宋_GB2312" w:cs="仿宋_GB2312"/>
          <w:sz w:val="32"/>
          <w:szCs w:val="32"/>
        </w:rPr>
      </w:pPr>
    </w:p>
    <w:p w14:paraId="5B9E7B87">
      <w:pPr>
        <w:rPr>
          <w:rFonts w:hint="eastAsia" w:ascii="仿宋_GB2312" w:hAnsi="仿宋_GB2312" w:eastAsia="仿宋_GB2312" w:cs="仿宋_GB2312"/>
          <w:sz w:val="32"/>
          <w:szCs w:val="32"/>
        </w:rPr>
      </w:pPr>
    </w:p>
    <w:p w14:paraId="21844C60">
      <w:pPr>
        <w:pStyle w:val="8"/>
        <w:rPr>
          <w:rFonts w:hint="eastAsia" w:ascii="仿宋_GB2312" w:hAnsi="仿宋_GB2312" w:eastAsia="仿宋_GB2312" w:cs="仿宋_GB2312"/>
          <w:sz w:val="32"/>
          <w:szCs w:val="32"/>
        </w:rPr>
      </w:pPr>
    </w:p>
    <w:p w14:paraId="3971D57C">
      <w:pPr>
        <w:rPr>
          <w:rFonts w:hint="eastAsia" w:ascii="仿宋_GB2312" w:hAnsi="仿宋_GB2312" w:eastAsia="仿宋_GB2312" w:cs="仿宋_GB2312"/>
          <w:sz w:val="32"/>
          <w:szCs w:val="32"/>
        </w:rPr>
      </w:pPr>
    </w:p>
    <w:p w14:paraId="6BD95CB7">
      <w:pPr>
        <w:pStyle w:val="8"/>
        <w:rPr>
          <w:rFonts w:hint="eastAsia" w:ascii="仿宋_GB2312" w:hAnsi="仿宋_GB2312" w:eastAsia="仿宋_GB2312" w:cs="仿宋_GB2312"/>
          <w:sz w:val="32"/>
          <w:szCs w:val="32"/>
        </w:rPr>
      </w:pPr>
    </w:p>
    <w:p w14:paraId="2C6838FF">
      <w:pPr>
        <w:rPr>
          <w:rFonts w:hint="eastAsia" w:ascii="仿宋_GB2312" w:hAnsi="仿宋_GB2312" w:eastAsia="仿宋_GB2312" w:cs="仿宋_GB2312"/>
          <w:sz w:val="32"/>
          <w:szCs w:val="32"/>
        </w:rPr>
      </w:pPr>
    </w:p>
    <w:p w14:paraId="671148DA">
      <w:pPr>
        <w:pStyle w:val="8"/>
        <w:rPr>
          <w:rFonts w:hint="eastAsia" w:ascii="仿宋_GB2312" w:hAnsi="仿宋_GB2312" w:eastAsia="仿宋_GB2312" w:cs="仿宋_GB2312"/>
          <w:sz w:val="32"/>
          <w:szCs w:val="32"/>
        </w:rPr>
      </w:pPr>
    </w:p>
    <w:p w14:paraId="58C59931">
      <w:pPr>
        <w:pStyle w:val="3"/>
        <w:jc w:val="center"/>
      </w:pPr>
      <w:bookmarkStart w:id="115" w:name="_Toc538366594_WPSOffice_Level1"/>
      <w:r>
        <w:rPr>
          <w:rFonts w:hint="eastAsia"/>
        </w:rPr>
        <w:t>第三部分 名词解释</w:t>
      </w:r>
      <w:bookmarkEnd w:id="115"/>
    </w:p>
    <w:p w14:paraId="5EA15720">
      <w:pPr>
        <w:pStyle w:val="17"/>
        <w:widowControl/>
        <w:spacing w:before="0" w:beforeAutospacing="0" w:after="0" w:afterAutospacing="0" w:line="576" w:lineRule="exact"/>
        <w:rPr>
          <w:rFonts w:ascii="仿宋" w:hAnsi="仿宋" w:eastAsia="仿宋" w:cs="仿宋"/>
          <w:sz w:val="32"/>
          <w:szCs w:val="32"/>
        </w:rPr>
      </w:pPr>
      <w:r>
        <w:rPr>
          <w:rFonts w:hint="eastAsia" w:ascii="仿宋" w:hAnsi="仿宋" w:eastAsia="仿宋" w:cs="仿宋"/>
          <w:sz w:val="32"/>
          <w:szCs w:val="32"/>
        </w:rPr>
        <w:t xml:space="preserve">1.财政拨款收入：指州级财政当年拨付的资金。 </w:t>
      </w:r>
    </w:p>
    <w:p w14:paraId="4F901711">
      <w:pPr>
        <w:pStyle w:val="17"/>
        <w:widowControl/>
        <w:spacing w:before="0" w:beforeAutospacing="0" w:after="0" w:afterAutospacing="0" w:line="576" w:lineRule="exact"/>
        <w:rPr>
          <w:rFonts w:ascii="仿宋" w:hAnsi="仿宋" w:eastAsia="仿宋" w:cs="仿宋"/>
          <w:sz w:val="32"/>
          <w:szCs w:val="32"/>
        </w:rPr>
      </w:pPr>
      <w:r>
        <w:rPr>
          <w:rFonts w:hint="eastAsia" w:ascii="仿宋" w:hAnsi="仿宋" w:eastAsia="仿宋" w:cs="仿宋"/>
          <w:sz w:val="32"/>
          <w:szCs w:val="32"/>
        </w:rPr>
        <w:t xml:space="preserve">2.年初结转和结余：指以前年度尚未完成、结转到本年按有关规定继续使用的资金。 </w:t>
      </w:r>
    </w:p>
    <w:p w14:paraId="72A7E6C6">
      <w:pPr>
        <w:pStyle w:val="17"/>
        <w:widowControl/>
        <w:spacing w:before="0" w:beforeAutospacing="0" w:after="0" w:afterAutospacing="0" w:line="576" w:lineRule="exact"/>
        <w:rPr>
          <w:rFonts w:hint="eastAsia" w:ascii="仿宋" w:hAnsi="仿宋" w:eastAsia="仿宋" w:cs="仿宋"/>
          <w:sz w:val="32"/>
          <w:szCs w:val="32"/>
          <w:lang w:eastAsia="zh-CN"/>
        </w:rPr>
      </w:pPr>
      <w:r>
        <w:rPr>
          <w:rFonts w:hint="eastAsia" w:ascii="仿宋" w:hAnsi="仿宋" w:eastAsia="仿宋" w:cs="仿宋"/>
          <w:sz w:val="32"/>
          <w:szCs w:val="32"/>
        </w:rPr>
        <w:t>3.一般公共服务：行政运行（2013</w:t>
      </w:r>
      <w:r>
        <w:rPr>
          <w:rFonts w:hint="eastAsia" w:ascii="仿宋" w:hAnsi="仿宋" w:eastAsia="仿宋" w:cs="仿宋"/>
          <w:sz w:val="32"/>
          <w:szCs w:val="32"/>
          <w:lang w:val="en-US" w:eastAsia="zh-CN"/>
        </w:rPr>
        <w:t>1</w:t>
      </w:r>
      <w:r>
        <w:rPr>
          <w:rFonts w:hint="eastAsia" w:ascii="仿宋" w:hAnsi="仿宋" w:eastAsia="仿宋" w:cs="仿宋"/>
          <w:sz w:val="32"/>
          <w:szCs w:val="32"/>
        </w:rPr>
        <w:t>01）指党委办公厅（室）及相关机构事务的基本支出</w:t>
      </w:r>
      <w:r>
        <w:rPr>
          <w:rFonts w:hint="eastAsia" w:ascii="仿宋" w:hAnsi="仿宋" w:eastAsia="仿宋" w:cs="仿宋"/>
          <w:sz w:val="32"/>
          <w:szCs w:val="32"/>
          <w:lang w:eastAsia="zh-CN"/>
        </w:rPr>
        <w:t>；</w:t>
      </w:r>
      <w:r>
        <w:rPr>
          <w:rFonts w:hint="eastAsia" w:ascii="仿宋" w:hAnsi="仿宋" w:eastAsia="仿宋" w:cs="仿宋"/>
          <w:sz w:val="32"/>
          <w:szCs w:val="32"/>
        </w:rPr>
        <w:t>一般行政管理事务（2013102）指党委办公厅（室）及相关机构事务未单独设置项级科目的其他项目支出</w:t>
      </w:r>
      <w:r>
        <w:rPr>
          <w:rFonts w:hint="eastAsia" w:ascii="仿宋" w:hAnsi="仿宋" w:eastAsia="仿宋" w:cs="仿宋"/>
          <w:sz w:val="32"/>
          <w:szCs w:val="32"/>
          <w:lang w:eastAsia="zh-CN"/>
        </w:rPr>
        <w:t>；专项业务（</w:t>
      </w:r>
      <w:r>
        <w:rPr>
          <w:rFonts w:hint="eastAsia" w:ascii="仿宋" w:hAnsi="仿宋" w:eastAsia="仿宋" w:cs="仿宋"/>
          <w:sz w:val="32"/>
          <w:szCs w:val="32"/>
          <w:lang w:val="en-US" w:eastAsia="zh-CN"/>
        </w:rPr>
        <w:t>2013105）指</w:t>
      </w:r>
      <w:r>
        <w:rPr>
          <w:rFonts w:hint="eastAsia" w:ascii="仿宋" w:hAnsi="仿宋" w:eastAsia="仿宋" w:cs="仿宋"/>
          <w:sz w:val="32"/>
          <w:szCs w:val="32"/>
        </w:rPr>
        <w:t>党委办公厅（室）</w:t>
      </w:r>
      <w:r>
        <w:rPr>
          <w:rFonts w:hint="eastAsia" w:ascii="仿宋" w:hAnsi="仿宋" w:eastAsia="仿宋" w:cs="仿宋"/>
          <w:sz w:val="32"/>
          <w:szCs w:val="32"/>
          <w:lang w:eastAsia="zh-CN"/>
        </w:rPr>
        <w:t>及相关机构开展专项业务活动所发生的支出。</w:t>
      </w:r>
    </w:p>
    <w:p w14:paraId="59C66B11">
      <w:pPr>
        <w:pStyle w:val="17"/>
        <w:widowControl/>
        <w:spacing w:before="0" w:beforeAutospacing="0" w:after="0" w:afterAutospacing="0" w:line="576" w:lineRule="exac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社会保障和就业：机关事业单位基本养老保险缴费支出（2080505）指机关事业单位实施养老保险制度由单位缴纳的基本养老保险支出</w:t>
      </w:r>
      <w:r>
        <w:rPr>
          <w:rFonts w:hint="eastAsia" w:ascii="仿宋" w:hAnsi="仿宋" w:eastAsia="仿宋" w:cs="仿宋"/>
          <w:sz w:val="32"/>
          <w:szCs w:val="32"/>
          <w:lang w:eastAsia="zh-CN"/>
        </w:rPr>
        <w:t>；</w:t>
      </w:r>
      <w:r>
        <w:rPr>
          <w:rFonts w:hint="eastAsia" w:ascii="仿宋" w:hAnsi="仿宋" w:eastAsia="仿宋" w:cs="仿宋"/>
          <w:sz w:val="32"/>
          <w:szCs w:val="32"/>
        </w:rPr>
        <w:t>机关事业单位职业年金缴费支出（2080506）指机关事业单位实施养老保险制度由单位实际缴纳的职业年金支出。</w:t>
      </w:r>
    </w:p>
    <w:p w14:paraId="72B0CBD6">
      <w:pPr>
        <w:pStyle w:val="17"/>
        <w:widowControl/>
        <w:spacing w:before="0" w:beforeAutospacing="0" w:after="0" w:afterAutospacing="0" w:line="576"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医疗卫生与计划生育：行政单位医疗（</w:t>
      </w:r>
      <w:r>
        <w:rPr>
          <w:rFonts w:hint="eastAsia" w:ascii="仿宋" w:hAnsi="仿宋" w:eastAsia="仿宋" w:cs="仿宋"/>
          <w:sz w:val="32"/>
          <w:szCs w:val="32"/>
          <w:lang w:val="en-US" w:eastAsia="zh-CN"/>
        </w:rPr>
        <w:t>2101101</w:t>
      </w:r>
      <w:r>
        <w:rPr>
          <w:rFonts w:hint="eastAsia" w:ascii="仿宋" w:hAnsi="仿宋" w:eastAsia="仿宋" w:cs="仿宋"/>
          <w:sz w:val="32"/>
          <w:szCs w:val="32"/>
        </w:rPr>
        <w:t>）指财政部门集中安排的行政单位基本医疗保险缴费经费，未参加医疗保险的行政单位的公费医疗经费，按国家规定享受离休人员、红军老战士待遇人员的医疗经费</w:t>
      </w:r>
      <w:r>
        <w:rPr>
          <w:rFonts w:hint="eastAsia" w:ascii="仿宋" w:hAnsi="仿宋" w:eastAsia="仿宋" w:cs="仿宋"/>
          <w:sz w:val="32"/>
          <w:szCs w:val="32"/>
          <w:lang w:eastAsia="zh-CN"/>
        </w:rPr>
        <w:t>；公务员医疗补助（</w:t>
      </w:r>
      <w:r>
        <w:rPr>
          <w:rFonts w:hint="eastAsia" w:ascii="仿宋" w:hAnsi="仿宋" w:eastAsia="仿宋" w:cs="仿宋"/>
          <w:sz w:val="32"/>
          <w:szCs w:val="32"/>
          <w:lang w:val="en-US" w:eastAsia="zh-CN"/>
        </w:rPr>
        <w:t>2101103）指财政部门安排的公务员医疗补助经费。</w:t>
      </w:r>
    </w:p>
    <w:p w14:paraId="64C47F81">
      <w:pPr>
        <w:pStyle w:val="17"/>
        <w:widowControl/>
        <w:spacing w:before="0" w:beforeAutospacing="0" w:after="0" w:afterAutospacing="0" w:line="576" w:lineRule="exact"/>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住房保障支出：住房公积金（2210201）指行政事业单位按人力资源和社会保障部、财政部规定的基本工资和津贴补贴以及规定比例为职工缴纳的住房公积金。</w:t>
      </w:r>
    </w:p>
    <w:p w14:paraId="26BE2404">
      <w:pPr>
        <w:pStyle w:val="17"/>
        <w:widowControl/>
        <w:spacing w:before="0" w:beforeAutospacing="0" w:after="0" w:afterAutospacing="0" w:line="576" w:lineRule="exact"/>
        <w:rPr>
          <w:rFonts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年末结转和结余：指本年度或以前年度预算安排、因客观条件发生变化无法按原计划实施，需延迟到以后年度按有关规定继续使用的资金。</w:t>
      </w:r>
    </w:p>
    <w:p w14:paraId="0BAAB17F">
      <w:pPr>
        <w:pStyle w:val="17"/>
        <w:widowControl/>
        <w:spacing w:before="0" w:beforeAutospacing="0" w:after="0" w:afterAutospacing="0" w:line="576" w:lineRule="exact"/>
        <w:rPr>
          <w:rFonts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基本支出：指为保障机构正常运转、完成日常工作任务而发生的人员支出和公用支出。</w:t>
      </w:r>
    </w:p>
    <w:p w14:paraId="6AD89DDE">
      <w:pPr>
        <w:pStyle w:val="17"/>
        <w:widowControl/>
        <w:spacing w:before="0" w:beforeAutospacing="0" w:after="0" w:afterAutospacing="0" w:line="576" w:lineRule="exact"/>
        <w:rPr>
          <w:rFonts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 xml:space="preserve">项目支出：指在基本支出之外为完成特定行政任务和事业发展目标所发生的支出。 </w:t>
      </w:r>
    </w:p>
    <w:p w14:paraId="79EAD090">
      <w:pPr>
        <w:pStyle w:val="17"/>
        <w:widowControl/>
        <w:spacing w:before="0" w:beforeAutospacing="0" w:after="0" w:afterAutospacing="0" w:line="576" w:lineRule="exact"/>
        <w:rPr>
          <w:rFonts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6506AA1">
      <w:pPr>
        <w:pStyle w:val="17"/>
        <w:widowControl/>
        <w:spacing w:before="0" w:beforeAutospacing="0" w:after="0" w:afterAutospacing="0" w:line="576" w:lineRule="exact"/>
        <w:rPr>
          <w:sz w:val="32"/>
          <w:szCs w:val="32"/>
          <w:shd w:val="clear" w:color="auto" w:fill="FFFFFF"/>
        </w:rPr>
      </w:pPr>
      <w:r>
        <w:rPr>
          <w:rFonts w:hint="eastAsia" w:ascii="仿宋" w:hAnsi="仿宋" w:eastAsia="仿宋" w:cs="仿宋"/>
          <w:sz w:val="32"/>
          <w:szCs w:val="32"/>
          <w:lang w:val="en-US" w:eastAsia="zh-CN"/>
        </w:rPr>
        <w:t>11.</w:t>
      </w:r>
      <w:r>
        <w:rPr>
          <w:rFonts w:hint="eastAsia" w:ascii="仿宋" w:hAnsi="仿宋" w:eastAsia="仿宋" w:cs="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6ADD098">
      <w:pPr>
        <w:pStyle w:val="8"/>
        <w:rPr>
          <w:rFonts w:hint="eastAsia"/>
        </w:rPr>
      </w:pPr>
    </w:p>
    <w:p w14:paraId="03409079">
      <w:pPr>
        <w:rPr>
          <w:rFonts w:hint="eastAsia"/>
        </w:rPr>
      </w:pPr>
    </w:p>
    <w:p w14:paraId="023A23A1">
      <w:pPr>
        <w:pStyle w:val="3"/>
        <w:jc w:val="center"/>
        <w:rPr>
          <w:rFonts w:ascii="黑体" w:hAnsi="黑体" w:eastAsia="黑体"/>
          <w:b w:val="0"/>
        </w:rPr>
      </w:pPr>
      <w:bookmarkStart w:id="116" w:name="_Toc1662103642_WPSOffice_Level1"/>
      <w:r>
        <w:rPr>
          <w:rFonts w:hint="eastAsia" w:ascii="黑体" w:hAnsi="黑体" w:eastAsia="黑体"/>
          <w:b w:val="0"/>
        </w:rPr>
        <w:t>第四部分 附件</w:t>
      </w:r>
      <w:bookmarkEnd w:id="116"/>
    </w:p>
    <w:p w14:paraId="5CE2664D">
      <w:pPr>
        <w:pStyle w:val="6"/>
        <w:rPr>
          <w:rFonts w:hint="eastAsia" w:ascii="黑体" w:hAnsi="黑体" w:eastAsia="黑体" w:cs="黑体"/>
          <w:color w:val="auto"/>
          <w:sz w:val="32"/>
          <w:szCs w:val="32"/>
          <w:highlight w:val="none"/>
          <w:lang w:val="en-US" w:eastAsia="zh-CN"/>
        </w:rPr>
      </w:pPr>
      <w:r>
        <w:rPr>
          <w:rFonts w:hint="eastAsia" w:ascii="黑体" w:hAnsi="黑体" w:eastAsia="黑体" w:cs="黑体"/>
          <w:color w:val="auto"/>
          <w:kern w:val="0"/>
          <w:sz w:val="32"/>
          <w:szCs w:val="32"/>
          <w:highlight w:val="none"/>
          <w:shd w:val="clear" w:color="auto" w:fill="FFFFFF"/>
          <w:lang w:val="zh-CN"/>
        </w:rPr>
        <w:t>附件</w:t>
      </w:r>
      <w:r>
        <w:rPr>
          <w:rFonts w:hint="eastAsia" w:ascii="黑体" w:hAnsi="黑体" w:eastAsia="黑体" w:cs="黑体"/>
          <w:color w:val="auto"/>
          <w:kern w:val="0"/>
          <w:sz w:val="32"/>
          <w:szCs w:val="32"/>
          <w:highlight w:val="none"/>
          <w:shd w:val="clear" w:color="auto" w:fill="FFFFFF"/>
          <w:lang w:val="en-US" w:eastAsia="zh-CN"/>
        </w:rPr>
        <w:t>1</w:t>
      </w:r>
    </w:p>
    <w:p w14:paraId="2E99C93D">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cs="Times New Roman"/>
          <w:color w:val="auto"/>
          <w:sz w:val="44"/>
          <w:szCs w:val="44"/>
          <w:lang w:eastAsia="zh-CN"/>
        </w:rPr>
      </w:pPr>
      <w:bookmarkStart w:id="117" w:name="_Toc33424713_WPSOffice_Level2"/>
      <w:r>
        <w:rPr>
          <w:rFonts w:hint="eastAsia" w:ascii="Times New Roman" w:hAnsi="Times New Roman" w:eastAsia="方正小标宋简体" w:cs="Times New Roman"/>
          <w:color w:val="auto"/>
          <w:sz w:val="44"/>
          <w:szCs w:val="44"/>
          <w:lang w:eastAsia="zh-CN"/>
        </w:rPr>
        <w:t>阿坝州公务服务中心</w:t>
      </w:r>
      <w:bookmarkEnd w:id="117"/>
    </w:p>
    <w:p w14:paraId="22AB12C4">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color w:val="auto"/>
          <w:sz w:val="44"/>
          <w:szCs w:val="44"/>
        </w:rPr>
      </w:pPr>
      <w:bookmarkStart w:id="118" w:name="_Toc195940664_WPSOffice_Level2"/>
      <w:r>
        <w:rPr>
          <w:rFonts w:hint="eastAsia" w:eastAsia="方正小标宋简体" w:cs="Times New Roman"/>
          <w:color w:val="auto"/>
          <w:sz w:val="44"/>
          <w:szCs w:val="44"/>
          <w:lang w:val="en-US" w:eastAsia="zh-CN"/>
        </w:rPr>
        <w:t>2024年</w:t>
      </w:r>
      <w:r>
        <w:rPr>
          <w:rFonts w:hint="default" w:ascii="Times New Roman" w:hAnsi="Times New Roman" w:eastAsia="方正小标宋简体" w:cs="Times New Roman"/>
          <w:color w:val="auto"/>
          <w:sz w:val="44"/>
          <w:szCs w:val="44"/>
        </w:rPr>
        <w:t>部门</w:t>
      </w:r>
      <w:r>
        <w:rPr>
          <w:rFonts w:hint="eastAsia" w:eastAsia="方正小标宋简体" w:cs="Times New Roman"/>
          <w:color w:val="auto"/>
          <w:sz w:val="44"/>
          <w:szCs w:val="44"/>
          <w:lang w:eastAsia="zh-CN"/>
        </w:rPr>
        <w:t>预算</w:t>
      </w:r>
      <w:r>
        <w:rPr>
          <w:rFonts w:hint="default" w:ascii="Times New Roman" w:hAnsi="Times New Roman" w:eastAsia="方正小标宋简体" w:cs="Times New Roman"/>
          <w:color w:val="auto"/>
          <w:sz w:val="44"/>
          <w:szCs w:val="44"/>
        </w:rPr>
        <w:t>绩效评价报告</w:t>
      </w:r>
      <w:bookmarkEnd w:id="118"/>
    </w:p>
    <w:p w14:paraId="1353550C">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p>
    <w:p w14:paraId="00FAC7E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根据阿坝州财政局《关于开展2025年州级部门绩效自评工作的通知》(阿州财监绩（2025）4号）文件要求，我中心对2024年度项目支出绩效情况进行了自评工作，本次评价遵循了“科学规范、公正公开、分类管理、绩效相关”的原则，运用科学、合理的绩效评价方法，对本单位2024年度绩效情况进行客观、公正的评价，现就相关情况报告如下。</w:t>
      </w:r>
    </w:p>
    <w:p w14:paraId="26366566">
      <w:pPr>
        <w:keepNext w:val="0"/>
        <w:keepLines w:val="0"/>
        <w:pageBreakBefore w:val="0"/>
        <w:widowControl/>
        <w:kinsoku/>
        <w:wordWrap/>
        <w:overflowPunct/>
        <w:topLinePunct w:val="0"/>
        <w:autoSpaceDE/>
        <w:autoSpaceDN/>
        <w:bidi w:val="0"/>
        <w:adjustRightInd/>
        <w:snapToGrid/>
        <w:spacing w:line="576" w:lineRule="exact"/>
        <w:ind w:firstLine="632" w:firstLineChars="200"/>
        <w:jc w:val="both"/>
        <w:textAlignment w:val="auto"/>
        <w:rPr>
          <w:rFonts w:hint="default" w:ascii="Times New Roman" w:hAnsi="Times New Roman" w:eastAsia="黑体" w:cs="Times New Roman"/>
          <w:color w:val="auto"/>
          <w:spacing w:val="-2"/>
          <w:kern w:val="0"/>
          <w:sz w:val="32"/>
          <w:szCs w:val="32"/>
          <w:lang w:val="en-US" w:eastAsia="zh-CN"/>
        </w:rPr>
      </w:pPr>
      <w:bookmarkStart w:id="119" w:name="_Toc1518932410_WPSOffice_Level2"/>
      <w:r>
        <w:rPr>
          <w:rFonts w:hint="default" w:ascii="Times New Roman" w:hAnsi="Times New Roman" w:eastAsia="黑体" w:cs="Times New Roman"/>
          <w:color w:val="auto"/>
          <w:spacing w:val="-2"/>
          <w:kern w:val="0"/>
          <w:sz w:val="32"/>
          <w:szCs w:val="32"/>
        </w:rPr>
        <w:t>一、部门概况</w:t>
      </w:r>
      <w:bookmarkEnd w:id="119"/>
    </w:p>
    <w:p w14:paraId="4AC5392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（一）机构组成</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州公务服务中心为州委直属正县级公益一类事业单位，参照公务员管理，下设综合科、公务服务一科、公务服务二科、公务服务三科。</w:t>
      </w:r>
    </w:p>
    <w:p w14:paraId="1A58746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楷体" w:hAnsi="楷体" w:eastAsia="楷体" w:cs="楷体"/>
          <w:b/>
          <w:bCs/>
          <w:i w:val="0"/>
          <w:caps w:val="0"/>
          <w:color w:val="auto"/>
          <w:spacing w:val="0"/>
          <w:kern w:val="0"/>
          <w:sz w:val="32"/>
          <w:szCs w:val="32"/>
          <w:shd w:val="clear" w:color="auto" w:fill="FFFFFF"/>
          <w:lang w:val="zh-CN" w:eastAsia="zh-CN" w:bidi="ar"/>
        </w:rPr>
      </w:pPr>
      <w:r>
        <w:rPr>
          <w:rFonts w:hint="eastAsia" w:ascii="楷体" w:hAnsi="楷体" w:eastAsia="楷体" w:cs="楷体"/>
          <w:b/>
          <w:bCs/>
          <w:i w:val="0"/>
          <w:caps w:val="0"/>
          <w:color w:val="auto"/>
          <w:spacing w:val="0"/>
          <w:kern w:val="0"/>
          <w:sz w:val="32"/>
          <w:szCs w:val="32"/>
          <w:shd w:val="clear" w:color="auto" w:fill="FFFFFF"/>
          <w:lang w:val="zh-CN" w:eastAsia="zh-CN" w:bidi="ar"/>
        </w:rPr>
        <w:t>（二）</w:t>
      </w:r>
      <w:r>
        <w:rPr>
          <w:rFonts w:hint="default" w:ascii="楷体" w:hAnsi="楷体" w:eastAsia="楷体" w:cs="楷体"/>
          <w:b/>
          <w:bCs/>
          <w:i w:val="0"/>
          <w:caps w:val="0"/>
          <w:color w:val="auto"/>
          <w:spacing w:val="0"/>
          <w:kern w:val="0"/>
          <w:sz w:val="32"/>
          <w:szCs w:val="32"/>
          <w:shd w:val="clear" w:color="auto" w:fill="FFFFFF"/>
          <w:lang w:val="zh-CN" w:eastAsia="zh-CN" w:bidi="ar"/>
        </w:rPr>
        <w:t>机构职能</w:t>
      </w:r>
    </w:p>
    <w:p w14:paraId="1C1087FB">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负责党和国家领导人(含曾经担任)、省委、省人大、省政府、省政协副省级以上领导(含曾经担任)来州的服务保障。</w:t>
      </w:r>
    </w:p>
    <w:p w14:paraId="5BA2776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按照有关规定负责和参与党中央、国务院、省委、省政府巡视、检查、督查(督导、督察)、考察、调研、考核、审计等工作组来州的服务保障。</w:t>
      </w:r>
    </w:p>
    <w:p w14:paraId="188C014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3.</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负责外省(区、市、州)党委、政府正、副省级领导干部来州的服务保障;会同州级有关部门承担中央和国家机关各部委正、副部级领导干部、省委、省政府正、副省级领导干部来州的服务保障;参与州人大常委会办公室、州政协办公室牵头对口接待正、副部(省)级领导干部来州的服务保障。</w:t>
      </w:r>
    </w:p>
    <w:p w14:paraId="418448B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4.</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负责或参与外省(区、市、州)党政代表团来州考察的协调联络和服务保障。</w:t>
      </w:r>
    </w:p>
    <w:p w14:paraId="60F4DE7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5.</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负责我州党政代表团赴外省(州、市、区)考察的协调联络和服务保障。</w:t>
      </w:r>
    </w:p>
    <w:p w14:paraId="450CBED9">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6.</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负责州委、州政府交办的由州公务服务中心承担的外事接待和招商引资事项的服务保障。</w:t>
      </w:r>
    </w:p>
    <w:p w14:paraId="13C3E924">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7.</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按照中央八项规定和省委、省政府十项规定及其实施细则要求，负责联系协调州级有关部门及关联单位承办州委、州政府重大公务活动的服务工作。</w:t>
      </w:r>
    </w:p>
    <w:p w14:paraId="2545CE7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8.</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会同州级有关部门承担州委、州政府交办的大型会议、活动的接待服务保障工作。</w:t>
      </w:r>
    </w:p>
    <w:p w14:paraId="300DA3B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9.</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指导县(市)、州级部门的公务活动服务保障工作，参与拟订全州公务服务相关规定。</w:t>
      </w:r>
    </w:p>
    <w:p w14:paraId="08B32B5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10.</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负责办理中办警卫局、省警卫局安排的有关在州事务。</w:t>
      </w:r>
    </w:p>
    <w:p w14:paraId="74733EC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11.</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完成州委、州政府交办的其他任务。</w:t>
      </w:r>
    </w:p>
    <w:p w14:paraId="3A11A1F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（三）人员概况</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在职人员总数</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13</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人，其中：</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参公事业11</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人</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〔班子成员3人，四级调研员1人（含1名正科级）,正科3人，一般干部4人〕,行政工勤2人；</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退休人员</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人</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其他</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（临聘）</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人员</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4</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人。</w:t>
      </w:r>
    </w:p>
    <w:p w14:paraId="5F4531F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i w:val="0"/>
          <w:caps w:val="0"/>
          <w:color w:val="auto"/>
          <w:spacing w:val="0"/>
          <w:kern w:val="0"/>
          <w:sz w:val="32"/>
          <w:szCs w:val="32"/>
          <w:shd w:val="clear" w:color="auto" w:fill="FFFFFF"/>
          <w:lang w:val="en-US" w:eastAsia="zh-CN" w:bidi="ar"/>
        </w:rPr>
      </w:pPr>
      <w:bookmarkStart w:id="120" w:name="_Toc1961440248_WPSOffice_Level2"/>
      <w:r>
        <w:rPr>
          <w:rFonts w:hint="eastAsia" w:ascii="黑体" w:hAnsi="黑体" w:eastAsia="黑体" w:cs="黑体"/>
          <w:i w:val="0"/>
          <w:caps w:val="0"/>
          <w:color w:val="auto"/>
          <w:spacing w:val="0"/>
          <w:kern w:val="0"/>
          <w:sz w:val="32"/>
          <w:szCs w:val="32"/>
          <w:shd w:val="clear" w:color="auto" w:fill="FFFFFF"/>
          <w:lang w:val="en-US" w:eastAsia="zh-CN" w:bidi="ar"/>
        </w:rPr>
        <w:t>二、部门资金收支情况</w:t>
      </w:r>
      <w:bookmarkEnd w:id="120"/>
    </w:p>
    <w:p w14:paraId="6E3476F3">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3" w:firstLineChars="200"/>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楷体" w:hAnsi="楷体" w:eastAsia="楷体" w:cs="楷体"/>
          <w:b/>
          <w:bCs/>
          <w:i w:val="0"/>
          <w:caps w:val="0"/>
          <w:color w:val="auto"/>
          <w:spacing w:val="0"/>
          <w:kern w:val="0"/>
          <w:sz w:val="32"/>
          <w:szCs w:val="32"/>
          <w:shd w:val="clear" w:color="auto" w:fill="FFFFFF"/>
          <w:lang w:val="zh-CN" w:eastAsia="zh-CN" w:bidi="ar"/>
        </w:rPr>
        <w:t>（一）部门财政资金收入情况。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本单位本年度总收入为698.24万元。其中：一般公共预算财政拨款收入为697.42万元，占比99.88%；其他收入为0.82万元，占比0.12%。</w:t>
      </w:r>
    </w:p>
    <w:p w14:paraId="7E7A99D4">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3" w:firstLineChars="200"/>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（二）部门财政资金支出情况</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本年度总支出为698.24万元。其中：一般公共服务支出为592.17万元，占比84.81%；社会保障和就业支出为54.34万元，占比7.78%；卫生健康支出为21.72万元，占比3.11%；住房保障支出为30.01万元，占比4.3%</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w:t>
      </w:r>
    </w:p>
    <w:p w14:paraId="5468DD0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楷体" w:hAnsi="楷体" w:eastAsia="楷体" w:cs="楷体"/>
          <w:b/>
          <w:bCs/>
          <w:i w:val="0"/>
          <w:caps w:val="0"/>
          <w:color w:val="auto"/>
          <w:spacing w:val="0"/>
          <w:kern w:val="0"/>
          <w:sz w:val="32"/>
          <w:szCs w:val="32"/>
          <w:shd w:val="clear" w:color="auto" w:fill="FFFFFF"/>
          <w:lang w:val="zh-CN" w:eastAsia="zh-CN" w:bidi="ar"/>
        </w:rPr>
        <w:t>（三）</w:t>
      </w:r>
      <w:r>
        <w:rPr>
          <w:rFonts w:hint="default" w:ascii="楷体" w:hAnsi="楷体" w:eastAsia="楷体" w:cs="楷体"/>
          <w:b/>
          <w:bCs/>
          <w:i w:val="0"/>
          <w:caps w:val="0"/>
          <w:color w:val="auto"/>
          <w:spacing w:val="0"/>
          <w:kern w:val="0"/>
          <w:sz w:val="32"/>
          <w:szCs w:val="32"/>
          <w:shd w:val="clear" w:color="auto" w:fill="FFFFFF"/>
          <w:lang w:val="zh-CN" w:eastAsia="zh-CN" w:bidi="ar"/>
        </w:rPr>
        <w:t>结余分配和结转结余情况</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本年无结转结余。</w:t>
      </w:r>
    </w:p>
    <w:p w14:paraId="159A3023">
      <w:pPr>
        <w:keepNext w:val="0"/>
        <w:keepLines w:val="0"/>
        <w:pageBreakBefore w:val="0"/>
        <w:widowControl/>
        <w:kinsoku/>
        <w:wordWrap/>
        <w:overflowPunct/>
        <w:topLinePunct w:val="0"/>
        <w:autoSpaceDE/>
        <w:autoSpaceDN/>
        <w:bidi w:val="0"/>
        <w:adjustRightInd/>
        <w:snapToGrid/>
        <w:spacing w:line="576" w:lineRule="exact"/>
        <w:ind w:firstLine="632" w:firstLineChars="200"/>
        <w:jc w:val="both"/>
        <w:textAlignment w:val="auto"/>
        <w:rPr>
          <w:rFonts w:hint="default" w:ascii="Times New Roman" w:hAnsi="Times New Roman" w:eastAsia="黑体" w:cs="Times New Roman"/>
          <w:color w:val="auto"/>
          <w:spacing w:val="-2"/>
          <w:kern w:val="0"/>
          <w:sz w:val="32"/>
          <w:szCs w:val="32"/>
        </w:rPr>
      </w:pPr>
      <w:bookmarkStart w:id="121" w:name="_Toc462369301_WPSOffice_Level2"/>
      <w:r>
        <w:rPr>
          <w:rFonts w:hint="default" w:ascii="Times New Roman" w:hAnsi="Times New Roman" w:eastAsia="黑体" w:cs="Times New Roman"/>
          <w:color w:val="auto"/>
          <w:spacing w:val="-2"/>
          <w:kern w:val="0"/>
          <w:sz w:val="32"/>
          <w:szCs w:val="32"/>
        </w:rPr>
        <w:t>三、部门</w:t>
      </w:r>
      <w:r>
        <w:rPr>
          <w:rFonts w:hint="default" w:ascii="Times New Roman" w:hAnsi="Times New Roman" w:eastAsia="黑体" w:cs="Times New Roman"/>
          <w:color w:val="auto"/>
          <w:spacing w:val="-2"/>
          <w:kern w:val="0"/>
          <w:sz w:val="32"/>
          <w:szCs w:val="32"/>
          <w:lang w:eastAsia="zh-CN"/>
        </w:rPr>
        <w:t>预算</w:t>
      </w:r>
      <w:r>
        <w:rPr>
          <w:rFonts w:hint="default" w:ascii="Times New Roman" w:hAnsi="Times New Roman" w:eastAsia="黑体" w:cs="Times New Roman"/>
          <w:color w:val="auto"/>
          <w:spacing w:val="-2"/>
          <w:kern w:val="0"/>
          <w:sz w:val="32"/>
          <w:szCs w:val="32"/>
        </w:rPr>
        <w:t>绩效</w:t>
      </w:r>
      <w:r>
        <w:rPr>
          <w:rFonts w:hint="default" w:ascii="Times New Roman" w:hAnsi="Times New Roman" w:eastAsia="黑体" w:cs="Times New Roman"/>
          <w:color w:val="auto"/>
          <w:spacing w:val="-2"/>
          <w:kern w:val="0"/>
          <w:sz w:val="32"/>
          <w:szCs w:val="32"/>
          <w:lang w:eastAsia="zh-CN"/>
        </w:rPr>
        <w:t>分析</w:t>
      </w:r>
      <w:bookmarkEnd w:id="121"/>
    </w:p>
    <w:p w14:paraId="325D22DD">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楷体" w:hAnsi="楷体" w:eastAsia="楷体" w:cs="楷体"/>
          <w:b/>
          <w:bCs/>
          <w:i w:val="0"/>
          <w:caps w:val="0"/>
          <w:color w:val="auto"/>
          <w:spacing w:val="0"/>
          <w:kern w:val="0"/>
          <w:sz w:val="32"/>
          <w:szCs w:val="32"/>
          <w:shd w:val="clear" w:color="auto" w:fill="FFFFFF"/>
          <w:lang w:val="zh-CN"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（一）</w:t>
      </w:r>
      <w:r>
        <w:rPr>
          <w:rFonts w:hint="eastAsia" w:ascii="楷体" w:hAnsi="楷体" w:eastAsia="楷体" w:cs="楷体"/>
          <w:b/>
          <w:bCs/>
          <w:i w:val="0"/>
          <w:caps w:val="0"/>
          <w:color w:val="auto"/>
          <w:spacing w:val="0"/>
          <w:kern w:val="0"/>
          <w:sz w:val="32"/>
          <w:szCs w:val="32"/>
          <w:shd w:val="clear" w:color="auto" w:fill="FFFFFF"/>
          <w:lang w:val="zh-CN" w:eastAsia="zh-CN" w:bidi="ar"/>
        </w:rPr>
        <w:t>部门预算</w:t>
      </w:r>
      <w:r>
        <w:rPr>
          <w:rFonts w:hint="default" w:ascii="楷体" w:hAnsi="楷体" w:eastAsia="楷体" w:cs="楷体"/>
          <w:b/>
          <w:bCs/>
          <w:i w:val="0"/>
          <w:caps w:val="0"/>
          <w:color w:val="auto"/>
          <w:spacing w:val="0"/>
          <w:kern w:val="0"/>
          <w:sz w:val="32"/>
          <w:szCs w:val="32"/>
          <w:shd w:val="clear" w:color="auto" w:fill="FFFFFF"/>
          <w:lang w:val="zh-CN" w:eastAsia="zh-CN" w:bidi="ar"/>
        </w:rPr>
        <w:t>总体绩效分析</w:t>
      </w:r>
    </w:p>
    <w:p w14:paraId="3036F20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rPr>
        <w:t>1.</w:t>
      </w:r>
      <w:r>
        <w:rPr>
          <w:rFonts w:hint="eastAsia" w:ascii="仿宋_GB2312" w:hAnsi="仿宋_GB2312" w:eastAsia="仿宋_GB2312" w:cs="仿宋_GB2312"/>
          <w:b/>
          <w:bCs/>
          <w:color w:val="auto"/>
          <w:kern w:val="0"/>
          <w:sz w:val="32"/>
          <w:szCs w:val="32"/>
          <w:highlight w:val="none"/>
          <w:shd w:val="clear" w:color="auto" w:fill="FFFFFF"/>
          <w:lang w:val="zh-CN" w:eastAsia="zh-CN"/>
        </w:rPr>
        <w:t>履职效能。</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2024年</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，在州委、州政府的坚强领导下</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和省公务服务中心的有力指导下</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，州公务服务中心认真贯彻落实</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徐芝文书记</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对公务服务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作出的</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“强化主动服务意识，延展公务接待思维，确保公务接待既符合中央八项规定精神，又做到热情、周到、安全、细致、贴心”</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指示</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要求，围绕公务接待“1234”工作布局，</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主动谋划，积极作为，稳中求进，不断优化接待模式，深入推动公务接待提档升级，圆满完成了各项工作任务并取得较好成效。部门整体绩效指标：1.设定省部级以上接待任务≤70批次，截至2024年年底共接待省部级以上76批次；超过扣0.75分;2.设定州级公务接待质量达标率为100%，2024年无任何接待事故发生。四川省公务服务中心1次表扬1次感谢,徐芝文书记给予肯定性批示“后勤服务保障很给力,大家辛苦了”；3.设定公务接待对象满意度≥95%；设定树立州委政府良好形象树效果明显。2024年优质高效保障了245任务、24-90任务和2024年四川省“冬游四川”启动仪式、第五届黄河流域生态保护和高质量发展省际合作联席会议现场观摩调研会、阿坝州加强牧区教育发展现场推进会、阿坝州建设国际生态文化旅游目的地推进大会等全州大型活动及阿坝州党政代表团赴浙江、甘孜州考察学习活动的后勤保障工作，得到各级领导的充分肯定。评价满意度超过95%；树立州委政府良好形象树效果明显。4.设定经费总支出≤856万元，实际支出698.24万元，未超成本。5.项目完成时间≤12月，已在12月底之前完成支出。</w:t>
      </w:r>
    </w:p>
    <w:p w14:paraId="4F7F19AD">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方正仿宋_GBK" w:cs="Times New Roman"/>
          <w:b w:val="0"/>
          <w:bCs w:val="0"/>
          <w:color w:val="auto"/>
          <w:kern w:val="2"/>
          <w:sz w:val="32"/>
          <w:szCs w:val="32"/>
          <w:lang w:val="en-US" w:eastAsia="zh-CN" w:bidi="ar-SA"/>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该项指标得分=年终完成履职效果目标数量3.8÷年初目标设置总4×100%×15=14.25分</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 xml:space="preserve">          </w:t>
      </w:r>
      <w:r>
        <w:rPr>
          <w:rFonts w:hint="default" w:ascii="Times New Roman" w:hAnsi="Times New Roman" w:eastAsia="方正仿宋_GBK" w:cs="Times New Roman"/>
          <w:b w:val="0"/>
          <w:bCs w:val="0"/>
          <w:color w:val="auto"/>
          <w:kern w:val="2"/>
          <w:sz w:val="32"/>
          <w:szCs w:val="32"/>
          <w:lang w:val="en-US" w:eastAsia="zh-CN" w:bidi="ar-SA"/>
        </w:rPr>
        <w:t xml:space="preserve">  </w:t>
      </w:r>
    </w:p>
    <w:p w14:paraId="5F3ACA5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b/>
          <w:bCs/>
          <w:color w:val="auto"/>
          <w:kern w:val="0"/>
          <w:sz w:val="32"/>
          <w:szCs w:val="32"/>
          <w:highlight w:val="none"/>
          <w:shd w:val="clear" w:color="auto" w:fill="FFFFFF"/>
          <w:lang w:val="zh-CN" w:eastAsia="zh-CN"/>
        </w:rPr>
      </w:pPr>
      <w:r>
        <w:rPr>
          <w:rFonts w:hint="eastAsia" w:ascii="仿宋_GB2312" w:hAnsi="仿宋_GB2312" w:eastAsia="仿宋_GB2312" w:cs="仿宋_GB2312"/>
          <w:b/>
          <w:bCs/>
          <w:color w:val="auto"/>
          <w:kern w:val="0"/>
          <w:sz w:val="32"/>
          <w:szCs w:val="32"/>
          <w:highlight w:val="none"/>
          <w:shd w:val="clear" w:color="auto" w:fill="FFFFFF"/>
          <w:lang w:val="en-US" w:eastAsia="zh-CN"/>
        </w:rPr>
        <w:t>2.</w:t>
      </w:r>
      <w:r>
        <w:rPr>
          <w:rFonts w:hint="default" w:ascii="仿宋_GB2312" w:hAnsi="仿宋_GB2312" w:eastAsia="仿宋_GB2312" w:cs="仿宋_GB2312"/>
          <w:b/>
          <w:bCs/>
          <w:color w:val="auto"/>
          <w:kern w:val="0"/>
          <w:sz w:val="32"/>
          <w:szCs w:val="32"/>
          <w:highlight w:val="none"/>
          <w:shd w:val="clear" w:color="auto" w:fill="FFFFFF"/>
          <w:lang w:val="zh-CN" w:eastAsia="zh-CN"/>
        </w:rPr>
        <w:t>预算管理</w:t>
      </w:r>
      <w:r>
        <w:rPr>
          <w:rFonts w:hint="eastAsia" w:ascii="仿宋_GB2312" w:hAnsi="仿宋_GB2312" w:eastAsia="仿宋_GB2312" w:cs="仿宋_GB2312"/>
          <w:b/>
          <w:bCs/>
          <w:color w:val="auto"/>
          <w:kern w:val="0"/>
          <w:sz w:val="32"/>
          <w:szCs w:val="32"/>
          <w:highlight w:val="none"/>
          <w:shd w:val="clear" w:color="auto" w:fill="FFFFFF"/>
          <w:lang w:val="zh-CN" w:eastAsia="zh-CN"/>
        </w:rPr>
        <w:t>。</w:t>
      </w:r>
    </w:p>
    <w:p w14:paraId="0D99108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rPr>
        <w:t>（1）预算编制质量。</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严</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格按照财政部门预算编制通知明确的范围、标准等编制部门预算；人员和公用支出预算按定员定额标准编制，项目支出预算真实；按规定开展项目评审；上报预算履行集体决策程序。</w:t>
      </w:r>
    </w:p>
    <w:p w14:paraId="34AF205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财政拨款预算偏离度：|财政拨款预算执行数（697.42万元）-财政拨款年初预算数（856.29万元）|÷财政拨款年初预算数（856.29万元）=-18.55%</w:t>
      </w:r>
    </w:p>
    <w:p w14:paraId="22E5138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资产配置预算偏离度：|资产配置预算执行数（0万元）-资产配置年初预算数（0万元）|÷资产配置年初预算数0=0</w:t>
      </w:r>
    </w:p>
    <w:p w14:paraId="1916F95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政府采购预算偏离度：|政府采购预算执行数（1.6万元）-政府采购年初预算数（1.6万元）|÷政府采购年初预算数=0%  该项指标得分=（1-财政拨款预算偏离度-18.55%）×100%×6+（1-资产配置预算偏离度0%）×100%×3+（1-政府采购预算偏离度-0%）×100%×3=13.11，超分值，按满分计算。最终得分12分。</w:t>
      </w:r>
    </w:p>
    <w:p w14:paraId="5213B25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rPr>
        <w:t>（2）支出执进度。</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在预算资金的执行中，</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我中心</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严格按照年初预算资金安排，科学合理的使用，使资金发挥其最大效益，按照各项工作的序时进度及时拨付</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，但还需进一步加强。</w:t>
      </w:r>
    </w:p>
    <w:p w14:paraId="6071CC1D">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指标得分=（1至6月预算执行数281.8万元÷（部门预算数856.29×50%）×2）+（1-1至6月支出预警金额占比0×0.8-1至6月支出违规金额占比0×0.2）+（1至10月预算执行数499.57÷（部门预算数856.29×83.33%）×2）+（1-1至10月支出预警金额占比×0.8-1至10月支出违规金额占比×0.2），最终得分4.72分。</w:t>
      </w:r>
    </w:p>
    <w:p w14:paraId="309B35C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rPr>
        <w:t>（3）年终预算结余。</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2024年无结余结转资金</w:t>
      </w:r>
    </w:p>
    <w:p w14:paraId="142BE1F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部门整体预算结余率：（年终部门预算注销金额合计0+年终部门预算结转金额合计0万元）÷调整后的年度部门预算数697.42万元= 0%   </w:t>
      </w:r>
    </w:p>
    <w:p w14:paraId="4B44F616">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该项指标得分=（1-部门整体预算结余率0%）×100%×2=2分</w:t>
      </w:r>
    </w:p>
    <w:p w14:paraId="45FD5E2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b/>
          <w:bCs/>
          <w:color w:val="auto"/>
          <w:kern w:val="0"/>
          <w:sz w:val="32"/>
          <w:szCs w:val="32"/>
          <w:highlight w:val="none"/>
          <w:shd w:val="clear" w:color="auto" w:fill="FFFFFF"/>
          <w:lang w:val="en-US" w:eastAsia="zh-CN"/>
        </w:rPr>
      </w:pPr>
      <w:r>
        <w:rPr>
          <w:rFonts w:hint="eastAsia" w:ascii="仿宋_GB2312" w:hAnsi="仿宋_GB2312" w:eastAsia="仿宋_GB2312" w:cs="仿宋_GB2312"/>
          <w:b/>
          <w:bCs/>
          <w:color w:val="auto"/>
          <w:kern w:val="0"/>
          <w:sz w:val="32"/>
          <w:szCs w:val="32"/>
          <w:highlight w:val="none"/>
          <w:shd w:val="clear" w:color="auto" w:fill="FFFFFF"/>
          <w:lang w:val="en-US" w:eastAsia="zh-CN"/>
        </w:rPr>
        <w:t>（4）严控一般性支出。</w:t>
      </w:r>
    </w:p>
    <w:p w14:paraId="6BB9227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一般性支出财政拨款年初预算468.93万元大于上年442.58万元，未实现压减该项基础分不得分。</w:t>
      </w:r>
    </w:p>
    <w:p w14:paraId="051A818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加分值。压减率=（上年执行数516.28万元-本年执行数261.96万元）÷上年执行数516.28万元=49.26%                         一般性支出财政拨款年初预算较上年未压减，不得分；一般性支出财政拨款预算执行较上年压减49.26%，得2分</w:t>
      </w:r>
    </w:p>
    <w:p w14:paraId="0C988479">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该项指标得分=基础分值+加分值=0+2=2分</w:t>
      </w:r>
    </w:p>
    <w:p w14:paraId="0731F047">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rPr>
        <w:t>3.</w:t>
      </w:r>
      <w:r>
        <w:rPr>
          <w:rFonts w:hint="default" w:ascii="仿宋_GB2312" w:hAnsi="仿宋_GB2312" w:eastAsia="仿宋_GB2312" w:cs="仿宋_GB2312"/>
          <w:b/>
          <w:bCs/>
          <w:color w:val="auto"/>
          <w:kern w:val="0"/>
          <w:sz w:val="32"/>
          <w:szCs w:val="32"/>
          <w:highlight w:val="none"/>
          <w:shd w:val="clear" w:color="auto" w:fill="FFFFFF"/>
          <w:lang w:val="zh-CN" w:eastAsia="zh-CN"/>
        </w:rPr>
        <w:t>财务管理</w:t>
      </w:r>
      <w:r>
        <w:rPr>
          <w:rFonts w:hint="eastAsia" w:ascii="仿宋_GB2312" w:hAnsi="仿宋_GB2312" w:eastAsia="仿宋_GB2312" w:cs="仿宋_GB2312"/>
          <w:b/>
          <w:bCs/>
          <w:color w:val="auto"/>
          <w:kern w:val="0"/>
          <w:sz w:val="32"/>
          <w:szCs w:val="32"/>
          <w:highlight w:val="none"/>
          <w:shd w:val="clear" w:color="auto" w:fill="FFFFFF"/>
          <w:lang w:val="zh-CN" w:eastAsia="zh-CN"/>
        </w:rPr>
        <w:t>。</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我中心在岗位设置方面，</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配备会计人员，会计、出纳等不相容岗位分离；在财务管理制度方面，根据内控要求建设涵盖预算管理、收支管理、政府采购管理、国有资产管理、合同管理等主要经济业务领域；按照分事行权、分岗设权、分级授权要求落实不相容岗位分离和定期轮岗等内部权力制衡基本举措；建立决策权、管理权、执行权和监督权“四权分立”机制；建立重大事项议事决策机制，建立健全集体研究、专家论证和技术咨询相结合的辅助决策机制；在资金规范使用方面，我中心不存在超预算或无预算安排、虚列支出、超范围超标准使用经费、违规使用“三公”经费、滥发津补贴、报销不合规等情况。故得分10分。</w:t>
      </w:r>
    </w:p>
    <w:p w14:paraId="3AFB2A3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b/>
          <w:bCs/>
          <w:color w:val="auto"/>
          <w:kern w:val="0"/>
          <w:sz w:val="32"/>
          <w:szCs w:val="32"/>
          <w:highlight w:val="none"/>
          <w:shd w:val="clear" w:color="auto" w:fill="FFFFFF"/>
          <w:lang w:val="zh-CN" w:eastAsia="zh-CN"/>
        </w:rPr>
      </w:pPr>
      <w:r>
        <w:rPr>
          <w:rFonts w:hint="eastAsia" w:ascii="仿宋_GB2312" w:hAnsi="仿宋_GB2312" w:eastAsia="仿宋_GB2312" w:cs="仿宋_GB2312"/>
          <w:b/>
          <w:bCs/>
          <w:color w:val="auto"/>
          <w:kern w:val="0"/>
          <w:sz w:val="32"/>
          <w:szCs w:val="32"/>
          <w:highlight w:val="none"/>
          <w:shd w:val="clear" w:color="auto" w:fill="FFFFFF"/>
          <w:lang w:val="en-US" w:eastAsia="zh-CN"/>
        </w:rPr>
        <w:t>4.</w:t>
      </w:r>
      <w:r>
        <w:rPr>
          <w:rFonts w:hint="default" w:ascii="仿宋_GB2312" w:hAnsi="仿宋_GB2312" w:eastAsia="仿宋_GB2312" w:cs="仿宋_GB2312"/>
          <w:b/>
          <w:bCs/>
          <w:color w:val="auto"/>
          <w:kern w:val="0"/>
          <w:sz w:val="32"/>
          <w:szCs w:val="32"/>
          <w:highlight w:val="none"/>
          <w:shd w:val="clear" w:color="auto" w:fill="FFFFFF"/>
          <w:lang w:val="zh-CN" w:eastAsia="zh-CN"/>
        </w:rPr>
        <w:t>资产管理</w:t>
      </w:r>
      <w:r>
        <w:rPr>
          <w:rFonts w:hint="eastAsia" w:ascii="仿宋_GB2312" w:hAnsi="仿宋_GB2312" w:eastAsia="仿宋_GB2312" w:cs="仿宋_GB2312"/>
          <w:b/>
          <w:bCs/>
          <w:color w:val="auto"/>
          <w:kern w:val="0"/>
          <w:sz w:val="32"/>
          <w:szCs w:val="32"/>
          <w:highlight w:val="none"/>
          <w:shd w:val="clear" w:color="auto" w:fill="FFFFFF"/>
          <w:lang w:val="zh-CN" w:eastAsia="zh-CN"/>
        </w:rPr>
        <w:t>。</w:t>
      </w:r>
    </w:p>
    <w:p w14:paraId="23B5580D">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b/>
          <w:bCs/>
          <w:i w:val="0"/>
          <w:caps w:val="0"/>
          <w:color w:val="auto"/>
          <w:spacing w:val="0"/>
          <w:kern w:val="0"/>
          <w:sz w:val="32"/>
          <w:szCs w:val="32"/>
          <w:shd w:val="clear" w:color="auto" w:fill="FFFFFF"/>
          <w:lang w:val="zh-CN" w:eastAsia="zh-CN" w:bidi="ar"/>
        </w:rPr>
      </w:pPr>
      <w:r>
        <w:rPr>
          <w:rFonts w:hint="eastAsia" w:ascii="仿宋_GB2312" w:hAnsi="仿宋_GB2312" w:eastAsia="仿宋_GB2312" w:cs="仿宋_GB2312"/>
          <w:b/>
          <w:bCs/>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1）</w:t>
      </w:r>
      <w:r>
        <w:rPr>
          <w:rFonts w:hint="eastAsia" w:ascii="仿宋_GB2312" w:hAnsi="仿宋_GB2312" w:eastAsia="仿宋_GB2312" w:cs="仿宋_GB2312"/>
          <w:b/>
          <w:bCs/>
          <w:i w:val="0"/>
          <w:caps w:val="0"/>
          <w:color w:val="auto"/>
          <w:spacing w:val="0"/>
          <w:kern w:val="0"/>
          <w:sz w:val="32"/>
          <w:szCs w:val="32"/>
          <w:shd w:val="clear" w:color="auto" w:fill="FFFFFF"/>
          <w:lang w:val="zh-CN" w:eastAsia="zh-CN" w:bidi="ar"/>
        </w:rPr>
        <w:t>人均资产变化率。</w:t>
      </w:r>
    </w:p>
    <w:p w14:paraId="5577890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zh-CN" w:eastAsia="zh-CN" w:bidi="ar"/>
        </w:rPr>
      </w:pP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 xml:space="preserve">2023年人均占有资产=（固定资产净值1125931.63元+无形资产净值12026.28元）÷年末实有人数18人=63219.88元 </w:t>
      </w:r>
    </w:p>
    <w:p w14:paraId="38FD028D">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zh-CN" w:eastAsia="zh-CN" w:bidi="ar"/>
        </w:rPr>
      </w:pP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2024年人均占有资产=（固定资产净值905308.2元+无形资产净值9742.92元）÷年末实有人数17人=53826.5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4</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 xml:space="preserve">元 </w:t>
      </w:r>
    </w:p>
    <w:p w14:paraId="2FC895A7">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zh-CN" w:eastAsia="zh-CN" w:bidi="ar"/>
        </w:rPr>
      </w:pP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 xml:space="preserve">部门人均资产变化率X：（当年单位人均占有资产53826.54-上年单位人均占有资产63219.88）÷上年单位人均占有资产63219.88=-14.86%。                   </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 xml:space="preserve">                                </w:t>
      </w:r>
    </w:p>
    <w:p w14:paraId="167243D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zh-CN" w:eastAsia="zh-CN" w:bidi="ar"/>
        </w:rPr>
      </w:pP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部门人均资产变化率X为-14.86%，州直行政事业单位人均资产变化率N为24.28%，则：X≤N，得1.5分。</w:t>
      </w:r>
    </w:p>
    <w:p w14:paraId="09B1176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zh-CN" w:eastAsia="zh-CN" w:bidi="ar"/>
        </w:rPr>
      </w:pP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部门人均资产增长率X为-14.86%，同期州级财政收入增长率N为-30.5%，则：X≤0，得1.5分，总计3分。</w:t>
      </w:r>
    </w:p>
    <w:p w14:paraId="508CB27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（2）资产利用率</w:t>
      </w:r>
    </w:p>
    <w:p w14:paraId="316BA33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办公家具原值0.32万元÷办公家具原值28.2万元×100%=1.13%。办公家具超最低使用年限资产利用率X为1.13%，州直行政事业单位平均值N为10.03%，则：X≤0.6N，得0.3分。</w:t>
      </w:r>
    </w:p>
    <w:p w14:paraId="0FE1C357">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部门办公设备超最低使用年限资产利用率=超最低使用年限的办公设备原值22.39万元÷办公设备原值34.99万×100%=63.99%。办公设备超最低使用年限资产利用率为63.99%，州直行政事业单位办公设备资产利用率平均值N为47.86%，则：X＞N，得1.5分。总计得分1.8分</w:t>
      </w:r>
    </w:p>
    <w:p w14:paraId="5FFEC69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（3）资产盘活率。</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两年均无闲置资产，该项指标得3分。</w:t>
      </w:r>
    </w:p>
    <w:p w14:paraId="41C1E1C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b/>
          <w:bCs/>
          <w:i w:val="0"/>
          <w:caps w:val="0"/>
          <w:color w:val="auto"/>
          <w:spacing w:val="0"/>
          <w:kern w:val="0"/>
          <w:sz w:val="32"/>
          <w:szCs w:val="32"/>
          <w:shd w:val="clear" w:color="auto" w:fill="FFFFFF"/>
          <w:lang w:val="zh-CN" w:eastAsia="zh-CN" w:bidi="ar"/>
        </w:rPr>
        <w:t>采购管理。</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我中心</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2024年</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公务用车保险预算</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1.6</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万元，发布时预留采购份额专门面向中小企业采购，得3分；按法定采购方式和程序实施采购；按采购文件确定事项签订政府采购合同，按规定公告、备案政府采购合同；最终以</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1.6万元签订采购合同，结余0万元。得3分。总计得分6分</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w:t>
      </w:r>
    </w:p>
    <w:p w14:paraId="687B3C8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楷体" w:hAnsi="楷体" w:eastAsia="楷体" w:cs="楷体"/>
          <w:b/>
          <w:bCs/>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（二）部门预算项目绩效分析</w:t>
      </w:r>
    </w:p>
    <w:p w14:paraId="3C1B0DBC">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zh-CN" w:eastAsia="zh-CN" w:bidi="ar"/>
        </w:rPr>
      </w:pP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常年项目绩效分析。</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该类项目总数</w:t>
      </w:r>
      <w:r>
        <w:rPr>
          <w:rFonts w:hint="default" w:ascii="仿宋_GB2312" w:hAnsi="仿宋_GB2312" w:eastAsia="仿宋_GB2312" w:cs="仿宋_GB2312"/>
          <w:i w:val="0"/>
          <w:caps w:val="0"/>
          <w:color w:val="auto"/>
          <w:spacing w:val="0"/>
          <w:kern w:val="0"/>
          <w:sz w:val="32"/>
          <w:szCs w:val="32"/>
          <w:shd w:val="clear" w:color="auto" w:fill="FFFFFF"/>
          <w:lang w:val="en" w:eastAsia="zh-CN" w:bidi="ar"/>
        </w:rPr>
        <w:t>2</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个，涉及预算总金额</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201.94</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万元，1</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1</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2</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月预算执行总体进度为</w:t>
      </w:r>
      <w:r>
        <w:rPr>
          <w:rFonts w:hint="default" w:ascii="仿宋_GB2312" w:hAnsi="仿宋_GB2312" w:eastAsia="仿宋_GB2312" w:cs="仿宋_GB2312"/>
          <w:i w:val="0"/>
          <w:caps w:val="0"/>
          <w:color w:val="auto"/>
          <w:spacing w:val="0"/>
          <w:kern w:val="0"/>
          <w:sz w:val="32"/>
          <w:szCs w:val="32"/>
          <w:shd w:val="clear" w:color="auto" w:fill="FFFFFF"/>
          <w:lang w:val="en" w:eastAsia="zh-CN" w:bidi="ar"/>
        </w:rPr>
        <w:t>100</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%，其中：预算结余率大于</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10%</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的项目共计</w:t>
      </w:r>
      <w:r>
        <w:rPr>
          <w:rFonts w:hint="default" w:ascii="仿宋_GB2312" w:hAnsi="仿宋_GB2312" w:eastAsia="仿宋_GB2312" w:cs="仿宋_GB2312"/>
          <w:i w:val="0"/>
          <w:caps w:val="0"/>
          <w:color w:val="auto"/>
          <w:spacing w:val="0"/>
          <w:kern w:val="0"/>
          <w:sz w:val="32"/>
          <w:szCs w:val="32"/>
          <w:shd w:val="clear" w:color="auto" w:fill="FFFFFF"/>
          <w:lang w:val="en" w:eastAsia="zh-CN" w:bidi="ar"/>
        </w:rPr>
        <w:t>0</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个。</w:t>
      </w:r>
    </w:p>
    <w:p w14:paraId="22200A7C">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zh-CN" w:eastAsia="zh-CN" w:bidi="ar"/>
        </w:rPr>
      </w:pP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阶段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一次性</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项目绩效分析。</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该类项目总数</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3</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个，涉及预算总金额</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204.86</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万元，1</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1</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2</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月预算执行总体进度为</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100</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%，其中：预算结余率大于</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10%</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的项目共计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0</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个。</w:t>
      </w:r>
    </w:p>
    <w:p w14:paraId="40C3302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rPr>
        <w:t>1.</w:t>
      </w:r>
      <w:r>
        <w:rPr>
          <w:rFonts w:hint="eastAsia" w:ascii="仿宋_GB2312" w:hAnsi="仿宋_GB2312" w:eastAsia="仿宋_GB2312" w:cs="仿宋_GB2312"/>
          <w:b/>
          <w:bCs/>
          <w:color w:val="auto"/>
          <w:kern w:val="0"/>
          <w:sz w:val="32"/>
          <w:szCs w:val="32"/>
          <w:highlight w:val="none"/>
          <w:shd w:val="clear" w:color="auto" w:fill="FFFFFF"/>
          <w:lang w:val="zh-CN"/>
        </w:rPr>
        <w:t>项目决策。</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在决策程序方面</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,按规定履行评估论证、申报程序;</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在目标设置方面</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,按照中心实际情况科学合理、规范完整、量化细化、与预算相匹配的设置目标;在项目入库方面,都在规定时间内完成.总计得分12分</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w:t>
      </w:r>
    </w:p>
    <w:p w14:paraId="07DEAA4C">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02"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 w:val="30"/>
          <w:szCs w:val="30"/>
          <w:highlight w:val="none"/>
          <w:shd w:val="clear" w:color="auto" w:fill="FFFFFF"/>
          <w:lang w:val="en-US" w:eastAsia="zh-CN"/>
        </w:rPr>
        <w:t>2.项目执行</w:t>
      </w:r>
      <w:r>
        <w:rPr>
          <w:rFonts w:hint="eastAsia" w:ascii="仿宋_GB2312" w:hAnsi="仿宋_GB2312" w:eastAsia="仿宋_GB2312" w:cs="仿宋_GB2312"/>
          <w:b/>
          <w:bCs/>
          <w:color w:val="auto"/>
          <w:kern w:val="0"/>
          <w:sz w:val="30"/>
          <w:szCs w:val="30"/>
          <w:highlight w:val="none"/>
          <w:shd w:val="clear" w:color="auto" w:fill="FFFFFF"/>
          <w:lang w:val="zh-CN" w:eastAsia="zh-CN"/>
        </w:rPr>
        <w:t>。</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在项目执行中</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,严格按照部门预算项目绩效目标设置的执行,没有与之不符的.项目都得以实施,没有进行项目调整,项目执行进度达100%</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。总计得分</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12分</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w:t>
      </w:r>
    </w:p>
    <w:p w14:paraId="78DBDA7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 w:val="32"/>
          <w:szCs w:val="32"/>
          <w:highlight w:val="none"/>
          <w:shd w:val="clear" w:color="auto" w:fill="FFFFFF"/>
          <w:lang w:val="en-US" w:eastAsia="zh-CN"/>
        </w:rPr>
        <w:t>3.</w:t>
      </w:r>
      <w:r>
        <w:rPr>
          <w:rFonts w:hint="eastAsia" w:ascii="仿宋_GB2312" w:hAnsi="仿宋_GB2312" w:eastAsia="仿宋_GB2312" w:cs="仿宋_GB2312"/>
          <w:b/>
          <w:bCs/>
          <w:color w:val="auto"/>
          <w:kern w:val="0"/>
          <w:sz w:val="32"/>
          <w:szCs w:val="32"/>
          <w:highlight w:val="none"/>
          <w:shd w:val="clear" w:color="auto" w:fill="FFFFFF"/>
          <w:lang w:val="zh-CN" w:eastAsia="zh-CN"/>
        </w:rPr>
        <w:t>目标实现。</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我中心预算项目绩效目标设置数量指标，其中公务接待工作经费中设置数量指标批次小于等于100批次</w:t>
      </w:r>
      <w:r>
        <w:rPr>
          <w:rFonts w:hint="default" w:ascii="仿宋_GB2312" w:hAnsi="仿宋_GB2312" w:eastAsia="仿宋_GB2312" w:cs="仿宋_GB2312"/>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但最终统计接待批次为</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108批次，绩效目标实现偏离度为8%。故扣2.33分，总计得分8.67分。</w:t>
      </w:r>
    </w:p>
    <w:p w14:paraId="5C90137C">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w:t>
      </w:r>
      <w:r>
        <w:rPr>
          <w:rFonts w:hint="eastAsia" w:ascii="楷体" w:hAnsi="楷体" w:eastAsia="楷体" w:cs="楷体"/>
          <w:b/>
          <w:bCs/>
          <w:i w:val="0"/>
          <w:caps w:val="0"/>
          <w:color w:val="auto"/>
          <w:spacing w:val="0"/>
          <w:kern w:val="0"/>
          <w:sz w:val="32"/>
          <w:szCs w:val="32"/>
          <w:shd w:val="clear" w:color="auto" w:fill="FFFFFF"/>
          <w:lang w:val="zh-CN" w:eastAsia="zh-CN" w:bidi="ar"/>
        </w:rPr>
        <w:t>三</w:t>
      </w:r>
      <w:r>
        <w:rPr>
          <w:rFonts w:hint="default" w:ascii="楷体" w:hAnsi="楷体" w:eastAsia="楷体" w:cs="楷体"/>
          <w:b/>
          <w:bCs/>
          <w:i w:val="0"/>
          <w:caps w:val="0"/>
          <w:color w:val="auto"/>
          <w:spacing w:val="0"/>
          <w:kern w:val="0"/>
          <w:sz w:val="32"/>
          <w:szCs w:val="32"/>
          <w:shd w:val="clear" w:color="auto" w:fill="FFFFFF"/>
          <w:lang w:val="zh-CN" w:eastAsia="zh-CN" w:bidi="ar"/>
        </w:rPr>
        <w:t>）重点领域绩效分析</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因机关楼道瓷砖经常性掉落和出现破裂，2023年中心向财政申请办公楼维修项目资金，2024年财政批复相关维修资金</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3万元，调整预算2.92万元</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。2024年成立维修工作领导小组，根据单位内控管理制度，开展比选询价工作，进行结果公示，</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最终</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明确了项目合作方阿坝州众和建设有限责任</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公司</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以2.92万元</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签订了《州公务服务中心</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机关办公区楼道、卫生间等零星维修服务</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合同》</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，结余0万元。</w:t>
      </w:r>
    </w:p>
    <w:p w14:paraId="13322C9F">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zh-CN" w:eastAsia="zh-CN" w:bidi="ar"/>
        </w:rPr>
      </w:pPr>
      <w:r>
        <w:rPr>
          <w:rFonts w:hint="eastAsia" w:ascii="楷体" w:hAnsi="楷体" w:eastAsia="楷体" w:cs="楷体"/>
          <w:b/>
          <w:bCs/>
          <w:i w:val="0"/>
          <w:caps w:val="0"/>
          <w:color w:val="auto"/>
          <w:spacing w:val="0"/>
          <w:kern w:val="0"/>
          <w:sz w:val="32"/>
          <w:szCs w:val="32"/>
          <w:shd w:val="clear" w:color="auto" w:fill="FFFFFF"/>
          <w:lang w:val="zh-CN" w:eastAsia="zh-CN" w:bidi="ar"/>
        </w:rPr>
        <w:t>（四）</w:t>
      </w:r>
      <w:r>
        <w:rPr>
          <w:rFonts w:hint="default" w:ascii="楷体" w:hAnsi="楷体" w:eastAsia="楷体" w:cs="楷体"/>
          <w:b/>
          <w:bCs/>
          <w:i w:val="0"/>
          <w:caps w:val="0"/>
          <w:color w:val="auto"/>
          <w:spacing w:val="0"/>
          <w:kern w:val="0"/>
          <w:sz w:val="32"/>
          <w:szCs w:val="32"/>
          <w:shd w:val="clear" w:color="auto" w:fill="FFFFFF"/>
          <w:lang w:val="zh-CN" w:eastAsia="zh-CN" w:bidi="ar"/>
        </w:rPr>
        <w:t>绩效结果应用情况</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zh-CN" w:eastAsia="zh-CN" w:bidi="ar"/>
        </w:rPr>
        <w:t>本中心资金支出符合国家财经法规和财务管理制度以及有关项目资金管理办法的规定，资金的拨付有完整的审批过程和手续，项目的支出按规定经过评估论证，支出符合部门预算批复的用途，资金使用无截留、挤占、挪用、虚列支出等情况。</w:t>
      </w:r>
    </w:p>
    <w:p w14:paraId="4F45BDAA">
      <w:pPr>
        <w:keepNext w:val="0"/>
        <w:keepLines w:val="0"/>
        <w:pageBreakBefore w:val="0"/>
        <w:widowControl/>
        <w:kinsoku/>
        <w:wordWrap/>
        <w:overflowPunct/>
        <w:topLinePunct w:val="0"/>
        <w:autoSpaceDE/>
        <w:autoSpaceDN/>
        <w:bidi w:val="0"/>
        <w:adjustRightInd/>
        <w:snapToGrid/>
        <w:spacing w:line="576" w:lineRule="exact"/>
        <w:ind w:firstLine="632" w:firstLineChars="200"/>
        <w:jc w:val="both"/>
        <w:textAlignment w:val="auto"/>
        <w:rPr>
          <w:rFonts w:hint="default" w:ascii="Times New Roman" w:hAnsi="Times New Roman" w:eastAsia="黑体" w:cs="Times New Roman"/>
          <w:color w:val="auto"/>
          <w:spacing w:val="-2"/>
          <w:kern w:val="0"/>
          <w:sz w:val="32"/>
          <w:szCs w:val="32"/>
        </w:rPr>
      </w:pPr>
      <w:bookmarkStart w:id="122" w:name="_Toc1952331381_WPSOffice_Level2"/>
      <w:r>
        <w:rPr>
          <w:rFonts w:hint="default" w:ascii="Times New Roman" w:hAnsi="Times New Roman" w:eastAsia="黑体" w:cs="Times New Roman"/>
          <w:color w:val="auto"/>
          <w:spacing w:val="-2"/>
          <w:kern w:val="0"/>
          <w:sz w:val="32"/>
          <w:szCs w:val="32"/>
          <w:lang w:eastAsia="zh-CN"/>
        </w:rPr>
        <w:t>四、</w:t>
      </w:r>
      <w:r>
        <w:rPr>
          <w:rFonts w:hint="default" w:ascii="Times New Roman" w:hAnsi="Times New Roman" w:eastAsia="黑体" w:cs="Times New Roman"/>
          <w:color w:val="auto"/>
          <w:spacing w:val="-2"/>
          <w:kern w:val="0"/>
          <w:sz w:val="32"/>
          <w:szCs w:val="32"/>
        </w:rPr>
        <w:t>评价结论及建议</w:t>
      </w:r>
      <w:bookmarkEnd w:id="122"/>
    </w:p>
    <w:p w14:paraId="5F49FA66">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（一）评价结论</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202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4</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年部门整体支出绩效评价指标总分值100分，自评</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91.44</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分</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，无扣分项</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一是</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履职效能模板。设置绩效指标精准度不足，扣0.75分；</w:t>
      </w: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二</w:t>
      </w:r>
      <w:r>
        <w:rPr>
          <w:rFonts w:hint="default" w:ascii="仿宋_GB2312" w:hAnsi="仿宋_GB2312" w:eastAsia="仿宋_GB2312" w:cs="仿宋_GB2312"/>
          <w:b/>
          <w:bCs/>
          <w:i w:val="0"/>
          <w:caps w:val="0"/>
          <w:color w:val="auto"/>
          <w:spacing w:val="0"/>
          <w:kern w:val="0"/>
          <w:sz w:val="32"/>
          <w:szCs w:val="32"/>
          <w:shd w:val="clear" w:color="auto" w:fill="FFFFFF"/>
          <w:lang w:val="en-US" w:eastAsia="zh-CN" w:bidi="ar"/>
        </w:rPr>
        <w:t>是</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预算管理模块支出执行进度、严控一般性支出等方面还需进一步加强，扣4.28分；</w:t>
      </w: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三是</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办公家具超最低使用年限资产利用率低，</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扣</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1.2</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分；</w:t>
      </w:r>
      <w:r>
        <w:rPr>
          <w:rFonts w:hint="eastAsia" w:ascii="仿宋_GB2312" w:hAnsi="仿宋_GB2312" w:eastAsia="仿宋_GB2312" w:cs="仿宋_GB2312"/>
          <w:b/>
          <w:bCs/>
          <w:i w:val="0"/>
          <w:caps w:val="0"/>
          <w:color w:val="auto"/>
          <w:spacing w:val="0"/>
          <w:kern w:val="0"/>
          <w:sz w:val="32"/>
          <w:szCs w:val="32"/>
          <w:shd w:val="clear" w:color="auto" w:fill="FFFFFF"/>
          <w:lang w:val="en-US" w:eastAsia="zh-CN" w:bidi="ar"/>
        </w:rPr>
        <w:t>四</w:t>
      </w:r>
      <w:r>
        <w:rPr>
          <w:rFonts w:hint="default" w:ascii="仿宋_GB2312" w:hAnsi="仿宋_GB2312" w:eastAsia="仿宋_GB2312" w:cs="仿宋_GB2312"/>
          <w:b/>
          <w:bCs/>
          <w:i w:val="0"/>
          <w:caps w:val="0"/>
          <w:color w:val="auto"/>
          <w:spacing w:val="0"/>
          <w:kern w:val="0"/>
          <w:sz w:val="32"/>
          <w:szCs w:val="32"/>
          <w:shd w:val="clear" w:color="auto" w:fill="FFFFFF"/>
          <w:lang w:val="en-US" w:eastAsia="zh-CN" w:bidi="ar"/>
        </w:rPr>
        <w:t>是</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目标实现模块，公务接待工作经费数量指标偏离度为8%，</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扣分</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2.33</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分</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p>
    <w:p w14:paraId="3AFFC6F6">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（二）存在问题</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我中心</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严格按照预算执行</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及绩效管理</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相关要求，强化责任主体意识，积极采取有效措施，不断优化支出结构，不断提升预算执行管理水平。经费支付进度</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虽较2023年有所改善，但经费支付进度还是不太理想，还有提升的空间。还有就是因接待批次量多量少没有定数，估计起来困难，导致绩效指标量化还不精准。</w:t>
      </w:r>
    </w:p>
    <w:p w14:paraId="062A5DAE">
      <w:pPr>
        <w:keepNext w:val="0"/>
        <w:keepLines w:val="0"/>
        <w:pageBreakBefore w:val="0"/>
        <w:widowControl/>
        <w:kinsoku/>
        <w:wordWrap/>
        <w:overflowPunct/>
        <w:topLinePunct w:val="0"/>
        <w:autoSpaceDE/>
        <w:autoSpaceDN/>
        <w:bidi w:val="0"/>
        <w:adjustRightInd/>
        <w:snapToGrid/>
        <w:spacing w:line="480" w:lineRule="exact"/>
        <w:ind w:firstLine="643" w:firstLineChars="200"/>
        <w:jc w:val="both"/>
        <w:textAlignment w:val="auto"/>
        <w:rPr>
          <w:rFonts w:hint="default" w:ascii="仿宋_GB2312" w:hAnsi="仿宋_GB2312" w:eastAsia="仿宋_GB2312" w:cs="仿宋_GB2312"/>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（三）改进建议</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细化预算指标，提高预算科学性。预算编制前根据年度内单位可预见的工作任务，确定单位年度预算目标，细化预算指标，科学合理编制部门预算，推进预算编制科学化、准确化。年度预算编制后，根据实际情况，定期做好预算执行分析，掌握预算执行进度进度，纠正偏差，</w:t>
      </w:r>
      <w:r>
        <w:rPr>
          <w:rFonts w:hint="default" w:ascii="仿宋_GB2312" w:hAnsi="仿宋_GB2312" w:eastAsia="仿宋_GB2312" w:cs="仿宋_GB2312"/>
          <w:i w:val="0"/>
          <w:caps w:val="0"/>
          <w:color w:val="auto"/>
          <w:spacing w:val="0"/>
          <w:kern w:val="0"/>
          <w:sz w:val="32"/>
          <w:szCs w:val="32"/>
          <w:shd w:val="clear" w:color="auto" w:fill="FFFFFF"/>
          <w:lang w:val="en-US" w:eastAsia="zh-CN" w:bidi="ar"/>
        </w:rPr>
        <w:t>力争完成年度目标任务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，也为下一次科学、准确地编制部门预算积累经验。</w:t>
      </w:r>
    </w:p>
    <w:p w14:paraId="0D72A3B6">
      <w:pPr>
        <w:keepNext w:val="0"/>
        <w:keepLines w:val="0"/>
        <w:pageBreakBefore w:val="0"/>
        <w:kinsoku/>
        <w:wordWrap/>
        <w:overflowPunct/>
        <w:topLinePunct w:val="0"/>
        <w:autoSpaceDE/>
        <w:autoSpaceDN/>
        <w:bidi w:val="0"/>
        <w:adjustRightInd/>
        <w:snapToGrid/>
        <w:spacing w:line="480" w:lineRule="exact"/>
        <w:contextualSpacing/>
        <w:jc w:val="both"/>
        <w:textAlignment w:val="auto"/>
        <w:outlineLvl w:val="9"/>
        <w:rPr>
          <w:rFonts w:hint="default" w:ascii="Times New Roman" w:hAnsi="Times New Roman" w:eastAsia="黑体" w:cs="Times New Roman"/>
          <w:color w:val="auto"/>
          <w:szCs w:val="32"/>
          <w:highlight w:val="none"/>
          <w:lang w:val="en-US" w:eastAsia="zh-CN"/>
        </w:rPr>
      </w:pPr>
    </w:p>
    <w:p w14:paraId="373A387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bookmarkStart w:id="123" w:name="_Toc1534993383_WPSOffice_Level2"/>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附件：1.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部门整体支出绩效目标完成情况自评表</w:t>
      </w:r>
      <w:bookmarkEnd w:id="123"/>
    </w:p>
    <w:p w14:paraId="04144361">
      <w:pPr>
        <w:keepNext w:val="0"/>
        <w:keepLines w:val="0"/>
        <w:pageBreakBefore w:val="0"/>
        <w:widowControl w:val="0"/>
        <w:kinsoku/>
        <w:wordWrap/>
        <w:overflowPunct/>
        <w:topLinePunct w:val="0"/>
        <w:autoSpaceDE/>
        <w:autoSpaceDN/>
        <w:bidi w:val="0"/>
        <w:adjustRightInd/>
        <w:snapToGrid/>
        <w:spacing w:line="480" w:lineRule="exact"/>
        <w:ind w:firstLine="1600" w:firstLineChars="500"/>
        <w:jc w:val="left"/>
        <w:textAlignment w:val="auto"/>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bookmarkStart w:id="124" w:name="_Toc1650038299_WPSOffice_Level2"/>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2.部门预算绩效自评打分表</w:t>
      </w:r>
      <w:bookmarkEnd w:id="124"/>
    </w:p>
    <w:p w14:paraId="7D2190E3">
      <w:pPr>
        <w:keepNext w:val="0"/>
        <w:keepLines w:val="0"/>
        <w:pageBreakBefore w:val="0"/>
        <w:widowControl w:val="0"/>
        <w:kinsoku/>
        <w:wordWrap/>
        <w:overflowPunct/>
        <w:topLinePunct w:val="0"/>
        <w:autoSpaceDE/>
        <w:autoSpaceDN/>
        <w:bidi w:val="0"/>
        <w:adjustRightInd/>
        <w:snapToGrid/>
        <w:spacing w:line="480" w:lineRule="exact"/>
        <w:ind w:firstLine="1600" w:firstLineChars="500"/>
        <w:jc w:val="left"/>
        <w:textAlignment w:val="auto"/>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bookmarkStart w:id="125" w:name="_Toc819040085_WPSOffice_Level2"/>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3.部门预算项目支出绩效自评表</w:t>
      </w:r>
      <w:bookmarkEnd w:id="125"/>
    </w:p>
    <w:p w14:paraId="0C87D78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p>
    <w:p w14:paraId="2B022583">
      <w:pPr>
        <w:keepNext w:val="0"/>
        <w:keepLines w:val="0"/>
        <w:pageBreakBefore w:val="0"/>
        <w:widowControl w:val="0"/>
        <w:kinsoku/>
        <w:wordWrap/>
        <w:overflowPunct/>
        <w:topLinePunct w:val="0"/>
        <w:autoSpaceDE/>
        <w:autoSpaceDN/>
        <w:bidi w:val="0"/>
        <w:adjustRightInd/>
        <w:snapToGrid/>
        <w:spacing w:line="480" w:lineRule="exact"/>
        <w:ind w:firstLine="4800" w:firstLineChars="1500"/>
        <w:jc w:val="left"/>
        <w:textAlignment w:val="auto"/>
        <w:rPr>
          <w:rFonts w:hint="eastAsia" w:cs="Times New Roman"/>
          <w:i w:val="0"/>
          <w:caps w:val="0"/>
          <w:color w:val="auto"/>
          <w:spacing w:val="0"/>
          <w:kern w:val="0"/>
          <w:sz w:val="32"/>
          <w:szCs w:val="32"/>
          <w:shd w:val="clear" w:color="auto" w:fill="FFFFFF"/>
          <w:lang w:val="en-US" w:eastAsia="zh-CN" w:bidi="ar"/>
        </w:rPr>
      </w:pPr>
    </w:p>
    <w:p w14:paraId="1EC8A5E4">
      <w:pPr>
        <w:pStyle w:val="2"/>
        <w:rPr>
          <w:rFonts w:hint="eastAsia" w:cs="Times New Roman"/>
          <w:i w:val="0"/>
          <w:caps w:val="0"/>
          <w:color w:val="auto"/>
          <w:spacing w:val="0"/>
          <w:kern w:val="0"/>
          <w:sz w:val="32"/>
          <w:szCs w:val="32"/>
          <w:shd w:val="clear" w:color="auto" w:fill="FFFFFF"/>
          <w:lang w:val="en-US" w:eastAsia="zh-CN" w:bidi="ar"/>
        </w:rPr>
      </w:pPr>
    </w:p>
    <w:p w14:paraId="4F2BFCA8">
      <w:pPr>
        <w:rPr>
          <w:rFonts w:hint="eastAsia" w:cs="Times New Roman"/>
          <w:i w:val="0"/>
          <w:caps w:val="0"/>
          <w:color w:val="auto"/>
          <w:spacing w:val="0"/>
          <w:kern w:val="0"/>
          <w:sz w:val="32"/>
          <w:szCs w:val="32"/>
          <w:shd w:val="clear" w:color="auto" w:fill="FFFFFF"/>
          <w:lang w:val="en-US" w:eastAsia="zh-CN" w:bidi="ar"/>
        </w:rPr>
      </w:pPr>
    </w:p>
    <w:p w14:paraId="31C447C4">
      <w:pPr>
        <w:pStyle w:val="2"/>
        <w:rPr>
          <w:rFonts w:hint="eastAsia" w:cs="Times New Roman"/>
          <w:i w:val="0"/>
          <w:caps w:val="0"/>
          <w:color w:val="auto"/>
          <w:spacing w:val="0"/>
          <w:kern w:val="0"/>
          <w:sz w:val="32"/>
          <w:szCs w:val="32"/>
          <w:shd w:val="clear" w:color="auto" w:fill="FFFFFF"/>
          <w:lang w:val="en-US" w:eastAsia="zh-CN" w:bidi="ar"/>
        </w:rPr>
      </w:pPr>
    </w:p>
    <w:p w14:paraId="00758616">
      <w:pPr>
        <w:pStyle w:val="2"/>
        <w:ind w:left="0" w:leftChars="0" w:firstLine="0" w:firstLineChars="0"/>
        <w:rPr>
          <w:rFonts w:hint="eastAsia"/>
          <w:lang w:val="en-US" w:eastAsia="zh-CN"/>
        </w:rPr>
      </w:pPr>
    </w:p>
    <w:p w14:paraId="45D7E658">
      <w:pPr>
        <w:rPr>
          <w:rFonts w:hint="eastAsia"/>
          <w:lang w:val="en-US" w:eastAsia="zh-CN"/>
        </w:rPr>
      </w:pPr>
    </w:p>
    <w:p w14:paraId="1E1E2C04">
      <w:pPr>
        <w:pStyle w:val="2"/>
        <w:rPr>
          <w:rFonts w:hint="eastAsia"/>
          <w:lang w:val="en-US" w:eastAsia="zh-CN"/>
        </w:rPr>
      </w:pPr>
    </w:p>
    <w:p w14:paraId="40C6A84D">
      <w:pPr>
        <w:rPr>
          <w:rFonts w:hint="eastAsia"/>
          <w:lang w:val="en-US" w:eastAsia="zh-CN"/>
        </w:rPr>
      </w:pPr>
    </w:p>
    <w:p w14:paraId="7ECA5A31">
      <w:pPr>
        <w:rPr>
          <w:rFonts w:hint="eastAsia"/>
          <w:lang w:val="en-US" w:eastAsia="zh-CN"/>
        </w:rPr>
      </w:pPr>
    </w:p>
    <w:p w14:paraId="1D94A9FF">
      <w:pPr>
        <w:pStyle w:val="2"/>
        <w:rPr>
          <w:rFonts w:hint="eastAsia"/>
          <w:lang w:val="en-US" w:eastAsia="zh-CN"/>
        </w:rPr>
      </w:pPr>
    </w:p>
    <w:tbl>
      <w:tblPr>
        <w:tblStyle w:val="18"/>
        <w:tblpPr w:leftFromText="180" w:rightFromText="180" w:vertAnchor="text" w:horzAnchor="page" w:tblpX="862" w:tblpY="1139"/>
        <w:tblOverlap w:val="never"/>
        <w:tblW w:w="105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0"/>
        <w:gridCol w:w="1066"/>
        <w:gridCol w:w="1517"/>
        <w:gridCol w:w="2051"/>
        <w:gridCol w:w="1416"/>
        <w:gridCol w:w="1234"/>
        <w:gridCol w:w="1316"/>
        <w:gridCol w:w="634"/>
      </w:tblGrid>
      <w:tr w14:paraId="4F799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584" w:type="dxa"/>
            <w:gridSpan w:val="8"/>
            <w:tcBorders>
              <w:top w:val="nil"/>
              <w:left w:val="nil"/>
              <w:bottom w:val="nil"/>
              <w:right w:val="nil"/>
            </w:tcBorders>
            <w:shd w:val="clear" w:color="auto" w:fill="auto"/>
            <w:vAlign w:val="center"/>
          </w:tcPr>
          <w:p w14:paraId="5A8A30B3">
            <w:pPr>
              <w:keepNext w:val="0"/>
              <w:keepLines w:val="0"/>
              <w:widowControl/>
              <w:suppressLineNumbers w:val="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部门整体支出绩效目标完成情况自评表</w:t>
            </w:r>
          </w:p>
        </w:tc>
      </w:tr>
      <w:tr w14:paraId="74140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4" w:type="dxa"/>
            <w:gridSpan w:val="8"/>
            <w:tcBorders>
              <w:top w:val="nil"/>
              <w:left w:val="nil"/>
              <w:bottom w:val="nil"/>
              <w:right w:val="nil"/>
            </w:tcBorders>
            <w:shd w:val="clear" w:color="auto" w:fill="auto"/>
            <w:vAlign w:val="center"/>
          </w:tcPr>
          <w:p w14:paraId="7AB7E1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（2024年度）</w:t>
            </w:r>
          </w:p>
        </w:tc>
      </w:tr>
      <w:tr w14:paraId="3EF64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4" w:type="dxa"/>
            <w:gridSpan w:val="8"/>
            <w:tcBorders>
              <w:top w:val="nil"/>
              <w:left w:val="nil"/>
              <w:bottom w:val="single" w:color="000000" w:sz="4" w:space="0"/>
              <w:right w:val="nil"/>
            </w:tcBorders>
            <w:shd w:val="clear" w:color="auto" w:fill="auto"/>
            <w:vAlign w:val="center"/>
          </w:tcPr>
          <w:p w14:paraId="38F221CD">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金额单位：万元</w:t>
            </w:r>
          </w:p>
        </w:tc>
      </w:tr>
      <w:tr w14:paraId="44A51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 w:hRule="atLeast"/>
        </w:trPr>
        <w:tc>
          <w:tcPr>
            <w:tcW w:w="39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79B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66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137C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州公务服务中心部门</w:t>
            </w:r>
          </w:p>
        </w:tc>
      </w:tr>
      <w:tr w14:paraId="68B46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82C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885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3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427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3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1A8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r>
      <w:tr w14:paraId="2143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F713E">
            <w:pPr>
              <w:jc w:val="center"/>
              <w:rPr>
                <w:rFonts w:hint="eastAsia" w:ascii="宋体" w:hAnsi="宋体" w:eastAsia="宋体" w:cs="宋体"/>
                <w:i w:val="0"/>
                <w:color w:val="000000"/>
                <w:sz w:val="18"/>
                <w:szCs w:val="18"/>
                <w:u w:val="none"/>
              </w:rPr>
            </w:pP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A6660">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698.24</w:t>
            </w:r>
          </w:p>
        </w:tc>
        <w:tc>
          <w:tcPr>
            <w:tcW w:w="34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9A1C4">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698.24</w:t>
            </w:r>
          </w:p>
        </w:tc>
        <w:tc>
          <w:tcPr>
            <w:tcW w:w="3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C01062">
            <w:pPr>
              <w:jc w:val="right"/>
              <w:rPr>
                <w:rFonts w:hint="eastAsia" w:ascii="宋体" w:hAnsi="宋体" w:eastAsia="宋体" w:cs="宋体"/>
                <w:i w:val="0"/>
                <w:color w:val="000000"/>
                <w:sz w:val="18"/>
                <w:szCs w:val="18"/>
                <w:u w:val="none"/>
              </w:rPr>
            </w:pPr>
          </w:p>
        </w:tc>
      </w:tr>
      <w:tr w14:paraId="32BD1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29B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92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E0F8F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预算资金用于高质量完成符合要求的公务接待工作、保障公务人员出差需求及保障办公楼状况良好，为职工提供一个安全舒适良好的办公场所。始终以“周到、细致、安全、顺畅”为工作目标和工作遵循，紧紧围绕公务接待“1234”工作布局，构建通畅、高效、协作的公务服务保障体系，全力推动公务接待由事务向政务转型升级。</w:t>
            </w:r>
          </w:p>
        </w:tc>
      </w:tr>
      <w:tr w14:paraId="1064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F64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1A6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66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6FD8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r>
      <w:tr w14:paraId="0451F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52012">
            <w:pPr>
              <w:jc w:val="center"/>
              <w:rPr>
                <w:rFonts w:hint="eastAsia" w:ascii="宋体" w:hAnsi="宋体" w:eastAsia="宋体" w:cs="宋体"/>
                <w:i w:val="0"/>
                <w:color w:val="000000"/>
                <w:sz w:val="18"/>
                <w:szCs w:val="18"/>
                <w:u w:val="none"/>
              </w:rPr>
            </w:pP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F1CF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公务接待工作经费</w:t>
            </w:r>
          </w:p>
        </w:tc>
        <w:tc>
          <w:tcPr>
            <w:tcW w:w="66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49322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高质量完成符合要求的公务接待工作</w:t>
            </w:r>
          </w:p>
        </w:tc>
      </w:tr>
      <w:tr w14:paraId="246D2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23D34">
            <w:pPr>
              <w:jc w:val="center"/>
              <w:rPr>
                <w:rFonts w:hint="eastAsia" w:ascii="宋体" w:hAnsi="宋体" w:eastAsia="宋体" w:cs="宋体"/>
                <w:i w:val="0"/>
                <w:color w:val="000000"/>
                <w:sz w:val="18"/>
                <w:szCs w:val="18"/>
                <w:u w:val="none"/>
              </w:rPr>
            </w:pP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5278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公共服务工作经费</w:t>
            </w:r>
          </w:p>
        </w:tc>
        <w:tc>
          <w:tcPr>
            <w:tcW w:w="66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72997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保证符合要求的公务服务</w:t>
            </w:r>
          </w:p>
        </w:tc>
      </w:tr>
      <w:tr w14:paraId="23DD7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5529C">
            <w:pPr>
              <w:jc w:val="center"/>
              <w:rPr>
                <w:rFonts w:hint="eastAsia" w:ascii="宋体" w:hAnsi="宋体" w:eastAsia="宋体" w:cs="宋体"/>
                <w:i w:val="0"/>
                <w:color w:val="000000"/>
                <w:sz w:val="18"/>
                <w:szCs w:val="18"/>
                <w:u w:val="none"/>
              </w:rPr>
            </w:pP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79FD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办公楼维修</w:t>
            </w:r>
          </w:p>
        </w:tc>
        <w:tc>
          <w:tcPr>
            <w:tcW w:w="66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A16FB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保障办公楼状况良好，为职工提供一个安全舒适良好的办公场所</w:t>
            </w:r>
          </w:p>
        </w:tc>
      </w:tr>
      <w:tr w14:paraId="06DBD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CD036">
            <w:pPr>
              <w:jc w:val="center"/>
              <w:rPr>
                <w:rFonts w:hint="eastAsia" w:ascii="宋体" w:hAnsi="宋体" w:eastAsia="宋体" w:cs="宋体"/>
                <w:i w:val="0"/>
                <w:color w:val="000000"/>
                <w:sz w:val="18"/>
                <w:szCs w:val="18"/>
                <w:u w:val="none"/>
              </w:rPr>
            </w:pP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4BEA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正常运转</w:t>
            </w:r>
          </w:p>
        </w:tc>
        <w:tc>
          <w:tcPr>
            <w:tcW w:w="66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E2E15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保障工资正常发放，保障中心日常运转</w:t>
            </w:r>
          </w:p>
        </w:tc>
      </w:tr>
      <w:tr w14:paraId="13BC4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85B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7B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A5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D9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30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41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CE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1A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r>
      <w:tr w14:paraId="1854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55874">
            <w:pPr>
              <w:jc w:val="center"/>
              <w:rPr>
                <w:rFonts w:hint="eastAsia" w:ascii="宋体" w:hAnsi="宋体" w:eastAsia="宋体" w:cs="宋体"/>
                <w:i w:val="0"/>
                <w:color w:val="000000"/>
                <w:sz w:val="18"/>
                <w:szCs w:val="18"/>
                <w:u w:val="none"/>
              </w:rPr>
            </w:pPr>
          </w:p>
        </w:tc>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BF49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DFA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E9F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省部级以上接待任务</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A0B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9E0E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1C7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批次</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36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r>
      <w:tr w14:paraId="1E23C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E0937">
            <w:pPr>
              <w:jc w:val="center"/>
              <w:rPr>
                <w:rFonts w:hint="eastAsia" w:ascii="宋体" w:hAnsi="宋体" w:eastAsia="宋体" w:cs="宋体"/>
                <w:i w:val="0"/>
                <w:color w:val="000000"/>
                <w:sz w:val="18"/>
                <w:szCs w:val="18"/>
                <w:u w:val="none"/>
              </w:rPr>
            </w:pPr>
          </w:p>
        </w:tc>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1792C">
            <w:pPr>
              <w:jc w:val="left"/>
              <w:rPr>
                <w:rFonts w:hint="eastAsia" w:ascii="宋体" w:hAnsi="宋体" w:eastAsia="宋体" w:cs="宋体"/>
                <w:i w:val="0"/>
                <w:color w:val="000000"/>
                <w:sz w:val="18"/>
                <w:szCs w:val="18"/>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11F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FF72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公务接待质量达标率</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835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015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5B5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00B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0B832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B03C4">
            <w:pPr>
              <w:jc w:val="center"/>
              <w:rPr>
                <w:rFonts w:hint="eastAsia" w:ascii="宋体" w:hAnsi="宋体" w:eastAsia="宋体" w:cs="宋体"/>
                <w:i w:val="0"/>
                <w:color w:val="000000"/>
                <w:sz w:val="18"/>
                <w:szCs w:val="18"/>
                <w:u w:val="none"/>
              </w:rPr>
            </w:pPr>
          </w:p>
        </w:tc>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8181C">
            <w:pPr>
              <w:jc w:val="left"/>
              <w:rPr>
                <w:rFonts w:hint="eastAsia" w:ascii="宋体" w:hAnsi="宋体" w:eastAsia="宋体" w:cs="宋体"/>
                <w:i w:val="0"/>
                <w:color w:val="000000"/>
                <w:sz w:val="18"/>
                <w:szCs w:val="18"/>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642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CE8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项目完成时间</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367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DF2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E83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B93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730DE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AE091">
            <w:pPr>
              <w:jc w:val="center"/>
              <w:rPr>
                <w:rFonts w:hint="eastAsia" w:ascii="宋体" w:hAnsi="宋体" w:eastAsia="宋体" w:cs="宋体"/>
                <w:i w:val="0"/>
                <w:color w:val="000000"/>
                <w:sz w:val="18"/>
                <w:szCs w:val="18"/>
                <w:u w:val="none"/>
              </w:rPr>
            </w:pPr>
          </w:p>
        </w:tc>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24FB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557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66E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接待经费同比下降</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057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D1F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下降</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9A91">
            <w:pPr>
              <w:jc w:val="left"/>
              <w:rPr>
                <w:rFonts w:hint="eastAsia" w:ascii="宋体" w:hAnsi="宋体" w:eastAsia="宋体" w:cs="宋体"/>
                <w:i w:val="0"/>
                <w:color w:val="000000"/>
                <w:sz w:val="18"/>
                <w:szCs w:val="18"/>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E03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75DA6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60F32">
            <w:pPr>
              <w:jc w:val="center"/>
              <w:rPr>
                <w:rFonts w:hint="eastAsia" w:ascii="宋体" w:hAnsi="宋体" w:eastAsia="宋体" w:cs="宋体"/>
                <w:i w:val="0"/>
                <w:color w:val="000000"/>
                <w:sz w:val="18"/>
                <w:szCs w:val="18"/>
                <w:u w:val="none"/>
              </w:rPr>
            </w:pPr>
          </w:p>
        </w:tc>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403DC">
            <w:pPr>
              <w:jc w:val="left"/>
              <w:rPr>
                <w:rFonts w:hint="eastAsia" w:ascii="宋体" w:hAnsi="宋体" w:eastAsia="宋体" w:cs="宋体"/>
                <w:i w:val="0"/>
                <w:color w:val="000000"/>
                <w:sz w:val="18"/>
                <w:szCs w:val="18"/>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D8C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0FD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树立州委政府良好形象</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EC0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434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效果明显</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DB57">
            <w:pPr>
              <w:jc w:val="left"/>
              <w:rPr>
                <w:rFonts w:hint="eastAsia" w:ascii="宋体" w:hAnsi="宋体" w:eastAsia="宋体" w:cs="宋体"/>
                <w:i w:val="0"/>
                <w:color w:val="000000"/>
                <w:sz w:val="18"/>
                <w:szCs w:val="18"/>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8A0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275C4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EEBC1">
            <w:pPr>
              <w:jc w:val="center"/>
              <w:rPr>
                <w:rFonts w:hint="eastAsia" w:ascii="宋体" w:hAnsi="宋体" w:eastAsia="宋体" w:cs="宋体"/>
                <w:i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BC9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8B0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B0C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公务接待对象满意度</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FDD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F52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E06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F5A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2956B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A6510">
            <w:pPr>
              <w:jc w:val="center"/>
              <w:rPr>
                <w:rFonts w:hint="eastAsia" w:ascii="宋体" w:hAnsi="宋体" w:eastAsia="宋体" w:cs="宋体"/>
                <w:i w:val="0"/>
                <w:color w:val="000000"/>
                <w:sz w:val="18"/>
                <w:szCs w:val="18"/>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D41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4A7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DB2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经费总支出</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C97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CCD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856</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341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487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r>
    </w:tbl>
    <w:p w14:paraId="21E6C9B7">
      <w:pPr>
        <w:pStyle w:val="15"/>
        <w:keepNext w:val="0"/>
        <w:keepLines w:val="0"/>
        <w:pageBreakBefore w:val="0"/>
        <w:kinsoku/>
        <w:wordWrap/>
        <w:overflowPunct/>
        <w:topLinePunct w:val="0"/>
        <w:autoSpaceDE/>
        <w:autoSpaceDN/>
        <w:bidi w:val="0"/>
        <w:adjustRightInd/>
        <w:snapToGrid/>
        <w:spacing w:line="436" w:lineRule="exact"/>
        <w:ind w:left="0" w:leftChars="0" w:firstLine="0" w:firstLineChars="0"/>
        <w:jc w:val="both"/>
        <w:rPr>
          <w:rFonts w:hint="default" w:ascii="Times New Roman" w:hAnsi="Times New Roman" w:eastAsia="黑体" w:cs="Times New Roman"/>
          <w:color w:val="auto"/>
          <w:sz w:val="24"/>
          <w:szCs w:val="24"/>
          <w:highlight w:val="none"/>
          <w:lang w:val="en-US" w:eastAsia="zh-CN"/>
        </w:rPr>
      </w:pPr>
    </w:p>
    <w:p w14:paraId="4ECF91B7">
      <w:pPr>
        <w:pStyle w:val="6"/>
        <w:rPr>
          <w:rFonts w:hint="eastAsia" w:ascii="黑体" w:hAnsi="黑体" w:eastAsia="黑体" w:cs="黑体"/>
          <w:color w:val="auto"/>
          <w:kern w:val="0"/>
          <w:sz w:val="32"/>
          <w:szCs w:val="32"/>
          <w:highlight w:val="none"/>
          <w:shd w:val="clear" w:color="auto" w:fill="FFFFFF"/>
          <w:lang w:val="zh-CN"/>
        </w:rPr>
      </w:pPr>
    </w:p>
    <w:p w14:paraId="2F72A1EC">
      <w:pPr>
        <w:rPr>
          <w:rFonts w:hint="eastAsia" w:ascii="黑体" w:hAnsi="黑体" w:eastAsia="黑体" w:cs="黑体"/>
          <w:color w:val="auto"/>
          <w:kern w:val="0"/>
          <w:sz w:val="32"/>
          <w:szCs w:val="32"/>
          <w:highlight w:val="none"/>
          <w:shd w:val="clear" w:color="auto" w:fill="FFFFFF"/>
          <w:lang w:val="zh-CN"/>
        </w:rPr>
      </w:pPr>
    </w:p>
    <w:p w14:paraId="51273236">
      <w:pPr>
        <w:pStyle w:val="2"/>
        <w:rPr>
          <w:rFonts w:hint="eastAsia" w:ascii="黑体" w:hAnsi="黑体" w:eastAsia="黑体" w:cs="黑体"/>
          <w:color w:val="auto"/>
          <w:kern w:val="0"/>
          <w:sz w:val="32"/>
          <w:szCs w:val="32"/>
          <w:highlight w:val="none"/>
          <w:shd w:val="clear" w:color="auto" w:fill="FFFFFF"/>
          <w:lang w:val="zh-CN"/>
        </w:rPr>
      </w:pPr>
    </w:p>
    <w:tbl>
      <w:tblPr>
        <w:tblStyle w:val="18"/>
        <w:tblW w:w="6298" w:type="pct"/>
        <w:tblInd w:w="-10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36"/>
        <w:gridCol w:w="705"/>
        <w:gridCol w:w="1283"/>
        <w:gridCol w:w="1085"/>
        <w:gridCol w:w="4608"/>
        <w:gridCol w:w="976"/>
        <w:gridCol w:w="542"/>
      </w:tblGrid>
      <w:tr w14:paraId="0636F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00" w:type="pct"/>
            <w:gridSpan w:val="7"/>
            <w:tcBorders>
              <w:top w:val="nil"/>
              <w:left w:val="nil"/>
              <w:bottom w:val="nil"/>
              <w:right w:val="nil"/>
            </w:tcBorders>
            <w:shd w:val="clear" w:color="auto" w:fill="auto"/>
            <w:vAlign w:val="center"/>
          </w:tcPr>
          <w:p w14:paraId="4F6D0709">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8"/>
                <w:szCs w:val="48"/>
                <w:u w:val="none"/>
              </w:rPr>
            </w:pPr>
            <w:r>
              <w:rPr>
                <w:rFonts w:hint="eastAsia" w:ascii="方正小标宋简体" w:hAnsi="方正小标宋简体" w:eastAsia="方正小标宋简体" w:cs="方正小标宋简体"/>
                <w:i w:val="0"/>
                <w:color w:val="000000"/>
                <w:kern w:val="0"/>
                <w:sz w:val="48"/>
                <w:szCs w:val="48"/>
                <w:u w:val="none"/>
                <w:lang w:val="en-US" w:eastAsia="zh-CN" w:bidi="ar"/>
              </w:rPr>
              <w:t>部门预算绩效自评打分表</w:t>
            </w:r>
          </w:p>
        </w:tc>
      </w:tr>
      <w:tr w14:paraId="60B81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4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6E25A6">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指标分值</w:t>
            </w:r>
          </w:p>
        </w:tc>
        <w:tc>
          <w:tcPr>
            <w:tcW w:w="2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E343A">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5C974">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自评得分</w:t>
            </w: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5D3FE">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备注</w:t>
            </w:r>
          </w:p>
        </w:tc>
      </w:tr>
      <w:tr w14:paraId="5F919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34482">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F5617">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56BA4">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8F6CE">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2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65785">
            <w:pPr>
              <w:jc w:val="center"/>
              <w:rPr>
                <w:rFonts w:hint="eastAsia" w:ascii="黑体" w:hAnsi="宋体" w:eastAsia="黑体" w:cs="黑体"/>
                <w:i w:val="0"/>
                <w:color w:val="000000"/>
                <w:sz w:val="24"/>
                <w:szCs w:val="24"/>
                <w:u w:val="none"/>
              </w:rPr>
            </w:pP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C176E">
            <w:pPr>
              <w:jc w:val="center"/>
              <w:rPr>
                <w:rFonts w:hint="eastAsia" w:ascii="黑体" w:hAnsi="宋体" w:eastAsia="黑体" w:cs="黑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6FCB8">
            <w:pPr>
              <w:jc w:val="center"/>
              <w:rPr>
                <w:rFonts w:hint="eastAsia" w:ascii="黑体" w:hAnsi="宋体" w:eastAsia="黑体" w:cs="黑体"/>
                <w:i w:val="0"/>
                <w:color w:val="000000"/>
                <w:sz w:val="24"/>
                <w:szCs w:val="24"/>
                <w:u w:val="none"/>
              </w:rPr>
            </w:pPr>
          </w:p>
        </w:tc>
      </w:tr>
      <w:tr w14:paraId="4C6A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8E70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BBA7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2BE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公务接待履职效果</w:t>
            </w:r>
          </w:p>
        </w:tc>
        <w:tc>
          <w:tcPr>
            <w:tcW w:w="5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1B2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13A5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指标：1.设定省部级以上接待任务≤70批次，截至2024年年底共接待省部级以上76批次；超过扣0.75分;2.设定州级公务接待质量达标率为100%，2024年无任何接待事故发生。四川省公务服务中心1次表扬1次感谢,徐芝文书记给予肯定性批示“后勤服务保障很给力,大家辛苦了”；3.设定公务接待对象满意度≥95%；设定树立州委政府良好形象树效果明显。2024年优质高效保障了245任务、24-90任务和2024年四川省“冬游四川”启动仪式、第五届黄河流域生态保护和高质量发展省际合作联席会议现场观摩调研会、阿坝州加强牧区教育发展现场推进会、阿坝州建设国际生态文化旅游目的地推进大会等全州大型活动及阿坝州党政代表团赴浙江、甘孜州考察学习活动的后勤保障工作，得到各级领导的充分肯定。评价满意度超过95%；树立州委政府良好形象树效果明显。4.设定经费总支出≤856万元，实际支出698.24万元，未超成本。5.项目完成时间≤12月，已在12月底之前完成支出。该项指标得分=年终完成履职效果目标数量3.8÷年初目标设置总4×100%×15=14.25分</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BF8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14.25</w:t>
            </w: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E7C49">
            <w:pPr>
              <w:jc w:val="center"/>
              <w:rPr>
                <w:rFonts w:hint="eastAsia" w:ascii="宋体" w:hAnsi="宋体" w:eastAsia="宋体" w:cs="宋体"/>
                <w:i w:val="0"/>
                <w:color w:val="000000"/>
                <w:sz w:val="24"/>
                <w:szCs w:val="24"/>
                <w:u w:val="none"/>
              </w:rPr>
            </w:pPr>
          </w:p>
        </w:tc>
      </w:tr>
      <w:tr w14:paraId="2B369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8AB86">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01F9F">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28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正常运转履职效果</w:t>
            </w: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26E3B">
            <w:pPr>
              <w:jc w:val="center"/>
              <w:rPr>
                <w:rFonts w:hint="eastAsia" w:ascii="宋体" w:hAnsi="宋体" w:eastAsia="宋体" w:cs="宋体"/>
                <w:i w:val="0"/>
                <w:color w:val="000000"/>
                <w:sz w:val="24"/>
                <w:szCs w:val="24"/>
                <w:u w:val="none"/>
              </w:rPr>
            </w:pPr>
          </w:p>
        </w:tc>
        <w:tc>
          <w:tcPr>
            <w:tcW w:w="2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99CAE">
            <w:pPr>
              <w:jc w:val="left"/>
              <w:rPr>
                <w:rFonts w:hint="eastAsia" w:ascii="宋体" w:hAnsi="宋体" w:eastAsia="宋体" w:cs="宋体"/>
                <w:i w:val="0"/>
                <w:color w:val="000000"/>
                <w:sz w:val="24"/>
                <w:szCs w:val="24"/>
                <w:u w:val="none"/>
              </w:rPr>
            </w:pP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E9EA1">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DDFB1">
            <w:pPr>
              <w:jc w:val="center"/>
              <w:rPr>
                <w:rFonts w:hint="eastAsia" w:ascii="宋体" w:hAnsi="宋体" w:eastAsia="宋体" w:cs="宋体"/>
                <w:i w:val="0"/>
                <w:color w:val="000000"/>
                <w:sz w:val="24"/>
                <w:szCs w:val="24"/>
                <w:u w:val="none"/>
              </w:rPr>
            </w:pPr>
          </w:p>
        </w:tc>
      </w:tr>
      <w:tr w14:paraId="6FA49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F5EB8">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D1466">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CAF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公务服务履职效果</w:t>
            </w: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1D4C7">
            <w:pPr>
              <w:jc w:val="center"/>
              <w:rPr>
                <w:rFonts w:hint="eastAsia" w:ascii="宋体" w:hAnsi="宋体" w:eastAsia="宋体" w:cs="宋体"/>
                <w:i w:val="0"/>
                <w:color w:val="000000"/>
                <w:sz w:val="24"/>
                <w:szCs w:val="24"/>
                <w:u w:val="none"/>
              </w:rPr>
            </w:pPr>
          </w:p>
        </w:tc>
        <w:tc>
          <w:tcPr>
            <w:tcW w:w="2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CAA08">
            <w:pPr>
              <w:jc w:val="left"/>
              <w:rPr>
                <w:rFonts w:hint="eastAsia" w:ascii="宋体" w:hAnsi="宋体" w:eastAsia="宋体" w:cs="宋体"/>
                <w:i w:val="0"/>
                <w:color w:val="000000"/>
                <w:sz w:val="24"/>
                <w:szCs w:val="24"/>
                <w:u w:val="none"/>
              </w:rPr>
            </w:pP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ADE5F">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FD336">
            <w:pPr>
              <w:jc w:val="center"/>
              <w:rPr>
                <w:rFonts w:hint="eastAsia" w:ascii="宋体" w:hAnsi="宋体" w:eastAsia="宋体" w:cs="宋体"/>
                <w:i w:val="0"/>
                <w:color w:val="000000"/>
                <w:sz w:val="24"/>
                <w:szCs w:val="24"/>
                <w:u w:val="none"/>
              </w:rPr>
            </w:pPr>
          </w:p>
        </w:tc>
      </w:tr>
      <w:tr w14:paraId="44BC0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4ADE5">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85ACD">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25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办公楼维修履职效果</w:t>
            </w: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2DA83">
            <w:pPr>
              <w:jc w:val="center"/>
              <w:rPr>
                <w:rFonts w:hint="eastAsia" w:ascii="宋体" w:hAnsi="宋体" w:eastAsia="宋体" w:cs="宋体"/>
                <w:i w:val="0"/>
                <w:color w:val="000000"/>
                <w:sz w:val="24"/>
                <w:szCs w:val="24"/>
                <w:u w:val="none"/>
              </w:rPr>
            </w:pPr>
          </w:p>
        </w:tc>
        <w:tc>
          <w:tcPr>
            <w:tcW w:w="2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6E585">
            <w:pPr>
              <w:jc w:val="left"/>
              <w:rPr>
                <w:rFonts w:hint="eastAsia" w:ascii="宋体" w:hAnsi="宋体" w:eastAsia="宋体" w:cs="宋体"/>
                <w:i w:val="0"/>
                <w:color w:val="000000"/>
                <w:sz w:val="24"/>
                <w:szCs w:val="24"/>
                <w:u w:val="none"/>
              </w:rPr>
            </w:pP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3569C">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DFC11">
            <w:pPr>
              <w:jc w:val="center"/>
              <w:rPr>
                <w:rFonts w:hint="eastAsia" w:ascii="宋体" w:hAnsi="宋体" w:eastAsia="宋体" w:cs="宋体"/>
                <w:i w:val="0"/>
                <w:color w:val="000000"/>
                <w:sz w:val="24"/>
                <w:szCs w:val="24"/>
                <w:u w:val="none"/>
              </w:rPr>
            </w:pPr>
          </w:p>
        </w:tc>
      </w:tr>
      <w:tr w14:paraId="54500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74B3C">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ABA2A">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831DC">
            <w:pPr>
              <w:jc w:val="center"/>
              <w:rPr>
                <w:rFonts w:hint="eastAsia" w:ascii="宋体" w:hAnsi="宋体" w:eastAsia="宋体" w:cs="宋体"/>
                <w:i w:val="0"/>
                <w:color w:val="000000"/>
                <w:sz w:val="24"/>
                <w:szCs w:val="24"/>
                <w:u w:val="none"/>
              </w:rPr>
            </w:pP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27250">
            <w:pPr>
              <w:jc w:val="center"/>
              <w:rPr>
                <w:rFonts w:hint="eastAsia" w:ascii="宋体" w:hAnsi="宋体" w:eastAsia="宋体" w:cs="宋体"/>
                <w:i w:val="0"/>
                <w:color w:val="000000"/>
                <w:sz w:val="24"/>
                <w:szCs w:val="24"/>
                <w:u w:val="none"/>
              </w:rPr>
            </w:pPr>
          </w:p>
        </w:tc>
        <w:tc>
          <w:tcPr>
            <w:tcW w:w="2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074E">
            <w:pPr>
              <w:jc w:val="left"/>
              <w:rPr>
                <w:rFonts w:hint="eastAsia" w:ascii="宋体" w:hAnsi="宋体" w:eastAsia="宋体" w:cs="宋体"/>
                <w:i w:val="0"/>
                <w:color w:val="000000"/>
                <w:sz w:val="24"/>
                <w:szCs w:val="24"/>
                <w:u w:val="none"/>
              </w:rPr>
            </w:pP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0D8D7">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35E32">
            <w:pPr>
              <w:jc w:val="center"/>
              <w:rPr>
                <w:rFonts w:hint="eastAsia" w:ascii="宋体" w:hAnsi="宋体" w:eastAsia="宋体" w:cs="宋体"/>
                <w:i w:val="0"/>
                <w:color w:val="000000"/>
                <w:sz w:val="24"/>
                <w:szCs w:val="24"/>
                <w:u w:val="none"/>
              </w:rPr>
            </w:pPr>
          </w:p>
        </w:tc>
      </w:tr>
      <w:tr w14:paraId="67E0E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19FEE">
            <w:pPr>
              <w:jc w:val="center"/>
              <w:rPr>
                <w:rFonts w:hint="eastAsia" w:ascii="宋体" w:hAnsi="宋体" w:eastAsia="宋体" w:cs="宋体"/>
                <w:b/>
                <w:i w:val="0"/>
                <w:color w:val="000000"/>
                <w:sz w:val="24"/>
                <w:szCs w:val="24"/>
                <w:u w:val="none"/>
              </w:rPr>
            </w:pP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CE82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B29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EE6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79E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1.财政拨款预算偏离度：|财政拨款预算执行数（697.42万元）-财政拨款年初预算数（856.29万元）|÷财政拨款年初预算数（856.29万元）=-18.55%</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2.资产配置预算偏离度：|资产配置预算执行数（0万元）-资产配置年初预算数（0万元）|÷资产配置年初预算数0=0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3.政府采购预算偏离度：|政府采购预算执行数（1.6万元）-政府采购年初预算数（1.6万元）|÷政府采购年初预算数=0%  该项指标得分=（1-财政拨款预算偏离度-18.55%）×100%×6+（1-资产配置预算偏离度0%）×100%×3+（1-政府采购预算偏离度-0%）×100%×3=13.11，超分值，按满分计算</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5DE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20.72</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B2D03">
            <w:pPr>
              <w:jc w:val="center"/>
              <w:rPr>
                <w:rFonts w:hint="eastAsia" w:ascii="宋体" w:hAnsi="宋体" w:eastAsia="宋体" w:cs="宋体"/>
                <w:i w:val="0"/>
                <w:color w:val="000000"/>
                <w:sz w:val="24"/>
                <w:szCs w:val="24"/>
                <w:u w:val="none"/>
              </w:rPr>
            </w:pPr>
          </w:p>
        </w:tc>
      </w:tr>
      <w:tr w14:paraId="486A3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21EEC">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07BA7">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59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314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43F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1至6月预算执行数281.8万元÷（部门预算数856.29×50%）×2）+（1-1至6月支出预警金额占比0×0.8-1至6月支出违规金额占比0×0.2）+（1至10月预算执行数499.57÷（部门预算数856.29×83.33%）×2）+（1-1至10月支出预警金额占比×0.8-1至10月支出违规金额占比×0.2）=4.72</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138A3">
            <w:pPr>
              <w:jc w:val="center"/>
              <w:rPr>
                <w:rFonts w:hint="eastAsia" w:ascii="宋体" w:hAnsi="宋体" w:eastAsia="宋体" w:cs="宋体"/>
                <w:i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5E6CD2">
            <w:pPr>
              <w:jc w:val="center"/>
              <w:rPr>
                <w:rFonts w:hint="eastAsia" w:ascii="宋体" w:hAnsi="宋体" w:eastAsia="宋体" w:cs="宋体"/>
                <w:i w:val="0"/>
                <w:color w:val="000000"/>
                <w:sz w:val="24"/>
                <w:szCs w:val="24"/>
                <w:u w:val="none"/>
              </w:rPr>
            </w:pPr>
          </w:p>
        </w:tc>
      </w:tr>
      <w:tr w14:paraId="1B7D8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FDB58">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65B92">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AA5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33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AE9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部门整体预算结余率：（年终部门预算注销金额合计0+年终部门预算结转金额合计0万元）÷调整后的年度部门预算数697.42万元= 0%                                     该项指标得分=（1-部门整体预算结余率0%×100%×2=2分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8526E">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E7A29">
            <w:pPr>
              <w:jc w:val="center"/>
              <w:rPr>
                <w:rFonts w:hint="eastAsia" w:ascii="宋体" w:hAnsi="宋体" w:eastAsia="宋体" w:cs="宋体"/>
                <w:i w:val="0"/>
                <w:color w:val="000000"/>
                <w:sz w:val="24"/>
                <w:szCs w:val="24"/>
                <w:u w:val="none"/>
              </w:rPr>
            </w:pPr>
          </w:p>
        </w:tc>
      </w:tr>
      <w:tr w14:paraId="045EA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F0FC4">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F76B0">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3B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6BA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5BDE">
            <w:pPr>
              <w:keepNext w:val="0"/>
              <w:keepLines w:val="0"/>
              <w:widowControl/>
              <w:suppressLineNumbers w:val="0"/>
              <w:ind w:firstLineChars="20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该项指标得分=基础分值+加分值 =0+2=2分                                </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1.一般性支出财政拨款年初预算468.93万元大于上年442.58万元，未实现压减该项基础分不得分。  </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2.加分值 压减率=（上年执行数516.28万元-本年执行数261.96万元）÷上年执行数516.28万元=49.26%                         一般性支出财政拨款年初预算较上年未压减，不得分；一般性支出财政拨款预算执行较上年压减49.26%，得2分。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26D91">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79C6E">
            <w:pPr>
              <w:jc w:val="center"/>
              <w:rPr>
                <w:rFonts w:hint="eastAsia" w:ascii="宋体" w:hAnsi="宋体" w:eastAsia="宋体" w:cs="宋体"/>
                <w:i w:val="0"/>
                <w:color w:val="000000"/>
                <w:sz w:val="24"/>
                <w:szCs w:val="24"/>
                <w:u w:val="none"/>
              </w:rPr>
            </w:pPr>
          </w:p>
        </w:tc>
      </w:tr>
      <w:tr w14:paraId="14B1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37E1C">
            <w:pPr>
              <w:jc w:val="center"/>
              <w:rPr>
                <w:rFonts w:hint="eastAsia" w:ascii="宋体" w:hAnsi="宋体" w:eastAsia="宋体" w:cs="宋体"/>
                <w:b/>
                <w:i w:val="0"/>
                <w:color w:val="000000"/>
                <w:sz w:val="24"/>
                <w:szCs w:val="24"/>
                <w:u w:val="none"/>
              </w:rPr>
            </w:pP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1C83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A3C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A6F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E191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部门已制定内部财务管理制度等制度机制的，得2分。财务管理制度得到落实，得2分。总计得分4分</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BF8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28D82">
            <w:pPr>
              <w:jc w:val="center"/>
              <w:rPr>
                <w:rFonts w:hint="eastAsia" w:ascii="宋体" w:hAnsi="宋体" w:eastAsia="宋体" w:cs="宋体"/>
                <w:i w:val="0"/>
                <w:color w:val="000000"/>
                <w:sz w:val="24"/>
                <w:szCs w:val="24"/>
                <w:u w:val="none"/>
              </w:rPr>
            </w:pPr>
          </w:p>
        </w:tc>
      </w:tr>
      <w:tr w14:paraId="7509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93C3B">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5CF52">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635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E33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DE7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根据内控要求制定《廉政风险点及防控措施》、《关键岗位责任制》等制度，合理设置财务工作岗位，明确职责权限，并严格实行不相容岗位分离的，得2分。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2ED59">
            <w:pPr>
              <w:jc w:val="center"/>
              <w:rPr>
                <w:rFonts w:hint="eastAsia" w:ascii="宋体" w:hAnsi="宋体" w:eastAsia="宋体" w:cs="宋体"/>
                <w:i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584C9">
            <w:pPr>
              <w:jc w:val="center"/>
              <w:rPr>
                <w:rFonts w:hint="eastAsia" w:ascii="宋体" w:hAnsi="宋体" w:eastAsia="宋体" w:cs="宋体"/>
                <w:i w:val="0"/>
                <w:color w:val="000000"/>
                <w:sz w:val="24"/>
                <w:szCs w:val="24"/>
                <w:u w:val="none"/>
              </w:rPr>
            </w:pPr>
          </w:p>
        </w:tc>
      </w:tr>
      <w:tr w14:paraId="5D675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2D13D">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B7712">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9B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A3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628A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我中心不存在超预算或无预算安排、虚列支出、超范围超标准使用经费、违规使用“三公”经费、滥发津补贴、报销不合规等情况，得4分。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011D8">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50940">
            <w:pPr>
              <w:jc w:val="center"/>
              <w:rPr>
                <w:rFonts w:hint="eastAsia" w:ascii="宋体" w:hAnsi="宋体" w:eastAsia="宋体" w:cs="宋体"/>
                <w:i w:val="0"/>
                <w:color w:val="000000"/>
                <w:sz w:val="24"/>
                <w:szCs w:val="24"/>
                <w:u w:val="none"/>
              </w:rPr>
            </w:pPr>
          </w:p>
        </w:tc>
      </w:tr>
      <w:tr w14:paraId="1287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0BE62">
            <w:pPr>
              <w:jc w:val="center"/>
              <w:rPr>
                <w:rFonts w:hint="eastAsia" w:ascii="宋体" w:hAnsi="宋体" w:eastAsia="宋体" w:cs="宋体"/>
                <w:b/>
                <w:i w:val="0"/>
                <w:color w:val="000000"/>
                <w:sz w:val="24"/>
                <w:szCs w:val="24"/>
                <w:u w:val="none"/>
              </w:rPr>
            </w:pP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E31F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89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4FE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2458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2023年人均占有资产=（固定资产净值1125931.63元+无形资产净值12026.28元）÷年末实有人数18人=63219.88元                                  2024年人均占有资产=（固定资产净值905308.2元+无形资产净值9742.92元）÷年末实有人数17人=53826.54 元                     部门人均资产变化率X：（当年单位人均占有资产53826.54-上年单位人均占有资产63219.88）÷上年单位人均占有资产63219.88=-14.86%。                                 部门人均资产变化率X为-14.86%，州直行政事业单位人均资产变化率N为24.28%，则：X≤N，得1.5分</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部门人均资产增长率X为-14.86%，同期州级财政收入增长率N为-30.5%，则：X≤0，得1.5分，总计3分</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BD5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07EAD">
            <w:pPr>
              <w:jc w:val="center"/>
              <w:rPr>
                <w:rFonts w:hint="eastAsia" w:ascii="宋体" w:hAnsi="宋体" w:eastAsia="宋体" w:cs="宋体"/>
                <w:i w:val="0"/>
                <w:color w:val="000000"/>
                <w:sz w:val="24"/>
                <w:szCs w:val="24"/>
                <w:u w:val="none"/>
              </w:rPr>
            </w:pPr>
          </w:p>
        </w:tc>
      </w:tr>
      <w:tr w14:paraId="2A7F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05B2E">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47A53">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82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A6A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739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办公家具超最低使用年限资产利用率=超最低使用年限的办公家具原值0.32万元÷办公家具原值28.2万元×100%=1.13%。办公家具超最低使用年限资产利用率X为1.13%，州直行政事业单位平均值N为10.03%，则：X≤0.6N，得0.3分。</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部门办公设备超最低使用年限资产利用率=超最低使用年限的办公设备原值22.39万元÷办公设备原值34.99万×100%=63.99%。办公设备超最低使用年限资产利用率为63.99%，州直行政事业单位办公设备资产利用率平均值N为47.86%，则：X＞N，得1.5分。总计得分1.8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FF153">
            <w:pPr>
              <w:jc w:val="center"/>
              <w:rPr>
                <w:rFonts w:hint="eastAsia" w:ascii="宋体" w:hAnsi="宋体" w:eastAsia="宋体" w:cs="宋体"/>
                <w:i w:val="0"/>
                <w:color w:val="000000"/>
                <w:sz w:val="24"/>
                <w:szCs w:val="24"/>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8795C">
            <w:pPr>
              <w:jc w:val="center"/>
              <w:rPr>
                <w:rFonts w:hint="eastAsia" w:ascii="宋体" w:hAnsi="宋体" w:eastAsia="宋体" w:cs="宋体"/>
                <w:i w:val="0"/>
                <w:color w:val="000000"/>
                <w:sz w:val="24"/>
                <w:szCs w:val="24"/>
                <w:u w:val="none"/>
              </w:rPr>
            </w:pPr>
          </w:p>
        </w:tc>
      </w:tr>
      <w:tr w14:paraId="768C1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02A0F">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36C02">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FCF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FBB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AEE0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两年均无闲置资产，该项指标得3分。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B094F">
            <w:pPr>
              <w:jc w:val="center"/>
              <w:rPr>
                <w:rFonts w:hint="eastAsia" w:ascii="宋体" w:hAnsi="宋体" w:eastAsia="宋体" w:cs="宋体"/>
                <w:i w:val="0"/>
                <w:color w:val="000000"/>
                <w:sz w:val="24"/>
                <w:szCs w:val="24"/>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EDFFD">
            <w:pPr>
              <w:jc w:val="center"/>
              <w:rPr>
                <w:rFonts w:hint="eastAsia" w:ascii="宋体" w:hAnsi="宋体" w:eastAsia="宋体" w:cs="宋体"/>
                <w:i w:val="0"/>
                <w:color w:val="000000"/>
                <w:sz w:val="24"/>
                <w:szCs w:val="24"/>
                <w:u w:val="none"/>
              </w:rPr>
            </w:pPr>
          </w:p>
        </w:tc>
      </w:tr>
      <w:tr w14:paraId="1938D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40E8E">
            <w:pPr>
              <w:jc w:val="center"/>
              <w:rPr>
                <w:rFonts w:hint="eastAsia" w:ascii="宋体" w:hAnsi="宋体" w:eastAsia="宋体" w:cs="宋体"/>
                <w:b/>
                <w:i w:val="0"/>
                <w:color w:val="000000"/>
                <w:sz w:val="24"/>
                <w:szCs w:val="24"/>
                <w:u w:val="none"/>
              </w:rPr>
            </w:pP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8E06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7D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C0C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6AA4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办公设备采购预算1.6万元，发布时预留采购份额专门面向中小企业采购，得3分</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8E3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E2B82">
            <w:pPr>
              <w:jc w:val="center"/>
              <w:rPr>
                <w:rFonts w:hint="eastAsia" w:ascii="宋体" w:hAnsi="宋体" w:eastAsia="宋体" w:cs="宋体"/>
                <w:i w:val="0"/>
                <w:color w:val="000000"/>
                <w:sz w:val="24"/>
                <w:szCs w:val="24"/>
                <w:u w:val="none"/>
              </w:rPr>
            </w:pPr>
          </w:p>
        </w:tc>
      </w:tr>
      <w:tr w14:paraId="47C88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3AF43">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71267">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D4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FBE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B4FD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该项指标得分=当年政府采购实际支付总金额1.6万元÷（当年政府采购总预算数1.6万元-当年已完成采购项目节约金额0万元）×100%×3=3分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4F24A">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02E20">
            <w:pPr>
              <w:jc w:val="center"/>
              <w:rPr>
                <w:rFonts w:hint="eastAsia" w:ascii="宋体" w:hAnsi="宋体" w:eastAsia="宋体" w:cs="宋体"/>
                <w:i w:val="0"/>
                <w:color w:val="000000"/>
                <w:sz w:val="24"/>
                <w:szCs w:val="24"/>
                <w:u w:val="none"/>
              </w:rPr>
            </w:pPr>
          </w:p>
        </w:tc>
      </w:tr>
      <w:tr w14:paraId="2CACC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83A65">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CB74D">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88E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728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A414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该项指标得分=4-部门未履行事前评估程序的部门预算阶段项目（含一次性项目）数量0÷部门预算阶段项目（含一次性项目）总数3×100%×4=4分</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8D6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106D5">
            <w:pPr>
              <w:jc w:val="center"/>
              <w:rPr>
                <w:rFonts w:hint="eastAsia" w:ascii="宋体" w:hAnsi="宋体" w:eastAsia="宋体" w:cs="宋体"/>
                <w:i w:val="0"/>
                <w:color w:val="000000"/>
                <w:sz w:val="24"/>
                <w:szCs w:val="24"/>
                <w:u w:val="none"/>
              </w:rPr>
            </w:pPr>
          </w:p>
        </w:tc>
      </w:tr>
      <w:tr w14:paraId="194B2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0282D">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69D86">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BDA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10B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5AE7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该项指标得分=4-绩效目标与计划期内的任务量、预算安排不相匹配的部门预算阶段项目（含一次性项目）数量0÷部门预算阶段项目（含一次性项目）总数3×100%×4=4分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378DF">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9E83D">
            <w:pPr>
              <w:jc w:val="center"/>
              <w:rPr>
                <w:rFonts w:hint="eastAsia" w:ascii="宋体" w:hAnsi="宋体" w:eastAsia="宋体" w:cs="宋体"/>
                <w:i w:val="0"/>
                <w:color w:val="000000"/>
                <w:sz w:val="24"/>
                <w:szCs w:val="24"/>
                <w:u w:val="none"/>
              </w:rPr>
            </w:pPr>
          </w:p>
        </w:tc>
      </w:tr>
      <w:tr w14:paraId="77F50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10F82">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EF02A">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7E1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C5F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E0AE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该项指标得分=4-规定时间未入财政库部门预算阶段项目（含一次性项目）数量0÷最终安排部门预算阶段项目（含一次性项目）总数3×100%×4=4分。规定时间以当年9月30日为准。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7F0C0">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AB9D9">
            <w:pPr>
              <w:jc w:val="center"/>
              <w:rPr>
                <w:rFonts w:hint="eastAsia" w:ascii="宋体" w:hAnsi="宋体" w:eastAsia="宋体" w:cs="宋体"/>
                <w:i w:val="0"/>
                <w:color w:val="000000"/>
                <w:sz w:val="24"/>
                <w:szCs w:val="24"/>
                <w:u w:val="none"/>
              </w:rPr>
            </w:pPr>
          </w:p>
        </w:tc>
      </w:tr>
      <w:tr w14:paraId="4EE6C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0010D">
            <w:pPr>
              <w:jc w:val="center"/>
              <w:rPr>
                <w:rFonts w:hint="eastAsia" w:ascii="宋体" w:hAnsi="宋体" w:eastAsia="宋体" w:cs="宋体"/>
                <w:b/>
                <w:i w:val="0"/>
                <w:color w:val="000000"/>
                <w:sz w:val="24"/>
                <w:szCs w:val="24"/>
                <w:u w:val="none"/>
              </w:rPr>
            </w:pP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9FB8D">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828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068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5536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该项指标得分=4-实际列支内容与绩效目标设置方向不相符的部门预算阶段项目（含一次性项目）数量0÷部门预算阶段项目（含一次性项目）总数4×100%×4=4分</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065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C2FE">
            <w:pPr>
              <w:jc w:val="center"/>
              <w:rPr>
                <w:rFonts w:hint="eastAsia" w:ascii="宋体" w:hAnsi="宋体" w:eastAsia="宋体" w:cs="宋体"/>
                <w:i w:val="0"/>
                <w:color w:val="000000"/>
                <w:sz w:val="24"/>
                <w:szCs w:val="24"/>
                <w:u w:val="none"/>
              </w:rPr>
            </w:pPr>
          </w:p>
        </w:tc>
      </w:tr>
      <w:tr w14:paraId="729D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2711C">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A0CEB">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47A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987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1C83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该项指标得分=4-应采取未采取收回预算、调整目标等处置措施的部门预算阶段项目（含一次性项目）数量0÷应采取收回预算、调整目标等处置措施的部门预算阶段项目（含一次性项目）总数0×100%×4=4分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6056D">
            <w:pPr>
              <w:jc w:val="center"/>
              <w:rPr>
                <w:rFonts w:hint="eastAsia" w:ascii="宋体" w:hAnsi="宋体" w:eastAsia="宋体" w:cs="宋体"/>
                <w:i w:val="0"/>
                <w:color w:val="000000"/>
                <w:sz w:val="24"/>
                <w:szCs w:val="24"/>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83B21">
            <w:pPr>
              <w:jc w:val="center"/>
              <w:rPr>
                <w:rFonts w:hint="eastAsia" w:ascii="宋体" w:hAnsi="宋体" w:eastAsia="宋体" w:cs="宋体"/>
                <w:i w:val="0"/>
                <w:color w:val="000000"/>
                <w:sz w:val="24"/>
                <w:szCs w:val="24"/>
                <w:u w:val="none"/>
              </w:rPr>
            </w:pPr>
          </w:p>
        </w:tc>
      </w:tr>
      <w:tr w14:paraId="12633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B0B9D">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3D2F2">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4B2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48B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0735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该项指标得分=预算结余率小于10%的常年项目数量2÷部门预算常年项目总数2×100%×2+预算结余率小于10%的一次性项目和阶段项目数量1÷部门预算一次性项目和阶段项目总数1×100%×2=4分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0325C">
            <w:pPr>
              <w:jc w:val="center"/>
              <w:rPr>
                <w:rFonts w:hint="eastAsia" w:ascii="宋体" w:hAnsi="宋体" w:eastAsia="宋体" w:cs="宋体"/>
                <w:i w:val="0"/>
                <w:color w:val="000000"/>
                <w:sz w:val="24"/>
                <w:szCs w:val="24"/>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619E1">
            <w:pPr>
              <w:jc w:val="center"/>
              <w:rPr>
                <w:rFonts w:hint="eastAsia" w:ascii="宋体" w:hAnsi="宋体" w:eastAsia="宋体" w:cs="宋体"/>
                <w:i w:val="0"/>
                <w:color w:val="000000"/>
                <w:sz w:val="24"/>
                <w:szCs w:val="24"/>
                <w:u w:val="none"/>
              </w:rPr>
            </w:pPr>
          </w:p>
        </w:tc>
      </w:tr>
      <w:tr w14:paraId="1A650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31756">
            <w:pPr>
              <w:jc w:val="center"/>
              <w:rPr>
                <w:rFonts w:hint="eastAsia" w:ascii="宋体" w:hAnsi="宋体" w:eastAsia="宋体" w:cs="宋体"/>
                <w:b/>
                <w:i w:val="0"/>
                <w:color w:val="000000"/>
                <w:sz w:val="24"/>
                <w:szCs w:val="24"/>
                <w:u w:val="none"/>
              </w:rPr>
            </w:pP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B9FADC">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5F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680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04E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该项指标得分=完成绩效目标数量指标的部门预算阶段项目（含一次性项目）数量2÷部门预算阶段项目（含一次性项目）总数3×100%×4=3.67分。</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78E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8.67</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85B6F">
            <w:pPr>
              <w:jc w:val="center"/>
              <w:rPr>
                <w:rFonts w:hint="eastAsia" w:ascii="宋体" w:hAnsi="宋体" w:eastAsia="宋体" w:cs="宋体"/>
                <w:i w:val="0"/>
                <w:color w:val="000000"/>
                <w:sz w:val="24"/>
                <w:szCs w:val="24"/>
                <w:u w:val="none"/>
              </w:rPr>
            </w:pPr>
          </w:p>
        </w:tc>
      </w:tr>
      <w:tr w14:paraId="5638D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32E5D">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0AD01">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BA0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5EF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F3D0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离度=|（绩效指标实际完成值接待批次108-设定预期指标值）100÷设定预期指标值100|=8%。该项指标得分=已完成预期指标值的数量指标中偏离度在30%内的指标个数1÷已完成预期指标值的数量指标个数2×100%×4=2分。部门预算阶段项目（含一次性项目）绩效目标实际完成值偏离预期指标30%以上（含30%）的，不计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A3DCA">
            <w:pPr>
              <w:jc w:val="center"/>
              <w:rPr>
                <w:rFonts w:hint="eastAsia" w:ascii="宋体" w:hAnsi="宋体" w:eastAsia="宋体" w:cs="宋体"/>
                <w:i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11F9A">
            <w:pPr>
              <w:jc w:val="center"/>
              <w:rPr>
                <w:rFonts w:hint="eastAsia" w:ascii="宋体" w:hAnsi="宋体" w:eastAsia="宋体" w:cs="宋体"/>
                <w:i w:val="0"/>
                <w:color w:val="000000"/>
                <w:sz w:val="24"/>
                <w:szCs w:val="24"/>
                <w:u w:val="none"/>
              </w:rPr>
            </w:pPr>
          </w:p>
        </w:tc>
      </w:tr>
      <w:tr w14:paraId="31B42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52BA3">
            <w:pPr>
              <w:jc w:val="center"/>
              <w:rPr>
                <w:rFonts w:hint="eastAsia" w:ascii="宋体" w:hAnsi="宋体" w:eastAsia="宋体" w:cs="宋体"/>
                <w:b/>
                <w:i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B950C">
            <w:pPr>
              <w:jc w:val="center"/>
              <w:rPr>
                <w:rFonts w:hint="eastAsia" w:ascii="宋体" w:hAnsi="宋体" w:eastAsia="宋体" w:cs="宋体"/>
                <w:b/>
                <w:i w:val="0"/>
                <w:color w:val="000000"/>
                <w:sz w:val="24"/>
                <w:szCs w:val="24"/>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A92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5F9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2611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该项指标得分=完成绩效目标效益指标的部门预算阶段项目（含一次性项目）数量3÷部门预算阶段项目（含一次性项目）总数3×100%×3=3分</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099D">
            <w:pPr>
              <w:jc w:val="center"/>
              <w:rPr>
                <w:rFonts w:hint="eastAsia" w:ascii="宋体" w:hAnsi="宋体" w:eastAsia="宋体" w:cs="宋体"/>
                <w:i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53E42">
            <w:pPr>
              <w:jc w:val="center"/>
              <w:rPr>
                <w:rFonts w:hint="eastAsia" w:ascii="宋体" w:hAnsi="宋体" w:eastAsia="宋体" w:cs="宋体"/>
                <w:i w:val="0"/>
                <w:color w:val="000000"/>
                <w:sz w:val="24"/>
                <w:szCs w:val="24"/>
                <w:u w:val="none"/>
              </w:rPr>
            </w:pPr>
          </w:p>
        </w:tc>
      </w:tr>
      <w:tr w14:paraId="2F294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AF22C">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9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340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预算绩效存在问题</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E67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6FBF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依据评价年度人大监督、巡视巡察、审计监督、财会监督等结果以及评价指标体系涉及的履职效果、预算管理、财务管理、资产管理、采购管理、项目绩效等方面出现的问题，每有一个问题点扣1分，扣完为止。</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86BD0">
            <w:pPr>
              <w:jc w:val="center"/>
              <w:rPr>
                <w:rFonts w:hint="eastAsia" w:ascii="宋体" w:hAnsi="宋体" w:eastAsia="宋体" w:cs="宋体"/>
                <w:i w:val="0"/>
                <w:color w:val="000000"/>
                <w:sz w:val="24"/>
                <w:szCs w:val="24"/>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CDCF3">
            <w:pPr>
              <w:jc w:val="center"/>
              <w:rPr>
                <w:rFonts w:hint="eastAsia" w:ascii="宋体" w:hAnsi="宋体" w:eastAsia="宋体" w:cs="宋体"/>
                <w:i w:val="0"/>
                <w:color w:val="000000"/>
                <w:sz w:val="24"/>
                <w:szCs w:val="24"/>
                <w:u w:val="none"/>
              </w:rPr>
            </w:pPr>
          </w:p>
        </w:tc>
      </w:tr>
      <w:tr w14:paraId="11477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FAEF4">
            <w:pPr>
              <w:jc w:val="center"/>
              <w:rPr>
                <w:rFonts w:hint="eastAsia" w:ascii="宋体" w:hAnsi="宋体" w:eastAsia="宋体" w:cs="宋体"/>
                <w:b/>
                <w:i w:val="0"/>
                <w:color w:val="000000"/>
                <w:sz w:val="24"/>
                <w:szCs w:val="24"/>
                <w:u w:val="none"/>
              </w:rPr>
            </w:pPr>
          </w:p>
        </w:tc>
        <w:tc>
          <w:tcPr>
            <w:tcW w:w="9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CFD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05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426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评价工作开展过程中，被评价对象拖延推诿、提交资料不及时等拒不配合评价工作的，每发现一次扣1分，扣完为止。</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63681">
            <w:pPr>
              <w:jc w:val="center"/>
              <w:rPr>
                <w:rFonts w:hint="eastAsia" w:ascii="宋体" w:hAnsi="宋体" w:eastAsia="宋体" w:cs="宋体"/>
                <w:i w:val="0"/>
                <w:color w:val="000000"/>
                <w:sz w:val="24"/>
                <w:szCs w:val="24"/>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54BF">
            <w:pPr>
              <w:jc w:val="center"/>
              <w:rPr>
                <w:rFonts w:hint="eastAsia" w:ascii="宋体" w:hAnsi="宋体" w:eastAsia="宋体" w:cs="宋体"/>
                <w:i w:val="0"/>
                <w:color w:val="000000"/>
                <w:sz w:val="24"/>
                <w:szCs w:val="24"/>
                <w:u w:val="none"/>
              </w:rPr>
            </w:pPr>
          </w:p>
        </w:tc>
      </w:tr>
      <w:tr w14:paraId="4F144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5E13">
            <w:pPr>
              <w:jc w:val="center"/>
              <w:rPr>
                <w:rFonts w:hint="eastAsia" w:ascii="宋体" w:hAnsi="宋体" w:eastAsia="宋体" w:cs="宋体"/>
                <w:b/>
                <w:i w:val="0"/>
                <w:color w:val="000000"/>
                <w:sz w:val="24"/>
                <w:szCs w:val="24"/>
                <w:u w:val="none"/>
              </w:rPr>
            </w:pPr>
          </w:p>
        </w:tc>
        <w:tc>
          <w:tcPr>
            <w:tcW w:w="357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F752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总计</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845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91.44</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063E9">
            <w:pPr>
              <w:jc w:val="center"/>
              <w:rPr>
                <w:rFonts w:hint="eastAsia" w:ascii="宋体" w:hAnsi="宋体" w:eastAsia="宋体" w:cs="宋体"/>
                <w:i w:val="0"/>
                <w:color w:val="000000"/>
                <w:sz w:val="24"/>
                <w:szCs w:val="24"/>
                <w:u w:val="none"/>
              </w:rPr>
            </w:pPr>
          </w:p>
        </w:tc>
      </w:tr>
    </w:tbl>
    <w:p w14:paraId="3BA166F1">
      <w:pPr>
        <w:rPr>
          <w:rFonts w:hint="eastAsia" w:ascii="黑体" w:hAnsi="黑体" w:eastAsia="黑体" w:cs="黑体"/>
          <w:color w:val="auto"/>
          <w:kern w:val="0"/>
          <w:sz w:val="32"/>
          <w:szCs w:val="32"/>
          <w:highlight w:val="none"/>
          <w:shd w:val="clear" w:color="auto" w:fill="FFFFFF"/>
          <w:lang w:val="zh-CN"/>
        </w:rPr>
      </w:pPr>
    </w:p>
    <w:p w14:paraId="6C155A15">
      <w:pPr>
        <w:rPr>
          <w:rFonts w:hint="eastAsia" w:ascii="黑体" w:hAnsi="黑体" w:eastAsia="黑体" w:cs="黑体"/>
          <w:color w:val="auto"/>
          <w:kern w:val="0"/>
          <w:sz w:val="32"/>
          <w:szCs w:val="32"/>
          <w:highlight w:val="none"/>
          <w:shd w:val="clear" w:color="auto" w:fill="FFFFFF"/>
          <w:lang w:val="zh-CN"/>
        </w:rPr>
      </w:pPr>
    </w:p>
    <w:p w14:paraId="5E3EBB1F">
      <w:pPr>
        <w:pStyle w:val="6"/>
        <w:rPr>
          <w:rFonts w:hint="eastAsia" w:ascii="黑体" w:hAnsi="黑体" w:eastAsia="黑体" w:cs="黑体"/>
          <w:color w:val="auto"/>
          <w:kern w:val="0"/>
          <w:sz w:val="32"/>
          <w:szCs w:val="32"/>
          <w:highlight w:val="none"/>
          <w:shd w:val="clear" w:color="auto" w:fill="FFFFFF"/>
          <w:lang w:val="zh-CN"/>
        </w:rPr>
      </w:pPr>
    </w:p>
    <w:p w14:paraId="612010FF">
      <w:pPr>
        <w:rPr>
          <w:rFonts w:hint="eastAsia"/>
          <w:lang w:val="zh-CN"/>
        </w:rPr>
      </w:pPr>
    </w:p>
    <w:p w14:paraId="18D25C2F">
      <w:pPr>
        <w:pStyle w:val="2"/>
        <w:rPr>
          <w:rFonts w:hint="eastAsia"/>
          <w:lang w:val="zh-CN"/>
        </w:rPr>
      </w:pPr>
    </w:p>
    <w:p w14:paraId="27A8C5DD">
      <w:pPr>
        <w:rPr>
          <w:rFonts w:hint="eastAsia"/>
          <w:lang w:val="zh-CN"/>
        </w:rPr>
      </w:pPr>
    </w:p>
    <w:p w14:paraId="5ADF8C16">
      <w:pPr>
        <w:pStyle w:val="2"/>
        <w:rPr>
          <w:rFonts w:hint="eastAsia"/>
          <w:lang w:val="zh-CN"/>
        </w:rPr>
      </w:pPr>
    </w:p>
    <w:p w14:paraId="20E968E5">
      <w:pPr>
        <w:rPr>
          <w:rFonts w:hint="eastAsia"/>
          <w:lang w:val="zh-CN"/>
        </w:rPr>
      </w:pPr>
    </w:p>
    <w:p w14:paraId="17389982">
      <w:pPr>
        <w:pStyle w:val="2"/>
        <w:rPr>
          <w:rFonts w:hint="eastAsia"/>
          <w:lang w:val="zh-CN"/>
        </w:rPr>
      </w:pPr>
    </w:p>
    <w:p w14:paraId="554F9F0A">
      <w:pPr>
        <w:rPr>
          <w:rFonts w:hint="eastAsia"/>
          <w:lang w:val="zh-CN"/>
        </w:rPr>
      </w:pPr>
    </w:p>
    <w:tbl>
      <w:tblPr>
        <w:tblStyle w:val="18"/>
        <w:tblpPr w:leftFromText="180" w:rightFromText="180" w:vertAnchor="text" w:horzAnchor="page" w:tblpX="758" w:tblpY="406"/>
        <w:tblOverlap w:val="never"/>
        <w:tblW w:w="628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6"/>
        <w:gridCol w:w="939"/>
        <w:gridCol w:w="1332"/>
        <w:gridCol w:w="1741"/>
        <w:gridCol w:w="632"/>
        <w:gridCol w:w="1103"/>
        <w:gridCol w:w="650"/>
        <w:gridCol w:w="1139"/>
        <w:gridCol w:w="542"/>
        <w:gridCol w:w="524"/>
        <w:gridCol w:w="968"/>
        <w:gridCol w:w="111"/>
      </w:tblGrid>
      <w:tr w14:paraId="39C8C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09A2883">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5A351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C71B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7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11C4C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51320021T000000179961-公务服务工作经费</w:t>
            </w:r>
          </w:p>
        </w:tc>
      </w:tr>
      <w:tr w14:paraId="2B9FD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14AC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54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3EC4E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州公务服务中心部门</w:t>
            </w:r>
          </w:p>
        </w:tc>
        <w:tc>
          <w:tcPr>
            <w:tcW w:w="531" w:type="pct"/>
            <w:tcBorders>
              <w:top w:val="nil"/>
              <w:left w:val="nil"/>
              <w:bottom w:val="nil"/>
              <w:right w:val="nil"/>
            </w:tcBorders>
            <w:shd w:val="clear" w:color="auto" w:fill="auto"/>
            <w:vAlign w:val="center"/>
          </w:tcPr>
          <w:p w14:paraId="69F27052">
            <w:pPr>
              <w:keepNext w:val="0"/>
              <w:keepLines w:val="0"/>
              <w:widowControl/>
              <w:suppressLineNumbers w:val="0"/>
              <w:jc w:val="left"/>
              <w:textAlignment w:val="center"/>
              <w:rPr>
                <w:rFonts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BDD6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州公务服务中心</w:t>
            </w:r>
          </w:p>
        </w:tc>
      </w:tr>
      <w:tr w14:paraId="566D1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FE7F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2803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54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A066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53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B92638">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631F4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D239E">
            <w:pPr>
              <w:rPr>
                <w:rFonts w:hint="eastAsia" w:ascii="宋体" w:hAnsi="宋体" w:eastAsia="宋体" w:cs="宋体"/>
                <w:i w:val="0"/>
                <w:color w:val="000000"/>
                <w:sz w:val="18"/>
                <w:szCs w:val="18"/>
                <w:u w:val="none"/>
              </w:rPr>
            </w:pPr>
          </w:p>
        </w:tc>
        <w:tc>
          <w:tcPr>
            <w:tcW w:w="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DB24C">
            <w:pPr>
              <w:rPr>
                <w:rFonts w:hint="eastAsia" w:ascii="宋体" w:hAnsi="宋体" w:eastAsia="宋体" w:cs="宋体"/>
                <w:i w:val="0"/>
                <w:color w:val="000000"/>
                <w:sz w:val="18"/>
                <w:szCs w:val="18"/>
                <w:u w:val="none"/>
              </w:rPr>
            </w:pPr>
          </w:p>
        </w:tc>
        <w:tc>
          <w:tcPr>
            <w:tcW w:w="254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CA4AC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保障机关工作人员公务出差开支</w:t>
            </w:r>
          </w:p>
        </w:tc>
        <w:tc>
          <w:tcPr>
            <w:tcW w:w="153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DB5C1F">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宋体" w:hAnsi="宋体" w:eastAsia="宋体" w:cs="宋体"/>
                <w:i w:val="0"/>
                <w:color w:val="000000"/>
                <w:kern w:val="0"/>
                <w:sz w:val="18"/>
                <w:szCs w:val="18"/>
                <w:u w:val="none"/>
                <w:lang w:val="en-US" w:eastAsia="zh-CN" w:bidi="ar"/>
              </w:rPr>
              <w:t>该项目主要包含伙食、公杂、住宿的开支，实际支付30万元。</w:t>
            </w:r>
          </w:p>
        </w:tc>
      </w:tr>
      <w:tr w14:paraId="2672B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CABC2">
            <w:pP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3FCE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7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C8A4E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是资金到位情况，公务服务工作经费到位资金30万元；二是资金管理情况，该项目资金实行专款专用，资金使用规范，严格执行差旅费的管理办法，资金转付严格按照财务审批程序进行，会计核算结果真实、准确；三是资金使用情况，严格按照《阿坝州州直机关差旅费管理办法》、《阿坝州财政局关于报销差旅费会议费有关事项的补充通知》规定报销差旅费。</w:t>
            </w:r>
          </w:p>
        </w:tc>
      </w:tr>
      <w:tr w14:paraId="6D1C3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606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93E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EF5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248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1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4FB4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AE0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33F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0B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5BA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EBD4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B7D8C">
            <w:pPr>
              <w:jc w:val="cente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2B5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C56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658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1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55BF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40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BB7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619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0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803E6">
            <w:pPr>
              <w:keepNext w:val="0"/>
              <w:keepLines w:val="0"/>
              <w:widowControl/>
              <w:suppressLineNumbers w:val="0"/>
              <w:jc w:val="left"/>
              <w:textAlignment w:val="center"/>
              <w:rPr>
                <w:rFonts w:hint="default" w:ascii="黑体" w:hAnsi="黑体" w:eastAsia="黑体" w:cs="黑体"/>
                <w:i/>
                <w:color w:val="000000"/>
                <w:sz w:val="18"/>
                <w:szCs w:val="18"/>
                <w:u w:val="none"/>
              </w:rPr>
            </w:pPr>
          </w:p>
        </w:tc>
      </w:tr>
      <w:tr w14:paraId="32A4E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237BF">
            <w:pPr>
              <w:jc w:val="cente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C1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C05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D86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1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7519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0CB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149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741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0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78F30">
            <w:pPr>
              <w:rPr>
                <w:rFonts w:hint="default" w:ascii="黑体" w:hAnsi="黑体" w:eastAsia="黑体" w:cs="黑体"/>
                <w:i/>
                <w:color w:val="000000"/>
                <w:sz w:val="18"/>
                <w:szCs w:val="18"/>
                <w:u w:val="none"/>
              </w:rPr>
            </w:pPr>
          </w:p>
        </w:tc>
      </w:tr>
      <w:tr w14:paraId="77616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76B5D">
            <w:pPr>
              <w:jc w:val="cente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78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101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E5A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56B8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D85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5AC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4E8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0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22AB4">
            <w:pPr>
              <w:rPr>
                <w:rFonts w:hint="default" w:ascii="黑体" w:hAnsi="黑体" w:eastAsia="黑体" w:cs="黑体"/>
                <w:i/>
                <w:color w:val="000000"/>
                <w:sz w:val="18"/>
                <w:szCs w:val="18"/>
                <w:u w:val="none"/>
              </w:rPr>
            </w:pPr>
          </w:p>
        </w:tc>
      </w:tr>
      <w:tr w14:paraId="16693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045F5">
            <w:pPr>
              <w:jc w:val="cente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AE9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6E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EE2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8621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2C0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045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7EE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0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4FE65">
            <w:pPr>
              <w:rPr>
                <w:rFonts w:hint="default" w:ascii="黑体" w:hAnsi="黑体" w:eastAsia="黑体" w:cs="黑体"/>
                <w:i/>
                <w:color w:val="000000"/>
                <w:sz w:val="18"/>
                <w:szCs w:val="18"/>
                <w:u w:val="none"/>
              </w:rPr>
            </w:pPr>
          </w:p>
        </w:tc>
      </w:tr>
      <w:tr w14:paraId="11447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86EBF">
            <w:pPr>
              <w:jc w:val="cente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42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75CD">
            <w:pPr>
              <w:jc w:val="center"/>
              <w:rPr>
                <w:rFonts w:hint="eastAsia" w:ascii="微软雅黑" w:hAnsi="微软雅黑" w:eastAsia="微软雅黑" w:cs="微软雅黑"/>
                <w:i/>
                <w:color w:val="000000"/>
                <w:sz w:val="16"/>
                <w:szCs w:val="16"/>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4C8E">
            <w:pPr>
              <w:jc w:val="center"/>
              <w:rPr>
                <w:rFonts w:hint="default" w:ascii="微软雅黑" w:hAnsi="微软雅黑" w:eastAsia="微软雅黑" w:cs="微软雅黑"/>
                <w:i/>
                <w:color w:val="000000"/>
                <w:sz w:val="16"/>
                <w:szCs w:val="16"/>
                <w:u w:val="none"/>
              </w:rPr>
            </w:pPr>
          </w:p>
        </w:tc>
        <w:tc>
          <w:tcPr>
            <w:tcW w:w="11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7A22F6">
            <w:pPr>
              <w:jc w:val="center"/>
              <w:rPr>
                <w:rFonts w:hint="default" w:ascii="微软雅黑" w:hAnsi="微软雅黑" w:eastAsia="微软雅黑" w:cs="微软雅黑"/>
                <w:i/>
                <w:color w:val="000000"/>
                <w:sz w:val="16"/>
                <w:szCs w:val="16"/>
                <w:u w:val="none"/>
              </w:rPr>
            </w:pP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9560B">
            <w:pPr>
              <w:jc w:val="center"/>
              <w:rPr>
                <w:rFonts w:hint="default" w:ascii="微软雅黑" w:hAnsi="微软雅黑" w:eastAsia="微软雅黑" w:cs="微软雅黑"/>
                <w:i/>
                <w:color w:val="000000"/>
                <w:sz w:val="16"/>
                <w:szCs w:val="16"/>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41D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394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0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79635">
            <w:pPr>
              <w:rPr>
                <w:rFonts w:hint="default" w:ascii="黑体" w:hAnsi="黑体" w:eastAsia="黑体" w:cs="黑体"/>
                <w:i/>
                <w:color w:val="000000"/>
                <w:sz w:val="18"/>
                <w:szCs w:val="18"/>
                <w:u w:val="none"/>
              </w:rPr>
            </w:pPr>
          </w:p>
        </w:tc>
      </w:tr>
      <w:tr w14:paraId="199D9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pct"/>
          <w:trHeight w:val="452" w:hRule="atLeast"/>
        </w:trPr>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64B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A3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106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A53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224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69A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4E9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8FA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23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CAC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C2D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F9BB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pct"/>
          <w:trHeight w:val="339"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5ABB0">
            <w:pPr>
              <w:jc w:val="center"/>
              <w:rPr>
                <w:rFonts w:hint="eastAsia" w:ascii="宋体" w:hAnsi="宋体" w:eastAsia="宋体" w:cs="宋体"/>
                <w:i w:val="0"/>
                <w:color w:val="000000"/>
                <w:sz w:val="18"/>
                <w:szCs w:val="18"/>
                <w:u w:val="none"/>
              </w:rPr>
            </w:pPr>
          </w:p>
        </w:tc>
        <w:tc>
          <w:tcPr>
            <w:tcW w:w="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689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FC9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814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出差人次</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0CA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A29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399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人次</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CFD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355</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028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B30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336C5">
            <w:pPr>
              <w:jc w:val="center"/>
              <w:rPr>
                <w:rFonts w:hint="default" w:ascii="微软雅黑" w:hAnsi="微软雅黑" w:eastAsia="微软雅黑" w:cs="微软雅黑"/>
                <w:i/>
                <w:color w:val="000000"/>
                <w:sz w:val="16"/>
                <w:szCs w:val="16"/>
                <w:u w:val="none"/>
              </w:rPr>
            </w:pPr>
          </w:p>
        </w:tc>
      </w:tr>
      <w:tr w14:paraId="22747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pct"/>
          <w:trHeight w:val="487"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89CB1">
            <w:pPr>
              <w:jc w:val="center"/>
              <w:rPr>
                <w:rFonts w:hint="eastAsia" w:ascii="宋体" w:hAnsi="宋体" w:eastAsia="宋体" w:cs="宋体"/>
                <w:i w:val="0"/>
                <w:color w:val="000000"/>
                <w:sz w:val="18"/>
                <w:szCs w:val="18"/>
                <w:u w:val="none"/>
              </w:rPr>
            </w:pPr>
          </w:p>
        </w:tc>
        <w:tc>
          <w:tcPr>
            <w:tcW w:w="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929D7">
            <w:pPr>
              <w:jc w:val="center"/>
              <w:rPr>
                <w:rFonts w:hint="eastAsia" w:ascii="宋体" w:hAnsi="宋体" w:eastAsia="宋体" w:cs="宋体"/>
                <w:i w:val="0"/>
                <w:color w:val="000000"/>
                <w:sz w:val="18"/>
                <w:szCs w:val="18"/>
                <w:u w:val="none"/>
              </w:rPr>
            </w:pPr>
          </w:p>
        </w:tc>
        <w:tc>
          <w:tcPr>
            <w:tcW w:w="6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684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32E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符合相关规定</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324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3F5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合规</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27868">
            <w:pPr>
              <w:jc w:val="center"/>
              <w:rPr>
                <w:rFonts w:hint="eastAsia" w:ascii="宋体" w:hAnsi="宋体" w:eastAsia="宋体" w:cs="宋体"/>
                <w:i w:val="0"/>
                <w:color w:val="000000"/>
                <w:sz w:val="18"/>
                <w:szCs w:val="18"/>
                <w:u w:val="none"/>
              </w:rPr>
            </w:pP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4B8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合规</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CB0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C60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BFF3">
            <w:pPr>
              <w:jc w:val="center"/>
              <w:rPr>
                <w:rFonts w:hint="default" w:ascii="微软雅黑" w:hAnsi="微软雅黑" w:eastAsia="微软雅黑" w:cs="微软雅黑"/>
                <w:i/>
                <w:color w:val="000000"/>
                <w:sz w:val="16"/>
                <w:szCs w:val="16"/>
                <w:u w:val="none"/>
              </w:rPr>
            </w:pPr>
          </w:p>
        </w:tc>
      </w:tr>
      <w:tr w14:paraId="3C6C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pct"/>
          <w:trHeight w:val="339"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CE6B9">
            <w:pPr>
              <w:jc w:val="center"/>
              <w:rPr>
                <w:rFonts w:hint="eastAsia" w:ascii="宋体" w:hAnsi="宋体" w:eastAsia="宋体" w:cs="宋体"/>
                <w:i w:val="0"/>
                <w:color w:val="000000"/>
                <w:sz w:val="18"/>
                <w:szCs w:val="18"/>
                <w:u w:val="none"/>
              </w:rPr>
            </w:pPr>
          </w:p>
        </w:tc>
        <w:tc>
          <w:tcPr>
            <w:tcW w:w="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9A73D">
            <w:pPr>
              <w:jc w:val="center"/>
              <w:rPr>
                <w:rFonts w:hint="eastAsia" w:ascii="宋体" w:hAnsi="宋体" w:eastAsia="宋体" w:cs="宋体"/>
                <w:i w:val="0"/>
                <w:color w:val="000000"/>
                <w:sz w:val="18"/>
                <w:szCs w:val="18"/>
                <w:u w:val="none"/>
              </w:rPr>
            </w:pPr>
          </w:p>
        </w:tc>
        <w:tc>
          <w:tcPr>
            <w:tcW w:w="6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72DA1">
            <w:pPr>
              <w:jc w:val="center"/>
              <w:rPr>
                <w:rFonts w:hint="eastAsia" w:ascii="宋体" w:hAnsi="宋体" w:eastAsia="宋体" w:cs="宋体"/>
                <w:i w:val="0"/>
                <w:color w:val="000000"/>
                <w:sz w:val="18"/>
                <w:szCs w:val="18"/>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B6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经费保障率</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90B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740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0E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9DE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CBE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08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0C8D9">
            <w:pPr>
              <w:jc w:val="center"/>
              <w:rPr>
                <w:rFonts w:hint="default" w:ascii="微软雅黑" w:hAnsi="微软雅黑" w:eastAsia="微软雅黑" w:cs="微软雅黑"/>
                <w:i/>
                <w:color w:val="000000"/>
                <w:sz w:val="16"/>
                <w:szCs w:val="16"/>
                <w:u w:val="none"/>
              </w:rPr>
            </w:pPr>
          </w:p>
        </w:tc>
      </w:tr>
      <w:tr w14:paraId="0CD5C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pct"/>
          <w:trHeight w:val="339"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638FB">
            <w:pPr>
              <w:jc w:val="center"/>
              <w:rPr>
                <w:rFonts w:hint="eastAsia" w:ascii="宋体" w:hAnsi="宋体" w:eastAsia="宋体" w:cs="宋体"/>
                <w:i w:val="0"/>
                <w:color w:val="000000"/>
                <w:sz w:val="18"/>
                <w:szCs w:val="18"/>
                <w:u w:val="none"/>
              </w:rPr>
            </w:pPr>
          </w:p>
        </w:tc>
        <w:tc>
          <w:tcPr>
            <w:tcW w:w="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44BF6">
            <w:pPr>
              <w:jc w:val="center"/>
              <w:rPr>
                <w:rFonts w:hint="eastAsia" w:ascii="宋体" w:hAnsi="宋体" w:eastAsia="宋体" w:cs="宋体"/>
                <w:i w:val="0"/>
                <w:color w:val="000000"/>
                <w:sz w:val="18"/>
                <w:szCs w:val="18"/>
                <w:u w:val="none"/>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2BB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702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资金支付及时性</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C72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7B4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及时支付</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A742D">
            <w:pPr>
              <w:jc w:val="center"/>
              <w:rPr>
                <w:rFonts w:hint="eastAsia" w:ascii="宋体" w:hAnsi="宋体" w:eastAsia="宋体" w:cs="宋体"/>
                <w:i w:val="0"/>
                <w:color w:val="000000"/>
                <w:sz w:val="18"/>
                <w:szCs w:val="18"/>
                <w:u w:val="none"/>
              </w:rPr>
            </w:pP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10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及时支付</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9CA1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63C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3DC8E">
            <w:pPr>
              <w:jc w:val="center"/>
              <w:rPr>
                <w:rFonts w:hint="default" w:ascii="微软雅黑" w:hAnsi="微软雅黑" w:eastAsia="微软雅黑" w:cs="微软雅黑"/>
                <w:i/>
                <w:color w:val="000000"/>
                <w:sz w:val="16"/>
                <w:szCs w:val="16"/>
                <w:u w:val="none"/>
              </w:rPr>
            </w:pPr>
          </w:p>
        </w:tc>
      </w:tr>
      <w:tr w14:paraId="00E24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pct"/>
          <w:trHeight w:val="452"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79C02">
            <w:pPr>
              <w:jc w:val="cente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9FE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2D2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CFF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有效保障公务人员出差需求</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4AD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4E5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有效保障公务人员出差需求</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A72EE">
            <w:pPr>
              <w:jc w:val="center"/>
              <w:rPr>
                <w:rFonts w:hint="eastAsia" w:ascii="宋体" w:hAnsi="宋体" w:eastAsia="宋体" w:cs="宋体"/>
                <w:i w:val="0"/>
                <w:color w:val="000000"/>
                <w:sz w:val="18"/>
                <w:szCs w:val="18"/>
                <w:u w:val="none"/>
              </w:rPr>
            </w:pP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D90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有效保障公务人员出差需求</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68B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4E5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ABD6C">
            <w:pPr>
              <w:jc w:val="center"/>
              <w:rPr>
                <w:rFonts w:hint="default" w:ascii="微软雅黑" w:hAnsi="微软雅黑" w:eastAsia="微软雅黑" w:cs="微软雅黑"/>
                <w:i/>
                <w:color w:val="000000"/>
                <w:sz w:val="16"/>
                <w:szCs w:val="16"/>
                <w:u w:val="none"/>
              </w:rPr>
            </w:pPr>
          </w:p>
        </w:tc>
      </w:tr>
      <w:tr w14:paraId="5BDEC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pct"/>
          <w:trHeight w:val="565"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71EB4">
            <w:pPr>
              <w:jc w:val="cente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E6C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1C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595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公务人员满意度</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707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430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47A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B9F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95.00%</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352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37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91435">
            <w:pPr>
              <w:jc w:val="center"/>
              <w:rPr>
                <w:rFonts w:hint="default" w:ascii="微软雅黑" w:hAnsi="微软雅黑" w:eastAsia="微软雅黑" w:cs="微软雅黑"/>
                <w:i/>
                <w:color w:val="000000"/>
                <w:sz w:val="16"/>
                <w:szCs w:val="16"/>
                <w:u w:val="none"/>
              </w:rPr>
            </w:pPr>
          </w:p>
        </w:tc>
      </w:tr>
      <w:tr w14:paraId="4FE2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pct"/>
          <w:trHeight w:val="488" w:hRule="atLeast"/>
        </w:trPr>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8FE8B">
            <w:pPr>
              <w:jc w:val="center"/>
              <w:rPr>
                <w:rFonts w:hint="eastAsia" w:ascii="宋体" w:hAnsi="宋体" w:eastAsia="宋体" w:cs="宋体"/>
                <w:i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6E5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1F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44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经费总支出</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DB7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101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33B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8C7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05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333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33CFD">
            <w:pPr>
              <w:jc w:val="center"/>
              <w:rPr>
                <w:rFonts w:hint="default" w:ascii="微软雅黑" w:hAnsi="微软雅黑" w:eastAsia="微软雅黑" w:cs="微软雅黑"/>
                <w:i/>
                <w:color w:val="000000"/>
                <w:sz w:val="16"/>
                <w:szCs w:val="16"/>
                <w:u w:val="none"/>
              </w:rPr>
            </w:pPr>
          </w:p>
        </w:tc>
      </w:tr>
      <w:tr w14:paraId="4CE26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 w:hRule="atLeast"/>
        </w:trPr>
        <w:tc>
          <w:tcPr>
            <w:tcW w:w="399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97D1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390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A5875">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391E8">
            <w:pPr>
              <w:rPr>
                <w:rFonts w:hint="eastAsia" w:ascii="宋体" w:hAnsi="宋体" w:eastAsia="宋体" w:cs="宋体"/>
                <w:i w:val="0"/>
                <w:color w:val="000000"/>
                <w:sz w:val="18"/>
                <w:szCs w:val="18"/>
                <w:u w:val="none"/>
              </w:rPr>
            </w:pPr>
          </w:p>
        </w:tc>
      </w:tr>
      <w:tr w14:paraId="4CA5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A5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16"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25EFDE">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“公务服务工作经费”通过政府部门预算及相关部门的审批，项目实施依据充分，绩效目标明确。经查阅相关资料，并进行综合评价。公务服务工作经费绩效评价得分100分。</w:t>
            </w:r>
          </w:p>
        </w:tc>
      </w:tr>
      <w:tr w14:paraId="34E9F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EAC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16"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715866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4417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7D5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16"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B67240">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3EBA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6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054C0E">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项目负责人：董伟</w:t>
            </w:r>
          </w:p>
        </w:tc>
        <w:tc>
          <w:tcPr>
            <w:tcW w:w="235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E722E0">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财务负责人：蔡正平</w:t>
            </w:r>
          </w:p>
        </w:tc>
      </w:tr>
    </w:tbl>
    <w:tbl>
      <w:tblPr>
        <w:tblStyle w:val="18"/>
        <w:tblpPr w:leftFromText="180" w:rightFromText="180" w:vertAnchor="text" w:horzAnchor="page" w:tblpX="474" w:tblpY="128"/>
        <w:tblOverlap w:val="never"/>
        <w:tblW w:w="647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954"/>
        <w:gridCol w:w="1468"/>
        <w:gridCol w:w="924"/>
        <w:gridCol w:w="367"/>
        <w:gridCol w:w="728"/>
        <w:gridCol w:w="645"/>
        <w:gridCol w:w="1572"/>
        <w:gridCol w:w="651"/>
        <w:gridCol w:w="542"/>
        <w:gridCol w:w="2349"/>
      </w:tblGrid>
      <w:tr w14:paraId="0C29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CF2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b/>
                <w:i w:val="0"/>
                <w:color w:val="000000"/>
                <w:spacing w:val="-17"/>
                <w:sz w:val="30"/>
                <w:szCs w:val="30"/>
                <w:u w:val="none"/>
              </w:rPr>
            </w:pPr>
            <w:r>
              <w:rPr>
                <w:rFonts w:hint="eastAsia" w:ascii="黑体" w:hAnsi="宋体" w:eastAsia="黑体" w:cs="黑体"/>
                <w:b/>
                <w:i w:val="0"/>
                <w:color w:val="000000"/>
                <w:spacing w:val="-17"/>
                <w:kern w:val="0"/>
                <w:sz w:val="30"/>
                <w:szCs w:val="30"/>
                <w:u w:val="none"/>
                <w:lang w:val="en-US" w:eastAsia="zh-CN" w:bidi="ar"/>
              </w:rPr>
              <w:t>部门预算项目支出绩效自评表（2024年度）</w:t>
            </w:r>
          </w:p>
        </w:tc>
      </w:tr>
      <w:tr w14:paraId="221FA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B725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项目名称</w:t>
            </w:r>
          </w:p>
        </w:tc>
        <w:tc>
          <w:tcPr>
            <w:tcW w:w="418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2DC59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51320021T000000179966-公务接待工作经费</w:t>
            </w:r>
          </w:p>
        </w:tc>
      </w:tr>
      <w:tr w14:paraId="254C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8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4EC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主管部门</w:t>
            </w:r>
          </w:p>
        </w:tc>
        <w:tc>
          <w:tcPr>
            <w:tcW w:w="187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A6A79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州公务服务中心部门</w:t>
            </w:r>
          </w:p>
        </w:tc>
        <w:tc>
          <w:tcPr>
            <w:tcW w:w="712" w:type="pct"/>
            <w:tcBorders>
              <w:top w:val="nil"/>
              <w:left w:val="nil"/>
              <w:bottom w:val="nil"/>
              <w:right w:val="nil"/>
            </w:tcBorders>
            <w:shd w:val="clear" w:color="auto" w:fill="auto"/>
            <w:vAlign w:val="center"/>
          </w:tcPr>
          <w:p w14:paraId="5027006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hAnsi="黑体" w:eastAsia="黑体" w:cs="黑体"/>
                <w:i w:val="0"/>
                <w:color w:val="000000"/>
                <w:spacing w:val="-17"/>
                <w:sz w:val="18"/>
                <w:szCs w:val="18"/>
                <w:u w:val="none"/>
              </w:rPr>
            </w:pPr>
            <w:r>
              <w:rPr>
                <w:rFonts w:hint="default" w:ascii="黑体" w:hAnsi="黑体" w:eastAsia="黑体" w:cs="黑体"/>
                <w:i w:val="0"/>
                <w:color w:val="000000"/>
                <w:spacing w:val="-17"/>
                <w:kern w:val="0"/>
                <w:sz w:val="18"/>
                <w:szCs w:val="18"/>
                <w:u w:val="none"/>
                <w:lang w:val="en-US" w:eastAsia="zh-CN" w:bidi="ar"/>
              </w:rPr>
              <w:t>实施单位 （盖章）</w:t>
            </w:r>
          </w:p>
        </w:tc>
        <w:tc>
          <w:tcPr>
            <w:tcW w:w="16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D395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州公务服务中心</w:t>
            </w:r>
          </w:p>
        </w:tc>
      </w:tr>
      <w:tr w14:paraId="6A792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A05F9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项目基本情况</w:t>
            </w: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E8A4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1.项目年度目标完成情况</w:t>
            </w:r>
          </w:p>
        </w:tc>
        <w:tc>
          <w:tcPr>
            <w:tcW w:w="187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2B64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项目年度目标</w:t>
            </w:r>
          </w:p>
        </w:tc>
        <w:tc>
          <w:tcPr>
            <w:tcW w:w="231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EEE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黑体" w:hAnsi="黑体" w:eastAsia="黑体" w:cs="黑体"/>
                <w:i w:val="0"/>
                <w:color w:val="000000"/>
                <w:spacing w:val="-17"/>
                <w:sz w:val="18"/>
                <w:szCs w:val="18"/>
                <w:u w:val="none"/>
              </w:rPr>
            </w:pPr>
            <w:r>
              <w:rPr>
                <w:rFonts w:hint="default" w:ascii="黑体" w:hAnsi="黑体" w:eastAsia="黑体" w:cs="黑体"/>
                <w:i w:val="0"/>
                <w:color w:val="000000"/>
                <w:spacing w:val="-17"/>
                <w:kern w:val="0"/>
                <w:sz w:val="18"/>
                <w:szCs w:val="18"/>
                <w:u w:val="none"/>
                <w:lang w:val="en-US" w:eastAsia="zh-CN" w:bidi="ar"/>
              </w:rPr>
              <w:t>年度目标完成情况</w:t>
            </w:r>
          </w:p>
        </w:tc>
      </w:tr>
      <w:tr w14:paraId="6931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4"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CC5C0">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color w:val="000000"/>
                <w:spacing w:val="-17"/>
                <w:sz w:val="18"/>
                <w:szCs w:val="18"/>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91C">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color w:val="000000"/>
                <w:spacing w:val="-17"/>
                <w:sz w:val="18"/>
                <w:szCs w:val="18"/>
                <w:u w:val="none"/>
              </w:rPr>
            </w:pPr>
          </w:p>
        </w:tc>
        <w:tc>
          <w:tcPr>
            <w:tcW w:w="187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F86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按规定开展的所有公务接待，公务接待从事务向政务转型升级，确立“1234”工作布局。</w:t>
            </w:r>
          </w:p>
        </w:tc>
        <w:tc>
          <w:tcPr>
            <w:tcW w:w="231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D3282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黑体" w:hAnsi="黑体" w:eastAsia="黑体" w:cs="黑体"/>
                <w:i w:val="0"/>
                <w:color w:val="000000"/>
                <w:spacing w:val="-17"/>
                <w:sz w:val="18"/>
                <w:szCs w:val="18"/>
                <w:u w:val="none"/>
              </w:rPr>
            </w:pPr>
            <w:r>
              <w:rPr>
                <w:rStyle w:val="43"/>
                <w:spacing w:val="-17"/>
                <w:lang w:val="en-US" w:eastAsia="zh-CN" w:bidi="ar"/>
              </w:rPr>
              <w:t>（1）预算资金171.94万元，到位171.94万元，资金到位率实际完成100%</w:t>
            </w:r>
            <w:r>
              <w:rPr>
                <w:rStyle w:val="43"/>
                <w:rFonts w:hint="eastAsia"/>
                <w:spacing w:val="-17"/>
                <w:lang w:val="en-US" w:eastAsia="zh-CN" w:bidi="ar"/>
              </w:rPr>
              <w:t>；</w:t>
            </w:r>
            <w:r>
              <w:rPr>
                <w:rStyle w:val="43"/>
                <w:spacing w:val="-17"/>
                <w:lang w:val="en-US" w:eastAsia="zh-CN" w:bidi="ar"/>
              </w:rPr>
              <w:t>（2）实际支出公务接待费171.94万元，预算数完成率100%</w:t>
            </w:r>
            <w:r>
              <w:rPr>
                <w:rStyle w:val="43"/>
                <w:rFonts w:hint="eastAsia"/>
                <w:spacing w:val="-17"/>
                <w:lang w:val="en-US" w:eastAsia="zh-CN" w:bidi="ar"/>
              </w:rPr>
              <w:t>；</w:t>
            </w:r>
            <w:r>
              <w:rPr>
                <w:rStyle w:val="43"/>
                <w:spacing w:val="-17"/>
                <w:lang w:val="en-US" w:eastAsia="zh-CN" w:bidi="ar"/>
              </w:rPr>
              <w:t>（3）</w:t>
            </w:r>
            <w:r>
              <w:rPr>
                <w:rStyle w:val="44"/>
                <w:spacing w:val="-17"/>
                <w:lang w:val="en-US" w:eastAsia="zh-CN" w:bidi="ar"/>
              </w:rPr>
              <w:t>2024年，完成了接待任务108批2020人次，其中：警卫一级1批，警卫二级2批，省部级72批，厅级25批，其他接待8批。特别是优质高效保障了245任务、24-90任务和2024年四川省“冬游四川”启动仪式、第五届黄河流域生态保护和高质量发展省际合作联席会议现场观摩调研会、阿坝州加强牧区教育发展现场推进会、阿坝州建设国际生态文化旅游目的地推进大会等全州大型活动及阿坝州党政代表团赴浙江、甘孜州考察学习活动的后勤保障工作，得到各级领导的充分肯定。</w:t>
            </w:r>
          </w:p>
        </w:tc>
      </w:tr>
      <w:tr w14:paraId="0E6B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40DF8">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color w:val="000000"/>
                <w:spacing w:val="-17"/>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C898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2.项目实施内容及过程概述</w:t>
            </w:r>
          </w:p>
        </w:tc>
        <w:tc>
          <w:tcPr>
            <w:tcW w:w="418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75A5A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一是资金到位情况，公务接待工作经费年初预算400万元,调整后实际到位171.94万元；二是资金管理情况，该项目资金实行专款专用，资金使用规范，严格执行相关财务管理制度，资金转付严格按照财务审批程序进行，会计核算结果真实、准确；三是资金使用情况，该资金使用符合中央八项规定精神，省委、省政府十项规定和有关公务接待法规，符合有关财经制度规定，符合州委、州政府工作大局和部门年度工作计划。公务接待工作经费到位及时，支出合法合规、及时，审批程序符合有关财经规定，不存在挪用、挤占、截留和虚列支出等情况，不存在超标准开支情况。</w:t>
            </w:r>
          </w:p>
        </w:tc>
      </w:tr>
      <w:tr w14:paraId="6A91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AA31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预算执行情况（10分）</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A3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年度预算数（万元）</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57A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年初预算</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2DF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调整后预算数</w:t>
            </w:r>
          </w:p>
        </w:tc>
        <w:tc>
          <w:tcPr>
            <w:tcW w:w="78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17C98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预算执行数</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2F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预算执行率</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8F7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5313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得分</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66DC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原因</w:t>
            </w:r>
          </w:p>
        </w:tc>
      </w:tr>
      <w:tr w14:paraId="62285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D2382">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BA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总额</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E1B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400.00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8EF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171.94</w:t>
            </w:r>
          </w:p>
        </w:tc>
        <w:tc>
          <w:tcPr>
            <w:tcW w:w="78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DA38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171.94</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C89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100.00%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4C6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83B6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10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E6D3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黑体" w:hAnsi="黑体" w:eastAsia="黑体" w:cs="黑体"/>
                <w:i/>
                <w:color w:val="000000"/>
                <w:spacing w:val="-17"/>
                <w:sz w:val="18"/>
                <w:szCs w:val="18"/>
                <w:u w:val="none"/>
              </w:rPr>
            </w:pPr>
          </w:p>
        </w:tc>
      </w:tr>
      <w:tr w14:paraId="0457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7FF7E">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8DF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其中：财政资金</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90D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400.00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C95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171.94</w:t>
            </w:r>
          </w:p>
        </w:tc>
        <w:tc>
          <w:tcPr>
            <w:tcW w:w="78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505F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171.94</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1E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100.00%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61E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5BA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10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7A147">
            <w:pPr>
              <w:keepNext w:val="0"/>
              <w:keepLines w:val="0"/>
              <w:pageBreakBefore w:val="0"/>
              <w:kinsoku/>
              <w:wordWrap/>
              <w:overflowPunct/>
              <w:topLinePunct w:val="0"/>
              <w:autoSpaceDE/>
              <w:autoSpaceDN/>
              <w:bidi w:val="0"/>
              <w:adjustRightInd/>
              <w:snapToGrid/>
              <w:spacing w:line="200" w:lineRule="exact"/>
              <w:rPr>
                <w:rFonts w:hint="default" w:ascii="黑体" w:hAnsi="黑体" w:eastAsia="黑体" w:cs="黑体"/>
                <w:i/>
                <w:color w:val="000000"/>
                <w:spacing w:val="-17"/>
                <w:sz w:val="18"/>
                <w:szCs w:val="18"/>
                <w:u w:val="none"/>
              </w:rPr>
            </w:pPr>
          </w:p>
        </w:tc>
      </w:tr>
      <w:tr w14:paraId="141D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69D6B">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3A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财政专户管理资金</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933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0.00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D85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0.00</w:t>
            </w:r>
          </w:p>
        </w:tc>
        <w:tc>
          <w:tcPr>
            <w:tcW w:w="78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4DA1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0.00</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EE0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0.00%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156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D36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10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83BF4">
            <w:pPr>
              <w:keepNext w:val="0"/>
              <w:keepLines w:val="0"/>
              <w:pageBreakBefore w:val="0"/>
              <w:kinsoku/>
              <w:wordWrap/>
              <w:overflowPunct/>
              <w:topLinePunct w:val="0"/>
              <w:autoSpaceDE/>
              <w:autoSpaceDN/>
              <w:bidi w:val="0"/>
              <w:adjustRightInd/>
              <w:snapToGrid/>
              <w:spacing w:line="200" w:lineRule="exact"/>
              <w:rPr>
                <w:rFonts w:hint="default" w:ascii="黑体" w:hAnsi="黑体" w:eastAsia="黑体" w:cs="黑体"/>
                <w:i/>
                <w:color w:val="000000"/>
                <w:spacing w:val="-17"/>
                <w:sz w:val="18"/>
                <w:szCs w:val="18"/>
                <w:u w:val="none"/>
              </w:rPr>
            </w:pPr>
          </w:p>
        </w:tc>
      </w:tr>
      <w:tr w14:paraId="30679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900FA">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158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单位资金</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4A1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0.00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79C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0.00</w:t>
            </w:r>
          </w:p>
        </w:tc>
        <w:tc>
          <w:tcPr>
            <w:tcW w:w="78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B0E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0.00</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D76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0.00%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31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961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10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963B0">
            <w:pPr>
              <w:keepNext w:val="0"/>
              <w:keepLines w:val="0"/>
              <w:pageBreakBefore w:val="0"/>
              <w:kinsoku/>
              <w:wordWrap/>
              <w:overflowPunct/>
              <w:topLinePunct w:val="0"/>
              <w:autoSpaceDE/>
              <w:autoSpaceDN/>
              <w:bidi w:val="0"/>
              <w:adjustRightInd/>
              <w:snapToGrid/>
              <w:spacing w:line="200" w:lineRule="exact"/>
              <w:rPr>
                <w:rFonts w:hint="default" w:ascii="黑体" w:hAnsi="黑体" w:eastAsia="黑体" w:cs="黑体"/>
                <w:i/>
                <w:color w:val="000000"/>
                <w:spacing w:val="-17"/>
                <w:sz w:val="18"/>
                <w:szCs w:val="18"/>
                <w:u w:val="none"/>
              </w:rPr>
            </w:pPr>
          </w:p>
        </w:tc>
      </w:tr>
      <w:tr w14:paraId="2863A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369EC">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DD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其他资金</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DDE92">
            <w:pPr>
              <w:keepNext w:val="0"/>
              <w:keepLines w:val="0"/>
              <w:pageBreakBefore w:val="0"/>
              <w:kinsoku/>
              <w:wordWrap/>
              <w:overflowPunct/>
              <w:topLinePunct w:val="0"/>
              <w:autoSpaceDE/>
              <w:autoSpaceDN/>
              <w:bidi w:val="0"/>
              <w:adjustRightInd/>
              <w:snapToGrid/>
              <w:spacing w:line="200" w:lineRule="exact"/>
              <w:jc w:val="center"/>
              <w:rPr>
                <w:rFonts w:hint="eastAsia" w:ascii="微软雅黑" w:hAnsi="微软雅黑" w:eastAsia="微软雅黑" w:cs="微软雅黑"/>
                <w:i/>
                <w:color w:val="000000"/>
                <w:spacing w:val="-17"/>
                <w:sz w:val="16"/>
                <w:szCs w:val="16"/>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5E2BC">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c>
          <w:tcPr>
            <w:tcW w:w="78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6EBDDE">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1695">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DB3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C78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10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AF4C0">
            <w:pPr>
              <w:keepNext w:val="0"/>
              <w:keepLines w:val="0"/>
              <w:pageBreakBefore w:val="0"/>
              <w:kinsoku/>
              <w:wordWrap/>
              <w:overflowPunct/>
              <w:topLinePunct w:val="0"/>
              <w:autoSpaceDE/>
              <w:autoSpaceDN/>
              <w:bidi w:val="0"/>
              <w:adjustRightInd/>
              <w:snapToGrid/>
              <w:spacing w:line="200" w:lineRule="exact"/>
              <w:rPr>
                <w:rFonts w:hint="default" w:ascii="黑体" w:hAnsi="黑体" w:eastAsia="黑体" w:cs="黑体"/>
                <w:i/>
                <w:color w:val="000000"/>
                <w:spacing w:val="-17"/>
                <w:sz w:val="18"/>
                <w:szCs w:val="18"/>
                <w:u w:val="none"/>
              </w:rPr>
            </w:pPr>
          </w:p>
        </w:tc>
      </w:tr>
      <w:tr w14:paraId="785DA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113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绩效指标（90分）</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A007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一级指标</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1203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二级指标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0276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三级指标</w:t>
            </w: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34F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指标性质</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E2A1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指标值</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7C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度量单位</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E6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完成值</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59F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7D5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得分</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FAF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未完成原因分析</w:t>
            </w:r>
          </w:p>
        </w:tc>
      </w:tr>
      <w:tr w14:paraId="7274C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1D618">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2BD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产出指标</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B5D0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数量指标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7EC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接待批次</w:t>
            </w: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63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995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6D7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批次</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36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微软雅黑" w:hAnsi="微软雅黑" w:eastAsia="微软雅黑" w:cs="微软雅黑"/>
                <w:i/>
                <w:color w:val="000000"/>
                <w:spacing w:val="-17"/>
                <w:sz w:val="16"/>
                <w:szCs w:val="16"/>
                <w:u w:val="none"/>
              </w:rPr>
            </w:pPr>
            <w:r>
              <w:rPr>
                <w:rFonts w:hint="default" w:ascii="微软雅黑" w:hAnsi="微软雅黑" w:eastAsia="微软雅黑" w:cs="微软雅黑"/>
                <w:i/>
                <w:color w:val="000000"/>
                <w:spacing w:val="-17"/>
                <w:kern w:val="0"/>
                <w:sz w:val="16"/>
                <w:szCs w:val="16"/>
                <w:u w:val="none"/>
                <w:lang w:val="en-US" w:eastAsia="zh-CN" w:bidi="ar"/>
              </w:rPr>
              <w:t>108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65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8E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8</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BE19A">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r>
      <w:tr w14:paraId="694C9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D6BF0">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44BA6">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C23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质量指标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B7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符合相关规定</w:t>
            </w: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59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定性</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8CC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合规</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AA157">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6C7E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微软雅黑" w:hAnsi="微软雅黑" w:eastAsia="微软雅黑" w:cs="微软雅黑"/>
                <w:i/>
                <w:color w:val="000000"/>
                <w:spacing w:val="-17"/>
                <w:sz w:val="16"/>
                <w:szCs w:val="16"/>
                <w:u w:val="none"/>
              </w:rPr>
            </w:pPr>
            <w:r>
              <w:rPr>
                <w:rFonts w:hint="default" w:ascii="微软雅黑" w:hAnsi="微软雅黑" w:eastAsia="微软雅黑" w:cs="微软雅黑"/>
                <w:i/>
                <w:color w:val="000000"/>
                <w:spacing w:val="-17"/>
                <w:kern w:val="0"/>
                <w:sz w:val="16"/>
                <w:szCs w:val="16"/>
                <w:u w:val="none"/>
                <w:lang w:val="en-US" w:eastAsia="zh-CN" w:bidi="ar"/>
              </w:rPr>
              <w:t>合规</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015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A2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20</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35F7">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r>
      <w:tr w14:paraId="76525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6"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EDFEE">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C2ED8">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9D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时效指标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FCF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费用结算周期</w:t>
            </w: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624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定性</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2C3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1次/季度</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E38E">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B943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日常接待经费按1次/季度，但警卫接待经费是按1次/半年支付的</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C46B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9CD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8</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CD5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因今年接待多在其他县市，根据属地管理原则，其他县市结算接待费较多，我中心结算接待费较少，所以警卫接待经费按季度支付</w:t>
            </w:r>
          </w:p>
        </w:tc>
      </w:tr>
      <w:tr w14:paraId="0F66F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D44E0">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1DB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效益指标</w:t>
            </w:r>
          </w:p>
        </w:tc>
        <w:tc>
          <w:tcPr>
            <w:tcW w:w="6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4E6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社会效益指标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C9F3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树立州委政府良好形象</w:t>
            </w: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8B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定性</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340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效果明显</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4147C">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038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效果明显</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486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E88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79B24">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r>
      <w:tr w14:paraId="126DE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39140">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7A402">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6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94E78">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4D80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提高事务向政务转型升级</w:t>
            </w: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3E4B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定性</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0E7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提高</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B2074">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D08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提高</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FB4C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8C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A109">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r>
      <w:tr w14:paraId="7386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02A2C">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51D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满意度指标</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0C5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服务对象满意度指标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A700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群众满意度</w:t>
            </w: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F06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9C2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95</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4A3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36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超过95%</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D17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3B6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90091">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r>
      <w:tr w14:paraId="2CC6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5B0A9">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i w:val="0"/>
                <w:color w:val="000000"/>
                <w:spacing w:val="-17"/>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8BBD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成本指标</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911B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经济成本指标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68F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经费总支出</w:t>
            </w: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2E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B0C1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400</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BE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万元</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63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171.94万元</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1E9A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347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20</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72B48">
            <w:pPr>
              <w:keepNext w:val="0"/>
              <w:keepLines w:val="0"/>
              <w:pageBreakBefore w:val="0"/>
              <w:kinsoku/>
              <w:wordWrap/>
              <w:overflowPunct/>
              <w:topLinePunct w:val="0"/>
              <w:autoSpaceDE/>
              <w:autoSpaceDN/>
              <w:bidi w:val="0"/>
              <w:adjustRightInd/>
              <w:snapToGrid/>
              <w:spacing w:line="200" w:lineRule="exact"/>
              <w:jc w:val="center"/>
              <w:rPr>
                <w:rFonts w:hint="default" w:ascii="微软雅黑" w:hAnsi="微软雅黑" w:eastAsia="微软雅黑" w:cs="微软雅黑"/>
                <w:i/>
                <w:color w:val="000000"/>
                <w:spacing w:val="-17"/>
                <w:sz w:val="16"/>
                <w:szCs w:val="16"/>
                <w:u w:val="none"/>
              </w:rPr>
            </w:pPr>
          </w:p>
        </w:tc>
      </w:tr>
      <w:tr w14:paraId="5461A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39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BD38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合计</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82F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100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7FF1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96</w:t>
            </w:r>
          </w:p>
        </w:tc>
        <w:tc>
          <w:tcPr>
            <w:tcW w:w="10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8ADFF">
            <w:pPr>
              <w:keepNext w:val="0"/>
              <w:keepLines w:val="0"/>
              <w:pageBreakBefore w:val="0"/>
              <w:kinsoku/>
              <w:wordWrap/>
              <w:overflowPunct/>
              <w:topLinePunct w:val="0"/>
              <w:autoSpaceDE/>
              <w:autoSpaceDN/>
              <w:bidi w:val="0"/>
              <w:adjustRightInd/>
              <w:snapToGrid/>
              <w:spacing w:line="200" w:lineRule="exact"/>
              <w:rPr>
                <w:rFonts w:hint="eastAsia" w:ascii="宋体" w:hAnsi="宋体" w:eastAsia="宋体" w:cs="宋体"/>
                <w:i w:val="0"/>
                <w:color w:val="000000"/>
                <w:spacing w:val="-17"/>
                <w:sz w:val="18"/>
                <w:szCs w:val="18"/>
                <w:u w:val="none"/>
              </w:rPr>
            </w:pPr>
          </w:p>
        </w:tc>
      </w:tr>
      <w:tr w14:paraId="7F859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1ED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评价结论</w:t>
            </w:r>
          </w:p>
        </w:tc>
        <w:tc>
          <w:tcPr>
            <w:tcW w:w="462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9B66A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微软雅黑" w:hAnsi="微软雅黑" w:eastAsia="微软雅黑" w:cs="微软雅黑"/>
                <w:i/>
                <w:color w:val="000000"/>
                <w:spacing w:val="-17"/>
                <w:sz w:val="16"/>
                <w:szCs w:val="16"/>
                <w:u w:val="none"/>
              </w:rPr>
            </w:pPr>
            <w:r>
              <w:rPr>
                <w:rFonts w:hint="default" w:ascii="微软雅黑" w:hAnsi="微软雅黑" w:eastAsia="微软雅黑" w:cs="微软雅黑"/>
                <w:i/>
                <w:color w:val="000000"/>
                <w:spacing w:val="-17"/>
                <w:kern w:val="0"/>
                <w:sz w:val="16"/>
                <w:szCs w:val="16"/>
                <w:u w:val="none"/>
                <w:lang w:val="en-US" w:eastAsia="zh-CN" w:bidi="ar"/>
              </w:rPr>
              <w:t>“公务接待工作经费”通过政府部门预算及相关部门的审批，项目实施依据充分，绩效目标明确。经查阅相关资料，并进行综合评价。公务接待工作经费绩效评价得分96分。</w:t>
            </w:r>
          </w:p>
        </w:tc>
      </w:tr>
      <w:tr w14:paraId="62154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35A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存在问题</w:t>
            </w:r>
          </w:p>
        </w:tc>
        <w:tc>
          <w:tcPr>
            <w:tcW w:w="462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F35B3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微软雅黑" w:hAnsi="微软雅黑" w:eastAsia="微软雅黑" w:cs="微软雅黑"/>
                <w:i/>
                <w:color w:val="000000"/>
                <w:spacing w:val="-17"/>
                <w:sz w:val="16"/>
                <w:szCs w:val="16"/>
                <w:u w:val="none"/>
              </w:rPr>
            </w:pPr>
            <w:r>
              <w:rPr>
                <w:rFonts w:hint="default" w:ascii="微软雅黑" w:hAnsi="微软雅黑" w:eastAsia="微软雅黑" w:cs="微软雅黑"/>
                <w:i/>
                <w:color w:val="000000"/>
                <w:spacing w:val="-17"/>
                <w:kern w:val="0"/>
                <w:sz w:val="16"/>
                <w:szCs w:val="16"/>
                <w:u w:val="none"/>
                <w:lang w:val="en-US" w:eastAsia="zh-CN" w:bidi="ar"/>
              </w:rPr>
              <w:t>公务接待工作任务重、时间急、人员紧缺，对已开展的工作的资金支付较2023年有所改善,但经费支付进度还有待提高</w:t>
            </w:r>
          </w:p>
        </w:tc>
      </w:tr>
      <w:tr w14:paraId="6F18E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B68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hAnsi="宋体" w:eastAsia="宋体" w:cs="宋体"/>
                <w:i w:val="0"/>
                <w:color w:val="000000"/>
                <w:spacing w:val="-17"/>
                <w:sz w:val="18"/>
                <w:szCs w:val="18"/>
                <w:u w:val="none"/>
              </w:rPr>
            </w:pPr>
            <w:r>
              <w:rPr>
                <w:rFonts w:ascii="宋体" w:hAnsi="宋体" w:eastAsia="宋体" w:cs="宋体"/>
                <w:i w:val="0"/>
                <w:color w:val="000000"/>
                <w:spacing w:val="-17"/>
                <w:kern w:val="0"/>
                <w:sz w:val="18"/>
                <w:szCs w:val="18"/>
                <w:u w:val="none"/>
                <w:lang w:val="en-US" w:eastAsia="zh-CN" w:bidi="ar"/>
              </w:rPr>
              <w:t>改进措施</w:t>
            </w:r>
          </w:p>
        </w:tc>
        <w:tc>
          <w:tcPr>
            <w:tcW w:w="462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DCC54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微软雅黑" w:hAnsi="微软雅黑" w:eastAsia="微软雅黑" w:cs="微软雅黑"/>
                <w:i/>
                <w:color w:val="000000"/>
                <w:spacing w:val="-17"/>
                <w:sz w:val="16"/>
                <w:szCs w:val="16"/>
                <w:u w:val="none"/>
              </w:rPr>
            </w:pPr>
            <w:r>
              <w:rPr>
                <w:rFonts w:hint="default" w:ascii="微软雅黑" w:hAnsi="微软雅黑" w:eastAsia="微软雅黑" w:cs="微软雅黑"/>
                <w:i/>
                <w:color w:val="000000"/>
                <w:spacing w:val="-17"/>
                <w:kern w:val="0"/>
                <w:sz w:val="16"/>
                <w:szCs w:val="16"/>
                <w:u w:val="none"/>
                <w:lang w:val="en-US" w:eastAsia="zh-CN" w:bidi="ar"/>
              </w:rPr>
              <w:t>强化落实工作职责，加强对已开展的公务接待工作文件材料的收集、整理、核对、装订，进一步规范资金支付的审批程序，专款专用，加强资金支付的及时性，确保资金支出进度和预算完成率，使本单位项目资金绩效责任更加清晰明朗，强化科学合理安排，合理拨付，杜绝资金闲置浪费。</w:t>
            </w:r>
          </w:p>
        </w:tc>
      </w:tr>
      <w:tr w14:paraId="41495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06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C0477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黑体" w:hAnsi="黑体" w:eastAsia="黑体" w:cs="黑体"/>
                <w:i w:val="0"/>
                <w:color w:val="000000"/>
                <w:spacing w:val="-17"/>
                <w:sz w:val="18"/>
                <w:szCs w:val="18"/>
                <w:u w:val="none"/>
              </w:rPr>
            </w:pPr>
            <w:r>
              <w:rPr>
                <w:rFonts w:hint="default" w:ascii="黑体" w:hAnsi="黑体" w:eastAsia="黑体" w:cs="黑体"/>
                <w:i w:val="0"/>
                <w:color w:val="000000"/>
                <w:spacing w:val="-17"/>
                <w:kern w:val="0"/>
                <w:sz w:val="18"/>
                <w:szCs w:val="18"/>
                <w:u w:val="none"/>
                <w:lang w:val="en-US" w:eastAsia="zh-CN" w:bidi="ar"/>
              </w:rPr>
              <w:t>项目负责人：董伟</w:t>
            </w:r>
          </w:p>
        </w:tc>
        <w:tc>
          <w:tcPr>
            <w:tcW w:w="293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CDC08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黑体" w:hAnsi="黑体" w:eastAsia="黑体" w:cs="黑体"/>
                <w:i w:val="0"/>
                <w:color w:val="000000"/>
                <w:spacing w:val="-17"/>
                <w:sz w:val="18"/>
                <w:szCs w:val="18"/>
                <w:u w:val="none"/>
              </w:rPr>
            </w:pPr>
            <w:r>
              <w:rPr>
                <w:rFonts w:hint="default" w:ascii="黑体" w:hAnsi="黑体" w:eastAsia="黑体" w:cs="黑体"/>
                <w:i w:val="0"/>
                <w:color w:val="000000"/>
                <w:spacing w:val="-17"/>
                <w:kern w:val="0"/>
                <w:sz w:val="18"/>
                <w:szCs w:val="18"/>
                <w:u w:val="none"/>
                <w:lang w:val="en-US" w:eastAsia="zh-CN" w:bidi="ar"/>
              </w:rPr>
              <w:t>财务负责人：蔡正平</w:t>
            </w:r>
          </w:p>
        </w:tc>
      </w:tr>
    </w:tbl>
    <w:p w14:paraId="58CFD81B">
      <w:pPr>
        <w:pStyle w:val="2"/>
        <w:keepNext w:val="0"/>
        <w:keepLines w:val="0"/>
        <w:pageBreakBefore w:val="0"/>
        <w:kinsoku/>
        <w:wordWrap/>
        <w:overflowPunct/>
        <w:topLinePunct w:val="0"/>
        <w:autoSpaceDE/>
        <w:autoSpaceDN/>
        <w:bidi w:val="0"/>
        <w:adjustRightInd/>
        <w:snapToGrid/>
        <w:spacing w:line="200" w:lineRule="exact"/>
        <w:rPr>
          <w:rFonts w:hint="eastAsia"/>
          <w:spacing w:val="-17"/>
          <w:lang w:val="zh-CN"/>
        </w:rPr>
      </w:pPr>
    </w:p>
    <w:tbl>
      <w:tblPr>
        <w:tblStyle w:val="18"/>
        <w:tblpPr w:leftFromText="180" w:rightFromText="180" w:vertAnchor="text" w:horzAnchor="page" w:tblpX="456" w:tblpY="213"/>
        <w:tblOverlap w:val="never"/>
        <w:tblW w:w="110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7"/>
        <w:gridCol w:w="1428"/>
        <w:gridCol w:w="1500"/>
        <w:gridCol w:w="1482"/>
        <w:gridCol w:w="650"/>
        <w:gridCol w:w="651"/>
        <w:gridCol w:w="614"/>
        <w:gridCol w:w="940"/>
        <w:gridCol w:w="759"/>
        <w:gridCol w:w="542"/>
        <w:gridCol w:w="1505"/>
      </w:tblGrid>
      <w:tr w14:paraId="2DE1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1107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288C7F1">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A9CE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4A3D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93F68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51320024T000010468346-办公楼维修项目</w:t>
            </w:r>
          </w:p>
        </w:tc>
      </w:tr>
      <w:tr w14:paraId="5EC50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8" w:hRule="atLeast"/>
        </w:trPr>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DE9B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8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14C1B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州公务服务中心部门</w:t>
            </w:r>
          </w:p>
        </w:tc>
        <w:tc>
          <w:tcPr>
            <w:tcW w:w="940" w:type="dxa"/>
            <w:tcBorders>
              <w:top w:val="nil"/>
              <w:left w:val="nil"/>
              <w:bottom w:val="nil"/>
              <w:right w:val="nil"/>
            </w:tcBorders>
            <w:shd w:val="clear" w:color="auto" w:fill="auto"/>
            <w:vAlign w:val="center"/>
          </w:tcPr>
          <w:p w14:paraId="5DF94E1B">
            <w:pPr>
              <w:keepNext w:val="0"/>
              <w:keepLines w:val="0"/>
              <w:widowControl/>
              <w:suppressLineNumbers w:val="0"/>
              <w:jc w:val="left"/>
              <w:textAlignment w:val="center"/>
              <w:rPr>
                <w:rFonts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28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AB46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州公务服务中心</w:t>
            </w:r>
          </w:p>
        </w:tc>
      </w:tr>
      <w:tr w14:paraId="25C79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53A7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4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7696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8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4E6A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E75F9B">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14:paraId="4D03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19F46">
            <w:pPr>
              <w:rPr>
                <w:rFonts w:hint="eastAsia" w:ascii="宋体" w:hAnsi="宋体" w:eastAsia="宋体" w:cs="宋体"/>
                <w:i w:val="0"/>
                <w:color w:val="000000"/>
                <w:sz w:val="18"/>
                <w:szCs w:val="18"/>
                <w:u w:val="none"/>
              </w:rPr>
            </w:pPr>
          </w:p>
        </w:tc>
        <w:tc>
          <w:tcPr>
            <w:tcW w:w="14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A85E6">
            <w:pPr>
              <w:rPr>
                <w:rFonts w:hint="eastAsia" w:ascii="宋体" w:hAnsi="宋体" w:eastAsia="宋体" w:cs="宋体"/>
                <w:i w:val="0"/>
                <w:color w:val="000000"/>
                <w:sz w:val="18"/>
                <w:szCs w:val="18"/>
                <w:u w:val="none"/>
              </w:rPr>
            </w:pPr>
          </w:p>
        </w:tc>
        <w:tc>
          <w:tcPr>
            <w:tcW w:w="48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7966B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日常维修维护办公楼，保障办公大楼状况良好，为职工提供一个安全舒适良好的办公场所。</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376BA7">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宋体" w:hAnsi="宋体" w:eastAsia="宋体" w:cs="宋体"/>
                <w:i w:val="0"/>
                <w:color w:val="000000"/>
                <w:kern w:val="0"/>
                <w:sz w:val="18"/>
                <w:szCs w:val="18"/>
                <w:u w:val="none"/>
                <w:lang w:val="en-US" w:eastAsia="zh-CN" w:bidi="ar"/>
              </w:rPr>
              <w:t>及时对破旧地砖进行更换地板，为职工提供了良好的办公环境。</w:t>
            </w:r>
          </w:p>
        </w:tc>
      </w:tr>
      <w:tr w14:paraId="5363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4A8CD">
            <w:pPr>
              <w:rPr>
                <w:rFonts w:hint="eastAsia" w:ascii="宋体" w:hAnsi="宋体" w:eastAsia="宋体" w:cs="宋体"/>
                <w:i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E1B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B7043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因机关楼道瓷砖经常性掉落和出现破裂，2023年中心向财政申请维修资金，2024年财政批复相关维修资金。2024年成立维修工作领导小组，开展比选询价工作，进行结果公示，于2024年5月1日至10日施工，在5月29日组织进行验收工作。</w:t>
            </w:r>
          </w:p>
        </w:tc>
      </w:tr>
      <w:tr w14:paraId="3E8A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6B9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EB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F2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C9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C5A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59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F9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52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F9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7337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D1E59">
            <w:pPr>
              <w:jc w:val="center"/>
              <w:rPr>
                <w:rFonts w:hint="eastAsia" w:ascii="宋体" w:hAnsi="宋体" w:eastAsia="宋体" w:cs="宋体"/>
                <w:i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D9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99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00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w:t>
            </w:r>
          </w:p>
        </w:tc>
        <w:tc>
          <w:tcPr>
            <w:tcW w:w="1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305E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2A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B5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08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E23A4">
            <w:pPr>
              <w:keepNext w:val="0"/>
              <w:keepLines w:val="0"/>
              <w:widowControl/>
              <w:suppressLineNumbers w:val="0"/>
              <w:jc w:val="left"/>
              <w:textAlignment w:val="center"/>
              <w:rPr>
                <w:rFonts w:hint="default" w:ascii="黑体" w:hAnsi="黑体" w:eastAsia="黑体" w:cs="黑体"/>
                <w:i/>
                <w:color w:val="000000"/>
                <w:sz w:val="18"/>
                <w:szCs w:val="18"/>
                <w:u w:val="none"/>
              </w:rPr>
            </w:pPr>
          </w:p>
        </w:tc>
      </w:tr>
      <w:tr w14:paraId="1A459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22264">
            <w:pPr>
              <w:jc w:val="center"/>
              <w:rPr>
                <w:rFonts w:hint="eastAsia" w:ascii="宋体" w:hAnsi="宋体" w:eastAsia="宋体" w:cs="宋体"/>
                <w:i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4AB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F7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BA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w:t>
            </w:r>
          </w:p>
        </w:tc>
        <w:tc>
          <w:tcPr>
            <w:tcW w:w="1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202A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F9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DC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20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6A0D4">
            <w:pPr>
              <w:rPr>
                <w:rFonts w:hint="default" w:ascii="黑体" w:hAnsi="黑体" w:eastAsia="黑体" w:cs="黑体"/>
                <w:i/>
                <w:color w:val="000000"/>
                <w:sz w:val="18"/>
                <w:szCs w:val="18"/>
                <w:u w:val="none"/>
              </w:rPr>
            </w:pPr>
          </w:p>
        </w:tc>
      </w:tr>
      <w:tr w14:paraId="0D333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8B572">
            <w:pPr>
              <w:jc w:val="center"/>
              <w:rPr>
                <w:rFonts w:hint="eastAsia" w:ascii="宋体" w:hAnsi="宋体" w:eastAsia="宋体" w:cs="宋体"/>
                <w:i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7D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73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1A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69D4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BF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54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D2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72846">
            <w:pPr>
              <w:rPr>
                <w:rFonts w:hint="default" w:ascii="黑体" w:hAnsi="黑体" w:eastAsia="黑体" w:cs="黑体"/>
                <w:i/>
                <w:color w:val="000000"/>
                <w:sz w:val="18"/>
                <w:szCs w:val="18"/>
                <w:u w:val="none"/>
              </w:rPr>
            </w:pPr>
          </w:p>
        </w:tc>
      </w:tr>
      <w:tr w14:paraId="39AFB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0512C">
            <w:pPr>
              <w:jc w:val="center"/>
              <w:rPr>
                <w:rFonts w:hint="eastAsia" w:ascii="宋体" w:hAnsi="宋体" w:eastAsia="宋体" w:cs="宋体"/>
                <w:i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60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7A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53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B675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AE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D5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D1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A849E">
            <w:pPr>
              <w:rPr>
                <w:rFonts w:hint="default" w:ascii="黑体" w:hAnsi="黑体" w:eastAsia="黑体" w:cs="黑体"/>
                <w:i/>
                <w:color w:val="000000"/>
                <w:sz w:val="18"/>
                <w:szCs w:val="18"/>
                <w:u w:val="none"/>
              </w:rPr>
            </w:pPr>
          </w:p>
        </w:tc>
      </w:tr>
      <w:tr w14:paraId="46E8E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71632">
            <w:pPr>
              <w:jc w:val="center"/>
              <w:rPr>
                <w:rFonts w:hint="eastAsia" w:ascii="宋体" w:hAnsi="宋体" w:eastAsia="宋体" w:cs="宋体"/>
                <w:i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83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17D4">
            <w:pPr>
              <w:jc w:val="center"/>
              <w:rPr>
                <w:rFonts w:hint="eastAsia" w:ascii="微软雅黑" w:hAnsi="微软雅黑" w:eastAsia="微软雅黑" w:cs="微软雅黑"/>
                <w:i/>
                <w:color w:val="000000"/>
                <w:sz w:val="16"/>
                <w:szCs w:val="16"/>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4692">
            <w:pPr>
              <w:jc w:val="center"/>
              <w:rPr>
                <w:rFonts w:hint="default" w:ascii="微软雅黑" w:hAnsi="微软雅黑" w:eastAsia="微软雅黑" w:cs="微软雅黑"/>
                <w:i/>
                <w:color w:val="000000"/>
                <w:sz w:val="16"/>
                <w:szCs w:val="16"/>
                <w:u w:val="none"/>
              </w:rPr>
            </w:pPr>
          </w:p>
        </w:tc>
        <w:tc>
          <w:tcPr>
            <w:tcW w:w="19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2F8386">
            <w:pPr>
              <w:jc w:val="center"/>
              <w:rPr>
                <w:rFonts w:hint="default" w:ascii="微软雅黑" w:hAnsi="微软雅黑" w:eastAsia="微软雅黑" w:cs="微软雅黑"/>
                <w:i/>
                <w:color w:val="000000"/>
                <w:sz w:val="16"/>
                <w:szCs w:val="16"/>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BD49">
            <w:pPr>
              <w:jc w:val="center"/>
              <w:rPr>
                <w:rFonts w:hint="default" w:ascii="微软雅黑" w:hAnsi="微软雅黑" w:eastAsia="微软雅黑" w:cs="微软雅黑"/>
                <w:i/>
                <w:color w:val="000000"/>
                <w:sz w:val="16"/>
                <w:szCs w:val="16"/>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06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B3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5C655">
            <w:pPr>
              <w:rPr>
                <w:rFonts w:hint="default" w:ascii="黑体" w:hAnsi="黑体" w:eastAsia="黑体" w:cs="黑体"/>
                <w:i/>
                <w:color w:val="000000"/>
                <w:sz w:val="18"/>
                <w:szCs w:val="18"/>
                <w:u w:val="none"/>
              </w:rPr>
            </w:pPr>
          </w:p>
        </w:tc>
      </w:tr>
      <w:tr w14:paraId="2682F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DA7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1E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B0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BF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21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BF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FC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A8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90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21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03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D2D5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AC4D6">
            <w:pPr>
              <w:jc w:val="center"/>
              <w:rPr>
                <w:rFonts w:hint="eastAsia" w:ascii="宋体" w:hAnsi="宋体" w:eastAsia="宋体" w:cs="宋体"/>
                <w:i w:val="0"/>
                <w:color w:val="000000"/>
                <w:sz w:val="18"/>
                <w:szCs w:val="18"/>
                <w:u w:val="none"/>
              </w:rPr>
            </w:pPr>
          </w:p>
        </w:tc>
        <w:tc>
          <w:tcPr>
            <w:tcW w:w="14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46F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A0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B2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维修处数</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AD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E9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B5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DF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4E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86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4E9C">
            <w:pPr>
              <w:jc w:val="center"/>
              <w:rPr>
                <w:rFonts w:hint="default" w:ascii="微软雅黑" w:hAnsi="微软雅黑" w:eastAsia="微软雅黑" w:cs="微软雅黑"/>
                <w:i/>
                <w:color w:val="000000"/>
                <w:sz w:val="16"/>
                <w:szCs w:val="16"/>
                <w:u w:val="none"/>
              </w:rPr>
            </w:pPr>
          </w:p>
        </w:tc>
      </w:tr>
      <w:tr w14:paraId="0AEA9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DA82E">
            <w:pPr>
              <w:jc w:val="center"/>
              <w:rPr>
                <w:rFonts w:hint="eastAsia" w:ascii="宋体" w:hAnsi="宋体" w:eastAsia="宋体" w:cs="宋体"/>
                <w:i w:val="0"/>
                <w:color w:val="000000"/>
                <w:sz w:val="18"/>
                <w:szCs w:val="18"/>
                <w:u w:val="none"/>
              </w:rPr>
            </w:pPr>
          </w:p>
        </w:tc>
        <w:tc>
          <w:tcPr>
            <w:tcW w:w="14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D5399">
            <w:pPr>
              <w:jc w:val="center"/>
              <w:rPr>
                <w:rFonts w:hint="eastAsia" w:ascii="宋体" w:hAnsi="宋体" w:eastAsia="宋体" w:cs="宋体"/>
                <w:i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9E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72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完工验收合格率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C0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3CB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47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D3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47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9F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F16B">
            <w:pPr>
              <w:jc w:val="center"/>
              <w:rPr>
                <w:rFonts w:hint="default" w:ascii="微软雅黑" w:hAnsi="微软雅黑" w:eastAsia="微软雅黑" w:cs="微软雅黑"/>
                <w:i/>
                <w:color w:val="000000"/>
                <w:sz w:val="16"/>
                <w:szCs w:val="16"/>
                <w:u w:val="none"/>
              </w:rPr>
            </w:pPr>
          </w:p>
        </w:tc>
      </w:tr>
      <w:tr w14:paraId="4F96F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D7C48">
            <w:pPr>
              <w:jc w:val="center"/>
              <w:rPr>
                <w:rFonts w:hint="eastAsia" w:ascii="宋体" w:hAnsi="宋体" w:eastAsia="宋体" w:cs="宋体"/>
                <w:i w:val="0"/>
                <w:color w:val="000000"/>
                <w:sz w:val="18"/>
                <w:szCs w:val="18"/>
                <w:u w:val="none"/>
              </w:rPr>
            </w:pPr>
          </w:p>
        </w:tc>
        <w:tc>
          <w:tcPr>
            <w:tcW w:w="14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6887F">
            <w:pPr>
              <w:jc w:val="center"/>
              <w:rPr>
                <w:rFonts w:hint="eastAsia" w:ascii="宋体" w:hAnsi="宋体" w:eastAsia="宋体" w:cs="宋体"/>
                <w:i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84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F5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项目在12月31前完成</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58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7C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4256">
            <w:pPr>
              <w:jc w:val="center"/>
              <w:rPr>
                <w:rFonts w:hint="eastAsia" w:ascii="宋体" w:hAnsi="宋体" w:eastAsia="宋体" w:cs="宋体"/>
                <w:i w:val="0"/>
                <w:color w:val="000000"/>
                <w:sz w:val="18"/>
                <w:szCs w:val="1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1D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B8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89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000E">
            <w:pPr>
              <w:jc w:val="center"/>
              <w:rPr>
                <w:rFonts w:hint="default" w:ascii="微软雅黑" w:hAnsi="微软雅黑" w:eastAsia="微软雅黑" w:cs="微软雅黑"/>
                <w:i/>
                <w:color w:val="000000"/>
                <w:sz w:val="16"/>
                <w:szCs w:val="16"/>
                <w:u w:val="none"/>
              </w:rPr>
            </w:pPr>
          </w:p>
        </w:tc>
      </w:tr>
      <w:tr w14:paraId="7FE11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ED7B7">
            <w:pPr>
              <w:jc w:val="center"/>
              <w:rPr>
                <w:rFonts w:hint="eastAsia" w:ascii="宋体" w:hAnsi="宋体" w:eastAsia="宋体" w:cs="宋体"/>
                <w:i w:val="0"/>
                <w:color w:val="000000"/>
                <w:sz w:val="18"/>
                <w:szCs w:val="18"/>
                <w:u w:val="none"/>
              </w:rPr>
            </w:pPr>
          </w:p>
        </w:tc>
        <w:tc>
          <w:tcPr>
            <w:tcW w:w="14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B639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2E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F4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提供良好的工作环境、提高职工积极性</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92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D0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效果明显</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EF62">
            <w:pPr>
              <w:jc w:val="center"/>
              <w:rPr>
                <w:rFonts w:hint="eastAsia" w:ascii="宋体" w:hAnsi="宋体" w:eastAsia="宋体" w:cs="宋体"/>
                <w:i w:val="0"/>
                <w:color w:val="000000"/>
                <w:sz w:val="18"/>
                <w:szCs w:val="1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FE2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效果明显</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92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D7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5116">
            <w:pPr>
              <w:jc w:val="center"/>
              <w:rPr>
                <w:rFonts w:hint="default" w:ascii="微软雅黑" w:hAnsi="微软雅黑" w:eastAsia="微软雅黑" w:cs="微软雅黑"/>
                <w:i/>
                <w:color w:val="000000"/>
                <w:sz w:val="16"/>
                <w:szCs w:val="16"/>
                <w:u w:val="none"/>
              </w:rPr>
            </w:pPr>
          </w:p>
        </w:tc>
      </w:tr>
      <w:tr w14:paraId="6E28B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A19BA">
            <w:pPr>
              <w:jc w:val="center"/>
              <w:rPr>
                <w:rFonts w:hint="eastAsia" w:ascii="宋体" w:hAnsi="宋体" w:eastAsia="宋体" w:cs="宋体"/>
                <w:i w:val="0"/>
                <w:color w:val="000000"/>
                <w:sz w:val="18"/>
                <w:szCs w:val="18"/>
                <w:u w:val="none"/>
              </w:rPr>
            </w:pPr>
          </w:p>
        </w:tc>
        <w:tc>
          <w:tcPr>
            <w:tcW w:w="14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55CF">
            <w:pPr>
              <w:jc w:val="center"/>
              <w:rPr>
                <w:rFonts w:hint="eastAsia" w:ascii="宋体" w:hAnsi="宋体" w:eastAsia="宋体" w:cs="宋体"/>
                <w:i w:val="0"/>
                <w:color w:val="000000"/>
                <w:sz w:val="18"/>
                <w:szCs w:val="1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FF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98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达标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81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93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达标</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4066">
            <w:pPr>
              <w:jc w:val="center"/>
              <w:rPr>
                <w:rFonts w:hint="eastAsia" w:ascii="宋体" w:hAnsi="宋体" w:eastAsia="宋体" w:cs="宋体"/>
                <w:i w:val="0"/>
                <w:color w:val="000000"/>
                <w:sz w:val="18"/>
                <w:szCs w:val="1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3D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达标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F3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F0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0098">
            <w:pPr>
              <w:jc w:val="center"/>
              <w:rPr>
                <w:rFonts w:hint="default" w:ascii="微软雅黑" w:hAnsi="微软雅黑" w:eastAsia="微软雅黑" w:cs="微软雅黑"/>
                <w:i/>
                <w:color w:val="000000"/>
                <w:sz w:val="16"/>
                <w:szCs w:val="16"/>
                <w:u w:val="none"/>
              </w:rPr>
            </w:pPr>
          </w:p>
        </w:tc>
      </w:tr>
      <w:tr w14:paraId="25EF7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9C30A">
            <w:pPr>
              <w:jc w:val="center"/>
              <w:rPr>
                <w:rFonts w:hint="eastAsia" w:ascii="宋体" w:hAnsi="宋体" w:eastAsia="宋体" w:cs="宋体"/>
                <w:i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0F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D6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D8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干部职工满意度</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42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58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57F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75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4C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25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6A61">
            <w:pPr>
              <w:jc w:val="center"/>
              <w:rPr>
                <w:rFonts w:hint="default" w:ascii="微软雅黑" w:hAnsi="微软雅黑" w:eastAsia="微软雅黑" w:cs="微软雅黑"/>
                <w:i/>
                <w:color w:val="000000"/>
                <w:sz w:val="16"/>
                <w:szCs w:val="16"/>
                <w:u w:val="none"/>
              </w:rPr>
            </w:pPr>
          </w:p>
        </w:tc>
      </w:tr>
      <w:tr w14:paraId="433F7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C753B">
            <w:pPr>
              <w:jc w:val="center"/>
              <w:rPr>
                <w:rFonts w:hint="eastAsia" w:ascii="宋体" w:hAnsi="宋体" w:eastAsia="宋体" w:cs="宋体"/>
                <w:i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D0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31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FA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经费总支出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B9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4F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98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CE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86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08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CDF1">
            <w:pPr>
              <w:jc w:val="center"/>
              <w:rPr>
                <w:rFonts w:hint="default" w:ascii="微软雅黑" w:hAnsi="微软雅黑" w:eastAsia="微软雅黑" w:cs="微软雅黑"/>
                <w:i/>
                <w:color w:val="000000"/>
                <w:sz w:val="16"/>
                <w:szCs w:val="16"/>
                <w:u w:val="none"/>
              </w:rPr>
            </w:pPr>
          </w:p>
        </w:tc>
      </w:tr>
      <w:tr w14:paraId="1CF07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27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1253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8D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5754">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9164">
            <w:pPr>
              <w:rPr>
                <w:rFonts w:hint="eastAsia" w:ascii="宋体" w:hAnsi="宋体" w:eastAsia="宋体" w:cs="宋体"/>
                <w:i w:val="0"/>
                <w:color w:val="000000"/>
                <w:sz w:val="18"/>
                <w:szCs w:val="18"/>
                <w:u w:val="none"/>
              </w:rPr>
            </w:pPr>
          </w:p>
        </w:tc>
      </w:tr>
      <w:tr w14:paraId="23E77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D6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007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29FE9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项目自评总分为100分，严格按照财政《办公用房维修改造项目装饰装修工程预算评审指南》实施采购等相关工作，有效的改善了机关办公条件。</w:t>
            </w:r>
          </w:p>
        </w:tc>
      </w:tr>
      <w:tr w14:paraId="4A21B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BD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007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CCAFDF">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因高原地区温差较大，瓷砖质量不过关，导致破裂掉落。</w:t>
            </w:r>
          </w:p>
        </w:tc>
      </w:tr>
      <w:tr w14:paraId="3BDC1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C5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007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63990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建议根据地方实际配相应合适的产品。</w:t>
            </w:r>
          </w:p>
        </w:tc>
      </w:tr>
      <w:tr w14:paraId="226B4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0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A2B69C">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项目负责人：尼玛</w:t>
            </w:r>
          </w:p>
        </w:tc>
        <w:tc>
          <w:tcPr>
            <w:tcW w:w="50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B33799">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财务负责人：蔡正平</w:t>
            </w:r>
          </w:p>
        </w:tc>
      </w:tr>
    </w:tbl>
    <w:p w14:paraId="698EB9BE">
      <w:pPr>
        <w:pStyle w:val="2"/>
        <w:rPr>
          <w:rFonts w:hint="eastAsia"/>
          <w:lang w:val="zh-CN"/>
        </w:rPr>
      </w:pPr>
    </w:p>
    <w:p w14:paraId="0A86D7A3">
      <w:pPr>
        <w:pStyle w:val="3"/>
        <w:jc w:val="center"/>
        <w:rPr>
          <w:rFonts w:ascii="黑体" w:hAnsi="黑体" w:eastAsia="黑体"/>
        </w:rPr>
      </w:pPr>
      <w:bookmarkStart w:id="126" w:name="_Toc1428875751_WPSOffice_Level1"/>
      <w:r>
        <w:rPr>
          <w:rFonts w:hint="eastAsia" w:ascii="黑体" w:hAnsi="黑体" w:eastAsia="黑体"/>
        </w:rPr>
        <w:t>第五部分 附表</w:t>
      </w:r>
      <w:bookmarkEnd w:id="126"/>
    </w:p>
    <w:p w14:paraId="00234068">
      <w:pPr>
        <w:rPr>
          <w:rFonts w:ascii="仿宋" w:hAnsi="仿宋" w:eastAsia="仿宋"/>
          <w:sz w:val="32"/>
          <w:szCs w:val="32"/>
        </w:rPr>
      </w:pPr>
      <w:bookmarkStart w:id="127" w:name="_Toc1452971778_WPSOffice_Level2"/>
      <w:r>
        <w:rPr>
          <w:rFonts w:hint="eastAsia" w:ascii="仿宋" w:hAnsi="仿宋" w:eastAsia="仿宋"/>
          <w:sz w:val="32"/>
          <w:szCs w:val="32"/>
        </w:rPr>
        <w:t>一、收入支出决算总表</w:t>
      </w:r>
      <w:bookmarkEnd w:id="127"/>
    </w:p>
    <w:p w14:paraId="2D2A5DF1">
      <w:pPr>
        <w:rPr>
          <w:rFonts w:ascii="仿宋" w:hAnsi="仿宋" w:eastAsia="仿宋"/>
          <w:sz w:val="32"/>
          <w:szCs w:val="32"/>
        </w:rPr>
      </w:pPr>
      <w:bookmarkStart w:id="128" w:name="_Toc1548992680_WPSOffice_Level2"/>
      <w:r>
        <w:rPr>
          <w:rFonts w:hint="eastAsia" w:ascii="仿宋" w:hAnsi="仿宋" w:eastAsia="仿宋"/>
          <w:sz w:val="32"/>
          <w:szCs w:val="32"/>
        </w:rPr>
        <w:t>二、收入决算表</w:t>
      </w:r>
      <w:bookmarkEnd w:id="128"/>
    </w:p>
    <w:p w14:paraId="534ACAD8">
      <w:pPr>
        <w:rPr>
          <w:rFonts w:ascii="仿宋" w:hAnsi="仿宋" w:eastAsia="仿宋"/>
          <w:sz w:val="32"/>
          <w:szCs w:val="32"/>
        </w:rPr>
      </w:pPr>
      <w:bookmarkStart w:id="129" w:name="_Toc892682253_WPSOffice_Level2"/>
      <w:r>
        <w:rPr>
          <w:rFonts w:hint="eastAsia" w:ascii="仿宋" w:hAnsi="仿宋" w:eastAsia="仿宋"/>
          <w:sz w:val="32"/>
          <w:szCs w:val="32"/>
        </w:rPr>
        <w:t>三、支出决算表</w:t>
      </w:r>
      <w:bookmarkEnd w:id="129"/>
    </w:p>
    <w:p w14:paraId="3D6A7A29">
      <w:pPr>
        <w:rPr>
          <w:rFonts w:ascii="仿宋" w:hAnsi="仿宋" w:eastAsia="仿宋"/>
          <w:sz w:val="32"/>
          <w:szCs w:val="32"/>
        </w:rPr>
      </w:pPr>
      <w:bookmarkStart w:id="130" w:name="_Toc2040821639_WPSOffice_Level2"/>
      <w:r>
        <w:rPr>
          <w:rFonts w:hint="eastAsia" w:ascii="仿宋" w:hAnsi="仿宋" w:eastAsia="仿宋"/>
          <w:sz w:val="32"/>
          <w:szCs w:val="32"/>
        </w:rPr>
        <w:t>四、财政拨款收入支出决算总表</w:t>
      </w:r>
      <w:bookmarkEnd w:id="130"/>
    </w:p>
    <w:p w14:paraId="726C3137">
      <w:pPr>
        <w:rPr>
          <w:rFonts w:ascii="仿宋" w:hAnsi="仿宋" w:eastAsia="仿宋"/>
          <w:sz w:val="32"/>
          <w:szCs w:val="32"/>
        </w:rPr>
      </w:pPr>
      <w:bookmarkStart w:id="131" w:name="_Toc1595106532_WPSOffice_Level2"/>
      <w:r>
        <w:rPr>
          <w:rFonts w:hint="eastAsia" w:ascii="仿宋" w:hAnsi="仿宋" w:eastAsia="仿宋"/>
          <w:sz w:val="32"/>
          <w:szCs w:val="32"/>
        </w:rPr>
        <w:t>五、财政拨款支出决算明细表</w:t>
      </w:r>
      <w:bookmarkEnd w:id="131"/>
    </w:p>
    <w:p w14:paraId="5D3AF094">
      <w:pPr>
        <w:rPr>
          <w:rFonts w:ascii="仿宋" w:hAnsi="仿宋" w:eastAsia="仿宋"/>
          <w:sz w:val="32"/>
          <w:szCs w:val="32"/>
        </w:rPr>
      </w:pPr>
      <w:bookmarkStart w:id="132" w:name="_Toc9522045_WPSOffice_Level2"/>
      <w:r>
        <w:rPr>
          <w:rFonts w:hint="eastAsia" w:ascii="仿宋" w:hAnsi="仿宋" w:eastAsia="仿宋"/>
          <w:sz w:val="32"/>
          <w:szCs w:val="32"/>
        </w:rPr>
        <w:t>六、一般公共预算财政拨款支出决算表</w:t>
      </w:r>
      <w:bookmarkEnd w:id="132"/>
    </w:p>
    <w:p w14:paraId="40762BE1">
      <w:pPr>
        <w:rPr>
          <w:rFonts w:ascii="仿宋" w:hAnsi="仿宋" w:eastAsia="仿宋"/>
          <w:sz w:val="32"/>
          <w:szCs w:val="32"/>
        </w:rPr>
      </w:pPr>
      <w:bookmarkStart w:id="133" w:name="_Toc1075600023_WPSOffice_Level2"/>
      <w:r>
        <w:rPr>
          <w:rFonts w:hint="eastAsia" w:ascii="仿宋" w:hAnsi="仿宋" w:eastAsia="仿宋"/>
          <w:sz w:val="32"/>
          <w:szCs w:val="32"/>
        </w:rPr>
        <w:t>七、一般公共预算财政拨款支出决算明细表</w:t>
      </w:r>
      <w:bookmarkEnd w:id="133"/>
    </w:p>
    <w:p w14:paraId="00464961">
      <w:pPr>
        <w:rPr>
          <w:rFonts w:ascii="仿宋" w:hAnsi="仿宋" w:eastAsia="仿宋"/>
          <w:sz w:val="32"/>
          <w:szCs w:val="32"/>
        </w:rPr>
      </w:pPr>
      <w:bookmarkStart w:id="134" w:name="_Toc1323111455_WPSOffice_Level2"/>
      <w:r>
        <w:rPr>
          <w:rFonts w:hint="eastAsia" w:ascii="仿宋" w:hAnsi="仿宋" w:eastAsia="仿宋"/>
          <w:sz w:val="32"/>
          <w:szCs w:val="32"/>
        </w:rPr>
        <w:t>八、一般公共预算财政拨款基本支出决算表</w:t>
      </w:r>
      <w:bookmarkEnd w:id="134"/>
    </w:p>
    <w:p w14:paraId="309468ED">
      <w:pPr>
        <w:rPr>
          <w:rFonts w:ascii="仿宋" w:hAnsi="仿宋" w:eastAsia="仿宋"/>
          <w:sz w:val="32"/>
          <w:szCs w:val="32"/>
        </w:rPr>
      </w:pPr>
      <w:bookmarkStart w:id="135" w:name="_Toc1709702609_WPSOffice_Level2"/>
      <w:r>
        <w:rPr>
          <w:rFonts w:hint="eastAsia" w:ascii="仿宋" w:hAnsi="仿宋" w:eastAsia="仿宋"/>
          <w:sz w:val="32"/>
          <w:szCs w:val="32"/>
        </w:rPr>
        <w:t>九、一般公共预算财政拨款项目支出决算表</w:t>
      </w:r>
      <w:bookmarkEnd w:id="135"/>
    </w:p>
    <w:p w14:paraId="5FED1DFA">
      <w:pPr>
        <w:rPr>
          <w:rFonts w:ascii="仿宋" w:hAnsi="仿宋" w:eastAsia="仿宋"/>
          <w:sz w:val="32"/>
          <w:szCs w:val="32"/>
        </w:rPr>
      </w:pPr>
      <w:bookmarkStart w:id="136" w:name="_Toc1146306123_WPSOffice_Level2"/>
      <w:r>
        <w:rPr>
          <w:rFonts w:hint="eastAsia" w:ascii="仿宋" w:hAnsi="仿宋" w:eastAsia="仿宋"/>
          <w:sz w:val="32"/>
          <w:szCs w:val="32"/>
        </w:rPr>
        <w:t>十、政府性基金预算财政拨款收入支出决算表</w:t>
      </w:r>
      <w:bookmarkEnd w:id="136"/>
    </w:p>
    <w:p w14:paraId="19338788">
      <w:pPr>
        <w:rPr>
          <w:rFonts w:ascii="仿宋" w:hAnsi="仿宋" w:eastAsia="仿宋"/>
          <w:sz w:val="32"/>
          <w:szCs w:val="32"/>
        </w:rPr>
      </w:pPr>
      <w:bookmarkStart w:id="137" w:name="_Toc699004047_WPSOffice_Level2"/>
      <w:r>
        <w:rPr>
          <w:rFonts w:hint="eastAsia" w:ascii="仿宋" w:hAnsi="仿宋" w:eastAsia="仿宋"/>
          <w:sz w:val="32"/>
          <w:szCs w:val="32"/>
        </w:rPr>
        <w:t>十一、国有资本经营预算财政拨款收入支出决算表</w:t>
      </w:r>
      <w:bookmarkEnd w:id="137"/>
    </w:p>
    <w:p w14:paraId="25435756">
      <w:pPr>
        <w:rPr>
          <w:rFonts w:ascii="仿宋" w:hAnsi="仿宋" w:eastAsia="仿宋"/>
          <w:sz w:val="32"/>
          <w:szCs w:val="32"/>
        </w:rPr>
      </w:pPr>
      <w:bookmarkStart w:id="138" w:name="_Toc100585555_WPSOffice_Level2"/>
      <w:r>
        <w:rPr>
          <w:rFonts w:hint="eastAsia" w:ascii="仿宋" w:hAnsi="仿宋" w:eastAsia="仿宋"/>
          <w:sz w:val="32"/>
          <w:szCs w:val="32"/>
        </w:rPr>
        <w:t>十二、国有资本经营预算财政拨款支出决算表</w:t>
      </w:r>
      <w:bookmarkEnd w:id="138"/>
    </w:p>
    <w:p w14:paraId="4FB88E1C">
      <w:pPr>
        <w:rPr>
          <w:rFonts w:ascii="仿宋" w:hAnsi="仿宋" w:eastAsia="仿宋"/>
          <w:sz w:val="32"/>
          <w:szCs w:val="32"/>
        </w:rPr>
      </w:pPr>
      <w:bookmarkStart w:id="139" w:name="_Toc660926117_WPSOffice_Level2"/>
      <w:r>
        <w:rPr>
          <w:rFonts w:hint="eastAsia" w:ascii="仿宋" w:hAnsi="仿宋" w:eastAsia="仿宋"/>
          <w:sz w:val="32"/>
          <w:szCs w:val="32"/>
        </w:rPr>
        <w:t>十三、财政拨款“三公”经费支出决算表</w:t>
      </w:r>
      <w:bookmarkEnd w:id="13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公文小标宋">
    <w:altName w:val="宋体"/>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3877FB3">
        <w:pPr>
          <w:pStyle w:val="11"/>
          <w:jc w:val="center"/>
        </w:pPr>
        <w:r>
          <w:fldChar w:fldCharType="begin"/>
        </w:r>
        <w:r>
          <w:instrText xml:space="preserve">PAGE   \* MERGEFORMAT</w:instrText>
        </w:r>
        <w:r>
          <w:fldChar w:fldCharType="separate"/>
        </w:r>
        <w:r>
          <w:rPr>
            <w:lang w:val="zh-CN"/>
          </w:rPr>
          <w:t>23</w:t>
        </w:r>
        <w:r>
          <w:fldChar w:fldCharType="end"/>
        </w:r>
      </w:p>
    </w:sdtContent>
  </w:sdt>
  <w:p w14:paraId="731BD7C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5DB4D">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E660139"/>
    <w:multiLevelType w:val="singleLevel"/>
    <w:tmpl w:val="DE660139"/>
    <w:lvl w:ilvl="0" w:tentative="0">
      <w:start w:val="1"/>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3DFA128"/>
    <w:rsid w:val="066E0107"/>
    <w:rsid w:val="07596E04"/>
    <w:rsid w:val="07996F6E"/>
    <w:rsid w:val="07DFD8BA"/>
    <w:rsid w:val="07F79762"/>
    <w:rsid w:val="0A2032A3"/>
    <w:rsid w:val="0D35B1ED"/>
    <w:rsid w:val="0DEF2714"/>
    <w:rsid w:val="0DF75F2D"/>
    <w:rsid w:val="0E5D27E5"/>
    <w:rsid w:val="0E7ED1F5"/>
    <w:rsid w:val="0EFE611E"/>
    <w:rsid w:val="0F98263C"/>
    <w:rsid w:val="101860EC"/>
    <w:rsid w:val="10C055FF"/>
    <w:rsid w:val="118107EC"/>
    <w:rsid w:val="13D50BC4"/>
    <w:rsid w:val="13F5616D"/>
    <w:rsid w:val="14FFB380"/>
    <w:rsid w:val="16BB723D"/>
    <w:rsid w:val="16FE6BC0"/>
    <w:rsid w:val="175DC75B"/>
    <w:rsid w:val="17EB3E16"/>
    <w:rsid w:val="17F9714D"/>
    <w:rsid w:val="1918F934"/>
    <w:rsid w:val="19FE90E7"/>
    <w:rsid w:val="1B7D2258"/>
    <w:rsid w:val="1BB7E1B4"/>
    <w:rsid w:val="1BE8440E"/>
    <w:rsid w:val="1BEBD280"/>
    <w:rsid w:val="1C3EC454"/>
    <w:rsid w:val="1D155CEE"/>
    <w:rsid w:val="1D76863F"/>
    <w:rsid w:val="1D7F718E"/>
    <w:rsid w:val="1DDE1985"/>
    <w:rsid w:val="1DDE91D7"/>
    <w:rsid w:val="1DFBC4B3"/>
    <w:rsid w:val="1E28FC8F"/>
    <w:rsid w:val="1E740ACF"/>
    <w:rsid w:val="1EC7CA4F"/>
    <w:rsid w:val="1EFD270F"/>
    <w:rsid w:val="1EFD507C"/>
    <w:rsid w:val="1EFFBE6F"/>
    <w:rsid w:val="1F19C781"/>
    <w:rsid w:val="1F33FCE5"/>
    <w:rsid w:val="1F7F7398"/>
    <w:rsid w:val="1F9EE34F"/>
    <w:rsid w:val="1FAF2D7D"/>
    <w:rsid w:val="1FBABA8F"/>
    <w:rsid w:val="1FBDCF3E"/>
    <w:rsid w:val="1FCFEE06"/>
    <w:rsid w:val="1FD2DB6F"/>
    <w:rsid w:val="1FDF3808"/>
    <w:rsid w:val="1FEB9511"/>
    <w:rsid w:val="1FEF246F"/>
    <w:rsid w:val="1FEFF0E7"/>
    <w:rsid w:val="1FF35744"/>
    <w:rsid w:val="1FF6BC77"/>
    <w:rsid w:val="1FF7D83A"/>
    <w:rsid w:val="1FF9236D"/>
    <w:rsid w:val="1FFDFE22"/>
    <w:rsid w:val="2333840E"/>
    <w:rsid w:val="23860B96"/>
    <w:rsid w:val="240371BF"/>
    <w:rsid w:val="257C638F"/>
    <w:rsid w:val="27BD48E6"/>
    <w:rsid w:val="29FD04D3"/>
    <w:rsid w:val="2BDB3F04"/>
    <w:rsid w:val="2BFBC21C"/>
    <w:rsid w:val="2BFF7BC6"/>
    <w:rsid w:val="2C8A61B5"/>
    <w:rsid w:val="2CD59C95"/>
    <w:rsid w:val="2CEF32E4"/>
    <w:rsid w:val="2CFDFD0E"/>
    <w:rsid w:val="2DDFCA8D"/>
    <w:rsid w:val="2DF04E50"/>
    <w:rsid w:val="2DF971FA"/>
    <w:rsid w:val="2EA5B9FA"/>
    <w:rsid w:val="2EDD55A3"/>
    <w:rsid w:val="2EEAEC7A"/>
    <w:rsid w:val="2EFD05E5"/>
    <w:rsid w:val="2EFFF269"/>
    <w:rsid w:val="2F040D46"/>
    <w:rsid w:val="2F3F643D"/>
    <w:rsid w:val="2F4F95CE"/>
    <w:rsid w:val="2F5E139F"/>
    <w:rsid w:val="2F6F4C7C"/>
    <w:rsid w:val="2F7FF9CD"/>
    <w:rsid w:val="2F87FC75"/>
    <w:rsid w:val="2FACAFDD"/>
    <w:rsid w:val="2FAE5751"/>
    <w:rsid w:val="2FB1A395"/>
    <w:rsid w:val="2FB2C735"/>
    <w:rsid w:val="2FCF0AE6"/>
    <w:rsid w:val="2FCF0B76"/>
    <w:rsid w:val="2FD51025"/>
    <w:rsid w:val="2FD9A7D8"/>
    <w:rsid w:val="2FFB8812"/>
    <w:rsid w:val="2FFF5B5C"/>
    <w:rsid w:val="2FFFB9FA"/>
    <w:rsid w:val="319F7F4E"/>
    <w:rsid w:val="32FB9C99"/>
    <w:rsid w:val="3304709D"/>
    <w:rsid w:val="338F80A1"/>
    <w:rsid w:val="33FFB88B"/>
    <w:rsid w:val="343FC044"/>
    <w:rsid w:val="36AA5135"/>
    <w:rsid w:val="36BE0DA7"/>
    <w:rsid w:val="36EFE751"/>
    <w:rsid w:val="36F75AAB"/>
    <w:rsid w:val="36FD2816"/>
    <w:rsid w:val="373FD61F"/>
    <w:rsid w:val="376B6AA6"/>
    <w:rsid w:val="376D39B2"/>
    <w:rsid w:val="377F7D14"/>
    <w:rsid w:val="377FEB4C"/>
    <w:rsid w:val="37BF611D"/>
    <w:rsid w:val="37E16F03"/>
    <w:rsid w:val="37F53A3B"/>
    <w:rsid w:val="37F7071D"/>
    <w:rsid w:val="37FAD49B"/>
    <w:rsid w:val="37FB45D7"/>
    <w:rsid w:val="37FBD2EF"/>
    <w:rsid w:val="37FD0ACE"/>
    <w:rsid w:val="38D469F0"/>
    <w:rsid w:val="38F78389"/>
    <w:rsid w:val="397BAF1F"/>
    <w:rsid w:val="39D48C29"/>
    <w:rsid w:val="39E7B272"/>
    <w:rsid w:val="39F7642F"/>
    <w:rsid w:val="39FF7B37"/>
    <w:rsid w:val="3A6DD260"/>
    <w:rsid w:val="3A7C9675"/>
    <w:rsid w:val="3A7FDA38"/>
    <w:rsid w:val="3AB79AF3"/>
    <w:rsid w:val="3ACF5D89"/>
    <w:rsid w:val="3AD6710D"/>
    <w:rsid w:val="3AD789B9"/>
    <w:rsid w:val="3AFDCB77"/>
    <w:rsid w:val="3B7EF35A"/>
    <w:rsid w:val="3B9B9074"/>
    <w:rsid w:val="3B9FDB6C"/>
    <w:rsid w:val="3BDFDEEB"/>
    <w:rsid w:val="3BEE8B1B"/>
    <w:rsid w:val="3BF00073"/>
    <w:rsid w:val="3BF5BC2F"/>
    <w:rsid w:val="3BF7C23A"/>
    <w:rsid w:val="3BFF223E"/>
    <w:rsid w:val="3BFFA480"/>
    <w:rsid w:val="3C6EC0A1"/>
    <w:rsid w:val="3C7D969F"/>
    <w:rsid w:val="3C9F0C2B"/>
    <w:rsid w:val="3CDB0824"/>
    <w:rsid w:val="3CEBA265"/>
    <w:rsid w:val="3CF66D20"/>
    <w:rsid w:val="3D6A7F9F"/>
    <w:rsid w:val="3D7BC500"/>
    <w:rsid w:val="3D7E7F4D"/>
    <w:rsid w:val="3D98207C"/>
    <w:rsid w:val="3D9CF30A"/>
    <w:rsid w:val="3D9F35C7"/>
    <w:rsid w:val="3DE31BF0"/>
    <w:rsid w:val="3DE6BCFD"/>
    <w:rsid w:val="3DEF66B8"/>
    <w:rsid w:val="3DFA901A"/>
    <w:rsid w:val="3DFF5A3E"/>
    <w:rsid w:val="3E75C1EC"/>
    <w:rsid w:val="3E78745D"/>
    <w:rsid w:val="3E7F1D8C"/>
    <w:rsid w:val="3E7F6D9C"/>
    <w:rsid w:val="3E7FE72B"/>
    <w:rsid w:val="3EB58887"/>
    <w:rsid w:val="3ECEDDC9"/>
    <w:rsid w:val="3EEE77E9"/>
    <w:rsid w:val="3F394AF5"/>
    <w:rsid w:val="3F7BF580"/>
    <w:rsid w:val="3F7DA047"/>
    <w:rsid w:val="3F8E9370"/>
    <w:rsid w:val="3F936D55"/>
    <w:rsid w:val="3F9F08C9"/>
    <w:rsid w:val="3FB9B2BC"/>
    <w:rsid w:val="3FBE5714"/>
    <w:rsid w:val="3FD9547A"/>
    <w:rsid w:val="3FDBEE9F"/>
    <w:rsid w:val="3FDD8615"/>
    <w:rsid w:val="3FDF7B05"/>
    <w:rsid w:val="3FDF9398"/>
    <w:rsid w:val="3FDFB2FF"/>
    <w:rsid w:val="3FDFCFEE"/>
    <w:rsid w:val="3FEFBBFB"/>
    <w:rsid w:val="3FF247E0"/>
    <w:rsid w:val="3FF25BCF"/>
    <w:rsid w:val="3FF4CAE0"/>
    <w:rsid w:val="3FF75FAF"/>
    <w:rsid w:val="3FF7B227"/>
    <w:rsid w:val="3FFBAE77"/>
    <w:rsid w:val="3FFD0D50"/>
    <w:rsid w:val="3FFEC1D1"/>
    <w:rsid w:val="434641F0"/>
    <w:rsid w:val="44E268DA"/>
    <w:rsid w:val="44FD6179"/>
    <w:rsid w:val="457F4F6B"/>
    <w:rsid w:val="4737FB58"/>
    <w:rsid w:val="47BF583F"/>
    <w:rsid w:val="47BFE7CE"/>
    <w:rsid w:val="47ECCB02"/>
    <w:rsid w:val="47F5AEF9"/>
    <w:rsid w:val="47FA6A3F"/>
    <w:rsid w:val="49D7AE48"/>
    <w:rsid w:val="4A3F6C7E"/>
    <w:rsid w:val="4A627F82"/>
    <w:rsid w:val="4A9EBF43"/>
    <w:rsid w:val="4B0E749A"/>
    <w:rsid w:val="4B4F25DA"/>
    <w:rsid w:val="4B6D2DB5"/>
    <w:rsid w:val="4B7D573F"/>
    <w:rsid w:val="4BBB4781"/>
    <w:rsid w:val="4BD709A5"/>
    <w:rsid w:val="4BDD9BFF"/>
    <w:rsid w:val="4BE068DB"/>
    <w:rsid w:val="4BFE80DF"/>
    <w:rsid w:val="4D577224"/>
    <w:rsid w:val="4DBF1CEB"/>
    <w:rsid w:val="4DBF6A6B"/>
    <w:rsid w:val="4DC7A412"/>
    <w:rsid w:val="4DDBFCBB"/>
    <w:rsid w:val="4DF6A672"/>
    <w:rsid w:val="4EA75F77"/>
    <w:rsid w:val="4EAB630A"/>
    <w:rsid w:val="4EBDA1CA"/>
    <w:rsid w:val="4ECE2238"/>
    <w:rsid w:val="4EFBB22C"/>
    <w:rsid w:val="4EFE5FFC"/>
    <w:rsid w:val="4EFF6218"/>
    <w:rsid w:val="4EFFD604"/>
    <w:rsid w:val="4F2F9923"/>
    <w:rsid w:val="4F7EA413"/>
    <w:rsid w:val="4FAB812F"/>
    <w:rsid w:val="4FBBCB8F"/>
    <w:rsid w:val="4FCF4355"/>
    <w:rsid w:val="4FDFC3EB"/>
    <w:rsid w:val="4FE9BD67"/>
    <w:rsid w:val="4FEE4C07"/>
    <w:rsid w:val="4FFB052F"/>
    <w:rsid w:val="4FFF871A"/>
    <w:rsid w:val="4FFFDDF2"/>
    <w:rsid w:val="51BD60D5"/>
    <w:rsid w:val="51D57EC5"/>
    <w:rsid w:val="51F5499A"/>
    <w:rsid w:val="52AF0B4B"/>
    <w:rsid w:val="535D5152"/>
    <w:rsid w:val="537E6D0A"/>
    <w:rsid w:val="53AB6B88"/>
    <w:rsid w:val="53DF8277"/>
    <w:rsid w:val="53F74C96"/>
    <w:rsid w:val="53FB6E8C"/>
    <w:rsid w:val="53FFA84B"/>
    <w:rsid w:val="5425C114"/>
    <w:rsid w:val="5583522D"/>
    <w:rsid w:val="56376E2E"/>
    <w:rsid w:val="56B70DDF"/>
    <w:rsid w:val="573B560F"/>
    <w:rsid w:val="5777AF1E"/>
    <w:rsid w:val="577F45C6"/>
    <w:rsid w:val="57BBBA05"/>
    <w:rsid w:val="57BD036B"/>
    <w:rsid w:val="57BD3DD4"/>
    <w:rsid w:val="57DB52E4"/>
    <w:rsid w:val="57EFAD07"/>
    <w:rsid w:val="57F9CD1E"/>
    <w:rsid w:val="57FF2E8C"/>
    <w:rsid w:val="59FB50D3"/>
    <w:rsid w:val="5A79C21E"/>
    <w:rsid w:val="5AAFCE1B"/>
    <w:rsid w:val="5AF92295"/>
    <w:rsid w:val="5AF9D8E9"/>
    <w:rsid w:val="5AFF4469"/>
    <w:rsid w:val="5B7ADC2A"/>
    <w:rsid w:val="5B89DDE4"/>
    <w:rsid w:val="5B9B577D"/>
    <w:rsid w:val="5BDD38BD"/>
    <w:rsid w:val="5BDD79E6"/>
    <w:rsid w:val="5BE7C569"/>
    <w:rsid w:val="5BED602A"/>
    <w:rsid w:val="5BEFC772"/>
    <w:rsid w:val="5BFF50E6"/>
    <w:rsid w:val="5BFF5DFC"/>
    <w:rsid w:val="5C751A3F"/>
    <w:rsid w:val="5C9D3BCC"/>
    <w:rsid w:val="5CD71FC4"/>
    <w:rsid w:val="5D1F11B5"/>
    <w:rsid w:val="5D3647F9"/>
    <w:rsid w:val="5D5A1396"/>
    <w:rsid w:val="5D7EE244"/>
    <w:rsid w:val="5D7F534A"/>
    <w:rsid w:val="5DA644D4"/>
    <w:rsid w:val="5DAE1B18"/>
    <w:rsid w:val="5DBFD09B"/>
    <w:rsid w:val="5DE7D9E5"/>
    <w:rsid w:val="5DEDA69F"/>
    <w:rsid w:val="5DEF61C0"/>
    <w:rsid w:val="5DF9DC68"/>
    <w:rsid w:val="5DFB0C4A"/>
    <w:rsid w:val="5E77AE42"/>
    <w:rsid w:val="5E7D926B"/>
    <w:rsid w:val="5EAEB8EC"/>
    <w:rsid w:val="5EB5FFD6"/>
    <w:rsid w:val="5ECEC941"/>
    <w:rsid w:val="5EDF2584"/>
    <w:rsid w:val="5EF101A6"/>
    <w:rsid w:val="5EF7D56A"/>
    <w:rsid w:val="5EFF8FC6"/>
    <w:rsid w:val="5F5BA39A"/>
    <w:rsid w:val="5F7D3B79"/>
    <w:rsid w:val="5F7F4610"/>
    <w:rsid w:val="5F9F93C5"/>
    <w:rsid w:val="5FB69736"/>
    <w:rsid w:val="5FB7430A"/>
    <w:rsid w:val="5FBF97B6"/>
    <w:rsid w:val="5FBF9FF3"/>
    <w:rsid w:val="5FCD4E2C"/>
    <w:rsid w:val="5FDA6BAE"/>
    <w:rsid w:val="5FDC0F9D"/>
    <w:rsid w:val="5FDF285A"/>
    <w:rsid w:val="5FDF7B18"/>
    <w:rsid w:val="5FEBB542"/>
    <w:rsid w:val="5FEDA7F8"/>
    <w:rsid w:val="5FEE1FF5"/>
    <w:rsid w:val="5FEF394A"/>
    <w:rsid w:val="5FEFBF75"/>
    <w:rsid w:val="5FF67715"/>
    <w:rsid w:val="5FF76AFD"/>
    <w:rsid w:val="5FFD88E4"/>
    <w:rsid w:val="5FFF0711"/>
    <w:rsid w:val="5FFF1E20"/>
    <w:rsid w:val="5FFF2A11"/>
    <w:rsid w:val="61CA71D5"/>
    <w:rsid w:val="627EE9EA"/>
    <w:rsid w:val="631FC009"/>
    <w:rsid w:val="6390B522"/>
    <w:rsid w:val="63B23AA5"/>
    <w:rsid w:val="63CF368B"/>
    <w:rsid w:val="63F16C76"/>
    <w:rsid w:val="647F5392"/>
    <w:rsid w:val="64D99AD9"/>
    <w:rsid w:val="64E322C4"/>
    <w:rsid w:val="654FA105"/>
    <w:rsid w:val="65FB93B9"/>
    <w:rsid w:val="6633C463"/>
    <w:rsid w:val="6737E4AA"/>
    <w:rsid w:val="67BFFBE3"/>
    <w:rsid w:val="67D55B77"/>
    <w:rsid w:val="67DB984F"/>
    <w:rsid w:val="67E91EC1"/>
    <w:rsid w:val="67EE7F84"/>
    <w:rsid w:val="67FCBBC3"/>
    <w:rsid w:val="67FFBF16"/>
    <w:rsid w:val="686F5F53"/>
    <w:rsid w:val="68F75E2E"/>
    <w:rsid w:val="69B5FF04"/>
    <w:rsid w:val="6AADE394"/>
    <w:rsid w:val="6AFFCA02"/>
    <w:rsid w:val="6AFFCEAF"/>
    <w:rsid w:val="6B7FCD08"/>
    <w:rsid w:val="6B96E9E6"/>
    <w:rsid w:val="6BBFA627"/>
    <w:rsid w:val="6BCE57B5"/>
    <w:rsid w:val="6BFE2D5B"/>
    <w:rsid w:val="6BFEA4DB"/>
    <w:rsid w:val="6BFFB662"/>
    <w:rsid w:val="6C4A05C8"/>
    <w:rsid w:val="6C5F463C"/>
    <w:rsid w:val="6C7B6C9E"/>
    <w:rsid w:val="6CE034A8"/>
    <w:rsid w:val="6CF046EF"/>
    <w:rsid w:val="6CFF4FB8"/>
    <w:rsid w:val="6D67D3B1"/>
    <w:rsid w:val="6D6BD6E0"/>
    <w:rsid w:val="6D77E73C"/>
    <w:rsid w:val="6D9AE082"/>
    <w:rsid w:val="6D9FBBA7"/>
    <w:rsid w:val="6DBF5E93"/>
    <w:rsid w:val="6DF5EB9A"/>
    <w:rsid w:val="6DF7CA2D"/>
    <w:rsid w:val="6DFF077E"/>
    <w:rsid w:val="6E7E3605"/>
    <w:rsid w:val="6E7FDCC7"/>
    <w:rsid w:val="6EB72E43"/>
    <w:rsid w:val="6ED6A62E"/>
    <w:rsid w:val="6EE00B15"/>
    <w:rsid w:val="6EE737B2"/>
    <w:rsid w:val="6EEB2329"/>
    <w:rsid w:val="6EECE67A"/>
    <w:rsid w:val="6EEF14EB"/>
    <w:rsid w:val="6EF57533"/>
    <w:rsid w:val="6EFF20FF"/>
    <w:rsid w:val="6EFFBC5C"/>
    <w:rsid w:val="6F3FAC2D"/>
    <w:rsid w:val="6F59E428"/>
    <w:rsid w:val="6F6F90A8"/>
    <w:rsid w:val="6F6F97D9"/>
    <w:rsid w:val="6F6FB3EB"/>
    <w:rsid w:val="6F754446"/>
    <w:rsid w:val="6F8731EA"/>
    <w:rsid w:val="6FAE655A"/>
    <w:rsid w:val="6FBC2ADD"/>
    <w:rsid w:val="6FBD9CB1"/>
    <w:rsid w:val="6FBDB02A"/>
    <w:rsid w:val="6FBF5530"/>
    <w:rsid w:val="6FBF93F4"/>
    <w:rsid w:val="6FD57C00"/>
    <w:rsid w:val="6FD965D8"/>
    <w:rsid w:val="6FDAE8D5"/>
    <w:rsid w:val="6FDE94C4"/>
    <w:rsid w:val="6FDFCDCE"/>
    <w:rsid w:val="6FEFFFD8"/>
    <w:rsid w:val="6FF5CC65"/>
    <w:rsid w:val="6FF7D76C"/>
    <w:rsid w:val="6FF98AA4"/>
    <w:rsid w:val="6FF9FB43"/>
    <w:rsid w:val="6FFB29EA"/>
    <w:rsid w:val="6FFB47EC"/>
    <w:rsid w:val="6FFBFEE3"/>
    <w:rsid w:val="6FFDCC61"/>
    <w:rsid w:val="6FFE66EE"/>
    <w:rsid w:val="6FFE70DE"/>
    <w:rsid w:val="6FFE8970"/>
    <w:rsid w:val="6FFF034A"/>
    <w:rsid w:val="70F51D5B"/>
    <w:rsid w:val="712A28F1"/>
    <w:rsid w:val="715C0E4B"/>
    <w:rsid w:val="71DDDA23"/>
    <w:rsid w:val="71FFD401"/>
    <w:rsid w:val="721E9882"/>
    <w:rsid w:val="72233669"/>
    <w:rsid w:val="72734D90"/>
    <w:rsid w:val="72AFB31D"/>
    <w:rsid w:val="72DB7047"/>
    <w:rsid w:val="7332FE48"/>
    <w:rsid w:val="733F70D8"/>
    <w:rsid w:val="733FF3E5"/>
    <w:rsid w:val="736F4E07"/>
    <w:rsid w:val="73AD73D5"/>
    <w:rsid w:val="73AE27CB"/>
    <w:rsid w:val="73AF4A07"/>
    <w:rsid w:val="73B6EB34"/>
    <w:rsid w:val="73CF50C7"/>
    <w:rsid w:val="73D654EC"/>
    <w:rsid w:val="73F75CC3"/>
    <w:rsid w:val="73FA497D"/>
    <w:rsid w:val="73FC1C2E"/>
    <w:rsid w:val="73FCC756"/>
    <w:rsid w:val="73FD8EB7"/>
    <w:rsid w:val="73FEAEB1"/>
    <w:rsid w:val="741F537E"/>
    <w:rsid w:val="744731E5"/>
    <w:rsid w:val="74BBD01D"/>
    <w:rsid w:val="74C6DD7B"/>
    <w:rsid w:val="74ED5379"/>
    <w:rsid w:val="74EE76CC"/>
    <w:rsid w:val="74F7B8F7"/>
    <w:rsid w:val="74FF2309"/>
    <w:rsid w:val="752C9F43"/>
    <w:rsid w:val="75AFB8D6"/>
    <w:rsid w:val="75DD019A"/>
    <w:rsid w:val="75DEEEC2"/>
    <w:rsid w:val="75F7AE99"/>
    <w:rsid w:val="75FE7AE4"/>
    <w:rsid w:val="7621F8F0"/>
    <w:rsid w:val="763FE51A"/>
    <w:rsid w:val="767F479D"/>
    <w:rsid w:val="76B37A76"/>
    <w:rsid w:val="76DF612C"/>
    <w:rsid w:val="76E3355F"/>
    <w:rsid w:val="76EAACCE"/>
    <w:rsid w:val="76F742AF"/>
    <w:rsid w:val="76F7BE7D"/>
    <w:rsid w:val="76FF5125"/>
    <w:rsid w:val="773570D3"/>
    <w:rsid w:val="77382900"/>
    <w:rsid w:val="7747B2D3"/>
    <w:rsid w:val="77597F31"/>
    <w:rsid w:val="775CA718"/>
    <w:rsid w:val="775FAC3F"/>
    <w:rsid w:val="776772FE"/>
    <w:rsid w:val="776F6FFA"/>
    <w:rsid w:val="7777A522"/>
    <w:rsid w:val="77858688"/>
    <w:rsid w:val="778769C8"/>
    <w:rsid w:val="77967B80"/>
    <w:rsid w:val="779ECCF4"/>
    <w:rsid w:val="77BD4857"/>
    <w:rsid w:val="77BDC866"/>
    <w:rsid w:val="77CB741A"/>
    <w:rsid w:val="77D7BE3A"/>
    <w:rsid w:val="77DB7FF5"/>
    <w:rsid w:val="77DC22F5"/>
    <w:rsid w:val="77DF57FB"/>
    <w:rsid w:val="77DF89A3"/>
    <w:rsid w:val="77DF9CA0"/>
    <w:rsid w:val="77DFB9F1"/>
    <w:rsid w:val="77E3F07E"/>
    <w:rsid w:val="77EF21E5"/>
    <w:rsid w:val="77F474F8"/>
    <w:rsid w:val="77F5DB8A"/>
    <w:rsid w:val="77FD0ADD"/>
    <w:rsid w:val="77FE2C1D"/>
    <w:rsid w:val="77FE375A"/>
    <w:rsid w:val="77FF1915"/>
    <w:rsid w:val="77FF7F17"/>
    <w:rsid w:val="77FFCEF5"/>
    <w:rsid w:val="77FFF89D"/>
    <w:rsid w:val="78EE90D2"/>
    <w:rsid w:val="792FDDD8"/>
    <w:rsid w:val="79679CFC"/>
    <w:rsid w:val="797E3A6C"/>
    <w:rsid w:val="79CF70E2"/>
    <w:rsid w:val="79D7FD79"/>
    <w:rsid w:val="79E75806"/>
    <w:rsid w:val="79EE5BA4"/>
    <w:rsid w:val="79F7A0F8"/>
    <w:rsid w:val="79FEDC73"/>
    <w:rsid w:val="79FFCCAC"/>
    <w:rsid w:val="79FFD5D4"/>
    <w:rsid w:val="7A5728D1"/>
    <w:rsid w:val="7A641148"/>
    <w:rsid w:val="7A6F8BF5"/>
    <w:rsid w:val="7A894339"/>
    <w:rsid w:val="7AB566F3"/>
    <w:rsid w:val="7ACF82B5"/>
    <w:rsid w:val="7AEB4036"/>
    <w:rsid w:val="7AFEE176"/>
    <w:rsid w:val="7AFF28C9"/>
    <w:rsid w:val="7AFF39E1"/>
    <w:rsid w:val="7AFF72A0"/>
    <w:rsid w:val="7AFF7572"/>
    <w:rsid w:val="7B6AC515"/>
    <w:rsid w:val="7B6C7DFB"/>
    <w:rsid w:val="7B78C2DE"/>
    <w:rsid w:val="7B7D76A7"/>
    <w:rsid w:val="7B7E2F78"/>
    <w:rsid w:val="7B7F0421"/>
    <w:rsid w:val="7B97A0D4"/>
    <w:rsid w:val="7BAE2FE2"/>
    <w:rsid w:val="7BAF6951"/>
    <w:rsid w:val="7BBFBED0"/>
    <w:rsid w:val="7BC3E394"/>
    <w:rsid w:val="7BC9869B"/>
    <w:rsid w:val="7BDFB1C1"/>
    <w:rsid w:val="7BEB7AF1"/>
    <w:rsid w:val="7BF3FE4C"/>
    <w:rsid w:val="7BF832EF"/>
    <w:rsid w:val="7BFB5035"/>
    <w:rsid w:val="7BFD4CA5"/>
    <w:rsid w:val="7BFDAE03"/>
    <w:rsid w:val="7BFDE17E"/>
    <w:rsid w:val="7BFE3016"/>
    <w:rsid w:val="7BFF5C17"/>
    <w:rsid w:val="7CB49F18"/>
    <w:rsid w:val="7CBF1EA0"/>
    <w:rsid w:val="7CBFC87B"/>
    <w:rsid w:val="7CFCFF5E"/>
    <w:rsid w:val="7CFE0F48"/>
    <w:rsid w:val="7D3DE31C"/>
    <w:rsid w:val="7D67F3F8"/>
    <w:rsid w:val="7D6B5936"/>
    <w:rsid w:val="7D7365B8"/>
    <w:rsid w:val="7D7A9EAF"/>
    <w:rsid w:val="7D7D07FB"/>
    <w:rsid w:val="7D7DACF2"/>
    <w:rsid w:val="7D7EC23E"/>
    <w:rsid w:val="7D7F8A13"/>
    <w:rsid w:val="7DA959B2"/>
    <w:rsid w:val="7DABBBC0"/>
    <w:rsid w:val="7DB269EC"/>
    <w:rsid w:val="7DBBCB01"/>
    <w:rsid w:val="7DC765D0"/>
    <w:rsid w:val="7DD4ED69"/>
    <w:rsid w:val="7DD94BE0"/>
    <w:rsid w:val="7DD9C58F"/>
    <w:rsid w:val="7DDA7A15"/>
    <w:rsid w:val="7DDB0EE0"/>
    <w:rsid w:val="7DDB6014"/>
    <w:rsid w:val="7DE3F2D3"/>
    <w:rsid w:val="7DEB2F24"/>
    <w:rsid w:val="7DF307D7"/>
    <w:rsid w:val="7DF3716D"/>
    <w:rsid w:val="7DF491BF"/>
    <w:rsid w:val="7DF5C0E0"/>
    <w:rsid w:val="7DF77D93"/>
    <w:rsid w:val="7DF83266"/>
    <w:rsid w:val="7DFB2872"/>
    <w:rsid w:val="7DFB6EF6"/>
    <w:rsid w:val="7DFBEE6A"/>
    <w:rsid w:val="7DFDAFF1"/>
    <w:rsid w:val="7DFF51D8"/>
    <w:rsid w:val="7DFF6A47"/>
    <w:rsid w:val="7DFF7847"/>
    <w:rsid w:val="7DFF88B8"/>
    <w:rsid w:val="7DFFCF78"/>
    <w:rsid w:val="7DFFE4B4"/>
    <w:rsid w:val="7E572F13"/>
    <w:rsid w:val="7E5F8E02"/>
    <w:rsid w:val="7E634199"/>
    <w:rsid w:val="7E8ADEBF"/>
    <w:rsid w:val="7E8BEC71"/>
    <w:rsid w:val="7EA7E7F0"/>
    <w:rsid w:val="7EB79B28"/>
    <w:rsid w:val="7ED90D23"/>
    <w:rsid w:val="7EDA5BEA"/>
    <w:rsid w:val="7EDF9E3C"/>
    <w:rsid w:val="7EDFC12F"/>
    <w:rsid w:val="7EEB3EE6"/>
    <w:rsid w:val="7EEF11D3"/>
    <w:rsid w:val="7EEF4210"/>
    <w:rsid w:val="7EF28E3B"/>
    <w:rsid w:val="7EF78C20"/>
    <w:rsid w:val="7EFAAA39"/>
    <w:rsid w:val="7EFE4704"/>
    <w:rsid w:val="7EFFA3AC"/>
    <w:rsid w:val="7EFFB412"/>
    <w:rsid w:val="7F031436"/>
    <w:rsid w:val="7F0ECFD3"/>
    <w:rsid w:val="7F167303"/>
    <w:rsid w:val="7F1FC5BC"/>
    <w:rsid w:val="7F3D3C7C"/>
    <w:rsid w:val="7F3F679B"/>
    <w:rsid w:val="7F4FC4EF"/>
    <w:rsid w:val="7F5E4D54"/>
    <w:rsid w:val="7F6B75FA"/>
    <w:rsid w:val="7F78D755"/>
    <w:rsid w:val="7F7C96BF"/>
    <w:rsid w:val="7F7D16EF"/>
    <w:rsid w:val="7F7D63B2"/>
    <w:rsid w:val="7F7E6A29"/>
    <w:rsid w:val="7F7EED7B"/>
    <w:rsid w:val="7F7F3A9C"/>
    <w:rsid w:val="7F7FCB5A"/>
    <w:rsid w:val="7F9F1901"/>
    <w:rsid w:val="7F9F518D"/>
    <w:rsid w:val="7F9FAEEB"/>
    <w:rsid w:val="7FA30C79"/>
    <w:rsid w:val="7FAF4188"/>
    <w:rsid w:val="7FAF8ABF"/>
    <w:rsid w:val="7FB2AC17"/>
    <w:rsid w:val="7FB33F27"/>
    <w:rsid w:val="7FB7269E"/>
    <w:rsid w:val="7FB74BC3"/>
    <w:rsid w:val="7FB88298"/>
    <w:rsid w:val="7FBBA23A"/>
    <w:rsid w:val="7FBBECB2"/>
    <w:rsid w:val="7FBD6753"/>
    <w:rsid w:val="7FBE7CB4"/>
    <w:rsid w:val="7FBF78B1"/>
    <w:rsid w:val="7FBFABB4"/>
    <w:rsid w:val="7FC65084"/>
    <w:rsid w:val="7FC7B370"/>
    <w:rsid w:val="7FC7DC53"/>
    <w:rsid w:val="7FC96657"/>
    <w:rsid w:val="7FCF7E46"/>
    <w:rsid w:val="7FCFE7D2"/>
    <w:rsid w:val="7FD2BE1F"/>
    <w:rsid w:val="7FD34595"/>
    <w:rsid w:val="7FD5FBB5"/>
    <w:rsid w:val="7FD72595"/>
    <w:rsid w:val="7FD9B533"/>
    <w:rsid w:val="7FDA9588"/>
    <w:rsid w:val="7FDAB94B"/>
    <w:rsid w:val="7FDB52D3"/>
    <w:rsid w:val="7FDE9EA0"/>
    <w:rsid w:val="7FDF220F"/>
    <w:rsid w:val="7FDF4542"/>
    <w:rsid w:val="7FDF5405"/>
    <w:rsid w:val="7FDFB635"/>
    <w:rsid w:val="7FDFBB23"/>
    <w:rsid w:val="7FDFCC86"/>
    <w:rsid w:val="7FE5E610"/>
    <w:rsid w:val="7FEA9DEE"/>
    <w:rsid w:val="7FEB4A1F"/>
    <w:rsid w:val="7FEDC251"/>
    <w:rsid w:val="7FEDC5F7"/>
    <w:rsid w:val="7FEDD9DE"/>
    <w:rsid w:val="7FEE69D0"/>
    <w:rsid w:val="7FEF65D9"/>
    <w:rsid w:val="7FEFCDB9"/>
    <w:rsid w:val="7FEFFC55"/>
    <w:rsid w:val="7FF3D62E"/>
    <w:rsid w:val="7FF5890D"/>
    <w:rsid w:val="7FF5EB09"/>
    <w:rsid w:val="7FF74A04"/>
    <w:rsid w:val="7FF763C9"/>
    <w:rsid w:val="7FF89B92"/>
    <w:rsid w:val="7FF8F2E7"/>
    <w:rsid w:val="7FF93490"/>
    <w:rsid w:val="7FFA6237"/>
    <w:rsid w:val="7FFB5275"/>
    <w:rsid w:val="7FFCB002"/>
    <w:rsid w:val="7FFD14DE"/>
    <w:rsid w:val="7FFE27AF"/>
    <w:rsid w:val="7FFE8D25"/>
    <w:rsid w:val="7FFEBB7A"/>
    <w:rsid w:val="7FFEFC5F"/>
    <w:rsid w:val="7FFF072D"/>
    <w:rsid w:val="7FFF133C"/>
    <w:rsid w:val="7FFF18A4"/>
    <w:rsid w:val="7FFF4554"/>
    <w:rsid w:val="7FFF58FD"/>
    <w:rsid w:val="7FFF8B6B"/>
    <w:rsid w:val="7FFFC73F"/>
    <w:rsid w:val="7FFFF783"/>
    <w:rsid w:val="83782FE6"/>
    <w:rsid w:val="8C3FD10E"/>
    <w:rsid w:val="8DF9AF8E"/>
    <w:rsid w:val="8FD72906"/>
    <w:rsid w:val="92B5DFB9"/>
    <w:rsid w:val="93EFEED7"/>
    <w:rsid w:val="93F70A9E"/>
    <w:rsid w:val="975FF746"/>
    <w:rsid w:val="977D9358"/>
    <w:rsid w:val="977F4C90"/>
    <w:rsid w:val="97AD444C"/>
    <w:rsid w:val="997D060E"/>
    <w:rsid w:val="99FF2014"/>
    <w:rsid w:val="9B7F2833"/>
    <w:rsid w:val="9DDD58DF"/>
    <w:rsid w:val="9DEEAC73"/>
    <w:rsid w:val="9DFFC738"/>
    <w:rsid w:val="9DFFF8C7"/>
    <w:rsid w:val="9E59F895"/>
    <w:rsid w:val="9E7DEDC1"/>
    <w:rsid w:val="9EDE2046"/>
    <w:rsid w:val="9EEF2B0D"/>
    <w:rsid w:val="9EF7E762"/>
    <w:rsid w:val="9EFDFD71"/>
    <w:rsid w:val="9F7F3DFD"/>
    <w:rsid w:val="9FDB6FAD"/>
    <w:rsid w:val="9FDD69C0"/>
    <w:rsid w:val="9FDF1A82"/>
    <w:rsid w:val="9FDFA27A"/>
    <w:rsid w:val="9FDFC189"/>
    <w:rsid w:val="9FF5C873"/>
    <w:rsid w:val="9FF6F2A6"/>
    <w:rsid w:val="9FFD2360"/>
    <w:rsid w:val="9FFE4AD9"/>
    <w:rsid w:val="9FFF191A"/>
    <w:rsid w:val="9FFF61B9"/>
    <w:rsid w:val="A3B7AD1F"/>
    <w:rsid w:val="A3D769D5"/>
    <w:rsid w:val="A3FFB0BF"/>
    <w:rsid w:val="A3FFB465"/>
    <w:rsid w:val="A573660E"/>
    <w:rsid w:val="A6DD0D7F"/>
    <w:rsid w:val="A6DD40B5"/>
    <w:rsid w:val="A7955197"/>
    <w:rsid w:val="A7F27490"/>
    <w:rsid w:val="A7FE5E0E"/>
    <w:rsid w:val="A9A35840"/>
    <w:rsid w:val="A9FF7638"/>
    <w:rsid w:val="AB7A3AD0"/>
    <w:rsid w:val="AB98EF6B"/>
    <w:rsid w:val="ABFB62FE"/>
    <w:rsid w:val="ACDB0695"/>
    <w:rsid w:val="ADB7A2CB"/>
    <w:rsid w:val="ADC6F725"/>
    <w:rsid w:val="ADEF545F"/>
    <w:rsid w:val="AE3FD661"/>
    <w:rsid w:val="AEEFE5FD"/>
    <w:rsid w:val="AEFA419C"/>
    <w:rsid w:val="AF0FFA84"/>
    <w:rsid w:val="AF6F78A2"/>
    <w:rsid w:val="AF76D401"/>
    <w:rsid w:val="AF7F8020"/>
    <w:rsid w:val="AF9F0A5E"/>
    <w:rsid w:val="AFEF7964"/>
    <w:rsid w:val="AFEFD867"/>
    <w:rsid w:val="AFF7C0E6"/>
    <w:rsid w:val="AFFEA942"/>
    <w:rsid w:val="B1AF73D0"/>
    <w:rsid w:val="B27A6F28"/>
    <w:rsid w:val="B35F0D5A"/>
    <w:rsid w:val="B378B189"/>
    <w:rsid w:val="B3F7F693"/>
    <w:rsid w:val="B3FBBB6C"/>
    <w:rsid w:val="B3FFF291"/>
    <w:rsid w:val="B51BA0FE"/>
    <w:rsid w:val="B5EE81B3"/>
    <w:rsid w:val="B5EF3047"/>
    <w:rsid w:val="B5F3D29D"/>
    <w:rsid w:val="B5F63462"/>
    <w:rsid w:val="B5FF920D"/>
    <w:rsid w:val="B5FFE407"/>
    <w:rsid w:val="B6520271"/>
    <w:rsid w:val="B6D7B6CC"/>
    <w:rsid w:val="B6DFEE07"/>
    <w:rsid w:val="B732E6A1"/>
    <w:rsid w:val="B7AF70FA"/>
    <w:rsid w:val="B7BD643C"/>
    <w:rsid w:val="B7CD38BD"/>
    <w:rsid w:val="B7CF06AB"/>
    <w:rsid w:val="B7CFA926"/>
    <w:rsid w:val="B7D1A7E6"/>
    <w:rsid w:val="B7DBCB84"/>
    <w:rsid w:val="B7EBE993"/>
    <w:rsid w:val="B7EFFDA4"/>
    <w:rsid w:val="B7F408D6"/>
    <w:rsid w:val="B7F5CF57"/>
    <w:rsid w:val="B7F72446"/>
    <w:rsid w:val="B7F8786B"/>
    <w:rsid w:val="B7FF7E0A"/>
    <w:rsid w:val="B8FDAF5B"/>
    <w:rsid w:val="B8FFCFC2"/>
    <w:rsid w:val="B99D95C8"/>
    <w:rsid w:val="B9EE86FF"/>
    <w:rsid w:val="B9EF5647"/>
    <w:rsid w:val="B9FC4E61"/>
    <w:rsid w:val="BABB6AA1"/>
    <w:rsid w:val="BAD94C21"/>
    <w:rsid w:val="BAFCD398"/>
    <w:rsid w:val="BAFFDA0F"/>
    <w:rsid w:val="BB1FF9F9"/>
    <w:rsid w:val="BB2F4199"/>
    <w:rsid w:val="BBB5C640"/>
    <w:rsid w:val="BBBF5CFF"/>
    <w:rsid w:val="BBCB109A"/>
    <w:rsid w:val="BBD5D804"/>
    <w:rsid w:val="BBDDBA5E"/>
    <w:rsid w:val="BBFBD24E"/>
    <w:rsid w:val="BBFF73DF"/>
    <w:rsid w:val="BCDF1C3B"/>
    <w:rsid w:val="BD079C78"/>
    <w:rsid w:val="BD2AF2D7"/>
    <w:rsid w:val="BD2DD278"/>
    <w:rsid w:val="BD49F304"/>
    <w:rsid w:val="BD4F0098"/>
    <w:rsid w:val="BD733540"/>
    <w:rsid w:val="BD7EEEB0"/>
    <w:rsid w:val="BDA7A0D0"/>
    <w:rsid w:val="BDBEC1F0"/>
    <w:rsid w:val="BDF71744"/>
    <w:rsid w:val="BDF7970E"/>
    <w:rsid w:val="BDFE68BD"/>
    <w:rsid w:val="BDFE8656"/>
    <w:rsid w:val="BE17E8DB"/>
    <w:rsid w:val="BE6FC990"/>
    <w:rsid w:val="BEBE9537"/>
    <w:rsid w:val="BEBFF8A5"/>
    <w:rsid w:val="BEEDD60F"/>
    <w:rsid w:val="BEFE4020"/>
    <w:rsid w:val="BEFF0D39"/>
    <w:rsid w:val="BEFF0D62"/>
    <w:rsid w:val="BEFF90EF"/>
    <w:rsid w:val="BF1DE75A"/>
    <w:rsid w:val="BF2FC458"/>
    <w:rsid w:val="BF3735D5"/>
    <w:rsid w:val="BF5B1F14"/>
    <w:rsid w:val="BF5F539A"/>
    <w:rsid w:val="BF7F09AC"/>
    <w:rsid w:val="BFAA23A0"/>
    <w:rsid w:val="BFB3380D"/>
    <w:rsid w:val="BFB7E7A2"/>
    <w:rsid w:val="BFC2F103"/>
    <w:rsid w:val="BFCFED72"/>
    <w:rsid w:val="BFD475C3"/>
    <w:rsid w:val="BFDB42B3"/>
    <w:rsid w:val="BFDBAC29"/>
    <w:rsid w:val="BFDE5EA6"/>
    <w:rsid w:val="BFECC953"/>
    <w:rsid w:val="BFEF99E9"/>
    <w:rsid w:val="BFF3C8C2"/>
    <w:rsid w:val="BFF5FD74"/>
    <w:rsid w:val="BFF9E564"/>
    <w:rsid w:val="BFFAA689"/>
    <w:rsid w:val="BFFD304C"/>
    <w:rsid w:val="BFFF3A69"/>
    <w:rsid w:val="BFFF8E80"/>
    <w:rsid w:val="BFFF8EB1"/>
    <w:rsid w:val="C18F3A47"/>
    <w:rsid w:val="C29FCAE7"/>
    <w:rsid w:val="C3F9BBFA"/>
    <w:rsid w:val="C7BFEF9C"/>
    <w:rsid w:val="C7E4694C"/>
    <w:rsid w:val="C7FFEB47"/>
    <w:rsid w:val="C8BD8F25"/>
    <w:rsid w:val="C94DA72E"/>
    <w:rsid w:val="CBEC70A1"/>
    <w:rsid w:val="CBEEAA00"/>
    <w:rsid w:val="CBFB1B73"/>
    <w:rsid w:val="CC7E9ECE"/>
    <w:rsid w:val="CCFF33BD"/>
    <w:rsid w:val="CDB1956E"/>
    <w:rsid w:val="CDBFF9FF"/>
    <w:rsid w:val="CDDBF024"/>
    <w:rsid w:val="CDF78664"/>
    <w:rsid w:val="CDF7EF36"/>
    <w:rsid w:val="CE3FF57E"/>
    <w:rsid w:val="CEFD2817"/>
    <w:rsid w:val="CF3AB4AC"/>
    <w:rsid w:val="CF6FC6F3"/>
    <w:rsid w:val="CF7D531F"/>
    <w:rsid w:val="CFD3D3D7"/>
    <w:rsid w:val="CFD754AF"/>
    <w:rsid w:val="CFDF1009"/>
    <w:rsid w:val="D3FF31F6"/>
    <w:rsid w:val="D5BA90A4"/>
    <w:rsid w:val="D5DFB3C4"/>
    <w:rsid w:val="D5FA3E98"/>
    <w:rsid w:val="D6B7E4F6"/>
    <w:rsid w:val="D6CB2739"/>
    <w:rsid w:val="D6FE480A"/>
    <w:rsid w:val="D70C26A5"/>
    <w:rsid w:val="D776A8DB"/>
    <w:rsid w:val="D7AB3761"/>
    <w:rsid w:val="D7B6B268"/>
    <w:rsid w:val="D7D7B16A"/>
    <w:rsid w:val="D7D7B7AB"/>
    <w:rsid w:val="D7DBE356"/>
    <w:rsid w:val="D7EB2BFE"/>
    <w:rsid w:val="D7EF2E2A"/>
    <w:rsid w:val="D7FF9C70"/>
    <w:rsid w:val="D8D6DB89"/>
    <w:rsid w:val="D9DF262A"/>
    <w:rsid w:val="D9FBE651"/>
    <w:rsid w:val="DB6F4CAB"/>
    <w:rsid w:val="DB777682"/>
    <w:rsid w:val="DB7AABF3"/>
    <w:rsid w:val="DB7FFAEA"/>
    <w:rsid w:val="DB9D98FC"/>
    <w:rsid w:val="DBA9B25D"/>
    <w:rsid w:val="DBAEA5FB"/>
    <w:rsid w:val="DBBE7DDD"/>
    <w:rsid w:val="DBC758AC"/>
    <w:rsid w:val="DBDD5505"/>
    <w:rsid w:val="DBDDA52A"/>
    <w:rsid w:val="DBEDBC38"/>
    <w:rsid w:val="DBF77105"/>
    <w:rsid w:val="DBFC61A1"/>
    <w:rsid w:val="DC0E1813"/>
    <w:rsid w:val="DC7510E2"/>
    <w:rsid w:val="DCFFC0D1"/>
    <w:rsid w:val="DD1FB521"/>
    <w:rsid w:val="DD3114FE"/>
    <w:rsid w:val="DD69B6C9"/>
    <w:rsid w:val="DDBA6558"/>
    <w:rsid w:val="DDBEB4BC"/>
    <w:rsid w:val="DDBF1336"/>
    <w:rsid w:val="DDCB2E5E"/>
    <w:rsid w:val="DDFE75CA"/>
    <w:rsid w:val="DDFFACE1"/>
    <w:rsid w:val="DDFFB01E"/>
    <w:rsid w:val="DE7EFCD9"/>
    <w:rsid w:val="DE999D0F"/>
    <w:rsid w:val="DEF5D890"/>
    <w:rsid w:val="DEF72FC4"/>
    <w:rsid w:val="DEF7BE70"/>
    <w:rsid w:val="DEFB3288"/>
    <w:rsid w:val="DEFBBE33"/>
    <w:rsid w:val="DEFBFEAE"/>
    <w:rsid w:val="DEFDF9CE"/>
    <w:rsid w:val="DEFF1EC1"/>
    <w:rsid w:val="DEFF751F"/>
    <w:rsid w:val="DF07B8AB"/>
    <w:rsid w:val="DF1D98A8"/>
    <w:rsid w:val="DF1F3B80"/>
    <w:rsid w:val="DF36A14B"/>
    <w:rsid w:val="DF478658"/>
    <w:rsid w:val="DF6F9789"/>
    <w:rsid w:val="DF7B2C8B"/>
    <w:rsid w:val="DF7B9DE9"/>
    <w:rsid w:val="DF7BC484"/>
    <w:rsid w:val="DF7F44AA"/>
    <w:rsid w:val="DF97CDFB"/>
    <w:rsid w:val="DF9ACDAF"/>
    <w:rsid w:val="DF9B8D55"/>
    <w:rsid w:val="DF9D198A"/>
    <w:rsid w:val="DFAF56A8"/>
    <w:rsid w:val="DFB7B71F"/>
    <w:rsid w:val="DFBA338A"/>
    <w:rsid w:val="DFBDD141"/>
    <w:rsid w:val="DFCE48D1"/>
    <w:rsid w:val="DFDB786B"/>
    <w:rsid w:val="DFDF1D8E"/>
    <w:rsid w:val="DFDF3253"/>
    <w:rsid w:val="DFE14822"/>
    <w:rsid w:val="DFEE6E63"/>
    <w:rsid w:val="DFEEA130"/>
    <w:rsid w:val="DFEFC58B"/>
    <w:rsid w:val="DFF33F68"/>
    <w:rsid w:val="DFF38141"/>
    <w:rsid w:val="DFF3C5A1"/>
    <w:rsid w:val="DFF5C435"/>
    <w:rsid w:val="DFF5F241"/>
    <w:rsid w:val="DFF70B08"/>
    <w:rsid w:val="DFF71469"/>
    <w:rsid w:val="DFFB6626"/>
    <w:rsid w:val="DFFB6682"/>
    <w:rsid w:val="DFFB85E3"/>
    <w:rsid w:val="DFFC86B6"/>
    <w:rsid w:val="DFFD5340"/>
    <w:rsid w:val="DFFF5AE3"/>
    <w:rsid w:val="DFFFA9E8"/>
    <w:rsid w:val="DFFFD22E"/>
    <w:rsid w:val="E076F014"/>
    <w:rsid w:val="E0DBD3B8"/>
    <w:rsid w:val="E1BFB26E"/>
    <w:rsid w:val="E1DCB14B"/>
    <w:rsid w:val="E37D5D3F"/>
    <w:rsid w:val="E3A51041"/>
    <w:rsid w:val="E3FB4003"/>
    <w:rsid w:val="E3FFE98D"/>
    <w:rsid w:val="E574ECF7"/>
    <w:rsid w:val="E5F4E9DC"/>
    <w:rsid w:val="E63DCF1D"/>
    <w:rsid w:val="E67FE46D"/>
    <w:rsid w:val="E67FF583"/>
    <w:rsid w:val="E6DF0595"/>
    <w:rsid w:val="E70FE695"/>
    <w:rsid w:val="E7676621"/>
    <w:rsid w:val="E76B2B9A"/>
    <w:rsid w:val="E77F173A"/>
    <w:rsid w:val="E79F97FF"/>
    <w:rsid w:val="E7AB7A34"/>
    <w:rsid w:val="E7ADBF6B"/>
    <w:rsid w:val="E7B3A509"/>
    <w:rsid w:val="E7B62AC1"/>
    <w:rsid w:val="E7C34487"/>
    <w:rsid w:val="E7DF1E20"/>
    <w:rsid w:val="E7FF6381"/>
    <w:rsid w:val="E7FFB74A"/>
    <w:rsid w:val="E8FEE55D"/>
    <w:rsid w:val="E9A30291"/>
    <w:rsid w:val="EADD4E4F"/>
    <w:rsid w:val="EAEF1AF6"/>
    <w:rsid w:val="EAFF7386"/>
    <w:rsid w:val="EAFFB704"/>
    <w:rsid w:val="EAFFF5EE"/>
    <w:rsid w:val="EB9F6C02"/>
    <w:rsid w:val="EBBF924C"/>
    <w:rsid w:val="EBEC5314"/>
    <w:rsid w:val="EBEF15D5"/>
    <w:rsid w:val="EC4D7792"/>
    <w:rsid w:val="ECBA6241"/>
    <w:rsid w:val="ECFED1BC"/>
    <w:rsid w:val="ED1D69BB"/>
    <w:rsid w:val="ED2C2584"/>
    <w:rsid w:val="ED37901A"/>
    <w:rsid w:val="ED56C5DD"/>
    <w:rsid w:val="ED6F1355"/>
    <w:rsid w:val="ED7FD312"/>
    <w:rsid w:val="ED7FD4E7"/>
    <w:rsid w:val="EDBE03E0"/>
    <w:rsid w:val="EDBFC280"/>
    <w:rsid w:val="EDD1A84A"/>
    <w:rsid w:val="EDD62346"/>
    <w:rsid w:val="EDFDB54D"/>
    <w:rsid w:val="EDFF387B"/>
    <w:rsid w:val="EDFF8263"/>
    <w:rsid w:val="EE1FA0C7"/>
    <w:rsid w:val="EEAC7990"/>
    <w:rsid w:val="EEBB9C14"/>
    <w:rsid w:val="EEBFDCA1"/>
    <w:rsid w:val="EECF1888"/>
    <w:rsid w:val="EED635B0"/>
    <w:rsid w:val="EEFE41FC"/>
    <w:rsid w:val="EEFFC61E"/>
    <w:rsid w:val="EF3339AF"/>
    <w:rsid w:val="EF3F9687"/>
    <w:rsid w:val="EF53993F"/>
    <w:rsid w:val="EF6F18AF"/>
    <w:rsid w:val="EF7B8152"/>
    <w:rsid w:val="EF7F0B0E"/>
    <w:rsid w:val="EF7FA21C"/>
    <w:rsid w:val="EF8E27E2"/>
    <w:rsid w:val="EFABF89A"/>
    <w:rsid w:val="EFAF98CF"/>
    <w:rsid w:val="EFBCD55E"/>
    <w:rsid w:val="EFBDE00E"/>
    <w:rsid w:val="EFBFB2F4"/>
    <w:rsid w:val="EFBFFA21"/>
    <w:rsid w:val="EFCA36FE"/>
    <w:rsid w:val="EFDF4337"/>
    <w:rsid w:val="EFF7097E"/>
    <w:rsid w:val="EFF7E275"/>
    <w:rsid w:val="EFFB8095"/>
    <w:rsid w:val="EFFBE202"/>
    <w:rsid w:val="EFFF83F6"/>
    <w:rsid w:val="F1794A10"/>
    <w:rsid w:val="F1BFA398"/>
    <w:rsid w:val="F1DF8218"/>
    <w:rsid w:val="F20F2C92"/>
    <w:rsid w:val="F2BEBCB8"/>
    <w:rsid w:val="F36FB518"/>
    <w:rsid w:val="F3CFEB88"/>
    <w:rsid w:val="F3DA027F"/>
    <w:rsid w:val="F3DE1A04"/>
    <w:rsid w:val="F3DF101D"/>
    <w:rsid w:val="F3E244FA"/>
    <w:rsid w:val="F3EFB7CA"/>
    <w:rsid w:val="F3EFF0A6"/>
    <w:rsid w:val="F3F722E5"/>
    <w:rsid w:val="F3FB595F"/>
    <w:rsid w:val="F3FD20F7"/>
    <w:rsid w:val="F3FFF937"/>
    <w:rsid w:val="F46FE042"/>
    <w:rsid w:val="F4AB6F1D"/>
    <w:rsid w:val="F5AD7990"/>
    <w:rsid w:val="F5AFAC55"/>
    <w:rsid w:val="F5B76F47"/>
    <w:rsid w:val="F5FED2F4"/>
    <w:rsid w:val="F5FF5E02"/>
    <w:rsid w:val="F66F9B85"/>
    <w:rsid w:val="F6777AE7"/>
    <w:rsid w:val="F67F4861"/>
    <w:rsid w:val="F699BB1A"/>
    <w:rsid w:val="F6DAF4CD"/>
    <w:rsid w:val="F6DC88E1"/>
    <w:rsid w:val="F6DEABFE"/>
    <w:rsid w:val="F6EA91F2"/>
    <w:rsid w:val="F6FE0091"/>
    <w:rsid w:val="F6FF4863"/>
    <w:rsid w:val="F6FF5B7F"/>
    <w:rsid w:val="F72FAC82"/>
    <w:rsid w:val="F75519E9"/>
    <w:rsid w:val="F7761BA4"/>
    <w:rsid w:val="F777A488"/>
    <w:rsid w:val="F793F401"/>
    <w:rsid w:val="F7B41EAE"/>
    <w:rsid w:val="F7B650C7"/>
    <w:rsid w:val="F7B9E37B"/>
    <w:rsid w:val="F7BC047B"/>
    <w:rsid w:val="F7BC3A50"/>
    <w:rsid w:val="F7BFC65F"/>
    <w:rsid w:val="F7CFE439"/>
    <w:rsid w:val="F7DD1E4C"/>
    <w:rsid w:val="F7DF278E"/>
    <w:rsid w:val="F7DF717D"/>
    <w:rsid w:val="F7E6CC20"/>
    <w:rsid w:val="F7EB9686"/>
    <w:rsid w:val="F7EEE586"/>
    <w:rsid w:val="F7EF9033"/>
    <w:rsid w:val="F7EF9F99"/>
    <w:rsid w:val="F7F718B3"/>
    <w:rsid w:val="F7F783E3"/>
    <w:rsid w:val="F7F78452"/>
    <w:rsid w:val="F7F96F7D"/>
    <w:rsid w:val="F7FBDF87"/>
    <w:rsid w:val="F7FD1F40"/>
    <w:rsid w:val="F7FDC2B1"/>
    <w:rsid w:val="F7FF6236"/>
    <w:rsid w:val="F7FF6564"/>
    <w:rsid w:val="F857DF41"/>
    <w:rsid w:val="F8BF3E84"/>
    <w:rsid w:val="F8D3CC4C"/>
    <w:rsid w:val="F8DDDAC6"/>
    <w:rsid w:val="F8FE73A0"/>
    <w:rsid w:val="F93C3A68"/>
    <w:rsid w:val="F93FBCD0"/>
    <w:rsid w:val="F96B55C8"/>
    <w:rsid w:val="F9776D08"/>
    <w:rsid w:val="F9AA8EF7"/>
    <w:rsid w:val="F9BF30E5"/>
    <w:rsid w:val="F9D7C69C"/>
    <w:rsid w:val="F9ED673A"/>
    <w:rsid w:val="F9EEC89E"/>
    <w:rsid w:val="F9F5C401"/>
    <w:rsid w:val="F9F60DAC"/>
    <w:rsid w:val="F9FB7E3B"/>
    <w:rsid w:val="F9FD9926"/>
    <w:rsid w:val="F9FF4F4E"/>
    <w:rsid w:val="F9FFC010"/>
    <w:rsid w:val="FA2F5BEB"/>
    <w:rsid w:val="FA5F1E70"/>
    <w:rsid w:val="FA5FDB97"/>
    <w:rsid w:val="FACE7CA7"/>
    <w:rsid w:val="FAEF4956"/>
    <w:rsid w:val="FAF17C60"/>
    <w:rsid w:val="FAF62A37"/>
    <w:rsid w:val="FB1BB959"/>
    <w:rsid w:val="FB3F8104"/>
    <w:rsid w:val="FB4B0E46"/>
    <w:rsid w:val="FB4FB808"/>
    <w:rsid w:val="FB5C6B6A"/>
    <w:rsid w:val="FB5F2DDA"/>
    <w:rsid w:val="FB6F05D6"/>
    <w:rsid w:val="FB6F41AA"/>
    <w:rsid w:val="FB6FB4F5"/>
    <w:rsid w:val="FB734C44"/>
    <w:rsid w:val="FB75E3C8"/>
    <w:rsid w:val="FB76E03C"/>
    <w:rsid w:val="FB7F461B"/>
    <w:rsid w:val="FB7F486A"/>
    <w:rsid w:val="FB7F6E28"/>
    <w:rsid w:val="FB7F7833"/>
    <w:rsid w:val="FB8778F4"/>
    <w:rsid w:val="FB975DA4"/>
    <w:rsid w:val="FB9F882C"/>
    <w:rsid w:val="FBAF749C"/>
    <w:rsid w:val="FBB61866"/>
    <w:rsid w:val="FBBB4A42"/>
    <w:rsid w:val="FBBFED1C"/>
    <w:rsid w:val="FBDA30C6"/>
    <w:rsid w:val="FBEE055A"/>
    <w:rsid w:val="FBEEB49C"/>
    <w:rsid w:val="FBF60F4B"/>
    <w:rsid w:val="FBF72AEA"/>
    <w:rsid w:val="FBF730C6"/>
    <w:rsid w:val="FBF91527"/>
    <w:rsid w:val="FBFC1488"/>
    <w:rsid w:val="FBFD1260"/>
    <w:rsid w:val="FBFF203C"/>
    <w:rsid w:val="FBFF5B2E"/>
    <w:rsid w:val="FC833EBB"/>
    <w:rsid w:val="FCBB9F60"/>
    <w:rsid w:val="FCCFAE14"/>
    <w:rsid w:val="FCF72A56"/>
    <w:rsid w:val="FCFBC94A"/>
    <w:rsid w:val="FCFE0B49"/>
    <w:rsid w:val="FD4B388D"/>
    <w:rsid w:val="FD5BEBF6"/>
    <w:rsid w:val="FD5F5726"/>
    <w:rsid w:val="FD6F634F"/>
    <w:rsid w:val="FD77A83C"/>
    <w:rsid w:val="FD7FB302"/>
    <w:rsid w:val="FD7FFE2B"/>
    <w:rsid w:val="FDAD4735"/>
    <w:rsid w:val="FDADA43D"/>
    <w:rsid w:val="FDAF669B"/>
    <w:rsid w:val="FDB81254"/>
    <w:rsid w:val="FDBB463B"/>
    <w:rsid w:val="FDBD9F18"/>
    <w:rsid w:val="FDBDC432"/>
    <w:rsid w:val="FDD06798"/>
    <w:rsid w:val="FDDBAB6E"/>
    <w:rsid w:val="FDDFF905"/>
    <w:rsid w:val="FDEB412A"/>
    <w:rsid w:val="FDEE196B"/>
    <w:rsid w:val="FDEE1B1A"/>
    <w:rsid w:val="FDEF1333"/>
    <w:rsid w:val="FDEF50BC"/>
    <w:rsid w:val="FDEF978D"/>
    <w:rsid w:val="FDF7F974"/>
    <w:rsid w:val="FDFBCE22"/>
    <w:rsid w:val="FDFD5EC3"/>
    <w:rsid w:val="FDFE6575"/>
    <w:rsid w:val="FDFF037B"/>
    <w:rsid w:val="FDFF939A"/>
    <w:rsid w:val="FDFFF85E"/>
    <w:rsid w:val="FE29AEFD"/>
    <w:rsid w:val="FE9E11AB"/>
    <w:rsid w:val="FEABF6F4"/>
    <w:rsid w:val="FEBF38CD"/>
    <w:rsid w:val="FEBFAD0A"/>
    <w:rsid w:val="FED39166"/>
    <w:rsid w:val="FED4B2EF"/>
    <w:rsid w:val="FED4E7A3"/>
    <w:rsid w:val="FEDBBBE9"/>
    <w:rsid w:val="FEDECFD5"/>
    <w:rsid w:val="FEDFDDC2"/>
    <w:rsid w:val="FEEB2F72"/>
    <w:rsid w:val="FEEB4E4D"/>
    <w:rsid w:val="FEED32F6"/>
    <w:rsid w:val="FEF781DD"/>
    <w:rsid w:val="FEF9D8C4"/>
    <w:rsid w:val="FEFB5AE3"/>
    <w:rsid w:val="FEFE3E08"/>
    <w:rsid w:val="FEFE4A2C"/>
    <w:rsid w:val="FEFE9DA4"/>
    <w:rsid w:val="FEFF3930"/>
    <w:rsid w:val="FF1F8C16"/>
    <w:rsid w:val="FF2FC7F0"/>
    <w:rsid w:val="FF3F7E3F"/>
    <w:rsid w:val="FF3FF759"/>
    <w:rsid w:val="FF4749A3"/>
    <w:rsid w:val="FF4D3A28"/>
    <w:rsid w:val="FF4E8A6E"/>
    <w:rsid w:val="FF557908"/>
    <w:rsid w:val="FF5913BC"/>
    <w:rsid w:val="FF5E9A4C"/>
    <w:rsid w:val="FF671CDF"/>
    <w:rsid w:val="FF6F2A00"/>
    <w:rsid w:val="FF73FE35"/>
    <w:rsid w:val="FF775D3C"/>
    <w:rsid w:val="FF775E14"/>
    <w:rsid w:val="FF77AC52"/>
    <w:rsid w:val="FF7D43CA"/>
    <w:rsid w:val="FF7DAA8F"/>
    <w:rsid w:val="FF7F1E7E"/>
    <w:rsid w:val="FF7F6582"/>
    <w:rsid w:val="FF7F6C0F"/>
    <w:rsid w:val="FF7FB055"/>
    <w:rsid w:val="FF8B83FD"/>
    <w:rsid w:val="FF8D11C5"/>
    <w:rsid w:val="FF8FE140"/>
    <w:rsid w:val="FF9BAA5C"/>
    <w:rsid w:val="FF9F1791"/>
    <w:rsid w:val="FF9F593A"/>
    <w:rsid w:val="FFA57884"/>
    <w:rsid w:val="FFAAC449"/>
    <w:rsid w:val="FFAFA86C"/>
    <w:rsid w:val="FFB513DD"/>
    <w:rsid w:val="FFB67F5E"/>
    <w:rsid w:val="FFBA12D7"/>
    <w:rsid w:val="FFBB8065"/>
    <w:rsid w:val="FFBE4CE2"/>
    <w:rsid w:val="FFBF2D30"/>
    <w:rsid w:val="FFBF4E22"/>
    <w:rsid w:val="FFBF6BBB"/>
    <w:rsid w:val="FFBFE8C6"/>
    <w:rsid w:val="FFCD1229"/>
    <w:rsid w:val="FFCD3C50"/>
    <w:rsid w:val="FFCDE626"/>
    <w:rsid w:val="FFCDF2A3"/>
    <w:rsid w:val="FFCF2925"/>
    <w:rsid w:val="FFD33B6C"/>
    <w:rsid w:val="FFD4F44C"/>
    <w:rsid w:val="FFDAD824"/>
    <w:rsid w:val="FFDE4064"/>
    <w:rsid w:val="FFDEA9D8"/>
    <w:rsid w:val="FFDECFF5"/>
    <w:rsid w:val="FFDF2DEC"/>
    <w:rsid w:val="FFDF624E"/>
    <w:rsid w:val="FFDF6BC0"/>
    <w:rsid w:val="FFDF8084"/>
    <w:rsid w:val="FFDF87F9"/>
    <w:rsid w:val="FFDFFAEE"/>
    <w:rsid w:val="FFE1A7A9"/>
    <w:rsid w:val="FFE3BA41"/>
    <w:rsid w:val="FFE3BED4"/>
    <w:rsid w:val="FFE7F7FF"/>
    <w:rsid w:val="FFEC7687"/>
    <w:rsid w:val="FFEF4659"/>
    <w:rsid w:val="FFEFDEE7"/>
    <w:rsid w:val="FFF2546F"/>
    <w:rsid w:val="FFF316C1"/>
    <w:rsid w:val="FFF40C57"/>
    <w:rsid w:val="FFF587ED"/>
    <w:rsid w:val="FFF61A99"/>
    <w:rsid w:val="FFF63ECC"/>
    <w:rsid w:val="FFF66C60"/>
    <w:rsid w:val="FFF7F2F1"/>
    <w:rsid w:val="FFF9B57B"/>
    <w:rsid w:val="FFFD61D9"/>
    <w:rsid w:val="FFFD8F59"/>
    <w:rsid w:val="FFFDC751"/>
    <w:rsid w:val="FFFE08F8"/>
    <w:rsid w:val="FFFF2BB1"/>
    <w:rsid w:val="FFFF4324"/>
    <w:rsid w:val="FFFF4924"/>
    <w:rsid w:val="FFFFB04D"/>
    <w:rsid w:val="FFFFE33E"/>
    <w:rsid w:val="FFFFF3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6">
    <w:name w:val="Body Text"/>
    <w:basedOn w:val="1"/>
    <w:next w:val="1"/>
    <w:link w:val="29"/>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customStyle="1" w:styleId="8">
    <w:name w:val="Body Text First Indent 21"/>
    <w:basedOn w:val="7"/>
    <w:next w:val="1"/>
    <w:qFormat/>
    <w:uiPriority w:val="0"/>
    <w:pPr>
      <w:ind w:firstLine="420"/>
    </w:pPr>
    <w:rPr>
      <w:rFonts w:eastAsia="宋体"/>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5"/>
    <w:semiHidden/>
    <w:unhideWhenUsed/>
    <w:qFormat/>
    <w:uiPriority w:val="99"/>
    <w:rPr>
      <w:sz w:val="18"/>
      <w:szCs w:val="18"/>
    </w:rPr>
  </w:style>
  <w:style w:type="paragraph" w:styleId="11">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15"/>
    <w:semiHidden/>
    <w:qFormat/>
    <w:uiPriority w:val="0"/>
    <w:pPr>
      <w:snapToGrid w:val="0"/>
      <w:jc w:val="left"/>
    </w:pPr>
    <w:rPr>
      <w:sz w:val="18"/>
      <w:szCs w:val="18"/>
    </w:rPr>
  </w:style>
  <w:style w:type="paragraph" w:styleId="15">
    <w:name w:val="Body Text First Indent 2"/>
    <w:basedOn w:val="7"/>
    <w:next w:val="1"/>
    <w:unhideWhenUsed/>
    <w:qFormat/>
    <w:uiPriority w:val="99"/>
    <w:pPr>
      <w:ind w:firstLine="420" w:firstLineChars="200"/>
    </w:p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spacing w:before="100" w:beforeAutospacing="1" w:after="100" w:afterAutospacing="1"/>
      <w:jc w:val="left"/>
    </w:pPr>
    <w:rPr>
      <w:kern w:val="0"/>
      <w:sz w:val="24"/>
    </w:rPr>
  </w:style>
  <w:style w:type="table" w:styleId="1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paragraph" w:customStyle="1" w:styleId="2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4">
    <w:name w:val="Header Char"/>
    <w:basedOn w:val="20"/>
    <w:semiHidden/>
    <w:qFormat/>
    <w:uiPriority w:val="99"/>
    <w:rPr>
      <w:rFonts w:ascii="Times New Roman" w:hAnsi="Times New Roman"/>
      <w:sz w:val="18"/>
      <w:szCs w:val="18"/>
    </w:rPr>
  </w:style>
  <w:style w:type="character" w:customStyle="1" w:styleId="25">
    <w:name w:val="页眉 字符"/>
    <w:link w:val="12"/>
    <w:semiHidden/>
    <w:qFormat/>
    <w:locked/>
    <w:uiPriority w:val="99"/>
    <w:rPr>
      <w:sz w:val="18"/>
    </w:rPr>
  </w:style>
  <w:style w:type="character" w:customStyle="1" w:styleId="26">
    <w:name w:val="Footer Char"/>
    <w:basedOn w:val="20"/>
    <w:semiHidden/>
    <w:qFormat/>
    <w:uiPriority w:val="99"/>
    <w:rPr>
      <w:rFonts w:ascii="Times New Roman" w:hAnsi="Times New Roman"/>
      <w:sz w:val="18"/>
      <w:szCs w:val="18"/>
    </w:rPr>
  </w:style>
  <w:style w:type="character" w:customStyle="1" w:styleId="27">
    <w:name w:val="页脚 字符"/>
    <w:link w:val="11"/>
    <w:qFormat/>
    <w:locked/>
    <w:uiPriority w:val="99"/>
    <w:rPr>
      <w:sz w:val="18"/>
    </w:rPr>
  </w:style>
  <w:style w:type="character" w:customStyle="1" w:styleId="28">
    <w:name w:val="Body Text Char"/>
    <w:basedOn w:val="20"/>
    <w:semiHidden/>
    <w:qFormat/>
    <w:uiPriority w:val="99"/>
    <w:rPr>
      <w:rFonts w:ascii="Times New Roman" w:hAnsi="Times New Roman"/>
      <w:szCs w:val="24"/>
    </w:rPr>
  </w:style>
  <w:style w:type="character" w:customStyle="1" w:styleId="29">
    <w:name w:val="正文文本 字符"/>
    <w:link w:val="6"/>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字符"/>
    <w:basedOn w:val="20"/>
    <w:link w:val="3"/>
    <w:qFormat/>
    <w:uiPriority w:val="9"/>
    <w:rPr>
      <w:rFonts w:ascii="Times New Roman" w:hAnsi="Times New Roman"/>
      <w:b/>
      <w:bCs/>
      <w:kern w:val="44"/>
      <w:sz w:val="44"/>
      <w:szCs w:val="44"/>
    </w:rPr>
  </w:style>
  <w:style w:type="character" w:customStyle="1" w:styleId="33">
    <w:name w:val="标题 2 字符"/>
    <w:basedOn w:val="20"/>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0"/>
    <w:semiHidden/>
    <w:qFormat/>
    <w:uiPriority w:val="99"/>
    <w:rPr>
      <w:rFonts w:ascii="Times New Roman" w:hAnsi="Times New Roman"/>
      <w:kern w:val="2"/>
      <w:sz w:val="18"/>
      <w:szCs w:val="18"/>
    </w:rPr>
  </w:style>
  <w:style w:type="character" w:customStyle="1" w:styleId="36">
    <w:name w:val="标题 3 字符"/>
    <w:basedOn w:val="20"/>
    <w:link w:val="5"/>
    <w:qFormat/>
    <w:uiPriority w:val="9"/>
    <w:rPr>
      <w:rFonts w:ascii="Times New Roman" w:hAnsi="Times New Roman"/>
      <w:b/>
      <w:bCs/>
      <w:kern w:val="2"/>
      <w:sz w:val="32"/>
      <w:szCs w:val="32"/>
    </w:rPr>
  </w:style>
  <w:style w:type="paragraph" w:customStyle="1" w:styleId="37">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四号正文"/>
    <w:basedOn w:val="1"/>
    <w:qFormat/>
    <w:uiPriority w:val="0"/>
    <w:pPr>
      <w:spacing w:line="360" w:lineRule="auto"/>
    </w:pPr>
    <w:rPr>
      <w:rFonts w:ascii="??" w:hAnsi="??"/>
      <w:color w:val="000000"/>
      <w:kern w:val="0"/>
      <w:sz w:val="28"/>
      <w:szCs w:val="21"/>
      <w:lang w:val="zh-CN"/>
    </w:rPr>
  </w:style>
  <w:style w:type="paragraph" w:customStyle="1" w:styleId="39">
    <w:name w:val="列表段落1"/>
    <w:basedOn w:val="1"/>
    <w:qFormat/>
    <w:uiPriority w:val="34"/>
    <w:pPr>
      <w:ind w:firstLine="420" w:firstLineChars="200"/>
    </w:pPr>
  </w:style>
  <w:style w:type="character" w:customStyle="1" w:styleId="40">
    <w:name w:val="标题 1 Char"/>
    <w:basedOn w:val="20"/>
    <w:link w:val="3"/>
    <w:qFormat/>
    <w:locked/>
    <w:uiPriority w:val="9"/>
    <w:rPr>
      <w:b/>
      <w:bCs/>
      <w:kern w:val="44"/>
      <w:sz w:val="44"/>
      <w:szCs w:val="44"/>
    </w:rPr>
  </w:style>
  <w:style w:type="paragraph" w:customStyle="1" w:styleId="41">
    <w:name w:val="WPSOffice手动目录 1"/>
    <w:qFormat/>
    <w:uiPriority w:val="0"/>
    <w:pPr>
      <w:ind w:leftChars="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character" w:customStyle="1" w:styleId="43">
    <w:name w:val="font21"/>
    <w:basedOn w:val="20"/>
    <w:qFormat/>
    <w:uiPriority w:val="0"/>
    <w:rPr>
      <w:rFonts w:hint="default" w:ascii="黑体" w:hAnsi="黑体" w:eastAsia="黑体" w:cs="黑体"/>
      <w:color w:val="000000"/>
      <w:sz w:val="18"/>
      <w:szCs w:val="18"/>
      <w:u w:val="none"/>
    </w:rPr>
  </w:style>
  <w:style w:type="character" w:customStyle="1" w:styleId="44">
    <w:name w:val="font01"/>
    <w:basedOn w:val="20"/>
    <w:qFormat/>
    <w:uiPriority w:val="0"/>
    <w:rPr>
      <w:rFonts w:hint="default" w:ascii="黑体" w:hAnsi="黑体" w:eastAsia="黑体" w:cs="黑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chart" Target="charts/chart1.xml"/><Relationship Id="rId7"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png"/><Relationship Id="rId17" Type="http://schemas.openxmlformats.org/officeDocument/2006/relationships/oleObject" Target="embeddings/oleObject6.bin"/><Relationship Id="rId16" Type="http://schemas.openxmlformats.org/officeDocument/2006/relationships/image" Target="media/image5.png"/><Relationship Id="rId15" Type="http://schemas.openxmlformats.org/officeDocument/2006/relationships/oleObject" Target="embeddings/oleObject5.bin"/><Relationship Id="rId14" Type="http://schemas.openxmlformats.org/officeDocument/2006/relationships/image" Target="media/image4.png"/><Relationship Id="rId13" Type="http://schemas.openxmlformats.org/officeDocument/2006/relationships/oleObject" Target="embeddings/oleObject4.bin"/><Relationship Id="rId12" Type="http://schemas.openxmlformats.org/officeDocument/2006/relationships/image" Target="media/image3.png"/><Relationship Id="rId11" Type="http://schemas.openxmlformats.org/officeDocument/2006/relationships/oleObject" Target="embeddings/oleObject3.bin"/><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697.42</c:v>
                </c:pt>
                <c:pt idx="7">
                  <c:v>0.82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5955275401471"/>
          <c:y val="0.25271629778672"/>
          <c:w val="0.333333333333333"/>
          <c:h val="0.74124748490945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41fcee4-ee82-492c-af89-ab2644def2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7b2c213-7fab-4a15-9c12-2092fe47efce}"/>
        <w:style w:val=""/>
        <w:category>
          <w:name w:val="常规"/>
          <w:gallery w:val="placeholder"/>
        </w:category>
        <w:types>
          <w:type w:val="bbPlcHdr"/>
        </w:types>
        <w:behaviors>
          <w:behavior w:val="content"/>
        </w:behaviors>
        <w:description w:val=""/>
        <w:guid w:val="{07b2c213-7fab-4a15-9c12-2092fe47efce}"/>
      </w:docPartPr>
      <w:docPartBody>
        <w:p w14:paraId="0673530C">
          <w:r>
            <w:rPr>
              <w:color w:val="808080"/>
            </w:rPr>
            <w:t>单击此处输入文字。</w:t>
          </w:r>
        </w:p>
      </w:docPartBody>
    </w:docPart>
    <w:docPart>
      <w:docPartPr>
        <w:name w:val="{ede6a936-8e4d-48dd-aac9-93a8d4c1faea}"/>
        <w:style w:val=""/>
        <w:category>
          <w:name w:val="常规"/>
          <w:gallery w:val="placeholder"/>
        </w:category>
        <w:types>
          <w:type w:val="bbPlcHdr"/>
        </w:types>
        <w:behaviors>
          <w:behavior w:val="content"/>
        </w:behaviors>
        <w:description w:val=""/>
        <w:guid w:val="{ede6a936-8e4d-48dd-aac9-93a8d4c1faea}"/>
      </w:docPartPr>
      <w:docPartBody>
        <w:p w14:paraId="7A5A620C">
          <w:r>
            <w:rPr>
              <w:color w:val="808080"/>
            </w:rPr>
            <w:t>单击此处输入文字。</w:t>
          </w:r>
        </w:p>
      </w:docPartBody>
    </w:docPart>
    <w:docPart>
      <w:docPartPr>
        <w:name w:val="{76c949de-c48e-4ae3-90de-edb2ab88c372}"/>
        <w:style w:val=""/>
        <w:category>
          <w:name w:val="常规"/>
          <w:gallery w:val="placeholder"/>
        </w:category>
        <w:types>
          <w:type w:val="bbPlcHdr"/>
        </w:types>
        <w:behaviors>
          <w:behavior w:val="content"/>
        </w:behaviors>
        <w:description w:val=""/>
        <w:guid w:val="{76c949de-c48e-4ae3-90de-edb2ab88c372}"/>
      </w:docPartPr>
      <w:docPartBody>
        <w:p w14:paraId="68EFEB70">
          <w:r>
            <w:rPr>
              <w:color w:val="808080"/>
            </w:rPr>
            <w:t>单击此处输入文字。</w:t>
          </w:r>
        </w:p>
      </w:docPartBody>
    </w:docPart>
    <w:docPart>
      <w:docPartPr>
        <w:name w:val="{c3da9160-cc69-4f30-828d-794ddccbae1d}"/>
        <w:style w:val=""/>
        <w:category>
          <w:name w:val="常规"/>
          <w:gallery w:val="placeholder"/>
        </w:category>
        <w:types>
          <w:type w:val="bbPlcHdr"/>
        </w:types>
        <w:behaviors>
          <w:behavior w:val="content"/>
        </w:behaviors>
        <w:description w:val=""/>
        <w:guid w:val="{c3da9160-cc69-4f30-828d-794ddccbae1d}"/>
      </w:docPartPr>
      <w:docPartBody>
        <w:p w14:paraId="3CDCF280">
          <w:r>
            <w:rPr>
              <w:color w:val="808080"/>
            </w:rPr>
            <w:t>单击此处输入文字。</w:t>
          </w:r>
        </w:p>
      </w:docPartBody>
    </w:docPart>
    <w:docPart>
      <w:docPartPr>
        <w:name w:val="{b759b438-c31c-4fc3-8f70-4d31a06ba1cb}"/>
        <w:style w:val=""/>
        <w:category>
          <w:name w:val="常规"/>
          <w:gallery w:val="placeholder"/>
        </w:category>
        <w:types>
          <w:type w:val="bbPlcHdr"/>
        </w:types>
        <w:behaviors>
          <w:behavior w:val="content"/>
        </w:behaviors>
        <w:description w:val=""/>
        <w:guid w:val="{b759b438-c31c-4fc3-8f70-4d31a06ba1cb}"/>
      </w:docPartPr>
      <w:docPartBody>
        <w:p w14:paraId="59CB7239">
          <w:r>
            <w:rPr>
              <w:color w:val="808080"/>
            </w:rPr>
            <w:t>单击此处输入文字。</w:t>
          </w:r>
        </w:p>
      </w:docPartBody>
    </w:docPart>
    <w:docPart>
      <w:docPartPr>
        <w:name w:val="{a560a624-12df-4bd6-b262-19cc1ac6feff}"/>
        <w:style w:val=""/>
        <w:category>
          <w:name w:val="常规"/>
          <w:gallery w:val="placeholder"/>
        </w:category>
        <w:types>
          <w:type w:val="bbPlcHdr"/>
        </w:types>
        <w:behaviors>
          <w:behavior w:val="content"/>
        </w:behaviors>
        <w:description w:val=""/>
        <w:guid w:val="{a560a624-12df-4bd6-b262-19cc1ac6feff}"/>
      </w:docPartPr>
      <w:docPartBody>
        <w:p w14:paraId="06DE622E">
          <w:r>
            <w:rPr>
              <w:color w:val="808080"/>
            </w:rPr>
            <w:t>单击此处输入文字。</w:t>
          </w:r>
        </w:p>
      </w:docPartBody>
    </w:docPart>
    <w:docPart>
      <w:docPartPr>
        <w:name w:val="{e80013ab-a528-4154-a15e-91535f3fa3e8}"/>
        <w:style w:val=""/>
        <w:category>
          <w:name w:val="常规"/>
          <w:gallery w:val="placeholder"/>
        </w:category>
        <w:types>
          <w:type w:val="bbPlcHdr"/>
        </w:types>
        <w:behaviors>
          <w:behavior w:val="content"/>
        </w:behaviors>
        <w:description w:val=""/>
        <w:guid w:val="{e80013ab-a528-4154-a15e-91535f3fa3e8}"/>
      </w:docPartPr>
      <w:docPartBody>
        <w:p w14:paraId="6F4802F4">
          <w:r>
            <w:rPr>
              <w:color w:val="808080"/>
            </w:rPr>
            <w:t>单击此处输入文字。</w:t>
          </w:r>
        </w:p>
      </w:docPartBody>
    </w:docPart>
    <w:docPart>
      <w:docPartPr>
        <w:name w:val="{e709e225-c015-481a-a271-eac4e4b067a4}"/>
        <w:style w:val=""/>
        <w:category>
          <w:name w:val="常规"/>
          <w:gallery w:val="placeholder"/>
        </w:category>
        <w:types>
          <w:type w:val="bbPlcHdr"/>
        </w:types>
        <w:behaviors>
          <w:behavior w:val="content"/>
        </w:behaviors>
        <w:description w:val=""/>
        <w:guid w:val="{e709e225-c015-481a-a271-eac4e4b067a4}"/>
      </w:docPartPr>
      <w:docPartBody>
        <w:p w14:paraId="712D97FE">
          <w:r>
            <w:rPr>
              <w:color w:val="808080"/>
            </w:rPr>
            <w:t>单击此处输入文字。</w:t>
          </w:r>
        </w:p>
      </w:docPartBody>
    </w:docPart>
    <w:docPart>
      <w:docPartPr>
        <w:name w:val="{05a813e8-970d-49be-9e8c-fd0bae4a1cbf}"/>
        <w:style w:val=""/>
        <w:category>
          <w:name w:val="常规"/>
          <w:gallery w:val="placeholder"/>
        </w:category>
        <w:types>
          <w:type w:val="bbPlcHdr"/>
        </w:types>
        <w:behaviors>
          <w:behavior w:val="content"/>
        </w:behaviors>
        <w:description w:val=""/>
        <w:guid w:val="{05a813e8-970d-49be-9e8c-fd0bae4a1cbf}"/>
      </w:docPartPr>
      <w:docPartBody>
        <w:p w14:paraId="082B6A91">
          <w:r>
            <w:rPr>
              <w:color w:val="808080"/>
            </w:rPr>
            <w:t>单击此处输入文字。</w:t>
          </w:r>
        </w:p>
      </w:docPartBody>
    </w:docPart>
    <w:docPart>
      <w:docPartPr>
        <w:name w:val="{80ec175d-eaa7-457a-a53e-64f3680e8767}"/>
        <w:style w:val=""/>
        <w:category>
          <w:name w:val="常规"/>
          <w:gallery w:val="placeholder"/>
        </w:category>
        <w:types>
          <w:type w:val="bbPlcHdr"/>
        </w:types>
        <w:behaviors>
          <w:behavior w:val="content"/>
        </w:behaviors>
        <w:description w:val=""/>
        <w:guid w:val="{80ec175d-eaa7-457a-a53e-64f3680e8767}"/>
      </w:docPartPr>
      <w:docPartBody>
        <w:p w14:paraId="410A9B38">
          <w:r>
            <w:rPr>
              <w:color w:val="808080"/>
            </w:rPr>
            <w:t>单击此处输入文字。</w:t>
          </w:r>
        </w:p>
      </w:docPartBody>
    </w:docPart>
    <w:docPart>
      <w:docPartPr>
        <w:name w:val="{0bf0c566-bb93-4419-8d43-30acf57b94f4}"/>
        <w:style w:val=""/>
        <w:category>
          <w:name w:val="常规"/>
          <w:gallery w:val="placeholder"/>
        </w:category>
        <w:types>
          <w:type w:val="bbPlcHdr"/>
        </w:types>
        <w:behaviors>
          <w:behavior w:val="content"/>
        </w:behaviors>
        <w:description w:val=""/>
        <w:guid w:val="{0bf0c566-bb93-4419-8d43-30acf57b94f4}"/>
      </w:docPartPr>
      <w:docPartBody>
        <w:p w14:paraId="24AE2A8F">
          <w:r>
            <w:rPr>
              <w:color w:val="808080"/>
            </w:rPr>
            <w:t>单击此处输入文字。</w:t>
          </w:r>
        </w:p>
      </w:docPartBody>
    </w:docPart>
    <w:docPart>
      <w:docPartPr>
        <w:name w:val="{a51adb1a-feea-4e84-b07e-7657a1115b5f}"/>
        <w:style w:val=""/>
        <w:category>
          <w:name w:val="常规"/>
          <w:gallery w:val="placeholder"/>
        </w:category>
        <w:types>
          <w:type w:val="bbPlcHdr"/>
        </w:types>
        <w:behaviors>
          <w:behavior w:val="content"/>
        </w:behaviors>
        <w:description w:val=""/>
        <w:guid w:val="{a51adb1a-feea-4e84-b07e-7657a1115b5f}"/>
      </w:docPartPr>
      <w:docPartBody>
        <w:p w14:paraId="2B9CDC74">
          <w:r>
            <w:rPr>
              <w:color w:val="808080"/>
            </w:rPr>
            <w:t>单击此处输入文字。</w:t>
          </w:r>
        </w:p>
      </w:docPartBody>
    </w:docPart>
    <w:docPart>
      <w:docPartPr>
        <w:name w:val="{cc6c8870-58cc-4b38-9255-2177979601bc}"/>
        <w:style w:val=""/>
        <w:category>
          <w:name w:val="常规"/>
          <w:gallery w:val="placeholder"/>
        </w:category>
        <w:types>
          <w:type w:val="bbPlcHdr"/>
        </w:types>
        <w:behaviors>
          <w:behavior w:val="content"/>
        </w:behaviors>
        <w:description w:val=""/>
        <w:guid w:val="{cc6c8870-58cc-4b38-9255-2177979601bc}"/>
      </w:docPartPr>
      <w:docPartBody>
        <w:p w14:paraId="6CCFB2DF">
          <w:r>
            <w:rPr>
              <w:color w:val="808080"/>
            </w:rPr>
            <w:t>单击此处输入文字。</w:t>
          </w:r>
        </w:p>
      </w:docPartBody>
    </w:docPart>
    <w:docPart>
      <w:docPartPr>
        <w:name w:val="{ae966aa1-3fd6-4576-b35f-4ad20543913b}"/>
        <w:style w:val=""/>
        <w:category>
          <w:name w:val="常规"/>
          <w:gallery w:val="placeholder"/>
        </w:category>
        <w:types>
          <w:type w:val="bbPlcHdr"/>
        </w:types>
        <w:behaviors>
          <w:behavior w:val="content"/>
        </w:behaviors>
        <w:description w:val=""/>
        <w:guid w:val="{ae966aa1-3fd6-4576-b35f-4ad20543913b}"/>
      </w:docPartPr>
      <w:docPartBody>
        <w:p w14:paraId="63B152D3">
          <w:r>
            <w:rPr>
              <w:color w:val="808080"/>
            </w:rPr>
            <w:t>单击此处输入文字。</w:t>
          </w:r>
        </w:p>
      </w:docPartBody>
    </w:docPart>
    <w:docPart>
      <w:docPartPr>
        <w:name w:val="{1a26baf2-7bb4-45f8-a5cb-90c046e4199f}"/>
        <w:style w:val=""/>
        <w:category>
          <w:name w:val="常规"/>
          <w:gallery w:val="placeholder"/>
        </w:category>
        <w:types>
          <w:type w:val="bbPlcHdr"/>
        </w:types>
        <w:behaviors>
          <w:behavior w:val="content"/>
        </w:behaviors>
        <w:description w:val=""/>
        <w:guid w:val="{1a26baf2-7bb4-45f8-a5cb-90c046e4199f}"/>
      </w:docPartPr>
      <w:docPartBody>
        <w:p w14:paraId="0913A236">
          <w:r>
            <w:rPr>
              <w:color w:val="808080"/>
            </w:rPr>
            <w:t>单击此处输入文字。</w:t>
          </w:r>
        </w:p>
      </w:docPartBody>
    </w:docPart>
    <w:docPart>
      <w:docPartPr>
        <w:name w:val="{e40af981-8848-4128-bfd9-f2f47be24c2f}"/>
        <w:style w:val=""/>
        <w:category>
          <w:name w:val="常规"/>
          <w:gallery w:val="placeholder"/>
        </w:category>
        <w:types>
          <w:type w:val="bbPlcHdr"/>
        </w:types>
        <w:behaviors>
          <w:behavior w:val="content"/>
        </w:behaviors>
        <w:description w:val=""/>
        <w:guid w:val="{e40af981-8848-4128-bfd9-f2f47be24c2f}"/>
      </w:docPartPr>
      <w:docPartBody>
        <w:p w14:paraId="2166E7CD">
          <w:r>
            <w:rPr>
              <w:color w:val="808080"/>
            </w:rPr>
            <w:t>单击此处输入文字。</w:t>
          </w:r>
        </w:p>
      </w:docPartBody>
    </w:docPart>
    <w:docPart>
      <w:docPartPr>
        <w:name w:val="{6d1e2e73-1257-4324-a6e2-20199fac3414}"/>
        <w:style w:val=""/>
        <w:category>
          <w:name w:val="常规"/>
          <w:gallery w:val="placeholder"/>
        </w:category>
        <w:types>
          <w:type w:val="bbPlcHdr"/>
        </w:types>
        <w:behaviors>
          <w:behavior w:val="content"/>
        </w:behaviors>
        <w:description w:val=""/>
        <w:guid w:val="{6d1e2e73-1257-4324-a6e2-20199fac3414}"/>
      </w:docPartPr>
      <w:docPartBody>
        <w:p w14:paraId="203EBCDB">
          <w:r>
            <w:rPr>
              <w:color w:val="808080"/>
            </w:rPr>
            <w:t>单击此处输入文字。</w:t>
          </w:r>
        </w:p>
      </w:docPartBody>
    </w:docPart>
    <w:docPart>
      <w:docPartPr>
        <w:name w:val="{1c93176c-4dd5-4dcc-ba9b-6953007e9430}"/>
        <w:style w:val=""/>
        <w:category>
          <w:name w:val="常规"/>
          <w:gallery w:val="placeholder"/>
        </w:category>
        <w:types>
          <w:type w:val="bbPlcHdr"/>
        </w:types>
        <w:behaviors>
          <w:behavior w:val="content"/>
        </w:behaviors>
        <w:description w:val=""/>
        <w:guid w:val="{1c93176c-4dd5-4dcc-ba9b-6953007e9430}"/>
      </w:docPartPr>
      <w:docPartBody>
        <w:p w14:paraId="63CFC3CF">
          <w:r>
            <w:rPr>
              <w:color w:val="808080"/>
            </w:rPr>
            <w:t>单击此处输入文字。</w:t>
          </w:r>
        </w:p>
      </w:docPartBody>
    </w:docPart>
    <w:docPart>
      <w:docPartPr>
        <w:name w:val="{5b5345ef-b54b-4bf2-b644-8fa0d01b5f34}"/>
        <w:style w:val=""/>
        <w:category>
          <w:name w:val="常规"/>
          <w:gallery w:val="placeholder"/>
        </w:category>
        <w:types>
          <w:type w:val="bbPlcHdr"/>
        </w:types>
        <w:behaviors>
          <w:behavior w:val="content"/>
        </w:behaviors>
        <w:description w:val=""/>
        <w:guid w:val="{5b5345ef-b54b-4bf2-b644-8fa0d01b5f34}"/>
      </w:docPartPr>
      <w:docPartBody>
        <w:p w14:paraId="0F14DEB7">
          <w:r>
            <w:rPr>
              <w:color w:val="808080"/>
            </w:rPr>
            <w:t>单击此处输入文字。</w:t>
          </w:r>
        </w:p>
      </w:docPartBody>
    </w:docPart>
    <w:docPart>
      <w:docPartPr>
        <w:name w:val="{ceef8955-9f5c-4666-bc9d-74ad2a86a5ac}"/>
        <w:style w:val=""/>
        <w:category>
          <w:name w:val="常规"/>
          <w:gallery w:val="placeholder"/>
        </w:category>
        <w:types>
          <w:type w:val="bbPlcHdr"/>
        </w:types>
        <w:behaviors>
          <w:behavior w:val="content"/>
        </w:behaviors>
        <w:description w:val=""/>
        <w:guid w:val="{ceef8955-9f5c-4666-bc9d-74ad2a86a5ac}"/>
      </w:docPartPr>
      <w:docPartBody>
        <w:p w14:paraId="7B5FC81C">
          <w:r>
            <w:rPr>
              <w:color w:val="808080"/>
            </w:rPr>
            <w:t>单击此处输入文字。</w:t>
          </w:r>
        </w:p>
      </w:docPartBody>
    </w:docPart>
    <w:docPart>
      <w:docPartPr>
        <w:name w:val="{dce2f679-bd44-4b90-8012-642638f1d7cb}"/>
        <w:style w:val=""/>
        <w:category>
          <w:name w:val="常规"/>
          <w:gallery w:val="placeholder"/>
        </w:category>
        <w:types>
          <w:type w:val="bbPlcHdr"/>
        </w:types>
        <w:behaviors>
          <w:behavior w:val="content"/>
        </w:behaviors>
        <w:description w:val=""/>
        <w:guid w:val="{dce2f679-bd44-4b90-8012-642638f1d7cb}"/>
      </w:docPartPr>
      <w:docPartBody>
        <w:p w14:paraId="06426E59">
          <w:r>
            <w:rPr>
              <w:color w:val="808080"/>
            </w:rPr>
            <w:t>单击此处输入文字。</w:t>
          </w:r>
        </w:p>
      </w:docPartBody>
    </w:docPart>
    <w:docPart>
      <w:docPartPr>
        <w:name w:val="{6f6b40f2-bfff-4c17-9ac7-60994b8d0758}"/>
        <w:style w:val=""/>
        <w:category>
          <w:name w:val="常规"/>
          <w:gallery w:val="placeholder"/>
        </w:category>
        <w:types>
          <w:type w:val="bbPlcHdr"/>
        </w:types>
        <w:behaviors>
          <w:behavior w:val="content"/>
        </w:behaviors>
        <w:description w:val=""/>
        <w:guid w:val="{6f6b40f2-bfff-4c17-9ac7-60994b8d0758}"/>
      </w:docPartPr>
      <w:docPartBody>
        <w:p w14:paraId="78C4CAC1">
          <w:r>
            <w:rPr>
              <w:color w:val="808080"/>
            </w:rPr>
            <w:t>单击此处输入文字。</w:t>
          </w:r>
        </w:p>
      </w:docPartBody>
    </w:docPart>
    <w:docPart>
      <w:docPartPr>
        <w:name w:val="{aed359f6-b11c-49ed-a613-639bd4af9259}"/>
        <w:style w:val=""/>
        <w:category>
          <w:name w:val="常规"/>
          <w:gallery w:val="placeholder"/>
        </w:category>
        <w:types>
          <w:type w:val="bbPlcHdr"/>
        </w:types>
        <w:behaviors>
          <w:behavior w:val="content"/>
        </w:behaviors>
        <w:description w:val=""/>
        <w:guid w:val="{aed359f6-b11c-49ed-a613-639bd4af9259}"/>
      </w:docPartPr>
      <w:docPartBody>
        <w:p w14:paraId="06DB59AB">
          <w:r>
            <w:rPr>
              <w:color w:val="808080"/>
            </w:rPr>
            <w:t>单击此处输入文字。</w:t>
          </w:r>
        </w:p>
      </w:docPartBody>
    </w:docPart>
    <w:docPart>
      <w:docPartPr>
        <w:name w:val="{5ef4ca76-f9a7-489b-ad45-d1a767071fd0}"/>
        <w:style w:val=""/>
        <w:category>
          <w:name w:val="常规"/>
          <w:gallery w:val="placeholder"/>
        </w:category>
        <w:types>
          <w:type w:val="bbPlcHdr"/>
        </w:types>
        <w:behaviors>
          <w:behavior w:val="content"/>
        </w:behaviors>
        <w:description w:val=""/>
        <w:guid w:val="{5ef4ca76-f9a7-489b-ad45-d1a767071fd0}"/>
      </w:docPartPr>
      <w:docPartBody>
        <w:p w14:paraId="6D78D94D">
          <w:r>
            <w:rPr>
              <w:color w:val="808080"/>
            </w:rPr>
            <w:t>单击此处输入文字。</w:t>
          </w:r>
        </w:p>
      </w:docPartBody>
    </w:docPart>
    <w:docPart>
      <w:docPartPr>
        <w:name w:val="{ec763c52-78cd-4704-a633-a426f3eb5f4c}"/>
        <w:style w:val=""/>
        <w:category>
          <w:name w:val="常规"/>
          <w:gallery w:val="placeholder"/>
        </w:category>
        <w:types>
          <w:type w:val="bbPlcHdr"/>
        </w:types>
        <w:behaviors>
          <w:behavior w:val="content"/>
        </w:behaviors>
        <w:description w:val=""/>
        <w:guid w:val="{ec763c52-78cd-4704-a633-a426f3eb5f4c}"/>
      </w:docPartPr>
      <w:docPartBody>
        <w:p w14:paraId="08DDC118">
          <w:r>
            <w:rPr>
              <w:color w:val="808080"/>
            </w:rPr>
            <w:t>单击此处输入文字。</w:t>
          </w:r>
        </w:p>
      </w:docPartBody>
    </w:docPart>
    <w:docPart>
      <w:docPartPr>
        <w:name w:val="{252460df-bfd8-40cd-b4ed-70f7d5c6f664}"/>
        <w:style w:val=""/>
        <w:category>
          <w:name w:val="常规"/>
          <w:gallery w:val="placeholder"/>
        </w:category>
        <w:types>
          <w:type w:val="bbPlcHdr"/>
        </w:types>
        <w:behaviors>
          <w:behavior w:val="content"/>
        </w:behaviors>
        <w:description w:val=""/>
        <w:guid w:val="{252460df-bfd8-40cd-b4ed-70f7d5c6f664}"/>
      </w:docPartPr>
      <w:docPartBody>
        <w:p w14:paraId="3D035884">
          <w:r>
            <w:rPr>
              <w:color w:val="808080"/>
            </w:rPr>
            <w:t>单击此处输入文字。</w:t>
          </w:r>
        </w:p>
      </w:docPartBody>
    </w:docPart>
    <w:docPart>
      <w:docPartPr>
        <w:name w:val="{7cc74b11-50bd-4a8a-be2c-1d172b9a48c6}"/>
        <w:style w:val=""/>
        <w:category>
          <w:name w:val="常规"/>
          <w:gallery w:val="placeholder"/>
        </w:category>
        <w:types>
          <w:type w:val="bbPlcHdr"/>
        </w:types>
        <w:behaviors>
          <w:behavior w:val="content"/>
        </w:behaviors>
        <w:description w:val=""/>
        <w:guid w:val="{7cc74b11-50bd-4a8a-be2c-1d172b9a48c6}"/>
      </w:docPartPr>
      <w:docPartBody>
        <w:p w14:paraId="3D17B16D">
          <w:r>
            <w:rPr>
              <w:color w:val="808080"/>
            </w:rPr>
            <w:t>单击此处输入文字。</w:t>
          </w:r>
        </w:p>
      </w:docPartBody>
    </w:docPart>
    <w:docPart>
      <w:docPartPr>
        <w:name w:val="{b4c7e32e-5e9b-4590-b842-65bf4ba3bea3}"/>
        <w:style w:val=""/>
        <w:category>
          <w:name w:val="常规"/>
          <w:gallery w:val="placeholder"/>
        </w:category>
        <w:types>
          <w:type w:val="bbPlcHdr"/>
        </w:types>
        <w:behaviors>
          <w:behavior w:val="content"/>
        </w:behaviors>
        <w:description w:val=""/>
        <w:guid w:val="{b4c7e32e-5e9b-4590-b842-65bf4ba3bea3}"/>
      </w:docPartPr>
      <w:docPartBody>
        <w:p w14:paraId="09EDCAD4">
          <w:r>
            <w:rPr>
              <w:color w:val="808080"/>
            </w:rPr>
            <w:t>单击此处输入文字。</w:t>
          </w:r>
        </w:p>
      </w:docPartBody>
    </w:docPart>
    <w:docPart>
      <w:docPartPr>
        <w:name w:val="{eb57a6c8-fad4-4a8a-a7cc-5a30a04a4c11}"/>
        <w:style w:val=""/>
        <w:category>
          <w:name w:val="常规"/>
          <w:gallery w:val="placeholder"/>
        </w:category>
        <w:types>
          <w:type w:val="bbPlcHdr"/>
        </w:types>
        <w:behaviors>
          <w:behavior w:val="content"/>
        </w:behaviors>
        <w:description w:val=""/>
        <w:guid w:val="{eb57a6c8-fad4-4a8a-a7cc-5a30a04a4c11}"/>
      </w:docPartPr>
      <w:docPartBody>
        <w:p w14:paraId="7F59EB4B">
          <w:r>
            <w:rPr>
              <w:color w:val="808080"/>
            </w:rPr>
            <w:t>单击此处输入文字。</w:t>
          </w:r>
        </w:p>
      </w:docPartBody>
    </w:docPart>
    <w:docPart>
      <w:docPartPr>
        <w:name w:val="{2cd834a9-cb57-47a7-b397-e7883725a7f8}"/>
        <w:style w:val=""/>
        <w:category>
          <w:name w:val="常规"/>
          <w:gallery w:val="placeholder"/>
        </w:category>
        <w:types>
          <w:type w:val="bbPlcHdr"/>
        </w:types>
        <w:behaviors>
          <w:behavior w:val="content"/>
        </w:behaviors>
        <w:description w:val=""/>
        <w:guid w:val="{2cd834a9-cb57-47a7-b397-e7883725a7f8}"/>
      </w:docPartPr>
      <w:docPartBody>
        <w:p w14:paraId="53AAFB3F">
          <w:r>
            <w:rPr>
              <w:color w:val="808080"/>
            </w:rPr>
            <w:t>单击此处输入文字。</w:t>
          </w:r>
        </w:p>
      </w:docPartBody>
    </w:docPart>
    <w:docPart>
      <w:docPartPr>
        <w:name w:val="{721e9a8b-3ffc-4c45-b1c9-5b30829e49a9}"/>
        <w:style w:val=""/>
        <w:category>
          <w:name w:val="常规"/>
          <w:gallery w:val="placeholder"/>
        </w:category>
        <w:types>
          <w:type w:val="bbPlcHdr"/>
        </w:types>
        <w:behaviors>
          <w:behavior w:val="content"/>
        </w:behaviors>
        <w:description w:val=""/>
        <w:guid w:val="{721e9a8b-3ffc-4c45-b1c9-5b30829e49a9}"/>
      </w:docPartPr>
      <w:docPartBody>
        <w:p w14:paraId="5848DE8B">
          <w:r>
            <w:rPr>
              <w:color w:val="808080"/>
            </w:rPr>
            <w:t>单击此处输入文字。</w:t>
          </w:r>
        </w:p>
      </w:docPartBody>
    </w:docPart>
    <w:docPart>
      <w:docPartPr>
        <w:name w:val="{c94d5089-778a-4e29-93b0-52892b97474c}"/>
        <w:style w:val=""/>
        <w:category>
          <w:name w:val="常规"/>
          <w:gallery w:val="placeholder"/>
        </w:category>
        <w:types>
          <w:type w:val="bbPlcHdr"/>
        </w:types>
        <w:behaviors>
          <w:behavior w:val="content"/>
        </w:behaviors>
        <w:description w:val=""/>
        <w:guid w:val="{c94d5089-778a-4e29-93b0-52892b97474c}"/>
      </w:docPartPr>
      <w:docPartBody>
        <w:p w14:paraId="7705ACC1">
          <w:r>
            <w:rPr>
              <w:color w:val="808080"/>
            </w:rPr>
            <w:t>单击此处输入文字。</w:t>
          </w:r>
        </w:p>
      </w:docPartBody>
    </w:docPart>
    <w:docPart>
      <w:docPartPr>
        <w:name w:val="{57e969d9-4b3a-46f0-8ea6-37b1fd40e706}"/>
        <w:style w:val=""/>
        <w:category>
          <w:name w:val="常规"/>
          <w:gallery w:val="placeholder"/>
        </w:category>
        <w:types>
          <w:type w:val="bbPlcHdr"/>
        </w:types>
        <w:behaviors>
          <w:behavior w:val="content"/>
        </w:behaviors>
        <w:description w:val=""/>
        <w:guid w:val="{57e969d9-4b3a-46f0-8ea6-37b1fd40e706}"/>
      </w:docPartPr>
      <w:docPartBody>
        <w:p w14:paraId="6029B57C">
          <w:r>
            <w:rPr>
              <w:color w:val="808080"/>
            </w:rPr>
            <w:t>单击此处输入文字。</w:t>
          </w:r>
        </w:p>
      </w:docPartBody>
    </w:docPart>
    <w:docPart>
      <w:docPartPr>
        <w:name w:val="{7ef6c2d2-7b38-469a-971c-d4cb742b0a02}"/>
        <w:style w:val=""/>
        <w:category>
          <w:name w:val="常规"/>
          <w:gallery w:val="placeholder"/>
        </w:category>
        <w:types>
          <w:type w:val="bbPlcHdr"/>
        </w:types>
        <w:behaviors>
          <w:behavior w:val="content"/>
        </w:behaviors>
        <w:description w:val=""/>
        <w:guid w:val="{7ef6c2d2-7b38-469a-971c-d4cb742b0a02}"/>
      </w:docPartPr>
      <w:docPartBody>
        <w:p w14:paraId="0B1B4EC2">
          <w:r>
            <w:rPr>
              <w:color w:val="808080"/>
            </w:rPr>
            <w:t>单击此处输入文字。</w:t>
          </w:r>
        </w:p>
      </w:docPartBody>
    </w:docPart>
    <w:docPart>
      <w:docPartPr>
        <w:name w:val="{5840e46e-6697-4c48-80b0-6924384fbf4e}"/>
        <w:style w:val=""/>
        <w:category>
          <w:name w:val="常规"/>
          <w:gallery w:val="placeholder"/>
        </w:category>
        <w:types>
          <w:type w:val="bbPlcHdr"/>
        </w:types>
        <w:behaviors>
          <w:behavior w:val="content"/>
        </w:behaviors>
        <w:description w:val=""/>
        <w:guid w:val="{5840e46e-6697-4c48-80b0-6924384fbf4e}"/>
      </w:docPartPr>
      <w:docPartBody>
        <w:p w14:paraId="25055F32">
          <w:r>
            <w:rPr>
              <w:color w:val="808080"/>
            </w:rPr>
            <w:t>单击此处输入文字。</w:t>
          </w:r>
        </w:p>
      </w:docPartBody>
    </w:docPart>
    <w:docPart>
      <w:docPartPr>
        <w:name w:val="{69c9e1a4-8df8-48c9-9a6c-945af6266f3f}"/>
        <w:style w:val=""/>
        <w:category>
          <w:name w:val="常规"/>
          <w:gallery w:val="placeholder"/>
        </w:category>
        <w:types>
          <w:type w:val="bbPlcHdr"/>
        </w:types>
        <w:behaviors>
          <w:behavior w:val="content"/>
        </w:behaviors>
        <w:description w:val=""/>
        <w:guid w:val="{69c9e1a4-8df8-48c9-9a6c-945af6266f3f}"/>
      </w:docPartPr>
      <w:docPartBody>
        <w:p w14:paraId="7A647887">
          <w:r>
            <w:rPr>
              <w:color w:val="808080"/>
            </w:rPr>
            <w:t>单击此处输入文字。</w:t>
          </w:r>
        </w:p>
      </w:docPartBody>
    </w:docPart>
    <w:docPart>
      <w:docPartPr>
        <w:name w:val="{6652507e-5e85-48e4-9c63-e0f853bb297b}"/>
        <w:style w:val=""/>
        <w:category>
          <w:name w:val="常规"/>
          <w:gallery w:val="placeholder"/>
        </w:category>
        <w:types>
          <w:type w:val="bbPlcHdr"/>
        </w:types>
        <w:behaviors>
          <w:behavior w:val="content"/>
        </w:behaviors>
        <w:description w:val=""/>
        <w:guid w:val="{6652507e-5e85-48e4-9c63-e0f853bb297b}"/>
      </w:docPartPr>
      <w:docPartBody>
        <w:p w14:paraId="43FF49A0">
          <w:r>
            <w:rPr>
              <w:color w:val="808080"/>
            </w:rPr>
            <w:t>单击此处输入文字。</w:t>
          </w:r>
        </w:p>
      </w:docPartBody>
    </w:docPart>
    <w:docPart>
      <w:docPartPr>
        <w:name w:val="{8ed3b5b2-1588-4b9d-9a0e-2002af28be1e}"/>
        <w:style w:val=""/>
        <w:category>
          <w:name w:val="常规"/>
          <w:gallery w:val="placeholder"/>
        </w:category>
        <w:types>
          <w:type w:val="bbPlcHdr"/>
        </w:types>
        <w:behaviors>
          <w:behavior w:val="content"/>
        </w:behaviors>
        <w:description w:val=""/>
        <w:guid w:val="{8ed3b5b2-1588-4b9d-9a0e-2002af28be1e}"/>
      </w:docPartPr>
      <w:docPartBody>
        <w:p w14:paraId="7182F310">
          <w:r>
            <w:rPr>
              <w:color w:val="808080"/>
            </w:rPr>
            <w:t>单击此处输入文字。</w:t>
          </w:r>
        </w:p>
      </w:docPartBody>
    </w:docPart>
    <w:docPart>
      <w:docPartPr>
        <w:name w:val="{1e98e201-6dc5-494d-a509-92d48bad8425}"/>
        <w:style w:val=""/>
        <w:category>
          <w:name w:val="常规"/>
          <w:gallery w:val="placeholder"/>
        </w:category>
        <w:types>
          <w:type w:val="bbPlcHdr"/>
        </w:types>
        <w:behaviors>
          <w:behavior w:val="content"/>
        </w:behaviors>
        <w:description w:val=""/>
        <w:guid w:val="{1e98e201-6dc5-494d-a509-92d48bad8425}"/>
      </w:docPartPr>
      <w:docPartBody>
        <w:p w14:paraId="5C69F7B7">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2"/>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9349</Words>
  <Characters>10547</Characters>
  <Lines>72</Lines>
  <Paragraphs>20</Paragraphs>
  <TotalTime>0</TotalTime>
  <ScaleCrop>false</ScaleCrop>
  <LinksUpToDate>false</LinksUpToDate>
  <CharactersWithSpaces>10790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2024-08-13T07:12:00Z</dcterms:created>
  <dc:creator>曹颖</dc:creator>
  <cp:lastModifiedBy>Seven fool～在一起</cp:lastModifiedBy>
  <cp:lastPrinted>2025-09-18T09:38:00Z</cp:lastPrinted>
  <dcterms:modified xsi:type="dcterms:W3CDTF">2025-09-19T01:17:37Z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11EC3B3F26F763198109DD663986DE8C</vt:lpwstr>
  </property>
  <property fmtid="{D5CDD505-2E9C-101B-9397-08002B2CF9AE}" pid="4" name="KSOTemplateDocerSaveRecord">
    <vt:lpwstr>eyJoZGlkIjoiNjcxMDIzMjM2YTZkMWU0NjNmOWJkOWVlNTAyZjk2ODkiLCJ1c2VySWQiOiI2NjUwNzM0MzQifQ==</vt:lpwstr>
  </property>
</Properties>
</file>