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9879C">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06267"/>
      <w:bookmarkStart w:id="2" w:name="_Toc15377425"/>
      <w:bookmarkStart w:id="3" w:name="_Toc15396597"/>
      <w:bookmarkStart w:id="4" w:name="_Toc15378441"/>
      <w:bookmarkStart w:id="5" w:name="_Toc15377193"/>
    </w:p>
    <w:p w14:paraId="744DD58A">
      <w:pPr>
        <w:pStyle w:val="8"/>
        <w:rPr>
          <w:rFonts w:hint="eastAsia" w:ascii="Times New Roman" w:hAnsi="Times New Roman" w:eastAsia="方正小标宋简体" w:cs="Times New Roman"/>
          <w:color w:val="auto"/>
          <w:kern w:val="2"/>
          <w:sz w:val="72"/>
          <w:szCs w:val="72"/>
          <w:highlight w:val="none"/>
          <w:lang w:val="en-US" w:eastAsia="zh-CN" w:bidi="ar-SA"/>
        </w:rPr>
      </w:pPr>
    </w:p>
    <w:p w14:paraId="47D32600">
      <w:pPr>
        <w:pStyle w:val="8"/>
        <w:rPr>
          <w:rFonts w:hint="eastAsia" w:ascii="Times New Roman" w:hAnsi="Times New Roman" w:eastAsia="方正小标宋简体" w:cs="Times New Roman"/>
          <w:color w:val="auto"/>
          <w:kern w:val="2"/>
          <w:sz w:val="72"/>
          <w:szCs w:val="72"/>
          <w:highlight w:val="none"/>
          <w:lang w:val="en-US" w:eastAsia="zh-CN" w:bidi="ar-SA"/>
        </w:rPr>
      </w:pPr>
    </w:p>
    <w:p w14:paraId="374D37A5">
      <w:pPr>
        <w:pStyle w:val="8"/>
        <w:jc w:val="center"/>
        <w:rPr>
          <w:rFonts w:hint="eastAsia" w:ascii="Times New Roman" w:hAnsi="Times New Roman" w:eastAsia="方正小标宋简体" w:cs="Times New Roman"/>
          <w:b/>
          <w:bCs/>
          <w:color w:val="auto"/>
          <w:kern w:val="2"/>
          <w:sz w:val="44"/>
          <w:szCs w:val="44"/>
          <w:highlight w:val="none"/>
          <w:lang w:val="en-US" w:eastAsia="zh-CN" w:bidi="ar-SA"/>
        </w:rPr>
      </w:pPr>
      <w:r>
        <w:rPr>
          <w:rFonts w:hint="eastAsia" w:ascii="Times New Roman" w:hAnsi="Times New Roman" w:eastAsia="方正小标宋简体" w:cs="Times New Roman"/>
          <w:b/>
          <w:bCs/>
          <w:color w:val="auto"/>
          <w:kern w:val="2"/>
          <w:sz w:val="44"/>
          <w:szCs w:val="44"/>
          <w:highlight w:val="none"/>
          <w:lang w:val="en-US" w:eastAsia="zh-CN" w:bidi="ar-SA"/>
        </w:rPr>
        <w:t>2024年</w:t>
      </w:r>
      <w:r>
        <w:rPr>
          <w:rFonts w:hint="eastAsia" w:ascii="Times New Roman" w:eastAsia="方正小标宋简体" w:cs="Times New Roman"/>
          <w:b/>
          <w:bCs/>
          <w:color w:val="auto"/>
          <w:kern w:val="2"/>
          <w:sz w:val="44"/>
          <w:szCs w:val="44"/>
          <w:highlight w:val="none"/>
          <w:lang w:val="en-US" w:eastAsia="zh-CN" w:bidi="ar-SA"/>
        </w:rPr>
        <w:t>阿坝州藏传佛教文化研究中心</w:t>
      </w:r>
    </w:p>
    <w:p w14:paraId="2ABB8D3D">
      <w:pPr>
        <w:pStyle w:val="8"/>
        <w:jc w:val="center"/>
        <w:rPr>
          <w:rFonts w:ascii="Times New Roman" w:hAnsi="Times New Roman"/>
          <w:b/>
          <w:bCs/>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hint="eastAsia" w:ascii="Times New Roman" w:eastAsia="方正小标宋简体" w:cs="Times New Roman"/>
          <w:b/>
          <w:bCs/>
          <w:color w:val="auto"/>
          <w:kern w:val="2"/>
          <w:sz w:val="44"/>
          <w:szCs w:val="44"/>
          <w:highlight w:val="none"/>
          <w:lang w:val="en-US" w:eastAsia="zh-CN" w:bidi="ar-SA"/>
        </w:rPr>
        <w:t>单位决算</w:t>
      </w:r>
      <w:r>
        <w:rPr>
          <w:rFonts w:hint="eastAsia" w:ascii="Times New Roman" w:hAnsi="Times New Roman" w:eastAsia="方正小标宋简体" w:cs="Times New Roman"/>
          <w:b/>
          <w:bCs/>
          <w:color w:val="auto"/>
          <w:kern w:val="2"/>
          <w:sz w:val="44"/>
          <w:szCs w:val="44"/>
          <w:highlight w:val="none"/>
          <w:lang w:val="en-US" w:eastAsia="zh-CN" w:bidi="ar-SA"/>
        </w:rPr>
        <w:t>公开</w:t>
      </w:r>
    </w:p>
    <w:bookmarkEnd w:id="0"/>
    <w:bookmarkEnd w:id="1"/>
    <w:bookmarkEnd w:id="2"/>
    <w:bookmarkEnd w:id="3"/>
    <w:bookmarkEnd w:id="4"/>
    <w:bookmarkEnd w:id="5"/>
    <w:p w14:paraId="3ADDC62D">
      <w:pPr>
        <w:widowControl/>
        <w:jc w:val="both"/>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702EAC07">
      <w:pPr>
        <w:widowControl/>
        <w:jc w:val="center"/>
        <w:rPr>
          <w:rFonts w:ascii="Times New Roman" w:hAnsi="Times New Roman" w:eastAsia="黑体" w:cstheme="minorBidi"/>
          <w:color w:val="auto"/>
          <w:sz w:val="28"/>
          <w:szCs w:val="28"/>
          <w:highlight w:val="none"/>
        </w:rPr>
      </w:pPr>
    </w:p>
    <w:p w14:paraId="007D251B">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10  </w:t>
      </w:r>
      <w:r>
        <w:rPr>
          <w:rFonts w:hint="eastAsia" w:ascii="Times New Roman" w:hAnsi="Times New Roman" w:eastAsia="仿宋_GB2312" w:cs="仿宋_GB2312"/>
          <w:color w:val="auto"/>
          <w:sz w:val="32"/>
          <w:szCs w:val="32"/>
          <w:highlight w:val="none"/>
        </w:rPr>
        <w:t>日</w:t>
      </w:r>
    </w:p>
    <w:p w14:paraId="77E550FB">
      <w:pPr>
        <w:rPr>
          <w:rFonts w:ascii="Times New Roman" w:hAnsi="Times New Roman"/>
          <w:color w:val="auto"/>
          <w:highlight w:val="none"/>
        </w:rPr>
      </w:pPr>
    </w:p>
    <w:p w14:paraId="49103424">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3</w:t>
      </w:r>
    </w:p>
    <w:p w14:paraId="73F2A23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3</w:t>
      </w:r>
    </w:p>
    <w:p w14:paraId="4C73846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3</w:t>
      </w:r>
    </w:p>
    <w:p w14:paraId="0854F68A">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4</w:t>
      </w:r>
    </w:p>
    <w:p w14:paraId="1BE605E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4</w:t>
      </w:r>
    </w:p>
    <w:p w14:paraId="4AC0379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4</w:t>
      </w:r>
    </w:p>
    <w:p w14:paraId="11463CA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5</w:t>
      </w:r>
    </w:p>
    <w:p w14:paraId="2D8346D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5</w:t>
      </w:r>
    </w:p>
    <w:p w14:paraId="4DDBC1B0">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5</w:t>
      </w:r>
    </w:p>
    <w:p w14:paraId="01B0C33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9</w:t>
      </w:r>
    </w:p>
    <w:p w14:paraId="23E6ECB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9</w:t>
      </w:r>
    </w:p>
    <w:p w14:paraId="48FB81E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11</w:t>
      </w:r>
    </w:p>
    <w:p w14:paraId="7C6D216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11</w:t>
      </w:r>
    </w:p>
    <w:p w14:paraId="2B849AB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12</w:t>
      </w:r>
    </w:p>
    <w:p w14:paraId="04C7603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14</w:t>
      </w:r>
    </w:p>
    <w:p w14:paraId="1132B776">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17</w:t>
      </w:r>
    </w:p>
    <w:p w14:paraId="7F0BD405">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18</w:t>
      </w:r>
    </w:p>
    <w:p w14:paraId="60211B4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76050C3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2389F27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3B31D6B7">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39EBA8E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02C2C0F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7FC4A92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010B653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5672535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6903AE1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11118F4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0C0780E5">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4AE9A7E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0E242FE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0A1E9012">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14:paraId="39A77FB1">
      <w:pPr>
        <w:pStyle w:val="5"/>
        <w:jc w:val="center"/>
        <w:rPr>
          <w:rStyle w:val="28"/>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rPr>
        <w:t>部门概况</w:t>
      </w:r>
      <w:bookmarkEnd w:id="6"/>
      <w:bookmarkEnd w:id="7"/>
    </w:p>
    <w:p w14:paraId="3631A00B">
      <w:pPr>
        <w:widowControl/>
        <w:jc w:val="left"/>
        <w:rPr>
          <w:rFonts w:ascii="Times New Roman" w:hAnsi="Times New Roman" w:eastAsia="黑体"/>
          <w:color w:val="auto"/>
          <w:sz w:val="32"/>
          <w:szCs w:val="32"/>
          <w:highlight w:val="none"/>
        </w:rPr>
      </w:pPr>
    </w:p>
    <w:p w14:paraId="4E072A01">
      <w:pPr>
        <w:pStyle w:val="6"/>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6772EA3D">
      <w:pPr>
        <w:ind w:firstLine="640" w:firstLineChars="200"/>
        <w:rPr>
          <w:rFonts w:hint="eastAsia"/>
        </w:rPr>
      </w:pPr>
      <w:bookmarkStart w:id="8" w:name="_Toc15396600"/>
      <w:bookmarkStart w:id="9" w:name="_Toc15377197"/>
      <w:r>
        <w:rPr>
          <w:rFonts w:hint="eastAsia" w:ascii="仿宋_GB2312" w:eastAsia="仿宋_GB2312" w:cs="宋体"/>
          <w:kern w:val="0"/>
          <w:sz w:val="32"/>
          <w:szCs w:val="32"/>
        </w:rPr>
        <w:t>根据</w:t>
      </w:r>
      <w:r>
        <w:rPr>
          <w:rFonts w:hint="eastAsia" w:ascii="仿宋_GB2312" w:eastAsia="仿宋_GB2312"/>
          <w:sz w:val="32"/>
          <w:szCs w:val="32"/>
        </w:rPr>
        <w:t>阿编发〔2012〕147号</w:t>
      </w:r>
      <w:r>
        <w:rPr>
          <w:rFonts w:hint="eastAsia" w:ascii="仿宋_GB2312" w:eastAsia="仿宋_GB2312" w:cs="宋体"/>
          <w:kern w:val="0"/>
          <w:sz w:val="32"/>
          <w:szCs w:val="32"/>
        </w:rPr>
        <w:t>文件规定，主要职责是：</w:t>
      </w:r>
      <w:r>
        <w:rPr>
          <w:rFonts w:hint="eastAsia" w:ascii="仿宋_GB2312" w:eastAsia="仿宋_GB2312"/>
          <w:sz w:val="32"/>
          <w:szCs w:val="32"/>
        </w:rPr>
        <w:t>1.阿坝州藏传佛教文化研究中心在阿坝州佛教协会的直接领导下，开展藏传佛教文化学术研究工作和收集资料工作。2.积极参与佛教文化学术交流，保护佛教文物古迹，编印流通佛教内部资料性出版物。3.举办藏传佛教教育培训，培养佛教人才，提高佛教的整体素质。4.开展教义教规新阐释，督促藏传佛教寺庙学习教规戒律，树立优良的道风、学风，引导寺庙开展“中国化”。</w:t>
      </w:r>
      <w:bookmarkEnd w:id="8"/>
      <w:bookmarkEnd w:id="9"/>
    </w:p>
    <w:p w14:paraId="045A680C">
      <w:pPr>
        <w:numPr>
          <w:ilvl w:val="0"/>
          <w:numId w:val="0"/>
        </w:numPr>
        <w:rPr>
          <w:rFonts w:hint="eastAsia"/>
          <w:lang w:eastAsia="zh-CN"/>
        </w:rPr>
      </w:pPr>
    </w:p>
    <w:p w14:paraId="24ACE8BB">
      <w:pPr>
        <w:pStyle w:val="6"/>
        <w:rPr>
          <w:rStyle w:val="29"/>
          <w:rFonts w:ascii="Times New Roman" w:hAnsi="Times New Roman"/>
          <w:b w:val="0"/>
          <w:bCs w:val="0"/>
          <w:color w:val="auto"/>
          <w:highlight w:val="none"/>
        </w:rPr>
      </w:pPr>
      <w:bookmarkStart w:id="10" w:name="_Toc15377200"/>
      <w:bookmarkStart w:id="11" w:name="_Toc15396601"/>
      <w:r>
        <w:rPr>
          <w:rFonts w:hint="eastAsia" w:ascii="Times New Roman" w:hAnsi="Times New Roman" w:eastAsia="黑体"/>
          <w:b w:val="0"/>
          <w:color w:val="auto"/>
          <w:highlight w:val="none"/>
        </w:rPr>
        <w:t>二、机</w:t>
      </w:r>
      <w:r>
        <w:rPr>
          <w:rStyle w:val="29"/>
          <w:rFonts w:hint="eastAsia" w:ascii="Times New Roman" w:hAnsi="Times New Roman" w:eastAsia="黑体"/>
          <w:b w:val="0"/>
          <w:bCs w:val="0"/>
          <w:color w:val="auto"/>
          <w:highlight w:val="none"/>
        </w:rPr>
        <w:t>构设置</w:t>
      </w:r>
      <w:bookmarkEnd w:id="10"/>
      <w:bookmarkEnd w:id="11"/>
    </w:p>
    <w:p w14:paraId="0EDE3C9D">
      <w:pPr>
        <w:ind w:firstLine="800" w:firstLineChars="250"/>
        <w:rPr>
          <w:rFonts w:hint="eastAsia" w:ascii="Times New Roman" w:hAnsi="Times New Roman"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四川省阿坝州藏传佛教文化研究中心</w:t>
      </w:r>
      <w:r>
        <w:rPr>
          <w:rFonts w:hint="eastAsia" w:ascii="Times New Roman" w:hAnsi="Times New Roman" w:eastAsia="仿宋_GB2312" w:cs="仿宋_GB2312"/>
          <w:color w:val="auto"/>
          <w:sz w:val="32"/>
          <w:szCs w:val="32"/>
          <w:highlight w:val="none"/>
        </w:rPr>
        <w:t>属</w:t>
      </w:r>
      <w:r>
        <w:rPr>
          <w:rFonts w:hint="eastAsia" w:eastAsia="仿宋_GB2312" w:cs="仿宋_GB2312"/>
          <w:color w:val="auto"/>
          <w:sz w:val="32"/>
          <w:szCs w:val="32"/>
          <w:highlight w:val="none"/>
          <w:lang w:eastAsia="zh-CN"/>
        </w:rPr>
        <w:t>州佛协</w:t>
      </w:r>
      <w:r>
        <w:rPr>
          <w:rFonts w:hint="eastAsia" w:ascii="Times New Roman" w:hAnsi="Times New Roman" w:eastAsia="仿宋_GB2312" w:cs="仿宋_GB2312"/>
          <w:color w:val="auto"/>
          <w:sz w:val="32"/>
          <w:szCs w:val="32"/>
          <w:highlight w:val="none"/>
        </w:rPr>
        <w:t>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，其中行政单位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bCs/>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0</w:t>
      </w:r>
      <w:r>
        <w:rPr>
          <w:rFonts w:hint="eastAsia" w:ascii="Times New Roman" w:hAnsi="Times New Roman" w:eastAsia="仿宋_GB2312" w:cs="仿宋_GB2312"/>
          <w:color w:val="auto"/>
          <w:sz w:val="32"/>
          <w:szCs w:val="32"/>
          <w:highlight w:val="none"/>
        </w:rPr>
        <w:t>个。</w:t>
      </w:r>
    </w:p>
    <w:p w14:paraId="1E71A78A">
      <w:pPr>
        <w:pStyle w:val="8"/>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四川省阿坝州藏传佛教文化研究中心</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部门决算编制范围的预算单位包括：</w:t>
      </w:r>
    </w:p>
    <w:p w14:paraId="28AA9F3B">
      <w:pPr>
        <w:pStyle w:val="8"/>
        <w:numPr>
          <w:ilvl w:val="0"/>
          <w:numId w:val="2"/>
        </w:numPr>
        <w:adjustRightInd w:val="0"/>
        <w:snapToGrid w:val="0"/>
        <w:spacing w:before="93" w:line="600" w:lineRule="exact"/>
        <w:outlineLvl w:val="2"/>
        <w:rPr>
          <w:rFonts w:hint="eastAsia" w:ascii="Times New Roman" w:hAnsi="Times New Roman" w:eastAsia="仿宋_GB2312" w:cs="仿宋_GB2312"/>
          <w:color w:val="auto"/>
          <w:sz w:val="32"/>
          <w:szCs w:val="32"/>
          <w:highlight w:val="none"/>
        </w:rPr>
      </w:pPr>
      <w:r>
        <w:rPr>
          <w:rFonts w:hint="eastAsia" w:ascii="Times New Roman" w:cs="仿宋_GB2312"/>
          <w:color w:val="auto"/>
          <w:sz w:val="32"/>
          <w:szCs w:val="32"/>
          <w:highlight w:val="none"/>
          <w:lang w:eastAsia="zh-CN"/>
        </w:rPr>
        <w:t>阿坝州藏传佛文化研究中心</w:t>
      </w:r>
    </w:p>
    <w:p w14:paraId="071F1AF4">
      <w:pPr>
        <w:pStyle w:val="5"/>
        <w:jc w:val="center"/>
        <w:rPr>
          <w:rFonts w:hint="eastAsia" w:ascii="Times New Roman" w:hAnsi="Times New Roman" w:eastAsia="方正小标宋简体" w:cs="方正小标宋简体"/>
          <w:b w:val="0"/>
          <w:color w:val="auto"/>
          <w:highlight w:val="none"/>
        </w:rPr>
      </w:pPr>
      <w:bookmarkStart w:id="12" w:name="_Toc15377204"/>
      <w:bookmarkStart w:id="13"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2"/>
      <w:bookmarkEnd w:id="13"/>
    </w:p>
    <w:p w14:paraId="0D35F61A">
      <w:pPr>
        <w:rPr>
          <w:rFonts w:ascii="Times New Roman" w:hAnsi="Times New Roman"/>
          <w:color w:val="auto"/>
          <w:highlight w:val="none"/>
        </w:rPr>
      </w:pPr>
    </w:p>
    <w:p w14:paraId="3588A8C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14" w:name="_Toc15377205"/>
      <w:bookmarkStart w:id="15"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14"/>
      <w:bookmarkEnd w:id="15"/>
    </w:p>
    <w:p w14:paraId="52A91D3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86.3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1.89</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2.2</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kern w:val="2"/>
          <w:sz w:val="32"/>
          <w:szCs w:val="32"/>
          <w:highlight w:val="none"/>
          <w:lang w:val="en-US" w:eastAsia="zh-CN" w:bidi="ar-SA"/>
        </w:rPr>
        <w:t>人员职级职别调整、工资普调、社保缴费基数提高等。</w:t>
      </w:r>
    </w:p>
    <w:p w14:paraId="27931615">
      <w:pPr>
        <w:pStyle w:val="2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jc w:val="center"/>
        <w:textAlignment w:val="auto"/>
        <w:outlineLvl w:val="1"/>
        <w:rPr>
          <w:rFonts w:hint="eastAsia" w:eastAsia="仿宋_GB2312" w:cs="仿宋_GB2312"/>
          <w:color w:val="auto"/>
          <w:kern w:val="2"/>
          <w:sz w:val="32"/>
          <w:szCs w:val="32"/>
          <w:highlight w:val="none"/>
          <w:lang w:val="en-US" w:eastAsia="zh-CN" w:bidi="ar-SA"/>
        </w:rP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A5B9F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7252DE8E">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6" w:name="_Toc15377206"/>
      <w:bookmarkStart w:id="17" w:name="_Toc15396604"/>
      <w:r>
        <w:rPr>
          <w:rFonts w:hint="eastAsia" w:ascii="Times New Roman" w:hAnsi="Times New Roman" w:eastAsia="黑体"/>
          <w:color w:val="auto"/>
          <w:sz w:val="32"/>
          <w:szCs w:val="32"/>
          <w:highlight w:val="none"/>
          <w:lang w:eastAsia="zh-CN"/>
        </w:rPr>
        <w:t>二、收入决算情况说明</w:t>
      </w:r>
      <w:bookmarkEnd w:id="16"/>
      <w:bookmarkEnd w:id="17"/>
    </w:p>
    <w:p w14:paraId="67591FAC">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86.3万元，其中：一般公共预算财政拨款收入86.3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万元，占0%；国有资本经营预算财政拨款收入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14:paraId="5F2048FA">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4087C755">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3084171D">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4291092B">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7C42C5D3">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4CD2A496">
      <w:pPr>
        <w:pStyle w:val="27"/>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center"/>
        <w:textAlignment w:val="auto"/>
        <w:outlineLvl w:val="1"/>
        <w:rPr>
          <w:rFonts w:hint="eastAsia" w:ascii="Times New Roman" w:hAnsi="Times New Roman" w:eastAsia="仿宋_GB2312" w:cs="仿宋_GB2312"/>
          <w:b/>
          <w:bCs/>
          <w:color w:val="auto"/>
          <w:sz w:val="32"/>
          <w:szCs w:val="32"/>
          <w:highlight w:val="none"/>
          <w:lang w:eastAsia="zh-CN"/>
        </w:rPr>
      </w:pPr>
    </w:p>
    <w:p w14:paraId="4E350781">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02708B37">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outlineLvl w:val="1"/>
        <w:rPr>
          <w:rFonts w:hint="eastAsia" w:ascii="Times New Roman" w:hAnsi="Times New Roman" w:eastAsia="仿宋_GB2312" w:cs="仿宋_GB2312"/>
          <w:b/>
          <w:bCs/>
          <w:color w:val="auto"/>
          <w:sz w:val="32"/>
          <w:szCs w:val="32"/>
          <w:highlight w:val="none"/>
          <w:lang w:eastAsia="zh-CN"/>
        </w:rPr>
      </w:pPr>
      <w:bookmarkStart w:id="63" w:name="_GoBack"/>
      <w:bookmarkEnd w:id="63"/>
      <w:r>
        <w:drawing>
          <wp:anchor distT="0" distB="0" distL="114300" distR="114300" simplePos="0" relativeHeight="251660288" behindDoc="0" locked="0" layoutInCell="1" allowOverlap="1">
            <wp:simplePos x="0" y="0"/>
            <wp:positionH relativeFrom="column">
              <wp:posOffset>271145</wp:posOffset>
            </wp:positionH>
            <wp:positionV relativeFrom="paragraph">
              <wp:posOffset>-2453005</wp:posOffset>
            </wp:positionV>
            <wp:extent cx="4015740" cy="2253615"/>
            <wp:effectExtent l="5080" t="4445" r="17780" b="8890"/>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58B2C6B">
      <w:pPr>
        <w:ind w:firstLine="800" w:firstLineChars="250"/>
        <w:rPr>
          <w:rFonts w:hint="eastAsia" w:ascii="Times New Roman" w:hAnsi="Times New Roman" w:eastAsia="黑体"/>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bookmarkStart w:id="18" w:name="_Toc15377207"/>
      <w:bookmarkStart w:id="19" w:name="_Toc15396605"/>
    </w:p>
    <w:p w14:paraId="4362E6B1">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18"/>
      <w:bookmarkEnd w:id="19"/>
    </w:p>
    <w:p w14:paraId="5A2C6C6D">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86.3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86.3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万元，占0%。</w:t>
      </w:r>
      <w:r>
        <w:rPr>
          <w:rFonts w:hint="eastAsia" w:ascii="Times New Roman" w:hAnsi="Times New Roman" w:eastAsia="仿宋_GB2312" w:cs="仿宋_GB2312"/>
          <w:b/>
          <w:bCs/>
          <w:color w:val="auto"/>
          <w:sz w:val="32"/>
          <w:szCs w:val="32"/>
          <w:highlight w:val="none"/>
          <w:lang w:eastAsia="zh-CN"/>
        </w:rPr>
        <w:t>（注：仅罗列本部门涉及的支出）</w:t>
      </w:r>
    </w:p>
    <w:p w14:paraId="52D5491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10CF50D0">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outlineLvl w:val="1"/>
        <w:rPr>
          <w:rFonts w:hint="eastAsia" w:ascii="Times New Roman" w:hAnsi="Times New Roman" w:eastAsia="仿宋_GB2312" w:cs="仿宋_GB2312"/>
          <w:b/>
          <w:bCs/>
          <w:color w:val="auto"/>
          <w:sz w:val="32"/>
          <w:szCs w:val="32"/>
          <w:highlight w:val="none"/>
          <w:lang w:eastAsia="zh-CN"/>
        </w:rPr>
      </w:pPr>
    </w:p>
    <w:p w14:paraId="3B64E96F">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outlineLvl w:val="1"/>
        <w:rPr>
          <w:rFonts w:hint="eastAsia" w:ascii="Times New Roman" w:hAnsi="Times New Roman" w:eastAsia="仿宋_GB2312" w:cs="仿宋_GB2312"/>
          <w:color w:val="auto"/>
          <w:sz w:val="32"/>
          <w:szCs w:val="32"/>
          <w:highlight w:val="none"/>
          <w:lang w:eastAsia="zh-CN"/>
        </w:rPr>
      </w:pPr>
      <w:r>
        <w:drawing>
          <wp:anchor distT="0" distB="0" distL="114300" distR="114300" simplePos="0" relativeHeight="251661312" behindDoc="0" locked="0" layoutInCell="1" allowOverlap="1">
            <wp:simplePos x="0" y="0"/>
            <wp:positionH relativeFrom="column">
              <wp:posOffset>271145</wp:posOffset>
            </wp:positionH>
            <wp:positionV relativeFrom="paragraph">
              <wp:posOffset>-2453005</wp:posOffset>
            </wp:positionV>
            <wp:extent cx="4055110" cy="2321560"/>
            <wp:effectExtent l="4445" t="4445" r="17145" b="17145"/>
            <wp:wrapTopAndBottom/>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151DF5F4">
      <w:pPr>
        <w:ind w:firstLine="960" w:firstLineChars="30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36F8CEB5">
      <w:pPr>
        <w:spacing w:line="600" w:lineRule="exact"/>
        <w:ind w:firstLine="640" w:firstLineChars="200"/>
        <w:outlineLvl w:val="1"/>
        <w:rPr>
          <w:rStyle w:val="29"/>
          <w:rFonts w:ascii="Times New Roman" w:hAnsi="Times New Roman" w:eastAsia="黑体"/>
          <w:b w:val="0"/>
          <w:color w:val="auto"/>
          <w:highlight w:val="none"/>
        </w:rPr>
      </w:pPr>
      <w:bookmarkStart w:id="20" w:name="_Toc15377208"/>
      <w:bookmarkStart w:id="21" w:name="_Toc15396606"/>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0"/>
      <w:bookmarkEnd w:id="21"/>
    </w:p>
    <w:p w14:paraId="30CF404C">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86.3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1.89</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2.2</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kern w:val="2"/>
          <w:sz w:val="32"/>
          <w:szCs w:val="32"/>
          <w:highlight w:val="none"/>
          <w:lang w:val="en-US" w:eastAsia="zh-CN" w:bidi="ar-SA"/>
        </w:rPr>
        <w:t>人员职级职别调整、工资普调、社保缴费基数提高等。</w:t>
      </w:r>
    </w:p>
    <w:p w14:paraId="0A3FEE0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kern w:val="2"/>
          <w:sz w:val="32"/>
          <w:szCs w:val="32"/>
          <w:highlight w:val="none"/>
          <w:lang w:val="en-US" w:eastAsia="zh-CN" w:bidi="ar-SA"/>
        </w:rPr>
      </w:pPr>
    </w:p>
    <w:p w14:paraId="44584AF9">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kern w:val="2"/>
          <w:sz w:val="32"/>
          <w:szCs w:val="32"/>
          <w:highlight w:val="none"/>
          <w:lang w:val="en-US" w:eastAsia="zh-CN" w:bidi="ar-SA"/>
        </w:rPr>
      </w:pPr>
    </w:p>
    <w:p w14:paraId="6D09FADD">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kern w:val="2"/>
          <w:sz w:val="32"/>
          <w:szCs w:val="32"/>
          <w:highlight w:val="none"/>
          <w:lang w:val="en-US" w:eastAsia="zh-CN" w:bidi="ar-SA"/>
        </w:rPr>
      </w:pPr>
    </w:p>
    <w:p w14:paraId="02A09B20">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kern w:val="2"/>
          <w:sz w:val="32"/>
          <w:szCs w:val="32"/>
          <w:highlight w:val="none"/>
          <w:lang w:val="en-US" w:eastAsia="zh-CN" w:bidi="ar-SA"/>
        </w:rPr>
      </w:pPr>
    </w:p>
    <w:p w14:paraId="127DB1B3">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kern w:val="2"/>
          <w:sz w:val="32"/>
          <w:szCs w:val="32"/>
          <w:highlight w:val="none"/>
          <w:lang w:val="en-US" w:eastAsia="zh-CN" w:bidi="ar-SA"/>
        </w:rPr>
      </w:pPr>
    </w:p>
    <w:p w14:paraId="2F102F08">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kern w:val="2"/>
          <w:sz w:val="32"/>
          <w:szCs w:val="32"/>
          <w:highlight w:val="none"/>
          <w:lang w:val="en-US" w:eastAsia="zh-CN" w:bidi="ar-SA"/>
        </w:rPr>
      </w:pPr>
    </w:p>
    <w:p w14:paraId="1382223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2336" behindDoc="0" locked="0" layoutInCell="1" allowOverlap="1">
            <wp:simplePos x="0" y="0"/>
            <wp:positionH relativeFrom="column">
              <wp:posOffset>410845</wp:posOffset>
            </wp:positionH>
            <wp:positionV relativeFrom="paragraph">
              <wp:posOffset>-1938655</wp:posOffset>
            </wp:positionV>
            <wp:extent cx="4572000" cy="2226310"/>
            <wp:effectExtent l="4445" t="4445" r="14605" b="17145"/>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0EA39C9">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0C909D8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529AE0F">
      <w:pPr>
        <w:spacing w:line="600" w:lineRule="exact"/>
        <w:ind w:firstLine="640" w:firstLineChars="200"/>
        <w:outlineLvl w:val="1"/>
        <w:rPr>
          <w:rStyle w:val="29"/>
          <w:rFonts w:ascii="Times New Roman" w:hAnsi="Times New Roman" w:eastAsia="黑体"/>
          <w:b w:val="0"/>
          <w:color w:val="auto"/>
          <w:highlight w:val="none"/>
        </w:rPr>
      </w:pPr>
      <w:bookmarkStart w:id="22" w:name="_Toc15396607"/>
      <w:bookmarkStart w:id="23"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22"/>
      <w:bookmarkEnd w:id="23"/>
    </w:p>
    <w:p w14:paraId="0E44EB1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4"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4"/>
    </w:p>
    <w:p w14:paraId="6D8498E2">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86.3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1.89</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2.2</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kern w:val="2"/>
          <w:sz w:val="32"/>
          <w:szCs w:val="32"/>
          <w:highlight w:val="none"/>
          <w:lang w:val="en-US" w:eastAsia="zh-CN" w:bidi="ar-SA"/>
        </w:rPr>
        <w:t>人员职级职别调整、工资普调、社保缴费基数提高等。</w:t>
      </w:r>
    </w:p>
    <w:p w14:paraId="69E34601">
      <w:pPr>
        <w:pStyle w:val="27"/>
        <w:keepNext w:val="0"/>
        <w:keepLines w:val="0"/>
        <w:pageBreakBefore w:val="0"/>
        <w:widowControl w:val="0"/>
        <w:numPr>
          <w:ilvl w:val="0"/>
          <w:numId w:val="0"/>
        </w:numPr>
        <w:tabs>
          <w:tab w:val="left" w:pos="596"/>
        </w:tabs>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kern w:val="2"/>
          <w:sz w:val="32"/>
          <w:szCs w:val="32"/>
          <w:highlight w:val="none"/>
          <w:lang w:val="en-US" w:eastAsia="zh-CN" w:bidi="ar-SA"/>
        </w:rPr>
      </w:pPr>
    </w:p>
    <w:p w14:paraId="184F49E9">
      <w:pPr>
        <w:pStyle w:val="27"/>
        <w:keepNext w:val="0"/>
        <w:keepLines w:val="0"/>
        <w:pageBreakBefore w:val="0"/>
        <w:widowControl w:val="0"/>
        <w:numPr>
          <w:ilvl w:val="0"/>
          <w:numId w:val="0"/>
        </w:numPr>
        <w:tabs>
          <w:tab w:val="left" w:pos="596"/>
        </w:tabs>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kern w:val="2"/>
          <w:sz w:val="32"/>
          <w:szCs w:val="32"/>
          <w:highlight w:val="none"/>
          <w:lang w:val="en-US" w:eastAsia="zh-CN" w:bidi="ar-SA"/>
        </w:rPr>
      </w:pPr>
    </w:p>
    <w:p w14:paraId="7A342ED6">
      <w:pPr>
        <w:pStyle w:val="27"/>
        <w:keepNext w:val="0"/>
        <w:keepLines w:val="0"/>
        <w:pageBreakBefore w:val="0"/>
        <w:widowControl w:val="0"/>
        <w:numPr>
          <w:ilvl w:val="0"/>
          <w:numId w:val="0"/>
        </w:numPr>
        <w:tabs>
          <w:tab w:val="left" w:pos="596"/>
        </w:tabs>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kern w:val="2"/>
          <w:sz w:val="32"/>
          <w:szCs w:val="32"/>
          <w:highlight w:val="none"/>
          <w:lang w:val="en-US" w:eastAsia="zh-CN" w:bidi="ar-SA"/>
        </w:rPr>
      </w:pPr>
    </w:p>
    <w:p w14:paraId="3EE4DD53">
      <w:pPr>
        <w:pStyle w:val="27"/>
        <w:keepNext w:val="0"/>
        <w:keepLines w:val="0"/>
        <w:pageBreakBefore w:val="0"/>
        <w:widowControl w:val="0"/>
        <w:numPr>
          <w:ilvl w:val="0"/>
          <w:numId w:val="0"/>
        </w:numPr>
        <w:tabs>
          <w:tab w:val="left" w:pos="596"/>
        </w:tabs>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kern w:val="2"/>
          <w:sz w:val="32"/>
          <w:szCs w:val="32"/>
          <w:highlight w:val="none"/>
          <w:lang w:val="en-US" w:eastAsia="zh-CN" w:bidi="ar-SA"/>
        </w:rPr>
      </w:pPr>
    </w:p>
    <w:p w14:paraId="573A0952">
      <w:pPr>
        <w:pStyle w:val="27"/>
        <w:keepNext w:val="0"/>
        <w:keepLines w:val="0"/>
        <w:pageBreakBefore w:val="0"/>
        <w:widowControl w:val="0"/>
        <w:numPr>
          <w:ilvl w:val="0"/>
          <w:numId w:val="0"/>
        </w:numPr>
        <w:tabs>
          <w:tab w:val="left" w:pos="596"/>
        </w:tabs>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kern w:val="2"/>
          <w:sz w:val="32"/>
          <w:szCs w:val="32"/>
          <w:highlight w:val="none"/>
          <w:lang w:val="en-US" w:eastAsia="zh-CN" w:bidi="ar-SA"/>
        </w:rPr>
      </w:pPr>
    </w:p>
    <w:p w14:paraId="051EBB25">
      <w:pPr>
        <w:pStyle w:val="27"/>
        <w:keepNext w:val="0"/>
        <w:keepLines w:val="0"/>
        <w:pageBreakBefore w:val="0"/>
        <w:widowControl w:val="0"/>
        <w:numPr>
          <w:ilvl w:val="0"/>
          <w:numId w:val="0"/>
        </w:numPr>
        <w:tabs>
          <w:tab w:val="left" w:pos="596"/>
        </w:tabs>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kern w:val="2"/>
          <w:sz w:val="32"/>
          <w:szCs w:val="32"/>
          <w:highlight w:val="none"/>
          <w:lang w:val="en-US" w:eastAsia="zh-CN" w:bidi="ar-SA"/>
        </w:rPr>
      </w:pPr>
    </w:p>
    <w:p w14:paraId="3E861CEC">
      <w:pPr>
        <w:pStyle w:val="27"/>
        <w:keepNext w:val="0"/>
        <w:keepLines w:val="0"/>
        <w:pageBreakBefore w:val="0"/>
        <w:widowControl w:val="0"/>
        <w:numPr>
          <w:ilvl w:val="0"/>
          <w:numId w:val="0"/>
        </w:numPr>
        <w:tabs>
          <w:tab w:val="left" w:pos="596"/>
        </w:tabs>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kern w:val="2"/>
          <w:sz w:val="32"/>
          <w:szCs w:val="32"/>
          <w:highlight w:val="none"/>
          <w:lang w:val="en-US" w:eastAsia="zh-CN" w:bidi="ar-SA"/>
        </w:rPr>
      </w:pPr>
    </w:p>
    <w:p w14:paraId="07740CF1">
      <w:pPr>
        <w:pStyle w:val="27"/>
        <w:keepNext w:val="0"/>
        <w:keepLines w:val="0"/>
        <w:pageBreakBefore w:val="0"/>
        <w:widowControl w:val="0"/>
        <w:numPr>
          <w:ilvl w:val="0"/>
          <w:numId w:val="0"/>
        </w:numPr>
        <w:tabs>
          <w:tab w:val="left" w:pos="596"/>
        </w:tabs>
        <w:kinsoku/>
        <w:wordWrap/>
        <w:overflowPunct/>
        <w:topLinePunct w:val="0"/>
        <w:autoSpaceDE/>
        <w:autoSpaceDN/>
        <w:bidi w:val="0"/>
        <w:adjustRightInd/>
        <w:snapToGrid/>
        <w:spacing w:line="600" w:lineRule="exact"/>
        <w:textAlignment w:val="auto"/>
        <w:outlineLvl w:val="1"/>
        <w:rPr>
          <w:rFonts w:hint="eastAsia" w:eastAsia="仿宋_GB2312" w:cs="仿宋_GB2312"/>
          <w:color w:val="auto"/>
          <w:kern w:val="2"/>
          <w:sz w:val="32"/>
          <w:szCs w:val="32"/>
          <w:highlight w:val="none"/>
          <w:lang w:val="en-US" w:eastAsia="zh-CN" w:bidi="ar-SA"/>
        </w:rPr>
      </w:pPr>
      <w:r>
        <w:drawing>
          <wp:anchor distT="0" distB="0" distL="114300" distR="114300" simplePos="0" relativeHeight="251663360" behindDoc="0" locked="0" layoutInCell="1" allowOverlap="1">
            <wp:simplePos x="0" y="0"/>
            <wp:positionH relativeFrom="column">
              <wp:posOffset>4445</wp:posOffset>
            </wp:positionH>
            <wp:positionV relativeFrom="paragraph">
              <wp:posOffset>-2453005</wp:posOffset>
            </wp:positionV>
            <wp:extent cx="4572000" cy="2743200"/>
            <wp:effectExtent l="4445" t="4445" r="14605" b="14605"/>
            <wp:wrapSquare wrapText="bothSides"/>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752DB5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2F9B410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5"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5"/>
    </w:p>
    <w:p w14:paraId="071AE2C1">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86.3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63.55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73.6</w:t>
      </w:r>
      <w:r>
        <w:rPr>
          <w:rFonts w:hint="eastAsia" w:ascii="Times New Roman" w:hAnsi="Times New Roman" w:eastAsia="仿宋_GB2312" w:cs="仿宋_GB2312"/>
          <w:color w:val="auto"/>
          <w:kern w:val="2"/>
          <w:sz w:val="32"/>
          <w:szCs w:val="32"/>
          <w:highlight w:val="none"/>
          <w:lang w:val="en-US" w:eastAsia="zh-CN" w:bidi="ar-SA"/>
        </w:rPr>
        <w:t>%；教育支出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%；科学技术支出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%；文化旅游体育与传媒支出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11.28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13.07</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4.98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5.8</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6.48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7.53</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14:paraId="7A808789">
      <w:pPr>
        <w:pStyle w:val="2"/>
        <w:rPr>
          <w:rFonts w:hint="eastAsia" w:ascii="Times New Roman" w:hAnsi="Times New Roman" w:eastAsia="仿宋_GB2312" w:cs="仿宋_GB2312"/>
          <w:b/>
          <w:bCs/>
          <w:color w:val="auto"/>
          <w:kern w:val="2"/>
          <w:sz w:val="32"/>
          <w:szCs w:val="32"/>
          <w:highlight w:val="none"/>
          <w:lang w:val="en-US" w:eastAsia="zh-CN" w:bidi="ar-SA"/>
        </w:rPr>
      </w:pPr>
    </w:p>
    <w:p w14:paraId="65F2D15F">
      <w:pPr>
        <w:pStyle w:val="3"/>
        <w:ind w:left="0" w:leftChars="0" w:firstLine="0" w:firstLineChars="0"/>
        <w:rPr>
          <w:rFonts w:hint="eastAsia" w:ascii="Times New Roman" w:hAnsi="Times New Roman" w:eastAsia="仿宋_GB2312" w:cs="仿宋_GB2312"/>
          <w:b/>
          <w:bCs/>
          <w:color w:val="auto"/>
          <w:kern w:val="2"/>
          <w:sz w:val="32"/>
          <w:szCs w:val="32"/>
          <w:highlight w:val="none"/>
          <w:lang w:val="en-US" w:eastAsia="zh-CN" w:bidi="ar-SA"/>
        </w:rPr>
      </w:pPr>
    </w:p>
    <w:p w14:paraId="0C3BACE8">
      <w:pPr>
        <w:pStyle w:val="3"/>
        <w:rPr>
          <w:rFonts w:hint="eastAsia" w:ascii="Times New Roman" w:hAnsi="Times New Roman" w:eastAsia="仿宋_GB2312" w:cs="仿宋_GB2312"/>
          <w:b/>
          <w:bCs/>
          <w:color w:val="auto"/>
          <w:kern w:val="2"/>
          <w:sz w:val="32"/>
          <w:szCs w:val="32"/>
          <w:highlight w:val="none"/>
          <w:lang w:val="en-US" w:eastAsia="zh-CN" w:bidi="ar-SA"/>
        </w:rPr>
      </w:pPr>
      <w:r>
        <w:drawing>
          <wp:inline distT="0" distB="0" distL="114300" distR="114300">
            <wp:extent cx="4572000" cy="2743200"/>
            <wp:effectExtent l="4445" t="4445" r="1460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2D1B2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3125090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6"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6"/>
    </w:p>
    <w:p w14:paraId="67BAF8B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7" w:name="_Toc15377213"/>
      <w:bookmarkStart w:id="28" w:name="_Toc15377444"/>
      <w:bookmarkStart w:id="29"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86.3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7"/>
      <w:bookmarkEnd w:id="28"/>
      <w:bookmarkEnd w:id="29"/>
    </w:p>
    <w:p w14:paraId="130371FF">
      <w:pPr>
        <w:spacing w:line="600" w:lineRule="exact"/>
        <w:ind w:firstLine="643" w:firstLineChars="200"/>
        <w:rPr>
          <w:rFonts w:hint="eastAsia" w:ascii="仿宋" w:eastAsia="仿宋"/>
          <w:b/>
          <w:sz w:val="32"/>
          <w:szCs w:val="32"/>
        </w:rPr>
      </w:pPr>
      <w:r>
        <w:rPr>
          <w:rStyle w:val="17"/>
          <w:rFonts w:hint="eastAsia" w:ascii="仿宋" w:eastAsia="仿宋"/>
          <w:bCs/>
          <w:sz w:val="32"/>
          <w:szCs w:val="32"/>
        </w:rPr>
        <w:t>1.一般公共服务（类）群众团体事务（款）事业运行（项）</w:t>
      </w:r>
      <w:r>
        <w:rPr>
          <w:rStyle w:val="17"/>
          <w:rFonts w:hint="eastAsia" w:ascii="仿宋" w:eastAsia="仿宋"/>
          <w:bCs/>
          <w:sz w:val="32"/>
          <w:szCs w:val="32"/>
          <w:lang w:eastAsia="zh-CN"/>
        </w:rPr>
        <w:t>：</w:t>
      </w:r>
      <w:r>
        <w:rPr>
          <w:rStyle w:val="17"/>
          <w:rFonts w:hint="eastAsia" w:ascii="仿宋" w:eastAsia="仿宋"/>
          <w:b w:val="0"/>
          <w:bCs/>
          <w:sz w:val="32"/>
          <w:szCs w:val="32"/>
        </w:rPr>
        <w:t xml:space="preserve"> 支出决算为</w:t>
      </w:r>
      <w:r>
        <w:rPr>
          <w:rFonts w:hint="eastAsia" w:ascii="仿宋_GB2312" w:eastAsia="仿宋_GB2312" w:cs="仿宋_GB2312"/>
          <w:sz w:val="32"/>
          <w:szCs w:val="32"/>
          <w:shd w:val="clear" w:color="auto" w:fill="FFFFFF"/>
          <w:lang w:val="en-US" w:eastAsia="zh-CN"/>
        </w:rPr>
        <w:t>63.55</w:t>
      </w:r>
      <w:r>
        <w:rPr>
          <w:rStyle w:val="17"/>
          <w:rFonts w:hint="eastAsia" w:ascii="仿宋" w:eastAsia="仿宋"/>
          <w:b w:val="0"/>
          <w:bCs/>
          <w:sz w:val="32"/>
          <w:szCs w:val="32"/>
        </w:rPr>
        <w:t>万元，完成预算</w:t>
      </w:r>
      <w:r>
        <w:rPr>
          <w:rFonts w:hint="eastAsia" w:ascii="仿宋_GB2312" w:eastAsia="仿宋_GB2312" w:cs="仿宋_GB2312"/>
          <w:sz w:val="32"/>
          <w:szCs w:val="32"/>
          <w:shd w:val="clear" w:color="auto" w:fill="FFFFFF"/>
          <w:lang w:eastAsia="en-US"/>
        </w:rPr>
        <w:t>100</w:t>
      </w:r>
      <w:r>
        <w:rPr>
          <w:rStyle w:val="17"/>
          <w:rFonts w:hint="eastAsia" w:ascii="仿宋" w:eastAsia="仿宋"/>
          <w:b w:val="0"/>
          <w:bCs/>
          <w:sz w:val="32"/>
          <w:szCs w:val="32"/>
        </w:rPr>
        <w:t>%，决算数等于预算数的主要原因是建立健全了预算管理制度，明确了各部门的职责和权限，加强了对预算执行的监督和控制，确保各项支出严格按照预算执行。</w:t>
      </w:r>
    </w:p>
    <w:p w14:paraId="7E943701">
      <w:pPr>
        <w:spacing w:line="600" w:lineRule="exact"/>
        <w:ind w:firstLine="643" w:firstLineChars="200"/>
        <w:rPr>
          <w:rFonts w:hint="eastAsia" w:ascii="仿宋" w:eastAsia="仿宋"/>
          <w:b/>
          <w:sz w:val="32"/>
          <w:szCs w:val="32"/>
        </w:rPr>
      </w:pPr>
      <w:r>
        <w:rPr>
          <w:rStyle w:val="17"/>
          <w:rFonts w:hint="eastAsia" w:ascii="仿宋" w:eastAsia="仿宋"/>
          <w:bCs/>
          <w:sz w:val="32"/>
          <w:szCs w:val="32"/>
        </w:rPr>
        <w:t>2.教育（类）***（款）***（项）</w:t>
      </w:r>
      <w:r>
        <w:rPr>
          <w:rStyle w:val="17"/>
          <w:rFonts w:hint="eastAsia" w:ascii="仿宋" w:eastAsia="仿宋"/>
          <w:bCs/>
          <w:sz w:val="32"/>
          <w:szCs w:val="32"/>
          <w:lang w:eastAsia="zh-CN"/>
        </w:rPr>
        <w:t>：</w:t>
      </w:r>
      <w:r>
        <w:rPr>
          <w:rStyle w:val="17"/>
          <w:rFonts w:hint="eastAsia" w:ascii="仿宋" w:eastAsia="仿宋"/>
          <w:b w:val="0"/>
          <w:bCs/>
          <w:sz w:val="32"/>
          <w:szCs w:val="32"/>
        </w:rPr>
        <w:t xml:space="preserve"> 支出决算为0万元，完成预算0%，决算数小于/等于预算数的主要原因是我会不涉及此科目，202</w:t>
      </w:r>
      <w:r>
        <w:rPr>
          <w:rStyle w:val="17"/>
          <w:rFonts w:hint="eastAsia" w:ascii="仿宋" w:eastAsia="仿宋"/>
          <w:b w:val="0"/>
          <w:bCs/>
          <w:sz w:val="32"/>
          <w:szCs w:val="32"/>
          <w:lang w:val="en-US" w:eastAsia="zh-CN"/>
        </w:rPr>
        <w:t>4</w:t>
      </w:r>
      <w:r>
        <w:rPr>
          <w:rStyle w:val="17"/>
          <w:rFonts w:hint="eastAsia" w:ascii="仿宋" w:eastAsia="仿宋"/>
          <w:b w:val="0"/>
          <w:bCs/>
          <w:sz w:val="32"/>
          <w:szCs w:val="32"/>
        </w:rPr>
        <w:t>年度教育类支出为0万元。</w:t>
      </w:r>
    </w:p>
    <w:p w14:paraId="6500274B">
      <w:pPr>
        <w:spacing w:line="600" w:lineRule="exact"/>
        <w:ind w:firstLine="643" w:firstLineChars="200"/>
        <w:rPr>
          <w:rFonts w:hint="eastAsia" w:ascii="仿宋" w:eastAsia="仿宋"/>
          <w:b/>
          <w:sz w:val="32"/>
          <w:szCs w:val="32"/>
        </w:rPr>
      </w:pPr>
      <w:r>
        <w:rPr>
          <w:rStyle w:val="17"/>
          <w:rFonts w:hint="eastAsia" w:ascii="仿宋" w:eastAsia="仿宋"/>
          <w:bCs/>
          <w:sz w:val="32"/>
          <w:szCs w:val="32"/>
        </w:rPr>
        <w:t>3.科学技术（类）***（款）***（项）</w:t>
      </w:r>
      <w:r>
        <w:rPr>
          <w:rStyle w:val="17"/>
          <w:rFonts w:hint="eastAsia" w:ascii="仿宋" w:eastAsia="仿宋"/>
          <w:bCs/>
          <w:sz w:val="32"/>
          <w:szCs w:val="32"/>
          <w:lang w:eastAsia="zh-CN"/>
        </w:rPr>
        <w:t>：</w:t>
      </w:r>
      <w:r>
        <w:rPr>
          <w:rStyle w:val="17"/>
          <w:rFonts w:hint="eastAsia" w:ascii="仿宋" w:eastAsia="仿宋"/>
          <w:b w:val="0"/>
          <w:bCs/>
          <w:sz w:val="32"/>
          <w:szCs w:val="32"/>
        </w:rPr>
        <w:t xml:space="preserve"> 支出决算为0*万元，完成预算0%，决算数小于/等于预算数的主要原因是我会不涉及此科目，202</w:t>
      </w:r>
      <w:r>
        <w:rPr>
          <w:rStyle w:val="17"/>
          <w:rFonts w:hint="eastAsia" w:ascii="仿宋" w:eastAsia="仿宋"/>
          <w:b w:val="0"/>
          <w:bCs/>
          <w:sz w:val="32"/>
          <w:szCs w:val="32"/>
          <w:lang w:val="en-US" w:eastAsia="zh-CN"/>
        </w:rPr>
        <w:t>4</w:t>
      </w:r>
      <w:r>
        <w:rPr>
          <w:rStyle w:val="17"/>
          <w:rFonts w:hint="eastAsia" w:ascii="仿宋" w:eastAsia="仿宋"/>
          <w:b w:val="0"/>
          <w:bCs/>
          <w:sz w:val="32"/>
          <w:szCs w:val="32"/>
        </w:rPr>
        <w:t>年度科学技术类支出为0万元。</w:t>
      </w:r>
    </w:p>
    <w:p w14:paraId="3438F830">
      <w:pPr>
        <w:spacing w:line="600" w:lineRule="exact"/>
        <w:ind w:firstLine="643" w:firstLineChars="200"/>
        <w:rPr>
          <w:rFonts w:hint="eastAsia" w:ascii="仿宋" w:eastAsia="仿宋"/>
          <w:b/>
          <w:sz w:val="32"/>
          <w:szCs w:val="32"/>
        </w:rPr>
      </w:pPr>
      <w:r>
        <w:rPr>
          <w:rStyle w:val="17"/>
          <w:rFonts w:hint="eastAsia" w:ascii="仿宋" w:eastAsia="仿宋"/>
          <w:bCs/>
          <w:sz w:val="32"/>
          <w:szCs w:val="32"/>
        </w:rPr>
        <w:t>4.文化旅游体育与传媒（类）***（款）***（项）</w:t>
      </w:r>
      <w:r>
        <w:rPr>
          <w:rStyle w:val="17"/>
          <w:rFonts w:hint="eastAsia" w:ascii="仿宋" w:eastAsia="仿宋"/>
          <w:bCs/>
          <w:sz w:val="32"/>
          <w:szCs w:val="32"/>
          <w:lang w:eastAsia="zh-CN"/>
        </w:rPr>
        <w:t>：</w:t>
      </w:r>
      <w:r>
        <w:rPr>
          <w:rStyle w:val="17"/>
          <w:rFonts w:hint="eastAsia" w:ascii="仿宋" w:eastAsia="仿宋"/>
          <w:b w:val="0"/>
          <w:bCs/>
          <w:sz w:val="32"/>
          <w:szCs w:val="32"/>
        </w:rPr>
        <w:t xml:space="preserve"> 支出决算为0万元，完成预算0%，决算数小于/等于预算数的主要原因是我会不涉及此科目，202</w:t>
      </w:r>
      <w:r>
        <w:rPr>
          <w:rStyle w:val="17"/>
          <w:rFonts w:hint="eastAsia" w:ascii="仿宋" w:eastAsia="仿宋"/>
          <w:b w:val="0"/>
          <w:bCs/>
          <w:sz w:val="32"/>
          <w:szCs w:val="32"/>
          <w:lang w:val="en-US" w:eastAsia="zh-CN"/>
        </w:rPr>
        <w:t>4</w:t>
      </w:r>
      <w:r>
        <w:rPr>
          <w:rStyle w:val="17"/>
          <w:rFonts w:hint="eastAsia" w:ascii="仿宋" w:eastAsia="仿宋"/>
          <w:b w:val="0"/>
          <w:bCs/>
          <w:sz w:val="32"/>
          <w:szCs w:val="32"/>
        </w:rPr>
        <w:t>年度文化旅游与传媒类支出为0万元。</w:t>
      </w:r>
    </w:p>
    <w:p w14:paraId="111E1963">
      <w:pPr>
        <w:spacing w:line="600" w:lineRule="exact"/>
        <w:ind w:firstLine="643" w:firstLineChars="200"/>
        <w:rPr>
          <w:rStyle w:val="17"/>
          <w:rFonts w:hint="eastAsia" w:ascii="仿宋" w:eastAsia="仿宋"/>
          <w:b w:val="0"/>
          <w:bCs/>
          <w:sz w:val="32"/>
          <w:szCs w:val="32"/>
        </w:rPr>
      </w:pPr>
      <w:r>
        <w:rPr>
          <w:rStyle w:val="17"/>
          <w:rFonts w:hint="eastAsia" w:ascii="仿宋" w:eastAsia="仿宋"/>
          <w:bCs/>
          <w:sz w:val="32"/>
          <w:szCs w:val="32"/>
        </w:rPr>
        <w:t>5.社会保障和就业（类）</w:t>
      </w:r>
      <w:r>
        <w:rPr>
          <w:rStyle w:val="17"/>
          <w:rFonts w:hint="eastAsia" w:ascii="仿宋" w:eastAsia="仿宋" w:cs="仿宋_GB2312"/>
          <w:bCs/>
          <w:sz w:val="32"/>
          <w:szCs w:val="32"/>
        </w:rPr>
        <w:t>行政事业单位离退休（款）机关事业单位基本养老保险缴费支出（项）</w:t>
      </w:r>
      <w:r>
        <w:rPr>
          <w:rStyle w:val="17"/>
          <w:rFonts w:hint="eastAsia" w:ascii="仿宋" w:eastAsia="仿宋" w:cs="仿宋_GB2312"/>
          <w:bCs/>
          <w:sz w:val="32"/>
          <w:szCs w:val="32"/>
          <w:lang w:eastAsia="zh-CN"/>
        </w:rPr>
        <w:t>：</w:t>
      </w:r>
      <w:r>
        <w:rPr>
          <w:rStyle w:val="17"/>
          <w:rFonts w:hint="eastAsia" w:ascii="仿宋" w:eastAsia="仿宋"/>
          <w:b w:val="0"/>
          <w:bCs/>
          <w:sz w:val="32"/>
          <w:szCs w:val="32"/>
        </w:rPr>
        <w:t xml:space="preserve"> 支出决算为</w:t>
      </w:r>
      <w:r>
        <w:rPr>
          <w:rStyle w:val="17"/>
          <w:rFonts w:hint="eastAsia" w:ascii="仿宋" w:eastAsia="仿宋"/>
          <w:b w:val="0"/>
          <w:bCs/>
          <w:sz w:val="32"/>
          <w:szCs w:val="32"/>
          <w:lang w:val="en-US" w:eastAsia="zh-CN"/>
        </w:rPr>
        <w:t>7.52</w:t>
      </w:r>
      <w:r>
        <w:rPr>
          <w:rStyle w:val="17"/>
          <w:rFonts w:hint="eastAsia" w:ascii="仿宋" w:eastAsia="仿宋"/>
          <w:b w:val="0"/>
          <w:bCs/>
          <w:sz w:val="32"/>
          <w:szCs w:val="32"/>
        </w:rPr>
        <w:t>万元，完成预算100%，决算数大于预算数的主要原因是每年度基数变动。</w:t>
      </w:r>
    </w:p>
    <w:p w14:paraId="612882CA">
      <w:pPr>
        <w:spacing w:line="600" w:lineRule="exact"/>
        <w:ind w:firstLine="643" w:firstLineChars="200"/>
        <w:rPr>
          <w:rFonts w:hint="eastAsia" w:ascii="仿宋" w:eastAsia="仿宋"/>
          <w:b/>
          <w:sz w:val="32"/>
          <w:szCs w:val="32"/>
        </w:rPr>
      </w:pPr>
      <w:r>
        <w:rPr>
          <w:rStyle w:val="17"/>
          <w:rFonts w:hint="eastAsia" w:ascii="仿宋" w:eastAsia="仿宋" w:cs="仿宋_GB2312"/>
          <w:bCs/>
          <w:sz w:val="32"/>
          <w:szCs w:val="32"/>
        </w:rPr>
        <w:t>6.社会保障和就业（类）行政事业单位离退休（款）机关事业单位职业年金缴费支出（项）</w:t>
      </w:r>
      <w:r>
        <w:rPr>
          <w:rFonts w:hint="eastAsia" w:ascii="仿宋_GB2312" w:eastAsia="仿宋_GB2312" w:cs="仿宋_GB2312"/>
          <w:kern w:val="0"/>
          <w:sz w:val="32"/>
          <w:szCs w:val="32"/>
        </w:rPr>
        <w:t>：支出决算为3.</w:t>
      </w:r>
      <w:r>
        <w:rPr>
          <w:rFonts w:hint="eastAsia" w:ascii="仿宋_GB2312" w:eastAsia="仿宋_GB2312" w:cs="仿宋_GB2312"/>
          <w:kern w:val="0"/>
          <w:sz w:val="32"/>
          <w:szCs w:val="32"/>
          <w:lang w:val="en-US" w:eastAsia="zh-CN"/>
        </w:rPr>
        <w:t>7</w:t>
      </w:r>
      <w:r>
        <w:rPr>
          <w:rFonts w:hint="eastAsia" w:ascii="仿宋_GB2312" w:eastAsia="仿宋_GB2312" w:cs="仿宋_GB2312"/>
          <w:kern w:val="0"/>
          <w:sz w:val="32"/>
          <w:szCs w:val="32"/>
        </w:rPr>
        <w:t>6万元，完成预算100%。</w:t>
      </w:r>
      <w:r>
        <w:rPr>
          <w:rStyle w:val="17"/>
          <w:rFonts w:hint="eastAsia" w:ascii="仿宋" w:eastAsia="仿宋"/>
          <w:b w:val="0"/>
          <w:bCs/>
          <w:sz w:val="32"/>
          <w:szCs w:val="32"/>
        </w:rPr>
        <w:t>决算数大于预算数的主要原因是每年度基数变动。</w:t>
      </w:r>
    </w:p>
    <w:p w14:paraId="7FD5D67A">
      <w:pPr>
        <w:pStyle w:val="2"/>
        <w:rPr>
          <w:rFonts w:hint="eastAsia"/>
        </w:rPr>
      </w:pPr>
    </w:p>
    <w:p w14:paraId="76E1275C">
      <w:pPr>
        <w:spacing w:line="600" w:lineRule="exact"/>
        <w:ind w:firstLine="643" w:firstLineChars="200"/>
        <w:rPr>
          <w:rFonts w:hint="eastAsia" w:ascii="仿宋" w:eastAsia="仿宋"/>
          <w:b/>
          <w:sz w:val="32"/>
          <w:szCs w:val="32"/>
        </w:rPr>
      </w:pPr>
      <w:r>
        <w:rPr>
          <w:rStyle w:val="17"/>
          <w:rFonts w:hint="eastAsia" w:ascii="仿宋" w:eastAsia="仿宋"/>
          <w:bCs/>
          <w:sz w:val="32"/>
          <w:szCs w:val="32"/>
        </w:rPr>
        <w:t>7.</w:t>
      </w:r>
      <w:r>
        <w:rPr>
          <w:rFonts w:hint="eastAsia" w:ascii="仿宋" w:eastAsia="仿宋"/>
          <w:b/>
          <w:bCs/>
          <w:sz w:val="32"/>
          <w:szCs w:val="32"/>
        </w:rPr>
        <w:t>卫生健康</w:t>
      </w:r>
      <w:r>
        <w:rPr>
          <w:rStyle w:val="17"/>
          <w:rFonts w:hint="eastAsia" w:ascii="仿宋" w:eastAsia="仿宋"/>
          <w:bCs/>
          <w:sz w:val="32"/>
          <w:szCs w:val="32"/>
        </w:rPr>
        <w:t>（类）</w:t>
      </w:r>
      <w:r>
        <w:rPr>
          <w:rFonts w:hint="eastAsia" w:ascii="仿宋" w:eastAsia="仿宋" w:cs="仿宋_GB2312"/>
          <w:b/>
          <w:bCs/>
          <w:sz w:val="32"/>
          <w:szCs w:val="32"/>
        </w:rPr>
        <w:t>行政事业单位医疗（款）其他行政事业单位医疗支出（项）</w:t>
      </w:r>
      <w:r>
        <w:rPr>
          <w:rFonts w:hint="eastAsia" w:ascii="仿宋" w:eastAsia="仿宋" w:cs="仿宋_GB2312"/>
          <w:b/>
          <w:bCs/>
          <w:sz w:val="32"/>
          <w:szCs w:val="32"/>
          <w:lang w:eastAsia="zh-CN"/>
        </w:rPr>
        <w:t>：</w:t>
      </w:r>
      <w:r>
        <w:rPr>
          <w:rStyle w:val="17"/>
          <w:rFonts w:hint="eastAsia" w:ascii="仿宋" w:eastAsia="仿宋"/>
          <w:b w:val="0"/>
          <w:bCs/>
          <w:sz w:val="32"/>
          <w:szCs w:val="32"/>
        </w:rPr>
        <w:t>支出决算为0.8</w:t>
      </w:r>
      <w:r>
        <w:rPr>
          <w:rStyle w:val="17"/>
          <w:rFonts w:hint="eastAsia" w:ascii="仿宋" w:eastAsia="仿宋"/>
          <w:b w:val="0"/>
          <w:bCs/>
          <w:sz w:val="32"/>
          <w:szCs w:val="32"/>
          <w:lang w:val="en-US" w:eastAsia="zh-CN"/>
        </w:rPr>
        <w:t>8</w:t>
      </w:r>
      <w:r>
        <w:rPr>
          <w:rStyle w:val="17"/>
          <w:rFonts w:hint="eastAsia" w:ascii="仿宋" w:eastAsia="仿宋"/>
          <w:b w:val="0"/>
          <w:bCs/>
          <w:sz w:val="32"/>
          <w:szCs w:val="32"/>
        </w:rPr>
        <w:t>万元，完成预算100%，决算数大于预算数的主要原因是每年度基数变动。</w:t>
      </w:r>
    </w:p>
    <w:p w14:paraId="7C19F784">
      <w:pPr>
        <w:spacing w:line="600" w:lineRule="exact"/>
        <w:ind w:firstLine="643" w:firstLineChars="200"/>
        <w:rPr>
          <w:rFonts w:hint="eastAsia" w:ascii="仿宋" w:eastAsia="仿宋"/>
          <w:b/>
          <w:sz w:val="32"/>
          <w:szCs w:val="32"/>
        </w:rPr>
      </w:pPr>
      <w:r>
        <w:rPr>
          <w:rStyle w:val="17"/>
          <w:rFonts w:hint="eastAsia" w:ascii="仿宋" w:eastAsia="仿宋"/>
          <w:bCs/>
          <w:sz w:val="32"/>
          <w:szCs w:val="32"/>
        </w:rPr>
        <w:t>8.</w:t>
      </w:r>
      <w:r>
        <w:rPr>
          <w:rFonts w:hint="eastAsia" w:ascii="仿宋" w:eastAsia="仿宋"/>
          <w:b/>
          <w:bCs/>
          <w:sz w:val="32"/>
          <w:szCs w:val="32"/>
        </w:rPr>
        <w:t>卫生健康</w:t>
      </w:r>
      <w:r>
        <w:rPr>
          <w:rStyle w:val="17"/>
          <w:rFonts w:hint="eastAsia" w:ascii="仿宋" w:eastAsia="仿宋"/>
          <w:bCs/>
          <w:sz w:val="32"/>
          <w:szCs w:val="32"/>
        </w:rPr>
        <w:t>（类）</w:t>
      </w:r>
      <w:r>
        <w:rPr>
          <w:rFonts w:hint="eastAsia" w:ascii="仿宋" w:eastAsia="仿宋" w:cs="仿宋_GB2312"/>
          <w:b/>
          <w:bCs/>
          <w:sz w:val="32"/>
          <w:szCs w:val="32"/>
        </w:rPr>
        <w:t>行政事业单位医疗（款）事业单位医疗（项）</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4.1</w:t>
      </w:r>
      <w:r>
        <w:rPr>
          <w:rStyle w:val="17"/>
          <w:rFonts w:hint="eastAsia" w:ascii="仿宋" w:eastAsia="仿宋"/>
          <w:b w:val="0"/>
          <w:bCs/>
          <w:sz w:val="32"/>
          <w:szCs w:val="32"/>
        </w:rPr>
        <w:t>万元，完成预算100%，决算数大于预算数的主要原因是每年度基数变动。</w:t>
      </w:r>
    </w:p>
    <w:p w14:paraId="20428B5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项级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和全年预算数</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项级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比较，与预算数持平可以不写原因）</w:t>
      </w:r>
    </w:p>
    <w:p w14:paraId="20BB6527">
      <w:pPr>
        <w:tabs>
          <w:tab w:val="right" w:pos="8306"/>
        </w:tabs>
        <w:spacing w:line="600" w:lineRule="exact"/>
        <w:ind w:firstLine="640"/>
        <w:outlineLvl w:val="1"/>
        <w:rPr>
          <w:rStyle w:val="29"/>
          <w:rFonts w:ascii="Times New Roman" w:hAnsi="Times New Roman"/>
          <w:color w:val="auto"/>
          <w:highlight w:val="none"/>
        </w:rPr>
      </w:pPr>
      <w:bookmarkStart w:id="30" w:name="_Toc15396608"/>
      <w:bookmarkStart w:id="31"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30"/>
      <w:bookmarkEnd w:id="31"/>
      <w:r>
        <w:rPr>
          <w:rStyle w:val="29"/>
          <w:rFonts w:ascii="Times New Roman" w:hAnsi="Times New Roman" w:eastAsia="黑体"/>
          <w:b w:val="0"/>
          <w:color w:val="auto"/>
          <w:highlight w:val="none"/>
        </w:rPr>
        <w:tab/>
      </w:r>
    </w:p>
    <w:p w14:paraId="5B7D9D5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86.3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3B294A4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81.52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4.78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10611E6">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6606CD9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DDBCB10">
      <w:pPr>
        <w:spacing w:line="600" w:lineRule="exact"/>
        <w:ind w:firstLine="640"/>
        <w:outlineLvl w:val="1"/>
        <w:rPr>
          <w:rStyle w:val="29"/>
          <w:rFonts w:ascii="Times New Roman" w:hAnsi="Times New Roman" w:eastAsia="黑体"/>
          <w:b w:val="0"/>
          <w:color w:val="auto"/>
          <w:highlight w:val="none"/>
        </w:rPr>
      </w:pPr>
      <w:bookmarkStart w:id="32" w:name="_Toc15377215"/>
      <w:bookmarkStart w:id="33" w:name="_Toc15396609"/>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32"/>
      <w:bookmarkEnd w:id="33"/>
    </w:p>
    <w:p w14:paraId="4B1D6F5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4"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4"/>
    </w:p>
    <w:p w14:paraId="2BB4021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%。决算数</w:t>
      </w:r>
      <w:r>
        <w:rPr>
          <w:rFonts w:hint="eastAsia" w:eastAsia="仿宋_GB2312" w:cs="仿宋_GB2312"/>
          <w:color w:val="auto"/>
          <w:kern w:val="2"/>
          <w:sz w:val="32"/>
          <w:szCs w:val="32"/>
          <w:highlight w:val="none"/>
          <w:lang w:val="en-US" w:eastAsia="zh-CN" w:bidi="ar-SA"/>
        </w:rPr>
        <w:t>与</w:t>
      </w:r>
      <w:r>
        <w:rPr>
          <w:rFonts w:hint="eastAsia" w:ascii="Times New Roman" w:hAnsi="Times New Roman" w:eastAsia="仿宋_GB2312" w:cs="仿宋_GB2312"/>
          <w:color w:val="auto"/>
          <w:kern w:val="2"/>
          <w:sz w:val="32"/>
          <w:szCs w:val="32"/>
          <w:highlight w:val="none"/>
          <w:lang w:val="en-US" w:eastAsia="zh-CN" w:bidi="ar-SA"/>
        </w:rPr>
        <w:t>预算数持平</w:t>
      </w:r>
      <w:r>
        <w:rPr>
          <w:rFonts w:hint="eastAsia" w:eastAsia="仿宋_GB2312" w:cs="仿宋_GB2312"/>
          <w:color w:val="auto"/>
          <w:kern w:val="2"/>
          <w:sz w:val="32"/>
          <w:szCs w:val="32"/>
          <w:highlight w:val="none"/>
          <w:lang w:val="en-US" w:eastAsia="zh-CN" w:bidi="ar-SA"/>
        </w:rPr>
        <w:t>。</w:t>
      </w:r>
    </w:p>
    <w:p w14:paraId="30DEE1FA">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15245F9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5"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5"/>
    </w:p>
    <w:p w14:paraId="2F7D16EC">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14:paraId="4C539F2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1D5896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%。主要原因是……</w:t>
      </w:r>
    </w:p>
    <w:p w14:paraId="3958A92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14:paraId="216104C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%。主要原因是……</w:t>
      </w:r>
    </w:p>
    <w:p w14:paraId="0AEC7C9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万元，主要用于……。截至2024年12月31日，单位共有公务用车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117F9F2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万元。主要用于……（具体工作）所需的公务用车燃料费、维修费、过路过桥费、保险费等支出。</w:t>
      </w:r>
    </w:p>
    <w:p w14:paraId="2CCFEF7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%。主要原因是……。其中：</w:t>
      </w:r>
    </w:p>
    <w:p w14:paraId="2D51D18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执行公务、开展业务活动开支的交通费、住宿费、用餐费等</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万元，具体内容包括：……（接待具体项目、金额）。</w:t>
      </w:r>
    </w:p>
    <w:p w14:paraId="4244C5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p>
    <w:p w14:paraId="5116047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6" w:name="_Toc15377218"/>
      <w:bookmarkStart w:id="37" w:name="_Toc15396610"/>
    </w:p>
    <w:p w14:paraId="741D79C5">
      <w:pPr>
        <w:spacing w:line="600" w:lineRule="exact"/>
        <w:ind w:firstLine="640"/>
        <w:outlineLvl w:val="1"/>
        <w:rPr>
          <w:rStyle w:val="29"/>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36"/>
      <w:bookmarkEnd w:id="37"/>
    </w:p>
    <w:p w14:paraId="13CA7898">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0F82239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FA0671B">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38" w:name="_Toc15377219"/>
      <w:bookmarkStart w:id="39" w:name="_Toc15396611"/>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38"/>
      <w:bookmarkEnd w:id="39"/>
    </w:p>
    <w:p w14:paraId="1E6459E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52C971D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3A356C7">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bookmarkStart w:id="40" w:name="_Toc15396612"/>
      <w:bookmarkStart w:id="41" w:name="_Toc15377221"/>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40"/>
      <w:bookmarkEnd w:id="41"/>
    </w:p>
    <w:p w14:paraId="3FEB470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22"/>
      <w:r>
        <w:rPr>
          <w:rFonts w:hint="eastAsia" w:ascii="Times New Roman" w:hAnsi="Times New Roman" w:eastAsia="楷体_GB2312" w:cs="楷体_GB2312"/>
          <w:b/>
          <w:color w:val="auto"/>
          <w:sz w:val="32"/>
          <w:szCs w:val="32"/>
          <w:highlight w:val="none"/>
        </w:rPr>
        <w:t>（一）机关运行经费支出情况</w:t>
      </w:r>
      <w:bookmarkEnd w:id="42"/>
    </w:p>
    <w:p w14:paraId="7BCC67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四川省阿坝州藏传佛教文化研究中心</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%（或与2023年度决算数持平）。主要原因是……</w:t>
      </w:r>
    </w:p>
    <w:p w14:paraId="24DF9C9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634570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23"/>
      <w:r>
        <w:rPr>
          <w:rFonts w:hint="eastAsia" w:ascii="Times New Roman" w:hAnsi="Times New Roman" w:eastAsia="楷体_GB2312" w:cs="楷体_GB2312"/>
          <w:b/>
          <w:color w:val="auto"/>
          <w:sz w:val="32"/>
          <w:szCs w:val="32"/>
          <w:highlight w:val="none"/>
        </w:rPr>
        <w:t>（二）政府采购支出情况</w:t>
      </w:r>
      <w:bookmarkEnd w:id="43"/>
    </w:p>
    <w:p w14:paraId="3E2DB7FA">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四川省阿坝州藏传佛教文化研究中心</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2214CEA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4AE60F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4" w:name="_Toc15377224"/>
      <w:r>
        <w:rPr>
          <w:rFonts w:hint="eastAsia" w:ascii="Times New Roman" w:hAnsi="Times New Roman" w:eastAsia="楷体_GB2312" w:cs="楷体_GB2312"/>
          <w:b/>
          <w:color w:val="auto"/>
          <w:sz w:val="32"/>
          <w:szCs w:val="32"/>
          <w:highlight w:val="none"/>
        </w:rPr>
        <w:t>（三）国有资产占有使用情况</w:t>
      </w:r>
      <w:bookmarkEnd w:id="44"/>
    </w:p>
    <w:p w14:paraId="0399A94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四川省阿坝州藏传佛教文化研究中心</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0FC5B8F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8C30AD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CD768CF">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根据预算绩效管理要求，我中心在2023年度预算编制阶段，无项目。无开展预算事前绩效评估，无项目编制绩效目标，预算执行过程中，无项目开展绩效监控，组织对0个项目开展绩效自评，</w:t>
      </w:r>
      <w:r>
        <w:rPr>
          <w:rFonts w:hint="eastAsia" w:ascii="仿宋_GB2312" w:eastAsia="仿宋_GB2312"/>
          <w:sz w:val="32"/>
          <w:szCs w:val="32"/>
          <w:lang w:eastAsia="zh-CN"/>
        </w:rPr>
        <w:t>无</w:t>
      </w:r>
      <w:r>
        <w:rPr>
          <w:rFonts w:hint="eastAsia" w:ascii="仿宋_GB2312" w:eastAsia="仿宋_GB2312"/>
          <w:sz w:val="32"/>
          <w:szCs w:val="32"/>
        </w:rPr>
        <w:t>绩效自评表</w:t>
      </w:r>
    </w:p>
    <w:p w14:paraId="5749B46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sz w:val="32"/>
          <w:szCs w:val="32"/>
        </w:rPr>
        <w:br w:type="page"/>
      </w:r>
    </w:p>
    <w:p w14:paraId="771DF4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32E0691">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5" w:name="_Toc15377225"/>
      <w:bookmarkStart w:id="46"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5"/>
      <w:bookmarkEnd w:id="46"/>
    </w:p>
    <w:p w14:paraId="0D0FA063">
      <w:pPr>
        <w:spacing w:line="600" w:lineRule="exact"/>
        <w:jc w:val="left"/>
        <w:rPr>
          <w:rFonts w:ascii="Times New Roman" w:hAnsi="Times New Roman"/>
          <w:b/>
          <w:color w:val="auto"/>
          <w:sz w:val="44"/>
          <w:szCs w:val="44"/>
          <w:highlight w:val="none"/>
        </w:rPr>
      </w:pPr>
    </w:p>
    <w:p w14:paraId="7EB50FD9">
      <w:pPr>
        <w:pStyle w:val="26"/>
        <w:spacing w:line="560" w:lineRule="exact"/>
        <w:ind w:firstLine="640" w:firstLineChars="200"/>
        <w:rPr>
          <w:rFonts w:hint="eastAsia" w:ascii="仿宋_GB2312" w:eastAsia="仿宋_GB2312"/>
          <w:color w:val="auto"/>
          <w:sz w:val="32"/>
          <w:szCs w:val="32"/>
        </w:rPr>
      </w:pPr>
      <w:bookmarkStart w:id="47" w:name="_Toc15377226"/>
      <w:r>
        <w:rPr>
          <w:rFonts w:hint="eastAsia" w:ascii="仿宋_GB2312" w:eastAsia="仿宋_GB2312"/>
          <w:color w:val="auto"/>
          <w:sz w:val="32"/>
          <w:szCs w:val="32"/>
        </w:rPr>
        <w:t>1.财政拨款收入：指单位从同级财政部门取得的财政预算资金。</w:t>
      </w:r>
    </w:p>
    <w:p w14:paraId="5449F2EA">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2.其他收入：指单位取得的除上述收入以外的各项收入。主要</w:t>
      </w:r>
      <w:r>
        <w:rPr>
          <w:rFonts w:hint="eastAsia" w:ascii="仿宋_GB2312" w:eastAsia="仿宋_GB2312"/>
          <w:color w:val="auto"/>
          <w:sz w:val="32"/>
          <w:szCs w:val="32"/>
          <w:lang w:eastAsia="zh-CN"/>
        </w:rPr>
        <w:t>是</w:t>
      </w:r>
      <w:r>
        <w:rPr>
          <w:rFonts w:hint="eastAsia" w:ascii="仿宋_GB2312" w:eastAsia="仿宋_GB2312"/>
          <w:color w:val="auto"/>
          <w:sz w:val="32"/>
          <w:szCs w:val="32"/>
        </w:rPr>
        <w:t xml:space="preserve">基本账户利息收入等。 </w:t>
      </w:r>
    </w:p>
    <w:p w14:paraId="243AA21D">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3.</w:t>
      </w:r>
      <w:r>
        <w:rPr>
          <w:rFonts w:hint="eastAsia" w:ascii="仿宋_GB2312" w:eastAsia="仿宋_GB2312"/>
          <w:sz w:val="32"/>
          <w:szCs w:val="32"/>
        </w:rPr>
        <w:t>使用非财政拨款结余（含专用结余）</w:t>
      </w:r>
      <w:r>
        <w:rPr>
          <w:rFonts w:hint="eastAsia" w:ascii="仿宋_GB2312" w:eastAsia="仿宋_GB2312"/>
          <w:color w:val="auto"/>
          <w:sz w:val="32"/>
          <w:szCs w:val="32"/>
        </w:rPr>
        <w:t xml:space="preserve">：指事业单位使用以前年度积累的非财政拨款结余弥补当年收支差额的金额。 </w:t>
      </w:r>
    </w:p>
    <w:p w14:paraId="60E81FCF">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 xml:space="preserve">4.年初结转和结余：指以前年度尚未完成、结转到本年按有关规定继续使用的资金。 </w:t>
      </w:r>
    </w:p>
    <w:p w14:paraId="23DDAAFD">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5.结余分配：指事业单位按照会计制度规定缴纳的所得税、提取的专用结余以及转入非财政拨款结余的金额等。</w:t>
      </w:r>
    </w:p>
    <w:p w14:paraId="02194253">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6.年末结转和结余：指单位按有关规定结转到下年或以后年度继续使用的资金。</w:t>
      </w:r>
    </w:p>
    <w:p w14:paraId="41DF8DF7">
      <w:pPr>
        <w:ind w:firstLine="640" w:firstLineChars="200"/>
        <w:rPr>
          <w:rFonts w:hint="eastAsia" w:ascii="仿宋_GB2312" w:eastAsia="仿宋_GB2312"/>
          <w:sz w:val="32"/>
          <w:szCs w:val="32"/>
        </w:rPr>
      </w:pPr>
      <w:r>
        <w:rPr>
          <w:rFonts w:hint="eastAsia" w:ascii="仿宋_GB2312" w:eastAsia="仿宋_GB2312"/>
          <w:sz w:val="32"/>
          <w:szCs w:val="32"/>
        </w:rPr>
        <w:t>7.一般公共服务（类）群众团体事务（款）行政运行：指</w:t>
      </w:r>
      <w:r>
        <w:rPr>
          <w:rFonts w:hint="eastAsia" w:ascii="仿宋_GB2312" w:eastAsia="仿宋_GB2312"/>
          <w:sz w:val="32"/>
          <w:szCs w:val="32"/>
          <w:lang w:eastAsia="zh-CN"/>
        </w:rPr>
        <w:t>反映</w:t>
      </w:r>
      <w:r>
        <w:rPr>
          <w:rFonts w:hint="eastAsia" w:ascii="仿宋_GB2312" w:eastAsia="仿宋_GB2312"/>
          <w:sz w:val="32"/>
          <w:szCs w:val="32"/>
        </w:rPr>
        <w:t>行政单位的基本支出</w:t>
      </w:r>
      <w:r>
        <w:rPr>
          <w:rFonts w:hint="eastAsia" w:ascii="仿宋_GB2312" w:eastAsia="仿宋_GB2312"/>
          <w:sz w:val="32"/>
          <w:szCs w:val="32"/>
          <w:lang w:eastAsia="zh-CN"/>
        </w:rPr>
        <w:t>。</w:t>
      </w:r>
    </w:p>
    <w:p w14:paraId="05D92499">
      <w:pPr>
        <w:ind w:firstLine="640" w:firstLineChars="200"/>
        <w:rPr>
          <w:rFonts w:hint="eastAsia" w:ascii="仿宋_GB2312" w:eastAsia="仿宋_GB2312"/>
          <w:sz w:val="32"/>
          <w:szCs w:val="32"/>
        </w:rPr>
      </w:pPr>
      <w:r>
        <w:rPr>
          <w:rFonts w:hint="eastAsia" w:ascii="仿宋_GB2312" w:eastAsia="仿宋_GB2312"/>
          <w:sz w:val="32"/>
          <w:szCs w:val="32"/>
        </w:rPr>
        <w:t>8. 社会保障和就业（类）行政事业单位离退休（款）机关事业单位基本养老保险缴费支出（项）</w:t>
      </w:r>
      <w:r>
        <w:rPr>
          <w:rFonts w:hint="eastAsia" w:ascii="仿宋_GB2312" w:eastAsia="仿宋_GB2312"/>
          <w:sz w:val="32"/>
          <w:szCs w:val="32"/>
          <w:lang w:eastAsia="zh-CN"/>
        </w:rPr>
        <w:t>：</w:t>
      </w:r>
      <w:r>
        <w:rPr>
          <w:rFonts w:hint="eastAsia" w:ascii="仿宋_GB2312" w:eastAsia="仿宋_GB2312"/>
          <w:sz w:val="32"/>
          <w:szCs w:val="32"/>
        </w:rPr>
        <w:t xml:space="preserve"> 指反映机关事业单位实施养老保险制度由单位缴纳的基本养老保险费支出。</w:t>
      </w:r>
    </w:p>
    <w:p w14:paraId="00D2580E">
      <w:pPr>
        <w:pStyle w:val="2"/>
      </w:pPr>
      <w:r>
        <w:t xml:space="preserve">       </w:t>
      </w:r>
      <w:r>
        <w:rPr>
          <w:rFonts w:hint="eastAsia" w:ascii="方正仿宋_GBK" w:eastAsia="方正仿宋_GBK"/>
          <w:sz w:val="32"/>
          <w:szCs w:val="32"/>
        </w:rPr>
        <w:t>9.</w:t>
      </w:r>
      <w:r>
        <w:rPr>
          <w:rFonts w:hint="eastAsia" w:ascii="仿宋_GB2312" w:eastAsia="仿宋_GB2312"/>
          <w:sz w:val="32"/>
          <w:szCs w:val="32"/>
        </w:rPr>
        <w:t>社会保障和就业（类）行政事业单位离退休（款）机关事业单位职业年金缴费支出（项）</w:t>
      </w:r>
      <w:r>
        <w:rPr>
          <w:rFonts w:hint="eastAsia" w:ascii="仿宋_GB2312" w:eastAsia="仿宋_GB2312"/>
          <w:sz w:val="32"/>
          <w:szCs w:val="32"/>
          <w:lang w:eastAsia="zh-CN"/>
        </w:rPr>
        <w:t>：</w:t>
      </w:r>
      <w:r>
        <w:rPr>
          <w:rFonts w:hint="eastAsia" w:ascii="仿宋_GB2312" w:eastAsia="仿宋_GB2312"/>
          <w:sz w:val="32"/>
          <w:szCs w:val="32"/>
        </w:rPr>
        <w:t>指反映机关事业单位实施养老保险制度</w:t>
      </w:r>
      <w:r>
        <w:rPr>
          <w:rFonts w:hint="eastAsia" w:ascii="仿宋_GB2312" w:eastAsia="仿宋_GB2312"/>
          <w:sz w:val="32"/>
          <w:szCs w:val="32"/>
          <w:lang w:eastAsia="zh-CN"/>
        </w:rPr>
        <w:t>有关</w:t>
      </w:r>
      <w:r>
        <w:rPr>
          <w:rFonts w:hint="eastAsia" w:ascii="仿宋_GB2312" w:eastAsia="仿宋_GB2312"/>
          <w:sz w:val="32"/>
          <w:szCs w:val="32"/>
        </w:rPr>
        <w:t>单位实际缴纳的职业年金支出。</w:t>
      </w:r>
    </w:p>
    <w:p w14:paraId="1E9A7526">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10.卫生健康（类）行政事业单位医疗（款）行政单位医疗（项）</w:t>
      </w:r>
      <w:r>
        <w:rPr>
          <w:rFonts w:hint="eastAsia" w:ascii="仿宋_GB2312" w:eastAsia="仿宋_GB2312"/>
          <w:color w:val="auto"/>
          <w:sz w:val="32"/>
          <w:szCs w:val="32"/>
          <w:lang w:eastAsia="zh-CN"/>
        </w:rPr>
        <w:t>：</w:t>
      </w:r>
      <w:r>
        <w:rPr>
          <w:rFonts w:hint="eastAsia" w:ascii="仿宋_GB2312" w:eastAsia="仿宋_GB2312"/>
          <w:color w:val="auto"/>
          <w:sz w:val="32"/>
          <w:szCs w:val="32"/>
        </w:rPr>
        <w:t>指反映财政部门安排的行政单位基本医疗保险缴费经费。</w:t>
      </w:r>
    </w:p>
    <w:p w14:paraId="1F9C8842">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11.卫生健康（类）行政事业单位医疗（款）公务员医疗补助（项）</w:t>
      </w:r>
      <w:r>
        <w:rPr>
          <w:rFonts w:hint="eastAsia" w:ascii="仿宋_GB2312" w:eastAsia="仿宋_GB2312"/>
          <w:color w:val="auto"/>
          <w:sz w:val="32"/>
          <w:szCs w:val="32"/>
          <w:lang w:eastAsia="zh-CN"/>
        </w:rPr>
        <w:t>：</w:t>
      </w:r>
      <w:r>
        <w:rPr>
          <w:rFonts w:hint="eastAsia" w:ascii="仿宋_GB2312" w:eastAsia="仿宋_GB2312"/>
          <w:color w:val="auto"/>
          <w:sz w:val="32"/>
          <w:szCs w:val="32"/>
        </w:rPr>
        <w:t>指反映财政部门安排的公务员医疗补助经费。</w:t>
      </w:r>
    </w:p>
    <w:p w14:paraId="7D25B3F5">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12.卫生健康（类）行政事业单位医疗（款）其他行政事业单位医疗支出（项）</w:t>
      </w:r>
      <w:r>
        <w:rPr>
          <w:rFonts w:hint="eastAsia" w:ascii="仿宋_GB2312" w:eastAsia="仿宋_GB2312"/>
          <w:color w:val="auto"/>
          <w:sz w:val="32"/>
          <w:szCs w:val="32"/>
          <w:lang w:eastAsia="zh-CN"/>
        </w:rPr>
        <w:t>：</w:t>
      </w:r>
      <w:r>
        <w:rPr>
          <w:rFonts w:hint="eastAsia" w:ascii="仿宋_GB2312" w:eastAsia="仿宋_GB2312"/>
          <w:color w:val="auto"/>
          <w:sz w:val="32"/>
          <w:szCs w:val="32"/>
        </w:rPr>
        <w:t>指反映其他用于行政事业单位医疗方面的支出</w:t>
      </w:r>
    </w:p>
    <w:p w14:paraId="355FA86B">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13.卫生健康（类）行政事业单位医疗（款）事业单位医疗（项）：指反映财政部门安排的事业单位基本医疗保险缴费经费。</w:t>
      </w:r>
    </w:p>
    <w:p w14:paraId="1991CBAA">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14.住房保障</w:t>
      </w:r>
      <w:r>
        <w:rPr>
          <w:rFonts w:hint="eastAsia" w:ascii="仿宋_GB2312" w:eastAsia="仿宋_GB2312"/>
          <w:color w:val="auto"/>
          <w:sz w:val="32"/>
          <w:szCs w:val="32"/>
          <w:lang w:eastAsia="zh-CN"/>
        </w:rPr>
        <w:t>（</w:t>
      </w:r>
      <w:r>
        <w:rPr>
          <w:rFonts w:hint="eastAsia" w:ascii="仿宋_GB2312" w:eastAsia="仿宋_GB2312"/>
          <w:color w:val="auto"/>
          <w:sz w:val="32"/>
          <w:szCs w:val="32"/>
        </w:rPr>
        <w:t>类</w:t>
      </w:r>
      <w:r>
        <w:rPr>
          <w:rFonts w:hint="eastAsia" w:ascii="仿宋_GB2312" w:eastAsia="仿宋_GB2312"/>
          <w:color w:val="auto"/>
          <w:sz w:val="32"/>
          <w:szCs w:val="32"/>
          <w:lang w:eastAsia="zh-CN"/>
        </w:rPr>
        <w:t>）住房</w:t>
      </w:r>
      <w:r>
        <w:rPr>
          <w:rFonts w:hint="eastAsia" w:ascii="仿宋_GB2312" w:eastAsia="仿宋_GB2312"/>
          <w:color w:val="auto"/>
          <w:sz w:val="32"/>
          <w:szCs w:val="32"/>
        </w:rPr>
        <w:t>改革支出</w:t>
      </w:r>
      <w:r>
        <w:rPr>
          <w:rFonts w:hint="eastAsia" w:ascii="仿宋_GB2312" w:eastAsia="仿宋_GB2312"/>
          <w:color w:val="auto"/>
          <w:sz w:val="32"/>
          <w:szCs w:val="32"/>
          <w:lang w:eastAsia="zh-CN"/>
        </w:rPr>
        <w:t>（</w:t>
      </w:r>
      <w:r>
        <w:rPr>
          <w:rFonts w:hint="eastAsia" w:ascii="仿宋_GB2312" w:eastAsia="仿宋_GB2312"/>
          <w:color w:val="auto"/>
          <w:sz w:val="32"/>
          <w:szCs w:val="32"/>
        </w:rPr>
        <w:t>款</w:t>
      </w:r>
      <w:r>
        <w:rPr>
          <w:rFonts w:hint="eastAsia" w:ascii="仿宋_GB2312" w:eastAsia="仿宋_GB2312"/>
          <w:color w:val="auto"/>
          <w:sz w:val="32"/>
          <w:szCs w:val="32"/>
          <w:lang w:eastAsia="zh-CN"/>
        </w:rPr>
        <w:t>）</w:t>
      </w:r>
      <w:r>
        <w:rPr>
          <w:rFonts w:hint="eastAsia" w:ascii="仿宋_GB2312" w:eastAsia="仿宋_GB2312"/>
          <w:color w:val="auto"/>
          <w:sz w:val="32"/>
          <w:szCs w:val="32"/>
        </w:rPr>
        <w:t>住房公积金</w:t>
      </w:r>
      <w:r>
        <w:rPr>
          <w:rFonts w:hint="eastAsia" w:ascii="仿宋_GB2312" w:eastAsia="仿宋_GB2312"/>
          <w:color w:val="auto"/>
          <w:sz w:val="32"/>
          <w:szCs w:val="32"/>
          <w:lang w:eastAsia="zh-CN"/>
        </w:rPr>
        <w:t>（</w:t>
      </w:r>
      <w:r>
        <w:rPr>
          <w:rFonts w:hint="eastAsia" w:ascii="仿宋_GB2312" w:eastAsia="仿宋_GB2312"/>
          <w:color w:val="auto"/>
          <w:sz w:val="32"/>
          <w:szCs w:val="32"/>
        </w:rPr>
        <w:t>项</w:t>
      </w:r>
      <w:r>
        <w:rPr>
          <w:rFonts w:hint="eastAsia" w:ascii="仿宋_GB2312" w:eastAsia="仿宋_GB2312"/>
          <w:color w:val="auto"/>
          <w:sz w:val="32"/>
          <w:szCs w:val="32"/>
          <w:lang w:eastAsia="zh-CN"/>
        </w:rPr>
        <w:t>）：</w:t>
      </w:r>
      <w:r>
        <w:rPr>
          <w:rFonts w:hint="eastAsia" w:ascii="仿宋_GB2312" w:eastAsia="仿宋_GB2312"/>
          <w:color w:val="auto"/>
          <w:sz w:val="32"/>
          <w:szCs w:val="32"/>
        </w:rPr>
        <w:t>指反映行政事业单位按人力资源和社会保障部、财政部规定的基本工资和津补贴以及规定比例为职工缴纳的住房公积金。</w:t>
      </w:r>
    </w:p>
    <w:p w14:paraId="09D72390">
      <w:pPr>
        <w:spacing w:line="600" w:lineRule="exact"/>
        <w:ind w:firstLine="640"/>
        <w:rPr>
          <w:rFonts w:hint="eastAsia" w:ascii="仿宋" w:eastAsia="仿宋"/>
          <w:b/>
          <w:sz w:val="32"/>
          <w:szCs w:val="32"/>
        </w:rPr>
      </w:pPr>
      <w:r>
        <w:rPr>
          <w:rFonts w:hint="eastAsia" w:ascii="仿宋" w:eastAsia="仿宋"/>
          <w:b/>
          <w:sz w:val="32"/>
          <w:szCs w:val="32"/>
        </w:rPr>
        <w:t>（解释本单位决算报表中涉及的全部功能分类科目至项级，不涉及的科目请自行删除。请参照《2023年政府收支分类科目》增减内容。）</w:t>
      </w:r>
    </w:p>
    <w:p w14:paraId="47C9DCCB">
      <w:pPr>
        <w:ind w:firstLine="640" w:firstLineChars="200"/>
        <w:rPr>
          <w:rFonts w:hint="eastAsia" w:ascii="仿宋_GB2312" w:eastAsia="仿宋_GB2312"/>
          <w:sz w:val="32"/>
          <w:szCs w:val="32"/>
        </w:rPr>
      </w:pPr>
      <w:r>
        <w:rPr>
          <w:rFonts w:hint="eastAsia" w:ascii="仿宋_GB2312" w:eastAsia="仿宋_GB2312"/>
          <w:sz w:val="32"/>
          <w:szCs w:val="32"/>
        </w:rPr>
        <w:t>15.基本支出：指为保障机构正常运转、完成日常工作任务而发生的人员支出和公用支出。</w:t>
      </w:r>
    </w:p>
    <w:p w14:paraId="45D571E1">
      <w:pPr>
        <w:ind w:firstLine="640" w:firstLineChars="200"/>
        <w:rPr>
          <w:rFonts w:hint="eastAsia" w:ascii="仿宋_GB2312" w:eastAsia="仿宋_GB2312"/>
          <w:sz w:val="32"/>
          <w:szCs w:val="32"/>
        </w:rPr>
      </w:pPr>
      <w:r>
        <w:rPr>
          <w:rFonts w:hint="eastAsia" w:ascii="仿宋_GB2312" w:eastAsia="仿宋_GB2312"/>
          <w:sz w:val="32"/>
          <w:szCs w:val="32"/>
        </w:rPr>
        <w:t xml:space="preserve">16.项目支出：指在基本支出之外为完成特定行政任务和事业发展目标所发生的支出。 </w:t>
      </w:r>
    </w:p>
    <w:p w14:paraId="59916068">
      <w:pPr>
        <w:ind w:firstLine="640" w:firstLineChars="200"/>
        <w:rPr>
          <w:rFonts w:hint="eastAsia" w:ascii="仿宋_GB2312" w:eastAsia="仿宋_GB2312"/>
          <w:sz w:val="32"/>
          <w:szCs w:val="32"/>
        </w:rPr>
      </w:pPr>
      <w:r>
        <w:rPr>
          <w:rFonts w:hint="eastAsia" w:ascii="仿宋_GB2312" w:eastAsia="仿宋_GB2312"/>
          <w:sz w:val="32"/>
          <w:szCs w:val="32"/>
        </w:rPr>
        <w:t>17.经营支出：指事业单位在专业业务活动及其辅助活动之外开展非独立核算经营活动发生的支出。</w:t>
      </w:r>
    </w:p>
    <w:p w14:paraId="41F86C60">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18.“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7A348CC">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1FCDCA5">
      <w:pPr>
        <w:spacing w:line="600" w:lineRule="exact"/>
        <w:jc w:val="center"/>
        <w:rPr>
          <w:rStyle w:val="28"/>
          <w:rFonts w:hint="eastAsia" w:ascii="Times New Roman" w:hAnsi="Times New Roman" w:eastAsia="黑体"/>
          <w:b w:val="0"/>
          <w:color w:val="auto"/>
          <w:highlight w:val="none"/>
          <w:lang w:eastAsia="zh-CN"/>
        </w:rPr>
      </w:pPr>
      <w:r>
        <w:rPr>
          <w:rFonts w:hint="eastAsia" w:ascii="仿宋" w:eastAsia="仿宋"/>
          <w:b/>
          <w:sz w:val="32"/>
          <w:szCs w:val="32"/>
        </w:rPr>
        <w:t>（名词解释部分请根据各单位实际列支情况罗列，并根据本单位职责职能增减名词解释内容。）</w:t>
      </w:r>
      <w:r>
        <w:rPr>
          <w:rFonts w:hint="eastAsia" w:ascii="Times New Roman" w:hAnsi="Times New Roman" w:eastAsia="仿宋_GB2312" w:cs="仿宋_GB2312"/>
          <w:color w:val="auto"/>
          <w:kern w:val="2"/>
          <w:sz w:val="32"/>
          <w:szCs w:val="32"/>
          <w:highlight w:val="none"/>
          <w:lang w:val="en-US" w:eastAsia="zh-CN" w:bidi="ar-SA"/>
        </w:rPr>
        <w:br w:type="page"/>
      </w:r>
      <w:bookmarkStart w:id="48"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8"/>
    </w:p>
    <w:p w14:paraId="6CCF4D32">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B6672A4">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4B2DF5E0">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35CF9073">
      <w:pPr>
        <w:spacing w:line="600" w:lineRule="exact"/>
        <w:jc w:val="center"/>
        <w:outlineLvl w:val="0"/>
        <w:rPr>
          <w:rFonts w:hint="eastAsia" w:ascii="黑体" w:eastAsia="黑体"/>
          <w:color w:val="FF0000"/>
          <w:sz w:val="44"/>
          <w:szCs w:val="44"/>
        </w:rPr>
      </w:pPr>
      <w:r>
        <w:rPr>
          <w:rFonts w:hint="eastAsia"/>
          <w:sz w:val="32"/>
          <w:szCs w:val="32"/>
        </w:rPr>
        <w:t>部门预算项目支出绩效自评表（202</w:t>
      </w:r>
      <w:r>
        <w:rPr>
          <w:rFonts w:hint="eastAsia"/>
          <w:sz w:val="32"/>
          <w:szCs w:val="32"/>
          <w:lang w:val="en-US" w:eastAsia="zh-CN"/>
        </w:rPr>
        <w:t>4</w:t>
      </w:r>
      <w:r>
        <w:rPr>
          <w:rFonts w:hint="eastAsia"/>
          <w:sz w:val="32"/>
          <w:szCs w:val="32"/>
        </w:rPr>
        <w:t>年度）</w:t>
      </w:r>
    </w:p>
    <w:p w14:paraId="0214051E">
      <w:pPr>
        <w:pStyle w:val="3"/>
        <w:spacing w:line="560" w:lineRule="exact"/>
        <w:ind w:left="420" w:firstLine="640"/>
        <w:rPr>
          <w:rFonts w:hint="eastAsia"/>
          <w:sz w:val="32"/>
        </w:rPr>
      </w:pPr>
    </w:p>
    <w:tbl>
      <w:tblPr>
        <w:tblStyle w:val="15"/>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9575"/>
        <w:gridCol w:w="236"/>
      </w:tblGrid>
      <w:tr w14:paraId="0C57138B">
        <w:tblPrEx>
          <w:tblCellMar>
            <w:top w:w="0" w:type="dxa"/>
            <w:left w:w="108" w:type="dxa"/>
            <w:bottom w:w="0" w:type="dxa"/>
            <w:right w:w="108" w:type="dxa"/>
          </w:tblCellMar>
        </w:tblPrEx>
        <w:trPr>
          <w:trHeight w:val="675" w:hRule="atLeast"/>
        </w:trPr>
        <w:tc>
          <w:tcPr>
            <w:tcW w:w="9575" w:type="dxa"/>
            <w:tcBorders>
              <w:top w:val="nil"/>
              <w:left w:val="nil"/>
              <w:bottom w:val="nil"/>
              <w:right w:val="nil"/>
            </w:tcBorders>
            <w:shd w:val="clear" w:color="auto" w:fill="auto"/>
            <w:noWrap/>
            <w:vAlign w:val="center"/>
          </w:tcPr>
          <w:p w14:paraId="1235BB5D">
            <w:pPr>
              <w:widowControl/>
              <w:ind w:firstLine="803" w:firstLineChars="250"/>
              <w:textAlignment w:val="center"/>
              <w:rPr>
                <w:rFonts w:hint="eastAsia" w:ascii="宋体" w:cs="宋体"/>
                <w:b/>
                <w:sz w:val="32"/>
                <w:szCs w:val="32"/>
              </w:rPr>
            </w:pPr>
            <w:r>
              <w:rPr>
                <w:rFonts w:hint="eastAsia" w:ascii="宋体" w:cs="宋体"/>
                <w:b/>
                <w:sz w:val="32"/>
                <w:szCs w:val="32"/>
              </w:rPr>
              <w:t>我会中心202</w:t>
            </w:r>
            <w:r>
              <w:rPr>
                <w:rFonts w:hint="eastAsia" w:ascii="宋体" w:cs="宋体"/>
                <w:b/>
                <w:sz w:val="32"/>
                <w:szCs w:val="32"/>
                <w:lang w:val="en-US" w:eastAsia="zh-CN"/>
              </w:rPr>
              <w:t>4</w:t>
            </w:r>
            <w:r>
              <w:rPr>
                <w:rFonts w:hint="eastAsia" w:ascii="宋体" w:cs="宋体"/>
                <w:b/>
                <w:sz w:val="32"/>
                <w:szCs w:val="32"/>
              </w:rPr>
              <w:t>年度无部门预算项目。</w:t>
            </w:r>
          </w:p>
        </w:tc>
        <w:tc>
          <w:tcPr>
            <w:tcW w:w="236" w:type="dxa"/>
            <w:tcBorders>
              <w:top w:val="nil"/>
              <w:left w:val="nil"/>
              <w:bottom w:val="nil"/>
              <w:right w:val="nil"/>
            </w:tcBorders>
            <w:shd w:val="clear" w:color="auto" w:fill="auto"/>
            <w:noWrap/>
            <w:vAlign w:val="center"/>
          </w:tcPr>
          <w:p w14:paraId="7684884F">
            <w:pPr>
              <w:widowControl/>
              <w:jc w:val="center"/>
              <w:textAlignment w:val="center"/>
              <w:rPr>
                <w:rFonts w:hint="eastAsia" w:ascii="宋体" w:cs="宋体"/>
                <w:b/>
                <w:kern w:val="0"/>
                <w:sz w:val="32"/>
                <w:szCs w:val="32"/>
              </w:rPr>
            </w:pPr>
          </w:p>
        </w:tc>
      </w:tr>
    </w:tbl>
    <w:p w14:paraId="183E4BB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2D226A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49"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5DC158C6">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47"/>
      <w:bookmarkEnd w:id="49"/>
      <w:bookmarkStart w:id="50" w:name="_Toc15396619"/>
    </w:p>
    <w:p w14:paraId="13C6B50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2D26E87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0"/>
    </w:p>
    <w:p w14:paraId="6C4C8D6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0"/>
      <w:r>
        <w:rPr>
          <w:rFonts w:hint="eastAsia" w:ascii="Times New Roman" w:hAnsi="Times New Roman" w:eastAsia="仿宋_GB2312" w:cs="仿宋_GB2312"/>
          <w:color w:val="auto"/>
          <w:sz w:val="32"/>
          <w:szCs w:val="32"/>
          <w:highlight w:val="none"/>
        </w:rPr>
        <w:t>二、收入决算表</w:t>
      </w:r>
      <w:bookmarkEnd w:id="51"/>
    </w:p>
    <w:p w14:paraId="43ACF17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1"/>
      <w:r>
        <w:rPr>
          <w:rFonts w:hint="eastAsia" w:ascii="Times New Roman" w:hAnsi="Times New Roman" w:eastAsia="仿宋_GB2312" w:cs="仿宋_GB2312"/>
          <w:color w:val="auto"/>
          <w:sz w:val="32"/>
          <w:szCs w:val="32"/>
          <w:highlight w:val="none"/>
        </w:rPr>
        <w:t>三、支出决算表</w:t>
      </w:r>
      <w:bookmarkEnd w:id="52"/>
    </w:p>
    <w:p w14:paraId="1081181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2"/>
      <w:r>
        <w:rPr>
          <w:rFonts w:hint="eastAsia" w:ascii="Times New Roman" w:hAnsi="Times New Roman" w:eastAsia="仿宋_GB2312" w:cs="仿宋_GB2312"/>
          <w:color w:val="auto"/>
          <w:sz w:val="32"/>
          <w:szCs w:val="32"/>
          <w:highlight w:val="none"/>
        </w:rPr>
        <w:t>四、财政拨款收入支出决算总表</w:t>
      </w:r>
      <w:bookmarkEnd w:id="53"/>
    </w:p>
    <w:p w14:paraId="2A6AFF2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3"/>
      <w:r>
        <w:rPr>
          <w:rFonts w:hint="eastAsia" w:ascii="Times New Roman" w:hAnsi="Times New Roman" w:eastAsia="仿宋_GB2312" w:cs="仿宋_GB2312"/>
          <w:color w:val="auto"/>
          <w:sz w:val="32"/>
          <w:szCs w:val="32"/>
          <w:highlight w:val="none"/>
        </w:rPr>
        <w:t>五、财政拨款支出决算明细表</w:t>
      </w:r>
      <w:bookmarkEnd w:id="54"/>
      <w:bookmarkStart w:id="55" w:name="_Toc15396624"/>
    </w:p>
    <w:p w14:paraId="5B69A2C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5"/>
    </w:p>
    <w:p w14:paraId="6A3A1F3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5"/>
      <w:r>
        <w:rPr>
          <w:rFonts w:hint="eastAsia" w:ascii="Times New Roman" w:hAnsi="Times New Roman" w:eastAsia="仿宋_GB2312" w:cs="仿宋_GB2312"/>
          <w:color w:val="auto"/>
          <w:sz w:val="32"/>
          <w:szCs w:val="32"/>
          <w:highlight w:val="none"/>
        </w:rPr>
        <w:t>七、一般公共预算财政拨款支出决算明细表</w:t>
      </w:r>
      <w:bookmarkEnd w:id="56"/>
    </w:p>
    <w:p w14:paraId="27E12ED6">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6"/>
      <w:r>
        <w:rPr>
          <w:rFonts w:hint="eastAsia" w:ascii="Times New Roman" w:hAnsi="Times New Roman" w:eastAsia="仿宋_GB2312" w:cs="仿宋_GB2312"/>
          <w:color w:val="auto"/>
          <w:sz w:val="32"/>
          <w:szCs w:val="32"/>
          <w:highlight w:val="none"/>
        </w:rPr>
        <w:t>八、一般公共预算财政拨款基本支出决算表</w:t>
      </w:r>
      <w:bookmarkEnd w:id="57"/>
    </w:p>
    <w:p w14:paraId="527E77F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7"/>
      <w:r>
        <w:rPr>
          <w:rFonts w:hint="eastAsia" w:ascii="Times New Roman" w:hAnsi="Times New Roman" w:eastAsia="仿宋_GB2312" w:cs="仿宋_GB2312"/>
          <w:color w:val="auto"/>
          <w:sz w:val="32"/>
          <w:szCs w:val="32"/>
          <w:highlight w:val="none"/>
        </w:rPr>
        <w:t>九、一般公共预算财政拨款项目支出决算表</w:t>
      </w:r>
      <w:bookmarkEnd w:id="58"/>
    </w:p>
    <w:p w14:paraId="4C881542">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8"/>
      <w:r>
        <w:rPr>
          <w:rFonts w:hint="eastAsia" w:ascii="Times New Roman" w:hAnsi="Times New Roman" w:eastAsia="仿宋_GB2312" w:cs="仿宋_GB2312"/>
          <w:color w:val="auto"/>
          <w:sz w:val="32"/>
          <w:szCs w:val="32"/>
          <w:highlight w:val="none"/>
        </w:rPr>
        <w:t>十、</w:t>
      </w:r>
      <w:bookmarkEnd w:id="59"/>
      <w:r>
        <w:rPr>
          <w:rFonts w:hint="eastAsia" w:ascii="Times New Roman" w:hAnsi="Times New Roman" w:eastAsia="仿宋_GB2312" w:cs="仿宋_GB2312"/>
          <w:color w:val="auto"/>
          <w:sz w:val="32"/>
          <w:szCs w:val="32"/>
          <w:highlight w:val="none"/>
        </w:rPr>
        <w:t>政府性基金预算财政拨款收入支出决算表</w:t>
      </w:r>
    </w:p>
    <w:p w14:paraId="3D14BBB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9"/>
      <w:r>
        <w:rPr>
          <w:rFonts w:hint="eastAsia" w:ascii="Times New Roman" w:hAnsi="Times New Roman" w:eastAsia="仿宋_GB2312" w:cs="仿宋_GB2312"/>
          <w:color w:val="auto"/>
          <w:sz w:val="32"/>
          <w:szCs w:val="32"/>
          <w:highlight w:val="none"/>
        </w:rPr>
        <w:t>十一、</w:t>
      </w:r>
      <w:bookmarkEnd w:id="60"/>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0FACE50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30"/>
      <w:r>
        <w:rPr>
          <w:rFonts w:hint="eastAsia" w:ascii="Times New Roman" w:hAnsi="Times New Roman" w:eastAsia="仿宋_GB2312" w:cs="仿宋_GB2312"/>
          <w:color w:val="auto"/>
          <w:sz w:val="32"/>
          <w:szCs w:val="32"/>
          <w:highlight w:val="none"/>
        </w:rPr>
        <w:t>十二、</w:t>
      </w:r>
      <w:bookmarkEnd w:id="61"/>
      <w:r>
        <w:rPr>
          <w:rFonts w:hint="eastAsia" w:ascii="Times New Roman" w:hAnsi="Times New Roman" w:eastAsia="仿宋_GB2312" w:cs="仿宋_GB2312"/>
          <w:color w:val="auto"/>
          <w:sz w:val="32"/>
          <w:szCs w:val="32"/>
          <w:highlight w:val="none"/>
          <w:lang w:eastAsia="zh-CN"/>
        </w:rPr>
        <w:t>国有资本经营预算财政拨款支出决算表</w:t>
      </w:r>
    </w:p>
    <w:p w14:paraId="4154475E">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2" w:name="_Toc15396631"/>
      <w:r>
        <w:rPr>
          <w:rFonts w:hint="eastAsia" w:ascii="Times New Roman" w:hAnsi="Times New Roman" w:eastAsia="仿宋_GB2312" w:cs="仿宋_GB2312"/>
          <w:color w:val="auto"/>
          <w:sz w:val="32"/>
          <w:szCs w:val="32"/>
          <w:highlight w:val="none"/>
        </w:rPr>
        <w:t>十三、</w:t>
      </w:r>
      <w:bookmarkEnd w:id="62"/>
      <w:r>
        <w:rPr>
          <w:rFonts w:hint="eastAsia" w:ascii="Times New Roman" w:hAnsi="Times New Roman" w:eastAsia="仿宋_GB2312" w:cs="仿宋_GB2312"/>
          <w:color w:val="auto"/>
          <w:sz w:val="32"/>
          <w:szCs w:val="32"/>
          <w:highlight w:val="none"/>
          <w:lang w:eastAsia="zh-CN"/>
        </w:rPr>
        <w:t>财政拨款“三公”经费支出决算表</w:t>
      </w:r>
    </w:p>
    <w:p w14:paraId="7B5E6AD9">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85E7D">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72F840">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372F840">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6C38398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DFE1C">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E1CA3">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F3E1CA3">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3BB45">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864D17">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B864D17">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37CC9DD6">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4D73F">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E8AE6D">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7E8AE6D">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E2D55">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FDA4F6"/>
    <w:multiLevelType w:val="singleLevel"/>
    <w:tmpl w:val="F5FDA4F6"/>
    <w:lvl w:ilvl="0" w:tentative="0">
      <w:start w:val="1"/>
      <w:numFmt w:val="chineseCounting"/>
      <w:suff w:val="nothing"/>
      <w:lvlText w:val="%1、"/>
      <w:lvlJc w:val="left"/>
      <w:rPr>
        <w:rFonts w:hint="eastAsia"/>
      </w:rPr>
    </w:lvl>
  </w:abstractNum>
  <w:abstractNum w:abstractNumId="1">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D7A1F27"/>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8F3504C"/>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EB54123"/>
    <w:rsid w:val="2F040D46"/>
    <w:rsid w:val="2F6B035B"/>
    <w:rsid w:val="2FAE5751"/>
    <w:rsid w:val="2FB1A395"/>
    <w:rsid w:val="2FD9A7D8"/>
    <w:rsid w:val="2FDBF714"/>
    <w:rsid w:val="30AB6865"/>
    <w:rsid w:val="316F7290"/>
    <w:rsid w:val="319F7F4E"/>
    <w:rsid w:val="32BD1EF1"/>
    <w:rsid w:val="3304709D"/>
    <w:rsid w:val="332F855B"/>
    <w:rsid w:val="33A773CB"/>
    <w:rsid w:val="349D6851"/>
    <w:rsid w:val="3537A2DD"/>
    <w:rsid w:val="36AA5135"/>
    <w:rsid w:val="36BE0DA7"/>
    <w:rsid w:val="376B6AA6"/>
    <w:rsid w:val="376D39B2"/>
    <w:rsid w:val="37BC0E2C"/>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BED46C5"/>
    <w:rsid w:val="4D577224"/>
    <w:rsid w:val="4DBF1CEB"/>
    <w:rsid w:val="4DF0007C"/>
    <w:rsid w:val="4EAB630A"/>
    <w:rsid w:val="4ECE2238"/>
    <w:rsid w:val="4F833267"/>
    <w:rsid w:val="4FE9BD67"/>
    <w:rsid w:val="4FFB052F"/>
    <w:rsid w:val="52AA7CFA"/>
    <w:rsid w:val="537E6D0A"/>
    <w:rsid w:val="53F74C96"/>
    <w:rsid w:val="55170BA8"/>
    <w:rsid w:val="553218C9"/>
    <w:rsid w:val="567E1AA5"/>
    <w:rsid w:val="56E47B74"/>
    <w:rsid w:val="57175D52"/>
    <w:rsid w:val="57B85467"/>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7FE04FE"/>
    <w:rsid w:val="68ED71EF"/>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A595FD"/>
    <w:rsid w:val="6FCE6052"/>
    <w:rsid w:val="6FD57C00"/>
    <w:rsid w:val="6FEFFFD8"/>
    <w:rsid w:val="6FF5CC65"/>
    <w:rsid w:val="6FFB47EC"/>
    <w:rsid w:val="6FFB9853"/>
    <w:rsid w:val="6FFE9DAE"/>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10BC"/>
    <w:rsid w:val="7AFF7572"/>
    <w:rsid w:val="7B6C7DFB"/>
    <w:rsid w:val="7B732BFD"/>
    <w:rsid w:val="7BBFBED0"/>
    <w:rsid w:val="7BC3E394"/>
    <w:rsid w:val="7BFDDED0"/>
    <w:rsid w:val="7C1F3737"/>
    <w:rsid w:val="7CBFC87B"/>
    <w:rsid w:val="7CFE0F48"/>
    <w:rsid w:val="7D272ABC"/>
    <w:rsid w:val="7D7EC23E"/>
    <w:rsid w:val="7E8ADEBF"/>
    <w:rsid w:val="7EAFC628"/>
    <w:rsid w:val="7EEF11D3"/>
    <w:rsid w:val="7EFE4840"/>
    <w:rsid w:val="7F0971A6"/>
    <w:rsid w:val="7F1D62E7"/>
    <w:rsid w:val="7F3F679B"/>
    <w:rsid w:val="7F4FC4EF"/>
    <w:rsid w:val="7F5E4D54"/>
    <w:rsid w:val="7F6E0135"/>
    <w:rsid w:val="7F79F205"/>
    <w:rsid w:val="7F7BB951"/>
    <w:rsid w:val="7FA30C79"/>
    <w:rsid w:val="7FA79C44"/>
    <w:rsid w:val="7FAF8ABF"/>
    <w:rsid w:val="7FB7269E"/>
    <w:rsid w:val="7FC96657"/>
    <w:rsid w:val="7FDA9588"/>
    <w:rsid w:val="7FDF220F"/>
    <w:rsid w:val="7FEDC5F7"/>
    <w:rsid w:val="7FEDD9DE"/>
    <w:rsid w:val="7FF5890D"/>
    <w:rsid w:val="7FF93490"/>
    <w:rsid w:val="8FF52ED4"/>
    <w:rsid w:val="99FF2014"/>
    <w:rsid w:val="9BF62376"/>
    <w:rsid w:val="A6DD0D7F"/>
    <w:rsid w:val="AB7D13AC"/>
    <w:rsid w:val="ACFF4FBB"/>
    <w:rsid w:val="ADC6F725"/>
    <w:rsid w:val="B7CF06AB"/>
    <w:rsid w:val="B7CFA926"/>
    <w:rsid w:val="B7F8786B"/>
    <w:rsid w:val="BABB6AA1"/>
    <w:rsid w:val="BB2F4199"/>
    <w:rsid w:val="BCFFB442"/>
    <w:rsid w:val="BD079C78"/>
    <w:rsid w:val="BD733540"/>
    <w:rsid w:val="BDEF3B1E"/>
    <w:rsid w:val="BF3735D5"/>
    <w:rsid w:val="BF7F09AC"/>
    <w:rsid w:val="BFD475C3"/>
    <w:rsid w:val="BFDE5EA6"/>
    <w:rsid w:val="CF6FC6F3"/>
    <w:rsid w:val="CFD3D3D7"/>
    <w:rsid w:val="CFDF1009"/>
    <w:rsid w:val="D7D7B16A"/>
    <w:rsid w:val="D8D6DB89"/>
    <w:rsid w:val="DB6F4CAB"/>
    <w:rsid w:val="DB777682"/>
    <w:rsid w:val="DD1FB521"/>
    <w:rsid w:val="DEFBFEAE"/>
    <w:rsid w:val="DEFE6B1E"/>
    <w:rsid w:val="DF1F3B80"/>
    <w:rsid w:val="DF6F9789"/>
    <w:rsid w:val="DFE9BE81"/>
    <w:rsid w:val="DFFFA9E8"/>
    <w:rsid w:val="E5F4E9DC"/>
    <w:rsid w:val="E70FE695"/>
    <w:rsid w:val="EB2E368B"/>
    <w:rsid w:val="EB7678A5"/>
    <w:rsid w:val="ECFED1BC"/>
    <w:rsid w:val="ED1D69BB"/>
    <w:rsid w:val="ED7FD312"/>
    <w:rsid w:val="EF2E1AC6"/>
    <w:rsid w:val="EF53993F"/>
    <w:rsid w:val="EF6FD633"/>
    <w:rsid w:val="EFBFB2F4"/>
    <w:rsid w:val="EFBFFA21"/>
    <w:rsid w:val="F2BEBCB8"/>
    <w:rsid w:val="F36FB518"/>
    <w:rsid w:val="F3DE1A04"/>
    <w:rsid w:val="F3F722E5"/>
    <w:rsid w:val="F4FBCD07"/>
    <w:rsid w:val="F62E77A4"/>
    <w:rsid w:val="F8AB5F93"/>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收入、支出决算总计变动情况图</a:t>
            </a:r>
          </a:p>
        </c:rich>
      </c:tx>
      <c:layout/>
      <c:overlay val="0"/>
      <c:spPr>
        <a:noFill/>
        <a:ln>
          <a:noFill/>
        </a:ln>
        <a:effectLst/>
      </c:spPr>
    </c:title>
    <c:autoTitleDeleted val="0"/>
    <c:plotArea>
      <c:layout>
        <c:manualLayout>
          <c:layoutTarget val="inner"/>
          <c:xMode val="edge"/>
          <c:yMode val="edge"/>
          <c:x val="0.0956388888888889"/>
          <c:y val="0.171296296296296"/>
          <c:w val="0.876722222222222"/>
          <c:h val="0.607268518518518"/>
        </c:manualLayout>
      </c:layout>
      <c:barChart>
        <c:barDir val="col"/>
        <c:grouping val="clustered"/>
        <c:varyColors val="0"/>
        <c:ser>
          <c:idx val="0"/>
          <c:order val="0"/>
          <c:tx>
            <c:strRef>
              <c:f>[工作簿1]Sheet1!$A$2</c:f>
              <c:strCache>
                <c:ptCount val="1"/>
                <c:pt idx="0">
                  <c:v>2023年度</c:v>
                </c:pt>
              </c:strCache>
            </c:strRef>
          </c:tx>
          <c:spPr>
            <a:solidFill>
              <a:schemeClr val="accent1"/>
            </a:solidFill>
            <a:ln>
              <a:noFill/>
            </a:ln>
            <a:effectLst/>
          </c:spPr>
          <c:invertIfNegative val="0"/>
          <c:dLbls>
            <c:delete val="1"/>
          </c:dLbls>
          <c:cat>
            <c:strRef>
              <c:f>[工作簿1]Sheet1!$B$1:$C$1</c:f>
              <c:strCache>
                <c:ptCount val="2"/>
                <c:pt idx="0">
                  <c:v>收入</c:v>
                </c:pt>
                <c:pt idx="1">
                  <c:v>支出</c:v>
                </c:pt>
              </c:strCache>
            </c:strRef>
          </c:cat>
          <c:val>
            <c:numRef>
              <c:f>[工作簿1]Sheet1!$B$2:$C$2</c:f>
              <c:numCache>
                <c:formatCode>General</c:formatCode>
                <c:ptCount val="2"/>
                <c:pt idx="0">
                  <c:v>84.41</c:v>
                </c:pt>
                <c:pt idx="1">
                  <c:v>84.41</c:v>
                </c:pt>
              </c:numCache>
            </c:numRef>
          </c:val>
        </c:ser>
        <c:ser>
          <c:idx val="1"/>
          <c:order val="1"/>
          <c:tx>
            <c:strRef>
              <c:f>[工作簿1]Sheet1!$A$3</c:f>
              <c:strCache>
                <c:ptCount val="1"/>
                <c:pt idx="0">
                  <c:v>2024年度</c:v>
                </c:pt>
              </c:strCache>
            </c:strRef>
          </c:tx>
          <c:spPr>
            <a:solidFill>
              <a:schemeClr val="accent2"/>
            </a:solidFill>
            <a:ln>
              <a:noFill/>
            </a:ln>
            <a:effectLst/>
          </c:spPr>
          <c:invertIfNegative val="0"/>
          <c:dLbls>
            <c:delete val="1"/>
          </c:dLbls>
          <c:cat>
            <c:strRef>
              <c:f>[工作簿1]Sheet1!$B$1:$C$1</c:f>
              <c:strCache>
                <c:ptCount val="2"/>
                <c:pt idx="0">
                  <c:v>收入</c:v>
                </c:pt>
                <c:pt idx="1">
                  <c:v>支出</c:v>
                </c:pt>
              </c:strCache>
            </c:strRef>
          </c:cat>
          <c:val>
            <c:numRef>
              <c:f>[工作簿1]Sheet1!$B$3:$C$3</c:f>
              <c:numCache>
                <c:formatCode>General</c:formatCode>
                <c:ptCount val="2"/>
                <c:pt idx="0">
                  <c:v>86.3</c:v>
                </c:pt>
                <c:pt idx="1">
                  <c:v>86.3</c:v>
                </c:pt>
              </c:numCache>
            </c:numRef>
          </c:val>
        </c:ser>
        <c:dLbls>
          <c:showLegendKey val="0"/>
          <c:showVal val="0"/>
          <c:showCatName val="0"/>
          <c:showSerName val="0"/>
          <c:showPercent val="0"/>
          <c:showBubbleSize val="0"/>
        </c:dLbls>
        <c:gapWidth val="219"/>
        <c:overlap val="-27"/>
        <c:axId val="896149099"/>
        <c:axId val="977013316"/>
      </c:barChart>
      <c:catAx>
        <c:axId val="8961490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7013316"/>
        <c:crosses val="autoZero"/>
        <c:auto val="1"/>
        <c:lblAlgn val="ctr"/>
        <c:lblOffset val="100"/>
        <c:noMultiLvlLbl val="0"/>
      </c:catAx>
      <c:valAx>
        <c:axId val="9770133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614909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b049bd6-4a95-436a-940f-d0b539d579a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2024年度收入决算结构图</a:t>
            </a:r>
          </a:p>
        </c:rich>
      </c:tx>
      <c:layout/>
      <c:overlay val="0"/>
      <c:spPr>
        <a:noFill/>
        <a:ln>
          <a:noFill/>
        </a:ln>
        <a:effectLst/>
      </c:spPr>
    </c:title>
    <c:autoTitleDeleted val="0"/>
    <c:plotArea>
      <c:layout/>
      <c:pieChart>
        <c:varyColors val="1"/>
        <c:ser>
          <c:idx val="0"/>
          <c:order val="0"/>
          <c:tx>
            <c:strRef>
              <c:f>[工作簿1]Sheet1!$A$9</c:f>
              <c:strCache>
                <c:ptCount val="1"/>
                <c:pt idx="0">
                  <c:v>2024年度</c:v>
                </c:pt>
              </c:strCache>
            </c:strRef>
          </c:tx>
          <c:spPr/>
          <c:explosion val="0"/>
          <c:dPt>
            <c:idx val="0"/>
            <c:bubble3D val="0"/>
            <c:spPr>
              <a:solidFill>
                <a:schemeClr val="accent1"/>
              </a:solidFill>
              <a:ln w="19050">
                <a:solidFill>
                  <a:schemeClr val="lt1"/>
                </a:solidFill>
              </a:ln>
              <a:effectLst/>
            </c:spPr>
          </c:dPt>
          <c:dLbls>
            <c:delete val="1"/>
          </c:dLbls>
          <c:cat>
            <c:strRef>
              <c:f>[工作簿1]Sheet1!$B$8</c:f>
              <c:strCache>
                <c:ptCount val="1"/>
                <c:pt idx="0">
                  <c:v>收入</c:v>
                </c:pt>
              </c:strCache>
            </c:strRef>
          </c:cat>
          <c:val>
            <c:numRef>
              <c:f>[工作簿1]Sheet1!$B$9</c:f>
              <c:numCache>
                <c:formatCode>General</c:formatCode>
                <c:ptCount val="1"/>
                <c:pt idx="0">
                  <c:v>86.3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5cd8f56-1773-4288-9bfe-7f88db43ac4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2024年度支出决算结构图</a:t>
            </a:r>
          </a:p>
        </c:rich>
      </c:tx>
      <c:layout/>
      <c:overlay val="0"/>
      <c:spPr>
        <a:noFill/>
        <a:ln>
          <a:noFill/>
        </a:ln>
        <a:effectLst/>
      </c:spPr>
    </c:title>
    <c:autoTitleDeleted val="0"/>
    <c:plotArea>
      <c:layout/>
      <c:pieChart>
        <c:varyColors val="1"/>
        <c:ser>
          <c:idx val="0"/>
          <c:order val="0"/>
          <c:tx>
            <c:strRef>
              <c:f>[工作簿1]Sheet1!$A$9</c:f>
              <c:strCache>
                <c:ptCount val="1"/>
                <c:pt idx="0">
                  <c:v>2024年度</c:v>
                </c:pt>
              </c:strCache>
            </c:strRef>
          </c:tx>
          <c:spPr/>
          <c:explosion val="0"/>
          <c:dPt>
            <c:idx val="0"/>
            <c:bubble3D val="0"/>
            <c:spPr>
              <a:solidFill>
                <a:schemeClr val="accent1"/>
              </a:solidFill>
              <a:ln w="19050">
                <a:solidFill>
                  <a:schemeClr val="lt1"/>
                </a:solidFill>
              </a:ln>
              <a:effectLst/>
            </c:spPr>
          </c:dPt>
          <c:dLbls>
            <c:delete val="1"/>
          </c:dLbls>
          <c:cat>
            <c:strRef>
              <c:f>[工作簿1]Sheet1!$B$8</c:f>
              <c:strCache>
                <c:ptCount val="1"/>
                <c:pt idx="0">
                  <c:v>基本支出</c:v>
                </c:pt>
              </c:strCache>
            </c:strRef>
          </c:cat>
          <c:val>
            <c:numRef>
              <c:f>[工作簿1]Sheet1!$B$9</c:f>
              <c:numCache>
                <c:formatCode>General</c:formatCode>
                <c:ptCount val="1"/>
                <c:pt idx="0">
                  <c:v>86.3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c12a173-279c-47e4-9c13-c6ddf8ca07f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2024年度财政拨款收、支决算总计变动情况</a:t>
            </a:r>
          </a:p>
        </c:rich>
      </c:tx>
      <c:layout>
        <c:manualLayout>
          <c:xMode val="edge"/>
          <c:yMode val="edge"/>
          <c:x val="0.122361111111111"/>
          <c:y val="0.0243055555555556"/>
        </c:manualLayout>
      </c:layout>
      <c:overlay val="0"/>
      <c:spPr>
        <a:noFill/>
        <a:ln>
          <a:noFill/>
        </a:ln>
        <a:effectLst/>
      </c:spPr>
    </c:title>
    <c:autoTitleDeleted val="0"/>
    <c:plotArea>
      <c:layout>
        <c:manualLayout>
          <c:layoutTarget val="inner"/>
          <c:xMode val="edge"/>
          <c:yMode val="edge"/>
          <c:x val="0.0827222222222222"/>
          <c:y val="0.165972222222222"/>
          <c:w val="0.884638888888889"/>
          <c:h val="0.71212962962963"/>
        </c:manualLayout>
      </c:layout>
      <c:barChart>
        <c:barDir val="col"/>
        <c:grouping val="clustered"/>
        <c:varyColors val="0"/>
        <c:ser>
          <c:idx val="0"/>
          <c:order val="0"/>
          <c:tx>
            <c:strRef>
              <c:f>[工作簿1]Sheet1!$A$9</c:f>
              <c:strCache>
                <c:ptCount val="1"/>
                <c:pt idx="0">
                  <c:v>2024年度</c:v>
                </c:pt>
              </c:strCache>
            </c:strRef>
          </c:tx>
          <c:spPr>
            <a:solidFill>
              <a:schemeClr val="accent1"/>
            </a:solidFill>
            <a:ln>
              <a:noFill/>
            </a:ln>
            <a:effectLst/>
          </c:spPr>
          <c:invertIfNegative val="0"/>
          <c:dLbls>
            <c:delete val="1"/>
          </c:dLbls>
          <c:cat>
            <c:strRef>
              <c:f>[工作簿1]Sheet1!$B$8</c:f>
              <c:strCache>
                <c:ptCount val="1"/>
                <c:pt idx="0">
                  <c:v>财政拨款收支</c:v>
                </c:pt>
              </c:strCache>
            </c:strRef>
          </c:cat>
          <c:val>
            <c:numRef>
              <c:f>[工作簿1]Sheet1!$B$9</c:f>
              <c:numCache>
                <c:formatCode>General</c:formatCode>
                <c:ptCount val="1"/>
                <c:pt idx="0">
                  <c:v>86.3</c:v>
                </c:pt>
              </c:numCache>
            </c:numRef>
          </c:val>
        </c:ser>
        <c:dLbls>
          <c:showLegendKey val="0"/>
          <c:showVal val="0"/>
          <c:showCatName val="0"/>
          <c:showSerName val="0"/>
          <c:showPercent val="0"/>
          <c:showBubbleSize val="0"/>
        </c:dLbls>
        <c:gapWidth val="219"/>
        <c:overlap val="-27"/>
        <c:axId val="949890341"/>
        <c:axId val="420436770"/>
      </c:barChart>
      <c:catAx>
        <c:axId val="94989034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0436770"/>
        <c:crosses val="autoZero"/>
        <c:auto val="1"/>
        <c:lblAlgn val="ctr"/>
        <c:lblOffset val="100"/>
        <c:noMultiLvlLbl val="0"/>
      </c:catAx>
      <c:valAx>
        <c:axId val="42043677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9890341"/>
        <c:crosses val="autoZero"/>
        <c:crossBetween val="between"/>
      </c:valAx>
      <c:spPr>
        <a:noFill/>
        <a:ln>
          <a:noFill/>
        </a:ln>
        <a:effectLst/>
      </c:spPr>
    </c:plotArea>
    <c:plotVisOnly val="1"/>
    <c:dispBlanksAs val="gap"/>
    <c:showDLblsOverMax val="0"/>
    <c:extLst>
      <c:ext uri="{0b15fc19-7d7d-44ad-8c2d-2c3a37ce22c3}">
        <chartProps xmlns="https://web.wps.cn/et/2018/main" chartId="{bb265d13-c99b-4c78-b3ab-9df115f5306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manualLayout>
          <c:xMode val="edge"/>
          <c:yMode val="edge"/>
          <c:x val="0.142638888888889"/>
          <c:y val="0.037962962962963"/>
        </c:manualLayout>
      </c:layout>
      <c:overlay val="0"/>
      <c:spPr>
        <a:noFill/>
        <a:ln>
          <a:noFill/>
        </a:ln>
        <a:effectLst/>
      </c:spPr>
    </c:title>
    <c:autoTitleDeleted val="0"/>
    <c:plotArea>
      <c:layout>
        <c:manualLayout>
          <c:layoutTarget val="inner"/>
          <c:xMode val="edge"/>
          <c:yMode val="edge"/>
          <c:x val="0.0956388888888889"/>
          <c:y val="0.171296296296296"/>
          <c:w val="0.876722222222222"/>
          <c:h val="0.607268518518518"/>
        </c:manualLayout>
      </c:layout>
      <c:barChart>
        <c:barDir val="col"/>
        <c:grouping val="clustered"/>
        <c:varyColors val="0"/>
        <c:ser>
          <c:idx val="0"/>
          <c:order val="0"/>
          <c:tx>
            <c:strRef>
              <c:f>[工作簿1]Sheet1!$A$2</c:f>
              <c:strCache>
                <c:ptCount val="1"/>
                <c:pt idx="0">
                  <c:v>2023年度</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[工作簿1]Sheet1!$B$1:$C$1</c:f>
              <c:strCache>
                <c:ptCount val="2"/>
                <c:pt idx="0">
                  <c:v>收入</c:v>
                </c:pt>
                <c:pt idx="1">
                  <c:v>支出</c:v>
                </c:pt>
              </c:strCache>
            </c:strRef>
          </c:cat>
          <c:val>
            <c:numRef>
              <c:f>[工作簿1]Sheet1!$B$2:$C$2</c:f>
              <c:numCache>
                <c:formatCode>General</c:formatCode>
                <c:ptCount val="2"/>
                <c:pt idx="0">
                  <c:v>84.41</c:v>
                </c:pt>
                <c:pt idx="1">
                  <c:v>84.41</c:v>
                </c:pt>
              </c:numCache>
            </c:numRef>
          </c:val>
        </c:ser>
        <c:ser>
          <c:idx val="1"/>
          <c:order val="1"/>
          <c:tx>
            <c:strRef>
              <c:f>[工作簿1]Sheet1!$A$3</c:f>
              <c:strCache>
                <c:ptCount val="1"/>
                <c:pt idx="0">
                  <c:v>2024年度</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[工作簿1]Sheet1!$B$1:$C$1</c:f>
              <c:strCache>
                <c:ptCount val="2"/>
                <c:pt idx="0">
                  <c:v>收入</c:v>
                </c:pt>
                <c:pt idx="1">
                  <c:v>支出</c:v>
                </c:pt>
              </c:strCache>
            </c:strRef>
          </c:cat>
          <c:val>
            <c:numRef>
              <c:f>[工作簿1]Sheet1!$B$3:$C$3</c:f>
              <c:numCache>
                <c:formatCode>General</c:formatCode>
                <c:ptCount val="2"/>
                <c:pt idx="0">
                  <c:v>86.3</c:v>
                </c:pt>
                <c:pt idx="1">
                  <c:v>86.3</c:v>
                </c:pt>
              </c:numCache>
            </c:numRef>
          </c:val>
        </c:ser>
        <c:dLbls>
          <c:showLegendKey val="0"/>
          <c:showVal val="1"/>
          <c:showCatName val="0"/>
          <c:showSerName val="0"/>
          <c:showPercent val="0"/>
          <c:showBubbleSize val="0"/>
        </c:dLbls>
        <c:gapWidth val="219"/>
        <c:overlap val="-27"/>
        <c:axId val="896149099"/>
        <c:axId val="977013316"/>
      </c:barChart>
      <c:catAx>
        <c:axId val="89614909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7013316"/>
        <c:crosses val="autoZero"/>
        <c:auto val="1"/>
        <c:lblAlgn val="ctr"/>
        <c:lblOffset val="100"/>
        <c:noMultiLvlLbl val="0"/>
      </c:catAx>
      <c:valAx>
        <c:axId val="9770133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614909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9e5329a-8848-4d8b-bd45-44dbe5eb123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p>
        </c:rich>
      </c:tx>
      <c:layout>
        <c:manualLayout>
          <c:xMode val="edge"/>
          <c:yMode val="edge"/>
          <c:x val="0.172638888888889"/>
          <c:y val="0.03125"/>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[工作簿1]Sheet1!$A$14:$A$17</c:f>
              <c:strCache>
                <c:ptCount val="4"/>
                <c:pt idx="0">
                  <c:v>一般公共服务支出</c:v>
                </c:pt>
                <c:pt idx="1">
                  <c:v>社会保障和就业支出</c:v>
                </c:pt>
                <c:pt idx="2">
                  <c:v>卫生健康支出</c:v>
                </c:pt>
                <c:pt idx="3">
                  <c:v>住房保障支出</c:v>
                </c:pt>
              </c:strCache>
            </c:strRef>
          </c:cat>
          <c:val>
            <c:numRef>
              <c:f>[工作簿1]Sheet1!$B$14:$B$17</c:f>
              <c:numCache>
                <c:formatCode>General</c:formatCode>
                <c:ptCount val="4"/>
                <c:pt idx="0">
                  <c:v>63.55</c:v>
                </c:pt>
                <c:pt idx="1">
                  <c:v>11.28</c:v>
                </c:pt>
                <c:pt idx="2">
                  <c:v>4.98</c:v>
                </c:pt>
                <c:pt idx="3">
                  <c:v>6.48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ac9ade1-a74c-4cf3-b1fb-0f2a9d85afc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5892</Words>
  <Characters>6244</Characters>
  <Lines>61</Lines>
  <Paragraphs>17</Paragraphs>
  <TotalTime>1</TotalTime>
  <ScaleCrop>false</ScaleCrop>
  <LinksUpToDate>false</LinksUpToDate>
  <CharactersWithSpaces>6299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2020-08-10T01:49:00Z</dcterms:created>
  <dc:creator>曹颖</dc:creator>
  <cp:lastModifiedBy>ཕྱག་རྡོར།心随花开</cp:lastModifiedBy>
  <cp:lastPrinted>2025-08-07T09:34:00Z</cp:lastPrinted>
  <dcterms:modified xsi:type="dcterms:W3CDTF">2025-09-10T01:23:04Z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04787F2533EB45DC91BCDE4AB213247F</vt:lpwstr>
  </property>
  <property fmtid="{D5CDD505-2E9C-101B-9397-08002B2CF9AE}" pid="4" name="KSOTemplateDocerSaveRecord">
    <vt:lpwstr>eyJoZGlkIjoiYzZkNDQzYTJlZGY5ZGQxNTU1ZjA3MDliODE1YjRhYzkiLCJ1c2VySWQiOiI0NDE1OTg5NTQifQ==</vt:lpwstr>
  </property>
</Properties>
</file>