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96475"/>
      <w:bookmarkStart w:id="2" w:name="_Toc15396597"/>
      <w:bookmarkStart w:id="3" w:name="_Toc15377193"/>
      <w:bookmarkStart w:id="4" w:name="_Toc15378441"/>
      <w:bookmarkStart w:id="5" w:name="_Toc15377425"/>
    </w:p>
    <w:p>
      <w:pPr>
        <w:pStyle w:val="9"/>
        <w:rPr>
          <w:rFonts w:hint="eastAsia" w:ascii="Times New Roman" w:hAnsi="Times New Roman" w:eastAsia="方正小标宋简体" w:cs="Times New Roman"/>
          <w:color w:val="auto"/>
          <w:kern w:val="2"/>
          <w:sz w:val="72"/>
          <w:szCs w:val="72"/>
          <w:highlight w:val="none"/>
          <w:lang w:val="en-US" w:eastAsia="zh-CN" w:bidi="ar-SA"/>
        </w:rPr>
      </w:pPr>
    </w:p>
    <w:p>
      <w:pPr>
        <w:pStyle w:val="9"/>
        <w:rPr>
          <w:rFonts w:hint="eastAsia" w:ascii="CESI黑体-GB13000" w:hAnsi="CESI黑体-GB13000" w:eastAsia="CESI黑体-GB13000" w:cs="CESI黑体-GB13000"/>
          <w:color w:val="auto"/>
          <w:kern w:val="2"/>
          <w:sz w:val="52"/>
          <w:szCs w:val="52"/>
          <w:highlight w:val="none"/>
          <w:lang w:val="en-US" w:eastAsia="zh-CN" w:bidi="ar-SA"/>
        </w:rPr>
      </w:pPr>
    </w:p>
    <w:p>
      <w:pPr>
        <w:pStyle w:val="9"/>
        <w:jc w:val="center"/>
        <w:rPr>
          <w:rFonts w:hint="default" w:ascii="Times New Roman" w:hAnsi="Times New Roman" w:eastAsia="方正小标宋简体"/>
          <w:kern w:val="2"/>
          <w:sz w:val="44"/>
          <w:szCs w:val="44"/>
          <w:lang w:val="en-US"/>
        </w:rPr>
        <w:sectPr>
          <w:footerReference r:id="rId5" w:type="first"/>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r>
        <w:rPr>
          <w:rFonts w:hint="eastAsia" w:ascii="CESI黑体-GB13000" w:hAnsi="CESI黑体-GB13000" w:eastAsia="CESI黑体-GB13000" w:cs="CESI黑体-GB13000"/>
          <w:b/>
          <w:bCs/>
          <w:color w:val="auto"/>
          <w:kern w:val="2"/>
          <w:sz w:val="52"/>
          <w:szCs w:val="52"/>
          <w:highlight w:val="none"/>
          <w:lang w:val="en-US" w:eastAsia="zh-CN" w:bidi="ar-SA"/>
        </w:rPr>
        <w:t xml:space="preserve">2024年度阿坝州佛教协会单位决算公开 </w:t>
      </w:r>
      <w:r>
        <w:rPr>
          <w:rFonts w:hint="eastAsia" w:ascii="CESI黑体-GB13000" w:hAnsi="CESI黑体-GB13000" w:eastAsia="CESI黑体-GB13000" w:cs="CESI黑体-GB13000"/>
          <w:color w:val="auto"/>
          <w:kern w:val="2"/>
          <w:sz w:val="52"/>
          <w:szCs w:val="52"/>
          <w:highlight w:val="none"/>
          <w:lang w:val="en-US" w:eastAsia="zh-CN" w:bidi="ar-SA"/>
        </w:rPr>
        <w:t xml:space="preserve">  </w:t>
      </w:r>
      <w:r>
        <w:rPr>
          <w:rFonts w:hint="eastAsia" w:ascii="Times New Roman" w:eastAsia="方正小标宋简体" w:cs="Times New Roman"/>
          <w:color w:val="auto"/>
          <w:kern w:val="2"/>
          <w:sz w:val="44"/>
          <w:szCs w:val="44"/>
          <w:highlight w:val="none"/>
          <w:lang w:val="en-US" w:eastAsia="zh-CN" w:bidi="ar-SA"/>
        </w:rPr>
        <w:t xml:space="preserve">                                                                                                                                                        </w:t>
      </w:r>
    </w:p>
    <w:bookmarkEnd w:id="0"/>
    <w:bookmarkEnd w:id="1"/>
    <w:bookmarkEnd w:id="2"/>
    <w:bookmarkEnd w:id="3"/>
    <w:bookmarkEnd w:id="4"/>
    <w:bookmarkEnd w:id="5"/>
    <w:p>
      <w:pPr>
        <w:widowControl/>
        <w:jc w:val="center"/>
        <w:rPr>
          <w:rFonts w:ascii="Times New Roman" w:hAnsi="Times New Roman" w:eastAsia="黑体"/>
          <w:color w:val="auto"/>
          <w:sz w:val="72"/>
          <w:szCs w:val="72"/>
          <w:highlight w:val="none"/>
        </w:rPr>
      </w:pPr>
      <w:r>
        <w:rPr>
          <w:rFonts w:hint="eastAsia" w:ascii="Times New Roman" w:hAnsi="Times New Roman" w:eastAsia="黑体"/>
          <w:color w:val="auto"/>
          <w:sz w:val="72"/>
          <w:szCs w:val="72"/>
          <w:highlight w:val="none"/>
        </w:rPr>
        <w:t>目录</w:t>
      </w:r>
    </w:p>
    <w:p>
      <w:pPr>
        <w:widowControl/>
        <w:jc w:val="center"/>
        <w:rPr>
          <w:rFonts w:ascii="Times New Roman" w:hAnsi="Times New Roman" w:eastAsia="黑体" w:cs="Arial"/>
          <w:color w:val="auto"/>
          <w:sz w:val="28"/>
          <w:szCs w:val="28"/>
          <w:highlight w:val="none"/>
        </w:rPr>
      </w:pPr>
    </w:p>
    <w:p>
      <w:pPr>
        <w:pStyle w:val="16"/>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hint="eastAsia" w:asci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月</w:t>
      </w:r>
      <w:r>
        <w:rPr>
          <w:rFonts w:hint="eastAsia" w:asci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6"/>
        <w:keepNext w:val="0"/>
        <w:keepLines w:val="0"/>
        <w:pageBreakBefore w:val="0"/>
        <w:widowControl w:val="0"/>
        <w:numPr>
          <w:ilvl w:val="0"/>
          <w:numId w:val="1"/>
        </w:numPr>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黑体" w:cs="黑体"/>
          <w:color w:val="auto"/>
          <w:sz w:val="32"/>
          <w:szCs w:val="32"/>
          <w:highlight w:val="none"/>
        </w:rPr>
        <w:t>部门概况</w:t>
      </w:r>
      <w:r>
        <w:rPr>
          <w:rFonts w:ascii="Times New Roman" w:hAnsi="Times New Roman" w:eastAsia="黑体" w:cs="黑体"/>
          <w:color w:val="auto"/>
          <w:sz w:val="32"/>
          <w:szCs w:val="32"/>
          <w:highlight w:val="none"/>
        </w:rPr>
        <w:t xml:space="preserve"> </w:t>
      </w:r>
      <w:r>
        <w:rPr>
          <w:rFonts w:ascii="Times New Roman" w:hAnsi="Times New Roman" w:eastAsia="黑体" w:cs="黑体"/>
          <w:color w:val="auto"/>
          <w:sz w:val="32"/>
          <w:szCs w:val="32"/>
          <w:highlight w:val="none"/>
        </w:rPr>
        <w:tab/>
      </w:r>
      <w:r>
        <w:rPr>
          <w:rFonts w:hint="eastAsia" w:ascii="Times New Roman" w:eastAsia="黑体" w:cs="黑体"/>
          <w:color w:val="auto"/>
          <w:sz w:val="32"/>
          <w:szCs w:val="32"/>
          <w:highlight w:val="none"/>
          <w:lang w:val="en-US" w:eastAsia="zh-CN"/>
        </w:rPr>
        <w:t>3</w:t>
      </w:r>
    </w:p>
    <w:p>
      <w:pPr>
        <w:pStyle w:val="16"/>
        <w:keepNext w:val="0"/>
        <w:keepLines w:val="0"/>
        <w:pageBreakBefore w:val="0"/>
        <w:widowControl w:val="0"/>
        <w:numPr>
          <w:ilvl w:val="0"/>
          <w:numId w:val="0"/>
        </w:numPr>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eastAsia="仿宋_GB2312" w:cs="仿宋_GB2312"/>
          <w:color w:val="auto"/>
          <w:sz w:val="32"/>
          <w:szCs w:val="32"/>
          <w:highlight w:val="none"/>
          <w:lang w:val="en-US" w:eastAsia="zh-CN"/>
        </w:rPr>
        <w:tab/>
      </w:r>
      <w:r>
        <w:rPr>
          <w:rFonts w:hint="eastAsia" w:ascii="Times New Roman" w:eastAsia="仿宋_GB2312" w:cs="仿宋_GB2312"/>
          <w:color w:val="auto"/>
          <w:sz w:val="32"/>
          <w:szCs w:val="32"/>
          <w:highlight w:val="none"/>
          <w:lang w:val="en-US" w:eastAsia="zh-CN"/>
        </w:rPr>
        <w:t>3</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0" w:firstLineChars="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3</w:t>
      </w:r>
    </w:p>
    <w:p>
      <w:pPr>
        <w:pStyle w:val="16"/>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ascii="Times New Roman" w:hAnsi="Times New Roman" w:eastAsia="黑体" w:cs="黑体"/>
          <w:color w:val="auto"/>
          <w:sz w:val="32"/>
          <w:szCs w:val="32"/>
          <w:highlight w:val="none"/>
        </w:rPr>
        <w:tab/>
      </w:r>
      <w:r>
        <w:rPr>
          <w:rFonts w:hint="eastAsia" w:ascii="Times New Roman" w:eastAsia="黑体" w:cs="黑体"/>
          <w:color w:val="auto"/>
          <w:sz w:val="32"/>
          <w:szCs w:val="32"/>
          <w:highlight w:val="none"/>
          <w:lang w:val="en-US" w:eastAsia="zh-CN"/>
        </w:rPr>
        <w:t>4</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4</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5</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6</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6</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7</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7</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10</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13</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13</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ascii="Times New Roman" w:hAnsi="Times New Roman" w:eastAsia="仿宋_GB2312" w:cs="仿宋_GB2312"/>
          <w:color w:val="auto"/>
          <w:sz w:val="32"/>
          <w:szCs w:val="32"/>
          <w:highlight w:val="none"/>
        </w:rPr>
        <w:tab/>
      </w:r>
      <w:r>
        <w:rPr>
          <w:rFonts w:hint="eastAsia" w:eastAsia="仿宋_GB2312" w:cs="仿宋_GB2312"/>
          <w:color w:val="auto"/>
          <w:sz w:val="32"/>
          <w:szCs w:val="32"/>
          <w:highlight w:val="none"/>
          <w:lang w:val="en-US" w:eastAsia="zh-CN"/>
        </w:rPr>
        <w:t>14</w:t>
      </w:r>
    </w:p>
    <w:p>
      <w:pPr>
        <w:pStyle w:val="16"/>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ascii="Times New Roman" w:hAnsi="Times New Roman" w:eastAsia="黑体" w:cs="黑体"/>
          <w:color w:val="auto"/>
          <w:sz w:val="32"/>
          <w:szCs w:val="32"/>
          <w:highlight w:val="none"/>
        </w:rPr>
        <w:tab/>
      </w:r>
      <w:r>
        <w:rPr>
          <w:rFonts w:hint="eastAsia" w:ascii="Times New Roman" w:eastAsia="黑体" w:cs="黑体"/>
          <w:color w:val="auto"/>
          <w:sz w:val="32"/>
          <w:szCs w:val="32"/>
          <w:highlight w:val="none"/>
          <w:lang w:val="en-US" w:eastAsia="zh-CN"/>
        </w:rPr>
        <w:t>17</w:t>
      </w:r>
    </w:p>
    <w:p>
      <w:pPr>
        <w:pStyle w:val="16"/>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ascii="Times New Roman" w:hAnsi="Times New Roman" w:eastAsia="黑体" w:cs="黑体"/>
          <w:color w:val="auto"/>
          <w:sz w:val="32"/>
          <w:szCs w:val="32"/>
          <w:highlight w:val="none"/>
        </w:rPr>
        <w:tab/>
      </w:r>
      <w:r>
        <w:rPr>
          <w:rFonts w:hint="eastAsia" w:ascii="Times New Roman" w:eastAsia="黑体" w:cs="黑体"/>
          <w:color w:val="auto"/>
          <w:sz w:val="32"/>
          <w:szCs w:val="32"/>
          <w:highlight w:val="none"/>
          <w:lang w:val="en-US" w:eastAsia="zh-CN"/>
        </w:rPr>
        <w:t>20</w:t>
      </w:r>
    </w:p>
    <w:p>
      <w:pPr>
        <w:pStyle w:val="16"/>
        <w:keepNext w:val="0"/>
        <w:keepLines w:val="0"/>
        <w:pageBreakBefore w:val="0"/>
        <w:widowControl w:val="0"/>
        <w:tabs>
          <w:tab w:val="right" w:leader="middleDot" w:pos="7980"/>
        </w:tabs>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ascii="Times New Roman" w:hAnsi="Times New Roman" w:eastAsia="黑体" w:cs="黑体"/>
          <w:color w:val="auto"/>
          <w:sz w:val="32"/>
          <w:szCs w:val="32"/>
          <w:highlight w:val="none"/>
        </w:rPr>
        <w:tab/>
      </w:r>
      <w:r>
        <w:rPr>
          <w:rFonts w:hint="eastAsia" w:ascii="Times New Roman" w:eastAsia="黑体" w:cs="黑体"/>
          <w:color w:val="auto"/>
          <w:sz w:val="32"/>
          <w:szCs w:val="32"/>
          <w:highlight w:val="none"/>
          <w:lang w:val="en-US" w:eastAsia="zh-CN"/>
        </w:rPr>
        <w:t>54</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9"/>
        <w:keepNext w:val="0"/>
        <w:keepLines w:val="0"/>
        <w:pageBreakBefore w:val="0"/>
        <w:widowControl w:val="0"/>
        <w:tabs>
          <w:tab w:val="right" w:leader="middleDot" w:pos="7980"/>
        </w:tabs>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9"/>
        <w:keepNext w:val="0"/>
        <w:keepLines w:val="0"/>
        <w:pageBreakBefore w:val="0"/>
        <w:widowControl w:val="0"/>
        <w:kinsoku/>
        <w:wordWrap/>
        <w:overflowPunct/>
        <w:topLinePunct w:val="0"/>
        <w:autoSpaceDE/>
        <w:autoSpaceDN/>
        <w:bidi w:val="0"/>
        <w:adjustRightInd w:val="0"/>
        <w:snapToGrid w:val="0"/>
        <w:spacing w:line="560" w:lineRule="exact"/>
        <w:ind w:left="0" w:leftChars="0" w:firstLine="642"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pPr>
        <w:pStyle w:val="5"/>
        <w:jc w:val="center"/>
        <w:rPr>
          <w:rStyle w:val="30"/>
          <w:rFonts w:hint="eastAsia"/>
          <w:highlight w:val="none"/>
        </w:rPr>
      </w:pPr>
      <w:r>
        <w:rPr>
          <w:rStyle w:val="30"/>
          <w:rFonts w:hint="eastAsia"/>
          <w:highlight w:val="none"/>
        </w:rPr>
        <w:t>第一部分</w:t>
      </w:r>
      <w:r>
        <w:rPr>
          <w:rStyle w:val="30"/>
          <w:rFonts w:hint="eastAsia"/>
          <w:highlight w:val="none"/>
          <w:lang w:val="en-US" w:eastAsia="zh-CN"/>
        </w:rPr>
        <w:t xml:space="preserve"> </w:t>
      </w:r>
      <w:r>
        <w:rPr>
          <w:rStyle w:val="30"/>
          <w:rFonts w:hint="eastAsia"/>
          <w:highlight w:val="none"/>
        </w:rPr>
        <w:t xml:space="preserve"> 部门概况</w:t>
      </w:r>
      <w:bookmarkEnd w:id="6"/>
      <w:bookmarkEnd w:id="7"/>
    </w:p>
    <w:p>
      <w:pPr>
        <w:widowControl/>
        <w:jc w:val="left"/>
        <w:rPr>
          <w:rFonts w:ascii="Times New Roman" w:hAnsi="Times New Roman" w:eastAsia="黑体"/>
          <w:color w:val="auto"/>
          <w:sz w:val="32"/>
          <w:szCs w:val="32"/>
          <w:highlight w:val="none"/>
        </w:rPr>
      </w:pPr>
    </w:p>
    <w:p>
      <w:pPr>
        <w:pStyle w:val="6"/>
        <w:numPr>
          <w:ilvl w:val="0"/>
          <w:numId w:val="2"/>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shd w:val="solid" w:color="FFFFFF" w:fill="auto"/>
        <w:autoSpaceDE w:val="0"/>
        <w:autoSpaceDN w:val="0"/>
        <w:adjustRightInd w:val="0"/>
        <w:spacing w:line="600" w:lineRule="exact"/>
        <w:ind w:firstLine="480"/>
        <w:rPr>
          <w:rFonts w:hint="eastAsia" w:ascii="仿宋_GB2312" w:eastAsia="仿宋_GB2312" w:cs="仿宋_GB2312"/>
          <w:kern w:val="2"/>
          <w:sz w:val="32"/>
          <w:szCs w:val="32"/>
          <w:lang w:bidi="ar-SA"/>
        </w:rPr>
      </w:pPr>
      <w:r>
        <w:rPr>
          <w:rFonts w:hint="eastAsia" w:ascii="仿宋_GB2312" w:eastAsia="仿宋_GB2312" w:cs="仿宋_GB2312"/>
          <w:kern w:val="2"/>
          <w:sz w:val="32"/>
          <w:szCs w:val="32"/>
          <w:lang w:bidi="ar-SA"/>
        </w:rPr>
        <w:t>根据阿委办〔1997〕96号文件规定，主要职责是:1.协同党和政府宣传贯彻党的宗教政策和国家有关宗教方面的法律、法规。2.组织和推动佛教徒学习国家的宗教政策和国家有关法律、法规，协助寺庙制定各项规章制度，管好宗教活动场所，开展正常的宗教活动。3.维护佛教徒信仰自由的合法权益，反映佛教界的愿望和要求。4.举办佛教教育培训，积极开展藏传佛教历史和学术研究，收集整理各教派寺庙的历史资料，保护佛教文物古迹。5.抵制境外敌对宗教势力的渗透，教育佛教徒爱国爱教。6.团结和引导全州各族佛教徒积极为国家经济建设服务，帮助和指导各教派寺庙举办以“自养”为中心的生产、服务和社会公益事业。7.承办党和政府及上级主管部门交办的其他工作。</w:t>
      </w:r>
    </w:p>
    <w:p>
      <w:pPr>
        <w:rPr>
          <w:rFonts w:hint="eastAsia"/>
          <w:lang w:eastAsia="zh-CN"/>
        </w:rPr>
      </w:pPr>
    </w:p>
    <w:p>
      <w:pPr>
        <w:pStyle w:val="6"/>
        <w:rPr>
          <w:rStyle w:val="26"/>
          <w:rFonts w:ascii="Times New Roman" w:hAnsi="Times New Roman"/>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二、机</w:t>
      </w:r>
      <w:r>
        <w:rPr>
          <w:rStyle w:val="26"/>
          <w:rFonts w:hint="eastAsia" w:ascii="Times New Roman" w:hAnsi="Times New Roman" w:eastAsia="黑体"/>
          <w:b w:val="0"/>
          <w:bCs w:val="0"/>
          <w:color w:val="auto"/>
          <w:highlight w:val="none"/>
        </w:rPr>
        <w:t>构设置</w:t>
      </w:r>
      <w:bookmarkEnd w:id="8"/>
      <w:bookmarkEnd w:id="9"/>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阿坝州佛教协会（本级）</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pPr>
        <w:pStyle w:val="9"/>
        <w:adjustRightInd w:val="0"/>
        <w:snapToGrid w:val="0"/>
        <w:spacing w:before="93" w:beforeLines="0" w:line="600" w:lineRule="exact"/>
        <w:ind w:firstLine="665" w:firstLineChars="208"/>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阿坝州佛教协会（本级）</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pPr>
        <w:pStyle w:val="9"/>
        <w:numPr>
          <w:ilvl w:val="0"/>
          <w:numId w:val="3"/>
        </w:numPr>
        <w:adjustRightInd w:val="0"/>
        <w:snapToGrid w:val="0"/>
        <w:spacing w:before="30" w:beforeLines="0" w:line="600" w:lineRule="exact"/>
        <w:outlineLvl w:val="2"/>
        <w:rPr>
          <w:rFonts w:cs="仿宋_GB2312"/>
          <w:sz w:val="32"/>
          <w:szCs w:val="32"/>
          <w:lang w:bidi="ar-SA"/>
        </w:rPr>
      </w:pPr>
      <w:bookmarkStart w:id="10" w:name="_Toc15377202"/>
      <w:bookmarkStart w:id="11" w:name="_Toc15378449"/>
      <w:bookmarkStart w:id="12" w:name="_Toc15377433"/>
      <w:bookmarkStart w:id="13" w:name="_Toc15306276"/>
      <w:r>
        <w:rPr>
          <w:rFonts w:hint="eastAsia" w:cs="仿宋_GB2312"/>
          <w:sz w:val="32"/>
          <w:szCs w:val="32"/>
          <w:lang w:bidi="ar-SA"/>
        </w:rPr>
        <w:t>阿坝州佛教协会</w:t>
      </w:r>
    </w:p>
    <w:bookmarkEnd w:id="10"/>
    <w:bookmarkEnd w:id="11"/>
    <w:bookmarkEnd w:id="12"/>
    <w:bookmarkEnd w:id="13"/>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5"/>
        <w:rPr>
          <w:rFonts w:hint="eastAsia"/>
        </w:rPr>
      </w:pPr>
      <w:bookmarkStart w:id="14" w:name="_Toc15396602"/>
      <w:bookmarkStart w:id="15" w:name="_Toc15377204"/>
      <w:r>
        <w:rPr>
          <w:rFonts w:hint="eastAsia"/>
        </w:rPr>
        <w:t>第二部分  2024年度部门决算情况说明</w:t>
      </w:r>
      <w:bookmarkEnd w:id="14"/>
      <w:bookmarkEnd w:id="15"/>
    </w:p>
    <w:p>
      <w:pPr>
        <w:rPr>
          <w:rFonts w:ascii="Times New Roman" w:hAnsi="Times New Roman"/>
          <w:color w:val="auto"/>
          <w:highlight w:val="none"/>
        </w:rPr>
      </w:pPr>
    </w:p>
    <w:p>
      <w:pPr>
        <w:pStyle w:val="6"/>
        <w:keepNext/>
        <w:keepLines/>
        <w:pageBreakBefore w:val="0"/>
        <w:widowControl w:val="0"/>
        <w:suppressLineNumbers w:val="0"/>
        <w:suppressAutoHyphens w:val="0"/>
        <w:bidi w:val="0"/>
        <w:spacing w:line="415" w:lineRule="auto"/>
        <w:outlineLvl w:val="1"/>
        <w:rPr>
          <w:rFonts w:hint="eastAsia"/>
        </w:rPr>
      </w:pPr>
      <w:bookmarkStart w:id="16" w:name="_Toc15377205"/>
      <w:bookmarkStart w:id="17" w:name="_Toc15396603"/>
      <w:r>
        <w:rPr>
          <w:rFonts w:hint="eastAsia"/>
        </w:rPr>
        <w:t>一、收入支出决算总体情况说明</w:t>
      </w:r>
      <w:bookmarkEnd w:id="16"/>
      <w:bookmarkEnd w:id="17"/>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eastAsia="仿宋_GB2312" w:cs="仿宋_GB2312"/>
          <w:b w:val="0"/>
          <w:bCs w:val="0"/>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eastAsia="仿宋_GB2312" w:cs="仿宋_GB2312"/>
          <w:sz w:val="32"/>
          <w:szCs w:val="32"/>
        </w:rPr>
        <w:t>411.45</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ascii="仿宋_GB2312" w:eastAsia="仿宋_GB2312" w:cs="仿宋_GB2312"/>
          <w:sz w:val="32"/>
          <w:szCs w:val="32"/>
          <w:lang w:val="en-US" w:eastAsia="zh-CN"/>
        </w:rPr>
        <w:t>34.25</w:t>
      </w:r>
      <w:r>
        <w:rPr>
          <w:rFonts w:hint="eastAsia" w:asci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bCs/>
          <w:color w:val="auto"/>
          <w:sz w:val="32"/>
          <w:szCs w:val="32"/>
          <w:highlight w:val="none"/>
        </w:rPr>
        <w:t>主要变动原因</w:t>
      </w:r>
      <w:r>
        <w:rPr>
          <w:rFonts w:hint="eastAsia" w:eastAsia="仿宋_GB2312" w:cs="仿宋_GB2312"/>
          <w:b/>
          <w:bCs/>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一是人员经费上调；二是省佛协下拨</w:t>
      </w:r>
      <w:r>
        <w:rPr>
          <w:rFonts w:eastAsia="仿宋_GB2312" w:cs="仿宋_GB2312"/>
          <w:b w:val="0"/>
          <w:bCs w:val="0"/>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三爱</w:t>
      </w:r>
      <w:r>
        <w:rPr>
          <w:rFonts w:eastAsia="仿宋_GB2312" w:cs="仿宋_GB2312"/>
          <w:b w:val="0"/>
          <w:bCs w:val="0"/>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经费(代管资金)比2023年度多；三是年初结转结余比2023年度多；</w:t>
      </w:r>
      <w:r>
        <w:rPr>
          <w:rFonts w:eastAsia="仿宋_GB2312" w:cs="仿宋_GB2312"/>
          <w:b w:val="0"/>
          <w:bCs w:val="0"/>
          <w:color w:val="auto"/>
          <w:sz w:val="32"/>
          <w:szCs w:val="32"/>
          <w:highlight w:val="none"/>
          <w:lang w:val="en-US" w:eastAsia="zh-CN"/>
        </w:rPr>
        <w:t>四是项目比2023年度增多。</w:t>
      </w:r>
    </w:p>
    <w:p>
      <w:pPr>
        <w:pStyle w:val="32"/>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center"/>
        <w:textAlignment w:val="auto"/>
        <w:outlineLvl w:val="1"/>
        <w:rPr>
          <w:rFonts w:hint="eastAsia" w:eastAsia="仿宋_GB2312" w:cs="仿宋_GB2312"/>
          <w:b w:val="0"/>
          <w:bCs w:val="0"/>
          <w:color w:val="auto"/>
          <w:sz w:val="32"/>
          <w:szCs w:val="32"/>
          <w:highlight w:val="none"/>
          <w:lang w:val="en-US" w:eastAsia="zh-CN"/>
        </w:rPr>
      </w:pPr>
      <w:r>
        <w:drawing>
          <wp:inline distT="0" distB="0" distL="114300" distR="114300">
            <wp:extent cx="4572000" cy="2743200"/>
            <wp:effectExtent l="4445" t="4445" r="1460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6"/>
        <w:keepNext/>
        <w:keepLines/>
        <w:pageBreakBefore w:val="0"/>
        <w:widowControl w:val="0"/>
        <w:suppressLineNumbers w:val="0"/>
        <w:suppressAutoHyphens w:val="0"/>
        <w:rPr>
          <w:rFonts w:hint="eastAsia" w:cs="仿宋_GB2312"/>
          <w:highlight w:val="none"/>
        </w:rPr>
      </w:pPr>
    </w:p>
    <w:p>
      <w:pPr>
        <w:pStyle w:val="6"/>
        <w:keepNext/>
        <w:keepLines/>
        <w:pageBreakBefore w:val="0"/>
        <w:widowControl w:val="0"/>
        <w:suppressLineNumbers w:val="0"/>
        <w:suppressAutoHyphens w:val="0"/>
        <w:rPr>
          <w:rFonts w:hint="eastAsia"/>
        </w:rPr>
      </w:pPr>
      <w:bookmarkStart w:id="18" w:name="_Toc15377206"/>
      <w:bookmarkStart w:id="19" w:name="_Toc15396604"/>
      <w:r>
        <w:rPr>
          <w:rFonts w:hint="eastAsia"/>
        </w:rPr>
        <w:t>二、收入决算情况说明</w:t>
      </w:r>
      <w:bookmarkEnd w:id="18"/>
      <w:bookmarkEnd w:id="19"/>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2024年度本年收入合计</w:t>
      </w:r>
      <w:r>
        <w:rPr>
          <w:rFonts w:hint="eastAsia" w:ascii="仿宋_GB2312" w:eastAsia="仿宋_GB2312" w:cs="仿宋_GB2312"/>
          <w:sz w:val="32"/>
          <w:szCs w:val="32"/>
        </w:rPr>
        <w:t>403.42万元，其中：一般公共预算财政拨款收入377.42</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93.55</w:t>
      </w:r>
      <w:r>
        <w:rPr>
          <w:rFonts w:hint="eastAsia" w:ascii="仿宋_GB2312" w:eastAsia="仿宋_GB2312" w:cs="仿宋_GB2312"/>
          <w:color w:val="auto"/>
          <w:sz w:val="32"/>
          <w:szCs w:val="32"/>
          <w:highlight w:val="none"/>
          <w:lang w:eastAsia="zh-CN"/>
        </w:rPr>
        <w:t>%；政府性基金预算财政拨款收入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万元，占0%；国有资本经营预算财政拨款收入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%；上级补助收入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%；事业收入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%；附属单位上缴收入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%；其他收入</w:t>
      </w:r>
      <w:r>
        <w:rPr>
          <w:rFonts w:hint="eastAsia" w:ascii="仿宋_GB2312" w:eastAsia="仿宋_GB2312" w:cs="仿宋_GB2312"/>
          <w:sz w:val="32"/>
          <w:szCs w:val="32"/>
        </w:rPr>
        <w:t>26</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6.44</w:t>
      </w:r>
      <w:r>
        <w:rPr>
          <w:rFonts w:hint="eastAsia" w:asci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pStyle w:val="32"/>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center"/>
        <w:textAlignment w:val="auto"/>
        <w:outlineLvl w:val="1"/>
        <w:rPr>
          <w:rFonts w:hint="eastAsia" w:ascii="Times New Roman" w:hAnsi="Times New Roman" w:eastAsia="仿宋_GB2312" w:cs="仿宋_GB2312"/>
          <w:b/>
          <w:bCs/>
          <w:color w:val="auto"/>
          <w:sz w:val="32"/>
          <w:szCs w:val="32"/>
          <w:highlight w:val="none"/>
          <w:lang w:eastAsia="zh-CN"/>
        </w:rPr>
      </w:pPr>
      <w:r>
        <w:drawing>
          <wp:anchor distT="0" distB="0" distL="114300" distR="114300" simplePos="0" relativeHeight="251660288" behindDoc="0" locked="0" layoutInCell="1" allowOverlap="1">
            <wp:simplePos x="0" y="0"/>
            <wp:positionH relativeFrom="column">
              <wp:posOffset>298450</wp:posOffset>
            </wp:positionH>
            <wp:positionV relativeFrom="paragraph">
              <wp:posOffset>160020</wp:posOffset>
            </wp:positionV>
            <wp:extent cx="3837305" cy="2118995"/>
            <wp:effectExtent l="0" t="0" r="27" b="1"/>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32"/>
        <w:keepNext w:val="0"/>
        <w:keepLines w:val="0"/>
        <w:pageBreakBefore w:val="0"/>
        <w:widowControl w:val="0"/>
        <w:kinsoku/>
        <w:wordWrap/>
        <w:overflowPunct/>
        <w:topLinePunct w:val="0"/>
        <w:autoSpaceDE/>
        <w:autoSpaceDN/>
        <w:bidi w:val="0"/>
        <w:adjustRightInd/>
        <w:snapToGrid/>
        <w:spacing w:line="240" w:lineRule="auto"/>
        <w:ind w:left="0" w:firstLine="642" w:firstLineChars="200"/>
        <w:jc w:val="center"/>
        <w:textAlignment w:val="auto"/>
        <w:outlineLvl w:val="1"/>
        <w:rPr>
          <w:rFonts w:hint="eastAsia" w:ascii="Times New Roman" w:hAnsi="Times New Roman" w:eastAsia="仿宋_GB2312" w:cs="仿宋_GB2312"/>
          <w:b/>
          <w:bCs/>
          <w:color w:val="auto"/>
          <w:sz w:val="32"/>
          <w:szCs w:val="32"/>
          <w:highlight w:val="none"/>
          <w:lang w:eastAsia="zh-CN"/>
        </w:rPr>
      </w:pPr>
    </w:p>
    <w:p>
      <w:pPr>
        <w:pStyle w:val="32"/>
        <w:keepNext w:val="0"/>
        <w:keepLines w:val="0"/>
        <w:pageBreakBefore w:val="0"/>
        <w:widowControl w:val="0"/>
        <w:kinsoku/>
        <w:wordWrap/>
        <w:overflowPunct/>
        <w:topLinePunct w:val="0"/>
        <w:autoSpaceDE/>
        <w:autoSpaceDN/>
        <w:bidi w:val="0"/>
        <w:adjustRightInd/>
        <w:snapToGrid/>
        <w:spacing w:line="240" w:lineRule="auto"/>
        <w:ind w:left="0" w:firstLine="642" w:firstLineChars="200"/>
        <w:jc w:val="center"/>
        <w:textAlignment w:val="auto"/>
        <w:outlineLvl w:val="1"/>
        <w:rPr>
          <w:rFonts w:hint="eastAsia" w:ascii="Times New Roman" w:hAnsi="Times New Roman" w:eastAsia="仿宋_GB2312" w:cs="仿宋_GB2312"/>
          <w:b/>
          <w:bCs/>
          <w:color w:val="auto"/>
          <w:sz w:val="32"/>
          <w:szCs w:val="32"/>
          <w:highlight w:val="none"/>
          <w:lang w:eastAsia="zh-CN"/>
        </w:rPr>
      </w:pPr>
    </w:p>
    <w:p>
      <w:pPr>
        <w:pStyle w:val="32"/>
        <w:keepNext w:val="0"/>
        <w:keepLines w:val="0"/>
        <w:pageBreakBefore w:val="0"/>
        <w:widowControl w:val="0"/>
        <w:kinsoku/>
        <w:wordWrap/>
        <w:overflowPunct/>
        <w:topLinePunct w:val="0"/>
        <w:autoSpaceDE/>
        <w:autoSpaceDN/>
        <w:bidi w:val="0"/>
        <w:adjustRightInd/>
        <w:snapToGrid/>
        <w:spacing w:line="240" w:lineRule="auto"/>
        <w:ind w:left="0" w:firstLine="642" w:firstLineChars="200"/>
        <w:jc w:val="center"/>
        <w:textAlignment w:val="auto"/>
        <w:outlineLvl w:val="1"/>
        <w:rPr>
          <w:rFonts w:hint="eastAsia" w:ascii="Times New Roman" w:hAnsi="Times New Roman" w:eastAsia="仿宋_GB2312" w:cs="仿宋_GB2312"/>
          <w:b/>
          <w:bCs/>
          <w:color w:val="auto"/>
          <w:sz w:val="32"/>
          <w:szCs w:val="32"/>
          <w:highlight w:val="none"/>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ind w:firstLine="800" w:firstLineChars="250"/>
        <w:rPr>
          <w:rFonts w:hint="eastAsia" w:ascii="Times New Roman" w:hAnsi="Times New Roman" w:eastAsia="仿宋_GB2312" w:cs="仿宋_GB2312"/>
          <w:color w:val="auto"/>
          <w:sz w:val="52"/>
          <w:szCs w:val="5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6"/>
        <w:keepNext/>
        <w:keepLines/>
        <w:pageBreakBefore w:val="0"/>
        <w:widowControl w:val="0"/>
        <w:suppressLineNumbers w:val="0"/>
        <w:suppressAutoHyphens w:val="0"/>
        <w:rPr>
          <w:rFonts w:hint="eastAsia"/>
        </w:rPr>
      </w:pPr>
      <w:bookmarkStart w:id="20" w:name="_Toc15377207"/>
      <w:bookmarkStart w:id="21" w:name="_Toc15396605"/>
      <w:r>
        <w:rPr>
          <w:rFonts w:hint="eastAsia"/>
        </w:rPr>
        <w:t>三、支出决算情况说明</w:t>
      </w:r>
      <w:bookmarkEnd w:id="20"/>
      <w:bookmarkEnd w:id="21"/>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2024年度本年支出合计</w:t>
      </w:r>
      <w:r>
        <w:rPr>
          <w:rFonts w:hint="eastAsia" w:ascii="仿宋_GB2312" w:eastAsia="仿宋_GB2312" w:cs="仿宋_GB2312"/>
          <w:sz w:val="32"/>
          <w:szCs w:val="32"/>
        </w:rPr>
        <w:t>390.83</w:t>
      </w:r>
      <w:r>
        <w:rPr>
          <w:rFonts w:hint="eastAsia" w:ascii="仿宋_GB2312" w:eastAsia="仿宋_GB2312" w:cs="仿宋_GB2312"/>
          <w:color w:val="auto"/>
          <w:sz w:val="32"/>
          <w:szCs w:val="32"/>
          <w:highlight w:val="none"/>
          <w:lang w:eastAsia="zh-CN"/>
        </w:rPr>
        <w:t>万元，其中：基本支出</w:t>
      </w:r>
      <w:r>
        <w:rPr>
          <w:rFonts w:hint="eastAsia" w:ascii="仿宋_GB2312" w:eastAsia="仿宋_GB2312" w:cs="仿宋_GB2312"/>
          <w:sz w:val="32"/>
          <w:szCs w:val="32"/>
        </w:rPr>
        <w:t>165.9</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42.44</w:t>
      </w:r>
      <w:r>
        <w:rPr>
          <w:rFonts w:hint="eastAsia" w:ascii="仿宋_GB2312" w:eastAsia="仿宋_GB2312" w:cs="仿宋_GB2312"/>
          <w:color w:val="auto"/>
          <w:sz w:val="32"/>
          <w:szCs w:val="32"/>
          <w:highlight w:val="none"/>
          <w:lang w:eastAsia="zh-CN"/>
        </w:rPr>
        <w:t>%；项目支出</w:t>
      </w:r>
      <w:r>
        <w:rPr>
          <w:rFonts w:hint="eastAsia" w:ascii="仿宋_GB2312" w:eastAsia="仿宋_GB2312" w:cs="仿宋_GB2312"/>
          <w:sz w:val="32"/>
          <w:szCs w:val="32"/>
        </w:rPr>
        <w:t>224.93</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57.55</w:t>
      </w:r>
      <w:r>
        <w:rPr>
          <w:rFonts w:hint="eastAsia" w:ascii="仿宋_GB2312" w:eastAsia="仿宋_GB2312" w:cs="仿宋_GB2312"/>
          <w:color w:val="auto"/>
          <w:sz w:val="32"/>
          <w:szCs w:val="32"/>
          <w:highlight w:val="none"/>
          <w:lang w:eastAsia="zh-CN"/>
        </w:rPr>
        <w:t>%；上缴上级支出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%；对附属单位补助支出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万元，占0%。</w:t>
      </w:r>
      <w:r>
        <w:rPr>
          <w:rFonts w:hint="eastAsia" w:ascii="Times New Roman" w:hAnsi="Times New Roman" w:eastAsia="仿宋_GB2312" w:cs="仿宋_GB2312"/>
          <w:b/>
          <w:bCs/>
          <w:color w:val="auto"/>
          <w:sz w:val="32"/>
          <w:szCs w:val="32"/>
          <w:highlight w:val="none"/>
          <w:lang w:eastAsia="zh-CN"/>
        </w:rPr>
        <w:t>（注：仅罗列本部门涉及的支出）</w:t>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32"/>
        <w:keepNext w:val="0"/>
        <w:keepLines w:val="0"/>
        <w:pageBreakBefore w:val="0"/>
        <w:widowControl w:val="0"/>
        <w:kinsoku/>
        <w:wordWrap/>
        <w:overflowPunct/>
        <w:topLinePunct w:val="0"/>
        <w:autoSpaceDE/>
        <w:autoSpaceDN/>
        <w:bidi w:val="0"/>
        <w:adjustRightInd/>
        <w:snapToGrid/>
        <w:spacing w:line="240" w:lineRule="auto"/>
        <w:ind w:left="0" w:firstLine="642" w:firstLineChars="200"/>
        <w:jc w:val="center"/>
        <w:textAlignment w:val="auto"/>
        <w:outlineLvl w:val="1"/>
        <w:rPr>
          <w:rFonts w:hint="eastAsia" w:ascii="Times New Roman" w:hAnsi="Times New Roman" w:eastAsia="仿宋_GB2312" w:cs="仿宋_GB2312"/>
          <w:b/>
          <w:bCs/>
          <w:color w:val="auto"/>
          <w:sz w:val="32"/>
          <w:szCs w:val="32"/>
          <w:highlight w:val="none"/>
          <w:lang w:eastAsia="zh-CN"/>
        </w:rPr>
      </w:pPr>
    </w:p>
    <w:p>
      <w:pPr>
        <w:pStyle w:val="32"/>
        <w:keepNext w:val="0"/>
        <w:keepLines w:val="0"/>
        <w:pageBreakBefore w:val="0"/>
        <w:widowControl w:val="0"/>
        <w:kinsoku/>
        <w:wordWrap/>
        <w:overflowPunct/>
        <w:topLinePunct w:val="0"/>
        <w:autoSpaceDE/>
        <w:autoSpaceDN/>
        <w:bidi w:val="0"/>
        <w:adjustRightInd/>
        <w:snapToGrid/>
        <w:spacing w:line="600" w:lineRule="exact"/>
        <w:ind w:left="0" w:firstLine="42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drawing>
          <wp:anchor distT="0" distB="0" distL="114300" distR="114300" simplePos="0" relativeHeight="251660288" behindDoc="0" locked="0" layoutInCell="1" allowOverlap="1">
            <wp:simplePos x="0" y="0"/>
            <wp:positionH relativeFrom="column">
              <wp:posOffset>271145</wp:posOffset>
            </wp:positionH>
            <wp:positionV relativeFrom="paragraph">
              <wp:posOffset>-2453005</wp:posOffset>
            </wp:positionV>
            <wp:extent cx="4572000" cy="2743200"/>
            <wp:effectExtent l="0" t="0" r="25" b="42"/>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1440" w:firstLineChars="4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6"/>
        <w:keepNext/>
        <w:keepLines/>
        <w:pageBreakBefore w:val="0"/>
        <w:widowControl w:val="0"/>
        <w:suppressLineNumbers w:val="0"/>
        <w:suppressAutoHyphens w:val="0"/>
        <w:rPr>
          <w:rFonts w:hint="eastAsia"/>
        </w:rPr>
      </w:pPr>
      <w:bookmarkStart w:id="22" w:name="_Toc15396606"/>
      <w:bookmarkStart w:id="23" w:name="_Toc15377208"/>
      <w:r>
        <w:rPr>
          <w:rFonts w:hint="eastAsia"/>
        </w:rPr>
        <w:t>四、财政拨款收入支出决算总体情况说明</w:t>
      </w:r>
      <w:bookmarkEnd w:id="22"/>
      <w:bookmarkEnd w:id="23"/>
    </w:p>
    <w:p>
      <w:pPr>
        <w:pStyle w:val="32"/>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eastAsia="仿宋_GB2312" w:cs="仿宋_GB2312"/>
          <w:b w:val="0"/>
          <w:bCs w:val="0"/>
          <w:color w:val="auto"/>
          <w:sz w:val="32"/>
          <w:szCs w:val="32"/>
          <w:highlight w:val="none"/>
          <w:lang w:val="en-US" w:eastAsia="zh-CN"/>
        </w:rPr>
      </w:pPr>
      <w:r>
        <w:rPr>
          <w:rFonts w:hint="eastAsia" w:ascii="仿宋_GB2312" w:hAnsi="Times New Roman" w:eastAsia="仿宋_GB2312" w:cs="仿宋_GB2312"/>
          <w:color w:val="auto"/>
          <w:kern w:val="2"/>
          <w:sz w:val="32"/>
          <w:szCs w:val="32"/>
          <w:highlight w:val="none"/>
          <w:lang w:val="en-US" w:eastAsia="zh-CN" w:bidi="ar-SA"/>
        </w:rPr>
        <w:t>2024年度财政拨款收入、支出总计均为377.42万元。与2023年度相比，财政拨款收入总计、支出总计各增加90.43万元，增长31.5%。主要变动原因：一是人员经费上调；二是因《珍稀古籍文献汇编》工作繁琐，根据出版书籍程序，出版社刊号申请好后与2024年度拨付2023年度尾款</w:t>
      </w:r>
      <w:r>
        <w:rPr>
          <w:rFonts w:hint="eastAsia" w:ascii="仿宋_GB2312" w:eastAsia="仿宋_GB2312" w:cs="仿宋_GB2312"/>
          <w:color w:val="auto"/>
          <w:kern w:val="2"/>
          <w:sz w:val="32"/>
          <w:szCs w:val="32"/>
          <w:highlight w:val="none"/>
          <w:lang w:val="en-US" w:eastAsia="zh-CN" w:bidi="ar-SA"/>
        </w:rPr>
        <w:t>；三</w:t>
      </w:r>
      <w:r>
        <w:rPr>
          <w:rFonts w:eastAsia="仿宋_GB2312" w:cs="仿宋_GB2312"/>
          <w:b w:val="0"/>
          <w:bCs w:val="0"/>
          <w:color w:val="auto"/>
          <w:sz w:val="32"/>
          <w:szCs w:val="32"/>
          <w:highlight w:val="none"/>
          <w:lang w:val="en-US" w:eastAsia="zh-CN"/>
        </w:rPr>
        <w:t>是项目比2023年度增多。</w:t>
      </w:r>
    </w:p>
    <w:p>
      <w:pPr>
        <w:pStyle w:val="2"/>
        <w:ind w:firstLine="640" w:firstLineChars="200"/>
        <w:rPr>
          <w:rFonts w:hint="eastAsia" w:ascii="仿宋_GB2312" w:hAnsi="Times New Roman" w:eastAsia="仿宋_GB2312" w:cs="仿宋_GB2312"/>
          <w:color w:val="auto"/>
          <w:kern w:val="2"/>
          <w:sz w:val="32"/>
          <w:szCs w:val="32"/>
          <w:highlight w:val="none"/>
          <w:lang w:val="en-US" w:eastAsia="zh-CN" w:bidi="ar-SA"/>
        </w:rPr>
      </w:pPr>
    </w:p>
    <w:p>
      <w:pPr>
        <w:pStyle w:val="3"/>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572000" cy="2743200"/>
            <wp:effectExtent l="0" t="0" r="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6"/>
        <w:keepNext/>
        <w:keepLines/>
        <w:pageBreakBefore w:val="0"/>
        <w:widowControl w:val="0"/>
        <w:suppressLineNumbers w:val="0"/>
        <w:suppressAutoHyphens w:val="0"/>
        <w:rPr>
          <w:rFonts w:hint="eastAsia"/>
        </w:rPr>
      </w:pPr>
      <w:bookmarkStart w:id="24" w:name="_Toc15377209"/>
      <w:bookmarkStart w:id="25" w:name="_Toc15396607"/>
      <w:r>
        <w:rPr>
          <w:rFonts w:hint="eastAsia"/>
        </w:rPr>
        <w:t>五、一般公共预算财政拨款支出决算情况说明</w:t>
      </w:r>
      <w:bookmarkEnd w:id="24"/>
      <w:bookmarkEnd w:id="25"/>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6"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6"/>
    </w:p>
    <w:p>
      <w:pPr>
        <w:pStyle w:val="2"/>
        <w:rPr>
          <w:rFonts w:hint="eastAsia" w:eastAsia="仿宋_GB2312" w:cs="仿宋_GB2312"/>
          <w:b w:val="0"/>
          <w:bCs w:val="0"/>
          <w:color w:val="auto"/>
          <w:sz w:val="32"/>
          <w:szCs w:val="32"/>
          <w:highlight w:val="none"/>
          <w:lang w:val="en-US" w:eastAsia="zh-CN"/>
        </w:rPr>
      </w:pPr>
      <w:r>
        <w:rPr>
          <w:rFonts w:hint="eastAsia" w:ascii="仿宋_GB2312"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377.42</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96.56</w:t>
      </w:r>
      <w:r>
        <w:rPr>
          <w:rFonts w:hint="eastAsia" w:ascii="仿宋_GB2312" w:eastAsia="仿宋_GB2312" w:cs="仿宋_GB2312"/>
          <w:color w:val="auto"/>
          <w:kern w:val="2"/>
          <w:sz w:val="32"/>
          <w:szCs w:val="32"/>
          <w:highlight w:val="none"/>
          <w:lang w:val="en-US" w:eastAsia="zh-CN" w:bidi="ar-SA"/>
        </w:rPr>
        <w:t>%。与2023年度相比，一般公共预算财政拨款支出增加</w:t>
      </w:r>
      <w:r>
        <w:rPr>
          <w:rFonts w:hint="eastAsia" w:ascii="仿宋_GB2312" w:eastAsia="仿宋_GB2312" w:cs="仿宋_GB2312"/>
          <w:sz w:val="32"/>
          <w:szCs w:val="32"/>
          <w:lang w:val="en-US" w:eastAsia="zh-CN"/>
        </w:rPr>
        <w:t>90.43</w:t>
      </w:r>
      <w:r>
        <w:rPr>
          <w:rFonts w:hint="eastAsia" w:ascii="仿宋_GB2312" w:eastAsia="仿宋_GB2312" w:cs="仿宋_GB2312"/>
          <w:sz w:val="32"/>
          <w:szCs w:val="32"/>
        </w:rPr>
        <w:t>万元</w:t>
      </w:r>
      <w:r>
        <w:rPr>
          <w:rFonts w:hint="eastAsia" w:ascii="Times New Roman" w:hAnsi="Times New Roman" w:eastAsia="仿宋_GB2312" w:cs="仿宋_GB2312"/>
          <w:color w:val="auto"/>
          <w:sz w:val="32"/>
          <w:szCs w:val="32"/>
          <w:highlight w:val="none"/>
        </w:rPr>
        <w:t>，增长</w:t>
      </w:r>
      <w:r>
        <w:rPr>
          <w:rFonts w:hint="eastAsia" w:eastAsia="仿宋_GB2312" w:cs="仿宋_GB2312"/>
          <w:color w:val="auto"/>
          <w:sz w:val="32"/>
          <w:szCs w:val="32"/>
          <w:highlight w:val="none"/>
          <w:lang w:val="en-US" w:eastAsia="zh-CN"/>
        </w:rPr>
        <w:t>31.5</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bCs/>
          <w:color w:val="auto"/>
          <w:sz w:val="32"/>
          <w:szCs w:val="32"/>
          <w:highlight w:val="none"/>
        </w:rPr>
        <w:t>主要变动原因</w:t>
      </w:r>
      <w:r>
        <w:rPr>
          <w:rFonts w:hint="eastAsia" w:eastAsia="仿宋_GB2312" w:cs="仿宋_GB2312"/>
          <w:b/>
          <w:bCs/>
          <w:color w:val="auto"/>
          <w:sz w:val="32"/>
          <w:szCs w:val="32"/>
          <w:highlight w:val="none"/>
          <w:lang w:eastAsia="zh-CN"/>
        </w:rPr>
        <w:t>：</w:t>
      </w:r>
      <w:r>
        <w:rPr>
          <w:rFonts w:hint="eastAsia" w:eastAsia="仿宋_GB2312" w:cs="仿宋_GB2312"/>
          <w:b w:val="0"/>
          <w:bCs w:val="0"/>
          <w:color w:val="auto"/>
          <w:sz w:val="32"/>
          <w:szCs w:val="32"/>
          <w:highlight w:val="none"/>
          <w:lang w:val="en-US" w:eastAsia="zh-CN"/>
        </w:rPr>
        <w:t>一是人员经费上调，二是因《珍稀古籍文献汇编》工作繁琐，</w:t>
      </w:r>
      <w:r>
        <w:rPr>
          <w:rFonts w:hint="eastAsia" w:ascii="仿宋" w:eastAsia="仿宋"/>
          <w:sz w:val="32"/>
          <w:szCs w:val="32"/>
        </w:rPr>
        <w:t>根据出版书籍程序，出版社刊号申请好后</w:t>
      </w:r>
      <w:r>
        <w:rPr>
          <w:rFonts w:hint="eastAsia" w:ascii="仿宋" w:eastAsia="仿宋"/>
          <w:sz w:val="32"/>
          <w:szCs w:val="32"/>
          <w:lang w:eastAsia="zh-CN"/>
        </w:rPr>
        <w:t>与</w:t>
      </w:r>
      <w:r>
        <w:rPr>
          <w:rFonts w:hint="eastAsia" w:eastAsia="仿宋_GB2312" w:cs="仿宋_GB2312"/>
          <w:b w:val="0"/>
          <w:bCs w:val="0"/>
          <w:color w:val="auto"/>
          <w:sz w:val="32"/>
          <w:szCs w:val="32"/>
          <w:highlight w:val="none"/>
          <w:lang w:val="en-US" w:eastAsia="zh-CN"/>
        </w:rPr>
        <w:t>2024年度拨付2023年度尾款；三是项目增多。</w:t>
      </w:r>
    </w:p>
    <w:p>
      <w:pPr>
        <w:pStyle w:val="3"/>
        <w:rPr>
          <w:rFonts w:hint="eastAsia" w:eastAsia="仿宋_GB2312" w:cs="仿宋_GB2312"/>
          <w:b w:val="0"/>
          <w:bCs w:val="0"/>
          <w:color w:val="auto"/>
          <w:sz w:val="32"/>
          <w:szCs w:val="32"/>
          <w:highlight w:val="none"/>
          <w:lang w:val="en-US" w:eastAsia="zh-CN"/>
        </w:rPr>
      </w:pPr>
      <w:r>
        <w:drawing>
          <wp:inline distT="0" distB="0" distL="114300" distR="114300">
            <wp:extent cx="4572000" cy="2743200"/>
            <wp:effectExtent l="4445" t="4445" r="14605" b="14605"/>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7"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7"/>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377.42</w:t>
      </w:r>
      <w:r>
        <w:rPr>
          <w:rFonts w:hint="eastAsia" w:asci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342.84</w:t>
      </w:r>
      <w:r>
        <w:rPr>
          <w:rFonts w:hint="eastAsia" w:ascii="Times New Roman" w:hAnsi="Times New Roman" w:eastAsia="仿宋_GB2312" w:cs="仿宋_GB2312"/>
          <w:color w:val="auto"/>
          <w:kern w:val="2"/>
          <w:sz w:val="32"/>
          <w:szCs w:val="32"/>
          <w:highlight w:val="none"/>
          <w:lang w:val="en-US" w:eastAsia="zh-CN" w:bidi="ar-SA"/>
        </w:rPr>
        <w:t>元，占</w:t>
      </w:r>
      <w:r>
        <w:rPr>
          <w:rFonts w:hint="eastAsia" w:eastAsia="仿宋_GB2312" w:cs="仿宋_GB2312"/>
          <w:color w:val="auto"/>
          <w:kern w:val="2"/>
          <w:sz w:val="32"/>
          <w:szCs w:val="32"/>
          <w:highlight w:val="none"/>
          <w:lang w:val="en-US" w:eastAsia="zh-CN" w:bidi="ar-SA"/>
        </w:rPr>
        <w:t>90.9</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%；科学技术支出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%；文化旅游体育与传媒支出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17.05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4.5</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7.25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10.28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2.7</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pPr>
        <w:pStyle w:val="3"/>
        <w:rPr>
          <w:rFonts w:hint="eastAsia" w:ascii="Times New Roman" w:hAnsi="Times New Roman" w:eastAsia="仿宋_GB2312" w:cs="仿宋_GB2312"/>
          <w:b/>
          <w:bCs/>
          <w:color w:val="auto"/>
          <w:kern w:val="2"/>
          <w:sz w:val="32"/>
          <w:szCs w:val="32"/>
          <w:highlight w:val="none"/>
          <w:lang w:val="en-US" w:eastAsia="zh-CN" w:bidi="ar-SA"/>
        </w:rPr>
      </w:pPr>
      <w:r>
        <w:drawing>
          <wp:inline distT="0" distB="0" distL="114300" distR="114300">
            <wp:extent cx="4572000" cy="2743200"/>
            <wp:effectExtent l="0" t="0" r="0" b="0"/>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8"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9" w:name="_Toc15378460"/>
      <w:bookmarkStart w:id="30" w:name="_Toc15377444"/>
      <w:bookmarkStart w:id="31"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eastAsia="仿宋_GB2312" w:cs="仿宋_GB2312"/>
          <w:sz w:val="32"/>
          <w:szCs w:val="32"/>
        </w:rPr>
        <w:t>377.42</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9"/>
      <w:bookmarkEnd w:id="30"/>
      <w:bookmarkEnd w:id="31"/>
    </w:p>
    <w:p>
      <w:pPr>
        <w:spacing w:line="600" w:lineRule="exact"/>
        <w:ind w:firstLine="640" w:firstLineChars="200"/>
        <w:rPr>
          <w:rFonts w:hint="eastAsia" w:ascii="仿宋" w:eastAsia="仿宋"/>
          <w:b/>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一般公共服务（类）群众团体事务（款）行政</w:t>
      </w:r>
      <w:r>
        <w:rPr>
          <w:rStyle w:val="23"/>
          <w:rFonts w:hint="eastAsia" w:ascii="仿宋" w:eastAsia="仿宋" w:cs="仿宋_GB2312"/>
          <w:bCs/>
          <w:sz w:val="32"/>
          <w:szCs w:val="32"/>
          <w:lang w:bidi="ar-SA"/>
        </w:rPr>
        <w:t>运行（项）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342.84</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Style w:val="23"/>
          <w:rFonts w:hint="eastAsia" w:ascii="仿宋" w:eastAsia="仿宋"/>
          <w:b w:val="0"/>
          <w:bCs/>
          <w:color w:val="auto"/>
          <w:sz w:val="32"/>
          <w:szCs w:val="32"/>
          <w:highlight w:val="none"/>
        </w:rPr>
        <w:t>决算数等于预算数。</w:t>
      </w:r>
    </w:p>
    <w:p>
      <w:pPr>
        <w:spacing w:line="600" w:lineRule="exact"/>
        <w:ind w:firstLine="640" w:firstLineChars="200"/>
        <w:rPr>
          <w:rFonts w:hint="eastAsia" w:ascii="仿宋" w:eastAsia="仿宋"/>
          <w:b/>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2.教育（类）***（款）***（项）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 xml:space="preserve"> 支出决算为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Style w:val="23"/>
          <w:rFonts w:hint="eastAsia" w:ascii="仿宋" w:eastAsia="仿宋"/>
          <w:b w:val="0"/>
          <w:bCs/>
          <w:color w:val="auto"/>
          <w:sz w:val="32"/>
          <w:szCs w:val="32"/>
          <w:highlight w:val="none"/>
        </w:rPr>
        <w:t>我会不涉及此科目，202</w:t>
      </w:r>
      <w:r>
        <w:rPr>
          <w:rStyle w:val="23"/>
          <w:rFonts w:hint="eastAsia" w:ascii="仿宋" w:eastAsia="仿宋"/>
          <w:b w:val="0"/>
          <w:bCs/>
          <w:color w:val="auto"/>
          <w:sz w:val="32"/>
          <w:szCs w:val="32"/>
          <w:highlight w:val="none"/>
          <w:lang w:val="en-US" w:eastAsia="zh-CN"/>
        </w:rPr>
        <w:t>4</w:t>
      </w:r>
      <w:r>
        <w:rPr>
          <w:rStyle w:val="23"/>
          <w:rFonts w:hint="eastAsia" w:ascii="仿宋" w:eastAsia="仿宋"/>
          <w:b w:val="0"/>
          <w:bCs/>
          <w:color w:val="auto"/>
          <w:sz w:val="32"/>
          <w:szCs w:val="32"/>
          <w:highlight w:val="none"/>
        </w:rPr>
        <w:t>年度教育类支出0万元。</w:t>
      </w:r>
    </w:p>
    <w:p>
      <w:pPr>
        <w:spacing w:line="600" w:lineRule="exact"/>
        <w:ind w:firstLine="640" w:firstLineChars="200"/>
        <w:rPr>
          <w:rStyle w:val="23"/>
          <w:rFonts w:hint="eastAsia" w:ascii="仿宋" w:eastAsia="仿宋"/>
          <w:b w:val="0"/>
          <w:bCs/>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3.科学技术（类）***（款）***（项）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Style w:val="23"/>
          <w:rFonts w:hint="eastAsia" w:ascii="仿宋" w:eastAsia="仿宋"/>
          <w:b w:val="0"/>
          <w:bCs/>
          <w:color w:val="auto"/>
          <w:sz w:val="32"/>
          <w:szCs w:val="32"/>
          <w:highlight w:val="none"/>
        </w:rPr>
        <w:t>我会不涉及此科目，202</w:t>
      </w:r>
      <w:r>
        <w:rPr>
          <w:rStyle w:val="23"/>
          <w:rFonts w:hint="eastAsia" w:ascii="仿宋" w:eastAsia="仿宋"/>
          <w:b w:val="0"/>
          <w:bCs/>
          <w:color w:val="auto"/>
          <w:sz w:val="32"/>
          <w:szCs w:val="32"/>
          <w:highlight w:val="none"/>
          <w:lang w:val="en-US" w:eastAsia="zh-CN"/>
        </w:rPr>
        <w:t>4</w:t>
      </w:r>
      <w:r>
        <w:rPr>
          <w:rStyle w:val="23"/>
          <w:rFonts w:hint="eastAsia" w:ascii="仿宋" w:eastAsia="仿宋"/>
          <w:b w:val="0"/>
          <w:bCs/>
          <w:color w:val="auto"/>
          <w:sz w:val="32"/>
          <w:szCs w:val="32"/>
          <w:highlight w:val="none"/>
        </w:rPr>
        <w:t>年度科学技术类支出0万元。</w:t>
      </w:r>
    </w:p>
    <w:p>
      <w:pPr>
        <w:spacing w:line="600" w:lineRule="exact"/>
        <w:ind w:firstLine="640" w:firstLineChars="200"/>
        <w:rPr>
          <w:rStyle w:val="23"/>
          <w:rFonts w:hint="eastAsia" w:ascii="仿宋" w:eastAsia="仿宋"/>
          <w:b w:val="0"/>
          <w:bCs/>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4.文化旅游体育与传媒（类）***（款）***（项）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Style w:val="23"/>
          <w:rFonts w:hint="eastAsia" w:ascii="仿宋" w:eastAsia="仿宋"/>
          <w:b w:val="0"/>
          <w:bCs/>
          <w:color w:val="auto"/>
          <w:sz w:val="32"/>
          <w:szCs w:val="32"/>
          <w:highlight w:val="none"/>
        </w:rPr>
        <w:t>我会不涉及此科目，202</w:t>
      </w:r>
      <w:r>
        <w:rPr>
          <w:rStyle w:val="23"/>
          <w:rFonts w:hint="eastAsia" w:ascii="仿宋" w:eastAsia="仿宋"/>
          <w:b w:val="0"/>
          <w:bCs/>
          <w:color w:val="auto"/>
          <w:sz w:val="32"/>
          <w:szCs w:val="32"/>
          <w:highlight w:val="none"/>
          <w:lang w:val="en-US" w:eastAsia="zh-CN"/>
        </w:rPr>
        <w:t>4</w:t>
      </w:r>
      <w:r>
        <w:rPr>
          <w:rStyle w:val="23"/>
          <w:rFonts w:hint="eastAsia" w:ascii="仿宋" w:eastAsia="仿宋"/>
          <w:b w:val="0"/>
          <w:bCs/>
          <w:color w:val="auto"/>
          <w:sz w:val="32"/>
          <w:szCs w:val="32"/>
          <w:highlight w:val="none"/>
        </w:rPr>
        <w:t>年度文化旅游类支出0万元。</w:t>
      </w:r>
    </w:p>
    <w:p>
      <w:pPr>
        <w:spacing w:line="600" w:lineRule="exact"/>
        <w:ind w:firstLine="640"/>
        <w:rPr>
          <w:rStyle w:val="23"/>
          <w:rFonts w:hint="eastAsia" w:ascii="仿宋" w:eastAsia="仿宋"/>
          <w:b w:val="0"/>
          <w:bCs/>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5.社会保障和就业（类）</w:t>
      </w:r>
      <w:r>
        <w:rPr>
          <w:rStyle w:val="23"/>
          <w:rFonts w:hint="eastAsia" w:ascii="仿宋" w:eastAsia="仿宋" w:cs="仿宋_GB2312"/>
          <w:bCs/>
          <w:sz w:val="32"/>
          <w:szCs w:val="32"/>
          <w:lang w:bidi="ar-SA"/>
        </w:rPr>
        <w:t>行</w:t>
      </w:r>
      <w:r>
        <w:rPr>
          <w:rFonts w:hint="eastAsia" w:ascii="Times New Roman" w:hAnsi="Times New Roman" w:eastAsia="仿宋_GB2312" w:cs="仿宋_GB2312"/>
          <w:color w:val="auto"/>
          <w:kern w:val="2"/>
          <w:sz w:val="32"/>
          <w:szCs w:val="32"/>
          <w:highlight w:val="none"/>
          <w:lang w:val="en-US" w:eastAsia="zh-CN" w:bidi="ar-SA"/>
        </w:rPr>
        <w:t>政事业单位离退休（款）机关事业单位基本养老保险缴费支出（项）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11.37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Style w:val="23"/>
          <w:rFonts w:hint="eastAsia" w:ascii="仿宋" w:eastAsia="仿宋"/>
          <w:b w:val="0"/>
          <w:bCs/>
          <w:color w:val="auto"/>
          <w:sz w:val="32"/>
          <w:szCs w:val="32"/>
          <w:highlight w:val="none"/>
        </w:rPr>
        <w:t>决算数等于预算数。</w:t>
      </w:r>
    </w:p>
    <w:p>
      <w:pPr>
        <w:pStyle w:val="2"/>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6.社会保障和就业（类）行政事业单位离退休（款）机关事业单位职业年金缴费支出（项）支出决算为</w:t>
      </w:r>
      <w:r>
        <w:rPr>
          <w:rFonts w:hint="eastAsia" w:eastAsia="仿宋_GB2312" w:cs="仿宋_GB2312"/>
          <w:color w:val="auto"/>
          <w:kern w:val="2"/>
          <w:sz w:val="32"/>
          <w:szCs w:val="32"/>
          <w:highlight w:val="none"/>
          <w:lang w:val="en-US" w:eastAsia="zh-CN" w:bidi="ar-SA"/>
        </w:rPr>
        <w:t>5.68</w:t>
      </w:r>
      <w:r>
        <w:rPr>
          <w:rFonts w:hint="eastAsia" w:ascii="Times New Roman" w:hAnsi="Times New Roman" w:eastAsia="仿宋_GB2312" w:cs="仿宋_GB2312"/>
          <w:color w:val="auto"/>
          <w:kern w:val="2"/>
          <w:sz w:val="32"/>
          <w:szCs w:val="32"/>
          <w:highlight w:val="none"/>
          <w:lang w:val="en-US" w:eastAsia="zh-CN" w:bidi="ar-SA"/>
        </w:rPr>
        <w:t>万元，完成预算100%，决算数等于预算数。</w:t>
      </w:r>
    </w:p>
    <w:p>
      <w:pPr>
        <w:spacing w:line="600" w:lineRule="exact"/>
        <w:ind w:firstLine="642" w:firstLineChars="200"/>
        <w:rPr>
          <w:rFonts w:hint="eastAsia" w:ascii="仿宋" w:eastAsia="仿宋"/>
          <w:b/>
          <w:color w:val="auto"/>
          <w:sz w:val="32"/>
          <w:szCs w:val="32"/>
          <w:highlight w:val="none"/>
        </w:rPr>
      </w:pPr>
      <w:r>
        <w:rPr>
          <w:rStyle w:val="23"/>
          <w:rFonts w:hint="eastAsia" w:ascii="仿宋" w:eastAsia="仿宋"/>
          <w:bCs/>
          <w:color w:val="auto"/>
          <w:sz w:val="32"/>
          <w:szCs w:val="32"/>
          <w:highlight w:val="none"/>
        </w:rPr>
        <w:t>7.</w:t>
      </w:r>
      <w:r>
        <w:rPr>
          <w:rFonts w:hint="eastAsia" w:ascii="仿宋" w:eastAsia="仿宋"/>
          <w:b/>
          <w:bCs/>
          <w:color w:val="auto"/>
          <w:sz w:val="32"/>
          <w:szCs w:val="32"/>
          <w:highlight w:val="none"/>
        </w:rPr>
        <w:t>卫生健康</w:t>
      </w:r>
      <w:r>
        <w:rPr>
          <w:rStyle w:val="23"/>
          <w:rFonts w:hint="eastAsia" w:ascii="仿宋" w:eastAsia="仿宋"/>
          <w:bCs/>
          <w:color w:val="auto"/>
          <w:sz w:val="32"/>
          <w:szCs w:val="32"/>
          <w:highlight w:val="none"/>
        </w:rPr>
        <w:t>（类）</w:t>
      </w:r>
      <w:r>
        <w:rPr>
          <w:rFonts w:hint="eastAsia" w:ascii="仿宋" w:eastAsia="仿宋" w:cs="仿宋_GB2312"/>
          <w:b/>
          <w:bCs/>
          <w:sz w:val="32"/>
          <w:szCs w:val="32"/>
          <w:lang w:bidi="ar-SA"/>
        </w:rPr>
        <w:t>行政事业单位医疗（款）行政单位医疗（项）</w:t>
      </w:r>
      <w:r>
        <w:rPr>
          <w:rFonts w:hint="eastAsia" w:ascii="仿宋" w:eastAsia="仿宋" w:cs="仿宋_GB2312"/>
          <w:b/>
          <w:bCs/>
          <w:sz w:val="32"/>
          <w:szCs w:val="32"/>
          <w:lang w:eastAsia="zh-CN" w:bidi="ar-SA"/>
        </w:rPr>
        <w:t>：</w:t>
      </w:r>
      <w:r>
        <w:rPr>
          <w:rStyle w:val="23"/>
          <w:rFonts w:hint="eastAsia" w:ascii="仿宋" w:eastAsia="仿宋"/>
          <w:b w:val="0"/>
          <w:bCs/>
          <w:color w:val="auto"/>
          <w:sz w:val="32"/>
          <w:szCs w:val="32"/>
          <w:highlight w:val="none"/>
        </w:rPr>
        <w:t>支出决算为</w:t>
      </w:r>
      <w:r>
        <w:rPr>
          <w:rStyle w:val="23"/>
          <w:rFonts w:hint="eastAsia" w:ascii="仿宋" w:eastAsia="仿宋"/>
          <w:b w:val="0"/>
          <w:bCs/>
          <w:color w:val="auto"/>
          <w:sz w:val="32"/>
          <w:szCs w:val="32"/>
          <w:highlight w:val="none"/>
          <w:lang w:val="en-US" w:eastAsia="zh-CN"/>
        </w:rPr>
        <w:t>5.56</w:t>
      </w:r>
      <w:r>
        <w:rPr>
          <w:rStyle w:val="23"/>
          <w:rFonts w:hint="eastAsia" w:ascii="仿宋" w:eastAsia="仿宋"/>
          <w:b w:val="0"/>
          <w:bCs/>
          <w:color w:val="auto"/>
          <w:sz w:val="32"/>
          <w:szCs w:val="32"/>
          <w:highlight w:val="none"/>
        </w:rPr>
        <w:t>万元，完成预算100%，决算数等于预算数。</w:t>
      </w:r>
    </w:p>
    <w:p>
      <w:pPr>
        <w:spacing w:line="600" w:lineRule="exact"/>
        <w:ind w:firstLine="642" w:firstLineChars="200"/>
        <w:rPr>
          <w:rFonts w:hint="eastAsia" w:ascii="仿宋" w:eastAsia="仿宋"/>
          <w:b/>
          <w:sz w:val="32"/>
          <w:szCs w:val="32"/>
        </w:rPr>
      </w:pPr>
      <w:r>
        <w:rPr>
          <w:rStyle w:val="23"/>
          <w:rFonts w:hint="eastAsia" w:ascii="仿宋" w:eastAsia="仿宋" w:cs="仿宋_GB2312"/>
          <w:bCs/>
          <w:sz w:val="32"/>
          <w:szCs w:val="32"/>
          <w:lang w:bidi="ar-SA"/>
        </w:rPr>
        <w:t>8.</w:t>
      </w:r>
      <w:r>
        <w:rPr>
          <w:rStyle w:val="23"/>
          <w:rFonts w:hint="eastAsia" w:ascii="仿宋" w:eastAsia="仿宋"/>
          <w:bCs/>
          <w:sz w:val="32"/>
          <w:szCs w:val="32"/>
          <w:highlight w:val="none"/>
        </w:rPr>
        <w:t>卫生</w:t>
      </w:r>
      <w:r>
        <w:rPr>
          <w:rFonts w:hint="eastAsia" w:ascii="仿宋" w:eastAsia="仿宋"/>
          <w:b/>
          <w:bCs/>
          <w:color w:val="auto"/>
          <w:sz w:val="32"/>
          <w:szCs w:val="32"/>
          <w:highlight w:val="none"/>
        </w:rPr>
        <w:t>健康</w:t>
      </w:r>
      <w:r>
        <w:rPr>
          <w:rStyle w:val="23"/>
          <w:rFonts w:hint="eastAsia" w:ascii="仿宋" w:eastAsia="仿宋"/>
          <w:bCs/>
          <w:color w:val="auto"/>
          <w:sz w:val="32"/>
          <w:szCs w:val="32"/>
          <w:highlight w:val="none"/>
        </w:rPr>
        <w:t>（类）</w:t>
      </w:r>
      <w:r>
        <w:rPr>
          <w:rFonts w:hint="eastAsia" w:ascii="仿宋" w:eastAsia="仿宋" w:cs="仿宋_GB2312"/>
          <w:b/>
          <w:bCs/>
          <w:sz w:val="32"/>
          <w:szCs w:val="32"/>
          <w:lang w:bidi="ar-SA"/>
        </w:rPr>
        <w:t>行政事业单位医疗（款）公务员医疗补助（项）</w:t>
      </w:r>
      <w:r>
        <w:rPr>
          <w:rFonts w:hint="eastAsia" w:ascii="仿宋" w:eastAsia="仿宋" w:cs="仿宋_GB2312"/>
          <w:b/>
          <w:bCs/>
          <w:sz w:val="32"/>
          <w:szCs w:val="32"/>
          <w:lang w:eastAsia="zh-CN" w:bidi="ar-SA"/>
        </w:rPr>
        <w:t>：</w:t>
      </w:r>
      <w:r>
        <w:rPr>
          <w:rFonts w:hint="eastAsia" w:ascii="仿宋_GB2312" w:eastAsia="仿宋_GB2312" w:cs="仿宋_GB2312"/>
          <w:kern w:val="0"/>
          <w:sz w:val="32"/>
          <w:szCs w:val="32"/>
          <w:lang w:bidi="ar-SA"/>
        </w:rPr>
        <w:t>支出决算为1.7万元，完成预算100%。</w:t>
      </w:r>
      <w:r>
        <w:rPr>
          <w:rStyle w:val="23"/>
          <w:rFonts w:hint="eastAsia" w:ascii="仿宋" w:eastAsia="仿宋"/>
          <w:b w:val="0"/>
          <w:bCs/>
          <w:color w:val="auto"/>
          <w:sz w:val="32"/>
          <w:szCs w:val="32"/>
          <w:highlight w:val="none"/>
        </w:rPr>
        <w:t>决算数等于预算数。</w:t>
      </w:r>
      <w:r>
        <w:rPr>
          <w:rFonts w:hint="eastAsia" w:ascii="仿宋_GB2312" w:eastAsia="仿宋_GB2312" w:cs="仿宋_GB2312"/>
          <w:kern w:val="0"/>
          <w:sz w:val="32"/>
          <w:szCs w:val="32"/>
          <w:lang w:val="en-US" w:eastAsia="zh-CN" w:bidi="ar-SA"/>
        </w:rPr>
        <w:t xml:space="preserve"> </w:t>
      </w:r>
    </w:p>
    <w:p>
      <w:pPr>
        <w:spacing w:line="600" w:lineRule="exact"/>
        <w:ind w:firstLine="642" w:firstLineChars="200"/>
        <w:rPr>
          <w:rFonts w:hint="eastAsia" w:ascii="仿宋" w:eastAsia="仿宋"/>
          <w:b/>
          <w:sz w:val="32"/>
          <w:szCs w:val="32"/>
        </w:rPr>
      </w:pPr>
      <w:r>
        <w:rPr>
          <w:rStyle w:val="23"/>
          <w:rFonts w:hint="eastAsia" w:ascii="仿宋" w:eastAsia="仿宋" w:cs="仿宋_GB2312"/>
          <w:bCs/>
          <w:sz w:val="32"/>
          <w:szCs w:val="32"/>
          <w:lang w:val="en-US" w:bidi="ar-SA"/>
        </w:rPr>
        <w:t>9.</w:t>
      </w:r>
      <w:r>
        <w:rPr>
          <w:rStyle w:val="23"/>
          <w:rFonts w:hint="eastAsia" w:ascii="仿宋" w:eastAsia="仿宋" w:cs="仿宋_GB2312"/>
          <w:bCs/>
          <w:sz w:val="32"/>
          <w:szCs w:val="32"/>
          <w:lang w:bidi="ar-SA"/>
        </w:rPr>
        <w:t>住</w:t>
      </w:r>
      <w:r>
        <w:rPr>
          <w:rFonts w:hint="eastAsia" w:ascii="仿宋" w:eastAsia="仿宋" w:cs="仿宋_GB2312"/>
          <w:b/>
          <w:bCs/>
          <w:sz w:val="32"/>
          <w:szCs w:val="32"/>
          <w:lang w:bidi="ar-SA"/>
        </w:rPr>
        <w:t>房保障</w:t>
      </w:r>
      <w:r>
        <w:rPr>
          <w:rFonts w:hint="eastAsia" w:ascii="仿宋" w:eastAsia="仿宋" w:cs="仿宋_GB2312"/>
          <w:b/>
          <w:bCs/>
          <w:sz w:val="32"/>
          <w:szCs w:val="32"/>
          <w:lang w:eastAsia="zh-CN" w:bidi="ar-SA"/>
        </w:rPr>
        <w:t>（</w:t>
      </w:r>
      <w:r>
        <w:rPr>
          <w:rFonts w:hint="eastAsia" w:ascii="仿宋" w:eastAsia="仿宋" w:cs="仿宋_GB2312"/>
          <w:b/>
          <w:bCs/>
          <w:sz w:val="32"/>
          <w:szCs w:val="32"/>
          <w:lang w:bidi="ar-SA"/>
        </w:rPr>
        <w:t>类</w:t>
      </w:r>
      <w:r>
        <w:rPr>
          <w:rFonts w:hint="eastAsia" w:ascii="仿宋" w:eastAsia="仿宋" w:cs="仿宋_GB2312"/>
          <w:b/>
          <w:bCs/>
          <w:sz w:val="32"/>
          <w:szCs w:val="32"/>
          <w:lang w:eastAsia="zh-CN" w:bidi="ar-SA"/>
        </w:rPr>
        <w:t>）住房</w:t>
      </w:r>
      <w:r>
        <w:rPr>
          <w:rFonts w:hint="eastAsia" w:ascii="仿宋" w:eastAsia="仿宋" w:cs="仿宋_GB2312"/>
          <w:b/>
          <w:bCs/>
          <w:sz w:val="32"/>
          <w:szCs w:val="32"/>
          <w:lang w:bidi="ar-SA"/>
        </w:rPr>
        <w:t>改革支出</w:t>
      </w:r>
      <w:r>
        <w:rPr>
          <w:rFonts w:hint="eastAsia" w:ascii="仿宋" w:eastAsia="仿宋" w:cs="仿宋_GB2312"/>
          <w:b/>
          <w:bCs/>
          <w:sz w:val="32"/>
          <w:szCs w:val="32"/>
          <w:lang w:eastAsia="zh-CN" w:bidi="ar-SA"/>
        </w:rPr>
        <w:t>（</w:t>
      </w:r>
      <w:r>
        <w:rPr>
          <w:rFonts w:hint="eastAsia" w:ascii="仿宋" w:eastAsia="仿宋" w:cs="仿宋_GB2312"/>
          <w:b/>
          <w:bCs/>
          <w:sz w:val="32"/>
          <w:szCs w:val="32"/>
          <w:lang w:bidi="ar-SA"/>
        </w:rPr>
        <w:t>款</w:t>
      </w:r>
      <w:r>
        <w:rPr>
          <w:rFonts w:hint="eastAsia" w:ascii="仿宋" w:eastAsia="仿宋" w:cs="仿宋_GB2312"/>
          <w:b/>
          <w:bCs/>
          <w:sz w:val="32"/>
          <w:szCs w:val="32"/>
          <w:lang w:eastAsia="zh-CN" w:bidi="ar-SA"/>
        </w:rPr>
        <w:t>）</w:t>
      </w:r>
      <w:r>
        <w:rPr>
          <w:rFonts w:hint="eastAsia" w:ascii="仿宋" w:eastAsia="仿宋" w:cs="仿宋_GB2312"/>
          <w:b/>
          <w:bCs/>
          <w:sz w:val="32"/>
          <w:szCs w:val="32"/>
          <w:lang w:bidi="ar-SA"/>
        </w:rPr>
        <w:t>住房公积金</w:t>
      </w:r>
      <w:r>
        <w:rPr>
          <w:rFonts w:hint="eastAsia" w:ascii="仿宋" w:eastAsia="仿宋" w:cs="仿宋_GB2312"/>
          <w:b/>
          <w:bCs/>
          <w:sz w:val="32"/>
          <w:szCs w:val="32"/>
          <w:lang w:eastAsia="zh-CN" w:bidi="ar-SA"/>
        </w:rPr>
        <w:t>（</w:t>
      </w:r>
      <w:r>
        <w:rPr>
          <w:rFonts w:hint="eastAsia" w:ascii="仿宋" w:eastAsia="仿宋" w:cs="仿宋_GB2312"/>
          <w:b/>
          <w:bCs/>
          <w:sz w:val="32"/>
          <w:szCs w:val="32"/>
          <w:lang w:bidi="ar-SA"/>
        </w:rPr>
        <w:t>项</w:t>
      </w:r>
      <w:r>
        <w:rPr>
          <w:rFonts w:hint="eastAsia" w:ascii="仿宋" w:eastAsia="仿宋" w:cs="仿宋_GB2312"/>
          <w:b/>
          <w:bCs/>
          <w:sz w:val="32"/>
          <w:szCs w:val="32"/>
          <w:lang w:eastAsia="zh-CN" w:bidi="ar-SA"/>
        </w:rPr>
        <w:t>）：</w:t>
      </w:r>
      <w:r>
        <w:rPr>
          <w:rFonts w:hint="eastAsia" w:cs="仿宋_GB2312"/>
          <w:sz w:val="32"/>
          <w:szCs w:val="32"/>
          <w:lang w:bidi="ar-SA"/>
        </w:rPr>
        <w:t>支出决算为</w:t>
      </w:r>
      <w:r>
        <w:rPr>
          <w:rFonts w:hint="eastAsia" w:cs="仿宋_GB2312"/>
          <w:sz w:val="32"/>
          <w:szCs w:val="32"/>
          <w:lang w:val="en-US" w:eastAsia="zh-CN" w:bidi="ar-SA"/>
        </w:rPr>
        <w:t>10.28</w:t>
      </w:r>
      <w:r>
        <w:rPr>
          <w:rFonts w:hint="eastAsia" w:cs="仿宋_GB2312"/>
          <w:sz w:val="32"/>
          <w:szCs w:val="32"/>
          <w:lang w:bidi="ar-SA"/>
        </w:rPr>
        <w:t>万元，完成预算100%。</w:t>
      </w:r>
      <w:r>
        <w:rPr>
          <w:rStyle w:val="23"/>
          <w:rFonts w:hint="eastAsia" w:ascii="仿宋" w:eastAsia="仿宋"/>
          <w:b w:val="0"/>
          <w:bCs/>
          <w:color w:val="auto"/>
          <w:sz w:val="32"/>
          <w:szCs w:val="32"/>
          <w:highlight w:val="none"/>
        </w:rPr>
        <w:t>决算数等于预算数。</w:t>
      </w:r>
    </w:p>
    <w:p>
      <w:pPr>
        <w:spacing w:line="600" w:lineRule="exact"/>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项级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和全年预算数</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项级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比较，与预算数持平可以不写原因）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6"/>
        <w:keepNext/>
        <w:keepLines/>
        <w:pageBreakBefore w:val="0"/>
        <w:widowControl w:val="0"/>
        <w:suppressLineNumbers w:val="0"/>
        <w:suppressAutoHyphens w:val="0"/>
        <w:rPr>
          <w:rFonts w:hint="eastAsia"/>
        </w:rPr>
      </w:pPr>
      <w:bookmarkStart w:id="32" w:name="_Toc15377214"/>
      <w:bookmarkStart w:id="33" w:name="_Toc15396608"/>
      <w:r>
        <w:rPr>
          <w:rFonts w:hint="eastAsia"/>
        </w:rPr>
        <w:t>六、一般公共预算财政拨款基本支出决算情况说明</w:t>
      </w:r>
      <w:bookmarkEnd w:id="32"/>
      <w:bookmarkEnd w:id="33"/>
      <w:r>
        <w:rPr>
          <w:rFonts w:hint="eastAsia"/>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eastAsia="仿宋_GB2312" w:cs="仿宋_GB2312"/>
          <w:sz w:val="32"/>
          <w:szCs w:val="32"/>
        </w:rPr>
        <w:t>165.9</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eastAsia="仿宋_GB2312" w:cs="仿宋_GB2312"/>
          <w:sz w:val="32"/>
          <w:szCs w:val="32"/>
        </w:rPr>
        <w:t>141.13</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eastAsia="仿宋_GB2312" w:cs="仿宋_GB2312"/>
          <w:sz w:val="32"/>
          <w:szCs w:val="32"/>
        </w:rPr>
        <w:t>24.77</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pPr>
        <w:pStyle w:val="6"/>
        <w:spacing w:line="415" w:lineRule="auto"/>
        <w:rPr>
          <w:rFonts w:hint="eastAsia"/>
        </w:rPr>
      </w:pPr>
    </w:p>
    <w:p>
      <w:pPr>
        <w:pStyle w:val="6"/>
        <w:keepNext/>
        <w:keepLines/>
        <w:pageBreakBefore w:val="0"/>
        <w:widowControl w:val="0"/>
        <w:suppressLineNumbers w:val="0"/>
        <w:suppressAutoHyphens w:val="0"/>
        <w:rPr>
          <w:rFonts w:hint="eastAsia"/>
        </w:rPr>
      </w:pPr>
      <w:bookmarkStart w:id="34" w:name="_Toc15377215"/>
      <w:bookmarkStart w:id="35" w:name="_Toc15396609"/>
      <w:r>
        <w:rPr>
          <w:rFonts w:hint="eastAsia"/>
        </w:rPr>
        <w:t>七、财政拨款“三公”经费支出决算情况说明</w:t>
      </w:r>
      <w:bookmarkEnd w:id="34"/>
      <w:bookmarkEnd w:id="35"/>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6"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eastAsia="仿宋_GB2312" w:cs="仿宋_GB2312"/>
          <w:sz w:val="32"/>
          <w:szCs w:val="32"/>
        </w:rPr>
        <w:t>10.75</w:t>
      </w:r>
      <w:r>
        <w:rPr>
          <w:rFonts w:hint="eastAsia" w:ascii="仿宋_GB2312" w:eastAsia="仿宋_GB2312" w:cs="仿宋_GB2312"/>
          <w:color w:val="auto"/>
          <w:kern w:val="2"/>
          <w:sz w:val="32"/>
          <w:szCs w:val="32"/>
          <w:highlight w:val="none"/>
          <w:lang w:val="en-US" w:eastAsia="zh-CN" w:bidi="ar-SA"/>
        </w:rPr>
        <w:t>万元，完成预算</w:t>
      </w:r>
      <w:r>
        <w:rPr>
          <w:rFonts w:hint="eastAsia" w:ascii="仿宋_GB2312" w:eastAsia="仿宋_GB2312" w:cs="仿宋_GB2312"/>
          <w:sz w:val="32"/>
          <w:szCs w:val="32"/>
        </w:rPr>
        <w:t>100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0.52</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ascii="仿宋" w:eastAsia="仿宋"/>
          <w:color w:val="auto"/>
          <w:sz w:val="32"/>
          <w:szCs w:val="32"/>
          <w:highlight w:val="none"/>
        </w:rPr>
        <w:t>。</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7"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7"/>
    </w:p>
    <w:p>
      <w:pPr>
        <w:spacing w:line="600" w:lineRule="exact"/>
        <w:ind w:firstLine="640"/>
        <w:rPr>
          <w:rFonts w:hint="eastAsia" w:ascii="仿宋_GB2312"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万元，占**%；公务用车购置及运行维</w:t>
      </w:r>
      <w:bookmarkStart w:id="65" w:name="_GoBack"/>
      <w:bookmarkEnd w:id="65"/>
      <w:r>
        <w:rPr>
          <w:rFonts w:hint="eastAsia" w:ascii="仿宋_GB2312" w:eastAsia="仿宋_GB2312" w:cs="仿宋_GB2312"/>
          <w:color w:val="auto"/>
          <w:kern w:val="2"/>
          <w:sz w:val="32"/>
          <w:szCs w:val="32"/>
          <w:highlight w:val="none"/>
          <w:lang w:val="en-US" w:eastAsia="zh-CN" w:bidi="ar-SA"/>
        </w:rPr>
        <w:t>护费支出决算</w:t>
      </w:r>
      <w:r>
        <w:rPr>
          <w:rFonts w:hint="eastAsia" w:ascii="仿宋_GB2312" w:eastAsia="仿宋_GB2312" w:cs="仿宋_GB2312"/>
          <w:sz w:val="32"/>
          <w:szCs w:val="32"/>
        </w:rPr>
        <w:t>10.55</w:t>
      </w:r>
      <w:r>
        <w:rPr>
          <w:rFonts w:hint="eastAsia" w:ascii="仿宋_GB2312" w:eastAsia="仿宋_GB2312" w:cs="仿宋_GB2312"/>
          <w:color w:val="auto"/>
          <w:kern w:val="2"/>
          <w:sz w:val="32"/>
          <w:szCs w:val="32"/>
          <w:highlight w:val="none"/>
          <w:lang w:val="en-US" w:eastAsia="zh-CN" w:bidi="ar-SA"/>
        </w:rPr>
        <w:t>万元，占98.1%；公务接待费支出决算</w:t>
      </w:r>
      <w:r>
        <w:rPr>
          <w:rFonts w:hint="eastAsia" w:ascii="仿宋_GB2312" w:eastAsia="仿宋_GB2312" w:cs="仿宋_GB2312"/>
          <w:sz w:val="32"/>
          <w:szCs w:val="32"/>
        </w:rPr>
        <w:t>0.2</w:t>
      </w:r>
      <w:r>
        <w:rPr>
          <w:rFonts w:hint="eastAsia" w:ascii="仿宋_GB2312" w:eastAsia="仿宋_GB2312" w:cs="仿宋_GB2312"/>
          <w:color w:val="auto"/>
          <w:kern w:val="2"/>
          <w:sz w:val="32"/>
          <w:szCs w:val="32"/>
          <w:highlight w:val="none"/>
          <w:lang w:val="en-US" w:eastAsia="zh-CN" w:bidi="ar-SA"/>
        </w:rPr>
        <w:t>万元，占1.9%。具体情况如下：</w:t>
      </w:r>
    </w:p>
    <w:p>
      <w:pPr>
        <w:pStyle w:val="3"/>
        <w:rPr>
          <w:rFonts w:hint="eastAsia" w:ascii="仿宋_GB2312" w:eastAsia="仿宋_GB2312" w:cs="仿宋_GB2312"/>
          <w:color w:val="auto"/>
          <w:kern w:val="2"/>
          <w:sz w:val="32"/>
          <w:szCs w:val="32"/>
          <w:highlight w:val="none"/>
          <w:lang w:val="en-US" w:eastAsia="zh-CN" w:bidi="ar-SA"/>
        </w:rPr>
      </w:pPr>
      <w:r>
        <w:drawing>
          <wp:inline distT="0" distB="0" distL="114300" distR="114300">
            <wp:extent cx="3354705" cy="2030095"/>
            <wp:effectExtent l="0" t="0" r="43" b="31"/>
            <wp:docPr id="7" name="图片 3"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6.png"/>
                    <pic:cNvPicPr>
                      <a:picLocks noChangeAspect="1"/>
                    </pic:cNvPicPr>
                  </pic:nvPicPr>
                  <pic:blipFill>
                    <a:blip r:embed="rId15"/>
                    <a:stretch>
                      <a:fillRect/>
                    </a:stretch>
                  </pic:blipFill>
                  <pic:spPr>
                    <a:xfrm>
                      <a:off x="0" y="0"/>
                      <a:ext cx="3354705" cy="2030729"/>
                    </a:xfrm>
                    <a:prstGeom prst="rect">
                      <a:avLst/>
                    </a:prstGeom>
                    <a:noFill/>
                    <a:ln w="9525" cap="flat" cmpd="sng">
                      <a:noFill/>
                      <a:prstDash val="solid"/>
                      <a:round/>
                    </a:ln>
                  </pic:spPr>
                </pic:pic>
              </a:graphicData>
            </a:graphic>
          </wp:inline>
        </w:drawing>
      </w:r>
    </w:p>
    <w:p>
      <w:pPr>
        <w:pStyle w:val="3"/>
        <w:rPr>
          <w:rFonts w:hint="eastAsia" w:ascii="仿宋_GB2312"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0"/>
        <w:rPr>
          <w:rFonts w:hint="eastAsia" w:ascii="仿宋_GB2312" w:eastAsia="仿宋_GB2312"/>
          <w:b/>
          <w:color w:val="auto"/>
          <w:sz w:val="32"/>
          <w:szCs w:val="32"/>
          <w:highlight w:val="none"/>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eastAsia="仿宋_GB2312" w:cs="仿宋_GB2312"/>
          <w:color w:val="auto"/>
          <w:kern w:val="2"/>
          <w:sz w:val="32"/>
          <w:szCs w:val="32"/>
          <w:highlight w:val="none"/>
          <w:lang w:val="en-US" w:eastAsia="zh-CN" w:bidi="ar-SA"/>
        </w:rPr>
        <w:t>组</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主要原因是在经费预算编制中，基于实际业务情况，我会未安排因公出国（境）经费。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eastAsia="仿宋_GB2312" w:cs="仿宋_GB2312"/>
          <w:b/>
          <w:bCs/>
          <w:color w:val="auto"/>
          <w:kern w:val="2"/>
          <w:sz w:val="32"/>
          <w:szCs w:val="32"/>
          <w:highlight w:val="none"/>
          <w:lang w:val="en-US" w:eastAsia="zh-CN" w:bidi="ar-SA"/>
        </w:rPr>
        <w:t>10.55万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eastAsia="仿宋_GB2312" w:cs="仿宋_GB2312"/>
          <w:color w:val="auto"/>
          <w:kern w:val="2"/>
          <w:sz w:val="32"/>
          <w:szCs w:val="32"/>
          <w:highlight w:val="none"/>
          <w:lang w:val="en-US" w:eastAsia="zh-CN" w:bidi="ar-SA"/>
        </w:rPr>
        <w:t>0.32</w:t>
      </w:r>
      <w:r>
        <w:rPr>
          <w:rFonts w:hint="eastAsia" w:ascii="Times New Roman" w:hAnsi="Times New Roman" w:eastAsia="仿宋_GB2312" w:cs="仿宋_GB2312"/>
          <w:color w:val="auto"/>
          <w:kern w:val="2"/>
          <w:sz w:val="32"/>
          <w:szCs w:val="32"/>
          <w:highlight w:val="none"/>
          <w:lang w:val="en-US" w:eastAsia="zh-CN" w:bidi="ar-SA"/>
        </w:rPr>
        <w:t>万元，增长</w:t>
      </w:r>
      <w:r>
        <w:rPr>
          <w:rFonts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：随着工作任务的加重（控辍保学、前方工作组等工作），导致出差次数增加。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万元，主要用于……。截至2024年12月31日，单位共有公务用车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10.55</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主要用于</w:t>
      </w:r>
      <w:r>
        <w:rPr>
          <w:rFonts w:hint="eastAsia" w:ascii="仿宋_GB2312" w:eastAsia="仿宋_GB2312"/>
          <w:color w:val="auto"/>
          <w:sz w:val="32"/>
          <w:szCs w:val="32"/>
          <w:highlight w:val="none"/>
        </w:rPr>
        <w:t>开展教规戒律、和谐寺庙创建等检查、指导工作、举办1期理事培训班，开展《阿坝州珍稀古籍文献会编》收集、编辑、出版，开展“两联一进”群众工作</w:t>
      </w:r>
      <w:r>
        <w:rPr>
          <w:rFonts w:hint="eastAsia" w:ascii="仿宋_GB2312" w:eastAsia="仿宋_GB2312"/>
          <w:color w:val="auto"/>
          <w:sz w:val="32"/>
          <w:szCs w:val="32"/>
          <w:highlight w:val="none"/>
          <w:lang w:eastAsia="zh-CN"/>
        </w:rPr>
        <w:t>、联心同行、</w:t>
      </w:r>
      <w:r>
        <w:rPr>
          <w:rFonts w:hint="eastAsia" w:eastAsia="仿宋_GB2312" w:cs="仿宋_GB2312"/>
          <w:color w:val="auto"/>
          <w:kern w:val="2"/>
          <w:sz w:val="32"/>
          <w:szCs w:val="32"/>
          <w:highlight w:val="none"/>
          <w:lang w:val="en-US" w:eastAsia="zh-CN" w:bidi="ar-SA"/>
        </w:rPr>
        <w:t>控辍保学、前方工作组</w:t>
      </w:r>
      <w:r>
        <w:rPr>
          <w:rFonts w:hint="eastAsia" w:ascii="仿宋_GB2312" w:eastAsia="仿宋_GB2312"/>
          <w:color w:val="auto"/>
          <w:sz w:val="32"/>
          <w:szCs w:val="32"/>
          <w:highlight w:val="none"/>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eastAsia="仿宋_GB2312" w:cs="仿宋_GB2312"/>
          <w:b/>
          <w:bCs/>
          <w:color w:val="auto"/>
          <w:kern w:val="2"/>
          <w:sz w:val="32"/>
          <w:szCs w:val="32"/>
          <w:highlight w:val="none"/>
          <w:lang w:val="en-US" w:eastAsia="zh-CN" w:bidi="ar-SA"/>
        </w:rPr>
        <w:t>0.2万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w:t>
      </w:r>
      <w:r>
        <w:rPr>
          <w:rFonts w:hint="eastAsia" w:eastAsia="仿宋_GB2312" w:cs="仿宋_GB2312"/>
          <w:color w:val="auto"/>
          <w:kern w:val="2"/>
          <w:sz w:val="32"/>
          <w:szCs w:val="32"/>
          <w:highlight w:val="none"/>
          <w:lang w:val="en-US" w:eastAsia="zh-CN" w:bidi="ar-SA"/>
        </w:rPr>
        <w:t>减少0.26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130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强化过紧日子的理念，严控“三公”经费和一般性支出，加强了对公务接待费的预算编制和审核，使得预算更加精准、严格，从源头上控制了接待费用的支出</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0.2</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eastAsia="仿宋_GB2312" w:cs="仿宋_GB2312"/>
          <w:color w:val="auto"/>
          <w:kern w:val="2"/>
          <w:sz w:val="32"/>
          <w:szCs w:val="32"/>
          <w:highlight w:val="none"/>
          <w:lang w:val="en-US" w:eastAsia="zh-CN" w:bidi="ar-SA"/>
        </w:rPr>
        <w:t>甘孜佛协考察团来我州进行调研</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eastAsia="仿宋_GB2312" w:cs="仿宋_GB2312"/>
          <w:color w:val="auto"/>
          <w:kern w:val="2"/>
          <w:sz w:val="32"/>
          <w:szCs w:val="32"/>
          <w:highlight w:val="none"/>
          <w:lang w:val="en-US" w:eastAsia="zh-CN" w:bidi="ar-SA"/>
        </w:rPr>
        <w:t>待</w:t>
      </w:r>
      <w:r>
        <w:rPr>
          <w:rFonts w:hint="eastAsia" w:ascii="仿宋_GB2312" w:eastAsia="仿宋_GB2312" w:cs="仿宋_GB2312"/>
          <w:sz w:val="32"/>
          <w:szCs w:val="32"/>
        </w:rPr>
        <w:t>1</w:t>
      </w:r>
      <w:r>
        <w:rPr>
          <w:rFonts w:hint="eastAsia" w:ascii="仿宋_GB2312" w:eastAsia="仿宋_GB2312" w:cs="仿宋_GB2312"/>
          <w:color w:val="auto"/>
          <w:kern w:val="2"/>
          <w:sz w:val="32"/>
          <w:szCs w:val="32"/>
          <w:highlight w:val="none"/>
          <w:lang w:val="en-US" w:eastAsia="zh-CN" w:bidi="ar-SA"/>
        </w:rPr>
        <w:t>批次，</w:t>
      </w:r>
      <w:r>
        <w:rPr>
          <w:rFonts w:hint="eastAsia" w:ascii="仿宋_GB2312" w:eastAsia="仿宋_GB2312" w:cs="仿宋_GB2312"/>
          <w:sz w:val="32"/>
          <w:szCs w:val="32"/>
          <w:lang w:val="en-US" w:eastAsia="zh-CN"/>
        </w:rPr>
        <w:t>30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前往四川藏语佛学院阿坝分院考察学习等。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万元，主要用于……（具体项目）。外事接待</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批次，</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p>
    <w:p>
      <w:pPr>
        <w:pStyle w:val="6"/>
        <w:spacing w:line="415" w:lineRule="auto"/>
        <w:rPr>
          <w:rFonts w:hint="eastAsia"/>
        </w:rPr>
      </w:pPr>
      <w:bookmarkStart w:id="38" w:name="_Toc15377218"/>
      <w:bookmarkStart w:id="39" w:name="_Toc15396610"/>
    </w:p>
    <w:p>
      <w:pPr>
        <w:pStyle w:val="6"/>
        <w:spacing w:line="415" w:lineRule="auto"/>
        <w:outlineLvl w:val="1"/>
      </w:pPr>
      <w:r>
        <w:rPr>
          <w:rFonts w:hint="eastAsia"/>
        </w:rPr>
        <w:t>八、政府性基金预算支出决算情况说明</w:t>
      </w:r>
      <w:bookmarkEnd w:id="38"/>
      <w:bookmarkEnd w:id="3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2024年度政府性基金预算财政拨款支出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lang w:eastAsia="zh-CN"/>
        </w:rPr>
        <w:t>根据经济发展状况和政策环境的需求，我会不涉及政府性基金支持的项目。因此在202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度的预算安排和实际执行中，均未产生</w:t>
      </w:r>
      <w:r>
        <w:rPr>
          <w:rFonts w:hint="eastAsia" w:ascii="仿宋_GB2312" w:eastAsia="仿宋_GB2312"/>
          <w:color w:val="auto"/>
          <w:sz w:val="32"/>
          <w:szCs w:val="32"/>
          <w:highlight w:val="none"/>
        </w:rPr>
        <w:t>政府性基金预算支出。政府性基金预算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拨款支出0万元。</w:t>
      </w:r>
    </w:p>
    <w:p>
      <w:pPr>
        <w:pStyle w:val="6"/>
        <w:spacing w:line="415" w:lineRule="auto"/>
        <w:outlineLvl w:val="1"/>
      </w:pPr>
      <w:bookmarkStart w:id="40" w:name="_Toc15396611"/>
      <w:bookmarkStart w:id="41" w:name="_Toc15377219"/>
      <w:r>
        <w:rPr>
          <w:rFonts w:hint="eastAsia"/>
        </w:rPr>
        <w:t>九、国有资本经营预算支出决算情况说明</w:t>
      </w:r>
      <w:bookmarkEnd w:id="40"/>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lang w:eastAsia="zh-CN"/>
        </w:rPr>
        <w:t>根据我会的业务性质和运营模式，没有与国有资本经营相关的活动和项目，因此在2023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度的预算安排和实际执行中，均未产生</w:t>
      </w:r>
      <w:r>
        <w:rPr>
          <w:rFonts w:hint="eastAsia" w:ascii="仿宋_GB2312" w:eastAsia="仿宋_GB2312"/>
          <w:color w:val="auto"/>
          <w:sz w:val="32"/>
          <w:szCs w:val="32"/>
          <w:highlight w:val="none"/>
        </w:rPr>
        <w:t>国有资本经营预算支出。国有资本经营预算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拨款支出0万元。</w:t>
      </w:r>
    </w:p>
    <w:p>
      <w:pPr>
        <w:pStyle w:val="6"/>
        <w:spacing w:line="415" w:lineRule="auto"/>
        <w:outlineLvl w:val="1"/>
        <w:rPr>
          <w:rFonts w:hint="eastAsia"/>
        </w:rPr>
      </w:pPr>
      <w:bookmarkStart w:id="42" w:name="_Toc15396612"/>
      <w:bookmarkStart w:id="43" w:name="_Toc15377221"/>
      <w:r>
        <w:rPr>
          <w:rFonts w:hint="eastAsia"/>
        </w:rPr>
        <w:t>十、其他重要事项的情况说明</w:t>
      </w:r>
      <w:bookmarkEnd w:id="42"/>
      <w:bookmarkEnd w:id="4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4" w:name="_Toc15377222"/>
      <w:r>
        <w:rPr>
          <w:rFonts w:hint="eastAsia" w:ascii="Times New Roman" w:hAnsi="Times New Roman" w:eastAsia="楷体_GB2312" w:cs="楷体_GB2312"/>
          <w:b/>
          <w:color w:val="auto"/>
          <w:sz w:val="32"/>
          <w:szCs w:val="32"/>
          <w:highlight w:val="none"/>
        </w:rPr>
        <w:t>（一）机关运行经费支出情况</w:t>
      </w:r>
      <w:bookmarkEnd w:id="4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eastAsia="仿宋_GB2312" w:cs="仿宋_GB2312"/>
          <w:color w:val="auto"/>
          <w:kern w:val="2"/>
          <w:sz w:val="32"/>
          <w:szCs w:val="32"/>
          <w:highlight w:val="none"/>
          <w:lang w:val="en-US" w:eastAsia="zh-CN" w:bidi="ar-SA"/>
        </w:rPr>
        <w:t>，</w:t>
      </w:r>
      <w:r>
        <w:rPr>
          <w:rFonts w:hint="eastAsia" w:ascii="仿宋_GB2312" w:eastAsia="仿宋_GB2312" w:cs="仿宋_GB2312"/>
          <w:sz w:val="32"/>
          <w:szCs w:val="32"/>
        </w:rPr>
        <w:t>阿坝州佛教协会（本级）</w:t>
      </w:r>
      <w:r>
        <w:rPr>
          <w:rFonts w:hint="eastAsia" w:ascii="仿宋_GB2312" w:eastAsia="仿宋_GB2312" w:cs="仿宋_GB2312"/>
          <w:color w:val="auto"/>
          <w:kern w:val="2"/>
          <w:sz w:val="32"/>
          <w:szCs w:val="32"/>
          <w:highlight w:val="none"/>
          <w:lang w:val="en-US" w:eastAsia="zh-CN" w:bidi="ar-SA"/>
        </w:rPr>
        <w:t>机关运行经费支出</w:t>
      </w:r>
      <w:r>
        <w:rPr>
          <w:rFonts w:hint="eastAsia" w:ascii="仿宋_GB2312" w:eastAsia="仿宋_GB2312" w:cs="仿宋_GB2312"/>
          <w:sz w:val="32"/>
          <w:szCs w:val="32"/>
        </w:rPr>
        <w:t>24.77</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0.15</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0.06</w:t>
      </w:r>
      <w:r>
        <w:rPr>
          <w:rFonts w:hint="eastAsia" w:ascii="Times New Roman" w:hAnsi="Times New Roman" w:eastAsia="仿宋_GB2312" w:cs="仿宋_GB2312"/>
          <w:color w:val="auto"/>
          <w:kern w:val="2"/>
          <w:sz w:val="32"/>
          <w:szCs w:val="32"/>
          <w:highlight w:val="none"/>
          <w:lang w:val="en-US" w:eastAsia="zh-CN" w:bidi="ar-SA"/>
        </w:rPr>
        <w:t>%。主要原因</w:t>
      </w:r>
      <w:r>
        <w:rPr>
          <w:rFonts w:hint="eastAsia" w:eastAsia="仿宋_GB2312" w:cs="仿宋_GB2312"/>
          <w:color w:val="auto"/>
          <w:kern w:val="2"/>
          <w:sz w:val="32"/>
          <w:szCs w:val="32"/>
          <w:highlight w:val="none"/>
          <w:lang w:val="en-US" w:eastAsia="zh-CN" w:bidi="ar-SA"/>
        </w:rPr>
        <w:t>：一</w:t>
      </w:r>
      <w:r>
        <w:rPr>
          <w:rFonts w:hint="eastAsia" w:ascii="Times New Roman" w:hAnsi="Times New Roman" w:eastAsia="仿宋_GB2312" w:cs="仿宋_GB2312"/>
          <w:color w:val="auto"/>
          <w:kern w:val="2"/>
          <w:sz w:val="32"/>
          <w:szCs w:val="32"/>
          <w:highlight w:val="none"/>
          <w:lang w:val="en-US" w:eastAsia="zh-CN" w:bidi="ar-SA"/>
        </w:rPr>
        <w:t>是</w:t>
      </w:r>
      <w:r>
        <w:rPr>
          <w:rFonts w:hint="eastAsia" w:eastAsia="仿宋_GB2312" w:cs="仿宋_GB2312"/>
          <w:color w:val="auto"/>
          <w:kern w:val="2"/>
          <w:sz w:val="32"/>
          <w:szCs w:val="32"/>
          <w:highlight w:val="none"/>
          <w:lang w:val="en-US" w:eastAsia="zh-CN" w:bidi="ar-SA"/>
        </w:rPr>
        <w:t>人员职级职别调整、工资普调、社保缴费基数提高等。二是随着工作任务的加重（控辍保学、前方工作组等工作）</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5" w:name="_Toc15377223"/>
      <w:r>
        <w:rPr>
          <w:rFonts w:hint="eastAsia" w:ascii="Times New Roman" w:hAnsi="Times New Roman" w:eastAsia="楷体_GB2312" w:cs="楷体_GB2312"/>
          <w:b/>
          <w:color w:val="auto"/>
          <w:sz w:val="32"/>
          <w:szCs w:val="32"/>
          <w:highlight w:val="none"/>
        </w:rPr>
        <w:t>（二）政府采购支出情况</w:t>
      </w:r>
      <w:bookmarkEnd w:id="45"/>
    </w:p>
    <w:p>
      <w:pPr>
        <w:spacing w:line="600" w:lineRule="exact"/>
        <w:ind w:firstLine="640"/>
        <w:rPr>
          <w:rFonts w:hint="eastAsia" w:ascii="仿宋_GB2312"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w:t>
      </w:r>
      <w:r>
        <w:rPr>
          <w:rFonts w:hint="eastAsia" w:ascii="仿宋_GB2312" w:eastAsia="仿宋_GB2312" w:cs="仿宋_GB2312"/>
          <w:sz w:val="32"/>
          <w:szCs w:val="32"/>
        </w:rPr>
        <w:t>阿坝州佛教协会（本级）</w:t>
      </w:r>
      <w:r>
        <w:rPr>
          <w:rFonts w:hint="eastAsia" w:ascii="仿宋_GB2312" w:eastAsia="仿宋_GB2312" w:cs="仿宋_GB2312"/>
          <w:color w:val="auto"/>
          <w:kern w:val="2"/>
          <w:sz w:val="32"/>
          <w:szCs w:val="32"/>
          <w:highlight w:val="none"/>
          <w:lang w:val="en-US" w:eastAsia="zh-CN" w:bidi="ar-SA"/>
        </w:rPr>
        <w:t>政府采购支出总额</w:t>
      </w:r>
      <w:r>
        <w:rPr>
          <w:rFonts w:hint="eastAsia" w:ascii="仿宋_GB2312" w:eastAsia="仿宋_GB2312" w:cs="仿宋_GB2312"/>
          <w:sz w:val="32"/>
          <w:szCs w:val="32"/>
        </w:rPr>
        <w:t>143.8</w:t>
      </w:r>
      <w:r>
        <w:rPr>
          <w:rFonts w:hint="eastAsia" w:ascii="仿宋_GB2312" w:eastAsia="仿宋_GB2312" w:cs="仿宋_GB2312"/>
          <w:color w:val="auto"/>
          <w:kern w:val="2"/>
          <w:sz w:val="32"/>
          <w:szCs w:val="32"/>
          <w:highlight w:val="none"/>
          <w:lang w:val="en-US" w:eastAsia="zh-CN" w:bidi="ar-SA"/>
        </w:rPr>
        <w:t>万元，其中：政府采购货物支出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万元、政府采购工程支出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万元、政府采购服务支出</w:t>
      </w:r>
      <w:r>
        <w:rPr>
          <w:rFonts w:hint="eastAsia" w:ascii="仿宋_GB2312" w:eastAsia="仿宋_GB2312" w:cs="仿宋_GB2312"/>
          <w:sz w:val="32"/>
          <w:szCs w:val="32"/>
        </w:rPr>
        <w:t>143.8</w:t>
      </w:r>
      <w:r>
        <w:rPr>
          <w:rFonts w:hint="eastAsia" w:ascii="仿宋_GB2312" w:eastAsia="仿宋_GB2312" w:cs="仿宋_GB2312"/>
          <w:color w:val="auto"/>
          <w:kern w:val="2"/>
          <w:sz w:val="32"/>
          <w:szCs w:val="32"/>
          <w:highlight w:val="none"/>
          <w:lang w:val="en-US" w:eastAsia="zh-CN" w:bidi="ar-SA"/>
        </w:rPr>
        <w:t>万元。主要用于</w:t>
      </w:r>
      <w:r>
        <w:rPr>
          <w:rFonts w:hint="eastAsia" w:ascii="仿宋_GB2312" w:eastAsia="仿宋_GB2312"/>
          <w:color w:val="auto"/>
          <w:sz w:val="32"/>
          <w:szCs w:val="32"/>
          <w:highlight w:val="none"/>
        </w:rPr>
        <w:t>《阿坝州珍稀古籍</w:t>
      </w:r>
      <w:r>
        <w:rPr>
          <w:rFonts w:hint="eastAsia" w:ascii="仿宋_GB2312" w:eastAsia="仿宋_GB2312"/>
          <w:color w:val="auto"/>
          <w:sz w:val="32"/>
          <w:szCs w:val="32"/>
          <w:highlight w:val="none"/>
          <w:lang w:eastAsia="zh-CN"/>
        </w:rPr>
        <w:t>文献汇编</w:t>
      </w:r>
      <w:r>
        <w:rPr>
          <w:rFonts w:hint="eastAsia" w:ascii="仿宋_GB2312" w:eastAsia="仿宋_GB2312"/>
          <w:color w:val="auto"/>
          <w:sz w:val="32"/>
          <w:szCs w:val="32"/>
          <w:highlight w:val="none"/>
        </w:rPr>
        <w:t>》</w:t>
      </w:r>
      <w:r>
        <w:rPr>
          <w:rFonts w:hint="eastAsia" w:ascii="仿宋_GB2312" w:eastAsia="仿宋_GB2312" w:cs="仿宋_GB2312"/>
          <w:color w:val="auto"/>
          <w:kern w:val="2"/>
          <w:sz w:val="32"/>
          <w:szCs w:val="32"/>
          <w:highlight w:val="none"/>
          <w:lang w:val="en-US" w:eastAsia="zh-CN" w:bidi="ar-SA"/>
        </w:rPr>
        <w:t>出版</w:t>
      </w:r>
      <w:r>
        <w:rPr>
          <w:rFonts w:ascii="仿宋_GB2312" w:eastAsia="仿宋_GB2312" w:cs="仿宋_GB2312"/>
          <w:color w:val="auto"/>
          <w:kern w:val="2"/>
          <w:sz w:val="32"/>
          <w:szCs w:val="32"/>
          <w:highlight w:val="none"/>
          <w:lang w:val="en-US" w:eastAsia="zh-CN" w:bidi="ar-SA"/>
        </w:rPr>
        <w:t>和采购打印机</w:t>
      </w:r>
      <w:r>
        <w:rPr>
          <w:rFonts w:hint="eastAsia" w:ascii="仿宋_GB2312" w:eastAsia="仿宋_GB2312" w:cs="仿宋_GB2312"/>
          <w:color w:val="auto"/>
          <w:kern w:val="2"/>
          <w:sz w:val="32"/>
          <w:szCs w:val="32"/>
          <w:highlight w:val="none"/>
          <w:lang w:val="en-US" w:eastAsia="zh-CN" w:bidi="ar-SA"/>
        </w:rPr>
        <w:t>。授予中小企业合同金额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%，其中：授予小微企业合同金额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6" w:name="_Toc15377224"/>
      <w:r>
        <w:rPr>
          <w:rFonts w:hint="eastAsia" w:ascii="Times New Roman" w:hAnsi="Times New Roman" w:eastAsia="楷体_GB2312" w:cs="楷体_GB2312"/>
          <w:b/>
          <w:color w:val="auto"/>
          <w:sz w:val="32"/>
          <w:szCs w:val="32"/>
          <w:highlight w:val="none"/>
        </w:rPr>
        <w:t>（三）国有资产占有使用情况</w:t>
      </w:r>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截至2024年12月31日，</w:t>
      </w:r>
      <w:r>
        <w:rPr>
          <w:rFonts w:hint="eastAsia" w:ascii="仿宋_GB2312" w:eastAsia="仿宋_GB2312" w:cs="仿宋_GB2312"/>
          <w:sz w:val="32"/>
          <w:szCs w:val="32"/>
        </w:rPr>
        <w:t>阿坝州佛教协会（本级）</w:t>
      </w:r>
      <w:r>
        <w:rPr>
          <w:rFonts w:hint="eastAsia" w:ascii="仿宋_GB2312" w:eastAsia="仿宋_GB2312" w:cs="仿宋_GB2312"/>
          <w:color w:val="auto"/>
          <w:kern w:val="2"/>
          <w:sz w:val="32"/>
          <w:szCs w:val="32"/>
          <w:highlight w:val="none"/>
          <w:lang w:val="en-US" w:eastAsia="zh-CN" w:bidi="ar-SA"/>
        </w:rPr>
        <w:t>共有车辆</w:t>
      </w:r>
      <w:r>
        <w:rPr>
          <w:rFonts w:hint="eastAsia" w:ascii="仿宋_GB2312" w:eastAsia="仿宋_GB2312" w:cs="仿宋_GB2312"/>
          <w:sz w:val="32"/>
          <w:szCs w:val="32"/>
        </w:rPr>
        <w:t>2</w:t>
      </w:r>
      <w:r>
        <w:rPr>
          <w:rFonts w:hint="eastAsia" w:ascii="仿宋_GB2312" w:eastAsia="仿宋_GB2312" w:cs="仿宋_GB2312"/>
          <w:color w:val="auto"/>
          <w:kern w:val="2"/>
          <w:sz w:val="32"/>
          <w:szCs w:val="32"/>
          <w:highlight w:val="none"/>
          <w:lang w:val="en-US" w:eastAsia="zh-CN" w:bidi="ar-SA"/>
        </w:rPr>
        <w:t>辆，其中：主要负责人用车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辆、机要通信用车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辆、应急保障用车</w:t>
      </w:r>
      <w:r>
        <w:rPr>
          <w:rFonts w:hint="eastAsia" w:ascii="仿宋_GB2312" w:eastAsia="仿宋_GB2312" w:cs="仿宋_GB2312"/>
          <w:sz w:val="32"/>
          <w:szCs w:val="32"/>
        </w:rPr>
        <w:t>2</w:t>
      </w:r>
      <w:r>
        <w:rPr>
          <w:rFonts w:hint="eastAsia" w:ascii="仿宋_GB2312" w:eastAsia="仿宋_GB2312" w:cs="仿宋_GB2312"/>
          <w:color w:val="auto"/>
          <w:kern w:val="2"/>
          <w:sz w:val="32"/>
          <w:szCs w:val="32"/>
          <w:highlight w:val="none"/>
          <w:lang w:val="en-US" w:eastAsia="zh-CN" w:bidi="ar-SA"/>
        </w:rPr>
        <w:t>辆、其他用车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eastAsia="仿宋_GB2312" w:cs="仿宋_GB2312"/>
          <w:sz w:val="32"/>
          <w:szCs w:val="32"/>
          <w:lang w:bidi="ar-SA"/>
        </w:rPr>
        <w:t>《阿坝州珍稀古籍文献会编》出版经费、理事培训费、《阿坝州珍稀古籍文献会编收集经费</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bidi="ar-SA"/>
        </w:rPr>
        <w:t>阿坝菩提道场》微信公众号、全州藏传佛教寺庙戒律教育及和谐寺庙创建活动经费、老会长慰问费、生活补助</w:t>
      </w:r>
      <w:r>
        <w:rPr>
          <w:rFonts w:ascii="仿宋_GB2312" w:eastAsia="仿宋_GB2312" w:cs="仿宋_GB2312"/>
          <w:sz w:val="32"/>
          <w:szCs w:val="32"/>
          <w:lang w:bidi="ar-SA"/>
        </w:rPr>
        <w:t>、采购打印机、公务用车大修、综合楼管理</w:t>
      </w:r>
      <w:r>
        <w:rPr>
          <w:rFonts w:hint="eastAsia" w:ascii="Times New Roman" w:hAnsi="Times New Roman" w:eastAsia="仿宋_GB2312" w:cs="仿宋_GB2312"/>
          <w:color w:val="auto"/>
          <w:kern w:val="2"/>
          <w:sz w:val="32"/>
          <w:szCs w:val="32"/>
          <w:highlight w:val="none"/>
          <w:lang w:val="en-US" w:eastAsia="zh-CN" w:bidi="ar-SA"/>
        </w:rPr>
        <w:t>等</w:t>
      </w:r>
      <w:r>
        <w:rPr>
          <w:rFonts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州佛协</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我会无专项预算项目，无</w:t>
      </w:r>
      <w:r>
        <w:rPr>
          <w:rFonts w:hint="eastAsia" w:ascii="Times New Roman" w:hAnsi="Times New Roman" w:eastAsia="仿宋_GB2312" w:cs="仿宋_GB2312"/>
          <w:color w:val="auto"/>
          <w:kern w:val="2"/>
          <w:sz w:val="32"/>
          <w:szCs w:val="32"/>
          <w:highlight w:val="none"/>
          <w:lang w:val="en-US" w:eastAsia="zh-CN" w:bidi="ar-SA"/>
        </w:rPr>
        <w:t>专项预算项目绩效自评报告，其中，</w:t>
      </w:r>
      <w:r>
        <w:rPr>
          <w:rFonts w:hint="eastAsia" w:eastAsia="仿宋_GB2312" w:cs="仿宋_GB2312"/>
          <w:color w:val="auto"/>
          <w:kern w:val="2"/>
          <w:sz w:val="32"/>
          <w:szCs w:val="32"/>
          <w:highlight w:val="none"/>
          <w:lang w:val="en-US" w:eastAsia="zh-CN" w:bidi="ar-SA"/>
        </w:rPr>
        <w:t>州佛协</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91.3</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预算项目执行率达标。核心目标完成，效益较好，无违规</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我会无</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分，绩效自评综述……。绩效自评报告详见附件。</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5"/>
        <w:spacing w:line="578" w:lineRule="auto"/>
        <w:jc w:val="center"/>
        <w:rPr>
          <w:rFonts w:hint="eastAsia"/>
        </w:rPr>
      </w:pPr>
    </w:p>
    <w:p>
      <w:pPr>
        <w:pStyle w:val="5"/>
        <w:spacing w:line="578" w:lineRule="auto"/>
        <w:jc w:val="center"/>
        <w:outlineLvl w:val="0"/>
        <w:rPr>
          <w:rFonts w:hint="eastAsia"/>
        </w:rPr>
      </w:pPr>
      <w:bookmarkStart w:id="47" w:name="_Toc15377225"/>
      <w:bookmarkStart w:id="48" w:name="_Toc15396613"/>
      <w:r>
        <w:rPr>
          <w:rFonts w:hint="eastAsia"/>
        </w:rPr>
        <w:t>第三部分  名词解释</w:t>
      </w:r>
      <w:bookmarkEnd w:id="47"/>
      <w:bookmarkEnd w:id="48"/>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 xml:space="preserve">.其他收入：指单位取得的除上述收入以外的各项收入。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 xml:space="preserve">.使用非财政拨款结余（含专用结余）：指事业单位使用以前年度积累的非财政拨款结余弥补当年收支差额的金额。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 xml:space="preserve">.年初结转和结余：指以前年度尚未完成、结转到本年按有关规定继续使用的资金。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pPr>
        <w:spacing w:line="600" w:lineRule="exact"/>
        <w:ind w:firstLine="640"/>
        <w:rPr>
          <w:rFonts w:hint="eastAsia" w:ascii="仿宋_GB2312" w:eastAsia="仿宋_GB2312"/>
          <w:color w:val="auto"/>
          <w:sz w:val="32"/>
          <w:szCs w:val="32"/>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一般公共服务（类）</w:t>
      </w:r>
      <w:r>
        <w:rPr>
          <w:rFonts w:hint="eastAsia" w:ascii="仿宋_GB2312" w:eastAsia="仿宋_GB2312"/>
          <w:color w:val="auto"/>
          <w:sz w:val="32"/>
          <w:szCs w:val="32"/>
        </w:rPr>
        <w:t>群众团体事务（款）行政运行：指</w:t>
      </w:r>
      <w:r>
        <w:rPr>
          <w:rFonts w:hint="eastAsia" w:ascii="仿宋_GB2312" w:eastAsia="仿宋_GB2312"/>
          <w:color w:val="auto"/>
          <w:sz w:val="32"/>
          <w:szCs w:val="32"/>
          <w:lang w:eastAsia="zh-CN"/>
        </w:rPr>
        <w:t>反映</w:t>
      </w:r>
      <w:r>
        <w:rPr>
          <w:rFonts w:hint="eastAsia" w:ascii="仿宋_GB2312" w:eastAsia="仿宋_GB2312"/>
          <w:color w:val="auto"/>
          <w:sz w:val="32"/>
          <w:szCs w:val="32"/>
        </w:rPr>
        <w:t>行政单位的基本支出。</w:t>
      </w:r>
    </w:p>
    <w:p>
      <w:pPr>
        <w:pStyle w:val="2"/>
        <w:ind w:firstLine="640" w:firstLineChars="200"/>
      </w:pPr>
      <w:r>
        <w:rPr>
          <w:rFonts w:hint="eastAsia" w:ascii="仿宋_GB2312" w:eastAsia="仿宋_GB2312"/>
          <w:color w:val="auto"/>
          <w:sz w:val="32"/>
          <w:szCs w:val="32"/>
          <w:lang w:val="en-US" w:eastAsia="zh-CN"/>
        </w:rPr>
        <w:t>9</w:t>
      </w:r>
      <w:r>
        <w:rPr>
          <w:rFonts w:hint="eastAsia" w:ascii="仿宋_GB2312" w:eastAsia="仿宋_GB2312"/>
          <w:color w:val="auto"/>
          <w:sz w:val="32"/>
          <w:szCs w:val="32"/>
        </w:rPr>
        <w:t>.一般公共服务（类）群众团体事务（款）一般行政管理事务（项）：指</w:t>
      </w:r>
      <w:r>
        <w:rPr>
          <w:rFonts w:hint="eastAsia" w:ascii="仿宋_GB2312" w:eastAsia="仿宋_GB2312"/>
          <w:color w:val="auto"/>
          <w:sz w:val="32"/>
          <w:szCs w:val="32"/>
          <w:lang w:eastAsia="zh-CN"/>
        </w:rPr>
        <w:t>反映</w:t>
      </w:r>
      <w:r>
        <w:rPr>
          <w:rFonts w:hint="eastAsia" w:ascii="仿宋_GB2312" w:eastAsia="仿宋_GB2312"/>
          <w:color w:val="auto"/>
          <w:sz w:val="32"/>
          <w:szCs w:val="32"/>
        </w:rPr>
        <w:t>行政单位的其他项目支出。</w:t>
      </w:r>
    </w:p>
    <w:p>
      <w:pPr>
        <w:pStyle w:val="3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10</w:t>
      </w:r>
      <w:r>
        <w:rPr>
          <w:rFonts w:hint="eastAsia" w:ascii="仿宋_GB2312" w:eastAsia="仿宋_GB2312"/>
          <w:color w:val="auto"/>
          <w:sz w:val="32"/>
          <w:szCs w:val="32"/>
        </w:rPr>
        <w:t>. 社会保障和就业（类）行政事业单位离退休（款）机关事业单位基本养老保险缴费支出（项）</w:t>
      </w:r>
      <w:r>
        <w:rPr>
          <w:rFonts w:hint="eastAsia" w:ascii="仿宋_GB2312" w:eastAsia="仿宋_GB2312"/>
          <w:color w:val="auto"/>
          <w:sz w:val="32"/>
          <w:szCs w:val="32"/>
          <w:lang w:eastAsia="zh-CN"/>
        </w:rPr>
        <w:t>：</w:t>
      </w:r>
      <w:r>
        <w:rPr>
          <w:rFonts w:hint="eastAsia" w:ascii="仿宋_GB2312" w:eastAsia="仿宋_GB2312"/>
          <w:color w:val="auto"/>
          <w:sz w:val="32"/>
          <w:szCs w:val="32"/>
        </w:rPr>
        <w:t xml:space="preserve"> 指反映机关事业单位实施养老保险制度由单位缴纳的基本养老保险费支出。</w:t>
      </w:r>
    </w:p>
    <w:p>
      <w:pPr>
        <w:ind w:firstLine="640" w:firstLineChars="200"/>
        <w:rPr>
          <w:rFonts w:hint="eastAsia" w:ascii="仿宋_GB2312" w:eastAsia="仿宋_GB2312"/>
          <w:sz w:val="32"/>
          <w:szCs w:val="32"/>
        </w:rPr>
      </w:pPr>
      <w:r>
        <w:rPr>
          <w:rFonts w:hint="eastAsia" w:ascii="仿宋_GB2312" w:eastAsia="仿宋_GB2312"/>
          <w:color w:val="auto"/>
          <w:sz w:val="32"/>
          <w:szCs w:val="32"/>
          <w:lang w:val="en-US" w:eastAsia="zh-CN"/>
        </w:rPr>
        <w:t>11</w:t>
      </w:r>
      <w:r>
        <w:rPr>
          <w:rFonts w:hint="eastAsia" w:ascii="仿宋_GB2312" w:eastAsia="仿宋_GB2312"/>
          <w:color w:val="auto"/>
          <w:sz w:val="32"/>
          <w:szCs w:val="32"/>
        </w:rPr>
        <w:t>.社会保障和就业（类）行政事业单位离退休（款）机关事业单位职业年金缴费支出（项）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指反映机关事业单位实施养老保险制度</w:t>
      </w:r>
      <w:r>
        <w:rPr>
          <w:rFonts w:hint="eastAsia" w:ascii="仿宋_GB2312" w:eastAsia="仿宋_GB2312"/>
          <w:color w:val="auto"/>
          <w:sz w:val="32"/>
          <w:szCs w:val="32"/>
          <w:lang w:eastAsia="zh-CN"/>
        </w:rPr>
        <w:t>有关</w:t>
      </w:r>
      <w:r>
        <w:rPr>
          <w:rFonts w:hint="eastAsia" w:ascii="仿宋_GB2312" w:eastAsia="仿宋_GB2312"/>
          <w:color w:val="auto"/>
          <w:sz w:val="32"/>
          <w:szCs w:val="32"/>
        </w:rPr>
        <w:t>单位实际缴纳的职业年金支出。</w:t>
      </w:r>
    </w:p>
    <w:p>
      <w:pPr>
        <w:pStyle w:val="3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行政事业单位医疗（款）行政单位医疗（项）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指反映财政部门安排的行政单位基本医疗保险缴费经费。</w:t>
      </w:r>
    </w:p>
    <w:p>
      <w:pPr>
        <w:pStyle w:val="3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13</w:t>
      </w:r>
      <w:r>
        <w:rPr>
          <w:rFonts w:hint="eastAsia" w:ascii="仿宋_GB2312" w:eastAsia="仿宋_GB2312"/>
          <w:color w:val="auto"/>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行政事业单位医疗（款）公务员医疗补助（项）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指反映财政部门安排的公务员医疗补助经费。</w:t>
      </w:r>
    </w:p>
    <w:p>
      <w:pPr>
        <w:pStyle w:val="3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14</w:t>
      </w:r>
      <w:r>
        <w:rPr>
          <w:rFonts w:hint="eastAsia" w:ascii="仿宋_GB2312" w:eastAsia="仿宋_GB2312"/>
          <w:color w:val="auto"/>
          <w:sz w:val="32"/>
          <w:szCs w:val="32"/>
        </w:rPr>
        <w:t>.住房保障</w:t>
      </w:r>
      <w:r>
        <w:rPr>
          <w:rFonts w:hint="eastAsia" w:ascii="仿宋_GB2312" w:eastAsia="仿宋_GB2312"/>
          <w:color w:val="auto"/>
          <w:sz w:val="32"/>
          <w:szCs w:val="32"/>
          <w:lang w:eastAsia="zh-CN"/>
        </w:rPr>
        <w:t>（</w:t>
      </w:r>
      <w:r>
        <w:rPr>
          <w:rFonts w:hint="eastAsia" w:ascii="仿宋_GB2312" w:eastAsia="仿宋_GB2312"/>
          <w:color w:val="auto"/>
          <w:sz w:val="32"/>
          <w:szCs w:val="32"/>
        </w:rPr>
        <w:t>类</w:t>
      </w:r>
      <w:r>
        <w:rPr>
          <w:rFonts w:hint="eastAsia" w:ascii="仿宋_GB2312" w:eastAsia="仿宋_GB2312"/>
          <w:color w:val="auto"/>
          <w:sz w:val="32"/>
          <w:szCs w:val="32"/>
          <w:lang w:eastAsia="zh-CN"/>
        </w:rPr>
        <w:t>）住房</w:t>
      </w:r>
      <w:r>
        <w:rPr>
          <w:rFonts w:hint="eastAsia" w:ascii="仿宋_GB2312" w:eastAsia="仿宋_GB2312"/>
          <w:color w:val="auto"/>
          <w:sz w:val="32"/>
          <w:szCs w:val="32"/>
        </w:rPr>
        <w:t>改革支出</w:t>
      </w:r>
      <w:r>
        <w:rPr>
          <w:rFonts w:hint="eastAsia" w:ascii="仿宋_GB2312" w:eastAsia="仿宋_GB2312"/>
          <w:color w:val="auto"/>
          <w:sz w:val="32"/>
          <w:szCs w:val="32"/>
          <w:lang w:eastAsia="zh-CN"/>
        </w:rPr>
        <w:t>（</w:t>
      </w:r>
      <w:r>
        <w:rPr>
          <w:rFonts w:hint="eastAsia" w:ascii="仿宋_GB2312" w:eastAsia="仿宋_GB2312"/>
          <w:color w:val="auto"/>
          <w:sz w:val="32"/>
          <w:szCs w:val="32"/>
        </w:rPr>
        <w:t>款</w:t>
      </w:r>
      <w:r>
        <w:rPr>
          <w:rFonts w:hint="eastAsia" w:ascii="仿宋_GB2312" w:eastAsia="仿宋_GB2312"/>
          <w:color w:val="auto"/>
          <w:sz w:val="32"/>
          <w:szCs w:val="32"/>
          <w:lang w:eastAsia="zh-CN"/>
        </w:rPr>
        <w:t>）</w:t>
      </w:r>
      <w:r>
        <w:rPr>
          <w:rFonts w:hint="eastAsia" w:ascii="仿宋_GB2312" w:eastAsia="仿宋_GB2312"/>
          <w:color w:val="auto"/>
          <w:sz w:val="32"/>
          <w:szCs w:val="32"/>
        </w:rPr>
        <w:t>住房公积金</w:t>
      </w:r>
      <w:r>
        <w:rPr>
          <w:rFonts w:hint="eastAsia" w:ascii="仿宋_GB2312" w:eastAsia="仿宋_GB2312"/>
          <w:color w:val="auto"/>
          <w:sz w:val="32"/>
          <w:szCs w:val="32"/>
          <w:lang w:eastAsia="zh-CN"/>
        </w:rPr>
        <w:t>（</w:t>
      </w:r>
      <w:r>
        <w:rPr>
          <w:rFonts w:hint="eastAsia" w:ascii="仿宋_GB2312" w:eastAsia="仿宋_GB2312"/>
          <w:color w:val="auto"/>
          <w:sz w:val="32"/>
          <w:szCs w:val="32"/>
        </w:rPr>
        <w:t>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指反映行政事业单位按人力资源和社会保障部、财政部规定的基本工资和津补贴以及规定比例为职工缴纳的住房公积金。</w:t>
      </w:r>
    </w:p>
    <w:p>
      <w:pPr>
        <w:pStyle w:val="31"/>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行政事业单位医疗（款）其他行政事业单位医疗支出（项）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指反映其他用于行政事业单位医疗方面的支出。</w:t>
      </w:r>
    </w:p>
    <w:p>
      <w:pPr>
        <w:spacing w:line="600" w:lineRule="exact"/>
        <w:ind w:firstLine="640"/>
        <w:rPr>
          <w:rFonts w:hint="eastAsia" w:ascii="仿宋_GB2312" w:eastAsia="仿宋_GB2312"/>
          <w:color w:val="auto"/>
          <w:sz w:val="32"/>
          <w:szCs w:val="32"/>
        </w:rPr>
      </w:pPr>
      <w:r>
        <w:rPr>
          <w:rFonts w:hint="eastAsia" w:ascii="仿宋_GB2312" w:eastAsia="仿宋_GB2312"/>
          <w:color w:val="auto"/>
          <w:sz w:val="32"/>
          <w:szCs w:val="32"/>
          <w:lang w:val="en-US" w:eastAsia="zh-CN"/>
        </w:rPr>
        <w:t>16</w:t>
      </w:r>
      <w:r>
        <w:rPr>
          <w:rFonts w:hint="eastAsia" w:ascii="仿宋_GB2312" w:eastAsia="仿宋_GB2312"/>
          <w:color w:val="auto"/>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行政事业单位医疗（款）事业单位医疗（项）：指反映财政部门安排的事业单位基本医疗保险缴费经费。</w:t>
      </w:r>
    </w:p>
    <w:p>
      <w:pPr>
        <w:pStyle w:val="2"/>
        <w:rPr>
          <w:rFonts w:hint="eastAsi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pStyle w:val="5"/>
        <w:spacing w:line="578" w:lineRule="auto"/>
        <w:jc w:val="center"/>
        <w:rPr>
          <w:rStyle w:val="25"/>
          <w:rFonts w:hint="eastAsia" w:ascii="Times New Roman" w:hAnsi="Times New Roman" w:eastAsia="黑体"/>
          <w:b w:val="0"/>
          <w:bCs w:val="0"/>
          <w:color w:val="auto"/>
          <w:highlight w:val="none"/>
          <w:lang w:eastAsia="zh-CN"/>
        </w:rPr>
      </w:pPr>
      <w:bookmarkStart w:id="49" w:name="_Toc15377226"/>
      <w:r>
        <w:rPr>
          <w:rFonts w:hint="eastAsia"/>
        </w:rPr>
        <w:br w:type="page"/>
      </w:r>
      <w:bookmarkStart w:id="50" w:name="_Toc15396614"/>
      <w:r>
        <w:rPr>
          <w:rFonts w:hint="eastAsia"/>
        </w:rPr>
        <w:t>第四部分  附件</w:t>
      </w:r>
      <w:bookmarkEnd w:id="50"/>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p>
    <w:p>
      <w:pPr>
        <w:spacing w:line="580" w:lineRule="exact"/>
        <w:jc w:val="center"/>
        <w:rPr>
          <w:rFonts w:hint="eastAsia" w:ascii="方正小标宋_GBK" w:eastAsia="方正小标宋_GBK"/>
          <w:b/>
          <w:bCs/>
          <w:color w:val="000000"/>
          <w:sz w:val="44"/>
          <w:szCs w:val="44"/>
        </w:rPr>
      </w:pPr>
      <w:r>
        <w:rPr>
          <w:rFonts w:hint="eastAsia" w:ascii="方正小标宋_GBK" w:eastAsia="方正小标宋_GBK"/>
          <w:b/>
          <w:bCs/>
          <w:color w:val="000000"/>
          <w:sz w:val="44"/>
          <w:szCs w:val="44"/>
        </w:rPr>
        <w:t>阿坝州佛教协会</w:t>
      </w:r>
    </w:p>
    <w:p>
      <w:pPr>
        <w:spacing w:line="580" w:lineRule="exact"/>
        <w:jc w:val="center"/>
        <w:rPr>
          <w:rFonts w:hint="eastAsia" w:ascii="方正小标宋_GBK" w:eastAsia="方正小标宋_GBK"/>
          <w:b/>
          <w:bCs/>
          <w:color w:val="000000"/>
          <w:sz w:val="44"/>
          <w:szCs w:val="44"/>
        </w:rPr>
      </w:pPr>
      <w:r>
        <w:rPr>
          <w:rFonts w:hint="eastAsia" w:ascii="方正小标宋_GBK" w:eastAsia="方正小标宋_GBK"/>
          <w:b/>
          <w:bCs/>
          <w:color w:val="000000"/>
          <w:sz w:val="44"/>
          <w:szCs w:val="44"/>
        </w:rPr>
        <w:t>关于2024年</w:t>
      </w:r>
      <w:r>
        <w:rPr>
          <w:rFonts w:hint="eastAsia" w:ascii="方正小标宋_GBK" w:eastAsia="方正小标宋_GBK"/>
          <w:b/>
          <w:bCs/>
          <w:color w:val="000000"/>
          <w:sz w:val="44"/>
          <w:szCs w:val="44"/>
          <w:highlight w:val="none"/>
        </w:rPr>
        <w:t>部门</w:t>
      </w:r>
      <w:r>
        <w:rPr>
          <w:rFonts w:hint="eastAsia" w:ascii="方正小标宋_GBK" w:eastAsia="方正小标宋_GBK"/>
          <w:b/>
          <w:bCs/>
          <w:color w:val="000000"/>
          <w:sz w:val="44"/>
          <w:szCs w:val="44"/>
          <w:highlight w:val="none"/>
          <w:lang w:eastAsia="zh-CN"/>
        </w:rPr>
        <w:t>预算</w:t>
      </w:r>
      <w:r>
        <w:rPr>
          <w:rFonts w:hint="eastAsia" w:ascii="方正小标宋_GBK" w:eastAsia="方正小标宋_GBK"/>
          <w:b/>
          <w:bCs/>
          <w:color w:val="000000"/>
          <w:sz w:val="44"/>
          <w:szCs w:val="44"/>
          <w:highlight w:val="none"/>
        </w:rPr>
        <w:t>绩效</w:t>
      </w:r>
      <w:r>
        <w:rPr>
          <w:rFonts w:hint="eastAsia" w:ascii="方正小标宋_GBK" w:eastAsia="方正小标宋_GBK"/>
          <w:b/>
          <w:bCs/>
          <w:color w:val="000000"/>
          <w:sz w:val="44"/>
          <w:szCs w:val="44"/>
          <w:highlight w:val="none"/>
          <w:lang w:eastAsia="zh-CN"/>
        </w:rPr>
        <w:t>自评</w:t>
      </w:r>
      <w:r>
        <w:rPr>
          <w:rFonts w:hint="eastAsia" w:ascii="方正小标宋_GBK" w:eastAsia="方正小标宋_GBK"/>
          <w:b/>
          <w:bCs/>
          <w:color w:val="000000"/>
          <w:sz w:val="44"/>
          <w:szCs w:val="44"/>
          <w:highlight w:val="none"/>
        </w:rPr>
        <w:t>报告</w:t>
      </w:r>
    </w:p>
    <w:p>
      <w:pPr>
        <w:spacing w:line="560" w:lineRule="exact"/>
        <w:ind w:firstLine="642" w:firstLineChars="200"/>
        <w:rPr>
          <w:rFonts w:ascii="Times New Roman" w:hAnsi="Times New Roman" w:eastAsia="黑体"/>
          <w:b/>
          <w:bCs/>
          <w:color w:val="000000"/>
          <w:sz w:val="32"/>
          <w:szCs w:val="32"/>
        </w:rPr>
      </w:pPr>
    </w:p>
    <w:p>
      <w:pPr>
        <w:spacing w:line="560" w:lineRule="exact"/>
        <w:ind w:firstLine="642" w:firstLineChars="200"/>
        <w:rPr>
          <w:rFonts w:ascii="Times New Roman" w:hAnsi="Times New Roman" w:eastAsia="黑体"/>
          <w:b/>
          <w:bCs/>
          <w:color w:val="000000"/>
          <w:kern w:val="0"/>
          <w:szCs w:val="32"/>
          <w:shd w:val="clear" w:color="auto" w:fill="FFFFFF"/>
          <w:lang w:val="zh-CN" w:eastAsia="zh-CN"/>
        </w:rPr>
      </w:pPr>
      <w:r>
        <w:rPr>
          <w:rFonts w:ascii="Times New Roman" w:hAnsi="Times New Roman" w:eastAsia="黑体"/>
          <w:b/>
          <w:bCs/>
          <w:color w:val="000000"/>
          <w:sz w:val="32"/>
          <w:szCs w:val="32"/>
        </w:rPr>
        <w:t>一、部门（单位）基本情况</w:t>
      </w:r>
    </w:p>
    <w:p>
      <w:pPr>
        <w:spacing w:line="560" w:lineRule="exact"/>
        <w:ind w:firstLine="642" w:firstLineChars="200"/>
        <w:rPr>
          <w:rFonts w:hint="eastAsia" w:ascii="方正楷体_GBK" w:eastAsia="方正楷体_GBK"/>
          <w:b/>
          <w:bCs/>
          <w:color w:val="000000"/>
          <w:sz w:val="32"/>
          <w:szCs w:val="32"/>
        </w:rPr>
      </w:pPr>
      <w:r>
        <w:rPr>
          <w:rFonts w:hint="eastAsia" w:ascii="方正楷体_GBK" w:eastAsia="方正楷体_GBK"/>
          <w:b/>
          <w:bCs/>
          <w:color w:val="000000"/>
          <w:sz w:val="32"/>
          <w:szCs w:val="32"/>
        </w:rPr>
        <w:t>（一）机构组成</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阿坝州佛教协会是一级预算单位，属参公单位。内设机构1个，下属财政全额拨款事业一级预算单位1个（阿坝州藏传佛教文化研究中心）。</w:t>
      </w:r>
    </w:p>
    <w:p>
      <w:pPr>
        <w:spacing w:line="560" w:lineRule="exact"/>
        <w:ind w:firstLine="642" w:firstLineChars="200"/>
        <w:rPr>
          <w:rFonts w:hint="eastAsia" w:ascii="方正楷体_GBK" w:eastAsia="方正楷体_GBK"/>
          <w:b/>
          <w:bCs/>
          <w:color w:val="000000"/>
          <w:sz w:val="32"/>
          <w:szCs w:val="32"/>
        </w:rPr>
      </w:pPr>
      <w:r>
        <w:rPr>
          <w:rFonts w:hint="eastAsia" w:ascii="方正楷体_GBK" w:eastAsia="方正楷体_GBK"/>
          <w:b/>
          <w:bCs/>
          <w:color w:val="000000"/>
          <w:sz w:val="32"/>
          <w:szCs w:val="32"/>
        </w:rPr>
        <w:t>（二）机构职能</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按照三定方案（阿委办〔1997〕96号）文件规定，州佛协主要职责是</w:t>
      </w:r>
      <w:r>
        <w:rPr>
          <w:rFonts w:hint="eastAsia" w:eastAsia="仿宋_GB2312" w:cs="仿宋_GB2312"/>
          <w:sz w:val="32"/>
          <w:szCs w:val="32"/>
          <w:lang w:eastAsia="zh-CN"/>
        </w:rPr>
        <w:t>：</w:t>
      </w:r>
      <w:r>
        <w:rPr>
          <w:rFonts w:hint="eastAsia" w:eastAsia="仿宋_GB2312" w:cs="仿宋_GB2312"/>
          <w:sz w:val="32"/>
          <w:szCs w:val="32"/>
        </w:rPr>
        <w:t>1.协同党和政府宣传贯彻党的宗教政策和国家有关宗教方面的法律、法规；2.组织和推动佛教徒学习国家的宗教政策和国家有关法律、法规，协助寺庙制定各项规章制度，管好宗教活动场所，开展正常的宗教活动；3.维护佛教徒信仰自由的合法权益，反映佛教界的愿望和要求；4.举办佛教教育培训，积极开展藏传佛教历史和学术研究，收集整理各教派寺庙的历史资料，保护佛教文物古迹；5.抵制境外敌对宗教势力的渗透，教育佛教徒爱国爱教；6.团结和引导全州各族佛教徒积极为国家经济建设服务，帮助和指导各教派寺庙举办以“自养”为中心的生产、服务和社会公益事业；7.承办党和政府及上级主管部门交办的其他工作。</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（三）人员概况</w:t>
      </w:r>
    </w:p>
    <w:p>
      <w:pPr>
        <w:widowControl/>
        <w:adjustRightInd w:val="0"/>
        <w:snapToGrid w:val="0"/>
        <w:spacing w:line="580" w:lineRule="exact"/>
        <w:ind w:firstLine="640" w:firstLineChars="200"/>
        <w:contextualSpacing/>
        <w:jc w:val="left"/>
        <w:rPr>
          <w:rFonts w:hint="eastAsia" w:ascii="Times New Roman" w:hAnsi="Times New Roman" w:eastAsia="方正仿宋_GBK"/>
          <w:color w:val="000000"/>
          <w:kern w:val="0"/>
          <w:sz w:val="32"/>
          <w:szCs w:val="32"/>
          <w:shd w:val="clear" w:color="auto" w:fill="FFFFFF"/>
        </w:rPr>
      </w:pPr>
      <w:r>
        <w:rPr>
          <w:rFonts w:hint="eastAsia" w:eastAsia="仿宋_GB2312" w:cs="仿宋_GB2312"/>
          <w:sz w:val="32"/>
          <w:szCs w:val="32"/>
        </w:rPr>
        <w:t>截至2024年末，我会编制数11名（其中：行政6人，事业4人，机关工勤1人）；在职人员7人（其中：行政2人，事业4人，机关工勤1人），退休人员3人。</w:t>
      </w:r>
    </w:p>
    <w:p>
      <w:pPr>
        <w:spacing w:line="560" w:lineRule="exact"/>
        <w:ind w:firstLine="642" w:firstLineChars="200"/>
        <w:rPr>
          <w:rFonts w:ascii="Times New Roman" w:hAnsi="Times New Roman" w:eastAsia="黑体"/>
          <w:b/>
          <w:color w:val="000000"/>
          <w:sz w:val="32"/>
          <w:szCs w:val="32"/>
        </w:rPr>
      </w:pPr>
      <w:r>
        <w:rPr>
          <w:rFonts w:ascii="Times New Roman" w:hAnsi="Times New Roman" w:eastAsia="黑体"/>
          <w:b/>
          <w:color w:val="000000"/>
          <w:sz w:val="32"/>
          <w:szCs w:val="32"/>
        </w:rPr>
        <w:t>二、部门资金收支情况</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（一）收入情况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我会2024年度年初一般公共预算财政拨款收入463.72万元，本年财政资金收入合计为463.72万元；其他收入26万元（代管资金），全年收入合计489.72万元。</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（二）支出情况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我会2024年度财政总支出463.72万元。其中人员经费：222.65万元；公用经费：29.55万元；项目支出：224.93万元。</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（三）结余分配和结转结余情况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我会2024年不存在决算报表结转结余情况。</w:t>
      </w:r>
    </w:p>
    <w:p>
      <w:pPr>
        <w:spacing w:line="56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三、部门预算绩效分析</w:t>
      </w:r>
    </w:p>
    <w:p>
      <w:pPr>
        <w:adjustRightInd w:val="0"/>
        <w:snapToGrid w:val="0"/>
        <w:spacing w:line="578" w:lineRule="exact"/>
        <w:ind w:firstLine="642" w:firstLineChars="200"/>
        <w:contextualSpacing/>
        <w:jc w:val="left"/>
        <w:rPr>
          <w:rFonts w:hint="eastAsia" w:ascii="方正楷体_GBK" w:eastAsia="方正楷体_GBK"/>
          <w:b/>
          <w:bCs/>
          <w:color w:val="000000"/>
          <w:sz w:val="32"/>
          <w:szCs w:val="32"/>
          <w:lang w:val="zh-CN" w:eastAsia="zh-CN"/>
        </w:rPr>
      </w:pPr>
      <w:r>
        <w:rPr>
          <w:rFonts w:hint="eastAsia" w:ascii="方正楷体_GBK" w:eastAsia="方正楷体_GBK"/>
          <w:b/>
          <w:bCs/>
          <w:color w:val="000000"/>
          <w:sz w:val="32"/>
          <w:szCs w:val="32"/>
          <w:lang w:val="zh-CN" w:eastAsia="zh-CN"/>
        </w:rPr>
        <w:t>（一）部门预算总体绩效分析。</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根据部门预算绩效评价指标体系“总体绩效”涉及二、三级指标进行逐项绩效分析并评分，依次包括履职效能、预算管理、财务管理、资产管理、采购管理等情况。</w:t>
      </w:r>
    </w:p>
    <w:p>
      <w:pPr>
        <w:numPr>
          <w:ilvl w:val="0"/>
          <w:numId w:val="4"/>
        </w:numPr>
        <w:spacing w:line="560" w:lineRule="exact"/>
        <w:rPr>
          <w:rFonts w:hint="eastAsia" w:ascii="方正小标宋_GBK" w:eastAsia="方正小标宋_GBK"/>
          <w:b/>
          <w:bCs/>
          <w:color w:val="000000"/>
          <w:sz w:val="32"/>
          <w:szCs w:val="32"/>
        </w:rPr>
      </w:pPr>
      <w:r>
        <w:rPr>
          <w:rFonts w:hint="eastAsia" w:ascii="方正小标宋_GBK" w:eastAsia="方正小标宋_GBK" w:cs="楷体_GB2312"/>
          <w:b/>
          <w:bCs/>
          <w:color w:val="000000"/>
          <w:sz w:val="32"/>
          <w:szCs w:val="32"/>
          <w:lang w:val="zh-CN" w:eastAsia="zh-CN" w:bidi="ar-SA"/>
        </w:rPr>
        <w:t>履职效能</w:t>
      </w:r>
      <w:r>
        <w:rPr>
          <w:rFonts w:hint="eastAsia" w:ascii="方正小标宋_GBK" w:eastAsia="方正小标宋_GBK"/>
          <w:b/>
          <w:bCs/>
          <w:color w:val="000000"/>
          <w:sz w:val="32"/>
          <w:szCs w:val="32"/>
        </w:rPr>
        <w:t>。</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《培训费》</w:t>
      </w:r>
      <w:r>
        <w:rPr>
          <w:rFonts w:hint="eastAsia" w:ascii="黑体" w:eastAsia="黑体"/>
          <w:color w:val="000000"/>
          <w:kern w:val="0"/>
          <w:sz w:val="32"/>
          <w:szCs w:val="32"/>
          <w:shd w:val="clear" w:color="auto" w:fill="FFFFFF"/>
        </w:rPr>
        <w:t>：</w:t>
      </w:r>
      <w:r>
        <w:rPr>
          <w:rFonts w:hint="eastAsia" w:eastAsia="仿宋_GB2312" w:cs="仿宋_GB2312"/>
          <w:sz w:val="32"/>
          <w:szCs w:val="32"/>
        </w:rPr>
        <w:t>根据历年开展培训情况和2024年工作规划，《培训费》年初预算数为25万元（包括：伙食费、住宿费、授课费、资料文印费、现场教学费等），年度培训内容分为一期，组织部分县佛协领导、州佛协理事培训，增强社会责任感，提高素质和能力。2024年年底实际支付21.08万元，剩余3.92万元收回财政，预算执行率100%。无扣分项。 培训及现场教学按照实际参训人数来核算预算支出，力争做到节约为本，杜绝浪费，实现绩效目标。</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生活补助</w:t>
      </w:r>
      <w:r>
        <w:rPr>
          <w:rFonts w:hint="eastAsia" w:ascii="黑体" w:eastAsia="黑体"/>
          <w:color w:val="000000"/>
          <w:kern w:val="0"/>
          <w:sz w:val="32"/>
          <w:szCs w:val="32"/>
          <w:shd w:val="clear" w:color="auto" w:fill="FFFFFF"/>
        </w:rPr>
        <w:t>：</w:t>
      </w:r>
      <w:r>
        <w:rPr>
          <w:rFonts w:hint="eastAsia" w:eastAsia="仿宋_GB2312" w:cs="仿宋_GB2312"/>
          <w:sz w:val="32"/>
          <w:szCs w:val="32"/>
        </w:rPr>
        <w:t>年初预算数为1.68万元，年度目标为进一步加强州、县佛协组织建设，调动广大佛教界人士自觉接受政府依法管理和强化佛协组织自主管理积极性。实际支付1.68万元，预算执行率100%。无扣分项</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公务用车大修费</w:t>
      </w:r>
      <w:r>
        <w:rPr>
          <w:rFonts w:ascii="Times New Roman" w:hAnsi="Times New Roman" w:eastAsia="方正仿宋_GBK"/>
          <w:b/>
          <w:bCs/>
          <w:color w:val="000000"/>
          <w:kern w:val="0"/>
          <w:sz w:val="32"/>
          <w:szCs w:val="32"/>
          <w:shd w:val="clear" w:color="auto" w:fill="FFFFFF"/>
        </w:rPr>
        <w:t>：</w:t>
      </w:r>
      <w:r>
        <w:rPr>
          <w:rFonts w:hint="eastAsia" w:eastAsia="仿宋_GB2312" w:cs="仿宋_GB2312"/>
          <w:sz w:val="32"/>
          <w:szCs w:val="32"/>
        </w:rPr>
        <w:t>年初预算数为8万元，年度目标根据公务用车（川U00619）存在的问题，按照指定公务用车维修机构检测，我会拟于2024年对该公务用车进行一次大修，对存在安全隐患的项目进行维修、更换，实际支付7.89万元。无扣分项。</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《阿坝州珍稀古籍文献汇编》收集：</w:t>
      </w:r>
      <w:r>
        <w:rPr>
          <w:rFonts w:hint="eastAsia" w:eastAsia="仿宋_GB2312" w:cs="仿宋_GB2312"/>
          <w:sz w:val="32"/>
          <w:szCs w:val="32"/>
        </w:rPr>
        <w:t>为继承弘扬优秀民族文化，打造特色文化品牌，州佛协与州藏文编译局每年对各教派的珍稀古籍进行收集、整理，2024年我会对格鲁、宁玛派、噶举教文集13卷完成了文集收集、录入、排版、校对等工作，为出版奠定了坚实基础。</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《阿坝州珍稀古籍文献汇编》出版经费</w:t>
      </w:r>
      <w:r>
        <w:rPr>
          <w:rFonts w:hint="eastAsia" w:ascii="黑体" w:eastAsia="黑体"/>
          <w:color w:val="000000"/>
          <w:kern w:val="0"/>
          <w:sz w:val="32"/>
          <w:szCs w:val="32"/>
          <w:shd w:val="clear" w:color="auto" w:fill="FFFFFF"/>
        </w:rPr>
        <w:t>：</w:t>
      </w:r>
      <w:r>
        <w:rPr>
          <w:rFonts w:hint="eastAsia" w:eastAsia="仿宋_GB2312" w:cs="仿宋_GB2312"/>
          <w:sz w:val="32"/>
          <w:szCs w:val="32"/>
        </w:rPr>
        <w:t>2024年对格鲁、宁玛、噶举教13卷文集进行了排版，因文集涉及藏文、梵文排版和编辑等特殊需求，故通过单一来源采购方式，由具备藏文、梵文编审排版出版资质的四川民族出版社出版。具体支出内容为：一是出版费（刊号费、管理费等）；二是文集的排版费、校对费等；三是印刷费（精装版，封面用黄色天然丝绸特种材料印制，封面工艺采用烫红金或黄金，前后环衬用金黄色特种纸张，插页用纸全彩印刷，用128克进品铜版纸，内文用纸单色印刷，正文用纸70克轻型纸，装订方式要求锁线圆背精装+红色双根丝带，每卷印制1000册，共计13000册）。</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2.预算管理。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严格执行预算管理相关规定，坚持一个部门一本预算，加强全口径预算管理。结合工作开展实际，坚持“依法依规、突出重点、讲求绩效”的基本原则，严格预算编制。1.我会全年预算数463.72万元，全年决算数463.72万元，无偏离度，无资产配置预算偏离度，政府采购无偏离度得8分；2.我会统筹自有收入为利息收入，已上缴财政，得4分；3.支出执行进度我会1至6月、1至10月预算执行情况1-6月预算执行数249.7万元，得1.1分，无支出预警和违规金额，得1分，1-10月预算执行数345.52</w:t>
      </w:r>
      <w:r>
        <w:rPr>
          <w:rFonts w:hint="eastAsia" w:eastAsia="仿宋_GB2312" w:cs="仿宋_GB2312"/>
          <w:sz w:val="32"/>
          <w:szCs w:val="32"/>
          <w:lang w:eastAsia="zh-CN"/>
        </w:rPr>
        <w:t>，</w:t>
      </w:r>
      <w:r>
        <w:rPr>
          <w:rFonts w:hint="eastAsia" w:eastAsia="仿宋_GB2312" w:cs="仿宋_GB2312"/>
          <w:sz w:val="32"/>
          <w:szCs w:val="32"/>
        </w:rPr>
        <w:t>得1.8分，无支出预警和违规金额，得1分，共计4.9分；4.整体年终预算结余情况，我会2024年度年终部门预算注销金额（财政回收）为122.52万元，部门整体预算结余率为=财政收回数122.52万元÷预算数463.72万元=26.4%，该项指标得分=（1</w:t>
      </w:r>
      <w:r>
        <w:rPr>
          <w:rFonts w:hint="eastAsia" w:eastAsia="仿宋_GB2312" w:cs="仿宋_GB2312"/>
          <w:sz w:val="32"/>
          <w:szCs w:val="32"/>
          <w:lang w:eastAsia="zh-CN"/>
        </w:rPr>
        <w:t>%～</w:t>
      </w:r>
      <w:r>
        <w:rPr>
          <w:rFonts w:hint="eastAsia" w:eastAsia="仿宋_GB2312" w:cs="仿宋_GB2312"/>
          <w:sz w:val="32"/>
          <w:szCs w:val="32"/>
        </w:rPr>
        <w:t>26.4%）×100%×2=1.5，得分1.5分；5.严控一般性支出，我会2023年预算数为371.4万元，2024年预算数为463.72万元，较上年实现无压减，得0分，2023年决算数为371.4万元，2024年决算数为463.72万元，较上年实现无压减</w:t>
      </w:r>
      <w:r>
        <w:rPr>
          <w:rFonts w:hint="eastAsia" w:eastAsia="仿宋_GB2312" w:cs="仿宋_GB2312"/>
          <w:sz w:val="32"/>
          <w:szCs w:val="32"/>
          <w:lang w:eastAsia="zh-CN"/>
        </w:rPr>
        <w:t>，</w:t>
      </w:r>
      <w:r>
        <w:rPr>
          <w:rFonts w:hint="eastAsia" w:eastAsia="仿宋_GB2312" w:cs="仿宋_GB2312"/>
          <w:sz w:val="32"/>
          <w:szCs w:val="32"/>
        </w:rPr>
        <w:t>得0分，预算管理最后得分18.4分。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下一步，我会将严格按照预算规定的支出用途使用资金，严格执行各项经费开支标准，合理安排支出进度，规范预算执行。会计年度结束后，加强预算绩效管理，推进预算信息公开，不断提高预算管理的规范化、科学化、标准化水平，增强财政资源统筹能力，硬化预算刚性约束，提高资金使用绩效。</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3.财务管理。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严格遵循《中华人民共和国会计法》《中华人民共和国预算法》《政府会计准则-基本准则》《政府会计制度-行政事业单位会计科目和报表》等法律、行政法规和规章。制定了《州佛协财务管理制度》，建立健全内控相关制度，合理设置了财务工作岗位，明确了职责权限，并严格实行不相容岗位分离。加强资金使用监管，实时对我会的用款计划进行审核，每一笔资金的拨付过程都处于财政部门和银行相互制约、相互监督的监控之下，提高财政资金运行透明度。得10分。</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4.资产管理。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制定了资产管理制度，明确资产配置、使用、处置等程序和审核审批权限；编制部门预算同步编制新增资产配置预算；国有资产交付使用后及时准确入账；明确资产使用和保管责任人、落实资产使用人在资产管理中的责任；国有资产折旧的计提符合相关会计规范；行政事业性国有资产纳入四川省行政事业单位资产管理信息系统动态管理；行政事业单位资产处置按规定报批，处置收益及时足额上缴财政；我会资产无出租、对外投资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围绕人均资产变化率、资产利用率、资产盘活率进行绩效分析：1.部门人均资产变化率为2023年年末在职10人，固定资产原值222.67万元+无形资产2.48=225.15万元225.15÷10=22.515万元，2024年年末在职7人，固定资产原值为222.67+无形资产2.48=225.15万元，225.15÷7=21.16万元，部门人均资产变化率为X= (21.16-22.515) ÷22.515×100=-6%，省直行政事业单位人均资产变化率N为24.28%，X＜N，得1.5分。部门人均资产增长率为X=0</w:t>
      </w:r>
      <w:r>
        <w:rPr>
          <w:rFonts w:hint="eastAsia" w:eastAsia="仿宋_GB2312" w:cs="仿宋_GB2312"/>
          <w:sz w:val="32"/>
          <w:szCs w:val="32"/>
          <w:lang w:eastAsia="zh-CN"/>
        </w:rPr>
        <w:t>，</w:t>
      </w:r>
      <w:r>
        <w:rPr>
          <w:rFonts w:hint="eastAsia" w:eastAsia="仿宋_GB2312" w:cs="仿宋_GB2312"/>
          <w:sz w:val="32"/>
          <w:szCs w:val="32"/>
        </w:rPr>
        <w:t>得1.5分，共计3分。2.资产利用率，我会办公家具超最低使用年限资产利用率X=0÷124760×100%=0，省直行政事业单位平均值办公家具N为10.03%，X≤N，得0分。部门办公设备超最低使用年限资产利用率X=40420÷90396×100%=44.71%，省直行政事业单位平均值N为47.86%，0.8N＜X≤N，得0.9分，共计1.2分。3.资产盘活率，我会2022年及2023年无闲置资产，得3分。资产管理得分6.9分。</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5.采购管理。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ascii="Times New Roman" w:hAnsi="Times New Roman" w:eastAsia="方正仿宋_GBK"/>
          <w:color w:val="000000"/>
          <w:kern w:val="0"/>
          <w:sz w:val="32"/>
          <w:szCs w:val="32"/>
          <w:shd w:val="clear" w:color="auto" w:fill="FFFFFF"/>
        </w:rPr>
        <w:t>政府采购编制应编尽编；不存在无预算采购、超预算采购情况；按规定进行政府采购计划备案；按照合同约定及时支付资金。按法定采购方式和程序实施采购；不存在拆分项目预算规避政府采购或公开招标情况；按采购文件确定事项</w:t>
      </w:r>
      <w:r>
        <w:rPr>
          <w:rFonts w:hint="eastAsia" w:eastAsia="仿宋_GB2312" w:cs="仿宋_GB2312"/>
          <w:sz w:val="32"/>
          <w:szCs w:val="32"/>
        </w:rPr>
        <w:t>签订政府采购合同，按规定公告、备案政府采购合同；政府采购系统中的政府采购信息真实、准确、合法、合规。政府采购行为中不存在限制政府采购供应商及对内外资企业实行差别待遇或歧视等问题。</w:t>
      </w:r>
    </w:p>
    <w:p>
      <w:pPr>
        <w:spacing w:line="560" w:lineRule="exact"/>
        <w:ind w:firstLine="642" w:firstLineChars="200"/>
        <w:rPr>
          <w:rFonts w:hint="eastAsia" w:ascii="方正楷体_GBK" w:eastAsia="方正楷体_GBK"/>
          <w:b/>
          <w:bCs/>
          <w:color w:val="000000"/>
          <w:sz w:val="32"/>
          <w:szCs w:val="32"/>
          <w:lang w:val="zh-CN" w:eastAsia="zh-CN"/>
        </w:rPr>
      </w:pPr>
      <w:r>
        <w:rPr>
          <w:rFonts w:hint="eastAsia" w:ascii="方正楷体_GBK" w:eastAsia="方正楷体_GBK"/>
          <w:b/>
          <w:bCs/>
          <w:color w:val="000000"/>
          <w:sz w:val="32"/>
          <w:szCs w:val="32"/>
          <w:lang w:val="zh-CN" w:eastAsia="zh-CN"/>
        </w:rPr>
        <w:t>（二）部门预算项目绩效分析。</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根据部门预算绩效评价指标体系“项目绩效”涉及二、三级指标进行逐项绩效分析并评分，依次包括项目决策、项目执行、目标实现等情况。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常规项目绩效分析。该类项目总数10个，涉及预算总金额211.52万元，1—12月预算执行总体进度为49.66%，其中：预算结余率大于10%的项目共计0个。</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阶段（一次性）项目绩效分析。该类项目总数0个，涉及预算总金额0万元，1—12月预算执行总体进度为0%，其中：预算结余率大于10%的项目共计0个。</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1.项目决策。</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通过会长办公会决策的项目有10个，其中：（一）每个项目决策流程进行了详细的梳理和记录，确保每个决策环节都有明确的依据和审批流程；（二）每个项目的目标清晰明确，能够准确反映项目的预期成果和关键指标，目标分解到了具体的工作任务和责任人，便于跟踪和考核；（三）对于入库项目的技术方案、实施方案和风险评估进行了详细审查，提高了项目的成功率。</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2.项目执行。</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财政拨款项目收入211.52万元，项目支出211.52万元。资金使用符合预算计划和项目需求，不存在浪费和挪用的情况，剩余资金都由财政收回。无项目调整情况。项目执行结果都是按规定执行，达到了预期的目标，同时，建立了相关的绩效评估机制，以保证项目的顺利实施。</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3.目标实现。</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完成的目标任务：1.《阿坝州珍稀古籍文献汇编》排版13000本；2.组织和推动佛教徒学习国家的宗教政策和国家有关法律、法规，协助寺庙制定各项规章制度，管好宗教活动场所，开展正常的宗教活动；3.举办佛教教育培训，积极开展藏传佛教历史和学术研究，收集整理各教派寺庙的历史资料，保护佛教文物古迹；4.组织其参加各种培训和现场教学，增强国家意识、法律意识、（三个意识）；5.解决了州、县佛协组织会长、副会长、秘书长、副秘书长中未领取国家工资的人员实行了生活补助。为全州经济社会发展发挥了积极作用，预算资金的支出进度和工作计划相匹配，不存在资金闲置和违规使用资金。</w:t>
      </w:r>
    </w:p>
    <w:p>
      <w:pPr>
        <w:widowControl/>
        <w:adjustRightInd w:val="0"/>
        <w:snapToGrid w:val="0"/>
        <w:spacing w:line="578" w:lineRule="exact"/>
        <w:ind w:left="0" w:firstLine="481" w:firstLineChars="150"/>
        <w:contextualSpacing/>
        <w:jc w:val="left"/>
        <w:rPr>
          <w:rFonts w:hint="eastAsia" w:ascii="方正楷体_GBK" w:eastAsia="方正楷体_GBK"/>
          <w:b/>
          <w:bCs/>
          <w:color w:val="000000"/>
          <w:sz w:val="32"/>
          <w:szCs w:val="32"/>
          <w:lang w:val="zh-CN" w:eastAsia="zh-CN"/>
        </w:rPr>
      </w:pPr>
      <w:r>
        <w:rPr>
          <w:rFonts w:hint="eastAsia" w:ascii="方正楷体_GBK" w:eastAsia="方正楷体_GBK"/>
          <w:b/>
          <w:bCs/>
          <w:color w:val="000000"/>
          <w:sz w:val="32"/>
          <w:szCs w:val="32"/>
          <w:lang w:val="zh-CN" w:eastAsia="zh-CN"/>
        </w:rPr>
        <w:t>（三）重点领域绩效分析。</w:t>
      </w:r>
    </w:p>
    <w:p>
      <w:pPr>
        <w:widowControl/>
        <w:adjustRightInd w:val="0"/>
        <w:snapToGrid w:val="0"/>
        <w:spacing w:line="580"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我会2024年度政府采购《阿坝州珍稀古籍文献汇编》出版经费预算数100万元，支付89.94万元，预算执行率100%，自评分为100分，因《阿坝州珍稀古籍文献汇编》从收集整理到完成出版印刷周期较长，合同周期一般为2年，签至2024年，通过项目实施，2024年我们</w:t>
      </w:r>
      <w:r>
        <w:rPr>
          <w:rFonts w:hint="eastAsia" w:eastAsia="仿宋_GB2312" w:cs="仿宋_GB2312"/>
          <w:sz w:val="32"/>
          <w:szCs w:val="32"/>
          <w:lang w:eastAsia="zh-CN"/>
        </w:rPr>
        <w:t>将</w:t>
      </w:r>
      <w:r>
        <w:rPr>
          <w:rFonts w:hint="eastAsia" w:eastAsia="仿宋_GB2312" w:cs="仿宋_GB2312"/>
          <w:sz w:val="32"/>
          <w:szCs w:val="32"/>
        </w:rPr>
        <w:t>全面完成文集的排版工</w:t>
      </w:r>
      <w:r>
        <w:rPr>
          <w:rFonts w:hint="eastAsia" w:eastAsia="仿宋_GB2312" w:cs="仿宋_GB2312"/>
          <w:sz w:val="32"/>
          <w:szCs w:val="32"/>
          <w:lang w:val="zh-CN"/>
        </w:rPr>
        <w:t>作。</w:t>
      </w:r>
    </w:p>
    <w:p>
      <w:pPr>
        <w:snapToGrid w:val="0"/>
        <w:spacing w:line="600" w:lineRule="exact"/>
        <w:ind w:left="0" w:firstLine="481" w:firstLineChars="150"/>
        <w:rPr>
          <w:rFonts w:hint="eastAsia" w:ascii="方正楷体_GBK" w:eastAsia="方正楷体_GBK" w:cs="仿宋_GB2312"/>
          <w:b/>
          <w:bCs/>
          <w:color w:val="000000"/>
          <w:sz w:val="32"/>
          <w:szCs w:val="32"/>
          <w:lang w:val="zh-CN"/>
        </w:rPr>
      </w:pPr>
      <w:r>
        <w:rPr>
          <w:rFonts w:hint="eastAsia" w:ascii="方正楷体_GBK" w:eastAsia="方正楷体_GBK" w:cs="仿宋_GB2312"/>
          <w:b/>
          <w:bCs/>
          <w:color w:val="000000"/>
          <w:sz w:val="32"/>
          <w:szCs w:val="32"/>
          <w:lang w:val="zh-CN"/>
        </w:rPr>
        <w:t>（四）绩效结果应用情况。</w:t>
      </w:r>
    </w:p>
    <w:p>
      <w:pPr>
        <w:widowControl/>
        <w:adjustRightInd w:val="0"/>
        <w:snapToGrid w:val="0"/>
        <w:spacing w:line="580"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我会根据绩效评估结果，为财政政策制定和调整提供依据，确保政策的科学性和有效性；将绩效结果作为内部监督和问责的重要依据，对造成财政资源浪费或绩效低下的责任人员进行相应的处理；综合考虑各项目的绩效情况，实现单位内部财政资源的优化配置，提高资金使用效率；对绩效不达标的财政项目进行深入分析，找出问题所在，优化项目管理流程和方法，提高项目实施效果；为单位的重大决策提供数据支持，例如是否继续开展某项业务、是否加大对特定领域的投入等，同时按照相关规定，向州财政局及时报告财政绩效结果，增加透明度和公信力，为我会圆满完成各项目标任务，发挥职能作用奠定了良好的基础。</w:t>
      </w:r>
    </w:p>
    <w:p>
      <w:pPr>
        <w:spacing w:line="560" w:lineRule="exact"/>
        <w:ind w:firstLine="642" w:firstLineChars="200"/>
        <w:rPr>
          <w:rFonts w:hint="eastAsia" w:ascii="方正小标宋_GBK" w:eastAsia="方正小标宋_GBK" w:cs="仿宋_GB2312"/>
          <w:b/>
          <w:bCs/>
          <w:color w:val="000000"/>
          <w:kern w:val="0"/>
          <w:sz w:val="32"/>
          <w:szCs w:val="32"/>
          <w:shd w:val="clear" w:color="auto" w:fill="FFFFFF"/>
          <w:lang w:val="zh-CN"/>
        </w:rPr>
      </w:pPr>
      <w:r>
        <w:rPr>
          <w:rFonts w:hint="eastAsia" w:ascii="方正小标宋_GBK" w:eastAsia="方正小标宋_GBK" w:cs="仿宋_GB2312"/>
          <w:b/>
          <w:bCs/>
          <w:color w:val="000000"/>
          <w:kern w:val="0"/>
          <w:sz w:val="32"/>
          <w:szCs w:val="32"/>
          <w:shd w:val="clear" w:color="auto" w:fill="FFFFFF"/>
          <w:lang w:val="zh-CN"/>
        </w:rPr>
        <w:t>四、评价结论及建议</w:t>
      </w:r>
    </w:p>
    <w:p>
      <w:pPr>
        <w:spacing w:line="560" w:lineRule="exact"/>
        <w:ind w:firstLine="642" w:firstLineChars="200"/>
        <w:rPr>
          <w:rFonts w:hint="eastAsia" w:ascii="方正楷体_GBK" w:eastAsia="方正楷体_GBK" w:cs="仿宋_GB2312"/>
          <w:b/>
          <w:bCs/>
          <w:color w:val="000000"/>
          <w:sz w:val="32"/>
          <w:szCs w:val="32"/>
          <w:lang w:val="zh-CN"/>
        </w:rPr>
      </w:pPr>
      <w:r>
        <w:rPr>
          <w:rFonts w:hint="eastAsia" w:ascii="方正楷体_GBK" w:eastAsia="方正楷体_GBK" w:cs="仿宋_GB2312"/>
          <w:b/>
          <w:bCs/>
          <w:color w:val="000000"/>
          <w:sz w:val="32"/>
          <w:szCs w:val="32"/>
          <w:lang w:val="zh-CN"/>
        </w:rPr>
        <w:t>（一）评价结论</w:t>
      </w:r>
    </w:p>
    <w:p>
      <w:pPr>
        <w:widowControl/>
        <w:adjustRightInd w:val="0"/>
        <w:snapToGrid w:val="0"/>
        <w:spacing w:line="580"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我会总体收入和支出都较小，项目经费把控严格，总体收支较平衡，严格按照预算管理办法进行财务收支，“三公”经费管控合理，无小金库，无违规发放钱物等情况。通过自评我会整体绩效评价为91.3分。</w:t>
      </w:r>
    </w:p>
    <w:p>
      <w:pPr>
        <w:spacing w:line="560" w:lineRule="exact"/>
        <w:ind w:firstLine="642" w:firstLineChars="200"/>
        <w:rPr>
          <w:rFonts w:hint="eastAsia" w:ascii="方正楷体_GBK" w:eastAsia="方正楷体_GBK" w:cs="仿宋_GB2312"/>
          <w:b/>
          <w:bCs/>
          <w:color w:val="000000"/>
          <w:sz w:val="32"/>
          <w:szCs w:val="32"/>
          <w:lang w:val="zh-CN"/>
        </w:rPr>
      </w:pPr>
      <w:r>
        <w:rPr>
          <w:rFonts w:hint="eastAsia" w:ascii="方正楷体_GBK" w:eastAsia="方正楷体_GBK" w:cs="仿宋_GB2312"/>
          <w:b/>
          <w:bCs/>
          <w:color w:val="000000"/>
          <w:sz w:val="32"/>
          <w:szCs w:val="32"/>
          <w:lang w:val="zh-CN"/>
        </w:rPr>
        <w:t>（二）存在问题</w:t>
      </w:r>
    </w:p>
    <w:p>
      <w:pPr>
        <w:widowControl/>
        <w:adjustRightInd w:val="0"/>
        <w:snapToGrid w:val="0"/>
        <w:spacing w:line="580" w:lineRule="exact"/>
        <w:ind w:firstLine="640" w:firstLineChars="200"/>
        <w:contextualSpacing/>
        <w:jc w:val="left"/>
        <w:rPr>
          <w:rFonts w:hint="eastAsia" w:eastAsia="仿宋_GB2312" w:cs="仿宋_GB2312"/>
          <w:kern w:val="0"/>
          <w:sz w:val="32"/>
          <w:szCs w:val="32"/>
          <w:lang w:val="zh-CN"/>
        </w:rPr>
      </w:pPr>
      <w:r>
        <w:rPr>
          <w:rFonts w:hint="eastAsia" w:eastAsia="仿宋_GB2312" w:cs="仿宋_GB2312"/>
          <w:kern w:val="0"/>
          <w:sz w:val="32"/>
          <w:szCs w:val="32"/>
          <w:lang w:val="zh-CN"/>
        </w:rPr>
        <w:t>一是因我会工作人员少，工作量大，为顺利推进各项工作，下基层开展工作多数时候是将几项专项工作一次性开展，再加上多数专项贯穿全年，故造成部分项目经费支出进度较慢及执行不够的情况；二是因我州藏传佛教教派多、高僧大德多，分布地区广，有些文集需跨省收集，且内容较多、体量较大，故造成《阿坝州珍稀古籍文献汇编》收集整理时间较长，致使影响出版进度；三是由于教规戒律教育涉及全州253座寺庙，工作点多、面广、量大，加之州县（市）佛协工作人员少、经费少等因素，影响工作推进力度。</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（三）改进建议</w:t>
      </w:r>
    </w:p>
    <w:p>
      <w:pPr>
        <w:widowControl/>
        <w:adjustRightInd w:val="0"/>
        <w:snapToGrid w:val="0"/>
        <w:spacing w:line="580" w:lineRule="exact"/>
        <w:ind w:firstLine="640" w:firstLineChars="200"/>
        <w:contextualSpacing/>
        <w:jc w:val="left"/>
        <w:rPr>
          <w:rFonts w:hint="eastAsia" w:eastAsia="仿宋_GB2312" w:cs="仿宋_GB2312"/>
          <w:kern w:val="0"/>
          <w:sz w:val="32"/>
          <w:szCs w:val="32"/>
          <w:lang w:val="zh-CN"/>
        </w:rPr>
      </w:pPr>
      <w:r>
        <w:rPr>
          <w:rFonts w:hint="eastAsia" w:eastAsia="仿宋_GB2312" w:cs="仿宋_GB2312"/>
          <w:kern w:val="0"/>
          <w:sz w:val="32"/>
          <w:szCs w:val="32"/>
          <w:lang w:val="zh-CN"/>
        </w:rPr>
        <w:t>一是加强预算支出平衡力度，合理安排各项工作开展时间；二是进一步增收节支，提高服务水平及管理能力；三是加强自身建设，提高工作人员综合素质，在有限的人员和经费前提下，及时推进各项工作，圆满完成各项目标任务。</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仿宋_GB2312"/>
          <w:kern w:val="0"/>
          <w:sz w:val="32"/>
          <w:lang w:val="zh-CN"/>
        </w:rPr>
      </w:pP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仿宋_GB2312"/>
          <w:kern w:val="0"/>
          <w:sz w:val="32"/>
          <w:lang w:val="zh-CN"/>
        </w:rPr>
      </w:pPr>
      <w:r>
        <w:rPr>
          <w:rFonts w:hint="eastAsia" w:ascii="Times New Roman" w:hAnsi="Times New Roman" w:eastAsia="仿宋_GB2312" w:cs="仿宋_GB2312"/>
          <w:kern w:val="0"/>
          <w:sz w:val="32"/>
          <w:lang w:val="zh-CN"/>
        </w:rPr>
        <w:t>附表：部门预算项目支出绩效自评表（2024年度）</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pPr>
        <w:pStyle w:val="3"/>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9"/>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tbl>
      <w:tblPr>
        <w:tblStyle w:val="2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3"/>
        <w:gridCol w:w="697"/>
        <w:gridCol w:w="808"/>
        <w:gridCol w:w="830"/>
        <w:gridCol w:w="808"/>
        <w:gridCol w:w="808"/>
        <w:gridCol w:w="808"/>
        <w:gridCol w:w="838"/>
        <w:gridCol w:w="713"/>
        <w:gridCol w:w="713"/>
        <w:gridCol w:w="713"/>
        <w:gridCol w:w="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8347"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251"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09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51320021T000000090038</w:t>
            </w:r>
            <w:r>
              <w:rPr>
                <w:rFonts w:hint="eastAsia" w:ascii="宋体" w:cs="Lucida Sans"/>
                <w:color w:val="000000"/>
                <w:sz w:val="18"/>
                <w:lang w:eastAsia="zh-CN"/>
              </w:rPr>
              <w:t>－</w:t>
            </w:r>
            <w:r>
              <w:rPr>
                <w:rFonts w:ascii="宋体" w:eastAsia="宋体" w:cs="Lucida Sans"/>
                <w:color w:val="000000"/>
                <w:sz w:val="18"/>
              </w:rPr>
              <w:t>培训费</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1251"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17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731"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193"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536"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71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17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2924"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17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加强州、县（市）佛协班子成员、寺管会班子成员和经师等对国情的了解，坚定爱国立场，增强社会责任感，提高素质和能力，引导他们对藏传佛教教规教义作出符合时代发展和社会进步要求的阐释。</w:t>
            </w:r>
          </w:p>
        </w:tc>
        <w:tc>
          <w:tcPr>
            <w:tcW w:w="2924"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培训费年初预算25万元，实际支出21.08万元，3.92万元财政已收回</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09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费年初预算25万元，实际支出21.08万元，剩余3.92万元已归还财政。培训内容，培训经费支出主要分为两部分：一是培训和考察支出，包括：所有人员在培训和考察期间的住宿费、餐费、交通费等。二是部分没有固定收入参训人员的交通补助、伙食补助费（途中）、误工补助，授课人员的授课费、资料文印费等共计支付21.08万元。</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536"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b w:val="0"/>
                <w:i/>
                <w:color w:val="000000"/>
                <w:sz w:val="18"/>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36"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培训次数</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期</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培训合格率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培训时限</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增强社会责任感</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显著增强</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增强国家意识、法律意识、公民意识”</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显著增强</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培训对象满意度</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97</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培训经费</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6154"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536"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7811"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成效：加强州、县（市）佛协班子成员、寺管会班子成员和经师等对国情的了解，坚定爱国立场，增强社会责任感，提高素质和能力，引导他们对藏传佛教教规教义作出符合时代发展和社会进步要求的阐释。确保寺庙领导权牢牢掌握在爱国爱教人士手中，落实“加强对民管会班子成员的经常性教育和培训”和“落实</w:t>
            </w:r>
            <w:r>
              <w:rPr>
                <w:rFonts w:hint="eastAsia" w:ascii="微软雅黑" w:eastAsia="微软雅黑" w:cs="Lucida Sans"/>
                <w:b w:val="0"/>
                <w:i/>
                <w:color w:val="000000"/>
                <w:sz w:val="16"/>
                <w:lang w:eastAsia="zh-CN"/>
              </w:rPr>
              <w:t>警事</w:t>
            </w:r>
            <w:r>
              <w:rPr>
                <w:rFonts w:ascii="微软雅黑" w:eastAsia="微软雅黑" w:cs="Lucida Sans"/>
                <w:b w:val="0"/>
                <w:i/>
                <w:color w:val="000000"/>
                <w:sz w:val="16"/>
              </w:rPr>
              <w:t>联系制度，组织其参加各种培训和参观考察，增强国家意识、法律意识、公民意识”。</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536"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7811"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536"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7811"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3763"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4584"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1"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1"/>
        <w:gridCol w:w="551"/>
        <w:gridCol w:w="851"/>
        <w:gridCol w:w="851"/>
        <w:gridCol w:w="851"/>
        <w:gridCol w:w="851"/>
        <w:gridCol w:w="851"/>
        <w:gridCol w:w="817"/>
        <w:gridCol w:w="782"/>
        <w:gridCol w:w="783"/>
        <w:gridCol w:w="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51320021T000000090247</w:t>
            </w:r>
            <w:r>
              <w:rPr>
                <w:rFonts w:hint="eastAsia" w:ascii="宋体" w:cs="Lucida Sans"/>
                <w:color w:val="000000"/>
                <w:sz w:val="18"/>
                <w:lang w:eastAsia="zh-CN"/>
              </w:rPr>
              <w:t>－</w:t>
            </w:r>
            <w:r>
              <w:rPr>
                <w:rFonts w:ascii="宋体" w:eastAsia="宋体" w:cs="Lucida Sans"/>
                <w:color w:val="000000"/>
                <w:sz w:val="18"/>
              </w:rPr>
              <w:t>老会长慰问费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根据我会工作实际，按照州委主要领导的指示，要求我会在春节前开展老会长、老活佛的慰问工作，传达党和政府的问候和关心，为切实做好此项工作。</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2024年度已完成支付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根据对我会每年健在的老会长、老活佛等的实际情况，按照州委老干局慰问老干部相关规定，我会在每年元旦、春节前夕，对老会长、老活佛等进行慰问工作。2023年我会拟对离任的历届州佛协会长、副会长共计7人进行慰问，其中：副县级2人（标准每人1500元）其他人员5人（标准每人1000元），共计慰问金8000元。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 人员</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人</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发放对象及数额准确率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发放时间</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月</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传达党和政府的 关心关爱</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有效传达</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为我州宗教工作继续献计献策、发挥余热</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有效发挥</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慰问人员满意度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发放金额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自评分为100分，通过对已离任的老会长、老活佛等宗教界代表人士进行慰问，体现</w:t>
            </w:r>
            <w:r>
              <w:rPr>
                <w:rFonts w:hint="eastAsia" w:ascii="微软雅黑" w:eastAsia="微软雅黑" w:cs="Lucida Sans"/>
                <w:b w:val="0"/>
                <w:i/>
                <w:color w:val="000000"/>
                <w:sz w:val="16"/>
                <w:lang w:eastAsia="zh-CN"/>
              </w:rPr>
              <w:t>党委、政府</w:t>
            </w:r>
            <w:r>
              <w:rPr>
                <w:rFonts w:ascii="微软雅黑" w:eastAsia="微软雅黑" w:cs="Lucida Sans"/>
                <w:b w:val="0"/>
                <w:i/>
                <w:color w:val="000000"/>
                <w:sz w:val="16"/>
              </w:rPr>
              <w:t>对宗教界的关心、关爱，进一步发挥老会长、老活佛等宗教界代表人士在我州宗教工作中的积极作用，为全州宗教工作建言献策、发挥余热，为我州民族团结、宗教和睦做出积极贡献。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51320021T000000090891</w:t>
            </w:r>
            <w:r>
              <w:rPr>
                <w:rFonts w:hint="eastAsia" w:ascii="宋体" w:cs="Lucida Sans"/>
                <w:color w:val="000000"/>
                <w:sz w:val="18"/>
                <w:lang w:eastAsia="zh-CN"/>
              </w:rPr>
              <w:t>－</w:t>
            </w:r>
            <w:r>
              <w:rPr>
                <w:rFonts w:ascii="宋体" w:eastAsia="宋体" w:cs="Lucida Sans"/>
                <w:color w:val="000000"/>
                <w:sz w:val="18"/>
              </w:rPr>
              <w:t>全州藏传佛教寺庙戒律教育及和谐寺庙创建经费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提出了“依法治寺管僧，僧尼持戒守法”的工作要求，引导各寺庙弘扬藏传佛教爱国爱教光荣传统，发挥藏传佛教在构建和谐社会中的积极作用，进一步推动我州藏传佛教寺庙管理长效机制建设，维护藏传佛教的正常秩序，树立寺庙和僧尼的良好形象。</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2024年度完成支付7.9万元，剩余10.1万元财政已收回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通过宣传动员、学习教育、整顿验收等几个阶段的工作，在全州253座藏传佛教寺庙中开展戒律教育及和谐寺庙创建，参与僧尼将达到17000余人。经费支出内容主要有：一是差旅费，用于深入各寺庙召开动员大会，在活动中和活动结束时，对各县（市）的开展情况进行督查和检查；二是劳务费，用于授课、宣讲人员支出，组织各寺庙活佛、堪布、格西等高僧大德，向僧尼集中宣讲本教派的教规教义、规章制度等，邀请民宗、司法等部门专业人员向僧尼讲解《宪法》、《</w:t>
            </w:r>
            <w:r>
              <w:rPr>
                <w:rFonts w:hint="eastAsia" w:ascii="宋体" w:cs="Lucida Sans"/>
                <w:color w:val="000000"/>
                <w:sz w:val="18"/>
                <w:lang w:eastAsia="zh-CN"/>
              </w:rPr>
              <w:t>中华人民共和国国旗法》《</w:t>
            </w:r>
            <w:r>
              <w:rPr>
                <w:rFonts w:ascii="宋体" w:eastAsia="宋体" w:cs="Lucida Sans"/>
                <w:color w:val="000000"/>
                <w:sz w:val="18"/>
              </w:rPr>
              <w:t>阿坝藏族羌族自治州宗教事务条例》等法律法规；三是办公费，用于编印宣传学习册以及组织僧尼开展自我对照检查等；四是其他商品服务支出，用于公务用车支出、其他一些未预见到的支出。共计支付7.9万元。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完成僧尼持戒守法工作</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人数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发挥藏传佛教在构建和谐社会中的积极作用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有效发挥</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树立寺庙和僧尼的良好形象</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有效树立</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维护藏传佛教的正常秩序</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有效维护</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服务群众满意度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提出了“依法治寺管僧，僧尼持戒守法”的工作要求，引导各寺庙弘扬藏传佛教爱国爱教光荣传统，发挥藏传佛教在构建和谐社会中的积极作用，进一步推动我州藏传佛教寺庙管理长效机制建设，维护藏传佛教的正常秩序，树立寺庙和僧尼的良好形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51320021T000000160243</w:t>
            </w:r>
            <w:r>
              <w:rPr>
                <w:rFonts w:hint="eastAsia" w:ascii="宋体" w:cs="Lucida Sans"/>
                <w:color w:val="000000"/>
                <w:sz w:val="18"/>
                <w:lang w:eastAsia="zh-CN"/>
              </w:rPr>
              <w:t>－</w:t>
            </w:r>
            <w:r>
              <w:rPr>
                <w:rFonts w:ascii="宋体" w:eastAsia="宋体" w:cs="Lucida Sans"/>
                <w:color w:val="000000"/>
                <w:sz w:val="18"/>
              </w:rPr>
              <w:t>阿坝菩提道场（微信公众平台）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为弘扬藏传佛教优秀文化，传播宗教正能量，及时将中央、省、州</w:t>
            </w:r>
            <w:r>
              <w:rPr>
                <w:rFonts w:hint="eastAsia" w:ascii="宋体" w:cs="Lucida Sans"/>
                <w:color w:val="000000"/>
                <w:sz w:val="18"/>
                <w:lang w:eastAsia="zh-CN"/>
              </w:rPr>
              <w:t>党委、政府</w:t>
            </w:r>
            <w:r>
              <w:rPr>
                <w:rFonts w:ascii="宋体" w:eastAsia="宋体" w:cs="Lucida Sans"/>
                <w:color w:val="000000"/>
                <w:sz w:val="18"/>
              </w:rPr>
              <w:t>关于宗教工作的方针政策、法律法规以及高僧大德教言、寺庙管理动态等发布到僧尼和信众中，有力促进历史挖掘传承和现实融合创新的有机结合，起到宣传藏传佛教正能量的良好社会效应。自2015年来，按照州委工作部署，我会在阿坝日报社开设藏文手机报“阿坝菩提道场”栏目和开办《阿坝菩提道场》微信公众平台。</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年初预算数为5万元，实际支出0.63万元，剩余4.37万元财政已收回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藏文手机报“阿坝菩提道场”栏目每周刊播一期，内容为高僧大德教言、寺庙管理动态等，由我会收集整理并提供刊播内容，由阿坝日报社负责发布，阿坝日报社收取手机信息发布相关费用。《阿坝菩提道场》微信公众平台每周刊播一期，内容为宗教工作方针政策、法律法规等。共计支付0.63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刊播数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48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期</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有力促进历史挖掘传承和现实融合创新的有机结合</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有力促进</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刊播时限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宣传藏传佛教正能量的良好社会效应</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广泛宣传</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传播宗教正能量</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有效传播</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自评分为100分，通过刊播“阿坝菩提道场”微信公众号和“菩提道场”藏文语音手机报，及时将中央、省、州</w:t>
            </w:r>
            <w:r>
              <w:rPr>
                <w:rFonts w:hint="eastAsia" w:ascii="微软雅黑" w:eastAsia="微软雅黑" w:cs="Lucida Sans"/>
                <w:b w:val="0"/>
                <w:i/>
                <w:color w:val="000000"/>
                <w:sz w:val="16"/>
                <w:lang w:eastAsia="zh-CN"/>
              </w:rPr>
              <w:t>党委、政府</w:t>
            </w:r>
            <w:r>
              <w:rPr>
                <w:rFonts w:ascii="微软雅黑" w:eastAsia="微软雅黑" w:cs="Lucida Sans"/>
                <w:b w:val="0"/>
                <w:i/>
                <w:color w:val="000000"/>
                <w:sz w:val="16"/>
              </w:rPr>
              <w:t>关于宗教工作的方针政策、法律法规以及高僧大德教言、寺庙管理动态等发布到僧尼和信众中，促进历史挖掘传承和现实融合创新的有机结合，起到宣传藏传佛教正能量的良好社会效应。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根据工作安排，2024年原创作品刊数减少，转载内容较多，造成经费支出减少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加大原创刊播力度，提高刊播质量。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51320021T000000160290-生活补助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为进一步加强州、县佛协组织建设，调动广大佛教界人士自觉接受政府依法管理和强化佛协组织自主管理的积极性。</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2024年度完成支付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xml:space="preserve"> 发放标准为副会长每人每月700元，副秘书长每人每月600元，按每季度发放一次。未领取国家工资的副会长为2名（2</w:t>
            </w:r>
            <w:r>
              <w:rPr>
                <w:rFonts w:hint="eastAsia" w:ascii="宋体" w:cs="Lucida Sans"/>
                <w:color w:val="000000"/>
                <w:sz w:val="18"/>
                <w:lang w:eastAsia="zh-CN"/>
              </w:rPr>
              <w:t>x</w:t>
            </w:r>
            <w:r>
              <w:rPr>
                <w:rFonts w:ascii="宋体" w:eastAsia="宋体" w:cs="Lucida Sans"/>
                <w:color w:val="000000"/>
                <w:sz w:val="18"/>
              </w:rPr>
              <w:t>700﹦1400</w:t>
            </w:r>
            <w:r>
              <w:rPr>
                <w:rFonts w:hint="eastAsia" w:ascii="宋体" w:cs="Lucida Sans"/>
                <w:color w:val="000000"/>
                <w:sz w:val="18"/>
                <w:lang w:eastAsia="zh-CN"/>
              </w:rPr>
              <w:t>x</w:t>
            </w:r>
            <w:r>
              <w:rPr>
                <w:rFonts w:ascii="宋体" w:eastAsia="宋体" w:cs="Lucida Sans"/>
                <w:color w:val="000000"/>
                <w:sz w:val="18"/>
              </w:rPr>
              <w:t>12﹦16800元。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发放人数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人</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补助对象及数额准确率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月</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落实文集收集工作</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有效落实</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强化佛协组织管理的积极性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有效组织管理</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补助人员满意度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自评分为100分，通过对州佛协副会长、副秘书长中未领取国家工资的人员实行生活补贴，进一步加强州、县佛协组织建设，调动广大佛教界人士自觉接受政府依法管理和强化佛协组织管理的积极性。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51320023T000009714877-《阿坝州珍稀古籍文献汇编》出版经费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及时收集、整理、出版我州发展进程中有声望、有影响的活佛、喇嘛、堪布、格西等</w:t>
            </w:r>
            <w:r>
              <w:rPr>
                <w:rFonts w:hint="eastAsia" w:ascii="宋体" w:cs="Lucida Sans"/>
                <w:color w:val="000000"/>
                <w:sz w:val="18"/>
                <w:lang w:eastAsia="zh-CN"/>
              </w:rPr>
              <w:t>珍稀</w:t>
            </w:r>
            <w:r>
              <w:rPr>
                <w:rFonts w:ascii="宋体" w:eastAsia="宋体" w:cs="Lucida Sans"/>
                <w:color w:val="000000"/>
                <w:sz w:val="18"/>
              </w:rPr>
              <w:t>古籍著作，继承弘扬优秀民族文化，打造特色文化品牌，提升地域传统文化和旅游文化品位，促进阿坝州“文化兴州”进程，具有现实需求性和必要性。</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年初预算数为100万元，实际支出133.94万元，因2023年合同签至2024年度，上年剩余33.94已支付。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实施内容：召集我州藏传佛教方面专家学者对文集选题进行研讨，筛选符合出版的文集；请专业人员对筛选出的文集进行整理、录入、存档等工作；具有藏文排版资质的公司对文集进行排版编辑。具体支出内容为：一是办公费，用于收集整理工作中办公费的支出；二是差旅费，用于到各地各寺庙开展文集收集支出；三是劳务费，用于校对、排版等人员的工资支出；四是其他费用，交通费、文集存放库房租金和其他一些没有预计到的支出，共计支出133.94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出版数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册卷</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提升地域传统文化和旅游文化品位</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有效提升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出版时限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扬优秀民族文化，打造特色文化品牌</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有效打造</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促进阿坝州“文化兴州”进程</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有效促进</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出版经费</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2024年对宁玛、噶举文集进行了整理、校对、出版，年内完成出版任务。我会为保护、传承藏传佛教优秀文化及促进民族文化发展作出了积极贡献。自评分为100分。成效：弘扬藏传佛教优秀文化，传播宗教正能量，做好《阿坝州历史名人文集》（格鲁、苯教、萨迦、觉囊）收集整理出版工作，得到相关领导、广大僧众和社会各界的认可和肯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51320024T000010437792</w:t>
            </w:r>
            <w:r>
              <w:rPr>
                <w:rFonts w:hint="eastAsia" w:ascii="宋体" w:cs="Lucida Sans"/>
                <w:color w:val="000000"/>
                <w:sz w:val="18"/>
                <w:lang w:eastAsia="zh-CN"/>
              </w:rPr>
              <w:t>－</w:t>
            </w:r>
            <w:r>
              <w:rPr>
                <w:rFonts w:ascii="宋体" w:eastAsia="宋体" w:cs="Lucida Sans"/>
                <w:color w:val="000000"/>
                <w:sz w:val="18"/>
              </w:rPr>
              <w:t>公务用车大修费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根据公务用车（川U00619）存在的问题，按照指定公务用车维修机构检测，我会拟于2024年对该公务用车进行一次大修，对存在安全隐患的项目进行维修、更换，经预算共计需维修费8万元</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按照指定公务用车维修机构检测，2024年对该公务用车进行一次大修，对存在安全隐患的项目进行维修、更换，经预算共计z支付维修费7.89万元。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公车大修</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经费支出合格率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月</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为我会更好</w:t>
            </w:r>
            <w:r>
              <w:rPr>
                <w:rFonts w:hint="eastAsia" w:ascii="宋体" w:cs="Lucida Sans"/>
                <w:color w:val="000000"/>
                <w:sz w:val="18"/>
                <w:lang w:eastAsia="zh-CN"/>
              </w:rPr>
              <w:t>地</w:t>
            </w:r>
            <w:r>
              <w:rPr>
                <w:rFonts w:ascii="宋体" w:eastAsia="宋体" w:cs="Lucida Sans"/>
                <w:color w:val="000000"/>
                <w:sz w:val="18"/>
              </w:rPr>
              <w:t>开展工作</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工作开展显著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公车安全系数更高</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安全系数改善</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维修成本</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自评分为100分，根据公务用车（川U00619）存在的问题，按照指定公务用车维修机构检测，我会拟于2024年对该公务用车进行一次大修，对存在安全隐患的项目进行维修、更换，经预算共计需维修费8万元。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51320024T000010453958</w:t>
            </w:r>
            <w:r>
              <w:rPr>
                <w:rFonts w:hint="eastAsia" w:ascii="宋体" w:cs="Lucida Sans"/>
                <w:color w:val="000000"/>
                <w:sz w:val="18"/>
                <w:lang w:eastAsia="zh-CN"/>
              </w:rPr>
              <w:t>－</w:t>
            </w:r>
            <w:r>
              <w:rPr>
                <w:rFonts w:ascii="宋体" w:eastAsia="宋体" w:cs="Lucida Sans"/>
                <w:color w:val="000000"/>
                <w:sz w:val="18"/>
              </w:rPr>
              <w:t>综合楼管理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xml:space="preserve"> 2018年起州政府第二办公综合楼管理费由综合楼各成员单位轮流管理，由当年管理单位统一编制预算，统一管理，统一支付所有涉及费用，不再由各单位分别交付管理费用来支出。根据轮流安排交接工作，2024年度由阿坝州佛教协会统一管理综合楼，并支付综合楼所有费用。</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按照楼层各单位涉及的问题进行维修及整个楼层的电费共支付12.19万元，剩余12.81收回财政。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管理数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幢</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合格率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管理期限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改善办公环境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显著改善</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更好</w:t>
            </w:r>
            <w:r>
              <w:rPr>
                <w:rFonts w:hint="eastAsia" w:ascii="宋体" w:cs="Lucida Sans"/>
                <w:color w:val="000000"/>
                <w:sz w:val="18"/>
                <w:lang w:eastAsia="zh-CN"/>
              </w:rPr>
              <w:t>地</w:t>
            </w:r>
            <w:r>
              <w:rPr>
                <w:rFonts w:ascii="宋体" w:eastAsia="宋体" w:cs="Lucida Sans"/>
                <w:color w:val="000000"/>
                <w:sz w:val="18"/>
              </w:rPr>
              <w:t>为入住单位提供服务</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有效提供服务</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工作人员好评率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投资金额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自评分为100分，根据轮流安排交接工作，2024年度由阿坝州佛教协会统一管理综合楼，并支付综合楼所有费用。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51320024T000010457563-《阿坝州珍稀古籍文献汇编》收集整理经费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为</w:t>
            </w:r>
            <w:r>
              <w:rPr>
                <w:rFonts w:hint="eastAsia" w:ascii="宋体" w:cs="Lucida Sans"/>
                <w:color w:val="000000"/>
                <w:sz w:val="18"/>
                <w:lang w:eastAsia="zh-CN"/>
              </w:rPr>
              <w:t>抢救性地</w:t>
            </w:r>
            <w:r>
              <w:rPr>
                <w:rFonts w:ascii="宋体" w:eastAsia="宋体" w:cs="Lucida Sans"/>
                <w:color w:val="000000"/>
                <w:sz w:val="18"/>
              </w:rPr>
              <w:t>收集、整理、出版我州藏传佛教发展进程中，有声望、有影响的活佛、喇嘛、堪布、格西等历史名人的著作，继承弘扬优秀民族文化，打造特色文化品牌，提升地域传统文化和旅游文化品位，促进阿坝州“文化兴州”进程。</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实施内容：召集我州藏传佛教方面专家学者对文集选题进行研讨，筛选符合出版的文集；请专业人员对筛选出的文集进行整理、录入、存档等工作；具有藏文排版资质的公司对文集进行排版编辑。具体支出内容为：一是办公费，用于收集整理工作中办公费的支出；二是差旅费，用于到各地各寺庙开展文集收集支出；三是劳务费，用于校对、排版等人员的工资支出；四是其他费用，交通费、文集存放库房租金和其他一些没有预计到的支出，共计支出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文集收集</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卷</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整理合格率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收集时限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提升地域传统文化率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促进阿坝州文化兴州进程</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有效促进</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收集整理费</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2024年按要求支付完毕。在阿坝州藏传佛教发展进程中，曾出现过许多有声望、有影响的活佛、喇嘛、堪布、格西等高僧大德，他们中有不少人著书立说、弘扬佛法和传统文化，为藏传佛教和藏族传统文化在阿坝地区乃至整个藏区的传播作出了积极贡献。他们的著作数量多，内容涉及佛教、历史、诗词、医药、历算等领域，堪称藏学历史上的宝库。目前，很多有价值的文集诸多因素失散，如不及时抢救性的整理和收集，以后会很难再收集。整理出版我州历史名人著作，对继承弘扬优秀民族文化，打造特色文化品牌，提升地域传统文化和旅游文化品位，促进阿坝州“文化兴州”进程都具有十分重要的意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51320024T000011687295-《打印机》采购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解决我会文件正常运转，更好</w:t>
            </w:r>
            <w:r>
              <w:rPr>
                <w:rFonts w:hint="eastAsia" w:ascii="宋体" w:cs="Lucida Sans"/>
                <w:color w:val="000000"/>
                <w:sz w:val="18"/>
                <w:lang w:eastAsia="zh-CN"/>
              </w:rPr>
              <w:t>地</w:t>
            </w:r>
            <w:r>
              <w:rPr>
                <w:rFonts w:ascii="宋体" w:eastAsia="宋体" w:cs="Lucida Sans"/>
                <w:color w:val="000000"/>
                <w:sz w:val="18"/>
              </w:rPr>
              <w:t>开展各项工作。</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按照采购程序，合理采购完成，支付0.41万元。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采购数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40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工作效率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6000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元/台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自评分为100分，为解决我会文件正常运转，更好</w:t>
            </w:r>
            <w:r>
              <w:rPr>
                <w:rFonts w:hint="eastAsia" w:ascii="微软雅黑" w:eastAsia="微软雅黑" w:cs="Lucida Sans"/>
                <w:b w:val="0"/>
                <w:i/>
                <w:color w:val="000000"/>
                <w:sz w:val="16"/>
                <w:lang w:eastAsia="zh-CN"/>
              </w:rPr>
              <w:t>地</w:t>
            </w:r>
            <w:r>
              <w:rPr>
                <w:rFonts w:ascii="微软雅黑" w:eastAsia="微软雅黑" w:cs="Lucida Sans"/>
                <w:b w:val="0"/>
                <w:i/>
                <w:color w:val="000000"/>
                <w:sz w:val="16"/>
              </w:rPr>
              <w:t>开展各项工作，2024年购置《打印机》1台。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pStyle w:val="5"/>
        <w:keepNext/>
        <w:keepLines/>
        <w:pageBreakBefore w:val="0"/>
        <w:widowControl w:val="0"/>
        <w:suppressLineNumbers w:val="0"/>
        <w:suppressAutoHyphens w:val="0"/>
        <w:jc w:val="center"/>
      </w:pPr>
      <w:r>
        <w:rPr>
          <w:rFonts w:hint="eastAsia"/>
        </w:rPr>
        <w:t>第五部分 附表</w:t>
      </w:r>
      <w:bookmarkEnd w:id="49"/>
      <w:bookmarkEnd w:id="51"/>
      <w:bookmarkStart w:id="52" w:name="_Toc15396619"/>
    </w:p>
    <w:p>
      <w:pPr>
        <w:pStyle w:val="6"/>
        <w:keepNext/>
        <w:keepLines/>
        <w:pageBreakBefore w:val="0"/>
        <w:widowControl w:val="0"/>
        <w:suppressLineNumbers w:val="0"/>
        <w:suppressAutoHyphens w:val="0"/>
        <w:bidi w:val="0"/>
        <w:spacing w:line="415" w:lineRule="auto"/>
        <w:rPr>
          <w:rFonts w:hint="eastAsia"/>
        </w:rPr>
      </w:pPr>
      <w:r>
        <w:rPr>
          <w:rFonts w:hint="eastAsia"/>
        </w:rPr>
        <w:t>一、收入支出决算总表</w:t>
      </w:r>
      <w:bookmarkEnd w:id="52"/>
    </w:p>
    <w:p>
      <w:pPr>
        <w:pStyle w:val="6"/>
        <w:keepNext/>
        <w:keepLines/>
        <w:pageBreakBefore w:val="0"/>
        <w:widowControl w:val="0"/>
        <w:suppressLineNumbers w:val="0"/>
        <w:suppressAutoHyphens w:val="0"/>
        <w:bidi w:val="0"/>
        <w:spacing w:line="415" w:lineRule="auto"/>
        <w:rPr>
          <w:rFonts w:hint="eastAsia"/>
        </w:rPr>
      </w:pPr>
      <w:bookmarkStart w:id="53" w:name="_Toc15396620"/>
      <w:r>
        <w:rPr>
          <w:rFonts w:hint="eastAsia"/>
        </w:rPr>
        <w:t>二、收入决算表</w:t>
      </w:r>
      <w:bookmarkEnd w:id="53"/>
    </w:p>
    <w:p>
      <w:pPr>
        <w:pStyle w:val="6"/>
        <w:keepNext/>
        <w:keepLines/>
        <w:pageBreakBefore w:val="0"/>
        <w:widowControl w:val="0"/>
        <w:suppressLineNumbers w:val="0"/>
        <w:suppressAutoHyphens w:val="0"/>
        <w:bidi w:val="0"/>
        <w:spacing w:line="415" w:lineRule="auto"/>
        <w:rPr>
          <w:rFonts w:hint="eastAsia"/>
        </w:rPr>
      </w:pPr>
      <w:bookmarkStart w:id="54" w:name="_Toc15396621"/>
      <w:r>
        <w:rPr>
          <w:rFonts w:hint="eastAsia"/>
        </w:rPr>
        <w:t>三、支出决算表</w:t>
      </w:r>
      <w:bookmarkEnd w:id="54"/>
    </w:p>
    <w:p>
      <w:pPr>
        <w:pStyle w:val="6"/>
        <w:keepNext/>
        <w:keepLines/>
        <w:pageBreakBefore w:val="0"/>
        <w:widowControl w:val="0"/>
        <w:suppressLineNumbers w:val="0"/>
        <w:suppressAutoHyphens w:val="0"/>
        <w:bidi w:val="0"/>
        <w:spacing w:line="415" w:lineRule="auto"/>
        <w:rPr>
          <w:rFonts w:hint="eastAsia"/>
        </w:rPr>
      </w:pPr>
      <w:bookmarkStart w:id="55" w:name="_Toc15396622"/>
      <w:r>
        <w:rPr>
          <w:rFonts w:hint="eastAsia"/>
        </w:rPr>
        <w:t>四、财政拨款收入支出决算总表</w:t>
      </w:r>
      <w:bookmarkEnd w:id="55"/>
    </w:p>
    <w:p>
      <w:pPr>
        <w:pStyle w:val="6"/>
        <w:keepNext/>
        <w:keepLines/>
        <w:pageBreakBefore w:val="0"/>
        <w:widowControl w:val="0"/>
        <w:suppressLineNumbers w:val="0"/>
        <w:suppressAutoHyphens w:val="0"/>
        <w:bidi w:val="0"/>
        <w:spacing w:line="415" w:lineRule="auto"/>
        <w:rPr>
          <w:rFonts w:hint="eastAsia"/>
        </w:rPr>
      </w:pPr>
      <w:bookmarkStart w:id="56" w:name="_Toc15396623"/>
      <w:r>
        <w:rPr>
          <w:rFonts w:hint="eastAsia"/>
        </w:rPr>
        <w:t>五、财政拨款支出决算明细表</w:t>
      </w:r>
      <w:bookmarkEnd w:id="56"/>
      <w:bookmarkStart w:id="57" w:name="_Toc15396624"/>
    </w:p>
    <w:p>
      <w:pPr>
        <w:pStyle w:val="6"/>
        <w:keepNext/>
        <w:keepLines/>
        <w:pageBreakBefore w:val="0"/>
        <w:widowControl w:val="0"/>
        <w:suppressLineNumbers w:val="0"/>
        <w:suppressAutoHyphens w:val="0"/>
        <w:bidi w:val="0"/>
        <w:spacing w:line="415" w:lineRule="auto"/>
        <w:rPr>
          <w:rFonts w:hint="eastAsia"/>
        </w:rPr>
      </w:pPr>
      <w:r>
        <w:rPr>
          <w:rFonts w:hint="eastAsia"/>
        </w:rPr>
        <w:t>六、一般公共预算财政拨款支出决算表</w:t>
      </w:r>
      <w:bookmarkEnd w:id="57"/>
    </w:p>
    <w:p>
      <w:pPr>
        <w:pStyle w:val="6"/>
        <w:keepNext/>
        <w:keepLines/>
        <w:pageBreakBefore w:val="0"/>
        <w:widowControl w:val="0"/>
        <w:suppressLineNumbers w:val="0"/>
        <w:suppressAutoHyphens w:val="0"/>
        <w:bidi w:val="0"/>
        <w:spacing w:line="415" w:lineRule="auto"/>
        <w:rPr>
          <w:rFonts w:hint="eastAsia"/>
        </w:rPr>
      </w:pPr>
      <w:bookmarkStart w:id="58" w:name="_Toc15396625"/>
      <w:r>
        <w:rPr>
          <w:rFonts w:hint="eastAsia"/>
        </w:rPr>
        <w:t>七、一般公共预算财政拨款支出决算明细表</w:t>
      </w:r>
      <w:bookmarkEnd w:id="58"/>
    </w:p>
    <w:p>
      <w:pPr>
        <w:pStyle w:val="6"/>
        <w:keepNext/>
        <w:keepLines/>
        <w:pageBreakBefore w:val="0"/>
        <w:widowControl w:val="0"/>
        <w:suppressLineNumbers w:val="0"/>
        <w:suppressAutoHyphens w:val="0"/>
        <w:bidi w:val="0"/>
        <w:spacing w:line="415" w:lineRule="auto"/>
        <w:rPr>
          <w:rFonts w:hint="eastAsia"/>
        </w:rPr>
      </w:pPr>
      <w:bookmarkStart w:id="59" w:name="_Toc15396626"/>
      <w:r>
        <w:rPr>
          <w:rFonts w:hint="eastAsia"/>
        </w:rPr>
        <w:t>八、一般公共预算财政拨款基本支出决算表</w:t>
      </w:r>
      <w:bookmarkEnd w:id="59"/>
    </w:p>
    <w:p>
      <w:pPr>
        <w:pStyle w:val="6"/>
        <w:keepNext/>
        <w:keepLines/>
        <w:pageBreakBefore w:val="0"/>
        <w:widowControl w:val="0"/>
        <w:suppressLineNumbers w:val="0"/>
        <w:suppressAutoHyphens w:val="0"/>
        <w:bidi w:val="0"/>
        <w:spacing w:line="415" w:lineRule="auto"/>
        <w:rPr>
          <w:rFonts w:hint="eastAsia"/>
        </w:rPr>
      </w:pPr>
      <w:bookmarkStart w:id="60" w:name="_Toc15396627"/>
      <w:r>
        <w:rPr>
          <w:rFonts w:hint="eastAsia"/>
        </w:rPr>
        <w:t>九、一般公共预算财政拨款项目支出决算表</w:t>
      </w:r>
      <w:bookmarkEnd w:id="60"/>
    </w:p>
    <w:p>
      <w:pPr>
        <w:pStyle w:val="6"/>
        <w:keepNext/>
        <w:keepLines/>
        <w:pageBreakBefore w:val="0"/>
        <w:widowControl w:val="0"/>
        <w:suppressLineNumbers w:val="0"/>
        <w:suppressAutoHyphens w:val="0"/>
        <w:bidi w:val="0"/>
        <w:spacing w:line="415" w:lineRule="auto"/>
        <w:rPr>
          <w:rFonts w:hint="eastAsia"/>
        </w:rPr>
      </w:pPr>
      <w:bookmarkStart w:id="61" w:name="_Toc15396628"/>
      <w:r>
        <w:rPr>
          <w:rFonts w:hint="eastAsia"/>
        </w:rPr>
        <w:t>十、</w:t>
      </w:r>
      <w:bookmarkEnd w:id="61"/>
      <w:r>
        <w:rPr>
          <w:rFonts w:hint="eastAsia"/>
        </w:rPr>
        <w:t>政府性基金预算财政拨款收入支出决算表</w:t>
      </w:r>
    </w:p>
    <w:p>
      <w:pPr>
        <w:pStyle w:val="6"/>
        <w:keepNext/>
        <w:keepLines/>
        <w:pageBreakBefore w:val="0"/>
        <w:widowControl w:val="0"/>
        <w:suppressLineNumbers w:val="0"/>
        <w:suppressAutoHyphens w:val="0"/>
        <w:bidi w:val="0"/>
        <w:spacing w:line="415" w:lineRule="auto"/>
        <w:rPr>
          <w:rFonts w:hint="eastAsia"/>
        </w:rPr>
      </w:pPr>
      <w:bookmarkStart w:id="62" w:name="_Toc15396629"/>
      <w:r>
        <w:rPr>
          <w:rFonts w:hint="eastAsia"/>
        </w:rPr>
        <w:t>十一、</w:t>
      </w:r>
      <w:bookmarkEnd w:id="62"/>
      <w:r>
        <w:rPr>
          <w:rFonts w:hint="eastAsia"/>
        </w:rPr>
        <w:t>国有资本经营预算财政拨款收入支出决算表</w:t>
      </w:r>
    </w:p>
    <w:p>
      <w:pPr>
        <w:pStyle w:val="6"/>
        <w:keepNext/>
        <w:keepLines/>
        <w:pageBreakBefore w:val="0"/>
        <w:widowControl w:val="0"/>
        <w:suppressLineNumbers w:val="0"/>
        <w:suppressAutoHyphens w:val="0"/>
        <w:bidi w:val="0"/>
        <w:spacing w:line="415" w:lineRule="auto"/>
        <w:rPr>
          <w:rFonts w:hint="eastAsia"/>
        </w:rPr>
      </w:pPr>
      <w:bookmarkStart w:id="63" w:name="_Toc15396630"/>
      <w:r>
        <w:rPr>
          <w:rFonts w:hint="eastAsia"/>
        </w:rPr>
        <w:t>十二、</w:t>
      </w:r>
      <w:bookmarkEnd w:id="63"/>
      <w:r>
        <w:rPr>
          <w:rFonts w:hint="eastAsia"/>
        </w:rPr>
        <w:t>国有资本经营预算财政拨款支出决算表</w:t>
      </w:r>
    </w:p>
    <w:p>
      <w:pPr>
        <w:pStyle w:val="6"/>
        <w:keepNext/>
        <w:keepLines/>
        <w:pageBreakBefore w:val="0"/>
        <w:widowControl w:val="0"/>
        <w:suppressLineNumbers w:val="0"/>
        <w:suppressAutoHyphens w:val="0"/>
        <w:bidi w:val="0"/>
        <w:spacing w:line="415" w:lineRule="auto"/>
        <w:rPr>
          <w:rFonts w:hint="eastAsia"/>
        </w:rPr>
      </w:pPr>
      <w:bookmarkStart w:id="64" w:name="_Toc15396631"/>
      <w:r>
        <w:rPr>
          <w:rFonts w:hint="eastAsia"/>
        </w:rPr>
        <w:t>十三、</w:t>
      </w:r>
      <w:bookmarkEnd w:id="64"/>
      <w:r>
        <w:rPr>
          <w:rFonts w:hint="eastAsia"/>
        </w:rPr>
        <w:t>财政拨款“三公”经费支出决算表</w:t>
      </w:r>
    </w:p>
    <w:p>
      <w:pPr>
        <w:pStyle w:val="6"/>
        <w:rPr>
          <w:rFonts w:hint="eastAsia"/>
        </w:rPr>
      </w:pPr>
    </w:p>
    <w:sectPr>
      <w:footerReference r:id="rId7" w:type="first"/>
      <w:footerReference r:id="rId6" w:type="default"/>
      <w:pgSz w:w="11906" w:h="16838"/>
      <w:pgMar w:top="1440"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CESI黑体-GB13000">
    <w:panose1 w:val="02000500000000000000"/>
    <w:charset w:val="86"/>
    <w:family w:val="auto"/>
    <w:pitch w:val="default"/>
    <w:sig w:usb0="800002BF" w:usb1="38CF7CF8" w:usb2="00000016" w:usb3="00000000" w:csb0="0004000F" w:csb1="00000000"/>
  </w:font>
  <w:font w:name="Lucida Sans">
    <w:altName w:val="仿宋_GB2312"/>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DHl7XO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- 1 -</w:t>
                    </w:r>
                    <w:r>
                      <w:fldChar w:fldCharType="end"/>
                    </w:r>
                  </w:p>
                </w:txbxContent>
              </v:textbox>
            </v:shape>
          </w:pict>
        </mc:Fallback>
      </mc:AlternateContent>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ApUg9D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CpqK+V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- 2 -</w:t>
                    </w:r>
                    <w:r>
                      <w:fldChar w:fldCharType="end"/>
                    </w:r>
                  </w:p>
                </w:txbxContent>
              </v:textbox>
            </v:shape>
          </w:pict>
        </mc:Fallback>
      </mc:AlternateContent>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DrADh6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D1C51"/>
    <w:multiLevelType w:val="singleLevel"/>
    <w:tmpl w:val="9FFD1C51"/>
    <w:lvl w:ilvl="0" w:tentative="0">
      <w:start w:val="1"/>
      <w:numFmt w:val="chineseCounting"/>
      <w:suff w:val="space"/>
      <w:lvlText w:val="第%1部分"/>
      <w:lvlJc w:val="left"/>
      <w:rPr>
        <w:rFonts w:hint="eastAsia"/>
      </w:rPr>
    </w:lvl>
  </w:abstractNum>
  <w:abstractNum w:abstractNumId="1">
    <w:nsid w:val="FEFAF3BC"/>
    <w:multiLevelType w:val="singleLevel"/>
    <w:tmpl w:val="FEFAF3BC"/>
    <w:lvl w:ilvl="0" w:tentative="0">
      <w:start w:val="1"/>
      <w:numFmt w:val="chineseCounting"/>
      <w:suff w:val="nothing"/>
      <w:lvlText w:val="%1、"/>
      <w:lvlJc w:val="left"/>
      <w:pPr>
        <w:ind w:left="0" w:firstLine="0"/>
      </w:pPr>
      <w:rPr>
        <w:rFonts w:hint="eastAsia"/>
      </w:rPr>
    </w:lvl>
  </w:abstractNum>
  <w:abstractNum w:abstractNumId="2">
    <w:nsid w:val="31F9C2CA"/>
    <w:multiLevelType w:val="multilevel"/>
    <w:tmpl w:val="31F9C2CA"/>
    <w:lvl w:ilvl="0" w:tentative="0">
      <w:start w:val="1"/>
      <w:numFmt w:val="decimal"/>
      <w:lvlText w:val="%1."/>
      <w:lvlJc w:val="left"/>
      <w:pPr>
        <w:ind w:left="1000" w:hanging="3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1686004"/>
    <w:rsid w:val="3A6725E2"/>
    <w:rsid w:val="3BBF443B"/>
    <w:rsid w:val="5BFF3F90"/>
    <w:rsid w:val="61F52C38"/>
    <w:rsid w:val="6BFC5CC4"/>
    <w:rsid w:val="6F9F49DC"/>
    <w:rsid w:val="7D617961"/>
    <w:rsid w:val="7EFF6CD8"/>
    <w:rsid w:val="7F334745"/>
    <w:rsid w:val="7F7B2A5B"/>
    <w:rsid w:val="DDFB22E6"/>
    <w:rsid w:val="DFCFAC0D"/>
    <w:rsid w:val="EEF6E33C"/>
    <w:rsid w:val="EEFD8A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6"/>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toc 7"/>
    <w:basedOn w:val="1"/>
    <w:next w:val="1"/>
    <w:qFormat/>
    <w:uiPriority w:val="0"/>
    <w:pPr>
      <w:ind w:left="2520"/>
    </w:pPr>
  </w:style>
  <w:style w:type="paragraph" w:styleId="9">
    <w:name w:val="Body Text"/>
    <w:basedOn w:val="1"/>
    <w:qFormat/>
    <w:uiPriority w:val="0"/>
    <w:pPr>
      <w:spacing w:before="30" w:beforeLines="30"/>
    </w:pPr>
    <w:rPr>
      <w:rFonts w:ascii="仿宋_GB2312" w:eastAsia="仿宋_GB2312"/>
      <w:kern w:val="0"/>
      <w:sz w:val="30"/>
    </w:rPr>
  </w:style>
  <w:style w:type="paragraph" w:styleId="10">
    <w:name w:val="toc 5"/>
    <w:basedOn w:val="1"/>
    <w:next w:val="1"/>
    <w:qFormat/>
    <w:uiPriority w:val="0"/>
    <w:pPr>
      <w:ind w:left="1680"/>
    </w:pPr>
  </w:style>
  <w:style w:type="paragraph" w:styleId="11">
    <w:name w:val="toc 3"/>
    <w:basedOn w:val="1"/>
    <w:next w:val="1"/>
    <w:qFormat/>
    <w:uiPriority w:val="0"/>
    <w:pPr>
      <w:tabs>
        <w:tab w:val="right" w:leader="dot" w:pos="8296"/>
      </w:tabs>
      <w:ind w:left="400" w:leftChars="400"/>
    </w:pPr>
  </w:style>
  <w:style w:type="paragraph" w:styleId="12">
    <w:name w:val="toc 8"/>
    <w:basedOn w:val="1"/>
    <w:next w:val="1"/>
    <w:qFormat/>
    <w:uiPriority w:val="0"/>
    <w:pPr>
      <w:ind w:left="2940"/>
    </w:pPr>
  </w:style>
  <w:style w:type="paragraph" w:styleId="13">
    <w:name w:val="Balloon Text"/>
    <w:basedOn w:val="1"/>
    <w:qFormat/>
    <w:uiPriority w:val="0"/>
    <w:rPr>
      <w:sz w:val="18"/>
      <w:szCs w:val="18"/>
    </w:rPr>
  </w:style>
  <w:style w:type="paragraph" w:styleId="14">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qFormat/>
    <w:uiPriority w:val="0"/>
    <w:pPr>
      <w:tabs>
        <w:tab w:val="right" w:leader="dot" w:pos="8296"/>
      </w:tabs>
      <w:spacing w:before="93"/>
      <w:jc w:val="center"/>
    </w:pPr>
    <w:rPr>
      <w:rFonts w:ascii="仿宋" w:eastAsia="仿宋"/>
      <w:sz w:val="28"/>
      <w:szCs w:val="28"/>
    </w:rPr>
  </w:style>
  <w:style w:type="paragraph" w:styleId="17">
    <w:name w:val="toc 4"/>
    <w:basedOn w:val="1"/>
    <w:next w:val="1"/>
    <w:qFormat/>
    <w:uiPriority w:val="0"/>
    <w:pPr>
      <w:ind w:left="1260"/>
    </w:pPr>
  </w:style>
  <w:style w:type="paragraph" w:styleId="18">
    <w:name w:val="toc 6"/>
    <w:basedOn w:val="1"/>
    <w:next w:val="1"/>
    <w:qFormat/>
    <w:uiPriority w:val="0"/>
    <w:pPr>
      <w:ind w:left="2100"/>
    </w:pPr>
  </w:style>
  <w:style w:type="paragraph" w:styleId="19">
    <w:name w:val="toc 2"/>
    <w:basedOn w:val="1"/>
    <w:next w:val="1"/>
    <w:qFormat/>
    <w:uiPriority w:val="0"/>
    <w:pPr>
      <w:tabs>
        <w:tab w:val="right" w:leader="dot" w:pos="8296"/>
      </w:tabs>
      <w:ind w:left="200" w:leftChars="200"/>
    </w:pPr>
  </w:style>
  <w:style w:type="paragraph" w:styleId="20">
    <w:name w:val="toc 9"/>
    <w:basedOn w:val="1"/>
    <w:next w:val="1"/>
    <w:qFormat/>
    <w:uiPriority w:val="0"/>
    <w:pPr>
      <w:ind w:left="3360"/>
    </w:pPr>
  </w:style>
  <w:style w:type="character" w:styleId="23">
    <w:name w:val="Strong"/>
    <w:basedOn w:val="22"/>
    <w:qFormat/>
    <w:uiPriority w:val="0"/>
    <w:rPr>
      <w:b/>
    </w:rPr>
  </w:style>
  <w:style w:type="character" w:styleId="24">
    <w:name w:val="Hyperlink"/>
    <w:basedOn w:val="22"/>
    <w:qFormat/>
    <w:uiPriority w:val="0"/>
    <w:rPr>
      <w:color w:val="0000FF"/>
      <w:u w:val="single"/>
    </w:rPr>
  </w:style>
  <w:style w:type="character" w:customStyle="1" w:styleId="25">
    <w:name w:val="heading 1 Char"/>
    <w:basedOn w:val="22"/>
    <w:link w:val="5"/>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6"/>
    <w:qFormat/>
    <w:uiPriority w:val="0"/>
    <w:rPr>
      <w:rFonts w:ascii="Cambria" w:hAnsi="Cambria" w:eastAsia="宋体" w:cs="Times New Roman"/>
      <w:b/>
      <w:bCs/>
      <w:kern w:val="2"/>
      <w:sz w:val="32"/>
      <w:szCs w:val="32"/>
      <w:lang w:val="en-US" w:eastAsia="zh-CN" w:bidi="ar-SA"/>
    </w:rPr>
  </w:style>
  <w:style w:type="paragraph" w:customStyle="1" w:styleId="27">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8">
    <w:name w:val="Header Char"/>
    <w:basedOn w:val="22"/>
    <w:qFormat/>
    <w:uiPriority w:val="0"/>
    <w:rPr>
      <w:rFonts w:ascii="Times New Roman" w:hAnsi="Times New Roman"/>
      <w:sz w:val="18"/>
      <w:szCs w:val="18"/>
    </w:rPr>
  </w:style>
  <w:style w:type="character" w:customStyle="1" w:styleId="29">
    <w:name w:val="Footer Char"/>
    <w:basedOn w:val="22"/>
    <w:qFormat/>
    <w:uiPriority w:val="0"/>
    <w:rPr>
      <w:rFonts w:ascii="Times New Roman" w:hAnsi="Times New Roman"/>
      <w:sz w:val="18"/>
      <w:szCs w:val="18"/>
    </w:rPr>
  </w:style>
  <w:style w:type="character" w:customStyle="1" w:styleId="30">
    <w:name w:val="Body Text Char"/>
    <w:basedOn w:val="22"/>
    <w:qFormat/>
    <w:uiPriority w:val="0"/>
    <w:rPr>
      <w:rFonts w:ascii="Times New Roman" w:hAnsi="Times New Roman"/>
      <w:szCs w:val="24"/>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2">
    <w:name w:val="List Paragraph"/>
    <w:basedOn w:val="1"/>
    <w:qFormat/>
    <w:uiPriority w:val="0"/>
    <w:pPr>
      <w:ind w:firstLine="200" w:firstLineChars="200"/>
    </w:pPr>
  </w:style>
  <w:style w:type="paragraph" w:customStyle="1" w:styleId="33">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4">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收支变动情况</a:t>
            </a:r>
            <a:endParaRPr lang="zh-CN"/>
          </a:p>
        </c:rich>
      </c:tx>
      <c:layout>
        <c:manualLayout>
          <c:xMode val="edge"/>
          <c:yMode val="edge"/>
          <c:x val="0.37138888"/>
          <c:y val="0.03125"/>
        </c:manualLayout>
      </c:layout>
      <c:overlay val="0"/>
      <c:spPr>
        <a:noFill/>
        <a:ln>
          <a:noFill/>
        </a:ln>
      </c:spPr>
    </c:title>
    <c:autoTitleDeleted val="0"/>
    <c:plotArea>
      <c:layout>
        <c:manualLayout>
          <c:layoutTarget val="inner"/>
          <c:xMode val="edge"/>
          <c:yMode val="edge"/>
          <c:x val="0.07508333"/>
          <c:y val="0.18333334"/>
          <c:w val="0.8846389"/>
          <c:h val="0.6072685"/>
        </c:manualLayout>
      </c:layout>
      <c:barChart>
        <c:barDir val="col"/>
        <c:grouping val="clustered"/>
        <c:varyColors val="0"/>
        <c:ser>
          <c:idx val="0"/>
          <c:order val="0"/>
          <c:tx>
            <c:strRef>
              <c:f>2023年度</c:f>
              <c:strCache>
                <c:ptCount val="1"/>
                <c:pt idx="0">
                  <c:v>2023年度</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{377.2,377.2}</c:f>
              <c:numCache>
                <c:formatCode>General</c:formatCode>
                <c:ptCount val="2"/>
                <c:pt idx="0">
                  <c:v>377.2</c:v>
                </c:pt>
                <c:pt idx="1">
                  <c:v>377.2</c:v>
                </c:pt>
              </c:numCache>
            </c:numRef>
          </c:val>
        </c:ser>
        <c:ser>
          <c:idx val="1"/>
          <c:order val="1"/>
          <c:tx>
            <c:strRef>
              <c:f>2024年度</c:f>
              <c:strCache>
                <c:ptCount val="1"/>
                <c:pt idx="0">
                  <c:v>2024年度</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{411.45,411.45}</c:f>
              <c:numCache>
                <c:formatCode>General</c:formatCode>
                <c:ptCount val="2"/>
                <c:pt idx="0">
                  <c:v>411.45</c:v>
                </c:pt>
                <c:pt idx="1">
                  <c:v>411.45</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收入决算结构图</a:t>
            </a:r>
            <a:endParaRPr lang="zh-CN"/>
          </a:p>
        </c:rich>
      </c:tx>
      <c:layout/>
      <c:overlay val="0"/>
      <c:spPr>
        <a:noFill/>
        <a:ln>
          <a:noFill/>
        </a:ln>
      </c:spPr>
    </c:title>
    <c:autoTitleDeleted val="0"/>
    <c:plotArea>
      <c:layout/>
      <c:pieChart>
        <c:varyColors val="1"/>
        <c:ser>
          <c:idx val="0"/>
          <c:order val="0"/>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{"一般公共预算财政拨款收入","其他收入"}</c:f>
              <c:strCache>
                <c:ptCount val="2"/>
                <c:pt idx="0">
                  <c:v>一般公共预算财政拨款收入</c:v>
                </c:pt>
                <c:pt idx="1">
                  <c:v>其他收入</c:v>
                </c:pt>
              </c:strCache>
            </c:strRef>
          </c:cat>
          <c:val>
            <c:numRef>
              <c:f>{377.42,26}</c:f>
              <c:numCache>
                <c:formatCode>General</c:formatCode>
                <c:ptCount val="2"/>
                <c:pt idx="0">
                  <c:v>377.42</c:v>
                </c:pt>
                <c:pt idx="1">
                  <c:v>26</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支出决算结构图</a:t>
            </a:r>
            <a:endParaRPr lang="zh-CN"/>
          </a:p>
        </c:rich>
      </c:tx>
      <c:layout/>
      <c:overlay val="0"/>
      <c:spPr>
        <a:noFill/>
        <a:ln>
          <a:noFill/>
        </a:ln>
      </c:spPr>
    </c:title>
    <c:autoTitleDeleted val="0"/>
    <c:plotArea>
      <c:layout/>
      <c:pieChart>
        <c:varyColors val="1"/>
        <c:ser>
          <c:idx val="0"/>
          <c:order val="0"/>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{165.9,244.93}</c:f>
              <c:numCache>
                <c:formatCode>General</c:formatCode>
                <c:ptCount val="2"/>
                <c:pt idx="0">
                  <c:v>165.9</c:v>
                </c:pt>
                <c:pt idx="1">
                  <c:v>244.93</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2023年度</c:f>
              <c:strCache>
                <c:ptCount val="1"/>
                <c:pt idx="0">
                  <c:v>2023年度</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{286.99,286.99}</c:f>
              <c:numCache>
                <c:formatCode>General</c:formatCode>
                <c:ptCount val="2"/>
                <c:pt idx="0">
                  <c:v>286.99</c:v>
                </c:pt>
                <c:pt idx="1">
                  <c:v>286.99</c:v>
                </c:pt>
              </c:numCache>
            </c:numRef>
          </c:val>
        </c:ser>
        <c:ser>
          <c:idx val="1"/>
          <c:order val="1"/>
          <c:tx>
            <c:strRef>
              <c:f>2024年度</c:f>
              <c:strCache>
                <c:ptCount val="1"/>
                <c:pt idx="0">
                  <c:v>2024年度</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{377.42,377.42}</c:f>
              <c:numCache>
                <c:formatCode>General</c:formatCode>
                <c:ptCount val="2"/>
                <c:pt idx="0">
                  <c:v>377.42</c:v>
                </c:pt>
                <c:pt idx="1">
                  <c:v>377.42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一般公共预算财政拨款支出决算变动情况</a:t>
            </a:r>
            <a:endParaRPr lang="zh-CN"/>
          </a:p>
        </c:rich>
      </c:tx>
      <c:layout/>
      <c:overlay val="0"/>
      <c:spPr>
        <a:noFill/>
        <a:ln>
          <a:noFill/>
        </a:ln>
      </c:spPr>
    </c:title>
    <c:autoTitleDeleted val="0"/>
    <c:plotArea>
      <c:layout/>
      <c:barChart>
        <c:barDir val="col"/>
        <c:grouping val="clustered"/>
        <c:varyColors val="0"/>
        <c:ser>
          <c:idx val="0"/>
          <c:order val="0"/>
          <c:tx>
            <c:strRef>
              <c:f>2023年度</c:f>
              <c:strCache>
                <c:ptCount val="1"/>
                <c:pt idx="0">
                  <c:v>2023年度</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{286.99,286.99}</c:f>
              <c:numCache>
                <c:formatCode>General</c:formatCode>
                <c:ptCount val="2"/>
                <c:pt idx="0">
                  <c:v>286.99</c:v>
                </c:pt>
                <c:pt idx="1">
                  <c:v>286.99</c:v>
                </c:pt>
              </c:numCache>
            </c:numRef>
          </c:val>
        </c:ser>
        <c:ser>
          <c:idx val="1"/>
          <c:order val="1"/>
          <c:tx>
            <c:strRef>
              <c:f>2024年度</c:f>
              <c:strCache>
                <c:ptCount val="1"/>
                <c:pt idx="0">
                  <c:v>2024年度</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{377.42,377.42}</c:f>
              <c:numCache>
                <c:formatCode>General</c:formatCode>
                <c:ptCount val="2"/>
                <c:pt idx="0">
                  <c:v>377.42</c:v>
                </c:pt>
                <c:pt idx="1">
                  <c:v>377.42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一般公共预算财政拨款支出决算结构</a:t>
            </a:r>
            <a:endParaRPr lang="zh-CN"/>
          </a:p>
        </c:rich>
      </c:tx>
      <c:layout>
        <c:manualLayout>
          <c:xMode val="edge"/>
          <c:yMode val="edge"/>
          <c:x val="0.21222222"/>
          <c:y val="0.048611112"/>
        </c:manualLayout>
      </c:layout>
      <c:overlay val="0"/>
      <c:spPr>
        <a:noFill/>
        <a:ln>
          <a:noFill/>
        </a:ln>
      </c:spPr>
    </c:title>
    <c:autoTitleDeleted val="0"/>
    <c:plotArea>
      <c:layout/>
      <c:pieChart>
        <c:varyColors val="1"/>
        <c:ser>
          <c:idx val="0"/>
          <c:order val="0"/>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{342.84,17.05,7.25,10.28}</c:f>
              <c:numCache>
                <c:formatCode>General</c:formatCode>
                <c:ptCount val="4"/>
                <c:pt idx="0">
                  <c:v>342.84</c:v>
                </c:pt>
                <c:pt idx="1">
                  <c:v>17.05</c:v>
                </c:pt>
                <c:pt idx="2">
                  <c:v>7.25</c:v>
                </c:pt>
                <c:pt idx="3">
                  <c:v>10.28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55</Pages>
  <Words>11197</Words>
  <Characters>12183</Characters>
  <Lines>3507</Lines>
  <Paragraphs>1376</Paragraphs>
  <TotalTime>1</TotalTime>
  <ScaleCrop>false</ScaleCrop>
  <LinksUpToDate>false</LinksUpToDate>
  <CharactersWithSpaces>12385</CharactersWithSpaces>
  <Application>WPS Office_11.8.2.1120_F1E327BC-269C-435d-A152-05C5408002CA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2020-08-12T01:49:00Z</dcterms:created>
  <dc:creator>曹颖</dc:creator>
  <cp:lastModifiedBy>user</cp:lastModifiedBy>
  <cp:lastPrinted>2025-08-09T09:34:00Z</cp:lastPrinted>
  <dcterms:modified xsi:type="dcterms:W3CDTF">2025-09-10T15:32:45Z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04787F2533EB45DC91BCDE4AB213247F</vt:lpwstr>
  </property>
  <property fmtid="{D5CDD505-2E9C-101B-9397-08002B2CF9AE}" pid="4" name="KSOTemplateDocerSaveRecord">
    <vt:lpwstr>eyJoZGlkIjoiYzZkNDQzYTJlZGY5ZGQxNTU1ZjA3MDliODE1YjRhYzkiLCJ1c2VySWQiOiI0NDE1OTg5NTQifQ==</vt:lpwstr>
  </property>
</Properties>
</file>