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hint="eastAsia" w:ascii="Times New Roman" w:hAnsi="Times New Roman" w:eastAsia="方正小标宋简体" w:cs="Times New Roman"/>
          <w:color w:val="auto"/>
          <w:kern w:val="2"/>
          <w:sz w:val="72"/>
          <w:szCs w:val="72"/>
          <w:highlight w:val="none"/>
          <w:lang w:val="en-US" w:eastAsia="zh-CN" w:bidi="ar-SA"/>
        </w:rPr>
      </w:pPr>
      <w:bookmarkStart w:id="0" w:name="_Toc15306267"/>
      <w:bookmarkStart w:id="1" w:name="_Toc15396475"/>
      <w:bookmarkStart w:id="2" w:name="_Toc15377193"/>
      <w:bookmarkStart w:id="3" w:name="_Toc15378441"/>
      <w:bookmarkStart w:id="4" w:name="_Toc15377425"/>
      <w:bookmarkStart w:id="5" w:name="_Toc15396597"/>
    </w:p>
    <w:p>
      <w:pPr>
        <w:pStyle w:val="5"/>
        <w:rPr>
          <w:rFonts w:hint="eastAsia" w:ascii="Times New Roman" w:hAnsi="Times New Roman" w:eastAsia="方正小标宋简体" w:cs="Times New Roman"/>
          <w:color w:val="auto"/>
          <w:kern w:val="2"/>
          <w:sz w:val="72"/>
          <w:szCs w:val="72"/>
          <w:highlight w:val="none"/>
          <w:lang w:val="en-US" w:eastAsia="zh-CN" w:bidi="ar-SA"/>
        </w:rPr>
      </w:pPr>
    </w:p>
    <w:p>
      <w:pPr>
        <w:pStyle w:val="5"/>
        <w:rPr>
          <w:rFonts w:hint="eastAsia" w:ascii="Times New Roman" w:hAnsi="Times New Roman" w:eastAsia="方正小标宋简体" w:cs="Times New Roman"/>
          <w:color w:val="auto"/>
          <w:kern w:val="2"/>
          <w:sz w:val="72"/>
          <w:szCs w:val="72"/>
          <w:highlight w:val="none"/>
          <w:lang w:val="en-US" w:eastAsia="zh-CN" w:bidi="ar-SA"/>
        </w:rPr>
      </w:pPr>
    </w:p>
    <w:p>
      <w:pPr>
        <w:jc w:val="center"/>
        <w:rPr>
          <w:rFonts w:eastAsia="方正小标宋简体"/>
          <w:sz w:val="44"/>
          <w:szCs w:val="44"/>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default" w:eastAsia="方正小标宋简体"/>
          <w:sz w:val="44"/>
          <w:szCs w:val="44"/>
        </w:rPr>
        <w:t>阿坝州工商业联合会</w:t>
      </w:r>
    </w:p>
    <w:p>
      <w:pPr>
        <w:pStyle w:val="5"/>
        <w:jc w:val="center"/>
        <w:rPr>
          <w:rFonts w:eastAsia="方正小标宋简体"/>
          <w:sz w:val="44"/>
          <w:szCs w:val="44"/>
        </w:rPr>
      </w:pPr>
      <w:r>
        <w:rPr>
          <w:rFonts w:hint="default" w:eastAsia="方正小标宋简体"/>
          <w:sz w:val="44"/>
          <w:szCs w:val="44"/>
        </w:rPr>
        <w:t>部门决算</w:t>
      </w:r>
      <w:r>
        <w:rPr>
          <w:rFonts w:eastAsia="方正小标宋简体"/>
          <w:sz w:val="44"/>
          <w:szCs w:val="44"/>
        </w:rPr>
        <w:t>公开</w:t>
      </w:r>
    </w:p>
    <w:p>
      <w:pPr>
        <w:pStyle w:val="5"/>
        <w:jc w:val="center"/>
        <w:rPr>
          <w:rFonts w:eastAsia="方正小标宋简体"/>
          <w:sz w:val="44"/>
          <w:szCs w:val="44"/>
        </w:rPr>
      </w:pPr>
    </w:p>
    <w:p>
      <w:pPr>
        <w:pStyle w:val="5"/>
        <w:jc w:val="center"/>
        <w:rPr>
          <w:rFonts w:eastAsia="方正小标宋简体"/>
          <w:sz w:val="44"/>
          <w:szCs w:val="44"/>
        </w:rPr>
      </w:pPr>
    </w:p>
    <w:p>
      <w:pPr>
        <w:pStyle w:val="5"/>
        <w:jc w:val="center"/>
        <w:rPr>
          <w:rFonts w:eastAsia="方正小标宋简体"/>
          <w:sz w:val="44"/>
          <w:szCs w:val="44"/>
        </w:rPr>
      </w:pPr>
    </w:p>
    <w:p>
      <w:pPr>
        <w:pStyle w:val="5"/>
        <w:jc w:val="center"/>
        <w:rPr>
          <w:rFonts w:eastAsia="方正小标宋简体"/>
          <w:sz w:val="44"/>
          <w:szCs w:val="44"/>
        </w:rPr>
      </w:pPr>
    </w:p>
    <w:p>
      <w:pPr>
        <w:pStyle w:val="5"/>
        <w:jc w:val="center"/>
        <w:rPr>
          <w:rFonts w:eastAsia="方正小标宋简体"/>
          <w:sz w:val="44"/>
          <w:szCs w:val="44"/>
        </w:rPr>
      </w:pPr>
    </w:p>
    <w:p>
      <w:pPr>
        <w:pStyle w:val="5"/>
        <w:jc w:val="center"/>
        <w:rPr>
          <w:rFonts w:eastAsia="方正小标宋简体"/>
          <w:sz w:val="44"/>
          <w:szCs w:val="44"/>
        </w:rPr>
      </w:pPr>
    </w:p>
    <w:p>
      <w:pPr>
        <w:bidi w:val="0"/>
        <w:jc w:val="center"/>
        <w:rPr>
          <w:rFonts w:hint="default" w:eastAsia="宋体"/>
          <w:color w:val="000000"/>
          <w:sz w:val="32"/>
          <w:szCs w:val="32"/>
          <w:lang w:val="en-US" w:eastAsia="zh-CN" w:bidi="ar-SA"/>
        </w:rPr>
      </w:pPr>
      <w:r>
        <w:rPr>
          <w:rFonts w:hint="default" w:eastAsia="宋体"/>
          <w:color w:val="000000"/>
          <w:sz w:val="32"/>
          <w:szCs w:val="32"/>
          <w:lang w:val="en-US" w:eastAsia="zh-CN" w:bidi="ar-SA"/>
        </w:rPr>
        <w:t>已经保密审查、内容审定，同意对外公开</w:t>
      </w:r>
    </w:p>
    <w:p>
      <w:pPr>
        <w:pStyle w:val="5"/>
        <w:jc w:val="center"/>
        <w:rPr>
          <w:rFonts w:eastAsia="方正小标宋简体"/>
          <w:sz w:val="44"/>
          <w:szCs w:val="44"/>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pPr>
        <w:pStyle w:val="14"/>
        <w:keepNext w:val="0"/>
        <w:keepLines w:val="0"/>
        <w:pageBreakBefore w:val="0"/>
        <w:kinsoku/>
        <w:wordWrap/>
        <w:overflowPunct/>
        <w:topLinePunct w:val="0"/>
        <w:autoSpaceDE/>
        <w:autoSpaceDN/>
        <w:bidi w:val="0"/>
        <w:adjustRightInd w:val="0"/>
        <w:snapToGrid w:val="0"/>
        <w:spacing w:line="560" w:lineRule="exact"/>
        <w:ind w:left="0" w:leftChars="0" w:firstLine="0" w:firstLineChars="0"/>
        <w:jc w:val="left"/>
        <w:textAlignment w:val="auto"/>
        <w:rPr>
          <w:rFonts w:hint="eastAsia" w:ascii="Times New Roman" w:hAnsi="Times New Roman" w:eastAsia="仿宋_GB2312" w:cs="仿宋_GB2312"/>
          <w:color w:val="auto"/>
          <w:sz w:val="32"/>
          <w:szCs w:val="32"/>
          <w:highlight w:val="none"/>
          <w:lang w:val="en-US" w:eastAsia="zh-CN"/>
        </w:rPr>
      </w:pPr>
      <w:bookmarkStart w:id="63" w:name="_GoBack"/>
      <w:bookmarkEnd w:id="63"/>
    </w:p>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hint="default"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w:t>
      </w:r>
      <w:r>
        <w:rPr>
          <w:rFonts w:hint="default"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日</w:t>
      </w:r>
    </w:p>
    <w:p>
      <w:pPr>
        <w:pStyle w:val="12"/>
        <w:tabs>
          <w:tab w:val="right" w:leader="dot" w:pos="8845"/>
        </w:tabs>
        <w:rPr>
          <w:rFonts w:hint="eastAsia" w:eastAsia="仿宋"/>
          <w:lang w:val="en-US" w:eastAsia="zh-CN"/>
        </w:rPr>
      </w:pPr>
      <w:r>
        <w:rPr>
          <w:rFonts w:hint="default" w:ascii="Times New Roman" w:hAnsi="Times New Roman" w:eastAsia="仿宋_GB2312"/>
          <w:color w:val="000000"/>
          <w:sz w:val="32"/>
          <w:szCs w:val="32"/>
        </w:rPr>
        <w:fldChar w:fldCharType="begin"/>
      </w:r>
      <w:r>
        <w:rPr>
          <w:rFonts w:hint="default" w:ascii="Times New Roman" w:hAnsi="Times New Roman" w:eastAsia="仿宋_GB2312"/>
          <w:color w:val="000000"/>
          <w:sz w:val="32"/>
          <w:szCs w:val="32"/>
        </w:rPr>
        <w:instrText xml:space="preserve"> TOC \o "1-2" \h \z \u </w:instrText>
      </w:r>
      <w:r>
        <w:rPr>
          <w:rFonts w:hint="default" w:ascii="Times New Roman" w:hAnsi="Times New Roman" w:eastAsia="仿宋_GB2312"/>
          <w:color w:val="000000"/>
          <w:sz w:val="32"/>
          <w:szCs w:val="32"/>
        </w:rPr>
        <w:fldChar w:fldCharType="separate"/>
      </w:r>
      <w:r>
        <w:fldChar w:fldCharType="begin"/>
      </w:r>
      <w:r>
        <w:instrText xml:space="preserve">Hyperlink \l "_Toc37607222"</w:instrText>
      </w:r>
      <w:r>
        <w:fldChar w:fldCharType="separate"/>
      </w:r>
      <w:r>
        <w:rPr>
          <w:rFonts w:hint="default" w:ascii="Times New Roman" w:hAnsi="Times New Roman" w:eastAsia="黑体"/>
          <w:highlight w:val="none"/>
        </w:rPr>
        <w:t xml:space="preserve">第一部分 </w:t>
      </w:r>
      <w:r>
        <w:rPr>
          <w:rFonts w:ascii="Times New Roman" w:hAnsi="Times New Roman" w:eastAsia="黑体"/>
          <w:highlight w:val="none"/>
          <w:lang w:eastAsia="zh-CN"/>
        </w:rPr>
        <w:t>部门</w:t>
      </w:r>
      <w:r>
        <w:rPr>
          <w:rFonts w:hint="default" w:ascii="Times New Roman" w:hAnsi="Times New Roman" w:eastAsia="黑体"/>
          <w:kern w:val="44"/>
          <w:szCs w:val="44"/>
          <w:highlight w:val="none"/>
        </w:rPr>
        <w:t>概况</w:t>
      </w:r>
      <w:r>
        <w:tab/>
      </w:r>
      <w:r>
        <w:fldChar w:fldCharType="end"/>
      </w:r>
      <w:r>
        <w:rPr>
          <w:rFonts w:hint="eastAsia"/>
          <w:lang w:val="en-US" w:eastAsia="zh-CN"/>
        </w:rPr>
        <w:t>3</w:t>
      </w:r>
    </w:p>
    <w:p>
      <w:pPr>
        <w:pStyle w:val="12"/>
        <w:tabs>
          <w:tab w:val="right" w:leader="dot" w:pos="8845"/>
        </w:tabs>
        <w:rPr>
          <w:rFonts w:hint="eastAsia" w:eastAsia="仿宋"/>
          <w:lang w:val="en-US" w:eastAsia="zh-CN"/>
        </w:rPr>
      </w:pPr>
      <w:r>
        <w:fldChar w:fldCharType="begin"/>
      </w:r>
      <w:r>
        <w:instrText xml:space="preserve">Hyperlink \l "_Toc37607223"</w:instrText>
      </w:r>
      <w:r>
        <w:fldChar w:fldCharType="separate"/>
      </w:r>
      <w:r>
        <w:rPr>
          <w:rFonts w:hint="default" w:eastAsia="黑体"/>
        </w:rPr>
        <w:t>第二部分</w:t>
      </w:r>
      <w:r>
        <w:rPr>
          <w:rFonts w:hint="default" w:ascii="Times New Roman" w:hAnsi="Times New Roman" w:eastAsia="黑体"/>
        </w:rPr>
        <w:t>202</w:t>
      </w:r>
      <w:r>
        <w:rPr>
          <w:rFonts w:hint="eastAsia" w:ascii="Times New Roman" w:hAnsi="Times New Roman" w:eastAsia="黑体"/>
          <w:lang w:val="en-US" w:eastAsia="zh-CN"/>
        </w:rPr>
        <w:t>4</w:t>
      </w:r>
      <w:r>
        <w:rPr>
          <w:rFonts w:hint="default" w:eastAsia="黑体"/>
        </w:rPr>
        <w:t>年度部门决算情况说明</w:t>
      </w:r>
      <w:r>
        <w:tab/>
      </w:r>
      <w:r>
        <w:fldChar w:fldCharType="end"/>
      </w:r>
      <w:r>
        <w:rPr>
          <w:rFonts w:hint="eastAsia"/>
          <w:lang w:val="en-US" w:eastAsia="zh-CN"/>
        </w:rPr>
        <w:t>4</w:t>
      </w:r>
    </w:p>
    <w:p>
      <w:pPr>
        <w:pStyle w:val="14"/>
        <w:tabs>
          <w:tab w:val="right" w:leader="dot" w:pos="8845"/>
        </w:tabs>
        <w:rPr>
          <w:rFonts w:hint="eastAsia" w:eastAsia="宋体"/>
          <w:lang w:val="en-US" w:eastAsia="zh-CN"/>
        </w:rPr>
      </w:pPr>
      <w:r>
        <w:fldChar w:fldCharType="begin"/>
      </w:r>
      <w:r>
        <w:instrText xml:space="preserve">Hyperlink \l "_Toc37607224"</w:instrText>
      </w:r>
      <w:r>
        <w:fldChar w:fldCharType="separate"/>
      </w:r>
      <w:r>
        <w:rPr>
          <w:rFonts w:hint="default" w:eastAsia="黑体"/>
          <w:szCs w:val="32"/>
        </w:rPr>
        <w:t>一、收</w:t>
      </w:r>
      <w:r>
        <w:rPr>
          <w:rFonts w:hint="default" w:ascii="Times New Roman" w:hAnsi="Times New Roman" w:eastAsia="黑体" w:cs="Times New Roman"/>
          <w:bCs/>
          <w:kern w:val="2"/>
          <w:szCs w:val="32"/>
          <w:lang w:val="en-US" w:eastAsia="zh-CN" w:bidi="ar-SA"/>
        </w:rPr>
        <w:t>入支出决算总体情况说明</w:t>
      </w:r>
      <w:r>
        <w:tab/>
      </w:r>
      <w:r>
        <w:fldChar w:fldCharType="end"/>
      </w:r>
      <w:r>
        <w:rPr>
          <w:rFonts w:hint="eastAsia"/>
          <w:lang w:val="en-US" w:eastAsia="zh-CN"/>
        </w:rPr>
        <w:t>4</w:t>
      </w:r>
    </w:p>
    <w:p>
      <w:pPr>
        <w:pStyle w:val="14"/>
        <w:tabs>
          <w:tab w:val="right" w:leader="dot" w:pos="8845"/>
        </w:tabs>
        <w:rPr>
          <w:rFonts w:hint="default" w:eastAsia="黑体"/>
          <w:bCs/>
          <w:szCs w:val="32"/>
        </w:rPr>
      </w:pPr>
      <w:r>
        <w:rPr>
          <w:rFonts w:hint="default" w:eastAsia="黑体"/>
          <w:szCs w:val="32"/>
        </w:rPr>
        <w:t>二、收</w:t>
      </w:r>
      <w:r>
        <w:rPr>
          <w:rFonts w:hint="default" w:eastAsia="黑体"/>
          <w:bCs/>
          <w:szCs w:val="32"/>
        </w:rPr>
        <w:t>入决算情况说明</w:t>
      </w:r>
      <w:r>
        <w:tab/>
      </w:r>
      <w:r>
        <w:t>5</w:t>
      </w:r>
    </w:p>
    <w:p>
      <w:pPr>
        <w:pStyle w:val="14"/>
        <w:tabs>
          <w:tab w:val="right" w:leader="dot" w:pos="8845"/>
        </w:tabs>
        <w:rPr>
          <w:rFonts w:hint="eastAsia" w:eastAsia="宋体"/>
          <w:lang w:val="en-US" w:eastAsia="zh-CN"/>
        </w:rPr>
      </w:pPr>
      <w:r>
        <w:fldChar w:fldCharType="begin"/>
      </w:r>
      <w:r>
        <w:instrText xml:space="preserve">Hyperlink \l "_Toc37607226"</w:instrText>
      </w:r>
      <w:r>
        <w:fldChar w:fldCharType="separate"/>
      </w:r>
      <w:r>
        <w:rPr>
          <w:rFonts w:hint="default" w:eastAsia="黑体"/>
          <w:szCs w:val="32"/>
        </w:rPr>
        <w:t>三、支</w:t>
      </w:r>
      <w:r>
        <w:rPr>
          <w:rFonts w:hint="default" w:ascii="Times New Roman" w:hAnsi="Times New Roman" w:eastAsia="黑体" w:cs="Times New Roman"/>
          <w:bCs/>
          <w:kern w:val="2"/>
          <w:szCs w:val="32"/>
          <w:lang w:val="en-US" w:eastAsia="zh-CN" w:bidi="ar-SA"/>
        </w:rPr>
        <w:t>出决算情况说明</w:t>
      </w:r>
      <w:r>
        <w:tab/>
      </w:r>
      <w:r>
        <w:fldChar w:fldCharType="end"/>
      </w:r>
      <w:r>
        <w:rPr>
          <w:rFonts w:hint="eastAsia"/>
          <w:lang w:val="en-US" w:eastAsia="zh-CN"/>
        </w:rPr>
        <w:t>5</w:t>
      </w:r>
    </w:p>
    <w:p>
      <w:pPr>
        <w:pStyle w:val="14"/>
        <w:tabs>
          <w:tab w:val="right" w:leader="dot" w:pos="8845"/>
        </w:tabs>
        <w:rPr>
          <w:rFonts w:hint="eastAsia" w:eastAsia="宋体"/>
          <w:lang w:val="en-US" w:eastAsia="zh-CN"/>
        </w:rPr>
      </w:pPr>
      <w:r>
        <w:fldChar w:fldCharType="begin"/>
      </w:r>
      <w:r>
        <w:instrText xml:space="preserve">Hyperlink \l "_Toc37607228"</w:instrText>
      </w:r>
      <w:r>
        <w:fldChar w:fldCharType="separate"/>
      </w:r>
      <w:r>
        <w:rPr>
          <w:rFonts w:hint="default" w:eastAsia="黑体"/>
          <w:szCs w:val="32"/>
        </w:rPr>
        <w:t>四、财</w:t>
      </w:r>
      <w:r>
        <w:rPr>
          <w:rFonts w:hint="default" w:ascii="Times New Roman" w:hAnsi="Times New Roman" w:eastAsia="黑体" w:cs="Times New Roman"/>
          <w:bCs/>
          <w:kern w:val="2"/>
          <w:szCs w:val="32"/>
          <w:lang w:val="en-US" w:eastAsia="zh-CN" w:bidi="ar-SA"/>
        </w:rPr>
        <w:t>政拨款收入支出决算总体情况说明</w:t>
      </w:r>
      <w:r>
        <w:tab/>
      </w:r>
      <w:r>
        <w:fldChar w:fldCharType="end"/>
      </w:r>
      <w:r>
        <w:rPr>
          <w:rFonts w:hint="eastAsia"/>
          <w:lang w:val="en-US" w:eastAsia="zh-CN"/>
        </w:rPr>
        <w:t>6</w:t>
      </w:r>
    </w:p>
    <w:p>
      <w:pPr>
        <w:pStyle w:val="14"/>
        <w:tabs>
          <w:tab w:val="right" w:leader="dot" w:pos="8845"/>
        </w:tabs>
        <w:rPr>
          <w:rFonts w:hint="eastAsia" w:eastAsia="宋体"/>
          <w:lang w:val="en-US" w:eastAsia="zh-CN"/>
        </w:rPr>
      </w:pPr>
      <w:r>
        <w:fldChar w:fldCharType="begin"/>
      </w:r>
      <w:r>
        <w:instrText xml:space="preserve">Hyperlink \l "_Toc37607229"</w:instrText>
      </w:r>
      <w:r>
        <w:fldChar w:fldCharType="separate"/>
      </w:r>
      <w:r>
        <w:rPr>
          <w:rFonts w:hint="default" w:eastAsia="黑体"/>
          <w:szCs w:val="32"/>
        </w:rPr>
        <w:t>五、一</w:t>
      </w:r>
      <w:r>
        <w:rPr>
          <w:rFonts w:hint="default" w:eastAsia="黑体"/>
          <w:bCs/>
          <w:szCs w:val="32"/>
        </w:rPr>
        <w:t>般公共预算财政拨款支出决算情况说明</w:t>
      </w:r>
      <w:r>
        <w:tab/>
      </w:r>
      <w:r>
        <w:fldChar w:fldCharType="end"/>
      </w:r>
      <w:r>
        <w:rPr>
          <w:rFonts w:hint="eastAsia"/>
          <w:lang w:val="en-US" w:eastAsia="zh-CN"/>
        </w:rPr>
        <w:t>6</w:t>
      </w:r>
    </w:p>
    <w:p>
      <w:pPr>
        <w:pStyle w:val="14"/>
        <w:tabs>
          <w:tab w:val="right" w:leader="dot" w:pos="8845"/>
        </w:tabs>
        <w:rPr>
          <w:rFonts w:hint="default" w:eastAsia="黑体"/>
          <w:bCs/>
          <w:szCs w:val="32"/>
        </w:rPr>
      </w:pPr>
      <w:r>
        <w:rPr>
          <w:rFonts w:hint="default" w:eastAsia="黑体"/>
          <w:szCs w:val="32"/>
        </w:rPr>
        <w:t>六、一</w:t>
      </w:r>
      <w:r>
        <w:rPr>
          <w:rFonts w:hint="default" w:eastAsia="黑体"/>
          <w:bCs/>
          <w:szCs w:val="32"/>
        </w:rPr>
        <w:t>般公共预算财政拨款基本支出决算情况说明</w:t>
      </w:r>
      <w:r>
        <w:rPr>
          <w:rFonts w:hint="default" w:eastAsia="黑体"/>
          <w:szCs w:val="32"/>
        </w:rPr>
        <w:tab/>
      </w:r>
      <w:r>
        <w:rPr>
          <w:rFonts w:eastAsia="黑体"/>
          <w:szCs w:val="32"/>
        </w:rPr>
        <w:t>8</w:t>
      </w:r>
    </w:p>
    <w:p>
      <w:pPr>
        <w:pStyle w:val="14"/>
        <w:tabs>
          <w:tab w:val="right" w:leader="dot" w:pos="8845"/>
        </w:tabs>
        <w:rPr>
          <w:rFonts w:hint="eastAsia" w:eastAsia="宋体"/>
          <w:lang w:val="en-US" w:eastAsia="zh-CN"/>
        </w:rPr>
      </w:pPr>
      <w:r>
        <w:fldChar w:fldCharType="begin"/>
      </w:r>
      <w:r>
        <w:instrText xml:space="preserve">Hyperlink \l "_Toc37607233"</w:instrText>
      </w:r>
      <w:r>
        <w:fldChar w:fldCharType="separate"/>
      </w:r>
      <w:r>
        <w:rPr>
          <w:rFonts w:hint="default" w:eastAsia="黑体"/>
          <w:szCs w:val="32"/>
        </w:rPr>
        <w:t>七、</w:t>
      </w:r>
      <w:r>
        <w:rPr>
          <w:rFonts w:hint="default" w:ascii="Times New Roman" w:hAnsi="Times New Roman" w:eastAsia="黑体" w:cs="Times New Roman"/>
          <w:bCs/>
          <w:kern w:val="2"/>
          <w:szCs w:val="32"/>
          <w:lang w:val="en-US" w:eastAsia="zh-CN" w:bidi="ar-SA"/>
        </w:rPr>
        <w:t>财政拨款“三公”经费支出决算情况说明</w:t>
      </w:r>
      <w:r>
        <w:tab/>
      </w:r>
      <w:r>
        <w:fldChar w:fldCharType="end"/>
      </w:r>
      <w:r>
        <w:rPr>
          <w:rFonts w:hint="eastAsia"/>
          <w:lang w:val="en-US" w:eastAsia="zh-CN"/>
        </w:rPr>
        <w:t>9</w:t>
      </w:r>
    </w:p>
    <w:p>
      <w:pPr>
        <w:pStyle w:val="14"/>
        <w:tabs>
          <w:tab w:val="right" w:leader="dot" w:pos="8845"/>
        </w:tabs>
        <w:rPr>
          <w:rFonts w:hint="default" w:eastAsia="宋体"/>
          <w:lang w:val="en-US" w:eastAsia="zh-CN"/>
        </w:rPr>
      </w:pPr>
      <w:r>
        <w:fldChar w:fldCharType="begin"/>
      </w:r>
      <w:r>
        <w:instrText xml:space="preserve">Hyperlink \l "_Toc37607234"</w:instrText>
      </w:r>
      <w:r>
        <w:fldChar w:fldCharType="separate"/>
      </w:r>
      <w:r>
        <w:rPr>
          <w:rFonts w:hint="default" w:eastAsia="黑体"/>
          <w:szCs w:val="32"/>
        </w:rPr>
        <w:t>八、</w:t>
      </w:r>
      <w:r>
        <w:rPr>
          <w:rFonts w:hint="default" w:ascii="Times New Roman" w:hAnsi="Times New Roman" w:eastAsia="黑体" w:cs="Times New Roman"/>
          <w:bCs/>
          <w:kern w:val="2"/>
          <w:szCs w:val="32"/>
          <w:lang w:val="en-US" w:eastAsia="zh-CN" w:bidi="ar-SA"/>
        </w:rPr>
        <w:t>政府性基金预算支出决算情况说明</w:t>
      </w:r>
      <w:r>
        <w:tab/>
      </w:r>
      <w:r>
        <w:fldChar w:fldCharType="end"/>
      </w:r>
      <w:r>
        <w:rPr>
          <w:rFonts w:hint="eastAsia"/>
          <w:lang w:val="en-US" w:eastAsia="zh-CN"/>
        </w:rPr>
        <w:t>11</w:t>
      </w:r>
    </w:p>
    <w:p>
      <w:pPr>
        <w:pStyle w:val="14"/>
        <w:tabs>
          <w:tab w:val="right" w:leader="dot" w:pos="8845"/>
        </w:tabs>
        <w:rPr>
          <w:rFonts w:hint="eastAsia"/>
          <w:lang w:val="en-US" w:eastAsia="zh-CN"/>
        </w:rPr>
      </w:pPr>
      <w:r>
        <w:fldChar w:fldCharType="begin"/>
      </w:r>
      <w:r>
        <w:instrText xml:space="preserve">Hyperlink \l "_Toc37607235"</w:instrText>
      </w:r>
      <w:r>
        <w:fldChar w:fldCharType="separate"/>
      </w:r>
      <w:r>
        <w:rPr>
          <w:rFonts w:hint="default" w:ascii="Times New Roman" w:hAnsi="Times New Roman" w:eastAsia="黑体" w:cs="Times New Roman"/>
          <w:bCs/>
          <w:kern w:val="2"/>
          <w:szCs w:val="32"/>
          <w:u w:val="none" w:color="auto"/>
          <w:lang w:val="en-US" w:eastAsia="zh-CN" w:bidi="ar-SA"/>
        </w:rPr>
        <w:t>九、</w:t>
      </w:r>
      <w:r>
        <w:rPr>
          <w:rFonts w:hint="default" w:ascii="Times New Roman" w:hAnsi="Times New Roman" w:eastAsia="黑体" w:cs="Times New Roman"/>
          <w:bCs/>
          <w:kern w:val="2"/>
          <w:szCs w:val="32"/>
          <w:lang w:val="en-US" w:eastAsia="zh-CN" w:bidi="ar-SA"/>
        </w:rPr>
        <w:t>国有资本经营预算支出决算情况说明</w:t>
      </w:r>
      <w:r>
        <w:tab/>
      </w:r>
      <w:r>
        <w:fldChar w:fldCharType="end"/>
      </w:r>
      <w:r>
        <w:rPr>
          <w:rFonts w:hint="eastAsia"/>
          <w:lang w:val="en-US" w:eastAsia="zh-CN"/>
        </w:rPr>
        <w:t>11</w:t>
      </w:r>
    </w:p>
    <w:p>
      <w:pPr>
        <w:pStyle w:val="14"/>
        <w:tabs>
          <w:tab w:val="right" w:leader="dot" w:pos="8845"/>
        </w:tabs>
        <w:rPr>
          <w:rFonts w:hint="default" w:eastAsia="宋体"/>
          <w:lang w:val="en-US" w:eastAsia="zh-CN"/>
        </w:rPr>
      </w:pPr>
      <w:r>
        <w:rPr>
          <w:rFonts w:hint="eastAsia" w:ascii="Times New Roman" w:hAnsi="Times New Roman" w:eastAsia="黑体" w:cs="Times New Roman"/>
          <w:bCs/>
          <w:kern w:val="2"/>
          <w:szCs w:val="32"/>
          <w:lang w:val="en-US" w:eastAsia="zh-CN" w:bidi="ar-SA"/>
        </w:rPr>
        <w:t>十、其他重要事项的情况说明</w:t>
      </w:r>
      <w:r>
        <w:fldChar w:fldCharType="begin"/>
      </w:r>
      <w:r>
        <w:instrText xml:space="preserve">Hyperlink \l "_Toc37607235"</w:instrText>
      </w:r>
      <w:r>
        <w:fldChar w:fldCharType="separate"/>
      </w:r>
      <w:r>
        <w:tab/>
      </w:r>
      <w:r>
        <w:fldChar w:fldCharType="end"/>
      </w:r>
      <w:r>
        <w:rPr>
          <w:rFonts w:hint="eastAsia"/>
          <w:lang w:val="en-US" w:eastAsia="zh-CN"/>
        </w:rPr>
        <w:t>11</w:t>
      </w:r>
    </w:p>
    <w:p>
      <w:pPr>
        <w:pStyle w:val="12"/>
        <w:tabs>
          <w:tab w:val="right" w:leader="dot" w:pos="8845"/>
        </w:tabs>
        <w:rPr>
          <w:rFonts w:hint="default" w:eastAsia="仿宋"/>
          <w:lang w:val="en-US" w:eastAsia="zh-CN"/>
        </w:rPr>
      </w:pPr>
      <w:r>
        <w:fldChar w:fldCharType="begin"/>
      </w:r>
      <w:r>
        <w:instrText xml:space="preserve">Hyperlink \l "_Toc37607236"</w:instrText>
      </w:r>
      <w:r>
        <w:fldChar w:fldCharType="separate"/>
      </w:r>
      <w:r>
        <w:rPr>
          <w:rFonts w:hint="default" w:eastAsia="黑体"/>
        </w:rPr>
        <w:t>第三部分 名词解释</w:t>
      </w:r>
      <w:r>
        <w:tab/>
      </w:r>
      <w:r>
        <w:fldChar w:fldCharType="end"/>
      </w:r>
      <w:r>
        <w:rPr>
          <w:rFonts w:hint="eastAsia"/>
          <w:lang w:val="en-US" w:eastAsia="zh-CN"/>
        </w:rPr>
        <w:t>13</w:t>
      </w:r>
    </w:p>
    <w:p>
      <w:pPr>
        <w:pStyle w:val="12"/>
        <w:tabs>
          <w:tab w:val="right" w:leader="dot" w:pos="8845"/>
        </w:tabs>
        <w:rPr>
          <w:rFonts w:hint="default" w:eastAsia="仿宋"/>
          <w:lang w:val="en-US" w:eastAsia="zh-CN"/>
        </w:rPr>
      </w:pPr>
      <w:r>
        <w:fldChar w:fldCharType="begin"/>
      </w:r>
      <w:r>
        <w:instrText xml:space="preserve">Hyperlink \l "_Toc37607237"</w:instrText>
      </w:r>
      <w:r>
        <w:fldChar w:fldCharType="separate"/>
      </w:r>
      <w:r>
        <w:rPr>
          <w:rFonts w:hint="default" w:eastAsia="黑体"/>
          <w:kern w:val="44"/>
          <w:szCs w:val="44"/>
        </w:rPr>
        <w:t>第</w:t>
      </w:r>
      <w:r>
        <w:rPr>
          <w:rFonts w:hint="default" w:eastAsia="黑体"/>
          <w:bCs/>
          <w:kern w:val="44"/>
          <w:szCs w:val="44"/>
        </w:rPr>
        <w:t>四部分附件</w:t>
      </w:r>
      <w:r>
        <w:tab/>
      </w:r>
      <w:r>
        <w:fldChar w:fldCharType="end"/>
      </w:r>
      <w:r>
        <w:rPr>
          <w:rFonts w:hint="eastAsia"/>
          <w:lang w:val="en-US" w:eastAsia="zh-CN"/>
        </w:rPr>
        <w:t>16</w:t>
      </w:r>
    </w:p>
    <w:p>
      <w:pPr>
        <w:pStyle w:val="12"/>
        <w:tabs>
          <w:tab w:val="right" w:leader="dot" w:pos="8845"/>
        </w:tabs>
      </w:pPr>
      <w:r>
        <w:fldChar w:fldCharType="begin"/>
      </w:r>
      <w:r>
        <w:instrText xml:space="preserve">Hyperlink \l "_Toc37607238"</w:instrText>
      </w:r>
      <w:r>
        <w:fldChar w:fldCharType="separate"/>
      </w:r>
      <w:r>
        <w:rPr>
          <w:rFonts w:hint="default" w:eastAsia="黑体"/>
          <w:kern w:val="44"/>
          <w:szCs w:val="44"/>
        </w:rPr>
        <w:t>第</w:t>
      </w:r>
      <w:r>
        <w:rPr>
          <w:rFonts w:hint="default" w:ascii="Times New Roman" w:hAnsi="Times New Roman" w:eastAsia="黑体" w:cs="Times New Roman"/>
          <w:bCs/>
          <w:kern w:val="44"/>
          <w:szCs w:val="44"/>
          <w:lang w:val="en-US" w:eastAsia="zh-CN" w:bidi="ar-SA"/>
        </w:rPr>
        <w:t>五部分附表</w:t>
      </w:r>
      <w:r>
        <w:tab/>
      </w:r>
      <w:r>
        <w:rPr>
          <w:rFonts w:hint="eastAsia"/>
          <w:lang w:val="en-US" w:eastAsia="zh-CN"/>
        </w:rPr>
        <w:t>47</w:t>
      </w:r>
      <w:r>
        <w:fldChar w:fldCharType="end"/>
      </w:r>
    </w:p>
    <w:p>
      <w:pPr>
        <w:pStyle w:val="14"/>
        <w:tabs>
          <w:tab w:val="right" w:leader="dot" w:pos="8845"/>
        </w:tabs>
      </w:pPr>
      <w:r>
        <w:rPr>
          <w:rFonts w:hint="default" w:eastAsia="仿宋_GB2312"/>
        </w:rPr>
        <w:fldChar w:fldCharType="begin"/>
      </w:r>
      <w:r>
        <w:rPr>
          <w:rFonts w:hint="default" w:eastAsia="仿宋_GB2312"/>
        </w:rPr>
        <w:instrText xml:space="preserve">Hyperlink \l "_Toc37607239"</w:instrText>
      </w:r>
      <w:r>
        <w:rPr>
          <w:rFonts w:hint="default" w:eastAsia="仿宋_GB2312"/>
        </w:rPr>
        <w:fldChar w:fldCharType="separate"/>
      </w:r>
      <w:r>
        <w:rPr>
          <w:rFonts w:hint="default" w:eastAsia="仿宋_GB2312"/>
        </w:rPr>
        <w:t>一、收</w:t>
      </w:r>
      <w:r>
        <w:rPr>
          <w:rFonts w:hint="default" w:eastAsia="仿宋_GB2312"/>
          <w:lang w:val="en-US" w:eastAsia="zh-CN" w:bidi="ar-SA"/>
        </w:rPr>
        <w:t>入支出决算总表</w:t>
      </w:r>
      <w:r>
        <w:rPr>
          <w:rFonts w:hint="default" w:eastAsia="仿宋_GB2312"/>
        </w:rPr>
        <w:tab/>
      </w:r>
      <w:r>
        <w:rPr>
          <w:rFonts w:hint="eastAsia" w:eastAsia="仿宋_GB2312"/>
          <w:lang w:val="en-US" w:eastAsia="zh-CN"/>
        </w:rPr>
        <w:t>47</w:t>
      </w:r>
      <w:r>
        <w:rPr>
          <w:rFonts w:hint="default" w:eastAsia="仿宋_GB2312"/>
        </w:rPr>
        <w:fldChar w:fldCharType="end"/>
      </w:r>
    </w:p>
    <w:p>
      <w:pPr>
        <w:pStyle w:val="14"/>
        <w:tabs>
          <w:tab w:val="right" w:leader="dot" w:pos="8845"/>
        </w:tabs>
      </w:pPr>
      <w:r>
        <w:fldChar w:fldCharType="begin"/>
      </w:r>
      <w:r>
        <w:instrText xml:space="preserve">Hyperlink \l "_Toc37607240"</w:instrText>
      </w:r>
      <w:r>
        <w:fldChar w:fldCharType="separate"/>
      </w:r>
      <w:r>
        <w:rPr>
          <w:rFonts w:hint="default" w:ascii="Times New Roman" w:hAnsi="Times New Roman" w:eastAsia="仿宋_GB2312"/>
        </w:rPr>
        <w:t>二、收</w:t>
      </w:r>
      <w:r>
        <w:rPr>
          <w:rFonts w:hint="default" w:ascii="Times New Roman" w:hAnsi="Times New Roman" w:eastAsia="仿宋_GB2312" w:cs="Times New Roman"/>
          <w:bCs/>
          <w:kern w:val="2"/>
          <w:szCs w:val="32"/>
          <w:lang w:val="en-US" w:eastAsia="zh-CN" w:bidi="ar-SA"/>
        </w:rPr>
        <w:t>入总表</w:t>
      </w:r>
      <w:r>
        <w:tab/>
      </w:r>
      <w:r>
        <w:rPr>
          <w:rFonts w:hint="eastAsia" w:eastAsia="仿宋_GB2312"/>
          <w:lang w:val="en-US" w:eastAsia="zh-CN"/>
        </w:rPr>
        <w:t>47</w:t>
      </w:r>
      <w:r>
        <w:fldChar w:fldCharType="end"/>
      </w:r>
    </w:p>
    <w:p>
      <w:pPr>
        <w:pStyle w:val="14"/>
        <w:tabs>
          <w:tab w:val="right" w:leader="dot" w:pos="8845"/>
        </w:tabs>
      </w:pPr>
      <w:r>
        <w:fldChar w:fldCharType="begin"/>
      </w:r>
      <w:r>
        <w:instrText xml:space="preserve">Hyperlink \l "_Toc37607241"</w:instrText>
      </w:r>
      <w:r>
        <w:fldChar w:fldCharType="separate"/>
      </w:r>
      <w:r>
        <w:rPr>
          <w:rFonts w:hint="default" w:ascii="Times New Roman" w:hAnsi="Times New Roman" w:eastAsia="仿宋_GB2312" w:cs="Times New Roman"/>
          <w:bCs/>
          <w:kern w:val="2"/>
          <w:szCs w:val="32"/>
          <w:lang w:val="en-US" w:eastAsia="zh-CN" w:bidi="ar-SA"/>
        </w:rPr>
        <w:t>三、</w:t>
      </w:r>
      <w:r>
        <w:rPr>
          <w:rFonts w:hint="default" w:ascii="Times New Roman" w:hAnsi="Times New Roman" w:eastAsia="仿宋_GB2312"/>
        </w:rPr>
        <w:t>支</w:t>
      </w:r>
      <w:r>
        <w:rPr>
          <w:rFonts w:hint="default" w:ascii="Times New Roman" w:hAnsi="Times New Roman" w:eastAsia="仿宋_GB2312" w:cs="Times New Roman"/>
          <w:bCs/>
          <w:kern w:val="2"/>
          <w:szCs w:val="32"/>
          <w:lang w:val="en-US" w:eastAsia="zh-CN" w:bidi="ar-SA"/>
        </w:rPr>
        <w:t>出总表</w:t>
      </w:r>
      <w:r>
        <w:tab/>
      </w:r>
      <w:r>
        <w:rPr>
          <w:rFonts w:hint="eastAsia"/>
          <w:lang w:val="en-US" w:eastAsia="zh-CN"/>
        </w:rPr>
        <w:t>47</w:t>
      </w:r>
      <w:r>
        <w:fldChar w:fldCharType="end"/>
      </w:r>
    </w:p>
    <w:p>
      <w:pPr>
        <w:pStyle w:val="14"/>
        <w:tabs>
          <w:tab w:val="right" w:leader="dot" w:pos="8845"/>
        </w:tabs>
      </w:pPr>
      <w:r>
        <w:fldChar w:fldCharType="begin"/>
      </w:r>
      <w:r>
        <w:instrText xml:space="preserve">Hyperlink \l "_Toc37607242"</w:instrText>
      </w:r>
      <w:r>
        <w:fldChar w:fldCharType="separate"/>
      </w:r>
      <w:r>
        <w:rPr>
          <w:rFonts w:hint="default" w:ascii="Times New Roman" w:hAnsi="Times New Roman" w:eastAsia="仿宋_GB2312" w:cs="Times New Roman"/>
          <w:bCs/>
          <w:kern w:val="2"/>
          <w:szCs w:val="32"/>
          <w:lang w:val="en-US" w:eastAsia="zh-CN" w:bidi="ar-SA"/>
        </w:rPr>
        <w:t>四、</w:t>
      </w:r>
      <w:r>
        <w:rPr>
          <w:rFonts w:hint="default" w:ascii="Times New Roman" w:hAnsi="Times New Roman" w:eastAsia="仿宋_GB2312"/>
        </w:rPr>
        <w:t>财</w:t>
      </w:r>
      <w:r>
        <w:rPr>
          <w:rFonts w:hint="default" w:ascii="Times New Roman" w:hAnsi="Times New Roman" w:eastAsia="仿宋_GB2312" w:cs="Times New Roman"/>
          <w:bCs/>
          <w:kern w:val="2"/>
          <w:szCs w:val="32"/>
          <w:lang w:val="en-US" w:eastAsia="zh-CN" w:bidi="ar-SA"/>
        </w:rPr>
        <w:t>政拨款收入支出决算总表</w:t>
      </w:r>
      <w:r>
        <w:tab/>
      </w:r>
      <w:r>
        <w:rPr>
          <w:rFonts w:hint="eastAsia"/>
          <w:lang w:val="en-US" w:eastAsia="zh-CN"/>
        </w:rPr>
        <w:t>4</w:t>
      </w:r>
      <w:r>
        <w:fldChar w:fldCharType="end"/>
      </w:r>
      <w:r>
        <w:rPr>
          <w:rFonts w:hint="eastAsia"/>
          <w:lang w:val="en-US" w:eastAsia="zh-CN"/>
        </w:rPr>
        <w:t>7</w:t>
      </w:r>
    </w:p>
    <w:p>
      <w:pPr>
        <w:pStyle w:val="14"/>
        <w:tabs>
          <w:tab w:val="right" w:leader="dot" w:pos="8845"/>
        </w:tabs>
      </w:pPr>
      <w:r>
        <w:fldChar w:fldCharType="begin"/>
      </w:r>
      <w:r>
        <w:instrText xml:space="preserve">Hyperlink \l "_Toc37607243"</w:instrText>
      </w:r>
      <w:r>
        <w:fldChar w:fldCharType="separate"/>
      </w:r>
      <w:r>
        <w:rPr>
          <w:rFonts w:hint="default" w:ascii="Times New Roman" w:hAnsi="Times New Roman" w:eastAsia="仿宋_GB2312" w:cs="Times New Roman"/>
          <w:bCs/>
          <w:kern w:val="2"/>
          <w:szCs w:val="32"/>
          <w:lang w:val="en-US" w:eastAsia="zh-CN" w:bidi="ar-SA"/>
        </w:rPr>
        <w:t>五、</w:t>
      </w:r>
      <w:r>
        <w:rPr>
          <w:rFonts w:hint="default" w:ascii="Times New Roman" w:hAnsi="Times New Roman" w:eastAsia="仿宋_GB2312"/>
        </w:rPr>
        <w:t>财</w:t>
      </w:r>
      <w:r>
        <w:rPr>
          <w:rFonts w:hint="default" w:ascii="Times New Roman" w:hAnsi="Times New Roman" w:eastAsia="仿宋_GB2312" w:cs="Times New Roman"/>
          <w:bCs/>
          <w:kern w:val="2"/>
          <w:szCs w:val="32"/>
          <w:lang w:val="en-US" w:eastAsia="zh-CN" w:bidi="ar-SA"/>
        </w:rPr>
        <w:t>政拨款支出决算明细表</w:t>
      </w:r>
      <w:r>
        <w:tab/>
      </w:r>
      <w:r>
        <w:rPr>
          <w:rFonts w:hint="eastAsia"/>
          <w:lang w:val="en-US" w:eastAsia="zh-CN"/>
        </w:rPr>
        <w:t>47</w:t>
      </w:r>
      <w:r>
        <w:fldChar w:fldCharType="end"/>
      </w:r>
    </w:p>
    <w:p>
      <w:pPr>
        <w:pStyle w:val="14"/>
        <w:tabs>
          <w:tab w:val="right" w:leader="dot" w:pos="8845"/>
        </w:tabs>
      </w:pPr>
      <w:r>
        <w:fldChar w:fldCharType="begin"/>
      </w:r>
      <w:r>
        <w:instrText xml:space="preserve">Hyperlink \l "_Toc37607244"</w:instrText>
      </w:r>
      <w:r>
        <w:fldChar w:fldCharType="separate"/>
      </w:r>
      <w:r>
        <w:rPr>
          <w:rFonts w:hint="default" w:ascii="Times New Roman" w:hAnsi="Times New Roman" w:eastAsia="仿宋_GB2312" w:cs="Times New Roman"/>
          <w:bCs/>
          <w:kern w:val="2"/>
          <w:szCs w:val="32"/>
          <w:lang w:val="en-US" w:eastAsia="zh-CN" w:bidi="ar-SA"/>
        </w:rPr>
        <w:t>六、</w:t>
      </w:r>
      <w:r>
        <w:rPr>
          <w:rFonts w:hint="default" w:ascii="Times New Roman" w:hAnsi="Times New Roman" w:eastAsia="仿宋_GB2312"/>
        </w:rPr>
        <w:t>一</w:t>
      </w:r>
      <w:r>
        <w:rPr>
          <w:rFonts w:hint="default" w:ascii="Times New Roman" w:hAnsi="Times New Roman" w:eastAsia="仿宋_GB2312" w:cs="Times New Roman"/>
          <w:bCs/>
          <w:kern w:val="2"/>
          <w:szCs w:val="32"/>
          <w:lang w:val="en-US" w:eastAsia="zh-CN" w:bidi="ar-SA"/>
        </w:rPr>
        <w:t>般公共预算财政拨款支出决算表</w:t>
      </w:r>
      <w:r>
        <w:tab/>
      </w:r>
      <w:r>
        <w:rPr>
          <w:rFonts w:hint="eastAsia"/>
          <w:lang w:val="en-US" w:eastAsia="zh-CN"/>
        </w:rPr>
        <w:t>47</w:t>
      </w:r>
      <w:r>
        <w:fldChar w:fldCharType="end"/>
      </w:r>
    </w:p>
    <w:p>
      <w:pPr>
        <w:pStyle w:val="14"/>
        <w:tabs>
          <w:tab w:val="right" w:leader="dot" w:pos="8845"/>
        </w:tabs>
      </w:pPr>
      <w:r>
        <w:fldChar w:fldCharType="begin"/>
      </w:r>
      <w:r>
        <w:instrText xml:space="preserve">Hyperlink \l "_Toc37607245"</w:instrText>
      </w:r>
      <w:r>
        <w:fldChar w:fldCharType="separate"/>
      </w:r>
      <w:r>
        <w:rPr>
          <w:rFonts w:hint="default" w:ascii="Times New Roman" w:hAnsi="Times New Roman" w:eastAsia="仿宋_GB2312" w:cs="Times New Roman"/>
          <w:bCs/>
          <w:kern w:val="2"/>
          <w:szCs w:val="32"/>
          <w:lang w:val="en-US" w:eastAsia="zh-CN" w:bidi="ar-SA"/>
        </w:rPr>
        <w:t>七、</w:t>
      </w:r>
      <w:r>
        <w:rPr>
          <w:rFonts w:hint="default" w:ascii="Times New Roman" w:hAnsi="Times New Roman" w:eastAsia="仿宋_GB2312"/>
        </w:rPr>
        <w:t>一</w:t>
      </w:r>
      <w:r>
        <w:rPr>
          <w:rFonts w:hint="default" w:ascii="Times New Roman" w:hAnsi="Times New Roman" w:eastAsia="仿宋_GB2312" w:cs="Times New Roman"/>
          <w:bCs/>
          <w:kern w:val="2"/>
          <w:szCs w:val="32"/>
          <w:lang w:val="en-US" w:eastAsia="zh-CN" w:bidi="ar-SA"/>
        </w:rPr>
        <w:t>般公共预算财政拨款支出决算明细表</w:t>
      </w:r>
      <w:r>
        <w:tab/>
      </w:r>
      <w:r>
        <w:rPr>
          <w:rFonts w:hint="eastAsia"/>
          <w:lang w:val="en-US" w:eastAsia="zh-CN"/>
        </w:rPr>
        <w:t>47</w:t>
      </w:r>
      <w:r>
        <w:fldChar w:fldCharType="end"/>
      </w:r>
    </w:p>
    <w:p>
      <w:pPr>
        <w:pStyle w:val="14"/>
        <w:tabs>
          <w:tab w:val="right" w:leader="dot" w:pos="8845"/>
        </w:tabs>
      </w:pPr>
      <w:r>
        <w:fldChar w:fldCharType="begin"/>
      </w:r>
      <w:r>
        <w:instrText xml:space="preserve">Hyperlink \l "_Toc37607246"</w:instrText>
      </w:r>
      <w:r>
        <w:fldChar w:fldCharType="separate"/>
      </w:r>
      <w:r>
        <w:rPr>
          <w:rFonts w:hint="default" w:ascii="Times New Roman" w:hAnsi="Times New Roman" w:eastAsia="仿宋_GB2312" w:cs="Times New Roman"/>
          <w:bCs/>
          <w:kern w:val="2"/>
          <w:szCs w:val="32"/>
          <w:lang w:val="en-US" w:eastAsia="zh-CN" w:bidi="ar-SA"/>
        </w:rPr>
        <w:t>八、</w:t>
      </w:r>
      <w:r>
        <w:rPr>
          <w:rFonts w:hint="default" w:ascii="Times New Roman" w:hAnsi="Times New Roman" w:eastAsia="仿宋_GB2312"/>
        </w:rPr>
        <w:t>一</w:t>
      </w:r>
      <w:r>
        <w:rPr>
          <w:rFonts w:hint="default" w:ascii="Times New Roman" w:hAnsi="Times New Roman" w:eastAsia="仿宋_GB2312" w:cs="Times New Roman"/>
          <w:bCs/>
          <w:kern w:val="2"/>
          <w:szCs w:val="32"/>
          <w:lang w:val="en-US" w:eastAsia="zh-CN" w:bidi="ar-SA"/>
        </w:rPr>
        <w:t>般公共预算财政拨款基本支出决算表</w:t>
      </w:r>
      <w:r>
        <w:tab/>
      </w:r>
      <w:r>
        <w:rPr>
          <w:rFonts w:hint="eastAsia"/>
          <w:lang w:val="en-US" w:eastAsia="zh-CN"/>
        </w:rPr>
        <w:t>4</w:t>
      </w:r>
      <w:r>
        <w:fldChar w:fldCharType="end"/>
      </w:r>
      <w:r>
        <w:rPr>
          <w:rFonts w:hint="eastAsia"/>
          <w:lang w:val="en-US" w:eastAsia="zh-CN"/>
        </w:rPr>
        <w:t>7</w:t>
      </w:r>
    </w:p>
    <w:p>
      <w:pPr>
        <w:pStyle w:val="14"/>
        <w:tabs>
          <w:tab w:val="right" w:leader="dot" w:pos="8845"/>
        </w:tabs>
      </w:pPr>
      <w:r>
        <w:fldChar w:fldCharType="begin"/>
      </w:r>
      <w:r>
        <w:instrText xml:space="preserve">Hyperlink \l "_Toc37607247"</w:instrText>
      </w:r>
      <w:r>
        <w:fldChar w:fldCharType="separate"/>
      </w:r>
      <w:r>
        <w:rPr>
          <w:rFonts w:hint="default" w:ascii="Times New Roman" w:hAnsi="Times New Roman" w:eastAsia="仿宋_GB2312" w:cs="Times New Roman"/>
          <w:bCs/>
          <w:kern w:val="2"/>
          <w:szCs w:val="32"/>
          <w:lang w:val="en-US" w:eastAsia="zh-CN" w:bidi="ar-SA"/>
        </w:rPr>
        <w:t>九、</w:t>
      </w:r>
      <w:r>
        <w:rPr>
          <w:rFonts w:hint="default" w:ascii="Times New Roman" w:hAnsi="Times New Roman" w:eastAsia="仿宋_GB2312"/>
        </w:rPr>
        <w:t>一</w:t>
      </w:r>
      <w:r>
        <w:rPr>
          <w:rFonts w:hint="default" w:ascii="Times New Roman" w:hAnsi="Times New Roman" w:eastAsia="仿宋_GB2312" w:cs="Times New Roman"/>
          <w:bCs/>
          <w:kern w:val="2"/>
          <w:szCs w:val="32"/>
          <w:lang w:val="en-US" w:eastAsia="zh-CN" w:bidi="ar-SA"/>
        </w:rPr>
        <w:t>般公共预算财政拨款项目支出决算表</w:t>
      </w:r>
      <w:r>
        <w:tab/>
      </w:r>
      <w:r>
        <w:rPr>
          <w:rFonts w:hint="eastAsia"/>
          <w:lang w:val="en-US" w:eastAsia="zh-CN"/>
        </w:rPr>
        <w:t>4</w:t>
      </w:r>
      <w:r>
        <w:fldChar w:fldCharType="end"/>
      </w:r>
      <w:r>
        <w:rPr>
          <w:rFonts w:hint="eastAsia"/>
          <w:lang w:val="en-US" w:eastAsia="zh-CN"/>
        </w:rPr>
        <w:t>7</w:t>
      </w:r>
    </w:p>
    <w:p>
      <w:pPr>
        <w:pStyle w:val="14"/>
        <w:tabs>
          <w:tab w:val="right" w:leader="dot" w:pos="8845"/>
        </w:tabs>
      </w:pPr>
      <w:r>
        <w:fldChar w:fldCharType="begin"/>
      </w:r>
      <w:r>
        <w:instrText xml:space="preserve">Hyperlink \l "_Toc37607248"</w:instrText>
      </w:r>
      <w:r>
        <w:fldChar w:fldCharType="separate"/>
      </w:r>
      <w:r>
        <w:rPr>
          <w:rFonts w:hint="default" w:ascii="Times New Roman" w:hAnsi="Times New Roman" w:eastAsia="仿宋_GB2312" w:cs="Times New Roman"/>
          <w:bCs/>
          <w:kern w:val="2"/>
          <w:szCs w:val="32"/>
          <w:lang w:val="en-US" w:eastAsia="zh-CN" w:bidi="ar-SA"/>
        </w:rPr>
        <w:t>十、政府性基金预算财政拨款收入支出决算表</w:t>
      </w:r>
      <w:r>
        <w:tab/>
      </w:r>
      <w:r>
        <w:rPr>
          <w:rFonts w:hint="eastAsia"/>
          <w:lang w:val="en-US" w:eastAsia="zh-CN"/>
        </w:rPr>
        <w:t>4</w:t>
      </w:r>
      <w:r>
        <w:fldChar w:fldCharType="end"/>
      </w:r>
      <w:r>
        <w:rPr>
          <w:rFonts w:hint="eastAsia"/>
          <w:lang w:val="en-US" w:eastAsia="zh-CN"/>
        </w:rPr>
        <w:t>7</w:t>
      </w:r>
    </w:p>
    <w:p>
      <w:pPr>
        <w:pStyle w:val="14"/>
        <w:tabs>
          <w:tab w:val="right" w:leader="dot" w:pos="8845"/>
        </w:tabs>
      </w:pPr>
      <w:r>
        <w:fldChar w:fldCharType="begin"/>
      </w:r>
      <w:r>
        <w:instrText xml:space="preserve">Hyperlink \l "_Toc37607249"</w:instrText>
      </w:r>
      <w:r>
        <w:fldChar w:fldCharType="separate"/>
      </w:r>
      <w:r>
        <w:rPr>
          <w:rFonts w:hint="default" w:ascii="Times New Roman" w:hAnsi="Times New Roman" w:eastAsia="仿宋_GB2312" w:cs="Times New Roman"/>
          <w:bCs/>
          <w:kern w:val="2"/>
          <w:szCs w:val="32"/>
          <w:lang w:val="en-US" w:eastAsia="zh-CN" w:bidi="ar-SA"/>
        </w:rPr>
        <w:t>十一、国有资本经营预算财政拨款收入支出决算表</w:t>
      </w:r>
      <w:r>
        <w:tab/>
      </w:r>
      <w:r>
        <w:rPr>
          <w:rFonts w:hint="eastAsia"/>
          <w:lang w:val="en-US" w:eastAsia="zh-CN"/>
        </w:rPr>
        <w:t>4</w:t>
      </w:r>
      <w:r>
        <w:fldChar w:fldCharType="end"/>
      </w:r>
      <w:r>
        <w:rPr>
          <w:rFonts w:hint="eastAsia"/>
          <w:lang w:val="en-US" w:eastAsia="zh-CN"/>
        </w:rPr>
        <w:t>7</w:t>
      </w:r>
    </w:p>
    <w:p>
      <w:pPr>
        <w:pStyle w:val="14"/>
        <w:tabs>
          <w:tab w:val="right" w:leader="dot" w:pos="8845"/>
        </w:tabs>
      </w:pPr>
      <w:r>
        <w:fldChar w:fldCharType="begin"/>
      </w:r>
      <w:r>
        <w:instrText xml:space="preserve">Hyperlink \l "_Toc37607250"</w:instrText>
      </w:r>
      <w:r>
        <w:fldChar w:fldCharType="separate"/>
      </w:r>
      <w:r>
        <w:rPr>
          <w:rFonts w:hint="default" w:ascii="Times New Roman" w:hAnsi="Times New Roman" w:eastAsia="仿宋_GB2312" w:cs="Times New Roman"/>
          <w:bCs/>
          <w:kern w:val="2"/>
          <w:szCs w:val="32"/>
          <w:lang w:val="en-US" w:eastAsia="zh-CN" w:bidi="ar-SA"/>
        </w:rPr>
        <w:t>十二、国有资本经营预算财政拨款支出决算表</w:t>
      </w:r>
      <w:r>
        <w:tab/>
      </w:r>
      <w:r>
        <w:rPr>
          <w:rFonts w:hint="eastAsia"/>
          <w:lang w:val="en-US" w:eastAsia="zh-CN"/>
        </w:rPr>
        <w:t>4</w:t>
      </w:r>
      <w:r>
        <w:fldChar w:fldCharType="end"/>
      </w:r>
      <w:r>
        <w:rPr>
          <w:rFonts w:hint="eastAsia"/>
          <w:lang w:val="en-US" w:eastAsia="zh-CN"/>
        </w:rPr>
        <w:t>7</w:t>
      </w:r>
    </w:p>
    <w:p>
      <w:pPr>
        <w:pStyle w:val="14"/>
        <w:tabs>
          <w:tab w:val="right" w:leader="dot" w:pos="8845"/>
        </w:tabs>
      </w:pPr>
      <w:r>
        <w:fldChar w:fldCharType="begin"/>
      </w:r>
      <w:r>
        <w:instrText xml:space="preserve">Hyperlink \l "_Toc37607251"</w:instrText>
      </w:r>
      <w:r>
        <w:fldChar w:fldCharType="separate"/>
      </w:r>
      <w:r>
        <w:rPr>
          <w:rFonts w:hint="default" w:ascii="Times New Roman" w:hAnsi="Times New Roman" w:eastAsia="仿宋_GB2312" w:cs="Times New Roman"/>
          <w:bCs/>
          <w:kern w:val="2"/>
          <w:szCs w:val="32"/>
          <w:lang w:val="en-US" w:eastAsia="zh-CN" w:bidi="ar-SA"/>
        </w:rPr>
        <w:t>十三、财政拨款“三公”经费支出决算表</w:t>
      </w:r>
      <w:r>
        <w:tab/>
      </w:r>
      <w:r>
        <w:rPr>
          <w:rFonts w:hint="eastAsia"/>
          <w:lang w:val="en-US" w:eastAsia="zh-CN"/>
        </w:rPr>
        <w:t>4</w:t>
      </w:r>
      <w:r>
        <w:fldChar w:fldCharType="end"/>
      </w:r>
      <w:r>
        <w:rPr>
          <w:rFonts w:hint="default" w:ascii="Times New Roman" w:hAnsi="Times New Roman" w:eastAsia="仿宋_GB2312"/>
          <w:color w:val="000000"/>
          <w:sz w:val="32"/>
          <w:szCs w:val="32"/>
        </w:rPr>
        <w:fldChar w:fldCharType="end"/>
      </w:r>
      <w:r>
        <w:rPr>
          <w:rFonts w:hint="eastAsia"/>
          <w:lang w:val="en-US" w:eastAsia="zh-CN"/>
        </w:rPr>
        <w:t>7</w:t>
      </w:r>
    </w:p>
    <w:p>
      <w:pPr>
        <w:rPr>
          <w:rFonts w:hint="eastAsia"/>
        </w:rPr>
      </w:pPr>
    </w:p>
    <w:p>
      <w:pPr>
        <w:rPr>
          <w:rFonts w:ascii="Times New Roman" w:hAnsi="Times New Roman"/>
          <w:color w:val="auto"/>
          <w:highlight w:val="none"/>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p>
    <w:p>
      <w:pPr>
        <w:rPr>
          <w:rFonts w:ascii="Times New Roman" w:hAnsi="Times New Roman"/>
          <w:color w:val="auto"/>
          <w:highlight w:val="none"/>
        </w:rPr>
      </w:pPr>
    </w:p>
    <w:p>
      <w:pPr>
        <w:pStyle w:val="2"/>
        <w:jc w:val="center"/>
        <w:rPr>
          <w:rFonts w:ascii="Times New Roman" w:hAnsi="Times New Roman" w:eastAsia="黑体"/>
          <w:color w:val="auto"/>
          <w:sz w:val="32"/>
          <w:szCs w:val="32"/>
          <w:highlight w:val="none"/>
        </w:rPr>
      </w:pPr>
      <w:bookmarkStart w:id="6" w:name="_Toc15377196"/>
      <w:bookmarkStart w:id="7" w:name="_Toc15396599"/>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ascii="Times New Roman" w:hAnsi="Times New Roman" w:eastAsia="方正小标宋简体" w:cs="方正小标宋简体"/>
          <w:b w:val="0"/>
          <w:bCs w:val="0"/>
          <w:color w:val="auto"/>
          <w:highlight w:val="none"/>
        </w:rPr>
        <w:t>部门概况</w:t>
      </w:r>
      <w:bookmarkEnd w:id="6"/>
      <w:bookmarkEnd w:id="7"/>
    </w:p>
    <w:p>
      <w:pPr>
        <w:pStyle w:val="3"/>
        <w:numPr>
          <w:ilvl w:val="0"/>
          <w:numId w:val="1"/>
        </w:numPr>
        <w:rPr>
          <w:rFonts w:hint="eastAsia"/>
          <w:lang w:eastAsia="zh-CN"/>
        </w:rPr>
      </w:pPr>
      <w:r>
        <w:rPr>
          <w:rFonts w:hint="eastAsia" w:ascii="Times New Roman" w:hAnsi="Times New Roman" w:eastAsia="黑体"/>
          <w:b w:val="0"/>
          <w:color w:val="auto"/>
          <w:highlight w:val="none"/>
          <w:lang w:eastAsia="zh-CN"/>
        </w:rPr>
        <w:t>部门职责</w:t>
      </w:r>
    </w:p>
    <w:p>
      <w:pPr>
        <w:ind w:firstLine="640" w:firstLineChars="200"/>
        <w:rPr>
          <w:rFonts w:hint="eastAsia"/>
          <w:lang w:eastAsia="zh-CN"/>
        </w:rPr>
      </w:pPr>
      <w:r>
        <w:rPr>
          <w:rFonts w:hint="default" w:eastAsia="方正仿宋_GBK"/>
          <w:bCs/>
          <w:sz w:val="32"/>
          <w:szCs w:val="32"/>
        </w:rPr>
        <w:t>根据《中华全国工商业联合会章程》、《中共中央国务院关于加强和改进新形式下工商联工作的意见》（中发〔2010〕16号）文件规定，工商联是中国共产党领导的以非公有制企业和非公有制经济人士为主体的人民团体和商会组织，是党和政府联系非公有制经济人士的桥梁和纽带，是政府管理非公有制经济的助手。加强非公有制经济代表人士思想政治工作；引导非公有制经济和非公有制经济代表人士健康成长；积极参政议政、发挥民主监督作用；服务非公有制经济发展，参加各种商务活动；履行社会团体业务主管单位职责，促进行业协会商会改革发展是工商联的主要职责。</w:t>
      </w:r>
    </w:p>
    <w:p>
      <w:pPr>
        <w:pStyle w:val="3"/>
        <w:rPr>
          <w:rStyle w:val="29"/>
          <w:rFonts w:ascii="Times New Roman" w:hAnsi="Times New Roman"/>
          <w:b w:val="0"/>
          <w:bCs w:val="0"/>
          <w:color w:val="auto"/>
          <w:highlight w:val="none"/>
        </w:rPr>
      </w:pPr>
      <w:bookmarkStart w:id="8" w:name="_Toc15377200"/>
      <w:bookmarkStart w:id="9" w:name="_Toc15396601"/>
      <w:r>
        <w:rPr>
          <w:rFonts w:hint="eastAsia" w:ascii="Times New Roman" w:hAnsi="Times New Roman" w:eastAsia="黑体"/>
          <w:b w:val="0"/>
          <w:color w:val="auto"/>
          <w:highlight w:val="none"/>
        </w:rPr>
        <w:t>二、机</w:t>
      </w:r>
      <w:r>
        <w:rPr>
          <w:rStyle w:val="29"/>
          <w:rFonts w:hint="eastAsia" w:ascii="Times New Roman" w:hAnsi="Times New Roman" w:eastAsia="黑体"/>
          <w:b w:val="0"/>
          <w:bCs w:val="0"/>
          <w:color w:val="auto"/>
          <w:highlight w:val="none"/>
        </w:rPr>
        <w:t>构设置</w:t>
      </w:r>
      <w:bookmarkEnd w:id="8"/>
      <w:bookmarkEnd w:id="9"/>
    </w:p>
    <w:p>
      <w:pPr>
        <w:ind w:firstLine="800" w:firstLineChars="250"/>
        <w:rPr>
          <w:rFonts w:ascii="Times New Roman" w:hAnsi="Times New Roman" w:eastAsia="仿宋"/>
          <w:color w:val="auto"/>
          <w:kern w:val="0"/>
          <w:sz w:val="32"/>
          <w:szCs w:val="32"/>
          <w:highlight w:val="none"/>
        </w:rPr>
      </w:pPr>
      <w:r>
        <w:rPr>
          <w:rFonts w:hint="eastAsia" w:ascii="仿宋_GB2312" w:hAnsi="仿宋_GB2312" w:eastAsia="仿宋_GB2312" w:cs="仿宋_GB2312"/>
          <w:color w:val="auto"/>
          <w:sz w:val="32"/>
          <w:szCs w:val="32"/>
          <w:highlight w:val="none"/>
        </w:rPr>
        <w:t>阿坝藏族羌族自治州工商业联合会</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default" w:eastAsia="仿宋_GB2312" w:cs="仿宋_GB2312"/>
          <w:color w:val="auto"/>
          <w:sz w:val="32"/>
          <w:szCs w:val="32"/>
          <w:highlight w:val="none"/>
          <w:lang w:val="en-US"/>
        </w:rPr>
        <w:t>1</w:t>
      </w:r>
      <w:r>
        <w:rPr>
          <w:rFonts w:hint="eastAsia" w:ascii="Times New Roman" w:hAnsi="Times New Roman" w:eastAsia="仿宋_GB2312" w:cs="仿宋_GB2312"/>
          <w:color w:val="auto"/>
          <w:sz w:val="32"/>
          <w:szCs w:val="32"/>
          <w:highlight w:val="none"/>
        </w:rPr>
        <w:t>个，其中行政单位</w:t>
      </w:r>
      <w:r>
        <w:rPr>
          <w:rFonts w:hint="default" w:eastAsia="仿宋_GB2312" w:cs="仿宋_GB2312"/>
          <w:color w:val="auto"/>
          <w:sz w:val="32"/>
          <w:szCs w:val="32"/>
          <w:highlight w:val="none"/>
          <w:lang w:val="en-US"/>
        </w:rPr>
        <w:t>1</w:t>
      </w:r>
      <w:r>
        <w:rPr>
          <w:rFonts w:hint="eastAsia" w:ascii="Times New Roman" w:hAnsi="Times New Roman" w:eastAsia="仿宋_GB2312" w:cs="仿宋_GB2312"/>
          <w:color w:val="auto"/>
          <w:sz w:val="32"/>
          <w:szCs w:val="32"/>
          <w:highlight w:val="none"/>
        </w:rPr>
        <w:t>个，参照公务员法管理的事业单位</w:t>
      </w:r>
      <w:r>
        <w:rPr>
          <w:rFonts w:hint="default" w:eastAsia="仿宋_GB2312" w:cs="仿宋_GB2312"/>
          <w:bCs/>
          <w:color w:val="auto"/>
          <w:sz w:val="32"/>
          <w:szCs w:val="32"/>
          <w:highlight w:val="none"/>
          <w:lang w:val="en-US"/>
        </w:rPr>
        <w:t>0</w:t>
      </w:r>
      <w:r>
        <w:rPr>
          <w:rFonts w:hint="eastAsia" w:ascii="Times New Roman" w:hAnsi="Times New Roman" w:eastAsia="仿宋_GB2312" w:cs="仿宋_GB2312"/>
          <w:color w:val="auto"/>
          <w:sz w:val="32"/>
          <w:szCs w:val="32"/>
          <w:highlight w:val="none"/>
        </w:rPr>
        <w:t>个，其他事业单位</w:t>
      </w:r>
      <w:r>
        <w:rPr>
          <w:rFonts w:hint="default" w:eastAsia="仿宋_GB2312" w:cs="仿宋_GB2312"/>
          <w:color w:val="auto"/>
          <w:sz w:val="32"/>
          <w:szCs w:val="32"/>
          <w:highlight w:val="none"/>
          <w:lang w:val="en-US"/>
        </w:rPr>
        <w:t>0</w:t>
      </w:r>
      <w:r>
        <w:rPr>
          <w:rFonts w:hint="eastAsia" w:ascii="Times New Roman" w:hAnsi="Times New Roman" w:eastAsia="仿宋_GB2312" w:cs="仿宋_GB2312"/>
          <w:color w:val="auto"/>
          <w:sz w:val="32"/>
          <w:szCs w:val="32"/>
          <w:highlight w:val="none"/>
        </w:rPr>
        <w:t>个。</w:t>
      </w:r>
      <w:r>
        <w:rPr>
          <w:rFonts w:ascii="Times New Roman" w:hAnsi="Times New Roman" w:eastAsia="仿宋"/>
          <w:color w:val="auto"/>
          <w:sz w:val="32"/>
          <w:szCs w:val="32"/>
          <w:highlight w:val="none"/>
        </w:rPr>
        <w:br w:type="page"/>
      </w:r>
    </w:p>
    <w:p>
      <w:pPr>
        <w:pStyle w:val="2"/>
        <w:jc w:val="center"/>
        <w:rPr>
          <w:rFonts w:hint="eastAsia" w:ascii="Times New Roman" w:hAnsi="Times New Roman" w:eastAsia="方正小标宋简体" w:cs="方正小标宋简体"/>
          <w:b w:val="0"/>
          <w:color w:val="auto"/>
          <w:highlight w:val="none"/>
        </w:rPr>
      </w:pPr>
      <w:bookmarkStart w:id="10" w:name="_Toc15396602"/>
      <w:bookmarkStart w:id="11"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0"/>
      <w:bookmarkEnd w:id="11"/>
    </w:p>
    <w:p>
      <w:pPr>
        <w:rPr>
          <w:rFonts w:ascii="Times New Roman" w:hAnsi="Times New Roman"/>
          <w:color w:val="auto"/>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12" w:name="_Toc15396603"/>
      <w:bookmarkStart w:id="13"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12"/>
      <w:bookmarkEnd w:id="13"/>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450.32</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default" w:eastAsia="仿宋_GB2312" w:cs="仿宋_GB2312"/>
          <w:color w:val="auto"/>
          <w:sz w:val="32"/>
          <w:szCs w:val="32"/>
          <w:highlight w:val="none"/>
          <w:lang w:val="en-US"/>
        </w:rPr>
        <w:t>29.44</w:t>
      </w:r>
      <w:r>
        <w:rPr>
          <w:rFonts w:hint="eastAsia" w:ascii="Times New Roman" w:hAnsi="Times New Roman" w:eastAsia="仿宋_GB2312" w:cs="仿宋_GB2312"/>
          <w:color w:val="auto"/>
          <w:sz w:val="32"/>
          <w:szCs w:val="32"/>
          <w:highlight w:val="none"/>
        </w:rPr>
        <w:t>万元，增长</w:t>
      </w:r>
      <w:r>
        <w:rPr>
          <w:rFonts w:hint="default" w:eastAsia="仿宋_GB2312" w:cs="仿宋_GB2312"/>
          <w:color w:val="auto"/>
          <w:sz w:val="32"/>
          <w:szCs w:val="32"/>
          <w:highlight w:val="none"/>
          <w:lang w:val="en-US"/>
        </w:rPr>
        <w:t>6.99</w:t>
      </w:r>
      <w:r>
        <w:rPr>
          <w:rFonts w:hint="eastAsia" w:ascii="Times New Roman" w:hAnsi="Times New Roman" w:eastAsia="仿宋_GB2312" w:cs="仿宋_GB2312"/>
          <w:color w:val="auto"/>
          <w:sz w:val="32"/>
          <w:szCs w:val="32"/>
          <w:highlight w:val="none"/>
        </w:rPr>
        <w:t>*%。主要变动原因是</w:t>
      </w:r>
      <w:r>
        <w:rPr>
          <w:rFonts w:hint="default" w:eastAsia="方正仿宋_GBK"/>
          <w:sz w:val="32"/>
          <w:szCs w:val="32"/>
        </w:rPr>
        <w:t>本年人员调资增加，项目数及金额增加</w:t>
      </w:r>
      <w:r>
        <w:rPr>
          <w:rFonts w:hint="default" w:eastAsia="方正仿宋_GBK"/>
          <w:sz w:val="32"/>
          <w:szCs w:val="32"/>
          <w:lang w:val="en-US" w:eastAsia="zh-CN"/>
        </w:rPr>
        <w:t>，</w:t>
      </w:r>
      <w:r>
        <w:rPr>
          <w:rFonts w:hint="default" w:eastAsia="方正仿宋_GBK"/>
          <w:sz w:val="32"/>
          <w:szCs w:val="32"/>
        </w:rPr>
        <w:t>经费</w:t>
      </w:r>
      <w:r>
        <w:rPr>
          <w:rFonts w:hint="default" w:eastAsia="方正仿宋_GBK"/>
          <w:sz w:val="32"/>
          <w:szCs w:val="32"/>
          <w:lang w:val="en-US" w:eastAsia="zh-CN"/>
        </w:rPr>
        <w:t>收入增加</w:t>
      </w:r>
      <w:r>
        <w:rPr>
          <w:rFonts w:hint="default" w:eastAsia="方正仿宋_GBK"/>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仿宋_GB2312" w:cs="仿宋_GB2312"/>
          <w:color w:val="auto"/>
          <w:sz w:val="32"/>
          <w:szCs w:val="32"/>
          <w:highlight w:val="none"/>
        </w:rPr>
      </w:pPr>
      <w:r>
        <w:rPr>
          <w:rFonts w:hint="eastAsia"/>
          <w:lang w:val="en-US" w:eastAsia="zh-CN"/>
        </w:rPr>
        <w:t xml:space="preserve">   </w:t>
      </w:r>
      <w:r>
        <w:drawing>
          <wp:inline distT="0" distB="0" distL="114300" distR="114300">
            <wp:extent cx="4572000" cy="2750820"/>
            <wp:effectExtent l="4445" t="4445" r="14605" b="698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77206"/>
      <w:bookmarkStart w:id="15" w:name="_Toc15396604"/>
      <w:r>
        <w:rPr>
          <w:rFonts w:hint="eastAsia" w:ascii="Times New Roman" w:hAnsi="Times New Roman" w:eastAsia="黑体"/>
          <w:color w:val="auto"/>
          <w:sz w:val="32"/>
          <w:szCs w:val="32"/>
          <w:highlight w:val="none"/>
          <w:lang w:eastAsia="zh-CN"/>
        </w:rPr>
        <w:t>二、收入决算情况说明</w:t>
      </w:r>
      <w:bookmarkEnd w:id="14"/>
      <w:bookmarkEnd w:id="15"/>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450.32万元，其中：一般公共预算财政拨款收入450.32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pPr>
        <w:ind w:firstLine="1440" w:firstLineChars="4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ind w:firstLine="945" w:firstLineChars="450"/>
        <w:rPr>
          <w:rFonts w:hint="eastAsia" w:ascii="Times New Roman" w:hAnsi="Times New Roman" w:eastAsia="仿宋_GB2312" w:cs="仿宋_GB2312"/>
          <w:color w:val="auto"/>
          <w:sz w:val="32"/>
          <w:szCs w:val="32"/>
          <w:highlight w:val="none"/>
          <w:lang w:eastAsia="zh-CN"/>
        </w:rPr>
      </w:pPr>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16" w:name="_Toc15396605"/>
      <w:bookmarkStart w:id="17"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16"/>
      <w:bookmarkEnd w:id="17"/>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450.32</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365.45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81.15</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84.87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18.84</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ind w:firstLine="525" w:firstLineChars="250"/>
        <w:rPr>
          <w:rFonts w:hint="eastAsia" w:ascii="Times New Roman" w:hAnsi="Times New Roman" w:eastAsia="仿宋_GB2312" w:cs="仿宋_GB2312"/>
          <w:color w:val="C00000"/>
          <w:sz w:val="32"/>
          <w:szCs w:val="32"/>
          <w:highlight w:val="none"/>
          <w:lang w:eastAsia="zh-CN"/>
        </w:rPr>
      </w:pPr>
      <w:r>
        <w:rPr>
          <w:rFonts w:hint="eastAsia"/>
          <w:lang w:val="en-US" w:eastAsia="zh-CN"/>
        </w:rPr>
        <w:t xml:space="preserve">   </w:t>
      </w:r>
      <w:r>
        <w:drawing>
          <wp:inline distT="0" distB="0" distL="114300" distR="114300">
            <wp:extent cx="4564380" cy="2536825"/>
            <wp:effectExtent l="4445" t="4445" r="22225" b="1143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ind w:firstLine="800" w:firstLineChars="250"/>
        <w:rPr>
          <w:rFonts w:hint="eastAsia" w:ascii="Times New Roman" w:hAnsi="Times New Roman" w:eastAsia="仿宋_GB2312" w:cs="仿宋_GB2312"/>
          <w:color w:val="auto"/>
          <w:sz w:val="32"/>
          <w:szCs w:val="32"/>
          <w:highlight w:val="none"/>
          <w:lang w:eastAsia="zh-CN"/>
        </w:rPr>
      </w:pPr>
    </w:p>
    <w:p>
      <w:pPr>
        <w:spacing w:line="600" w:lineRule="exact"/>
        <w:ind w:firstLine="640" w:firstLineChars="200"/>
        <w:outlineLvl w:val="1"/>
        <w:rPr>
          <w:rStyle w:val="29"/>
          <w:rFonts w:ascii="Times New Roman" w:hAnsi="Times New Roman" w:eastAsia="黑体"/>
          <w:b w:val="0"/>
          <w:color w:val="auto"/>
          <w:highlight w:val="none"/>
        </w:rPr>
      </w:pPr>
      <w:bookmarkStart w:id="18" w:name="_Toc15377208"/>
      <w:bookmarkStart w:id="19" w:name="_Toc15396606"/>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18"/>
      <w:bookmarkEnd w:id="19"/>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450.32</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default" w:eastAsia="仿宋_GB2312" w:cs="仿宋_GB2312"/>
          <w:color w:val="auto"/>
          <w:kern w:val="2"/>
          <w:sz w:val="32"/>
          <w:szCs w:val="32"/>
          <w:highlight w:val="none"/>
          <w:lang w:val="en-US" w:eastAsia="zh-CN" w:bidi="ar-SA"/>
        </w:rPr>
        <w:t>29.44</w:t>
      </w:r>
      <w:r>
        <w:rPr>
          <w:rFonts w:hint="eastAsia" w:ascii="Times New Roman" w:hAnsi="Times New Roman" w:eastAsia="仿宋_GB2312" w:cs="仿宋_GB2312"/>
          <w:color w:val="auto"/>
          <w:kern w:val="2"/>
          <w:sz w:val="32"/>
          <w:szCs w:val="32"/>
          <w:highlight w:val="none"/>
          <w:lang w:val="en-US" w:eastAsia="zh-CN" w:bidi="ar-SA"/>
        </w:rPr>
        <w:t>万元，增长</w:t>
      </w:r>
      <w:r>
        <w:rPr>
          <w:rFonts w:hint="default" w:eastAsia="仿宋_GB2312" w:cs="仿宋_GB2312"/>
          <w:color w:val="auto"/>
          <w:kern w:val="2"/>
          <w:sz w:val="32"/>
          <w:szCs w:val="32"/>
          <w:highlight w:val="none"/>
          <w:lang w:val="en-US" w:eastAsia="zh-CN" w:bidi="ar-SA"/>
        </w:rPr>
        <w:t>6.99</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default" w:eastAsia="方正仿宋_GBK"/>
          <w:sz w:val="32"/>
          <w:szCs w:val="32"/>
        </w:rPr>
        <w:t>本年人员调资增加，新增项目及金额</w:t>
      </w:r>
      <w:r>
        <w:rPr>
          <w:rFonts w:hint="default" w:eastAsia="方正仿宋_GBK"/>
          <w:sz w:val="32"/>
          <w:szCs w:val="32"/>
          <w:lang w:val="en-US" w:eastAsia="zh-CN"/>
        </w:rPr>
        <w:t>，</w:t>
      </w:r>
      <w:r>
        <w:rPr>
          <w:rFonts w:hint="default" w:eastAsia="方正仿宋_GBK"/>
          <w:sz w:val="32"/>
          <w:szCs w:val="32"/>
        </w:rPr>
        <w:t>经费支出</w:t>
      </w:r>
      <w:r>
        <w:rPr>
          <w:rFonts w:hint="default" w:eastAsia="方正仿宋_GBK"/>
          <w:sz w:val="32"/>
          <w:szCs w:val="32"/>
          <w:lang w:val="en-US" w:eastAsia="zh-CN"/>
        </w:rPr>
        <w:t>增加</w:t>
      </w:r>
      <w:r>
        <w:rPr>
          <w:rFonts w:hint="eastAsia" w:eastAsia="方正仿宋_GBK"/>
          <w:sz w:val="32"/>
          <w:szCs w:val="32"/>
          <w:lang w:val="en-US" w:eastAsia="zh-CN"/>
        </w:rPr>
        <w:t>。</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ind w:firstLine="630" w:firstLineChars="300"/>
        <w:rPr>
          <w:rStyle w:val="29"/>
          <w:rFonts w:ascii="Times New Roman" w:hAnsi="Times New Roman" w:eastAsia="黑体"/>
          <w:b w:val="0"/>
          <w:color w:val="auto"/>
          <w:highlight w:val="none"/>
        </w:rPr>
      </w:pPr>
      <w:r>
        <w:drawing>
          <wp:anchor distT="0" distB="0" distL="114300" distR="114300" simplePos="0" relativeHeight="251659264" behindDoc="0" locked="0" layoutInCell="1" allowOverlap="1">
            <wp:simplePos x="0" y="0"/>
            <wp:positionH relativeFrom="column">
              <wp:posOffset>537845</wp:posOffset>
            </wp:positionH>
            <wp:positionV relativeFrom="paragraph">
              <wp:posOffset>213995</wp:posOffset>
            </wp:positionV>
            <wp:extent cx="4572000" cy="2750820"/>
            <wp:effectExtent l="4445" t="4445" r="14605" b="698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bookmarkStart w:id="20" w:name="_Toc15396607"/>
      <w:bookmarkStart w:id="21"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20"/>
      <w:bookmarkEnd w:id="21"/>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450.32</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w:t>
      </w:r>
      <w:r>
        <w:rPr>
          <w:rFonts w:hint="eastAsia" w:ascii="Times New Roman" w:hAnsi="Times New Roman" w:eastAsia="仿宋_GB2312" w:cs="仿宋_GB2312"/>
          <w:color w:val="auto"/>
          <w:kern w:val="2"/>
          <w:sz w:val="32"/>
          <w:szCs w:val="32"/>
          <w:highlight w:val="none"/>
          <w:lang w:val="en-US" w:eastAsia="zh-CN" w:bidi="ar-SA"/>
        </w:rPr>
        <w:t>增加</w:t>
      </w:r>
      <w:r>
        <w:rPr>
          <w:rFonts w:hint="default" w:eastAsia="仿宋_GB2312" w:cs="仿宋_GB2312"/>
          <w:color w:val="auto"/>
          <w:kern w:val="2"/>
          <w:sz w:val="32"/>
          <w:szCs w:val="32"/>
          <w:highlight w:val="none"/>
          <w:lang w:val="en-US" w:eastAsia="zh-CN" w:bidi="ar-SA"/>
        </w:rPr>
        <w:t>29.44</w:t>
      </w:r>
      <w:r>
        <w:rPr>
          <w:rFonts w:hint="eastAsia" w:ascii="Times New Roman" w:hAnsi="Times New Roman" w:eastAsia="仿宋_GB2312" w:cs="仿宋_GB2312"/>
          <w:color w:val="auto"/>
          <w:kern w:val="2"/>
          <w:sz w:val="32"/>
          <w:szCs w:val="32"/>
          <w:highlight w:val="none"/>
          <w:lang w:val="en-US" w:eastAsia="zh-CN" w:bidi="ar-SA"/>
        </w:rPr>
        <w:t>万元，增长</w:t>
      </w:r>
      <w:r>
        <w:rPr>
          <w:rFonts w:hint="default" w:eastAsia="仿宋_GB2312" w:cs="仿宋_GB2312"/>
          <w:color w:val="auto"/>
          <w:kern w:val="2"/>
          <w:sz w:val="32"/>
          <w:szCs w:val="32"/>
          <w:highlight w:val="none"/>
          <w:lang w:val="en-US" w:eastAsia="zh-CN" w:bidi="ar-SA"/>
        </w:rPr>
        <w:t>6.99</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default" w:eastAsia="方正仿宋_GBK"/>
          <w:sz w:val="32"/>
          <w:szCs w:val="32"/>
        </w:rPr>
        <w:t>本年人员调资增加，新增项目及金额</w:t>
      </w:r>
      <w:r>
        <w:rPr>
          <w:rFonts w:hint="default" w:eastAsia="方正仿宋_GBK"/>
          <w:sz w:val="32"/>
          <w:szCs w:val="32"/>
          <w:lang w:val="en-US" w:eastAsia="zh-CN"/>
        </w:rPr>
        <w:t>，</w:t>
      </w:r>
      <w:r>
        <w:rPr>
          <w:rFonts w:hint="default" w:eastAsia="方正仿宋_GBK"/>
          <w:sz w:val="32"/>
          <w:szCs w:val="32"/>
        </w:rPr>
        <w:t>经费支出</w:t>
      </w:r>
      <w:r>
        <w:rPr>
          <w:rFonts w:hint="default" w:eastAsia="方正仿宋_GBK"/>
          <w:sz w:val="32"/>
          <w:szCs w:val="32"/>
          <w:lang w:val="en-US" w:eastAsia="zh-CN"/>
        </w:rPr>
        <w:t>增加</w:t>
      </w:r>
      <w:r>
        <w:rPr>
          <w:rFonts w:hint="eastAsia" w:eastAsia="方正仿宋_GBK"/>
          <w:sz w:val="32"/>
          <w:szCs w:val="32"/>
          <w:lang w:val="en-US" w:eastAsia="zh-CN"/>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spacing w:line="600" w:lineRule="exact"/>
        <w:ind w:firstLine="640"/>
      </w:pPr>
      <w:r>
        <w:drawing>
          <wp:anchor distT="0" distB="0" distL="114300" distR="114300" simplePos="0" relativeHeight="251662336" behindDoc="0" locked="0" layoutInCell="1" allowOverlap="1">
            <wp:simplePos x="0" y="0"/>
            <wp:positionH relativeFrom="column">
              <wp:posOffset>561340</wp:posOffset>
            </wp:positionH>
            <wp:positionV relativeFrom="paragraph">
              <wp:posOffset>43180</wp:posOffset>
            </wp:positionV>
            <wp:extent cx="4572000" cy="2750820"/>
            <wp:effectExtent l="4445" t="4445" r="14605" b="6985"/>
            <wp:wrapTopAndBottom/>
            <wp:docPr id="106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bookmarkStart w:id="23" w:name="_Toc15377211"/>
    </w:p>
    <w:p>
      <w:pPr>
        <w:spacing w:line="600" w:lineRule="exact"/>
        <w:ind w:firstLine="640"/>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23"/>
    </w:p>
    <w:p>
      <w:pPr>
        <w:spacing w:line="600" w:lineRule="exact"/>
        <w:ind w:firstLine="640"/>
        <w:rPr>
          <w:rFonts w:hint="eastAsia" w:eastAsia="方正仿宋_GBK"/>
          <w:sz w:val="32"/>
          <w:szCs w:val="32"/>
          <w:lang w:eastAsia="zh-CN"/>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450.32</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default" w:eastAsia="方正仿宋_GBK"/>
          <w:sz w:val="32"/>
          <w:szCs w:val="32"/>
        </w:rPr>
        <w:t>一般公共服务支出为</w:t>
      </w:r>
      <w:r>
        <w:rPr>
          <w:rFonts w:hint="default" w:eastAsia="方正仿宋_GBK"/>
          <w:sz w:val="32"/>
          <w:szCs w:val="32"/>
          <w:lang w:eastAsia="zh-CN"/>
        </w:rPr>
        <w:t>370.89</w:t>
      </w:r>
      <w:r>
        <w:rPr>
          <w:rFonts w:hint="default" w:eastAsia="方正仿宋_GBK"/>
          <w:sz w:val="32"/>
          <w:szCs w:val="32"/>
        </w:rPr>
        <w:t>万元，占比82.36%；社会保障和就业支出为</w:t>
      </w:r>
      <w:r>
        <w:rPr>
          <w:rFonts w:hint="default" w:eastAsia="方正仿宋_GBK"/>
          <w:sz w:val="32"/>
          <w:szCs w:val="32"/>
          <w:lang w:val="en-US" w:eastAsia="zh-CN"/>
        </w:rPr>
        <w:t>40.05</w:t>
      </w:r>
      <w:r>
        <w:rPr>
          <w:rFonts w:hint="default" w:eastAsia="方正仿宋_GBK"/>
          <w:sz w:val="32"/>
          <w:szCs w:val="32"/>
        </w:rPr>
        <w:t>万元，占比</w:t>
      </w:r>
      <w:r>
        <w:rPr>
          <w:rFonts w:hint="default" w:eastAsia="方正仿宋_GBK"/>
          <w:sz w:val="32"/>
          <w:szCs w:val="32"/>
          <w:lang w:val="en-US" w:eastAsia="zh-CN"/>
        </w:rPr>
        <w:t>8.89</w:t>
      </w:r>
      <w:r>
        <w:rPr>
          <w:rFonts w:hint="default" w:eastAsia="方正仿宋_GBK"/>
          <w:sz w:val="32"/>
          <w:szCs w:val="32"/>
        </w:rPr>
        <w:t>%；卫生健康支出为</w:t>
      </w:r>
      <w:r>
        <w:rPr>
          <w:rFonts w:hint="default" w:eastAsia="方正仿宋_GBK"/>
          <w:sz w:val="32"/>
          <w:szCs w:val="32"/>
          <w:lang w:val="en-US" w:eastAsia="zh-CN"/>
        </w:rPr>
        <w:t>16.99</w:t>
      </w:r>
      <w:r>
        <w:rPr>
          <w:rFonts w:hint="default" w:eastAsia="方正仿宋_GBK"/>
          <w:sz w:val="32"/>
          <w:szCs w:val="32"/>
        </w:rPr>
        <w:t>万元，占比</w:t>
      </w:r>
      <w:r>
        <w:rPr>
          <w:rFonts w:hint="default" w:eastAsia="方正仿宋_GBK"/>
          <w:sz w:val="32"/>
          <w:szCs w:val="32"/>
          <w:lang w:val="en-US" w:eastAsia="zh-CN"/>
        </w:rPr>
        <w:t>3.77</w:t>
      </w:r>
      <w:r>
        <w:rPr>
          <w:rFonts w:hint="default" w:eastAsia="方正仿宋_GBK"/>
          <w:sz w:val="32"/>
          <w:szCs w:val="32"/>
        </w:rPr>
        <w:t>%；住房保障支出为2</w:t>
      </w:r>
      <w:r>
        <w:rPr>
          <w:rFonts w:hint="default" w:eastAsia="方正仿宋_GBK"/>
          <w:sz w:val="32"/>
          <w:szCs w:val="32"/>
          <w:lang w:val="en-US" w:eastAsia="zh-CN"/>
        </w:rPr>
        <w:t>2.38</w:t>
      </w:r>
      <w:r>
        <w:rPr>
          <w:rFonts w:hint="default" w:eastAsia="方正仿宋_GBK"/>
          <w:sz w:val="32"/>
          <w:szCs w:val="32"/>
        </w:rPr>
        <w:t>万元，占比4.97%</w:t>
      </w:r>
      <w:r>
        <w:rPr>
          <w:rFonts w:hint="eastAsia" w:eastAsia="方正仿宋_GBK"/>
          <w:sz w:val="32"/>
          <w:szCs w:val="32"/>
          <w:lang w:eastAsia="zh-CN"/>
        </w:rPr>
        <w:t>。</w:t>
      </w:r>
    </w:p>
    <w:p>
      <w:pPr>
        <w:spacing w:line="600" w:lineRule="exact"/>
        <w:ind w:firstLine="640"/>
        <w:rPr>
          <w:rFonts w:hint="eastAsia" w:eastAsia="方正仿宋_GBK"/>
          <w:sz w:val="32"/>
          <w:szCs w:val="32"/>
          <w:lang w:eastAsia="zh-CN"/>
        </w:rPr>
      </w:pPr>
    </w:p>
    <w:p>
      <w:pPr>
        <w:spacing w:line="600" w:lineRule="exact"/>
        <w:ind w:firstLine="640"/>
        <w:rPr>
          <w:rFonts w:hint="eastAsia" w:eastAsia="方正仿宋_GBK"/>
          <w:sz w:val="32"/>
          <w:szCs w:val="32"/>
          <w:lang w:val="en-US" w:eastAsia="zh-CN"/>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spacing w:line="600" w:lineRule="exact"/>
        <w:rPr>
          <w:rFonts w:hint="eastAsia" w:ascii="Times New Roman" w:hAnsi="Times New Roman" w:eastAsia="楷体_GB2312" w:cs="楷体_GB2312"/>
          <w:b/>
          <w:color w:val="auto"/>
          <w:sz w:val="32"/>
          <w:szCs w:val="32"/>
          <w:highlight w:val="none"/>
        </w:rPr>
      </w:pPr>
      <w:r>
        <w:drawing>
          <wp:anchor distT="0" distB="0" distL="114300" distR="114300" simplePos="0" relativeHeight="251660288" behindDoc="0" locked="0" layoutInCell="1" allowOverlap="1">
            <wp:simplePos x="0" y="0"/>
            <wp:positionH relativeFrom="column">
              <wp:posOffset>436880</wp:posOffset>
            </wp:positionH>
            <wp:positionV relativeFrom="paragraph">
              <wp:posOffset>86995</wp:posOffset>
            </wp:positionV>
            <wp:extent cx="4572000" cy="2743200"/>
            <wp:effectExtent l="4445" t="4445" r="14605" b="14605"/>
            <wp:wrapTopAndBottom/>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bookmarkStart w:id="2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5" w:name="_Toc15377213"/>
      <w:bookmarkStart w:id="26" w:name="_Toc15377444"/>
      <w:bookmarkStart w:id="27"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450.32</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5"/>
      <w:bookmarkEnd w:id="26"/>
      <w:bookmarkEnd w:id="27"/>
    </w:p>
    <w:p>
      <w:pPr>
        <w:numPr>
          <w:ilvl w:val="0"/>
          <w:numId w:val="2"/>
        </w:numPr>
        <w:spacing w:line="560" w:lineRule="exact"/>
        <w:rPr>
          <w:rFonts w:hint="default" w:eastAsia="方正仿宋_GBK"/>
          <w:bCs/>
          <w:sz w:val="32"/>
          <w:szCs w:val="32"/>
        </w:rPr>
      </w:pPr>
      <w:r>
        <w:rPr>
          <w:rStyle w:val="17"/>
          <w:rFonts w:hint="default" w:eastAsia="方正仿宋_GBK"/>
          <w:bCs/>
          <w:color w:val="000000"/>
          <w:sz w:val="32"/>
          <w:szCs w:val="32"/>
        </w:rPr>
        <w:t>一般公共服务（类）</w:t>
      </w:r>
      <w:r>
        <w:rPr>
          <w:rFonts w:hint="default" w:eastAsia="方正仿宋_GBK"/>
          <w:b/>
          <w:bCs/>
          <w:color w:val="000000"/>
          <w:sz w:val="32"/>
          <w:szCs w:val="32"/>
        </w:rPr>
        <w:t>民主党派及工商联事务</w:t>
      </w:r>
      <w:r>
        <w:rPr>
          <w:rStyle w:val="17"/>
          <w:rFonts w:hint="default" w:eastAsia="方正仿宋_GBK"/>
          <w:bCs/>
          <w:color w:val="000000"/>
          <w:sz w:val="32"/>
          <w:szCs w:val="32"/>
        </w:rPr>
        <w:t>（款）</w:t>
      </w:r>
      <w:r>
        <w:rPr>
          <w:rFonts w:hint="default" w:eastAsia="方正仿宋_GBK"/>
          <w:b/>
          <w:bCs/>
          <w:color w:val="000000"/>
          <w:sz w:val="32"/>
          <w:szCs w:val="32"/>
        </w:rPr>
        <w:t>行</w:t>
      </w:r>
    </w:p>
    <w:p>
      <w:pPr>
        <w:numPr>
          <w:ilvl w:val="0"/>
          <w:numId w:val="0"/>
        </w:numPr>
        <w:spacing w:line="560" w:lineRule="exact"/>
        <w:rPr>
          <w:rFonts w:hint="default" w:eastAsia="方正仿宋_GBK"/>
          <w:bCs/>
          <w:sz w:val="32"/>
          <w:szCs w:val="32"/>
        </w:rPr>
      </w:pPr>
      <w:r>
        <w:rPr>
          <w:rFonts w:hint="default" w:eastAsia="方正仿宋_GBK"/>
          <w:b/>
          <w:bCs/>
          <w:color w:val="000000"/>
          <w:sz w:val="32"/>
          <w:szCs w:val="32"/>
        </w:rPr>
        <w:t>政运行</w:t>
      </w:r>
      <w:r>
        <w:rPr>
          <w:rStyle w:val="17"/>
          <w:rFonts w:hint="default" w:eastAsia="方正仿宋_GBK"/>
          <w:bCs/>
          <w:color w:val="000000"/>
          <w:sz w:val="32"/>
          <w:szCs w:val="32"/>
        </w:rPr>
        <w:t>（项）:</w:t>
      </w:r>
      <w:r>
        <w:rPr>
          <w:rFonts w:hint="default" w:eastAsia="方正仿宋_GBK"/>
          <w:bCs/>
          <w:sz w:val="32"/>
          <w:szCs w:val="32"/>
        </w:rPr>
        <w:t>支出决算为</w:t>
      </w:r>
      <w:r>
        <w:rPr>
          <w:rFonts w:hint="eastAsia" w:eastAsia="方正仿宋_GBK"/>
          <w:bCs/>
          <w:sz w:val="32"/>
          <w:szCs w:val="32"/>
          <w:lang w:val="en-US" w:eastAsia="zh-CN"/>
        </w:rPr>
        <w:t>286.02</w:t>
      </w:r>
      <w:r>
        <w:rPr>
          <w:rFonts w:hint="default" w:eastAsia="方正仿宋_GBK"/>
          <w:bCs/>
          <w:sz w:val="32"/>
          <w:szCs w:val="32"/>
        </w:rPr>
        <w:t>万元，完成预算100</w:t>
      </w:r>
      <w:r>
        <w:rPr>
          <w:rFonts w:hint="default" w:eastAsia="方正仿宋_GBK"/>
          <w:sz w:val="32"/>
          <w:szCs w:val="32"/>
        </w:rPr>
        <w:t>％</w:t>
      </w:r>
      <w:r>
        <w:rPr>
          <w:rFonts w:hint="default" w:eastAsia="方正仿宋_GBK"/>
          <w:bCs/>
          <w:sz w:val="32"/>
          <w:szCs w:val="32"/>
        </w:rPr>
        <w:t>。</w:t>
      </w:r>
    </w:p>
    <w:p>
      <w:pPr>
        <w:spacing w:line="560" w:lineRule="exact"/>
        <w:ind w:firstLine="642" w:firstLineChars="200"/>
        <w:jc w:val="left"/>
        <w:rPr>
          <w:rFonts w:hint="default" w:eastAsia="方正仿宋_GBK"/>
          <w:bCs/>
          <w:sz w:val="32"/>
          <w:szCs w:val="32"/>
        </w:rPr>
      </w:pPr>
      <w:r>
        <w:rPr>
          <w:rFonts w:hint="default" w:eastAsia="方正仿宋_GBK"/>
          <w:b/>
          <w:bCs/>
          <w:sz w:val="32"/>
          <w:szCs w:val="32"/>
        </w:rPr>
        <w:t>2.一般公共服务（类）民主党派及工商联事务（款）一般行政管理事务（项）:</w:t>
      </w:r>
      <w:r>
        <w:rPr>
          <w:rFonts w:hint="default" w:eastAsia="方正仿宋_GBK"/>
          <w:bCs/>
          <w:sz w:val="32"/>
          <w:szCs w:val="32"/>
        </w:rPr>
        <w:t>支出决算为</w:t>
      </w:r>
      <w:r>
        <w:rPr>
          <w:rFonts w:hint="eastAsia" w:eastAsia="方正仿宋_GBK"/>
          <w:bCs/>
          <w:sz w:val="32"/>
          <w:szCs w:val="32"/>
          <w:lang w:val="en-US" w:eastAsia="zh-CN"/>
        </w:rPr>
        <w:t>84.87</w:t>
      </w:r>
      <w:r>
        <w:rPr>
          <w:rFonts w:hint="default" w:eastAsia="方正仿宋_GBK"/>
          <w:bCs/>
          <w:sz w:val="32"/>
          <w:szCs w:val="32"/>
        </w:rPr>
        <w:t>万元，完成预算100％。</w:t>
      </w:r>
    </w:p>
    <w:p>
      <w:pPr>
        <w:spacing w:line="560" w:lineRule="exact"/>
        <w:ind w:firstLine="642" w:firstLineChars="200"/>
        <w:jc w:val="left"/>
        <w:rPr>
          <w:rFonts w:hint="default" w:eastAsia="方正仿宋_GBK"/>
          <w:bCs/>
          <w:sz w:val="32"/>
          <w:szCs w:val="32"/>
        </w:rPr>
      </w:pPr>
      <w:r>
        <w:rPr>
          <w:rFonts w:hint="default" w:eastAsia="方正仿宋_GBK"/>
          <w:b/>
          <w:bCs/>
          <w:sz w:val="32"/>
          <w:szCs w:val="32"/>
        </w:rPr>
        <w:t>3.社会保障和就业支出（类）行政事业单位养老支出（款）机关事业单位基本养老保险缴费（项）：</w:t>
      </w:r>
      <w:r>
        <w:rPr>
          <w:rFonts w:hint="default" w:eastAsia="方正仿宋_GBK"/>
          <w:bCs/>
          <w:sz w:val="32"/>
          <w:szCs w:val="32"/>
        </w:rPr>
        <w:t>支出决算为</w:t>
      </w:r>
      <w:r>
        <w:rPr>
          <w:rFonts w:hint="eastAsia" w:eastAsia="方正仿宋_GBK"/>
          <w:bCs/>
          <w:sz w:val="32"/>
          <w:szCs w:val="32"/>
          <w:lang w:val="en-US" w:eastAsia="zh-CN"/>
        </w:rPr>
        <w:t>26.95</w:t>
      </w:r>
      <w:r>
        <w:rPr>
          <w:rFonts w:hint="default" w:eastAsia="方正仿宋_GBK"/>
          <w:bCs/>
          <w:sz w:val="32"/>
          <w:szCs w:val="32"/>
        </w:rPr>
        <w:t>万元，完成预算100％。</w:t>
      </w:r>
    </w:p>
    <w:p>
      <w:pPr>
        <w:spacing w:line="560" w:lineRule="exact"/>
        <w:ind w:firstLine="642" w:firstLineChars="200"/>
        <w:jc w:val="left"/>
        <w:rPr>
          <w:rFonts w:hint="default" w:eastAsia="方正仿宋_GBK"/>
          <w:bCs/>
          <w:sz w:val="32"/>
          <w:szCs w:val="32"/>
        </w:rPr>
      </w:pPr>
      <w:r>
        <w:rPr>
          <w:rFonts w:hint="default" w:eastAsia="方正仿宋_GBK"/>
          <w:b/>
          <w:bCs/>
          <w:sz w:val="32"/>
          <w:szCs w:val="32"/>
        </w:rPr>
        <w:t>4..社会保障和就业支出（类）行政事业单位养老支出（款）机关事业单位职业年金缴费支出（项）：</w:t>
      </w:r>
      <w:r>
        <w:rPr>
          <w:rFonts w:hint="default" w:eastAsia="方正仿宋_GBK"/>
          <w:bCs/>
          <w:sz w:val="32"/>
          <w:szCs w:val="32"/>
        </w:rPr>
        <w:t>支出决算为</w:t>
      </w:r>
      <w:r>
        <w:rPr>
          <w:rFonts w:hint="eastAsia" w:eastAsia="方正仿宋_GBK"/>
          <w:bCs/>
          <w:sz w:val="32"/>
          <w:szCs w:val="32"/>
          <w:lang w:val="en-US" w:eastAsia="zh-CN"/>
        </w:rPr>
        <w:t>13.1</w:t>
      </w:r>
      <w:r>
        <w:rPr>
          <w:rFonts w:hint="default" w:eastAsia="方正仿宋_GBK"/>
          <w:bCs/>
          <w:sz w:val="32"/>
          <w:szCs w:val="32"/>
        </w:rPr>
        <w:t>万元，完成预算100％。</w:t>
      </w:r>
    </w:p>
    <w:p>
      <w:pPr>
        <w:spacing w:line="560" w:lineRule="exact"/>
        <w:ind w:firstLine="640"/>
        <w:jc w:val="left"/>
        <w:rPr>
          <w:rFonts w:hint="default" w:eastAsia="方正仿宋_GBK"/>
          <w:bCs/>
          <w:sz w:val="32"/>
          <w:szCs w:val="32"/>
        </w:rPr>
      </w:pPr>
      <w:r>
        <w:rPr>
          <w:rFonts w:hint="default" w:eastAsia="方正仿宋_GBK"/>
          <w:b/>
          <w:bCs/>
          <w:sz w:val="32"/>
          <w:szCs w:val="32"/>
        </w:rPr>
        <w:t>5.卫生健康支出（类）行政事业单位医疗（款）行政事业单位医疗（项）：</w:t>
      </w:r>
      <w:r>
        <w:rPr>
          <w:rFonts w:hint="default" w:eastAsia="方正仿宋_GBK"/>
          <w:bCs/>
          <w:sz w:val="32"/>
          <w:szCs w:val="32"/>
        </w:rPr>
        <w:t>支出决算为</w:t>
      </w:r>
      <w:r>
        <w:rPr>
          <w:rFonts w:hint="eastAsia" w:eastAsia="方正仿宋_GBK"/>
          <w:bCs/>
          <w:sz w:val="32"/>
          <w:szCs w:val="32"/>
          <w:lang w:val="en-US" w:eastAsia="zh-CN"/>
        </w:rPr>
        <w:t>12.59</w:t>
      </w:r>
      <w:r>
        <w:rPr>
          <w:rFonts w:hint="default" w:eastAsia="方正仿宋_GBK"/>
          <w:bCs/>
          <w:sz w:val="32"/>
          <w:szCs w:val="32"/>
        </w:rPr>
        <w:t>万元，完成预算100％。</w:t>
      </w:r>
    </w:p>
    <w:p>
      <w:pPr>
        <w:spacing w:line="560" w:lineRule="exact"/>
        <w:ind w:firstLine="640"/>
        <w:jc w:val="left"/>
        <w:rPr>
          <w:rFonts w:hint="default" w:eastAsia="方正仿宋_GBK"/>
          <w:bCs/>
          <w:sz w:val="32"/>
          <w:szCs w:val="32"/>
        </w:rPr>
      </w:pPr>
      <w:r>
        <w:rPr>
          <w:rFonts w:hint="default" w:eastAsia="方正仿宋_GBK"/>
          <w:b/>
          <w:bCs/>
          <w:sz w:val="32"/>
          <w:szCs w:val="32"/>
        </w:rPr>
        <w:t>6.卫生健康支出（类）行政事业单位医疗（款）公务员医疗补助（项））：</w:t>
      </w:r>
      <w:r>
        <w:rPr>
          <w:rFonts w:hint="default" w:eastAsia="方正仿宋_GBK"/>
          <w:bCs/>
          <w:sz w:val="32"/>
          <w:szCs w:val="32"/>
        </w:rPr>
        <w:t>支出决算为</w:t>
      </w:r>
      <w:r>
        <w:rPr>
          <w:rFonts w:hint="eastAsia" w:eastAsia="方正仿宋_GBK"/>
          <w:bCs/>
          <w:sz w:val="32"/>
          <w:szCs w:val="32"/>
          <w:lang w:val="en-US" w:eastAsia="zh-CN"/>
        </w:rPr>
        <w:t>4.4</w:t>
      </w:r>
      <w:r>
        <w:rPr>
          <w:rFonts w:hint="default" w:eastAsia="方正仿宋_GBK"/>
          <w:bCs/>
          <w:sz w:val="32"/>
          <w:szCs w:val="32"/>
        </w:rPr>
        <w:t>万元，完成预算100％。</w:t>
      </w:r>
    </w:p>
    <w:p>
      <w:pPr>
        <w:spacing w:line="560" w:lineRule="exact"/>
        <w:ind w:firstLine="640"/>
        <w:jc w:val="left"/>
        <w:rPr>
          <w:rFonts w:hint="default" w:eastAsia="方正仿宋_GBK"/>
          <w:bCs/>
          <w:sz w:val="32"/>
          <w:szCs w:val="32"/>
        </w:rPr>
      </w:pPr>
      <w:r>
        <w:rPr>
          <w:rFonts w:hint="default" w:eastAsia="方正仿宋_GBK"/>
          <w:b/>
          <w:bCs/>
          <w:sz w:val="32"/>
          <w:szCs w:val="32"/>
        </w:rPr>
        <w:t>7.住房保障（类）住房改革（款）住房公积金（项）：</w:t>
      </w:r>
      <w:r>
        <w:rPr>
          <w:rFonts w:hint="default" w:eastAsia="方正仿宋_GBK"/>
          <w:bCs/>
          <w:sz w:val="32"/>
          <w:szCs w:val="32"/>
        </w:rPr>
        <w:t>支出决算为</w:t>
      </w:r>
      <w:r>
        <w:rPr>
          <w:rFonts w:hint="eastAsia" w:eastAsia="方正仿宋_GBK"/>
          <w:bCs/>
          <w:sz w:val="32"/>
          <w:szCs w:val="32"/>
          <w:lang w:val="en-US" w:eastAsia="zh-CN"/>
        </w:rPr>
        <w:t>21.18</w:t>
      </w:r>
      <w:r>
        <w:rPr>
          <w:rFonts w:hint="default" w:eastAsia="方正仿宋_GBK"/>
          <w:bCs/>
          <w:sz w:val="32"/>
          <w:szCs w:val="32"/>
        </w:rPr>
        <w:t>万元，完成预算100％。</w:t>
      </w:r>
    </w:p>
    <w:p>
      <w:pPr>
        <w:spacing w:line="560" w:lineRule="exact"/>
        <w:ind w:firstLine="640"/>
        <w:jc w:val="left"/>
        <w:rPr>
          <w:rFonts w:hint="default" w:eastAsia="方正仿宋_GBK"/>
          <w:bCs/>
          <w:sz w:val="32"/>
          <w:szCs w:val="32"/>
        </w:rPr>
      </w:pPr>
      <w:r>
        <w:rPr>
          <w:rFonts w:hint="default" w:eastAsia="方正仿宋_GBK"/>
          <w:b/>
          <w:bCs/>
          <w:sz w:val="32"/>
          <w:szCs w:val="32"/>
        </w:rPr>
        <w:t>8.住房保障（类）住房改革（款）购房补贴（项）：</w:t>
      </w:r>
      <w:r>
        <w:rPr>
          <w:rFonts w:hint="default" w:eastAsia="方正仿宋_GBK"/>
          <w:bCs/>
          <w:sz w:val="32"/>
          <w:szCs w:val="32"/>
        </w:rPr>
        <w:t>支出决算为</w:t>
      </w:r>
      <w:r>
        <w:rPr>
          <w:rFonts w:hint="default" w:eastAsia="方正仿宋_GBK"/>
          <w:bCs/>
          <w:sz w:val="32"/>
          <w:szCs w:val="32"/>
          <w:lang w:val="en-US" w:eastAsia="zh-CN"/>
        </w:rPr>
        <w:t>1.2</w:t>
      </w:r>
      <w:r>
        <w:rPr>
          <w:rFonts w:hint="default" w:eastAsia="方正仿宋_GBK"/>
          <w:bCs/>
          <w:sz w:val="32"/>
          <w:szCs w:val="32"/>
        </w:rPr>
        <w:t>万元，完成预算100％。</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pPr>
        <w:tabs>
          <w:tab w:val="right" w:pos="8306"/>
        </w:tabs>
        <w:spacing w:line="600" w:lineRule="exact"/>
        <w:ind w:firstLine="640"/>
        <w:outlineLvl w:val="1"/>
        <w:rPr>
          <w:rStyle w:val="29"/>
          <w:rFonts w:ascii="Times New Roman" w:hAnsi="Times New Roman"/>
          <w:color w:val="auto"/>
          <w:highlight w:val="none"/>
        </w:rPr>
      </w:pPr>
      <w:bookmarkStart w:id="28" w:name="_Toc15377214"/>
      <w:bookmarkStart w:id="29"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28"/>
      <w:bookmarkEnd w:id="29"/>
      <w:r>
        <w:rPr>
          <w:rStyle w:val="29"/>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365.45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319.79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45.66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pPr>
        <w:spacing w:line="600" w:lineRule="exact"/>
        <w:ind w:firstLine="640"/>
        <w:outlineLvl w:val="1"/>
        <w:rPr>
          <w:rStyle w:val="29"/>
          <w:rFonts w:ascii="Times New Roman" w:hAnsi="Times New Roman" w:eastAsia="黑体"/>
          <w:b w:val="0"/>
          <w:color w:val="auto"/>
          <w:highlight w:val="none"/>
        </w:rPr>
      </w:pPr>
      <w:bookmarkStart w:id="30" w:name="_Toc15396609"/>
      <w:bookmarkStart w:id="31" w:name="_Toc15377215"/>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30"/>
      <w:bookmarkEnd w:id="31"/>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25.07</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68.41</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w:t>
      </w:r>
      <w:r>
        <w:rPr>
          <w:rFonts w:hint="eastAsia" w:eastAsia="仿宋_GB2312" w:cs="仿宋_GB2312"/>
          <w:color w:val="auto"/>
          <w:kern w:val="2"/>
          <w:sz w:val="32"/>
          <w:szCs w:val="32"/>
          <w:highlight w:val="none"/>
          <w:lang w:val="en-US" w:eastAsia="zh-CN" w:bidi="ar-SA"/>
        </w:rPr>
        <w:t>减少0.16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0.63</w:t>
      </w:r>
      <w:r>
        <w:rPr>
          <w:rFonts w:hint="eastAsia" w:ascii="Times New Roman" w:hAnsi="Times New Roman" w:eastAsia="仿宋_GB2312" w:cs="仿宋_GB2312"/>
          <w:color w:val="auto"/>
          <w:kern w:val="2"/>
          <w:sz w:val="32"/>
          <w:szCs w:val="32"/>
          <w:highlight w:val="none"/>
          <w:lang w:val="en-US" w:eastAsia="zh-CN" w:bidi="ar-SA"/>
        </w:rPr>
        <w:t>%。决算数与预算数持平</w:t>
      </w:r>
      <w:r>
        <w:rPr>
          <w:rFonts w:hint="eastAsia"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3"/>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24.6</w:t>
      </w:r>
      <w:r>
        <w:rPr>
          <w:rFonts w:hint="eastAsia" w:ascii="仿宋_GB2312" w:hAnsi="仿宋_GB2312" w:eastAsia="仿宋_GB2312" w:cs="仿宋_GB2312"/>
          <w:color w:val="auto"/>
          <w:kern w:val="2"/>
          <w:sz w:val="32"/>
          <w:szCs w:val="32"/>
          <w:highlight w:val="none"/>
          <w:lang w:val="en-US" w:eastAsia="zh-CN" w:bidi="ar-SA"/>
        </w:rPr>
        <w:t>万元，占98.13%；公务接待费支出决算</w:t>
      </w:r>
      <w:r>
        <w:rPr>
          <w:rFonts w:hint="eastAsia" w:ascii="仿宋_GB2312" w:hAnsi="仿宋_GB2312" w:eastAsia="仿宋_GB2312" w:cs="仿宋_GB2312"/>
          <w:sz w:val="32"/>
          <w:szCs w:val="32"/>
        </w:rPr>
        <w:t>0.47</w:t>
      </w:r>
      <w:r>
        <w:rPr>
          <w:rFonts w:hint="eastAsia" w:ascii="仿宋_GB2312" w:hAnsi="仿宋_GB2312" w:eastAsia="仿宋_GB2312" w:cs="仿宋_GB2312"/>
          <w:color w:val="auto"/>
          <w:kern w:val="2"/>
          <w:sz w:val="32"/>
          <w:szCs w:val="32"/>
          <w:highlight w:val="none"/>
          <w:lang w:val="en-US" w:eastAsia="zh-CN" w:bidi="ar-SA"/>
        </w:rPr>
        <w:t>万元，占1.87%。具体情况如下：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1312" behindDoc="0" locked="0" layoutInCell="1" allowOverlap="1">
            <wp:simplePos x="0" y="0"/>
            <wp:positionH relativeFrom="column">
              <wp:posOffset>505460</wp:posOffset>
            </wp:positionH>
            <wp:positionV relativeFrom="paragraph">
              <wp:posOffset>526415</wp:posOffset>
            </wp:positionV>
            <wp:extent cx="4572000" cy="2766060"/>
            <wp:effectExtent l="4445" t="4445" r="14605" b="10795"/>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spacing w:line="600" w:lineRule="exact"/>
        <w:ind w:firstLine="642"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w:t>
      </w:r>
      <w:r>
        <w:rPr>
          <w:rFonts w:hint="default" w:eastAsia="方正仿宋_GBK"/>
          <w:bCs/>
          <w:color w:val="000000"/>
          <w:sz w:val="32"/>
          <w:szCs w:val="32"/>
        </w:rPr>
        <w:t>同上年无变化。</w:t>
      </w:r>
    </w:p>
    <w:p>
      <w:pPr>
        <w:spacing w:line="600" w:lineRule="exact"/>
        <w:ind w:firstLine="640"/>
        <w:rPr>
          <w:rFonts w:hint="eastAsia" w:ascii="Times New Roman" w:hAnsi="Times New Roman" w:eastAsia="方正仿宋_GBK"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24.6万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w:t>
      </w:r>
      <w:r>
        <w:rPr>
          <w:rFonts w:hint="default" w:eastAsia="方正仿宋_GBK"/>
          <w:sz w:val="32"/>
          <w:szCs w:val="32"/>
          <w:lang w:val="en-US" w:eastAsia="zh-CN"/>
        </w:rPr>
        <w:t>增加0.07</w:t>
      </w:r>
      <w:r>
        <w:rPr>
          <w:rFonts w:hint="default" w:eastAsia="方正仿宋_GBK"/>
          <w:sz w:val="32"/>
          <w:szCs w:val="32"/>
        </w:rPr>
        <w:t>万元，主要原因为</w:t>
      </w:r>
      <w:r>
        <w:rPr>
          <w:rFonts w:hint="default" w:eastAsia="方正仿宋_GBK"/>
          <w:sz w:val="32"/>
          <w:szCs w:val="32"/>
          <w:lang w:val="en-US" w:eastAsia="zh-CN"/>
        </w:rPr>
        <w:t>本年安排车辆大修一次</w:t>
      </w:r>
      <w:r>
        <w:rPr>
          <w:rFonts w:hint="default" w:eastAsia="方正仿宋_GBK"/>
          <w:sz w:val="32"/>
          <w:szCs w:val="32"/>
        </w:rPr>
        <w:t>，相关支出增加</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辆，截至2024年12月31日，单位共有公务用车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Times New Roman" w:hAnsi="Times New Roman" w:eastAsia="方正仿宋_GBK"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24.6</w:t>
      </w:r>
      <w:r>
        <w:rPr>
          <w:rFonts w:hint="eastAsia" w:ascii="Times New Roman" w:hAnsi="Times New Roman" w:eastAsia="仿宋_GB2312" w:cs="仿宋_GB2312"/>
          <w:color w:val="auto"/>
          <w:kern w:val="2"/>
          <w:sz w:val="32"/>
          <w:szCs w:val="32"/>
          <w:highlight w:val="none"/>
          <w:lang w:val="en-US" w:eastAsia="zh-CN" w:bidi="ar-SA"/>
        </w:rPr>
        <w:t>万元。</w:t>
      </w:r>
      <w:r>
        <w:rPr>
          <w:rFonts w:hint="default" w:eastAsia="方正仿宋_GBK"/>
          <w:color w:val="000000"/>
          <w:sz w:val="32"/>
          <w:szCs w:val="32"/>
        </w:rPr>
        <w:t>主要用于</w:t>
      </w:r>
      <w:r>
        <w:rPr>
          <w:rFonts w:hint="default" w:eastAsia="方正仿宋_GBK"/>
          <w:bCs/>
          <w:color w:val="000000"/>
          <w:sz w:val="32"/>
          <w:szCs w:val="32"/>
        </w:rPr>
        <w:t>出差、调研</w:t>
      </w:r>
      <w:r>
        <w:rPr>
          <w:rFonts w:hint="default" w:eastAsia="方正仿宋_GBK"/>
          <w:color w:val="000000"/>
          <w:sz w:val="32"/>
          <w:szCs w:val="32"/>
        </w:rPr>
        <w:t>等所需的公务用车燃料费、维修费、过路过桥费、保险费等支出</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0.47万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0.22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32.19</w:t>
      </w:r>
      <w:r>
        <w:rPr>
          <w:rFonts w:hint="eastAsia" w:ascii="Times New Roman" w:hAnsi="Times New Roman" w:eastAsia="仿宋_GB2312" w:cs="仿宋_GB2312"/>
          <w:color w:val="auto"/>
          <w:kern w:val="2"/>
          <w:sz w:val="32"/>
          <w:szCs w:val="32"/>
          <w:highlight w:val="none"/>
          <w:lang w:val="en-US" w:eastAsia="zh-CN" w:bidi="ar-SA"/>
        </w:rPr>
        <w:t>%。主要原因是本年系统内部交流减少，接待支出减少。其中：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0.47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default" w:eastAsia="方正仿宋_GBK"/>
          <w:color w:val="000000"/>
          <w:sz w:val="32"/>
          <w:szCs w:val="32"/>
        </w:rPr>
        <w:t>执行公务、开展业务活动开支的交通费、住宿费、用餐费等</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53</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0.47</w:t>
      </w:r>
      <w:r>
        <w:rPr>
          <w:rFonts w:hint="eastAsia" w:ascii="Times New Roman" w:hAnsi="Times New Roman" w:eastAsia="仿宋_GB2312" w:cs="仿宋_GB2312"/>
          <w:color w:val="auto"/>
          <w:kern w:val="2"/>
          <w:sz w:val="32"/>
          <w:szCs w:val="32"/>
          <w:highlight w:val="none"/>
          <w:lang w:val="en-US" w:eastAsia="zh-CN" w:bidi="ar-SA"/>
        </w:rPr>
        <w:t>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bookmarkStart w:id="34" w:name="_Toc15396610"/>
      <w:bookmarkStart w:id="35" w:name="_Toc15377218"/>
    </w:p>
    <w:p>
      <w:pPr>
        <w:spacing w:line="600" w:lineRule="exact"/>
        <w:ind w:firstLine="640"/>
        <w:outlineLvl w:val="1"/>
        <w:rPr>
          <w:rStyle w:val="29"/>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34"/>
      <w:bookmarkEnd w:id="3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36" w:name="_Toc15396611"/>
      <w:bookmarkStart w:id="37" w:name="_Toc15377219"/>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36"/>
      <w:bookmarkEnd w:id="3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bookmarkStart w:id="38" w:name="_Toc15377221"/>
      <w:bookmarkStart w:id="39" w:name="_Toc15396612"/>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38"/>
      <w:bookmarkEnd w:id="39"/>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阿坝藏族羌族自治州工商业联合会</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45.66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53.79</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54.09</w:t>
      </w:r>
      <w:r>
        <w:rPr>
          <w:rFonts w:hint="eastAsia" w:ascii="Times New Roman" w:hAnsi="Times New Roman" w:eastAsia="仿宋_GB2312" w:cs="仿宋_GB2312"/>
          <w:color w:val="auto"/>
          <w:kern w:val="2"/>
          <w:sz w:val="32"/>
          <w:szCs w:val="32"/>
          <w:highlight w:val="none"/>
          <w:lang w:val="en-US" w:eastAsia="zh-CN" w:bidi="ar-SA"/>
        </w:rPr>
        <w:t>%。主要原因是本年厉行节约，压减经费，支出减少。</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阿坝藏族羌族自治州工商业联合会</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4.07</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4.07</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w:t>
      </w:r>
      <w:r>
        <w:rPr>
          <w:rFonts w:hint="eastAsia" w:ascii="仿宋_GB2312" w:eastAsia="仿宋_GB2312"/>
          <w:sz w:val="32"/>
          <w:szCs w:val="32"/>
          <w:lang w:bidi="ar-SA"/>
        </w:rPr>
        <w:t>采购办公设备</w:t>
      </w:r>
      <w:r>
        <w:rPr>
          <w:rFonts w:hint="eastAsia" w:ascii="仿宋_GB2312" w:hAnsi="仿宋_GB2312" w:eastAsia="仿宋_GB2312" w:cs="仿宋_GB2312"/>
          <w:color w:val="auto"/>
          <w:kern w:val="2"/>
          <w:sz w:val="32"/>
          <w:szCs w:val="32"/>
          <w:highlight w:val="none"/>
          <w:lang w:val="en-US" w:eastAsia="zh-CN" w:bidi="ar-SA"/>
        </w:rPr>
        <w:t>。授予中小企业合同金额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阿坝藏族羌族自治州工商业联合会</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根据预算绩效管理要求，本部门在2024年度预算编制阶段，组织对</w:t>
      </w:r>
      <w:r>
        <w:rPr>
          <w:rFonts w:hint="eastAsia" w:eastAsia="仿宋_GB2312" w:cs="仿宋_GB2312"/>
          <w:color w:val="auto"/>
          <w:kern w:val="2"/>
          <w:sz w:val="32"/>
          <w:szCs w:val="32"/>
          <w:highlight w:val="none"/>
          <w:lang w:val="en-US" w:eastAsia="zh-CN" w:bidi="ar-SA"/>
        </w:rPr>
        <w:t>13</w:t>
      </w:r>
      <w:r>
        <w:rPr>
          <w:rFonts w:hint="eastAsia" w:ascii="Times New Roman" w:hAnsi="Times New Roman" w:eastAsia="仿宋_GB2312" w:cs="仿宋_GB2312"/>
          <w:color w:val="auto"/>
          <w:kern w:val="2"/>
          <w:sz w:val="32"/>
          <w:szCs w:val="32"/>
          <w:highlight w:val="none"/>
          <w:lang w:val="en-US" w:eastAsia="zh-CN" w:bidi="ar-SA"/>
        </w:rPr>
        <w:t>个项目“考察调研工作经费”“工商联人民调解委员会工作经费”“参政议政工作经费”“阿坝州总商会成都办事处工作经费”“ 非公有制经济人及工商联干部职工培训费”</w:t>
      </w:r>
      <w:r>
        <w:rPr>
          <w:rFonts w:hint="eastAsia" w:eastAsia="仿宋_GB2312" w:cs="仿宋_GB2312"/>
          <w:color w:val="auto"/>
          <w:kern w:val="2"/>
          <w:sz w:val="32"/>
          <w:szCs w:val="32"/>
          <w:highlight w:val="none"/>
          <w:lang w:val="en-US" w:eastAsia="zh-CN" w:bidi="ar-SA"/>
        </w:rPr>
        <w:t>“</w:t>
      </w:r>
      <w:r>
        <w:rPr>
          <w:rFonts w:hint="default" w:eastAsia="方正仿宋_GBK"/>
          <w:sz w:val="32"/>
          <w:szCs w:val="32"/>
        </w:rPr>
        <w:t>会员服务中心经费</w:t>
      </w:r>
      <w:r>
        <w:rPr>
          <w:rFonts w:hint="eastAsia" w:eastAsia="仿宋_GB2312" w:cs="仿宋_GB2312"/>
          <w:color w:val="auto"/>
          <w:kern w:val="2"/>
          <w:sz w:val="32"/>
          <w:szCs w:val="32"/>
          <w:highlight w:val="none"/>
          <w:lang w:val="en-US" w:eastAsia="zh-CN" w:bidi="ar-SA"/>
        </w:rPr>
        <w:t>”“</w:t>
      </w:r>
      <w:r>
        <w:rPr>
          <w:rFonts w:hint="default" w:eastAsia="方正仿宋_GBK"/>
          <w:sz w:val="32"/>
          <w:szCs w:val="32"/>
          <w:lang w:eastAsia="zh-CN"/>
        </w:rPr>
        <w:t>异地商会工作经费</w:t>
      </w:r>
      <w:r>
        <w:rPr>
          <w:rFonts w:hint="eastAsia" w:eastAsia="仿宋_GB2312" w:cs="仿宋_GB2312"/>
          <w:color w:val="auto"/>
          <w:kern w:val="2"/>
          <w:sz w:val="32"/>
          <w:szCs w:val="32"/>
          <w:highlight w:val="none"/>
          <w:lang w:val="en-US" w:eastAsia="zh-CN" w:bidi="ar-SA"/>
        </w:rPr>
        <w:t>”“</w:t>
      </w:r>
      <w:r>
        <w:rPr>
          <w:rFonts w:hint="default" w:eastAsia="方正仿宋_GBK"/>
          <w:sz w:val="32"/>
          <w:szCs w:val="32"/>
          <w:lang w:val="en-US" w:eastAsia="zh-CN"/>
        </w:rPr>
        <w:t>第三方监督评估机制工作专项经费</w:t>
      </w:r>
      <w:r>
        <w:rPr>
          <w:rFonts w:hint="eastAsia" w:eastAsia="仿宋_GB2312" w:cs="仿宋_GB2312"/>
          <w:color w:val="auto"/>
          <w:kern w:val="2"/>
          <w:sz w:val="32"/>
          <w:szCs w:val="32"/>
          <w:highlight w:val="none"/>
          <w:lang w:val="en-US" w:eastAsia="zh-CN" w:bidi="ar-SA"/>
        </w:rPr>
        <w:t>”“</w:t>
      </w:r>
      <w:r>
        <w:rPr>
          <w:rFonts w:hint="default" w:eastAsia="方正仿宋_GBK"/>
          <w:sz w:val="32"/>
          <w:szCs w:val="32"/>
          <w:lang w:val="en-US" w:eastAsia="zh-CN"/>
        </w:rPr>
        <w:t>推动民营企业建立现代企业制度工作经费</w:t>
      </w:r>
      <w:r>
        <w:rPr>
          <w:rFonts w:hint="eastAsia" w:eastAsia="仿宋_GB2312" w:cs="仿宋_GB2312"/>
          <w:color w:val="auto"/>
          <w:kern w:val="2"/>
          <w:sz w:val="32"/>
          <w:szCs w:val="32"/>
          <w:highlight w:val="none"/>
          <w:lang w:val="en-US" w:eastAsia="zh-CN" w:bidi="ar-SA"/>
        </w:rPr>
        <w:t>”“</w:t>
      </w:r>
      <w:r>
        <w:rPr>
          <w:rFonts w:hint="default" w:eastAsia="方正仿宋_GBK"/>
          <w:sz w:val="32"/>
          <w:szCs w:val="32"/>
          <w:lang w:val="en-US" w:eastAsia="zh-CN"/>
        </w:rPr>
        <w:t>评价营商环境工作经费</w:t>
      </w:r>
      <w:r>
        <w:rPr>
          <w:rFonts w:hint="eastAsia" w:eastAsia="仿宋_GB2312" w:cs="仿宋_GB2312"/>
          <w:color w:val="auto"/>
          <w:kern w:val="2"/>
          <w:sz w:val="32"/>
          <w:szCs w:val="32"/>
          <w:highlight w:val="none"/>
          <w:lang w:val="en-US" w:eastAsia="zh-CN" w:bidi="ar-SA"/>
        </w:rPr>
        <w:t>”</w:t>
      </w:r>
      <w:r>
        <w:rPr>
          <w:rFonts w:hint="eastAsia" w:eastAsia="方正仿宋_GBK"/>
          <w:sz w:val="32"/>
          <w:szCs w:val="32"/>
          <w:lang w:eastAsia="zh-CN"/>
        </w:rPr>
        <w:t>“</w:t>
      </w:r>
      <w:r>
        <w:rPr>
          <w:rFonts w:hint="default" w:eastAsia="方正仿宋_GBK"/>
          <w:sz w:val="32"/>
          <w:szCs w:val="32"/>
        </w:rPr>
        <w:t>阿坝州浙江温州商会工作经费</w:t>
      </w:r>
      <w:r>
        <w:rPr>
          <w:rFonts w:hint="eastAsia" w:eastAsia="方正仿宋_GBK"/>
          <w:sz w:val="32"/>
          <w:szCs w:val="32"/>
          <w:lang w:eastAsia="zh-CN"/>
        </w:rPr>
        <w:t>”“</w:t>
      </w:r>
      <w:r>
        <w:rPr>
          <w:rFonts w:hint="default" w:eastAsia="方正仿宋_GBK"/>
          <w:sz w:val="32"/>
          <w:szCs w:val="32"/>
        </w:rPr>
        <w:t>024年浙江援建项目-阿坝州交往交流交融项目</w:t>
      </w:r>
      <w:r>
        <w:rPr>
          <w:rFonts w:hint="eastAsia" w:eastAsia="方正仿宋_GBK"/>
          <w:sz w:val="32"/>
          <w:szCs w:val="32"/>
          <w:lang w:eastAsia="zh-CN"/>
        </w:rPr>
        <w:t>”“</w:t>
      </w:r>
      <w:r>
        <w:rPr>
          <w:rFonts w:hint="default" w:eastAsia="方正仿宋_GBK"/>
          <w:sz w:val="32"/>
          <w:szCs w:val="32"/>
        </w:rPr>
        <w:t>车辆大修费</w:t>
      </w:r>
      <w:r>
        <w:rPr>
          <w:rFonts w:hint="eastAsia" w:eastAsia="方正仿宋_GBK"/>
          <w:sz w:val="32"/>
          <w:szCs w:val="32"/>
          <w:lang w:eastAsia="zh-CN"/>
        </w:rPr>
        <w:t>”“</w:t>
      </w:r>
      <w:r>
        <w:rPr>
          <w:rFonts w:hint="default" w:eastAsia="方正仿宋_GBK"/>
          <w:sz w:val="32"/>
          <w:szCs w:val="32"/>
          <w:lang w:val="en-US" w:eastAsia="zh-CN"/>
        </w:rPr>
        <w:t>办公设备政府采购经费</w:t>
      </w:r>
      <w:r>
        <w:rPr>
          <w:rFonts w:hint="eastAsia" w:eastAsia="方正仿宋_GBK"/>
          <w:sz w:val="32"/>
          <w:szCs w:val="32"/>
          <w:lang w:eastAsia="zh-CN"/>
        </w:rPr>
        <w:t>”</w:t>
      </w:r>
      <w:r>
        <w:rPr>
          <w:rFonts w:hint="eastAsia" w:ascii="Times New Roman" w:hAnsi="Times New Roman" w:eastAsia="仿宋_GB2312" w:cs="仿宋_GB2312"/>
          <w:color w:val="auto"/>
          <w:kern w:val="2"/>
          <w:sz w:val="32"/>
          <w:szCs w:val="32"/>
          <w:highlight w:val="none"/>
          <w:lang w:val="en-US" w:eastAsia="zh-CN" w:bidi="ar-SA"/>
        </w:rPr>
        <w:t>开展了预算事前绩效评估，对</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年度一般公共预算、政府性基金预算、国有资本经营预算、社会保险基金预算以及资本资产、债券资金等全面开展绩效自评，形成202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年度阿坝州工商联部门整体绩效评价报告绩效自评报告，其中，202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年度阿坝州工商联部门整体绩效评价报告绩效自评得分为</w:t>
      </w:r>
      <w:r>
        <w:rPr>
          <w:rFonts w:hint="eastAsia" w:eastAsia="仿宋_GB2312" w:cs="仿宋_GB2312"/>
          <w:color w:val="auto"/>
          <w:kern w:val="2"/>
          <w:sz w:val="32"/>
          <w:szCs w:val="32"/>
          <w:highlight w:val="none"/>
          <w:lang w:val="en-US" w:eastAsia="zh-CN" w:bidi="ar-SA"/>
        </w:rPr>
        <w:t>91.5</w:t>
      </w:r>
      <w:r>
        <w:rPr>
          <w:rFonts w:hint="eastAsia" w:ascii="Times New Roman" w:hAnsi="Times New Roman" w:eastAsia="仿宋_GB2312" w:cs="仿宋_GB2312"/>
          <w:color w:val="auto"/>
          <w:kern w:val="2"/>
          <w:sz w:val="32"/>
          <w:szCs w:val="32"/>
          <w:highlight w:val="none"/>
          <w:lang w:val="en-US" w:eastAsia="zh-CN" w:bidi="ar-SA"/>
        </w:rPr>
        <w:t>分，绩效自评综述：及时、准确、优质地完成预算编制；支出管理规范，资金管理制度较为完善，会计核算和账务处理规范，会计资料完整；预算执行情况良好，项目资金合理使用；取得了显著的经济、社会效益，圆满完成了州委、州政府下达的目标任务。绩效自评报告《202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年阿坝州工商联部门整体绩效评价报告》及项目自评表详见附件(第四部分)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3" w:name="_Toc15377225"/>
      <w:bookmarkStart w:id="44"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3"/>
      <w:bookmarkEnd w:id="44"/>
    </w:p>
    <w:p>
      <w:pPr>
        <w:spacing w:line="600" w:lineRule="exact"/>
        <w:jc w:val="left"/>
        <w:rPr>
          <w:rFonts w:ascii="Times New Roman" w:hAnsi="Times New Roman"/>
          <w:b/>
          <w:color w:val="auto"/>
          <w:sz w:val="44"/>
          <w:szCs w:val="44"/>
          <w:highlight w:val="none"/>
        </w:rPr>
      </w:pPr>
    </w:p>
    <w:p>
      <w:pPr>
        <w:pStyle w:val="26"/>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1.财政拨款收入：指单位从同级财政部门取得的财政预算资金。</w:t>
      </w:r>
    </w:p>
    <w:p>
      <w:pPr>
        <w:pStyle w:val="26"/>
        <w:spacing w:line="560" w:lineRule="exact"/>
        <w:ind w:firstLine="640" w:firstLineChars="20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highlight w:val="none"/>
          <w:lang w:bidi="ar-SA"/>
        </w:rPr>
        <w:t>2.</w:t>
      </w:r>
      <w:r>
        <w:rPr>
          <w:rFonts w:hint="default" w:ascii="Times New Roman" w:hAnsi="Times New Roman" w:eastAsia="方正仿宋_GBK" w:cs="Times New Roman"/>
          <w:color w:val="auto"/>
          <w:kern w:val="2"/>
          <w:sz w:val="32"/>
          <w:szCs w:val="32"/>
          <w:lang w:val="en-US" w:eastAsia="zh-CN" w:bidi="ar-SA"/>
        </w:rPr>
        <w:t>其他收入：指单位取得的除财政收入以外的各项收入。</w:t>
      </w:r>
    </w:p>
    <w:p>
      <w:pPr>
        <w:pStyle w:val="26"/>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方正仿宋_GBK" w:cs="Times New Roman"/>
          <w:sz w:val="32"/>
          <w:szCs w:val="32"/>
          <w:lang w:bidi="ar-SA"/>
        </w:rPr>
      </w:pPr>
      <w:r>
        <w:rPr>
          <w:rFonts w:hint="default" w:ascii="Times New Roman" w:hAnsi="Times New Roman" w:eastAsia="方正仿宋_GBK" w:cs="Times New Roman"/>
          <w:sz w:val="32"/>
          <w:szCs w:val="32"/>
          <w:lang w:bidi="ar-SA"/>
        </w:rPr>
        <w:t>3结余分配：</w:t>
      </w:r>
      <w:r>
        <w:rPr>
          <w:rFonts w:hint="default" w:ascii="Times New Roman" w:hAnsi="Times New Roman" w:eastAsia="方正仿宋_GBK" w:cs="Times New Roman"/>
          <w:color w:val="auto"/>
          <w:sz w:val="32"/>
          <w:szCs w:val="32"/>
          <w:highlight w:val="none"/>
          <w:lang w:bidi="ar-SA"/>
        </w:rPr>
        <w:t>指事业单位按照会计制度规定</w:t>
      </w:r>
      <w:r>
        <w:rPr>
          <w:rFonts w:hint="default" w:ascii="Times New Roman" w:hAnsi="Times New Roman" w:eastAsia="方正仿宋_GBK" w:cs="Times New Roman"/>
          <w:color w:val="auto"/>
          <w:sz w:val="32"/>
          <w:szCs w:val="32"/>
          <w:highlight w:val="none"/>
          <w:lang w:eastAsia="zh-CN" w:bidi="ar-SA"/>
        </w:rPr>
        <w:t>缴纳的所得税、提取的专用结余以及转入非财政拨款结余的金额</w:t>
      </w:r>
      <w:r>
        <w:rPr>
          <w:rFonts w:hint="default" w:ascii="Times New Roman" w:hAnsi="Times New Roman" w:eastAsia="方正仿宋_GBK" w:cs="Times New Roman"/>
          <w:color w:val="auto"/>
          <w:sz w:val="32"/>
          <w:szCs w:val="32"/>
          <w:highlight w:val="none"/>
          <w:lang w:bidi="ar-SA"/>
        </w:rPr>
        <w:t>等。</w:t>
      </w:r>
    </w:p>
    <w:p>
      <w:pPr>
        <w:pStyle w:val="26"/>
        <w:spacing w:line="560" w:lineRule="exact"/>
        <w:ind w:firstLine="640" w:firstLineChars="200"/>
        <w:rPr>
          <w:rFonts w:hint="default" w:ascii="Times New Roman" w:hAnsi="Times New Roman" w:eastAsia="方正仿宋_GBK" w:cs="Times New Roman"/>
          <w:color w:val="auto"/>
          <w:sz w:val="32"/>
          <w:szCs w:val="32"/>
          <w:lang w:bidi="ar-SA"/>
        </w:rPr>
      </w:pPr>
      <w:r>
        <w:rPr>
          <w:rFonts w:hint="default" w:ascii="Times New Roman" w:hAnsi="Times New Roman" w:eastAsia="方正仿宋_GBK" w:cs="Times New Roman"/>
          <w:sz w:val="32"/>
          <w:szCs w:val="32"/>
          <w:lang w:bidi="ar-SA"/>
        </w:rPr>
        <w:t>4.年末结转和结余：</w:t>
      </w:r>
      <w:r>
        <w:rPr>
          <w:rFonts w:hint="default" w:ascii="Times New Roman" w:hAnsi="Times New Roman" w:eastAsia="方正仿宋_GBK" w:cs="Times New Roman"/>
          <w:color w:val="auto"/>
          <w:sz w:val="32"/>
          <w:szCs w:val="32"/>
          <w:highlight w:val="none"/>
          <w:lang w:bidi="ar-SA"/>
        </w:rPr>
        <w:t>指单位按有关规定结转到下年或以后年度继续使用的资金。</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eastAsia="方正仿宋_GBK"/>
          <w:color w:val="000000"/>
          <w:sz w:val="32"/>
          <w:szCs w:val="32"/>
        </w:rPr>
      </w:pPr>
      <w:r>
        <w:rPr>
          <w:rFonts w:hint="default" w:eastAsia="方正仿宋_GBK"/>
          <w:color w:val="000000"/>
          <w:sz w:val="32"/>
          <w:szCs w:val="32"/>
        </w:rPr>
        <w:t>5.一般公共服务（类）民主党派及工商联事务（款）行政运行（项）：指单位用于各民主党派（包括民革、民盟、民建、民进、农工、致公、九三、台盟等）及办事机构的支出，工商联的支出。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eastAsia="方正仿宋_GBK"/>
          <w:color w:val="000000"/>
          <w:sz w:val="32"/>
          <w:szCs w:val="32"/>
        </w:rPr>
      </w:pPr>
      <w:r>
        <w:rPr>
          <w:rFonts w:hint="default" w:eastAsia="方正仿宋_GBK"/>
          <w:color w:val="000000"/>
          <w:sz w:val="32"/>
          <w:szCs w:val="32"/>
        </w:rPr>
        <w:t>6.一般公共服务（类）民主党派及工商联事务（款）  一般行政管理事务（项）：指单位除其他项目以外其他用于民主党派及工商联事务方面的支出。</w:t>
      </w:r>
    </w:p>
    <w:p>
      <w:pPr>
        <w:keepNext w:val="0"/>
        <w:keepLines w:val="0"/>
        <w:pageBreakBefore w:val="0"/>
        <w:widowControl w:val="0"/>
        <w:kinsoku/>
        <w:wordWrap/>
        <w:overflowPunct/>
        <w:topLinePunct w:val="0"/>
        <w:snapToGrid/>
        <w:spacing w:line="560" w:lineRule="exact"/>
        <w:ind w:firstLine="640" w:firstLineChars="200"/>
        <w:rPr>
          <w:rFonts w:hint="default" w:eastAsia="方正仿宋_GBK"/>
          <w:color w:val="000000"/>
          <w:sz w:val="32"/>
          <w:szCs w:val="32"/>
        </w:rPr>
      </w:pPr>
      <w:r>
        <w:rPr>
          <w:rFonts w:hint="default" w:eastAsia="方正仿宋_GBK"/>
          <w:color w:val="000000"/>
          <w:sz w:val="32"/>
          <w:szCs w:val="32"/>
        </w:rPr>
        <w:t>7..社会保障和就业（类）行政事业单位离退休（款）机关事业单位基本养老保险缴费支出（项）：指单位实施养老保险制度由单位缴纳的基本养老保险费支出。</w:t>
      </w:r>
    </w:p>
    <w:p>
      <w:pPr>
        <w:keepNext w:val="0"/>
        <w:keepLines w:val="0"/>
        <w:pageBreakBefore w:val="0"/>
        <w:widowControl w:val="0"/>
        <w:kinsoku/>
        <w:wordWrap/>
        <w:overflowPunct/>
        <w:topLinePunct w:val="0"/>
        <w:snapToGrid/>
        <w:spacing w:line="560" w:lineRule="exact"/>
        <w:ind w:firstLine="640" w:firstLineChars="200"/>
        <w:rPr>
          <w:rFonts w:hint="default" w:eastAsia="方正仿宋_GBK"/>
          <w:color w:val="000000"/>
          <w:sz w:val="32"/>
          <w:szCs w:val="32"/>
        </w:rPr>
      </w:pPr>
      <w:r>
        <w:rPr>
          <w:rFonts w:hint="default" w:eastAsia="方正仿宋_GBK"/>
          <w:color w:val="000000"/>
          <w:sz w:val="32"/>
          <w:szCs w:val="32"/>
        </w:rPr>
        <w:t>8. 社会保障和就业（类）行政事业单位离退休（款）机关事业单位职业年金缴费支出（项）：指单位实施养老保险制度由单位缴纳的职业年金支出。</w:t>
      </w:r>
    </w:p>
    <w:p>
      <w:pPr>
        <w:keepNext w:val="0"/>
        <w:keepLines w:val="0"/>
        <w:pageBreakBefore w:val="0"/>
        <w:widowControl w:val="0"/>
        <w:kinsoku/>
        <w:wordWrap/>
        <w:overflowPunct/>
        <w:topLinePunct w:val="0"/>
        <w:snapToGrid/>
        <w:spacing w:line="560" w:lineRule="exact"/>
        <w:ind w:firstLine="640" w:firstLineChars="200"/>
        <w:rPr>
          <w:rFonts w:hint="default" w:eastAsia="方正仿宋_GBK"/>
          <w:color w:val="000000"/>
          <w:sz w:val="32"/>
          <w:szCs w:val="32"/>
        </w:rPr>
      </w:pPr>
      <w:r>
        <w:rPr>
          <w:rFonts w:hint="default" w:eastAsia="方正仿宋_GBK"/>
          <w:color w:val="000000"/>
          <w:sz w:val="32"/>
          <w:szCs w:val="32"/>
        </w:rPr>
        <w:t>9.医疗卫生与计划生育（类）行政事业单位医疗</w:t>
      </w:r>
      <w:r>
        <w:rPr>
          <w:rFonts w:hint="default" w:eastAsia="方正仿宋_GBK"/>
          <w:sz w:val="32"/>
          <w:szCs w:val="32"/>
        </w:rPr>
        <w:t>（款）行政单位医疗（项）：指财政部门集中安排的行政单位基本医疗保险缴费经费，未参加医疗保险的行政单位的公费，按国家规定享受离休人员、红军老战士待遇人员的医疗的医疗经费</w:t>
      </w:r>
    </w:p>
    <w:p>
      <w:pPr>
        <w:keepNext w:val="0"/>
        <w:keepLines w:val="0"/>
        <w:pageBreakBefore w:val="0"/>
        <w:widowControl w:val="0"/>
        <w:kinsoku/>
        <w:wordWrap/>
        <w:overflowPunct/>
        <w:topLinePunct w:val="0"/>
        <w:snapToGrid/>
        <w:spacing w:line="560" w:lineRule="exact"/>
        <w:ind w:firstLine="640" w:firstLineChars="200"/>
        <w:rPr>
          <w:rFonts w:hint="default" w:eastAsia="方正仿宋_GBK"/>
          <w:color w:val="000000"/>
          <w:sz w:val="32"/>
          <w:szCs w:val="32"/>
        </w:rPr>
      </w:pPr>
      <w:r>
        <w:rPr>
          <w:rFonts w:hint="default" w:eastAsia="方正仿宋_GBK"/>
          <w:color w:val="000000"/>
          <w:sz w:val="32"/>
          <w:szCs w:val="32"/>
        </w:rPr>
        <w:t>10.住房保障（类）住房改革支出（款）住房公积金（项）：指反映单位按人力资源和社会保障部、财政部规定的基本工资和津贴补贴以及规定比例为职工缴纳的住房公积金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eastAsia="方正仿宋_GBK"/>
          <w:color w:val="000000"/>
          <w:sz w:val="32"/>
          <w:szCs w:val="32"/>
        </w:rPr>
      </w:pPr>
      <w:r>
        <w:rPr>
          <w:rFonts w:hint="default" w:eastAsia="方正仿宋_GBK"/>
          <w:color w:val="000000"/>
          <w:sz w:val="32"/>
          <w:szCs w:val="32"/>
        </w:rPr>
        <w:t>11.基本支出：指为保障机构正常运转、完成日常工作任务而发生的人员支出和公用支出。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eastAsia="方正仿宋_GBK"/>
          <w:color w:val="000000"/>
          <w:sz w:val="32"/>
          <w:szCs w:val="32"/>
        </w:rPr>
      </w:pPr>
      <w:r>
        <w:rPr>
          <w:rFonts w:hint="default" w:eastAsia="方正仿宋_GBK"/>
          <w:color w:val="000000"/>
          <w:sz w:val="32"/>
          <w:szCs w:val="32"/>
        </w:rPr>
        <w:t xml:space="preserve">12.项目支出：指在基本支出之外为完成特定行政任务和事业发展目标所发生的支出。 </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eastAsia="方正仿宋_GBK"/>
          <w:color w:val="000000"/>
          <w:sz w:val="32"/>
          <w:szCs w:val="32"/>
        </w:rPr>
      </w:pPr>
      <w:r>
        <w:rPr>
          <w:rFonts w:hint="default" w:eastAsia="方正仿宋_GBK"/>
          <w:sz w:val="32"/>
          <w:szCs w:val="32"/>
        </w:rPr>
        <w:t>13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default" w:ascii="Times New Roman" w:hAnsi="Times New Roman" w:eastAsia="方正仿宋_GBK" w:cs="Times New Roman"/>
          <w:sz w:val="32"/>
          <w:szCs w:val="32"/>
          <w:lang w:bidi="ar-SA"/>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Fonts w:hint="default" w:ascii="Times New Roman" w:hAnsi="Times New Roman" w:eastAsia="仿宋_GB2312" w:cs="Times New Roman"/>
          <w:sz w:val="32"/>
          <w:szCs w:val="32"/>
          <w:highlight w:val="none"/>
          <w:shd w:val="clear" w:color="auto" w:fill="FFFFFF"/>
        </w:rPr>
      </w:pPr>
      <w:bookmarkStart w:id="45"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46"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6"/>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阿坝州工商联</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202</w:t>
      </w:r>
      <w:r>
        <w:rPr>
          <w:rFonts w:hint="eastAsia" w:ascii="方正小标宋简体" w:hAnsi="Times New Roman" w:eastAsia="方正小标宋简体" w:cs="Times New Roman"/>
          <w:sz w:val="44"/>
          <w:szCs w:val="44"/>
          <w:lang w:val="en-US" w:eastAsia="zh-CN"/>
        </w:rPr>
        <w:t>4</w:t>
      </w:r>
      <w:r>
        <w:rPr>
          <w:rFonts w:hint="eastAsia" w:ascii="方正小标宋简体" w:hAnsi="Times New Roman" w:eastAsia="方正小标宋简体" w:cs="Times New Roman"/>
          <w:sz w:val="44"/>
          <w:szCs w:val="44"/>
        </w:rPr>
        <w:t>年部门整体支出绩效报告　</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ascii="Times New Roman" w:hAnsi="Times New Roman" w:eastAsia="方正小标宋简体" w:cs="Times New Roman"/>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ind w:firstLine="800" w:firstLineChars="250"/>
        <w:jc w:val="left"/>
        <w:textAlignment w:val="auto"/>
        <w:rPr>
          <w:rFonts w:ascii="Times New Roman" w:hAnsi="Times New Roman" w:eastAsia="黑体" w:cs="Times New Roman"/>
          <w:color w:val="000000"/>
          <w:kern w:val="0"/>
          <w:sz w:val="32"/>
          <w:szCs w:val="32"/>
          <w:lang w:val="zh-CN" w:eastAsia="zh-CN"/>
        </w:rPr>
      </w:pPr>
      <w:r>
        <w:rPr>
          <w:rFonts w:ascii="Times New Roman" w:hAnsi="Times New Roman" w:eastAsia="黑体" w:cs="Times New Roman"/>
          <w:color w:val="000000"/>
          <w:kern w:val="0"/>
          <w:sz w:val="32"/>
          <w:szCs w:val="32"/>
        </w:rPr>
        <w:t>一、</w:t>
      </w:r>
      <w:r>
        <w:rPr>
          <w:rFonts w:ascii="Times New Roman" w:hAnsi="Times New Roman" w:eastAsia="黑体" w:cs="Times New Roman"/>
          <w:color w:val="000000"/>
          <w:kern w:val="0"/>
          <w:sz w:val="32"/>
          <w:szCs w:val="32"/>
          <w:lang w:val="zh-CN" w:eastAsia="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ascii="Times New Roman" w:hAnsi="Times New Roman" w:eastAsia="仿宋_GB2312" w:cs="Times New Roman"/>
          <w:b/>
          <w:color w:val="000000"/>
          <w:kern w:val="0"/>
          <w:sz w:val="32"/>
          <w:szCs w:val="32"/>
          <w:lang w:val="zh-CN" w:eastAsia="zh-CN"/>
        </w:rPr>
      </w:pPr>
      <w:r>
        <w:rPr>
          <w:rFonts w:ascii="Times New Roman" w:hAnsi="Times New Roman" w:eastAsia="仿宋_GB2312" w:cs="Times New Roman"/>
          <w:b/>
          <w:color w:val="000000"/>
          <w:kern w:val="0"/>
          <w:sz w:val="32"/>
          <w:szCs w:val="32"/>
          <w:lang w:val="zh-CN" w:eastAsia="zh-CN"/>
        </w:rPr>
        <w:t>（一）机构组成。</w:t>
      </w:r>
    </w:p>
    <w:p>
      <w:pPr>
        <w:keepNext w:val="0"/>
        <w:keepLines w:val="0"/>
        <w:pageBreakBefore w:val="0"/>
        <w:widowControl w:val="0"/>
        <w:kinsoku/>
        <w:wordWrap/>
        <w:overflowPunct/>
        <w:topLinePunct w:val="0"/>
        <w:autoSpaceDE/>
        <w:autoSpaceDN/>
        <w:bidi w:val="0"/>
        <w:spacing w:after="120" w:line="560" w:lineRule="exact"/>
        <w:ind w:firstLine="640" w:firstLineChars="200"/>
        <w:jc w:val="left"/>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本部门为一级预算单位，内设机构3个，执行行政单位会计制度。</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ascii="Times New Roman" w:hAnsi="Times New Roman" w:eastAsia="仿宋_GB2312" w:cs="Times New Roman"/>
          <w:b/>
          <w:color w:val="000000"/>
          <w:kern w:val="0"/>
          <w:sz w:val="32"/>
          <w:szCs w:val="32"/>
          <w:lang w:val="zh-CN" w:eastAsia="zh-CN"/>
        </w:rPr>
      </w:pPr>
      <w:r>
        <w:rPr>
          <w:rFonts w:ascii="Times New Roman" w:hAnsi="Times New Roman" w:eastAsia="仿宋_GB2312" w:cs="Times New Roman"/>
          <w:b/>
          <w:color w:val="000000"/>
          <w:kern w:val="0"/>
          <w:sz w:val="32"/>
          <w:szCs w:val="32"/>
          <w:lang w:val="zh-CN" w:eastAsia="zh-CN"/>
        </w:rPr>
        <w:t>（二）机构职能。</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ascii="Times New Roman" w:hAnsi="Times New Roman" w:eastAsia="仿宋_GB2312" w:cs="Times New Roman"/>
          <w:sz w:val="32"/>
          <w:szCs w:val="32"/>
          <w:lang w:val="zh-CN" w:eastAsia="zh-CN"/>
        </w:rPr>
      </w:pPr>
      <w:r>
        <w:rPr>
          <w:rFonts w:ascii="Times New Roman" w:hAnsi="Times New Roman" w:eastAsia="仿宋_GB2312" w:cs="Times New Roman"/>
          <w:sz w:val="32"/>
          <w:szCs w:val="32"/>
        </w:rPr>
        <w:t>根据《中华全国工商业联合会章程》、《中共中央 国务院关于加强和改进新形式下工商联工作的意见》（中发〔2010〕16号）文件规定，工商联是中国共产党领导的以非公有制企业和非公有制经济人士为主体的人民团体和商会组织，是党和政府联系非公有制经济人士的桥梁和纽带，是政府管理非公有制经济的助手。加强非公有制经济代表人士思想政治工作；引导非公有制经济和非公有制经济代表人士健康成长；积极参政议政、发挥民主监督作用；服务非公有制经济发展，参加各种商务活动；履行社会团体业务主管单位职责，促进行业协会商会改革发展是工商联的主要职责。</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ascii="Times New Roman" w:hAnsi="Times New Roman" w:eastAsia="仿宋_GB2312" w:cs="Times New Roman"/>
          <w:b/>
          <w:color w:val="000000"/>
          <w:kern w:val="0"/>
          <w:sz w:val="32"/>
          <w:szCs w:val="32"/>
          <w:lang w:val="zh-CN" w:eastAsia="zh-CN"/>
        </w:rPr>
      </w:pPr>
      <w:r>
        <w:rPr>
          <w:rFonts w:ascii="Times New Roman" w:hAnsi="Times New Roman" w:eastAsia="仿宋_GB2312" w:cs="Times New Roman"/>
          <w:b/>
          <w:color w:val="000000"/>
          <w:kern w:val="0"/>
          <w:sz w:val="32"/>
          <w:szCs w:val="32"/>
          <w:lang w:val="zh-CN" w:eastAsia="zh-CN"/>
        </w:rPr>
        <w:t>（三）人员概况。</w:t>
      </w:r>
    </w:p>
    <w:p>
      <w:pPr>
        <w:keepNext w:val="0"/>
        <w:keepLines w:val="0"/>
        <w:pageBreakBefore w:val="0"/>
        <w:widowControl w:val="0"/>
        <w:kinsoku/>
        <w:wordWrap/>
        <w:overflowPunct/>
        <w:topLinePunct w:val="0"/>
        <w:autoSpaceDE/>
        <w:autoSpaceDN/>
        <w:bidi w:val="0"/>
        <w:spacing w:after="120" w:line="560" w:lineRule="exact"/>
        <w:ind w:firstLine="640" w:firstLineChars="200"/>
        <w:jc w:val="left"/>
        <w:textAlignment w:val="auto"/>
        <w:rPr>
          <w:rFonts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截至202</w:t>
      </w: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年末</w:t>
      </w:r>
      <w:r>
        <w:rPr>
          <w:rFonts w:ascii="Times New Roman" w:hAnsi="Times New Roman" w:eastAsia="仿宋_GB2312" w:cs="Times New Roman"/>
          <w:kern w:val="2"/>
          <w:sz w:val="32"/>
          <w:szCs w:val="32"/>
          <w:lang w:val="en-US" w:eastAsia="zh-CN" w:bidi="ar-SA"/>
        </w:rPr>
        <w:t>阿坝州工商联总编制10名，其中行政编制8名，机关工勤编制2名。在职人员总数9名，其中行政人员</w:t>
      </w:r>
      <w:r>
        <w:rPr>
          <w:rFonts w:hint="eastAsia" w:ascii="Times New Roman" w:hAnsi="Times New Roman" w:eastAsia="仿宋_GB2312" w:cs="Times New Roman"/>
          <w:kern w:val="2"/>
          <w:sz w:val="32"/>
          <w:szCs w:val="32"/>
          <w:lang w:val="en-US" w:eastAsia="zh-CN" w:bidi="ar-SA"/>
        </w:rPr>
        <w:t>8</w:t>
      </w:r>
      <w:r>
        <w:rPr>
          <w:rFonts w:ascii="Times New Roman" w:hAnsi="Times New Roman" w:eastAsia="仿宋_GB2312" w:cs="Times New Roman"/>
          <w:kern w:val="2"/>
          <w:sz w:val="32"/>
          <w:szCs w:val="32"/>
          <w:lang w:val="en-US" w:eastAsia="zh-CN" w:bidi="ar-SA"/>
        </w:rPr>
        <w:t>名、工勤人员2名；退休人员</w:t>
      </w:r>
      <w:r>
        <w:rPr>
          <w:rFonts w:hint="eastAsia" w:ascii="Times New Roman" w:hAnsi="Times New Roman" w:eastAsia="仿宋_GB2312" w:cs="Times New Roman"/>
          <w:kern w:val="2"/>
          <w:sz w:val="32"/>
          <w:szCs w:val="32"/>
          <w:lang w:val="en-US" w:eastAsia="zh-CN" w:bidi="ar-SA"/>
        </w:rPr>
        <w:t>9</w:t>
      </w:r>
      <w:r>
        <w:rPr>
          <w:rFonts w:ascii="Times New Roman" w:hAnsi="Times New Roman" w:eastAsia="仿宋_GB2312" w:cs="Times New Roman"/>
          <w:kern w:val="2"/>
          <w:sz w:val="32"/>
          <w:szCs w:val="32"/>
          <w:lang w:val="en-US" w:eastAsia="zh-CN" w:bidi="ar-SA"/>
        </w:rPr>
        <w:t>名；聘用清洁工1名，聘用合用工1名，劳务派遣人员2名。</w:t>
      </w:r>
    </w:p>
    <w:p>
      <w:pPr>
        <w:keepNext w:val="0"/>
        <w:keepLines w:val="0"/>
        <w:pageBreakBefore w:val="0"/>
        <w:widowControl/>
        <w:kinsoku/>
        <w:wordWrap/>
        <w:overflowPunct/>
        <w:topLinePunct w:val="0"/>
        <w:autoSpaceDE/>
        <w:autoSpaceDN/>
        <w:bidi w:val="0"/>
        <w:adjustRightInd w:val="0"/>
        <w:snapToGrid w:val="0"/>
        <w:spacing w:line="560" w:lineRule="exact"/>
        <w:ind w:firstLine="800" w:firstLineChars="250"/>
        <w:jc w:val="left"/>
        <w:textAlignment w:val="auto"/>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t>二、部门资金收支情况</w:t>
      </w:r>
    </w:p>
    <w:p>
      <w:pPr>
        <w:keepNext w:val="0"/>
        <w:keepLines w:val="0"/>
        <w:pageBreakBefore w:val="0"/>
        <w:widowControl w:val="0"/>
        <w:kinsoku/>
        <w:wordWrap/>
        <w:overflowPunct/>
        <w:topLinePunct w:val="0"/>
        <w:autoSpaceDE/>
        <w:autoSpaceDN/>
        <w:bidi w:val="0"/>
        <w:spacing w:after="120" w:line="560" w:lineRule="exact"/>
        <w:ind w:firstLine="629" w:firstLineChars="196"/>
        <w:jc w:val="left"/>
        <w:textAlignment w:val="auto"/>
        <w:rPr>
          <w:rFonts w:ascii="Times New Roman" w:hAnsi="Times New Roman" w:eastAsia="仿宋_GB2312" w:cs="Times New Roman"/>
          <w:b/>
          <w:kern w:val="2"/>
          <w:sz w:val="32"/>
          <w:szCs w:val="32"/>
          <w:lang w:val="en-US" w:eastAsia="zh-CN" w:bidi="ar-SA"/>
        </w:rPr>
      </w:pPr>
      <w:r>
        <w:rPr>
          <w:rFonts w:ascii="Times New Roman" w:hAnsi="Times New Roman" w:eastAsia="仿宋_GB2312" w:cs="Times New Roman"/>
          <w:b/>
          <w:kern w:val="2"/>
          <w:sz w:val="32"/>
          <w:szCs w:val="32"/>
          <w:lang w:val="en-US" w:eastAsia="zh-CN" w:bidi="ar-SA"/>
        </w:rPr>
        <w:t>（一）收入情况。</w:t>
      </w:r>
    </w:p>
    <w:p>
      <w:pPr>
        <w:snapToGrid w:val="0"/>
        <w:spacing w:line="520" w:lineRule="exact"/>
        <w:ind w:firstLine="640" w:firstLineChars="200"/>
        <w:rPr>
          <w:rFonts w:hint="default" w:ascii="Times New Roman" w:hAnsi="Times New Roman" w:eastAsia="方正仿宋_GBK" w:cs="Times New Roman"/>
          <w:sz w:val="32"/>
          <w:szCs w:val="32"/>
        </w:rPr>
      </w:pPr>
      <w:r>
        <w:rPr>
          <w:rFonts w:ascii="Times New Roman" w:hAnsi="Times New Roman" w:eastAsia="仿宋_GB2312" w:cs="Times New Roman"/>
          <w:sz w:val="32"/>
          <w:szCs w:val="32"/>
        </w:rPr>
        <w:t>阿坝州工商联2024年收入经费</w:t>
      </w:r>
      <w:r>
        <w:rPr>
          <w:rFonts w:hint="default" w:ascii="Times New Roman" w:hAnsi="Times New Roman" w:eastAsia="方正仿宋_GBK" w:cs="Times New Roman"/>
          <w:sz w:val="32"/>
          <w:szCs w:val="32"/>
        </w:rPr>
        <w:t>为</w:t>
      </w:r>
      <w:r>
        <w:rPr>
          <w:rFonts w:hint="default" w:ascii="Times New Roman" w:hAnsi="Times New Roman" w:eastAsia="方正仿宋_GBK" w:cs="Times New Roman"/>
          <w:sz w:val="32"/>
          <w:szCs w:val="32"/>
          <w:lang w:eastAsia="zh-CN"/>
        </w:rPr>
        <w:t>450.32</w:t>
      </w:r>
      <w:r>
        <w:rPr>
          <w:rFonts w:hint="default" w:ascii="Times New Roman" w:hAnsi="Times New Roman" w:eastAsia="方正仿宋_GBK" w:cs="Times New Roman"/>
          <w:sz w:val="32"/>
          <w:szCs w:val="32"/>
        </w:rPr>
        <w:t>万元，财政拨款支出为</w:t>
      </w:r>
      <w:r>
        <w:rPr>
          <w:rFonts w:hint="default" w:ascii="Times New Roman" w:hAnsi="Times New Roman" w:eastAsia="方正仿宋_GBK" w:cs="Times New Roman"/>
          <w:sz w:val="32"/>
          <w:szCs w:val="32"/>
          <w:lang w:eastAsia="zh-CN"/>
        </w:rPr>
        <w:t>450.32</w:t>
      </w:r>
      <w:r>
        <w:rPr>
          <w:rFonts w:hint="default" w:ascii="Times New Roman" w:hAnsi="Times New Roman" w:eastAsia="方正仿宋_GBK" w:cs="Times New Roman"/>
          <w:sz w:val="32"/>
          <w:szCs w:val="32"/>
        </w:rPr>
        <w:t>万元，其中基本支出</w:t>
      </w:r>
      <w:r>
        <w:rPr>
          <w:rFonts w:hint="default" w:ascii="Times New Roman" w:hAnsi="Times New Roman" w:eastAsia="方正仿宋_GBK" w:cs="Times New Roman"/>
          <w:sz w:val="32"/>
          <w:szCs w:val="32"/>
          <w:lang w:val="en-US" w:eastAsia="zh-CN"/>
        </w:rPr>
        <w:t>365.45</w:t>
      </w:r>
      <w:r>
        <w:rPr>
          <w:rFonts w:hint="default" w:ascii="Times New Roman" w:hAnsi="Times New Roman" w:eastAsia="方正仿宋_GBK" w:cs="Times New Roman"/>
          <w:sz w:val="32"/>
          <w:szCs w:val="32"/>
        </w:rPr>
        <w:t>万元，项目支出84.57万元。基本支出中：人员经费</w:t>
      </w:r>
      <w:r>
        <w:rPr>
          <w:rFonts w:hint="default" w:ascii="Times New Roman" w:hAnsi="Times New Roman" w:eastAsia="方正仿宋_GBK" w:cs="Times New Roman"/>
          <w:sz w:val="32"/>
          <w:szCs w:val="32"/>
          <w:lang w:val="en-US" w:eastAsia="zh-CN"/>
        </w:rPr>
        <w:t>319.79</w:t>
      </w:r>
      <w:r>
        <w:rPr>
          <w:rFonts w:hint="default" w:ascii="Times New Roman" w:hAnsi="Times New Roman" w:eastAsia="方正仿宋_GBK" w:cs="Times New Roman"/>
          <w:sz w:val="32"/>
          <w:szCs w:val="32"/>
        </w:rPr>
        <w:t>万元；日常公用经费</w:t>
      </w:r>
      <w:r>
        <w:rPr>
          <w:rFonts w:hint="default" w:ascii="Times New Roman" w:hAnsi="Times New Roman" w:eastAsia="方正仿宋_GBK" w:cs="Times New Roman"/>
          <w:sz w:val="32"/>
          <w:szCs w:val="32"/>
          <w:lang w:val="en-US" w:eastAsia="zh-CN"/>
        </w:rPr>
        <w:t>45.66</w:t>
      </w:r>
      <w:r>
        <w:rPr>
          <w:rFonts w:hint="default" w:ascii="Times New Roman" w:hAnsi="Times New Roman" w:eastAsia="方正仿宋_GBK" w:cs="Times New Roman"/>
          <w:sz w:val="32"/>
          <w:szCs w:val="32"/>
        </w:rPr>
        <w:t>元。项目支出中：会员服务中心经费7.43万元； 州总商会成都办事处工作经费</w:t>
      </w:r>
      <w:r>
        <w:rPr>
          <w:rFonts w:hint="default" w:ascii="Times New Roman" w:hAnsi="Times New Roman" w:eastAsia="方正仿宋_GBK" w:cs="Times New Roman"/>
          <w:sz w:val="32"/>
          <w:szCs w:val="32"/>
          <w:lang w:val="en-US" w:eastAsia="zh-CN"/>
        </w:rPr>
        <w:t>3.01</w:t>
      </w:r>
      <w:r>
        <w:rPr>
          <w:rFonts w:hint="default" w:ascii="Times New Roman" w:hAnsi="Times New Roman" w:eastAsia="方正仿宋_GBK" w:cs="Times New Roman"/>
          <w:sz w:val="32"/>
          <w:szCs w:val="32"/>
        </w:rPr>
        <w:t>万元；考察调研工作经费</w:t>
      </w:r>
      <w:r>
        <w:rPr>
          <w:rFonts w:hint="default" w:ascii="Times New Roman" w:hAnsi="Times New Roman" w:eastAsia="方正仿宋_GBK" w:cs="Times New Roman"/>
          <w:sz w:val="32"/>
          <w:szCs w:val="32"/>
          <w:lang w:val="en-US" w:eastAsia="zh-CN"/>
        </w:rPr>
        <w:t>3.65</w:t>
      </w:r>
      <w:r>
        <w:rPr>
          <w:rFonts w:hint="default" w:ascii="Times New Roman" w:hAnsi="Times New Roman" w:eastAsia="方正仿宋_GBK" w:cs="Times New Roman"/>
          <w:sz w:val="32"/>
          <w:szCs w:val="32"/>
        </w:rPr>
        <w:t>元；工商联人民调解委员会工作经费4.30万元；参政议政工作经费3.72万元</w:t>
      </w:r>
      <w:r>
        <w:rPr>
          <w:rFonts w:hint="default" w:ascii="Times New Roman" w:hAnsi="Times New Roman" w:eastAsia="方正仿宋_GBK" w:cs="Times New Roman"/>
          <w:sz w:val="32"/>
          <w:szCs w:val="32"/>
          <w:lang w:eastAsia="zh-CN"/>
        </w:rPr>
        <w:t>；异地商会工作经费</w:t>
      </w:r>
      <w:r>
        <w:rPr>
          <w:rFonts w:hint="default" w:ascii="Times New Roman" w:hAnsi="Times New Roman" w:eastAsia="方正仿宋_GBK" w:cs="Times New Roman"/>
          <w:sz w:val="32"/>
          <w:szCs w:val="32"/>
          <w:lang w:val="en-US" w:eastAsia="zh-CN"/>
        </w:rPr>
        <w:t>5万元；非公有制经济人士及工商联干部职工培训费10万元；第三方监督评估机制工作专项经费9.44万元；推动民营企业建立现代企业制度工作经费3.15万元；评价营商环境工作经费0.15万元</w:t>
      </w:r>
      <w:r>
        <w:rPr>
          <w:rFonts w:hint="default" w:ascii="Times New Roman" w:hAnsi="Times New Roman" w:eastAsia="方正仿宋_GBK" w:cs="Times New Roman"/>
          <w:sz w:val="32"/>
          <w:szCs w:val="32"/>
        </w:rPr>
        <w:t>。阿坝州浙江温州商会工作经费3万元；2024年浙江援建项目-阿坝州交往交流交融项目20万元；车辆大修费7.95万元；</w:t>
      </w:r>
      <w:r>
        <w:rPr>
          <w:rFonts w:hint="default" w:ascii="Times New Roman" w:hAnsi="Times New Roman" w:eastAsia="方正仿宋_GBK" w:cs="Times New Roman"/>
          <w:sz w:val="32"/>
          <w:szCs w:val="32"/>
          <w:lang w:val="en-US" w:eastAsia="zh-CN"/>
        </w:rPr>
        <w:t>办公设备政府采购经费4.07万元。</w:t>
      </w:r>
    </w:p>
    <w:p>
      <w:pPr>
        <w:keepNext w:val="0"/>
        <w:keepLines w:val="0"/>
        <w:pageBreakBefore w:val="0"/>
        <w:widowControl w:val="0"/>
        <w:kinsoku/>
        <w:wordWrap/>
        <w:overflowPunct/>
        <w:topLinePunct w:val="0"/>
        <w:autoSpaceDE/>
        <w:autoSpaceDN/>
        <w:bidi w:val="0"/>
        <w:spacing w:after="120" w:line="560" w:lineRule="exact"/>
        <w:ind w:firstLine="629" w:firstLineChars="196"/>
        <w:jc w:val="left"/>
        <w:textAlignment w:val="auto"/>
        <w:rPr>
          <w:rFonts w:ascii="Times New Roman" w:hAnsi="Times New Roman" w:eastAsia="仿宋_GB2312" w:cs="Times New Roman"/>
          <w:b/>
          <w:kern w:val="2"/>
          <w:sz w:val="32"/>
          <w:szCs w:val="32"/>
          <w:lang w:val="en-US" w:eastAsia="zh-CN" w:bidi="ar-SA"/>
        </w:rPr>
      </w:pPr>
      <w:r>
        <w:rPr>
          <w:rFonts w:ascii="Times New Roman" w:hAnsi="Times New Roman" w:eastAsia="仿宋_GB2312" w:cs="Times New Roman"/>
          <w:b/>
          <w:kern w:val="2"/>
          <w:sz w:val="32"/>
          <w:szCs w:val="32"/>
          <w:lang w:val="en-US" w:eastAsia="zh-CN" w:bidi="ar-SA"/>
        </w:rPr>
        <w:t>（二）支出情况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阿坝州工商联202</w:t>
      </w:r>
      <w:r>
        <w:rPr>
          <w:rFonts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年全年共计支出经费</w:t>
      </w:r>
      <w:r>
        <w:rPr>
          <w:rFonts w:ascii="Times New Roman" w:hAnsi="Times New Roman" w:eastAsia="仿宋_GB2312" w:cs="Times New Roman"/>
          <w:sz w:val="32"/>
          <w:szCs w:val="32"/>
          <w:lang w:eastAsia="zh-CN"/>
        </w:rPr>
        <w:t>450.32</w:t>
      </w:r>
      <w:r>
        <w:rPr>
          <w:rFonts w:hint="eastAsia" w:ascii="Times New Roman" w:hAnsi="Times New Roman" w:eastAsia="仿宋_GB2312" w:cs="Times New Roman"/>
          <w:sz w:val="32"/>
          <w:szCs w:val="32"/>
          <w:lang w:val="en-US" w:eastAsia="zh-CN"/>
        </w:rPr>
        <w:t>万元，其中：工资和福利支出</w:t>
      </w:r>
      <w:r>
        <w:rPr>
          <w:rFonts w:ascii="Times New Roman" w:hAnsi="Times New Roman" w:eastAsia="仿宋_GB2312" w:cs="Times New Roman"/>
          <w:sz w:val="32"/>
          <w:szCs w:val="32"/>
          <w:lang w:val="en-US" w:eastAsia="zh-CN"/>
        </w:rPr>
        <w:t>287.71</w:t>
      </w:r>
      <w:r>
        <w:rPr>
          <w:rFonts w:hint="eastAsia" w:ascii="Times New Roman" w:hAnsi="Times New Roman" w:eastAsia="仿宋_GB2312" w:cs="Times New Roman"/>
          <w:sz w:val="32"/>
          <w:szCs w:val="32"/>
          <w:lang w:val="en-US" w:eastAsia="zh-CN"/>
        </w:rPr>
        <w:t>万元、商品服务支出</w:t>
      </w:r>
      <w:r>
        <w:rPr>
          <w:rFonts w:ascii="Times New Roman" w:hAnsi="Times New Roman" w:eastAsia="仿宋_GB2312" w:cs="Times New Roman"/>
          <w:sz w:val="32"/>
          <w:szCs w:val="32"/>
          <w:lang w:val="en-US" w:eastAsia="zh-CN"/>
        </w:rPr>
        <w:t>126.46</w:t>
      </w:r>
      <w:r>
        <w:rPr>
          <w:rFonts w:hint="eastAsia" w:ascii="Times New Roman" w:hAnsi="Times New Roman" w:eastAsia="仿宋_GB2312" w:cs="Times New Roman"/>
          <w:sz w:val="32"/>
          <w:szCs w:val="32"/>
          <w:lang w:val="en-US" w:eastAsia="zh-CN"/>
        </w:rPr>
        <w:t>万元；对个人和家庭的补助费用</w:t>
      </w:r>
      <w:r>
        <w:rPr>
          <w:rFonts w:ascii="Times New Roman" w:hAnsi="Times New Roman" w:eastAsia="仿宋_GB2312" w:cs="Times New Roman"/>
          <w:sz w:val="32"/>
          <w:szCs w:val="32"/>
          <w:lang w:val="en-US" w:eastAsia="zh-CN"/>
        </w:rPr>
        <w:t>32.08</w:t>
      </w:r>
      <w:r>
        <w:rPr>
          <w:rFonts w:hint="eastAsia" w:ascii="Times New Roman" w:hAnsi="Times New Roman" w:eastAsia="仿宋_GB2312" w:cs="Times New Roman"/>
          <w:sz w:val="32"/>
          <w:szCs w:val="32"/>
          <w:lang w:val="en-US" w:eastAsia="zh-CN"/>
        </w:rPr>
        <w:t>万元、固定资产折旧费用</w:t>
      </w:r>
      <w:r>
        <w:rPr>
          <w:rFonts w:ascii="Times New Roman" w:hAnsi="Times New Roman" w:eastAsia="仿宋_GB2312" w:cs="Times New Roman"/>
          <w:sz w:val="32"/>
          <w:szCs w:val="32"/>
          <w:lang w:val="en-US" w:eastAsia="zh-CN"/>
        </w:rPr>
        <w:t>12.89</w:t>
      </w:r>
      <w:r>
        <w:rPr>
          <w:rFonts w:hint="eastAsia" w:ascii="Times New Roman" w:hAnsi="Times New Roman" w:eastAsia="仿宋_GB2312" w:cs="Times New Roman"/>
          <w:sz w:val="32"/>
          <w:szCs w:val="32"/>
          <w:lang w:val="en-US" w:eastAsia="zh-CN"/>
        </w:rPr>
        <w:t>万元、无形资产摊销费用</w:t>
      </w:r>
      <w:r>
        <w:rPr>
          <w:rFonts w:ascii="Times New Roman" w:hAnsi="Times New Roman" w:eastAsia="仿宋_GB2312" w:cs="Times New Roman"/>
          <w:sz w:val="32"/>
          <w:szCs w:val="32"/>
          <w:lang w:val="en-US" w:eastAsia="zh-CN"/>
        </w:rPr>
        <w:t>0.28</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bidi="ar-SA"/>
        </w:rPr>
        <w:t>完成的任务、达成的效果</w:t>
      </w:r>
      <w:r>
        <w:rPr>
          <w:rFonts w:ascii="Times New Roman" w:hAnsi="Times New Roman" w:eastAsia="仿宋_GB2312" w:cs="Times New Roman"/>
          <w:sz w:val="32"/>
          <w:szCs w:val="32"/>
          <w:lang w:val="en-US" w:eastAsia="zh-CN" w:bidi="ar-SA"/>
        </w:rPr>
        <w:t>如下：</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rPr>
          <w:rFonts w:hint="default" w:ascii="Times New Roman" w:hAnsi="Times New Roman" w:eastAsia="仿宋_GB2312" w:cs="Times New Roman"/>
          <w:sz w:val="32"/>
          <w:szCs w:val="32"/>
          <w:lang w:val="en-US" w:eastAsia="zh-CN" w:bidi="ar-SA"/>
        </w:rPr>
      </w:pPr>
      <w:r>
        <w:rPr>
          <w:rFonts w:hint="default" w:ascii="Times New Roman" w:hAnsi="Times New Roman" w:eastAsia="方正楷体_GBK" w:cs="Times New Roman"/>
          <w:b/>
          <w:bCs/>
          <w:sz w:val="32"/>
          <w:szCs w:val="32"/>
        </w:rPr>
        <w:t>（一）加强政策宣传</w:t>
      </w:r>
      <w:bookmarkStart w:id="47" w:name="OLE_LINK2"/>
      <w:r>
        <w:rPr>
          <w:rFonts w:hint="default" w:ascii="Times New Roman" w:hAnsi="Times New Roman" w:eastAsia="方正楷体_GBK" w:cs="Times New Roman"/>
          <w:b/>
          <w:bCs/>
          <w:sz w:val="32"/>
          <w:szCs w:val="32"/>
        </w:rPr>
        <w:t>，强化思想政治引领，引导民</w:t>
      </w:r>
      <w:bookmarkEnd w:id="47"/>
      <w:r>
        <w:rPr>
          <w:rFonts w:hint="default" w:ascii="Times New Roman" w:hAnsi="Times New Roman" w:eastAsia="方正楷体_GBK" w:cs="Times New Roman"/>
          <w:b/>
          <w:bCs/>
          <w:sz w:val="32"/>
          <w:szCs w:val="32"/>
        </w:rPr>
        <w:t>营经济人士用习近平新时代中国特色社会主义思想凝心铸魂。</w:t>
      </w:r>
      <w:r>
        <w:rPr>
          <w:rFonts w:hint="default" w:ascii="Times New Roman" w:hAnsi="Times New Roman" w:eastAsia="仿宋_GB2312" w:cs="Times New Roman"/>
          <w:sz w:val="32"/>
          <w:szCs w:val="32"/>
          <w:lang w:val="en-US" w:eastAsia="zh-CN" w:bidi="ar-SA"/>
        </w:rPr>
        <w:t>结合主席会、常委会、执委会和开展调研的契机，开展党的二十大精神、省委、州委十二届历次全会精神宣讲8次，组织开展宣讲活动17场次，推送推送《工商联法律微讲堂》44期、《合规月月谈》线上培训10期。组织近40名民营企业家参加“四川新阶.经济大讲堂”暨“四川民营经济大讲堂”、民营经济人士“学思想增信心、民企携手促振兴”等10余期专题培训班，不断加强民营经济人士思想政治建设，充分发挥非公经济统战工作在促进民营经济人士健康成长中的重要作用。</w:t>
      </w:r>
    </w:p>
    <w:p>
      <w:pPr>
        <w:keepNext w:val="0"/>
        <w:keepLines w:val="0"/>
        <w:pageBreakBefore w:val="0"/>
        <w:widowControl w:val="0"/>
        <w:kinsoku/>
        <w:wordWrap/>
        <w:overflowPunct/>
        <w:topLinePunct w:val="0"/>
        <w:autoSpaceDE/>
        <w:autoSpaceDN/>
        <w:bidi w:val="0"/>
        <w:adjustRightInd/>
        <w:spacing w:after="0" w:line="560" w:lineRule="exact"/>
        <w:ind w:firstLine="642" w:firstLineChars="200"/>
        <w:jc w:val="both"/>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（二）强化组织领导，深入统筹协调，坚决落实“八大行动”服务经济高质量发展。</w:t>
      </w:r>
      <w:r>
        <w:rPr>
          <w:rFonts w:hint="default" w:ascii="Times New Roman" w:hAnsi="Times New Roman" w:eastAsia="方正仿宋_GBK" w:cs="Times New Roman"/>
          <w:kern w:val="2"/>
          <w:sz w:val="32"/>
          <w:szCs w:val="32"/>
          <w:lang w:val="en-US" w:eastAsia="zh-CN" w:bidi="ar-SA"/>
        </w:rPr>
        <w:t>通过政策宣传、专题调研、召开座谈会等形式，统筹协调各部门深入开展“八大行动”，组织引导民营企业深刻融入全州经济大战大局中，民营企业家参政议政、建言献策能力和水平进一步提升，全州营商环境进一步优化、引进投资成效突出，全州民营经济市场逐步稳定恢复至疫情前水平，消费帮扶成效显现，进一步提振了全州民营经济发展信心，筑牢经济社会发展基础</w:t>
      </w:r>
      <w:r>
        <w:rPr>
          <w:rFonts w:hint="default" w:ascii="Times New Roman" w:hAnsi="Times New Roman" w:eastAsia="方正黑体_GBK" w:cs="Times New Roman"/>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pacing w:after="0" w:line="560" w:lineRule="exact"/>
        <w:ind w:firstLine="642" w:firstLineChars="200"/>
        <w:jc w:val="both"/>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（三）创新教育培养方式，提升政治素质，调动民营经济代表人士投身建设民族地区高质量发展阿坝典范能动性。</w:t>
      </w:r>
      <w:r>
        <w:rPr>
          <w:rFonts w:hint="default" w:ascii="Times New Roman" w:hAnsi="Times New Roman" w:eastAsia="方正仿宋_GBK" w:cs="Times New Roman"/>
          <w:kern w:val="2"/>
          <w:sz w:val="32"/>
          <w:szCs w:val="32"/>
          <w:lang w:val="en-US" w:eastAsia="zh-CN" w:bidi="ar-SA"/>
        </w:rPr>
        <w:t>制定《州委统战部、州工商联领导干部与民营经济代表人士联谊交友制度》，确定了《州委统战部、州工商联领导联系民营经济代表人士名单》。组织20名优秀民营企业家赴东部城市进行考察。组织民营企业家代表开展“汶川“5.12”特大地震十六周年追思活动”和爱国主义理想信念教育，推荐第一季度民营企业运行情况调查优秀案列1个。</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Autospacing="0" w:line="560" w:lineRule="exact"/>
        <w:ind w:left="0" w:firstLine="642" w:firstLineChars="200"/>
        <w:jc w:val="both"/>
        <w:textAlignment w:val="baseline"/>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（三）贯彻新发展理念，强化帮扶协作，搭建服务平台，引导民营企业履行社会责任。</w:t>
      </w:r>
      <w:r>
        <w:rPr>
          <w:rFonts w:hint="default" w:ascii="Times New Roman" w:hAnsi="Times New Roman" w:eastAsia="方正仿宋_GBK" w:cs="Times New Roman"/>
          <w:kern w:val="2"/>
          <w:sz w:val="32"/>
          <w:szCs w:val="32"/>
          <w:lang w:val="en-US" w:eastAsia="zh-CN" w:bidi="ar-SA"/>
        </w:rPr>
        <w:t>一是深入开展“万企兴万村行动”，共动员355家民营企业、22家商（协）会结对帮扶313个村，实施“兴村”项目407个，投资总额达24.2亿元。二是欠发达县域托底性帮扶工作，制定《阿坝州工商联关于民营企业托底性帮扶工作方案》，对接</w:t>
      </w:r>
      <w:r>
        <w:rPr>
          <w:rFonts w:hint="default" w:ascii="Times New Roman" w:hAnsi="Times New Roman" w:eastAsia="方正仿宋_GBK" w:cs="Times New Roman"/>
          <w:sz w:val="32"/>
          <w:szCs w:val="32"/>
          <w:lang w:val="en-US" w:eastAsia="zh-CN" w:bidi="ar-SA"/>
        </w:rPr>
        <w:t>帮扶企业开展考察和交流28次，达成公益帮扶22项，促成落地项目4个，框架协议2个，</w:t>
      </w:r>
      <w:bookmarkStart w:id="48" w:name="OLE_LINK1"/>
      <w:r>
        <w:rPr>
          <w:rFonts w:hint="default" w:ascii="Times New Roman" w:hAnsi="Times New Roman" w:eastAsia="方正仿宋_GBK" w:cs="Times New Roman"/>
          <w:sz w:val="32"/>
          <w:szCs w:val="32"/>
          <w:lang w:val="en-US" w:eastAsia="zh-CN" w:bidi="ar-SA"/>
        </w:rPr>
        <w:t>消费帮扶93.08万元，直接捐款捐物折合1337.82万元</w:t>
      </w:r>
      <w:bookmarkEnd w:id="48"/>
      <w:r>
        <w:rPr>
          <w:rFonts w:hint="default"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kern w:val="2"/>
          <w:sz w:val="32"/>
          <w:szCs w:val="32"/>
          <w:lang w:val="en-US" w:eastAsia="zh-CN" w:bidi="ar-SA"/>
        </w:rPr>
        <w:t>三是深度融入成渝双城经济圈发展规划，引导重庆南坪商会与理县文旅达成米孟线项目商业合作，共同开发打造米孟线旅游业，拉动旅游产业发展。四是搭建四川西藏商会、云心荟聚科技发展有限责任公司与九寨沟县合作交流平台，大力发展云朵玫瑰种植产业，力争把云朵玫瑰打造成为九寨沟的地理性标志产品。五是联合州委统战部、光彩事业促进会开展“爱心守护-光彩。民生银行先心病筛查救治”项目阿坝行活动。六是持续开展“百城千校万企”促就业行动。携手人社局组织300余家家民营企业，开展各类招聘会，解决用工1400余人。</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bidi="ar-SA"/>
        </w:rPr>
        <w:t>（四）深入开展调研，发挥桥梁纽带作用，促进政商亲清交往。</w:t>
      </w:r>
      <w:r>
        <w:rPr>
          <w:rFonts w:hint="default" w:ascii="Times New Roman" w:hAnsi="Times New Roman" w:eastAsia="方正仿宋_GBK" w:cs="Times New Roman"/>
          <w:kern w:val="2"/>
          <w:sz w:val="32"/>
          <w:szCs w:val="32"/>
          <w:lang w:val="en-US" w:eastAsia="zh-CN" w:bidi="ar-SA"/>
        </w:rPr>
        <w:t>一是围绕乡村振兴战略实施和推动城乡融合高质量发展主题，深入13县市工商联、执委企业、会员企业开展调研，完成《阿坝州工商联关于推动文旅产业高质量发展的调研报告》上报省联。二是收集商会、民企及基层工商联的意见建议，上报社情民意10篇，其中《民营中小企业用地问题分析及对策议》《美加息预期对我国房地产行业影响分析及对策建议》被省联采用。三是</w:t>
      </w:r>
      <w:r>
        <w:rPr>
          <w:rFonts w:hint="default" w:ascii="Times New Roman" w:hAnsi="Times New Roman" w:eastAsia="方正仿宋_GBK" w:cs="Times New Roman"/>
          <w:sz w:val="32"/>
          <w:szCs w:val="32"/>
          <w:lang w:val="en-US" w:eastAsia="zh-CN" w:bidi="ar-SA"/>
        </w:rPr>
        <w:t>召开促进民营经济高质量发展座谈会，</w:t>
      </w:r>
      <w:r>
        <w:rPr>
          <w:rFonts w:hint="default" w:ascii="Times New Roman" w:hAnsi="Times New Roman" w:eastAsia="方正仿宋_GBK" w:cs="Times New Roman"/>
          <w:color w:val="000000"/>
          <w:kern w:val="2"/>
          <w:sz w:val="32"/>
          <w:szCs w:val="32"/>
          <w:lang w:val="en-US" w:eastAsia="zh-CN" w:bidi="ar-SA"/>
        </w:rPr>
        <w:t>梳理汇总了参会们代表提出的25条</w:t>
      </w:r>
      <w:r>
        <w:rPr>
          <w:rFonts w:hint="default" w:ascii="Times New Roman" w:hAnsi="Times New Roman" w:eastAsia="方正仿宋_GBK" w:cs="Times New Roman"/>
          <w:sz w:val="32"/>
          <w:szCs w:val="32"/>
          <w:lang w:val="en-US" w:eastAsia="zh-CN" w:bidi="ar-SA"/>
        </w:rPr>
        <w:t>困难</w:t>
      </w:r>
      <w:r>
        <w:rPr>
          <w:rFonts w:hint="default" w:ascii="Times New Roman" w:hAnsi="Times New Roman" w:eastAsia="方正仿宋_GBK" w:cs="Times New Roman"/>
          <w:color w:val="000000"/>
          <w:kern w:val="2"/>
          <w:sz w:val="32"/>
          <w:szCs w:val="32"/>
          <w:lang w:val="en-US" w:eastAsia="zh-CN" w:bidi="ar-SA"/>
        </w:rPr>
        <w:t>和问题，</w:t>
      </w:r>
      <w:r>
        <w:rPr>
          <w:rFonts w:hint="default" w:ascii="Times New Roman" w:hAnsi="Times New Roman" w:eastAsia="方正仿宋_GBK" w:cs="Times New Roman"/>
          <w:color w:val="000000"/>
          <w:sz w:val="32"/>
          <w:szCs w:val="32"/>
          <w:u w:val="none"/>
          <w:lang w:val="en-US" w:eastAsia="zh-CN" w:bidi="ar-SA"/>
        </w:rPr>
        <w:t>形成《促进全州民营经济高质量发展暨优化营商环境的调研报告》。</w:t>
      </w:r>
      <w:r>
        <w:rPr>
          <w:rFonts w:hint="default" w:ascii="Times New Roman" w:hAnsi="Times New Roman" w:eastAsia="方正仿宋_GBK" w:cs="Times New Roman"/>
          <w:sz w:val="32"/>
          <w:szCs w:val="32"/>
        </w:rPr>
        <w:t>四是撰写完成《阿坝州2023年民营经济发展综合报告》，完成2024年度民营企业运行情况调查、上规模民营企业调研及四川省民营企业品牌价值调研。</w:t>
      </w:r>
    </w:p>
    <w:p>
      <w:pPr>
        <w:keepNext w:val="0"/>
        <w:keepLines w:val="0"/>
        <w:pageBreakBefore w:val="0"/>
        <w:widowControl w:val="0"/>
        <w:kinsoku/>
        <w:wordWrap/>
        <w:overflowPunct/>
        <w:topLinePunct w:val="0"/>
        <w:autoSpaceDE/>
        <w:autoSpaceDN/>
        <w:adjustRightInd/>
        <w:spacing w:line="560" w:lineRule="exact"/>
        <w:ind w:firstLine="642" w:firstLineChars="200"/>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bidi="ar-SA"/>
        </w:rPr>
        <w:t>（五）强化会</w:t>
      </w:r>
      <w:r>
        <w:rPr>
          <w:rFonts w:hint="default" w:ascii="Times New Roman" w:hAnsi="Times New Roman" w:eastAsia="方正楷体_GBK" w:cs="Times New Roman"/>
          <w:b/>
          <w:bCs/>
          <w:color w:val="000000"/>
          <w:kern w:val="0"/>
          <w:sz w:val="32"/>
          <w:szCs w:val="32"/>
          <w:lang w:val="en-US" w:eastAsia="zh-CN" w:bidi="ar-SA"/>
        </w:rPr>
        <w:t>员发展，</w:t>
      </w:r>
      <w:r>
        <w:rPr>
          <w:rFonts w:hint="default" w:ascii="Times New Roman" w:hAnsi="Times New Roman" w:eastAsia="方正楷体_GBK" w:cs="Times New Roman"/>
          <w:b/>
          <w:bCs/>
          <w:sz w:val="32"/>
          <w:szCs w:val="32"/>
          <w:lang w:val="en-US" w:eastAsia="zh-CN" w:bidi="ar-SA"/>
        </w:rPr>
        <w:t>壮大商会组织</w:t>
      </w:r>
      <w:r>
        <w:rPr>
          <w:rFonts w:hint="default" w:ascii="Times New Roman" w:hAnsi="Times New Roman" w:eastAsia="方正楷体_GBK" w:cs="Times New Roman"/>
          <w:b/>
          <w:bCs/>
          <w:sz w:val="32"/>
          <w:szCs w:val="32"/>
          <w:lang w:bidi="ar-SA"/>
        </w:rPr>
        <w:t>。</w:t>
      </w:r>
      <w:r>
        <w:rPr>
          <w:rFonts w:hint="default" w:ascii="Times New Roman" w:hAnsi="Times New Roman" w:eastAsia="方正仿宋_GBK" w:cs="Times New Roman"/>
          <w:sz w:val="32"/>
          <w:szCs w:val="32"/>
          <w:lang w:val="en-US" w:eastAsia="zh-CN" w:bidi="ar-SA"/>
        </w:rPr>
        <w:t>召开阿坝州工商联六届届二次执委会，增选主席、副主席、常委、执委，进一步充实了班子队伍；制定印发了《阿坝州工商业联合</w:t>
      </w:r>
      <w:r>
        <w:rPr>
          <w:rFonts w:hint="default" w:ascii="Times New Roman" w:hAnsi="Times New Roman" w:eastAsia="方正仿宋_GBK" w:cs="Times New Roman"/>
          <w:kern w:val="2"/>
          <w:sz w:val="32"/>
          <w:szCs w:val="32"/>
          <w:lang w:val="en-US" w:eastAsia="zh-CN" w:bidi="ar-SA"/>
        </w:rPr>
        <w:t>会（商会）兼职副主席（副会长）履职情况评价办法（试行）》，进一步加强对州工商联兼职副主席（副会长）的履职评价。建立州工商联（商会）执委、青年企业家数据库。深入推进全州各级工商联扎实开展“网上工商联”会员组织管理系统建设工作。</w:t>
      </w:r>
    </w:p>
    <w:p>
      <w:pPr>
        <w:keepNext w:val="0"/>
        <w:keepLines w:val="0"/>
        <w:pageBreakBefore w:val="0"/>
        <w:widowControl w:val="0"/>
        <w:kinsoku/>
        <w:wordWrap/>
        <w:overflowPunct/>
        <w:topLinePunct w:val="0"/>
        <w:autoSpaceDE/>
        <w:autoSpaceDN/>
        <w:bidi w:val="0"/>
        <w:spacing w:after="120" w:line="560" w:lineRule="exact"/>
        <w:ind w:firstLine="642" w:firstLineChars="200"/>
        <w:jc w:val="left"/>
        <w:textAlignment w:val="auto"/>
        <w:rPr>
          <w:rFonts w:ascii="Times New Roman" w:hAnsi="Times New Roman" w:eastAsia="楷体_GB2312" w:cs="Times New Roman"/>
          <w:b/>
          <w:kern w:val="2"/>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default" w:ascii="Times New Roman" w:hAnsi="Times New Roman" w:eastAsia="楷体_GB2312" w:cs="Times New Roman"/>
          <w:b/>
          <w:kern w:val="2"/>
          <w:sz w:val="32"/>
          <w:szCs w:val="32"/>
          <w:lang w:val="en-US" w:eastAsia="zh-CN" w:bidi="ar-SA"/>
        </w:rPr>
        <w:t>结余分配和结转结余情况</w:t>
      </w:r>
      <w:r>
        <w:rPr>
          <w:rFonts w:hint="eastAsia" w:ascii="Times New Roman" w:hAnsi="Times New Roman" w:eastAsia="楷体_GB2312" w:cs="Times New Roman"/>
          <w:b/>
          <w:kern w:val="2"/>
          <w:sz w:val="32"/>
          <w:szCs w:val="32"/>
          <w:lang w:val="en-US" w:eastAsia="zh-CN" w:bidi="ar-SA"/>
        </w:rPr>
        <w:t>。</w:t>
      </w:r>
    </w:p>
    <w:p>
      <w:pPr>
        <w:keepNext w:val="0"/>
        <w:keepLines w:val="0"/>
        <w:pageBreakBefore w:val="0"/>
        <w:widowControl w:val="0"/>
        <w:kinsoku/>
        <w:wordWrap/>
        <w:overflowPunct/>
        <w:topLinePunct w:val="0"/>
        <w:autoSpaceDE/>
        <w:autoSpaceDN/>
        <w:bidi w:val="0"/>
        <w:spacing w:after="120"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阿坝州工商联</w:t>
      </w:r>
      <w:r>
        <w:rPr>
          <w:rFonts w:hint="eastAsia" w:ascii="Times New Roman" w:hAnsi="Times New Roman" w:eastAsia="仿宋_GB2312" w:cs="Times New Roman"/>
          <w:kern w:val="2"/>
          <w:sz w:val="32"/>
          <w:szCs w:val="32"/>
          <w:lang w:val="en-US" w:eastAsia="zh-CN" w:bidi="ar-SA"/>
        </w:rPr>
        <w:t>202</w:t>
      </w:r>
      <w:r>
        <w:rPr>
          <w:rFonts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年</w:t>
      </w:r>
      <w:r>
        <w:rPr>
          <w:rFonts w:ascii="Times New Roman" w:hAnsi="Times New Roman" w:eastAsia="仿宋_GB2312" w:cs="Times New Roman"/>
          <w:kern w:val="2"/>
          <w:sz w:val="32"/>
          <w:szCs w:val="32"/>
          <w:lang w:val="en-US" w:eastAsia="zh-CN" w:bidi="ar-SA"/>
        </w:rPr>
        <w:t>年末收支</w:t>
      </w:r>
      <w:r>
        <w:rPr>
          <w:rFonts w:hint="default" w:ascii="Times New Roman" w:hAnsi="Times New Roman" w:eastAsia="仿宋_GB2312" w:cs="Times New Roman"/>
          <w:color w:val="000000"/>
          <w:kern w:val="0"/>
          <w:sz w:val="32"/>
          <w:szCs w:val="32"/>
          <w:highlight w:val="none"/>
          <w:shd w:val="clear" w:color="auto" w:fill="FFFFFF"/>
          <w:lang w:val="en-US" w:eastAsia="zh-CN" w:bidi="ar-SA"/>
        </w:rPr>
        <w:t>结转结余</w:t>
      </w:r>
      <w:r>
        <w:rPr>
          <w:rFonts w:ascii="Times New Roman" w:hAnsi="Times New Roman" w:eastAsia="仿宋_GB2312" w:cs="Times New Roman"/>
          <w:color w:val="000000"/>
          <w:kern w:val="0"/>
          <w:sz w:val="32"/>
          <w:szCs w:val="32"/>
          <w:highlight w:val="none"/>
          <w:shd w:val="clear" w:color="auto" w:fill="FFFFFF"/>
          <w:lang w:val="en-US" w:eastAsia="zh-CN" w:bidi="ar-SA"/>
        </w:rPr>
        <w:t>数为0万元</w:t>
      </w:r>
      <w:r>
        <w:rPr>
          <w:rFonts w:hint="default" w:ascii="Times New Roman" w:hAnsi="Times New Roman" w:eastAsia="仿宋_GB2312" w:cs="Times New Roman"/>
          <w:color w:val="000000"/>
          <w:kern w:val="0"/>
          <w:sz w:val="32"/>
          <w:szCs w:val="32"/>
          <w:highlight w:val="none"/>
          <w:shd w:val="clear" w:color="auto" w:fill="FFFFFF"/>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t>三、</w:t>
      </w:r>
      <w:r>
        <w:rPr>
          <w:rFonts w:hint="default" w:ascii="Times New Roman" w:hAnsi="Times New Roman" w:eastAsia="黑体" w:cs="Times New Roman"/>
          <w:color w:val="000000"/>
          <w:kern w:val="0"/>
          <w:sz w:val="32"/>
          <w:szCs w:val="32"/>
          <w:highlight w:val="none"/>
          <w:u w:val="none"/>
          <w:shd w:val="clear" w:color="auto" w:fill="FFFFFF"/>
          <w:lang w:bidi="ar-SA"/>
        </w:rPr>
        <w:t>部门</w:t>
      </w:r>
      <w:r>
        <w:rPr>
          <w:rFonts w:hint="default" w:ascii="Times New Roman" w:hAnsi="Times New Roman" w:eastAsia="黑体" w:cs="Times New Roman"/>
          <w:color w:val="000000"/>
          <w:kern w:val="0"/>
          <w:sz w:val="32"/>
          <w:szCs w:val="32"/>
          <w:highlight w:val="none"/>
          <w:u w:val="none"/>
          <w:shd w:val="clear" w:color="auto" w:fill="FFFFFF"/>
          <w:lang w:eastAsia="zh-CN" w:bidi="ar-SA"/>
        </w:rPr>
        <w:t>预算</w:t>
      </w:r>
      <w:r>
        <w:rPr>
          <w:rFonts w:hint="default" w:ascii="Times New Roman" w:hAnsi="Times New Roman" w:eastAsia="黑体" w:cs="Times New Roman"/>
          <w:color w:val="000000"/>
          <w:kern w:val="0"/>
          <w:sz w:val="32"/>
          <w:szCs w:val="32"/>
          <w:highlight w:val="none"/>
          <w:u w:val="none"/>
          <w:shd w:val="clear" w:color="auto" w:fill="FFFFFF"/>
          <w:lang w:bidi="ar-SA"/>
        </w:rPr>
        <w:t>绩效</w:t>
      </w:r>
      <w:r>
        <w:rPr>
          <w:rFonts w:hint="default" w:ascii="Times New Roman" w:hAnsi="Times New Roman" w:eastAsia="黑体" w:cs="Times New Roman"/>
          <w:color w:val="000000"/>
          <w:kern w:val="0"/>
          <w:sz w:val="32"/>
          <w:szCs w:val="32"/>
          <w:highlight w:val="none"/>
          <w:u w:val="none"/>
          <w:shd w:val="clear" w:color="auto" w:fill="FFFFFF"/>
          <w:lang w:eastAsia="zh-CN" w:bidi="ar-SA"/>
        </w:rPr>
        <w:t>分析</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2"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（一）</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部门预算</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总体绩效分析。</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9"/>
        <w:rPr>
          <w:rFonts w:hint="eastAsia" w:ascii="Times New Roman" w:hAnsi="Times New Roman" w:eastAsia="仿宋_GB2312" w:cs="Times New Roman"/>
          <w:bCs/>
          <w:sz w:val="32"/>
          <w:szCs w:val="32"/>
          <w:highlight w:val="none"/>
          <w:lang w:val="zh-CN" w:eastAsia="zh-CN"/>
        </w:rPr>
      </w:pPr>
      <w:r>
        <w:rPr>
          <w:rFonts w:hint="eastAsia" w:ascii="Times New Roman" w:hAnsi="Times New Roman" w:eastAsia="仿宋_GB2312" w:cs="Times New Roman"/>
          <w:bCs/>
          <w:sz w:val="32"/>
          <w:szCs w:val="32"/>
          <w:highlight w:val="none"/>
          <w:lang w:val="zh-CN" w:eastAsia="zh-CN"/>
        </w:rPr>
        <w:t>根据部门预算绩效评价指标体系“总体绩效”涉及二、三级指标进行逐项绩效分析并评分，依次包括履职效能、预算管理、财务管理、资产管理、采购管理等情况。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9"/>
        <w:rPr>
          <w:rFonts w:hint="eastAsia" w:ascii="楷体_GB2312" w:hAnsi="Times New Roman" w:eastAsia="楷体_GB2312" w:cs="楷体_GB2312"/>
          <w:color w:val="000000"/>
          <w:kern w:val="0"/>
          <w:sz w:val="32"/>
          <w:szCs w:val="32"/>
          <w:highlight w:val="none"/>
          <w:shd w:val="clear" w:color="auto" w:fill="FFFFFF"/>
          <w:lang w:val="zh-CN" w:eastAsia="zh-CN" w:bidi="ar-SA"/>
        </w:rPr>
      </w:pPr>
      <w:r>
        <w:rPr>
          <w:rFonts w:hint="eastAsia" w:ascii="楷体_GB2312" w:hAnsi="Times New Roman" w:eastAsia="楷体_GB2312" w:cs="楷体_GB2312"/>
          <w:color w:val="000000"/>
          <w:kern w:val="0"/>
          <w:sz w:val="32"/>
          <w:szCs w:val="32"/>
          <w:highlight w:val="none"/>
          <w:shd w:val="clear" w:color="auto" w:fill="FFFFFF"/>
          <w:lang w:val="en-US" w:eastAsia="zh-CN" w:bidi="ar-SA"/>
        </w:rPr>
        <w:t>1.</w:t>
      </w:r>
      <w:r>
        <w:rPr>
          <w:rFonts w:hint="eastAsia" w:ascii="楷体_GB2312" w:hAnsi="Times New Roman" w:eastAsia="楷体_GB2312" w:cs="楷体_GB2312"/>
          <w:color w:val="000000"/>
          <w:kern w:val="0"/>
          <w:sz w:val="32"/>
          <w:szCs w:val="32"/>
          <w:highlight w:val="none"/>
          <w:shd w:val="clear" w:color="auto" w:fill="FFFFFF"/>
          <w:lang w:val="zh-CN" w:eastAsia="zh-CN" w:bidi="ar-SA"/>
        </w:rPr>
        <w:t>履职效能。</w:t>
      </w:r>
    </w:p>
    <w:p>
      <w:pPr>
        <w:keepNext w:val="0"/>
        <w:keepLines w:val="0"/>
        <w:pageBreakBefore w:val="0"/>
        <w:widowControl/>
        <w:kinsoku/>
        <w:wordWrap/>
        <w:overflowPunct/>
        <w:topLinePunct w:val="0"/>
        <w:autoSpaceDE/>
        <w:autoSpaceDN/>
        <w:bidi w:val="0"/>
        <w:spacing w:line="560" w:lineRule="exact"/>
        <w:ind w:right="-334" w:rightChars="-159" w:firstLine="640" w:firstLineChars="20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结合工商联组织实际，采取各种灵活多样，针对性、实效性强的方式和措施，在全系统全面深入开展党的二十大精神学习宣传贯彻活动。以学习宣传贯彻党的二十大精神为契机，持续开展“走企业.进车间”活动，全面引导广大非公经济人士发扬创业创新精神，为阿坝州的经济社会发展作出应有的贡献；举办</w:t>
      </w:r>
      <w:r>
        <w:rPr>
          <w:rFonts w:ascii="Times New Roman" w:hAnsi="Times New Roman" w:eastAsia="仿宋_GB2312" w:cs="Times New Roman"/>
          <w:sz w:val="32"/>
          <w:szCs w:val="32"/>
        </w:rPr>
        <w:t>了</w:t>
      </w:r>
      <w:r>
        <w:rPr>
          <w:rFonts w:hint="eastAsia" w:ascii="Times New Roman" w:hAnsi="Times New Roman" w:eastAsia="仿宋_GB2312" w:cs="Times New Roman"/>
          <w:sz w:val="32"/>
          <w:szCs w:val="32"/>
        </w:rPr>
        <w:t>一</w:t>
      </w:r>
      <w:r>
        <w:rPr>
          <w:rFonts w:hint="default" w:ascii="Times New Roman" w:hAnsi="Times New Roman" w:eastAsia="仿宋_GB2312" w:cs="Times New Roman"/>
          <w:sz w:val="32"/>
          <w:szCs w:val="32"/>
        </w:rPr>
        <w:t>举办“知名川商阿坝行”系列活动，开展理想信念教育活动、召开阿坝州投资推介会、州领导会见四川知名企业代表、与企业家餐叙、企业调研考察等。</w:t>
      </w:r>
      <w:r>
        <w:rPr>
          <w:rFonts w:hint="eastAsia" w:ascii="Times New Roman" w:hAnsi="Times New Roman" w:eastAsia="仿宋_GB2312" w:cs="Times New Roman"/>
          <w:sz w:val="32"/>
          <w:szCs w:val="32"/>
        </w:rPr>
        <w:t>全面引导广大非公经济人士发扬创业创新精神，为阿坝州的经济社会发展作出应有的贡献；充分发挥工商联参谋助手、桥梁纽带、示范引领和服务保障作用，加大企业党建工作调研和工作指导，齐心协力帮助非公企业解决实际问题。组织会员企业中的人大代表、政协委员围绕推动地方经济和非公经济高质量发展等方面建言献策，组织非公经济中的人大代表和政协委员积极参与党委和政府组织的系列调研活动，为全州经济发展和社会稳定献策献力。据各县（市）经济发展情况，力争工商联会员在上一年的基础上增值6%。指导成都、重庆异地商会更好发挥作用，督促西藏四川阿坝州商会有效开展工作，推进北京四川阿坝州商会的筹建工作，成立阿坝州浙江温州商会。</w:t>
      </w:r>
    </w:p>
    <w:p>
      <w:pPr>
        <w:keepNext w:val="0"/>
        <w:keepLines w:val="0"/>
        <w:pageBreakBefore w:val="0"/>
        <w:widowControl/>
        <w:kinsoku/>
        <w:wordWrap/>
        <w:overflowPunct/>
        <w:topLinePunct w:val="0"/>
        <w:autoSpaceDE/>
        <w:autoSpaceDN/>
        <w:bidi w:val="0"/>
        <w:spacing w:line="560" w:lineRule="exact"/>
        <w:ind w:right="-334" w:rightChars="-159" w:firstLine="640" w:firstLineChars="200"/>
        <w:jc w:val="left"/>
        <w:textAlignment w:val="auto"/>
        <w:rPr>
          <w:rFonts w:hint="eastAsia" w:ascii="楷体_GB2312" w:hAnsi="Times New Roman" w:eastAsia="楷体_GB2312" w:cs="楷体_GB2312"/>
          <w:color w:val="000000"/>
          <w:kern w:val="0"/>
          <w:sz w:val="32"/>
          <w:szCs w:val="32"/>
          <w:highlight w:val="none"/>
          <w:shd w:val="clear" w:color="auto" w:fill="FFFFFF"/>
          <w:lang w:val="zh-CN" w:eastAsia="zh-CN" w:bidi="ar-SA"/>
        </w:rPr>
      </w:pPr>
      <w:r>
        <w:rPr>
          <w:rFonts w:hint="eastAsia" w:ascii="楷体_GB2312" w:hAnsi="Times New Roman" w:eastAsia="楷体_GB2312" w:cs="楷体_GB2312"/>
          <w:color w:val="000000"/>
          <w:kern w:val="0"/>
          <w:sz w:val="32"/>
          <w:szCs w:val="32"/>
          <w:highlight w:val="none"/>
          <w:shd w:val="clear" w:color="auto" w:fill="FFFFFF"/>
          <w:lang w:val="en-US" w:eastAsia="zh-CN" w:bidi="ar-SA"/>
        </w:rPr>
        <w:t>2.</w:t>
      </w:r>
      <w:r>
        <w:rPr>
          <w:rFonts w:hint="eastAsia" w:ascii="楷体_GB2312" w:hAnsi="Times New Roman" w:eastAsia="楷体_GB2312" w:cs="楷体_GB2312"/>
          <w:color w:val="000000"/>
          <w:kern w:val="0"/>
          <w:sz w:val="32"/>
          <w:szCs w:val="32"/>
          <w:highlight w:val="none"/>
          <w:shd w:val="clear" w:color="auto" w:fill="FFFFFF"/>
          <w:lang w:val="zh-CN" w:eastAsia="zh-CN" w:bidi="ar-SA"/>
        </w:rPr>
        <w:t>预算管理。</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9"/>
        <w:rPr>
          <w:rFonts w:hint="default" w:ascii="Times New Roman" w:hAnsi="Times New Roman" w:eastAsia="仿宋_GB2312" w:cs="Times New Roman"/>
          <w:bCs/>
          <w:sz w:val="32"/>
          <w:szCs w:val="32"/>
          <w:highlight w:val="none"/>
          <w:lang w:val="zh-CN" w:eastAsia="zh-CN"/>
        </w:rPr>
      </w:pPr>
      <w:r>
        <w:rPr>
          <w:rFonts w:hint="default" w:ascii="Times New Roman" w:hAnsi="Times New Roman" w:eastAsia="仿宋_GB2312" w:cs="Times New Roman"/>
          <w:bCs/>
          <w:sz w:val="32"/>
          <w:szCs w:val="32"/>
          <w:highlight w:val="none"/>
          <w:lang w:val="zh-CN" w:eastAsia="zh-CN"/>
        </w:rPr>
        <w:t>预算编制质量：预算编制规范，符合财政要求。</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9"/>
        <w:rPr>
          <w:rFonts w:hint="default" w:ascii="Times New Roman" w:hAnsi="Times New Roman" w:eastAsia="仿宋_GB2312" w:cs="Times New Roman"/>
          <w:bCs/>
          <w:sz w:val="32"/>
          <w:szCs w:val="32"/>
          <w:highlight w:val="none"/>
          <w:lang w:val="zh-CN" w:eastAsia="zh-CN"/>
        </w:rPr>
      </w:pPr>
      <w:r>
        <w:rPr>
          <w:rFonts w:hint="default" w:ascii="Times New Roman" w:hAnsi="Times New Roman" w:eastAsia="仿宋_GB2312" w:cs="Times New Roman"/>
          <w:bCs/>
          <w:sz w:val="32"/>
          <w:szCs w:val="32"/>
          <w:highlight w:val="none"/>
          <w:lang w:val="zh-CN" w:eastAsia="zh-CN"/>
        </w:rPr>
        <w:t>单位收入统筹：各项收入按计划统筹安排，收入来源多样化。</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9"/>
        <w:rPr>
          <w:rFonts w:hint="default" w:ascii="Times New Roman" w:hAnsi="Times New Roman" w:eastAsia="仿宋_GB2312" w:cs="Times New Roman"/>
          <w:bCs/>
          <w:sz w:val="32"/>
          <w:szCs w:val="32"/>
          <w:highlight w:val="none"/>
          <w:lang w:val="zh-CN" w:eastAsia="zh-CN"/>
        </w:rPr>
      </w:pPr>
      <w:r>
        <w:rPr>
          <w:rFonts w:hint="default" w:ascii="Times New Roman" w:hAnsi="Times New Roman" w:eastAsia="仿宋_GB2312" w:cs="Times New Roman"/>
          <w:bCs/>
          <w:sz w:val="32"/>
          <w:szCs w:val="32"/>
          <w:highlight w:val="none"/>
          <w:lang w:val="zh-CN" w:eastAsia="zh-CN"/>
        </w:rPr>
        <w:t>支出执行进度：支出按计划推进，年度执行率为</w:t>
      </w:r>
      <w:r>
        <w:rPr>
          <w:rFonts w:ascii="Times New Roman" w:hAnsi="Times New Roman" w:eastAsia="仿宋_GB2312" w:cs="Times New Roman"/>
          <w:bCs/>
          <w:sz w:val="32"/>
          <w:szCs w:val="32"/>
          <w:highlight w:val="none"/>
          <w:lang w:val="zh-CN" w:eastAsia="zh-CN"/>
        </w:rPr>
        <w:t>87</w:t>
      </w:r>
      <w:r>
        <w:rPr>
          <w:rFonts w:hint="default" w:ascii="Times New Roman" w:hAnsi="Times New Roman" w:eastAsia="仿宋_GB2312" w:cs="Times New Roman"/>
          <w:bCs/>
          <w:sz w:val="32"/>
          <w:szCs w:val="32"/>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仿宋_GB2312" w:cs="Times New Roman"/>
          <w:bCs/>
          <w:sz w:val="32"/>
          <w:szCs w:val="32"/>
          <w:lang w:val="zh-CN" w:eastAsia="zh-CN"/>
        </w:rPr>
      </w:pPr>
      <w:r>
        <w:rPr>
          <w:rFonts w:hint="default" w:ascii="Times New Roman" w:hAnsi="Times New Roman" w:eastAsia="仿宋_GB2312" w:cs="Times New Roman"/>
          <w:bCs/>
          <w:sz w:val="32"/>
          <w:szCs w:val="32"/>
          <w:highlight w:val="none"/>
          <w:lang w:val="zh-CN" w:eastAsia="zh-CN"/>
        </w:rPr>
        <w:t>预算年终结余：结余适中，未超出预算范围。</w:t>
      </w:r>
    </w:p>
    <w:p>
      <w:pPr>
        <w:keepNext w:val="0"/>
        <w:keepLines w:val="0"/>
        <w:pageBreakBefore w:val="0"/>
        <w:widowControl/>
        <w:kinsoku/>
        <w:wordWrap/>
        <w:overflowPunct/>
        <w:topLinePunct w:val="0"/>
        <w:autoSpaceDE/>
        <w:autoSpaceDN/>
        <w:bidi w:val="0"/>
        <w:spacing w:line="560" w:lineRule="exact"/>
        <w:ind w:right="-334" w:rightChars="-159"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年度、202</w:t>
      </w:r>
      <w:r>
        <w:rPr>
          <w:rFonts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部门预算编制严格按照预算编制要求，强化预算的权威性与严肃性，充分发挥预算在资源配置中的主导作用，在编制过程中按照工作的常态性与时效性，对项目的申报进行可行性及绩效论证，撰写项目总体目标及分段实施计划、组</w:t>
      </w:r>
      <w:r>
        <w:rPr>
          <w:rFonts w:hint="default" w:ascii="Times New Roman" w:hAnsi="Times New Roman" w:eastAsia="方正仿宋_GBK" w:cs="Times New Roman"/>
          <w:sz w:val="32"/>
          <w:szCs w:val="32"/>
        </w:rPr>
        <w:t>织实施条件、测算依据等，准确编制部门预算，且细化到项级科目，按时完成基础库及项目库的数据报送。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Times New Roman" w:eastAsia="楷体_GB2312" w:cs="楷体_GB2312"/>
          <w:color w:val="000000"/>
          <w:kern w:val="0"/>
          <w:sz w:val="32"/>
          <w:szCs w:val="32"/>
          <w:highlight w:val="none"/>
          <w:shd w:val="clear" w:color="auto" w:fill="FFFFFF"/>
          <w:lang w:val="zh-CN" w:eastAsia="zh-CN" w:bidi="ar-SA"/>
        </w:rPr>
      </w:pPr>
      <w:r>
        <w:rPr>
          <w:rFonts w:hint="eastAsia" w:ascii="楷体_GB2312" w:hAnsi="Times New Roman" w:eastAsia="楷体_GB2312" w:cs="楷体_GB2312"/>
          <w:color w:val="000000"/>
          <w:kern w:val="0"/>
          <w:sz w:val="32"/>
          <w:szCs w:val="32"/>
          <w:highlight w:val="none"/>
          <w:shd w:val="clear" w:color="auto" w:fill="FFFFFF"/>
          <w:lang w:val="en-US" w:eastAsia="zh-CN" w:bidi="ar-SA"/>
        </w:rPr>
        <w:t>3.</w:t>
      </w:r>
      <w:r>
        <w:rPr>
          <w:rFonts w:hint="eastAsia" w:ascii="楷体_GB2312" w:hAnsi="Times New Roman" w:eastAsia="楷体_GB2312" w:cs="楷体_GB2312"/>
          <w:color w:val="000000"/>
          <w:kern w:val="0"/>
          <w:sz w:val="32"/>
          <w:szCs w:val="32"/>
          <w:highlight w:val="none"/>
          <w:shd w:val="clear" w:color="auto" w:fill="FFFFFF"/>
          <w:lang w:val="zh-CN" w:eastAsia="zh-CN" w:bidi="ar-SA"/>
        </w:rPr>
        <w:t>财务管理。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highlight w:val="none"/>
          <w:lang w:val="zh-CN" w:eastAsia="zh-CN"/>
        </w:rPr>
        <w:t>财务管理制度：财务管理制度健全，执行严格。</w:t>
      </w:r>
      <w:r>
        <w:rPr>
          <w:rFonts w:hint="default" w:ascii="Times New Roman" w:hAnsi="Times New Roman" w:eastAsia="方正仿宋_GBK" w:cs="Times New Roman"/>
          <w:sz w:val="32"/>
          <w:szCs w:val="32"/>
        </w:rPr>
        <w:t>建立了较为完善的财务管理制度，包括财务审批制度、预算管理制度、资产管理制度等，并能有效执行。各项费用的开支严格按照制度执行，审批流程规范，不存在违规开支的情况。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highlight w:val="none"/>
          <w:lang w:val="zh-CN" w:eastAsia="zh-CN"/>
        </w:rPr>
        <w:t>财务岗位设置：岗位设置合理，职责分明。</w:t>
      </w:r>
      <w:r>
        <w:rPr>
          <w:rFonts w:hint="default" w:ascii="Times New Roman" w:hAnsi="Times New Roman" w:eastAsia="方正仿宋_GBK" w:cs="Times New Roman"/>
          <w:sz w:val="32"/>
          <w:szCs w:val="32"/>
        </w:rPr>
        <w:t>我会单独设立财务室，配备财务人员2名，会计机构负责人1名。其中：专职会计1名，具有会计专业资格，从事会计工作</w:t>
      </w:r>
      <w:r>
        <w:rPr>
          <w:rFonts w:ascii="Times New Roman" w:hAnsi="Times New Roman" w:eastAsia="方正仿宋_GBK" w:cs="Times New Roman"/>
          <w:sz w:val="32"/>
          <w:szCs w:val="32"/>
        </w:rPr>
        <w:t>6</w:t>
      </w:r>
      <w:r>
        <w:rPr>
          <w:rFonts w:hint="default" w:ascii="Times New Roman" w:hAnsi="Times New Roman" w:eastAsia="方正仿宋_GBK" w:cs="Times New Roman"/>
          <w:sz w:val="32"/>
          <w:szCs w:val="32"/>
        </w:rPr>
        <w:t>年；兼职出纳1名，无会计专业资格从事出纳工作不足1年；以上两名人员定期轮岗交流，已按照不相容职务分离原则进行分工。</w:t>
      </w:r>
    </w:p>
    <w:p>
      <w:pPr>
        <w:keepNext w:val="0"/>
        <w:keepLines w:val="0"/>
        <w:pageBreakBefore w:val="0"/>
        <w:widowControl w:val="0"/>
        <w:kinsoku/>
        <w:wordWrap/>
        <w:overflowPunct/>
        <w:topLinePunct w:val="0"/>
        <w:autoSpaceDE/>
        <w:autoSpaceDN/>
        <w:adjustRightInd/>
        <w:snapToGrid/>
        <w:spacing w:line="560" w:lineRule="exact"/>
        <w:ind w:firstLine="642" w:firstLineChars="200"/>
        <w:jc w:val="left"/>
        <w:rPr>
          <w:rFonts w:hint="eastAsia" w:ascii="方正仿宋_GBK" w:hAnsi="Times New Roman" w:eastAsia="方正仿宋_GBK" w:cs="方正仿宋_GBK"/>
          <w:sz w:val="32"/>
          <w:szCs w:val="32"/>
          <w:lang w:bidi="ar-SA"/>
        </w:rPr>
      </w:pPr>
      <w:r>
        <w:rPr>
          <w:rFonts w:hint="default" w:ascii="Times New Roman" w:hAnsi="Times New Roman" w:eastAsia="方正仿宋_GBK" w:cs="Times New Roman"/>
          <w:b/>
          <w:bCs/>
          <w:sz w:val="32"/>
          <w:szCs w:val="32"/>
          <w:highlight w:val="none"/>
          <w:lang w:val="zh-CN" w:eastAsia="zh-CN"/>
        </w:rPr>
        <w:t>资金使用规范：资金使用符合规定，无违规情况。</w:t>
      </w:r>
      <w:r>
        <w:rPr>
          <w:rFonts w:hint="eastAsia" w:ascii="方正仿宋_GBK" w:hAnsi="Times New Roman" w:eastAsia="方正仿宋_GBK" w:cs="方正仿宋_GBK"/>
          <w:sz w:val="32"/>
          <w:szCs w:val="32"/>
          <w:lang w:bidi="ar-SA"/>
        </w:rPr>
        <w:t>我会按规定建立了会计账册、设置了会计科目，以实际发生的经济业务为依据，依法依规进行会计核算，会计信息真实、合法，账表和账实相符。</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ascii="Times New Roman" w:hAnsi="Times New Roman" w:eastAsia="方正仿宋_GBK" w:cs="楷体_GB2312"/>
          <w:sz w:val="32"/>
          <w:szCs w:val="32"/>
          <w:highlight w:val="none"/>
          <w:lang w:val="zh-CN" w:eastAsia="zh-CN" w:bidi="ar-SA"/>
        </w:rPr>
      </w:pPr>
      <w:r>
        <w:rPr>
          <w:rFonts w:hint="default" w:ascii="Times New Roman" w:hAnsi="Times New Roman" w:eastAsia="方正仿宋_GBK" w:cs="楷体_GB2312"/>
          <w:sz w:val="32"/>
          <w:szCs w:val="32"/>
          <w:highlight w:val="none"/>
          <w:lang w:val="en-US" w:eastAsia="zh-CN" w:bidi="ar-SA"/>
        </w:rPr>
        <w:t>4.</w:t>
      </w:r>
      <w:r>
        <w:rPr>
          <w:rFonts w:hint="default" w:ascii="Times New Roman" w:hAnsi="Times New Roman" w:eastAsia="方正仿宋_GBK" w:cs="楷体_GB2312"/>
          <w:sz w:val="32"/>
          <w:szCs w:val="32"/>
          <w:highlight w:val="none"/>
          <w:lang w:val="zh-CN" w:eastAsia="zh-CN" w:bidi="ar-SA"/>
        </w:rPr>
        <w:t>资产管理。</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方正仿宋_GBK" w:cs="楷体_GB2312"/>
          <w:bCs/>
          <w:sz w:val="32"/>
          <w:szCs w:val="32"/>
          <w:highlight w:val="none"/>
          <w:lang w:val="zh-CN" w:eastAsia="zh-CN" w:bidi="ar-SA"/>
        </w:rPr>
      </w:pPr>
      <w:r>
        <w:rPr>
          <w:rFonts w:hint="default" w:ascii="Times New Roman" w:hAnsi="Times New Roman" w:eastAsia="方正仿宋_GBK" w:cs="楷体_GB2312"/>
          <w:bCs/>
          <w:sz w:val="32"/>
          <w:szCs w:val="32"/>
          <w:highlight w:val="none"/>
          <w:lang w:val="zh-CN" w:eastAsia="zh-CN" w:bidi="ar-SA"/>
        </w:rPr>
        <w:t>人均资产变化率：保持稳定，略有增长。</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方正仿宋_GBK" w:cs="楷体_GB2312"/>
          <w:bCs/>
          <w:sz w:val="32"/>
          <w:szCs w:val="32"/>
          <w:highlight w:val="none"/>
          <w:lang w:val="zh-CN" w:eastAsia="zh-CN" w:bidi="ar-SA"/>
        </w:rPr>
      </w:pPr>
      <w:r>
        <w:rPr>
          <w:rFonts w:hint="default" w:ascii="Times New Roman" w:hAnsi="Times New Roman" w:eastAsia="方正仿宋_GBK" w:cs="楷体_GB2312"/>
          <w:bCs/>
          <w:sz w:val="32"/>
          <w:szCs w:val="32"/>
          <w:highlight w:val="none"/>
          <w:lang w:val="zh-CN" w:eastAsia="zh-CN" w:bidi="ar-SA"/>
        </w:rPr>
        <w:t>资产利用率：资产利用率达到95%，无闲置资产。</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严格国有资产的购置、转让、报废报批报审，资产处置收入足额上缴国库。及时开展财政国有资产管理信息系统数据清查、报送，单位固定资产全部纳入信息系统管理，并按要求及时将资产增减变动情况准确录入信息系统。按要求编制、按时报送年度国有资产报告，做到数据真实、内容完整，通过信息系统提交了年度资产分析报告。加快推进资产管理和预算管理相结合的机制，完善资产配置标准，根据中心需求和存量资产情况编制资产购置预算，未出现超标准配置资产情况。</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ascii="Times New Roman" w:hAnsi="Times New Roman" w:eastAsia="方正仿宋_GBK" w:cs="楷体_GB2312"/>
          <w:sz w:val="32"/>
          <w:szCs w:val="32"/>
          <w:highlight w:val="none"/>
          <w:lang w:val="zh-CN" w:eastAsia="zh-CN" w:bidi="ar-SA"/>
        </w:rPr>
      </w:pPr>
      <w:r>
        <w:rPr>
          <w:rFonts w:hint="default" w:ascii="Times New Roman" w:hAnsi="Times New Roman" w:eastAsia="方正仿宋_GBK" w:cs="楷体_GB2312"/>
          <w:sz w:val="32"/>
          <w:szCs w:val="32"/>
          <w:highlight w:val="none"/>
          <w:lang w:val="en-US" w:eastAsia="zh-CN" w:bidi="ar-SA"/>
        </w:rPr>
        <w:t>5.</w:t>
      </w:r>
      <w:r>
        <w:rPr>
          <w:rFonts w:hint="default" w:ascii="Times New Roman" w:hAnsi="Times New Roman" w:eastAsia="方正仿宋_GBK" w:cs="楷体_GB2312"/>
          <w:sz w:val="32"/>
          <w:szCs w:val="32"/>
          <w:highlight w:val="none"/>
          <w:lang w:val="zh-CN" w:eastAsia="zh-CN" w:bidi="ar-SA"/>
        </w:rPr>
        <w:t>采购管理。</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方正仿宋_GBK" w:cs="楷体_GB2312"/>
          <w:bCs/>
          <w:sz w:val="32"/>
          <w:szCs w:val="32"/>
          <w:highlight w:val="none"/>
          <w:lang w:val="zh-CN" w:eastAsia="zh-CN" w:bidi="ar-SA"/>
        </w:rPr>
      </w:pPr>
      <w:r>
        <w:rPr>
          <w:rFonts w:hint="default" w:ascii="Times New Roman" w:hAnsi="Times New Roman" w:eastAsia="方正仿宋_GBK" w:cs="楷体_GB2312"/>
          <w:bCs/>
          <w:sz w:val="32"/>
          <w:szCs w:val="32"/>
          <w:highlight w:val="none"/>
          <w:lang w:val="zh-CN" w:eastAsia="zh-CN" w:bidi="ar-SA"/>
        </w:rPr>
        <w:t>支持中小企业发展：采购过程中优先考虑中小企业，支持力度大。</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中华人民共和国政府采购法》，列入集中采购目录的项目，根据集中采购目录、采购限额标准和已批复的部门预算编制额度，实施政府采购计划；对于单一采购项目，履行政府采购相关备案手续，组织实施零散采购。本年预算采购计划一个，面向</w:t>
      </w:r>
      <w:r>
        <w:rPr>
          <w:rFonts w:hint="default" w:ascii="Times New Roman" w:hAnsi="Times New Roman" w:eastAsia="方正仿宋_GBK" w:cs="Times New Roman"/>
          <w:sz w:val="32"/>
          <w:szCs w:val="32"/>
          <w:highlight w:val="none"/>
          <w:lang w:val="zh-CN" w:eastAsia="zh-CN"/>
        </w:rPr>
        <w:t>中小企业</w:t>
      </w:r>
      <w:r>
        <w:rPr>
          <w:rFonts w:hint="default" w:ascii="Times New Roman" w:hAnsi="Times New Roman" w:eastAsia="方正仿宋_GBK" w:cs="Times New Roman"/>
          <w:sz w:val="32"/>
          <w:szCs w:val="32"/>
        </w:rPr>
        <w:t>办公设备采购经费</w:t>
      </w:r>
      <w:r>
        <w:rPr>
          <w:rFonts w:ascii="Times New Roman" w:hAnsi="Times New Roman" w:eastAsia="方正仿宋_GBK" w:cs="Times New Roman"/>
          <w:sz w:val="32"/>
          <w:szCs w:val="32"/>
        </w:rPr>
        <w:t>4.5</w:t>
      </w:r>
      <w:r>
        <w:rPr>
          <w:rFonts w:hint="default" w:ascii="Times New Roman" w:hAnsi="Times New Roman" w:eastAsia="方正仿宋_GBK" w:cs="Times New Roman"/>
          <w:sz w:val="32"/>
          <w:szCs w:val="32"/>
        </w:rPr>
        <w:t>万元，预算执行数为</w:t>
      </w:r>
      <w:r>
        <w:rPr>
          <w:rFonts w:ascii="Times New Roman" w:hAnsi="Times New Roman" w:eastAsia="方正仿宋_GBK" w:cs="Times New Roman"/>
          <w:sz w:val="32"/>
          <w:szCs w:val="32"/>
        </w:rPr>
        <w:t>4.07</w:t>
      </w:r>
      <w:r>
        <w:rPr>
          <w:rFonts w:hint="default" w:ascii="Times New Roman" w:hAnsi="Times New Roman" w:eastAsia="方正仿宋_GBK" w:cs="Times New Roman"/>
          <w:sz w:val="32"/>
          <w:szCs w:val="32"/>
        </w:rPr>
        <w:t>万元，预算执行率为</w:t>
      </w:r>
      <w:r>
        <w:rPr>
          <w:rFonts w:ascii="Times New Roman" w:hAnsi="Times New Roman" w:eastAsia="方正仿宋_GBK" w:cs="Times New Roman"/>
          <w:sz w:val="32"/>
          <w:szCs w:val="32"/>
        </w:rPr>
        <w:t>90.44</w:t>
      </w:r>
      <w:r>
        <w:rPr>
          <w:rFonts w:hint="default" w:ascii="Times New Roman" w:hAnsi="Times New Roman" w:eastAsia="方正仿宋_GBK" w:cs="Times New Roman"/>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（二）部门预算项目绩效分析。</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hint="default" w:ascii="Times New Roman" w:hAnsi="Times New Roman" w:eastAsia="方正仿宋_GBK" w:cs="楷体_GB2312"/>
          <w:sz w:val="32"/>
          <w:szCs w:val="32"/>
          <w:highlight w:val="none"/>
          <w:lang w:bidi="ar-SA"/>
        </w:rPr>
      </w:pPr>
      <w:r>
        <w:rPr>
          <w:rFonts w:hint="default" w:ascii="Times New Roman" w:hAnsi="Times New Roman" w:eastAsia="方正仿宋_GBK" w:cs="楷体_GB2312"/>
          <w:sz w:val="32"/>
          <w:szCs w:val="32"/>
          <w:highlight w:val="none"/>
          <w:lang w:bidi="ar-SA"/>
        </w:rPr>
        <w:t>常年项目绩效分析。该类项目总数</w:t>
      </w:r>
      <w:r>
        <w:rPr>
          <w:rFonts w:ascii="Times New Roman" w:hAnsi="Times New Roman" w:eastAsia="方正仿宋_GBK" w:cs="楷体_GB2312"/>
          <w:sz w:val="32"/>
          <w:szCs w:val="32"/>
          <w:highlight w:val="none"/>
          <w:lang w:bidi="ar-SA"/>
        </w:rPr>
        <w:t>11</w:t>
      </w:r>
      <w:r>
        <w:rPr>
          <w:rFonts w:hint="default" w:ascii="Times New Roman" w:hAnsi="Times New Roman" w:eastAsia="方正仿宋_GBK" w:cs="楷体_GB2312"/>
          <w:sz w:val="32"/>
          <w:szCs w:val="32"/>
          <w:highlight w:val="none"/>
          <w:lang w:bidi="ar-SA"/>
        </w:rPr>
        <w:t>个，涉及预算总金额</w:t>
      </w:r>
      <w:r>
        <w:rPr>
          <w:rFonts w:ascii="Times New Roman" w:hAnsi="Times New Roman" w:eastAsia="方正仿宋_GBK" w:cs="楷体_GB2312"/>
          <w:sz w:val="32"/>
          <w:szCs w:val="32"/>
          <w:highlight w:val="none"/>
          <w:lang w:bidi="ar-SA"/>
        </w:rPr>
        <w:t>71</w:t>
      </w:r>
      <w:r>
        <w:rPr>
          <w:rFonts w:hint="default" w:ascii="Times New Roman" w:hAnsi="Times New Roman" w:eastAsia="方正仿宋_GBK" w:cs="楷体_GB2312"/>
          <w:sz w:val="32"/>
          <w:szCs w:val="32"/>
          <w:highlight w:val="none"/>
          <w:lang w:bidi="ar-SA"/>
        </w:rPr>
        <w:t>万元，1—12月预算执行总体进度为72.96%，其中：预算结余率大于10%的项目共计3个。</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hint="default" w:ascii="Times New Roman" w:hAnsi="Times New Roman" w:eastAsia="方正仿宋_GBK" w:cs="楷体_GB2312"/>
          <w:sz w:val="32"/>
          <w:szCs w:val="32"/>
          <w:highlight w:val="none"/>
          <w:lang w:bidi="ar-SA"/>
        </w:rPr>
      </w:pPr>
      <w:r>
        <w:rPr>
          <w:rFonts w:hint="default" w:ascii="Times New Roman" w:hAnsi="Times New Roman" w:eastAsia="方正仿宋_GBK" w:cs="楷体_GB2312"/>
          <w:sz w:val="32"/>
          <w:szCs w:val="32"/>
          <w:highlight w:val="none"/>
          <w:lang w:bidi="ar-SA"/>
        </w:rPr>
        <w:t>阶段（一次性）项目绩效分析。该类项目总数</w:t>
      </w:r>
      <w:r>
        <w:rPr>
          <w:rFonts w:ascii="Times New Roman" w:hAnsi="Times New Roman" w:eastAsia="方正仿宋_GBK" w:cs="楷体_GB2312"/>
          <w:sz w:val="32"/>
          <w:szCs w:val="32"/>
          <w:highlight w:val="none"/>
          <w:lang w:bidi="ar-SA"/>
        </w:rPr>
        <w:t>3</w:t>
      </w:r>
      <w:r>
        <w:rPr>
          <w:rFonts w:hint="default" w:ascii="Times New Roman" w:hAnsi="Times New Roman" w:eastAsia="方正仿宋_GBK" w:cs="楷体_GB2312"/>
          <w:sz w:val="32"/>
          <w:szCs w:val="32"/>
          <w:highlight w:val="none"/>
          <w:lang w:bidi="ar-SA"/>
        </w:rPr>
        <w:t>个，涉及预算总金额</w:t>
      </w:r>
      <w:r>
        <w:rPr>
          <w:rFonts w:ascii="Times New Roman" w:hAnsi="Times New Roman" w:eastAsia="方正仿宋_GBK" w:cs="楷体_GB2312"/>
          <w:sz w:val="32"/>
          <w:szCs w:val="32"/>
          <w:highlight w:val="none"/>
          <w:lang w:bidi="ar-SA"/>
        </w:rPr>
        <w:t>32.5</w:t>
      </w:r>
      <w:r>
        <w:rPr>
          <w:rFonts w:hint="default" w:ascii="Times New Roman" w:hAnsi="Times New Roman" w:eastAsia="方正仿宋_GBK" w:cs="楷体_GB2312"/>
          <w:sz w:val="32"/>
          <w:szCs w:val="32"/>
          <w:highlight w:val="none"/>
          <w:lang w:bidi="ar-SA"/>
        </w:rPr>
        <w:t>万元，1—12月预算执行总体进度为99.98%，其中：预算结余率大于10%的项目共计0个。</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9"/>
        <w:rPr>
          <w:rFonts w:ascii="Times New Roman" w:hAnsi="Times New Roman" w:eastAsia="方正仿宋_GBK" w:cs="楷体_GB2312"/>
          <w:sz w:val="32"/>
          <w:szCs w:val="32"/>
          <w:highlight w:val="none"/>
          <w:lang w:bidi="ar-SA"/>
        </w:rPr>
      </w:pPr>
      <w:r>
        <w:rPr>
          <w:rFonts w:hint="default" w:ascii="Times New Roman" w:hAnsi="Times New Roman" w:eastAsia="方正仿宋_GBK" w:cs="楷体_GB2312"/>
          <w:sz w:val="32"/>
          <w:szCs w:val="32"/>
          <w:highlight w:val="none"/>
          <w:lang w:bidi="ar-SA"/>
        </w:rPr>
        <w:t>1.项目决策。</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方正仿宋_GBK" w:cs="楷体_GB2312"/>
          <w:bCs/>
          <w:sz w:val="32"/>
          <w:szCs w:val="32"/>
          <w:highlight w:val="none"/>
          <w:lang w:val="zh-CN" w:eastAsia="zh-CN" w:bidi="ar-SA"/>
        </w:rPr>
      </w:pPr>
      <w:r>
        <w:rPr>
          <w:rFonts w:hint="default" w:ascii="Times New Roman" w:hAnsi="Times New Roman" w:eastAsia="方正仿宋_GBK" w:cs="楷体_GB2312"/>
          <w:bCs/>
          <w:sz w:val="32"/>
          <w:szCs w:val="32"/>
          <w:highlight w:val="none"/>
          <w:lang w:val="zh-CN" w:eastAsia="zh-CN" w:bidi="ar-SA"/>
        </w:rPr>
        <w:t>决策程序：严格按照程序决策，程序合规。</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方正仿宋_GBK" w:cs="楷体_GB2312"/>
          <w:bCs/>
          <w:sz w:val="32"/>
          <w:szCs w:val="32"/>
          <w:highlight w:val="none"/>
          <w:lang w:val="zh-CN" w:eastAsia="zh-CN" w:bidi="ar-SA"/>
        </w:rPr>
      </w:pPr>
      <w:r>
        <w:rPr>
          <w:rFonts w:hint="default" w:ascii="Times New Roman" w:hAnsi="Times New Roman" w:eastAsia="方正仿宋_GBK" w:cs="楷体_GB2312"/>
          <w:bCs/>
          <w:sz w:val="32"/>
          <w:szCs w:val="32"/>
          <w:highlight w:val="none"/>
          <w:lang w:val="zh-CN" w:eastAsia="zh-CN" w:bidi="ar-SA"/>
        </w:rPr>
        <w:t>目标设置：目标明确，符合实际需求。</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方正仿宋_GBK" w:cs="楷体_GB2312"/>
          <w:bCs/>
          <w:sz w:val="32"/>
          <w:szCs w:val="32"/>
          <w:highlight w:val="none"/>
          <w:lang w:val="zh-CN" w:eastAsia="zh-CN" w:bidi="ar-SA"/>
        </w:rPr>
      </w:pPr>
      <w:r>
        <w:rPr>
          <w:rFonts w:hint="default" w:ascii="Times New Roman" w:hAnsi="Times New Roman" w:eastAsia="方正仿宋_GBK" w:cs="楷体_GB2312"/>
          <w:bCs/>
          <w:sz w:val="32"/>
          <w:szCs w:val="32"/>
          <w:highlight w:val="none"/>
          <w:lang w:val="zh-CN" w:eastAsia="zh-CN" w:bidi="ar-SA"/>
        </w:rPr>
        <w:t>项目入库：项目入库管理规范，信息齐全。</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ascii="Times New Roman" w:hAnsi="Times New Roman" w:eastAsia="方正仿宋_GBK" w:cs="楷体_GB2312"/>
          <w:sz w:val="32"/>
          <w:szCs w:val="32"/>
          <w:highlight w:val="none"/>
          <w:lang w:bidi="ar-SA"/>
        </w:rPr>
      </w:pPr>
      <w:r>
        <w:rPr>
          <w:rFonts w:hint="default" w:ascii="Times New Roman" w:hAnsi="Times New Roman" w:eastAsia="方正仿宋_GBK" w:cs="楷体_GB2312"/>
          <w:sz w:val="32"/>
          <w:szCs w:val="32"/>
          <w:highlight w:val="none"/>
          <w:lang w:bidi="ar-SA"/>
        </w:rPr>
        <w:t>2.项目执行。</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方正仿宋_GBK" w:cs="楷体_GB2312"/>
          <w:bCs/>
          <w:sz w:val="32"/>
          <w:szCs w:val="32"/>
          <w:highlight w:val="none"/>
          <w:lang w:val="zh-CN" w:eastAsia="zh-CN" w:bidi="ar-SA"/>
        </w:rPr>
      </w:pPr>
      <w:r>
        <w:rPr>
          <w:rFonts w:hint="default" w:ascii="Times New Roman" w:hAnsi="Times New Roman" w:eastAsia="方正仿宋_GBK" w:cs="楷体_GB2312"/>
          <w:bCs/>
          <w:sz w:val="32"/>
          <w:szCs w:val="32"/>
          <w:highlight w:val="none"/>
          <w:lang w:val="zh-CN" w:eastAsia="zh-CN" w:bidi="ar-SA"/>
        </w:rPr>
        <w:t>资金执行同向：资金执行与项目进度一致，无资金挪用。</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方正仿宋_GBK" w:cs="楷体_GB2312"/>
          <w:bCs/>
          <w:sz w:val="32"/>
          <w:szCs w:val="32"/>
          <w:highlight w:val="none"/>
          <w:lang w:val="zh-CN" w:eastAsia="zh-CN" w:bidi="ar-SA"/>
        </w:rPr>
      </w:pPr>
      <w:r>
        <w:rPr>
          <w:rFonts w:hint="default" w:ascii="Times New Roman" w:hAnsi="Times New Roman" w:eastAsia="方正仿宋_GBK" w:cs="楷体_GB2312"/>
          <w:bCs/>
          <w:sz w:val="32"/>
          <w:szCs w:val="32"/>
          <w:highlight w:val="none"/>
          <w:lang w:val="zh-CN" w:eastAsia="zh-CN" w:bidi="ar-SA"/>
        </w:rPr>
        <w:t>项目调整：项目调整及时，调整程序合规。</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rPr>
          <w:rFonts w:hint="default" w:ascii="Times New Roman" w:hAnsi="Times New Roman" w:eastAsia="方正仿宋_GBK" w:cs="楷体_GB2312"/>
          <w:bCs/>
          <w:sz w:val="32"/>
          <w:szCs w:val="32"/>
          <w:lang w:val="zh-CN" w:eastAsia="zh-CN" w:bidi="ar-SA"/>
        </w:rPr>
      </w:pPr>
      <w:r>
        <w:rPr>
          <w:rFonts w:hint="default" w:ascii="Times New Roman" w:hAnsi="Times New Roman" w:eastAsia="方正仿宋_GBK" w:cs="楷体_GB2312"/>
          <w:bCs/>
          <w:sz w:val="32"/>
          <w:szCs w:val="32"/>
          <w:highlight w:val="none"/>
          <w:lang w:val="zh-CN" w:eastAsia="zh-CN" w:bidi="ar-SA"/>
        </w:rPr>
        <w:t>执行结果：执行结果良好，项目按期完成。</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ascii="Times New Roman" w:hAnsi="Times New Roman" w:eastAsia="方正仿宋_GBK" w:cs="楷体_GB2312"/>
          <w:sz w:val="32"/>
          <w:szCs w:val="32"/>
          <w:highlight w:val="none"/>
          <w:lang w:bidi="ar-SA"/>
        </w:rPr>
      </w:pPr>
      <w:r>
        <w:rPr>
          <w:rFonts w:hint="default" w:ascii="Times New Roman" w:hAnsi="Times New Roman" w:eastAsia="方正仿宋_GBK" w:cs="楷体_GB2312"/>
          <w:sz w:val="32"/>
          <w:szCs w:val="32"/>
          <w:highlight w:val="none"/>
          <w:lang w:bidi="ar-SA"/>
        </w:rPr>
        <w:t>3.目标实现。</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9"/>
        <w:rPr>
          <w:rFonts w:hint="default" w:ascii="Times New Roman" w:hAnsi="Times New Roman" w:eastAsia="方正仿宋_GBK" w:cs="楷体_GB2312"/>
          <w:bCs/>
          <w:sz w:val="32"/>
          <w:szCs w:val="32"/>
          <w:highlight w:val="none"/>
          <w:lang w:val="zh-CN" w:eastAsia="zh-CN" w:bidi="ar-SA"/>
        </w:rPr>
      </w:pPr>
      <w:r>
        <w:rPr>
          <w:rFonts w:hint="default" w:ascii="Times New Roman" w:hAnsi="Times New Roman" w:eastAsia="方正仿宋_GBK" w:cs="楷体_GB2312"/>
          <w:bCs/>
          <w:sz w:val="32"/>
          <w:szCs w:val="32"/>
          <w:highlight w:val="none"/>
          <w:lang w:val="zh-CN" w:eastAsia="zh-CN" w:bidi="ar-SA"/>
        </w:rPr>
        <w:t>目标完成：各项目目标均按计划完成。</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9"/>
        <w:rPr>
          <w:rFonts w:hint="default" w:ascii="Times New Roman" w:hAnsi="Times New Roman" w:eastAsia="方正仿宋_GBK" w:cs="楷体_GB2312"/>
          <w:bCs/>
          <w:sz w:val="32"/>
          <w:szCs w:val="32"/>
          <w:highlight w:val="none"/>
          <w:lang w:val="zh-CN" w:eastAsia="zh-CN" w:bidi="ar-SA"/>
        </w:rPr>
      </w:pPr>
      <w:r>
        <w:rPr>
          <w:rFonts w:hint="default" w:ascii="Times New Roman" w:hAnsi="Times New Roman" w:eastAsia="方正仿宋_GBK" w:cs="楷体_GB2312"/>
          <w:bCs/>
          <w:sz w:val="32"/>
          <w:szCs w:val="32"/>
          <w:highlight w:val="none"/>
          <w:lang w:val="zh-CN" w:eastAsia="zh-CN" w:bidi="ar-SA"/>
        </w:rPr>
        <w:t>目标偏离：目标偏离度低，实际效果符合预期。</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hint="default" w:ascii="Times New Roman" w:hAnsi="Times New Roman" w:eastAsia="方正仿宋_GBK" w:cs="楷体_GB2312"/>
          <w:sz w:val="32"/>
          <w:szCs w:val="32"/>
          <w:highlight w:val="none"/>
          <w:lang w:bidi="ar-SA"/>
        </w:rPr>
      </w:pPr>
      <w:r>
        <w:rPr>
          <w:rFonts w:hint="default" w:ascii="Times New Roman" w:hAnsi="Times New Roman" w:eastAsia="方正仿宋_GBK" w:cs="楷体_GB2312"/>
          <w:bCs/>
          <w:sz w:val="32"/>
          <w:szCs w:val="32"/>
          <w:highlight w:val="none"/>
          <w:lang w:val="zh-CN" w:eastAsia="zh-CN" w:bidi="ar-SA"/>
        </w:rPr>
        <w:t>实现效果：项目实现效果显著，社会效益良好。</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hint="default" w:ascii="Times New Roman" w:hAnsi="Times New Roman" w:eastAsia="方正仿宋_GBK" w:cs="楷体_GB2312"/>
          <w:sz w:val="32"/>
          <w:szCs w:val="32"/>
          <w:highlight w:val="none"/>
          <w:lang w:bidi="ar-SA"/>
        </w:rPr>
      </w:pPr>
      <w:r>
        <w:rPr>
          <w:rFonts w:hint="default" w:ascii="Times New Roman" w:hAnsi="Times New Roman" w:eastAsia="方正仿宋_GBK" w:cs="楷体_GB2312"/>
          <w:sz w:val="32"/>
          <w:szCs w:val="32"/>
          <w:lang w:bidi="ar-SA"/>
        </w:rPr>
        <w:t>州级部门202</w:t>
      </w:r>
      <w:r>
        <w:rPr>
          <w:rFonts w:ascii="Times New Roman" w:hAnsi="Times New Roman" w:eastAsia="方正仿宋_GBK" w:cs="楷体_GB2312"/>
          <w:sz w:val="32"/>
          <w:szCs w:val="32"/>
          <w:lang w:bidi="ar-SA"/>
        </w:rPr>
        <w:t>4</w:t>
      </w:r>
      <w:r>
        <w:rPr>
          <w:rFonts w:hint="default" w:ascii="Times New Roman" w:hAnsi="Times New Roman" w:eastAsia="方正仿宋_GBK" w:cs="楷体_GB2312"/>
          <w:sz w:val="32"/>
          <w:szCs w:val="32"/>
          <w:lang w:bidi="ar-SA"/>
        </w:rPr>
        <w:t>年度若涉及国有资</w:t>
      </w:r>
      <w:r>
        <w:rPr>
          <w:rFonts w:hint="default" w:ascii="Times New Roman" w:hAnsi="Times New Roman" w:eastAsia="方正仿宋_GBK" w:cs="楷体_GB2312"/>
          <w:sz w:val="32"/>
          <w:szCs w:val="32"/>
          <w:highlight w:val="none"/>
          <w:lang w:bidi="ar-SA"/>
        </w:rPr>
        <w:t>本经营预算、社会保险基金预算的，应在部门</w:t>
      </w:r>
      <w:r>
        <w:rPr>
          <w:rFonts w:hint="default" w:ascii="Times New Roman" w:hAnsi="Times New Roman" w:eastAsia="方正仿宋_GBK" w:cs="楷体_GB2312"/>
          <w:sz w:val="32"/>
          <w:szCs w:val="32"/>
          <w:lang w:bidi="ar-SA"/>
        </w:rPr>
        <w:t>预算</w:t>
      </w:r>
      <w:r>
        <w:rPr>
          <w:rFonts w:hint="default" w:ascii="Times New Roman" w:hAnsi="Times New Roman" w:eastAsia="方正仿宋_GBK" w:cs="楷体_GB2312"/>
          <w:sz w:val="32"/>
          <w:szCs w:val="32"/>
          <w:highlight w:val="none"/>
          <w:lang w:bidi="ar-SA"/>
        </w:rPr>
        <w:t>绩效自评报告中对完成情况进行梳理阐述。国有资本经营预算绩效自评重点关注企业的运营质量、行业水平等情况；社会保险基金预算绩效自评重点关注基金可持续性、区域安全性等情况。</w:t>
      </w:r>
    </w:p>
    <w:p>
      <w:pPr>
        <w:keepNext w:val="0"/>
        <w:keepLines w:val="0"/>
        <w:pageBreakBefore w:val="0"/>
        <w:widowControl/>
        <w:kinsoku/>
        <w:wordWrap/>
        <w:overflowPunct/>
        <w:topLinePunct w:val="0"/>
        <w:autoSpaceDE/>
        <w:autoSpaceDN/>
        <w:bidi w:val="0"/>
        <w:spacing w:line="560" w:lineRule="exact"/>
        <w:ind w:right="-334" w:rightChars="-159" w:firstLine="642" w:firstLineChars="200"/>
        <w:jc w:val="left"/>
        <w:textAlignment w:val="auto"/>
        <w:rPr>
          <w:rFonts w:ascii="Times New Roman" w:hAnsi="Times New Roman" w:eastAsia="楷体_GB2312" w:cs="Times New Roman"/>
          <w:b/>
          <w:bCs/>
          <w:color w:val="000000"/>
          <w:kern w:val="0"/>
          <w:sz w:val="32"/>
          <w:szCs w:val="32"/>
          <w:highlight w:val="none"/>
          <w:shd w:val="clear" w:color="auto" w:fill="FFFFFF"/>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w:t>
      </w:r>
      <w:r>
        <w:rPr>
          <w:rFonts w:hint="eastAsia" w:ascii="Times New Roman" w:hAnsi="Times New Roman" w:eastAsia="楷体_GB2312" w:cs="Times New Roman"/>
          <w:b/>
          <w:bCs/>
          <w:color w:val="000000"/>
          <w:kern w:val="0"/>
          <w:sz w:val="32"/>
          <w:szCs w:val="32"/>
          <w:highlight w:val="none"/>
          <w:shd w:val="clear" w:color="auto" w:fill="FFFFFF"/>
          <w:lang w:val="zh-CN" w:eastAsia="zh-CN" w:bidi="ar-SA"/>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）重点领域绩效分析。</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bidi="ar-SA"/>
        </w:rPr>
        <w:t>结合主席会、常委会、执委会和开展调研的契机，开展党的二十大精神、省委、州委十二届历次全会精神宣讲8次，组织开展宣讲活动17场次，推送推送《工商联法律微讲堂》44期、《合规月月谈》线上培训10期。组织近40名民营企业家参加“四川新阶.经济大讲堂”暨“四川民营经济大讲堂”、民营经济人士“学思想增信心、民企携手促振兴”等10余期专题培训班，不断加强民营经济人士思想政治建设，充分发挥非公经济统战工作在促进民营经济人士健康成长中的重要作用。</w:t>
      </w:r>
      <w:r>
        <w:rPr>
          <w:rFonts w:hint="default" w:ascii="Times New Roman" w:hAnsi="Times New Roman" w:eastAsia="方正仿宋_GBK" w:cs="Times New Roman"/>
          <w:kern w:val="2"/>
          <w:sz w:val="32"/>
          <w:szCs w:val="32"/>
          <w:lang w:val="en-US" w:eastAsia="zh-CN" w:bidi="ar-SA"/>
        </w:rPr>
        <w:t>通过政策宣传、专题调研、召开座谈会等形式，统筹协调各部门深入开展“八大行动”，组织引导民营企业深刻融入全州经济大战大局中，民营企业家参政议政、建言献策能力和水平进一步提升，全州营商环境进一步优化、引进投资成效突出，全州民营经济市场逐步稳定恢复至疫情前水平，消费帮扶成效显现，进一步提振了全州民营经济发展信心，筑牢经济社会发展基础</w:t>
      </w:r>
      <w:r>
        <w:rPr>
          <w:rFonts w:hint="default" w:ascii="Times New Roman" w:hAnsi="Times New Roman" w:eastAsia="方正黑体_GBK" w:cs="Times New Roman"/>
          <w:sz w:val="32"/>
          <w:szCs w:val="32"/>
          <w:lang w:bidi="ar-SA"/>
        </w:rPr>
        <w:t>。</w:t>
      </w:r>
      <w:r>
        <w:rPr>
          <w:rFonts w:hint="default" w:ascii="Times New Roman" w:hAnsi="Times New Roman" w:eastAsia="方正仿宋_GBK" w:cs="Times New Roman"/>
          <w:kern w:val="2"/>
          <w:sz w:val="32"/>
          <w:szCs w:val="32"/>
          <w:lang w:val="en-US" w:eastAsia="zh-CN" w:bidi="ar-SA"/>
        </w:rPr>
        <w:t>制定《州委统战部、州工商联领导干部与民营经济代表人士联谊交友制度》，</w:t>
      </w:r>
      <w:r>
        <w:rPr>
          <w:rFonts w:hint="default" w:ascii="Times New Roman" w:hAnsi="Times New Roman" w:eastAsia="方正仿宋_GBK" w:cs="Times New Roman"/>
          <w:sz w:val="32"/>
          <w:szCs w:val="32"/>
          <w:lang w:bidi="ar-SA"/>
        </w:rPr>
        <w:t>确定了《州委统战部、州工商联领导联系民营经济代表人士名单》</w:t>
      </w:r>
      <w:r>
        <w:rPr>
          <w:rFonts w:hint="default" w:ascii="Times New Roman" w:hAnsi="Times New Roman" w:eastAsia="方正仿宋_GBK" w:cs="Times New Roman"/>
          <w:sz w:val="32"/>
          <w:szCs w:val="32"/>
          <w:lang w:eastAsia="zh-CN" w:bidi="ar-SA"/>
        </w:rPr>
        <w:t>。</w:t>
      </w:r>
      <w:r>
        <w:rPr>
          <w:rFonts w:hint="default" w:ascii="Times New Roman" w:hAnsi="Times New Roman" w:eastAsia="方正仿宋_GBK" w:cs="Times New Roman"/>
          <w:sz w:val="32"/>
          <w:szCs w:val="32"/>
          <w:lang w:bidi="ar-SA"/>
        </w:rPr>
        <w:t>组织</w:t>
      </w:r>
      <w:r>
        <w:rPr>
          <w:rFonts w:hint="default" w:ascii="Times New Roman" w:hAnsi="Times New Roman" w:eastAsia="方正仿宋_GBK" w:cs="Times New Roman"/>
          <w:sz w:val="32"/>
          <w:szCs w:val="32"/>
          <w:lang w:val="en-US" w:eastAsia="zh-CN" w:bidi="ar-SA"/>
        </w:rPr>
        <w:t>20名优秀</w:t>
      </w:r>
      <w:r>
        <w:rPr>
          <w:rFonts w:hint="default" w:ascii="Times New Roman" w:hAnsi="Times New Roman" w:eastAsia="方正仿宋_GBK" w:cs="Times New Roman"/>
          <w:sz w:val="32"/>
          <w:szCs w:val="32"/>
          <w:lang w:bidi="ar-SA"/>
        </w:rPr>
        <w:t>民营企业家赴东部城市进行考察。</w:t>
      </w:r>
      <w:r>
        <w:rPr>
          <w:rFonts w:hint="default" w:ascii="Times New Roman" w:hAnsi="Times New Roman" w:eastAsia="方正仿宋_GBK" w:cs="Times New Roman"/>
          <w:kern w:val="2"/>
          <w:sz w:val="32"/>
          <w:szCs w:val="32"/>
          <w:lang w:val="en-US" w:eastAsia="zh-CN" w:bidi="ar-SA"/>
        </w:rPr>
        <w:t>组织民营企业家代表开展“汶川“5.12”特大地震十六周年追思活动”和爱国主义理想信念教育，推荐第一季度</w:t>
      </w:r>
      <w:r>
        <w:rPr>
          <w:rFonts w:hint="default" w:ascii="Times New Roman" w:hAnsi="Times New Roman" w:eastAsia="方正仿宋简体" w:cs="Times New Roman"/>
          <w:sz w:val="32"/>
          <w:szCs w:val="32"/>
          <w:lang w:bidi="ar-SA"/>
        </w:rPr>
        <w:t>民营企业运行情况</w:t>
      </w:r>
      <w:r>
        <w:rPr>
          <w:rFonts w:hint="default" w:ascii="Times New Roman" w:hAnsi="Times New Roman" w:eastAsia="方正仿宋简体" w:cs="Times New Roman"/>
          <w:sz w:val="32"/>
          <w:szCs w:val="32"/>
          <w:lang w:val="en-US" w:eastAsia="zh-CN" w:bidi="ar-SA"/>
        </w:rPr>
        <w:t>调查优秀案列1个</w:t>
      </w:r>
      <w:r>
        <w:rPr>
          <w:rFonts w:hint="default" w:ascii="Times New Roman" w:hAnsi="Times New Roman" w:eastAsia="方正仿宋_GBK" w:cs="Times New Roman"/>
          <w:kern w:val="2"/>
          <w:sz w:val="32"/>
          <w:szCs w:val="32"/>
          <w:lang w:val="en-US" w:eastAsia="zh-CN" w:bidi="ar-SA"/>
        </w:rPr>
        <w:t>。深入开展“万企兴万村行动”，共动员355家民营企业、22家商（协）会结对帮扶313个村，实施“兴村”项目407个，投资总额达24.2亿元。制定《阿坝州工商联关于民营企业托底性帮扶工作方案》，对接</w:t>
      </w:r>
      <w:r>
        <w:rPr>
          <w:rFonts w:hint="default" w:ascii="Times New Roman" w:hAnsi="Times New Roman" w:eastAsia="方正仿宋_GBK" w:cs="Times New Roman"/>
          <w:sz w:val="32"/>
          <w:szCs w:val="32"/>
          <w:lang w:val="en-US" w:eastAsia="zh-CN" w:bidi="ar-SA"/>
        </w:rPr>
        <w:t>帮扶企业开展考察和交流28次，达成公益帮扶22项，促成落地项目4个，框架协议2个，消费帮扶93.08万元，直接捐款捐物折合1337.82万元。</w:t>
      </w:r>
      <w:r>
        <w:rPr>
          <w:rFonts w:hint="default" w:ascii="Times New Roman" w:hAnsi="Times New Roman" w:eastAsia="方正仿宋_GBK" w:cs="Times New Roman"/>
          <w:kern w:val="2"/>
          <w:sz w:val="32"/>
          <w:szCs w:val="32"/>
          <w:lang w:val="en-US" w:eastAsia="zh-CN" w:bidi="ar-SA"/>
        </w:rPr>
        <w:t>深度融入成渝双城经济圈发展规划，引导重庆南坪商会与理县文旅达成米孟线项目商业合作，共同开发打造米孟线旅游业，拉动旅游产业发展。搭建四川西藏商会、云心荟聚科技发展有限责任公司与九寨沟县合作交流平台，大力发展云朵玫瑰种植产业，力争把云朵玫瑰打造成为九寨沟的地理性标志产品。联合州委统战部、光彩事业促进会开展“爱心守护-光彩。民生银行先心病筛查救治”项目阿坝行活动。六是持续开展“百城千校万企”促就业行动。携手人社局组织300余家家民营企业，开展各类招聘会，解决用工1400余人。围绕乡村振兴战略实施和推动城乡融合高质量发展主题，深入13县市工商联、执委企业、会员企业开展调研，完成《阿坝州工商联关于推动文旅产业高质量发展的调研报告》上报省联。收集商会、民企及基层工商联的意见建议，上报社情民意10篇，其中《民营中小企业用地问题分析及对策议》《美加息预期对我国房地产行业影响分析及对策建议》被省联采用。</w:t>
      </w:r>
      <w:r>
        <w:rPr>
          <w:rFonts w:hint="default" w:ascii="Times New Roman" w:hAnsi="Times New Roman" w:eastAsia="方正仿宋_GBK" w:cs="Times New Roman"/>
          <w:sz w:val="32"/>
          <w:szCs w:val="32"/>
          <w:lang w:val="en-US" w:eastAsia="zh-CN" w:bidi="ar-SA"/>
        </w:rPr>
        <w:t>召开促进民营经济高质量发展座谈会，</w:t>
      </w:r>
      <w:r>
        <w:rPr>
          <w:rFonts w:hint="default" w:ascii="Times New Roman" w:hAnsi="Times New Roman" w:eastAsia="方正仿宋_GBK" w:cs="Times New Roman"/>
          <w:color w:val="000000"/>
          <w:kern w:val="2"/>
          <w:sz w:val="32"/>
          <w:szCs w:val="32"/>
          <w:lang w:val="en-US" w:eastAsia="zh-CN" w:bidi="ar-SA"/>
        </w:rPr>
        <w:t>梳理汇总了参会们代表提出的25条</w:t>
      </w:r>
      <w:r>
        <w:rPr>
          <w:rFonts w:hint="default" w:ascii="Times New Roman" w:hAnsi="Times New Roman" w:eastAsia="方正仿宋_GBK" w:cs="Times New Roman"/>
          <w:sz w:val="32"/>
          <w:szCs w:val="32"/>
          <w:lang w:val="en-US" w:eastAsia="zh-CN" w:bidi="ar-SA"/>
        </w:rPr>
        <w:t>困难</w:t>
      </w:r>
      <w:r>
        <w:rPr>
          <w:rFonts w:hint="default" w:ascii="Times New Roman" w:hAnsi="Times New Roman" w:eastAsia="方正仿宋_GBK" w:cs="Times New Roman"/>
          <w:color w:val="000000"/>
          <w:kern w:val="2"/>
          <w:sz w:val="32"/>
          <w:szCs w:val="32"/>
          <w:lang w:val="en-US" w:eastAsia="zh-CN" w:bidi="ar-SA"/>
        </w:rPr>
        <w:t>和问题，</w:t>
      </w:r>
      <w:r>
        <w:rPr>
          <w:rFonts w:hint="default" w:ascii="Times New Roman" w:hAnsi="Times New Roman" w:eastAsia="方正仿宋_GBK" w:cs="Times New Roman"/>
          <w:color w:val="000000"/>
          <w:sz w:val="32"/>
          <w:szCs w:val="32"/>
          <w:u w:val="none"/>
          <w:lang w:val="en-US" w:eastAsia="zh-CN" w:bidi="ar-SA"/>
        </w:rPr>
        <w:t>形成《促进全州民营经济高质量发展暨优化营商环境的调研报告》。</w:t>
      </w:r>
      <w:r>
        <w:rPr>
          <w:rFonts w:hint="default" w:ascii="Times New Roman" w:hAnsi="Times New Roman" w:eastAsia="方正仿宋_GBK" w:cs="Times New Roman"/>
          <w:sz w:val="32"/>
          <w:szCs w:val="32"/>
        </w:rPr>
        <w:t>撰写完成《阿坝州2023年民营经济发展综合报告》，完成2024年度民营企业运行情况调查、上规模民营企业调研及四川省民营企业品牌价值调研。</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hint="default" w:ascii="Times New Roman" w:hAnsi="Times New Roman" w:eastAsia="方正仿宋_GBK" w:cs="Times New Roman"/>
          <w:sz w:val="32"/>
          <w:szCs w:val="32"/>
        </w:rPr>
      </w:pPr>
      <w:r>
        <w:rPr>
          <w:rFonts w:ascii="Times New Roman" w:hAnsi="Times New Roman" w:eastAsia="仿宋_GB2312" w:cs="Times New Roman"/>
          <w:sz w:val="32"/>
          <w:szCs w:val="32"/>
        </w:rPr>
        <w:t>2024年</w:t>
      </w:r>
      <w:r>
        <w:rPr>
          <w:rFonts w:hint="default" w:ascii="Times New Roman" w:hAnsi="Times New Roman" w:eastAsia="方正仿宋_GBK" w:cs="Times New Roman"/>
          <w:sz w:val="32"/>
          <w:szCs w:val="32"/>
        </w:rPr>
        <w:t>面向</w:t>
      </w:r>
      <w:r>
        <w:rPr>
          <w:rFonts w:hint="default" w:ascii="Times New Roman" w:hAnsi="Times New Roman" w:eastAsia="方正仿宋_GBK" w:cs="Times New Roman"/>
          <w:sz w:val="32"/>
          <w:szCs w:val="32"/>
          <w:highlight w:val="none"/>
          <w:lang w:val="zh-CN" w:eastAsia="zh-CN"/>
        </w:rPr>
        <w:t>中小企业</w:t>
      </w:r>
      <w:r>
        <w:rPr>
          <w:rFonts w:hint="default" w:ascii="Times New Roman" w:hAnsi="Times New Roman" w:eastAsia="方正仿宋_GBK" w:cs="Times New Roman"/>
          <w:sz w:val="32"/>
          <w:szCs w:val="32"/>
        </w:rPr>
        <w:t>办公设备采购经费</w:t>
      </w:r>
      <w:r>
        <w:rPr>
          <w:rFonts w:ascii="Times New Roman" w:hAnsi="Times New Roman" w:eastAsia="方正仿宋_GBK" w:cs="Times New Roman"/>
          <w:sz w:val="32"/>
          <w:szCs w:val="32"/>
        </w:rPr>
        <w:t>4.07</w:t>
      </w:r>
      <w:r>
        <w:rPr>
          <w:rFonts w:hint="default" w:ascii="Times New Roman" w:hAnsi="Times New Roman" w:eastAsia="方正仿宋_GBK" w:cs="Times New Roman"/>
          <w:sz w:val="32"/>
          <w:szCs w:val="32"/>
        </w:rPr>
        <w:t>万元，预算执行数为</w:t>
      </w:r>
      <w:r>
        <w:rPr>
          <w:rFonts w:ascii="Times New Roman" w:hAnsi="Times New Roman" w:eastAsia="方正仿宋_GBK" w:cs="Times New Roman"/>
          <w:sz w:val="32"/>
          <w:szCs w:val="32"/>
        </w:rPr>
        <w:t>4.07</w:t>
      </w:r>
      <w:r>
        <w:rPr>
          <w:rFonts w:hint="default" w:ascii="Times New Roman" w:hAnsi="Times New Roman" w:eastAsia="方正仿宋_GBK" w:cs="Times New Roman"/>
          <w:sz w:val="32"/>
          <w:szCs w:val="32"/>
        </w:rPr>
        <w:t>万元，预算执行率为100%。</w:t>
      </w:r>
    </w:p>
    <w:p>
      <w:pPr>
        <w:keepNext w:val="0"/>
        <w:keepLines w:val="0"/>
        <w:pageBreakBefore w:val="0"/>
        <w:widowControl w:val="0"/>
        <w:kinsoku/>
        <w:wordWrap/>
        <w:overflowPunct/>
        <w:topLinePunct w:val="0"/>
        <w:autoSpaceDE/>
        <w:autoSpaceDN/>
        <w:bidi w:val="0"/>
        <w:snapToGrid w:val="0"/>
        <w:spacing w:line="560" w:lineRule="exact"/>
        <w:ind w:firstLine="642" w:firstLineChars="200"/>
        <w:jc w:val="left"/>
        <w:textAlignment w:val="auto"/>
        <w:rPr>
          <w:rFonts w:ascii="Times New Roman" w:hAnsi="Times New Roman" w:eastAsia="楷体_GB2312" w:cs="Times New Roman"/>
          <w:b/>
          <w:bCs/>
          <w:sz w:val="32"/>
          <w:szCs w:val="32"/>
          <w:lang w:val="zh-CN" w:eastAsia="zh-CN" w:bidi="ar-SA"/>
        </w:rPr>
      </w:pPr>
      <w:r>
        <w:rPr>
          <w:rFonts w:hint="default" w:ascii="Times New Roman" w:hAnsi="Times New Roman" w:eastAsia="楷体_GB2312" w:cs="Times New Roman"/>
          <w:b/>
          <w:bCs/>
          <w:sz w:val="32"/>
          <w:szCs w:val="32"/>
          <w:lang w:val="zh-CN" w:eastAsia="zh-CN" w:bidi="ar-SA"/>
        </w:rPr>
        <w:t>（四）绩效结果应用情况</w:t>
      </w:r>
      <w:r>
        <w:rPr>
          <w:rFonts w:hint="eastAsia" w:ascii="Times New Roman" w:hAnsi="Times New Roman" w:eastAsia="楷体_GB2312" w:cs="Times New Roman"/>
          <w:b/>
          <w:bCs/>
          <w:sz w:val="32"/>
          <w:szCs w:val="32"/>
          <w:lang w:val="zh-CN" w:eastAsia="zh-CN" w:bidi="ar-SA"/>
        </w:rPr>
        <w:t>。</w:t>
      </w:r>
    </w:p>
    <w:p>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_GB2312" w:cs="Times New Roman"/>
          <w:bCs/>
          <w:sz w:val="32"/>
          <w:szCs w:val="32"/>
          <w:highlight w:val="none"/>
          <w:lang w:val="zh-CN" w:eastAsia="zh-CN"/>
        </w:rPr>
      </w:pPr>
      <w:r>
        <w:rPr>
          <w:rFonts w:hint="default" w:ascii="Times New Roman" w:hAnsi="Times New Roman" w:eastAsia="仿宋_GB2312" w:cs="Times New Roman"/>
          <w:bCs/>
          <w:sz w:val="32"/>
          <w:szCs w:val="32"/>
          <w:highlight w:val="none"/>
          <w:lang w:val="zh-CN" w:eastAsia="zh-CN"/>
        </w:rPr>
        <w:t>内部应用情况：绩效结果用于改进内部管理，提高工作效率。</w:t>
      </w:r>
    </w:p>
    <w:p>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_GB2312" w:cs="Times New Roman"/>
          <w:bCs/>
          <w:sz w:val="32"/>
          <w:szCs w:val="32"/>
          <w:highlight w:val="none"/>
          <w:lang w:val="zh-CN" w:eastAsia="zh-CN"/>
        </w:rPr>
      </w:pPr>
      <w:r>
        <w:rPr>
          <w:rFonts w:hint="default" w:ascii="Times New Roman" w:hAnsi="Times New Roman" w:eastAsia="仿宋_GB2312" w:cs="Times New Roman"/>
          <w:bCs/>
          <w:sz w:val="32"/>
          <w:szCs w:val="32"/>
          <w:highlight w:val="none"/>
          <w:lang w:val="zh-CN" w:eastAsia="zh-CN"/>
        </w:rPr>
        <w:t>信息公开情况：定期向社会公布绩效评价结果，增强透明度。</w:t>
      </w:r>
    </w:p>
    <w:p>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highlight w:val="none"/>
          <w:lang w:val="zh-CN" w:eastAsia="zh-CN"/>
        </w:rPr>
        <w:t>整改反馈情况：根据绩效评价结果，及时进行整改，反馈机制完善。</w:t>
      </w:r>
    </w:p>
    <w:p>
      <w:pPr>
        <w:keepNext w:val="0"/>
        <w:keepLines w:val="0"/>
        <w:pageBreakBefore w:val="0"/>
        <w:widowControl/>
        <w:kinsoku/>
        <w:wordWrap/>
        <w:overflowPunct/>
        <w:topLinePunct w:val="0"/>
        <w:autoSpaceDE/>
        <w:autoSpaceDN/>
        <w:bidi w:val="0"/>
        <w:spacing w:line="560" w:lineRule="exact"/>
        <w:ind w:right="-334" w:rightChars="-159" w:firstLine="793" w:firstLineChars="247"/>
        <w:jc w:val="left"/>
        <w:textAlignment w:val="auto"/>
        <w:rPr>
          <w:rFonts w:ascii="Times New Roman" w:hAnsi="Times New Roman" w:eastAsia="仿宋" w:cs="Times New Roman"/>
          <w:sz w:val="32"/>
          <w:szCs w:val="32"/>
        </w:rPr>
      </w:pPr>
      <w:r>
        <w:rPr>
          <w:rFonts w:ascii="Times New Roman" w:hAnsi="Times New Roman" w:eastAsia="仿宋" w:cs="Times New Roman"/>
          <w:b/>
          <w:bCs/>
          <w:sz w:val="32"/>
          <w:szCs w:val="32"/>
        </w:rPr>
        <w:t>四、评价结论及建议</w:t>
      </w:r>
    </w:p>
    <w:p>
      <w:pPr>
        <w:keepNext w:val="0"/>
        <w:keepLines w:val="0"/>
        <w:pageBreakBefore w:val="0"/>
        <w:widowControl w:val="0"/>
        <w:kinsoku/>
        <w:wordWrap/>
        <w:overflowPunct/>
        <w:topLinePunct w:val="0"/>
        <w:autoSpaceDE/>
        <w:autoSpaceDN/>
        <w:bidi w:val="0"/>
        <w:spacing w:line="560" w:lineRule="exact"/>
        <w:ind w:firstLine="642" w:firstLineChars="200"/>
        <w:jc w:val="left"/>
        <w:textAlignment w:val="auto"/>
        <w:rPr>
          <w:rFonts w:ascii="Times New Roman" w:hAnsi="Times New Roman" w:eastAsia="仿宋" w:cs="Times New Roman"/>
          <w:b/>
          <w:bCs/>
          <w:sz w:val="32"/>
          <w:szCs w:val="32"/>
        </w:rPr>
      </w:pPr>
      <w:r>
        <w:rPr>
          <w:rFonts w:ascii="Times New Roman" w:hAnsi="Times New Roman" w:eastAsia="仿宋" w:cs="Times New Roman"/>
          <w:b/>
          <w:bCs/>
          <w:sz w:val="32"/>
          <w:szCs w:val="32"/>
        </w:rPr>
        <w:t>（一）评价结论。</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年我会大力加强部门预算管理，努力提高财政资金使用效益，取得了较好的成绩，部门支出绩效评价自评得分</w:t>
      </w:r>
      <w:r>
        <w:rPr>
          <w:rFonts w:ascii="Times New Roman" w:hAnsi="Times New Roman" w:eastAsia="仿宋_GB2312" w:cs="Times New Roman"/>
          <w:sz w:val="32"/>
          <w:szCs w:val="32"/>
          <w:lang w:val="en-US" w:eastAsia="zh-CN"/>
        </w:rPr>
        <w:t>91.5</w:t>
      </w:r>
      <w:r>
        <w:rPr>
          <w:rFonts w:ascii="Times New Roman" w:hAnsi="Times New Roman" w:eastAsia="仿宋_GB2312" w:cs="Times New Roman"/>
          <w:sz w:val="32"/>
          <w:szCs w:val="32"/>
        </w:rPr>
        <w:t>分。主要表现在：及时、准确、优质地完成预算编制；支出管理规范，资金管理制度较为完善，会计核算和账务处理规范，会计资料完整；预算执行情况良好，项目资金合理使用；取得了显著的经济、社会效益，圆满完成了州委、州政府下达的目标任务。</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预算编制准确，按时完成预算基础库及项目库的报送和预算草案的提交；2.对项目经费进行绩效目标编制，做到绩效目标与实际需求相吻合；3.部门预算按财政要求进行挂网公开；4.项目实施规划符合实际工作要求，资金按项目设立科目范围使用，实施进度明确、规范；5.财务管理制度健全、管理规范，会计人员岗位按职责分设，财务印鉴按要求保管，各司其职、各负其责，会计核算较规范、资金专款专用、资金支付依据和开支标准符合规定和要求。6.部门决算做到帐表一致，未出现应编未编、错误列编、虚假混编等现象，并按要求公开决算。</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ascii="Times New Roman" w:hAnsi="Times New Roman" w:eastAsia="仿宋_GB2312" w:cs="Times New Roman"/>
          <w:b/>
          <w:sz w:val="32"/>
          <w:szCs w:val="32"/>
        </w:rPr>
      </w:pPr>
      <w:r>
        <w:rPr>
          <w:rFonts w:ascii="Times New Roman" w:hAnsi="Times New Roman" w:eastAsia="仿宋_GB2312" w:cs="Times New Roman"/>
          <w:b/>
          <w:sz w:val="32"/>
          <w:szCs w:val="32"/>
        </w:rPr>
        <w:t>（二）存在问题和措施。</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问题:1.整体预算编制缺乏长远考虑，项目预算编制前瞻性欠缺；2</w:t>
      </w:r>
      <w:r>
        <w:rPr>
          <w:rFonts w:ascii="Times New Roman" w:hAnsi="Times New Roman" w:eastAsia="仿宋_GB2312" w:cs="Times New Roman"/>
          <w:sz w:val="32"/>
          <w:szCs w:val="32"/>
          <w:lang w:val="zh-CN" w:eastAsia="zh-CN"/>
        </w:rPr>
        <w:t>.财务人员综合素质需大力提升。</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措施:</w:t>
      </w:r>
      <w:r>
        <w:rPr>
          <w:rFonts w:ascii="Times New Roman" w:hAnsi="Times New Roman" w:eastAsia="仿宋_GB2312" w:cs="Times New Roman"/>
          <w:sz w:val="32"/>
          <w:szCs w:val="32"/>
          <w:lang w:val="zh-CN" w:eastAsia="zh-CN"/>
        </w:rPr>
        <w:t xml:space="preserve"> 继续深化部门预算改革，建立部门预算项目储备、预算执行考核、预算执行动态监控三项机制；加强监督检查力度，确保</w:t>
      </w:r>
      <w:r>
        <w:rPr>
          <w:rFonts w:ascii="Times New Roman" w:hAnsi="Times New Roman" w:eastAsia="仿宋_GB2312" w:cs="Times New Roman"/>
          <w:sz w:val="32"/>
          <w:szCs w:val="32"/>
        </w:rPr>
        <w:t>预算</w:t>
      </w:r>
      <w:r>
        <w:rPr>
          <w:rFonts w:ascii="Times New Roman" w:hAnsi="Times New Roman" w:eastAsia="仿宋_GB2312" w:cs="Times New Roman"/>
          <w:sz w:val="32"/>
          <w:szCs w:val="32"/>
          <w:lang w:val="zh-CN" w:eastAsia="zh-CN"/>
        </w:rPr>
        <w:t>资金规范安全运行；</w:t>
      </w:r>
      <w:r>
        <w:rPr>
          <w:rFonts w:ascii="Times New Roman" w:hAnsi="Times New Roman" w:eastAsia="仿宋_GB2312" w:cs="Times New Roman"/>
          <w:sz w:val="32"/>
          <w:szCs w:val="32"/>
        </w:rPr>
        <w:t>下半年需加快进一步合理安排项目资金使用进度</w:t>
      </w:r>
      <w:r>
        <w:rPr>
          <w:rFonts w:ascii="Times New Roman" w:hAnsi="Times New Roman" w:eastAsia="仿宋_GB2312" w:cs="Times New Roman"/>
          <w:sz w:val="32"/>
          <w:szCs w:val="32"/>
          <w:lang w:val="zh-CN" w:eastAsia="zh-CN"/>
        </w:rPr>
        <w:t>；着力完善</w:t>
      </w:r>
      <w:r>
        <w:rPr>
          <w:rFonts w:ascii="Times New Roman" w:hAnsi="Times New Roman" w:eastAsia="仿宋_GB2312" w:cs="Times New Roman"/>
          <w:sz w:val="32"/>
          <w:szCs w:val="32"/>
        </w:rPr>
        <w:t>项目资金绩效评价</w:t>
      </w:r>
      <w:r>
        <w:rPr>
          <w:rFonts w:ascii="Times New Roman" w:hAnsi="Times New Roman" w:eastAsia="仿宋_GB2312" w:cs="Times New Roman"/>
          <w:sz w:val="32"/>
          <w:szCs w:val="32"/>
          <w:lang w:val="zh-CN" w:eastAsia="zh-CN"/>
        </w:rPr>
        <w:t>机制，</w:t>
      </w:r>
      <w:r>
        <w:rPr>
          <w:rFonts w:ascii="Times New Roman" w:hAnsi="Times New Roman" w:eastAsia="仿宋_GB2312" w:cs="Times New Roman"/>
          <w:sz w:val="32"/>
          <w:szCs w:val="32"/>
        </w:rPr>
        <w:t>加强财务人员业务培训，进一步提高业务能力</w:t>
      </w:r>
      <w:r>
        <w:rPr>
          <w:rFonts w:ascii="Times New Roman" w:hAnsi="Times New Roman" w:eastAsia="仿宋_GB2312" w:cs="Times New Roman"/>
          <w:sz w:val="32"/>
          <w:szCs w:val="32"/>
          <w:lang w:val="zh-CN" w:eastAsia="zh-CN"/>
        </w:rPr>
        <w:t>。</w:t>
      </w:r>
    </w:p>
    <w:p>
      <w:pPr>
        <w:keepNext w:val="0"/>
        <w:keepLines w:val="0"/>
        <w:pageBreakBefore w:val="0"/>
        <w:widowControl w:val="0"/>
        <w:kinsoku/>
        <w:wordWrap/>
        <w:overflowPunct/>
        <w:topLinePunct w:val="0"/>
        <w:autoSpaceDE/>
        <w:autoSpaceDN/>
        <w:bidi w:val="0"/>
        <w:spacing w:line="560" w:lineRule="exact"/>
        <w:ind w:firstLine="472" w:firstLineChars="147"/>
        <w:jc w:val="left"/>
        <w:textAlignment w:val="auto"/>
        <w:rPr>
          <w:rFonts w:ascii="Times New Roman" w:hAnsi="Times New Roman" w:eastAsia="仿宋_GB2312" w:cs="Times New Roman"/>
          <w:color w:val="000000"/>
          <w:kern w:val="0"/>
          <w:sz w:val="32"/>
          <w:szCs w:val="32"/>
          <w:lang w:val="zh-CN" w:eastAsia="zh-CN"/>
        </w:rPr>
      </w:pPr>
      <w:r>
        <w:rPr>
          <w:rFonts w:ascii="Times New Roman" w:hAnsi="Times New Roman" w:eastAsia="仿宋_GB2312" w:cs="Times New Roman"/>
          <w:b/>
          <w:sz w:val="32"/>
          <w:szCs w:val="32"/>
        </w:rPr>
        <w:t>（三）改进建议。</w:t>
      </w:r>
    </w:p>
    <w:p>
      <w:pPr>
        <w:keepNext w:val="0"/>
        <w:keepLines w:val="0"/>
        <w:pageBreakBefore w:val="0"/>
        <w:widowControl w:val="0"/>
        <w:kinsoku/>
        <w:wordWrap/>
        <w:overflowPunct/>
        <w:topLinePunct w:val="0"/>
        <w:autoSpaceDE/>
        <w:autoSpaceDN/>
        <w:bidi w:val="0"/>
        <w:spacing w:line="56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color w:val="000000"/>
          <w:kern w:val="0"/>
          <w:sz w:val="32"/>
          <w:szCs w:val="32"/>
          <w:lang w:val="zh-CN" w:eastAsia="zh-CN"/>
        </w:rPr>
        <w:t xml:space="preserve">    </w:t>
      </w:r>
      <w:r>
        <w:rPr>
          <w:rFonts w:ascii="Times New Roman" w:hAnsi="Times New Roman" w:eastAsia="仿宋_GB2312" w:cs="Times New Roman"/>
          <w:sz w:val="32"/>
          <w:szCs w:val="32"/>
          <w:lang w:val="zh-CN" w:eastAsia="zh-CN"/>
        </w:rPr>
        <w:t>绩效管理工作从预算编制中绩效目标的设置、预算执行中绩效目标的检查以及预算执行终绩效目标的考核等方面都提出了更高的要求，政策性、专业性和系统性要求都比较高，日常工作量也大大增加。建议财政能够从人员保障上做出统一部署，在岗位设置明确要求专人专岗，以确保绩效管理工作能够保质保量的完成。</w:t>
      </w:r>
    </w:p>
    <w:p>
      <w:pPr>
        <w:keepNext w:val="0"/>
        <w:keepLines w:val="0"/>
        <w:pageBreakBefore w:val="0"/>
        <w:widowControl/>
        <w:kinsoku/>
        <w:wordWrap/>
        <w:overflowPunct/>
        <w:topLinePunct w:val="0"/>
        <w:autoSpaceDE/>
        <w:autoSpaceDN/>
        <w:bidi w:val="0"/>
        <w:spacing w:line="560" w:lineRule="exact"/>
        <w:ind w:right="-334" w:rightChars="-159" w:firstLine="6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p>
    <w:p>
      <w:pPr>
        <w:keepNext w:val="0"/>
        <w:keepLines w:val="0"/>
        <w:pageBreakBefore w:val="0"/>
        <w:widowControl/>
        <w:kinsoku/>
        <w:wordWrap/>
        <w:overflowPunct/>
        <w:topLinePunct w:val="0"/>
        <w:autoSpaceDE/>
        <w:autoSpaceDN/>
        <w:bidi w:val="0"/>
        <w:spacing w:line="560" w:lineRule="exact"/>
        <w:ind w:left="0" w:right="-334" w:rightChars="-159"/>
        <w:jc w:val="left"/>
        <w:textAlignment w:val="auto"/>
        <w:rPr>
          <w:rFonts w:hint="eastAsia" w:ascii="Times New Roman" w:hAnsi="Times New Roman" w:eastAsia="仿宋_GB2312" w:cs="Times New Roman"/>
          <w:kern w:val="2"/>
          <w:sz w:val="32"/>
          <w:szCs w:val="32"/>
          <w:u w:val="none"/>
          <w:lang w:val="zh-CN" w:eastAsia="zh-CN" w:bidi="ar"/>
        </w:rPr>
      </w:pPr>
    </w:p>
    <w:p>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bidi="ar"/>
        </w:rPr>
        <w:sectPr>
          <w:footerReference r:id="rId8" w:type="first"/>
          <w:footerReference r:id="rId7" w:type="default"/>
          <w:pgSz w:w="11906" w:h="16838"/>
          <w:pgMar w:top="1440" w:right="1800" w:bottom="1440" w:left="1800" w:header="851" w:footer="992" w:gutter="0"/>
          <w:pgNumType w:fmt="numberInDash" w:start="3"/>
          <w:cols w:space="425" w:num="1"/>
          <w:docGrid w:type="lines" w:linePitch="312" w:charSpace="0"/>
        </w:sect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tbl>
      <w:tblPr>
        <w:tblStyle w:val="15"/>
        <w:tblW w:w="16300" w:type="dxa"/>
        <w:tblInd w:w="-17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23"/>
        <w:gridCol w:w="2333"/>
        <w:gridCol w:w="1569"/>
        <w:gridCol w:w="2800"/>
        <w:gridCol w:w="875"/>
        <w:gridCol w:w="979"/>
        <w:gridCol w:w="846"/>
        <w:gridCol w:w="1000"/>
        <w:gridCol w:w="1000"/>
        <w:gridCol w:w="812"/>
        <w:gridCol w:w="26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sz w:val="15"/>
                <w:szCs w:val="15"/>
                <w:lang w:bidi="ar-SA"/>
              </w:rPr>
            </w:pPr>
            <w:r>
              <w:rPr>
                <w:rFonts w:hint="default" w:ascii="Times New Roman" w:hAnsi="Times New Roman" w:eastAsia="SimSun" w:cs="Times New Roman"/>
                <w:color w:val="000000"/>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sz w:val="15"/>
                <w:szCs w:val="15"/>
                <w:lang w:bidi="ar-SA"/>
              </w:rPr>
            </w:pPr>
            <w:r>
              <w:rPr>
                <w:rFonts w:hint="default" w:ascii="Times New Roman" w:hAnsi="Times New Roman" w:eastAsia="SimSun" w:cs="Times New Roman"/>
                <w:color w:val="000000"/>
                <w:sz w:val="15"/>
                <w:szCs w:val="15"/>
                <w:lang w:val="en-US" w:eastAsia="zh-CN" w:bidi="ar-SA"/>
              </w:rPr>
              <w:t>51320021T000000045336-考察调研工作经费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sz w:val="15"/>
                <w:szCs w:val="15"/>
                <w:lang w:bidi="ar-SA"/>
              </w:rPr>
            </w:pPr>
            <w:r>
              <w:rPr>
                <w:rFonts w:hint="default" w:ascii="Times New Roman" w:hAnsi="Times New Roman" w:eastAsia="SimSun" w:cs="Times New Roman"/>
                <w:color w:val="000000"/>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sz w:val="15"/>
                <w:szCs w:val="15"/>
                <w:lang w:bidi="ar-SA"/>
              </w:rPr>
            </w:pPr>
            <w:r>
              <w:rPr>
                <w:rFonts w:hint="default" w:ascii="Times New Roman" w:hAnsi="Times New Roman" w:eastAsia="SimSun" w:cs="Times New Roman"/>
                <w:color w:val="000000"/>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sz w:val="15"/>
                <w:szCs w:val="15"/>
                <w:lang w:bidi="ar-SA"/>
              </w:rPr>
            </w:pPr>
            <w:r>
              <w:rPr>
                <w:rFonts w:hint="default" w:ascii="Times New Roman" w:hAnsi="Times New Roman" w:eastAsia="SimSun" w:cs="Times New Roman"/>
                <w:color w:val="000000"/>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sz w:val="15"/>
                <w:szCs w:val="15"/>
                <w:lang w:bidi="ar-SA"/>
              </w:rPr>
            </w:pPr>
            <w:r>
              <w:rPr>
                <w:rFonts w:hint="default" w:ascii="Times New Roman" w:hAnsi="Times New Roman" w:eastAsia="SimSun" w:cs="Times New Roman"/>
                <w:color w:val="000000"/>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sz w:val="15"/>
                <w:szCs w:val="15"/>
                <w:lang w:bidi="ar-SA"/>
              </w:rPr>
            </w:pPr>
            <w:r>
              <w:rPr>
                <w:rFonts w:hint="default" w:ascii="Times New Roman" w:hAnsi="Times New Roman" w:eastAsia="SimSun" w:cs="Times New Roman"/>
                <w:color w:val="000000"/>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sz w:val="15"/>
                <w:szCs w:val="15"/>
                <w:lang w:bidi="ar-SA"/>
              </w:rPr>
            </w:pPr>
            <w:r>
              <w:rPr>
                <w:rFonts w:hint="default" w:ascii="Times New Roman" w:hAnsi="Times New Roman" w:eastAsia="SimSun" w:cs="Times New Roman"/>
                <w:color w:val="000000"/>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sz w:val="15"/>
                <w:szCs w:val="15"/>
                <w:lang w:bidi="ar-SA"/>
              </w:rPr>
            </w:pPr>
            <w:r>
              <w:rPr>
                <w:rFonts w:hint="default" w:ascii="Times New Roman" w:hAnsi="Times New Roman" w:eastAsia="SimSun" w:cs="Times New Roman"/>
                <w:color w:val="000000"/>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sz w:val="15"/>
                <w:szCs w:val="15"/>
                <w:lang w:bidi="ar-SA"/>
              </w:rPr>
            </w:pPr>
            <w:r>
              <w:rPr>
                <w:rFonts w:hint="default" w:ascii="Times New Roman" w:hAnsi="Times New Roman" w:eastAsia="SimSun" w:cs="Times New Roman"/>
                <w:color w:val="000000"/>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为深入推进贯彻落实习近平新时代中国特色社会主义思想，以开展大走访大调研为抓手，深入企业实地走访、考察调研，了解企业生产经营情况、行业发展现状、助企惠企政策落实情况和制约企业发展的痛点难点堵点问题，提供信息资源，搭建合作平台，广泛听取对我州非公有制经济发展提出的建议，积极向州委州政府反映。深入企业调研，组织专业人员对我州公有制经济发展现状、存在的主要问题提供决策帮助。</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深入企业考察调研，广泛听取广大非公有制经济代表人士意见建议对我州非公有制经济发展现状、存在的主要问题和困难等进行了解和深入研究并提供建议和决策帮助，积极向州委州政府反映。了解企业业务提供会员企业相互合作机会，帮助构建合作平台。收集、整理意见建议22条，形成较高质量调研成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深入企业考察调研，广泛听取广大非公有制经济代表人士意见建议对我州非公有制经济发展现状、存在的主要问题和困难等进行了解和深入研究并提供建议和决策帮助，积极向州委州政府反映。了解企业业务提供会员企业相互合作机会，帮助构建合作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3.65</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3.65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3.65</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3.65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调研次数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完成调研报告数量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考察调研工作覆盖率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促进阿坝州非公有制经济健康发展</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150" w:firstLineChars="100"/>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服务对象满意度指标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民营企业满意度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成本节约率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完成年初预算99.2%。自评得分100分，深入13县（市）民营企业、商协会开展调查研究，收集、整理意见建议，形成较高质量调研成果。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项目负责人：谢亚</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51320021T000000045420-参政议政工作经费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通过开展讲座等方式听取意见建议。2.引导非公有制经济人大代表、政协委员提出有质量的提案、议案。3.组织专门人员撰写出有质量、高水平的调研文章，积极参政议政。写出有质量、高水平的调研文章，撰写调研文章．　</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通过实地走访调研、座谈交流等方式听取民营经济人士意见建议，结合当前民营经济或行业发展中面临的形势与挑战，以及民营经济人士普遍关心的热点问题，提出了有质量的提案、社情民意，撰写了高质量的调研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通过到民营企业、商（协）会实地走访调研、开展座谈交流的方式听取意见建议，引导民营经济代表人士中的人大代表、政协委员围绕事关经济社会发展全局性、战略性的关键问题、深层问题、焦点问题，以及民营经济发展难点问题和民营经济人士普遍关心的热点问题建言献策。组织专人撰写高质量的提案、社情民意、调研文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6.00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3.72</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3.72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6.00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3.72</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3.72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提案件数、社情民意、调研文章篇数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调研文章质量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优</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优</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提高调研文章撰写水平，真实反映社情民意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显著提高</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显著提高</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提高参政议政能力水平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可持续影响指标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引导民营经济代表人士中的人大代表、政协委员建言献策、积极参政议政</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服务对象满意度指标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社会服务对象满意度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成本控制率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完成年初预算数的62%，自评得分100分，通过实地调研走访、交流座谈等方式听取民营经济人士意见建议，提出了有质量的提案、社情民意，撰写了高质量的调研报告。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项目负责人：屈珊</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97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46"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12"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51320021T000000045430-工商联人民调解委员会工作经费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为深入贯彻州委、州政府构建“大调解”工作体系战略部署，积极妥善化解涉企矛盾纠纷，促进社会和谐和社会稳定，服务全州“两个加快”，根据州委、州政府和上级部门的指示，州司法局和州工商联成立了“州工商联人民调解委员会”，主要调解发生在工商联会员企业之间以及会员企业与客户之间的经营、管理、劳资等涉企纠纷和矛盾排查预防和防激化工作。</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司法局和州工商联成立了“州工商联人民调解委员会”，聘请法律兼职人员积极妥善化解会员企业之间以及会员企业与客户之间的经营、管理、劳资等涉企纠纷和矛盾排查预防和防激化工作，促进社会和谐和社会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商会人民调解委员会要定期或不定期在会员企业开展矛盾纠纷排查工作，发现风险隐患及时采取针对性措施处置。主要调解发生在工商联会员企业之间以及会员企业与客户之间的经营、管理、劳资等涉企纠纷和矛盾排查预防和防激化工作。州工商联人民调解委员会人员由工商联专职人员和聘请法律兼职人员组成，开展工作经费。走访企业开展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6.00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4.30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4.30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6.00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4.30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4.30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聘请人员数量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茅盾调解率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服务促进“两个健康”，助力维护经济社会和谐稳定。</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化解涉企矛盾纠纷</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妥善化解</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妥善化解</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服务对象满意度指标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社会服务对象满意度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成本控制率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完成年初预算71.67。自评得分100分，通过州司法局和州工商联成立了“州工商联人民调解委员会”，聘请法律兼职人员积极妥善化解涉企矛盾纠纷，促进社会和谐和社会稳定。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项目负责人：谢亚</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33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6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8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7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4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1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266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51320021T000000045435-阿坝州总商会成都办事处工作经费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1.完成州委州政府下达的工作。2.开展城市民族工作、维护会员合法权益．阿坝州13个县在成都成立异地商会，阿坝州籍在蓉经商人员有近10万余人，州工商联（商会）成都办事处工作量越来越大，开展工作所需经费。</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开展城市民族工作、维护会员合法权益，完善为促进在蓉阿坝州籍商人团结，提升维权服务效率。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根据州委主要领导指示，阿坝州10个县在成都成立了异地商会，阿坝州籍在蓉经商人员有近10万余人，总商会负责指导我州各县异地商会工作、负联系、引导在蓉非公有制经济代表人士，工作量越来越大。开展工作所需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3.01</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3.01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3.01</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3.01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阿坝州籍在蓉经商人员</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万人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商会吸纳在蓉民企率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异地商会覆盖率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开展城市民族工作、维护会员合法权益</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服务对象满意度指标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会员企业满意度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成本节约率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完成预算的 60.2%，自评得分100分，该项目为阿坝州商会开展城市民族工作、维护会员合法权益提供经费保障。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项目负责人：武向威</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97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46"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12"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51320021T000000045444-非公有制经济人士及工商联干部职工培训费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根据中央、省州要求，为促进民营经济健康快速发展，引导广大非公有制经济人士积极投身到我州经济生活建设，为实现我州经济发展贡献力量，要加强非公有制经济人士和工商联干部的教育培训工作，根据《中共阿坝州委 阿坝州人民政府关于加强和改进新形式下工商联工作的实施意见》（阿委发〔2011〕15号）文件规定：“工商联考察调研、培训教育等专项经费列入同级财政预算”。</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为促进民营经济健康快速发展，引导广大非公有制经济人士积极投身到我州经济生活建设，为实现我州经济发展贡献力量，加强非公有制经济人士和工商联干部的教育培训工作，提升参训人员企业管理能力，促进民营经济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同州委统战部合办培训2期，时间为6天，标准为400元/人/天。加强非公有制经济人士和工商联干部的教育培训工作，提升参训人员企业管理能力，促进民营经济高质量发展。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举办会议期数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期/年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非公有制经济人士及工商联干部职工培训覆盖率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2024年12月底前完成</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2024年12月底前完成</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省级组织传达率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引导广大非公有制经济人士为我州经济发展贡献力量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服务对象满意度指标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参会人员满意度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成本控制率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完成年初预算100%。自评得分100分。提升参训人员企业管理能力，促进民营经济高质量发展。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项目负责人：屈珊</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2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97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46"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12"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51320021T000000045461-会员服务中心工作经费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按照全联和省联的要求，结合本会工作实际，牢固确立“服务立会、服务兴会”的思想，以服务会员企业和维护企业合法权益为中心，进一步增强会员凝聚力、增进会员企业间的交流与发展，为会员发展提供良好的交流和活动平台，为促进企业“两个健康”发展创造条件。</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以服务会员企业和维护企业合法权益为中心，进一步增强了会员凝聚力、增进了会员企业间的交流与发展，为会员发展提供了良好的交流和活动平台，为促进“两个健康”创造了条件。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州工商联会员服务中心以劳务派遣方式聘请商（协）会维护民营企业和民营企业家权益调解员、政策咨询员1人，支付劳务费共8万。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7.43</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7.43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7.43</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7.43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会员服务中心数量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个</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增强会员凝聚力</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可持续影响指标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非公有制经济健康发展和非公有制经济人士健康成长</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服务对象满意度指标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社会服务对象满意度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成本控制率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数的92.88%，项目自评得分100分。以服务会员企业和维护企业合法权益为中心，进一步增强了会员凝聚力、增进了会员企业间的交流与发展，为会员发展提供了良好的交流和活动平台，为促进“两个健康”创造了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项目负责人：屈珊</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97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46"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12"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51320022T000000344105-异地商会工作经费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对指导异地商会工作提供保障，加强与异地商会非公企业联络与交流．</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对指导异地商会工作提供保障，加强与异地商会非公企业联络与交流．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2024年协助党委政府帮助异地企业维护权益，用于异地商会办公经费补助及到异地商会开展工作联系服务等所需经费。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扶持商会数量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个</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西藏商会暂无办公点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异地商会工作开展覆盖率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提升加强与异地商会非公企业联络与交流</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促进异地商会的发展</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服务对象满意度指标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异地商会服务对象满意度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成本控制率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85</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完成年初预算62.5%，自评得分95分，西藏商会因换届等原因未申请办公补助，为协助党委政府帮助异地企业维护权益，用于异地商会办公经费补助，2024年拨付重庆阿坝州商会3万元，帮扶成都阿坝州商会3万元。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项目负责人：武向威</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97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46"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12"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51320023T000007865402-第三方监督评估机制工作专项经费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为深入贯彻落实习近平总书记在企业家座谈会上的重要讲话精神和省委“重要窗口”建设工作部署，根据《关于建立四川省涉案企业合规第三方监督评估工作机制的实施意见（实行）》《四川省涉案企业合规第三方监督评估机制专业人员选任管理实施细则（试行）》的通知》（川联发〔2022〕31号）文件要求，推动我州企业合规工作依法顺利开展，构建刑行衔接、多方合作一体化工作格局，实现对企业犯罪的诉源治理,服务保障我州经济社会高质量发展，助力国家治理体系和治理能力现代化建设。为深入贯彻落实习近平新时代中国特色社会主义思想和习近平法治思想，打造依法保护企业合法权益的更优营商环境，构建多方合作一体化工作格局，推动阿坝州涉案企业合规工作顺利开展，实现对企业犯罪的诉源治理,为阿坝州经济发展提供更优质、更高效的法治保障。</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推动了我州企业合规工作依法顺利开展，实现对企业犯罪的诉源治理,服务保障我州经济社会高质量发展，助力国家治理体系和治理能力现代化建设。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结合我州实际情况，拟建立涉案企业合规第三方监督评估工作机制，聘请工作人员开展评估劳务经费约6万元/年，办公经费5万元。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11.00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9.44</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9.44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11.00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9.44</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9.44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聘请第三方公司人员数量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个</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高质量完成评估工作</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优</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优</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为阿坝州经济发展提供更优质、更高效的法治保障</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会员企业满意度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成本控制率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第三方监督评估机制项目2024年总成本</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万元</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完成年初预算的85.82%，自评得分为100分，推动了我州企业合规工作依法顺利开展，实现对企业犯罪的诉源治理,服务保障我州经济社会高质量发展，助力国家治理体系和治理能力现代化建设。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项目负责人：谢亚</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97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46"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12"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51320024T000010427056-阿坝州浙江温州商会工作经费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坚持“政治建会、团结立会、服务兴会、改革强会”方针，充分发挥工商联对商会组织的指导、引导、服务作用，通过实地走访调研、座谈交流等形式，以务实举措推动阿坝州浙江温州商会快速健康发展。</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充分发挥工商联对商会组织的指导、引导、服务作用，通过对阿坝州浙江温州商会实地走访调研、座谈交流等形式，以务实举措推动阿坝州浙江温州商会快速健康发展。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 xml:space="preserve"> 补助阿坝州浙江温州商会3万元办公补助，以务实举措推动阿坝州浙江温州商会快速健康发展。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走访会员企业数量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家</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充分发挥工商联对商会组织的指导、引导、服务作用</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可持续影响指标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建立良好营商环境，推动阿坝州经济高质量发展。</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服务对象满意度指标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异地在州企业家满意度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成本控制率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完成年初预算75%，自评得分100分，以务实举措推动阿坝州浙江温州商会快速健康发展。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项目负责人：谢亚</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97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46"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12"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51320024T000010474122-车辆大修费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对州工商联开展各项工作提供车辆保障和安全保障，降低安全风险，提升经济效益。</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完成川U90020车辆的大修任务，提升了车辆的使用寿命，为开展各项工作提供车辆保障和安全保障，降低安全风险，提升经济效益。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完成川U90020车辆的大修任务。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7.95</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7.95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7.95</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7.95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车辆大修数量</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车辆性能</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车辆大修及时支付率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提升车辆使用寿命</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车辆安全系数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维修满意度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维修金额限额</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万元</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完成年初预算的99.38%，自评得分100分，完成川U90020车辆的大修任务，提升了车辆的使用寿命，为开展各项工作提供车辆保障和安全保障，降低安全风险，提升经济效益。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项目负责人：武向威</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97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46"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12"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51320024T000010474167-办公设备采购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保障工商联职工工作正常开展。现在办公电脑设备均为2010年及2013年采购，机器老化，反应慢，影响办公效率。1.木质文件书柜：3个*600元=1800元；2.办公桌椅 县处级以上（1.8米）：3套*3400元=10200元，一般干部（1.4米） 5*1000=5000元，（内控商场直购：17000元）。3.国产笔记本：2台*9000元=18000元，4.空调5P：1*2000元=10000元，（挂网，28000元），合计：45000元。</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完成设备购置任务，1.商场直购：木质文件书柜：3个、办公桌椅 县处级以上（1.8米）3套、一般干部（1.4米） 5套。2.挂网：国产笔记本：2台、.空调5P：1台。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完成设备购置任务，1.商场直购：木质文件书柜：3个、办公桌椅 县处级以上（1.8米）3套、一般干部（1.4米） 5套。2.挂网：国产笔记本：2台、.空调5P：1台。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4.50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4.07</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4.07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4.50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4.07</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4.07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办公桌椅</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国产笔记本电脑</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空调</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文件书柜</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个</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验收合格率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购买完成时间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可持续影响指标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保障工商联职工工作正常开展</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工作人员满意度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成本控制率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完成年初预算的90.44%，自评得分100分，完成设备购置任务，保障工商联职工工作正常开展。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项目负责人：武向威</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97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46"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12"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51320024T000010559315-推动民营企业建立现代企业制度工作经费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为深入推进贯彻落实习近平新时代中国特色社会主义思想，推动民营企业治理现代化，建立健全民营企业现代化公司治理体系，不断提升经营能力和管理水平，促进我州民营经济高质量发展。</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推动了民营企业治理现代化，建立了健全民营企业现代化公司治理体系，不断提升经营能力和管理水平，促进我州民营经济高质量发展。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深入民营企业调研，引导民营企业建立健全现代化公司治理体系，不断提升经营能力和管理水平，促进我州民营经济高质量发展。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3.15</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3.15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3.15</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3.15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引导民营企业建立健全现代化公司治理体系个数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个</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高质量完成建立现代企业制度工作</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优</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优</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推动民营企业建立中国特色现代企业制度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显著提高</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显著提高</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可持续影响指标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不断提升民营企业经营能力和管理水平，增加民营企业收益。</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员企业满意度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成本控制率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完成年初预算的63%，自评得分100分，推动了民营企业治理现代化，建立了健全民营企业现代化公司治理体系，不断提升经营能力和管理水平，促进我州民营经济高质量发展。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eastAsia" w:ascii="Times New Roman" w:hAnsi="Times New Roman" w:eastAsia="SimSun" w:cs="Times New Roman"/>
                <w:color w:val="000000"/>
                <w:kern w:val="2"/>
                <w:sz w:val="15"/>
                <w:szCs w:val="15"/>
                <w:lang w:val="en-US" w:eastAsia="zh-CN" w:bidi="ar-SA"/>
              </w:rPr>
              <w:t>项目负责人：谢亚</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97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46"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12"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51320024T000010559543-评价营商环境工作经费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为深入贯彻落实习近平新时代中国特色社会主义思想，深入民营企业了解民营企业经营中的困难和问题，积极建言献策，强化评价结果运用，切实发挥以评促改作用，为州委、州政府制定出台关于民营经济发展的专门政策和法规文件提供意见。</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深入民营企业了解了民营企业经营中的困难和问题，积极建言献策，强化评价结果运用，切实发挥了以评促改作用，促进了营商环境优化，提升了民营企业政策获得感，为州委、州政府制定出台关于民营经济发展的专门政策和法规文件提供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深入民营企业了解了民营企业经营中的困难和问题，积极建言献策，强化评价结果运用，切实发挥了以评促改作用，促进了营商环境优化，提升了民营企业政策获得感。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0.15</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0.15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3.00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0.15</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0.15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引导开展评价营商环境民营企业覆盖率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高质量完成评价工作</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优</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优</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项目完成时间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2024年12月底前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畅通民营经济人士理性反映诉求，积极建言献策，推动政策落实。</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可持续发展指标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优化营商环境，不断完善民营经济发展的政策和法规文件。</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显著提升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会员企业满意度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成本控制率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完成年初预算的5%，自评得分100分，深入民营企业了解了民营企业经营中的困难和问题，积极建言献策，强化评价结果运用，切实发挥了以评促改作用，促进了营商环境优化，提升了民营企业政策获得感。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项目负责人：谢亚</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财务负责人：龙安国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75"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979"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46"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812"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663" w:type="dxa"/>
            <w:tcBorders>
              <w:top w:val="nil"/>
              <w:left w:val="nil"/>
              <w:bottom w:val="nil"/>
              <w:right w:val="nil"/>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63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SimSun" w:cs="Times New Roman"/>
                <w:color w:val="000000"/>
                <w:kern w:val="2"/>
                <w:sz w:val="15"/>
                <w:szCs w:val="15"/>
                <w:lang w:val="en-US" w:eastAsia="zh-CN" w:bidi="ar-SA"/>
              </w:rPr>
            </w:pPr>
            <w:r>
              <w:rPr>
                <w:rFonts w:hint="eastAsia" w:eastAsia="黑体"/>
                <w:b/>
                <w:color w:val="000000"/>
                <w:sz w:val="24"/>
                <w:lang w:val="en-US" w:eastAsia="zh-CN" w:bidi="ar-SA"/>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项目名称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51320024T000011866273-2024年浙江援建项目-阿坝州交往交流交融项目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主管部门</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州工商联部门</w:t>
            </w:r>
          </w:p>
        </w:tc>
        <w:tc>
          <w:tcPr>
            <w:tcW w:w="1000" w:type="dxa"/>
            <w:tcBorders>
              <w:top w:val="nil"/>
              <w:left w:val="nil"/>
              <w:bottom w:val="nil"/>
              <w:right w:val="nil"/>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 xml:space="preserve">实施单位 </w:t>
            </w:r>
          </w:p>
        </w:tc>
        <w:tc>
          <w:tcPr>
            <w:tcW w:w="4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州工商联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项目基本情况</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1.项目年度目标完成情况</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项目年度目标</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根据《阿坝州发展和改革委员会关于转下达浙江省对口支援阿坝州2024年项目实施计划的通知》（阿州发改〔2024〕148号）文件要求，年度建设内容为：组织民营企业家赴东部城市交流考察，责任单位和业主单位为阿坝州工商联。为加强与东部沿海地区协作交流和沟通，推动民营经济高质量发展，为州委、州政府招商引资、招才引智献计出力，引导广大民营经济人士在建设“一州两区三家园”新目标中建功立业，积极学习借鉴发达地区工商联先进工作经验，开阔我州工商联系统干部视野，切实加强全州工商联（商会）自身建设，全面推进新时代工商联事业发展，促进我州工商联事业不断取得新成效。</w:t>
            </w:r>
          </w:p>
        </w:tc>
        <w:tc>
          <w:tcPr>
            <w:tcW w:w="54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为加强与东部沿海地区协作交流和沟通，推动民营经济高质量发展，为州委、州政府招商引资、招才引智献计出力，引导了广大民营经济人士在建设“一州两区三家园”新目标中建功立业，积极学习借鉴发达地区工商联先进工作经验，开阔了我州工商联系统干部视野，切实加强了全州工商联（商会）自身建设，全面推进了新时代工商联事业发展，促进了我州工商联事业不断取得新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2.项目实施内容及过程概述</w:t>
            </w:r>
          </w:p>
        </w:tc>
        <w:tc>
          <w:tcPr>
            <w:tcW w:w="1254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引导了广大民营经济人士在建设“一州两区三家园”新目标中建功立业，积极学习借鉴发达地区工商联先进工作经验，开阔了我州工商联系统干部视野，切实加强了全州工商联（商会）自身建设，全面推进了新时代工商联事业发展，10月下旬组织了20名优秀民营企业家赴东部城市进行考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预算执行情况（10分）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年度预算数（万元）</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年初预算</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调整后预算数</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总额</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其中：财政资金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财政专户管理资金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单位资金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其他资金</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27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2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绩效指标（90分）</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一级指标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二级指标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三级指标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指标性质</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指标值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度量单位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得分</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产出指标</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数量指标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组织培训及交流考察次数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参加考察人数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质量指标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促进各民族交往交流交融</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时效指标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赴东部城市交流考察时间</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2024年10月前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2024年10月前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效益指标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加强联系交流，合作发展商机率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80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社会效益指标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为州委、州政府招商引资、招才引智献计出力</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引导广大民营经济人士在建设“一州两区三家园”新目标中建功立业</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定性</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效果显著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5</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满意度指标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服务对象满意度指标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考察人员满意度</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成本指标</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经济成本指标</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成本控制率</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20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8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合计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100</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SimSun" w:cs="Times New Roman"/>
                <w:color w:val="000000"/>
                <w:kern w:val="2"/>
                <w:sz w:val="15"/>
                <w:szCs w:val="15"/>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评价结论</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完成年初预算的100%，自评得分100分，引导了广大民营经济人士在建设“一州两区三家园”新目标中建功立业，积极学习借鉴发达地区工商联先进工作经验，开阔了我州工商联系统干部视野，切实加强了全州工商联（商会）自身建设，全面推进了新时代工商联事业发展，10月下旬组织了20名优秀民营企业家赴东部城市进行考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存在问题</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改进措施</w:t>
            </w:r>
          </w:p>
        </w:tc>
        <w:tc>
          <w:tcPr>
            <w:tcW w:w="14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项目负责人：屈珊</w:t>
            </w:r>
          </w:p>
        </w:tc>
        <w:tc>
          <w:tcPr>
            <w:tcW w:w="73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SimSun" w:cs="Times New Roman"/>
                <w:color w:val="000000"/>
                <w:kern w:val="2"/>
                <w:sz w:val="15"/>
                <w:szCs w:val="15"/>
                <w:lang w:val="en-US" w:eastAsia="zh-CN" w:bidi="ar-SA"/>
              </w:rPr>
            </w:pPr>
            <w:r>
              <w:rPr>
                <w:rFonts w:hint="default" w:ascii="Times New Roman" w:hAnsi="Times New Roman" w:eastAsia="SimSun" w:cs="Times New Roman"/>
                <w:color w:val="000000"/>
                <w:kern w:val="2"/>
                <w:sz w:val="15"/>
                <w:szCs w:val="15"/>
                <w:lang w:val="en-US" w:eastAsia="zh-CN" w:bidi="ar-SA"/>
              </w:rPr>
              <w:t>财务负责人：龙安国</w:t>
            </w:r>
          </w:p>
        </w:tc>
      </w:tr>
    </w:tbl>
    <w:p>
      <w:pPr>
        <w:pStyle w:val="7"/>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5"/>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sectPr>
          <w:type w:val="continuous"/>
          <w:pgSz w:w="16838" w:h="11906" w:orient="landscape"/>
          <w:pgMar w:top="57" w:right="567" w:bottom="283" w:left="567" w:header="851" w:footer="992" w:gutter="0"/>
          <w:pgNumType w:fmt="numberInDash"/>
          <w:cols w:space="425" w:num="1"/>
          <w:titlePg/>
          <w:docGrid w:type="lines" w:linePitch="312" w:charSpace="0"/>
        </w:sectPr>
      </w:pPr>
    </w:p>
    <w:p>
      <w:pPr>
        <w:widowControl/>
        <w:jc w:val="center"/>
        <w:rPr>
          <w:rFonts w:hint="eastAsia" w:ascii="Times New Roman" w:hAnsi="Times New Roman" w:eastAsia="仿宋"/>
          <w:b w:val="0"/>
          <w:color w:val="auto"/>
          <w:highlight w:val="none"/>
        </w:rPr>
      </w:pPr>
      <w:bookmarkStart w:id="49" w:name="_Toc15396618"/>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45"/>
      <w:bookmarkEnd w:id="49"/>
      <w:bookmarkStart w:id="50" w:name="_Toc1539661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0"/>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0"/>
      <w:r>
        <w:rPr>
          <w:rFonts w:hint="eastAsia" w:ascii="Times New Roman" w:hAnsi="Times New Roman" w:eastAsia="仿宋_GB2312" w:cs="仿宋_GB2312"/>
          <w:color w:val="auto"/>
          <w:sz w:val="32"/>
          <w:szCs w:val="32"/>
          <w:highlight w:val="none"/>
        </w:rPr>
        <w:t>二、收入决算表</w:t>
      </w:r>
      <w:bookmarkEnd w:id="51"/>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1"/>
      <w:r>
        <w:rPr>
          <w:rFonts w:hint="eastAsia" w:ascii="Times New Roman" w:hAnsi="Times New Roman" w:eastAsia="仿宋_GB2312" w:cs="仿宋_GB2312"/>
          <w:color w:val="auto"/>
          <w:sz w:val="32"/>
          <w:szCs w:val="32"/>
          <w:highlight w:val="none"/>
        </w:rPr>
        <w:t>三、支出决算表</w:t>
      </w:r>
      <w:bookmarkEnd w:id="52"/>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2"/>
      <w:r>
        <w:rPr>
          <w:rFonts w:hint="eastAsia" w:ascii="Times New Roman" w:hAnsi="Times New Roman" w:eastAsia="仿宋_GB2312" w:cs="仿宋_GB2312"/>
          <w:color w:val="auto"/>
          <w:sz w:val="32"/>
          <w:szCs w:val="32"/>
          <w:highlight w:val="none"/>
        </w:rPr>
        <w:t>四、财政拨款收入支出决算总表</w:t>
      </w:r>
      <w:bookmarkEnd w:id="53"/>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3"/>
      <w:r>
        <w:rPr>
          <w:rFonts w:hint="eastAsia" w:ascii="Times New Roman" w:hAnsi="Times New Roman" w:eastAsia="仿宋_GB2312" w:cs="仿宋_GB2312"/>
          <w:color w:val="auto"/>
          <w:sz w:val="32"/>
          <w:szCs w:val="32"/>
          <w:highlight w:val="none"/>
        </w:rPr>
        <w:t>五、财政拨款支出决算明细表</w:t>
      </w:r>
      <w:bookmarkEnd w:id="54"/>
      <w:bookmarkStart w:id="55" w:name="_Toc1539662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5"/>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5"/>
      <w:r>
        <w:rPr>
          <w:rFonts w:hint="eastAsia" w:ascii="Times New Roman" w:hAnsi="Times New Roman" w:eastAsia="仿宋_GB2312" w:cs="仿宋_GB2312"/>
          <w:color w:val="auto"/>
          <w:sz w:val="32"/>
          <w:szCs w:val="32"/>
          <w:highlight w:val="none"/>
        </w:rPr>
        <w:t>七、一般公共预算财政拨款支出决算明细表</w:t>
      </w:r>
      <w:bookmarkEnd w:id="56"/>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6"/>
      <w:r>
        <w:rPr>
          <w:rFonts w:hint="eastAsia" w:ascii="Times New Roman" w:hAnsi="Times New Roman" w:eastAsia="仿宋_GB2312" w:cs="仿宋_GB2312"/>
          <w:color w:val="auto"/>
          <w:sz w:val="32"/>
          <w:szCs w:val="32"/>
          <w:highlight w:val="none"/>
        </w:rPr>
        <w:t>八、一般公共预算财政拨款基本支出决算表</w:t>
      </w:r>
      <w:bookmarkEnd w:id="57"/>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7"/>
      <w:r>
        <w:rPr>
          <w:rFonts w:hint="eastAsia" w:ascii="Times New Roman" w:hAnsi="Times New Roman" w:eastAsia="仿宋_GB2312" w:cs="仿宋_GB2312"/>
          <w:color w:val="auto"/>
          <w:sz w:val="32"/>
          <w:szCs w:val="32"/>
          <w:highlight w:val="none"/>
        </w:rPr>
        <w:t>九、一般公共预算财政拨款项目支出决算表</w:t>
      </w:r>
      <w:bookmarkEnd w:id="58"/>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8"/>
      <w:r>
        <w:rPr>
          <w:rFonts w:hint="eastAsia" w:ascii="Times New Roman" w:hAnsi="Times New Roman" w:eastAsia="仿宋_GB2312" w:cs="仿宋_GB2312"/>
          <w:color w:val="auto"/>
          <w:sz w:val="32"/>
          <w:szCs w:val="32"/>
          <w:highlight w:val="none"/>
        </w:rPr>
        <w:t>十、</w:t>
      </w:r>
      <w:bookmarkEnd w:id="59"/>
      <w:r>
        <w:rPr>
          <w:rFonts w:hint="eastAsia" w:ascii="Times New Roman" w:hAnsi="Times New Roman" w:eastAsia="仿宋_GB2312" w:cs="仿宋_GB2312"/>
          <w:color w:val="auto"/>
          <w:sz w:val="32"/>
          <w:szCs w:val="32"/>
          <w:highlight w:val="none"/>
        </w:rPr>
        <w:t>政府性基金预算财政拨款收入支出决算表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9"/>
      <w:r>
        <w:rPr>
          <w:rFonts w:hint="eastAsia" w:ascii="Times New Roman" w:hAnsi="Times New Roman" w:eastAsia="仿宋_GB2312" w:cs="仿宋_GB2312"/>
          <w:color w:val="auto"/>
          <w:sz w:val="32"/>
          <w:szCs w:val="32"/>
          <w:highlight w:val="none"/>
        </w:rPr>
        <w:t>十一、</w:t>
      </w:r>
      <w:bookmarkEnd w:id="60"/>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30"/>
      <w:r>
        <w:rPr>
          <w:rFonts w:hint="eastAsia" w:ascii="Times New Roman" w:hAnsi="Times New Roman" w:eastAsia="仿宋_GB2312" w:cs="仿宋_GB2312"/>
          <w:color w:val="auto"/>
          <w:sz w:val="32"/>
          <w:szCs w:val="32"/>
          <w:highlight w:val="none"/>
        </w:rPr>
        <w:t>十二、</w:t>
      </w:r>
      <w:bookmarkEnd w:id="61"/>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2" w:name="_Toc15396631"/>
      <w:r>
        <w:rPr>
          <w:rFonts w:hint="eastAsia" w:ascii="Times New Roman" w:hAnsi="Times New Roman" w:eastAsia="仿宋_GB2312" w:cs="仿宋_GB2312"/>
          <w:color w:val="auto"/>
          <w:sz w:val="32"/>
          <w:szCs w:val="32"/>
          <w:highlight w:val="none"/>
        </w:rPr>
        <w:t>十三、</w:t>
      </w:r>
      <w:bookmarkEnd w:id="62"/>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type w:val="continuous"/>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微软雅黑">
    <w:altName w:val="黑体"/>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仿宋简体">
    <w:altName w:val="宋体"/>
    <w:panose1 w:val="00000000000000000000"/>
    <w:charset w:val="00"/>
    <w:family w:val="auto"/>
    <w:pitch w:val="default"/>
    <w:sig w:usb0="00000000" w:usb1="00000000" w:usb2="00000000" w:usb3="00000000" w:csb0="00040001" w:csb1="00000000"/>
  </w:font>
  <w:font w:name="SimSun">
    <w:panose1 w:val="02010600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6wA4ejECAABj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vGR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&#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bP7xkTECAABj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BCAE3"/>
    <w:multiLevelType w:val="singleLevel"/>
    <w:tmpl w:val="F77BCAE3"/>
    <w:lvl w:ilvl="0" w:tentative="0">
      <w:start w:val="1"/>
      <w:numFmt w:val="chineseCounting"/>
      <w:suff w:val="nothing"/>
      <w:lvlText w:val="%1、"/>
      <w:lvlJc w:val="left"/>
      <w:rPr>
        <w:rFonts w:hint="eastAsia"/>
      </w:rPr>
    </w:lvl>
  </w:abstractNum>
  <w:abstractNum w:abstractNumId="1">
    <w:nsid w:val="FCB08EFC"/>
    <w:multiLevelType w:val="multilevel"/>
    <w:tmpl w:val="FCB08EFC"/>
    <w:lvl w:ilvl="0" w:tentative="0">
      <w:start w:val="1"/>
      <w:numFmt w:val="decimal"/>
      <w:lvlText w:val="%1."/>
      <w:legacy w:legacy="1" w:legacySpace="0" w:legacyIndent="360"/>
      <w:lvlJc w:val="left"/>
      <w:pPr>
        <w:ind w:left="1000" w:hanging="360"/>
      </w:pPr>
    </w:lvl>
    <w:lvl w:ilvl="1" w:tentative="0">
      <w:start w:val="1"/>
      <w:numFmt w:val="lowerLetter"/>
      <w:lvlText w:val="%2)"/>
      <w:legacy w:legacy="1" w:legacySpace="0" w:legacyIndent="420"/>
      <w:lvlJc w:val="left"/>
      <w:pPr>
        <w:ind w:left="1480" w:hanging="420"/>
      </w:pPr>
    </w:lvl>
    <w:lvl w:ilvl="2" w:tentative="0">
      <w:start w:val="1"/>
      <w:numFmt w:val="lowerRoman"/>
      <w:lvlText w:val="%3."/>
      <w:legacy w:legacy="1" w:legacySpace="0" w:legacyIndent="420"/>
      <w:lvlJc w:val="right"/>
      <w:pPr>
        <w:ind w:left="1900" w:hanging="420"/>
      </w:pPr>
    </w:lvl>
    <w:lvl w:ilvl="3" w:tentative="0">
      <w:start w:val="1"/>
      <w:numFmt w:val="decimal"/>
      <w:lvlText w:val="%4."/>
      <w:legacy w:legacy="1" w:legacySpace="0" w:legacyIndent="420"/>
      <w:lvlJc w:val="left"/>
      <w:pPr>
        <w:ind w:left="2320" w:hanging="420"/>
      </w:pPr>
    </w:lvl>
    <w:lvl w:ilvl="4" w:tentative="0">
      <w:start w:val="1"/>
      <w:numFmt w:val="lowerLetter"/>
      <w:lvlText w:val="%5)"/>
      <w:legacy w:legacy="1" w:legacySpace="0" w:legacyIndent="420"/>
      <w:lvlJc w:val="left"/>
      <w:pPr>
        <w:ind w:left="2740" w:hanging="420"/>
      </w:pPr>
    </w:lvl>
    <w:lvl w:ilvl="5" w:tentative="0">
      <w:start w:val="1"/>
      <w:numFmt w:val="lowerRoman"/>
      <w:lvlText w:val="%6."/>
      <w:legacy w:legacy="1" w:legacySpace="0" w:legacyIndent="420"/>
      <w:lvlJc w:val="right"/>
      <w:pPr>
        <w:ind w:left="3160" w:hanging="420"/>
      </w:pPr>
    </w:lvl>
    <w:lvl w:ilvl="6" w:tentative="0">
      <w:start w:val="1"/>
      <w:numFmt w:val="decimal"/>
      <w:lvlText w:val="%7."/>
      <w:legacy w:legacy="1" w:legacySpace="0" w:legacyIndent="420"/>
      <w:lvlJc w:val="left"/>
      <w:pPr>
        <w:ind w:left="3580" w:hanging="420"/>
      </w:pPr>
    </w:lvl>
    <w:lvl w:ilvl="7" w:tentative="0">
      <w:start w:val="1"/>
      <w:numFmt w:val="lowerLetter"/>
      <w:lvlText w:val="%8)"/>
      <w:legacy w:legacy="1" w:legacySpace="0" w:legacyIndent="420"/>
      <w:lvlJc w:val="left"/>
      <w:pPr>
        <w:ind w:left="4000" w:hanging="420"/>
      </w:pPr>
    </w:lvl>
    <w:lvl w:ilvl="8" w:tentative="0">
      <w:start w:val="1"/>
      <w:numFmt w:val="lowerRoman"/>
      <w:lvlText w:val="%9."/>
      <w:legacy w:legacy="1" w:legacySpace="0" w:legacyIndent="420"/>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7FB011C"/>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6B8B84"/>
    <w:rsid w:val="397BAF1F"/>
    <w:rsid w:val="3AB79AF3"/>
    <w:rsid w:val="3AE834C0"/>
    <w:rsid w:val="3B7EF35A"/>
    <w:rsid w:val="3B9FDB6C"/>
    <w:rsid w:val="3BF5BC2F"/>
    <w:rsid w:val="3CEBA265"/>
    <w:rsid w:val="3D98207C"/>
    <w:rsid w:val="3DDF7155"/>
    <w:rsid w:val="3DEE7CF3"/>
    <w:rsid w:val="3E740A63"/>
    <w:rsid w:val="3E78745D"/>
    <w:rsid w:val="3EE17838"/>
    <w:rsid w:val="3F55381A"/>
    <w:rsid w:val="3F7F7599"/>
    <w:rsid w:val="3FB60844"/>
    <w:rsid w:val="3FDF89A2"/>
    <w:rsid w:val="3FF4CAE0"/>
    <w:rsid w:val="3FF7B227"/>
    <w:rsid w:val="44E268DA"/>
    <w:rsid w:val="450D13D7"/>
    <w:rsid w:val="45506656"/>
    <w:rsid w:val="486A6C7A"/>
    <w:rsid w:val="4A627F82"/>
    <w:rsid w:val="4B0E749A"/>
    <w:rsid w:val="4B2477C4"/>
    <w:rsid w:val="4B3E06CD"/>
    <w:rsid w:val="4B4F25DA"/>
    <w:rsid w:val="4BE068DB"/>
    <w:rsid w:val="4D577224"/>
    <w:rsid w:val="4DBF1CEB"/>
    <w:rsid w:val="4DF0007C"/>
    <w:rsid w:val="4EAB630A"/>
    <w:rsid w:val="4ECE2238"/>
    <w:rsid w:val="4F833267"/>
    <w:rsid w:val="4FE9BD67"/>
    <w:rsid w:val="4FFB052F"/>
    <w:rsid w:val="50F17A28"/>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BCC37"/>
    <w:rsid w:val="5FBF9FF3"/>
    <w:rsid w:val="5FCD4E2C"/>
    <w:rsid w:val="5FEF394A"/>
    <w:rsid w:val="5FF67715"/>
    <w:rsid w:val="627F9F4A"/>
    <w:rsid w:val="62BF3928"/>
    <w:rsid w:val="63B3701E"/>
    <w:rsid w:val="647F5392"/>
    <w:rsid w:val="65E66580"/>
    <w:rsid w:val="664B1D71"/>
    <w:rsid w:val="664B4E8E"/>
    <w:rsid w:val="67277B67"/>
    <w:rsid w:val="67AA3209"/>
    <w:rsid w:val="698D0931"/>
    <w:rsid w:val="6A7FE5F3"/>
    <w:rsid w:val="6B053271"/>
    <w:rsid w:val="6BD8F658"/>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E186AD"/>
    <w:rsid w:val="7CFE0F48"/>
    <w:rsid w:val="7D272ABC"/>
    <w:rsid w:val="7D7EC23E"/>
    <w:rsid w:val="7E8ADEBF"/>
    <w:rsid w:val="7EEF11D3"/>
    <w:rsid w:val="7EFD7BB6"/>
    <w:rsid w:val="7EFE4840"/>
    <w:rsid w:val="7F0971A6"/>
    <w:rsid w:val="7F1D62E7"/>
    <w:rsid w:val="7F3F679B"/>
    <w:rsid w:val="7F4FC4EF"/>
    <w:rsid w:val="7F5E4D54"/>
    <w:rsid w:val="7F6E0135"/>
    <w:rsid w:val="7F79F205"/>
    <w:rsid w:val="7FA30C79"/>
    <w:rsid w:val="7FA79C44"/>
    <w:rsid w:val="7FAF8ABF"/>
    <w:rsid w:val="7FAFA348"/>
    <w:rsid w:val="7FB63E21"/>
    <w:rsid w:val="7FB7269E"/>
    <w:rsid w:val="7FC96657"/>
    <w:rsid w:val="7FDA9588"/>
    <w:rsid w:val="7FDF220F"/>
    <w:rsid w:val="7FE3A1CF"/>
    <w:rsid w:val="7FEDC5F7"/>
    <w:rsid w:val="7FEDD9DE"/>
    <w:rsid w:val="7FEF240C"/>
    <w:rsid w:val="7FF5890D"/>
    <w:rsid w:val="7FF93490"/>
    <w:rsid w:val="7FFED473"/>
    <w:rsid w:val="8F7F92C4"/>
    <w:rsid w:val="99FF2014"/>
    <w:rsid w:val="9FD64AE8"/>
    <w:rsid w:val="A6DD0D7F"/>
    <w:rsid w:val="ACFF4FBB"/>
    <w:rsid w:val="ADC6F725"/>
    <w:rsid w:val="B7CF06AB"/>
    <w:rsid w:val="B7CFA926"/>
    <w:rsid w:val="B7F8786B"/>
    <w:rsid w:val="BABB6AA1"/>
    <w:rsid w:val="BB2F4199"/>
    <w:rsid w:val="BCFFB442"/>
    <w:rsid w:val="BD079C78"/>
    <w:rsid w:val="BD733540"/>
    <w:rsid w:val="BE7F40E6"/>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5837A"/>
    <w:rsid w:val="EFBFB2F4"/>
    <w:rsid w:val="EFBFFA21"/>
    <w:rsid w:val="F2BEBCB8"/>
    <w:rsid w:val="F36FB518"/>
    <w:rsid w:val="F3BE1909"/>
    <w:rsid w:val="F3DE1A04"/>
    <w:rsid w:val="F3F722E5"/>
    <w:rsid w:val="F4FBCD07"/>
    <w:rsid w:val="F7552672"/>
    <w:rsid w:val="F7FE17B0"/>
    <w:rsid w:val="FA5F1E70"/>
    <w:rsid w:val="FA5FDB97"/>
    <w:rsid w:val="FB03AF96"/>
    <w:rsid w:val="FB7F486A"/>
    <w:rsid w:val="FBFF5B2E"/>
    <w:rsid w:val="FD7FFE2B"/>
    <w:rsid w:val="FDEE196B"/>
    <w:rsid w:val="FDFE6575"/>
    <w:rsid w:val="FEDFDDC2"/>
    <w:rsid w:val="FEED32F6"/>
    <w:rsid w:val="FEF781DD"/>
    <w:rsid w:val="FF3F7E3F"/>
    <w:rsid w:val="FF7DA3F4"/>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2"/>
    <w:qFormat/>
    <w:uiPriority w:val="9"/>
    <w:rPr>
      <w:rFonts w:ascii="Times New Roman" w:hAnsi="Times New Roman"/>
      <w:b/>
      <w:bCs/>
      <w:kern w:val="44"/>
      <w:sz w:val="44"/>
      <w:szCs w:val="44"/>
    </w:rPr>
  </w:style>
  <w:style w:type="character" w:customStyle="1" w:styleId="29">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4"/>
    <w:qFormat/>
    <w:uiPriority w:val="9"/>
    <w:rPr>
      <w:rFonts w:ascii="Times New Roman" w:hAnsi="Times New Roman"/>
      <w:b/>
      <w:bCs/>
      <w:kern w:val="2"/>
      <w:sz w:val="32"/>
      <w:szCs w:val="32"/>
    </w:rPr>
  </w:style>
  <w:style w:type="paragraph" w:customStyle="1" w:styleId="33">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5">
    <w:name w:val="font31"/>
    <w:basedOn w:val="16"/>
    <w:qFormat/>
    <w:uiPriority w:val="0"/>
    <w:rPr>
      <w:rFonts w:hint="eastAsia" w:ascii="宋体" w:hAnsi="宋体" w:eastAsia="宋体" w:cs="宋体"/>
      <w:color w:val="000000"/>
      <w:sz w:val="18"/>
      <w:szCs w:val="18"/>
      <w:u w:val="none"/>
    </w:rPr>
  </w:style>
  <w:style w:type="character" w:customStyle="1" w:styleId="36">
    <w:name w:val="font51"/>
    <w:basedOn w:val="16"/>
    <w:qFormat/>
    <w:uiPriority w:val="0"/>
    <w:rPr>
      <w:rFonts w:hint="default" w:ascii="微软雅黑" w:hAnsi="微软雅黑" w:eastAsia="微软雅黑" w:cs="微软雅黑"/>
      <w:i/>
      <w:iCs/>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home/user/Desktop/&#30011;&#22270;&#20915;.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ome/user/Desktop/&#30011;&#22270;&#20915;.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user/Desktop/&#30011;&#22270;&#20915;.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home/user/Desktop/&#30011;&#22270;&#2091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edia/user/E&#30424;/&#36130;&#21153;/&#20915;&#31639;&#20844;&#24320;/&#20915;&#31639;&#20844;&#24320;/2024&#24180;&#20915;&#31639;&#20844;&#24320;/&#30011;&#22270;&#20915;.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home/user/Desktop/&#30011;&#22270;&#20915;.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home/user/Desktop/&#30011;&#22270;&#2091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spc="120" normalizeH="0" baseline="0">
                <a:solidFill>
                  <a:schemeClr val="tx1">
                    <a:lumMod val="65000"/>
                    <a:lumOff val="35000"/>
                  </a:schemeClr>
                </a:solidFill>
                <a:latin typeface="+mn-lt"/>
                <a:ea typeface="+mn-ea"/>
                <a:cs typeface="+mn-cs"/>
              </a:defRPr>
            </a:pPr>
            <a:r>
              <a:t>收入、支出决算总计变动情况图</a:t>
            </a:r>
          </a:p>
        </c:rich>
      </c:tx>
      <c:layout/>
      <c:overlay val="0"/>
      <c:spPr>
        <a:noFill/>
        <a:ln>
          <a:noFill/>
        </a:ln>
        <a:effectLst/>
      </c:spPr>
    </c:title>
    <c:autoTitleDeleted val="0"/>
    <c:plotArea>
      <c:layout/>
      <c:barChart>
        <c:barDir val="col"/>
        <c:grouping val="clustered"/>
        <c:varyColors val="0"/>
        <c:ser>
          <c:idx val="0"/>
          <c:order val="0"/>
          <c:tx>
            <c:strRef>
              <c:f>[画图决.xls]Sheet1!$A$29</c:f>
              <c:strCache>
                <c:ptCount val="1"/>
                <c:pt idx="0">
                  <c:v>2023年</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[画图决.xls]Sheet1!$B$28:$C$28</c:f>
              <c:strCache>
                <c:ptCount val="2"/>
                <c:pt idx="0">
                  <c:v>收入数</c:v>
                </c:pt>
                <c:pt idx="1">
                  <c:v>支出数</c:v>
                </c:pt>
              </c:strCache>
            </c:strRef>
          </c:cat>
          <c:val>
            <c:numRef>
              <c:f>[画图决.xls]Sheet1!$B$29:$C$29</c:f>
              <c:numCache>
                <c:formatCode>General</c:formatCode>
                <c:ptCount val="2"/>
                <c:pt idx="0">
                  <c:v>420.88</c:v>
                </c:pt>
                <c:pt idx="1">
                  <c:v>420.88</c:v>
                </c:pt>
              </c:numCache>
            </c:numRef>
          </c:val>
        </c:ser>
        <c:ser>
          <c:idx val="1"/>
          <c:order val="1"/>
          <c:tx>
            <c:strRef>
              <c:f>[画图决.xls]Sheet1!$A$30</c:f>
              <c:strCache>
                <c:ptCount val="1"/>
                <c:pt idx="0">
                  <c:v>2024年</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[画图决.xls]Sheet1!$B$28:$C$28</c:f>
              <c:strCache>
                <c:ptCount val="2"/>
                <c:pt idx="0">
                  <c:v>收入数</c:v>
                </c:pt>
                <c:pt idx="1">
                  <c:v>支出数</c:v>
                </c:pt>
              </c:strCache>
            </c:strRef>
          </c:cat>
          <c:val>
            <c:numRef>
              <c:f>[画图决.xls]Sheet1!$B$30:$C$30</c:f>
              <c:numCache>
                <c:formatCode>General</c:formatCode>
                <c:ptCount val="2"/>
                <c:pt idx="0">
                  <c:v>450.32</c:v>
                </c:pt>
                <c:pt idx="1">
                  <c:v>450.32</c:v>
                </c:pt>
              </c:numCache>
            </c:numRef>
          </c:val>
        </c:ser>
        <c:dLbls>
          <c:showLegendKey val="0"/>
          <c:showVal val="1"/>
          <c:showCatName val="0"/>
          <c:showSerName val="0"/>
          <c:showPercent val="0"/>
          <c:showBubbleSize val="0"/>
        </c:dLbls>
        <c:gapWidth val="444"/>
        <c:overlap val="-90"/>
        <c:axId val="867184630"/>
        <c:axId val="111627132"/>
      </c:barChart>
      <c:catAx>
        <c:axId val="867184630"/>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111627132"/>
        <c:crosses val="autoZero"/>
        <c:auto val="1"/>
        <c:lblAlgn val="ctr"/>
        <c:lblOffset val="100"/>
        <c:noMultiLvlLbl val="0"/>
      </c:catAx>
      <c:valAx>
        <c:axId val="111627132"/>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718463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[画图决.xls]Sheet1!$A$165:$A$172</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[画图决.xls]Sheet1!$B$165:$B$172</c:f>
              <c:numCache>
                <c:formatCode>General</c:formatCode>
                <c:ptCount val="8"/>
                <c:pt idx="0">
                  <c:v>450.32</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[画图决.xls]Sheet1!$A$186:$A$190</c:f>
              <c:strCache>
                <c:ptCount val="5"/>
                <c:pt idx="0">
                  <c:v>基本支出</c:v>
                </c:pt>
                <c:pt idx="1">
                  <c:v>项目支出</c:v>
                </c:pt>
                <c:pt idx="2">
                  <c:v>上缴上级支出</c:v>
                </c:pt>
                <c:pt idx="3">
                  <c:v>经营支出</c:v>
                </c:pt>
                <c:pt idx="4">
                  <c:v>对附属单位补助支出</c:v>
                </c:pt>
              </c:strCache>
            </c:strRef>
          </c:cat>
          <c:val>
            <c:numRef>
              <c:f>[画图决.xls]Sheet1!$B$186:$B$190</c:f>
              <c:numCache>
                <c:formatCode>General</c:formatCode>
                <c:ptCount val="5"/>
                <c:pt idx="0">
                  <c:v>365.45</c:v>
                </c:pt>
                <c:pt idx="1">
                  <c:v>84.87</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spc="120" normalizeH="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[画图决.xls]Sheet1!$A$29</c:f>
              <c:strCache>
                <c:ptCount val="1"/>
                <c:pt idx="0">
                  <c:v>2023年</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[画图决.xls]Sheet1!$B$28:$C$28</c:f>
              <c:strCache>
                <c:ptCount val="2"/>
                <c:pt idx="0">
                  <c:v>收入数</c:v>
                </c:pt>
                <c:pt idx="1">
                  <c:v>支出数</c:v>
                </c:pt>
              </c:strCache>
            </c:strRef>
          </c:cat>
          <c:val>
            <c:numRef>
              <c:f>[画图决.xls]Sheet1!$B$29:$C$29</c:f>
              <c:numCache>
                <c:formatCode>General</c:formatCode>
                <c:ptCount val="2"/>
                <c:pt idx="0">
                  <c:v>420.88</c:v>
                </c:pt>
                <c:pt idx="1">
                  <c:v>420.88</c:v>
                </c:pt>
              </c:numCache>
            </c:numRef>
          </c:val>
        </c:ser>
        <c:ser>
          <c:idx val="1"/>
          <c:order val="1"/>
          <c:tx>
            <c:strRef>
              <c:f>[画图决.xls]Sheet1!$A$30</c:f>
              <c:strCache>
                <c:ptCount val="1"/>
                <c:pt idx="0">
                  <c:v>2024年</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[画图决.xls]Sheet1!$B$28:$C$28</c:f>
              <c:strCache>
                <c:ptCount val="2"/>
                <c:pt idx="0">
                  <c:v>收入数</c:v>
                </c:pt>
                <c:pt idx="1">
                  <c:v>支出数</c:v>
                </c:pt>
              </c:strCache>
            </c:strRef>
          </c:cat>
          <c:val>
            <c:numRef>
              <c:f>[画图决.xls]Sheet1!$B$30:$C$30</c:f>
              <c:numCache>
                <c:formatCode>General</c:formatCode>
                <c:ptCount val="2"/>
                <c:pt idx="0">
                  <c:v>450.32</c:v>
                </c:pt>
                <c:pt idx="1">
                  <c:v>450.32</c:v>
                </c:pt>
              </c:numCache>
            </c:numRef>
          </c:val>
        </c:ser>
        <c:dLbls>
          <c:showLegendKey val="0"/>
          <c:showVal val="1"/>
          <c:showCatName val="0"/>
          <c:showSerName val="0"/>
          <c:showPercent val="0"/>
          <c:showBubbleSize val="0"/>
        </c:dLbls>
        <c:gapWidth val="444"/>
        <c:overlap val="-90"/>
        <c:axId val="867184630"/>
        <c:axId val="111627132"/>
      </c:barChart>
      <c:catAx>
        <c:axId val="867184630"/>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111627132"/>
        <c:crosses val="autoZero"/>
        <c:auto val="1"/>
        <c:lblAlgn val="ctr"/>
        <c:lblOffset val="100"/>
        <c:noMultiLvlLbl val="0"/>
      </c:catAx>
      <c:valAx>
        <c:axId val="111627132"/>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718463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[画图决.xls]Sheet1!$A$29</c:f>
              <c:strCache>
                <c:ptCount val="1"/>
                <c:pt idx="0">
                  <c:v>2023年</c:v>
                </c:pt>
              </c:strCache>
            </c:strRef>
          </c:tx>
          <c:spPr>
            <a:solidFill>
              <a:schemeClr val="accent1"/>
            </a:solidFill>
            <a:ln>
              <a:noFill/>
            </a:ln>
            <a:effectLst/>
          </c:spPr>
          <c:invertIfNegative val="0"/>
          <c:dLbls>
            <c:delete val="1"/>
          </c:dLbls>
          <c:cat>
            <c:strRef>
              <c:f>[画图决.xls]Sheet1!$B$28:$C$28</c:f>
              <c:strCache>
                <c:ptCount val="2"/>
                <c:pt idx="0">
                  <c:v>收入数</c:v>
                </c:pt>
                <c:pt idx="1">
                  <c:v>支出数</c:v>
                </c:pt>
              </c:strCache>
            </c:strRef>
          </c:cat>
          <c:val>
            <c:numRef>
              <c:f>[画图决.xls]Sheet1!$B$29:$C$29</c:f>
              <c:numCache>
                <c:formatCode>General</c:formatCode>
                <c:ptCount val="2"/>
                <c:pt idx="0">
                  <c:v>420.88</c:v>
                </c:pt>
                <c:pt idx="1">
                  <c:v>420.88</c:v>
                </c:pt>
              </c:numCache>
            </c:numRef>
          </c:val>
        </c:ser>
        <c:ser>
          <c:idx val="1"/>
          <c:order val="1"/>
          <c:tx>
            <c:strRef>
              <c:f>[画图决.xls]Sheet1!$A$30</c:f>
              <c:strCache>
                <c:ptCount val="1"/>
                <c:pt idx="0">
                  <c:v>2024年</c:v>
                </c:pt>
              </c:strCache>
            </c:strRef>
          </c:tx>
          <c:spPr>
            <a:solidFill>
              <a:schemeClr val="accent2"/>
            </a:solidFill>
            <a:ln>
              <a:noFill/>
            </a:ln>
            <a:effectLst/>
          </c:spPr>
          <c:invertIfNegative val="0"/>
          <c:dLbls>
            <c:delete val="1"/>
          </c:dLbls>
          <c:cat>
            <c:strRef>
              <c:f>[画图决.xls]Sheet1!$B$28:$C$28</c:f>
              <c:strCache>
                <c:ptCount val="2"/>
                <c:pt idx="0">
                  <c:v>收入数</c:v>
                </c:pt>
                <c:pt idx="1">
                  <c:v>支出数</c:v>
                </c:pt>
              </c:strCache>
            </c:strRef>
          </c:cat>
          <c:val>
            <c:numRef>
              <c:f>[画图决.xls]Sheet1!$B$30:$C$30</c:f>
              <c:numCache>
                <c:formatCode>General</c:formatCode>
                <c:ptCount val="2"/>
                <c:pt idx="0">
                  <c:v>450.32</c:v>
                </c:pt>
                <c:pt idx="1">
                  <c:v>450.32</c:v>
                </c:pt>
              </c:numCache>
            </c:numRef>
          </c:val>
        </c:ser>
        <c:dLbls>
          <c:showLegendKey val="0"/>
          <c:showVal val="0"/>
          <c:showCatName val="0"/>
          <c:showSerName val="0"/>
          <c:showPercent val="0"/>
          <c:showBubbleSize val="0"/>
        </c:dLbls>
        <c:gapWidth val="219"/>
        <c:overlap val="-27"/>
        <c:axId val="308215165"/>
        <c:axId val="251415350"/>
      </c:barChart>
      <c:catAx>
        <c:axId val="30821516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1415350"/>
        <c:crosses val="autoZero"/>
        <c:auto val="1"/>
        <c:lblAlgn val="ctr"/>
        <c:lblOffset val="100"/>
        <c:noMultiLvlLbl val="0"/>
      </c:catAx>
      <c:valAx>
        <c:axId val="25141535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821516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[画图决.xls]Sheet1!$A$204:$A$207</c:f>
              <c:strCache>
                <c:ptCount val="4"/>
                <c:pt idx="0">
                  <c:v>一般公共服务支出</c:v>
                </c:pt>
                <c:pt idx="1">
                  <c:v>社会保障和就业支出</c:v>
                </c:pt>
                <c:pt idx="2">
                  <c:v>卫生健康支出</c:v>
                </c:pt>
                <c:pt idx="3">
                  <c:v>住房保障支出</c:v>
                </c:pt>
              </c:strCache>
            </c:strRef>
          </c:cat>
          <c:val>
            <c:numRef>
              <c:f>[画图决.xls]Sheet1!$B$204:$B$207</c:f>
              <c:numCache>
                <c:formatCode>General</c:formatCode>
                <c:ptCount val="4"/>
                <c:pt idx="0">
                  <c:v>370.89</c:v>
                </c:pt>
                <c:pt idx="1">
                  <c:v>40.05</c:v>
                </c:pt>
                <c:pt idx="2">
                  <c:v>16.99</c:v>
                </c:pt>
                <c:pt idx="3">
                  <c:v>22.38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manualLayout>
          <c:xMode val="edge"/>
          <c:yMode val="edge"/>
          <c:x val="0.254027777777778"/>
          <c:y val="0.0173611111111111"/>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[画图决.xls]Sheet1!$A$86:$A$88</c:f>
              <c:strCache>
                <c:ptCount val="3"/>
                <c:pt idx="0">
                  <c:v>公务用车购置及运行维护费</c:v>
                </c:pt>
                <c:pt idx="1">
                  <c:v>公务接待费</c:v>
                </c:pt>
                <c:pt idx="2">
                  <c:v>因公出国（境）费</c:v>
                </c:pt>
              </c:strCache>
            </c:strRef>
          </c:cat>
          <c:val>
            <c:numRef>
              <c:f>[画图决.xls]Sheet1!$B$86:$B$88</c:f>
              <c:numCache>
                <c:formatCode>#,##0.00</c:formatCode>
                <c:ptCount val="3"/>
                <c:pt idx="0">
                  <c:v>24.6</c:v>
                </c:pt>
                <c:pt idx="1">
                  <c:v>0.47</c:v>
                </c:pt>
                <c:pt idx="2" c:formatCode="General">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4</TotalTime>
  <ScaleCrop>false</ScaleCrop>
  <LinksUpToDate>false</LinksUpToDate>
  <CharactersWithSpaces>8692</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2020-08-10T01:49:00Z</dcterms:created>
  <dc:creator>曹颖</dc:creator>
  <cp:lastModifiedBy>user</cp:lastModifiedBy>
  <cp:lastPrinted>2025-08-07T09:34:00Z</cp:lastPrinted>
  <dcterms:modified xsi:type="dcterms:W3CDTF">2025-09-09T13:13:38Z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04787F2533EB45DC91BCDE4AB213247F</vt:lpwstr>
  </property>
</Properties>
</file>