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方正小标宋简体" w:hAnsi="宋体" w:eastAsia="方正小标宋简体"/>
          <w:color w:val="000000"/>
          <w:sz w:val="72"/>
          <w:szCs w:val="72"/>
        </w:rPr>
      </w:pPr>
      <w:bookmarkStart w:id="0" w:name="_Toc15306267"/>
    </w:p>
    <w:p>
      <w:pPr>
        <w:spacing w:line="240" w:lineRule="atLeast"/>
        <w:jc w:val="center"/>
        <w:rPr>
          <w:rFonts w:ascii="方正小标宋简体" w:hAnsi="宋体" w:eastAsia="方正小标宋简体"/>
          <w:color w:val="000000"/>
          <w:sz w:val="72"/>
          <w:szCs w:val="72"/>
        </w:rPr>
      </w:pPr>
    </w:p>
    <w:p>
      <w:pPr>
        <w:spacing w:line="240" w:lineRule="atLeast"/>
        <w:jc w:val="center"/>
        <w:rPr>
          <w:rFonts w:ascii="方正小标宋简体" w:hAnsi="宋体" w:eastAsia="方正小标宋简体"/>
          <w:color w:val="000000"/>
          <w:sz w:val="72"/>
          <w:szCs w:val="72"/>
        </w:rPr>
      </w:pPr>
    </w:p>
    <w:p>
      <w:pPr>
        <w:spacing w:line="240" w:lineRule="atLeast"/>
        <w:jc w:val="center"/>
        <w:rPr>
          <w:rFonts w:ascii="黑体" w:hAnsi="黑体" w:eastAsia="黑体"/>
          <w:sz w:val="72"/>
          <w:szCs w:val="72"/>
        </w:rPr>
      </w:pPr>
      <w:bookmarkStart w:id="1" w:name="_Toc15396597"/>
      <w:bookmarkStart w:id="2" w:name="_Toc15377425"/>
      <w:bookmarkStart w:id="3" w:name="_Toc15396475"/>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spacing w:line="240" w:lineRule="atLeast"/>
        <w:jc w:val="center"/>
        <w:rPr>
          <w:rFonts w:ascii="方正小标宋简体" w:eastAsia="方正小标宋简体"/>
          <w:sz w:val="72"/>
          <w:szCs w:val="72"/>
        </w:rPr>
      </w:pPr>
      <w:bookmarkStart w:id="6" w:name="_Toc15396598"/>
      <w:bookmarkStart w:id="7" w:name="_Toc15396476"/>
      <w:bookmarkStart w:id="8" w:name="_Toc15377426"/>
      <w:bookmarkStart w:id="9" w:name="_Toc15377194"/>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rPr>
        <w:t>妇联</w:t>
      </w:r>
    </w:p>
    <w:p>
      <w:pPr>
        <w:spacing w:line="240" w:lineRule="atLeast"/>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spacing w:line="240" w:lineRule="atLeast"/>
        <w:jc w:val="center"/>
        <w:rPr>
          <w:rFonts w:ascii="方正小标宋简体" w:hAnsi="宋体" w:eastAsia="方正小标宋简体"/>
          <w:color w:val="000000"/>
          <w:sz w:val="36"/>
          <w:szCs w:val="36"/>
        </w:rPr>
      </w:pPr>
    </w:p>
    <w:p>
      <w:pPr>
        <w:spacing w:line="240" w:lineRule="atLeast"/>
        <w:rPr>
          <w:rFonts w:ascii="方正小标宋简体" w:hAnsi="宋体" w:eastAsia="方正小标宋简体"/>
          <w:sz w:val="36"/>
          <w:szCs w:val="36"/>
        </w:rPr>
      </w:pPr>
    </w:p>
    <w:p>
      <w:pPr>
        <w:spacing w:line="240" w:lineRule="atLeast"/>
        <w:rPr>
          <w:rFonts w:ascii="方正小标宋简体" w:hAnsi="宋体" w:eastAsia="方正小标宋简体"/>
          <w:sz w:val="36"/>
          <w:szCs w:val="36"/>
        </w:rPr>
      </w:pPr>
    </w:p>
    <w:p>
      <w:pPr>
        <w:spacing w:line="240" w:lineRule="atLeast"/>
        <w:rPr>
          <w:rFonts w:ascii="方正小标宋简体" w:hAnsi="宋体" w:eastAsia="方正小标宋简体"/>
          <w:sz w:val="36"/>
          <w:szCs w:val="36"/>
        </w:rPr>
      </w:pPr>
    </w:p>
    <w:p>
      <w:pPr>
        <w:autoSpaceDE w:val="0"/>
        <w:autoSpaceDN w:val="0"/>
        <w:adjustRightInd w:val="0"/>
        <w:spacing w:line="240" w:lineRule="atLeast"/>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spacing w:line="240" w:lineRule="atLeast"/>
        <w:ind w:left="420" w:leftChars="200"/>
        <w:rPr>
          <w:rFonts w:ascii="黑体" w:hAnsi="黑体" w:eastAsia="黑体"/>
          <w:color w:val="000000"/>
          <w:sz w:val="48"/>
          <w:szCs w:val="48"/>
        </w:rPr>
      </w:pPr>
      <w:r>
        <w:rPr>
          <w:rFonts w:hint="eastAsia" w:ascii="宋体" w:hAnsi="宋体" w:cs="仿宋_GB2312"/>
          <w:sz w:val="32"/>
          <w:szCs w:val="32"/>
        </w:rPr>
        <w:t>部门主要负责人审签情况：已审签，同意对外公开</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spacing w:line="240" w:lineRule="atLeast"/>
        <w:jc w:val="center"/>
        <w:rPr>
          <w:rFonts w:ascii="仿宋" w:hAnsi="仿宋" w:eastAsia="仿宋" w:cs="仿宋"/>
          <w:b w:val="0"/>
          <w:bCs w:val="0"/>
          <w:sz w:val="24"/>
          <w:szCs w:val="24"/>
        </w:rPr>
      </w:pPr>
      <w:r>
        <w:rPr>
          <w:rFonts w:hint="eastAsia" w:ascii="仿宋" w:hAnsi="仿宋" w:eastAsia="仿宋" w:cs="仿宋"/>
          <w:b w:val="0"/>
          <w:bCs w:val="0"/>
          <w:sz w:val="24"/>
          <w:szCs w:val="24"/>
        </w:rPr>
        <w:t>公开时间：2021年9月30日</w:t>
      </w:r>
    </w:p>
    <w:p>
      <w:pPr>
        <w:pStyle w:val="15"/>
        <w:tabs>
          <w:tab w:val="right" w:leader="middleDot" w:pos="8306"/>
        </w:tabs>
        <w:spacing w:line="576" w:lineRule="exact"/>
        <w:rPr>
          <w:rFonts w:eastAsia="仿宋"/>
          <w:caps w:val="0"/>
        </w:rPr>
      </w:pPr>
      <w:r>
        <w:fldChar w:fldCharType="begin"/>
      </w:r>
      <w:r>
        <w:instrText xml:space="preserve">TOC \o "1-3" \h \u </w:instrText>
      </w:r>
      <w:r>
        <w:fldChar w:fldCharType="separate"/>
      </w:r>
      <w:r>
        <w:fldChar w:fldCharType="begin"/>
      </w:r>
      <w:r>
        <w:instrText xml:space="preserve"> HYPERLINK \l "_Toc13685" </w:instrText>
      </w:r>
      <w:r>
        <w:fldChar w:fldCharType="separate"/>
      </w:r>
      <w:r>
        <w:rPr>
          <w:rFonts w:hint="eastAsia" w:ascii="黑体" w:hAnsi="黑体" w:eastAsia="仿宋"/>
          <w:caps w:val="0"/>
        </w:rPr>
        <w:t xml:space="preserve">第一部分 </w:t>
      </w:r>
      <w:r>
        <w:rPr>
          <w:rFonts w:hint="eastAsia" w:ascii="黑体" w:hAnsi="黑体" w:eastAsia="仿宋"/>
          <w:bCs w:val="0"/>
          <w:caps w:val="0"/>
        </w:rPr>
        <w:t>部门概况</w:t>
      </w:r>
      <w:r>
        <w:rPr>
          <w:rFonts w:eastAsia="仿宋"/>
          <w:caps w:val="0"/>
        </w:rPr>
        <w:tab/>
      </w:r>
      <w:r>
        <w:rPr>
          <w:rFonts w:eastAsia="仿宋"/>
          <w:caps w:val="0"/>
        </w:rPr>
        <w:fldChar w:fldCharType="begin"/>
      </w:r>
      <w:r>
        <w:rPr>
          <w:rFonts w:eastAsia="仿宋"/>
          <w:caps w:val="0"/>
        </w:rPr>
        <w:instrText xml:space="preserve"> PAGEREF _Toc13685 \h </w:instrText>
      </w:r>
      <w:r>
        <w:rPr>
          <w:rFonts w:eastAsia="仿宋"/>
          <w:caps w:val="0"/>
        </w:rPr>
        <w:fldChar w:fldCharType="separate"/>
      </w:r>
      <w:r>
        <w:rPr>
          <w:rFonts w:eastAsia="仿宋"/>
          <w:caps w:val="0"/>
        </w:rPr>
        <w:t>5</w:t>
      </w:r>
      <w:r>
        <w:rPr>
          <w:rFonts w:eastAsia="仿宋"/>
          <w:caps w:val="0"/>
        </w:rPr>
        <w:fldChar w:fldCharType="end"/>
      </w:r>
      <w:r>
        <w:rPr>
          <w:rFonts w:eastAsia="仿宋"/>
          <w: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"_Toc30795" </w:instrText>
      </w:r>
      <w:r>
        <w:fldChar w:fldCharType="separate"/>
      </w:r>
      <w:r>
        <w:rPr>
          <w:rFonts w:hint="eastAsia" w:ascii="仿宋" w:hAnsi="仿宋" w:eastAsia="仿宋" w:cs="仿宋"/>
          <w:b/>
          <w:smallCaps w:val="0"/>
          <w:szCs w:val="32"/>
        </w:rPr>
        <w:t>一、基本职能及主要工作</w:t>
      </w:r>
      <w:r>
        <w:rPr>
          <w:rFonts w:eastAsia="仿宋"/>
          <w:b/>
          <w:smallCaps w:val="0"/>
        </w:rPr>
        <w:tab/>
      </w:r>
      <w:r>
        <w:rPr>
          <w:rFonts w:eastAsia="仿宋"/>
          <w:b/>
          <w:smallCaps w:val="0"/>
        </w:rPr>
        <w:fldChar w:fldCharType="begin"/>
      </w:r>
      <w:r>
        <w:rPr>
          <w:rFonts w:eastAsia="仿宋"/>
          <w:b/>
          <w:smallCaps w:val="0"/>
        </w:rPr>
        <w:instrText xml:space="preserve"> PAGEREF _Toc30795 \h </w:instrText>
      </w:r>
      <w:r>
        <w:rPr>
          <w:rFonts w:eastAsia="仿宋"/>
          <w:b/>
          <w:smallCaps w:val="0"/>
        </w:rPr>
        <w:fldChar w:fldCharType="separate"/>
      </w:r>
      <w:r>
        <w:rPr>
          <w:rFonts w:eastAsia="仿宋"/>
          <w:b/>
          <w:smallCaps w:val="0"/>
        </w:rPr>
        <w:t>5</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"_Toc13753" </w:instrText>
      </w:r>
      <w:r>
        <w:fldChar w:fldCharType="separate"/>
      </w:r>
      <w:r>
        <w:rPr>
          <w:rFonts w:hint="eastAsia" w:ascii="仿宋" w:hAnsi="仿宋" w:eastAsia="仿宋" w:cs="仿宋"/>
          <w:b/>
          <w:smallCaps w:val="0"/>
          <w:szCs w:val="32"/>
        </w:rPr>
        <w:t>（一）主要职能</w:t>
      </w:r>
      <w:r>
        <w:rPr>
          <w:rFonts w:eastAsia="仿宋"/>
          <w:b/>
          <w:smallCaps w:val="0"/>
        </w:rPr>
        <w:tab/>
      </w:r>
      <w:r>
        <w:rPr>
          <w:rFonts w:eastAsia="仿宋"/>
          <w:b/>
          <w:smallCaps w:val="0"/>
        </w:rPr>
        <w:fldChar w:fldCharType="begin"/>
      </w:r>
      <w:r>
        <w:rPr>
          <w:rFonts w:eastAsia="仿宋"/>
          <w:b/>
          <w:smallCaps w:val="0"/>
        </w:rPr>
        <w:instrText xml:space="preserve"> PAGEREF _Toc13753 \h </w:instrText>
      </w:r>
      <w:r>
        <w:rPr>
          <w:rFonts w:eastAsia="仿宋"/>
          <w:b/>
          <w:smallCaps w:val="0"/>
        </w:rPr>
        <w:fldChar w:fldCharType="separate"/>
      </w:r>
      <w:r>
        <w:rPr>
          <w:rFonts w:eastAsia="仿宋"/>
          <w:b/>
          <w:smallCaps w:val="0"/>
        </w:rPr>
        <w:t>5</w:t>
      </w:r>
      <w:r>
        <w:rPr>
          <w:rFonts w:eastAsia="仿宋"/>
          <w:b/>
          <w:smallCaps w:val="0"/>
        </w:rPr>
        <w:fldChar w:fldCharType="end"/>
      </w:r>
      <w:r>
        <w:rPr>
          <w:rFonts w:eastAsia="仿宋"/>
          <w:b/>
          <w:smallCaps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"_Toc28557" </w:instrText>
      </w:r>
      <w:r>
        <w:fldChar w:fldCharType="separate"/>
      </w:r>
      <w:r>
        <w:rPr>
          <w:rFonts w:hint="eastAsia" w:ascii="仿宋" w:hAnsi="仿宋" w:eastAsia="仿宋" w:cs="仿宋"/>
          <w:b/>
          <w:i w:val="0"/>
          <w:szCs w:val="32"/>
        </w:rPr>
        <w:t>（二）2020年重点工作完成情况</w:t>
      </w:r>
      <w:r>
        <w:rPr>
          <w:rFonts w:eastAsia="仿宋"/>
          <w:b/>
          <w:i w:val="0"/>
        </w:rPr>
        <w:tab/>
      </w:r>
      <w:r>
        <w:rPr>
          <w:rFonts w:eastAsia="仿宋"/>
          <w:b/>
          <w:i w:val="0"/>
        </w:rPr>
        <w:fldChar w:fldCharType="begin"/>
      </w:r>
      <w:r>
        <w:rPr>
          <w:rFonts w:eastAsia="仿宋"/>
          <w:b/>
          <w:i w:val="0"/>
        </w:rPr>
        <w:instrText xml:space="preserve"> PAGEREF _Toc28557 \h </w:instrText>
      </w:r>
      <w:r>
        <w:rPr>
          <w:rFonts w:eastAsia="仿宋"/>
          <w:b/>
          <w:i w:val="0"/>
        </w:rPr>
        <w:fldChar w:fldCharType="separate"/>
      </w:r>
      <w:r>
        <w:rPr>
          <w:rFonts w:eastAsia="仿宋"/>
          <w:b/>
          <w:i w:val="0"/>
        </w:rPr>
        <w:t>5</w:t>
      </w:r>
      <w:r>
        <w:rPr>
          <w:rFonts w:eastAsia="仿宋"/>
          <w:b/>
          <w:i w:val="0"/>
        </w:rPr>
        <w:fldChar w:fldCharType="end"/>
      </w:r>
      <w:r>
        <w:rPr>
          <w:rFonts w:eastAsia="仿宋"/>
          <w:b/>
          <w:i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"_Toc8164" </w:instrText>
      </w:r>
      <w:r>
        <w:fldChar w:fldCharType="separate"/>
      </w:r>
      <w:r>
        <w:rPr>
          <w:rFonts w:hint="eastAsia" w:ascii="仿宋" w:hAnsi="仿宋" w:eastAsia="仿宋" w:cs="仿宋"/>
          <w:b/>
          <w:bCs/>
          <w:smallCaps w:val="0"/>
          <w:szCs w:val="32"/>
        </w:rPr>
        <w:t>二、机构设置</w:t>
      </w:r>
      <w:r>
        <w:rPr>
          <w:rFonts w:eastAsia="仿宋"/>
          <w:b/>
          <w:smallCaps w:val="0"/>
        </w:rPr>
        <w:tab/>
      </w:r>
      <w:r>
        <w:rPr>
          <w:rFonts w:eastAsia="仿宋"/>
          <w:b/>
          <w:smallCaps w:val="0"/>
        </w:rPr>
        <w:fldChar w:fldCharType="begin"/>
      </w:r>
      <w:r>
        <w:rPr>
          <w:rFonts w:eastAsia="仿宋"/>
          <w:b/>
          <w:smallCaps w:val="0"/>
        </w:rPr>
        <w:instrText xml:space="preserve"> PAGEREF _Toc8164 \h </w:instrText>
      </w:r>
      <w:r>
        <w:rPr>
          <w:rFonts w:eastAsia="仿宋"/>
          <w:b/>
          <w:smallCaps w:val="0"/>
        </w:rPr>
        <w:fldChar w:fldCharType="separate"/>
      </w:r>
      <w:r>
        <w:rPr>
          <w:rFonts w:eastAsia="仿宋"/>
          <w:b/>
          <w:smallCaps w:val="0"/>
        </w:rPr>
        <w:t>10</w:t>
      </w:r>
      <w:r>
        <w:rPr>
          <w:rFonts w:eastAsia="仿宋"/>
          <w:b/>
          <w:smallCaps w:val="0"/>
        </w:rPr>
        <w:fldChar w:fldCharType="end"/>
      </w:r>
      <w:r>
        <w:rPr>
          <w:rFonts w:eastAsia="仿宋"/>
          <w:b/>
          <w:smallCaps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"_Toc6361" </w:instrText>
      </w:r>
      <w:r>
        <w:fldChar w:fldCharType="separate"/>
      </w:r>
      <w:r>
        <w:rPr>
          <w:rFonts w:hint="eastAsia" w:ascii="仿宋" w:hAnsi="仿宋" w:eastAsia="仿宋" w:cs="仿宋"/>
          <w:b/>
          <w:i w:val="0"/>
          <w:kern w:val="0"/>
          <w:szCs w:val="32"/>
        </w:rPr>
        <w:t>（一）机构情况</w:t>
      </w:r>
      <w:r>
        <w:rPr>
          <w:rFonts w:eastAsia="仿宋"/>
          <w:b/>
          <w:i w:val="0"/>
        </w:rPr>
        <w:tab/>
      </w:r>
      <w:r>
        <w:rPr>
          <w:rFonts w:eastAsia="仿宋"/>
          <w:b/>
          <w:i w:val="0"/>
        </w:rPr>
        <w:fldChar w:fldCharType="begin"/>
      </w:r>
      <w:r>
        <w:rPr>
          <w:rFonts w:eastAsia="仿宋"/>
          <w:b/>
          <w:i w:val="0"/>
        </w:rPr>
        <w:instrText xml:space="preserve"> PAGEREF _Toc6361 \h </w:instrText>
      </w:r>
      <w:r>
        <w:rPr>
          <w:rFonts w:eastAsia="仿宋"/>
          <w:b/>
          <w:i w:val="0"/>
        </w:rPr>
        <w:fldChar w:fldCharType="separate"/>
      </w:r>
      <w:r>
        <w:rPr>
          <w:rFonts w:eastAsia="仿宋"/>
          <w:b/>
          <w:i w:val="0"/>
        </w:rPr>
        <w:t>10</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"_Toc26046" </w:instrText>
      </w:r>
      <w:r>
        <w:fldChar w:fldCharType="separate"/>
      </w:r>
      <w:r>
        <w:rPr>
          <w:rFonts w:hint="eastAsia" w:ascii="仿宋" w:hAnsi="仿宋" w:eastAsia="仿宋" w:cs="仿宋"/>
          <w:b/>
          <w:i w:val="0"/>
          <w:kern w:val="0"/>
          <w:szCs w:val="32"/>
        </w:rPr>
        <w:t>（二）人员情况</w:t>
      </w:r>
      <w:r>
        <w:rPr>
          <w:rFonts w:eastAsia="仿宋"/>
          <w:b/>
          <w:i w:val="0"/>
        </w:rPr>
        <w:tab/>
      </w:r>
      <w:r>
        <w:rPr>
          <w:rFonts w:eastAsia="仿宋"/>
          <w:b/>
          <w:i w:val="0"/>
        </w:rPr>
        <w:fldChar w:fldCharType="begin"/>
      </w:r>
      <w:r>
        <w:rPr>
          <w:rFonts w:eastAsia="仿宋"/>
          <w:b/>
          <w:i w:val="0"/>
        </w:rPr>
        <w:instrText xml:space="preserve"> PAGEREF _Toc26046 \h </w:instrText>
      </w:r>
      <w:r>
        <w:rPr>
          <w:rFonts w:eastAsia="仿宋"/>
          <w:b/>
          <w:i w:val="0"/>
        </w:rPr>
        <w:fldChar w:fldCharType="separate"/>
      </w:r>
      <w:r>
        <w:rPr>
          <w:rFonts w:eastAsia="仿宋"/>
          <w:b/>
          <w:i w:val="0"/>
        </w:rPr>
        <w:t>10</w:t>
      </w:r>
      <w:r>
        <w:rPr>
          <w:rFonts w:eastAsia="仿宋"/>
          <w:b/>
          <w:i w:val="0"/>
        </w:rPr>
        <w:fldChar w:fldCharType="end"/>
      </w:r>
      <w:r>
        <w:rPr>
          <w:rFonts w:eastAsia="仿宋"/>
          <w:b/>
          <w:i w:val="0"/>
        </w:rPr>
        <w:fldChar w:fldCharType="end"/>
      </w:r>
    </w:p>
    <w:p>
      <w:pPr>
        <w:pStyle w:val="15"/>
        <w:tabs>
          <w:tab w:val="right" w:leader="middleDot" w:pos="8306"/>
        </w:tabs>
        <w:spacing w:line="576" w:lineRule="exact"/>
        <w:rPr>
          <w:rFonts w:eastAsia="仿宋"/>
          <w:caps w:val="0"/>
        </w:rPr>
      </w:pPr>
      <w:r>
        <w:fldChar w:fldCharType="begin"/>
      </w:r>
      <w:r>
        <w:instrText xml:space="preserve"> HYPERLINK \l "_Toc5814" </w:instrText>
      </w:r>
      <w:r>
        <w:fldChar w:fldCharType="separate"/>
      </w:r>
      <w:r>
        <w:rPr>
          <w:rFonts w:hint="eastAsia" w:ascii="黑体" w:hAnsi="黑体" w:eastAsia="仿宋"/>
          <w:caps w:val="0"/>
        </w:rPr>
        <w:t xml:space="preserve">第二部分 </w:t>
      </w:r>
      <w:r>
        <w:rPr>
          <w:rFonts w:ascii="黑体" w:hAnsi="黑体" w:eastAsia="仿宋"/>
          <w:bCs w:val="0"/>
          <w:caps w:val="0"/>
        </w:rPr>
        <w:t>2020</w:t>
      </w:r>
      <w:r>
        <w:rPr>
          <w:rFonts w:hint="eastAsia" w:ascii="黑体" w:hAnsi="黑体" w:eastAsia="仿宋"/>
          <w:bCs w:val="0"/>
          <w:caps w:val="0"/>
        </w:rPr>
        <w:t>年度部门决算情况说明</w:t>
      </w:r>
      <w:r>
        <w:rPr>
          <w:rFonts w:eastAsia="仿宋"/>
          <w:caps w:val="0"/>
        </w:rPr>
        <w:tab/>
      </w:r>
      <w:r>
        <w:rPr>
          <w:rFonts w:eastAsia="仿宋"/>
          <w:caps w:val="0"/>
        </w:rPr>
        <w:fldChar w:fldCharType="begin"/>
      </w:r>
      <w:r>
        <w:rPr>
          <w:rFonts w:eastAsia="仿宋"/>
          <w:caps w:val="0"/>
        </w:rPr>
        <w:instrText xml:space="preserve"> PAGEREF _Toc5814 \h </w:instrText>
      </w:r>
      <w:r>
        <w:rPr>
          <w:rFonts w:eastAsia="仿宋"/>
          <w:caps w:val="0"/>
        </w:rPr>
        <w:fldChar w:fldCharType="separate"/>
      </w:r>
      <w:r>
        <w:rPr>
          <w:rFonts w:eastAsia="仿宋"/>
          <w:caps w:val="0"/>
        </w:rPr>
        <w:t>11</w:t>
      </w:r>
      <w:r>
        <w:rPr>
          <w:rFonts w:eastAsia="仿宋"/>
          <w:caps w:val="0"/>
        </w:rPr>
        <w:fldChar w:fldCharType="end"/>
      </w:r>
      <w:r>
        <w:rPr>
          <w:rFonts w:eastAsia="仿宋"/>
          <w: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"_Toc16391" </w:instrText>
      </w:r>
      <w:r>
        <w:fldChar w:fldCharType="separate"/>
      </w:r>
      <w:r>
        <w:rPr>
          <w:rFonts w:ascii="黑体" w:hAnsi="黑体" w:eastAsia="仿宋"/>
          <w:b/>
          <w:smallCaps w:val="0"/>
        </w:rPr>
        <w:t xml:space="preserve">一、 </w:t>
      </w:r>
      <w:r>
        <w:rPr>
          <w:rFonts w:hint="eastAsia" w:ascii="黑体" w:hAnsi="黑体" w:eastAsia="仿宋"/>
          <w:b/>
          <w:smallCaps w:val="0"/>
          <w:szCs w:val="32"/>
        </w:rPr>
        <w:t>收</w:t>
      </w:r>
      <w:r>
        <w:rPr>
          <w:rFonts w:hint="eastAsia" w:ascii="黑体" w:hAnsi="黑体" w:eastAsia="仿宋"/>
          <w:b/>
          <w:smallCaps w:val="0"/>
        </w:rPr>
        <w:t>入支出决算总体情况说明</w:t>
      </w:r>
      <w:r>
        <w:rPr>
          <w:rFonts w:eastAsia="仿宋"/>
          <w:b/>
          <w:smallCaps w:val="0"/>
        </w:rPr>
        <w:tab/>
      </w:r>
      <w:r>
        <w:rPr>
          <w:rFonts w:eastAsia="仿宋"/>
          <w:b/>
          <w:smallCaps w:val="0"/>
        </w:rPr>
        <w:fldChar w:fldCharType="begin"/>
      </w:r>
      <w:r>
        <w:rPr>
          <w:rFonts w:eastAsia="仿宋"/>
          <w:b/>
          <w:smallCaps w:val="0"/>
        </w:rPr>
        <w:instrText xml:space="preserve"> PAGEREF _Toc16391 \h </w:instrText>
      </w:r>
      <w:r>
        <w:rPr>
          <w:rFonts w:eastAsia="仿宋"/>
          <w:b/>
          <w:smallCaps w:val="0"/>
        </w:rPr>
        <w:fldChar w:fldCharType="separate"/>
      </w:r>
      <w:r>
        <w:rPr>
          <w:rFonts w:eastAsia="仿宋"/>
          <w:b/>
          <w:smallCaps w:val="0"/>
        </w:rPr>
        <w:t>11</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"_Toc17876" </w:instrText>
      </w:r>
      <w:r>
        <w:fldChar w:fldCharType="separate"/>
      </w:r>
      <w:r>
        <w:rPr>
          <w:rFonts w:ascii="黑体" w:hAnsi="黑体" w:eastAsia="仿宋"/>
          <w:b/>
          <w:smallCaps w:val="0"/>
        </w:rPr>
        <w:t xml:space="preserve">二、 </w:t>
      </w:r>
      <w:r>
        <w:rPr>
          <w:rFonts w:hint="eastAsia" w:ascii="黑体" w:hAnsi="黑体" w:eastAsia="仿宋"/>
          <w:b/>
          <w:smallCaps w:val="0"/>
          <w:szCs w:val="32"/>
        </w:rPr>
        <w:t>收</w:t>
      </w:r>
      <w:r>
        <w:rPr>
          <w:rFonts w:hint="eastAsia" w:ascii="黑体" w:hAnsi="黑体" w:eastAsia="仿宋"/>
          <w:b/>
          <w:smallCaps w:val="0"/>
        </w:rPr>
        <w:t>入决算情况说明</w:t>
      </w:r>
      <w:r>
        <w:rPr>
          <w:rFonts w:eastAsia="仿宋"/>
          <w:b/>
          <w:smallCaps w:val="0"/>
        </w:rPr>
        <w:tab/>
      </w:r>
      <w:r>
        <w:rPr>
          <w:rFonts w:eastAsia="仿宋"/>
          <w:b/>
          <w:smallCaps w:val="0"/>
        </w:rPr>
        <w:fldChar w:fldCharType="begin"/>
      </w:r>
      <w:r>
        <w:rPr>
          <w:rFonts w:eastAsia="仿宋"/>
          <w:b/>
          <w:smallCaps w:val="0"/>
        </w:rPr>
        <w:instrText xml:space="preserve"> PAGEREF _Toc17876 \h </w:instrText>
      </w:r>
      <w:r>
        <w:rPr>
          <w:rFonts w:eastAsia="仿宋"/>
          <w:b/>
          <w:smallCaps w:val="0"/>
        </w:rPr>
        <w:fldChar w:fldCharType="separate"/>
      </w:r>
      <w:r>
        <w:rPr>
          <w:rFonts w:eastAsia="仿宋"/>
          <w:b/>
          <w:smallCaps w:val="0"/>
        </w:rPr>
        <w:t>11</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"_Toc19422" </w:instrText>
      </w:r>
      <w:r>
        <w:fldChar w:fldCharType="separate"/>
      </w:r>
      <w:r>
        <w:rPr>
          <w:rFonts w:ascii="黑体" w:hAnsi="黑体" w:eastAsia="仿宋"/>
          <w:b/>
          <w:smallCaps w:val="0"/>
        </w:rPr>
        <w:t xml:space="preserve">三、 </w:t>
      </w:r>
      <w:r>
        <w:rPr>
          <w:rFonts w:hint="eastAsia" w:ascii="黑体" w:hAnsi="黑体" w:eastAsia="仿宋"/>
          <w:b/>
          <w:smallCaps w:val="0"/>
          <w:szCs w:val="32"/>
        </w:rPr>
        <w:t>支</w:t>
      </w:r>
      <w:r>
        <w:rPr>
          <w:rFonts w:hint="eastAsia" w:ascii="黑体" w:hAnsi="黑体" w:eastAsia="仿宋"/>
          <w:b/>
          <w:smallCaps w:val="0"/>
        </w:rPr>
        <w:t>出决算情况说明</w:t>
      </w:r>
      <w:r>
        <w:rPr>
          <w:rFonts w:eastAsia="仿宋"/>
          <w:b/>
          <w:smallCaps w:val="0"/>
        </w:rPr>
        <w:tab/>
      </w:r>
      <w:r>
        <w:rPr>
          <w:rFonts w:eastAsia="仿宋"/>
          <w:b/>
          <w:smallCaps w:val="0"/>
        </w:rPr>
        <w:fldChar w:fldCharType="begin"/>
      </w:r>
      <w:r>
        <w:rPr>
          <w:rFonts w:eastAsia="仿宋"/>
          <w:b/>
          <w:smallCaps w:val="0"/>
        </w:rPr>
        <w:instrText xml:space="preserve"> PAGEREF _Toc19422 \h </w:instrText>
      </w:r>
      <w:r>
        <w:rPr>
          <w:rFonts w:eastAsia="仿宋"/>
          <w:b/>
          <w:smallCaps w:val="0"/>
        </w:rPr>
        <w:fldChar w:fldCharType="separate"/>
      </w:r>
      <w:r>
        <w:rPr>
          <w:rFonts w:eastAsia="仿宋"/>
          <w:b/>
          <w:smallCaps w:val="0"/>
        </w:rPr>
        <w:t>12</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"_Toc23900" </w:instrText>
      </w:r>
      <w:r>
        <w:fldChar w:fldCharType="separate"/>
      </w:r>
      <w:r>
        <w:rPr>
          <w:rFonts w:hint="eastAsia" w:ascii="黑体" w:hAnsi="黑体" w:eastAsia="仿宋"/>
          <w:b/>
          <w:smallCaps w:val="0"/>
          <w:szCs w:val="32"/>
        </w:rPr>
        <w:t>四、财</w:t>
      </w:r>
      <w:r>
        <w:rPr>
          <w:rFonts w:hint="eastAsia" w:ascii="黑体" w:hAnsi="黑体" w:eastAsia="仿宋"/>
          <w:b/>
          <w:smallCaps w:val="0"/>
        </w:rPr>
        <w:t>政拨款收入支出决算总体情况说明</w:t>
      </w:r>
      <w:r>
        <w:rPr>
          <w:rFonts w:eastAsia="仿宋"/>
          <w:b/>
          <w:smallCaps w:val="0"/>
        </w:rPr>
        <w:tab/>
      </w:r>
      <w:r>
        <w:rPr>
          <w:rFonts w:eastAsia="仿宋"/>
          <w:b/>
          <w:smallCaps w:val="0"/>
        </w:rPr>
        <w:fldChar w:fldCharType="begin"/>
      </w:r>
      <w:r>
        <w:rPr>
          <w:rFonts w:eastAsia="仿宋"/>
          <w:b/>
          <w:smallCaps w:val="0"/>
        </w:rPr>
        <w:instrText xml:space="preserve"> PAGEREF _Toc23900 \h </w:instrText>
      </w:r>
      <w:r>
        <w:rPr>
          <w:rFonts w:eastAsia="仿宋"/>
          <w:b/>
          <w:smallCaps w:val="0"/>
        </w:rPr>
        <w:fldChar w:fldCharType="separate"/>
      </w:r>
      <w:r>
        <w:rPr>
          <w:rFonts w:eastAsia="仿宋"/>
          <w:b/>
          <w:smallCaps w:val="0"/>
        </w:rPr>
        <w:t>12</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"_Toc16450" </w:instrText>
      </w:r>
      <w:r>
        <w:fldChar w:fldCharType="separate"/>
      </w:r>
      <w:r>
        <w:rPr>
          <w:rFonts w:hint="eastAsia" w:ascii="仿宋" w:hAnsi="仿宋" w:eastAsia="仿宋" w:cs="仿宋"/>
          <w:b/>
          <w:bCs/>
          <w:smallCaps w:val="0"/>
          <w:szCs w:val="32"/>
        </w:rPr>
        <w:t>五、一</w:t>
      </w:r>
      <w:r>
        <w:rPr>
          <w:rFonts w:hint="eastAsia" w:ascii="仿宋" w:hAnsi="仿宋" w:eastAsia="仿宋" w:cs="仿宋"/>
          <w:b/>
          <w:bCs/>
          <w:smallCaps w:val="0"/>
        </w:rPr>
        <w:t>般公共预算财政拨款支出决算情况说明</w:t>
      </w:r>
      <w:r>
        <w:rPr>
          <w:rFonts w:eastAsia="仿宋"/>
          <w:b/>
          <w:smallCaps w:val="0"/>
        </w:rPr>
        <w:tab/>
      </w:r>
      <w:r>
        <w:rPr>
          <w:rFonts w:eastAsia="仿宋"/>
          <w:b/>
          <w:smallCaps w:val="0"/>
        </w:rPr>
        <w:fldChar w:fldCharType="begin"/>
      </w:r>
      <w:r>
        <w:rPr>
          <w:rFonts w:eastAsia="仿宋"/>
          <w:b/>
          <w:smallCaps w:val="0"/>
        </w:rPr>
        <w:instrText xml:space="preserve"> PAGEREF _Toc16450 \h </w:instrText>
      </w:r>
      <w:r>
        <w:rPr>
          <w:rFonts w:eastAsia="仿宋"/>
          <w:b/>
          <w:smallCaps w:val="0"/>
        </w:rPr>
        <w:fldChar w:fldCharType="separate"/>
      </w:r>
      <w:r>
        <w:rPr>
          <w:rFonts w:eastAsia="仿宋"/>
          <w:b/>
          <w:smallCaps w:val="0"/>
        </w:rPr>
        <w:t>13</w:t>
      </w:r>
      <w:r>
        <w:rPr>
          <w:rFonts w:eastAsia="仿宋"/>
          <w:b/>
          <w:smallCaps w:val="0"/>
        </w:rPr>
        <w:fldChar w:fldCharType="end"/>
      </w:r>
      <w:r>
        <w:rPr>
          <w:rFonts w:eastAsia="仿宋"/>
          <w:b/>
          <w:smallCaps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"_Toc2784" </w:instrText>
      </w:r>
      <w:r>
        <w:fldChar w:fldCharType="separate"/>
      </w:r>
      <w:r>
        <w:rPr>
          <w:rFonts w:hint="eastAsia" w:ascii="仿宋" w:hAnsi="仿宋" w:eastAsia="仿宋" w:cs="仿宋"/>
          <w:b/>
          <w:i w:val="0"/>
          <w:szCs w:val="32"/>
        </w:rPr>
        <w:t>（一）一般公共预算财政拨款支出决算总体情况</w:t>
      </w:r>
      <w:r>
        <w:rPr>
          <w:rFonts w:eastAsia="仿宋"/>
          <w:b/>
          <w:i w:val="0"/>
        </w:rPr>
        <w:tab/>
      </w:r>
      <w:r>
        <w:rPr>
          <w:rFonts w:eastAsia="仿宋"/>
          <w:b/>
          <w:i w:val="0"/>
        </w:rPr>
        <w:fldChar w:fldCharType="begin"/>
      </w:r>
      <w:r>
        <w:rPr>
          <w:rFonts w:eastAsia="仿宋"/>
          <w:b/>
          <w:i w:val="0"/>
        </w:rPr>
        <w:instrText xml:space="preserve"> PAGEREF _Toc2784 \h </w:instrText>
      </w:r>
      <w:r>
        <w:rPr>
          <w:rFonts w:eastAsia="仿宋"/>
          <w:b/>
          <w:i w:val="0"/>
        </w:rPr>
        <w:fldChar w:fldCharType="separate"/>
      </w:r>
      <w:r>
        <w:rPr>
          <w:rFonts w:eastAsia="仿宋"/>
          <w:b/>
          <w:i w:val="0"/>
        </w:rPr>
        <w:t>13</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"_Toc25795" </w:instrText>
      </w:r>
      <w:r>
        <w:fldChar w:fldCharType="separate"/>
      </w:r>
      <w:r>
        <w:rPr>
          <w:rFonts w:hint="eastAsia" w:ascii="仿宋" w:hAnsi="仿宋" w:eastAsia="仿宋"/>
          <w:b/>
          <w:i w:val="0"/>
          <w:szCs w:val="32"/>
        </w:rPr>
        <w:t>（二）一般公共预算财政拨款支出决算结构情况</w:t>
      </w:r>
      <w:r>
        <w:rPr>
          <w:rFonts w:eastAsia="仿宋"/>
          <w:b/>
          <w:i w:val="0"/>
        </w:rPr>
        <w:tab/>
      </w:r>
      <w:r>
        <w:rPr>
          <w:rFonts w:eastAsia="仿宋"/>
          <w:b/>
          <w:i w:val="0"/>
        </w:rPr>
        <w:fldChar w:fldCharType="begin"/>
      </w:r>
      <w:r>
        <w:rPr>
          <w:rFonts w:eastAsia="仿宋"/>
          <w:b/>
          <w:i w:val="0"/>
        </w:rPr>
        <w:instrText xml:space="preserve"> PAGEREF _Toc25795 \h </w:instrText>
      </w:r>
      <w:r>
        <w:rPr>
          <w:rFonts w:eastAsia="仿宋"/>
          <w:b/>
          <w:i w:val="0"/>
        </w:rPr>
        <w:fldChar w:fldCharType="separate"/>
      </w:r>
      <w:r>
        <w:rPr>
          <w:rFonts w:eastAsia="仿宋"/>
          <w:b/>
          <w:i w:val="0"/>
        </w:rPr>
        <w:t>14</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"_Toc11989" </w:instrText>
      </w:r>
      <w:r>
        <w:fldChar w:fldCharType="separate"/>
      </w:r>
      <w:r>
        <w:rPr>
          <w:rFonts w:hint="eastAsia" w:ascii="仿宋" w:hAnsi="仿宋" w:eastAsia="仿宋"/>
          <w:b/>
          <w:i w:val="0"/>
          <w:szCs w:val="32"/>
        </w:rPr>
        <w:t>（三）一般公共预算财政拨款支出决算具体情况</w:t>
      </w:r>
      <w:r>
        <w:rPr>
          <w:rFonts w:eastAsia="仿宋"/>
          <w:b/>
          <w:i w:val="0"/>
        </w:rPr>
        <w:tab/>
      </w:r>
      <w:r>
        <w:rPr>
          <w:rFonts w:eastAsia="仿宋"/>
          <w:b/>
          <w:i w:val="0"/>
        </w:rPr>
        <w:fldChar w:fldCharType="begin"/>
      </w:r>
      <w:r>
        <w:rPr>
          <w:rFonts w:eastAsia="仿宋"/>
          <w:b/>
          <w:i w:val="0"/>
        </w:rPr>
        <w:instrText xml:space="preserve"> PAGEREF _Toc11989 \h </w:instrText>
      </w:r>
      <w:r>
        <w:rPr>
          <w:rFonts w:eastAsia="仿宋"/>
          <w:b/>
          <w:i w:val="0"/>
        </w:rPr>
        <w:fldChar w:fldCharType="separate"/>
      </w:r>
      <w:r>
        <w:rPr>
          <w:rFonts w:eastAsia="仿宋"/>
          <w:b/>
          <w:i w:val="0"/>
        </w:rPr>
        <w:t>14</w:t>
      </w:r>
      <w:r>
        <w:rPr>
          <w:rFonts w:eastAsia="仿宋"/>
          <w:b/>
          <w:i w:val="0"/>
        </w:rPr>
        <w:fldChar w:fldCharType="end"/>
      </w:r>
      <w:r>
        <w:rPr>
          <w:rFonts w:eastAsia="仿宋"/>
          <w:b/>
          <w:i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"_Toc31390" </w:instrText>
      </w:r>
      <w:r>
        <w:fldChar w:fldCharType="separate"/>
      </w:r>
      <w:r>
        <w:rPr>
          <w:rFonts w:hint="eastAsia" w:ascii="黑体" w:eastAsia="仿宋"/>
          <w:b/>
          <w:smallCaps w:val="0"/>
          <w:szCs w:val="32"/>
        </w:rPr>
        <w:t>六、</w:t>
      </w:r>
      <w:r>
        <w:rPr>
          <w:rFonts w:hint="eastAsia" w:ascii="黑体" w:hAnsi="黑体" w:eastAsia="仿宋"/>
          <w:b/>
          <w:smallCaps w:val="0"/>
          <w:szCs w:val="32"/>
        </w:rPr>
        <w:t>一</w:t>
      </w:r>
      <w:r>
        <w:rPr>
          <w:rFonts w:hint="eastAsia" w:ascii="黑体" w:hAnsi="黑体" w:eastAsia="仿宋"/>
          <w:b/>
          <w:smallCaps w:val="0"/>
        </w:rPr>
        <w:t>般公共预算财政拨款基本支出决算情况说明</w:t>
      </w:r>
      <w:r>
        <w:rPr>
          <w:rFonts w:eastAsia="仿宋"/>
          <w:b/>
          <w:smallCaps w:val="0"/>
        </w:rPr>
        <w:tab/>
      </w:r>
      <w:r>
        <w:rPr>
          <w:rFonts w:eastAsia="仿宋"/>
          <w:b/>
          <w:smallCaps w:val="0"/>
        </w:rPr>
        <w:fldChar w:fldCharType="begin"/>
      </w:r>
      <w:r>
        <w:rPr>
          <w:rFonts w:eastAsia="仿宋"/>
          <w:b/>
          <w:smallCaps w:val="0"/>
        </w:rPr>
        <w:instrText xml:space="preserve"> PAGEREF _Toc31390 \h </w:instrText>
      </w:r>
      <w:r>
        <w:rPr>
          <w:rFonts w:eastAsia="仿宋"/>
          <w:b/>
          <w:smallCaps w:val="0"/>
        </w:rPr>
        <w:fldChar w:fldCharType="separate"/>
      </w:r>
      <w:r>
        <w:rPr>
          <w:rFonts w:eastAsia="仿宋"/>
          <w:b/>
          <w:smallCaps w:val="0"/>
        </w:rPr>
        <w:t>16</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"_Toc17842" </w:instrText>
      </w:r>
      <w:r>
        <w:fldChar w:fldCharType="separate"/>
      </w:r>
      <w:r>
        <w:rPr>
          <w:rFonts w:hint="eastAsia" w:ascii="黑体" w:eastAsia="仿宋"/>
          <w:b/>
          <w:smallCaps w:val="0"/>
          <w:szCs w:val="32"/>
        </w:rPr>
        <w:t>七、</w:t>
      </w:r>
      <w:r>
        <w:rPr>
          <w:rFonts w:hint="eastAsia" w:ascii="黑体" w:hAnsi="黑体" w:eastAsia="仿宋"/>
          <w:b/>
          <w:smallCaps w:val="0"/>
        </w:rPr>
        <w:t>“三公”经费财政拨款支出决算情况说明</w:t>
      </w:r>
      <w:r>
        <w:rPr>
          <w:rFonts w:eastAsia="仿宋"/>
          <w:b/>
          <w:smallCaps w:val="0"/>
        </w:rPr>
        <w:tab/>
      </w:r>
      <w:r>
        <w:rPr>
          <w:rFonts w:eastAsia="仿宋"/>
          <w:b/>
          <w:smallCaps w:val="0"/>
        </w:rPr>
        <w:fldChar w:fldCharType="begin"/>
      </w:r>
      <w:r>
        <w:rPr>
          <w:rFonts w:eastAsia="仿宋"/>
          <w:b/>
          <w:smallCaps w:val="0"/>
        </w:rPr>
        <w:instrText xml:space="preserve"> PAGEREF _Toc17842 \h </w:instrText>
      </w:r>
      <w:r>
        <w:rPr>
          <w:rFonts w:eastAsia="仿宋"/>
          <w:b/>
          <w:smallCaps w:val="0"/>
        </w:rPr>
        <w:fldChar w:fldCharType="separate"/>
      </w:r>
      <w:r>
        <w:rPr>
          <w:rFonts w:eastAsia="仿宋"/>
          <w:b/>
          <w:smallCaps w:val="0"/>
        </w:rPr>
        <w:t>17</w:t>
      </w:r>
      <w:r>
        <w:rPr>
          <w:rFonts w:eastAsia="仿宋"/>
          <w:b/>
          <w:smallCaps w:val="0"/>
        </w:rPr>
        <w:fldChar w:fldCharType="end"/>
      </w:r>
      <w:r>
        <w:rPr>
          <w:rFonts w:eastAsia="仿宋"/>
          <w:b/>
          <w:smallCaps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"_Toc5082" </w:instrText>
      </w:r>
      <w:r>
        <w:fldChar w:fldCharType="separate"/>
      </w:r>
      <w:r>
        <w:rPr>
          <w:rFonts w:hint="eastAsia" w:ascii="仿宋" w:hAnsi="仿宋" w:eastAsia="仿宋"/>
          <w:b/>
          <w:i w:val="0"/>
          <w:szCs w:val="32"/>
        </w:rPr>
        <w:t>（一）“三公”经费财政拨款支出决算总体情况说明</w:t>
      </w:r>
      <w:r>
        <w:rPr>
          <w:rFonts w:eastAsia="仿宋"/>
          <w:b/>
          <w:i w:val="0"/>
        </w:rPr>
        <w:tab/>
      </w:r>
      <w:r>
        <w:rPr>
          <w:rFonts w:eastAsia="仿宋"/>
          <w:b/>
          <w:i w:val="0"/>
        </w:rPr>
        <w:fldChar w:fldCharType="begin"/>
      </w:r>
      <w:r>
        <w:rPr>
          <w:rFonts w:eastAsia="仿宋"/>
          <w:b/>
          <w:i w:val="0"/>
        </w:rPr>
        <w:instrText xml:space="preserve"> PAGEREF _Toc5082 \h </w:instrText>
      </w:r>
      <w:r>
        <w:rPr>
          <w:rFonts w:eastAsia="仿宋"/>
          <w:b/>
          <w:i w:val="0"/>
        </w:rPr>
        <w:fldChar w:fldCharType="separate"/>
      </w:r>
      <w:r>
        <w:rPr>
          <w:rFonts w:eastAsia="仿宋"/>
          <w:b/>
          <w:i w:val="0"/>
        </w:rPr>
        <w:t>17</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"_Toc11048" </w:instrText>
      </w:r>
      <w:r>
        <w:fldChar w:fldCharType="separate"/>
      </w:r>
      <w:r>
        <w:rPr>
          <w:rFonts w:hint="eastAsia" w:ascii="仿宋" w:hAnsi="仿宋" w:eastAsia="仿宋"/>
          <w:b/>
          <w:i w:val="0"/>
          <w:szCs w:val="32"/>
        </w:rPr>
        <w:t>（二）“三公”经费财政拨款支出决算具体情况说明</w:t>
      </w:r>
      <w:r>
        <w:rPr>
          <w:rFonts w:eastAsia="仿宋"/>
          <w:b/>
          <w:i w:val="0"/>
        </w:rPr>
        <w:tab/>
      </w:r>
      <w:r>
        <w:rPr>
          <w:rFonts w:eastAsia="仿宋"/>
          <w:b/>
          <w:i w:val="0"/>
        </w:rPr>
        <w:fldChar w:fldCharType="begin"/>
      </w:r>
      <w:r>
        <w:rPr>
          <w:rFonts w:eastAsia="仿宋"/>
          <w:b/>
          <w:i w:val="0"/>
        </w:rPr>
        <w:instrText xml:space="preserve"> PAGEREF _Toc11048 \h </w:instrText>
      </w:r>
      <w:r>
        <w:rPr>
          <w:rFonts w:eastAsia="仿宋"/>
          <w:b/>
          <w:i w:val="0"/>
        </w:rPr>
        <w:fldChar w:fldCharType="separate"/>
      </w:r>
      <w:r>
        <w:rPr>
          <w:rFonts w:eastAsia="仿宋"/>
          <w:b/>
          <w:i w:val="0"/>
        </w:rPr>
        <w:t>17</w:t>
      </w:r>
      <w:r>
        <w:rPr>
          <w:rFonts w:eastAsia="仿宋"/>
          <w:b/>
          <w:i w:val="0"/>
        </w:rPr>
        <w:fldChar w:fldCharType="end"/>
      </w:r>
      <w:r>
        <w:rPr>
          <w:rFonts w:eastAsia="仿宋"/>
          <w:b/>
          <w:i w:val="0"/>
        </w:rPr>
        <w:fldChar w:fldCharType="end"/>
      </w:r>
    </w:p>
    <w:p>
      <w:pPr>
        <w:pStyle w:val="18"/>
        <w:tabs>
          <w:tab w:val="right" w:leader="middleDot" w:pos="8306"/>
        </w:tabs>
        <w:spacing w:line="576" w:lineRule="exact"/>
        <w:ind w:left="0" w:firstLine="200" w:firstLineChars="100"/>
        <w:rPr>
          <w:rFonts w:eastAsia="仿宋"/>
          <w:b/>
          <w:smallCaps w:val="0"/>
        </w:rPr>
      </w:pPr>
      <w:r>
        <w:fldChar w:fldCharType="begin"/>
      </w:r>
      <w:r>
        <w:instrText xml:space="preserve"> HYPERLINK \l "_Toc28700" </w:instrText>
      </w:r>
      <w:r>
        <w:fldChar w:fldCharType="separate"/>
      </w:r>
      <w:r>
        <w:rPr>
          <w:rFonts w:hint="eastAsia" w:ascii="黑体" w:eastAsia="仿宋"/>
          <w:b/>
          <w:smallCaps w:val="0"/>
          <w:szCs w:val="32"/>
        </w:rPr>
        <w:t>八、</w:t>
      </w:r>
      <w:r>
        <w:rPr>
          <w:rFonts w:hint="eastAsia" w:ascii="黑体" w:hAnsi="黑体" w:eastAsia="仿宋"/>
          <w:b/>
          <w:smallCaps w:val="0"/>
        </w:rPr>
        <w:t>政府性基金预算支出决算情况说明</w:t>
      </w:r>
      <w:r>
        <w:rPr>
          <w:rFonts w:eastAsia="仿宋"/>
          <w:b/>
          <w:smallCaps w:val="0"/>
        </w:rPr>
        <w:tab/>
      </w:r>
      <w:r>
        <w:rPr>
          <w:rFonts w:eastAsia="仿宋"/>
          <w:b/>
          <w:smallCaps w:val="0"/>
        </w:rPr>
        <w:fldChar w:fldCharType="begin"/>
      </w:r>
      <w:r>
        <w:rPr>
          <w:rFonts w:eastAsia="仿宋"/>
          <w:b/>
          <w:smallCaps w:val="0"/>
        </w:rPr>
        <w:instrText xml:space="preserve"> PAGEREF _Toc28700 \h </w:instrText>
      </w:r>
      <w:r>
        <w:rPr>
          <w:rFonts w:eastAsia="仿宋"/>
          <w:b/>
          <w:smallCaps w:val="0"/>
        </w:rPr>
        <w:fldChar w:fldCharType="separate"/>
      </w:r>
      <w:r>
        <w:rPr>
          <w:rFonts w:eastAsia="仿宋"/>
          <w:b/>
          <w:smallCaps w:val="0"/>
        </w:rPr>
        <w:t>19</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left="0" w:firstLine="200" w:firstLineChars="100"/>
        <w:rPr>
          <w:rFonts w:eastAsia="仿宋"/>
          <w:b/>
          <w:smallCaps w:val="0"/>
        </w:rPr>
      </w:pPr>
      <w:r>
        <w:fldChar w:fldCharType="begin"/>
      </w:r>
      <w:r>
        <w:instrText xml:space="preserve"> HYPERLINK \l "_Toc4119" </w:instrText>
      </w:r>
      <w:r>
        <w:fldChar w:fldCharType="separate"/>
      </w:r>
      <w:r>
        <w:rPr>
          <w:rFonts w:hint="eastAsia" w:ascii="黑体" w:hAnsi="黑体" w:eastAsia="仿宋"/>
          <w:b/>
          <w:smallCaps w:val="0"/>
        </w:rPr>
        <w:t>九、 国有资本经营预算支出决算情况说明</w:t>
      </w:r>
      <w:r>
        <w:rPr>
          <w:rFonts w:eastAsia="仿宋"/>
          <w:b/>
          <w:smallCaps w:val="0"/>
        </w:rPr>
        <w:tab/>
      </w:r>
      <w:r>
        <w:rPr>
          <w:rFonts w:eastAsia="仿宋"/>
          <w:b/>
          <w:smallCaps w:val="0"/>
        </w:rPr>
        <w:fldChar w:fldCharType="begin"/>
      </w:r>
      <w:r>
        <w:rPr>
          <w:rFonts w:eastAsia="仿宋"/>
          <w:b/>
          <w:smallCaps w:val="0"/>
        </w:rPr>
        <w:instrText xml:space="preserve"> PAGEREF _Toc4119 \h </w:instrText>
      </w:r>
      <w:r>
        <w:rPr>
          <w:rFonts w:eastAsia="仿宋"/>
          <w:b/>
          <w:smallCaps w:val="0"/>
        </w:rPr>
        <w:fldChar w:fldCharType="separate"/>
      </w:r>
      <w:r>
        <w:rPr>
          <w:rFonts w:eastAsia="仿宋"/>
          <w:b/>
          <w:smallCaps w:val="0"/>
        </w:rPr>
        <w:t>19</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"_Toc30029" </w:instrText>
      </w:r>
      <w:r>
        <w:fldChar w:fldCharType="separate"/>
      </w:r>
      <w:r>
        <w:rPr>
          <w:rFonts w:hint="eastAsia" w:ascii="黑体" w:hAnsi="黑体" w:eastAsia="仿宋"/>
          <w:b/>
          <w:smallCaps w:val="0"/>
          <w:szCs w:val="32"/>
        </w:rPr>
        <w:t>十</w:t>
      </w:r>
      <w:r>
        <w:rPr>
          <w:rFonts w:hint="eastAsia" w:ascii="黑体" w:hAnsi="黑体" w:eastAsia="仿宋"/>
          <w:b/>
          <w:smallCaps w:val="0"/>
        </w:rPr>
        <w:t>、其他重要事项的情况说明</w:t>
      </w:r>
      <w:r>
        <w:rPr>
          <w:rFonts w:eastAsia="仿宋"/>
          <w:b/>
          <w:smallCaps w:val="0"/>
        </w:rPr>
        <w:tab/>
      </w:r>
      <w:r>
        <w:rPr>
          <w:rFonts w:eastAsia="仿宋"/>
          <w:b/>
          <w:smallCaps w:val="0"/>
        </w:rPr>
        <w:fldChar w:fldCharType="begin"/>
      </w:r>
      <w:r>
        <w:rPr>
          <w:rFonts w:eastAsia="仿宋"/>
          <w:b/>
          <w:smallCaps w:val="0"/>
        </w:rPr>
        <w:instrText xml:space="preserve"> PAGEREF _Toc30029 \h </w:instrText>
      </w:r>
      <w:r>
        <w:rPr>
          <w:rFonts w:eastAsia="仿宋"/>
          <w:b/>
          <w:smallCaps w:val="0"/>
        </w:rPr>
        <w:fldChar w:fldCharType="separate"/>
      </w:r>
      <w:r>
        <w:rPr>
          <w:rFonts w:eastAsia="仿宋"/>
          <w:b/>
          <w:smallCaps w:val="0"/>
        </w:rPr>
        <w:t>19</w:t>
      </w:r>
      <w:r>
        <w:rPr>
          <w:rFonts w:eastAsia="仿宋"/>
          <w:b/>
          <w:smallCaps w:val="0"/>
        </w:rPr>
        <w:fldChar w:fldCharType="end"/>
      </w:r>
      <w:r>
        <w:rPr>
          <w:rFonts w:eastAsia="仿宋"/>
          <w:b/>
          <w:smallCaps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"_Toc298" </w:instrText>
      </w:r>
      <w:r>
        <w:fldChar w:fldCharType="separate"/>
      </w:r>
      <w:r>
        <w:rPr>
          <w:rFonts w:hint="eastAsia" w:ascii="仿宋" w:hAnsi="仿宋" w:eastAsia="仿宋"/>
          <w:b/>
          <w:i w:val="0"/>
          <w:szCs w:val="32"/>
        </w:rPr>
        <w:t>（一）机关运行经费支出情况</w:t>
      </w:r>
      <w:r>
        <w:rPr>
          <w:rFonts w:eastAsia="仿宋"/>
          <w:b/>
          <w:i w:val="0"/>
        </w:rPr>
        <w:tab/>
      </w:r>
      <w:r>
        <w:rPr>
          <w:rFonts w:eastAsia="仿宋"/>
          <w:b/>
          <w:i w:val="0"/>
        </w:rPr>
        <w:fldChar w:fldCharType="begin"/>
      </w:r>
      <w:r>
        <w:rPr>
          <w:rFonts w:eastAsia="仿宋"/>
          <w:b/>
          <w:i w:val="0"/>
        </w:rPr>
        <w:instrText xml:space="preserve"> PAGEREF _Toc298 \h </w:instrText>
      </w:r>
      <w:r>
        <w:rPr>
          <w:rFonts w:eastAsia="仿宋"/>
          <w:b/>
          <w:i w:val="0"/>
        </w:rPr>
        <w:fldChar w:fldCharType="separate"/>
      </w:r>
      <w:r>
        <w:rPr>
          <w:rFonts w:eastAsia="仿宋"/>
          <w:b/>
          <w:i w:val="0"/>
        </w:rPr>
        <w:t>19</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"_Toc19018" </w:instrText>
      </w:r>
      <w:r>
        <w:fldChar w:fldCharType="separate"/>
      </w:r>
      <w:r>
        <w:rPr>
          <w:rFonts w:hint="eastAsia" w:ascii="仿宋" w:hAnsi="仿宋" w:eastAsia="仿宋"/>
          <w:b/>
          <w:i w:val="0"/>
          <w:szCs w:val="32"/>
        </w:rPr>
        <w:t>（二）政府采购支出情况</w:t>
      </w:r>
      <w:r>
        <w:rPr>
          <w:rFonts w:eastAsia="仿宋"/>
          <w:b/>
          <w:i w:val="0"/>
        </w:rPr>
        <w:tab/>
      </w:r>
      <w:r>
        <w:rPr>
          <w:rFonts w:eastAsia="仿宋"/>
          <w:b/>
          <w:i w:val="0"/>
        </w:rPr>
        <w:fldChar w:fldCharType="begin"/>
      </w:r>
      <w:r>
        <w:rPr>
          <w:rFonts w:eastAsia="仿宋"/>
          <w:b/>
          <w:i w:val="0"/>
        </w:rPr>
        <w:instrText xml:space="preserve"> PAGEREF _Toc19018 \h </w:instrText>
      </w:r>
      <w:r>
        <w:rPr>
          <w:rFonts w:eastAsia="仿宋"/>
          <w:b/>
          <w:i w:val="0"/>
        </w:rPr>
        <w:fldChar w:fldCharType="separate"/>
      </w:r>
      <w:r>
        <w:rPr>
          <w:rFonts w:eastAsia="仿宋"/>
          <w:b/>
          <w:i w:val="0"/>
        </w:rPr>
        <w:t>19</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"_Toc2872" </w:instrText>
      </w:r>
      <w:r>
        <w:fldChar w:fldCharType="separate"/>
      </w:r>
      <w:r>
        <w:rPr>
          <w:rFonts w:hint="eastAsia" w:ascii="仿宋" w:hAnsi="仿宋" w:eastAsia="仿宋"/>
          <w:b/>
          <w:i w:val="0"/>
          <w:szCs w:val="32"/>
        </w:rPr>
        <w:t>（三）国有资产占有使用情况</w:t>
      </w:r>
      <w:r>
        <w:rPr>
          <w:rFonts w:eastAsia="仿宋"/>
          <w:b/>
          <w:i w:val="0"/>
        </w:rPr>
        <w:tab/>
      </w:r>
      <w:r>
        <w:rPr>
          <w:rFonts w:eastAsia="仿宋"/>
          <w:b/>
          <w:i w:val="0"/>
        </w:rPr>
        <w:fldChar w:fldCharType="begin"/>
      </w:r>
      <w:r>
        <w:rPr>
          <w:rFonts w:eastAsia="仿宋"/>
          <w:b/>
          <w:i w:val="0"/>
        </w:rPr>
        <w:instrText xml:space="preserve"> PAGEREF _Toc2872 \h </w:instrText>
      </w:r>
      <w:r>
        <w:rPr>
          <w:rFonts w:eastAsia="仿宋"/>
          <w:b/>
          <w:i w:val="0"/>
        </w:rPr>
        <w:fldChar w:fldCharType="separate"/>
      </w:r>
      <w:r>
        <w:rPr>
          <w:rFonts w:eastAsia="仿宋"/>
          <w:b/>
          <w:i w:val="0"/>
        </w:rPr>
        <w:t>20</w:t>
      </w:r>
      <w:r>
        <w:rPr>
          <w:rFonts w:eastAsia="仿宋"/>
          <w:b/>
          <w:i w:val="0"/>
        </w:rPr>
        <w:fldChar w:fldCharType="end"/>
      </w:r>
      <w:r>
        <w:rPr>
          <w:rFonts w:eastAsia="仿宋"/>
          <w:b/>
          <w:i w:val="0"/>
        </w:rPr>
        <w:fldChar w:fldCharType="end"/>
      </w:r>
    </w:p>
    <w:p>
      <w:pPr>
        <w:pStyle w:val="9"/>
        <w:tabs>
          <w:tab w:val="right" w:leader="middleDot" w:pos="8306"/>
        </w:tabs>
        <w:spacing w:line="576" w:lineRule="exact"/>
        <w:rPr>
          <w:rFonts w:eastAsia="仿宋"/>
          <w:b/>
          <w:i w:val="0"/>
        </w:rPr>
      </w:pPr>
      <w:r>
        <w:fldChar w:fldCharType="begin"/>
      </w:r>
      <w:r>
        <w:instrText xml:space="preserve"> HYPERLINK \l "_Toc3122" </w:instrText>
      </w:r>
      <w:r>
        <w:fldChar w:fldCharType="separate"/>
      </w:r>
      <w:r>
        <w:rPr>
          <w:rFonts w:hint="eastAsia" w:ascii="仿宋" w:hAnsi="仿宋" w:eastAsia="仿宋"/>
          <w:b/>
          <w:i w:val="0"/>
          <w:szCs w:val="32"/>
        </w:rPr>
        <w:t>（四）预算绩效管理情况。</w:t>
      </w:r>
      <w:r>
        <w:rPr>
          <w:rFonts w:eastAsia="仿宋"/>
          <w:b/>
          <w:i w:val="0"/>
        </w:rPr>
        <w:tab/>
      </w:r>
      <w:r>
        <w:rPr>
          <w:rFonts w:eastAsia="仿宋"/>
          <w:b/>
          <w:i w:val="0"/>
        </w:rPr>
        <w:fldChar w:fldCharType="begin"/>
      </w:r>
      <w:r>
        <w:rPr>
          <w:rFonts w:eastAsia="仿宋"/>
          <w:b/>
          <w:i w:val="0"/>
        </w:rPr>
        <w:instrText xml:space="preserve"> PAGEREF _Toc3122 \h </w:instrText>
      </w:r>
      <w:r>
        <w:rPr>
          <w:rFonts w:eastAsia="仿宋"/>
          <w:b/>
          <w:i w:val="0"/>
        </w:rPr>
        <w:fldChar w:fldCharType="separate"/>
      </w:r>
      <w:r>
        <w:rPr>
          <w:rFonts w:eastAsia="仿宋"/>
          <w:b/>
          <w:i w:val="0"/>
        </w:rPr>
        <w:t>20</w:t>
      </w:r>
      <w:r>
        <w:rPr>
          <w:rFonts w:eastAsia="仿宋"/>
          <w:b/>
          <w:i w:val="0"/>
        </w:rPr>
        <w:fldChar w:fldCharType="end"/>
      </w:r>
      <w:r>
        <w:rPr>
          <w:rFonts w:eastAsia="仿宋"/>
          <w:b/>
          <w:i w:val="0"/>
        </w:rPr>
        <w:fldChar w:fldCharType="end"/>
      </w:r>
    </w:p>
    <w:p>
      <w:pPr>
        <w:pStyle w:val="15"/>
        <w:tabs>
          <w:tab w:val="right" w:leader="middleDot" w:pos="8306"/>
        </w:tabs>
        <w:spacing w:line="576" w:lineRule="exact"/>
        <w:rPr>
          <w:rFonts w:eastAsia="仿宋"/>
          <w:caps w:val="0"/>
        </w:rPr>
      </w:pPr>
      <w:r>
        <w:fldChar w:fldCharType="begin"/>
      </w:r>
      <w:r>
        <w:instrText xml:space="preserve"> HYPERLINK \l "_Toc13286" </w:instrText>
      </w:r>
      <w:r>
        <w:fldChar w:fldCharType="separate"/>
      </w:r>
      <w:r>
        <w:rPr>
          <w:rFonts w:hint="eastAsia" w:ascii="黑体" w:hAnsi="黑体" w:eastAsia="仿宋"/>
          <w:caps w:val="0"/>
        </w:rPr>
        <w:t xml:space="preserve">第三部分 </w:t>
      </w:r>
      <w:r>
        <w:rPr>
          <w:rFonts w:hint="eastAsia" w:ascii="黑体" w:hAnsi="黑体" w:eastAsia="仿宋"/>
          <w:caps w:val="0"/>
          <w:szCs w:val="44"/>
        </w:rPr>
        <w:t>名</w:t>
      </w:r>
      <w:r>
        <w:rPr>
          <w:rFonts w:hint="eastAsia" w:ascii="黑体" w:hAnsi="黑体" w:eastAsia="仿宋"/>
          <w:caps w:val="0"/>
        </w:rPr>
        <w:t>词解释</w:t>
      </w:r>
      <w:r>
        <w:rPr>
          <w:rFonts w:eastAsia="仿宋"/>
          <w:caps w:val="0"/>
        </w:rPr>
        <w:tab/>
      </w:r>
      <w:r>
        <w:rPr>
          <w:rFonts w:eastAsia="仿宋"/>
          <w:caps w:val="0"/>
        </w:rPr>
        <w:fldChar w:fldCharType="begin"/>
      </w:r>
      <w:r>
        <w:rPr>
          <w:rFonts w:eastAsia="仿宋"/>
          <w:caps w:val="0"/>
        </w:rPr>
        <w:instrText xml:space="preserve"> PAGEREF _Toc13286 \h </w:instrText>
      </w:r>
      <w:r>
        <w:rPr>
          <w:rFonts w:eastAsia="仿宋"/>
          <w:caps w:val="0"/>
        </w:rPr>
        <w:fldChar w:fldCharType="separate"/>
      </w:r>
      <w:r>
        <w:rPr>
          <w:rFonts w:eastAsia="仿宋"/>
          <w:caps w:val="0"/>
        </w:rPr>
        <w:t>41</w:t>
      </w:r>
      <w:r>
        <w:rPr>
          <w:rFonts w:eastAsia="仿宋"/>
          <w:caps w:val="0"/>
        </w:rPr>
        <w:fldChar w:fldCharType="end"/>
      </w:r>
      <w:r>
        <w:rPr>
          <w:rFonts w:eastAsia="仿宋"/>
          <w:caps w:val="0"/>
        </w:rPr>
        <w:fldChar w:fldCharType="end"/>
      </w:r>
    </w:p>
    <w:p>
      <w:pPr>
        <w:pStyle w:val="15"/>
        <w:tabs>
          <w:tab w:val="right" w:leader="middleDot" w:pos="8306"/>
        </w:tabs>
        <w:spacing w:line="576" w:lineRule="exact"/>
        <w:rPr>
          <w:rFonts w:eastAsia="仿宋"/>
          <w:caps w:val="0"/>
        </w:rPr>
      </w:pPr>
      <w:r>
        <w:fldChar w:fldCharType="begin"/>
      </w:r>
      <w:r>
        <w:instrText xml:space="preserve"> HYPERLINK \l "_Toc6931" </w:instrText>
      </w:r>
      <w:r>
        <w:fldChar w:fldCharType="separate"/>
      </w:r>
      <w:r>
        <w:rPr>
          <w:rFonts w:hint="eastAsia" w:ascii="黑体" w:hAnsi="黑体" w:eastAsia="仿宋"/>
          <w:caps w:val="0"/>
          <w:szCs w:val="44"/>
        </w:rPr>
        <w:t>第</w:t>
      </w:r>
      <w:r>
        <w:rPr>
          <w:rFonts w:hint="eastAsia" w:ascii="黑体" w:hAnsi="黑体" w:eastAsia="仿宋"/>
          <w:caps w:val="0"/>
        </w:rPr>
        <w:t>四部分 附件</w:t>
      </w:r>
      <w:r>
        <w:rPr>
          <w:rFonts w:eastAsia="仿宋"/>
          <w:caps w:val="0"/>
        </w:rPr>
        <w:tab/>
      </w:r>
      <w:r>
        <w:rPr>
          <w:rFonts w:eastAsia="仿宋"/>
          <w:caps w:val="0"/>
        </w:rPr>
        <w:fldChar w:fldCharType="begin"/>
      </w:r>
      <w:r>
        <w:rPr>
          <w:rFonts w:eastAsia="仿宋"/>
          <w:caps w:val="0"/>
        </w:rPr>
        <w:instrText xml:space="preserve"> PAGEREF _Toc6931 \h </w:instrText>
      </w:r>
      <w:r>
        <w:rPr>
          <w:rFonts w:eastAsia="仿宋"/>
          <w:caps w:val="0"/>
        </w:rPr>
        <w:fldChar w:fldCharType="separate"/>
      </w:r>
      <w:r>
        <w:rPr>
          <w:rFonts w:eastAsia="仿宋"/>
          <w:caps w:val="0"/>
        </w:rPr>
        <w:t>44</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400" w:firstLineChars="200"/>
        <w:rPr>
          <w:rFonts w:eastAsia="仿宋"/>
          <w:caps w:val="0"/>
        </w:rPr>
      </w:pPr>
      <w:r>
        <w:fldChar w:fldCharType="begin"/>
      </w:r>
      <w:r>
        <w:instrText xml:space="preserve"> HYPERLINK \l "_Toc8450" </w:instrText>
      </w:r>
      <w:r>
        <w:fldChar w:fldCharType="separate"/>
      </w:r>
      <w:r>
        <w:rPr>
          <w:rFonts w:hint="eastAsia" w:ascii="黑体" w:hAnsi="黑体" w:eastAsia="仿宋" w:cs="黑体"/>
          <w:caps w:val="0"/>
          <w:szCs w:val="32"/>
        </w:rPr>
        <w:t>附件</w:t>
      </w:r>
      <w:r>
        <w:rPr>
          <w:rFonts w:ascii="黑体" w:hAnsi="黑体" w:eastAsia="仿宋" w:cs="黑体"/>
          <w:caps w:val="0"/>
          <w:szCs w:val="32"/>
        </w:rPr>
        <w:t>1</w:t>
      </w:r>
      <w:r>
        <w:rPr>
          <w:rFonts w:eastAsia="仿宋"/>
          <w:caps w:val="0"/>
        </w:rPr>
        <w:tab/>
      </w:r>
      <w:r>
        <w:rPr>
          <w:rFonts w:eastAsia="仿宋"/>
          <w:caps w:val="0"/>
        </w:rPr>
        <w:fldChar w:fldCharType="begin"/>
      </w:r>
      <w:r>
        <w:rPr>
          <w:rFonts w:eastAsia="仿宋"/>
          <w:caps w:val="0"/>
        </w:rPr>
        <w:instrText xml:space="preserve"> PAGEREF _Toc8450 \h </w:instrText>
      </w:r>
      <w:r>
        <w:rPr>
          <w:rFonts w:eastAsia="仿宋"/>
          <w:caps w:val="0"/>
        </w:rPr>
        <w:fldChar w:fldCharType="separate"/>
      </w:r>
      <w:r>
        <w:rPr>
          <w:rFonts w:eastAsia="仿宋"/>
          <w:caps w:val="0"/>
        </w:rPr>
        <w:t>44</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400" w:firstLineChars="200"/>
        <w:rPr>
          <w:rFonts w:eastAsia="仿宋"/>
          <w:caps w:val="0"/>
        </w:rPr>
      </w:pPr>
      <w:r>
        <w:fldChar w:fldCharType="begin"/>
      </w:r>
      <w:r>
        <w:instrText xml:space="preserve"> HYPERLINK \l "_Toc20290" </w:instrText>
      </w:r>
      <w:r>
        <w:fldChar w:fldCharType="separate"/>
      </w:r>
      <w:r>
        <w:rPr>
          <w:rFonts w:hint="eastAsia" w:ascii="方正小标宋简体" w:hAnsi="黑体" w:eastAsia="仿宋" w:cs="黑体"/>
          <w:caps w:val="0"/>
          <w:szCs w:val="44"/>
        </w:rPr>
        <w:t>阿坝妇女联合会</w:t>
      </w:r>
      <w:r>
        <w:rPr>
          <w:rFonts w:eastAsia="仿宋"/>
          <w:caps w:val="0"/>
        </w:rPr>
        <w:tab/>
      </w:r>
      <w:r>
        <w:rPr>
          <w:rFonts w:eastAsia="仿宋"/>
          <w:caps w:val="0"/>
        </w:rPr>
        <w:fldChar w:fldCharType="begin"/>
      </w:r>
      <w:r>
        <w:rPr>
          <w:rFonts w:eastAsia="仿宋"/>
          <w:caps w:val="0"/>
        </w:rPr>
        <w:instrText xml:space="preserve"> PAGEREF _Toc20290 \h </w:instrText>
      </w:r>
      <w:r>
        <w:rPr>
          <w:rFonts w:eastAsia="仿宋"/>
          <w:caps w:val="0"/>
        </w:rPr>
        <w:fldChar w:fldCharType="separate"/>
      </w:r>
      <w:r>
        <w:rPr>
          <w:rFonts w:eastAsia="仿宋"/>
          <w:caps w:val="0"/>
        </w:rPr>
        <w:t>44</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400" w:firstLineChars="200"/>
        <w:rPr>
          <w:rFonts w:eastAsia="仿宋"/>
          <w:caps w:val="0"/>
        </w:rPr>
      </w:pPr>
      <w:r>
        <w:fldChar w:fldCharType="begin"/>
      </w:r>
      <w:r>
        <w:instrText xml:space="preserve"> HYPERLINK \l "_Toc20187" </w:instrText>
      </w:r>
      <w:r>
        <w:fldChar w:fldCharType="separate"/>
      </w:r>
      <w:r>
        <w:rPr>
          <w:rFonts w:ascii="方正小标宋简体" w:hAnsi="黑体" w:eastAsia="仿宋" w:cs="黑体"/>
          <w:caps w:val="0"/>
          <w:szCs w:val="44"/>
        </w:rPr>
        <w:t>2020</w:t>
      </w:r>
      <w:r>
        <w:rPr>
          <w:rFonts w:hint="eastAsia" w:ascii="方正小标宋简体" w:hAnsi="黑体" w:eastAsia="仿宋" w:cs="黑体"/>
          <w:caps w:val="0"/>
          <w:szCs w:val="44"/>
        </w:rPr>
        <w:t>年部门整体支出绩效评价报告</w:t>
      </w:r>
      <w:r>
        <w:rPr>
          <w:rFonts w:eastAsia="仿宋"/>
          <w:caps w:val="0"/>
        </w:rPr>
        <w:tab/>
      </w:r>
      <w:r>
        <w:rPr>
          <w:rFonts w:eastAsia="仿宋"/>
          <w:caps w:val="0"/>
        </w:rPr>
        <w:fldChar w:fldCharType="begin"/>
      </w:r>
      <w:r>
        <w:rPr>
          <w:rFonts w:eastAsia="仿宋"/>
          <w:caps w:val="0"/>
        </w:rPr>
        <w:instrText xml:space="preserve"> PAGEREF _Toc20187 \h </w:instrText>
      </w:r>
      <w:r>
        <w:rPr>
          <w:rFonts w:eastAsia="仿宋"/>
          <w:caps w:val="0"/>
        </w:rPr>
        <w:fldChar w:fldCharType="separate"/>
      </w:r>
      <w:r>
        <w:rPr>
          <w:rFonts w:eastAsia="仿宋"/>
          <w:caps w:val="0"/>
        </w:rPr>
        <w:t>44</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400" w:firstLineChars="200"/>
        <w:rPr>
          <w:rFonts w:eastAsia="仿宋"/>
          <w:caps w:val="0"/>
        </w:rPr>
      </w:pPr>
      <w:r>
        <w:fldChar w:fldCharType="begin"/>
      </w:r>
      <w:r>
        <w:instrText xml:space="preserve"> HYPERLINK \l "_Toc2414" </w:instrText>
      </w:r>
      <w:r>
        <w:fldChar w:fldCharType="separate"/>
      </w:r>
      <w:r>
        <w:rPr>
          <w:rFonts w:hint="eastAsia" w:ascii="黑体" w:hAnsi="黑体" w:eastAsia="仿宋" w:cs="黑体"/>
          <w:caps w:val="0"/>
          <w:szCs w:val="32"/>
        </w:rPr>
        <w:t>附件</w:t>
      </w:r>
      <w:r>
        <w:rPr>
          <w:rFonts w:ascii="黑体" w:hAnsi="黑体" w:eastAsia="仿宋" w:cs="黑体"/>
          <w:caps w:val="0"/>
          <w:szCs w:val="32"/>
        </w:rPr>
        <w:t>2</w:t>
      </w:r>
      <w:r>
        <w:rPr>
          <w:rFonts w:eastAsia="仿宋"/>
          <w:caps w:val="0"/>
        </w:rPr>
        <w:tab/>
      </w:r>
      <w:r>
        <w:rPr>
          <w:rFonts w:eastAsia="仿宋"/>
          <w:caps w:val="0"/>
        </w:rPr>
        <w:fldChar w:fldCharType="begin"/>
      </w:r>
      <w:r>
        <w:rPr>
          <w:rFonts w:eastAsia="仿宋"/>
          <w:caps w:val="0"/>
        </w:rPr>
        <w:instrText xml:space="preserve"> PAGEREF _Toc2414 \h </w:instrText>
      </w:r>
      <w:r>
        <w:rPr>
          <w:rFonts w:eastAsia="仿宋"/>
          <w:caps w:val="0"/>
        </w:rPr>
        <w:fldChar w:fldCharType="separate"/>
      </w:r>
      <w:r>
        <w:rPr>
          <w:rFonts w:eastAsia="仿宋"/>
          <w:caps w:val="0"/>
        </w:rPr>
        <w:t>50</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"_Toc25676" </w:instrText>
      </w:r>
      <w:r>
        <w:fldChar w:fldCharType="separate"/>
      </w:r>
      <w:r>
        <w:rPr>
          <w:rFonts w:hint="eastAsia" w:ascii="仿宋" w:hAnsi="仿宋" w:eastAsia="仿宋" w:cs="仿宋"/>
          <w:bCs w:val="0"/>
          <w:caps w:val="0"/>
          <w:szCs w:val="32"/>
          <w:lang w:val="zh-CN"/>
        </w:rPr>
        <w:t>一、基本情况</w:t>
      </w:r>
      <w:r>
        <w:rPr>
          <w:rFonts w:eastAsia="仿宋"/>
          <w:caps w:val="0"/>
        </w:rPr>
        <w:tab/>
      </w:r>
      <w:r>
        <w:rPr>
          <w:rFonts w:eastAsia="仿宋"/>
          <w:caps w:val="0"/>
        </w:rPr>
        <w:fldChar w:fldCharType="begin"/>
      </w:r>
      <w:r>
        <w:rPr>
          <w:rFonts w:eastAsia="仿宋"/>
          <w:caps w:val="0"/>
        </w:rPr>
        <w:instrText xml:space="preserve"> PAGEREF _Toc25676 \h </w:instrText>
      </w:r>
      <w:r>
        <w:rPr>
          <w:rFonts w:eastAsia="仿宋"/>
          <w:caps w:val="0"/>
        </w:rPr>
        <w:fldChar w:fldCharType="separate"/>
      </w:r>
      <w:r>
        <w:rPr>
          <w:rFonts w:eastAsia="仿宋"/>
          <w:caps w:val="0"/>
        </w:rPr>
        <w:t>58</w:t>
      </w:r>
      <w:r>
        <w:rPr>
          <w:rFonts w:eastAsia="仿宋"/>
          <w:caps w:val="0"/>
        </w:rPr>
        <w:fldChar w:fldCharType="end"/>
      </w:r>
      <w:r>
        <w:rPr>
          <w:rFonts w:eastAsia="仿宋"/>
          <w:caps w:val="0"/>
        </w:rPr>
        <w:fldChar w:fldCharType="end"/>
      </w:r>
    </w:p>
    <w:p>
      <w:pPr>
        <w:pStyle w:val="18"/>
        <w:tabs>
          <w:tab w:val="right" w:leader="middleDot" w:pos="8306"/>
        </w:tabs>
        <w:spacing w:line="576" w:lineRule="exact"/>
        <w:ind w:left="0" w:firstLine="400" w:firstLineChars="200"/>
        <w:rPr>
          <w:rFonts w:eastAsia="仿宋"/>
          <w:b/>
          <w:smallCaps w:val="0"/>
        </w:rPr>
      </w:pPr>
      <w:r>
        <w:fldChar w:fldCharType="begin"/>
      </w:r>
      <w:r>
        <w:instrText xml:space="preserve"> HYPERLINK \l "_Toc20448" </w:instrText>
      </w:r>
      <w:r>
        <w:fldChar w:fldCharType="separate"/>
      </w:r>
      <w:r>
        <w:rPr>
          <w:rFonts w:hint="eastAsia" w:ascii="楷体_GB2312" w:eastAsia="仿宋"/>
          <w:b/>
          <w:bCs/>
          <w:smallCaps w:val="0"/>
        </w:rPr>
        <w:t>（一）项目概况</w:t>
      </w:r>
      <w:r>
        <w:rPr>
          <w:rFonts w:eastAsia="仿宋"/>
          <w:b/>
          <w:smallCaps w:val="0"/>
        </w:rPr>
        <w:tab/>
      </w:r>
      <w:r>
        <w:rPr>
          <w:rFonts w:eastAsia="仿宋"/>
          <w:b/>
          <w:smallCaps w:val="0"/>
        </w:rPr>
        <w:fldChar w:fldCharType="begin"/>
      </w:r>
      <w:r>
        <w:rPr>
          <w:rFonts w:eastAsia="仿宋"/>
          <w:b/>
          <w:smallCaps w:val="0"/>
        </w:rPr>
        <w:instrText xml:space="preserve"> PAGEREF _Toc20448 \h </w:instrText>
      </w:r>
      <w:r>
        <w:rPr>
          <w:rFonts w:eastAsia="仿宋"/>
          <w:b/>
          <w:smallCaps w:val="0"/>
        </w:rPr>
        <w:fldChar w:fldCharType="separate"/>
      </w:r>
      <w:r>
        <w:rPr>
          <w:rFonts w:eastAsia="仿宋"/>
          <w:b/>
          <w:smallCaps w:val="0"/>
        </w:rPr>
        <w:t>58</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"_Toc1228" </w:instrText>
      </w:r>
      <w:r>
        <w:fldChar w:fldCharType="separate"/>
      </w:r>
      <w:r>
        <w:rPr>
          <w:rFonts w:hint="eastAsia" w:ascii="楷体_GB2312" w:eastAsia="仿宋"/>
          <w:b/>
          <w:smallCaps w:val="0"/>
        </w:rPr>
        <w:t>（二）项目立项依据、资金申报情况</w:t>
      </w:r>
      <w:r>
        <w:rPr>
          <w:rFonts w:eastAsia="仿宋"/>
          <w:b/>
          <w:smallCaps w:val="0"/>
        </w:rPr>
        <w:tab/>
      </w:r>
      <w:r>
        <w:rPr>
          <w:rFonts w:eastAsia="仿宋"/>
          <w:b/>
          <w:smallCaps w:val="0"/>
        </w:rPr>
        <w:fldChar w:fldCharType="begin"/>
      </w:r>
      <w:r>
        <w:rPr>
          <w:rFonts w:eastAsia="仿宋"/>
          <w:b/>
          <w:smallCaps w:val="0"/>
        </w:rPr>
        <w:instrText xml:space="preserve"> PAGEREF _Toc1228 \h </w:instrText>
      </w:r>
      <w:r>
        <w:rPr>
          <w:rFonts w:eastAsia="仿宋"/>
          <w:b/>
          <w:smallCaps w:val="0"/>
        </w:rPr>
        <w:fldChar w:fldCharType="separate"/>
      </w:r>
      <w:r>
        <w:rPr>
          <w:rFonts w:eastAsia="仿宋"/>
          <w:b/>
          <w:smallCaps w:val="0"/>
        </w:rPr>
        <w:t>58</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"_Toc31361" </w:instrText>
      </w:r>
      <w:r>
        <w:fldChar w:fldCharType="separate"/>
      </w:r>
      <w:r>
        <w:rPr>
          <w:rFonts w:hint="eastAsia" w:ascii="楷体_GB2312" w:eastAsia="仿宋"/>
          <w:b/>
          <w:smallCaps w:val="0"/>
        </w:rPr>
        <w:t>（三）项目绩效目标</w:t>
      </w:r>
      <w:r>
        <w:rPr>
          <w:rFonts w:eastAsia="仿宋"/>
          <w:b/>
          <w:smallCaps w:val="0"/>
        </w:rPr>
        <w:tab/>
      </w:r>
      <w:r>
        <w:rPr>
          <w:rFonts w:eastAsia="仿宋"/>
          <w:b/>
          <w:smallCaps w:val="0"/>
        </w:rPr>
        <w:fldChar w:fldCharType="begin"/>
      </w:r>
      <w:r>
        <w:rPr>
          <w:rFonts w:eastAsia="仿宋"/>
          <w:b/>
          <w:smallCaps w:val="0"/>
        </w:rPr>
        <w:instrText xml:space="preserve"> PAGEREF _Toc31361 \h </w:instrText>
      </w:r>
      <w:r>
        <w:rPr>
          <w:rFonts w:eastAsia="仿宋"/>
          <w:b/>
          <w:smallCaps w:val="0"/>
        </w:rPr>
        <w:fldChar w:fldCharType="separate"/>
      </w:r>
      <w:r>
        <w:rPr>
          <w:rFonts w:eastAsia="仿宋"/>
          <w:b/>
          <w:smallCaps w:val="0"/>
        </w:rPr>
        <w:t>59</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"_Toc10666" </w:instrText>
      </w:r>
      <w:r>
        <w:fldChar w:fldCharType="separate"/>
      </w:r>
      <w:r>
        <w:rPr>
          <w:rFonts w:hint="eastAsia" w:ascii="楷体_GB2312" w:eastAsia="仿宋"/>
          <w:b/>
          <w:smallCaps w:val="0"/>
        </w:rPr>
        <w:t>（四）资金计划、到位及使用情况</w:t>
      </w:r>
      <w:r>
        <w:rPr>
          <w:rFonts w:eastAsia="仿宋"/>
          <w:b/>
          <w:smallCaps w:val="0"/>
        </w:rPr>
        <w:tab/>
      </w:r>
      <w:r>
        <w:rPr>
          <w:rFonts w:eastAsia="仿宋"/>
          <w:b/>
          <w:smallCaps w:val="0"/>
        </w:rPr>
        <w:fldChar w:fldCharType="begin"/>
      </w:r>
      <w:r>
        <w:rPr>
          <w:rFonts w:eastAsia="仿宋"/>
          <w:b/>
          <w:smallCaps w:val="0"/>
        </w:rPr>
        <w:instrText xml:space="preserve"> PAGEREF _Toc10666 \h </w:instrText>
      </w:r>
      <w:r>
        <w:rPr>
          <w:rFonts w:eastAsia="仿宋"/>
          <w:b/>
          <w:smallCaps w:val="0"/>
        </w:rPr>
        <w:fldChar w:fldCharType="separate"/>
      </w:r>
      <w:r>
        <w:rPr>
          <w:rFonts w:eastAsia="仿宋"/>
          <w:b/>
          <w:smallCaps w:val="0"/>
        </w:rPr>
        <w:t>59</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"_Toc16963" </w:instrText>
      </w:r>
      <w:r>
        <w:fldChar w:fldCharType="separate"/>
      </w:r>
      <w:r>
        <w:rPr>
          <w:rFonts w:hint="eastAsia" w:ascii="楷体_GB2312" w:eastAsia="仿宋"/>
          <w:b/>
          <w:bCs/>
          <w:smallCaps w:val="0"/>
        </w:rPr>
        <w:t>（五）项目财务管理情况</w:t>
      </w:r>
      <w:r>
        <w:rPr>
          <w:rFonts w:eastAsia="仿宋"/>
          <w:b/>
          <w:smallCaps w:val="0"/>
        </w:rPr>
        <w:tab/>
      </w:r>
      <w:r>
        <w:rPr>
          <w:rFonts w:eastAsia="仿宋"/>
          <w:b/>
          <w:smallCaps w:val="0"/>
        </w:rPr>
        <w:fldChar w:fldCharType="begin"/>
      </w:r>
      <w:r>
        <w:rPr>
          <w:rFonts w:eastAsia="仿宋"/>
          <w:b/>
          <w:smallCaps w:val="0"/>
        </w:rPr>
        <w:instrText xml:space="preserve"> PAGEREF _Toc16963 \h </w:instrText>
      </w:r>
      <w:r>
        <w:rPr>
          <w:rFonts w:eastAsia="仿宋"/>
          <w:b/>
          <w:smallCaps w:val="0"/>
        </w:rPr>
        <w:fldChar w:fldCharType="separate"/>
      </w:r>
      <w:r>
        <w:rPr>
          <w:rFonts w:eastAsia="仿宋"/>
          <w:b/>
          <w:smallCaps w:val="0"/>
        </w:rPr>
        <w:t>62</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200" w:firstLineChars="100"/>
        <w:rPr>
          <w:rFonts w:eastAsia="仿宋"/>
          <w:b/>
          <w:smallCaps w:val="0"/>
        </w:rPr>
      </w:pPr>
      <w:r>
        <w:fldChar w:fldCharType="begin"/>
      </w:r>
      <w:r>
        <w:instrText xml:space="preserve"> HYPERLINK \l "_Toc16746" </w:instrText>
      </w:r>
      <w:r>
        <w:fldChar w:fldCharType="separate"/>
      </w:r>
      <w:r>
        <w:rPr>
          <w:rFonts w:hint="eastAsia" w:ascii="楷体_GB2312" w:eastAsia="仿宋"/>
          <w:b/>
          <w:bCs/>
          <w:smallCaps w:val="0"/>
        </w:rPr>
        <w:t>（六）项目组织实施情况</w:t>
      </w:r>
      <w:r>
        <w:rPr>
          <w:rFonts w:eastAsia="仿宋"/>
          <w:b/>
          <w:smallCaps w:val="0"/>
        </w:rPr>
        <w:tab/>
      </w:r>
      <w:r>
        <w:rPr>
          <w:rFonts w:eastAsia="仿宋"/>
          <w:b/>
          <w:smallCaps w:val="0"/>
        </w:rPr>
        <w:fldChar w:fldCharType="begin"/>
      </w:r>
      <w:r>
        <w:rPr>
          <w:rFonts w:eastAsia="仿宋"/>
          <w:b/>
          <w:smallCaps w:val="0"/>
        </w:rPr>
        <w:instrText xml:space="preserve"> PAGEREF _Toc16746 \h </w:instrText>
      </w:r>
      <w:r>
        <w:rPr>
          <w:rFonts w:eastAsia="仿宋"/>
          <w:b/>
          <w:smallCaps w:val="0"/>
        </w:rPr>
        <w:fldChar w:fldCharType="separate"/>
      </w:r>
      <w:r>
        <w:rPr>
          <w:rFonts w:eastAsia="仿宋"/>
          <w:b/>
          <w:smallCaps w:val="0"/>
        </w:rPr>
        <w:t>62</w:t>
      </w:r>
      <w:r>
        <w:rPr>
          <w:rFonts w:eastAsia="仿宋"/>
          <w:b/>
          <w:smallCaps w:val="0"/>
        </w:rPr>
        <w:fldChar w:fldCharType="end"/>
      </w:r>
      <w:r>
        <w:rPr>
          <w:rFonts w:eastAsia="仿宋"/>
          <w:b/>
          <w:small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"_Toc30609" </w:instrText>
      </w:r>
      <w:r>
        <w:fldChar w:fldCharType="separate"/>
      </w:r>
      <w:r>
        <w:rPr>
          <w:rFonts w:hint="eastAsia" w:ascii="楷体_GB2312" w:hAnsi="Cambria" w:eastAsia="仿宋"/>
          <w:caps w:val="0"/>
          <w:kern w:val="0"/>
          <w:szCs w:val="32"/>
          <w:lang w:val="zh-CN"/>
        </w:rPr>
        <w:t>二、评价工作开展情况</w:t>
      </w:r>
      <w:r>
        <w:rPr>
          <w:rFonts w:eastAsia="仿宋"/>
          <w:caps w:val="0"/>
        </w:rPr>
        <w:tab/>
      </w:r>
      <w:r>
        <w:rPr>
          <w:rFonts w:eastAsia="仿宋"/>
          <w:caps w:val="0"/>
        </w:rPr>
        <w:fldChar w:fldCharType="begin"/>
      </w:r>
      <w:r>
        <w:rPr>
          <w:rFonts w:eastAsia="仿宋"/>
          <w:caps w:val="0"/>
        </w:rPr>
        <w:instrText xml:space="preserve"> PAGEREF _Toc30609 \h </w:instrText>
      </w:r>
      <w:r>
        <w:rPr>
          <w:rFonts w:eastAsia="仿宋"/>
          <w:caps w:val="0"/>
        </w:rPr>
        <w:fldChar w:fldCharType="separate"/>
      </w:r>
      <w:r>
        <w:rPr>
          <w:rFonts w:eastAsia="仿宋"/>
          <w:caps w:val="0"/>
        </w:rPr>
        <w:t>62</w:t>
      </w:r>
      <w:r>
        <w:rPr>
          <w:rFonts w:eastAsia="仿宋"/>
          <w:caps w:val="0"/>
        </w:rPr>
        <w:fldChar w:fldCharType="end"/>
      </w:r>
      <w:r>
        <w:rPr>
          <w:rFonts w:eastAsia="仿宋"/>
          <w: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"_Toc20213"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一）前期准备</w:t>
      </w:r>
      <w:r>
        <w:rPr>
          <w:rFonts w:eastAsia="仿宋"/>
          <w:b/>
          <w:smallCaps w:val="0"/>
        </w:rPr>
        <w:tab/>
      </w:r>
      <w:r>
        <w:rPr>
          <w:rFonts w:eastAsia="仿宋"/>
          <w:b/>
          <w:smallCaps w:val="0"/>
        </w:rPr>
        <w:fldChar w:fldCharType="begin"/>
      </w:r>
      <w:r>
        <w:rPr>
          <w:rFonts w:eastAsia="仿宋"/>
          <w:b/>
          <w:smallCaps w:val="0"/>
        </w:rPr>
        <w:instrText xml:space="preserve"> PAGEREF _Toc20213 \h </w:instrText>
      </w:r>
      <w:r>
        <w:rPr>
          <w:rFonts w:eastAsia="仿宋"/>
          <w:b/>
          <w:smallCaps w:val="0"/>
        </w:rPr>
        <w:fldChar w:fldCharType="separate"/>
      </w:r>
      <w:r>
        <w:rPr>
          <w:rFonts w:eastAsia="仿宋"/>
          <w:b/>
          <w:smallCaps w:val="0"/>
        </w:rPr>
        <w:t>62</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"_Toc23859"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二）组织实施情况</w:t>
      </w:r>
      <w:r>
        <w:rPr>
          <w:rFonts w:eastAsia="仿宋"/>
          <w:b/>
          <w:smallCaps w:val="0"/>
        </w:rPr>
        <w:tab/>
      </w:r>
      <w:r>
        <w:rPr>
          <w:rFonts w:eastAsia="仿宋"/>
          <w:b/>
          <w:smallCaps w:val="0"/>
        </w:rPr>
        <w:fldChar w:fldCharType="begin"/>
      </w:r>
      <w:r>
        <w:rPr>
          <w:rFonts w:eastAsia="仿宋"/>
          <w:b/>
          <w:smallCaps w:val="0"/>
        </w:rPr>
        <w:instrText xml:space="preserve"> PAGEREF _Toc23859 \h </w:instrText>
      </w:r>
      <w:r>
        <w:rPr>
          <w:rFonts w:eastAsia="仿宋"/>
          <w:b/>
          <w:smallCaps w:val="0"/>
        </w:rPr>
        <w:fldChar w:fldCharType="separate"/>
      </w:r>
      <w:r>
        <w:rPr>
          <w:rFonts w:eastAsia="仿宋"/>
          <w:b/>
          <w:smallCaps w:val="0"/>
        </w:rPr>
        <w:t>62</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"_Toc12142"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三）分析评价，出具评价报告</w:t>
      </w:r>
      <w:r>
        <w:rPr>
          <w:rFonts w:eastAsia="仿宋"/>
          <w:b/>
          <w:smallCaps w:val="0"/>
        </w:rPr>
        <w:tab/>
      </w:r>
      <w:r>
        <w:rPr>
          <w:rFonts w:eastAsia="仿宋"/>
          <w:b/>
          <w:smallCaps w:val="0"/>
        </w:rPr>
        <w:fldChar w:fldCharType="begin"/>
      </w:r>
      <w:r>
        <w:rPr>
          <w:rFonts w:eastAsia="仿宋"/>
          <w:b/>
          <w:smallCaps w:val="0"/>
        </w:rPr>
        <w:instrText xml:space="preserve"> PAGEREF _Toc12142 \h </w:instrText>
      </w:r>
      <w:r>
        <w:rPr>
          <w:rFonts w:eastAsia="仿宋"/>
          <w:b/>
          <w:smallCaps w:val="0"/>
        </w:rPr>
        <w:fldChar w:fldCharType="separate"/>
      </w:r>
      <w:r>
        <w:rPr>
          <w:rFonts w:eastAsia="仿宋"/>
          <w:b/>
          <w:smallCaps w:val="0"/>
        </w:rPr>
        <w:t>63</w:t>
      </w:r>
      <w:r>
        <w:rPr>
          <w:rFonts w:eastAsia="仿宋"/>
          <w:b/>
          <w:smallCaps w:val="0"/>
        </w:rPr>
        <w:fldChar w:fldCharType="end"/>
      </w:r>
      <w:r>
        <w:rPr>
          <w:rFonts w:eastAsia="仿宋"/>
          <w:b/>
          <w:small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"_Toc21324" </w:instrText>
      </w:r>
      <w:r>
        <w:fldChar w:fldCharType="separate"/>
      </w:r>
      <w:r>
        <w:rPr>
          <w:rFonts w:hint="eastAsia" w:ascii="楷体_GB2312" w:hAnsi="Cambria" w:eastAsia="仿宋"/>
          <w:caps w:val="0"/>
          <w:kern w:val="0"/>
          <w:szCs w:val="32"/>
          <w:lang w:val="zh-CN"/>
        </w:rPr>
        <w:t>三、绩效评价依据、指标体系、评价标准及评价方法</w:t>
      </w:r>
      <w:r>
        <w:rPr>
          <w:rFonts w:eastAsia="仿宋"/>
          <w:caps w:val="0"/>
        </w:rPr>
        <w:tab/>
      </w:r>
      <w:r>
        <w:rPr>
          <w:rFonts w:eastAsia="仿宋"/>
          <w:caps w:val="0"/>
        </w:rPr>
        <w:fldChar w:fldCharType="begin"/>
      </w:r>
      <w:r>
        <w:rPr>
          <w:rFonts w:eastAsia="仿宋"/>
          <w:caps w:val="0"/>
        </w:rPr>
        <w:instrText xml:space="preserve"> PAGEREF _Toc21324 \h </w:instrText>
      </w:r>
      <w:r>
        <w:rPr>
          <w:rFonts w:eastAsia="仿宋"/>
          <w:caps w:val="0"/>
        </w:rPr>
        <w:fldChar w:fldCharType="separate"/>
      </w:r>
      <w:r>
        <w:rPr>
          <w:rFonts w:eastAsia="仿宋"/>
          <w:caps w:val="0"/>
        </w:rPr>
        <w:t>63</w:t>
      </w:r>
      <w:r>
        <w:rPr>
          <w:rFonts w:eastAsia="仿宋"/>
          <w:caps w:val="0"/>
        </w:rPr>
        <w:fldChar w:fldCharType="end"/>
      </w:r>
      <w:r>
        <w:rPr>
          <w:rFonts w:eastAsia="仿宋"/>
          <w: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"_Toc9141"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一）绩效评价依据</w:t>
      </w:r>
      <w:r>
        <w:rPr>
          <w:rFonts w:eastAsia="仿宋"/>
          <w:b/>
          <w:smallCaps w:val="0"/>
        </w:rPr>
        <w:tab/>
      </w:r>
      <w:r>
        <w:rPr>
          <w:rFonts w:eastAsia="仿宋"/>
          <w:b/>
          <w:smallCaps w:val="0"/>
        </w:rPr>
        <w:fldChar w:fldCharType="begin"/>
      </w:r>
      <w:r>
        <w:rPr>
          <w:rFonts w:eastAsia="仿宋"/>
          <w:b/>
          <w:smallCaps w:val="0"/>
        </w:rPr>
        <w:instrText xml:space="preserve"> PAGEREF _Toc9141 \h </w:instrText>
      </w:r>
      <w:r>
        <w:rPr>
          <w:rFonts w:eastAsia="仿宋"/>
          <w:b/>
          <w:smallCaps w:val="0"/>
        </w:rPr>
        <w:fldChar w:fldCharType="separate"/>
      </w:r>
      <w:r>
        <w:rPr>
          <w:rFonts w:eastAsia="仿宋"/>
          <w:b/>
          <w:smallCaps w:val="0"/>
        </w:rPr>
        <w:t>63</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"_Toc7010"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二）绩效评价指标体系</w:t>
      </w:r>
      <w:r>
        <w:rPr>
          <w:rFonts w:eastAsia="仿宋"/>
          <w:b/>
          <w:smallCaps w:val="0"/>
        </w:rPr>
        <w:tab/>
      </w:r>
      <w:r>
        <w:rPr>
          <w:rFonts w:eastAsia="仿宋"/>
          <w:b/>
          <w:smallCaps w:val="0"/>
        </w:rPr>
        <w:fldChar w:fldCharType="begin"/>
      </w:r>
      <w:r>
        <w:rPr>
          <w:rFonts w:eastAsia="仿宋"/>
          <w:b/>
          <w:smallCaps w:val="0"/>
        </w:rPr>
        <w:instrText xml:space="preserve"> PAGEREF _Toc7010 \h </w:instrText>
      </w:r>
      <w:r>
        <w:rPr>
          <w:rFonts w:eastAsia="仿宋"/>
          <w:b/>
          <w:smallCaps w:val="0"/>
        </w:rPr>
        <w:fldChar w:fldCharType="separate"/>
      </w:r>
      <w:r>
        <w:rPr>
          <w:rFonts w:eastAsia="仿宋"/>
          <w:b/>
          <w:smallCaps w:val="0"/>
        </w:rPr>
        <w:t>64</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"_Toc25297" </w:instrText>
      </w:r>
      <w:r>
        <w:fldChar w:fldCharType="separate"/>
      </w:r>
      <w:r>
        <w:rPr>
          <w:rFonts w:hint="eastAsia" w:ascii="楷体_GB2312" w:hAnsi="Cambria" w:eastAsia="仿宋"/>
          <w:b/>
          <w:bCs/>
          <w:smallCaps w:val="0"/>
          <w:kern w:val="0"/>
          <w:szCs w:val="32"/>
          <w:lang w:val="zh-CN"/>
        </w:rPr>
        <w:t>（三）评价标准</w:t>
      </w:r>
      <w:r>
        <w:rPr>
          <w:rFonts w:eastAsia="仿宋"/>
          <w:b/>
          <w:smallCaps w:val="0"/>
        </w:rPr>
        <w:tab/>
      </w:r>
      <w:r>
        <w:rPr>
          <w:rFonts w:eastAsia="仿宋"/>
          <w:b/>
          <w:smallCaps w:val="0"/>
        </w:rPr>
        <w:fldChar w:fldCharType="begin"/>
      </w:r>
      <w:r>
        <w:rPr>
          <w:rFonts w:eastAsia="仿宋"/>
          <w:b/>
          <w:smallCaps w:val="0"/>
        </w:rPr>
        <w:instrText xml:space="preserve"> PAGEREF _Toc25297 \h </w:instrText>
      </w:r>
      <w:r>
        <w:rPr>
          <w:rFonts w:eastAsia="仿宋"/>
          <w:b/>
          <w:smallCaps w:val="0"/>
        </w:rPr>
        <w:fldChar w:fldCharType="separate"/>
      </w:r>
      <w:r>
        <w:rPr>
          <w:rFonts w:eastAsia="仿宋"/>
          <w:b/>
          <w:smallCaps w:val="0"/>
        </w:rPr>
        <w:t>65</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"_Toc1424" </w:instrText>
      </w:r>
      <w:r>
        <w:fldChar w:fldCharType="separate"/>
      </w:r>
      <w:r>
        <w:rPr>
          <w:rFonts w:hint="eastAsia" w:ascii="楷体_GB2312" w:eastAsia="仿宋"/>
          <w:b/>
          <w:smallCaps w:val="0"/>
        </w:rPr>
        <w:t>（</w:t>
      </w:r>
      <w:r>
        <w:rPr>
          <w:rFonts w:hint="eastAsia" w:ascii="楷体_GB2312" w:hAnsi="Cambria" w:eastAsia="仿宋"/>
          <w:b/>
          <w:bCs/>
          <w:smallCaps w:val="0"/>
          <w:kern w:val="0"/>
          <w:szCs w:val="32"/>
          <w:lang w:val="zh-CN"/>
        </w:rPr>
        <w:t>四）财政项目支出绩效评价方法</w:t>
      </w:r>
      <w:r>
        <w:rPr>
          <w:rFonts w:eastAsia="仿宋"/>
          <w:b/>
          <w:smallCaps w:val="0"/>
        </w:rPr>
        <w:tab/>
      </w:r>
      <w:r>
        <w:rPr>
          <w:rFonts w:eastAsia="仿宋"/>
          <w:b/>
          <w:smallCaps w:val="0"/>
        </w:rPr>
        <w:fldChar w:fldCharType="begin"/>
      </w:r>
      <w:r>
        <w:rPr>
          <w:rFonts w:eastAsia="仿宋"/>
          <w:b/>
          <w:smallCaps w:val="0"/>
        </w:rPr>
        <w:instrText xml:space="preserve"> PAGEREF _Toc1424 \h </w:instrText>
      </w:r>
      <w:r>
        <w:rPr>
          <w:rFonts w:eastAsia="仿宋"/>
          <w:b/>
          <w:smallCaps w:val="0"/>
        </w:rPr>
        <w:fldChar w:fldCharType="separate"/>
      </w:r>
      <w:r>
        <w:rPr>
          <w:rFonts w:eastAsia="仿宋"/>
          <w:b/>
          <w:smallCaps w:val="0"/>
        </w:rPr>
        <w:t>65</w:t>
      </w:r>
      <w:r>
        <w:rPr>
          <w:rFonts w:eastAsia="仿宋"/>
          <w:b/>
          <w:smallCaps w:val="0"/>
        </w:rPr>
        <w:fldChar w:fldCharType="end"/>
      </w:r>
      <w:r>
        <w:rPr>
          <w:rFonts w:eastAsia="仿宋"/>
          <w:b/>
          <w:small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"_Toc25819" </w:instrText>
      </w:r>
      <w:r>
        <w:fldChar w:fldCharType="separate"/>
      </w:r>
      <w:r>
        <w:rPr>
          <w:rFonts w:hint="eastAsia" w:ascii="楷体_GB2312" w:hAnsi="Cambria" w:eastAsia="仿宋"/>
          <w:caps w:val="0"/>
          <w:kern w:val="0"/>
          <w:szCs w:val="32"/>
          <w:lang w:val="zh-CN"/>
        </w:rPr>
        <w:t>四、绩效目标的实现程度</w:t>
      </w:r>
      <w:r>
        <w:rPr>
          <w:rFonts w:eastAsia="仿宋"/>
          <w:caps w:val="0"/>
        </w:rPr>
        <w:tab/>
      </w:r>
      <w:r>
        <w:rPr>
          <w:rFonts w:eastAsia="仿宋"/>
          <w:caps w:val="0"/>
        </w:rPr>
        <w:fldChar w:fldCharType="begin"/>
      </w:r>
      <w:r>
        <w:rPr>
          <w:rFonts w:eastAsia="仿宋"/>
          <w:caps w:val="0"/>
        </w:rPr>
        <w:instrText xml:space="preserve"> PAGEREF _Toc25819 \h </w:instrText>
      </w:r>
      <w:r>
        <w:rPr>
          <w:rFonts w:eastAsia="仿宋"/>
          <w:caps w:val="0"/>
        </w:rPr>
        <w:fldChar w:fldCharType="separate"/>
      </w:r>
      <w:r>
        <w:rPr>
          <w:rFonts w:eastAsia="仿宋"/>
          <w:caps w:val="0"/>
        </w:rPr>
        <w:t>65</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600" w:firstLineChars="300"/>
        <w:rPr>
          <w:rFonts w:eastAsia="仿宋"/>
          <w:caps w:val="0"/>
        </w:rPr>
      </w:pPr>
      <w:r>
        <w:fldChar w:fldCharType="begin"/>
      </w:r>
      <w:r>
        <w:instrText xml:space="preserve"> HYPERLINK \l "_Toc6223" </w:instrText>
      </w:r>
      <w:r>
        <w:fldChar w:fldCharType="separate"/>
      </w:r>
      <w:r>
        <w:rPr>
          <w:rFonts w:hint="eastAsia" w:ascii="楷体_GB2312" w:hAnsi="Cambria" w:eastAsia="仿宋"/>
          <w:caps w:val="0"/>
          <w:kern w:val="0"/>
          <w:szCs w:val="32"/>
          <w:lang w:val="zh-CN"/>
        </w:rPr>
        <w:t>（一）项目完成情况分析</w:t>
      </w:r>
      <w:r>
        <w:rPr>
          <w:rFonts w:eastAsia="仿宋"/>
          <w:caps w:val="0"/>
        </w:rPr>
        <w:tab/>
      </w:r>
      <w:r>
        <w:rPr>
          <w:rFonts w:eastAsia="仿宋"/>
          <w:caps w:val="0"/>
        </w:rPr>
        <w:fldChar w:fldCharType="begin"/>
      </w:r>
      <w:r>
        <w:rPr>
          <w:rFonts w:eastAsia="仿宋"/>
          <w:caps w:val="0"/>
        </w:rPr>
        <w:instrText xml:space="preserve"> PAGEREF _Toc6223 \h </w:instrText>
      </w:r>
      <w:r>
        <w:rPr>
          <w:rFonts w:eastAsia="仿宋"/>
          <w:caps w:val="0"/>
        </w:rPr>
        <w:fldChar w:fldCharType="separate"/>
      </w:r>
      <w:r>
        <w:rPr>
          <w:rFonts w:eastAsia="仿宋"/>
          <w:caps w:val="0"/>
        </w:rPr>
        <w:t>65</w:t>
      </w:r>
      <w:r>
        <w:rPr>
          <w:rFonts w:eastAsia="仿宋"/>
          <w:caps w:val="0"/>
        </w:rPr>
        <w:fldChar w:fldCharType="end"/>
      </w:r>
      <w:r>
        <w:rPr>
          <w:rFonts w:eastAsia="仿宋"/>
          <w:caps w:val="0"/>
        </w:rPr>
        <w:fldChar w:fldCharType="end"/>
      </w:r>
    </w:p>
    <w:p>
      <w:pPr>
        <w:pStyle w:val="18"/>
        <w:tabs>
          <w:tab w:val="right" w:leader="middleDot" w:pos="8306"/>
        </w:tabs>
        <w:spacing w:line="576" w:lineRule="exact"/>
        <w:ind w:firstLine="400" w:firstLineChars="200"/>
        <w:rPr>
          <w:rFonts w:eastAsia="仿宋"/>
          <w:b/>
          <w:smallCaps w:val="0"/>
        </w:rPr>
      </w:pPr>
      <w:r>
        <w:fldChar w:fldCharType="begin"/>
      </w:r>
      <w:r>
        <w:instrText xml:space="preserve"> HYPERLINK \l "_Toc21031" </w:instrText>
      </w:r>
      <w:r>
        <w:fldChar w:fldCharType="separate"/>
      </w:r>
      <w:r>
        <w:rPr>
          <w:rFonts w:hint="eastAsia" w:ascii="楷体_GB2312" w:eastAsia="仿宋"/>
          <w:b/>
          <w:smallCaps w:val="0"/>
        </w:rPr>
        <w:t>（</w:t>
      </w:r>
      <w:r>
        <w:rPr>
          <w:rFonts w:hint="eastAsia" w:ascii="仿宋_GB2312" w:hAnsi="宋体" w:eastAsia="仿宋" w:cs="宋体"/>
          <w:b/>
          <w:bCs/>
          <w:smallCaps w:val="0"/>
          <w:kern w:val="0"/>
          <w:szCs w:val="32"/>
          <w:lang w:val="zh-CN"/>
        </w:rPr>
        <w:t>三）满意度情况分析</w:t>
      </w:r>
      <w:r>
        <w:rPr>
          <w:rFonts w:eastAsia="仿宋"/>
          <w:b/>
          <w:smallCaps w:val="0"/>
        </w:rPr>
        <w:tab/>
      </w:r>
      <w:r>
        <w:rPr>
          <w:rFonts w:eastAsia="仿宋"/>
          <w:b/>
          <w:smallCaps w:val="0"/>
        </w:rPr>
        <w:fldChar w:fldCharType="begin"/>
      </w:r>
      <w:r>
        <w:rPr>
          <w:rFonts w:eastAsia="仿宋"/>
          <w:b/>
          <w:smallCaps w:val="0"/>
        </w:rPr>
        <w:instrText xml:space="preserve"> PAGEREF _Toc21031 \h </w:instrText>
      </w:r>
      <w:r>
        <w:rPr>
          <w:rFonts w:eastAsia="仿宋"/>
          <w:b/>
          <w:smallCaps w:val="0"/>
        </w:rPr>
        <w:fldChar w:fldCharType="separate"/>
      </w:r>
      <w:r>
        <w:rPr>
          <w:rFonts w:eastAsia="仿宋"/>
          <w:b/>
          <w:smallCaps w:val="0"/>
        </w:rPr>
        <w:t>67</w:t>
      </w:r>
      <w:r>
        <w:rPr>
          <w:rFonts w:eastAsia="仿宋"/>
          <w:b/>
          <w:smallCaps w:val="0"/>
        </w:rPr>
        <w:fldChar w:fldCharType="end"/>
      </w:r>
      <w:r>
        <w:rPr>
          <w:rFonts w:eastAsia="仿宋"/>
          <w:b/>
          <w:small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"_Toc3959" </w:instrText>
      </w:r>
      <w:r>
        <w:fldChar w:fldCharType="separate"/>
      </w:r>
      <w:r>
        <w:rPr>
          <w:rFonts w:hint="eastAsia" w:ascii="仿宋_GB2312" w:hAnsi="宋体" w:eastAsia="仿宋" w:cs="宋体"/>
          <w:caps w:val="0"/>
          <w:kern w:val="0"/>
          <w:szCs w:val="32"/>
          <w:lang w:val="zh-CN"/>
        </w:rPr>
        <w:t>五、评价结论</w:t>
      </w:r>
      <w:r>
        <w:rPr>
          <w:rFonts w:eastAsia="仿宋"/>
          <w:caps w:val="0"/>
        </w:rPr>
        <w:tab/>
      </w:r>
      <w:r>
        <w:rPr>
          <w:rFonts w:eastAsia="仿宋"/>
          <w:caps w:val="0"/>
        </w:rPr>
        <w:fldChar w:fldCharType="begin"/>
      </w:r>
      <w:r>
        <w:rPr>
          <w:rFonts w:eastAsia="仿宋"/>
          <w:caps w:val="0"/>
        </w:rPr>
        <w:instrText xml:space="preserve"> PAGEREF _Toc3959 \h </w:instrText>
      </w:r>
      <w:r>
        <w:rPr>
          <w:rFonts w:eastAsia="仿宋"/>
          <w:caps w:val="0"/>
        </w:rPr>
        <w:fldChar w:fldCharType="separate"/>
      </w:r>
      <w:r>
        <w:rPr>
          <w:rFonts w:eastAsia="仿宋"/>
          <w:caps w:val="0"/>
        </w:rPr>
        <w:t>67</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"_Toc8371" </w:instrText>
      </w:r>
      <w:r>
        <w:fldChar w:fldCharType="separate"/>
      </w:r>
      <w:r>
        <w:rPr>
          <w:rFonts w:hint="eastAsia" w:ascii="仿宋_GB2312" w:hAnsi="宋体" w:eastAsia="仿宋" w:cs="宋体"/>
          <w:caps w:val="0"/>
          <w:kern w:val="0"/>
          <w:szCs w:val="32"/>
          <w:lang w:val="zh-CN"/>
        </w:rPr>
        <w:t>六、存在的主要问题</w:t>
      </w:r>
      <w:r>
        <w:rPr>
          <w:rFonts w:eastAsia="仿宋"/>
          <w:caps w:val="0"/>
        </w:rPr>
        <w:tab/>
      </w:r>
      <w:r>
        <w:rPr>
          <w:rFonts w:eastAsia="仿宋"/>
          <w:caps w:val="0"/>
        </w:rPr>
        <w:fldChar w:fldCharType="begin"/>
      </w:r>
      <w:r>
        <w:rPr>
          <w:rFonts w:eastAsia="仿宋"/>
          <w:caps w:val="0"/>
        </w:rPr>
        <w:instrText xml:space="preserve"> PAGEREF _Toc8371 \h </w:instrText>
      </w:r>
      <w:r>
        <w:rPr>
          <w:rFonts w:eastAsia="仿宋"/>
          <w:caps w:val="0"/>
        </w:rPr>
        <w:fldChar w:fldCharType="separate"/>
      </w:r>
      <w:r>
        <w:rPr>
          <w:rFonts w:eastAsia="仿宋"/>
          <w:caps w:val="0"/>
        </w:rPr>
        <w:t>67</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"_Toc13419" </w:instrText>
      </w:r>
      <w:r>
        <w:fldChar w:fldCharType="separate"/>
      </w:r>
      <w:r>
        <w:rPr>
          <w:rFonts w:hint="eastAsia" w:ascii="仿宋_GB2312" w:hAnsi="宋体" w:eastAsia="仿宋" w:cs="宋体"/>
          <w:caps w:val="0"/>
          <w:kern w:val="0"/>
          <w:szCs w:val="32"/>
          <w:lang w:val="zh-CN"/>
        </w:rPr>
        <w:t>七、建议</w:t>
      </w:r>
      <w:r>
        <w:rPr>
          <w:rFonts w:eastAsia="仿宋"/>
          <w:caps w:val="0"/>
        </w:rPr>
        <w:tab/>
      </w:r>
      <w:r>
        <w:rPr>
          <w:rFonts w:eastAsia="仿宋"/>
          <w:caps w:val="0"/>
        </w:rPr>
        <w:fldChar w:fldCharType="begin"/>
      </w:r>
      <w:r>
        <w:rPr>
          <w:rFonts w:eastAsia="仿宋"/>
          <w:caps w:val="0"/>
        </w:rPr>
        <w:instrText xml:space="preserve"> PAGEREF _Toc13419 \h </w:instrText>
      </w:r>
      <w:r>
        <w:rPr>
          <w:rFonts w:eastAsia="仿宋"/>
          <w:caps w:val="0"/>
        </w:rPr>
        <w:fldChar w:fldCharType="separate"/>
      </w:r>
      <w:r>
        <w:rPr>
          <w:rFonts w:eastAsia="仿宋"/>
          <w:caps w:val="0"/>
        </w:rPr>
        <w:t>68</w:t>
      </w:r>
      <w:r>
        <w:rPr>
          <w:rFonts w:eastAsia="仿宋"/>
          <w:caps w:val="0"/>
        </w:rPr>
        <w:fldChar w:fldCharType="end"/>
      </w:r>
      <w:r>
        <w:rPr>
          <w:rFonts w:eastAsia="仿宋"/>
          <w:caps w:val="0"/>
        </w:rPr>
        <w:fldChar w:fldCharType="end"/>
      </w:r>
    </w:p>
    <w:p>
      <w:pPr>
        <w:pStyle w:val="15"/>
        <w:tabs>
          <w:tab w:val="right" w:leader="middleDot" w:pos="8306"/>
        </w:tabs>
        <w:spacing w:line="576" w:lineRule="exact"/>
        <w:ind w:firstLine="200" w:firstLineChars="100"/>
        <w:rPr>
          <w:rFonts w:eastAsia="仿宋"/>
          <w:caps w:val="0"/>
        </w:rPr>
      </w:pPr>
      <w:r>
        <w:fldChar w:fldCharType="begin"/>
      </w:r>
      <w:r>
        <w:instrText xml:space="preserve"> HYPERLINK \l "_Toc31278" </w:instrText>
      </w:r>
      <w:r>
        <w:fldChar w:fldCharType="separate"/>
      </w:r>
      <w:r>
        <w:rPr>
          <w:rFonts w:hint="eastAsia" w:ascii="仿宋_GB2312" w:hAnsi="宋体" w:eastAsia="仿宋" w:cs="宋体"/>
          <w:caps w:val="0"/>
          <w:kern w:val="0"/>
          <w:szCs w:val="32"/>
          <w:lang w:val="zh-CN"/>
        </w:rPr>
        <w:t>八、其他说明事项</w:t>
      </w:r>
      <w:r>
        <w:rPr>
          <w:rFonts w:eastAsia="仿宋"/>
          <w:caps w:val="0"/>
        </w:rPr>
        <w:tab/>
      </w:r>
      <w:r>
        <w:rPr>
          <w:rFonts w:eastAsia="仿宋"/>
          <w:caps w:val="0"/>
        </w:rPr>
        <w:fldChar w:fldCharType="begin"/>
      </w:r>
      <w:r>
        <w:rPr>
          <w:rFonts w:eastAsia="仿宋"/>
          <w:caps w:val="0"/>
        </w:rPr>
        <w:instrText xml:space="preserve"> PAGEREF _Toc31278 \h </w:instrText>
      </w:r>
      <w:r>
        <w:rPr>
          <w:rFonts w:eastAsia="仿宋"/>
          <w:caps w:val="0"/>
        </w:rPr>
        <w:fldChar w:fldCharType="separate"/>
      </w:r>
      <w:r>
        <w:rPr>
          <w:rFonts w:eastAsia="仿宋"/>
          <w:caps w:val="0"/>
        </w:rPr>
        <w:t>68</w:t>
      </w:r>
      <w:r>
        <w:rPr>
          <w:rFonts w:eastAsia="仿宋"/>
          <w:caps w:val="0"/>
        </w:rPr>
        <w:fldChar w:fldCharType="end"/>
      </w:r>
      <w:r>
        <w:rPr>
          <w:rFonts w:eastAsia="仿宋"/>
          <w:caps w:val="0"/>
        </w:rPr>
        <w:fldChar w:fldCharType="end"/>
      </w:r>
    </w:p>
    <w:p>
      <w:pPr>
        <w:pStyle w:val="15"/>
        <w:tabs>
          <w:tab w:val="right" w:leader="middleDot" w:pos="8306"/>
        </w:tabs>
        <w:spacing w:line="576" w:lineRule="exact"/>
        <w:rPr>
          <w:rFonts w:eastAsia="仿宋"/>
          <w:caps w:val="0"/>
        </w:rPr>
      </w:pPr>
      <w:r>
        <w:fldChar w:fldCharType="begin"/>
      </w:r>
      <w:r>
        <w:instrText xml:space="preserve"> HYPERLINK \l "_Toc24721" </w:instrText>
      </w:r>
      <w:r>
        <w:fldChar w:fldCharType="separate"/>
      </w:r>
      <w:r>
        <w:rPr>
          <w:rFonts w:hint="eastAsia" w:ascii="黑体" w:hAnsi="黑体" w:eastAsia="仿宋"/>
          <w:caps w:val="0"/>
          <w:szCs w:val="44"/>
        </w:rPr>
        <w:t>第</w:t>
      </w:r>
      <w:r>
        <w:rPr>
          <w:rFonts w:hint="eastAsia" w:ascii="黑体" w:hAnsi="黑体" w:eastAsia="仿宋"/>
          <w:caps w:val="0"/>
        </w:rPr>
        <w:t>五部分 附表</w:t>
      </w:r>
      <w:r>
        <w:rPr>
          <w:rFonts w:eastAsia="仿宋"/>
          <w:caps w:val="0"/>
        </w:rPr>
        <w:tab/>
      </w:r>
      <w:r>
        <w:rPr>
          <w:rFonts w:eastAsia="仿宋"/>
          <w:caps w:val="0"/>
        </w:rPr>
        <w:fldChar w:fldCharType="begin"/>
      </w:r>
      <w:r>
        <w:rPr>
          <w:rFonts w:eastAsia="仿宋"/>
          <w:caps w:val="0"/>
        </w:rPr>
        <w:instrText xml:space="preserve"> PAGEREF _Toc24721 \h </w:instrText>
      </w:r>
      <w:r>
        <w:rPr>
          <w:rFonts w:eastAsia="仿宋"/>
          <w:caps w:val="0"/>
        </w:rPr>
        <w:fldChar w:fldCharType="separate"/>
      </w:r>
      <w:r>
        <w:rPr>
          <w:rFonts w:eastAsia="仿宋"/>
          <w:caps w:val="0"/>
        </w:rPr>
        <w:t>80</w:t>
      </w:r>
      <w:r>
        <w:rPr>
          <w:rFonts w:eastAsia="仿宋"/>
          <w:caps w:val="0"/>
        </w:rPr>
        <w:fldChar w:fldCharType="end"/>
      </w:r>
      <w:r>
        <w:rPr>
          <w:rFonts w:eastAsia="仿宋"/>
          <w: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"_Toc5908" </w:instrText>
      </w:r>
      <w:r>
        <w:fldChar w:fldCharType="separate"/>
      </w:r>
      <w:r>
        <w:rPr>
          <w:rFonts w:hint="eastAsia" w:ascii="仿宋_GB2312" w:hAnsi="宋体" w:eastAsia="仿宋"/>
          <w:b/>
          <w:bCs/>
          <w:smallCaps w:val="0"/>
          <w:szCs w:val="32"/>
          <w:lang w:val="zh-CN"/>
        </w:rPr>
        <w:t>一、</w:t>
      </w:r>
      <w:r>
        <w:rPr>
          <w:rFonts w:hint="eastAsia" w:ascii="仿宋_GB2312" w:hAnsi="宋体" w:eastAsia="仿宋"/>
          <w:b/>
          <w:smallCaps w:val="0"/>
          <w:szCs w:val="32"/>
          <w:lang w:val="zh-CN"/>
        </w:rPr>
        <w:t>收入支出决算总表</w:t>
      </w:r>
      <w:r>
        <w:rPr>
          <w:rFonts w:eastAsia="仿宋"/>
          <w:b/>
          <w:smallCaps w:val="0"/>
        </w:rPr>
        <w:tab/>
      </w:r>
      <w:r>
        <w:rPr>
          <w:rFonts w:eastAsia="仿宋"/>
          <w:b/>
          <w:smallCaps w:val="0"/>
        </w:rPr>
        <w:fldChar w:fldCharType="begin"/>
      </w:r>
      <w:r>
        <w:rPr>
          <w:rFonts w:eastAsia="仿宋"/>
          <w:b/>
          <w:smallCaps w:val="0"/>
        </w:rPr>
        <w:instrText xml:space="preserve"> PAGEREF _Toc5908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"_Toc17531" </w:instrText>
      </w:r>
      <w:r>
        <w:fldChar w:fldCharType="separate"/>
      </w:r>
      <w:r>
        <w:rPr>
          <w:rFonts w:hint="eastAsia" w:ascii="仿宋_GB2312" w:hAnsi="宋体" w:eastAsia="仿宋"/>
          <w:b/>
          <w:bCs/>
          <w:smallCaps w:val="0"/>
          <w:szCs w:val="32"/>
          <w:lang w:val="zh-CN"/>
        </w:rPr>
        <w:t>二、</w:t>
      </w:r>
      <w:r>
        <w:rPr>
          <w:rFonts w:hint="eastAsia" w:ascii="仿宋_GB2312" w:hAnsi="宋体" w:eastAsia="仿宋"/>
          <w:b/>
          <w:smallCaps w:val="0"/>
          <w:szCs w:val="32"/>
          <w:lang w:val="zh-CN"/>
        </w:rPr>
        <w:t>财政拨款收入支出决算总表</w:t>
      </w:r>
      <w:r>
        <w:rPr>
          <w:rFonts w:eastAsia="仿宋"/>
          <w:b/>
          <w:smallCaps w:val="0"/>
        </w:rPr>
        <w:tab/>
      </w:r>
      <w:r>
        <w:rPr>
          <w:rFonts w:eastAsia="仿宋"/>
          <w:b/>
          <w:smallCaps w:val="0"/>
        </w:rPr>
        <w:fldChar w:fldCharType="begin"/>
      </w:r>
      <w:r>
        <w:rPr>
          <w:rFonts w:eastAsia="仿宋"/>
          <w:b/>
          <w:smallCaps w:val="0"/>
        </w:rPr>
        <w:instrText xml:space="preserve"> PAGEREF _Toc17531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"_Toc24487" </w:instrText>
      </w:r>
      <w:r>
        <w:fldChar w:fldCharType="separate"/>
      </w:r>
      <w:r>
        <w:rPr>
          <w:rFonts w:hint="eastAsia" w:ascii="仿宋_GB2312" w:hAnsi="宋体" w:eastAsia="仿宋"/>
          <w:b/>
          <w:bCs/>
          <w:smallCaps w:val="0"/>
          <w:szCs w:val="32"/>
          <w:lang w:val="zh-CN"/>
        </w:rPr>
        <w:t>三、</w:t>
      </w:r>
      <w:r>
        <w:rPr>
          <w:rFonts w:hint="eastAsia" w:ascii="仿宋_GB2312" w:hAnsi="宋体" w:eastAsia="仿宋"/>
          <w:b/>
          <w:smallCaps w:val="0"/>
          <w:szCs w:val="32"/>
          <w:lang w:val="zh-CN"/>
        </w:rPr>
        <w:t>收入支出决算表</w:t>
      </w:r>
      <w:r>
        <w:rPr>
          <w:rFonts w:eastAsia="仿宋"/>
          <w:b/>
          <w:smallCaps w:val="0"/>
        </w:rPr>
        <w:tab/>
      </w:r>
      <w:r>
        <w:rPr>
          <w:rFonts w:eastAsia="仿宋"/>
          <w:b/>
          <w:smallCaps w:val="0"/>
        </w:rPr>
        <w:fldChar w:fldCharType="begin"/>
      </w:r>
      <w:r>
        <w:rPr>
          <w:rFonts w:eastAsia="仿宋"/>
          <w:b/>
          <w:smallCaps w:val="0"/>
        </w:rPr>
        <w:instrText xml:space="preserve"> PAGEREF _Toc24487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"_Toc8560" </w:instrText>
      </w:r>
      <w:r>
        <w:fldChar w:fldCharType="separate"/>
      </w:r>
      <w:r>
        <w:rPr>
          <w:rFonts w:hint="eastAsia" w:ascii="仿宋_GB2312" w:hAnsi="宋体" w:eastAsia="仿宋"/>
          <w:b/>
          <w:bCs/>
          <w:smallCaps w:val="0"/>
          <w:szCs w:val="32"/>
          <w:lang w:val="zh-CN"/>
        </w:rPr>
        <w:t>四、</w:t>
      </w:r>
      <w:r>
        <w:rPr>
          <w:rFonts w:hint="eastAsia" w:ascii="仿宋_GB2312" w:hAnsi="宋体" w:eastAsia="仿宋"/>
          <w:b/>
          <w:smallCaps w:val="0"/>
          <w:szCs w:val="32"/>
          <w:lang w:val="zh-CN"/>
        </w:rPr>
        <w:t>收入决算表</w:t>
      </w:r>
      <w:r>
        <w:rPr>
          <w:rFonts w:eastAsia="仿宋"/>
          <w:b/>
          <w:smallCaps w:val="0"/>
        </w:rPr>
        <w:tab/>
      </w:r>
      <w:r>
        <w:rPr>
          <w:rFonts w:eastAsia="仿宋"/>
          <w:b/>
          <w:smallCaps w:val="0"/>
        </w:rPr>
        <w:fldChar w:fldCharType="begin"/>
      </w:r>
      <w:r>
        <w:rPr>
          <w:rFonts w:eastAsia="仿宋"/>
          <w:b/>
          <w:smallCaps w:val="0"/>
        </w:rPr>
        <w:instrText xml:space="preserve"> PAGEREF _Toc8560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"_Toc27098" </w:instrText>
      </w:r>
      <w:r>
        <w:fldChar w:fldCharType="separate"/>
      </w:r>
      <w:r>
        <w:rPr>
          <w:rFonts w:hint="eastAsia" w:ascii="仿宋_GB2312" w:hAnsi="宋体" w:eastAsia="仿宋"/>
          <w:b/>
          <w:bCs/>
          <w:smallCaps w:val="0"/>
          <w:szCs w:val="32"/>
          <w:lang w:val="zh-CN"/>
        </w:rPr>
        <w:t>五、</w:t>
      </w:r>
      <w:r>
        <w:rPr>
          <w:rFonts w:hint="eastAsia" w:ascii="仿宋_GB2312" w:hAnsi="宋体" w:eastAsia="仿宋"/>
          <w:b/>
          <w:smallCaps w:val="0"/>
          <w:szCs w:val="32"/>
          <w:lang w:val="zh-CN"/>
        </w:rPr>
        <w:t>支出决算表</w:t>
      </w:r>
      <w:r>
        <w:rPr>
          <w:rFonts w:eastAsia="仿宋"/>
          <w:b/>
          <w:smallCaps w:val="0"/>
        </w:rPr>
        <w:tab/>
      </w:r>
      <w:r>
        <w:rPr>
          <w:rFonts w:eastAsia="仿宋"/>
          <w:b/>
          <w:smallCaps w:val="0"/>
        </w:rPr>
        <w:fldChar w:fldCharType="begin"/>
      </w:r>
      <w:r>
        <w:rPr>
          <w:rFonts w:eastAsia="仿宋"/>
          <w:b/>
          <w:smallCaps w:val="0"/>
        </w:rPr>
        <w:instrText xml:space="preserve"> PAGEREF _Toc27098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"_Toc20541" </w:instrText>
      </w:r>
      <w:r>
        <w:fldChar w:fldCharType="separate"/>
      </w:r>
      <w:r>
        <w:rPr>
          <w:rFonts w:hint="eastAsia" w:ascii="仿宋_GB2312" w:hAnsi="宋体" w:eastAsia="仿宋"/>
          <w:b/>
          <w:bCs/>
          <w:smallCaps w:val="0"/>
          <w:szCs w:val="32"/>
          <w:lang w:val="zh-CN"/>
        </w:rPr>
        <w:t>六、</w:t>
      </w:r>
      <w:r>
        <w:rPr>
          <w:rFonts w:hint="eastAsia" w:ascii="仿宋_GB2312" w:hAnsi="宋体" w:eastAsia="仿宋"/>
          <w:b/>
          <w:smallCaps w:val="0"/>
          <w:szCs w:val="32"/>
          <w:lang w:val="zh-CN"/>
        </w:rPr>
        <w:t>财政拨款支出决算明细表</w:t>
      </w:r>
      <w:r>
        <w:rPr>
          <w:rFonts w:eastAsia="仿宋"/>
          <w:b/>
          <w:smallCaps w:val="0"/>
        </w:rPr>
        <w:tab/>
      </w:r>
      <w:r>
        <w:rPr>
          <w:rFonts w:eastAsia="仿宋"/>
          <w:b/>
          <w:smallCaps w:val="0"/>
        </w:rPr>
        <w:fldChar w:fldCharType="begin"/>
      </w:r>
      <w:r>
        <w:rPr>
          <w:rFonts w:eastAsia="仿宋"/>
          <w:b/>
          <w:smallCaps w:val="0"/>
        </w:rPr>
        <w:instrText xml:space="preserve"> PAGEREF _Toc20541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"_Toc25444" </w:instrText>
      </w:r>
      <w:r>
        <w:fldChar w:fldCharType="separate"/>
      </w:r>
      <w:r>
        <w:rPr>
          <w:rFonts w:hint="eastAsia" w:ascii="仿宋_GB2312" w:hAnsi="宋体" w:eastAsia="仿宋"/>
          <w:b/>
          <w:smallCaps w:val="0"/>
          <w:szCs w:val="32"/>
          <w:lang w:val="zh-CN"/>
        </w:rPr>
        <w:t>2020年度决算报表系统无此表</w:t>
      </w:r>
      <w:r>
        <w:rPr>
          <w:rFonts w:eastAsia="仿宋"/>
          <w:b/>
          <w:smallCaps w:val="0"/>
        </w:rPr>
        <w:tab/>
      </w:r>
      <w:r>
        <w:rPr>
          <w:rFonts w:eastAsia="仿宋"/>
          <w:b/>
          <w:smallCaps w:val="0"/>
        </w:rPr>
        <w:fldChar w:fldCharType="begin"/>
      </w:r>
      <w:r>
        <w:rPr>
          <w:rFonts w:eastAsia="仿宋"/>
          <w:b/>
          <w:smallCaps w:val="0"/>
        </w:rPr>
        <w:instrText xml:space="preserve"> PAGEREF _Toc25444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"_Toc1898" </w:instrText>
      </w:r>
      <w:r>
        <w:fldChar w:fldCharType="separate"/>
      </w:r>
      <w:r>
        <w:rPr>
          <w:rFonts w:hint="eastAsia" w:ascii="仿宋_GB2312" w:hAnsi="宋体" w:eastAsia="仿宋"/>
          <w:b/>
          <w:bCs/>
          <w:smallCaps w:val="0"/>
          <w:szCs w:val="32"/>
          <w:lang w:val="zh-CN"/>
        </w:rPr>
        <w:t>七、</w:t>
      </w:r>
      <w:r>
        <w:rPr>
          <w:rFonts w:hint="eastAsia" w:ascii="仿宋_GB2312" w:hAnsi="宋体" w:eastAsia="仿宋"/>
          <w:b/>
          <w:smallCaps w:val="0"/>
          <w:szCs w:val="32"/>
          <w:lang w:val="zh-CN"/>
        </w:rPr>
        <w:t>支出决算明细表</w:t>
      </w:r>
      <w:r>
        <w:rPr>
          <w:rFonts w:eastAsia="仿宋"/>
          <w:b/>
          <w:smallCaps w:val="0"/>
        </w:rPr>
        <w:tab/>
      </w:r>
      <w:r>
        <w:rPr>
          <w:rFonts w:eastAsia="仿宋"/>
          <w:b/>
          <w:smallCaps w:val="0"/>
        </w:rPr>
        <w:fldChar w:fldCharType="begin"/>
      </w:r>
      <w:r>
        <w:rPr>
          <w:rFonts w:eastAsia="仿宋"/>
          <w:b/>
          <w:smallCaps w:val="0"/>
        </w:rPr>
        <w:instrText xml:space="preserve"> PAGEREF _Toc1898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"_Toc12693" </w:instrText>
      </w:r>
      <w:r>
        <w:fldChar w:fldCharType="separate"/>
      </w:r>
      <w:r>
        <w:rPr>
          <w:rFonts w:hint="eastAsia" w:ascii="仿宋_GB2312" w:hAnsi="宋体" w:eastAsia="仿宋"/>
          <w:b/>
          <w:bCs/>
          <w:smallCaps w:val="0"/>
          <w:szCs w:val="32"/>
          <w:lang w:val="zh-CN"/>
        </w:rPr>
        <w:t>八、</w:t>
      </w:r>
      <w:r>
        <w:rPr>
          <w:rFonts w:hint="eastAsia" w:ascii="仿宋_GB2312" w:hAnsi="宋体" w:eastAsia="仿宋"/>
          <w:b/>
          <w:smallCaps w:val="0"/>
          <w:szCs w:val="32"/>
          <w:lang w:val="zh-CN"/>
        </w:rPr>
        <w:t>项目收入支出决算表</w:t>
      </w:r>
      <w:r>
        <w:rPr>
          <w:rFonts w:eastAsia="仿宋"/>
          <w:b/>
          <w:smallCaps w:val="0"/>
        </w:rPr>
        <w:tab/>
      </w:r>
      <w:r>
        <w:rPr>
          <w:rFonts w:eastAsia="仿宋"/>
          <w:b/>
          <w:smallCaps w:val="0"/>
        </w:rPr>
        <w:fldChar w:fldCharType="begin"/>
      </w:r>
      <w:r>
        <w:rPr>
          <w:rFonts w:eastAsia="仿宋"/>
          <w:b/>
          <w:smallCaps w:val="0"/>
        </w:rPr>
        <w:instrText xml:space="preserve"> PAGEREF _Toc12693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"_Toc9294" </w:instrText>
      </w:r>
      <w:r>
        <w:fldChar w:fldCharType="separate"/>
      </w:r>
      <w:r>
        <w:rPr>
          <w:rFonts w:hint="eastAsia" w:ascii="仿宋_GB2312" w:hAnsi="宋体" w:eastAsia="仿宋"/>
          <w:b/>
          <w:bCs/>
          <w:smallCaps w:val="0"/>
          <w:szCs w:val="32"/>
          <w:lang w:val="zh-CN"/>
        </w:rPr>
        <w:t>九、</w:t>
      </w:r>
      <w:r>
        <w:rPr>
          <w:rFonts w:hint="eastAsia" w:ascii="仿宋_GB2312" w:hAnsi="宋体" w:eastAsia="仿宋"/>
          <w:b/>
          <w:smallCaps w:val="0"/>
          <w:szCs w:val="32"/>
          <w:lang w:val="zh-CN"/>
        </w:rPr>
        <w:t>一般公共预算财政拨款支出决算表</w:t>
      </w:r>
      <w:r>
        <w:rPr>
          <w:rFonts w:eastAsia="仿宋"/>
          <w:b/>
          <w:smallCaps w:val="0"/>
        </w:rPr>
        <w:tab/>
      </w:r>
      <w:r>
        <w:rPr>
          <w:rFonts w:eastAsia="仿宋"/>
          <w:b/>
          <w:smallCaps w:val="0"/>
        </w:rPr>
        <w:fldChar w:fldCharType="begin"/>
      </w:r>
      <w:r>
        <w:rPr>
          <w:rFonts w:eastAsia="仿宋"/>
          <w:b/>
          <w:smallCaps w:val="0"/>
        </w:rPr>
        <w:instrText xml:space="preserve"> PAGEREF _Toc9294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"_Toc7331" </w:instrText>
      </w:r>
      <w:r>
        <w:fldChar w:fldCharType="separate"/>
      </w:r>
      <w:r>
        <w:rPr>
          <w:rFonts w:hint="eastAsia" w:ascii="仿宋_GB2312" w:hAnsi="宋体" w:eastAsia="仿宋"/>
          <w:b/>
          <w:smallCaps w:val="0"/>
          <w:szCs w:val="32"/>
          <w:lang w:val="zh-CN"/>
        </w:rPr>
        <w:t>2020年度决算报表系统无此表</w:t>
      </w:r>
      <w:r>
        <w:rPr>
          <w:rFonts w:eastAsia="仿宋"/>
          <w:b/>
          <w:smallCaps w:val="0"/>
        </w:rPr>
        <w:tab/>
      </w:r>
      <w:r>
        <w:rPr>
          <w:rFonts w:eastAsia="仿宋"/>
          <w:b/>
          <w:smallCaps w:val="0"/>
        </w:rPr>
        <w:fldChar w:fldCharType="begin"/>
      </w:r>
      <w:r>
        <w:rPr>
          <w:rFonts w:eastAsia="仿宋"/>
          <w:b/>
          <w:smallCaps w:val="0"/>
        </w:rPr>
        <w:instrText xml:space="preserve"> PAGEREF _Toc7331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"_Toc5530" </w:instrText>
      </w:r>
      <w:r>
        <w:fldChar w:fldCharType="separate"/>
      </w:r>
      <w:r>
        <w:rPr>
          <w:rFonts w:hint="eastAsia" w:ascii="仿宋_GB2312" w:hAnsi="宋体" w:eastAsia="仿宋"/>
          <w:b/>
          <w:bCs/>
          <w:smallCaps w:val="0"/>
          <w:szCs w:val="32"/>
          <w:lang w:val="zh-CN"/>
        </w:rPr>
        <w:t>十、</w:t>
      </w:r>
      <w:r>
        <w:rPr>
          <w:rFonts w:hint="eastAsia" w:ascii="仿宋_GB2312" w:hAnsi="宋体" w:eastAsia="仿宋"/>
          <w:b/>
          <w:smallCaps w:val="0"/>
          <w:szCs w:val="32"/>
          <w:lang w:val="zh-CN"/>
        </w:rPr>
        <w:t>一般公共预算财政拨款收入支出决算表</w:t>
      </w:r>
      <w:r>
        <w:rPr>
          <w:rFonts w:eastAsia="仿宋"/>
          <w:b/>
          <w:smallCaps w:val="0"/>
        </w:rPr>
        <w:tab/>
      </w:r>
      <w:r>
        <w:rPr>
          <w:rFonts w:eastAsia="仿宋"/>
          <w:b/>
          <w:smallCaps w:val="0"/>
        </w:rPr>
        <w:fldChar w:fldCharType="begin"/>
      </w:r>
      <w:r>
        <w:rPr>
          <w:rFonts w:eastAsia="仿宋"/>
          <w:b/>
          <w:smallCaps w:val="0"/>
        </w:rPr>
        <w:instrText xml:space="preserve"> PAGEREF _Toc5530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"_Toc19075" </w:instrText>
      </w:r>
      <w:r>
        <w:fldChar w:fldCharType="separate"/>
      </w:r>
      <w:r>
        <w:rPr>
          <w:rFonts w:hint="eastAsia" w:ascii="仿宋_GB2312" w:hAnsi="宋体" w:eastAsia="仿宋"/>
          <w:b/>
          <w:bCs/>
          <w:smallCaps w:val="0"/>
          <w:szCs w:val="32"/>
          <w:lang w:val="zh-CN"/>
        </w:rPr>
        <w:t>十一、</w:t>
      </w:r>
      <w:r>
        <w:rPr>
          <w:rFonts w:hint="eastAsia" w:ascii="仿宋_GB2312" w:hAnsi="宋体" w:eastAsia="仿宋"/>
          <w:b/>
          <w:smallCaps w:val="0"/>
          <w:szCs w:val="32"/>
          <w:lang w:val="zh-CN"/>
        </w:rPr>
        <w:t>一般公共预算财政拨款支出决算明细表</w:t>
      </w:r>
      <w:r>
        <w:rPr>
          <w:rFonts w:eastAsia="仿宋"/>
          <w:b/>
          <w:smallCaps w:val="0"/>
        </w:rPr>
        <w:tab/>
      </w:r>
      <w:r>
        <w:rPr>
          <w:rFonts w:eastAsia="仿宋"/>
          <w:b/>
          <w:smallCaps w:val="0"/>
        </w:rPr>
        <w:fldChar w:fldCharType="begin"/>
      </w:r>
      <w:r>
        <w:rPr>
          <w:rFonts w:eastAsia="仿宋"/>
          <w:b/>
          <w:smallCaps w:val="0"/>
        </w:rPr>
        <w:instrText xml:space="preserve"> PAGEREF _Toc19075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"_Toc15179" </w:instrText>
      </w:r>
      <w:r>
        <w:fldChar w:fldCharType="separate"/>
      </w:r>
      <w:r>
        <w:rPr>
          <w:rFonts w:hint="eastAsia" w:ascii="仿宋_GB2312" w:hAnsi="宋体" w:eastAsia="仿宋"/>
          <w:b/>
          <w:bCs/>
          <w:smallCaps w:val="0"/>
          <w:szCs w:val="32"/>
          <w:lang w:val="zh-CN"/>
        </w:rPr>
        <w:t>十二、</w:t>
      </w:r>
      <w:r>
        <w:rPr>
          <w:rFonts w:hint="eastAsia" w:ascii="仿宋_GB2312" w:hAnsi="宋体" w:eastAsia="仿宋"/>
          <w:b/>
          <w:smallCaps w:val="0"/>
          <w:szCs w:val="32"/>
          <w:lang w:val="zh-CN"/>
        </w:rPr>
        <w:t>一般公共预算财政拨款基本支出决算表</w:t>
      </w:r>
      <w:r>
        <w:rPr>
          <w:rFonts w:eastAsia="仿宋"/>
          <w:b/>
          <w:smallCaps w:val="0"/>
        </w:rPr>
        <w:tab/>
      </w:r>
      <w:r>
        <w:rPr>
          <w:rFonts w:eastAsia="仿宋"/>
          <w:b/>
          <w:smallCaps w:val="0"/>
        </w:rPr>
        <w:fldChar w:fldCharType="begin"/>
      </w:r>
      <w:r>
        <w:rPr>
          <w:rFonts w:eastAsia="仿宋"/>
          <w:b/>
          <w:smallCaps w:val="0"/>
        </w:rPr>
        <w:instrText xml:space="preserve"> PAGEREF _Toc15179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"_Toc11674" </w:instrText>
      </w:r>
      <w:r>
        <w:fldChar w:fldCharType="separate"/>
      </w:r>
      <w:r>
        <w:rPr>
          <w:rFonts w:hint="eastAsia" w:ascii="仿宋_GB2312" w:hAnsi="宋体" w:eastAsia="仿宋"/>
          <w:b/>
          <w:bCs/>
          <w:smallCaps w:val="0"/>
          <w:szCs w:val="32"/>
          <w:lang w:val="zh-CN"/>
        </w:rPr>
        <w:t>十三、</w:t>
      </w:r>
      <w:r>
        <w:rPr>
          <w:rFonts w:hint="eastAsia" w:ascii="仿宋_GB2312" w:hAnsi="宋体" w:eastAsia="仿宋"/>
          <w:b/>
          <w:smallCaps w:val="0"/>
          <w:szCs w:val="32"/>
          <w:lang w:val="zh-CN"/>
        </w:rPr>
        <w:t>一般公共预算财政拨款项目支出决算表</w:t>
      </w:r>
      <w:r>
        <w:rPr>
          <w:rFonts w:eastAsia="仿宋"/>
          <w:b/>
          <w:smallCaps w:val="0"/>
        </w:rPr>
        <w:tab/>
      </w:r>
      <w:r>
        <w:rPr>
          <w:rFonts w:eastAsia="仿宋"/>
          <w:b/>
          <w:smallCaps w:val="0"/>
        </w:rPr>
        <w:fldChar w:fldCharType="begin"/>
      </w:r>
      <w:r>
        <w:rPr>
          <w:rFonts w:eastAsia="仿宋"/>
          <w:b/>
          <w:smallCaps w:val="0"/>
        </w:rPr>
        <w:instrText xml:space="preserve"> PAGEREF _Toc11674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rPr>
          <w:rFonts w:eastAsia="仿宋"/>
          <w:b/>
          <w:smallCaps w:val="0"/>
        </w:rPr>
        <w:fldChar w:fldCharType="begin"/>
      </w:r>
      <w:r>
        <w:rPr>
          <w:rFonts w:eastAsia="仿宋"/>
          <w:b/>
          <w:smallCaps w:val="0"/>
        </w:rPr>
        <w:instrText xml:space="preserve"> HYPERLINK \l _Toc28456 </w:instrText>
      </w:r>
      <w:r>
        <w:rPr>
          <w:rFonts w:eastAsia="仿宋"/>
          <w:b/>
          <w:smallCaps w:val="0"/>
        </w:rPr>
        <w:fldChar w:fldCharType="separate"/>
      </w:r>
      <w:r>
        <w:rPr>
          <w:rFonts w:hint="eastAsia" w:ascii="仿宋_GB2312" w:hAnsi="宋体" w:eastAsia="仿宋"/>
          <w:b/>
          <w:bCs/>
          <w:smallCaps w:val="0"/>
          <w:szCs w:val="32"/>
          <w:lang w:val="zh-CN"/>
        </w:rPr>
        <w:t>十四、</w:t>
      </w:r>
      <w:r>
        <w:rPr>
          <w:rFonts w:hint="eastAsia" w:ascii="仿宋_GB2312" w:hAnsi="宋体" w:eastAsia="仿宋"/>
          <w:b/>
          <w:smallCaps w:val="0"/>
          <w:szCs w:val="32"/>
          <w:lang w:val="zh-CN"/>
        </w:rPr>
        <w:t>一般公共预算财政拨款“三公”经费支出决算表</w:t>
      </w:r>
      <w:r>
        <w:rPr>
          <w:rFonts w:eastAsia="仿宋"/>
          <w:b/>
          <w:smallCaps w:val="0"/>
        </w:rPr>
        <w:tab/>
      </w:r>
      <w:r>
        <w:rPr>
          <w:rFonts w:eastAsia="仿宋"/>
          <w:b/>
          <w:smallCaps w:val="0"/>
        </w:rPr>
        <w:fldChar w:fldCharType="begin"/>
      </w:r>
      <w:r>
        <w:rPr>
          <w:rFonts w:eastAsia="仿宋"/>
          <w:b/>
          <w:smallCaps w:val="0"/>
        </w:rPr>
        <w:instrText xml:space="preserve"> PAGEREF _Toc28092 \h </w:instrText>
      </w:r>
      <w:r>
        <w:rPr>
          <w:rFonts w:eastAsia="仿宋"/>
          <w:b/>
          <w:smallCaps w:val="0"/>
        </w:rPr>
        <w:fldChar w:fldCharType="separate"/>
      </w:r>
      <w:r>
        <w:rPr>
          <w:rFonts w:eastAsia="仿宋"/>
          <w:b/>
          <w:smallCaps w:val="0"/>
        </w:rPr>
        <w:t>80</w:t>
      </w:r>
      <w:r>
        <w:rPr>
          <w:rFonts w:eastAsia="仿宋"/>
          <w:b/>
          <w:smallCaps w:val="0"/>
        </w:rPr>
        <w:fldChar w:fldCharType="end"/>
      </w:r>
    </w:p>
    <w:p>
      <w:pPr>
        <w:pStyle w:val="18"/>
        <w:tabs>
          <w:tab w:val="right" w:leader="middleDot" w:pos="8306"/>
        </w:tabs>
        <w:spacing w:line="576" w:lineRule="exact"/>
        <w:rPr>
          <w:rFonts w:eastAsia="仿宋"/>
          <w:b/>
          <w:smallCaps w:val="0"/>
        </w:rPr>
      </w:pPr>
      <w:r>
        <w:rPr>
          <w:rFonts w:hint="eastAsia" w:ascii="仿宋_GB2312" w:hAnsi="宋体" w:eastAsia="仿宋"/>
          <w:b/>
          <w:smallCaps w:val="0"/>
          <w:szCs w:val="32"/>
          <w:lang w:val="zh-CN"/>
        </w:rPr>
        <w:t>2020年度决算报表系统无此表</w:t>
      </w:r>
      <w:r>
        <w:rPr>
          <w:rFonts w:eastAsia="仿宋"/>
          <w:b/>
          <w:smallCaps w:val="0"/>
        </w:rPr>
        <w:tab/>
      </w:r>
      <w:r>
        <w:rPr>
          <w:rFonts w:eastAsia="仿宋"/>
          <w:b/>
          <w:smallCaps w:val="0"/>
        </w:rPr>
        <w:fldChar w:fldCharType="begin"/>
      </w:r>
      <w:r>
        <w:rPr>
          <w:rFonts w:eastAsia="仿宋"/>
          <w:b/>
          <w:smallCaps w:val="0"/>
        </w:rPr>
        <w:instrText xml:space="preserve"> PAGEREF _Toc28456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"_Toc28092" </w:instrText>
      </w:r>
      <w:r>
        <w:fldChar w:fldCharType="separate"/>
      </w:r>
      <w:r>
        <w:rPr>
          <w:rFonts w:hint="eastAsia" w:ascii="仿宋_GB2312" w:hAnsi="宋体" w:eastAsia="仿宋"/>
          <w:b/>
          <w:bCs/>
          <w:smallCaps w:val="0"/>
          <w:szCs w:val="32"/>
          <w:lang w:val="zh-CN"/>
        </w:rPr>
        <w:t>十五、</w:t>
      </w:r>
      <w:r>
        <w:rPr>
          <w:rFonts w:hint="eastAsia" w:ascii="仿宋_GB2312" w:hAnsi="宋体" w:eastAsia="仿宋"/>
          <w:b/>
          <w:smallCaps w:val="0"/>
          <w:szCs w:val="32"/>
          <w:lang w:val="zh-CN"/>
        </w:rPr>
        <w:t>政府性基金预算财政拨款收入支出决算表</w:t>
      </w:r>
      <w:r>
        <w:rPr>
          <w:rFonts w:eastAsia="仿宋"/>
          <w:b/>
          <w:smallCaps w:val="0"/>
        </w:rPr>
        <w:tab/>
      </w:r>
      <w:r>
        <w:rPr>
          <w:rFonts w:eastAsia="仿宋"/>
          <w:b/>
          <w:smallCaps w:val="0"/>
        </w:rPr>
        <w:fldChar w:fldCharType="begin"/>
      </w:r>
      <w:r>
        <w:rPr>
          <w:rFonts w:eastAsia="仿宋"/>
          <w:b/>
          <w:smallCaps w:val="0"/>
        </w:rPr>
        <w:instrText xml:space="preserve"> PAGEREF _Toc28092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"_Toc16950" </w:instrText>
      </w:r>
      <w:r>
        <w:fldChar w:fldCharType="separate"/>
      </w:r>
      <w:r>
        <w:rPr>
          <w:rFonts w:hint="eastAsia" w:ascii="仿宋_GB2312" w:hAnsi="宋体" w:eastAsia="仿宋"/>
          <w:b/>
          <w:bCs/>
          <w:smallCaps w:val="0"/>
          <w:szCs w:val="32"/>
          <w:lang w:val="zh-CN"/>
        </w:rPr>
        <w:t>十六、</w:t>
      </w:r>
      <w:r>
        <w:rPr>
          <w:rFonts w:hint="eastAsia" w:ascii="仿宋_GB2312" w:hAnsi="宋体" w:eastAsia="仿宋"/>
          <w:b/>
          <w:smallCaps w:val="0"/>
          <w:szCs w:val="32"/>
          <w:lang w:val="zh-CN"/>
        </w:rPr>
        <w:t>政府性基金预算财政拨款支出决算明细表</w:t>
      </w:r>
      <w:r>
        <w:rPr>
          <w:rFonts w:eastAsia="仿宋"/>
          <w:b/>
          <w:smallCaps w:val="0"/>
        </w:rPr>
        <w:tab/>
      </w:r>
      <w:r>
        <w:rPr>
          <w:rFonts w:eastAsia="仿宋"/>
          <w:b/>
          <w:smallCaps w:val="0"/>
        </w:rPr>
        <w:fldChar w:fldCharType="begin"/>
      </w:r>
      <w:r>
        <w:rPr>
          <w:rFonts w:eastAsia="仿宋"/>
          <w:b/>
          <w:smallCaps w:val="0"/>
        </w:rPr>
        <w:instrText xml:space="preserve"> PAGEREF _Toc16950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rPr>
          <w:rFonts w:eastAsia="仿宋"/>
          <w:b/>
          <w:smallCaps w:val="0"/>
        </w:rPr>
        <w:fldChar w:fldCharType="begin"/>
      </w:r>
      <w:r>
        <w:rPr>
          <w:rFonts w:eastAsia="仿宋"/>
          <w:b/>
          <w:smallCaps w:val="0"/>
        </w:rPr>
        <w:instrText xml:space="preserve"> HYPERLINK \l _Toc18003 </w:instrText>
      </w:r>
      <w:r>
        <w:rPr>
          <w:rFonts w:eastAsia="仿宋"/>
          <w:b/>
          <w:smallCaps w:val="0"/>
        </w:rPr>
        <w:fldChar w:fldCharType="separate"/>
      </w:r>
      <w:r>
        <w:rPr>
          <w:rFonts w:hint="eastAsia" w:ascii="仿宋_GB2312" w:hAnsi="宋体" w:eastAsia="仿宋"/>
          <w:b/>
          <w:bCs/>
          <w:smallCaps w:val="0"/>
          <w:szCs w:val="32"/>
          <w:lang w:val="zh-CN"/>
        </w:rPr>
        <w:t>十七、</w:t>
      </w:r>
      <w:r>
        <w:rPr>
          <w:rFonts w:hint="eastAsia" w:ascii="仿宋_GB2312" w:hAnsi="宋体" w:eastAsia="仿宋"/>
          <w:b/>
          <w:smallCaps w:val="0"/>
          <w:szCs w:val="32"/>
          <w:lang w:val="zh-CN"/>
        </w:rPr>
        <w:t>政府性基金预算财政拨款“三公”经费支出决算表</w:t>
      </w:r>
      <w:r>
        <w:rPr>
          <w:rFonts w:eastAsia="仿宋"/>
          <w:b/>
          <w:smallCaps w:val="0"/>
        </w:rPr>
        <w:tab/>
      </w:r>
      <w:r>
        <w:rPr>
          <w:rFonts w:eastAsia="仿宋"/>
          <w:b/>
          <w:smallCaps w:val="0"/>
        </w:rPr>
        <w:fldChar w:fldCharType="begin"/>
      </w:r>
      <w:r>
        <w:rPr>
          <w:rFonts w:eastAsia="仿宋"/>
          <w:b/>
          <w:smallCaps w:val="0"/>
        </w:rPr>
        <w:instrText xml:space="preserve"> PAGEREF _Toc28092 \h </w:instrText>
      </w:r>
      <w:r>
        <w:rPr>
          <w:rFonts w:eastAsia="仿宋"/>
          <w:b/>
          <w:smallCaps w:val="0"/>
        </w:rPr>
        <w:fldChar w:fldCharType="separate"/>
      </w:r>
      <w:r>
        <w:rPr>
          <w:rFonts w:eastAsia="仿宋"/>
          <w:b/>
          <w:smallCaps w:val="0"/>
        </w:rPr>
        <w:t>80</w:t>
      </w:r>
      <w:r>
        <w:rPr>
          <w:rFonts w:eastAsia="仿宋"/>
          <w:b/>
          <w:smallCaps w:val="0"/>
        </w:rPr>
        <w:fldChar w:fldCharType="end"/>
      </w:r>
    </w:p>
    <w:p>
      <w:pPr>
        <w:pStyle w:val="18"/>
        <w:tabs>
          <w:tab w:val="right" w:leader="middleDot" w:pos="8306"/>
        </w:tabs>
        <w:spacing w:line="576" w:lineRule="exact"/>
        <w:rPr>
          <w:rFonts w:eastAsia="仿宋"/>
          <w:b/>
          <w:smallCaps w:val="0"/>
        </w:rPr>
      </w:pPr>
      <w:r>
        <w:rPr>
          <w:rFonts w:hint="eastAsia" w:ascii="仿宋_GB2312" w:hAnsi="宋体" w:eastAsia="仿宋"/>
          <w:b/>
          <w:smallCaps w:val="0"/>
          <w:szCs w:val="32"/>
          <w:lang w:val="zh-CN"/>
        </w:rPr>
        <w:t>2020年度决算报表系统无此表</w:t>
      </w:r>
      <w:r>
        <w:rPr>
          <w:rFonts w:eastAsia="仿宋"/>
          <w:b/>
          <w:smallCaps w:val="0"/>
        </w:rPr>
        <w:tab/>
      </w:r>
      <w:r>
        <w:rPr>
          <w:rFonts w:eastAsia="仿宋"/>
          <w:b/>
          <w:smallCaps w:val="0"/>
        </w:rPr>
        <w:fldChar w:fldCharType="begin"/>
      </w:r>
      <w:r>
        <w:rPr>
          <w:rFonts w:eastAsia="仿宋"/>
          <w:b/>
          <w:smallCaps w:val="0"/>
        </w:rPr>
        <w:instrText xml:space="preserve"> PAGEREF _Toc18003 \h </w:instrText>
      </w:r>
      <w:r>
        <w:rPr>
          <w:rFonts w:eastAsia="仿宋"/>
          <w:b/>
          <w:smallCaps w:val="0"/>
        </w:rPr>
        <w:fldChar w:fldCharType="separate"/>
      </w:r>
      <w:r>
        <w:rPr>
          <w:rFonts w:eastAsia="仿宋"/>
          <w:b/>
          <w:smallCaps w:val="0"/>
        </w:rPr>
        <w:t>80</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"_Toc7882" </w:instrText>
      </w:r>
      <w:r>
        <w:fldChar w:fldCharType="separate"/>
      </w:r>
      <w:r>
        <w:rPr>
          <w:rFonts w:hint="eastAsia" w:ascii="仿宋_GB2312" w:hAnsi="宋体" w:eastAsia="仿宋"/>
          <w:b/>
          <w:bCs/>
          <w:smallCaps w:val="0"/>
          <w:szCs w:val="32"/>
          <w:lang w:val="zh-CN"/>
        </w:rPr>
        <w:t>十八、</w:t>
      </w:r>
      <w:r>
        <w:rPr>
          <w:rFonts w:hint="eastAsia" w:ascii="仿宋_GB2312" w:hAnsi="宋体" w:eastAsia="仿宋"/>
          <w:b/>
          <w:smallCaps w:val="0"/>
          <w:szCs w:val="32"/>
          <w:lang w:val="zh-CN"/>
        </w:rPr>
        <w:t>国有资本经营预算财政拨款收入支出决算表</w:t>
      </w:r>
      <w:r>
        <w:rPr>
          <w:rFonts w:eastAsia="仿宋"/>
          <w:b/>
          <w:smallCaps w:val="0"/>
        </w:rPr>
        <w:tab/>
      </w:r>
      <w:r>
        <w:rPr>
          <w:rFonts w:eastAsia="仿宋"/>
          <w:b/>
          <w:smallCaps w:val="0"/>
        </w:rPr>
        <w:fldChar w:fldCharType="begin"/>
      </w:r>
      <w:r>
        <w:rPr>
          <w:rFonts w:eastAsia="仿宋"/>
          <w:b/>
          <w:smallCaps w:val="0"/>
        </w:rPr>
        <w:instrText xml:space="preserve"> PAGEREF _Toc7882 \h </w:instrText>
      </w:r>
      <w:r>
        <w:rPr>
          <w:rFonts w:eastAsia="仿宋"/>
          <w:b/>
          <w:smallCaps w:val="0"/>
        </w:rPr>
        <w:fldChar w:fldCharType="separate"/>
      </w:r>
      <w:r>
        <w:rPr>
          <w:rFonts w:eastAsia="仿宋"/>
          <w:b/>
          <w:smallCaps w:val="0"/>
        </w:rPr>
        <w:t>81</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rPr>
          <w:rFonts w:eastAsia="仿宋"/>
          <w:b/>
          <w:smallCaps w:val="0"/>
        </w:rPr>
      </w:pPr>
      <w:r>
        <w:fldChar w:fldCharType="begin"/>
      </w:r>
      <w:r>
        <w:instrText xml:space="preserve"> HYPERLINK \l "_Toc27309" </w:instrText>
      </w:r>
      <w:r>
        <w:fldChar w:fldCharType="separate"/>
      </w:r>
      <w:r>
        <w:rPr>
          <w:rFonts w:hint="eastAsia" w:ascii="仿宋_GB2312" w:hAnsi="宋体" w:eastAsia="仿宋"/>
          <w:b/>
          <w:bCs/>
          <w:smallCaps w:val="0"/>
          <w:szCs w:val="32"/>
          <w:lang w:val="zh-CN"/>
        </w:rPr>
        <w:t>十九、</w:t>
      </w:r>
      <w:r>
        <w:rPr>
          <w:rFonts w:hint="eastAsia" w:ascii="仿宋_GB2312" w:hAnsi="宋体" w:eastAsia="仿宋"/>
          <w:b/>
          <w:smallCaps w:val="0"/>
          <w:szCs w:val="32"/>
          <w:lang w:val="zh-CN"/>
        </w:rPr>
        <w:t>国有资本经营预算财政拨款支出决算表</w:t>
      </w:r>
      <w:r>
        <w:rPr>
          <w:rFonts w:eastAsia="仿宋"/>
          <w:b/>
          <w:smallCaps w:val="0"/>
        </w:rPr>
        <w:tab/>
      </w:r>
      <w:r>
        <w:rPr>
          <w:rFonts w:eastAsia="仿宋"/>
          <w:b/>
          <w:smallCaps w:val="0"/>
        </w:rPr>
        <w:fldChar w:fldCharType="begin"/>
      </w:r>
      <w:r>
        <w:rPr>
          <w:rFonts w:eastAsia="仿宋"/>
          <w:b/>
          <w:smallCaps w:val="0"/>
        </w:rPr>
        <w:instrText xml:space="preserve"> PAGEREF _Toc27309 \h </w:instrText>
      </w:r>
      <w:r>
        <w:rPr>
          <w:rFonts w:eastAsia="仿宋"/>
          <w:b/>
          <w:smallCaps w:val="0"/>
        </w:rPr>
        <w:fldChar w:fldCharType="separate"/>
      </w:r>
      <w:r>
        <w:rPr>
          <w:rFonts w:eastAsia="仿宋"/>
          <w:b/>
          <w:smallCaps w:val="0"/>
        </w:rPr>
        <w:t>81</w:t>
      </w:r>
      <w:r>
        <w:rPr>
          <w:rFonts w:eastAsia="仿宋"/>
          <w:b/>
          <w:smallCaps w:val="0"/>
        </w:rPr>
        <w:fldChar w:fldCharType="end"/>
      </w:r>
      <w:r>
        <w:rPr>
          <w:rFonts w:eastAsia="仿宋"/>
          <w:b/>
          <w:smallCaps w:val="0"/>
        </w:rPr>
        <w:fldChar w:fldCharType="end"/>
      </w:r>
    </w:p>
    <w:p>
      <w:pPr>
        <w:pStyle w:val="18"/>
        <w:tabs>
          <w:tab w:val="right" w:leader="middleDot" w:pos="8306"/>
        </w:tabs>
        <w:spacing w:line="576" w:lineRule="exact"/>
      </w:pPr>
      <w:r>
        <w:fldChar w:fldCharType="begin"/>
      </w:r>
      <w:r>
        <w:instrText xml:space="preserve"> HYPERLINK \l "_Toc15388" </w:instrText>
      </w:r>
      <w:r>
        <w:fldChar w:fldCharType="separate"/>
      </w:r>
      <w:r>
        <w:rPr>
          <w:rFonts w:hint="eastAsia" w:ascii="仿宋_GB2312" w:hAnsi="宋体" w:eastAsia="仿宋"/>
          <w:b/>
          <w:bCs/>
          <w:smallCaps w:val="0"/>
          <w:szCs w:val="32"/>
          <w:lang w:val="zh-CN"/>
        </w:rPr>
        <w:t>二十、</w:t>
      </w:r>
      <w:r>
        <w:rPr>
          <w:rFonts w:hint="eastAsia" w:ascii="仿宋_GB2312" w:hAnsi="宋体" w:eastAsia="仿宋"/>
          <w:b/>
          <w:smallCaps w:val="0"/>
          <w:szCs w:val="32"/>
          <w:lang w:val="zh-CN"/>
        </w:rPr>
        <w:t>机构运行信息表</w:t>
      </w:r>
      <w:r>
        <w:rPr>
          <w:rFonts w:eastAsia="仿宋"/>
          <w:b/>
          <w:smallCaps w:val="0"/>
        </w:rPr>
        <w:tab/>
      </w:r>
      <w:r>
        <w:rPr>
          <w:rFonts w:eastAsia="仿宋"/>
          <w:b/>
          <w:smallCaps w:val="0"/>
        </w:rPr>
        <w:fldChar w:fldCharType="begin"/>
      </w:r>
      <w:r>
        <w:rPr>
          <w:rFonts w:eastAsia="仿宋"/>
          <w:b/>
          <w:smallCaps w:val="0"/>
        </w:rPr>
        <w:instrText xml:space="preserve"> PAGEREF _Toc15388 \h </w:instrText>
      </w:r>
      <w:r>
        <w:rPr>
          <w:rFonts w:eastAsia="仿宋"/>
          <w:b/>
          <w:smallCaps w:val="0"/>
        </w:rPr>
        <w:fldChar w:fldCharType="separate"/>
      </w:r>
      <w:r>
        <w:rPr>
          <w:rFonts w:eastAsia="仿宋"/>
          <w:b/>
          <w:smallCaps w:val="0"/>
        </w:rPr>
        <w:t>81</w:t>
      </w:r>
      <w:r>
        <w:rPr>
          <w:rFonts w:eastAsia="仿宋"/>
          <w:b/>
          <w:smallCaps w:val="0"/>
        </w:rPr>
        <w:fldChar w:fldCharType="end"/>
      </w:r>
      <w:r>
        <w:rPr>
          <w:rFonts w:eastAsia="仿宋"/>
          <w:b/>
          <w:smallCaps w:val="0"/>
        </w:rPr>
        <w:fldChar w:fldCharType="end"/>
      </w:r>
    </w:p>
    <w:p>
      <w:r>
        <w:fldChar w:fldCharType="end"/>
      </w:r>
    </w:p>
    <w:p>
      <w:pPr>
        <w:spacing w:line="240" w:lineRule="atLeast"/>
        <w:rPr>
          <w:rFonts w:eastAsia="仿宋"/>
        </w:rPr>
      </w:pPr>
      <w:r>
        <w:rPr>
          <w:rFonts w:hint="eastAsia" w:ascii="仿宋" w:hAnsi="仿宋" w:eastAsia="仿宋" w:cs="仿宋"/>
          <w:b/>
          <w:bCs/>
          <w:caps/>
          <w:sz w:val="24"/>
        </w:rPr>
        <w:t xml:space="preserve">  </w:t>
      </w:r>
    </w:p>
    <w:p>
      <w:pPr>
        <w:widowControl/>
        <w:spacing w:line="240" w:lineRule="atLeas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spacing w:line="240" w:lineRule="atLeast"/>
        <w:jc w:val="center"/>
        <w:rPr>
          <w:rFonts w:ascii="黑体" w:hAnsi="黑体" w:eastAsia="黑体"/>
          <w:bCs w:val="0"/>
        </w:rPr>
      </w:pPr>
      <w:bookmarkStart w:id="14" w:name="_Toc79163601"/>
      <w:bookmarkStart w:id="15" w:name="_Toc13685"/>
      <w:bookmarkStart w:id="16" w:name="_Toc79163851"/>
      <w:bookmarkStart w:id="17" w:name="_Toc1405"/>
      <w:r>
        <w:rPr>
          <w:rFonts w:hint="eastAsia" w:ascii="黑体" w:hAnsi="黑体" w:eastAsia="黑体"/>
          <w:b w:val="0"/>
        </w:rPr>
        <w:t>第一部分</w:t>
      </w:r>
      <w:r>
        <w:rPr>
          <w:rStyle w:val="26"/>
          <w:rFonts w:hint="eastAsia" w:ascii="黑体" w:hAnsi="黑体" w:eastAsia="黑体"/>
          <w:b w:val="0"/>
          <w:bCs w:val="0"/>
        </w:rPr>
        <w:t>部门概况</w:t>
      </w:r>
      <w:bookmarkEnd w:id="12"/>
      <w:bookmarkEnd w:id="13"/>
      <w:bookmarkEnd w:id="14"/>
      <w:bookmarkEnd w:id="15"/>
      <w:bookmarkEnd w:id="16"/>
      <w:bookmarkEnd w:id="17"/>
    </w:p>
    <w:p>
      <w:pPr>
        <w:pStyle w:val="4"/>
        <w:spacing w:beforeLines="0" w:after="0" w:line="576" w:lineRule="exact"/>
        <w:ind w:firstLine="640" w:firstLineChars="200"/>
        <w:rPr>
          <w:rStyle w:val="27"/>
          <w:rFonts w:ascii="仿宋" w:hAnsi="仿宋" w:eastAsia="仿宋" w:cs="仿宋"/>
          <w:b w:val="0"/>
          <w:bCs w:val="0"/>
        </w:rPr>
      </w:pPr>
      <w:bookmarkStart w:id="18" w:name="_Toc15396600"/>
      <w:bookmarkStart w:id="19" w:name="_Toc19014"/>
      <w:bookmarkStart w:id="20" w:name="_Toc79163852"/>
      <w:bookmarkStart w:id="21" w:name="_Toc15377197"/>
      <w:bookmarkStart w:id="22" w:name="_Toc30795"/>
      <w:bookmarkStart w:id="23" w:name="_Toc79163602"/>
      <w:r>
        <w:rPr>
          <w:rFonts w:hint="eastAsia" w:ascii="仿宋" w:hAnsi="仿宋" w:eastAsia="仿宋" w:cs="仿宋"/>
          <w:b w:val="0"/>
          <w:color w:val="000000"/>
        </w:rPr>
        <w:t>一、基</w:t>
      </w:r>
      <w:r>
        <w:rPr>
          <w:rStyle w:val="27"/>
          <w:rFonts w:hint="eastAsia" w:ascii="仿宋" w:hAnsi="仿宋" w:eastAsia="仿宋" w:cs="仿宋"/>
          <w:b w:val="0"/>
          <w:bCs w:val="0"/>
        </w:rPr>
        <w:t>本职能及主要工作</w:t>
      </w:r>
      <w:bookmarkEnd w:id="18"/>
      <w:bookmarkEnd w:id="19"/>
      <w:bookmarkEnd w:id="20"/>
      <w:bookmarkEnd w:id="21"/>
      <w:bookmarkEnd w:id="22"/>
      <w:bookmarkEnd w:id="23"/>
      <w:bookmarkStart w:id="24" w:name="_Toc79163603"/>
      <w:bookmarkStart w:id="25" w:name="_Toc79163853"/>
      <w:bookmarkStart w:id="26" w:name="_Toc15377198"/>
      <w:bookmarkStart w:id="27" w:name="_Toc15378445"/>
    </w:p>
    <w:p>
      <w:pPr>
        <w:pStyle w:val="4"/>
        <w:spacing w:beforeLines="0" w:after="0" w:line="576" w:lineRule="exact"/>
        <w:ind w:firstLine="642" w:firstLineChars="200"/>
        <w:rPr>
          <w:rFonts w:ascii="仿宋" w:hAnsi="仿宋" w:eastAsia="仿宋" w:cs="仿宋"/>
          <w:bCs w:val="0"/>
          <w:color w:val="000000"/>
        </w:rPr>
      </w:pPr>
      <w:bookmarkStart w:id="28" w:name="_Toc20171"/>
      <w:bookmarkStart w:id="29" w:name="_Toc13753"/>
      <w:r>
        <w:rPr>
          <w:rFonts w:hint="eastAsia" w:ascii="仿宋" w:hAnsi="仿宋" w:eastAsia="仿宋" w:cs="仿宋"/>
          <w:bCs w:val="0"/>
          <w:color w:val="000000"/>
        </w:rPr>
        <w:t>（一）主要职能</w:t>
      </w:r>
      <w:bookmarkEnd w:id="24"/>
      <w:bookmarkEnd w:id="25"/>
      <w:bookmarkEnd w:id="28"/>
      <w:bookmarkEnd w:id="29"/>
    </w:p>
    <w:bookmarkEnd w:id="26"/>
    <w:bookmarkEnd w:id="27"/>
    <w:p>
      <w:pPr>
        <w:spacing w:line="576" w:lineRule="exact"/>
        <w:ind w:firstLine="707" w:firstLineChars="221"/>
        <w:rPr>
          <w:rFonts w:ascii="仿宋" w:hAnsi="仿宋" w:eastAsia="仿宋" w:cs="仿宋"/>
          <w:bCs/>
          <w:kern w:val="0"/>
          <w:sz w:val="32"/>
          <w:szCs w:val="32"/>
        </w:rPr>
      </w:pPr>
      <w:bookmarkStart w:id="30" w:name="_Toc79163854"/>
      <w:bookmarkStart w:id="31" w:name="_Toc79163604"/>
      <w:bookmarkStart w:id="32" w:name="_Toc15378446"/>
      <w:bookmarkStart w:id="33" w:name="_Toc15377199"/>
      <w:r>
        <w:rPr>
          <w:rFonts w:hint="eastAsia" w:ascii="仿宋" w:hAnsi="仿宋" w:eastAsia="仿宋" w:cs="仿宋"/>
          <w:bCs/>
          <w:kern w:val="0"/>
          <w:sz w:val="32"/>
          <w:szCs w:val="32"/>
        </w:rPr>
        <w:t>坚持正确的政治方向，团结、教育全州各族各界妇女在思想上、行动上同党中央保持高度一致；代表妇女参与国家和社会事务的民主管理和民主监督；关注并加强研究涉及妇女切身利益的热点、难点问题，及时向州委、州政府反映社情民意，提出对策建议；依法维护妇女儿童的合法权益；为妇女儿童服务、为基层服务，加强与社会各界的联系，协调推动全社会为妇女儿童办实事，办好事。</w:t>
      </w:r>
    </w:p>
    <w:p>
      <w:pPr>
        <w:pStyle w:val="2"/>
        <w:adjustRightInd w:val="0"/>
        <w:snapToGrid w:val="0"/>
        <w:spacing w:before="93" w:line="576" w:lineRule="exact"/>
        <w:ind w:firstLine="674" w:firstLineChars="210"/>
        <w:outlineLvl w:val="2"/>
        <w:rPr>
          <w:rFonts w:ascii="仿宋" w:hAnsi="仿宋" w:eastAsia="仿宋" w:cs="仿宋"/>
          <w:b/>
          <w:color w:val="000000"/>
          <w:sz w:val="32"/>
          <w:szCs w:val="32"/>
        </w:rPr>
      </w:pPr>
      <w:bookmarkStart w:id="34" w:name="_Toc30608"/>
      <w:bookmarkStart w:id="35" w:name="_Toc28557"/>
      <w:r>
        <w:rPr>
          <w:rFonts w:hint="eastAsia" w:ascii="仿宋" w:hAnsi="仿宋" w:eastAsia="仿宋" w:cs="仿宋"/>
          <w:b/>
          <w:color w:val="000000"/>
          <w:sz w:val="32"/>
          <w:szCs w:val="32"/>
        </w:rPr>
        <w:t>（二）2020年重点工作完成情况</w:t>
      </w:r>
      <w:bookmarkEnd w:id="30"/>
      <w:bookmarkEnd w:id="31"/>
      <w:bookmarkEnd w:id="32"/>
      <w:bookmarkEnd w:id="33"/>
      <w:bookmarkEnd w:id="34"/>
      <w:bookmarkEnd w:id="35"/>
    </w:p>
    <w:p>
      <w:pPr>
        <w:pStyle w:val="41"/>
        <w:spacing w:line="576" w:lineRule="exact"/>
        <w:ind w:firstLine="841" w:firstLineChars="262"/>
        <w:rPr>
          <w:rStyle w:val="42"/>
          <w:rFonts w:ascii="仿宋" w:hAnsi="仿宋" w:eastAsia="仿宋" w:cs="仿宋"/>
          <w:b/>
          <w:bCs/>
          <w:w w:val="99"/>
          <w:sz w:val="32"/>
          <w:szCs w:val="32"/>
        </w:rPr>
      </w:pPr>
      <w:bookmarkStart w:id="36" w:name="_Toc15396601"/>
      <w:bookmarkStart w:id="37" w:name="_Toc15377200"/>
      <w:bookmarkStart w:id="38" w:name="_Toc79163605"/>
      <w:bookmarkStart w:id="39" w:name="_Toc79163855"/>
      <w:r>
        <w:rPr>
          <w:rStyle w:val="42"/>
          <w:rFonts w:hint="eastAsia" w:ascii="仿宋" w:hAnsi="仿宋" w:eastAsia="仿宋" w:cs="仿宋"/>
          <w:b/>
          <w:sz w:val="32"/>
          <w:szCs w:val="32"/>
        </w:rPr>
        <w:t>1.</w:t>
      </w:r>
      <w:r>
        <w:rPr>
          <w:rFonts w:hint="eastAsia" w:ascii="仿宋" w:hAnsi="仿宋" w:eastAsia="仿宋" w:cs="仿宋"/>
          <w:b/>
          <w:sz w:val="32"/>
          <w:szCs w:val="32"/>
        </w:rPr>
        <w:t>“十三五”规划完成情况。</w:t>
      </w:r>
      <w:r>
        <w:rPr>
          <w:rFonts w:hint="eastAsia" w:ascii="仿宋" w:hAnsi="仿宋" w:eastAsia="仿宋" w:cs="仿宋"/>
          <w:b/>
          <w:bCs/>
          <w:sz w:val="32"/>
          <w:szCs w:val="32"/>
        </w:rPr>
        <w:t>发展环境更优化。</w:t>
      </w:r>
      <w:r>
        <w:rPr>
          <w:rFonts w:hint="eastAsia" w:ascii="仿宋" w:hAnsi="仿宋" w:eastAsia="仿宋" w:cs="仿宋"/>
          <w:sz w:val="32"/>
          <w:szCs w:val="32"/>
        </w:rPr>
        <w:t>州委、州政府常态化实行群团联席会议制度，指导妇联改革，2016年至今每年支持妇女居家灵活就业专项经费100万元，州本级每年保障45万元“1+N”工作经费，将妇女人均2元钱、每个乡镇2万元妇女工作经费纳入县委政府目标考核，高质量推进“两纲”实施。将“100%有女性”写进村两委换届选举方案。妇女病筛查率较5年前提升了23.73 %，住院分娩率较5年前提升了10.5%，婚前医学检查率较5年前提升了20.33%；九年义务教育巩固率提升了25.93%。</w:t>
      </w:r>
      <w:r>
        <w:rPr>
          <w:rFonts w:hint="eastAsia" w:ascii="仿宋" w:hAnsi="仿宋" w:eastAsia="仿宋" w:cs="仿宋"/>
          <w:b/>
          <w:bCs/>
          <w:sz w:val="32"/>
          <w:szCs w:val="32"/>
        </w:rPr>
        <w:t>思想引领更广泛。</w:t>
      </w:r>
      <w:r>
        <w:rPr>
          <w:rFonts w:hint="eastAsia" w:ascii="仿宋" w:hAnsi="仿宋" w:eastAsia="仿宋" w:cs="仿宋"/>
          <w:sz w:val="32"/>
          <w:szCs w:val="32"/>
        </w:rPr>
        <w:t>建</w:t>
      </w:r>
      <w:r>
        <w:rPr>
          <w:rFonts w:hint="eastAsia" w:ascii="仿宋" w:hAnsi="仿宋" w:eastAsia="仿宋" w:cs="仿宋"/>
          <w:sz w:val="32"/>
          <w:szCs w:val="32"/>
          <w:shd w:val="clear" w:color="auto" w:fill="FFFFFF"/>
        </w:rPr>
        <w:t>姐妹</w:t>
      </w:r>
      <w:r>
        <w:rPr>
          <w:rFonts w:hint="eastAsia" w:ascii="仿宋" w:hAnsi="仿宋" w:eastAsia="仿宋" w:cs="仿宋"/>
          <w:sz w:val="32"/>
          <w:szCs w:val="32"/>
        </w:rPr>
        <w:t>宣讲团（队）60余支、工作群1175个，开展</w:t>
      </w:r>
      <w:r>
        <w:rPr>
          <w:rFonts w:hint="eastAsia" w:ascii="仿宋" w:hAnsi="仿宋" w:eastAsia="仿宋" w:cs="仿宋"/>
          <w:bCs/>
          <w:sz w:val="32"/>
          <w:szCs w:val="32"/>
        </w:rPr>
        <w:t>宣讲700余场，覆盖41万人次。</w:t>
      </w:r>
      <w:r>
        <w:rPr>
          <w:rFonts w:hint="eastAsia" w:ascii="仿宋" w:hAnsi="仿宋" w:eastAsia="仿宋" w:cs="仿宋"/>
          <w:b/>
          <w:bCs/>
          <w:sz w:val="32"/>
          <w:szCs w:val="32"/>
        </w:rPr>
        <w:t>建功舞台更广阔。</w:t>
      </w:r>
      <w:r>
        <w:rPr>
          <w:rFonts w:hint="eastAsia" w:ascii="仿宋" w:hAnsi="仿宋" w:eastAsia="仿宋" w:cs="仿宋"/>
          <w:bCs/>
          <w:sz w:val="32"/>
          <w:szCs w:val="32"/>
        </w:rPr>
        <w:t>推各类先进200余名</w:t>
      </w:r>
      <w:r>
        <w:rPr>
          <w:rFonts w:hint="eastAsia" w:ascii="仿宋" w:hAnsi="仿宋" w:eastAsia="仿宋" w:cs="仿宋"/>
          <w:sz w:val="32"/>
          <w:szCs w:val="32"/>
        </w:rPr>
        <w:t>。争取妇女产业项目资金1072万元建基地53个，树先锋234名。扶持囍悦等“妇”字号品牌，孵化特色产品“吉祥娃娃”，培育张慧玲等“阿坝女创客”，办“净土阿坝·指尖巧手”和“浙阿姐妹手拉手·巾帼脱贫快步走”推介活动，展、销价值</w:t>
      </w:r>
      <w:r>
        <w:rPr>
          <w:rFonts w:hint="eastAsia" w:ascii="仿宋" w:hAnsi="仿宋" w:eastAsia="仿宋" w:cs="仿宋"/>
          <w:sz w:val="32"/>
          <w:szCs w:val="32"/>
          <w:shd w:val="clear" w:color="auto" w:fill="FFFFFF"/>
        </w:rPr>
        <w:t>700</w:t>
      </w:r>
      <w:r>
        <w:rPr>
          <w:rFonts w:hint="eastAsia" w:ascii="仿宋" w:hAnsi="仿宋" w:eastAsia="仿宋" w:cs="仿宋"/>
          <w:sz w:val="32"/>
          <w:szCs w:val="32"/>
        </w:rPr>
        <w:t>余万元妇女产品</w:t>
      </w:r>
      <w:r>
        <w:rPr>
          <w:rFonts w:hint="eastAsia" w:ascii="仿宋" w:hAnsi="仿宋" w:eastAsia="仿宋" w:cs="仿宋"/>
          <w:sz w:val="32"/>
          <w:szCs w:val="32"/>
          <w:shd w:val="clear" w:color="auto" w:fill="FFFFFF"/>
        </w:rPr>
        <w:t>7500</w:t>
      </w:r>
      <w:r>
        <w:rPr>
          <w:rFonts w:hint="eastAsia" w:ascii="仿宋" w:hAnsi="仿宋" w:eastAsia="仿宋" w:cs="仿宋"/>
          <w:sz w:val="32"/>
          <w:szCs w:val="32"/>
        </w:rPr>
        <w:t>余件</w:t>
      </w:r>
      <w:r>
        <w:rPr>
          <w:rFonts w:hint="eastAsia" w:ascii="仿宋" w:hAnsi="仿宋" w:eastAsia="仿宋" w:cs="仿宋"/>
          <w:b/>
          <w:bCs/>
          <w:w w:val="99"/>
          <w:sz w:val="32"/>
          <w:szCs w:val="32"/>
        </w:rPr>
        <w:t>。</w:t>
      </w:r>
      <w:r>
        <w:rPr>
          <w:rFonts w:hint="eastAsia" w:ascii="仿宋" w:hAnsi="仿宋" w:eastAsia="仿宋" w:cs="仿宋"/>
          <w:b/>
          <w:bCs/>
          <w:sz w:val="32"/>
          <w:szCs w:val="32"/>
        </w:rPr>
        <w:t>组织建设更强化。</w:t>
      </w:r>
      <w:r>
        <w:rPr>
          <w:rFonts w:hint="eastAsia" w:ascii="仿宋" w:hAnsi="仿宋" w:eastAsia="仿宋" w:cs="仿宋"/>
          <w:sz w:val="32"/>
          <w:szCs w:val="32"/>
        </w:rPr>
        <w:t>完成1408个村（社区、牧场）、223个乡（镇）（其中4个牧场）“会改联”和乡（镇）妇</w:t>
      </w:r>
      <w:r>
        <w:rPr>
          <w:rFonts w:hint="eastAsia" w:ascii="仿宋" w:hAnsi="仿宋" w:eastAsia="仿宋" w:cs="仿宋"/>
          <w:kern w:val="0"/>
          <w:sz w:val="32"/>
          <w:szCs w:val="32"/>
        </w:rPr>
        <w:t>联区域化建设改革</w:t>
      </w:r>
      <w:r>
        <w:rPr>
          <w:rFonts w:hint="eastAsia" w:ascii="仿宋" w:hAnsi="仿宋" w:eastAsia="仿宋" w:cs="仿宋"/>
          <w:sz w:val="32"/>
          <w:szCs w:val="32"/>
        </w:rPr>
        <w:t>，建“</w:t>
      </w:r>
      <w:r>
        <w:rPr>
          <w:rFonts w:hint="eastAsia" w:ascii="仿宋" w:hAnsi="仿宋" w:eastAsia="仿宋" w:cs="仿宋"/>
          <w:bCs/>
          <w:sz w:val="32"/>
          <w:szCs w:val="32"/>
          <w:shd w:val="clear" w:color="auto" w:fill="FFFFFF"/>
        </w:rPr>
        <w:t>妇女之家</w:t>
      </w:r>
      <w:r>
        <w:rPr>
          <w:rFonts w:hint="eastAsia" w:ascii="仿宋" w:hAnsi="仿宋" w:eastAsia="仿宋" w:cs="仿宋"/>
          <w:sz w:val="32"/>
          <w:szCs w:val="32"/>
        </w:rPr>
        <w:t>”</w:t>
      </w:r>
      <w:r>
        <w:rPr>
          <w:rFonts w:hint="eastAsia" w:ascii="仿宋" w:hAnsi="仿宋" w:eastAsia="仿宋" w:cs="仿宋"/>
          <w:bCs/>
          <w:sz w:val="32"/>
          <w:szCs w:val="32"/>
          <w:shd w:val="clear" w:color="auto" w:fill="FFFFFF"/>
        </w:rPr>
        <w:t>等</w:t>
      </w:r>
      <w:r>
        <w:rPr>
          <w:rFonts w:hint="eastAsia" w:ascii="仿宋" w:hAnsi="仿宋" w:eastAsia="仿宋" w:cs="仿宋"/>
          <w:bCs/>
          <w:sz w:val="32"/>
          <w:szCs w:val="32"/>
        </w:rPr>
        <w:t>1450</w:t>
      </w:r>
      <w:r>
        <w:rPr>
          <w:rFonts w:hint="eastAsia" w:ascii="仿宋" w:hAnsi="仿宋" w:eastAsia="仿宋" w:cs="仿宋"/>
          <w:bCs/>
          <w:sz w:val="32"/>
          <w:szCs w:val="32"/>
          <w:shd w:val="clear" w:color="auto" w:fill="FFFFFF"/>
        </w:rPr>
        <w:t>个。</w:t>
      </w:r>
      <w:r>
        <w:rPr>
          <w:rFonts w:hint="eastAsia" w:ascii="仿宋" w:hAnsi="仿宋" w:eastAsia="仿宋" w:cs="仿宋"/>
          <w:sz w:val="32"/>
          <w:szCs w:val="32"/>
          <w:shd w:val="clear" w:color="auto" w:fill="FFFFFF"/>
        </w:rPr>
        <w:t>乡、村级妇联执委增加到</w:t>
      </w:r>
      <w:r>
        <w:rPr>
          <w:rFonts w:hint="eastAsia" w:ascii="仿宋" w:hAnsi="仿宋" w:eastAsia="仿宋" w:cs="仿宋"/>
          <w:sz w:val="32"/>
          <w:szCs w:val="32"/>
        </w:rPr>
        <w:t>7832名，吸纳挂兼职干部11826人。</w:t>
      </w:r>
      <w:r>
        <w:rPr>
          <w:rFonts w:hint="eastAsia" w:ascii="仿宋" w:hAnsi="仿宋" w:eastAsia="仿宋" w:cs="仿宋"/>
          <w:b/>
          <w:bCs/>
          <w:sz w:val="32"/>
          <w:szCs w:val="32"/>
        </w:rPr>
        <w:t>参与治理更深入。</w:t>
      </w:r>
      <w:r>
        <w:rPr>
          <w:rFonts w:hint="eastAsia" w:ascii="仿宋" w:hAnsi="仿宋" w:eastAsia="仿宋" w:cs="仿宋"/>
          <w:sz w:val="32"/>
          <w:szCs w:val="32"/>
        </w:rPr>
        <w:t>建婚姻家庭纠纷</w:t>
      </w:r>
      <w:r>
        <w:rPr>
          <w:rFonts w:hint="eastAsia" w:ascii="仿宋" w:hAnsi="仿宋" w:eastAsia="仿宋" w:cs="仿宋"/>
          <w:sz w:val="32"/>
          <w:szCs w:val="32"/>
          <w:shd w:val="clear" w:color="auto" w:fill="FFFFFF"/>
        </w:rPr>
        <w:t>化解多部门合作等机制，办第一届维护妇女儿童权益十大优秀案例评选。</w:t>
      </w:r>
      <w:r>
        <w:rPr>
          <w:rFonts w:hint="eastAsia" w:ascii="仿宋" w:hAnsi="仿宋" w:eastAsia="仿宋" w:cs="仿宋"/>
          <w:bCs/>
          <w:sz w:val="32"/>
          <w:szCs w:val="32"/>
        </w:rPr>
        <w:t>建妇女儿童维权机构480个。</w:t>
      </w:r>
      <w:r>
        <w:rPr>
          <w:rFonts w:hint="eastAsia" w:ascii="仿宋" w:hAnsi="仿宋" w:eastAsia="仿宋" w:cs="仿宋"/>
          <w:sz w:val="32"/>
          <w:szCs w:val="32"/>
        </w:rPr>
        <w:t>推“最美家庭”97户。万名巾帼志愿者投身“6.24”“8.8”“8.20”等自然灾害和疫情防控工作。</w:t>
      </w:r>
    </w:p>
    <w:p>
      <w:pPr>
        <w:pStyle w:val="43"/>
        <w:spacing w:line="576" w:lineRule="exact"/>
        <w:ind w:firstLine="642" w:firstLineChars="200"/>
        <w:textAlignment w:val="auto"/>
        <w:rPr>
          <w:rFonts w:ascii="仿宋" w:hAnsi="仿宋" w:eastAsia="仿宋" w:cs="仿宋"/>
          <w:sz w:val="32"/>
          <w:szCs w:val="32"/>
        </w:rPr>
      </w:pPr>
      <w:r>
        <w:rPr>
          <w:rStyle w:val="42"/>
          <w:rFonts w:hint="eastAsia" w:ascii="仿宋" w:hAnsi="仿宋" w:eastAsia="仿宋" w:cs="仿宋"/>
          <w:b/>
          <w:sz w:val="32"/>
          <w:szCs w:val="32"/>
        </w:rPr>
        <w:t>2.</w:t>
      </w:r>
      <w:r>
        <w:rPr>
          <w:rFonts w:hint="eastAsia" w:ascii="仿宋" w:hAnsi="仿宋" w:eastAsia="仿宋" w:cs="仿宋"/>
          <w:b/>
          <w:sz w:val="32"/>
          <w:szCs w:val="32"/>
        </w:rPr>
        <w:t>2020年工作重点。</w:t>
      </w:r>
      <w:r>
        <w:rPr>
          <w:rStyle w:val="42"/>
          <w:rFonts w:hint="eastAsia" w:ascii="仿宋" w:hAnsi="仿宋" w:eastAsia="仿宋" w:cs="仿宋"/>
          <w:b/>
          <w:sz w:val="32"/>
          <w:szCs w:val="32"/>
        </w:rPr>
        <w:t>高举旗帜，强化引领。一是</w:t>
      </w:r>
      <w:r>
        <w:rPr>
          <w:rStyle w:val="42"/>
          <w:rFonts w:hint="eastAsia" w:ascii="仿宋" w:hAnsi="仿宋" w:eastAsia="仿宋" w:cs="仿宋"/>
          <w:sz w:val="32"/>
          <w:szCs w:val="32"/>
        </w:rPr>
        <w:t>线上</w:t>
      </w:r>
      <w:r>
        <w:rPr>
          <w:rStyle w:val="42"/>
          <w:rFonts w:hint="eastAsia" w:ascii="仿宋" w:hAnsi="仿宋" w:eastAsia="仿宋" w:cs="仿宋"/>
          <w:bCs/>
          <w:sz w:val="32"/>
          <w:szCs w:val="32"/>
        </w:rPr>
        <w:t>开展“巾帼心向党”思想引领活动，</w:t>
      </w:r>
      <w:r>
        <w:rPr>
          <w:rStyle w:val="42"/>
          <w:rFonts w:hint="eastAsia" w:ascii="仿宋" w:hAnsi="仿宋" w:eastAsia="仿宋" w:cs="仿宋"/>
          <w:sz w:val="32"/>
          <w:szCs w:val="32"/>
        </w:rPr>
        <w:t>发信息99期323条，妇女阅读量54.5万。线下开展“巾帼心向党”大宣讲，制阿坝妇女十三大献礼片。</w:t>
      </w:r>
      <w:r>
        <w:rPr>
          <w:rStyle w:val="42"/>
          <w:rFonts w:hint="eastAsia" w:ascii="仿宋" w:hAnsi="仿宋" w:eastAsia="仿宋" w:cs="仿宋"/>
          <w:b/>
          <w:sz w:val="32"/>
          <w:szCs w:val="32"/>
        </w:rPr>
        <w:t>二是</w:t>
      </w:r>
      <w:r>
        <w:rPr>
          <w:rFonts w:hint="eastAsia" w:ascii="仿宋" w:hAnsi="仿宋" w:eastAsia="仿宋" w:cs="仿宋"/>
          <w:sz w:val="32"/>
          <w:szCs w:val="32"/>
        </w:rPr>
        <w:t>推三八红旗手（集体）等先进149名（个）。</w:t>
      </w:r>
      <w:r>
        <w:rPr>
          <w:rStyle w:val="42"/>
          <w:rFonts w:hint="eastAsia" w:ascii="仿宋" w:hAnsi="仿宋" w:eastAsia="仿宋" w:cs="仿宋"/>
          <w:b/>
          <w:bCs/>
          <w:sz w:val="32"/>
          <w:szCs w:val="32"/>
        </w:rPr>
        <w:t>三</w:t>
      </w:r>
      <w:r>
        <w:rPr>
          <w:rFonts w:hint="eastAsia" w:ascii="仿宋" w:hAnsi="仿宋" w:eastAsia="仿宋" w:cs="仿宋"/>
          <w:b/>
          <w:bCs/>
          <w:sz w:val="32"/>
          <w:szCs w:val="32"/>
        </w:rPr>
        <w:t>是</w:t>
      </w:r>
      <w:r>
        <w:rPr>
          <w:rFonts w:hint="eastAsia" w:ascii="仿宋" w:hAnsi="仿宋" w:eastAsia="仿宋" w:cs="仿宋"/>
          <w:bCs/>
          <w:sz w:val="32"/>
          <w:szCs w:val="32"/>
        </w:rPr>
        <w:t>落实</w:t>
      </w:r>
      <w:r>
        <w:rPr>
          <w:rStyle w:val="42"/>
          <w:rFonts w:hint="eastAsia" w:ascii="仿宋" w:hAnsi="仿宋" w:eastAsia="仿宋" w:cs="仿宋"/>
          <w:sz w:val="32"/>
          <w:szCs w:val="32"/>
        </w:rPr>
        <w:t>意识形态工作要求，把导向，强阵地。</w:t>
      </w:r>
      <w:r>
        <w:rPr>
          <w:rFonts w:hint="eastAsia" w:ascii="仿宋" w:hAnsi="仿宋" w:eastAsia="仿宋" w:cs="仿宋"/>
          <w:sz w:val="32"/>
          <w:szCs w:val="32"/>
        </w:rPr>
        <w:t>开党组专题研究网络意识形态工作和州妇女儿童网络舆情引导处置培训会，以案促训。</w:t>
      </w:r>
      <w:r>
        <w:rPr>
          <w:rStyle w:val="42"/>
          <w:rFonts w:hint="eastAsia" w:ascii="仿宋" w:hAnsi="仿宋" w:eastAsia="仿宋" w:cs="仿宋"/>
          <w:b/>
          <w:sz w:val="32"/>
          <w:szCs w:val="32"/>
        </w:rPr>
        <w:t>疫情防控，巾帼助力。</w:t>
      </w:r>
      <w:r>
        <w:rPr>
          <w:rFonts w:hint="eastAsia" w:ascii="仿宋" w:hAnsi="仿宋" w:eastAsia="仿宋" w:cs="仿宋"/>
          <w:b/>
          <w:sz w:val="32"/>
          <w:szCs w:val="32"/>
        </w:rPr>
        <w:t>一是</w:t>
      </w:r>
      <w:r>
        <w:rPr>
          <w:rFonts w:hint="eastAsia" w:ascii="仿宋" w:hAnsi="仿宋" w:eastAsia="仿宋" w:cs="仿宋"/>
          <w:sz w:val="32"/>
          <w:szCs w:val="32"/>
        </w:rPr>
        <w:t>第一时间发出投身防疫倡议，设专栏，发防疫信息100余条，引导2.74万余家庭10万余名妇女儿童投身疫情防控阻击战。</w:t>
      </w:r>
      <w:r>
        <w:rPr>
          <w:rFonts w:hint="eastAsia" w:ascii="仿宋" w:hAnsi="仿宋" w:eastAsia="仿宋" w:cs="仿宋"/>
          <w:b/>
          <w:bCs/>
          <w:sz w:val="32"/>
          <w:szCs w:val="32"/>
        </w:rPr>
        <w:t>二是</w:t>
      </w:r>
      <w:r>
        <w:rPr>
          <w:rFonts w:hint="eastAsia" w:ascii="仿宋" w:hAnsi="仿宋" w:eastAsia="仿宋" w:cs="仿宋"/>
          <w:sz w:val="32"/>
          <w:szCs w:val="32"/>
        </w:rPr>
        <w:t>多平台同步播“净土战‘疫’·花开阿坝”妇女节线上特别纪念节目。开展关爱援鄂一线医务人员“四送到家”等活动，慰问本州籍援鄂医务人员、抗疫一线牺牲人员家属等898人次，发价值14.172万元慰问品。发动“妇”字号基地捐赠价值9.1万元羌绣笔记本等物资761本（个），送援鄂抗疫一线医务人员手中。</w:t>
      </w:r>
      <w:r>
        <w:rPr>
          <w:rFonts w:hint="eastAsia" w:ascii="仿宋" w:hAnsi="仿宋" w:eastAsia="仿宋" w:cs="仿宋"/>
          <w:b/>
          <w:bCs/>
          <w:sz w:val="32"/>
          <w:szCs w:val="32"/>
        </w:rPr>
        <w:t>三是</w:t>
      </w:r>
      <w:r>
        <w:rPr>
          <w:rFonts w:hint="eastAsia" w:ascii="仿宋" w:hAnsi="仿宋" w:eastAsia="仿宋" w:cs="仿宋"/>
          <w:sz w:val="32"/>
          <w:szCs w:val="32"/>
        </w:rPr>
        <w:t>开展“净土阿坝·巾帼解忧”志愿服务，发资料10万余份，为400余名一线人员义务理发；办“特殊时期特别家教——娜姆云课堂”，9节课辐射11.6万余人次。</w:t>
      </w:r>
      <w:r>
        <w:rPr>
          <w:rFonts w:hint="eastAsia" w:ascii="仿宋" w:hAnsi="仿宋" w:eastAsia="仿宋" w:cs="仿宋"/>
          <w:b/>
          <w:sz w:val="32"/>
          <w:szCs w:val="32"/>
        </w:rPr>
        <w:t>四是</w:t>
      </w:r>
      <w:r>
        <w:rPr>
          <w:rFonts w:hint="eastAsia" w:ascii="仿宋" w:hAnsi="仿宋" w:eastAsia="仿宋" w:cs="仿宋"/>
          <w:sz w:val="32"/>
          <w:szCs w:val="32"/>
        </w:rPr>
        <w:t>第一时间发出募捐倡议，募集捐款3.08万元、物资价值17.3951万元，依法依规公示、上缴、发放。</w:t>
      </w:r>
      <w:r>
        <w:rPr>
          <w:rFonts w:hint="eastAsia" w:ascii="仿宋" w:hAnsi="仿宋" w:eastAsia="仿宋" w:cs="仿宋"/>
          <w:b/>
          <w:sz w:val="32"/>
          <w:szCs w:val="32"/>
        </w:rPr>
        <w:t>五是</w:t>
      </w:r>
      <w:r>
        <w:rPr>
          <w:rFonts w:hint="eastAsia" w:ascii="仿宋" w:hAnsi="仿宋" w:eastAsia="仿宋" w:cs="仿宋"/>
          <w:sz w:val="32"/>
          <w:szCs w:val="32"/>
        </w:rPr>
        <w:t>助各级“妇”字号企业、基地复工复产，摸情况、送物资、解难题。</w:t>
      </w:r>
      <w:r>
        <w:rPr>
          <w:rStyle w:val="42"/>
          <w:rFonts w:hint="eastAsia" w:ascii="仿宋" w:hAnsi="仿宋" w:eastAsia="仿宋" w:cs="仿宋"/>
          <w:b/>
          <w:sz w:val="32"/>
          <w:szCs w:val="32"/>
        </w:rPr>
        <w:t>巾帼脱贫，持续攻坚。</w:t>
      </w:r>
      <w:r>
        <w:rPr>
          <w:rFonts w:hint="eastAsia" w:ascii="仿宋" w:hAnsi="仿宋" w:eastAsia="仿宋" w:cs="仿宋"/>
          <w:b/>
          <w:sz w:val="32"/>
          <w:szCs w:val="32"/>
        </w:rPr>
        <w:t>一是</w:t>
      </w:r>
      <w:r>
        <w:rPr>
          <w:rFonts w:hint="eastAsia" w:ascii="仿宋" w:hAnsi="仿宋" w:eastAsia="仿宋" w:cs="仿宋"/>
          <w:sz w:val="32"/>
          <w:szCs w:val="32"/>
        </w:rPr>
        <w:t>发巾帼决战决胜脱贫攻坚实施意见，完成马尔康市脱贫攻坚全覆盖督查。“春风行动”网上专场招聘推荐女性就业488人。</w:t>
      </w:r>
      <w:r>
        <w:rPr>
          <w:rFonts w:hint="eastAsia" w:ascii="仿宋" w:hAnsi="仿宋" w:eastAsia="仿宋" w:cs="仿宋"/>
          <w:b/>
          <w:sz w:val="32"/>
          <w:szCs w:val="32"/>
        </w:rPr>
        <w:t>二是</w:t>
      </w:r>
      <w:r>
        <w:rPr>
          <w:rFonts w:hint="eastAsia" w:ascii="仿宋" w:hAnsi="仿宋" w:eastAsia="仿宋" w:cs="仿宋"/>
          <w:sz w:val="32"/>
          <w:szCs w:val="32"/>
        </w:rPr>
        <w:t>抓产品销售，组织“巾帼助力脱贫奔康·川妹带川货”直播带货，发动执委开展直播带货206场次，销售价值890万元产品。</w:t>
      </w:r>
      <w:r>
        <w:rPr>
          <w:rFonts w:hint="eastAsia" w:ascii="仿宋" w:hAnsi="仿宋" w:eastAsia="仿宋" w:cs="仿宋"/>
          <w:b/>
          <w:sz w:val="32"/>
          <w:szCs w:val="32"/>
        </w:rPr>
        <w:t>三是</w:t>
      </w:r>
      <w:r>
        <w:rPr>
          <w:rFonts w:hint="eastAsia" w:ascii="仿宋" w:hAnsi="仿宋" w:eastAsia="仿宋" w:cs="仿宋"/>
          <w:sz w:val="32"/>
          <w:szCs w:val="32"/>
        </w:rPr>
        <w:t>实地督832万元43个妇女产业项目及2011-2019年以来311万元各级“两癌”救助项目。争取省级140万元项目1个，评审扶持100万州级妇女居家灵活就业项目10个，新建省、州“妇”字号基地11个，树带头人11名，各级基地累计带动妇女3.67万名实现年增收3000-80000元，加强省州300万元项目建设管理。</w:t>
      </w:r>
      <w:r>
        <w:rPr>
          <w:rFonts w:hint="eastAsia" w:ascii="仿宋" w:hAnsi="仿宋" w:eastAsia="仿宋" w:cs="仿宋"/>
          <w:b/>
          <w:sz w:val="32"/>
          <w:szCs w:val="32"/>
        </w:rPr>
        <w:t>四是</w:t>
      </w:r>
      <w:r>
        <w:rPr>
          <w:rFonts w:hint="eastAsia" w:ascii="仿宋" w:hAnsi="仿宋" w:eastAsia="仿宋" w:cs="仿宋"/>
          <w:kern w:val="0"/>
          <w:sz w:val="32"/>
          <w:szCs w:val="32"/>
        </w:rPr>
        <w:t>组织各行业妇女2000余名开展</w:t>
      </w:r>
      <w:r>
        <w:rPr>
          <w:rFonts w:hint="eastAsia" w:ascii="仿宋" w:hAnsi="仿宋" w:eastAsia="仿宋" w:cs="仿宋"/>
          <w:sz w:val="32"/>
          <w:szCs w:val="32"/>
        </w:rPr>
        <w:t>“岗位大练兵·技能大比武”等技能比赛。办各类技能培训57期，培训4668人。组织女产业带头人、单亲母亲49人赴甘、青学习交流。</w:t>
      </w:r>
      <w:r>
        <w:rPr>
          <w:rStyle w:val="42"/>
          <w:rFonts w:hint="eastAsia" w:ascii="仿宋" w:hAnsi="仿宋" w:eastAsia="仿宋" w:cs="仿宋"/>
          <w:b/>
          <w:sz w:val="32"/>
          <w:szCs w:val="32"/>
        </w:rPr>
        <w:t>关心扶助，温暖民心。</w:t>
      </w:r>
      <w:r>
        <w:rPr>
          <w:rFonts w:hint="eastAsia" w:ascii="仿宋" w:hAnsi="仿宋" w:eastAsia="仿宋" w:cs="仿宋"/>
          <w:sz w:val="32"/>
          <w:szCs w:val="32"/>
        </w:rPr>
        <w:t>一是对因疫情等原因存在致、返贫风险单亲母亲家庭进行摸排，争取各级救助。筹200万元建“阿曲阿妈”爱心基金，发27.57万元救助138户贫困单亲母亲家庭。启动《牧区单亲母亲家庭问题与对策研究》课题调研。二是对特殊困难妇女群体动态监测。办“净土春晖·云朵妈妈”——关爱留守儿童特别行动等活动，共为700余名困弱妇女儿童、留守病残妇女、环卫女工、烧伤女网红、军属、退役军人、三老干部等发40万余元慰问资金和物资。争取22.82万元安康大学生资助款发17名学生。争取“两癌”及大病救助金44.9万元救助68名患病妇女。争取100万元建50个儿童之家。争取全国儿基会、爱心企业捐赠价值71万余元羽绒服、毛衣、救灾包、爱心守护包、米、油等5222件（个）。三是抓东西协作，签“浙川姐妹手拉手·小康生活快步走”对口帮扶合作协议，争取浙江省各级妇联910余万元资金及物资帮扶壤塘等6县（市）妇女儿童。四是建巾帼志愿“阳光站”1个，抓双拥工作，抓两纲终期攻坚。</w:t>
      </w:r>
      <w:r>
        <w:rPr>
          <w:rStyle w:val="42"/>
          <w:rFonts w:hint="eastAsia" w:ascii="仿宋" w:hAnsi="仿宋" w:eastAsia="仿宋" w:cs="仿宋"/>
          <w:b/>
          <w:sz w:val="32"/>
          <w:szCs w:val="32"/>
        </w:rPr>
        <w:t>关爱维权，助力治理。</w:t>
      </w:r>
      <w:r>
        <w:rPr>
          <w:rFonts w:hint="eastAsia" w:ascii="仿宋" w:hAnsi="仿宋" w:eastAsia="仿宋" w:cs="仿宋"/>
          <w:b/>
          <w:bCs/>
          <w:sz w:val="32"/>
          <w:szCs w:val="32"/>
        </w:rPr>
        <w:t>一是</w:t>
      </w:r>
      <w:r>
        <w:rPr>
          <w:rFonts w:hint="eastAsia" w:ascii="仿宋" w:hAnsi="仿宋" w:eastAsia="仿宋" w:cs="仿宋"/>
          <w:bCs/>
          <w:sz w:val="32"/>
          <w:szCs w:val="32"/>
        </w:rPr>
        <w:t>推</w:t>
      </w:r>
      <w:r>
        <w:rPr>
          <w:rFonts w:hint="eastAsia" w:ascii="仿宋" w:hAnsi="仿宋" w:eastAsia="仿宋" w:cs="仿宋"/>
          <w:sz w:val="32"/>
          <w:szCs w:val="32"/>
        </w:rPr>
        <w:t>评各级最美家庭、先进集体（个人）49户（个），办最美家庭故事分享会等78场。办绿色家园创建等活动，120余所学校4100余户家庭参与。办“净土阿坝·阳光青春”“净土阿坝·春蕾陪伴”云课堂和家风家教系列视频展播，17366户家庭34万人次学生、家长受益。</w:t>
      </w:r>
      <w:r>
        <w:rPr>
          <w:rFonts w:hint="eastAsia" w:ascii="仿宋" w:hAnsi="仿宋" w:eastAsia="仿宋" w:cs="仿宋"/>
          <w:b/>
          <w:bCs/>
          <w:sz w:val="32"/>
          <w:szCs w:val="32"/>
        </w:rPr>
        <w:t>二是</w:t>
      </w:r>
      <w:r>
        <w:rPr>
          <w:rFonts w:hint="eastAsia" w:ascii="仿宋" w:hAnsi="仿宋" w:eastAsia="仿宋" w:cs="仿宋"/>
          <w:sz w:val="32"/>
          <w:szCs w:val="32"/>
        </w:rPr>
        <w:t>推依法治州、安全生产、综合治理；及时高效处理黑水、金川舆情事件；办未成年人维权藏语宣讲电视栏目，开展维权周活动等，辐射1.7万余户家庭5.4万余人次。建“净土春晖”巾帼志愿宣讲队，8天9场巡讲覆盖4180名学生。完善“维权地图”“维权服务点（站）”“12338妇女维权热线”。目前全州共接待并办结家暴信访案件29件。定制10万元的“觉姆暖心包”251个。</w:t>
      </w:r>
      <w:r>
        <w:rPr>
          <w:rFonts w:hint="eastAsia" w:ascii="仿宋" w:hAnsi="仿宋" w:eastAsia="仿宋" w:cs="仿宋"/>
          <w:b/>
          <w:sz w:val="32"/>
          <w:szCs w:val="32"/>
        </w:rPr>
        <w:t>三是</w:t>
      </w:r>
      <w:r>
        <w:rPr>
          <w:rFonts w:hint="eastAsia" w:ascii="仿宋" w:hAnsi="仿宋" w:eastAsia="仿宋" w:cs="仿宋"/>
          <w:sz w:val="32"/>
          <w:szCs w:val="32"/>
        </w:rPr>
        <w:t>发《关于建立共同推动保护妇女儿童权益工作合作机制的意见》等，调研“建立预防性侵未成年人维护女童人身权益工作机制”，开婚姻家庭纠纷化解和妇女儿童维权工作联席会等维权专项会议，开展专题调研。培养妇联“法律明白人”100名。</w:t>
      </w:r>
      <w:r>
        <w:rPr>
          <w:rStyle w:val="42"/>
          <w:rFonts w:hint="eastAsia" w:ascii="仿宋" w:hAnsi="仿宋" w:eastAsia="仿宋" w:cs="仿宋"/>
          <w:b/>
          <w:bCs/>
          <w:sz w:val="32"/>
          <w:szCs w:val="32"/>
        </w:rPr>
        <w:t>深化改革，攻坚破难</w:t>
      </w:r>
      <w:r>
        <w:rPr>
          <w:rFonts w:hint="eastAsia" w:ascii="仿宋" w:hAnsi="仿宋" w:eastAsia="仿宋" w:cs="仿宋"/>
          <w:b/>
          <w:sz w:val="32"/>
          <w:szCs w:val="32"/>
        </w:rPr>
        <w:t>。</w:t>
      </w:r>
      <w:r>
        <w:rPr>
          <w:rFonts w:hint="eastAsia" w:ascii="仿宋" w:hAnsi="仿宋" w:eastAsia="仿宋" w:cs="仿宋"/>
          <w:b/>
          <w:bCs/>
          <w:sz w:val="32"/>
          <w:szCs w:val="32"/>
        </w:rPr>
        <w:t>一是</w:t>
      </w:r>
      <w:r>
        <w:rPr>
          <w:rFonts w:hint="eastAsia" w:ascii="仿宋" w:hAnsi="仿宋" w:eastAsia="仿宋" w:cs="仿宋"/>
          <w:sz w:val="32"/>
          <w:szCs w:val="32"/>
        </w:rPr>
        <w:t>推“县级妇联改革破难”和乡镇、村社区的妇联组织调整，调研女性社会组织和村（社区）妇联主席待遇保障，推民主法制和社会体制领域妇联改革。</w:t>
      </w:r>
      <w:r>
        <w:rPr>
          <w:rFonts w:hint="eastAsia" w:ascii="仿宋" w:hAnsi="仿宋" w:eastAsia="仿宋" w:cs="仿宋"/>
          <w:b/>
          <w:bCs/>
          <w:sz w:val="32"/>
          <w:szCs w:val="32"/>
        </w:rPr>
        <w:t>二是</w:t>
      </w:r>
      <w:r>
        <w:rPr>
          <w:rFonts w:hint="eastAsia" w:ascii="仿宋" w:hAnsi="仿宋" w:eastAsia="仿宋" w:cs="仿宋"/>
          <w:sz w:val="32"/>
          <w:szCs w:val="32"/>
        </w:rPr>
        <w:t>联合州委组织部指导基层党建带妇建，</w:t>
      </w:r>
      <w:r>
        <w:rPr>
          <w:rStyle w:val="42"/>
          <w:rFonts w:hint="eastAsia" w:ascii="仿宋" w:hAnsi="仿宋" w:eastAsia="仿宋" w:cs="仿宋"/>
          <w:sz w:val="32"/>
          <w:szCs w:val="32"/>
        </w:rPr>
        <w:t>联合州委政法委试点开展网格员与妇联执委双向任职，</w:t>
      </w:r>
      <w:r>
        <w:rPr>
          <w:rFonts w:hint="eastAsia" w:ascii="仿宋" w:hAnsi="仿宋" w:eastAsia="仿宋" w:cs="仿宋"/>
          <w:sz w:val="32"/>
          <w:szCs w:val="32"/>
        </w:rPr>
        <w:t>联合州民政局调研女性社会组织建设。</w:t>
      </w:r>
      <w:r>
        <w:rPr>
          <w:rStyle w:val="42"/>
          <w:rFonts w:hint="eastAsia" w:ascii="仿宋" w:hAnsi="仿宋" w:eastAsia="仿宋" w:cs="仿宋"/>
          <w:sz w:val="32"/>
          <w:szCs w:val="32"/>
        </w:rPr>
        <w:t>3家社工组织</w:t>
      </w:r>
      <w:r>
        <w:rPr>
          <w:rFonts w:hint="eastAsia" w:ascii="仿宋" w:hAnsi="仿宋" w:eastAsia="仿宋" w:cs="仿宋"/>
          <w:sz w:val="32"/>
          <w:szCs w:val="32"/>
        </w:rPr>
        <w:t>建妇联。将州女法官、女检察官协会纳入团体会员。用好妇女微家。筹建女企业家协会。</w:t>
      </w:r>
      <w:r>
        <w:rPr>
          <w:rFonts w:hint="eastAsia" w:ascii="仿宋" w:hAnsi="仿宋" w:eastAsia="仿宋" w:cs="仿宋"/>
          <w:b/>
          <w:sz w:val="32"/>
          <w:szCs w:val="32"/>
        </w:rPr>
        <w:t>三是</w:t>
      </w:r>
      <w:r>
        <w:rPr>
          <w:rFonts w:hint="eastAsia" w:ascii="仿宋" w:hAnsi="仿宋" w:eastAsia="仿宋" w:cs="仿宋"/>
          <w:sz w:val="32"/>
          <w:szCs w:val="32"/>
        </w:rPr>
        <w:t>办</w:t>
      </w:r>
      <w:r>
        <w:rPr>
          <w:rStyle w:val="42"/>
          <w:rFonts w:hint="eastAsia" w:ascii="仿宋" w:hAnsi="仿宋" w:eastAsia="仿宋" w:cs="仿宋"/>
          <w:sz w:val="32"/>
          <w:szCs w:val="32"/>
        </w:rPr>
        <w:t>100</w:t>
      </w:r>
      <w:r>
        <w:rPr>
          <w:rFonts w:hint="eastAsia" w:ascii="仿宋" w:hAnsi="仿宋" w:eastAsia="仿宋" w:cs="仿宋"/>
          <w:sz w:val="32"/>
          <w:szCs w:val="32"/>
        </w:rPr>
        <w:t>人基层妇联干部综合素质能力提升培训班，建168名优秀女干部人才库。</w:t>
      </w:r>
      <w:r>
        <w:rPr>
          <w:rFonts w:hint="eastAsia" w:ascii="仿宋" w:hAnsi="仿宋" w:eastAsia="仿宋" w:cs="仿宋"/>
          <w:b/>
          <w:sz w:val="32"/>
          <w:szCs w:val="32"/>
        </w:rPr>
        <w:t>四是</w:t>
      </w:r>
      <w:r>
        <w:rPr>
          <w:rFonts w:hint="eastAsia" w:ascii="仿宋" w:hAnsi="仿宋" w:eastAsia="仿宋" w:cs="仿宋"/>
          <w:sz w:val="32"/>
          <w:szCs w:val="32"/>
        </w:rPr>
        <w:t>筹备阿坝妇女十三大。</w:t>
      </w:r>
      <w:r>
        <w:rPr>
          <w:rFonts w:hint="eastAsia" w:ascii="仿宋" w:hAnsi="仿宋" w:eastAsia="仿宋" w:cs="仿宋"/>
          <w:b/>
          <w:sz w:val="32"/>
          <w:szCs w:val="32"/>
        </w:rPr>
        <w:t>党建主体，任务落实。一是</w:t>
      </w:r>
      <w:r>
        <w:rPr>
          <w:rFonts w:hint="eastAsia" w:ascii="仿宋" w:hAnsi="仿宋" w:eastAsia="仿宋" w:cs="仿宋"/>
          <w:sz w:val="32"/>
          <w:szCs w:val="32"/>
        </w:rPr>
        <w:t>抓政治建设，认真落实新时代党的建设总要求和党的组织路线，落实主体责任、“一岗双责”。</w:t>
      </w:r>
      <w:r>
        <w:rPr>
          <w:rFonts w:hint="eastAsia" w:ascii="仿宋" w:hAnsi="仿宋" w:eastAsia="仿宋" w:cs="仿宋"/>
          <w:bCs/>
          <w:sz w:val="32"/>
          <w:szCs w:val="32"/>
        </w:rPr>
        <w:t>发10余个工作方案</w:t>
      </w:r>
      <w:r>
        <w:rPr>
          <w:rFonts w:hint="eastAsia" w:ascii="仿宋" w:hAnsi="仿宋" w:eastAsia="仿宋" w:cs="仿宋"/>
          <w:sz w:val="32"/>
          <w:szCs w:val="32"/>
        </w:rPr>
        <w:t>落实重大决策部署，召开专题组织生活会及会党组领导班子专题民主生活会等。</w:t>
      </w:r>
      <w:r>
        <w:rPr>
          <w:rFonts w:hint="eastAsia" w:ascii="仿宋" w:hAnsi="仿宋" w:eastAsia="仿宋" w:cs="仿宋"/>
          <w:b/>
          <w:sz w:val="32"/>
          <w:szCs w:val="32"/>
        </w:rPr>
        <w:t>二是</w:t>
      </w:r>
      <w:r>
        <w:rPr>
          <w:rFonts w:hint="eastAsia" w:ascii="仿宋" w:hAnsi="仿宋" w:eastAsia="仿宋" w:cs="仿宋"/>
          <w:sz w:val="32"/>
          <w:szCs w:val="32"/>
        </w:rPr>
        <w:t>抓思想建设，开学习会</w:t>
      </w:r>
      <w:r>
        <w:rPr>
          <w:rFonts w:hint="eastAsia" w:ascii="仿宋" w:hAnsi="仿宋" w:eastAsia="仿宋" w:cs="仿宋"/>
          <w:bCs/>
          <w:sz w:val="32"/>
          <w:szCs w:val="32"/>
        </w:rPr>
        <w:t>、</w:t>
      </w:r>
      <w:r>
        <w:rPr>
          <w:rFonts w:hint="eastAsia" w:ascii="仿宋" w:hAnsi="仿宋" w:eastAsia="仿宋" w:cs="仿宋"/>
          <w:sz w:val="32"/>
          <w:szCs w:val="32"/>
        </w:rPr>
        <w:t>支委党员大会等85次，上党课4次，</w:t>
      </w:r>
      <w:r>
        <w:rPr>
          <w:rFonts w:hint="eastAsia" w:ascii="仿宋" w:hAnsi="仿宋" w:eastAsia="仿宋" w:cs="仿宋"/>
          <w:bCs/>
          <w:sz w:val="32"/>
          <w:szCs w:val="32"/>
        </w:rPr>
        <w:t>参加各类培训20人次，谈心谈话24次</w:t>
      </w:r>
      <w:r>
        <w:rPr>
          <w:rFonts w:hint="eastAsia" w:ascii="仿宋" w:hAnsi="仿宋" w:eastAsia="仿宋" w:cs="仿宋"/>
          <w:sz w:val="32"/>
          <w:szCs w:val="32"/>
        </w:rPr>
        <w:t>，分享心得2次。抓实队伍建设，创 “党建引领·巾帼先锋”品牌，做好结对共建，</w:t>
      </w:r>
      <w:r>
        <w:rPr>
          <w:rFonts w:hint="eastAsia" w:ascii="仿宋" w:hAnsi="仿宋" w:eastAsia="仿宋" w:cs="仿宋"/>
          <w:sz w:val="32"/>
          <w:szCs w:val="32"/>
          <w:shd w:val="clear" w:color="auto" w:fill="FFFFFF"/>
        </w:rPr>
        <w:t>缴党费、抗疫捐款8244元</w:t>
      </w:r>
      <w:r>
        <w:rPr>
          <w:rFonts w:hint="eastAsia" w:ascii="仿宋" w:hAnsi="仿宋" w:eastAsia="仿宋" w:cs="仿宋"/>
          <w:bCs/>
          <w:sz w:val="32"/>
          <w:szCs w:val="32"/>
        </w:rPr>
        <w:t>。</w:t>
      </w:r>
      <w:r>
        <w:rPr>
          <w:rFonts w:hint="eastAsia" w:ascii="仿宋" w:hAnsi="仿宋" w:eastAsia="仿宋" w:cs="仿宋"/>
          <w:b/>
          <w:bCs/>
          <w:sz w:val="32"/>
          <w:szCs w:val="32"/>
        </w:rPr>
        <w:t>三是</w:t>
      </w:r>
      <w:r>
        <w:rPr>
          <w:rFonts w:hint="eastAsia" w:ascii="仿宋" w:hAnsi="仿宋" w:eastAsia="仿宋" w:cs="仿宋"/>
          <w:sz w:val="32"/>
          <w:szCs w:val="32"/>
        </w:rPr>
        <w:t>抓作风建设，党组带头转作风、纠“四风”，严防“四风”问题反弹回潮；做好</w:t>
      </w:r>
      <w:r>
        <w:rPr>
          <w:rFonts w:hint="eastAsia" w:ascii="仿宋" w:hAnsi="仿宋" w:eastAsia="仿宋" w:cs="仿宋"/>
          <w:sz w:val="32"/>
          <w:szCs w:val="32"/>
          <w:shd w:val="clear" w:color="auto" w:fill="FFFFFF"/>
        </w:rPr>
        <w:t>“两联一进”工作，</w:t>
      </w:r>
      <w:r>
        <w:rPr>
          <w:rFonts w:hint="eastAsia" w:ascii="仿宋" w:hAnsi="仿宋" w:eastAsia="仿宋" w:cs="仿宋"/>
          <w:sz w:val="32"/>
          <w:szCs w:val="32"/>
        </w:rPr>
        <w:t>4次入村，集体</w:t>
      </w:r>
      <w:r>
        <w:rPr>
          <w:rFonts w:hint="eastAsia" w:ascii="仿宋" w:hAnsi="仿宋" w:eastAsia="仿宋" w:cs="仿宋"/>
          <w:sz w:val="32"/>
          <w:szCs w:val="32"/>
          <w:u w:color="000000"/>
        </w:rPr>
        <w:t>宣讲3次，20人次开展走访慰问，解决子女入学问题2件，指导10万元项目实施,</w:t>
      </w:r>
      <w:r>
        <w:rPr>
          <w:rFonts w:hint="eastAsia" w:ascii="仿宋" w:hAnsi="仿宋" w:eastAsia="仿宋" w:cs="仿宋"/>
          <w:sz w:val="32"/>
          <w:szCs w:val="32"/>
        </w:rPr>
        <w:t>发价值2.6万余元资金物资</w:t>
      </w:r>
      <w:r>
        <w:rPr>
          <w:rFonts w:hint="eastAsia" w:ascii="仿宋" w:hAnsi="仿宋" w:eastAsia="仿宋" w:cs="仿宋"/>
          <w:sz w:val="32"/>
          <w:szCs w:val="32"/>
          <w:u w:color="000000"/>
        </w:rPr>
        <w:t>。</w:t>
      </w:r>
      <w:r>
        <w:rPr>
          <w:rFonts w:hint="eastAsia" w:ascii="仿宋" w:hAnsi="仿宋" w:eastAsia="仿宋" w:cs="仿宋"/>
          <w:b/>
          <w:sz w:val="32"/>
          <w:szCs w:val="32"/>
          <w:u w:color="000000"/>
        </w:rPr>
        <w:t>四是</w:t>
      </w:r>
      <w:r>
        <w:rPr>
          <w:rFonts w:hint="eastAsia" w:ascii="仿宋" w:hAnsi="仿宋" w:eastAsia="仿宋" w:cs="仿宋"/>
          <w:sz w:val="32"/>
          <w:szCs w:val="32"/>
        </w:rPr>
        <w:t>抓</w:t>
      </w:r>
      <w:r>
        <w:rPr>
          <w:rFonts w:hint="eastAsia" w:ascii="仿宋" w:hAnsi="仿宋" w:eastAsia="仿宋" w:cs="仿宋"/>
          <w:bCs/>
          <w:sz w:val="32"/>
          <w:szCs w:val="32"/>
        </w:rPr>
        <w:t>党风廉政建设，</w:t>
      </w:r>
      <w:r>
        <w:rPr>
          <w:rFonts w:hint="eastAsia" w:ascii="仿宋" w:hAnsi="仿宋" w:eastAsia="仿宋" w:cs="仿宋"/>
          <w:sz w:val="32"/>
          <w:szCs w:val="32"/>
        </w:rPr>
        <w:t>发年度工作要点，开4次专题工作部署会，签责任、承诺书37份。</w:t>
      </w:r>
      <w:r>
        <w:rPr>
          <w:rFonts w:hint="eastAsia" w:ascii="仿宋" w:hAnsi="仿宋" w:eastAsia="仿宋" w:cs="仿宋"/>
          <w:bCs/>
          <w:sz w:val="32"/>
          <w:szCs w:val="32"/>
        </w:rPr>
        <w:t>按程序提拔干部2名。</w:t>
      </w:r>
      <w:r>
        <w:rPr>
          <w:rFonts w:hint="eastAsia" w:ascii="仿宋" w:hAnsi="仿宋" w:eastAsia="仿宋" w:cs="仿宋"/>
          <w:kern w:val="0"/>
          <w:sz w:val="32"/>
          <w:szCs w:val="32"/>
        </w:rPr>
        <w:t>办“清廉阿坝·幸福万家”等活动，</w:t>
      </w:r>
      <w:r>
        <w:rPr>
          <w:rFonts w:hint="eastAsia" w:ascii="仿宋" w:hAnsi="仿宋" w:eastAsia="仿宋" w:cs="仿宋"/>
          <w:bCs/>
          <w:sz w:val="32"/>
          <w:szCs w:val="32"/>
        </w:rPr>
        <w:t>廉政提醒5次。加强内部管理，梳理廉政风险点13个，防控措施26条。</w:t>
      </w:r>
    </w:p>
    <w:p>
      <w:pPr>
        <w:spacing w:line="576" w:lineRule="exact"/>
        <w:ind w:firstLine="640" w:firstLineChars="200"/>
        <w:rPr>
          <w:rFonts w:ascii="仿宋" w:hAnsi="仿宋" w:eastAsia="仿宋" w:cs="仿宋"/>
          <w:bCs/>
          <w:sz w:val="32"/>
          <w:szCs w:val="32"/>
        </w:rPr>
      </w:pPr>
      <w:r>
        <w:rPr>
          <w:rFonts w:hint="eastAsia" w:ascii="仿宋" w:hAnsi="仿宋" w:eastAsia="仿宋" w:cs="仿宋"/>
          <w:bCs/>
          <w:sz w:val="32"/>
          <w:szCs w:val="32"/>
        </w:rPr>
        <w:t>获州直部门目标绩效管理考评一等奖，阿坝州农民工服务工作先进集体、社会治安综合治理优秀单位、州直机关先进基层党组织等。</w:t>
      </w:r>
    </w:p>
    <w:p>
      <w:pPr>
        <w:pStyle w:val="2"/>
        <w:adjustRightInd w:val="0"/>
        <w:snapToGrid w:val="0"/>
        <w:spacing w:before="93" w:line="576" w:lineRule="exact"/>
        <w:ind w:firstLine="674" w:firstLineChars="210"/>
        <w:outlineLvl w:val="1"/>
        <w:rPr>
          <w:rStyle w:val="27"/>
          <w:rFonts w:ascii="仿宋" w:hAnsi="仿宋" w:eastAsia="仿宋" w:cs="仿宋"/>
        </w:rPr>
      </w:pPr>
      <w:bookmarkStart w:id="40" w:name="_Toc3446"/>
      <w:bookmarkStart w:id="41" w:name="_Toc8164"/>
      <w:r>
        <w:rPr>
          <w:rFonts w:hint="eastAsia" w:ascii="仿宋" w:hAnsi="仿宋" w:eastAsia="仿宋" w:cs="仿宋"/>
          <w:b/>
          <w:bCs/>
          <w:color w:val="000000"/>
          <w:sz w:val="32"/>
          <w:szCs w:val="32"/>
        </w:rPr>
        <w:t>二、机</w:t>
      </w:r>
      <w:r>
        <w:rPr>
          <w:rStyle w:val="27"/>
          <w:rFonts w:hint="eastAsia" w:ascii="仿宋" w:hAnsi="仿宋" w:eastAsia="仿宋" w:cs="仿宋"/>
        </w:rPr>
        <w:t>构设置</w:t>
      </w:r>
      <w:bookmarkEnd w:id="36"/>
      <w:bookmarkEnd w:id="37"/>
      <w:bookmarkEnd w:id="38"/>
      <w:bookmarkEnd w:id="39"/>
      <w:bookmarkEnd w:id="40"/>
      <w:bookmarkEnd w:id="41"/>
      <w:bookmarkStart w:id="42" w:name="_Toc15377203"/>
      <w:bookmarkStart w:id="43" w:name="_Toc79163608"/>
      <w:bookmarkStart w:id="44" w:name="_Toc79163858"/>
      <w:bookmarkStart w:id="45" w:name="_Toc15306277"/>
      <w:bookmarkStart w:id="46" w:name="_Toc15377434"/>
      <w:bookmarkStart w:id="47" w:name="_Toc15378450"/>
    </w:p>
    <w:p>
      <w:pPr>
        <w:spacing w:line="576" w:lineRule="exact"/>
        <w:ind w:firstLine="709" w:firstLineChars="221"/>
        <w:outlineLvl w:val="2"/>
        <w:rPr>
          <w:rFonts w:ascii="仿宋" w:hAnsi="仿宋" w:eastAsia="仿宋" w:cs="仿宋"/>
          <w:b/>
          <w:kern w:val="0"/>
          <w:sz w:val="32"/>
          <w:szCs w:val="32"/>
        </w:rPr>
      </w:pPr>
      <w:bookmarkStart w:id="48" w:name="_Toc6361"/>
      <w:bookmarkStart w:id="49" w:name="_Toc16783"/>
      <w:r>
        <w:rPr>
          <w:rFonts w:hint="eastAsia" w:ascii="仿宋" w:hAnsi="仿宋" w:eastAsia="仿宋" w:cs="仿宋"/>
          <w:b/>
          <w:kern w:val="0"/>
          <w:sz w:val="32"/>
          <w:szCs w:val="32"/>
        </w:rPr>
        <w:t>（一）机构情况</w:t>
      </w:r>
      <w:bookmarkEnd w:id="48"/>
      <w:bookmarkEnd w:id="49"/>
    </w:p>
    <w:p>
      <w:pPr>
        <w:spacing w:line="576" w:lineRule="exact"/>
        <w:ind w:firstLine="707" w:firstLineChars="221"/>
        <w:rPr>
          <w:rFonts w:ascii="仿宋" w:hAnsi="仿宋" w:eastAsia="仿宋" w:cs="仿宋"/>
          <w:kern w:val="0"/>
          <w:sz w:val="32"/>
          <w:szCs w:val="32"/>
        </w:rPr>
      </w:pPr>
      <w:r>
        <w:rPr>
          <w:rFonts w:hint="eastAsia" w:ascii="仿宋" w:hAnsi="仿宋" w:eastAsia="仿宋" w:cs="仿宋"/>
          <w:sz w:val="32"/>
          <w:szCs w:val="32"/>
        </w:rPr>
        <w:t>我会设一室三部，即办公室、家儿维权部、宣传组织部、发展部联络部。州政府妇儿工委办设在我会。</w:t>
      </w:r>
    </w:p>
    <w:p>
      <w:pPr>
        <w:spacing w:line="576" w:lineRule="exact"/>
        <w:ind w:firstLine="709" w:firstLineChars="221"/>
        <w:outlineLvl w:val="2"/>
        <w:rPr>
          <w:rFonts w:ascii="仿宋" w:hAnsi="仿宋" w:eastAsia="仿宋" w:cs="仿宋"/>
          <w:b/>
          <w:kern w:val="0"/>
          <w:sz w:val="32"/>
          <w:szCs w:val="32"/>
        </w:rPr>
      </w:pPr>
      <w:bookmarkStart w:id="50" w:name="_Toc4243"/>
      <w:bookmarkStart w:id="51" w:name="_Toc26046"/>
      <w:r>
        <w:rPr>
          <w:rFonts w:hint="eastAsia" w:ascii="仿宋" w:hAnsi="仿宋" w:eastAsia="仿宋" w:cs="仿宋"/>
          <w:b/>
          <w:kern w:val="0"/>
          <w:sz w:val="32"/>
          <w:szCs w:val="32"/>
        </w:rPr>
        <w:t>（二）人员情况</w:t>
      </w:r>
      <w:bookmarkEnd w:id="50"/>
      <w:bookmarkEnd w:id="51"/>
    </w:p>
    <w:p>
      <w:pPr>
        <w:spacing w:line="576" w:lineRule="exact"/>
        <w:ind w:firstLine="707" w:firstLineChars="221"/>
        <w:rPr>
          <w:rFonts w:ascii="仿宋" w:hAnsi="仿宋" w:eastAsia="仿宋" w:cs="仿宋"/>
          <w:sz w:val="32"/>
          <w:szCs w:val="32"/>
        </w:rPr>
      </w:pPr>
      <w:r>
        <w:rPr>
          <w:rFonts w:hint="eastAsia" w:ascii="仿宋" w:hAnsi="仿宋" w:eastAsia="仿宋" w:cs="仿宋"/>
          <w:sz w:val="32"/>
          <w:szCs w:val="32"/>
        </w:rPr>
        <w:t>总编制14名，其中：行政编制11名，工勤人员3名。在职人员总数13名，其中：行政人员10名，工勤人员3名；退休人员6人。</w:t>
      </w:r>
    </w:p>
    <w:bookmarkEnd w:id="42"/>
    <w:bookmarkEnd w:id="43"/>
    <w:bookmarkEnd w:id="44"/>
    <w:bookmarkEnd w:id="45"/>
    <w:bookmarkEnd w:id="46"/>
    <w:bookmarkEnd w:id="47"/>
    <w:p>
      <w:pPr>
        <w:widowControl/>
        <w:spacing w:line="240" w:lineRule="atLeast"/>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spacing w:line="576" w:lineRule="exact"/>
        <w:ind w:right="440"/>
        <w:jc w:val="right"/>
        <w:rPr>
          <w:rStyle w:val="26"/>
          <w:rFonts w:ascii="黑体" w:hAnsi="黑体" w:eastAsia="黑体"/>
          <w:b w:val="0"/>
          <w:bCs w:val="0"/>
        </w:rPr>
      </w:pPr>
      <w:bookmarkStart w:id="52" w:name="_Toc15246"/>
      <w:bookmarkStart w:id="53" w:name="_Toc15396602"/>
      <w:bookmarkStart w:id="54" w:name="_Toc5814"/>
      <w:bookmarkStart w:id="55" w:name="_Toc79163609"/>
      <w:bookmarkStart w:id="56" w:name="_Toc15377204"/>
      <w:bookmarkStart w:id="57" w:name="_Toc79163859"/>
      <w:r>
        <w:rPr>
          <w:rFonts w:hint="eastAsia" w:ascii="黑体" w:hAnsi="黑体" w:eastAsia="黑体"/>
          <w:b w:val="0"/>
          <w:color w:val="000000"/>
        </w:rPr>
        <w:t>第二部分</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52"/>
      <w:bookmarkEnd w:id="53"/>
      <w:bookmarkEnd w:id="54"/>
      <w:bookmarkEnd w:id="55"/>
      <w:bookmarkEnd w:id="56"/>
      <w:bookmarkEnd w:id="57"/>
    </w:p>
    <w:p>
      <w:pPr>
        <w:spacing w:line="576" w:lineRule="exact"/>
      </w:pPr>
    </w:p>
    <w:p>
      <w:pPr>
        <w:pStyle w:val="37"/>
        <w:numPr>
          <w:ilvl w:val="0"/>
          <w:numId w:val="1"/>
        </w:numPr>
        <w:spacing w:line="576" w:lineRule="exact"/>
        <w:ind w:firstLineChars="0"/>
        <w:outlineLvl w:val="1"/>
        <w:rPr>
          <w:rStyle w:val="27"/>
          <w:rFonts w:ascii="黑体" w:hAnsi="黑体" w:eastAsia="黑体"/>
          <w:b w:val="0"/>
        </w:rPr>
      </w:pPr>
      <w:bookmarkStart w:id="58" w:name="_Toc15377205"/>
      <w:bookmarkStart w:id="59" w:name="_Toc79163610"/>
      <w:bookmarkStart w:id="60" w:name="_Toc15396603"/>
      <w:bookmarkStart w:id="61" w:name="_Toc9400"/>
      <w:bookmarkStart w:id="62" w:name="_Toc79163860"/>
      <w:bookmarkStart w:id="63" w:name="_Toc16391"/>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58"/>
      <w:bookmarkEnd w:id="59"/>
      <w:bookmarkEnd w:id="60"/>
      <w:bookmarkEnd w:id="61"/>
      <w:bookmarkEnd w:id="62"/>
      <w:bookmarkEnd w:id="63"/>
    </w:p>
    <w:p>
      <w:pPr>
        <w:spacing w:line="576" w:lineRule="exact"/>
        <w:ind w:firstLine="704" w:firstLineChars="220"/>
        <w:rPr>
          <w:rFonts w:ascii="仿宋" w:hAnsi="仿宋" w:eastAsia="仿宋"/>
          <w:kern w:val="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年度收、支总计874.06万元。与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年相比，收、支总计各减少185.53万元，189.93万元，下降，31.25%，28.96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kern w:val="0"/>
          <w:sz w:val="32"/>
          <w:szCs w:val="32"/>
        </w:rPr>
        <w:t>一是2020年财政持续压减经费。二是疫情原因未开展业务培训。三是2020年妇女代表大会会议经费在2021年列支。四是省上扶持项目经费支力度减少。</w:t>
      </w:r>
    </w:p>
    <w:p>
      <w:pPr>
        <w:spacing w:line="240" w:lineRule="atLeast"/>
        <w:ind w:firstLine="704" w:firstLineChars="220"/>
        <w:rPr>
          <w:rFonts w:ascii="仿宋" w:hAnsi="仿宋" w:eastAsia="仿宋"/>
          <w:kern w:val="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w:t>
      </w:r>
    </w:p>
    <w:p>
      <w:pPr>
        <w:spacing w:line="240" w:lineRule="atLeast"/>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2916555" cy="1731010"/>
            <wp:effectExtent l="19050" t="0" r="16809" b="2054"/>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7"/>
        <w:numPr>
          <w:ilvl w:val="0"/>
          <w:numId w:val="1"/>
        </w:numPr>
        <w:spacing w:line="576" w:lineRule="exact"/>
        <w:ind w:firstLineChars="0"/>
        <w:outlineLvl w:val="1"/>
        <w:rPr>
          <w:rStyle w:val="27"/>
          <w:rFonts w:ascii="黑体" w:hAnsi="黑体" w:eastAsia="黑体"/>
          <w:b w:val="0"/>
        </w:rPr>
      </w:pPr>
      <w:bookmarkStart w:id="64" w:name="_Toc15396604"/>
      <w:bookmarkStart w:id="65" w:name="_Toc15377206"/>
      <w:bookmarkStart w:id="66" w:name="_Toc79163611"/>
      <w:bookmarkStart w:id="67" w:name="_Toc21591"/>
      <w:bookmarkStart w:id="68" w:name="_Toc79163861"/>
      <w:bookmarkStart w:id="69" w:name="_Toc17876"/>
      <w:r>
        <w:rPr>
          <w:rFonts w:hint="eastAsia" w:ascii="黑体" w:hAnsi="黑体" w:eastAsia="黑体"/>
          <w:color w:val="000000"/>
          <w:sz w:val="32"/>
          <w:szCs w:val="32"/>
        </w:rPr>
        <w:t>收</w:t>
      </w:r>
      <w:r>
        <w:rPr>
          <w:rStyle w:val="27"/>
          <w:rFonts w:hint="eastAsia" w:ascii="黑体" w:hAnsi="黑体" w:eastAsia="黑体"/>
          <w:b w:val="0"/>
        </w:rPr>
        <w:t>入决算情况说明</w:t>
      </w:r>
      <w:bookmarkEnd w:id="64"/>
      <w:bookmarkEnd w:id="65"/>
      <w:bookmarkEnd w:id="66"/>
      <w:bookmarkEnd w:id="67"/>
      <w:bookmarkEnd w:id="68"/>
      <w:bookmarkEnd w:id="69"/>
    </w:p>
    <w:p>
      <w:pPr>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年本年收入合计408.22万元，其中：一般公共预算财政拨款收入408.22万元，占100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。（注：数据来源于财决</w:t>
      </w:r>
      <w:r>
        <w:rPr>
          <w:rFonts w:ascii="仿宋" w:hAnsi="仿宋" w:eastAsia="仿宋"/>
          <w:color w:val="000000"/>
          <w:sz w:val="32"/>
          <w:szCs w:val="32"/>
        </w:rPr>
        <w:t>01</w:t>
      </w:r>
      <w:r>
        <w:rPr>
          <w:rFonts w:hint="eastAsia" w:ascii="仿宋" w:hAnsi="仿宋" w:eastAsia="仿宋"/>
          <w:color w:val="000000"/>
          <w:sz w:val="32"/>
          <w:szCs w:val="32"/>
        </w:rPr>
        <w:t>表）</w:t>
      </w:r>
    </w:p>
    <w:p>
      <w:pPr>
        <w:spacing w:line="240" w:lineRule="atLeast"/>
        <w:ind w:firstLine="640" w:firstLineChars="200"/>
        <w:rPr>
          <w:rFonts w:ascii="仿宋" w:hAnsi="仿宋" w:eastAsia="仿宋"/>
          <w:color w:val="000000"/>
          <w:sz w:val="32"/>
          <w:szCs w:val="32"/>
        </w:rPr>
      </w:pPr>
    </w:p>
    <w:p>
      <w:pPr>
        <w:spacing w:line="24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w:t>
      </w:r>
    </w:p>
    <w:p>
      <w:pPr>
        <w:spacing w:line="240" w:lineRule="atLeast"/>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5049520" cy="2073275"/>
            <wp:effectExtent l="19050" t="0" r="17550" b="28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7"/>
        <w:numPr>
          <w:ilvl w:val="0"/>
          <w:numId w:val="1"/>
        </w:numPr>
        <w:spacing w:line="576" w:lineRule="exact"/>
        <w:ind w:firstLineChars="0"/>
        <w:outlineLvl w:val="1"/>
        <w:rPr>
          <w:rStyle w:val="27"/>
          <w:rFonts w:ascii="黑体" w:hAnsi="黑体" w:eastAsia="黑体"/>
          <w:b w:val="0"/>
        </w:rPr>
      </w:pPr>
      <w:bookmarkStart w:id="70" w:name="_Toc15377207"/>
      <w:bookmarkStart w:id="71" w:name="_Toc79163862"/>
      <w:bookmarkStart w:id="72" w:name="_Toc79163612"/>
      <w:bookmarkStart w:id="73" w:name="_Toc15396605"/>
      <w:bookmarkStart w:id="74" w:name="_Toc18386"/>
      <w:bookmarkStart w:id="75" w:name="_Toc19422"/>
      <w:r>
        <w:rPr>
          <w:rFonts w:hint="eastAsia" w:ascii="黑体" w:hAnsi="黑体" w:eastAsia="黑体"/>
          <w:color w:val="000000"/>
          <w:sz w:val="32"/>
          <w:szCs w:val="32"/>
        </w:rPr>
        <w:t>支</w:t>
      </w:r>
      <w:r>
        <w:rPr>
          <w:rStyle w:val="27"/>
          <w:rFonts w:hint="eastAsia" w:ascii="黑体" w:hAnsi="黑体" w:eastAsia="黑体"/>
          <w:b w:val="0"/>
        </w:rPr>
        <w:t>出决算情况说明</w:t>
      </w:r>
      <w:bookmarkEnd w:id="70"/>
      <w:bookmarkEnd w:id="71"/>
      <w:bookmarkEnd w:id="72"/>
      <w:bookmarkEnd w:id="73"/>
      <w:bookmarkEnd w:id="74"/>
      <w:bookmarkEnd w:id="75"/>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2020年本年支出合计465.84万元，其中：基本支出354.85万元，占76.17%；项目支出110.99万元，占23.83%；上缴上级支出0万元，占0%；经营支出0万元，占0%；对附属单位补助支出0万元，占0%。（注：数据来源于财决04表）</w:t>
      </w:r>
    </w:p>
    <w:p>
      <w:pPr>
        <w:spacing w:line="24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w:t>
      </w:r>
    </w:p>
    <w:p>
      <w:pPr>
        <w:spacing w:line="240" w:lineRule="atLeast"/>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3449955" cy="2541270"/>
            <wp:effectExtent l="19050" t="0" r="16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exact"/>
        <w:ind w:firstLine="640" w:firstLineChars="200"/>
        <w:outlineLvl w:val="1"/>
        <w:rPr>
          <w:rStyle w:val="27"/>
          <w:rFonts w:ascii="黑体" w:hAnsi="黑体" w:eastAsia="黑体"/>
          <w:b w:val="0"/>
        </w:rPr>
      </w:pPr>
      <w:bookmarkStart w:id="76" w:name="_Toc79163613"/>
      <w:bookmarkStart w:id="77" w:name="_Toc23369"/>
      <w:bookmarkStart w:id="78" w:name="_Toc23900"/>
      <w:bookmarkStart w:id="79" w:name="_Toc79163863"/>
      <w:bookmarkStart w:id="80" w:name="_Toc15396606"/>
      <w:bookmarkStart w:id="8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76"/>
      <w:bookmarkEnd w:id="77"/>
      <w:bookmarkEnd w:id="78"/>
      <w:bookmarkEnd w:id="79"/>
      <w:bookmarkEnd w:id="80"/>
      <w:bookmarkEnd w:id="81"/>
    </w:p>
    <w:p>
      <w:pPr>
        <w:spacing w:line="576" w:lineRule="exact"/>
        <w:ind w:firstLine="704" w:firstLineChars="220"/>
        <w:rPr>
          <w:rFonts w:ascii="仿宋" w:hAnsi="仿宋" w:eastAsia="仿宋" w:cs="仿宋"/>
          <w:color w:val="000000"/>
          <w:sz w:val="32"/>
          <w:szCs w:val="32"/>
        </w:rPr>
      </w:pPr>
      <w:r>
        <w:rPr>
          <w:rFonts w:hint="eastAsia" w:ascii="仿宋" w:hAnsi="仿宋" w:eastAsia="仿宋" w:cs="仿宋"/>
          <w:color w:val="000000"/>
          <w:sz w:val="32"/>
          <w:szCs w:val="32"/>
        </w:rPr>
        <w:t>2020年财政拨款收、支总计874.06万元。与2019年相比，收、支总计各减少185.53万元，189.93万元，下降31.25%，28.96%。主要变动原因：</w:t>
      </w:r>
      <w:r>
        <w:rPr>
          <w:rFonts w:hint="eastAsia" w:ascii="仿宋" w:hAnsi="仿宋" w:eastAsia="仿宋" w:cs="仿宋"/>
          <w:kern w:val="0"/>
          <w:sz w:val="32"/>
          <w:szCs w:val="32"/>
        </w:rPr>
        <w:t>一是2020年财政持续压减经费。二是疫情原因未开展业务培训。三是2020年妇女代表大会会议经费在2021年列支。四是省上扶持项目经费支力度减少。</w:t>
      </w:r>
      <w:r>
        <w:rPr>
          <w:rFonts w:hint="eastAsia" w:ascii="仿宋" w:hAnsi="仿宋" w:eastAsia="仿宋" w:cs="仿宋"/>
          <w:color w:val="000000"/>
          <w:sz w:val="32"/>
          <w:szCs w:val="32"/>
        </w:rPr>
        <w:t>（注：数据来源于财决Z01-1表。）</w:t>
      </w:r>
    </w:p>
    <w:p>
      <w:pPr>
        <w:spacing w:line="240" w:lineRule="atLeast"/>
        <w:ind w:firstLine="704" w:firstLineChars="220"/>
        <w:rPr>
          <w:rFonts w:ascii="仿宋" w:hAnsi="仿宋" w:eastAsia="仿宋" w:cs="仿宋"/>
          <w:color w:val="000000"/>
          <w:sz w:val="32"/>
          <w:szCs w:val="32"/>
        </w:rPr>
      </w:pPr>
      <w:r>
        <w:rPr>
          <w:rFonts w:hint="eastAsia" w:ascii="仿宋" w:hAnsi="仿宋" w:eastAsia="仿宋" w:cs="仿宋"/>
          <w:color w:val="000000"/>
          <w:sz w:val="32"/>
          <w:szCs w:val="32"/>
        </w:rPr>
        <w:t>图4：</w:t>
      </w:r>
    </w:p>
    <w:p>
      <w:pPr>
        <w:spacing w:line="240" w:lineRule="atLeast"/>
        <w:ind w:firstLine="704" w:firstLineChars="220"/>
        <w:rPr>
          <w:rFonts w:ascii="仿宋" w:hAnsi="仿宋" w:eastAsia="仿宋" w:cs="仿宋"/>
          <w:color w:val="000000"/>
          <w:sz w:val="32"/>
          <w:szCs w:val="32"/>
        </w:rPr>
      </w:pPr>
      <w:r>
        <w:rPr>
          <w:rFonts w:hint="eastAsia" w:ascii="仿宋" w:hAnsi="仿宋" w:eastAsia="仿宋" w:cs="仿宋"/>
          <w:color w:val="000000"/>
          <w:sz w:val="32"/>
          <w:szCs w:val="32"/>
        </w:rPr>
        <w:drawing>
          <wp:inline distT="0" distB="0" distL="0" distR="0">
            <wp:extent cx="2916555" cy="1731010"/>
            <wp:effectExtent l="19050" t="0" r="16809" b="2054"/>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76" w:lineRule="exact"/>
        <w:ind w:firstLine="642" w:firstLineChars="200"/>
        <w:outlineLvl w:val="1"/>
        <w:rPr>
          <w:rStyle w:val="27"/>
          <w:rFonts w:ascii="仿宋" w:hAnsi="仿宋" w:eastAsia="仿宋" w:cs="仿宋"/>
          <w:b w:val="0"/>
        </w:rPr>
      </w:pPr>
      <w:bookmarkStart w:id="82" w:name="_Toc79163614"/>
      <w:bookmarkStart w:id="83" w:name="_Toc14431"/>
      <w:bookmarkStart w:id="84" w:name="_Toc16450"/>
      <w:bookmarkStart w:id="85" w:name="_Toc15396607"/>
      <w:bookmarkStart w:id="86" w:name="_Toc79163864"/>
      <w:bookmarkStart w:id="87" w:name="_Toc15377209"/>
      <w:r>
        <w:rPr>
          <w:rFonts w:hint="eastAsia" w:ascii="仿宋" w:hAnsi="仿宋" w:eastAsia="仿宋" w:cs="仿宋"/>
          <w:b/>
          <w:bCs/>
          <w:color w:val="000000"/>
          <w:sz w:val="32"/>
          <w:szCs w:val="32"/>
        </w:rPr>
        <w:t>五、一</w:t>
      </w:r>
      <w:r>
        <w:rPr>
          <w:rStyle w:val="27"/>
          <w:rFonts w:hint="eastAsia" w:ascii="仿宋" w:hAnsi="仿宋" w:eastAsia="仿宋" w:cs="仿宋"/>
        </w:rPr>
        <w:t>般公共预算财政拨款支出决算情况说明</w:t>
      </w:r>
      <w:bookmarkEnd w:id="82"/>
      <w:bookmarkEnd w:id="83"/>
      <w:bookmarkEnd w:id="84"/>
      <w:bookmarkEnd w:id="85"/>
      <w:bookmarkEnd w:id="86"/>
      <w:bookmarkEnd w:id="87"/>
    </w:p>
    <w:p>
      <w:pPr>
        <w:spacing w:line="576" w:lineRule="exact"/>
        <w:ind w:firstLine="642" w:firstLineChars="200"/>
        <w:outlineLvl w:val="2"/>
        <w:rPr>
          <w:rFonts w:ascii="仿宋" w:hAnsi="仿宋" w:eastAsia="仿宋" w:cs="仿宋"/>
          <w:b/>
          <w:color w:val="000000"/>
          <w:sz w:val="32"/>
          <w:szCs w:val="32"/>
        </w:rPr>
      </w:pPr>
      <w:bookmarkStart w:id="88" w:name="_Toc30489"/>
      <w:bookmarkStart w:id="89" w:name="_Toc79163615"/>
      <w:bookmarkStart w:id="90" w:name="_Toc15377210"/>
      <w:bookmarkStart w:id="91" w:name="_Toc79163865"/>
      <w:bookmarkStart w:id="92" w:name="_Toc2784"/>
      <w:r>
        <w:rPr>
          <w:rFonts w:hint="eastAsia" w:ascii="仿宋" w:hAnsi="仿宋" w:eastAsia="仿宋" w:cs="仿宋"/>
          <w:b/>
          <w:color w:val="000000"/>
          <w:sz w:val="32"/>
          <w:szCs w:val="32"/>
        </w:rPr>
        <w:t>（一）一般公共预算财政拨款支出决算总体情况</w:t>
      </w:r>
      <w:bookmarkEnd w:id="88"/>
      <w:bookmarkEnd w:id="89"/>
      <w:bookmarkEnd w:id="90"/>
      <w:bookmarkEnd w:id="91"/>
      <w:bookmarkEnd w:id="92"/>
    </w:p>
    <w:p>
      <w:pPr>
        <w:spacing w:line="576" w:lineRule="exact"/>
        <w:ind w:firstLine="704" w:firstLineChars="220"/>
      </w:pPr>
      <w:r>
        <w:rPr>
          <w:rFonts w:hint="eastAsia" w:ascii="仿宋" w:hAnsi="仿宋" w:eastAsia="仿宋" w:cs="仿宋"/>
          <w:color w:val="000000"/>
          <w:sz w:val="32"/>
          <w:szCs w:val="32"/>
        </w:rPr>
        <w:t>2020年一般公共预算财政拨款支出465.84万元，占本年支出合计的100%。与2019年相比，一般公共预算财政拨款减少189.93万元，下降28.96%。主要变动原因是</w:t>
      </w:r>
      <w:r>
        <w:rPr>
          <w:rFonts w:hint="eastAsia" w:ascii="仿宋" w:hAnsi="仿宋" w:eastAsia="仿宋" w:cs="仿宋"/>
          <w:kern w:val="0"/>
          <w:sz w:val="32"/>
          <w:szCs w:val="32"/>
        </w:rPr>
        <w:t>一是2020年财政持续压减经费。二是疫情原因未开展业务培训。三是2020年妇女代表大会会议经费在2021年列支。四是省上扶持项目经费支力度减少。</w:t>
      </w:r>
    </w:p>
    <w:p>
      <w:pPr>
        <w:spacing w:line="24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w:t>
      </w:r>
    </w:p>
    <w:p>
      <w:pPr>
        <w:spacing w:line="240" w:lineRule="atLeast"/>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3710305" cy="1806575"/>
            <wp:effectExtent l="19050" t="0" r="23250" b="255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ind w:firstLine="642" w:firstLineChars="200"/>
        <w:outlineLvl w:val="2"/>
        <w:rPr>
          <w:rFonts w:ascii="仿宋" w:hAnsi="仿宋" w:eastAsia="仿宋"/>
          <w:b/>
          <w:color w:val="000000"/>
          <w:sz w:val="32"/>
          <w:szCs w:val="32"/>
        </w:rPr>
      </w:pPr>
      <w:bookmarkStart w:id="93" w:name="_Toc15377211"/>
      <w:bookmarkStart w:id="94" w:name="_Toc9130"/>
      <w:bookmarkStart w:id="95" w:name="_Toc79163616"/>
      <w:bookmarkStart w:id="96" w:name="_Toc25795"/>
      <w:bookmarkStart w:id="97" w:name="_Toc79163866"/>
      <w:r>
        <w:rPr>
          <w:rFonts w:hint="eastAsia" w:ascii="仿宋" w:hAnsi="仿宋" w:eastAsia="仿宋"/>
          <w:b/>
          <w:color w:val="000000"/>
          <w:sz w:val="32"/>
          <w:szCs w:val="32"/>
        </w:rPr>
        <w:t>（二）一般公共预算财政拨款支出决算结构情况</w:t>
      </w:r>
      <w:bookmarkEnd w:id="93"/>
      <w:bookmarkEnd w:id="94"/>
      <w:bookmarkEnd w:id="95"/>
      <w:bookmarkEnd w:id="96"/>
      <w:bookmarkEnd w:id="97"/>
    </w:p>
    <w:p>
      <w:pPr>
        <w:spacing w:line="576" w:lineRule="exact"/>
        <w:ind w:firstLine="640"/>
      </w:pPr>
      <w:r>
        <w:rPr>
          <w:rFonts w:hint="eastAsia" w:ascii="仿宋" w:hAnsi="仿宋" w:eastAsia="仿宋" w:cs="仿宋"/>
          <w:color w:val="000000"/>
          <w:sz w:val="32"/>
          <w:szCs w:val="32"/>
        </w:rPr>
        <w:t>2020年一般公共预算财政拨款支出461.41万元，主要用于以下方面: 行政运行（2012901）284.5万元，占62%；一般行政管理事务（2012902）99.3万元，占21%；其他群众团体事务（2012999）7.8万元，占2%；机关事业单位基本养老保险缴费支出（2080505）21.1万元，占4%；机关事业单位职业年金缴费支出（2080506）10.3万元，占2%；行政单位医疗（2101101）13.75万元，占3%；公务员医疗补助（2101103）3.18万元，占1%；住房公积金（2210201）21.29万元，占支出数的5%。</w:t>
      </w:r>
    </w:p>
    <w:p>
      <w:pPr>
        <w:spacing w:line="240" w:lineRule="atLeas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240" w:lineRule="atLeast"/>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4113530" cy="3164840"/>
            <wp:effectExtent l="19050" t="0" r="20100" b="0"/>
            <wp:docPr id="10"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2" w:firstLineChars="200"/>
        <w:outlineLvl w:val="2"/>
        <w:rPr>
          <w:rFonts w:ascii="仿宋" w:hAnsi="仿宋" w:eastAsia="仿宋"/>
          <w:b/>
          <w:color w:val="000000"/>
          <w:sz w:val="32"/>
          <w:szCs w:val="32"/>
        </w:rPr>
      </w:pPr>
      <w:bookmarkStart w:id="98" w:name="_Toc11989"/>
      <w:bookmarkStart w:id="99" w:name="_Toc15377212"/>
      <w:bookmarkStart w:id="100" w:name="_Toc25515"/>
      <w:bookmarkStart w:id="101" w:name="_Toc79163867"/>
      <w:bookmarkStart w:id="102" w:name="_Toc79163617"/>
      <w:r>
        <w:rPr>
          <w:rFonts w:hint="eastAsia" w:ascii="仿宋" w:hAnsi="仿宋" w:eastAsia="仿宋"/>
          <w:b/>
          <w:color w:val="000000"/>
          <w:sz w:val="32"/>
          <w:szCs w:val="32"/>
        </w:rPr>
        <w:t>（三）一般公共预算财政拨款支出决算具体情况</w:t>
      </w:r>
      <w:bookmarkEnd w:id="98"/>
      <w:bookmarkEnd w:id="99"/>
      <w:bookmarkEnd w:id="100"/>
      <w:bookmarkEnd w:id="101"/>
      <w:bookmarkEnd w:id="102"/>
    </w:p>
    <w:p>
      <w:pPr>
        <w:spacing w:line="576" w:lineRule="exact"/>
        <w:ind w:firstLine="642" w:firstLineChars="200"/>
        <w:rPr>
          <w:rFonts w:ascii="仿宋_GB2312" w:eastAsia="仿宋_GB2312"/>
          <w:b/>
          <w:bCs/>
          <w:sz w:val="32"/>
          <w:szCs w:val="32"/>
        </w:rPr>
      </w:pPr>
      <w:bookmarkStart w:id="103" w:name="_Toc15377444"/>
      <w:bookmarkStart w:id="104" w:name="_Toc15378460"/>
      <w:bookmarkStart w:id="105" w:name="_Toc15377213"/>
      <w:r>
        <w:rPr>
          <w:rFonts w:ascii="仿宋_GB2312" w:eastAsia="仿宋_GB2312"/>
          <w:b/>
          <w:bCs/>
          <w:sz w:val="32"/>
          <w:szCs w:val="32"/>
        </w:rPr>
        <w:t>2020</w:t>
      </w:r>
      <w:r>
        <w:rPr>
          <w:rFonts w:hint="eastAsia" w:ascii="仿宋_GB2312" w:eastAsia="仿宋_GB2312"/>
          <w:b/>
          <w:bCs/>
          <w:sz w:val="32"/>
          <w:szCs w:val="32"/>
        </w:rPr>
        <w:t>年一般公共预算支出决算数为465.84万元，完成预算98.98</w:t>
      </w:r>
      <w:r>
        <w:rPr>
          <w:rFonts w:ascii="仿宋_GB2312" w:eastAsia="仿宋_GB2312"/>
          <w:b/>
          <w:bCs/>
          <w:sz w:val="32"/>
          <w:szCs w:val="32"/>
        </w:rPr>
        <w:t>%</w:t>
      </w:r>
      <w:r>
        <w:rPr>
          <w:rFonts w:hint="eastAsia" w:ascii="仿宋_GB2312" w:eastAsia="仿宋_GB2312"/>
          <w:b/>
          <w:bCs/>
          <w:sz w:val="32"/>
          <w:szCs w:val="32"/>
        </w:rPr>
        <w:t>。其中：</w:t>
      </w:r>
      <w:bookmarkEnd w:id="103"/>
      <w:bookmarkEnd w:id="104"/>
      <w:bookmarkEnd w:id="105"/>
    </w:p>
    <w:p>
      <w:pPr>
        <w:spacing w:line="576" w:lineRule="exact"/>
        <w:ind w:firstLine="642" w:firstLineChars="200"/>
        <w:rPr>
          <w:rFonts w:ascii="仿宋_GB2312" w:eastAsia="仿宋_GB2312"/>
        </w:rPr>
      </w:pPr>
      <w:r>
        <w:rPr>
          <w:rStyle w:val="24"/>
          <w:rFonts w:ascii="仿宋" w:hAnsi="仿宋" w:eastAsia="仿宋"/>
          <w:bCs/>
          <w:color w:val="000000"/>
          <w:sz w:val="32"/>
          <w:szCs w:val="32"/>
        </w:rPr>
        <w:t>1.</w:t>
      </w:r>
      <w:r>
        <w:rPr>
          <w:rStyle w:val="24"/>
          <w:rFonts w:hint="eastAsia" w:ascii="仿宋" w:hAnsi="仿宋" w:eastAsia="仿宋"/>
          <w:bCs/>
          <w:color w:val="000000"/>
          <w:sz w:val="32"/>
          <w:szCs w:val="32"/>
        </w:rPr>
        <w:t>一般公共服务（201）群众团体事务（29）行政运行（01）</w:t>
      </w:r>
      <w:r>
        <w:rPr>
          <w:rStyle w:val="24"/>
          <w:rFonts w:ascii="仿宋" w:hAnsi="仿宋" w:eastAsia="仿宋"/>
          <w:bCs/>
          <w:color w:val="000000"/>
          <w:sz w:val="32"/>
          <w:szCs w:val="32"/>
        </w:rPr>
        <w:t xml:space="preserve">: </w:t>
      </w:r>
      <w:r>
        <w:rPr>
          <w:rFonts w:hint="eastAsia" w:ascii="仿宋" w:hAnsi="仿宋" w:eastAsia="仿宋" w:cs="仿宋"/>
          <w:color w:val="000000"/>
          <w:sz w:val="32"/>
          <w:szCs w:val="32"/>
        </w:rPr>
        <w:t>支出决算为354.84万元，完成预算100%，决算数与预算数持平。</w:t>
      </w:r>
    </w:p>
    <w:p>
      <w:pPr>
        <w:spacing w:line="576" w:lineRule="exact"/>
        <w:ind w:firstLine="642" w:firstLineChars="200"/>
        <w:rPr>
          <w:rFonts w:ascii="仿宋" w:hAnsi="仿宋" w:eastAsia="仿宋" w:cs="仿宋"/>
          <w:color w:val="000000"/>
          <w:sz w:val="32"/>
          <w:szCs w:val="32"/>
        </w:rPr>
      </w:pPr>
      <w:r>
        <w:rPr>
          <w:rStyle w:val="24"/>
          <w:rFonts w:hint="eastAsia" w:ascii="仿宋" w:hAnsi="仿宋" w:eastAsia="仿宋"/>
          <w:bCs/>
          <w:color w:val="000000"/>
          <w:sz w:val="32"/>
          <w:szCs w:val="32"/>
        </w:rPr>
        <w:t>2.一般公共服务（201）群众团体事务（29）一般行政管理事务（02）：</w:t>
      </w:r>
      <w:r>
        <w:rPr>
          <w:rFonts w:hint="eastAsia" w:ascii="仿宋" w:hAnsi="仿宋" w:eastAsia="仿宋" w:cs="仿宋"/>
          <w:color w:val="000000"/>
          <w:sz w:val="32"/>
          <w:szCs w:val="32"/>
        </w:rPr>
        <w:t>支出决算为100.68万元，完成预算96.07%，决算数小于预算数的主要原因：一是每年在春节前开展对贫困妇女儿童慰问工作。二是项目实施预留项目评审费用。</w:t>
      </w:r>
    </w:p>
    <w:p>
      <w:pPr>
        <w:spacing w:line="576" w:lineRule="exact"/>
        <w:ind w:firstLine="642" w:firstLineChars="200"/>
        <w:rPr>
          <w:rFonts w:ascii="仿宋" w:hAnsi="仿宋" w:eastAsia="仿宋" w:cs="仿宋"/>
          <w:color w:val="000000"/>
          <w:sz w:val="32"/>
          <w:szCs w:val="32"/>
        </w:rPr>
      </w:pPr>
      <w:r>
        <w:rPr>
          <w:rStyle w:val="24"/>
          <w:rFonts w:hint="eastAsia" w:ascii="仿宋" w:hAnsi="仿宋" w:eastAsia="仿宋"/>
          <w:bCs/>
          <w:color w:val="000000"/>
          <w:sz w:val="32"/>
          <w:szCs w:val="32"/>
        </w:rPr>
        <w:t>3</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一般公共服务（201）群众团体事务（29）其他群众团体事务支出（99）：</w:t>
      </w:r>
      <w:r>
        <w:rPr>
          <w:rFonts w:hint="eastAsia" w:ascii="仿宋" w:hAnsi="仿宋" w:eastAsia="仿宋" w:cs="仿宋"/>
          <w:color w:val="000000"/>
          <w:sz w:val="32"/>
          <w:szCs w:val="32"/>
        </w:rPr>
        <w:t>支出决算为10.3万元，完成预算97.5 %，决算数小于预算数的主要原因是2020年妇女儿童思想引领专项工作经费预留项目审计费。</w:t>
      </w:r>
    </w:p>
    <w:p>
      <w:pPr>
        <w:spacing w:line="576" w:lineRule="exact"/>
        <w:ind w:firstLine="642" w:firstLineChars="200"/>
        <w:rPr>
          <w:rFonts w:ascii="仿宋_GB2312" w:eastAsia="仿宋_GB2312"/>
          <w:color w:val="000000"/>
          <w:sz w:val="32"/>
          <w:szCs w:val="32"/>
        </w:rPr>
      </w:pPr>
      <w:r>
        <w:rPr>
          <w:rStyle w:val="24"/>
          <w:rFonts w:hint="eastAsia" w:ascii="仿宋" w:hAnsi="仿宋" w:eastAsia="仿宋"/>
          <w:bCs/>
          <w:color w:val="000000"/>
          <w:sz w:val="32"/>
          <w:szCs w:val="32"/>
        </w:rPr>
        <w:t>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社会保障和就业（208）行政事业单位离退休费（05）机关事业单位基本养老保险缴费支出（05）</w:t>
      </w:r>
      <w:r>
        <w:rPr>
          <w:rStyle w:val="24"/>
          <w:rFonts w:ascii="仿宋" w:hAnsi="仿宋" w:eastAsia="仿宋"/>
          <w:bCs/>
          <w:color w:val="000000"/>
          <w:sz w:val="32"/>
          <w:szCs w:val="32"/>
        </w:rPr>
        <w:t xml:space="preserve">: </w:t>
      </w:r>
      <w:r>
        <w:rPr>
          <w:rFonts w:hint="eastAsia" w:ascii="仿宋" w:hAnsi="仿宋" w:eastAsia="仿宋" w:cs="仿宋"/>
          <w:color w:val="000000"/>
          <w:sz w:val="32"/>
          <w:szCs w:val="32"/>
        </w:rPr>
        <w:t>支出决算为21.09万元，完成预算100%，决算数与预算数持平</w:t>
      </w:r>
      <w:r>
        <w:rPr>
          <w:rFonts w:hint="eastAsia" w:ascii="仿宋_GB2312" w:eastAsia="仿宋_GB2312"/>
          <w:color w:val="000000"/>
          <w:sz w:val="32"/>
          <w:szCs w:val="32"/>
        </w:rPr>
        <w:t>。</w:t>
      </w:r>
    </w:p>
    <w:p>
      <w:pPr>
        <w:spacing w:line="576" w:lineRule="exact"/>
        <w:ind w:firstLine="642" w:firstLineChars="200"/>
        <w:rPr>
          <w:rFonts w:ascii="仿宋" w:hAnsi="仿宋" w:eastAsia="仿宋" w:cs="仿宋"/>
        </w:rPr>
      </w:pPr>
      <w:r>
        <w:rPr>
          <w:rStyle w:val="24"/>
          <w:rFonts w:hint="eastAsia" w:ascii="仿宋" w:hAnsi="仿宋" w:eastAsia="仿宋"/>
          <w:bCs/>
          <w:color w:val="000000"/>
          <w:sz w:val="32"/>
          <w:szCs w:val="32"/>
        </w:rPr>
        <w:t>5</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 社会保障和就业（208）行政事业单位离退休费（05）机关事业单位职业年金缴费支出（06）</w:t>
      </w:r>
      <w:r>
        <w:rPr>
          <w:rStyle w:val="24"/>
          <w:rFonts w:ascii="仿宋" w:hAnsi="仿宋" w:eastAsia="仿宋"/>
          <w:bCs/>
          <w:color w:val="000000"/>
          <w:sz w:val="32"/>
          <w:szCs w:val="32"/>
        </w:rPr>
        <w:t>:</w:t>
      </w:r>
      <w:r>
        <w:rPr>
          <w:rFonts w:hint="eastAsia" w:ascii="仿宋" w:hAnsi="仿宋" w:eastAsia="仿宋" w:cs="仿宋"/>
          <w:color w:val="000000"/>
          <w:sz w:val="32"/>
          <w:szCs w:val="32"/>
        </w:rPr>
        <w:t>支出决算为10.33万元，完成预算100%，决算数与预算数持平。</w:t>
      </w:r>
    </w:p>
    <w:p>
      <w:pPr>
        <w:spacing w:line="576" w:lineRule="exact"/>
        <w:ind w:firstLine="642" w:firstLineChars="200"/>
        <w:rPr>
          <w:rFonts w:ascii="仿宋" w:hAnsi="仿宋" w:eastAsia="仿宋" w:cs="仿宋"/>
          <w:color w:val="000000"/>
          <w:sz w:val="32"/>
          <w:szCs w:val="32"/>
        </w:rPr>
      </w:pPr>
      <w:r>
        <w:rPr>
          <w:rStyle w:val="24"/>
          <w:rFonts w:hint="eastAsia" w:ascii="仿宋" w:hAnsi="仿宋" w:eastAsia="仿宋"/>
          <w:bCs/>
          <w:color w:val="000000"/>
          <w:sz w:val="32"/>
          <w:szCs w:val="32"/>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 卫生健康支出（210）行政事业单位单位医疗（11）行政单位医疗（06）</w:t>
      </w:r>
      <w:r>
        <w:rPr>
          <w:rStyle w:val="24"/>
          <w:rFonts w:ascii="仿宋" w:hAnsi="仿宋" w:eastAsia="仿宋"/>
          <w:bCs/>
          <w:color w:val="000000"/>
          <w:sz w:val="32"/>
          <w:szCs w:val="32"/>
        </w:rPr>
        <w:t>:</w:t>
      </w:r>
      <w:r>
        <w:rPr>
          <w:rFonts w:hint="eastAsia" w:ascii="仿宋" w:hAnsi="仿宋" w:eastAsia="仿宋" w:cs="仿宋"/>
          <w:color w:val="000000"/>
          <w:sz w:val="32"/>
          <w:szCs w:val="32"/>
        </w:rPr>
        <w:t>支出决算为16.93万元，完成预算100%，决算数与预算数持平。</w:t>
      </w:r>
    </w:p>
    <w:p>
      <w:pPr>
        <w:spacing w:line="576" w:lineRule="exact"/>
        <w:ind w:firstLine="642" w:firstLineChars="200"/>
        <w:rPr>
          <w:rFonts w:ascii="仿宋_GB2312" w:eastAsia="仿宋_GB2312"/>
          <w:color w:val="000000"/>
          <w:sz w:val="32"/>
          <w:szCs w:val="32"/>
        </w:rPr>
      </w:pPr>
      <w:r>
        <w:rPr>
          <w:rStyle w:val="24"/>
          <w:rFonts w:hint="eastAsia" w:ascii="仿宋" w:hAnsi="仿宋" w:eastAsia="仿宋"/>
          <w:bCs/>
          <w:color w:val="000000"/>
          <w:sz w:val="32"/>
          <w:szCs w:val="32"/>
        </w:rPr>
        <w:t>7</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 卫生健康支出（210）行政事业单位单位医疗（11）公务员医疗补助（06）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 </w:t>
      </w:r>
      <w:r>
        <w:rPr>
          <w:rFonts w:hint="eastAsia" w:ascii="仿宋" w:hAnsi="仿宋" w:eastAsia="仿宋" w:cs="仿宋"/>
          <w:color w:val="000000"/>
          <w:sz w:val="32"/>
          <w:szCs w:val="32"/>
        </w:rPr>
        <w:t>支出决算为3.18万元，完成预算100%，决算数与预算数持平。</w:t>
      </w:r>
    </w:p>
    <w:p>
      <w:pPr>
        <w:spacing w:line="576" w:lineRule="exact"/>
        <w:ind w:firstLine="642" w:firstLineChars="200"/>
        <w:rPr>
          <w:rFonts w:ascii="仿宋" w:hAnsi="仿宋" w:eastAsia="仿宋" w:cs="仿宋"/>
          <w:color w:val="000000"/>
          <w:sz w:val="32"/>
          <w:szCs w:val="32"/>
        </w:rPr>
      </w:pPr>
      <w:r>
        <w:rPr>
          <w:rStyle w:val="24"/>
          <w:rFonts w:hint="eastAsia" w:ascii="仿宋" w:hAnsi="仿宋" w:eastAsia="仿宋"/>
          <w:bCs/>
          <w:color w:val="000000"/>
          <w:sz w:val="32"/>
          <w:szCs w:val="32"/>
        </w:rPr>
        <w:t>8</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 住房保障支出（221）住房改革支出（22102）住房公积金（01）</w:t>
      </w:r>
      <w:r>
        <w:rPr>
          <w:rStyle w:val="24"/>
          <w:rFonts w:ascii="仿宋" w:hAnsi="仿宋" w:eastAsia="仿宋"/>
          <w:bCs/>
          <w:color w:val="000000"/>
          <w:sz w:val="32"/>
          <w:szCs w:val="32"/>
        </w:rPr>
        <w:t>:</w:t>
      </w:r>
      <w:r>
        <w:rPr>
          <w:rFonts w:hint="eastAsia" w:ascii="仿宋" w:hAnsi="仿宋" w:eastAsia="仿宋" w:cs="仿宋"/>
          <w:color w:val="000000"/>
          <w:sz w:val="32"/>
          <w:szCs w:val="32"/>
        </w:rPr>
        <w:t>支出决算为21.29万元，完成预算100%，决算数等于预算数。（注：数据来源于财决Z01-1表）</w:t>
      </w:r>
    </w:p>
    <w:p>
      <w:pPr>
        <w:tabs>
          <w:tab w:val="right" w:pos="8306"/>
        </w:tabs>
        <w:spacing w:line="576" w:lineRule="exact"/>
        <w:ind w:firstLine="640"/>
        <w:outlineLvl w:val="1"/>
        <w:rPr>
          <w:rStyle w:val="27"/>
        </w:rPr>
      </w:pPr>
      <w:bookmarkStart w:id="106" w:name="_Toc79163868"/>
      <w:bookmarkStart w:id="107" w:name="_Toc15377214"/>
      <w:bookmarkStart w:id="108" w:name="_Toc15396608"/>
      <w:bookmarkStart w:id="109" w:name="_Toc4800"/>
      <w:bookmarkStart w:id="110" w:name="_Toc31390"/>
      <w:bookmarkStart w:id="11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106"/>
      <w:bookmarkEnd w:id="107"/>
      <w:bookmarkEnd w:id="108"/>
      <w:bookmarkEnd w:id="109"/>
      <w:bookmarkEnd w:id="110"/>
      <w:bookmarkEnd w:id="111"/>
      <w:r>
        <w:rPr>
          <w:rStyle w:val="27"/>
          <w:rFonts w:ascii="黑体" w:hAnsi="黑体" w:eastAsia="黑体"/>
          <w:b w:val="0"/>
        </w:rPr>
        <w:tab/>
      </w:r>
    </w:p>
    <w:p>
      <w:pPr>
        <w:spacing w:line="576"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w:t>
      </w:r>
      <w:r>
        <w:rPr>
          <w:rFonts w:hint="eastAsia" w:ascii="仿宋" w:hAnsi="仿宋" w:eastAsia="仿宋"/>
          <w:color w:val="000000"/>
          <w:sz w:val="32"/>
          <w:szCs w:val="32"/>
        </w:rPr>
        <w:t>万元，其中：</w:t>
      </w:r>
    </w:p>
    <w:p>
      <w:pPr>
        <w:spacing w:line="576" w:lineRule="exact"/>
        <w:rPr>
          <w:rFonts w:ascii="仿宋" w:hAnsi="仿宋" w:eastAsia="仿宋"/>
          <w:color w:val="000000"/>
          <w:sz w:val="32"/>
          <w:szCs w:val="32"/>
        </w:rPr>
      </w:pPr>
      <w:r>
        <w:rPr>
          <w:rFonts w:hint="eastAsia" w:ascii="仿宋" w:hAnsi="仿宋" w:eastAsia="仿宋"/>
          <w:color w:val="000000"/>
          <w:sz w:val="32"/>
          <w:szCs w:val="32"/>
        </w:rPr>
        <w:t>人员经费291万元，主要包括：基本工资56.3万元、津贴补贴122.47万元、奖金4.59万元、伙食补助费0万元、绩效工资0万元、机关事业单位基本养老保险缴费21.09万元、职业年金缴费10.33万元、职工基本医疗保险缴费13.75、公务员医疗补助缴费3.18万元、其他社会保障缴费2.16万元、住房公积金21.29万元、医疗费0万元、其他工资福利支出21.27万元、离休费0万元、退休费0万元、退职（役）费0万元、抚恤金0万元、生活补助14.57万元、救济费0万元、医疗费补助0万元、助学金0万元、奖励金0万元、个人农业生产补贴0万元、代缴社会保险费0万元、其他对个人和家庭的补助0万元等。</w:t>
      </w:r>
    </w:p>
    <w:p>
      <w:pPr>
        <w:spacing w:line="576"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58.95万元，主要包括：办公费5.38万元、印刷费1.13万元、咨询费0万元、手续费0.1万元、水费0.36万元、电费0.76万元、邮电费4.66万元、取暖费0万元、物业管理费0万元、差旅费22.42万元、因公出国（境）费用0万元、维修（护）费0万元、租赁费0.72万元、会议费0.15万元、培训费1.07万元、公务接待费0.34万元、专用材料费0万元、被装购置费0万元、专用燃料费0万元、劳务费0.44万元、委托业务费0万元、工会经费0万元、福利费1.8万元、公务用车运行维护费11.67万元、其他交通费0.2万元、税金及附加费用0万元、其他商品和服务支出7.75万元、房屋建筑物购建0万元、办公设备购置4.89万元、专用设备购置0万元、基础设施建设0万元、大型修缮0万元、信息网络及软件购置更新0万元、物资储备0万元、土地补偿0万元、安置补助0万元、地上附着牧各青苗补偿0万元、拆迁补偿0万元、公务用车购置0万元、其他交通工具购置0万元、其他资本性支出0万元等。（注：数据来源于财决</w:t>
      </w:r>
      <w:r>
        <w:rPr>
          <w:rFonts w:ascii="仿宋" w:hAnsi="仿宋" w:eastAsia="仿宋"/>
          <w:color w:val="000000"/>
          <w:sz w:val="32"/>
          <w:szCs w:val="32"/>
        </w:rPr>
        <w:t>07</w:t>
      </w:r>
      <w:r>
        <w:rPr>
          <w:rFonts w:hint="eastAsia" w:ascii="仿宋" w:hAnsi="仿宋" w:eastAsia="仿宋"/>
          <w:color w:val="000000"/>
          <w:sz w:val="32"/>
          <w:szCs w:val="32"/>
        </w:rPr>
        <w:t>表）</w:t>
      </w:r>
    </w:p>
    <w:p>
      <w:pPr>
        <w:spacing w:line="576" w:lineRule="exact"/>
        <w:ind w:firstLine="640"/>
        <w:outlineLvl w:val="1"/>
        <w:rPr>
          <w:rStyle w:val="27"/>
          <w:rFonts w:ascii="黑体" w:hAnsi="黑体" w:eastAsia="黑体"/>
          <w:b w:val="0"/>
        </w:rPr>
      </w:pPr>
      <w:bookmarkStart w:id="112" w:name="_Toc79163619"/>
      <w:bookmarkStart w:id="113" w:name="_Toc15377215"/>
      <w:bookmarkStart w:id="114" w:name="_Toc17842"/>
      <w:bookmarkStart w:id="115" w:name="_Toc15396609"/>
      <w:bookmarkStart w:id="116" w:name="_Toc14246"/>
      <w:bookmarkStart w:id="117" w:name="_Toc7916386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112"/>
      <w:bookmarkEnd w:id="113"/>
      <w:bookmarkEnd w:id="114"/>
      <w:bookmarkEnd w:id="115"/>
      <w:bookmarkEnd w:id="116"/>
      <w:bookmarkEnd w:id="117"/>
    </w:p>
    <w:p>
      <w:pPr>
        <w:spacing w:line="576" w:lineRule="exact"/>
        <w:ind w:firstLine="640"/>
        <w:outlineLvl w:val="2"/>
        <w:rPr>
          <w:rFonts w:ascii="仿宋" w:hAnsi="仿宋" w:eastAsia="仿宋"/>
          <w:b/>
          <w:color w:val="000000"/>
          <w:sz w:val="32"/>
          <w:szCs w:val="32"/>
        </w:rPr>
      </w:pPr>
      <w:bookmarkStart w:id="118" w:name="_Toc5082"/>
      <w:bookmarkStart w:id="119" w:name="_Toc79163870"/>
      <w:bookmarkStart w:id="120" w:name="_Toc15377216"/>
      <w:bookmarkStart w:id="121" w:name="_Toc29751"/>
      <w:bookmarkStart w:id="122" w:name="_Toc79163620"/>
      <w:r>
        <w:rPr>
          <w:rFonts w:hint="eastAsia" w:ascii="仿宋" w:hAnsi="仿宋" w:eastAsia="仿宋"/>
          <w:b/>
          <w:color w:val="000000"/>
          <w:sz w:val="32"/>
          <w:szCs w:val="32"/>
        </w:rPr>
        <w:t>（一）“三公”经费财政拨款支出决算总体情况说明</w:t>
      </w:r>
      <w:bookmarkEnd w:id="118"/>
      <w:bookmarkEnd w:id="119"/>
      <w:bookmarkEnd w:id="120"/>
      <w:bookmarkEnd w:id="121"/>
      <w:bookmarkEnd w:id="122"/>
    </w:p>
    <w:p>
      <w:pPr>
        <w:spacing w:line="576"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年“三公”经费财政拨款支出决算为12.01万元，完成预算97.17</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，决算数小于预算数的主要原因是厉行节约。</w:t>
      </w:r>
    </w:p>
    <w:p>
      <w:pPr>
        <w:spacing w:line="576" w:lineRule="exact"/>
        <w:ind w:firstLine="640"/>
        <w:outlineLvl w:val="2"/>
        <w:rPr>
          <w:rFonts w:ascii="仿宋" w:hAnsi="仿宋" w:eastAsia="仿宋"/>
          <w:b/>
          <w:color w:val="000000"/>
          <w:sz w:val="32"/>
          <w:szCs w:val="32"/>
        </w:rPr>
      </w:pPr>
      <w:bookmarkStart w:id="123" w:name="_Toc79163871"/>
      <w:bookmarkStart w:id="124" w:name="_Toc79163621"/>
      <w:bookmarkStart w:id="125" w:name="_Toc14253"/>
      <w:bookmarkStart w:id="126" w:name="_Toc15377217"/>
      <w:bookmarkStart w:id="127" w:name="_Toc11048"/>
      <w:r>
        <w:rPr>
          <w:rFonts w:hint="eastAsia" w:ascii="仿宋" w:hAnsi="仿宋" w:eastAsia="仿宋"/>
          <w:b/>
          <w:color w:val="000000"/>
          <w:sz w:val="32"/>
          <w:szCs w:val="32"/>
        </w:rPr>
        <w:t>（二）“三公”经费财政拨款支出决算具体情况说明</w:t>
      </w:r>
      <w:bookmarkEnd w:id="123"/>
      <w:bookmarkEnd w:id="124"/>
      <w:bookmarkEnd w:id="125"/>
      <w:bookmarkEnd w:id="126"/>
      <w:bookmarkEnd w:id="127"/>
    </w:p>
    <w:p>
      <w:pPr>
        <w:spacing w:line="576"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；公务用车购置及运行维护费支出决算11.67万元（其中公用用车购置费为0万元，公务用车运行维护费为11.67万元），占97.17</w:t>
      </w:r>
      <w:r>
        <w:rPr>
          <w:rFonts w:ascii="仿宋" w:hAnsi="仿宋" w:eastAsia="仿宋"/>
          <w:color w:val="000000"/>
          <w:sz w:val="32"/>
          <w:szCs w:val="32"/>
        </w:rPr>
        <w:t>%</w:t>
      </w:r>
      <w:r>
        <w:rPr>
          <w:rFonts w:hint="eastAsia" w:ascii="仿宋" w:hAnsi="仿宋" w:eastAsia="仿宋"/>
          <w:color w:val="000000"/>
          <w:sz w:val="32"/>
          <w:szCs w:val="32"/>
        </w:rPr>
        <w:t>；公务接待费支出决算0.34万元，占2.83</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spacing w:before="93"/>
        <w:rPr>
          <w:rFonts w:ascii="仿宋" w:hAnsi="仿宋" w:eastAsia="仿宋"/>
          <w:color w:val="000000"/>
          <w:sz w:val="32"/>
          <w:szCs w:val="32"/>
        </w:rPr>
      </w:pPr>
    </w:p>
    <w:p>
      <w:pPr>
        <w:rPr>
          <w:rFonts w:ascii="仿宋" w:hAnsi="仿宋" w:eastAsia="仿宋"/>
          <w:color w:val="000000"/>
          <w:sz w:val="32"/>
          <w:szCs w:val="32"/>
        </w:rPr>
      </w:pPr>
    </w:p>
    <w:p>
      <w:pPr>
        <w:pStyle w:val="2"/>
        <w:spacing w:before="93"/>
        <w:rPr>
          <w:rFonts w:ascii="仿宋" w:hAnsi="仿宋" w:eastAsia="仿宋"/>
          <w:color w:val="000000"/>
          <w:sz w:val="32"/>
          <w:szCs w:val="32"/>
        </w:rPr>
      </w:pPr>
    </w:p>
    <w:p>
      <w:pPr>
        <w:rPr>
          <w:rFonts w:ascii="仿宋" w:hAnsi="仿宋" w:eastAsia="仿宋"/>
          <w:color w:val="000000"/>
          <w:sz w:val="32"/>
          <w:szCs w:val="32"/>
        </w:rPr>
      </w:pPr>
    </w:p>
    <w:p>
      <w:pPr>
        <w:pStyle w:val="2"/>
        <w:spacing w:before="93"/>
        <w:rPr>
          <w:rFonts w:ascii="仿宋" w:hAnsi="仿宋" w:eastAsia="仿宋"/>
          <w:color w:val="000000"/>
          <w:sz w:val="32"/>
          <w:szCs w:val="32"/>
        </w:rPr>
      </w:pPr>
    </w:p>
    <w:p/>
    <w:p>
      <w:pPr>
        <w:spacing w:line="240" w:lineRule="atLeast"/>
        <w:ind w:firstLine="640"/>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240" w:lineRule="atLeast"/>
        <w:ind w:firstLine="641"/>
        <w:rPr>
          <w:rFonts w:ascii="仿宋" w:hAnsi="仿宋" w:eastAsia="仿宋"/>
          <w:color w:val="000000"/>
          <w:sz w:val="32"/>
          <w:szCs w:val="32"/>
        </w:rPr>
      </w:pPr>
      <w:r>
        <w:rPr>
          <w:rFonts w:hint="eastAsia" w:ascii="仿宋" w:hAnsi="仿宋" w:eastAsia="仿宋"/>
          <w:color w:val="000000"/>
          <w:sz w:val="32"/>
          <w:szCs w:val="32"/>
        </w:rPr>
        <w:drawing>
          <wp:inline distT="0" distB="0" distL="0" distR="0">
            <wp:extent cx="4430395" cy="2483485"/>
            <wp:effectExtent l="19050" t="0" r="27150"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Cs/>
          <w:color w:val="000000"/>
          <w:sz w:val="32"/>
          <w:szCs w:val="32"/>
        </w:rPr>
        <w:t>因公出国（境）经费支出0万元，</w:t>
      </w:r>
      <w:r>
        <w:rPr>
          <w:rStyle w:val="24"/>
          <w:rFonts w:hint="eastAsia" w:ascii="仿宋" w:hAnsi="仿宋" w:eastAsia="仿宋"/>
          <w:b w:val="0"/>
          <w:bCs/>
          <w:color w:val="000000"/>
          <w:sz w:val="32"/>
          <w:szCs w:val="32"/>
        </w:rPr>
        <w:t>完成预算0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。主要原因是我会无因公出国（境）情况。</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Cs/>
          <w:color w:val="000000"/>
          <w:sz w:val="32"/>
          <w:szCs w:val="32"/>
        </w:rPr>
        <w:t>公务用车购置及运行维护费支出11.67万元</w:t>
      </w:r>
      <w:r>
        <w:rPr>
          <w:rFonts w:ascii="仿宋_GB2312" w:eastAsia="仿宋_GB2312"/>
          <w:bCs/>
          <w:color w:val="000000"/>
          <w:sz w:val="32"/>
          <w:szCs w:val="32"/>
        </w:rPr>
        <w:t>,</w:t>
      </w:r>
      <w:r>
        <w:rPr>
          <w:rStyle w:val="24"/>
          <w:rFonts w:hint="eastAsia" w:ascii="仿宋" w:hAnsi="仿宋" w:eastAsia="仿宋"/>
          <w:b w:val="0"/>
          <w:bCs/>
          <w:color w:val="000000"/>
          <w:sz w:val="32"/>
          <w:szCs w:val="32"/>
        </w:rPr>
        <w:t>完成预算101.3</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9年减少0.82万元，下降6.56</w:t>
      </w:r>
      <w:r>
        <w:rPr>
          <w:rFonts w:ascii="仿宋_GB2312" w:eastAsia="仿宋_GB2312"/>
          <w:color w:val="000000"/>
          <w:sz w:val="32"/>
          <w:szCs w:val="32"/>
        </w:rPr>
        <w:t>%</w:t>
      </w:r>
      <w:r>
        <w:rPr>
          <w:rFonts w:hint="eastAsia" w:ascii="仿宋_GB2312" w:eastAsia="仿宋_GB2312"/>
          <w:color w:val="000000"/>
          <w:sz w:val="32"/>
          <w:szCs w:val="32"/>
        </w:rPr>
        <w:t>。主要原因是财政持续压减行政运行经费，厉行节约。</w:t>
      </w:r>
    </w:p>
    <w:p>
      <w:pPr>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公务用车购置支出0万元。</w:t>
      </w:r>
      <w:r>
        <w:rPr>
          <w:rFonts w:hint="eastAsia" w:ascii="仿宋_GB2312" w:eastAsia="仿宋_GB2312"/>
          <w:color w:val="000000"/>
          <w:sz w:val="32"/>
          <w:szCs w:val="32"/>
        </w:rPr>
        <w:t>全年按规定更新购置公务用车0辆，其中：轿车0辆、金额0万元，越野车0辆、金额0万元，载客汽车0辆、金额0万元，我会无购置公务用车情况。截至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pPr>
        <w:spacing w:line="576"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公务用车运行维护费支出11.67万元。</w:t>
      </w:r>
      <w:r>
        <w:rPr>
          <w:rFonts w:hint="eastAsia" w:ascii="仿宋_GB2312" w:eastAsia="仿宋_GB2312"/>
          <w:color w:val="000000"/>
          <w:sz w:val="32"/>
          <w:szCs w:val="32"/>
        </w:rPr>
        <w:t>主要用于基层调研、法律法规政策宣讲、项目督导、“两纲”督导、深入阿坝州13县（市）开展妇女儿童工作，对贫困妇女儿童慰问、开展“两联一进”工作、参加省、州安排各种会议等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Cs/>
          <w:color w:val="000000"/>
          <w:sz w:val="32"/>
          <w:szCs w:val="32"/>
        </w:rPr>
        <w:t>公务接待费支出0.34万元，</w:t>
      </w:r>
      <w:r>
        <w:rPr>
          <w:rStyle w:val="24"/>
          <w:rFonts w:hint="eastAsia" w:ascii="仿宋" w:hAnsi="仿宋" w:eastAsia="仿宋"/>
          <w:b w:val="0"/>
          <w:bCs/>
          <w:color w:val="000000"/>
          <w:sz w:val="32"/>
          <w:szCs w:val="32"/>
        </w:rPr>
        <w:t>完成预算40.47</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年减少0.09万元，下降20.93</w:t>
      </w:r>
      <w:r>
        <w:rPr>
          <w:rFonts w:ascii="仿宋_GB2312" w:eastAsia="仿宋_GB2312"/>
          <w:color w:val="000000"/>
          <w:sz w:val="32"/>
          <w:szCs w:val="32"/>
        </w:rPr>
        <w:t>%</w:t>
      </w:r>
      <w:r>
        <w:rPr>
          <w:rFonts w:hint="eastAsia" w:ascii="仿宋_GB2312" w:eastAsia="仿宋_GB2312"/>
          <w:color w:val="000000"/>
          <w:sz w:val="32"/>
          <w:szCs w:val="32"/>
        </w:rPr>
        <w:t>。主要原因是厉行节约。</w:t>
      </w:r>
    </w:p>
    <w:p>
      <w:pPr>
        <w:spacing w:line="576"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国内公务接待支出0.34</w:t>
      </w:r>
      <w:r>
        <w:rPr>
          <w:rFonts w:hint="eastAsia" w:ascii="仿宋_GB2312" w:eastAsia="仿宋_GB2312"/>
          <w:bCs/>
          <w:color w:val="000000"/>
          <w:sz w:val="32"/>
          <w:szCs w:val="32"/>
        </w:rPr>
        <w:t>万元，</w:t>
      </w:r>
      <w:r>
        <w:rPr>
          <w:rFonts w:hint="eastAsia" w:ascii="仿宋_GB2312" w:eastAsia="仿宋_GB2312"/>
          <w:color w:val="000000"/>
          <w:sz w:val="32"/>
          <w:szCs w:val="32"/>
        </w:rPr>
        <w:t>主要用于省级到阿坝州开展妇女儿童工作、兄弟市（州）到牧区县开展对口帮扶工作、邀请授课教师宣讲、县级妇联到州上汇报工作等所用餐费。国内公务接待4批次，20人次（不包括陪同人员），共计支出0.34万元，具体内容包括：同上。</w:t>
      </w:r>
    </w:p>
    <w:p>
      <w:pPr>
        <w:spacing w:line="576"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万元，外事接待0批次，0人，共计支出0万元，我会无外事接待支出费用。</w:t>
      </w:r>
    </w:p>
    <w:p>
      <w:pPr>
        <w:spacing w:line="576" w:lineRule="exact"/>
        <w:ind w:firstLine="640" w:firstLineChars="200"/>
        <w:outlineLvl w:val="1"/>
        <w:rPr>
          <w:rStyle w:val="27"/>
          <w:rFonts w:ascii="黑体" w:hAnsi="黑体" w:eastAsia="黑体"/>
        </w:rPr>
      </w:pPr>
      <w:bookmarkStart w:id="128" w:name="_Toc28700"/>
      <w:bookmarkStart w:id="129" w:name="_Toc79163872"/>
      <w:bookmarkStart w:id="130" w:name="_Toc15396610"/>
      <w:bookmarkStart w:id="131" w:name="_Toc79163622"/>
      <w:bookmarkStart w:id="132" w:name="_Toc15377218"/>
      <w:bookmarkStart w:id="133" w:name="_Toc2073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128"/>
      <w:bookmarkEnd w:id="129"/>
      <w:bookmarkEnd w:id="130"/>
      <w:bookmarkEnd w:id="131"/>
      <w:bookmarkEnd w:id="132"/>
      <w:bookmarkEnd w:id="133"/>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2"/>
        </w:numPr>
        <w:spacing w:line="576" w:lineRule="exact"/>
        <w:ind w:firstLine="640"/>
        <w:outlineLvl w:val="1"/>
        <w:rPr>
          <w:rStyle w:val="27"/>
          <w:rFonts w:ascii="黑体" w:hAnsi="黑体" w:eastAsia="黑体"/>
          <w:b w:val="0"/>
        </w:rPr>
      </w:pPr>
      <w:bookmarkStart w:id="134" w:name="_Toc15396611"/>
      <w:bookmarkStart w:id="135" w:name="_Toc11369"/>
      <w:bookmarkStart w:id="136" w:name="_Toc4119"/>
      <w:bookmarkStart w:id="137" w:name="_Toc79163873"/>
      <w:bookmarkStart w:id="138" w:name="_Toc15377219"/>
      <w:bookmarkStart w:id="139" w:name="_Toc79163623"/>
      <w:r>
        <w:rPr>
          <w:rStyle w:val="27"/>
          <w:rFonts w:hint="eastAsia" w:ascii="黑体" w:hAnsi="黑体" w:eastAsia="黑体"/>
          <w:b w:val="0"/>
        </w:rPr>
        <w:t>国有资本经营预算支出决算情况说明</w:t>
      </w:r>
      <w:bookmarkEnd w:id="134"/>
      <w:bookmarkEnd w:id="135"/>
      <w:bookmarkEnd w:id="136"/>
      <w:bookmarkEnd w:id="137"/>
      <w:bookmarkEnd w:id="138"/>
      <w:bookmarkEnd w:id="139"/>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576" w:lineRule="exact"/>
        <w:ind w:firstLine="800" w:firstLineChars="250"/>
        <w:outlineLvl w:val="1"/>
        <w:rPr>
          <w:rStyle w:val="27"/>
          <w:rFonts w:ascii="黑体" w:hAnsi="黑体" w:eastAsia="黑体"/>
        </w:rPr>
      </w:pPr>
      <w:bookmarkStart w:id="140" w:name="_Toc15396612"/>
      <w:bookmarkStart w:id="141" w:name="_Toc27844"/>
      <w:bookmarkStart w:id="142" w:name="_Toc30029"/>
      <w:bookmarkStart w:id="143" w:name="_Toc15377221"/>
      <w:bookmarkStart w:id="144" w:name="_Toc79163624"/>
      <w:bookmarkStart w:id="145" w:name="_Toc7916387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140"/>
      <w:bookmarkEnd w:id="141"/>
      <w:bookmarkEnd w:id="142"/>
      <w:bookmarkEnd w:id="143"/>
      <w:bookmarkEnd w:id="144"/>
      <w:bookmarkEnd w:id="145"/>
    </w:p>
    <w:p>
      <w:pPr>
        <w:spacing w:line="576" w:lineRule="exact"/>
        <w:ind w:firstLine="642" w:firstLineChars="200"/>
        <w:outlineLvl w:val="2"/>
        <w:rPr>
          <w:rFonts w:ascii="仿宋" w:hAnsi="仿宋" w:eastAsia="仿宋"/>
          <w:color w:val="000000"/>
          <w:sz w:val="32"/>
          <w:szCs w:val="32"/>
        </w:rPr>
      </w:pPr>
      <w:bookmarkStart w:id="146" w:name="_Toc79163625"/>
      <w:bookmarkStart w:id="147" w:name="_Toc15377222"/>
      <w:bookmarkStart w:id="148" w:name="_Toc298"/>
      <w:bookmarkStart w:id="149" w:name="_Toc79163875"/>
      <w:bookmarkStart w:id="150" w:name="_Toc6591"/>
      <w:r>
        <w:rPr>
          <w:rFonts w:hint="eastAsia" w:ascii="仿宋" w:hAnsi="仿宋" w:eastAsia="仿宋"/>
          <w:b/>
          <w:color w:val="000000"/>
          <w:sz w:val="32"/>
          <w:szCs w:val="32"/>
        </w:rPr>
        <w:t>（一）机关运行经费支出情况</w:t>
      </w:r>
      <w:bookmarkEnd w:id="146"/>
      <w:bookmarkEnd w:id="147"/>
      <w:bookmarkEnd w:id="148"/>
      <w:bookmarkEnd w:id="149"/>
      <w:bookmarkEnd w:id="150"/>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年，阿坝州妇女联合会机关运行经费支出63.84万元，比</w:t>
      </w:r>
      <w:r>
        <w:rPr>
          <w:rFonts w:ascii="仿宋_GB2312" w:eastAsia="仿宋_GB2312"/>
          <w:color w:val="000000"/>
          <w:sz w:val="32"/>
          <w:szCs w:val="32"/>
        </w:rPr>
        <w:t>2019</w:t>
      </w:r>
      <w:r>
        <w:rPr>
          <w:rFonts w:hint="eastAsia" w:ascii="仿宋_GB2312" w:eastAsia="仿宋_GB2312"/>
          <w:color w:val="000000"/>
          <w:sz w:val="32"/>
          <w:szCs w:val="32"/>
        </w:rPr>
        <w:t>年减少40.34万元，下降39</w:t>
      </w:r>
      <w:r>
        <w:rPr>
          <w:rFonts w:ascii="仿宋_GB2312" w:eastAsia="仿宋_GB2312"/>
          <w:color w:val="000000"/>
          <w:sz w:val="32"/>
          <w:szCs w:val="32"/>
        </w:rPr>
        <w:t>%</w:t>
      </w:r>
      <w:r>
        <w:rPr>
          <w:rFonts w:hint="eastAsia" w:ascii="仿宋_GB2312" w:eastAsia="仿宋_GB2312"/>
          <w:color w:val="000000"/>
          <w:sz w:val="32"/>
          <w:szCs w:val="32"/>
        </w:rPr>
        <w:t>,主要原因:一是财政持续压减经费。二是我会人员减少（退休1名，调出1名）。（注：数据来源于财决附</w:t>
      </w:r>
      <w:r>
        <w:rPr>
          <w:rFonts w:ascii="仿宋_GB2312" w:eastAsia="仿宋_GB2312"/>
          <w:color w:val="000000"/>
          <w:sz w:val="32"/>
          <w:szCs w:val="32"/>
        </w:rPr>
        <w:t>03</w:t>
      </w:r>
      <w:r>
        <w:rPr>
          <w:rFonts w:hint="eastAsia" w:ascii="仿宋_GB2312" w:eastAsia="仿宋_GB2312"/>
          <w:color w:val="000000"/>
          <w:sz w:val="32"/>
          <w:szCs w:val="32"/>
        </w:rPr>
        <w:t>表）</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bookmarkStart w:id="151" w:name="_Toc79163876"/>
      <w:bookmarkStart w:id="152" w:name="_Toc15377223"/>
      <w:bookmarkStart w:id="153" w:name="_Toc22230"/>
      <w:bookmarkStart w:id="154" w:name="_Toc19018"/>
      <w:bookmarkStart w:id="155" w:name="_Toc79163626"/>
      <w:r>
        <w:rPr>
          <w:rFonts w:hint="eastAsia" w:ascii="仿宋" w:hAnsi="仿宋" w:eastAsia="仿宋"/>
          <w:b/>
          <w:color w:val="000000"/>
          <w:sz w:val="32"/>
          <w:szCs w:val="32"/>
        </w:rPr>
        <w:t>（二）政府采购支出情况</w:t>
      </w:r>
      <w:bookmarkEnd w:id="151"/>
      <w:bookmarkEnd w:id="152"/>
      <w:bookmarkEnd w:id="153"/>
      <w:bookmarkEnd w:id="154"/>
      <w:bookmarkEnd w:id="155"/>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年，州妇联政府采购支出总额4.89万元，其中：政府采购货物支出4.89万元、政府采购工程支出0万元、政府采购服务支出0万元。主要用于办公设备购置。授予中小企业合同金额4.89万元，占政府采购支出总额的100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，其中：授予小微企业合同金额4.89万元，占政府采购支出总额的100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。（注：数据来源于财决附</w:t>
      </w:r>
      <w:r>
        <w:rPr>
          <w:rFonts w:ascii="仿宋_GB2312" w:eastAsia="仿宋_GB2312"/>
          <w:color w:val="000000"/>
          <w:sz w:val="32"/>
          <w:szCs w:val="32"/>
        </w:rPr>
        <w:t>03</w:t>
      </w:r>
      <w:r>
        <w:rPr>
          <w:rFonts w:hint="eastAsia" w:ascii="仿宋_GB2312" w:eastAsia="仿宋_GB2312"/>
          <w:color w:val="000000"/>
          <w:sz w:val="32"/>
          <w:szCs w:val="32"/>
        </w:rPr>
        <w:t>表）</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bookmarkStart w:id="156" w:name="_Toc79163627"/>
      <w:bookmarkStart w:id="157" w:name="_Toc79163877"/>
      <w:bookmarkStart w:id="158" w:name="_Toc15377224"/>
      <w:bookmarkStart w:id="159" w:name="_Toc2872"/>
      <w:bookmarkStart w:id="160" w:name="_Toc26862"/>
      <w:r>
        <w:rPr>
          <w:rFonts w:hint="eastAsia" w:ascii="仿宋" w:hAnsi="仿宋" w:eastAsia="仿宋"/>
          <w:b/>
          <w:color w:val="000000"/>
          <w:sz w:val="32"/>
          <w:szCs w:val="32"/>
        </w:rPr>
        <w:t>（三）国有资产占有使用情况</w:t>
      </w:r>
      <w:bookmarkEnd w:id="156"/>
      <w:bookmarkEnd w:id="157"/>
      <w:bookmarkEnd w:id="158"/>
      <w:bookmarkEnd w:id="159"/>
      <w:bookmarkEnd w:id="160"/>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日州妇联共有车辆2辆，其中：主要领导干部用车0辆、机要通信用车0辆、应急保障用车0辆、其他用车2辆</w:t>
      </w:r>
      <w:r>
        <w:rPr>
          <w:rFonts w:hint="eastAsia" w:ascii="仿宋_GB2312" w:eastAsia="仿宋_GB2312"/>
          <w:color w:val="000000" w:themeColor="text1"/>
          <w:sz w:val="32"/>
          <w:szCs w:val="32"/>
        </w:rPr>
        <w:t>用于开展公务活动，公务用车。单价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万元以上专用设备0台（套）。（注：数据来源财决附</w:t>
      </w:r>
      <w:r>
        <w:rPr>
          <w:rFonts w:ascii="仿宋_GB2312" w:eastAsia="仿宋_GB2312"/>
          <w:color w:val="000000"/>
          <w:sz w:val="32"/>
          <w:szCs w:val="32"/>
        </w:rPr>
        <w:t>03</w:t>
      </w:r>
      <w:r>
        <w:rPr>
          <w:rFonts w:hint="eastAsia" w:ascii="仿宋_GB2312" w:eastAsia="仿宋_GB2312"/>
          <w:color w:val="000000"/>
          <w:sz w:val="32"/>
          <w:szCs w:val="32"/>
        </w:rPr>
        <w:t>表）</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bookmarkStart w:id="161" w:name="_Toc79163628"/>
      <w:bookmarkStart w:id="162" w:name="_Toc22079"/>
      <w:bookmarkStart w:id="163" w:name="_Toc79163878"/>
      <w:bookmarkStart w:id="164" w:name="_Toc3122"/>
      <w:r>
        <w:rPr>
          <w:rFonts w:hint="eastAsia" w:ascii="仿宋" w:hAnsi="仿宋" w:eastAsia="仿宋"/>
          <w:b/>
          <w:color w:val="000000"/>
          <w:sz w:val="32"/>
          <w:szCs w:val="32"/>
        </w:rPr>
        <w:t>（四）预算绩效管理情况。</w:t>
      </w:r>
      <w:bookmarkEnd w:id="161"/>
      <w:bookmarkEnd w:id="162"/>
      <w:bookmarkEnd w:id="163"/>
      <w:bookmarkEnd w:id="164"/>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根据预算绩效管理要求，本部门（单位）在年初预算编制阶段，组织对基层组织建设项目、1+N工作经费、三八节、儿童节工作经费、妇女儿童工作经费、妇女儿童帮扶经费、妇女儿童宣传经费、思想引领专项经费等8个项目开展了预算事前绩效评估，对8个项目编制了绩效目标，预算执行过程中，选取8个项目开展绩效监控，年终执行完毕后，对8个项目开展了绩效目标完成情况自评。</w:t>
      </w:r>
    </w:p>
    <w:p>
      <w:pPr>
        <w:spacing w:line="576"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我会按要求对2020年部门整体支出开展绩效自评，从评价情况来看2020年项目围绕妇女居家灵活就业活动，妇女儿童发展权益、基层组织建设、贫困妇女儿童救助、庆祝三八节、儿童节等节日、关心关爱觉姆姐妹等工作取得一定成效，达到一定的社会效果。我会还自行组织了7个项目支出绩效评价，从评价情况来看完成情况非常好，社会反响也不错</w:t>
      </w:r>
      <w:r>
        <w:rPr>
          <w:rFonts w:hint="eastAsia" w:ascii="仿宋_GB2312" w:hAnsi="仿宋_GB2312" w:eastAsia="仿宋_GB2312" w:cs="仿宋_GB2312"/>
          <w:sz w:val="32"/>
          <w:szCs w:val="32"/>
        </w:rPr>
        <w:t xml:space="preserve">。    </w:t>
      </w:r>
    </w:p>
    <w:p>
      <w:pPr>
        <w:spacing w:line="576" w:lineRule="exact"/>
        <w:ind w:firstLine="642" w:firstLineChars="200"/>
        <w:rPr>
          <w:rFonts w:ascii="楷体_GB2312" w:hAnsi="楷体_GB2312" w:eastAsia="楷体_GB2312" w:cs="楷体_GB2312"/>
          <w:sz w:val="32"/>
          <w:szCs w:val="32"/>
        </w:rPr>
      </w:pPr>
      <w:r>
        <w:rPr>
          <w:rFonts w:hint="eastAsia" w:ascii="仿宋" w:hAnsi="仿宋" w:eastAsia="仿宋" w:cs="仿宋"/>
          <w:b/>
          <w:bCs/>
          <w:sz w:val="32"/>
          <w:szCs w:val="32"/>
        </w:rPr>
        <w:t>1.项目绩效目标完成情况。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本部门在2020年度部门决算中反映2020年妇女儿童专项工作经费、1+N工作经费、妇女儿童宣传经费、妇女儿童帮扶经费等8项目绩效目标实际完成情况。</w:t>
      </w:r>
    </w:p>
    <w:p>
      <w:pPr>
        <w:numPr>
          <w:ilvl w:val="0"/>
          <w:numId w:val="3"/>
        </w:numPr>
        <w:spacing w:line="576" w:lineRule="exact"/>
        <w:ind w:firstLine="640"/>
        <w:rPr>
          <w:rFonts w:ascii="仿宋" w:hAnsi="仿宋" w:eastAsia="仿宋" w:cs="仿宋"/>
          <w:sz w:val="32"/>
          <w:szCs w:val="32"/>
        </w:rPr>
      </w:pPr>
      <w:r>
        <w:rPr>
          <w:rFonts w:hint="eastAsia" w:ascii="仿宋" w:hAnsi="仿宋" w:eastAsia="仿宋" w:cs="仿宋"/>
          <w:sz w:val="32"/>
          <w:szCs w:val="32"/>
        </w:rPr>
        <w:t>妇女儿童工作经费项目绩效目标完成情况综述。项目全年预算数13万元，执行数为13万元，完成预算的100%。通过项目实施，保障了项目总体目标简要描述项目成效，发现的主要问题：妇女儿童工作经费不足，资金缺乏。下一步改进措施：进一步加大经费投入力度，保证项目的有效推进。</w:t>
      </w:r>
    </w:p>
    <w:p>
      <w:pPr>
        <w:numPr>
          <w:ilvl w:val="0"/>
          <w:numId w:val="3"/>
        </w:numPr>
        <w:spacing w:line="576" w:lineRule="exact"/>
        <w:ind w:firstLine="640"/>
        <w:rPr>
          <w:rFonts w:ascii="仿宋" w:hAnsi="仿宋" w:eastAsia="仿宋" w:cs="仿宋"/>
          <w:sz w:val="32"/>
          <w:szCs w:val="32"/>
        </w:rPr>
      </w:pPr>
      <w:r>
        <w:rPr>
          <w:rFonts w:hint="eastAsia" w:ascii="仿宋" w:hAnsi="仿宋" w:eastAsia="仿宋" w:cs="仿宋"/>
          <w:sz w:val="32"/>
          <w:szCs w:val="32"/>
        </w:rPr>
        <w:t>妇女儿童帮扶经费项目绩效目标完成情况综述。项目全年预算数5万元，执行数为4.94万元，完成预算的99%。通过项目实施，支持了项目总体目标简要描述项目成效，发现的主要问题：</w:t>
      </w:r>
      <w:r>
        <w:rPr>
          <w:rFonts w:hint="eastAsia" w:ascii="仿宋_GB2312" w:hAnsi="宋体" w:eastAsia="仿宋_GB2312"/>
          <w:sz w:val="32"/>
          <w:szCs w:val="32"/>
        </w:rPr>
        <w:t>项目资金使用范围较窄，预算准确度不够，使用过程中临时调整相对较多。</w:t>
      </w:r>
      <w:r>
        <w:rPr>
          <w:rFonts w:hint="eastAsia" w:ascii="仿宋" w:hAnsi="仿宋" w:eastAsia="仿宋" w:cs="仿宋"/>
          <w:sz w:val="32"/>
          <w:szCs w:val="32"/>
        </w:rPr>
        <w:t>下一步改进措施：项目经费按照专项的资金使用，达到不垫资，不调配其他支出。</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sz w:val="32"/>
          <w:szCs w:val="32"/>
        </w:rPr>
        <w:t>妇儿工委办工作经费项目绩效目标完成情况综述。项目全年预算数99997.79元，执行数为99997.79元，完成预算的100%。通过项目实施，保障了项目总体目标简要描述项目成效，发现的主要问题：项目经费实施的缺口大，支出远远不够。下一步改进措施：项目资金用到实处，精确到每一笔资金的额度，达到资金真正足够。</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（4）</w:t>
      </w:r>
      <w:r>
        <w:rPr>
          <w:rFonts w:hint="eastAsia" w:ascii="仿宋" w:hAnsi="仿宋" w:eastAsia="仿宋" w:cs="仿宋"/>
          <w:sz w:val="32"/>
          <w:szCs w:val="32"/>
        </w:rPr>
        <w:t>三八节、儿童节、重阳节工作经费项目绩效目标完成情况综述。项目全年预算数98437.40元，执行数为98437.40元，完成预算的100%。通过项目实施，促进了项目总体目标简要描述项目成效，发现的主要问题：</w:t>
      </w:r>
      <w:r>
        <w:rPr>
          <w:rFonts w:hint="eastAsia" w:ascii="仿宋_GB2312" w:hAnsi="仿宋_GB2312" w:eastAsia="仿宋_GB2312" w:cs="仿宋_GB2312"/>
          <w:sz w:val="32"/>
          <w:szCs w:val="21"/>
        </w:rPr>
        <w:t>项目预算和执行存在一定的偏差。</w:t>
      </w:r>
      <w:r>
        <w:rPr>
          <w:rFonts w:hint="eastAsia" w:ascii="仿宋" w:hAnsi="仿宋" w:eastAsia="仿宋" w:cs="仿宋"/>
          <w:sz w:val="32"/>
          <w:szCs w:val="32"/>
        </w:rPr>
        <w:t>下一步改进措施：计算预算和执行精确到位，把偏差降到最低，尽量实现两个数值。</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（5）</w:t>
      </w:r>
      <w:r>
        <w:rPr>
          <w:rFonts w:hint="eastAsia" w:ascii="仿宋" w:hAnsi="仿宋" w:eastAsia="仿宋" w:cs="仿宋"/>
          <w:sz w:val="32"/>
          <w:szCs w:val="32"/>
        </w:rPr>
        <w:t>1+N工作经费项目绩效目标完成情况综述。项目全年预算数449127.55元，执行数为410127.55元，完成预算的91%。通过项目实施，保障了项目总体目标简要描述项目成效，发现的主要问题：项目资金未发挥最大的效益。下一步改进措施：</w:t>
      </w:r>
      <w:r>
        <w:rPr>
          <w:rFonts w:hint="eastAsia" w:ascii="仿宋_GB2312" w:eastAsia="仿宋_GB2312" w:cs="仿宋"/>
          <w:bCs/>
          <w:sz w:val="32"/>
          <w:szCs w:val="32"/>
        </w:rPr>
        <w:t>确保项目资金使用安全并发挥最大的效益，</w:t>
      </w:r>
      <w:r>
        <w:rPr>
          <w:rFonts w:hint="eastAsia" w:ascii="仿宋_GB2312" w:eastAsia="仿宋_GB2312" w:cs="E-BZ"/>
          <w:color w:val="000000"/>
          <w:kern w:val="0"/>
          <w:sz w:val="32"/>
          <w:szCs w:val="32"/>
        </w:rPr>
        <w:t>保证各项工作顺利实施</w:t>
      </w:r>
      <w:r>
        <w:rPr>
          <w:rFonts w:hint="eastAsia" w:ascii="仿宋_GB2312" w:eastAsia="仿宋_GB2312"/>
          <w:sz w:val="32"/>
          <w:szCs w:val="32"/>
        </w:rPr>
        <w:t>。</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（6）</w:t>
      </w:r>
      <w:r>
        <w:rPr>
          <w:rFonts w:hint="eastAsia" w:ascii="仿宋" w:hAnsi="仿宋" w:eastAsia="仿宋" w:cs="仿宋"/>
          <w:sz w:val="32"/>
          <w:szCs w:val="32"/>
        </w:rPr>
        <w:t>妇女儿童宣传经费项目绩效目标完成情况综述。项目全年预算数5万元，执行数为5万元，完成预算的100%，。通过项目实施，提高了项目总体目标简要描述项目成效，发现的主要问题：由于宣传经费的限制，宣传活动开展的次数也仅受限制，且宣传内容不到位。下一步改进措施：把预算宣传经费的额度提高，换一种宣传方式，使内容真正能传达到。</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（7）</w:t>
      </w:r>
      <w:r>
        <w:rPr>
          <w:rFonts w:hint="eastAsia" w:ascii="仿宋" w:hAnsi="仿宋" w:eastAsia="仿宋" w:cs="仿宋"/>
          <w:sz w:val="32"/>
          <w:szCs w:val="32"/>
        </w:rPr>
        <w:t>思想引领专项经费项目绩效目标完成情况综述。项目全年预算数8万元，执行数为7.8万元，完成预算的98%。通过项目实施，促进了项目总体目标简要描述项目成效，发现的主要问题：开展思想引领大型宣讲中，部分区域在宣讲总结中未体现</w:t>
      </w:r>
      <w:r>
        <w:rPr>
          <w:rFonts w:hint="eastAsia" w:ascii="仿宋_GB2312" w:hAnsi="仿宋_GB2312" w:eastAsia="仿宋_GB2312" w:cs="仿宋_GB2312"/>
          <w:sz w:val="32"/>
          <w:szCs w:val="21"/>
        </w:rPr>
        <w:t>。</w:t>
      </w:r>
      <w:r>
        <w:rPr>
          <w:rFonts w:hint="eastAsia" w:ascii="仿宋" w:hAnsi="仿宋" w:eastAsia="仿宋" w:cs="仿宋"/>
          <w:sz w:val="32"/>
          <w:szCs w:val="32"/>
        </w:rPr>
        <w:t>下一步改进措施：加大各项活动的宣传力度，积极引领妇女思想政治工作。</w:t>
      </w:r>
    </w:p>
    <w:p>
      <w:pPr>
        <w:spacing w:line="240" w:lineRule="atLeast"/>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困难妇女儿童、驻村工作人员、退休老干部等关心关爱</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47000</w:t>
            </w:r>
          </w:p>
        </w:tc>
      </w:tr>
      <w:tr>
        <w:tblPrEx>
          <w:tblCellMar>
            <w:top w:w="0" w:type="dxa"/>
            <w:left w:w="0" w:type="dxa"/>
            <w:bottom w:w="0" w:type="dxa"/>
            <w:right w:w="0" w:type="dxa"/>
          </w:tblCellMar>
        </w:tblPrEx>
        <w:trPr>
          <w:trHeight w:val="107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47000</w:t>
            </w:r>
          </w:p>
        </w:tc>
      </w:tr>
      <w:tr>
        <w:tblPrEx>
          <w:tblCellMar>
            <w:top w:w="0" w:type="dxa"/>
            <w:left w:w="0" w:type="dxa"/>
            <w:bottom w:w="0" w:type="dxa"/>
            <w:right w:w="0" w:type="dxa"/>
          </w:tblCellMar>
        </w:tblPrEx>
        <w:trPr>
          <w:trHeight w:val="80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r>
      <w:tr>
        <w:tblPrEx>
          <w:tblCellMar>
            <w:top w:w="0" w:type="dxa"/>
            <w:left w:w="0" w:type="dxa"/>
            <w:bottom w:w="0" w:type="dxa"/>
            <w:right w:w="0" w:type="dxa"/>
          </w:tblCellMar>
        </w:tblPrEx>
        <w:trPr>
          <w:trHeight w:val="781"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299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让驻村干部、退休老干部感受到组织的关爱，让受助妇女儿童真切感受到党和国家的温暖，通过资金的帮扶救助，帮助她们树立生活的信心，为她们解决燃眉之急，帮助她们度过眼前的难关，真正体现妇联组织“坚强阵地、温暖之家”的重要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驻村干部、退休老干部感受到了组织的关爱，受助妇女儿童真切感受到了党和国家的温暖，为广大受助妇女儿童解决燃眉之急，帮助她们重新树立起生活的信心。进一步把妇联组织建设成为了妇女儿童心中的“坚强阵地、温暖之家”。</w:t>
            </w:r>
          </w:p>
        </w:tc>
      </w:tr>
      <w:tr>
        <w:tblPrEx>
          <w:tblCellMar>
            <w:top w:w="0" w:type="dxa"/>
            <w:left w:w="0" w:type="dxa"/>
            <w:bottom w:w="0" w:type="dxa"/>
            <w:right w:w="0" w:type="dxa"/>
          </w:tblCellMar>
        </w:tblPrEx>
        <w:trPr>
          <w:trHeight w:val="1371"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实际完成指标值(包含数字及文字描述)</w:t>
            </w:r>
          </w:p>
        </w:tc>
      </w:tr>
      <w:tr>
        <w:tblPrEx>
          <w:tblCellMar>
            <w:top w:w="0" w:type="dxa"/>
            <w:left w:w="0" w:type="dxa"/>
            <w:bottom w:w="0" w:type="dxa"/>
            <w:right w:w="0" w:type="dxa"/>
          </w:tblCellMar>
        </w:tblPrEx>
        <w:trPr>
          <w:trHeight w:val="218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给予驻村干部、退休老干部和70名（个）左右的困难群众及其家庭等资金和物质的帮助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结合疫情防控、两联一进等、新春老干部慰问等活动，慰问退休干部、贫困妇女儿童、女农民工、一线抗疫医务人员100余人。</w:t>
            </w:r>
          </w:p>
        </w:tc>
      </w:tr>
      <w:tr>
        <w:tblPrEx>
          <w:tblCellMar>
            <w:top w:w="0" w:type="dxa"/>
            <w:left w:w="0" w:type="dxa"/>
            <w:bottom w:w="0" w:type="dxa"/>
            <w:right w:w="0" w:type="dxa"/>
          </w:tblCellMar>
        </w:tblPrEx>
        <w:trPr>
          <w:trHeight w:val="162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2020年12月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2020年12月</w:t>
            </w:r>
          </w:p>
        </w:tc>
      </w:tr>
      <w:tr>
        <w:tblPrEx>
          <w:tblCellMar>
            <w:top w:w="0" w:type="dxa"/>
            <w:left w:w="0" w:type="dxa"/>
            <w:bottom w:w="0" w:type="dxa"/>
            <w:right w:w="0" w:type="dxa"/>
          </w:tblCellMar>
        </w:tblPrEx>
        <w:trPr>
          <w:trHeight w:val="104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财政拨入经费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50000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50000</w:t>
            </w:r>
          </w:p>
        </w:tc>
      </w:tr>
      <w:tr>
        <w:tblPrEx>
          <w:tblCellMar>
            <w:top w:w="0" w:type="dxa"/>
            <w:left w:w="0" w:type="dxa"/>
            <w:bottom w:w="0" w:type="dxa"/>
            <w:right w:w="0" w:type="dxa"/>
          </w:tblCellMar>
        </w:tblPrEx>
        <w:trPr>
          <w:trHeight w:val="21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社会效益</w:t>
            </w:r>
          </w:p>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社会影响力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让受益群众感受到妇联组织的关心关爱，营造出全社会关心关爱妇女儿童的良好氛围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受益群众真切感受到了党和国家、妇联组织的关心关爱，在全社会营造出关心关爱妇女儿童的良好氛围</w:t>
            </w:r>
          </w:p>
        </w:tc>
      </w:tr>
      <w:tr>
        <w:tblPrEx>
          <w:tblCellMar>
            <w:top w:w="0" w:type="dxa"/>
            <w:left w:w="0" w:type="dxa"/>
            <w:bottom w:w="0" w:type="dxa"/>
            <w:right w:w="0" w:type="dxa"/>
          </w:tblCellMar>
        </w:tblPrEx>
        <w:trPr>
          <w:trHeight w:val="290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textAlignment w:val="center"/>
              <w:rPr>
                <w:rFonts w:ascii="仿宋" w:hAnsi="仿宋" w:eastAsia="仿宋" w:cs="仿宋"/>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可持续影响</w:t>
            </w:r>
          </w:p>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影响持续性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受助妇女儿童度过眼前难关，重获生活信心，其影响力是持久的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受助妇女儿童度过眼前难关，重获生活信心，努力寻求改变，逐渐走出阴霾，用自己的双手改变生活，影响力巨大而持久</w:t>
            </w:r>
          </w:p>
        </w:tc>
      </w:tr>
      <w:tr>
        <w:tblPrEx>
          <w:tblCellMar>
            <w:top w:w="0" w:type="dxa"/>
            <w:left w:w="0" w:type="dxa"/>
            <w:bottom w:w="0" w:type="dxa"/>
            <w:right w:w="0" w:type="dxa"/>
          </w:tblCellMar>
        </w:tblPrEx>
        <w:trPr>
          <w:trHeight w:val="2166"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受益人满意度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受益群众满意率70%以上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受益妇女儿童及其家庭满意率达到预期目标</w:t>
            </w:r>
          </w:p>
        </w:tc>
      </w:tr>
    </w:tbl>
    <w:p>
      <w:pPr>
        <w:spacing w:line="240" w:lineRule="atLeast"/>
        <w:ind w:firstLine="640" w:firstLineChars="200"/>
        <w:rPr>
          <w:rFonts w:ascii="仿宋_GB2312" w:hAnsi="仿宋_GB2312" w:eastAsia="仿宋_GB2312" w:cs="仿宋_GB2312"/>
          <w:sz w:val="32"/>
          <w:szCs w:val="32"/>
        </w:rPr>
      </w:pPr>
    </w:p>
    <w:p>
      <w:pPr>
        <w:spacing w:line="240" w:lineRule="atLeast"/>
        <w:ind w:firstLine="640" w:firstLineChars="200"/>
        <w:rPr>
          <w:rFonts w:ascii="仿宋_GB2312" w:hAnsi="仿宋_GB2312" w:eastAsia="仿宋_GB2312" w:cs="仿宋_GB2312"/>
          <w:sz w:val="32"/>
          <w:szCs w:val="32"/>
        </w:rPr>
      </w:pPr>
    </w:p>
    <w:p>
      <w:pPr>
        <w:pStyle w:val="2"/>
        <w:spacing w:before="93" w:line="240" w:lineRule="atLeast"/>
        <w:rPr>
          <w:rFonts w:hAnsi="仿宋_GB2312" w:cs="仿宋_GB2312"/>
          <w:sz w:val="32"/>
          <w:szCs w:val="32"/>
        </w:rPr>
      </w:pPr>
    </w:p>
    <w:p>
      <w:pPr>
        <w:spacing w:line="240" w:lineRule="atLeast"/>
        <w:rPr>
          <w:rFonts w:ascii="仿宋_GB2312" w:hAnsi="仿宋_GB2312" w:eastAsia="仿宋_GB2312" w:cs="仿宋_GB2312"/>
          <w:sz w:val="32"/>
          <w:szCs w:val="32"/>
        </w:rPr>
      </w:pPr>
    </w:p>
    <w:p>
      <w:pPr>
        <w:pStyle w:val="2"/>
        <w:spacing w:before="93" w:line="240" w:lineRule="atLeast"/>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716"/>
              </w:tabs>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ab/>
            </w:r>
            <w:r>
              <w:rPr>
                <w:rFonts w:hint="eastAsia" w:ascii="仿宋" w:hAnsi="仿宋" w:eastAsia="仿宋" w:cs="仿宋"/>
                <w:color w:val="000000"/>
                <w:sz w:val="24"/>
              </w:rPr>
              <w:t>基层组织建设工作经费</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240" w:firstLineChars="100"/>
              <w:jc w:val="left"/>
              <w:textAlignment w:val="center"/>
              <w:rPr>
                <w:rFonts w:ascii="仿宋" w:hAnsi="仿宋" w:eastAsia="仿宋" w:cs="仿宋"/>
                <w:color w:val="000000"/>
                <w:sz w:val="24"/>
              </w:rPr>
            </w:pPr>
            <w:r>
              <w:rPr>
                <w:rFonts w:hint="eastAsia" w:ascii="仿宋" w:hAnsi="仿宋" w:eastAsia="仿宋" w:cs="仿宋"/>
                <w:color w:val="000000"/>
                <w:sz w:val="24"/>
              </w:rPr>
              <w:t>开展“下基层、访妇情”工作，指导基层开展乡镇行政区划调整、村级建制调整后乡镇、村社区的妇联组织调整工作。配合省妇联开展女性社会组织调研工作，形成调研报告，巩固提升服务型妇联组织建设成果。总结梳理各县（市）“会改联”、乡镇妇联区域化工作情况，对改建程序不规范、改建后工作开展不力、作用发挥不好等问题，逐一排查核实，抓好整改落实。</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480" w:firstLineChars="200"/>
              <w:jc w:val="left"/>
              <w:textAlignment w:val="center"/>
              <w:rPr>
                <w:rFonts w:ascii="仿宋" w:hAnsi="仿宋" w:eastAsia="仿宋" w:cs="仿宋"/>
                <w:color w:val="000000"/>
                <w:sz w:val="24"/>
              </w:rPr>
            </w:pPr>
            <w:r>
              <w:rPr>
                <w:rFonts w:hint="eastAsia" w:ascii="仿宋" w:hAnsi="仿宋" w:eastAsia="仿宋" w:cs="仿宋"/>
                <w:sz w:val="24"/>
              </w:rPr>
              <w:t>项目实际完成度高，与预期绩效目标偏离度小，实际完成达到了预期指标。深入基层开展“访妇情”等工作，了解妇女群众急难愁盼问题，开展村（社区）妇联主席待遇保障工作调研，对村（社区）妇联主席、离任（社区）妇联主席有关待遇保障进行调研、统计、分析，并形成《关于村（社区）妇联主席待遇保障工作有关事宜的报告》。</w:t>
            </w:r>
          </w:p>
        </w:tc>
      </w:tr>
    </w:tbl>
    <w:tbl>
      <w:tblPr>
        <w:tblStyle w:val="22"/>
        <w:tblpPr w:leftFromText="180" w:rightFromText="180" w:vertAnchor="text" w:horzAnchor="page" w:tblpX="1075" w:tblpY="2999"/>
        <w:tblOverlap w:val="never"/>
        <w:tblW w:w="9960" w:type="dxa"/>
        <w:tblInd w:w="0" w:type="dxa"/>
        <w:tblLayout w:type="autofit"/>
        <w:tblCellMar>
          <w:top w:w="0" w:type="dxa"/>
          <w:left w:w="108" w:type="dxa"/>
          <w:bottom w:w="0" w:type="dxa"/>
          <w:right w:w="108" w:type="dxa"/>
        </w:tblCellMar>
      </w:tblPr>
      <w:tblGrid>
        <w:gridCol w:w="456"/>
        <w:gridCol w:w="456"/>
        <w:gridCol w:w="1248"/>
        <w:gridCol w:w="2970"/>
        <w:gridCol w:w="2430"/>
        <w:gridCol w:w="2400"/>
      </w:tblGrid>
      <w:tr>
        <w:tblPrEx>
          <w:tblCellMar>
            <w:top w:w="0" w:type="dxa"/>
            <w:left w:w="108" w:type="dxa"/>
            <w:bottom w:w="0" w:type="dxa"/>
            <w:right w:w="108" w:type="dxa"/>
          </w:tblCellMar>
        </w:tblPrEx>
        <w:trPr>
          <w:trHeight w:val="675" w:hRule="atLeast"/>
        </w:trPr>
        <w:tc>
          <w:tcPr>
            <w:tcW w:w="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年</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绩</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效</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标</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一级指标</w:t>
            </w: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二级指标</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三级指标</w:t>
            </w: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预期指标值(包含数字及文字描述)</w:t>
            </w: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实际完成指标值(包含数字及文字描述)</w:t>
            </w:r>
          </w:p>
        </w:tc>
      </w:tr>
      <w:tr>
        <w:tblPrEx>
          <w:tblCellMar>
            <w:top w:w="0" w:type="dxa"/>
            <w:left w:w="108" w:type="dxa"/>
            <w:bottom w:w="0" w:type="dxa"/>
            <w:right w:w="108" w:type="dxa"/>
          </w:tblCellMar>
        </w:tblPrEx>
        <w:trPr>
          <w:trHeight w:val="630"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完成指标</w:t>
            </w: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数量指标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基层调研</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常态化开展基层调研，每月开展妇联工作基层调研。</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会机关开展“下基层、访妇情、办实事”工作调研，了解基层妇联组织建设、关爱困难觉姆姐妹</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质量指标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指导组织建设</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进一步深化基层妇联改革，全面推进妇联工作有效进行，更好地发挥妇联组织联系妇女群众的桥梁、纽带作用。</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通过“以点带面”，有效发挥基层妇联骨干引领示范作用，进一步深化基层妇联改革，全面推进妇联工作有效进行，更好地发挥妇联组织联系妇女群众的桥梁、纽带作用。</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时效指标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2020年完成</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成本指标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效益指标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经济效益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275"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社会效益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发挥联系妇女桥梁纽带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作用</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在“访妇情、办实事”中拉进妇联干部与群众的关系</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通过开展系列走访活动，与群众促膝交谈，实地了解妇女所思所想所盼</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生态效益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52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可持续影响</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能力提升</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加强了基层妇干的综合素质，对更好地服务全州妇女群众，</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加强了基层妇干的综合素质</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95"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满意度</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满意度指标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bl>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716"/>
              </w:tabs>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ab/>
            </w:r>
            <w:r>
              <w:rPr>
                <w:rFonts w:hint="eastAsia" w:ascii="仿宋" w:hAnsi="仿宋" w:eastAsia="仿宋" w:cs="仿宋"/>
                <w:color w:val="000000"/>
                <w:sz w:val="24"/>
              </w:rPr>
              <w:t>妇女儿童宣传经费</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240" w:firstLineChars="100"/>
              <w:jc w:val="left"/>
              <w:textAlignment w:val="center"/>
              <w:rPr>
                <w:rFonts w:ascii="仿宋" w:hAnsi="仿宋" w:eastAsia="仿宋" w:cs="仿宋"/>
                <w:color w:val="000000"/>
                <w:sz w:val="24"/>
              </w:rPr>
            </w:pPr>
            <w:r>
              <w:rPr>
                <w:rFonts w:hint="eastAsia" w:ascii="仿宋" w:hAnsi="仿宋" w:eastAsia="仿宋" w:cs="仿宋"/>
                <w:color w:val="000000"/>
                <w:sz w:val="24"/>
              </w:rPr>
              <w:t>线上充分利用“花开阿坝”公众号、全州各界妇女微信群，大力开展形式多样的思想引领宣传和舆论引导工作，宣传党的创新理论、政策法规、妇女维权、家庭建设等，完成公众号每周二至三期信息发布（转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sz w:val="24"/>
              </w:rPr>
              <w:t>继续与成都恒漾网络科技有限公司合作，负责代运营阿坝州妇联微信公众号“花开阿坝”新媒体官方账号及抖音官方账号，通过文字、图片、视频、活动等方式推送资讯，对阿坝州妇联进行全方位的综合性宣传和推广。宣传引导全州妇联干部和妇女同胞正确认识、科学防范，积极参与到新冠肺炎疫情防控工作中；开展特殊的“三八”节活动。利用“三八”节开展“净土战‘疫’·花开阿坝”特殊的“三八”节纪念活动。</w:t>
            </w:r>
          </w:p>
        </w:tc>
      </w:tr>
    </w:tbl>
    <w:tbl>
      <w:tblPr>
        <w:tblStyle w:val="22"/>
        <w:tblpPr w:leftFromText="180" w:rightFromText="180" w:vertAnchor="text" w:horzAnchor="page" w:tblpX="1075" w:tblpY="2999"/>
        <w:tblOverlap w:val="never"/>
        <w:tblW w:w="9960" w:type="dxa"/>
        <w:tblInd w:w="0" w:type="dxa"/>
        <w:tblLayout w:type="autofit"/>
        <w:tblCellMar>
          <w:top w:w="0" w:type="dxa"/>
          <w:left w:w="108" w:type="dxa"/>
          <w:bottom w:w="0" w:type="dxa"/>
          <w:right w:w="108" w:type="dxa"/>
        </w:tblCellMar>
      </w:tblPr>
      <w:tblGrid>
        <w:gridCol w:w="456"/>
        <w:gridCol w:w="456"/>
        <w:gridCol w:w="1248"/>
        <w:gridCol w:w="2970"/>
        <w:gridCol w:w="2430"/>
        <w:gridCol w:w="2400"/>
      </w:tblGrid>
      <w:tr>
        <w:tblPrEx>
          <w:tblCellMar>
            <w:top w:w="0" w:type="dxa"/>
            <w:left w:w="108" w:type="dxa"/>
            <w:bottom w:w="0" w:type="dxa"/>
            <w:right w:w="108" w:type="dxa"/>
          </w:tblCellMar>
        </w:tblPrEx>
        <w:trPr>
          <w:trHeight w:val="675" w:hRule="atLeast"/>
        </w:trPr>
        <w:tc>
          <w:tcPr>
            <w:tcW w:w="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年</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绩</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效</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标</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一级指标</w:t>
            </w: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二级指标</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三级指标</w:t>
            </w: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预期指标值(包含数字及文字描述)</w:t>
            </w: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实际完成指标值(包含数字及文字描述)</w:t>
            </w:r>
          </w:p>
        </w:tc>
      </w:tr>
      <w:tr>
        <w:tblPrEx>
          <w:tblCellMar>
            <w:top w:w="0" w:type="dxa"/>
            <w:left w:w="108" w:type="dxa"/>
            <w:bottom w:w="0" w:type="dxa"/>
            <w:right w:w="108" w:type="dxa"/>
          </w:tblCellMar>
        </w:tblPrEx>
        <w:trPr>
          <w:trHeight w:val="630"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完成指标</w:t>
            </w: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数量指标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开展宣传</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公众号每周二至三期信息发布（转载）</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2020年全年在“花开阿坝”发布信息99期，323条，阅读量54.5万。</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质量指标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时效指标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2020年2月-2021年2月</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2020年2月-2021年2月</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2020年2月-2021年2月</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成本指标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效益指标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经济效益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275"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社会效益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sz w:val="24"/>
              </w:rPr>
              <w:t>宣传党的创新理论、政策法规、妇女维权、家庭建设等。</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sz w:val="24"/>
              </w:rPr>
              <w:t>牢牢把握妇女在网上阵地的舆论引导作用，积极宣传涉及妇女儿童民生、合法权利维护等政策法规。</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亮出阿坝妇联宣传品牌，妇女群众接收力强、互动效果好。引领妇女听党话、跟党走，宣传覆盖面广、受益妇女群众多、效果好、社会反响好。</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生态效益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52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可持续影响</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筑牢思想防线</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引领妇女听党话、跟党走</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及时开辟“阿坝妇女建新功”、“妇联改革进行时”和“基层动态”等专栏，宣传全州脱贫攻坚、妇联改革和先进典型等。</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满意度</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满意度指标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活动参与度高</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bl>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p>
          <w:p>
            <w:pPr>
              <w:pStyle w:val="2"/>
              <w:spacing w:before="93"/>
            </w:pPr>
          </w:p>
          <w:p>
            <w:pPr>
              <w:widowControl/>
              <w:spacing w:line="240" w:lineRule="atLeast"/>
              <w:jc w:val="center"/>
              <w:textAlignment w:val="center"/>
              <w:rPr>
                <w:rFonts w:ascii="宋体" w:hAnsi="宋体" w:cs="宋体"/>
                <w:b/>
                <w:bCs/>
                <w:color w:val="000000"/>
                <w:kern w:val="0"/>
                <w:sz w:val="36"/>
                <w:szCs w:val="36"/>
              </w:rPr>
            </w:pPr>
          </w:p>
          <w:p>
            <w:pPr>
              <w:widowControl/>
              <w:spacing w:line="240" w:lineRule="atLeast"/>
              <w:jc w:val="center"/>
              <w:textAlignment w:val="center"/>
              <w:rPr>
                <w:rFonts w:ascii="宋体" w:hAnsi="宋体" w:cs="宋体"/>
                <w:b/>
                <w:bCs/>
                <w:color w:val="000000"/>
                <w:kern w:val="0"/>
                <w:sz w:val="36"/>
                <w:szCs w:val="36"/>
              </w:rPr>
            </w:pPr>
          </w:p>
          <w:p>
            <w:pPr>
              <w:widowControl/>
              <w:spacing w:line="240" w:lineRule="atLeast"/>
              <w:jc w:val="center"/>
              <w:textAlignment w:val="center"/>
              <w:rPr>
                <w:rFonts w:ascii="宋体" w:hAnsi="宋体" w:cs="宋体"/>
                <w:b/>
                <w:bCs/>
                <w:color w:val="000000"/>
                <w:kern w:val="0"/>
                <w:sz w:val="36"/>
                <w:szCs w:val="36"/>
              </w:rPr>
            </w:pPr>
          </w:p>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716"/>
              </w:tabs>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ab/>
            </w:r>
            <w:r>
              <w:rPr>
                <w:rFonts w:hint="eastAsia" w:ascii="仿宋" w:hAnsi="仿宋" w:eastAsia="仿宋" w:cs="仿宋"/>
                <w:color w:val="000000"/>
                <w:sz w:val="24"/>
              </w:rPr>
              <w:t>三八节、母亲节等节庆活动经费</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240" w:firstLineChars="100"/>
              <w:jc w:val="left"/>
              <w:textAlignment w:val="center"/>
              <w:rPr>
                <w:rFonts w:ascii="仿宋" w:hAnsi="仿宋" w:eastAsia="仿宋" w:cs="仿宋"/>
                <w:color w:val="000000"/>
                <w:sz w:val="24"/>
              </w:rPr>
            </w:pPr>
            <w:r>
              <w:rPr>
                <w:rFonts w:hint="eastAsia" w:ascii="仿宋" w:hAnsi="仿宋" w:eastAsia="仿宋" w:cs="仿宋"/>
                <w:color w:val="000000"/>
                <w:sz w:val="24"/>
              </w:rPr>
              <w:t>在三八节等节庆日，围绕贯彻落实党的十九大精神、全国妇女十二大、四川妇女十三大精神，以州妇联牵头组织各地，通过线上线下联动开展线上线下庆祝活动。</w:t>
            </w:r>
          </w:p>
          <w:p>
            <w:pPr>
              <w:widowControl/>
              <w:spacing w:line="240" w:lineRule="atLeast"/>
              <w:ind w:firstLine="240" w:firstLineChars="100"/>
              <w:jc w:val="left"/>
              <w:textAlignment w:val="center"/>
              <w:rPr>
                <w:rFonts w:ascii="仿宋" w:hAnsi="仿宋" w:eastAsia="仿宋" w:cs="仿宋"/>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sz w:val="24"/>
              </w:rPr>
              <w:t>疫情期间，开展“巾帼解忧 暖心抗疫”活动；三八节制作VCR小视频致敬抗疫逆行者；在线下开展“巾帼心向党”思想引领大宣讲活动</w:t>
            </w:r>
          </w:p>
        </w:tc>
      </w:tr>
    </w:tbl>
    <w:tbl>
      <w:tblPr>
        <w:tblStyle w:val="22"/>
        <w:tblpPr w:leftFromText="180" w:rightFromText="180" w:vertAnchor="text" w:horzAnchor="page" w:tblpX="1075" w:tblpY="2999"/>
        <w:tblOverlap w:val="never"/>
        <w:tblW w:w="9960" w:type="dxa"/>
        <w:tblInd w:w="0" w:type="dxa"/>
        <w:tblLayout w:type="autofit"/>
        <w:tblCellMar>
          <w:top w:w="0" w:type="dxa"/>
          <w:left w:w="108" w:type="dxa"/>
          <w:bottom w:w="0" w:type="dxa"/>
          <w:right w:w="108" w:type="dxa"/>
        </w:tblCellMar>
      </w:tblPr>
      <w:tblGrid>
        <w:gridCol w:w="456"/>
        <w:gridCol w:w="456"/>
        <w:gridCol w:w="1248"/>
        <w:gridCol w:w="2970"/>
        <w:gridCol w:w="2430"/>
        <w:gridCol w:w="2400"/>
      </w:tblGrid>
      <w:tr>
        <w:tblPrEx>
          <w:tblCellMar>
            <w:top w:w="0" w:type="dxa"/>
            <w:left w:w="108" w:type="dxa"/>
            <w:bottom w:w="0" w:type="dxa"/>
            <w:right w:w="108" w:type="dxa"/>
          </w:tblCellMar>
        </w:tblPrEx>
        <w:trPr>
          <w:trHeight w:val="675" w:hRule="atLeast"/>
        </w:trPr>
        <w:tc>
          <w:tcPr>
            <w:tcW w:w="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年</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绩</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效</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标</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一级指标</w:t>
            </w: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二级指标</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三级指标</w:t>
            </w: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预期指标值(包含数字及文字描述)</w:t>
            </w: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实际完成指标值(包含数字及文字描述)</w:t>
            </w:r>
          </w:p>
        </w:tc>
      </w:tr>
      <w:tr>
        <w:tblPrEx>
          <w:tblCellMar>
            <w:top w:w="0" w:type="dxa"/>
            <w:left w:w="108" w:type="dxa"/>
            <w:bottom w:w="0" w:type="dxa"/>
            <w:right w:w="108" w:type="dxa"/>
          </w:tblCellMar>
        </w:tblPrEx>
        <w:trPr>
          <w:trHeight w:val="630"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完成指标</w:t>
            </w: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数量指标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开展宣讲</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在县上线下开展不少于10场次思想引领大宣讲活动</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疫情期间，在线上开展10余场“巾帼解忧”网上家教课堂，线下联合汶川县妇联开展“巾帼心向党思想引领大宣讲活动”</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质量指标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线上线下宣传活动形式多样</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县上依托花开阿坝微信公众号、微阿坝等网络平台开展宣传，线下联合县妇联开展各类宣讲</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通过“以点带面”，有效发挥基层妇联骨干引领示范作用，进一步深化基层妇联改革，全面推进妇联工作有效进行，更好地发挥妇联组织联系妇女群众的桥梁、纽带作用。</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时效指标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2020年完成</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成本指标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效益指标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经济效益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275"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社会效益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开展宣传活动，凝心聚力</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有效引导我州妇女群众知党情感党恩，跟党走中国特色社会主义道路，我州妇女姐妹思想意识进一步提高。进一步激活妇女思想政治引领工作，妇联组织更好地发挥桥梁纽带作用，带领广大妇女更加自觉地筑牢理想信念。</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疫情期间录制抗疫视频，引导妇女姐妹积极投身疫情防控站中，做家庭的健康守护者，宣传抗疫期间优秀女性形象。引导妇女恢复经济发展，凝聚巾帼人心。</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生态效益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52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可持续影响</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筑牢思想防线</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引领妇女听党话、跟党走</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在疫情防控和恢复经济中再次凸显了妇女的磅礴的巾帼力量，筑牢思想防线。</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满意度</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满意度指标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活动参与度高</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bl>
    <w:p>
      <w:pPr>
        <w:spacing w:line="240" w:lineRule="atLeast"/>
        <w:ind w:firstLine="640" w:firstLineChars="200"/>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716"/>
              </w:tabs>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2020年度妇女儿童事业发展资金</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5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8万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8万元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①覆盖3类以上不同妇女群体，覆盖人数达4万。②线上线下宣讲、宣传活动不少于25场。③开展巾帼志愿服务5场。④运用新媒体手段围绕妇女群众关注点在州妇联官方公众号“花开阿坝”主动设置话题、引导讨论，努力做到联系妇女群众线下有活动、有面对面交流, 线上有声音、有互动、有话题，实现互动常态化、沟通零距离。⑤通过活动的开展，亮出妇联旗帜、发出妇联声音，凝聚妇女力量，不断增强广大妇女贯彻落实的自觉性和坚定性，团结引领广大妇女群众听党话、跟党走，凝聚全州妇女投身“一州两区三家园”建设。</w:t>
            </w:r>
          </w:p>
          <w:p>
            <w:pPr>
              <w:widowControl/>
              <w:spacing w:line="240" w:lineRule="atLeast"/>
              <w:jc w:val="left"/>
              <w:textAlignment w:val="center"/>
              <w:rPr>
                <w:rFonts w:ascii="仿宋" w:hAnsi="仿宋" w:eastAsia="仿宋" w:cs="仿宋"/>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sz w:val="24"/>
              </w:rPr>
              <w:t>线下阿坝州妇联 黑水县妇联联合举办“净土春晖 巾帼心向党思想引领”大宣讲活动。线上线下宣传覆盖人数超过4万。线上通过微信公众号、qq群、微信群等形式开展宣传活动，线下组织巾帼志愿者开展巾帼志愿宣讲活动。宣传活动超过25场。组织巾帼志愿者开展巾帼志愿宣讲活动超过5场。</w:t>
            </w:r>
          </w:p>
        </w:tc>
      </w:tr>
    </w:tbl>
    <w:tbl>
      <w:tblPr>
        <w:tblStyle w:val="22"/>
        <w:tblpPr w:leftFromText="180" w:rightFromText="180" w:vertAnchor="text" w:horzAnchor="page" w:tblpX="1075" w:tblpY="2999"/>
        <w:tblOverlap w:val="never"/>
        <w:tblW w:w="9960" w:type="dxa"/>
        <w:tblInd w:w="0" w:type="dxa"/>
        <w:tblLayout w:type="autofit"/>
        <w:tblCellMar>
          <w:top w:w="0" w:type="dxa"/>
          <w:left w:w="108" w:type="dxa"/>
          <w:bottom w:w="0" w:type="dxa"/>
          <w:right w:w="108" w:type="dxa"/>
        </w:tblCellMar>
      </w:tblPr>
      <w:tblGrid>
        <w:gridCol w:w="456"/>
        <w:gridCol w:w="456"/>
        <w:gridCol w:w="1248"/>
        <w:gridCol w:w="2970"/>
        <w:gridCol w:w="2430"/>
        <w:gridCol w:w="2400"/>
      </w:tblGrid>
      <w:tr>
        <w:tblPrEx>
          <w:tblCellMar>
            <w:top w:w="0" w:type="dxa"/>
            <w:left w:w="108" w:type="dxa"/>
            <w:bottom w:w="0" w:type="dxa"/>
            <w:right w:w="108" w:type="dxa"/>
          </w:tblCellMar>
        </w:tblPrEx>
        <w:trPr>
          <w:trHeight w:val="675" w:hRule="atLeast"/>
        </w:trPr>
        <w:tc>
          <w:tcPr>
            <w:tcW w:w="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年</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绩</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效</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标</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一级指标</w:t>
            </w: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二级指标</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三级指标</w:t>
            </w: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预期指标值(包含数字及文字描述)</w:t>
            </w: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实际完成指标值(包含数字及文字描述)</w:t>
            </w:r>
          </w:p>
        </w:tc>
      </w:tr>
      <w:tr>
        <w:tblPrEx>
          <w:tblCellMar>
            <w:top w:w="0" w:type="dxa"/>
            <w:left w:w="108" w:type="dxa"/>
            <w:bottom w:w="0" w:type="dxa"/>
            <w:right w:w="108" w:type="dxa"/>
          </w:tblCellMar>
        </w:tblPrEx>
        <w:trPr>
          <w:trHeight w:val="630"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完成指标</w:t>
            </w: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数量指标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线上线下宣传活动覆盖了女大学生、贫困母亲、留守儿童、巾帼志愿者等多类妇女群体。线下阿坝州妇联 黑水县妇联联合举办“净土春晖 巾帼心向党思想引领”大宣讲活动。</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运用新媒体手段围绕妇女群众关注点在州妇联官方公众号“花开阿坝”主动设置话题、引导讨论，努力做到联系妇女群众线下有活动、有面对面交流，线上有声音、有互动、有话题，实现互动常态化、沟通零距离。线上线下宣传覆盖人数超过4万。线上通过微信公众号、qq群、微信群等形式开展宣传活动，线下组织巾帼志愿者开展巾帼志愿宣讲活动。宣传活动超过25场。组织巾帼志愿者开展巾帼志愿宣讲活动超过5场。超额完成了预期指标值。</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质量指标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通过活动的开展，亮出妇联旗帜、发出妇联声音，凝聚妇女力量，不断增强广大妇女贯彻落实的自觉性和坚定性，团结引领广大妇女群众听党话、跟党走，凝聚全州妇女投身“一州两区三家园”建设。</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加强“两新”组织女性、女大学生、广场舞姐妹等重点群体的思想政治引领。引领阿坝妇女姐妹倡导“女性健康”和“家庭教育”理念，决战脱贫攻坚全面建成小康社会凝聚巾帼智慧和力理。通过开展线上线下活动，活动宣传覆盖面广、受益妇女群众多、效果好。基本完成了预期指标值。</w:t>
            </w:r>
          </w:p>
          <w:p>
            <w:pPr>
              <w:widowControl/>
              <w:spacing w:line="240" w:lineRule="atLeast"/>
              <w:jc w:val="left"/>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时效指标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2021年2月</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bookmarkStart w:id="165" w:name="_Hlk9864041"/>
            <w:r>
              <w:rPr>
                <w:rFonts w:hint="eastAsia" w:ascii="仿宋" w:hAnsi="仿宋" w:eastAsia="仿宋" w:cs="仿宋"/>
                <w:kern w:val="0"/>
                <w:sz w:val="24"/>
              </w:rPr>
              <w:t>网上妇联互动活动经费由于赠送话费要每年底完成，因此于2021年2月完成。基本完成了预期指标值。</w:t>
            </w:r>
          </w:p>
          <w:bookmarkEnd w:id="165"/>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效益指标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经济效益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384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社会效益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lang w:val="zh-CN"/>
              </w:rPr>
              <w:t>通过开展“巾帼心向党”思想引领大宣讲，把高原生态脆弱区的环保公益宣传讲给妇女姐妹听。</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lang w:val="zh-CN"/>
              </w:rPr>
            </w:pPr>
            <w:r>
              <w:rPr>
                <w:rFonts w:hint="eastAsia" w:ascii="仿宋" w:hAnsi="仿宋" w:eastAsia="仿宋" w:cs="仿宋"/>
                <w:kern w:val="0"/>
                <w:sz w:val="24"/>
                <w:lang w:val="zh-CN"/>
              </w:rPr>
              <w:t>引导妇女极投身高原生态脆弱区的环保事业,但部分区域引领大宣讲活动</w:t>
            </w:r>
            <w:r>
              <w:rPr>
                <w:rFonts w:hint="eastAsia" w:ascii="仿宋" w:hAnsi="仿宋" w:eastAsia="仿宋" w:cs="仿宋"/>
                <w:kern w:val="0"/>
                <w:sz w:val="24"/>
              </w:rPr>
              <w:t>时开展了</w:t>
            </w:r>
            <w:r>
              <w:rPr>
                <w:rFonts w:hint="eastAsia" w:ascii="仿宋" w:hAnsi="仿宋" w:eastAsia="仿宋" w:cs="仿宋"/>
                <w:kern w:val="0"/>
                <w:sz w:val="24"/>
                <w:lang w:val="zh-CN"/>
              </w:rPr>
              <w:t>高原生态脆弱区的环保公益宣传，</w:t>
            </w:r>
            <w:r>
              <w:rPr>
                <w:rFonts w:hint="eastAsia" w:ascii="仿宋" w:hAnsi="仿宋" w:eastAsia="仿宋" w:cs="仿宋"/>
                <w:kern w:val="0"/>
                <w:sz w:val="24"/>
              </w:rPr>
              <w:t>在宣讲总结中却</w:t>
            </w:r>
            <w:r>
              <w:rPr>
                <w:rFonts w:hint="eastAsia" w:ascii="仿宋" w:hAnsi="仿宋" w:eastAsia="仿宋" w:cs="仿宋"/>
                <w:kern w:val="0"/>
                <w:sz w:val="24"/>
                <w:lang w:val="zh-CN"/>
              </w:rPr>
              <w:t>未</w:t>
            </w:r>
            <w:r>
              <w:rPr>
                <w:rFonts w:hint="eastAsia" w:ascii="仿宋" w:hAnsi="仿宋" w:eastAsia="仿宋" w:cs="仿宋"/>
                <w:kern w:val="0"/>
                <w:sz w:val="24"/>
              </w:rPr>
              <w:t>体现</w:t>
            </w:r>
            <w:r>
              <w:rPr>
                <w:rFonts w:hint="eastAsia" w:ascii="仿宋" w:hAnsi="仿宋" w:eastAsia="仿宋" w:cs="仿宋"/>
                <w:kern w:val="0"/>
                <w:sz w:val="24"/>
                <w:lang w:val="zh-CN"/>
              </w:rPr>
              <w:t>。</w:t>
            </w:r>
            <w:r>
              <w:rPr>
                <w:rFonts w:hint="eastAsia" w:ascii="仿宋" w:hAnsi="仿宋" w:eastAsia="仿宋" w:cs="仿宋"/>
                <w:kern w:val="0"/>
                <w:sz w:val="24"/>
              </w:rPr>
              <w:t>基本</w:t>
            </w:r>
            <w:r>
              <w:rPr>
                <w:rFonts w:hint="eastAsia" w:ascii="仿宋" w:hAnsi="仿宋" w:eastAsia="仿宋" w:cs="仿宋"/>
                <w:kern w:val="0"/>
                <w:sz w:val="24"/>
                <w:lang w:val="zh-CN"/>
              </w:rPr>
              <w:t>完成了预期指标值。</w:t>
            </w:r>
          </w:p>
          <w:p>
            <w:pPr>
              <w:widowControl/>
              <w:spacing w:line="240" w:lineRule="atLeast"/>
              <w:jc w:val="left"/>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生态效益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52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可持续影响</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向广大妇女群众传递社会主义核心价值观</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pStyle w:val="2"/>
              <w:spacing w:before="93" w:line="240" w:lineRule="atLeast"/>
              <w:rPr>
                <w:rFonts w:ascii="仿宋" w:hAnsi="仿宋" w:eastAsia="仿宋" w:cs="仿宋"/>
                <w:szCs w:val="24"/>
              </w:rPr>
            </w:pPr>
            <w:r>
              <w:rPr>
                <w:rFonts w:hint="eastAsia" w:ascii="仿宋" w:hAnsi="仿宋" w:eastAsia="仿宋" w:cs="仿宋"/>
                <w:szCs w:val="24"/>
              </w:rPr>
              <w:t>通过思想引领，我州妇女群众思想状况总体更加积极、健康、向上，家庭更加和睦，社会更加和谐稳定，激发了全州妇女姐妹的正能量。完成了预期指标值。</w:t>
            </w:r>
          </w:p>
          <w:p>
            <w:pPr>
              <w:pStyle w:val="2"/>
              <w:spacing w:before="93" w:line="240" w:lineRule="atLeast"/>
              <w:rPr>
                <w:rFonts w:ascii="仿宋" w:hAnsi="仿宋" w:eastAsia="仿宋" w:cs="仿宋"/>
                <w:szCs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满意度</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满意度指标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妇女群众满意度高</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此次发放104份问卷调查表，通过问卷调查，“巾帼心向党—妇女思想政治引领”项目的实施满意度达到90%以上。完成了预期指标值。</w:t>
            </w:r>
          </w:p>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bl>
    <w:p>
      <w:pPr>
        <w:spacing w:line="240" w:lineRule="atLeast"/>
        <w:rPr>
          <w:rFonts w:ascii="仿宋" w:hAnsi="仿宋" w:eastAsia="仿宋" w:cs="仿宋"/>
          <w:sz w:val="24"/>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716"/>
              </w:tabs>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ab/>
            </w:r>
            <w:r>
              <w:rPr>
                <w:rFonts w:hint="eastAsia" w:ascii="仿宋" w:hAnsi="仿宋" w:eastAsia="仿宋" w:cs="仿宋"/>
                <w:color w:val="000000"/>
                <w:sz w:val="24"/>
              </w:rPr>
              <w:t>妇女1+N工作经费</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30万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30万元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30万元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left"/>
              <w:textAlignment w:val="center"/>
              <w:rPr>
                <w:rFonts w:ascii="仿宋" w:hAnsi="仿宋" w:eastAsia="仿宋" w:cs="仿宋"/>
                <w:color w:val="000000"/>
                <w:sz w:val="24"/>
              </w:rPr>
            </w:pPr>
            <w:r>
              <w:rPr>
                <w:rFonts w:hint="eastAsia" w:ascii="仿宋" w:hAnsi="仿宋" w:eastAsia="仿宋" w:cs="仿宋"/>
                <w:color w:val="000000"/>
                <w:sz w:val="24"/>
              </w:rPr>
              <w:t>根据妇女“1+N”工作经费的使用原则，以开展妇女居家灵活就业工作为抓手，抓实项目，切实关心关爱患病困境妇女。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ind w:firstLine="480" w:firstLineChars="200"/>
              <w:jc w:val="left"/>
              <w:textAlignment w:val="center"/>
              <w:rPr>
                <w:rFonts w:ascii="仿宋" w:hAnsi="仿宋" w:eastAsia="仿宋" w:cs="仿宋"/>
                <w:color w:val="000000"/>
                <w:sz w:val="24"/>
              </w:rPr>
            </w:pPr>
            <w:r>
              <w:rPr>
                <w:rFonts w:hint="eastAsia" w:ascii="仿宋" w:hAnsi="仿宋" w:eastAsia="仿宋" w:cs="仿宋"/>
                <w:color w:val="000000"/>
                <w:sz w:val="24"/>
              </w:rPr>
              <w:t>一是开展贫困患大病妇女救助；二是举办“净土春晖”高原贫困母亲思想引领大讲堂并；三是实施项目代管工作经费；四是采取购买服务的方式开展项目督查、评审、咨询、项目管理培训工作。</w:t>
            </w:r>
          </w:p>
        </w:tc>
      </w:tr>
    </w:tbl>
    <w:tbl>
      <w:tblPr>
        <w:tblStyle w:val="22"/>
        <w:tblpPr w:leftFromText="180" w:rightFromText="180" w:vertAnchor="text" w:horzAnchor="page" w:tblpX="1075" w:tblpY="2999"/>
        <w:tblOverlap w:val="never"/>
        <w:tblW w:w="9960" w:type="dxa"/>
        <w:tblInd w:w="0" w:type="dxa"/>
        <w:tblLayout w:type="autofit"/>
        <w:tblCellMar>
          <w:top w:w="0" w:type="dxa"/>
          <w:left w:w="108" w:type="dxa"/>
          <w:bottom w:w="0" w:type="dxa"/>
          <w:right w:w="108" w:type="dxa"/>
        </w:tblCellMar>
      </w:tblPr>
      <w:tblGrid>
        <w:gridCol w:w="456"/>
        <w:gridCol w:w="456"/>
        <w:gridCol w:w="1248"/>
        <w:gridCol w:w="2970"/>
        <w:gridCol w:w="2430"/>
        <w:gridCol w:w="2400"/>
      </w:tblGrid>
      <w:tr>
        <w:tblPrEx>
          <w:tblCellMar>
            <w:top w:w="0" w:type="dxa"/>
            <w:left w:w="108" w:type="dxa"/>
            <w:bottom w:w="0" w:type="dxa"/>
            <w:right w:w="108" w:type="dxa"/>
          </w:tblCellMar>
        </w:tblPrEx>
        <w:trPr>
          <w:trHeight w:val="675" w:hRule="atLeast"/>
        </w:trPr>
        <w:tc>
          <w:tcPr>
            <w:tcW w:w="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年</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度</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绩</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效</w:t>
            </w:r>
          </w:p>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指</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标</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一级指标</w:t>
            </w: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二级指标</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三级指标</w:t>
            </w: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预期指标值(包含数字及文字描述)</w:t>
            </w: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color w:val="000000"/>
                <w:kern w:val="0"/>
                <w:sz w:val="24"/>
              </w:rPr>
              <w:t>实际完成指标值(包含数字及文字描述)</w:t>
            </w:r>
          </w:p>
        </w:tc>
      </w:tr>
      <w:tr>
        <w:tblPrEx>
          <w:tblCellMar>
            <w:top w:w="0" w:type="dxa"/>
            <w:left w:w="108" w:type="dxa"/>
            <w:bottom w:w="0" w:type="dxa"/>
            <w:right w:w="108" w:type="dxa"/>
          </w:tblCellMar>
        </w:tblPrEx>
        <w:trPr>
          <w:trHeight w:val="630"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完成指标</w:t>
            </w: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数量指标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帮助妇女发展经济，关爱困境妇女</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r>
              <w:rPr>
                <w:rFonts w:hint="eastAsia" w:ascii="仿宋" w:hAnsi="仿宋" w:eastAsia="仿宋" w:cs="仿宋"/>
                <w:kern w:val="0"/>
                <w:sz w:val="24"/>
              </w:rPr>
              <w:t>发放救助金，开展1次手工技能培训</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全州发放阿坝州贫困妇女大病救助金99000元，赴甘肃省甘南州、青海省西宁市开展妇女手工编织产业交流学习。</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质量指标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时效指标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2020年</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成本指标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效益指标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经济效益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275"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社会效益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1.帮助阿坝州妇女手工产品打开外部市场，提升妇女手工技艺；2.帮助患病妇女减轻经济压力。</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1.展示我州手工艺品形象；2.送去妇联组织关心关爱</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1.考察交流、相互学习借鉴，取长补短，两省妇联、手工编织协会就织绣全面发展的典型做法及带动妇女增收情况进行了详细了解，真正实现了技艺的学习与交流。通过实地考察，2.有效缓解患病妇女家庭因病致贫、因病返贫问题。</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生态效益</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1523"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可持续影响</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筑牢思想防线</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sz w:val="24"/>
              </w:rPr>
              <w:t>1.开拓手工传承人的眼界，时尚与传统结合；2.减轻患病妇女家庭负担</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left"/>
              <w:textAlignment w:val="center"/>
              <w:rPr>
                <w:rFonts w:ascii="仿宋" w:hAnsi="仿宋" w:eastAsia="仿宋" w:cs="仿宋"/>
                <w:kern w:val="0"/>
                <w:sz w:val="24"/>
              </w:rPr>
            </w:pPr>
            <w:r>
              <w:rPr>
                <w:rFonts w:hint="eastAsia" w:ascii="仿宋" w:hAnsi="仿宋" w:eastAsia="仿宋" w:cs="仿宋"/>
                <w:kern w:val="0"/>
                <w:sz w:val="24"/>
              </w:rPr>
              <w:t>1.增长了见识，开阔了思路，丰富了知识，提升了技艺；2.助力巩固拓展了脱贫攻坚成果，体现了妇联组织桥梁纽带作用。</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r>
              <w:rPr>
                <w:rFonts w:hint="eastAsia" w:ascii="仿宋" w:hAnsi="仿宋" w:eastAsia="仿宋" w:cs="仿宋"/>
                <w:kern w:val="0"/>
                <w:sz w:val="24"/>
              </w:rPr>
              <w:t>满意度</w:t>
            </w:r>
          </w:p>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指标</w:t>
            </w:r>
          </w:p>
        </w:tc>
        <w:tc>
          <w:tcPr>
            <w:tcW w:w="124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满意度指标</w:t>
            </w: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覆盖面广</w:t>
            </w: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妇女群众满意度高</w:t>
            </w: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r>
              <w:rPr>
                <w:rFonts w:hint="eastAsia" w:ascii="仿宋" w:hAnsi="仿宋" w:eastAsia="仿宋" w:cs="仿宋"/>
                <w:sz w:val="24"/>
              </w:rPr>
              <w:t>妇女群众满意度高</w:t>
            </w: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97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3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c>
          <w:tcPr>
            <w:tcW w:w="2400" w:type="dxa"/>
            <w:tcBorders>
              <w:top w:val="single" w:color="auto" w:sz="4" w:space="0"/>
              <w:left w:val="single" w:color="auto" w:sz="4" w:space="0"/>
              <w:bottom w:val="single" w:color="000000" w:sz="4" w:space="0"/>
              <w:right w:val="single" w:color="000000" w:sz="4" w:space="0"/>
            </w:tcBorders>
            <w:shd w:val="clear" w:color="auto" w:fill="auto"/>
            <w:vAlign w:val="center"/>
          </w:tcPr>
          <w:p>
            <w:pPr>
              <w:spacing w:line="240" w:lineRule="atLeast"/>
              <w:jc w:val="center"/>
              <w:rPr>
                <w:rFonts w:ascii="仿宋" w:hAnsi="仿宋" w:eastAsia="仿宋" w:cs="仿宋"/>
                <w:sz w:val="24"/>
              </w:rPr>
            </w:pPr>
          </w:p>
        </w:tc>
      </w:tr>
      <w:tr>
        <w:tblPrEx>
          <w:tblCellMar>
            <w:top w:w="0" w:type="dxa"/>
            <w:left w:w="108" w:type="dxa"/>
            <w:bottom w:w="0" w:type="dxa"/>
            <w:right w:w="108" w:type="dxa"/>
          </w:tblCellMar>
        </w:tblPrEx>
        <w:trPr>
          <w:trHeight w:val="439" w:hRule="atLeast"/>
        </w:trPr>
        <w:tc>
          <w:tcPr>
            <w:tcW w:w="4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456" w:type="dxa"/>
            <w:vMerge w:val="continue"/>
            <w:tcBorders>
              <w:top w:val="nil"/>
              <w:left w:val="single" w:color="auto" w:sz="4" w:space="0"/>
              <w:bottom w:val="single" w:color="000000" w:sz="4" w:space="0"/>
              <w:right w:val="single" w:color="auto" w:sz="4" w:space="0"/>
            </w:tcBorders>
            <w:shd w:val="clear" w:color="auto" w:fill="auto"/>
            <w:vAlign w:val="center"/>
          </w:tcPr>
          <w:p>
            <w:pPr>
              <w:spacing w:line="240" w:lineRule="atLeast"/>
              <w:jc w:val="center"/>
              <w:rPr>
                <w:rFonts w:ascii="仿宋" w:hAnsi="仿宋" w:eastAsia="仿宋" w:cs="仿宋"/>
                <w:sz w:val="24"/>
              </w:rPr>
            </w:pPr>
          </w:p>
        </w:tc>
        <w:tc>
          <w:tcPr>
            <w:tcW w:w="1248"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kern w:val="0"/>
                <w:sz w:val="24"/>
              </w:rPr>
              <w:t>……</w:t>
            </w:r>
          </w:p>
        </w:tc>
        <w:tc>
          <w:tcPr>
            <w:tcW w:w="297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3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c>
          <w:tcPr>
            <w:tcW w:w="2400" w:type="dxa"/>
            <w:tcBorders>
              <w:top w:val="single" w:color="auto" w:sz="4" w:space="0"/>
              <w:left w:val="nil"/>
              <w:bottom w:val="single" w:color="auto" w:sz="4" w:space="0"/>
              <w:right w:val="single" w:color="000000" w:sz="4" w:space="0"/>
            </w:tcBorders>
            <w:shd w:val="clear" w:color="auto" w:fill="auto"/>
            <w:vAlign w:val="center"/>
          </w:tcPr>
          <w:p>
            <w:pPr>
              <w:widowControl/>
              <w:spacing w:line="240" w:lineRule="atLeast"/>
              <w:jc w:val="center"/>
              <w:textAlignment w:val="center"/>
              <w:rPr>
                <w:rFonts w:ascii="仿宋" w:hAnsi="仿宋" w:eastAsia="仿宋" w:cs="仿宋"/>
                <w:kern w:val="0"/>
                <w:sz w:val="24"/>
              </w:rPr>
            </w:pPr>
          </w:p>
        </w:tc>
      </w:tr>
    </w:tbl>
    <w:p>
      <w:pPr>
        <w:spacing w:line="240" w:lineRule="atLeast"/>
        <w:rPr>
          <w:rFonts w:ascii="黑体" w:hAnsi="黑体" w:eastAsia="黑体"/>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795"/>
        <w:gridCol w:w="572"/>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spacing w:line="240" w:lineRule="atLeas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240" w:lineRule="atLeast"/>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妇女儿童专项工作经费</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13万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13万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13万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13万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tLeast"/>
              <w:jc w:val="center"/>
              <w:rPr>
                <w:rFonts w:ascii="仿宋" w:hAnsi="仿宋" w:eastAsia="仿宋" w:cs="仿宋"/>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sz w:val="24"/>
              </w:rPr>
              <w:t xml:space="preserve">开展“净土阿坝，云朵妈妈”留守儿童关爱活动、“净土春晖”巾帼志愿宣讲首轮宣讲、“留守儿童暑期关爱服务活动”、开设“特殊时期，特别家教”云课堂、制作“最美家庭”奖牌等各项工作。 </w:t>
            </w:r>
          </w:p>
          <w:p>
            <w:pPr>
              <w:widowControl/>
              <w:spacing w:line="240" w:lineRule="atLeast"/>
              <w:jc w:val="center"/>
              <w:textAlignment w:val="center"/>
              <w:rPr>
                <w:rFonts w:ascii="仿宋" w:hAnsi="仿宋" w:eastAsia="仿宋" w:cs="仿宋"/>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b/>
                <w:bCs/>
                <w:sz w:val="24"/>
              </w:rPr>
              <w:t>一是</w:t>
            </w:r>
            <w:r>
              <w:rPr>
                <w:rFonts w:hint="eastAsia" w:ascii="仿宋" w:hAnsi="仿宋" w:eastAsia="仿宋" w:cs="仿宋"/>
                <w:sz w:val="24"/>
              </w:rPr>
              <w:t>启动“净土春晖•云朵妈妈”——关爱留守儿童特别行动，慰问各类特殊困难儿童269人，发放慰问金5万余元，赠送“读书礼包”、“关爱书信”等493份（册）；</w:t>
            </w:r>
            <w:r>
              <w:rPr>
                <w:rFonts w:hint="eastAsia" w:ascii="仿宋" w:hAnsi="仿宋" w:eastAsia="仿宋" w:cs="仿宋"/>
                <w:b/>
                <w:bCs/>
                <w:sz w:val="24"/>
              </w:rPr>
              <w:t>二是</w:t>
            </w:r>
            <w:r>
              <w:rPr>
                <w:rFonts w:hint="eastAsia" w:ascii="仿宋" w:hAnsi="仿宋" w:eastAsia="仿宋" w:cs="仿宋"/>
                <w:sz w:val="24"/>
              </w:rPr>
              <w:t>用于1.5万元试点落实社区服务清单事项工作，在马尔康市试点开展“2020年暑期关爱留守儿童活动，活动受到家长、孩子和社区工作人员的肯定；</w:t>
            </w:r>
            <w:r>
              <w:rPr>
                <w:rFonts w:hint="eastAsia" w:ascii="仿宋" w:hAnsi="仿宋" w:eastAsia="仿宋" w:cs="仿宋"/>
                <w:b/>
                <w:bCs/>
                <w:sz w:val="24"/>
              </w:rPr>
              <w:t>三是</w:t>
            </w:r>
            <w:r>
              <w:rPr>
                <w:rFonts w:hint="eastAsia" w:ascii="仿宋" w:hAnsi="仿宋" w:eastAsia="仿宋" w:cs="仿宋"/>
                <w:sz w:val="24"/>
              </w:rPr>
              <w:t>组建州级“净土春晖”巾帼志愿宣讲队一支，开展10天9场的巡讲服务工作，覆盖4000余名牧区学生，宣讲使用经费2.97万元；</w:t>
            </w:r>
            <w:r>
              <w:rPr>
                <w:rFonts w:hint="eastAsia" w:ascii="仿宋" w:hAnsi="仿宋" w:eastAsia="仿宋" w:cs="仿宋"/>
                <w:b/>
                <w:bCs/>
                <w:sz w:val="24"/>
              </w:rPr>
              <w:t>四是</w:t>
            </w:r>
            <w:r>
              <w:rPr>
                <w:rFonts w:hint="eastAsia" w:ascii="仿宋" w:hAnsi="仿宋" w:eastAsia="仿宋" w:cs="仿宋"/>
                <w:sz w:val="24"/>
              </w:rPr>
              <w:t>使用资金2.73万元，创新性在疫情期间成功开设了“特殊时期，特别家教”娜姆云课堂、“净土阿坝.巾帼解忧.心孕阿坝”娜姆微课堂、“净土阿坝.阳光青春”云课堂、“净土阿坝.春蕾陪伴云课堂等4种云课堂17节，辐射 10.67户家庭；</w:t>
            </w:r>
            <w:r>
              <w:rPr>
                <w:rFonts w:hint="eastAsia" w:ascii="仿宋" w:hAnsi="仿宋" w:eastAsia="仿宋" w:cs="仿宋"/>
                <w:b/>
                <w:bCs/>
                <w:sz w:val="24"/>
              </w:rPr>
              <w:t>五是</w:t>
            </w:r>
            <w:r>
              <w:rPr>
                <w:rFonts w:hint="eastAsia" w:ascii="仿宋" w:hAnsi="仿宋" w:eastAsia="仿宋" w:cs="仿宋"/>
                <w:sz w:val="24"/>
              </w:rPr>
              <w:t>制作0.8万元的“最美家庭”奖牌，为17户获评阿坝州“最美家庭”颁发奖牌。</w:t>
            </w:r>
          </w:p>
          <w:p>
            <w:pPr>
              <w:widowControl/>
              <w:spacing w:line="240" w:lineRule="atLeast"/>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实际完成指标值(包含数字及文字描述)</w:t>
            </w:r>
          </w:p>
        </w:tc>
      </w:tr>
      <w:tr>
        <w:tblPrEx>
          <w:tblCellMar>
            <w:top w:w="0" w:type="dxa"/>
            <w:left w:w="0" w:type="dxa"/>
            <w:bottom w:w="0" w:type="dxa"/>
            <w:right w:w="0" w:type="dxa"/>
          </w:tblCellMar>
        </w:tblPrEx>
        <w:trPr>
          <w:trHeight w:val="104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restart"/>
            <w:tcBorders>
              <w:top w:val="single" w:color="000000" w:sz="4" w:space="0"/>
              <w:left w:val="single" w:color="000000" w:sz="4" w:space="0"/>
              <w:right w:val="single" w:color="000000" w:sz="4" w:space="0"/>
            </w:tcBorders>
            <w:tcMar>
              <w:top w:w="15" w:type="dxa"/>
              <w:left w:w="15" w:type="dxa"/>
              <w:right w:w="15" w:type="dxa"/>
            </w:tcMar>
            <w:textDirection w:val="tbLrV"/>
            <w:vAlign w:val="center"/>
          </w:tcPr>
          <w:p>
            <w:pPr>
              <w:widowControl/>
              <w:spacing w:line="240" w:lineRule="atLeast"/>
              <w:ind w:left="113" w:right="113"/>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收益人数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sz w:val="24"/>
              </w:rPr>
              <w:t>送读书礼包100个,送关爱书信100封,送爱心课堂2节,6-18岁各年龄段优秀经典儿童书籍291册,爱心包51个。组建州级“净土春晖”巾帼志愿宣讲队一支，开展10天9场的巡讲服务工作，覆盖4000余名牧区学生。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sz w:val="24"/>
              </w:rPr>
              <w:t>慰问各类特殊困难儿童269人，发放慰问金5万余元，赠送“读书礼包”、“关爱书信”等493份（册），完成8天开展9场次的首轮巡讲任务，覆盖学生4180人，其中13-18岁女生2758人，“净土阿坝•阳光青春”“净土阿坝•春蕾陪伴”云课堂，28.96万名学生家长受益，在“花开阿坝”微信公众号转播家风家教系列视频10集，发至全州网上家教群，辐射 17366户家庭，覆盖妇女儿童52098人次。</w:t>
            </w:r>
          </w:p>
        </w:tc>
      </w:tr>
      <w:tr>
        <w:tblPrEx>
          <w:tblCellMar>
            <w:top w:w="0" w:type="dxa"/>
            <w:left w:w="0" w:type="dxa"/>
            <w:bottom w:w="0" w:type="dxa"/>
            <w:right w:w="0" w:type="dxa"/>
          </w:tblCellMar>
        </w:tblPrEx>
        <w:trPr>
          <w:trHeight w:val="44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p>
        </w:tc>
      </w:tr>
      <w:tr>
        <w:tblPrEx>
          <w:tblCellMar>
            <w:top w:w="0" w:type="dxa"/>
            <w:left w:w="0" w:type="dxa"/>
            <w:bottom w:w="0" w:type="dxa"/>
            <w:right w:w="0" w:type="dxa"/>
          </w:tblCellMar>
        </w:tblPrEx>
        <w:trPr>
          <w:trHeight w:val="43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财政拨入经费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12万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sz w:val="24"/>
              </w:rPr>
              <w:t>12万</w:t>
            </w:r>
          </w:p>
        </w:tc>
      </w:tr>
      <w:tr>
        <w:tblPrEx>
          <w:tblCellMar>
            <w:top w:w="0" w:type="dxa"/>
            <w:left w:w="0" w:type="dxa"/>
            <w:bottom w:w="0" w:type="dxa"/>
            <w:right w:w="0" w:type="dxa"/>
          </w:tblCellMar>
        </w:tblPrEx>
        <w:trPr>
          <w:trHeight w:val="409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restart"/>
            <w:tcBorders>
              <w:top w:val="single" w:color="000000" w:sz="4" w:space="0"/>
              <w:left w:val="single" w:color="000000" w:sz="4" w:space="0"/>
              <w:right w:val="single" w:color="000000" w:sz="4" w:space="0"/>
            </w:tcBorders>
            <w:tcMar>
              <w:top w:w="15" w:type="dxa"/>
              <w:left w:w="15" w:type="dxa"/>
              <w:right w:w="15" w:type="dxa"/>
            </w:tcMar>
            <w:textDirection w:val="tbLrV"/>
            <w:vAlign w:val="center"/>
          </w:tcPr>
          <w:p>
            <w:pPr>
              <w:widowControl/>
              <w:spacing w:line="240" w:lineRule="atLeast"/>
              <w:ind w:left="113" w:right="113"/>
              <w:jc w:val="center"/>
              <w:textAlignment w:val="center"/>
              <w:rPr>
                <w:rFonts w:ascii="仿宋" w:hAnsi="仿宋" w:eastAsia="仿宋" w:cs="仿宋"/>
                <w:color w:val="000000"/>
                <w:sz w:val="24"/>
              </w:rPr>
            </w:pPr>
          </w:p>
          <w:p>
            <w:pPr>
              <w:widowControl/>
              <w:spacing w:line="240" w:lineRule="atLeast"/>
              <w:ind w:left="113" w:right="113"/>
              <w:jc w:val="center"/>
              <w:textAlignment w:val="center"/>
              <w:rPr>
                <w:rFonts w:ascii="仿宋" w:hAnsi="仿宋" w:eastAsia="仿宋" w:cs="仿宋"/>
                <w:color w:val="000000"/>
                <w:sz w:val="24"/>
              </w:rPr>
            </w:pPr>
            <w:r>
              <w:rPr>
                <w:rFonts w:hint="eastAsia" w:ascii="仿宋" w:hAnsi="仿宋" w:eastAsia="仿宋" w:cs="仿宋"/>
                <w:color w:val="000000"/>
                <w:kern w:val="0"/>
                <w:sz w:val="24"/>
              </w:rPr>
              <w:t>效益指标</w:t>
            </w:r>
          </w:p>
          <w:p>
            <w:pPr>
              <w:widowControl/>
              <w:spacing w:line="240" w:lineRule="atLeast"/>
              <w:ind w:left="113" w:right="113"/>
              <w:jc w:val="center"/>
              <w:textAlignment w:val="center"/>
              <w:rPr>
                <w:rFonts w:ascii="仿宋" w:hAnsi="仿宋" w:eastAsia="仿宋" w:cs="仿宋"/>
                <w:color w:val="000000"/>
                <w:sz w:val="24"/>
              </w:rPr>
            </w:pPr>
          </w:p>
          <w:p>
            <w:pPr>
              <w:widowControl/>
              <w:spacing w:line="240" w:lineRule="atLeast"/>
              <w:ind w:left="113" w:right="113"/>
              <w:jc w:val="center"/>
              <w:textAlignment w:val="center"/>
              <w:rPr>
                <w:rFonts w:ascii="仿宋" w:hAnsi="仿宋" w:eastAsia="仿宋" w:cs="仿宋"/>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在线上开展宣传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sz w:val="24"/>
              </w:rPr>
            </w:pPr>
            <w:r>
              <w:rPr>
                <w:rFonts w:hint="eastAsia" w:ascii="仿宋" w:hAnsi="仿宋" w:eastAsia="仿宋" w:cs="仿宋"/>
                <w:sz w:val="24"/>
              </w:rPr>
              <w:t>在“花开阿坝”微信公众号转播家风家教系列视频10集，发至全州网上家教群，辐射 17366户家庭，覆盖妇女儿童52098人次。全年等关爱活动信息在阿坝日报、微阿坝、四川观察、四川新闻网、中国妇女报等相关媒体刊载。2020年我会获评“第二届四川省家庭教育先进”集体。</w:t>
            </w:r>
          </w:p>
          <w:p>
            <w:pPr>
              <w:widowControl/>
              <w:spacing w:line="240" w:lineRule="atLeast"/>
              <w:jc w:val="center"/>
              <w:textAlignment w:val="center"/>
              <w:rPr>
                <w:rFonts w:ascii="仿宋" w:hAnsi="仿宋" w:eastAsia="仿宋" w:cs="仿宋"/>
                <w:sz w:val="24"/>
              </w:rPr>
            </w:pPr>
          </w:p>
        </w:tc>
      </w:tr>
      <w:tr>
        <w:tblPrEx>
          <w:tblCellMar>
            <w:top w:w="0" w:type="dxa"/>
            <w:left w:w="0" w:type="dxa"/>
            <w:bottom w:w="0" w:type="dxa"/>
            <w:right w:w="0" w:type="dxa"/>
          </w:tblCellMar>
        </w:tblPrEx>
        <w:trPr>
          <w:trHeight w:val="6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47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05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活动受到家长、孩子和社区工作人员的肯定</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受益人满意度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收益群众满意度高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atLeast"/>
              <w:jc w:val="center"/>
              <w:textAlignment w:val="center"/>
              <w:rPr>
                <w:rFonts w:ascii="仿宋" w:hAnsi="仿宋" w:eastAsia="仿宋" w:cs="仿宋"/>
                <w:color w:val="000000"/>
                <w:sz w:val="24"/>
              </w:rPr>
            </w:pPr>
            <w:r>
              <w:rPr>
                <w:rFonts w:hint="eastAsia" w:ascii="仿宋" w:hAnsi="仿宋" w:eastAsia="仿宋" w:cs="仿宋"/>
                <w:color w:val="000000"/>
                <w:sz w:val="24"/>
              </w:rPr>
              <w:t>收益群众满意度高</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1+N工作经费</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阿坝州妇联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15.6万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15.6万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15.6万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15.6万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24"/>
              </w:rPr>
            </w:pPr>
            <w:r>
              <w:rPr>
                <w:rFonts w:hint="eastAsia" w:ascii="仿宋" w:hAnsi="仿宋" w:eastAsia="仿宋" w:cs="仿宋"/>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ind w:firstLine="240" w:firstLineChars="100"/>
              <w:rPr>
                <w:rFonts w:ascii="仿宋" w:hAnsi="仿宋" w:eastAsia="仿宋" w:cs="仿宋"/>
                <w:sz w:val="24"/>
              </w:rPr>
            </w:pPr>
            <w:r>
              <w:rPr>
                <w:rFonts w:hint="eastAsia" w:ascii="仿宋" w:hAnsi="仿宋" w:eastAsia="仿宋" w:cs="仿宋"/>
                <w:b/>
                <w:bCs/>
                <w:sz w:val="24"/>
              </w:rPr>
              <w:t>一是</w:t>
            </w:r>
            <w:r>
              <w:rPr>
                <w:rFonts w:hint="eastAsia" w:ascii="仿宋" w:hAnsi="仿宋" w:eastAsia="仿宋" w:cs="仿宋"/>
                <w:sz w:val="24"/>
              </w:rPr>
              <w:t>使用9.8万元资金定制了250个觉姆暖心包；</w:t>
            </w:r>
            <w:r>
              <w:rPr>
                <w:rFonts w:hint="eastAsia" w:ascii="仿宋" w:hAnsi="仿宋" w:eastAsia="仿宋" w:cs="仿宋"/>
                <w:b/>
                <w:bCs/>
                <w:sz w:val="24"/>
              </w:rPr>
              <w:t>二是</w:t>
            </w:r>
            <w:r>
              <w:rPr>
                <w:rFonts w:hint="eastAsia" w:ascii="仿宋" w:hAnsi="仿宋" w:eastAsia="仿宋" w:cs="仿宋"/>
                <w:sz w:val="24"/>
              </w:rPr>
              <w:t>按照工作协议签订了《法律顾问合同》，进一步推动了我会依法依规处理相关政务、事务工作。</w:t>
            </w:r>
            <w:r>
              <w:rPr>
                <w:rFonts w:hint="eastAsia" w:ascii="仿宋" w:hAnsi="仿宋" w:eastAsia="仿宋" w:cs="仿宋"/>
                <w:b/>
                <w:bCs/>
                <w:sz w:val="24"/>
              </w:rPr>
              <w:t>三是</w:t>
            </w:r>
            <w:r>
              <w:rPr>
                <w:rFonts w:hint="eastAsia" w:ascii="仿宋" w:hAnsi="仿宋" w:eastAsia="仿宋" w:cs="仿宋"/>
                <w:sz w:val="24"/>
              </w:rPr>
              <w:t>通过《牧区单亲母亲家庭问题与对策研究》课题调研，以及课题调研成果，为牧区县有针对性开展单亲母亲专项工作，长期的攻坚克难，彻底得以整改。</w:t>
            </w:r>
          </w:p>
          <w:p>
            <w:pPr>
              <w:widowControl/>
              <w:jc w:val="center"/>
              <w:textAlignment w:val="center"/>
              <w:rPr>
                <w:rFonts w:ascii="仿宋" w:hAnsi="仿宋" w:eastAsia="仿宋" w:cs="仿宋"/>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ind w:firstLine="240" w:firstLineChars="100"/>
              <w:rPr>
                <w:rFonts w:ascii="仿宋" w:hAnsi="仿宋" w:eastAsia="仿宋" w:cs="仿宋"/>
                <w:sz w:val="24"/>
              </w:rPr>
            </w:pPr>
            <w:r>
              <w:rPr>
                <w:rFonts w:hint="eastAsia" w:ascii="仿宋" w:hAnsi="仿宋" w:eastAsia="仿宋" w:cs="仿宋"/>
                <w:sz w:val="24"/>
              </w:rPr>
              <w:t>一是定制9.8万元“觉姆关心包”。分别发放红原如意空行寺50个、阿坝四洼尼姑寺100个、壤塘娜泽求宗100个，受益困难觉姆250名，深受尼姑姐妹欢迎；二是用5万元资金开展了“牧区单亲母亲家庭问题与对策研究”课题调研，为从根本上解决单亲母亲、超生育等多重社会问题及我州今后进一步提高社会治理能力，逐步减少牧区单亲母亲家庭问题，促进社会与家庭发展进步，具有很强的针对性和指导性；三是根据工作需要聘请法律顾问，付法律顾问服务费用0.8万元，该法律顾问全年出具各类合同、协议法律文本审查意见9份，为我会领导决策提供了优质、及时、高效、准确的法律服务，进一步推动了我会依法依规处理相关政务、事务工作。</w:t>
            </w:r>
          </w:p>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绩效指标完成情况</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一级指标</w:t>
            </w: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实际完成指标值(包含数字及文字描述)</w:t>
            </w:r>
          </w:p>
        </w:tc>
      </w:tr>
      <w:tr>
        <w:tblPrEx>
          <w:tblCellMar>
            <w:top w:w="0" w:type="dxa"/>
            <w:left w:w="0" w:type="dxa"/>
            <w:bottom w:w="0" w:type="dxa"/>
            <w:right w:w="0" w:type="dxa"/>
          </w:tblCellMar>
        </w:tblPrEx>
        <w:trPr>
          <w:trHeight w:val="279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restart"/>
            <w:tcBorders>
              <w:top w:val="single" w:color="000000" w:sz="4" w:space="0"/>
              <w:left w:val="single" w:color="000000" w:sz="4" w:space="0"/>
              <w:right w:val="single" w:color="000000" w:sz="4" w:space="0"/>
            </w:tcBorders>
            <w:tcMar>
              <w:top w:w="15" w:type="dxa"/>
              <w:left w:w="15" w:type="dxa"/>
              <w:right w:w="15" w:type="dxa"/>
            </w:tcMar>
            <w:textDirection w:val="tbRlV"/>
            <w:vAlign w:val="center"/>
          </w:tcPr>
          <w:p>
            <w:pPr>
              <w:widowControl/>
              <w:ind w:left="113" w:right="113"/>
              <w:jc w:val="center"/>
              <w:textAlignment w:val="center"/>
              <w:rPr>
                <w:rFonts w:ascii="仿宋" w:hAnsi="仿宋" w:eastAsia="仿宋" w:cs="仿宋"/>
                <w:color w:val="000000"/>
                <w:sz w:val="24"/>
              </w:rPr>
            </w:pPr>
            <w:r>
              <w:rPr>
                <w:rFonts w:hint="eastAsia" w:ascii="仿宋" w:hAnsi="仿宋" w:eastAsia="仿宋" w:cs="仿宋"/>
                <w:color w:val="000000"/>
                <w:sz w:val="24"/>
              </w:rPr>
              <w:t>完成指标</w:t>
            </w: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关爱单亲家庭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定制了250个觉姆暖心包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为尼姑姐妹量身制作的“觉姆暖心包”分别发放红原如意空行寺50个、阿坝四洼尼姑寺100个、壤塘娜泽求宗100个，受益困难觉姆250名，深受尼姑姐妹欢迎。</w:t>
            </w:r>
          </w:p>
        </w:tc>
      </w:tr>
      <w:tr>
        <w:tblPrEx>
          <w:tblCellMar>
            <w:top w:w="0" w:type="dxa"/>
            <w:left w:w="0" w:type="dxa"/>
            <w:bottom w:w="0" w:type="dxa"/>
            <w:right w:w="0" w:type="dxa"/>
          </w:tblCellMar>
        </w:tblPrEx>
        <w:trPr>
          <w:trHeight w:val="44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1597"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41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1597"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597"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2020年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4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restart"/>
            <w:tcBorders>
              <w:top w:val="single" w:color="000000" w:sz="4" w:space="0"/>
              <w:left w:val="single" w:color="000000" w:sz="4" w:space="0"/>
              <w:right w:val="single" w:color="000000" w:sz="4" w:space="0"/>
            </w:tcBorders>
            <w:tcMar>
              <w:top w:w="15" w:type="dxa"/>
              <w:left w:w="15" w:type="dxa"/>
              <w:right w:w="15" w:type="dxa"/>
            </w:tcMar>
            <w:textDirection w:val="tbLrV"/>
            <w:vAlign w:val="center"/>
          </w:tcPr>
          <w:p>
            <w:pPr>
              <w:widowControl/>
              <w:ind w:left="113" w:right="113"/>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效益指标</w:t>
            </w:r>
          </w:p>
          <w:p>
            <w:pPr>
              <w:widowControl/>
              <w:ind w:left="113" w:right="113"/>
              <w:jc w:val="center"/>
              <w:textAlignment w:val="center"/>
              <w:rPr>
                <w:rFonts w:ascii="仿宋" w:hAnsi="仿宋" w:eastAsia="仿宋" w:cs="仿宋"/>
                <w:color w:val="000000"/>
                <w:kern w:val="0"/>
                <w:sz w:val="24"/>
              </w:rPr>
            </w:pP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开展了“牧区单亲母亲家庭问题与对策研究”课题调研，为从根本上解决单亲母亲、超生育等多重社会问题及我州今后进一步提高社会治理能力，逐步减少牧区单亲母亲家庭问题，促进社会与家庭发展进步，具有很强的针对性和指导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我会持续开展对觉姆姐妹的关爱工作。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为真实地掌握全县单亲贫困家庭的生活现状，积极引导单亲贫困家庭自力更生和有针对性地开展好帮扶工作，促进单亲贫困家庭脱贫，州妇联决定在对全州范围内的单亲贫困家庭进行了全面调查了解和深入分析的基础上提供了保障。</w:t>
            </w:r>
          </w:p>
        </w:tc>
      </w:tr>
      <w:tr>
        <w:tblPrEx>
          <w:tblCellMar>
            <w:top w:w="0" w:type="dxa"/>
            <w:left w:w="0" w:type="dxa"/>
            <w:bottom w:w="0" w:type="dxa"/>
            <w:right w:w="0" w:type="dxa"/>
          </w:tblCellMar>
        </w:tblPrEx>
        <w:trPr>
          <w:trHeight w:val="46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50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r>
      <w:tr>
        <w:tblPrEx>
          <w:tblCellMar>
            <w:top w:w="0" w:type="dxa"/>
            <w:left w:w="0" w:type="dxa"/>
            <w:bottom w:w="0" w:type="dxa"/>
            <w:right w:w="0" w:type="dxa"/>
          </w:tblCellMar>
        </w:tblPrEx>
        <w:trPr>
          <w:trHeight w:val="1819"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LrV"/>
            <w:vAlign w:val="center"/>
          </w:tcPr>
          <w:p>
            <w:pPr>
              <w:widowControl/>
              <w:ind w:left="113" w:right="113"/>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15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sz w:val="24"/>
              </w:rPr>
              <w:t>覆盖面广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妇女群众满意度高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妇女群众满意度高</w:t>
            </w:r>
          </w:p>
        </w:tc>
      </w:tr>
    </w:tbl>
    <w:p>
      <w:pPr>
        <w:spacing w:line="240" w:lineRule="atLeast"/>
        <w:rPr>
          <w:rFonts w:ascii="仿宋_GB2312" w:hAnsi="仿宋_GB2312" w:eastAsia="仿宋_GB2312" w:cs="仿宋_GB2312"/>
          <w:sz w:val="32"/>
          <w:szCs w:val="32"/>
        </w:rPr>
      </w:pPr>
    </w:p>
    <w:p>
      <w:pPr>
        <w:spacing w:line="576" w:lineRule="exact"/>
        <w:ind w:left="630"/>
        <w:rPr>
          <w:rFonts w:ascii="仿宋_GB2312" w:hAnsi="仿宋_GB2312" w:eastAsia="仿宋_GB2312" w:cs="仿宋_GB2312"/>
          <w:sz w:val="32"/>
          <w:szCs w:val="32"/>
        </w:rPr>
      </w:pPr>
      <w:r>
        <w:rPr>
          <w:rFonts w:ascii="楷体_GB2312" w:hAnsi="楷体_GB2312" w:eastAsia="楷体_GB2312" w:cs="楷体_GB2312"/>
          <w:b/>
          <w:bCs/>
          <w:sz w:val="32"/>
          <w:szCs w:val="32"/>
        </w:rPr>
        <w:t>2.</w:t>
      </w:r>
      <w:r>
        <w:rPr>
          <w:rFonts w:hint="eastAsia" w:ascii="仿宋" w:hAnsi="仿宋" w:eastAsia="仿宋" w:cs="仿宋"/>
          <w:b/>
          <w:bCs/>
          <w:sz w:val="32"/>
          <w:szCs w:val="32"/>
        </w:rPr>
        <w:t>部门绩效评价结果</w:t>
      </w:r>
      <w:r>
        <w:rPr>
          <w:rFonts w:hint="eastAsia" w:ascii="楷体_GB2312" w:hAnsi="楷体_GB2312" w:eastAsia="楷体_GB2312" w:cs="楷体_GB2312"/>
          <w:b/>
          <w:bCs/>
          <w:sz w:val="32"/>
          <w:szCs w:val="32"/>
        </w:rPr>
        <w:t>。</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我会按要求对2020年部门整体支出绩效评价情况开展自评，《阿坝州妇联2020年部门整体支出绩效评价报告》见附件（附件1）。</w:t>
      </w:r>
    </w:p>
    <w:p>
      <w:pPr>
        <w:spacing w:line="576" w:lineRule="exact"/>
        <w:ind w:firstLine="640" w:firstLineChars="200"/>
        <w:rPr>
          <w:rFonts w:ascii="仿宋" w:hAnsi="仿宋" w:eastAsia="仿宋" w:cs="仿宋"/>
          <w:b/>
          <w:color w:val="000000"/>
          <w:sz w:val="32"/>
          <w:szCs w:val="32"/>
        </w:rPr>
      </w:pPr>
      <w:r>
        <w:rPr>
          <w:rFonts w:hint="eastAsia" w:ascii="仿宋" w:hAnsi="仿宋" w:eastAsia="仿宋" w:cs="仿宋"/>
          <w:sz w:val="32"/>
          <w:szCs w:val="32"/>
        </w:rPr>
        <w:t>我会自行组织对8个项目、8个项目开展了绩效评价，《阿坝州妇联项目2020年绩效评价报告》见附件（附件2）。（非涉密部门均需公开部门整体支出评价报告，部门自行组织的绩效评价情况根据部门实际公开，若未组织项目绩效评价，则只需说明部门整体支出绩效评价情况）</w:t>
      </w:r>
    </w:p>
    <w:p>
      <w:pPr>
        <w:widowControl/>
        <w:spacing w:line="240" w:lineRule="atLeas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576" w:lineRule="exact"/>
        <w:ind w:firstLine="660" w:firstLineChars="150"/>
        <w:jc w:val="center"/>
        <w:outlineLvl w:val="0"/>
        <w:rPr>
          <w:rStyle w:val="26"/>
          <w:rFonts w:ascii="黑体" w:hAnsi="黑体" w:eastAsia="黑体"/>
          <w:b w:val="0"/>
        </w:rPr>
      </w:pPr>
      <w:bookmarkStart w:id="166" w:name="_Toc13286"/>
      <w:bookmarkStart w:id="167" w:name="_Toc25706"/>
      <w:bookmarkStart w:id="168" w:name="_Toc79163879"/>
      <w:bookmarkStart w:id="169" w:name="_Toc79163629"/>
      <w:bookmarkStart w:id="170" w:name="_Toc15377225"/>
      <w:bookmarkStart w:id="171"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166"/>
      <w:bookmarkEnd w:id="167"/>
      <w:bookmarkEnd w:id="168"/>
      <w:bookmarkEnd w:id="169"/>
      <w:bookmarkEnd w:id="170"/>
      <w:bookmarkEnd w:id="171"/>
    </w:p>
    <w:p>
      <w:pPr>
        <w:spacing w:line="576" w:lineRule="exact"/>
        <w:jc w:val="left"/>
        <w:rPr>
          <w:rFonts w:ascii="宋体"/>
          <w:b/>
          <w:color w:val="000000"/>
          <w:sz w:val="44"/>
          <w:szCs w:val="44"/>
        </w:rPr>
      </w:pPr>
    </w:p>
    <w:p>
      <w:pPr>
        <w:pStyle w:val="36"/>
        <w:spacing w:line="576" w:lineRule="exact"/>
        <w:ind w:firstLine="642" w:firstLineChars="200"/>
        <w:rPr>
          <w:rFonts w:hAnsi="仿宋"/>
          <w:sz w:val="32"/>
          <w:szCs w:val="32"/>
        </w:rPr>
      </w:pPr>
      <w:r>
        <w:rPr>
          <w:rFonts w:hint="eastAsia" w:hAnsi="仿宋"/>
          <w:b/>
          <w:bCs/>
          <w:sz w:val="32"/>
          <w:szCs w:val="32"/>
        </w:rPr>
        <w:t>1.</w:t>
      </w:r>
      <w:r>
        <w:rPr>
          <w:rFonts w:hint="eastAsia" w:hAnsi="仿宋"/>
          <w:sz w:val="32"/>
          <w:szCs w:val="32"/>
        </w:rPr>
        <w:t>财政拨款收入：指单位从同级财政部门取得的财政预算资金。</w:t>
      </w:r>
    </w:p>
    <w:p>
      <w:pPr>
        <w:pStyle w:val="36"/>
        <w:spacing w:line="576" w:lineRule="exact"/>
        <w:ind w:firstLine="642" w:firstLineChars="200"/>
        <w:rPr>
          <w:rFonts w:hAnsi="仿宋"/>
          <w:sz w:val="32"/>
          <w:szCs w:val="32"/>
        </w:rPr>
      </w:pPr>
      <w:r>
        <w:rPr>
          <w:rFonts w:hint="eastAsia" w:hAnsi="仿宋"/>
          <w:b/>
          <w:bCs/>
          <w:sz w:val="32"/>
          <w:szCs w:val="32"/>
        </w:rPr>
        <w:t>2.</w:t>
      </w:r>
      <w:r>
        <w:rPr>
          <w:rFonts w:hint="eastAsia" w:hAnsi="仿宋"/>
          <w:sz w:val="32"/>
          <w:szCs w:val="32"/>
        </w:rPr>
        <w:t>事业收入：指事业单位开展专业业务活动及辅助活动取得的收入。如…（二级预算单位事业收入情况）等。</w:t>
      </w:r>
    </w:p>
    <w:p>
      <w:pPr>
        <w:pStyle w:val="36"/>
        <w:spacing w:line="576" w:lineRule="exact"/>
        <w:ind w:firstLine="642" w:firstLineChars="200"/>
        <w:rPr>
          <w:rFonts w:hAnsi="仿宋"/>
          <w:sz w:val="32"/>
          <w:szCs w:val="32"/>
        </w:rPr>
      </w:pPr>
      <w:r>
        <w:rPr>
          <w:rFonts w:hint="eastAsia" w:hAnsi="仿宋"/>
          <w:b/>
          <w:bCs/>
          <w:sz w:val="32"/>
          <w:szCs w:val="32"/>
        </w:rPr>
        <w:t>3.</w:t>
      </w:r>
      <w:r>
        <w:rPr>
          <w:rFonts w:hint="eastAsia" w:hAnsi="仿宋"/>
          <w:sz w:val="32"/>
          <w:szCs w:val="32"/>
        </w:rPr>
        <w:t>经营收入：指事业单位在专业业务活动及其辅助活动之外开展非独立核算经营活动取得的收入。如…（二级预算单位经营收入情况）等。</w:t>
      </w:r>
    </w:p>
    <w:p>
      <w:pPr>
        <w:pStyle w:val="36"/>
        <w:spacing w:line="576" w:lineRule="exact"/>
        <w:ind w:firstLine="642" w:firstLineChars="200"/>
        <w:rPr>
          <w:rFonts w:hAnsi="仿宋"/>
          <w:sz w:val="32"/>
          <w:szCs w:val="32"/>
        </w:rPr>
      </w:pPr>
      <w:r>
        <w:rPr>
          <w:rFonts w:hint="eastAsia" w:hAnsi="仿宋"/>
          <w:b/>
          <w:bCs/>
          <w:sz w:val="32"/>
          <w:szCs w:val="32"/>
        </w:rPr>
        <w:t>4.</w:t>
      </w:r>
      <w:r>
        <w:rPr>
          <w:rFonts w:hint="eastAsia" w:hAnsi="仿宋"/>
          <w:sz w:val="32"/>
          <w:szCs w:val="32"/>
        </w:rPr>
        <w:t>其他收入：指单位取得的除上述收入以外的各项收入。主要是…（收入类型）等。</w:t>
      </w:r>
    </w:p>
    <w:p>
      <w:pPr>
        <w:pStyle w:val="36"/>
        <w:spacing w:line="576" w:lineRule="exact"/>
        <w:ind w:firstLine="642" w:firstLineChars="200"/>
        <w:rPr>
          <w:rFonts w:hAnsi="仿宋"/>
          <w:sz w:val="32"/>
          <w:szCs w:val="32"/>
        </w:rPr>
      </w:pPr>
      <w:r>
        <w:rPr>
          <w:rFonts w:hint="eastAsia" w:hAnsi="仿宋"/>
          <w:b/>
          <w:bCs/>
          <w:sz w:val="32"/>
          <w:szCs w:val="32"/>
        </w:rPr>
        <w:t>5.</w:t>
      </w:r>
      <w:r>
        <w:rPr>
          <w:rFonts w:hint="eastAsia" w:hAnsi="仿宋"/>
          <w:sz w:val="32"/>
          <w:szCs w:val="32"/>
        </w:rPr>
        <w:t>使用非财政拨款结余：指事业单位使用以前年度积累的非财政拨款结余弥补当年收支差额的金额。</w:t>
      </w:r>
    </w:p>
    <w:p>
      <w:pPr>
        <w:pStyle w:val="36"/>
        <w:spacing w:line="576" w:lineRule="exact"/>
        <w:ind w:firstLine="642" w:firstLineChars="200"/>
        <w:rPr>
          <w:rFonts w:hAnsi="仿宋"/>
          <w:sz w:val="32"/>
          <w:szCs w:val="32"/>
        </w:rPr>
      </w:pPr>
      <w:r>
        <w:rPr>
          <w:rFonts w:hint="eastAsia" w:hAnsi="仿宋"/>
          <w:b/>
          <w:bCs/>
          <w:sz w:val="32"/>
          <w:szCs w:val="32"/>
        </w:rPr>
        <w:t>6.</w:t>
      </w:r>
      <w:r>
        <w:rPr>
          <w:rFonts w:hint="eastAsia" w:hAnsi="仿宋"/>
          <w:sz w:val="32"/>
          <w:szCs w:val="32"/>
        </w:rPr>
        <w:t>年初结转和结余：指以前年度尚未完成、结转到本年按有关规定继续使用的资金。</w:t>
      </w:r>
    </w:p>
    <w:p>
      <w:pPr>
        <w:pStyle w:val="36"/>
        <w:spacing w:line="576" w:lineRule="exact"/>
        <w:ind w:firstLine="642" w:firstLineChars="200"/>
        <w:rPr>
          <w:rFonts w:hAnsi="仿宋"/>
          <w:sz w:val="32"/>
          <w:szCs w:val="32"/>
        </w:rPr>
      </w:pPr>
      <w:r>
        <w:rPr>
          <w:rFonts w:hint="eastAsia" w:hAnsi="仿宋"/>
          <w:b/>
          <w:bCs/>
          <w:sz w:val="32"/>
          <w:szCs w:val="32"/>
        </w:rPr>
        <w:t>7.</w:t>
      </w:r>
      <w:r>
        <w:rPr>
          <w:rFonts w:hint="eastAsia" w:hAnsi="仿宋"/>
          <w:sz w:val="32"/>
          <w:szCs w:val="32"/>
        </w:rPr>
        <w:t>结余分配：指事业单位按照会计制度规定缴纳的所得税、提取的专用结余以及转入非财政拨款结余的金额等。</w:t>
      </w:r>
    </w:p>
    <w:p>
      <w:pPr>
        <w:pStyle w:val="36"/>
        <w:spacing w:line="576" w:lineRule="exact"/>
        <w:ind w:firstLine="642" w:firstLineChars="200"/>
        <w:rPr>
          <w:rFonts w:hAnsi="仿宋"/>
          <w:sz w:val="32"/>
          <w:szCs w:val="32"/>
        </w:rPr>
      </w:pPr>
      <w:r>
        <w:rPr>
          <w:rFonts w:hint="eastAsia" w:hAnsi="仿宋"/>
          <w:b/>
          <w:bCs/>
          <w:sz w:val="32"/>
          <w:szCs w:val="32"/>
        </w:rPr>
        <w:t>8.</w:t>
      </w:r>
      <w:r>
        <w:rPr>
          <w:rFonts w:hint="eastAsia" w:hAnsi="仿宋"/>
          <w:sz w:val="32"/>
          <w:szCs w:val="32"/>
        </w:rPr>
        <w:t>年末结转和结余：指单位按有关规定结转到下年或以后年度继续使用的资金。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color w:val="000000"/>
          <w:sz w:val="32"/>
          <w:szCs w:val="32"/>
        </w:rPr>
        <w:t>9.</w:t>
      </w:r>
      <w:r>
        <w:rPr>
          <w:rFonts w:hint="eastAsia" w:ascii="仿宋" w:hAnsi="仿宋" w:eastAsia="仿宋" w:cs="仿宋"/>
          <w:sz w:val="32"/>
          <w:szCs w:val="32"/>
        </w:rPr>
        <w:t>一般公共服务（201）群众团体事务（29）行政运行（01）指：单位基本支出。</w:t>
      </w:r>
    </w:p>
    <w:p>
      <w:pPr>
        <w:spacing w:line="576" w:lineRule="exact"/>
        <w:ind w:firstLine="642" w:firstLineChars="200"/>
        <w:rPr>
          <w:rFonts w:ascii="仿宋" w:hAnsi="仿宋" w:eastAsia="仿宋" w:cs="仿宋"/>
          <w:sz w:val="32"/>
          <w:szCs w:val="32"/>
        </w:rPr>
      </w:pPr>
      <w:r>
        <w:rPr>
          <w:rFonts w:hint="eastAsia" w:ascii="仿宋" w:hAnsi="仿宋" w:eastAsia="仿宋" w:cs="仿宋"/>
          <w:b/>
          <w:bCs/>
          <w:color w:val="000000"/>
          <w:sz w:val="32"/>
          <w:szCs w:val="32"/>
        </w:rPr>
        <w:t>10.</w:t>
      </w:r>
      <w:r>
        <w:rPr>
          <w:rFonts w:hint="eastAsia" w:ascii="仿宋" w:hAnsi="仿宋" w:eastAsia="仿宋" w:cs="仿宋"/>
          <w:sz w:val="32"/>
          <w:szCs w:val="32"/>
        </w:rPr>
        <w:t>一般公共服务（201）群众团体事务（29）一般行政管理事务（02）指：单位项目经费。</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sz w:val="32"/>
          <w:szCs w:val="32"/>
        </w:rPr>
        <w:t>11.</w:t>
      </w:r>
      <w:r>
        <w:rPr>
          <w:rFonts w:hint="eastAsia" w:ascii="仿宋" w:hAnsi="仿宋" w:eastAsia="仿宋" w:cs="仿宋"/>
          <w:sz w:val="32"/>
          <w:szCs w:val="32"/>
        </w:rPr>
        <w:t>一般公共服务（201）群众团体事务（29）其他群众团体事务支出（99）指</w:t>
      </w:r>
      <w:r>
        <w:rPr>
          <w:rFonts w:hint="eastAsia" w:ascii="仿宋" w:hAnsi="仿宋" w:eastAsia="仿宋" w:cs="仿宋"/>
          <w:color w:val="000000"/>
          <w:sz w:val="32"/>
          <w:szCs w:val="32"/>
        </w:rPr>
        <w:t xml:space="preserve">：妇女儿童事业专项经费。 </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12.</w:t>
      </w:r>
      <w:r>
        <w:rPr>
          <w:rFonts w:hint="eastAsia" w:ascii="仿宋" w:hAnsi="仿宋" w:eastAsia="仿宋" w:cs="仿宋"/>
          <w:sz w:val="32"/>
          <w:szCs w:val="32"/>
        </w:rPr>
        <w:t>住房保障支出（221）住房改革支出（02）住房公积金（01）:指单位缴纳住房公积金。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13.</w:t>
      </w:r>
      <w:r>
        <w:rPr>
          <w:rFonts w:hint="eastAsia" w:ascii="仿宋" w:hAnsi="仿宋" w:eastAsia="仿宋" w:cs="仿宋"/>
          <w:sz w:val="32"/>
          <w:szCs w:val="32"/>
        </w:rPr>
        <w:t>社会保障和就业（208）行政事业单位离退休（05）机关事业单位基本养老保险费缴费支出（05）指:单位缴纳养老保险费。</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14.</w:t>
      </w:r>
      <w:r>
        <w:rPr>
          <w:rFonts w:hint="eastAsia" w:ascii="仿宋" w:hAnsi="仿宋" w:eastAsia="仿宋" w:cs="仿宋"/>
          <w:sz w:val="32"/>
          <w:szCs w:val="32"/>
        </w:rPr>
        <w:t>社会保障和就业（208）行政事业单位离退休（05）机关事业单位职业年金缴费支出（06）指：单位缴纳职业年金。</w:t>
      </w:r>
    </w:p>
    <w:p>
      <w:pPr>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15.</w:t>
      </w:r>
      <w:r>
        <w:rPr>
          <w:rFonts w:hint="eastAsia" w:ascii="仿宋" w:hAnsi="仿宋" w:eastAsia="仿宋" w:cs="仿宋"/>
          <w:sz w:val="32"/>
          <w:szCs w:val="32"/>
        </w:rPr>
        <w:t>医疗卫生与计划生育（210）行政事业单位医疗（11）行政单位医疗（01）指:单位缴纳医疗保险费用。</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sz w:val="32"/>
          <w:szCs w:val="32"/>
        </w:rPr>
        <w:t>16.</w:t>
      </w:r>
      <w:r>
        <w:rPr>
          <w:rFonts w:hint="eastAsia" w:ascii="仿宋" w:hAnsi="仿宋" w:eastAsia="仿宋" w:cs="仿宋"/>
          <w:sz w:val="32"/>
          <w:szCs w:val="32"/>
        </w:rPr>
        <w:t>医疗卫生与计划生育（210）行政事业单位医疗（11）公务员医疗补助（03）指:单位缴纳公务员医疗补助费用</w:t>
      </w:r>
      <w:r>
        <w:rPr>
          <w:rFonts w:hint="eastAsia" w:ascii="仿宋" w:hAnsi="仿宋" w:eastAsia="仿宋" w:cs="仿宋"/>
          <w:color w:val="000000"/>
          <w:sz w:val="32"/>
          <w:szCs w:val="32"/>
        </w:rPr>
        <w:t>。</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17.</w:t>
      </w:r>
      <w:r>
        <w:rPr>
          <w:rFonts w:hint="eastAsia" w:ascii="仿宋" w:hAnsi="仿宋" w:eastAsia="仿宋" w:cs="仿宋"/>
          <w:color w:val="000000"/>
          <w:sz w:val="32"/>
          <w:szCs w:val="32"/>
        </w:rPr>
        <w:t>“两癌”：指患宫颈癌和乳腺癌。</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18.</w:t>
      </w:r>
      <w:r>
        <w:rPr>
          <w:rFonts w:hint="eastAsia" w:ascii="仿宋" w:hAnsi="仿宋" w:eastAsia="仿宋" w:cs="仿宋"/>
          <w:color w:val="000000"/>
          <w:sz w:val="32"/>
          <w:szCs w:val="32"/>
        </w:rPr>
        <w:t>基本支出：指为保障机构正常运转、完成日常工作任务而发生的人员支出和公用支出。</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19.</w:t>
      </w:r>
      <w:r>
        <w:rPr>
          <w:rFonts w:hint="eastAsia" w:ascii="仿宋" w:hAnsi="仿宋" w:eastAsia="仿宋" w:cs="仿宋"/>
          <w:color w:val="000000"/>
          <w:sz w:val="32"/>
          <w:szCs w:val="32"/>
        </w:rPr>
        <w:t xml:space="preserve">项目支出：指在基本支出之外为完成特定行政任务和事业发展目标所发生的支出。 </w:t>
      </w:r>
    </w:p>
    <w:p>
      <w:pPr>
        <w:spacing w:line="576" w:lineRule="exact"/>
        <w:ind w:firstLine="642" w:firstLineChars="200"/>
        <w:rPr>
          <w:rFonts w:ascii="仿宋" w:hAnsi="仿宋" w:eastAsia="仿宋" w:cs="仿宋"/>
          <w:color w:val="000000"/>
          <w:sz w:val="32"/>
          <w:szCs w:val="32"/>
        </w:rPr>
      </w:pPr>
      <w:r>
        <w:rPr>
          <w:rFonts w:hint="eastAsia" w:ascii="仿宋" w:hAnsi="仿宋" w:eastAsia="仿宋" w:cs="仿宋"/>
          <w:b/>
          <w:bCs/>
          <w:color w:val="000000"/>
          <w:sz w:val="32"/>
          <w:szCs w:val="32"/>
        </w:rPr>
        <w:t>20.</w:t>
      </w:r>
      <w:r>
        <w:rPr>
          <w:rFonts w:hint="eastAsia" w:ascii="仿宋" w:hAnsi="仿宋" w:eastAsia="仿宋" w:cs="仿宋"/>
          <w:color w:val="000000"/>
          <w:sz w:val="32"/>
          <w:szCs w:val="32"/>
        </w:rPr>
        <w:t>经营支出：指事业单位在专业业务活动及其辅助活动之外开展非独立核算经营活动发生的支出。</w:t>
      </w:r>
    </w:p>
    <w:p>
      <w:pPr>
        <w:pStyle w:val="36"/>
        <w:spacing w:line="576" w:lineRule="exact"/>
        <w:ind w:firstLine="642" w:firstLineChars="200"/>
        <w:rPr>
          <w:rFonts w:hAnsi="仿宋"/>
          <w:sz w:val="32"/>
          <w:szCs w:val="32"/>
        </w:rPr>
      </w:pPr>
      <w:r>
        <w:rPr>
          <w:rFonts w:hint="eastAsia" w:hAnsi="仿宋"/>
          <w:b/>
          <w:bCs/>
          <w:sz w:val="32"/>
          <w:szCs w:val="32"/>
        </w:rPr>
        <w:t>21.</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76" w:lineRule="exact"/>
        <w:ind w:firstLine="642" w:firstLineChars="200"/>
        <w:rPr>
          <w:rFonts w:ascii="仿宋_GB2312" w:eastAsia="仿宋_GB2312"/>
          <w:sz w:val="32"/>
          <w:szCs w:val="32"/>
        </w:rPr>
      </w:pPr>
      <w:r>
        <w:rPr>
          <w:rFonts w:hint="eastAsia" w:hAnsi="仿宋"/>
          <w:b/>
          <w:bCs/>
          <w:sz w:val="32"/>
          <w:szCs w:val="32"/>
        </w:rPr>
        <w:t>22.</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6"/>
          <w:rFonts w:ascii="黑体" w:hAnsi="黑体" w:eastAsia="黑体"/>
          <w:b w:val="0"/>
        </w:rPr>
      </w:pPr>
      <w:bookmarkStart w:id="172" w:name="_Toc15377226"/>
      <w:r>
        <w:rPr>
          <w:rFonts w:ascii="宋体"/>
          <w:b/>
          <w:color w:val="000000"/>
          <w:sz w:val="44"/>
          <w:szCs w:val="44"/>
        </w:rPr>
        <w:br w:type="page"/>
      </w:r>
      <w:bookmarkStart w:id="173" w:name="_Toc15396614"/>
      <w:bookmarkStart w:id="174" w:name="_Toc13505"/>
      <w:bookmarkStart w:id="175" w:name="_Toc6931"/>
      <w:bookmarkStart w:id="176" w:name="_Toc79163630"/>
      <w:bookmarkStart w:id="177" w:name="_Toc79163880"/>
      <w:r>
        <w:rPr>
          <w:rFonts w:hint="eastAsia" w:ascii="黑体" w:hAnsi="黑体" w:eastAsia="黑体"/>
          <w:color w:val="000000"/>
          <w:sz w:val="44"/>
          <w:szCs w:val="44"/>
        </w:rPr>
        <w:t>第</w:t>
      </w:r>
      <w:r>
        <w:rPr>
          <w:rStyle w:val="26"/>
          <w:rFonts w:hint="eastAsia" w:ascii="黑体" w:hAnsi="黑体" w:eastAsia="黑体"/>
          <w:b w:val="0"/>
        </w:rPr>
        <w:t>四部分附件</w:t>
      </w:r>
      <w:bookmarkEnd w:id="173"/>
      <w:bookmarkEnd w:id="174"/>
      <w:bookmarkEnd w:id="175"/>
      <w:bookmarkEnd w:id="176"/>
      <w:bookmarkEnd w:id="177"/>
    </w:p>
    <w:p>
      <w:pPr>
        <w:spacing w:line="576" w:lineRule="exact"/>
        <w:jc w:val="left"/>
        <w:outlineLvl w:val="0"/>
        <w:rPr>
          <w:rFonts w:ascii="方正小标宋简体" w:hAnsi="方正小标宋简体" w:eastAsia="方正小标宋简体" w:cs="方正小标宋简体"/>
          <w:sz w:val="32"/>
          <w:szCs w:val="32"/>
        </w:rPr>
      </w:pPr>
      <w:bookmarkStart w:id="178" w:name="_Toc8450"/>
      <w:bookmarkStart w:id="179" w:name="_Toc7078"/>
      <w:bookmarkStart w:id="180" w:name="_Toc79163631"/>
      <w:bookmarkStart w:id="181" w:name="_Toc79163881"/>
      <w:r>
        <w:rPr>
          <w:rFonts w:hint="eastAsia" w:ascii="黑体" w:hAnsi="黑体" w:eastAsia="黑体" w:cs="黑体"/>
          <w:sz w:val="32"/>
          <w:szCs w:val="32"/>
        </w:rPr>
        <w:t>附件</w:t>
      </w:r>
      <w:r>
        <w:rPr>
          <w:rFonts w:ascii="黑体" w:hAnsi="黑体" w:eastAsia="黑体" w:cs="黑体"/>
          <w:sz w:val="32"/>
          <w:szCs w:val="32"/>
        </w:rPr>
        <w:t>1</w:t>
      </w:r>
      <w:bookmarkEnd w:id="178"/>
      <w:bookmarkEnd w:id="179"/>
      <w:bookmarkEnd w:id="180"/>
      <w:bookmarkEnd w:id="181"/>
    </w:p>
    <w:p>
      <w:pPr>
        <w:spacing w:line="576" w:lineRule="exact"/>
        <w:jc w:val="center"/>
        <w:outlineLvl w:val="0"/>
        <w:rPr>
          <w:rFonts w:ascii="方正小标宋简体" w:hAnsi="黑体" w:eastAsia="方正小标宋简体" w:cs="黑体"/>
          <w:sz w:val="44"/>
          <w:szCs w:val="44"/>
        </w:rPr>
      </w:pPr>
      <w:bookmarkStart w:id="182" w:name="_Toc20290"/>
      <w:bookmarkStart w:id="183" w:name="_Toc17899"/>
      <w:bookmarkStart w:id="184" w:name="_Toc79163632"/>
      <w:bookmarkStart w:id="185" w:name="_Toc79163882"/>
      <w:r>
        <w:rPr>
          <w:rFonts w:hint="eastAsia" w:ascii="方正小标宋简体" w:hAnsi="黑体" w:eastAsia="方正小标宋简体" w:cs="黑体"/>
          <w:sz w:val="44"/>
          <w:szCs w:val="44"/>
        </w:rPr>
        <w:t>阿坝妇女联合会</w:t>
      </w:r>
      <w:bookmarkEnd w:id="182"/>
      <w:bookmarkEnd w:id="183"/>
    </w:p>
    <w:p>
      <w:pPr>
        <w:spacing w:line="576" w:lineRule="exact"/>
        <w:jc w:val="center"/>
        <w:outlineLvl w:val="0"/>
        <w:rPr>
          <w:rFonts w:ascii="方正小标宋简体" w:hAnsi="黑体" w:eastAsia="方正小标宋简体" w:cs="黑体"/>
          <w:sz w:val="44"/>
          <w:szCs w:val="44"/>
        </w:rPr>
      </w:pPr>
      <w:bookmarkStart w:id="186" w:name="_Toc20187"/>
      <w:bookmarkStart w:id="187" w:name="_Toc13876"/>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84"/>
      <w:bookmarkEnd w:id="185"/>
      <w:bookmarkEnd w:id="186"/>
      <w:bookmarkEnd w:id="187"/>
    </w:p>
    <w:p>
      <w:pPr>
        <w:pStyle w:val="2"/>
        <w:spacing w:before="93"/>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Style w:val="2"/>
        <w:spacing w:before="93" w:line="576" w:lineRule="exact"/>
        <w:ind w:right="-105" w:rightChars="-50" w:firstLine="642" w:firstLineChars="200"/>
        <w:rPr>
          <w:rFonts w:ascii="仿宋" w:hAnsi="仿宋" w:eastAsia="仿宋" w:cs="仿宋"/>
          <w:color w:val="000000"/>
          <w:sz w:val="32"/>
          <w:szCs w:val="32"/>
        </w:rPr>
      </w:pPr>
      <w:r>
        <w:rPr>
          <w:rFonts w:hint="eastAsia" w:hAnsi="宋体" w:cs="宋体"/>
          <w:b/>
          <w:color w:val="000000"/>
          <w:sz w:val="32"/>
          <w:szCs w:val="32"/>
          <w:shd w:val="clear" w:color="auto" w:fill="FFFFFF"/>
          <w:lang w:val="zh-CN"/>
        </w:rPr>
        <w:t>（一）机构组成。</w:t>
      </w:r>
      <w:r>
        <w:rPr>
          <w:rFonts w:hint="eastAsia" w:ascii="仿宋" w:hAnsi="仿宋" w:eastAsia="仿宋" w:cs="仿宋"/>
          <w:sz w:val="32"/>
          <w:szCs w:val="32"/>
        </w:rPr>
        <w:t>阿坝州妇联按州委“三定方案”设</w:t>
      </w:r>
      <w:r>
        <w:rPr>
          <w:rFonts w:hint="eastAsia" w:ascii="仿宋" w:hAnsi="仿宋" w:eastAsia="仿宋" w:cs="仿宋"/>
          <w:color w:val="000000"/>
          <w:sz w:val="32"/>
          <w:szCs w:val="32"/>
        </w:rPr>
        <w:t>一室三部，即办公室、家儿维权部、发展联络部、组织宣传部。州政府议事协调机构妇儿工委办设在我会。</w:t>
      </w:r>
    </w:p>
    <w:p>
      <w:pPr>
        <w:widowControl/>
        <w:spacing w:line="576" w:lineRule="exact"/>
        <w:ind w:firstLine="642" w:firstLineChars="200"/>
        <w:rPr>
          <w:rFonts w:ascii="仿宋" w:hAnsi="仿宋" w:eastAsia="仿宋" w:cs="宋体"/>
          <w:bCs/>
          <w:kern w:val="0"/>
          <w:sz w:val="32"/>
          <w:szCs w:val="32"/>
        </w:rPr>
      </w:pPr>
      <w:r>
        <w:rPr>
          <w:rFonts w:hint="eastAsia" w:ascii="仿宋_GB2312" w:hAnsi="宋体" w:eastAsia="仿宋_GB2312" w:cs="宋体"/>
          <w:b/>
          <w:color w:val="000000"/>
          <w:kern w:val="0"/>
          <w:sz w:val="32"/>
          <w:szCs w:val="32"/>
          <w:shd w:val="clear" w:color="auto" w:fill="FFFFFF"/>
          <w:lang w:val="zh-CN"/>
        </w:rPr>
        <w:t>（二）机构职能。</w:t>
      </w:r>
      <w:r>
        <w:rPr>
          <w:rFonts w:hint="eastAsia" w:ascii="仿宋" w:hAnsi="仿宋" w:eastAsia="仿宋" w:cs="宋体"/>
          <w:bCs/>
          <w:kern w:val="0"/>
          <w:sz w:val="32"/>
          <w:szCs w:val="32"/>
        </w:rPr>
        <w:t>坚持正确的政治方向</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团结</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教育全州各族各界妇女在思想上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行动上同党中央保持高度一致</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代表妇女参与国家和社会事务的民主管理和民主监督</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关注并加强研究涉及妇女切身利益的热点</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难点问题</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及时向州委</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州政府反映社情民意</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提出对策建议</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依法维护妇女儿童的合法权益</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为妇女儿童服务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为基层服务</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加强与社会各界的联系</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协调推动全社会为妇女儿童办实事</w:t>
      </w:r>
      <w:r>
        <w:rPr>
          <w:rFonts w:hint="eastAsia" w:ascii="仿宋" w:hAnsi="仿宋" w:eastAsia="仿宋" w:cs="Malgun Gothic Semilight"/>
          <w:bCs/>
          <w:kern w:val="0"/>
          <w:sz w:val="32"/>
          <w:szCs w:val="32"/>
        </w:rPr>
        <w:t>，</w:t>
      </w:r>
      <w:r>
        <w:rPr>
          <w:rFonts w:hint="eastAsia" w:ascii="仿宋" w:hAnsi="仿宋" w:eastAsia="仿宋" w:cs="宋体"/>
          <w:bCs/>
          <w:kern w:val="0"/>
          <w:sz w:val="32"/>
          <w:szCs w:val="32"/>
        </w:rPr>
        <w:t>办好事。</w:t>
      </w:r>
    </w:p>
    <w:p>
      <w:pPr>
        <w:spacing w:line="576" w:lineRule="exact"/>
        <w:ind w:firstLine="642" w:firstLineChars="200"/>
        <w:rPr>
          <w:rFonts w:ascii="仿宋" w:hAnsi="仿宋" w:eastAsia="仿宋" w:cs="宋体"/>
          <w:color w:val="000000"/>
          <w:spacing w:val="-2"/>
          <w:kern w:val="0"/>
          <w:sz w:val="32"/>
          <w:szCs w:val="32"/>
        </w:rPr>
      </w:pPr>
      <w:r>
        <w:rPr>
          <w:rFonts w:hint="eastAsia" w:ascii="仿宋_GB2312" w:hAnsi="宋体" w:eastAsia="仿宋_GB2312" w:cs="宋体"/>
          <w:b/>
          <w:bCs/>
          <w:color w:val="000000"/>
          <w:kern w:val="0"/>
          <w:sz w:val="32"/>
          <w:szCs w:val="32"/>
          <w:shd w:val="clear" w:color="auto" w:fill="FFFFFF"/>
          <w:lang w:val="zh-CN"/>
        </w:rPr>
        <w:t>（三）人员概况。</w:t>
      </w:r>
      <w:r>
        <w:rPr>
          <w:rFonts w:hint="eastAsia" w:ascii="仿宋" w:hAnsi="仿宋" w:eastAsia="仿宋" w:cs="宋体"/>
          <w:sz w:val="32"/>
          <w:szCs w:val="32"/>
        </w:rPr>
        <w:t>总编制</w:t>
      </w:r>
      <w:r>
        <w:rPr>
          <w:rFonts w:hint="eastAsia" w:ascii="仿宋" w:hAnsi="仿宋" w:eastAsia="仿宋"/>
          <w:sz w:val="32"/>
          <w:szCs w:val="32"/>
        </w:rPr>
        <w:t>14</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行政编制</w:t>
      </w:r>
      <w:r>
        <w:rPr>
          <w:rFonts w:hint="eastAsia" w:ascii="仿宋" w:hAnsi="仿宋" w:eastAsia="仿宋"/>
          <w:sz w:val="32"/>
          <w:szCs w:val="32"/>
        </w:rPr>
        <w:t>11</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在职人员总数</w:t>
      </w:r>
      <w:r>
        <w:rPr>
          <w:rFonts w:hint="eastAsia" w:ascii="仿宋" w:hAnsi="仿宋" w:eastAsia="仿宋"/>
          <w:sz w:val="32"/>
          <w:szCs w:val="32"/>
        </w:rPr>
        <w:t>13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其中</w:t>
      </w:r>
      <w:r>
        <w:rPr>
          <w:rFonts w:hint="eastAsia" w:ascii="仿宋" w:hAnsi="仿宋" w:eastAsia="仿宋" w:cs="Malgun Gothic Semilight"/>
          <w:sz w:val="32"/>
          <w:szCs w:val="32"/>
        </w:rPr>
        <w:t>：</w:t>
      </w:r>
      <w:r>
        <w:rPr>
          <w:rFonts w:hint="eastAsia" w:ascii="仿宋" w:hAnsi="仿宋" w:eastAsia="仿宋" w:cs="宋体"/>
          <w:sz w:val="32"/>
          <w:szCs w:val="32"/>
        </w:rPr>
        <w:t>行政人员</w:t>
      </w:r>
      <w:r>
        <w:rPr>
          <w:rFonts w:hint="eastAsia" w:ascii="仿宋" w:hAnsi="仿宋" w:eastAsia="仿宋"/>
          <w:sz w:val="32"/>
          <w:szCs w:val="32"/>
        </w:rPr>
        <w:t>10</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工勤人员</w:t>
      </w:r>
      <w:r>
        <w:rPr>
          <w:rFonts w:hint="eastAsia" w:ascii="仿宋" w:hAnsi="仿宋" w:eastAsia="仿宋"/>
          <w:sz w:val="32"/>
          <w:szCs w:val="32"/>
        </w:rPr>
        <w:t>3</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cs="宋体"/>
          <w:sz w:val="32"/>
          <w:szCs w:val="32"/>
        </w:rPr>
        <w:t>退休人员</w:t>
      </w:r>
      <w:r>
        <w:rPr>
          <w:rFonts w:hint="eastAsia" w:ascii="仿宋" w:hAnsi="仿宋" w:eastAsia="仿宋"/>
          <w:sz w:val="32"/>
          <w:szCs w:val="32"/>
        </w:rPr>
        <w:t>6</w:t>
      </w:r>
      <w:r>
        <w:rPr>
          <w:rFonts w:hint="eastAsia" w:ascii="仿宋" w:hAnsi="仿宋" w:eastAsia="仿宋" w:cs="宋体"/>
          <w:sz w:val="32"/>
          <w:szCs w:val="32"/>
        </w:rPr>
        <w:t>人</w:t>
      </w:r>
      <w:r>
        <w:rPr>
          <w:rFonts w:hint="eastAsia" w:ascii="仿宋" w:hAnsi="仿宋" w:eastAsia="仿宋"/>
          <w:sz w:val="32"/>
          <w:szCs w:val="32"/>
        </w:rPr>
        <w:t>。</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2019年阿坝州妇联收入，当年财政拨款收入为593.75万元</w:t>
      </w:r>
      <w:r>
        <w:rPr>
          <w:rFonts w:hint="eastAsia" w:ascii="仿宋" w:hAnsi="仿宋" w:eastAsia="仿宋" w:cs="仿宋"/>
          <w:color w:val="000000"/>
          <w:sz w:val="32"/>
          <w:szCs w:val="32"/>
        </w:rPr>
        <w:t>，</w:t>
      </w:r>
      <w:r>
        <w:rPr>
          <w:rFonts w:hint="eastAsia" w:ascii="仿宋" w:hAnsi="仿宋" w:eastAsia="仿宋" w:cs="仿宋"/>
          <w:sz w:val="32"/>
          <w:szCs w:val="32"/>
        </w:rPr>
        <w:t>其中：基本支出拨款收入352.64万元，项目支出拨款收入241.11万元，一般公共财政拨款收入占100%。</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color w:val="000000"/>
          <w:sz w:val="32"/>
          <w:szCs w:val="32"/>
        </w:rPr>
        <w:t>2020年年初预算收入446.93万元，其中：</w:t>
      </w:r>
      <w:r>
        <w:rPr>
          <w:rFonts w:hint="eastAsia" w:ascii="仿宋" w:hAnsi="仿宋" w:eastAsia="仿宋" w:cs="仿宋"/>
          <w:sz w:val="32"/>
          <w:szCs w:val="32"/>
        </w:rPr>
        <w:t>一般公共财政拨款收入</w:t>
      </w:r>
      <w:r>
        <w:rPr>
          <w:rFonts w:hint="eastAsia" w:ascii="仿宋" w:hAnsi="仿宋" w:eastAsia="仿宋" w:cs="仿宋"/>
          <w:color w:val="000000"/>
          <w:sz w:val="32"/>
          <w:szCs w:val="32"/>
        </w:rPr>
        <w:t>446.93万元，</w:t>
      </w:r>
      <w:r>
        <w:rPr>
          <w:rFonts w:hint="eastAsia" w:ascii="仿宋" w:hAnsi="仿宋" w:eastAsia="仿宋" w:cs="仿宋"/>
          <w:bCs/>
          <w:sz w:val="32"/>
          <w:szCs w:val="32"/>
        </w:rPr>
        <w:t>财政应返还额度</w:t>
      </w:r>
      <w:r>
        <w:rPr>
          <w:rFonts w:hint="eastAsia" w:ascii="仿宋" w:hAnsi="仿宋" w:eastAsia="仿宋" w:cs="仿宋"/>
          <w:color w:val="000000"/>
          <w:sz w:val="32"/>
          <w:szCs w:val="32"/>
        </w:rPr>
        <w:t>31.35万元，其中省专2.52万元，2019年目标奖预付款28.83万元。</w:t>
      </w:r>
    </w:p>
    <w:p>
      <w:pPr>
        <w:widowControl/>
        <w:adjustRightInd w:val="0"/>
        <w:snapToGrid w:val="0"/>
        <w:spacing w:line="576"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（二）部门财政资金支出情况</w:t>
      </w:r>
    </w:p>
    <w:p>
      <w:pPr>
        <w:widowControl/>
        <w:shd w:val="clear" w:color="auto" w:fill="FFFFFF"/>
        <w:spacing w:line="576" w:lineRule="exact"/>
        <w:ind w:firstLine="720"/>
        <w:rPr>
          <w:rFonts w:ascii="仿宋" w:hAnsi="仿宋" w:eastAsia="仿宋" w:cs="仿宋"/>
          <w:sz w:val="32"/>
          <w:szCs w:val="32"/>
          <w:lang w:val="zh-CN"/>
        </w:rPr>
      </w:pPr>
      <w:r>
        <w:rPr>
          <w:rFonts w:hint="eastAsia" w:ascii="仿宋" w:hAnsi="仿宋" w:eastAsia="仿宋" w:cs="仿宋"/>
          <w:spacing w:val="-6"/>
          <w:sz w:val="32"/>
          <w:szCs w:val="32"/>
        </w:rPr>
        <w:t>2</w:t>
      </w:r>
      <w:r>
        <w:rPr>
          <w:rFonts w:hint="eastAsia" w:ascii="仿宋" w:hAnsi="仿宋" w:eastAsia="仿宋" w:cs="仿宋"/>
          <w:sz w:val="32"/>
          <w:szCs w:val="32"/>
        </w:rPr>
        <w:t>019年阿坝州妇联支出总额为 655.77万元，其中：当年财政基本支出415.57万元，项目支出240.1万元，按功能分：行政运行（2012901）337.45万元，机关事业单位基本养老保险缴费支出（2080505）23.77万元，机关事业单位职业年金缴费支出（2080506）10.91万元，行政单位医疗（2101101）16.29万元，公务员医疗补助（2101103）2.79万元，住房公积金（2210201）24.45万元。项目支出：一般行政管理事务（2012902）124.77万元，其他群众团体事务支出（2012999）115.33万元。</w:t>
      </w:r>
    </w:p>
    <w:p>
      <w:pPr>
        <w:widowControl/>
        <w:shd w:val="clear" w:color="auto" w:fill="FFFFFF"/>
        <w:spacing w:line="576" w:lineRule="exact"/>
        <w:ind w:firstLine="720"/>
        <w:rPr>
          <w:rFonts w:ascii="华文楷体" w:hAnsi="华文楷体" w:eastAsia="华文楷体" w:cs="华文楷体"/>
          <w:b/>
          <w:bCs/>
          <w:color w:val="000000"/>
          <w:kern w:val="0"/>
          <w:sz w:val="32"/>
          <w:szCs w:val="32"/>
        </w:rPr>
      </w:pPr>
      <w:r>
        <w:rPr>
          <w:rFonts w:hint="eastAsia" w:ascii="仿宋" w:hAnsi="仿宋" w:eastAsia="仿宋" w:cs="仿宋"/>
          <w:b/>
          <w:bCs/>
          <w:color w:val="000000"/>
          <w:kern w:val="0"/>
          <w:sz w:val="32"/>
          <w:szCs w:val="32"/>
        </w:rPr>
        <w:t>三、部门整体预算绩效管理情况</w:t>
      </w:r>
    </w:p>
    <w:p>
      <w:pPr>
        <w:widowControl/>
        <w:shd w:val="clear" w:color="auto" w:fill="FFFFFF"/>
        <w:spacing w:line="576" w:lineRule="exact"/>
        <w:ind w:firstLine="72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（一）预决算编制情况</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我会部门预算严格按照相关要求编制，强化预算的权威性和严肃性，充分发挥预算在资源配置中的主导作用，在预算编制过程中按照工作的常态性与时效性，对项目的申报进行可行性及绩效论证，准确编制部门预算，严格按类款项设置科目，按时完成基础库及项目库的数据报送。</w:t>
      </w:r>
    </w:p>
    <w:p>
      <w:pPr>
        <w:widowControl/>
        <w:shd w:val="clear" w:color="auto" w:fill="FFFFFF"/>
        <w:spacing w:line="576" w:lineRule="exact"/>
        <w:ind w:firstLine="803" w:firstLineChars="250"/>
        <w:rPr>
          <w:rFonts w:ascii="仿宋" w:hAnsi="仿宋" w:eastAsia="仿宋" w:cs="仿宋"/>
          <w:sz w:val="32"/>
          <w:szCs w:val="32"/>
        </w:rPr>
      </w:pPr>
      <w:r>
        <w:rPr>
          <w:rFonts w:hint="eastAsia" w:ascii="仿宋" w:hAnsi="仿宋" w:eastAsia="仿宋" w:cs="仿宋"/>
          <w:b/>
          <w:bCs/>
          <w:sz w:val="32"/>
          <w:szCs w:val="32"/>
        </w:rPr>
        <w:t>1.</w:t>
      </w:r>
      <w:r>
        <w:rPr>
          <w:rFonts w:hint="eastAsia" w:ascii="仿宋" w:hAnsi="仿宋" w:eastAsia="仿宋" w:cs="仿宋"/>
          <w:sz w:val="32"/>
          <w:szCs w:val="32"/>
        </w:rPr>
        <w:t>阿坝州妇联于2020年10月编制2021年部门预算：支出合计</w:t>
      </w:r>
      <w:r>
        <w:rPr>
          <w:rFonts w:hint="eastAsia" w:ascii="仿宋" w:hAnsi="仿宋" w:eastAsia="仿宋" w:cs="仿宋"/>
          <w:color w:val="000000"/>
          <w:sz w:val="32"/>
          <w:szCs w:val="32"/>
        </w:rPr>
        <w:t>465.84</w:t>
      </w:r>
      <w:r>
        <w:rPr>
          <w:rFonts w:hint="eastAsia" w:ascii="仿宋" w:hAnsi="仿宋" w:eastAsia="仿宋" w:cs="仿宋"/>
          <w:sz w:val="32"/>
          <w:szCs w:val="32"/>
        </w:rPr>
        <w:t>万元。基本支出354.84万元，其中工资福利支出276.43万元，商品和服务支出58.95万元，对个人和家庭的补助14.57万元，资本性支出4.89万元。</w:t>
      </w:r>
    </w:p>
    <w:p>
      <w:pPr>
        <w:widowControl/>
        <w:shd w:val="clear" w:color="auto" w:fill="FFFFFF"/>
        <w:spacing w:line="576" w:lineRule="exact"/>
        <w:ind w:firstLine="640"/>
        <w:rPr>
          <w:rFonts w:ascii="仿宋" w:hAnsi="仿宋" w:eastAsia="仿宋" w:cs="仿宋"/>
          <w:sz w:val="32"/>
          <w:szCs w:val="32"/>
        </w:rPr>
      </w:pPr>
      <w:r>
        <w:rPr>
          <w:rFonts w:hint="eastAsia" w:ascii="仿宋" w:hAnsi="仿宋" w:eastAsia="仿宋" w:cs="仿宋"/>
          <w:b/>
          <w:bCs/>
          <w:sz w:val="32"/>
          <w:szCs w:val="32"/>
        </w:rPr>
        <w:t>2.</w:t>
      </w:r>
      <w:r>
        <w:rPr>
          <w:rFonts w:hint="eastAsia" w:ascii="仿宋" w:hAnsi="仿宋" w:eastAsia="仿宋" w:cs="仿宋"/>
          <w:sz w:val="32"/>
          <w:szCs w:val="32"/>
        </w:rPr>
        <w:t>项目支出预算共计110.99万元，其中会议经费13.52万元，妇儿工委办专项经费10万元，妇女儿童宣传经费5万元，妇女儿童专项工作经费13万元，贫困妇女儿童扶助8.11万元，三八节、儿童节、母亲节等活动经费10.03万元，1+N工作经费41.02万元，思想引领专项经费7.8万元，妇女居家灵活就业专项经费2.51。</w:t>
      </w:r>
    </w:p>
    <w:p>
      <w:pPr>
        <w:widowControl/>
        <w:shd w:val="clear" w:color="auto" w:fill="FFFFFF"/>
        <w:spacing w:line="576" w:lineRule="exact"/>
        <w:ind w:firstLine="642" w:firstLineChars="200"/>
        <w:rPr>
          <w:rFonts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sz w:val="32"/>
          <w:szCs w:val="32"/>
        </w:rPr>
        <w:t>结转项目：2020年度妇女儿童思想引领专项资金0.2万元，妇女儿童帮扶救助金0.06万元，1+N工作经费3.9万元。</w:t>
      </w:r>
    </w:p>
    <w:p>
      <w:pPr>
        <w:widowControl/>
        <w:shd w:val="clear" w:color="auto" w:fill="FFFFFF"/>
        <w:spacing w:line="576" w:lineRule="exact"/>
        <w:ind w:firstLine="642" w:firstLineChars="200"/>
        <w:rPr>
          <w:rFonts w:ascii="仿宋" w:hAnsi="仿宋" w:eastAsia="仿宋" w:cs="仿宋"/>
          <w:b/>
          <w:bCs/>
          <w:color w:val="000000"/>
          <w:kern w:val="0"/>
          <w:sz w:val="32"/>
          <w:szCs w:val="32"/>
        </w:rPr>
      </w:pPr>
      <w:r>
        <w:rPr>
          <w:rFonts w:hint="eastAsia" w:ascii="仿宋" w:hAnsi="仿宋" w:eastAsia="仿宋" w:cs="仿宋"/>
          <w:b/>
          <w:bCs/>
          <w:sz w:val="32"/>
          <w:szCs w:val="32"/>
        </w:rPr>
        <w:t>（二）执行管理情况</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我会在预算执行中严格按照《预算法》规定，对部门预算资金进行分配，及时分月、分季度合理申请预算计划。对部门预算按照工作开展情况及时、有效地执行资金支付，对资金预算进行定期或不定期评估。严格按照中央八项规定及州直机关公务用车经费、接待费等管理办法要求，厉行节约，对“三公”经费列支手续及附件不全的经费，一律不予报销。</w:t>
      </w:r>
    </w:p>
    <w:p>
      <w:pPr>
        <w:widowControl/>
        <w:shd w:val="clear" w:color="auto" w:fill="FFFFFF"/>
        <w:spacing w:line="576" w:lineRule="exact"/>
        <w:ind w:firstLine="642" w:firstLineChars="200"/>
        <w:rPr>
          <w:rFonts w:ascii="华文楷体" w:hAnsi="华文楷体" w:eastAsia="华文楷体" w:cs="华文楷体"/>
          <w:b/>
          <w:bCs/>
          <w:sz w:val="32"/>
          <w:szCs w:val="32"/>
        </w:rPr>
      </w:pPr>
      <w:r>
        <w:rPr>
          <w:rFonts w:hint="eastAsia" w:ascii="仿宋" w:hAnsi="仿宋" w:eastAsia="仿宋" w:cs="仿宋"/>
          <w:b/>
          <w:bCs/>
          <w:sz w:val="32"/>
          <w:szCs w:val="32"/>
        </w:rPr>
        <w:t>（三）综合管理</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1.政府采购。</w:t>
      </w:r>
      <w:r>
        <w:rPr>
          <w:rFonts w:hint="eastAsia" w:ascii="仿宋" w:hAnsi="仿宋" w:eastAsia="仿宋" w:cs="仿宋"/>
          <w:sz w:val="32"/>
          <w:szCs w:val="32"/>
        </w:rPr>
        <w:t>我会政府采购严格按照《中华人民共和国政府采购法》，对集中采购目录的项目，根据集中采购目录、采购限额标准和已批复的部门预算编制额度，实施政府采购计划；对办公设置购置，采取网上竞价的方式进行采购，对单一采购项目采取市场询价的方式进行采购，严格履行政府采购相关备案手续，2020年政府采购预算5.7万元，实际采购资金5.49万元，节约率为4%</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2.资产管理情况。</w:t>
      </w:r>
      <w:r>
        <w:rPr>
          <w:rFonts w:hint="eastAsia" w:ascii="仿宋" w:hAnsi="仿宋" w:eastAsia="仿宋" w:cs="仿宋"/>
          <w:sz w:val="32"/>
          <w:szCs w:val="32"/>
        </w:rPr>
        <w:t>我会固定资产全部纳入资产管理系统管理，严格执行国有资产的购置、转让、报废等报批报审，资产处置收入及时足额上缴国库资产。及时开展财政国有资产管理信息系统数据清查、报送，单位固定资产全部纳入信息系统管理，并按要求及时将资产增减变动情况准确录入信息系统。按要求编制、按时报送年度国有资产报告，做到数据真实、内容完整，通过信息系统提交了年度资产分析报告，2020年我会固定资产为164.79万元，新增固定资产5.49万元，报废处理固定资产12.1万元。</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3.内控制度管理。</w:t>
      </w:r>
      <w:r>
        <w:rPr>
          <w:rFonts w:hint="eastAsia" w:ascii="仿宋" w:hAnsi="仿宋" w:eastAsia="仿宋" w:cs="仿宋"/>
          <w:spacing w:val="-6"/>
          <w:sz w:val="32"/>
          <w:szCs w:val="32"/>
        </w:rPr>
        <w:t>为更好开展财务工作，我会制定了收入管理制度、预算管理制度、支出管理制度、采购管理制度等内控管理制度，明确财务机构及财务人员职责。会机关主要负责人对本单位的会计工作和会计资料的真实性、完整性负责；严格执行会计事项的处理不能由一人全过程办理，必须由二人及以上人员处理；单位会计对会计凭证、会计帐簿、决算报告及其他会计资料进行审核。</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4.信息公开情况。</w:t>
      </w:r>
      <w:r>
        <w:rPr>
          <w:rFonts w:hint="eastAsia" w:ascii="仿宋" w:hAnsi="仿宋" w:eastAsia="仿宋" w:cs="仿宋"/>
          <w:spacing w:val="-6"/>
          <w:sz w:val="32"/>
          <w:szCs w:val="32"/>
        </w:rPr>
        <w:t>严格</w:t>
      </w:r>
      <w:r>
        <w:rPr>
          <w:rFonts w:hint="eastAsia" w:ascii="仿宋" w:hAnsi="仿宋" w:eastAsia="仿宋" w:cs="仿宋"/>
          <w:sz w:val="32"/>
          <w:szCs w:val="32"/>
        </w:rPr>
        <w:t>按照财政统一安排部署和具体要求，在州财政局部门预算批复20日内向社会公开了本部门信息（含所有财政资金安排的“三公”经费、机关运行经费的安排、使用情况等），主动接受社会以及财政等部门监督。</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5.</w:t>
      </w:r>
      <w:r>
        <w:rPr>
          <w:rFonts w:hint="eastAsia" w:ascii="仿宋" w:hAnsi="仿宋" w:eastAsia="仿宋" w:cs="仿宋"/>
          <w:b/>
          <w:bCs/>
          <w:spacing w:val="-6"/>
          <w:sz w:val="32"/>
          <w:szCs w:val="32"/>
        </w:rPr>
        <w:t>加强绩效评价。</w:t>
      </w:r>
      <w:r>
        <w:rPr>
          <w:rFonts w:hint="eastAsia" w:ascii="仿宋" w:hAnsi="仿宋" w:eastAsia="仿宋" w:cs="仿宋"/>
          <w:spacing w:val="-6"/>
          <w:sz w:val="32"/>
          <w:szCs w:val="32"/>
        </w:rPr>
        <w:t>我会按要求对2020年部门整体支出均进行绩效评价，并主动接受财政等部门监督。</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b/>
          <w:bCs/>
          <w:sz w:val="32"/>
          <w:szCs w:val="32"/>
        </w:rPr>
        <w:t>6.其他。</w:t>
      </w:r>
      <w:r>
        <w:rPr>
          <w:rFonts w:hint="eastAsia" w:ascii="仿宋" w:hAnsi="仿宋" w:eastAsia="仿宋" w:cs="仿宋"/>
          <w:sz w:val="32"/>
          <w:szCs w:val="32"/>
        </w:rPr>
        <w:t>我单位2020年均无政府性债务。</w:t>
      </w:r>
    </w:p>
    <w:p>
      <w:pPr>
        <w:widowControl/>
        <w:shd w:val="clear" w:color="auto" w:fill="FFFFFF"/>
        <w:spacing w:line="576" w:lineRule="exact"/>
        <w:ind w:firstLine="720"/>
        <w:rPr>
          <w:rFonts w:ascii="华文楷体" w:hAnsi="华文楷体" w:eastAsia="华文楷体" w:cs="华文楷体"/>
          <w:b/>
          <w:bCs/>
          <w:sz w:val="32"/>
          <w:szCs w:val="32"/>
        </w:rPr>
      </w:pPr>
      <w:r>
        <w:rPr>
          <w:rFonts w:hint="eastAsia" w:ascii="仿宋" w:hAnsi="仿宋" w:eastAsia="仿宋" w:cs="仿宋"/>
          <w:b/>
          <w:bCs/>
          <w:sz w:val="32"/>
          <w:szCs w:val="32"/>
        </w:rPr>
        <w:t>（四）整体绩效</w:t>
      </w:r>
    </w:p>
    <w:p>
      <w:pPr>
        <w:widowControl/>
        <w:shd w:val="clear" w:color="auto" w:fill="FFFFFF"/>
        <w:spacing w:line="576" w:lineRule="exact"/>
        <w:ind w:firstLine="720"/>
        <w:rPr>
          <w:rFonts w:ascii="仿宋" w:hAnsi="仿宋" w:eastAsia="仿宋" w:cs="仿宋"/>
          <w:bCs/>
          <w:spacing w:val="-6"/>
          <w:sz w:val="32"/>
          <w:szCs w:val="32"/>
          <w:lang w:val="zh-CN"/>
        </w:rPr>
      </w:pPr>
      <w:r>
        <w:rPr>
          <w:rFonts w:hint="eastAsia" w:ascii="仿宋" w:hAnsi="仿宋" w:eastAsia="仿宋" w:cs="仿宋"/>
          <w:spacing w:val="-6"/>
          <w:sz w:val="32"/>
          <w:szCs w:val="32"/>
        </w:rPr>
        <w:t>总体上看，我会围绕年初的工作计划，稳定扎实的推进各项工作，履职情况较好。同时，对重点项目进行定期和不定期的开展绩效评价。全年预算编制报送及时、预算执行力度较好</w:t>
      </w:r>
      <w:r>
        <w:rPr>
          <w:rFonts w:hint="eastAsia" w:ascii="仿宋" w:hAnsi="仿宋" w:eastAsia="仿宋" w:cs="仿宋"/>
          <w:bCs/>
          <w:spacing w:val="-6"/>
          <w:sz w:val="32"/>
          <w:szCs w:val="32"/>
          <w:lang w:val="zh-CN"/>
        </w:rPr>
        <w:t>。</w:t>
      </w:r>
    </w:p>
    <w:p>
      <w:pPr>
        <w:widowControl/>
        <w:shd w:val="clear" w:color="auto" w:fill="FFFFFF"/>
        <w:spacing w:line="576" w:lineRule="exact"/>
        <w:ind w:firstLine="640"/>
        <w:rPr>
          <w:rFonts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四、评价结论及建议</w:t>
      </w:r>
    </w:p>
    <w:p>
      <w:pPr>
        <w:widowControl/>
        <w:shd w:val="clear" w:color="auto" w:fill="FFFFFF"/>
        <w:spacing w:line="576" w:lineRule="exact"/>
        <w:ind w:firstLine="720"/>
        <w:rPr>
          <w:rFonts w:ascii="华文楷体" w:hAnsi="华文楷体" w:eastAsia="华文楷体" w:cs="华文楷体"/>
          <w:b/>
          <w:bCs/>
          <w:sz w:val="32"/>
          <w:szCs w:val="32"/>
        </w:rPr>
      </w:pPr>
      <w:r>
        <w:rPr>
          <w:rFonts w:hint="eastAsia" w:ascii="仿宋" w:hAnsi="仿宋" w:eastAsia="仿宋" w:cs="仿宋"/>
          <w:b/>
          <w:bCs/>
          <w:sz w:val="32"/>
          <w:szCs w:val="32"/>
        </w:rPr>
        <w:t>（一）评价结论</w:t>
      </w:r>
    </w:p>
    <w:p>
      <w:pPr>
        <w:widowControl/>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我会加强部门预算管理，努力提高财政资金使用效益，取得了较好的成绩，部门支出绩效评价自评得分90分。主要表现在：较为准确、及时地完成预算编制工作；资金支出管理规范，资金管理制度较为完善，会计核算和账务处理规范，会计资料完整；圆满完成了省妇联、州委、州政府下达的目标任务。一是预算编制准确，按时完成预算基础库及项目库的报送和预算草案的提交；二是对项目经费进行绩效目标编制，做到绩效目标与实际需求相吻合；三是部门预决算按财政要求进行挂网公开；四是项目实施规划符合实际工作要求；五是财务管理制度健全、管理规范，会计人员岗位按职责分设，财务印鉴按要求保管，各司其职、各负其责；六是部门决算做到帐表一致，未出现应编未编、错误列编、虚假混编等现象，并按要求公开决算。</w:t>
      </w:r>
    </w:p>
    <w:p>
      <w:pPr>
        <w:widowControl/>
        <w:shd w:val="clear" w:color="auto" w:fill="FFFFFF"/>
        <w:spacing w:line="576" w:lineRule="exact"/>
        <w:ind w:firstLine="642" w:firstLineChars="200"/>
        <w:rPr>
          <w:rFonts w:ascii="仿宋" w:hAnsi="仿宋" w:eastAsia="仿宋" w:cs="仿宋"/>
          <w:b/>
          <w:bCs/>
          <w:sz w:val="32"/>
          <w:szCs w:val="32"/>
        </w:rPr>
      </w:pPr>
      <w:r>
        <w:rPr>
          <w:rFonts w:hint="eastAsia" w:ascii="仿宋" w:hAnsi="仿宋" w:eastAsia="仿宋" w:cs="仿宋"/>
          <w:b/>
          <w:bCs/>
          <w:sz w:val="32"/>
          <w:szCs w:val="32"/>
        </w:rPr>
        <w:t>（二）存在问题</w:t>
      </w:r>
    </w:p>
    <w:p>
      <w:pPr>
        <w:widowControl/>
        <w:shd w:val="clear" w:color="auto" w:fill="FFFFFF"/>
        <w:spacing w:line="576" w:lineRule="exact"/>
        <w:ind w:firstLine="720"/>
        <w:rPr>
          <w:rFonts w:ascii="仿宋" w:hAnsi="仿宋" w:eastAsia="仿宋" w:cs="仿宋"/>
          <w:sz w:val="32"/>
          <w:szCs w:val="32"/>
        </w:rPr>
      </w:pPr>
      <w:r>
        <w:rPr>
          <w:rFonts w:hint="eastAsia" w:ascii="仿宋" w:hAnsi="仿宋" w:eastAsia="仿宋" w:cs="仿宋"/>
          <w:sz w:val="32"/>
          <w:szCs w:val="32"/>
        </w:rPr>
        <w:t>一是由于人员少，工作量大，对群团行政管理事务的资金安排、使用、核算上存在一定的偏差，导致预算经费科目与支出科目存在差异。</w:t>
      </w:r>
    </w:p>
    <w:p>
      <w:pPr>
        <w:widowControl/>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二是部门年初安排项目实施时间为下半年，导致项目实施进度缓慢，项目资金执行进度滞后未按时序推进。</w:t>
      </w:r>
    </w:p>
    <w:p>
      <w:pPr>
        <w:widowControl/>
        <w:shd w:val="clear" w:color="auto" w:fill="FFFFFF"/>
        <w:spacing w:line="576" w:lineRule="exact"/>
        <w:ind w:firstLine="642" w:firstLineChars="200"/>
        <w:rPr>
          <w:rFonts w:ascii="华文楷体" w:hAnsi="华文楷体" w:eastAsia="华文楷体" w:cs="华文楷体"/>
          <w:b/>
          <w:bCs/>
          <w:sz w:val="32"/>
          <w:szCs w:val="32"/>
        </w:rPr>
      </w:pPr>
      <w:r>
        <w:rPr>
          <w:rFonts w:hint="eastAsia" w:ascii="仿宋" w:hAnsi="仿宋" w:eastAsia="仿宋" w:cs="仿宋"/>
          <w:b/>
          <w:bCs/>
          <w:sz w:val="32"/>
          <w:szCs w:val="32"/>
        </w:rPr>
        <w:t>（三）改进建议</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在今后的工作中，一是继续深化部门预算改革，建立部门预算项目储备、预算执行考核、预算执行动态监控三项机制；二是加强国有资产管理，及时处置已达到报废年限且不能使用的固定资产；三是加强预算管理，增强预算执行力度，保障财政资金使用效率；四是加强财务人员业务培训，进一步提高业务素质。</w:t>
      </w:r>
    </w:p>
    <w:p>
      <w:pPr>
        <w:spacing w:line="576" w:lineRule="exact"/>
        <w:ind w:firstLine="640" w:firstLineChars="200"/>
        <w:rPr>
          <w:rFonts w:ascii="仿宋" w:hAnsi="仿宋" w:eastAsia="仿宋" w:cs="仿宋"/>
          <w:sz w:val="32"/>
          <w:szCs w:val="32"/>
        </w:rPr>
      </w:pPr>
    </w:p>
    <w:p>
      <w:pPr>
        <w:spacing w:line="576" w:lineRule="exact"/>
        <w:ind w:firstLine="640" w:firstLineChars="200"/>
        <w:rPr>
          <w:rFonts w:ascii="仿宋" w:hAnsi="仿宋" w:eastAsia="仿宋" w:cs="仿宋"/>
          <w:sz w:val="32"/>
          <w:szCs w:val="32"/>
        </w:rPr>
      </w:pPr>
    </w:p>
    <w:p>
      <w:pPr>
        <w:pStyle w:val="2"/>
        <w:spacing w:before="93"/>
        <w:rPr>
          <w:rFonts w:ascii="仿宋" w:hAnsi="仿宋" w:eastAsia="仿宋" w:cs="仿宋"/>
          <w:sz w:val="32"/>
          <w:szCs w:val="32"/>
        </w:rPr>
      </w:pPr>
    </w:p>
    <w:p>
      <w:pPr>
        <w:rPr>
          <w:rFonts w:ascii="仿宋" w:hAnsi="仿宋" w:eastAsia="仿宋" w:cs="仿宋"/>
          <w:sz w:val="32"/>
          <w:szCs w:val="32"/>
        </w:rPr>
      </w:pPr>
    </w:p>
    <w:p>
      <w:pPr>
        <w:pStyle w:val="2"/>
        <w:spacing w:before="93"/>
        <w:rPr>
          <w:rFonts w:ascii="仿宋" w:hAnsi="仿宋" w:eastAsia="仿宋" w:cs="仿宋"/>
          <w:sz w:val="32"/>
          <w:szCs w:val="32"/>
        </w:rPr>
      </w:pPr>
    </w:p>
    <w:p>
      <w:pPr>
        <w:rPr>
          <w:rFonts w:ascii="仿宋" w:hAnsi="仿宋" w:eastAsia="仿宋" w:cs="仿宋"/>
          <w:sz w:val="32"/>
          <w:szCs w:val="32"/>
        </w:rPr>
      </w:pPr>
    </w:p>
    <w:p>
      <w:pPr>
        <w:pStyle w:val="2"/>
        <w:spacing w:before="93"/>
        <w:rPr>
          <w:rFonts w:ascii="仿宋" w:hAnsi="仿宋" w:eastAsia="仿宋" w:cs="仿宋"/>
          <w:sz w:val="32"/>
          <w:szCs w:val="32"/>
        </w:rPr>
      </w:pPr>
    </w:p>
    <w:p>
      <w:pPr>
        <w:rPr>
          <w:rFonts w:ascii="仿宋" w:hAnsi="仿宋" w:eastAsia="仿宋" w:cs="仿宋"/>
          <w:sz w:val="32"/>
          <w:szCs w:val="32"/>
        </w:rPr>
      </w:pPr>
    </w:p>
    <w:p>
      <w:pPr>
        <w:pStyle w:val="2"/>
        <w:spacing w:before="93"/>
        <w:rPr>
          <w:rFonts w:ascii="仿宋" w:hAnsi="仿宋" w:eastAsia="仿宋" w:cs="仿宋"/>
          <w:sz w:val="32"/>
          <w:szCs w:val="32"/>
        </w:rPr>
      </w:pPr>
    </w:p>
    <w:p>
      <w:pPr>
        <w:rPr>
          <w:rFonts w:ascii="仿宋" w:hAnsi="仿宋" w:eastAsia="仿宋" w:cs="仿宋"/>
          <w:sz w:val="32"/>
          <w:szCs w:val="32"/>
        </w:rPr>
      </w:pPr>
    </w:p>
    <w:p>
      <w:pPr>
        <w:pStyle w:val="2"/>
        <w:spacing w:before="93"/>
        <w:rPr>
          <w:rFonts w:ascii="仿宋" w:hAnsi="仿宋" w:eastAsia="仿宋" w:cs="仿宋"/>
          <w:sz w:val="32"/>
          <w:szCs w:val="32"/>
        </w:rPr>
      </w:pPr>
    </w:p>
    <w:p>
      <w:pPr>
        <w:rPr>
          <w:rFonts w:ascii="仿宋" w:hAnsi="仿宋" w:eastAsia="仿宋" w:cs="仿宋"/>
          <w:sz w:val="32"/>
          <w:szCs w:val="32"/>
        </w:rPr>
      </w:pPr>
    </w:p>
    <w:p>
      <w:pPr>
        <w:pStyle w:val="2"/>
        <w:spacing w:before="93"/>
        <w:rPr>
          <w:rFonts w:ascii="仿宋" w:hAnsi="仿宋" w:eastAsia="仿宋" w:cs="仿宋"/>
          <w:sz w:val="32"/>
          <w:szCs w:val="32"/>
        </w:rPr>
      </w:pPr>
    </w:p>
    <w:p/>
    <w:p>
      <w:pPr>
        <w:spacing w:line="576" w:lineRule="exact"/>
        <w:rPr>
          <w:rFonts w:ascii="仿宋_GB2312" w:hAnsi="仿宋_GB2312" w:eastAsia="仿宋_GB2312" w:cs="仿宋_GB2312"/>
          <w:sz w:val="32"/>
          <w:szCs w:val="32"/>
        </w:rPr>
      </w:pPr>
    </w:p>
    <w:p>
      <w:pPr>
        <w:spacing w:line="576" w:lineRule="exact"/>
        <w:jc w:val="left"/>
        <w:outlineLvl w:val="0"/>
        <w:rPr>
          <w:rFonts w:ascii="黑体" w:hAnsi="黑体" w:eastAsia="黑体" w:cs="黑体"/>
          <w:sz w:val="32"/>
          <w:szCs w:val="32"/>
        </w:rPr>
      </w:pPr>
      <w:bookmarkStart w:id="188" w:name="_Toc13373"/>
      <w:bookmarkStart w:id="189" w:name="_Toc2414"/>
      <w:bookmarkStart w:id="190" w:name="_Toc79163633"/>
      <w:r>
        <w:rPr>
          <w:rFonts w:hint="eastAsia" w:ascii="黑体" w:hAnsi="黑体" w:eastAsia="黑体" w:cs="黑体"/>
          <w:sz w:val="32"/>
          <w:szCs w:val="32"/>
        </w:rPr>
        <w:t>附件</w:t>
      </w:r>
      <w:r>
        <w:rPr>
          <w:rFonts w:ascii="黑体" w:hAnsi="黑体" w:eastAsia="黑体" w:cs="黑体"/>
          <w:sz w:val="32"/>
          <w:szCs w:val="32"/>
        </w:rPr>
        <w:t>2</w:t>
      </w:r>
      <w:bookmarkEnd w:id="188"/>
      <w:bookmarkEnd w:id="189"/>
      <w:bookmarkEnd w:id="190"/>
    </w:p>
    <w:p>
      <w:pPr>
        <w:spacing w:line="576" w:lineRule="exact"/>
        <w:ind w:firstLine="640" w:firstLineChars="200"/>
        <w:rPr>
          <w:rFonts w:ascii="仿宋_GB2312" w:hAnsi="仿宋_GB2312" w:eastAsia="仿宋_GB2312" w:cs="仿宋_GB2312"/>
          <w:sz w:val="32"/>
          <w:szCs w:val="32"/>
        </w:rPr>
      </w:pPr>
    </w:p>
    <w:p>
      <w:pPr>
        <w:snapToGrid w:val="0"/>
        <w:spacing w:line="576" w:lineRule="exact"/>
        <w:jc w:val="center"/>
        <w:rPr>
          <w:rFonts w:ascii="方正小标宋简体" w:hAnsi="宋体" w:eastAsia="方正小标宋简体"/>
          <w:sz w:val="44"/>
          <w:szCs w:val="44"/>
        </w:rPr>
      </w:pPr>
      <w:bookmarkStart w:id="191" w:name="_Toc79163634"/>
      <w:bookmarkStart w:id="192" w:name="_Toc79163635"/>
      <w:bookmarkStart w:id="193" w:name="_Toc79163885"/>
      <w:bookmarkStart w:id="194" w:name="_Toc15396618"/>
      <w:r>
        <w:rPr>
          <w:rFonts w:hint="eastAsia" w:ascii="方正小标宋简体" w:hAnsi="宋体" w:eastAsia="方正小标宋简体"/>
          <w:sz w:val="44"/>
          <w:szCs w:val="44"/>
        </w:rPr>
        <w:t>部门预算项目支出绩效自评报告</w:t>
      </w:r>
    </w:p>
    <w:p>
      <w:pPr>
        <w:tabs>
          <w:tab w:val="left" w:pos="3885"/>
        </w:tabs>
        <w:snapToGrid w:val="0"/>
        <w:spacing w:line="576" w:lineRule="exact"/>
        <w:jc w:val="cente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（贫困妇女儿童扶助工作经费——救济费项目）</w:t>
      </w:r>
    </w:p>
    <w:p>
      <w:pPr>
        <w:tabs>
          <w:tab w:val="left" w:pos="3885"/>
        </w:tabs>
        <w:snapToGrid w:val="0"/>
        <w:spacing w:line="576" w:lineRule="exact"/>
        <w:ind w:firstLine="421" w:firstLineChars="200"/>
        <w:jc w:val="left"/>
        <w:rPr>
          <w:rFonts w:ascii="宋体" w:hAnsi="宋体"/>
          <w:b/>
          <w:szCs w:val="21"/>
        </w:rPr>
      </w:pPr>
    </w:p>
    <w:p>
      <w:pPr>
        <w:numPr>
          <w:ilvl w:val="0"/>
          <w:numId w:val="5"/>
        </w:num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项目概况</w:t>
      </w:r>
    </w:p>
    <w:p>
      <w:pPr>
        <w:tabs>
          <w:tab w:val="left" w:pos="3885"/>
        </w:tabs>
        <w:snapToGrid w:val="0"/>
        <w:spacing w:line="576" w:lineRule="exact"/>
        <w:ind w:left="420" w:leftChars="200"/>
        <w:jc w:val="left"/>
        <w:rPr>
          <w:rFonts w:ascii="仿宋" w:hAnsi="仿宋" w:eastAsia="仿宋" w:cs="仿宋"/>
          <w:b/>
          <w:bCs/>
          <w:sz w:val="32"/>
          <w:szCs w:val="32"/>
        </w:rPr>
      </w:pPr>
      <w:r>
        <w:rPr>
          <w:rFonts w:hint="eastAsia" w:ascii="仿宋" w:hAnsi="仿宋" w:eastAsia="仿宋" w:cs="仿宋"/>
          <w:b/>
          <w:bCs/>
          <w:sz w:val="32"/>
          <w:szCs w:val="32"/>
        </w:rPr>
        <w:t>（一）项目基本情况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贫困妇女儿童扶助工作经费——救济费项目由办公室主要实施，相关部室参与。项目主要根据各级妇联组织在平时走访调研摸底中了解到的困难妇女儿童的实际需求设立。资金分配主要针对基层妇女儿童和突发事件造成生活困难得女性及其家庭，主要采用一次性支付的方式。预算资金为5.00万元，其中慰问退休干部、贫困妇女儿童、女农民工、一线抗疫医务人员等使用资金4.94万元，结余资金600.00元（关爱金川县儿童关爱项目经费）。</w:t>
      </w:r>
    </w:p>
    <w:p>
      <w:pPr>
        <w:adjustRightInd w:val="0"/>
        <w:snapToGrid w:val="0"/>
        <w:spacing w:line="576" w:lineRule="exact"/>
        <w:ind w:firstLine="642" w:firstLineChars="200"/>
        <w:rPr>
          <w:rFonts w:ascii="仿宋" w:hAnsi="仿宋" w:eastAsia="仿宋" w:cs="仿宋"/>
          <w:b/>
          <w:sz w:val="32"/>
          <w:szCs w:val="32"/>
          <w:lang w:val="zh-CN"/>
        </w:rPr>
      </w:pPr>
      <w:r>
        <w:rPr>
          <w:rFonts w:hint="eastAsia" w:ascii="仿宋" w:hAnsi="仿宋" w:eastAsia="仿宋" w:cs="仿宋"/>
          <w:b/>
          <w:sz w:val="32"/>
          <w:szCs w:val="32"/>
          <w:lang w:val="zh-CN"/>
        </w:rPr>
        <w:t>（二）项目绩效目标</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项目主要内容是通过资金扶持，让驻村干部、退休老干部感受到组织的关爱，让受助妇女儿童真切感受到党和国家的温暖，通过资金的帮扶救助，帮助她们树立生活的信心，为她们解决燃眉之急，帮助她们度过眼前的难关，真正体现妇联组织“坚强阵地、温暖之家”的重要作用。</w:t>
      </w:r>
      <w:r>
        <w:rPr>
          <w:rFonts w:hint="eastAsia" w:ascii="仿宋" w:hAnsi="仿宋" w:eastAsia="仿宋" w:cs="仿宋"/>
          <w:sz w:val="32"/>
          <w:szCs w:val="32"/>
          <w:lang w:val="zh-CN"/>
        </w:rPr>
        <w:t>项目应实现的具体绩效目标，包括：</w:t>
      </w:r>
      <w:r>
        <w:rPr>
          <w:rFonts w:hint="eastAsia" w:ascii="仿宋" w:hAnsi="仿宋" w:eastAsia="仿宋" w:cs="仿宋"/>
          <w:sz w:val="32"/>
          <w:szCs w:val="32"/>
        </w:rPr>
        <w:t>给予驻村干部、退休老干部和70名（个）左右的困难群众及其家庭等资金和物质的帮助；让受益群众感受到妇联组织的关心关爱，营造出全社会关心关爱妇女儿童的良好氛围；受助妇女儿童度过眼前难关，重获生活信心，其影响力是持久的；受益群众满意率70%以上</w:t>
      </w:r>
      <w:r>
        <w:rPr>
          <w:rFonts w:hint="eastAsia" w:ascii="仿宋" w:hAnsi="仿宋" w:eastAsia="仿宋" w:cs="仿宋"/>
          <w:sz w:val="32"/>
          <w:szCs w:val="32"/>
          <w:lang w:val="zh-CN"/>
        </w:rPr>
        <w:t>。申报内容是与实际相符</w:t>
      </w:r>
      <w:r>
        <w:rPr>
          <w:rFonts w:hint="eastAsia" w:ascii="仿宋" w:hAnsi="仿宋" w:eastAsia="仿宋" w:cs="仿宋"/>
          <w:sz w:val="32"/>
          <w:szCs w:val="32"/>
        </w:rPr>
        <w:t>的</w:t>
      </w:r>
      <w:r>
        <w:rPr>
          <w:rFonts w:hint="eastAsia" w:ascii="仿宋" w:hAnsi="仿宋" w:eastAsia="仿宋" w:cs="仿宋"/>
          <w:sz w:val="32"/>
          <w:szCs w:val="32"/>
          <w:lang w:val="zh-CN"/>
        </w:rPr>
        <w:t>，申报目标</w:t>
      </w:r>
      <w:r>
        <w:rPr>
          <w:rFonts w:hint="eastAsia" w:ascii="仿宋" w:hAnsi="仿宋" w:eastAsia="仿宋" w:cs="仿宋"/>
          <w:sz w:val="32"/>
          <w:szCs w:val="32"/>
        </w:rPr>
        <w:t>也</w:t>
      </w:r>
      <w:r>
        <w:rPr>
          <w:rFonts w:hint="eastAsia" w:ascii="仿宋" w:hAnsi="仿宋" w:eastAsia="仿宋" w:cs="仿宋"/>
          <w:sz w:val="32"/>
          <w:szCs w:val="32"/>
          <w:lang w:val="zh-CN"/>
        </w:rPr>
        <w:t>是否合理可行。</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（三）项目自评步骤及方法</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项目绩效</w:t>
      </w:r>
      <w:r>
        <w:rPr>
          <w:rFonts w:hint="eastAsia" w:ascii="仿宋" w:hAnsi="仿宋" w:eastAsia="仿宋" w:cs="仿宋"/>
          <w:sz w:val="32"/>
          <w:szCs w:val="32"/>
        </w:rPr>
        <w:t>自评工作由办公室相关项目经办人员、负责人和财务人员共同开展，评估体系参照《2020年度州级部门整体支出绩效评价指标体系》，对项目实施对象、资金分配、经费支出是否符合财经纪律要求，是否按申报予以实施，以及票实、账实是否相符等进行逐一自查。并主要针对预算项目支出的目标实现、编制准确、执行进度、预算完成等内容进行评估。</w:t>
      </w:r>
    </w:p>
    <w:p>
      <w:pPr>
        <w:adjustRightInd w:val="0"/>
        <w:snapToGrid w:val="0"/>
        <w:spacing w:line="576" w:lineRule="exact"/>
        <w:ind w:firstLine="642" w:firstLineChars="200"/>
        <w:rPr>
          <w:rFonts w:ascii="仿宋" w:hAnsi="仿宋" w:eastAsia="仿宋" w:cs="仿宋"/>
          <w:b/>
          <w:bCs/>
          <w:sz w:val="32"/>
          <w:szCs w:val="32"/>
        </w:rPr>
      </w:pPr>
      <w:r>
        <w:rPr>
          <w:rFonts w:hint="eastAsia" w:ascii="仿宋" w:hAnsi="仿宋" w:eastAsia="仿宋" w:cs="仿宋"/>
          <w:b/>
          <w:bCs/>
          <w:sz w:val="32"/>
          <w:szCs w:val="32"/>
        </w:rPr>
        <w:t>二、项目资金申报及使用情况</w:t>
      </w:r>
    </w:p>
    <w:p>
      <w:pPr>
        <w:adjustRightInd w:val="0"/>
        <w:snapToGrid w:val="0"/>
        <w:spacing w:line="576" w:lineRule="exact"/>
        <w:ind w:firstLine="642" w:firstLineChars="200"/>
        <w:rPr>
          <w:rFonts w:ascii="仿宋" w:hAnsi="仿宋" w:eastAsia="仿宋" w:cs="仿宋"/>
          <w:b/>
          <w:sz w:val="32"/>
          <w:szCs w:val="32"/>
          <w:lang w:val="zh-CN"/>
        </w:rPr>
      </w:pPr>
      <w:r>
        <w:rPr>
          <w:rFonts w:hint="eastAsia" w:ascii="仿宋" w:hAnsi="仿宋" w:eastAsia="仿宋" w:cs="仿宋"/>
          <w:b/>
          <w:sz w:val="32"/>
          <w:szCs w:val="32"/>
          <w:lang w:val="zh-CN"/>
        </w:rPr>
        <w:t>（一）项目资金申报及批复情况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项目资金申报、批复及预算调整等程序均按照财政先关对顶进行。</w:t>
      </w:r>
    </w:p>
    <w:p>
      <w:pPr>
        <w:numPr>
          <w:ilvl w:val="0"/>
          <w:numId w:val="6"/>
        </w:num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资金计划、到位及使用情况</w:t>
      </w:r>
    </w:p>
    <w:p>
      <w:pPr>
        <w:spacing w:line="576" w:lineRule="exact"/>
        <w:ind w:firstLine="642" w:firstLineChars="200"/>
        <w:rPr>
          <w:rFonts w:ascii="仿宋" w:hAnsi="仿宋" w:eastAsia="仿宋" w:cs="仿宋"/>
          <w:sz w:val="32"/>
          <w:szCs w:val="32"/>
          <w:lang w:val="zh-CN"/>
        </w:rPr>
      </w:pPr>
      <w:r>
        <w:rPr>
          <w:rFonts w:hint="eastAsia" w:ascii="仿宋" w:hAnsi="仿宋" w:eastAsia="仿宋" w:cs="仿宋"/>
          <w:b/>
          <w:bCs/>
          <w:sz w:val="32"/>
          <w:szCs w:val="32"/>
          <w:lang w:val="zh-CN"/>
        </w:rPr>
        <w:t>1．</w:t>
      </w:r>
      <w:r>
        <w:rPr>
          <w:rFonts w:hint="eastAsia" w:ascii="仿宋" w:hAnsi="仿宋" w:eastAsia="仿宋" w:cs="仿宋"/>
          <w:sz w:val="32"/>
          <w:szCs w:val="32"/>
          <w:lang w:val="zh-CN"/>
        </w:rPr>
        <w:t>资金计划：项目资金均为财政资金。</w:t>
      </w:r>
    </w:p>
    <w:p>
      <w:pPr>
        <w:spacing w:line="576" w:lineRule="exact"/>
        <w:ind w:firstLine="642" w:firstLineChars="200"/>
        <w:rPr>
          <w:rFonts w:ascii="仿宋" w:hAnsi="仿宋" w:eastAsia="仿宋" w:cs="仿宋"/>
          <w:sz w:val="32"/>
          <w:szCs w:val="32"/>
          <w:lang w:val="zh-CN"/>
        </w:rPr>
      </w:pPr>
      <w:r>
        <w:rPr>
          <w:rFonts w:hint="eastAsia" w:ascii="仿宋" w:hAnsi="仿宋" w:eastAsia="仿宋" w:cs="仿宋"/>
          <w:b/>
          <w:bCs/>
          <w:sz w:val="32"/>
          <w:szCs w:val="32"/>
          <w:lang w:val="zh-CN"/>
        </w:rPr>
        <w:t>2．</w:t>
      </w:r>
      <w:r>
        <w:rPr>
          <w:rFonts w:hint="eastAsia" w:ascii="仿宋" w:hAnsi="仿宋" w:eastAsia="仿宋" w:cs="仿宋"/>
          <w:sz w:val="32"/>
          <w:szCs w:val="32"/>
          <w:lang w:val="zh-CN"/>
        </w:rPr>
        <w:t>资金到位：资金到位率高、到位及时。</w:t>
      </w:r>
    </w:p>
    <w:p>
      <w:pPr>
        <w:spacing w:line="576" w:lineRule="exact"/>
        <w:ind w:firstLine="642" w:firstLineChars="200"/>
        <w:rPr>
          <w:rFonts w:ascii="仿宋" w:hAnsi="仿宋" w:eastAsia="仿宋" w:cs="仿宋"/>
          <w:sz w:val="32"/>
          <w:szCs w:val="32"/>
          <w:lang w:val="zh-CN"/>
        </w:rPr>
      </w:pPr>
      <w:r>
        <w:rPr>
          <w:rFonts w:hint="eastAsia" w:ascii="仿宋" w:hAnsi="仿宋" w:eastAsia="仿宋" w:cs="仿宋"/>
          <w:b/>
          <w:bCs/>
          <w:sz w:val="32"/>
          <w:szCs w:val="32"/>
          <w:lang w:val="zh-CN"/>
        </w:rPr>
        <w:t>3．</w:t>
      </w:r>
      <w:r>
        <w:rPr>
          <w:rFonts w:hint="eastAsia" w:ascii="仿宋" w:hAnsi="仿宋" w:eastAsia="仿宋" w:cs="仿宋"/>
          <w:sz w:val="32"/>
          <w:szCs w:val="32"/>
          <w:lang w:val="zh-CN"/>
        </w:rPr>
        <w:t>资金使用：预算资金使用进度基本符合财政使用进度要求，12月预算执行进度达到了92%。资金使用的安全性、规范性及有效性较高，资金支付范围、支付标准、支付进度、支付依据等合规合法、与预算相符。</w:t>
      </w:r>
    </w:p>
    <w:p>
      <w:pPr>
        <w:adjustRightInd w:val="0"/>
        <w:snapToGri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w:t>
      </w:r>
      <w:r>
        <w:rPr>
          <w:rFonts w:hint="eastAsia" w:ascii="仿宋" w:hAnsi="仿宋" w:eastAsia="仿宋" w:cs="仿宋"/>
          <w:b/>
          <w:sz w:val="32"/>
          <w:szCs w:val="32"/>
          <w:lang w:val="zh-CN"/>
        </w:rPr>
        <w:t>项目财务管理情况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项目的实施严格按照财政的要求，基本通过直接支付的方式将慰问扶助资金拨付到群众卡中，购买慰问物资也严格按照要求进行直接支付，减少了中间环节，保证了经费使用的规范和安全。财务管理制度健全，账务处理及时，会计核算规范。</w:t>
      </w:r>
    </w:p>
    <w:p>
      <w:pPr>
        <w:adjustRightInd w:val="0"/>
        <w:snapToGrid w:val="0"/>
        <w:spacing w:line="576" w:lineRule="exact"/>
        <w:ind w:firstLine="720"/>
        <w:rPr>
          <w:rFonts w:ascii="仿宋" w:hAnsi="仿宋" w:eastAsia="仿宋" w:cs="仿宋"/>
          <w:b/>
          <w:bCs/>
          <w:sz w:val="32"/>
          <w:szCs w:val="32"/>
        </w:rPr>
      </w:pPr>
      <w:r>
        <w:rPr>
          <w:rFonts w:hint="eastAsia" w:ascii="仿宋" w:hAnsi="仿宋" w:eastAsia="仿宋" w:cs="仿宋"/>
          <w:b/>
          <w:bCs/>
          <w:sz w:val="32"/>
          <w:szCs w:val="32"/>
        </w:rPr>
        <w:t>三、项目实施及管理情况</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（一）项目组织架构及实施流程</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作为党联系群众的桥梁和纽带，紧紧围绕脱贫攻坚重点工作的开展，结合妇联工作实际，通过“两联一进”慰问、疫情防控慰问等，对特殊困难群众和一线工作者进行适当扶助慰问，在给予资金、物资的同时，将党和国家的温暖传递到广大群众心中，为“一州两区三家园”建设凝心聚力。项目主要由办公室牵头，根据预算，拟定项目资金使用方案，根据进度安排逐步实施项目，支付相关经费。</w:t>
      </w:r>
    </w:p>
    <w:p>
      <w:pPr>
        <w:snapToGrid w:val="0"/>
        <w:spacing w:line="576" w:lineRule="exact"/>
        <w:ind w:firstLine="642" w:firstLineChars="200"/>
        <w:rPr>
          <w:rFonts w:ascii="仿宋_GB2312" w:hAnsi="仿宋_GB2312" w:cs="仿宋_GB2312"/>
          <w:sz w:val="32"/>
          <w:szCs w:val="32"/>
        </w:rPr>
      </w:pPr>
      <w:r>
        <w:rPr>
          <w:rFonts w:hint="eastAsia" w:ascii="仿宋" w:hAnsi="仿宋" w:eastAsia="仿宋" w:cs="仿宋"/>
          <w:b/>
          <w:sz w:val="32"/>
          <w:szCs w:val="32"/>
          <w:lang w:val="zh-CN"/>
        </w:rPr>
        <w:t>（二）项目管理情况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办公室严格执行相关法律法规，有序合规推进实施，将项目经费用到刀刃上，真正让有需要的妇女儿童及其家庭、老干部、困难群众受益。</w:t>
      </w:r>
    </w:p>
    <w:p>
      <w:pPr>
        <w:numPr>
          <w:ilvl w:val="0"/>
          <w:numId w:val="7"/>
        </w:num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项目监管情况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办公室加强对项目管理，拟定使用方案，党组会审议通过后实施，规范审批报销制度，收集整理相关材料，全程在党组的监督下实施，达到了预期的目标效果。</w:t>
      </w:r>
    </w:p>
    <w:p>
      <w:pPr>
        <w:adjustRightInd w:val="0"/>
        <w:snapToGrid w:val="0"/>
        <w:spacing w:line="576" w:lineRule="exact"/>
        <w:ind w:firstLine="720"/>
        <w:rPr>
          <w:rFonts w:ascii="仿宋" w:hAnsi="仿宋" w:eastAsia="仿宋" w:cs="仿宋"/>
          <w:b/>
          <w:bCs/>
          <w:sz w:val="32"/>
          <w:szCs w:val="32"/>
          <w:lang w:val="zh-CN"/>
        </w:rPr>
      </w:pPr>
      <w:r>
        <w:rPr>
          <w:rFonts w:hint="eastAsia" w:ascii="仿宋" w:hAnsi="仿宋" w:eastAsia="仿宋" w:cs="仿宋"/>
          <w:b/>
          <w:bCs/>
          <w:sz w:val="32"/>
          <w:szCs w:val="32"/>
        </w:rPr>
        <w:t>四、项目绩效情况</w:t>
      </w:r>
      <w:r>
        <w:rPr>
          <w:rFonts w:hint="eastAsia" w:ascii="仿宋" w:hAnsi="仿宋" w:eastAsia="仿宋" w:cs="仿宋"/>
          <w:b/>
          <w:bCs/>
          <w:sz w:val="32"/>
          <w:szCs w:val="32"/>
          <w:lang w:val="zh-CN"/>
        </w:rPr>
        <w:tab/>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（一）项目完成情况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项目实际完成度较高，与预期绩效目标偏离度较小，实际完成基本达到了预期指标。年初预算数与决算数偏差程度在10%以内。结余额未超过部门年度预算总额10%的。结合疫情防控、两联一进等、新春老干部慰问等活动，慰问退休干部、贫困妇女儿童、女农民工、一线抗疫医务人员100余人，项目完成度高。</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（二）项目效益情况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项目效益指标圆满达标，受益群众真切感受到了党和国家、妇联组织的关心关爱，在全社会营造出关心关爱妇女儿童的良好氛围；受助妇女儿童度过眼前难关，重获生活信心，努力寻求改变，逐渐走出阴霾，用自己的双手改变生活，让她们在脱贫一线、抗议一线更加斗志昂扬，为我州强基固本、凝聚人心起到了非常重要的作用，其影响力巨大而持久。</w:t>
      </w:r>
    </w:p>
    <w:p>
      <w:pPr>
        <w:adjustRightInd w:val="0"/>
        <w:snapToGrid w:val="0"/>
        <w:spacing w:line="576" w:lineRule="exact"/>
        <w:ind w:firstLine="720"/>
        <w:rPr>
          <w:rFonts w:ascii="仿宋" w:hAnsi="仿宋" w:eastAsia="仿宋" w:cs="仿宋"/>
          <w:b/>
          <w:bCs/>
          <w:sz w:val="32"/>
          <w:szCs w:val="32"/>
        </w:rPr>
      </w:pPr>
      <w:r>
        <w:rPr>
          <w:rFonts w:hint="eastAsia" w:ascii="仿宋" w:hAnsi="仿宋" w:eastAsia="仿宋" w:cs="仿宋"/>
          <w:b/>
          <w:bCs/>
          <w:sz w:val="32"/>
          <w:szCs w:val="32"/>
        </w:rPr>
        <w:t>五、评价结论及建议</w:t>
      </w:r>
    </w:p>
    <w:p>
      <w:pPr>
        <w:adjustRightInd w:val="0"/>
        <w:snapToGrid w:val="0"/>
        <w:spacing w:line="576" w:lineRule="exact"/>
        <w:ind w:firstLine="720"/>
        <w:rPr>
          <w:rFonts w:ascii="仿宋" w:hAnsi="仿宋" w:eastAsia="仿宋" w:cs="仿宋"/>
          <w:b/>
          <w:sz w:val="32"/>
          <w:szCs w:val="32"/>
          <w:lang w:val="zh-CN"/>
        </w:rPr>
      </w:pPr>
      <w:r>
        <w:rPr>
          <w:rFonts w:hint="eastAsia" w:ascii="仿宋" w:hAnsi="仿宋" w:eastAsia="仿宋" w:cs="仿宋"/>
          <w:b/>
          <w:sz w:val="32"/>
          <w:szCs w:val="32"/>
          <w:lang w:val="zh-CN"/>
        </w:rPr>
        <w:t>（一）评价结论</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 xml:space="preserve">项目绩效目标编制要素完整，绩效指标做到了细化量化。年初项目绩效目标编制较为科学准确，项目实际完成度较高，与预期绩效目标偏离度较小，实际完成基本达到了预期指标。没有出现过部门预算管理方面违纪违规问题。按要求将相关绩效信息随同决算进行了公开。在规定时间内向财政部门反馈了应用绩效结果报告。 </w:t>
      </w:r>
    </w:p>
    <w:p>
      <w:pPr>
        <w:adjustRightInd w:val="0"/>
        <w:snapToGrid w:val="0"/>
        <w:spacing w:line="576" w:lineRule="exact"/>
        <w:ind w:firstLine="720"/>
        <w:rPr>
          <w:rFonts w:ascii="楷体_GB2312" w:hAnsi="宋体" w:eastAsia="楷体_GB2312"/>
          <w:b/>
          <w:sz w:val="32"/>
          <w:szCs w:val="32"/>
          <w:lang w:val="zh-CN"/>
        </w:rPr>
      </w:pPr>
      <w:r>
        <w:rPr>
          <w:rFonts w:hint="eastAsia" w:ascii="仿宋" w:hAnsi="仿宋" w:eastAsia="仿宋" w:cs="仿宋"/>
          <w:b/>
          <w:sz w:val="32"/>
          <w:szCs w:val="32"/>
          <w:lang w:val="zh-CN"/>
        </w:rPr>
        <w:t>（二）存在的问题</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项目资金使用范围较窄，预算准确度不够，使用过程中临时调整相对较多。偶尔有现金垫支的情况。</w:t>
      </w:r>
      <w:r>
        <w:rPr>
          <w:rFonts w:hint="eastAsia" w:ascii="仿宋" w:hAnsi="仿宋" w:eastAsia="仿宋" w:cs="仿宋"/>
          <w:sz w:val="32"/>
          <w:szCs w:val="32"/>
          <w:lang w:val="zh-CN"/>
        </w:rPr>
        <w:tab/>
      </w:r>
    </w:p>
    <w:p>
      <w:pPr>
        <w:adjustRightInd w:val="0"/>
        <w:snapToGrid w:val="0"/>
        <w:spacing w:line="576" w:lineRule="exact"/>
        <w:ind w:firstLine="720"/>
        <w:rPr>
          <w:rFonts w:ascii="楷体_GB2312" w:hAnsi="宋体" w:eastAsia="楷体_GB2312"/>
          <w:b/>
          <w:sz w:val="32"/>
          <w:szCs w:val="32"/>
          <w:lang w:val="zh-CN"/>
        </w:rPr>
      </w:pPr>
      <w:r>
        <w:rPr>
          <w:rFonts w:hint="eastAsia" w:ascii="仿宋" w:hAnsi="仿宋" w:eastAsia="仿宋" w:cs="仿宋"/>
          <w:b/>
          <w:sz w:val="32"/>
          <w:szCs w:val="32"/>
          <w:lang w:val="zh-CN"/>
        </w:rPr>
        <w:t>（三）相关建议</w:t>
      </w:r>
    </w:p>
    <w:p>
      <w:pPr>
        <w:spacing w:line="576" w:lineRule="exact"/>
        <w:ind w:firstLine="640" w:firstLineChars="200"/>
        <w:rPr>
          <w:rFonts w:ascii="仿宋" w:hAnsi="仿宋" w:eastAsia="仿宋" w:cs="仿宋"/>
          <w:sz w:val="32"/>
          <w:szCs w:val="32"/>
          <w:lang w:val="zh-CN"/>
        </w:rPr>
      </w:pPr>
      <w:r>
        <w:rPr>
          <w:rFonts w:hint="eastAsia" w:ascii="仿宋_GB2312" w:hAnsi="宋体" w:eastAsia="仿宋_GB2312"/>
          <w:sz w:val="32"/>
          <w:szCs w:val="32"/>
        </w:rPr>
        <w:t xml:space="preserve"> </w:t>
      </w:r>
      <w:r>
        <w:rPr>
          <w:rFonts w:hint="eastAsia" w:ascii="仿宋" w:hAnsi="仿宋" w:eastAsia="仿宋" w:cs="仿宋"/>
          <w:sz w:val="32"/>
          <w:szCs w:val="32"/>
          <w:lang w:val="zh-CN"/>
        </w:rPr>
        <w:t>因为一些特殊情况，导致一些资金无法完全严格按照财政要求直接支付，希望财政部门能够就此类资金的发放给予更多方式方法上的指导，确保资金使用的合理合法合规。</w:t>
      </w:r>
    </w:p>
    <w:p>
      <w:pPr>
        <w:spacing w:line="576" w:lineRule="exact"/>
        <w:ind w:firstLine="640" w:firstLineChars="200"/>
        <w:rPr>
          <w:rFonts w:ascii="仿宋" w:hAnsi="仿宋" w:eastAsia="仿宋" w:cs="仿宋"/>
          <w:sz w:val="32"/>
          <w:szCs w:val="32"/>
          <w:lang w:val="zh-CN"/>
        </w:rPr>
      </w:pPr>
    </w:p>
    <w:p>
      <w:pPr>
        <w:pStyle w:val="2"/>
        <w:spacing w:before="93"/>
        <w:rPr>
          <w:lang w:val="zh-CN"/>
        </w:rPr>
      </w:pPr>
    </w:p>
    <w:p>
      <w:pPr>
        <w:snapToGrid w:val="0"/>
        <w:spacing w:line="576" w:lineRule="exact"/>
        <w:jc w:val="center"/>
        <w:rPr>
          <w:rFonts w:ascii="华文仿宋" w:hAnsi="华文仿宋" w:eastAsia="华文仿宋" w:cs="华文仿宋"/>
          <w:sz w:val="24"/>
        </w:rPr>
      </w:pPr>
      <w:r>
        <w:rPr>
          <w:rFonts w:hint="eastAsia" w:ascii="方正小标宋简体" w:hAnsi="宋体" w:eastAsia="方正小标宋简体"/>
          <w:sz w:val="44"/>
          <w:szCs w:val="44"/>
        </w:rPr>
        <w:t>部门预算项目支出绩效自评报告</w:t>
      </w:r>
    </w:p>
    <w:p>
      <w:pPr>
        <w:spacing w:line="576" w:lineRule="exact"/>
        <w:jc w:val="center"/>
        <w:rPr>
          <w:rFonts w:ascii="仿宋_GB2312" w:hAnsi="宋体" w:eastAsia="仿宋_GB2312"/>
          <w:b/>
          <w:bCs/>
          <w:sz w:val="32"/>
          <w:szCs w:val="32"/>
        </w:rPr>
      </w:pPr>
      <w:r>
        <w:rPr>
          <w:rFonts w:hint="eastAsia" w:ascii="仿宋_GB2312" w:hAnsi="宋体" w:eastAsia="仿宋_GB2312"/>
          <w:b/>
          <w:bCs/>
          <w:sz w:val="32"/>
          <w:szCs w:val="32"/>
        </w:rPr>
        <w:t>（基层组织建设经费项目）</w:t>
      </w:r>
    </w:p>
    <w:p>
      <w:pPr>
        <w:spacing w:line="576" w:lineRule="exact"/>
        <w:ind w:firstLine="640"/>
        <w:rPr>
          <w:rFonts w:ascii="宋体" w:hAnsi="宋体"/>
          <w:sz w:val="32"/>
          <w:szCs w:val="32"/>
          <w:lang w:val="zh-CN"/>
        </w:rPr>
      </w:pPr>
    </w:p>
    <w:p>
      <w:pPr>
        <w:numPr>
          <w:ilvl w:val="0"/>
          <w:numId w:val="8"/>
        </w:numPr>
        <w:tabs>
          <w:tab w:val="left" w:pos="3885"/>
        </w:tabs>
        <w:snapToGrid w:val="0"/>
        <w:spacing w:line="576" w:lineRule="exact"/>
        <w:ind w:firstLine="640"/>
        <w:jc w:val="left"/>
        <w:rPr>
          <w:rFonts w:ascii="黑体" w:hAnsi="宋体" w:eastAsia="黑体"/>
          <w:sz w:val="32"/>
          <w:szCs w:val="21"/>
        </w:rPr>
      </w:pPr>
      <w:r>
        <w:rPr>
          <w:rFonts w:hint="eastAsia" w:ascii="黑体" w:hAnsi="宋体" w:eastAsia="黑体"/>
          <w:sz w:val="32"/>
          <w:szCs w:val="21"/>
        </w:rPr>
        <w:t>基本情况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基层组织建设经费用于开展妇联基层组织工作，预算指标10万元，已支付10万元。</w:t>
      </w:r>
    </w:p>
    <w:p>
      <w:pPr>
        <w:snapToGrid w:val="0"/>
        <w:spacing w:line="576" w:lineRule="exact"/>
        <w:ind w:firstLine="640" w:firstLineChars="200"/>
        <w:rPr>
          <w:rFonts w:ascii="宋体" w:hAnsi="宋体" w:eastAsia="仿宋_GB2312"/>
          <w:sz w:val="32"/>
          <w:szCs w:val="21"/>
        </w:rPr>
      </w:pPr>
      <w:r>
        <w:rPr>
          <w:rFonts w:hint="eastAsia" w:ascii="黑体" w:hAnsi="黑体" w:eastAsia="黑体" w:cs="黑体"/>
          <w:sz w:val="32"/>
          <w:szCs w:val="21"/>
        </w:rPr>
        <w:t>二、评价工作开展情况</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自评工作由组宣部相关项目经办人员和负责人开展，评估体系参照《2021年度州级部门整体支出绩效评价指标体系》，主要针对预算项目支出的目标实现、编制准确、执行进度、预算完成等内容进行评估</w:t>
      </w:r>
      <w:r>
        <w:rPr>
          <w:rFonts w:hint="eastAsia" w:ascii="仿宋" w:hAnsi="仿宋" w:eastAsia="仿宋" w:cs="仿宋"/>
          <w:sz w:val="32"/>
          <w:szCs w:val="32"/>
          <w:lang w:val="zh-CN"/>
        </w:rPr>
        <w:t>。</w:t>
      </w:r>
    </w:p>
    <w:p>
      <w:pPr>
        <w:snapToGrid w:val="0"/>
        <w:spacing w:line="576" w:lineRule="exact"/>
        <w:ind w:left="630"/>
        <w:rPr>
          <w:rFonts w:ascii="黑体" w:hAnsi="宋体" w:eastAsia="黑体"/>
          <w:sz w:val="32"/>
          <w:szCs w:val="21"/>
        </w:rPr>
      </w:pPr>
      <w:r>
        <w:rPr>
          <w:rFonts w:hint="eastAsia" w:ascii="黑体" w:hAnsi="宋体" w:eastAsia="黑体"/>
          <w:sz w:val="32"/>
          <w:szCs w:val="21"/>
        </w:rPr>
        <w:t>三、综合评价结论</w:t>
      </w:r>
    </w:p>
    <w:p>
      <w:pPr>
        <w:snapToGrid w:val="0"/>
        <w:spacing w:line="576" w:lineRule="exact"/>
        <w:ind w:firstLine="640" w:firstLineChars="200"/>
        <w:rPr>
          <w:rFonts w:ascii="仿宋_GB2312" w:hAnsi="仿宋_GB2312" w:eastAsia="仿宋_GB2312" w:cs="仿宋_GB2312"/>
          <w:sz w:val="32"/>
          <w:szCs w:val="21"/>
        </w:rPr>
      </w:pPr>
      <w:r>
        <w:rPr>
          <w:rFonts w:hint="eastAsia" w:ascii="仿宋" w:hAnsi="仿宋" w:eastAsia="仿宋" w:cs="仿宋"/>
          <w:sz w:val="32"/>
          <w:szCs w:val="32"/>
        </w:rPr>
        <w:t xml:space="preserve">项目绩效目标编制要素完整，绩效指标做到了细化量化。年初项目绩效目标编制科学准确，项目实际完成度高，与预期绩效目标偏离度小，实际完成达到了预期指标。年初预算数与决算数完全一致。                                                                                                                                                          </w:t>
      </w:r>
    </w:p>
    <w:p>
      <w:pPr>
        <w:snapToGrid w:val="0"/>
        <w:spacing w:line="576" w:lineRule="exact"/>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（一）项目决策情况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为深入了解基层妇联组织建设、“两联一进”、推进妇联破难行动情况，提供2021年乡镇、村两级妇联换届基础信息，按照财政相关规定编制了本项项目支出预算。</w:t>
      </w:r>
    </w:p>
    <w:p>
      <w:pPr>
        <w:numPr>
          <w:ilvl w:val="0"/>
          <w:numId w:val="9"/>
        </w:num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项目管理情况</w:t>
      </w:r>
    </w:p>
    <w:p>
      <w:pPr>
        <w:snapToGrid w:val="0"/>
        <w:spacing w:line="576" w:lineRule="exact"/>
        <w:rPr>
          <w:rFonts w:ascii="仿宋" w:hAnsi="仿宋" w:eastAsia="仿宋" w:cs="仿宋"/>
          <w:sz w:val="32"/>
          <w:szCs w:val="32"/>
        </w:rPr>
      </w:pPr>
      <w:r>
        <w:rPr>
          <w:rFonts w:hint="eastAsia" w:ascii="楷体_GB2312" w:hAnsi="宋体" w:eastAsia="楷体_GB2312"/>
          <w:b/>
          <w:sz w:val="32"/>
          <w:szCs w:val="21"/>
        </w:rPr>
        <w:t xml:space="preserve">     </w:t>
      </w:r>
      <w:r>
        <w:rPr>
          <w:rFonts w:hint="eastAsia" w:ascii="仿宋" w:hAnsi="仿宋" w:eastAsia="仿宋" w:cs="仿宋"/>
          <w:sz w:val="32"/>
          <w:szCs w:val="32"/>
        </w:rPr>
        <w:t>会机关领导干部职工下基层、访妇情，调研基层妇联组织建设等差旅费均在其中开支。</w:t>
      </w:r>
    </w:p>
    <w:p>
      <w:pPr>
        <w:numPr>
          <w:ilvl w:val="0"/>
          <w:numId w:val="9"/>
        </w:num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项目产出情况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开展村（社区）妇联主席待遇保障工作调研，对村（社区）妇联主席、离任（社区）妇联主席有关待遇保障进行调研、统计、分析，并形成《关于村（社区）妇联主席待遇保障工作有关事宜的报告》报州委组织部，争取到村（社区）妇联主席纳入常职干部待遇。</w:t>
      </w:r>
    </w:p>
    <w:p>
      <w:pPr>
        <w:numPr>
          <w:ilvl w:val="0"/>
          <w:numId w:val="9"/>
        </w:num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项目效益情况。</w:t>
      </w:r>
    </w:p>
    <w:p>
      <w:pPr>
        <w:adjustRightInd w:val="0"/>
        <w:snapToGrid w:val="0"/>
        <w:spacing w:line="576" w:lineRule="exact"/>
        <w:ind w:firstLine="642" w:firstLineChars="200"/>
        <w:rPr>
          <w:rFonts w:ascii="仿宋" w:hAnsi="仿宋" w:eastAsia="仿宋" w:cs="仿宋"/>
          <w:sz w:val="32"/>
          <w:szCs w:val="32"/>
        </w:rPr>
      </w:pPr>
      <w:r>
        <w:rPr>
          <w:rFonts w:hint="eastAsia" w:ascii="楷体_GB2312" w:hAnsi="宋体" w:eastAsia="楷体_GB2312"/>
          <w:b/>
          <w:sz w:val="32"/>
          <w:szCs w:val="21"/>
        </w:rPr>
        <w:t xml:space="preserve"> </w:t>
      </w:r>
      <w:r>
        <w:rPr>
          <w:rFonts w:hint="eastAsia" w:ascii="仿宋" w:hAnsi="仿宋" w:eastAsia="仿宋" w:cs="仿宋"/>
          <w:sz w:val="32"/>
          <w:szCs w:val="32"/>
          <w:lang w:val="zh-CN"/>
        </w:rPr>
        <w:t>项目</w:t>
      </w:r>
      <w:r>
        <w:rPr>
          <w:rFonts w:hint="eastAsia" w:ascii="仿宋" w:hAnsi="仿宋" w:eastAsia="仿宋" w:cs="仿宋"/>
          <w:sz w:val="32"/>
          <w:szCs w:val="32"/>
        </w:rPr>
        <w:t>已</w:t>
      </w:r>
      <w:r>
        <w:rPr>
          <w:rFonts w:hint="eastAsia" w:ascii="仿宋" w:hAnsi="仿宋" w:eastAsia="仿宋" w:cs="仿宋"/>
          <w:sz w:val="32"/>
          <w:szCs w:val="32"/>
          <w:lang w:val="zh-CN"/>
        </w:rPr>
        <w:t>完成了预期指标值，</w:t>
      </w:r>
      <w:r>
        <w:rPr>
          <w:rFonts w:hint="eastAsia" w:ascii="仿宋" w:hAnsi="仿宋" w:eastAsia="仿宋" w:cs="仿宋"/>
          <w:sz w:val="32"/>
          <w:szCs w:val="32"/>
        </w:rPr>
        <w:t>达到了预期目的。指导基层开展乡镇行政区划调整、村级建制调整后乡镇、村社区的妇联组织调整工作。配合省妇联开展女性社会组织调研工作，形成调研报告。巩固提升服务型妇联组织建设成果。总结梳理各县（市）“会改联”、乡镇妇联区域化工作情况，对改建程序不规范、改建后工作开展不力、作用发挥不好等问题，逐一排查核实，抓好整改落实。</w:t>
      </w:r>
    </w:p>
    <w:p>
      <w:pPr>
        <w:numPr>
          <w:ilvl w:val="0"/>
          <w:numId w:val="10"/>
        </w:numPr>
        <w:snapToGrid w:val="0"/>
        <w:spacing w:line="576" w:lineRule="exact"/>
        <w:ind w:firstLine="640" w:firstLineChars="200"/>
        <w:rPr>
          <w:rFonts w:ascii="黑体" w:hAnsi="宋体" w:eastAsia="黑体"/>
          <w:sz w:val="32"/>
          <w:szCs w:val="21"/>
        </w:rPr>
      </w:pPr>
      <w:r>
        <w:rPr>
          <w:rFonts w:hint="eastAsia" w:ascii="黑体" w:hAnsi="宋体" w:eastAsia="黑体"/>
          <w:sz w:val="32"/>
          <w:szCs w:val="21"/>
        </w:rPr>
        <w:t>存在主要问题</w:t>
      </w:r>
    </w:p>
    <w:p>
      <w:pPr>
        <w:snapToGrid w:val="0"/>
        <w:spacing w:line="576" w:lineRule="exact"/>
        <w:rPr>
          <w:rFonts w:ascii="黑体" w:hAnsi="宋体" w:eastAsia="黑体"/>
          <w:sz w:val="32"/>
          <w:szCs w:val="21"/>
        </w:rPr>
      </w:pPr>
      <w:r>
        <w:rPr>
          <w:rFonts w:hint="eastAsia" w:ascii="黑体" w:hAnsi="宋体" w:eastAsia="黑体"/>
          <w:sz w:val="32"/>
          <w:szCs w:val="21"/>
        </w:rPr>
        <w:t xml:space="preserve"> </w:t>
      </w:r>
      <w:r>
        <w:rPr>
          <w:rFonts w:hint="eastAsia" w:ascii="仿宋_GB2312" w:hAnsi="仿宋_GB2312" w:eastAsia="仿宋_GB2312" w:cs="仿宋_GB2312"/>
          <w:sz w:val="32"/>
          <w:szCs w:val="21"/>
        </w:rPr>
        <w:t xml:space="preserve">   项目预算和执行存在一定偏差。</w:t>
      </w:r>
    </w:p>
    <w:p>
      <w:pPr>
        <w:numPr>
          <w:ilvl w:val="0"/>
          <w:numId w:val="10"/>
        </w:numPr>
        <w:snapToGrid w:val="0"/>
        <w:spacing w:line="576" w:lineRule="exact"/>
        <w:ind w:firstLine="640" w:firstLineChars="200"/>
        <w:rPr>
          <w:rFonts w:ascii="黑体" w:hAnsi="宋体" w:eastAsia="黑体"/>
          <w:sz w:val="32"/>
          <w:szCs w:val="21"/>
        </w:rPr>
      </w:pPr>
      <w:r>
        <w:rPr>
          <w:rFonts w:hint="eastAsia" w:ascii="黑体" w:hAnsi="宋体" w:eastAsia="黑体"/>
          <w:sz w:val="32"/>
          <w:szCs w:val="21"/>
        </w:rPr>
        <w:t>相关措施建议</w:t>
      </w:r>
    </w:p>
    <w:p>
      <w:pPr>
        <w:adjustRightInd w:val="0"/>
        <w:snapToGrid w:val="0"/>
        <w:spacing w:line="576" w:lineRule="exact"/>
        <w:ind w:firstLine="640" w:firstLineChars="200"/>
        <w:rPr>
          <w:rFonts w:ascii="黑体" w:hAnsi="宋体" w:eastAsia="黑体"/>
          <w:sz w:val="32"/>
          <w:szCs w:val="32"/>
        </w:rPr>
      </w:pPr>
      <w:r>
        <w:rPr>
          <w:rFonts w:hint="eastAsia" w:ascii="仿宋_GB2312" w:hAnsi="仿宋_GB2312" w:eastAsia="仿宋_GB2312" w:cs="仿宋_GB2312"/>
          <w:sz w:val="32"/>
          <w:szCs w:val="21"/>
        </w:rPr>
        <w:t>无</w:t>
      </w:r>
    </w:p>
    <w:p>
      <w:pPr>
        <w:adjustRightInd w:val="0"/>
        <w:snapToGrid w:val="0"/>
        <w:spacing w:line="576" w:lineRule="exact"/>
        <w:rPr>
          <w:rFonts w:ascii="黑体" w:hAnsi="宋体" w:eastAsia="黑体"/>
          <w:sz w:val="32"/>
          <w:szCs w:val="32"/>
          <w:lang w:val="zh-CN"/>
        </w:rPr>
      </w:pPr>
    </w:p>
    <w:p>
      <w:pPr>
        <w:pStyle w:val="2"/>
        <w:spacing w:before="93"/>
        <w:rPr>
          <w:lang w:val="zh-CN"/>
        </w:rPr>
      </w:pPr>
    </w:p>
    <w:p>
      <w:pPr>
        <w:snapToGrid w:val="0"/>
        <w:spacing w:line="576" w:lineRule="exact"/>
        <w:jc w:val="center"/>
        <w:rPr>
          <w:rFonts w:ascii="仿宋_GB2312" w:hAnsi="宋体" w:eastAsia="仿宋_GB2312"/>
          <w:sz w:val="32"/>
          <w:szCs w:val="32"/>
        </w:rPr>
      </w:pPr>
      <w:r>
        <w:rPr>
          <w:rFonts w:hint="eastAsia" w:ascii="方正小标宋简体" w:hAnsi="宋体" w:eastAsia="方正小标宋简体"/>
          <w:sz w:val="44"/>
          <w:szCs w:val="44"/>
        </w:rPr>
        <w:t>部门预算项目支出绩效自评报告</w:t>
      </w:r>
    </w:p>
    <w:p>
      <w:pPr>
        <w:spacing w:line="576" w:lineRule="exact"/>
        <w:jc w:val="center"/>
        <w:rPr>
          <w:rFonts w:ascii="仿宋_GB2312" w:hAnsi="宋体" w:eastAsia="仿宋_GB2312"/>
          <w:b/>
          <w:bCs/>
          <w:sz w:val="32"/>
          <w:szCs w:val="32"/>
        </w:rPr>
      </w:pPr>
      <w:r>
        <w:rPr>
          <w:rFonts w:hint="eastAsia" w:ascii="仿宋_GB2312" w:hAnsi="宋体" w:eastAsia="仿宋_GB2312"/>
          <w:b/>
          <w:bCs/>
          <w:sz w:val="32"/>
          <w:szCs w:val="32"/>
        </w:rPr>
        <w:t>（三八节活动经费项目）</w:t>
      </w:r>
    </w:p>
    <w:p>
      <w:pPr>
        <w:spacing w:line="576" w:lineRule="exact"/>
        <w:ind w:firstLine="640"/>
        <w:jc w:val="center"/>
        <w:rPr>
          <w:rFonts w:ascii="宋体" w:hAnsi="宋体"/>
          <w:sz w:val="32"/>
          <w:szCs w:val="32"/>
          <w:lang w:val="zh-CN"/>
        </w:rPr>
      </w:pPr>
    </w:p>
    <w:p>
      <w:pPr>
        <w:tabs>
          <w:tab w:val="left" w:pos="3885"/>
        </w:tabs>
        <w:snapToGrid w:val="0"/>
        <w:spacing w:line="576" w:lineRule="exact"/>
        <w:ind w:firstLine="640" w:firstLineChars="200"/>
        <w:jc w:val="left"/>
        <w:rPr>
          <w:rFonts w:ascii="黑体" w:hAnsi="宋体" w:eastAsia="黑体"/>
          <w:sz w:val="32"/>
          <w:szCs w:val="21"/>
        </w:rPr>
      </w:pPr>
      <w:r>
        <w:rPr>
          <w:rFonts w:hint="eastAsia" w:ascii="黑体" w:hAnsi="宋体" w:eastAsia="黑体"/>
          <w:sz w:val="32"/>
          <w:szCs w:val="21"/>
        </w:rPr>
        <w:t>一、基本情况</w:t>
      </w:r>
    </w:p>
    <w:p>
      <w:pPr>
        <w:snapToGrid w:val="0"/>
        <w:spacing w:line="576" w:lineRule="exact"/>
        <w:ind w:firstLine="640" w:firstLineChars="200"/>
        <w:rPr>
          <w:rFonts w:ascii="仿宋_GB2312" w:hAnsi="仿宋_GB2312" w:eastAsia="仿宋_GB2312" w:cs="仿宋_GB2312"/>
          <w:sz w:val="32"/>
          <w:szCs w:val="21"/>
        </w:rPr>
      </w:pPr>
      <w:r>
        <w:rPr>
          <w:rFonts w:hint="eastAsia" w:ascii="仿宋_GB2312" w:hAnsi="仿宋_GB2312" w:eastAsia="仿宋_GB2312" w:cs="仿宋_GB2312"/>
          <w:sz w:val="32"/>
          <w:szCs w:val="21"/>
        </w:rPr>
        <w:t>州妇联“三八”节、母亲节等节庆活动经费下达指标98437.40元，主要用于“三八”节期间对马尔康地区抗疫一线女医务人员、女警察、社区卡点值守的女干部、巾帼志愿者、女环卫工人和州医院住院的孕产妇等进行走访慰问，慰问品总价值20000.00元；州妇联在黑水县、汶川县分别开展“巾帼心向党”思想引领大宣讲活动22437.40元；为更全面展示疫情期间最美巾帼逆行者形象，制作了三八节VCR视频，委托制作费50000.00元；支付阿坝日报公示巾帼文明岗名单6000.00元，其余为宣传费、印刷费等办公经费开支。</w:t>
      </w:r>
    </w:p>
    <w:p>
      <w:pPr>
        <w:snapToGrid w:val="0"/>
        <w:spacing w:line="576" w:lineRule="exact"/>
        <w:ind w:firstLine="640" w:firstLineChars="200"/>
        <w:rPr>
          <w:rFonts w:ascii="宋体" w:hAnsi="宋体" w:eastAsia="仿宋_GB2312"/>
          <w:sz w:val="32"/>
          <w:szCs w:val="21"/>
        </w:rPr>
      </w:pPr>
      <w:r>
        <w:rPr>
          <w:rFonts w:hint="eastAsia" w:ascii="黑体" w:hAnsi="黑体" w:eastAsia="黑体" w:cs="黑体"/>
          <w:sz w:val="32"/>
          <w:szCs w:val="21"/>
        </w:rPr>
        <w:t>二、评价工作开展情况</w:t>
      </w:r>
    </w:p>
    <w:p>
      <w:pPr>
        <w:snapToGrid w:val="0"/>
        <w:spacing w:line="576" w:lineRule="exact"/>
        <w:ind w:firstLine="640" w:firstLineChars="200"/>
        <w:rPr>
          <w:rFonts w:ascii="宋体" w:hAnsi="宋体" w:eastAsia="黑体"/>
          <w:sz w:val="32"/>
          <w:szCs w:val="21"/>
        </w:rPr>
      </w:pPr>
      <w:r>
        <w:rPr>
          <w:rFonts w:hint="eastAsia" w:ascii="仿宋_GB2312" w:hAnsi="仿宋_GB2312" w:eastAsia="仿宋_GB2312" w:cs="仿宋_GB2312"/>
          <w:sz w:val="32"/>
          <w:szCs w:val="21"/>
        </w:rPr>
        <w:t>自评工作由组宣部相关项目经办人员和负责人开展，评估体系参照《2021年度州级部门整体支出绩效评价指标体系》，主要针对预算项目支出的目标实现、编制准确、执行进度、预算完成等内容进行评估。</w:t>
      </w:r>
    </w:p>
    <w:p>
      <w:pPr>
        <w:snapToGrid w:val="0"/>
        <w:spacing w:line="576" w:lineRule="exact"/>
        <w:ind w:left="630"/>
        <w:rPr>
          <w:rFonts w:ascii="黑体" w:hAnsi="宋体" w:eastAsia="黑体"/>
          <w:sz w:val="32"/>
          <w:szCs w:val="21"/>
        </w:rPr>
      </w:pPr>
      <w:r>
        <w:rPr>
          <w:rFonts w:hint="eastAsia" w:ascii="黑体" w:hAnsi="宋体" w:eastAsia="黑体"/>
          <w:sz w:val="32"/>
          <w:szCs w:val="21"/>
        </w:rPr>
        <w:t>三、综合评价结论</w:t>
      </w:r>
    </w:p>
    <w:p>
      <w:pPr>
        <w:snapToGrid w:val="0"/>
        <w:spacing w:line="576" w:lineRule="exact"/>
        <w:ind w:firstLine="640" w:firstLineChars="200"/>
        <w:rPr>
          <w:rFonts w:ascii="仿宋_GB2312" w:hAnsi="仿宋_GB2312" w:eastAsia="仿宋_GB2312" w:cs="仿宋_GB2312"/>
          <w:sz w:val="32"/>
          <w:szCs w:val="21"/>
        </w:rPr>
      </w:pPr>
      <w:r>
        <w:rPr>
          <w:rFonts w:hint="eastAsia" w:ascii="仿宋_GB2312" w:hAnsi="仿宋_GB2312" w:eastAsia="仿宋_GB2312" w:cs="仿宋_GB2312"/>
          <w:sz w:val="32"/>
          <w:szCs w:val="21"/>
        </w:rPr>
        <w:t xml:space="preserve">项目绩效目标编制要素完整，绩效指标做到了细化量化。年初项目绩效目标编制科学准确，项目实际完成度高，与预期绩效目标一致，实际完成达到了预期指标。年初预算数与决算数完全一致。                                                                                                                                                          </w:t>
      </w:r>
    </w:p>
    <w:p>
      <w:pPr>
        <w:snapToGrid w:val="0"/>
        <w:spacing w:line="576" w:lineRule="exact"/>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（一）项目决策情况</w:t>
      </w:r>
    </w:p>
    <w:p>
      <w:pPr>
        <w:tabs>
          <w:tab w:val="left" w:pos="3885"/>
        </w:tabs>
        <w:snapToGrid w:val="0"/>
        <w:spacing w:line="576" w:lineRule="exact"/>
        <w:ind w:firstLine="640" w:firstLineChars="200"/>
        <w:jc w:val="left"/>
        <w:rPr>
          <w:rFonts w:ascii="仿宋_GB2312" w:hAnsi="仿宋_GB2312" w:eastAsia="仿宋_GB2312" w:cs="仿宋_GB2312"/>
          <w:sz w:val="32"/>
          <w:szCs w:val="21"/>
        </w:rPr>
      </w:pPr>
      <w:r>
        <w:rPr>
          <w:rFonts w:hint="eastAsia" w:ascii="仿宋_GB2312" w:hAnsi="仿宋_GB2312" w:eastAsia="仿宋_GB2312" w:cs="仿宋_GB2312"/>
          <w:sz w:val="32"/>
          <w:szCs w:val="21"/>
        </w:rPr>
        <w:t>在“三.八”、母亲节期间，大力开展形式多样的思想引领宣传和舆论引导工作，宣传党的创新理论、政策法规、妇女维权、家庭建设等，州妇联组织宣传部按照财政相关规定编制了本项项目支出预算。</w:t>
      </w:r>
    </w:p>
    <w:p>
      <w:p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（二）项目管理情况</w:t>
      </w:r>
    </w:p>
    <w:p>
      <w:pPr>
        <w:snapToGrid w:val="0"/>
        <w:spacing w:line="576" w:lineRule="exact"/>
        <w:rPr>
          <w:rFonts w:ascii="仿宋_GB2312" w:hAnsi="仿宋_GB2312" w:eastAsia="仿宋_GB2312" w:cs="仿宋_GB2312"/>
          <w:bCs/>
          <w:sz w:val="32"/>
          <w:szCs w:val="21"/>
        </w:rPr>
      </w:pPr>
      <w:r>
        <w:rPr>
          <w:rFonts w:hint="eastAsia" w:ascii="楷体_GB2312" w:hAnsi="宋体" w:eastAsia="楷体_GB2312"/>
          <w:b/>
          <w:sz w:val="32"/>
          <w:szCs w:val="21"/>
        </w:rPr>
        <w:t xml:space="preserve">     </w:t>
      </w:r>
      <w:r>
        <w:rPr>
          <w:rFonts w:hint="eastAsia" w:ascii="仿宋_GB2312" w:hAnsi="仿宋_GB2312" w:eastAsia="仿宋_GB2312" w:cs="仿宋_GB2312"/>
          <w:bCs/>
          <w:sz w:val="32"/>
          <w:szCs w:val="21"/>
        </w:rPr>
        <w:t>主要用于开展全州妇女儿童思想引领宣传工作，节日慰问、十三大视频制作、联合县妇联开展巾帼思想引领宣讲工作。</w:t>
      </w:r>
    </w:p>
    <w:p>
      <w:p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（三）项目产出情况</w:t>
      </w:r>
    </w:p>
    <w:p>
      <w:pPr>
        <w:snapToGrid w:val="0"/>
        <w:spacing w:line="576" w:lineRule="exact"/>
        <w:ind w:firstLine="640" w:firstLineChars="200"/>
        <w:rPr>
          <w:rFonts w:ascii="仿宋_GB2312" w:hAnsi="仿宋_GB2312" w:eastAsia="仿宋_GB2312" w:cs="仿宋_GB2312"/>
          <w:sz w:val="32"/>
          <w:szCs w:val="21"/>
        </w:rPr>
      </w:pPr>
      <w:r>
        <w:rPr>
          <w:rFonts w:hint="eastAsia" w:ascii="仿宋_GB2312" w:hAnsi="宋体" w:eastAsia="仿宋_GB2312" w:cs="宋体"/>
          <w:kern w:val="0"/>
          <w:sz w:val="32"/>
          <w:szCs w:val="32"/>
        </w:rPr>
        <w:t>《阿坝州妇女十三大献礼片》视频资料。</w:t>
      </w:r>
    </w:p>
    <w:p>
      <w:pPr>
        <w:snapToGrid w:val="0"/>
        <w:spacing w:line="576" w:lineRule="exact"/>
        <w:ind w:firstLine="642" w:firstLineChars="200"/>
        <w:rPr>
          <w:rFonts w:ascii="楷体_GB2312" w:hAnsi="宋体" w:eastAsia="楷体_GB2312"/>
          <w:b/>
          <w:sz w:val="32"/>
          <w:szCs w:val="21"/>
        </w:rPr>
      </w:pPr>
      <w:r>
        <w:rPr>
          <w:rFonts w:hint="eastAsia" w:ascii="楷体_GB2312" w:hAnsi="宋体" w:eastAsia="楷体_GB2312"/>
          <w:b/>
          <w:sz w:val="32"/>
          <w:szCs w:val="21"/>
        </w:rPr>
        <w:t>（四）项目效益情况</w:t>
      </w:r>
    </w:p>
    <w:p>
      <w:pPr>
        <w:adjustRightInd w:val="0"/>
        <w:snapToGrid w:val="0"/>
        <w:spacing w:line="576" w:lineRule="exact"/>
        <w:ind w:firstLine="642" w:firstLineChars="200"/>
        <w:rPr>
          <w:rFonts w:eastAsia="仿宋_GB2312"/>
          <w:sz w:val="32"/>
          <w:szCs w:val="32"/>
        </w:rPr>
      </w:pPr>
      <w:r>
        <w:rPr>
          <w:rFonts w:hint="eastAsia" w:ascii="楷体_GB2312" w:hAnsi="宋体" w:eastAsia="楷体_GB2312"/>
          <w:b/>
          <w:sz w:val="32"/>
          <w:szCs w:val="21"/>
        </w:rPr>
        <w:t xml:space="preserve"> </w:t>
      </w:r>
      <w:r>
        <w:rPr>
          <w:rFonts w:hint="eastAsia" w:ascii="仿宋_GB2312" w:hAnsi="宋体" w:eastAsia="仿宋_GB2312" w:cs="宋体"/>
          <w:kern w:val="0"/>
          <w:sz w:val="32"/>
          <w:szCs w:val="32"/>
          <w:lang w:val="zh-CN"/>
        </w:rPr>
        <w:t>项目</w:t>
      </w:r>
      <w:r>
        <w:rPr>
          <w:rFonts w:hint="eastAsia" w:ascii="仿宋_GB2312" w:hAnsi="宋体" w:eastAsia="仿宋_GB2312" w:cs="宋体"/>
          <w:kern w:val="0"/>
          <w:sz w:val="32"/>
          <w:szCs w:val="32"/>
        </w:rPr>
        <w:t>已</w:t>
      </w:r>
      <w:r>
        <w:rPr>
          <w:rFonts w:hint="eastAsia" w:ascii="仿宋_GB2312" w:hAnsi="宋体" w:eastAsia="仿宋_GB2312" w:cs="宋体"/>
          <w:kern w:val="0"/>
          <w:sz w:val="32"/>
          <w:szCs w:val="32"/>
          <w:lang w:val="zh-CN"/>
        </w:rPr>
        <w:t>完成了预期指标值，</w:t>
      </w:r>
      <w:r>
        <w:rPr>
          <w:rFonts w:hint="eastAsia" w:ascii="仿宋_GB2312" w:hAnsi="宋体" w:eastAsia="仿宋_GB2312" w:cs="宋体"/>
          <w:kern w:val="0"/>
          <w:sz w:val="32"/>
          <w:szCs w:val="32"/>
        </w:rPr>
        <w:t>达到了预期目的。州妇联思想宣传工作始终紧紧围绕党委政府中心工作，做好习近平总书记系列重要讲话精神及相关政策的宣传，引导广大妇女听党话、跟党走，凝聚妇女同心抗疫、同心奔小康的力量。</w:t>
      </w:r>
    </w:p>
    <w:p>
      <w:pPr>
        <w:snapToGrid w:val="0"/>
        <w:spacing w:line="576" w:lineRule="exact"/>
        <w:ind w:firstLine="640" w:firstLineChars="200"/>
        <w:rPr>
          <w:rFonts w:ascii="黑体" w:hAnsi="宋体" w:eastAsia="黑体"/>
          <w:sz w:val="32"/>
          <w:szCs w:val="21"/>
        </w:rPr>
      </w:pPr>
      <w:r>
        <w:rPr>
          <w:rFonts w:hint="eastAsia" w:ascii="黑体" w:hAnsi="宋体" w:eastAsia="黑体"/>
          <w:sz w:val="32"/>
          <w:szCs w:val="21"/>
        </w:rPr>
        <w:t>五、存在主要问题</w:t>
      </w:r>
    </w:p>
    <w:p>
      <w:pPr>
        <w:snapToGrid w:val="0"/>
        <w:spacing w:line="576" w:lineRule="exact"/>
        <w:rPr>
          <w:rFonts w:ascii="黑体" w:hAnsi="宋体" w:eastAsia="黑体"/>
          <w:sz w:val="32"/>
          <w:szCs w:val="21"/>
        </w:rPr>
      </w:pPr>
      <w:r>
        <w:rPr>
          <w:rFonts w:hint="eastAsia" w:ascii="黑体" w:hAnsi="宋体" w:eastAsia="黑体"/>
          <w:sz w:val="32"/>
          <w:szCs w:val="21"/>
        </w:rPr>
        <w:t xml:space="preserve"> </w:t>
      </w:r>
      <w:r>
        <w:rPr>
          <w:rFonts w:hint="eastAsia" w:ascii="仿宋_GB2312" w:hAnsi="仿宋_GB2312" w:eastAsia="仿宋_GB2312" w:cs="仿宋_GB2312"/>
          <w:sz w:val="32"/>
          <w:szCs w:val="21"/>
        </w:rPr>
        <w:t xml:space="preserve">   项目预算和执行存在一定偏差。</w:t>
      </w:r>
    </w:p>
    <w:p>
      <w:pPr>
        <w:snapToGrid w:val="0"/>
        <w:spacing w:line="576" w:lineRule="exact"/>
        <w:ind w:firstLine="640" w:firstLineChars="200"/>
        <w:rPr>
          <w:rFonts w:ascii="黑体" w:hAnsi="宋体" w:eastAsia="黑体"/>
          <w:sz w:val="32"/>
          <w:szCs w:val="21"/>
        </w:rPr>
      </w:pPr>
      <w:r>
        <w:rPr>
          <w:rFonts w:hint="eastAsia" w:ascii="黑体" w:hAnsi="宋体" w:eastAsia="黑体"/>
          <w:sz w:val="32"/>
          <w:szCs w:val="21"/>
        </w:rPr>
        <w:t>六、相关措施建议</w:t>
      </w:r>
    </w:p>
    <w:p>
      <w:pPr>
        <w:snapToGrid w:val="0"/>
        <w:spacing w:line="576" w:lineRule="exact"/>
        <w:ind w:firstLine="640" w:firstLineChars="200"/>
        <w:rPr>
          <w:rFonts w:ascii="仿宋_GB2312" w:hAnsi="仿宋_GB2312" w:eastAsia="仿宋_GB2312" w:cs="仿宋_GB2312"/>
          <w:sz w:val="32"/>
          <w:szCs w:val="21"/>
        </w:rPr>
      </w:pPr>
      <w:r>
        <w:rPr>
          <w:rFonts w:hint="eastAsia" w:ascii="仿宋_GB2312" w:hAnsi="仿宋_GB2312" w:eastAsia="仿宋_GB2312" w:cs="仿宋_GB2312"/>
          <w:sz w:val="32"/>
          <w:szCs w:val="21"/>
        </w:rPr>
        <w:t>无</w:t>
      </w:r>
    </w:p>
    <w:p>
      <w:pPr>
        <w:pStyle w:val="2"/>
        <w:spacing w:before="93" w:line="576" w:lineRule="exact"/>
      </w:pPr>
    </w:p>
    <w:p>
      <w:pPr>
        <w:pStyle w:val="2"/>
        <w:spacing w:before="93"/>
      </w:pPr>
    </w:p>
    <w:p>
      <w:pPr>
        <w:snapToGrid w:val="0"/>
        <w:spacing w:line="576" w:lineRule="exact"/>
        <w:jc w:val="center"/>
        <w:rPr>
          <w:rFonts w:ascii="华文仿宋" w:hAnsi="华文仿宋" w:eastAsia="华文仿宋" w:cs="华文仿宋"/>
          <w:sz w:val="24"/>
        </w:rPr>
      </w:pPr>
      <w:r>
        <w:rPr>
          <w:rFonts w:hint="eastAsia" w:ascii="方正小标宋简体" w:hAnsi="宋体" w:eastAsia="方正小标宋简体"/>
          <w:sz w:val="44"/>
          <w:szCs w:val="44"/>
        </w:rPr>
        <w:t>部门预算项目支出绩效自评报告</w:t>
      </w:r>
    </w:p>
    <w:p>
      <w:pPr>
        <w:spacing w:line="576" w:lineRule="exact"/>
        <w:ind w:firstLine="640"/>
        <w:jc w:val="center"/>
        <w:rPr>
          <w:rFonts w:ascii="华文仿宋" w:hAnsi="华文仿宋" w:eastAsia="华文仿宋" w:cs="华文仿宋"/>
          <w:b/>
          <w:bCs/>
          <w:sz w:val="36"/>
          <w:szCs w:val="36"/>
        </w:rPr>
      </w:pPr>
      <w:r>
        <w:rPr>
          <w:rFonts w:hint="eastAsia" w:ascii="华文仿宋" w:hAnsi="华文仿宋" w:eastAsia="华文仿宋" w:cs="华文仿宋"/>
          <w:b/>
          <w:bCs/>
          <w:sz w:val="36"/>
          <w:szCs w:val="36"/>
        </w:rPr>
        <w:t>2020年度四川省妇女儿童事业发展专项资金</w:t>
      </w:r>
    </w:p>
    <w:p>
      <w:pPr>
        <w:spacing w:line="576" w:lineRule="exact"/>
        <w:ind w:firstLine="640"/>
        <w:jc w:val="center"/>
        <w:rPr>
          <w:rFonts w:ascii="华文仿宋" w:hAnsi="华文仿宋" w:eastAsia="华文仿宋" w:cs="华文仿宋"/>
          <w:b/>
          <w:bCs/>
          <w:sz w:val="32"/>
          <w:szCs w:val="32"/>
        </w:rPr>
      </w:pPr>
      <w:r>
        <w:rPr>
          <w:rFonts w:hint="eastAsia" w:ascii="华文仿宋" w:hAnsi="华文仿宋" w:eastAsia="华文仿宋" w:cs="华文仿宋"/>
          <w:b/>
          <w:bCs/>
          <w:sz w:val="32"/>
          <w:szCs w:val="32"/>
        </w:rPr>
        <w:t>“巾帼心向党—妇女思想政治引领”项目</w:t>
      </w:r>
    </w:p>
    <w:p>
      <w:pPr>
        <w:spacing w:line="576" w:lineRule="exact"/>
        <w:jc w:val="center"/>
        <w:rPr>
          <w:rFonts w:ascii="华文仿宋" w:hAnsi="华文仿宋" w:eastAsia="华文仿宋" w:cs="华文仿宋"/>
          <w:spacing w:val="8"/>
          <w:sz w:val="28"/>
          <w:szCs w:val="28"/>
        </w:rPr>
      </w:pPr>
      <w:r>
        <w:rPr>
          <w:rFonts w:hint="eastAsia" w:ascii="华文仿宋" w:hAnsi="华文仿宋" w:eastAsia="华文仿宋" w:cs="华文仿宋"/>
          <w:spacing w:val="8"/>
          <w:sz w:val="28"/>
          <w:szCs w:val="28"/>
        </w:rPr>
        <w:t xml:space="preserve"> </w:t>
      </w:r>
    </w:p>
    <w:p>
      <w:pPr>
        <w:pStyle w:val="3"/>
        <w:adjustRightInd w:val="0"/>
        <w:snapToGrid w:val="0"/>
        <w:spacing w:before="0" w:after="0" w:line="576" w:lineRule="exact"/>
        <w:ind w:left="701" w:leftChars="334" w:firstLine="96" w:firstLineChars="30"/>
        <w:rPr>
          <w:rFonts w:ascii="仿宋" w:hAnsi="仿宋" w:eastAsia="仿宋" w:cs="仿宋"/>
          <w:bCs w:val="0"/>
          <w:sz w:val="32"/>
          <w:szCs w:val="32"/>
        </w:rPr>
      </w:pPr>
      <w:bookmarkStart w:id="195" w:name="_Toc25676"/>
      <w:bookmarkStart w:id="196" w:name="_Toc10624068"/>
      <w:bookmarkStart w:id="197" w:name="_Toc14564"/>
      <w:r>
        <w:rPr>
          <w:rFonts w:hint="eastAsia" w:ascii="仿宋" w:hAnsi="仿宋" w:eastAsia="仿宋" w:cs="仿宋"/>
          <w:bCs w:val="0"/>
          <w:color w:val="000000"/>
          <w:kern w:val="2"/>
          <w:sz w:val="32"/>
          <w:szCs w:val="32"/>
          <w:lang w:val="zh-CN"/>
        </w:rPr>
        <w:t>一、基本情况</w:t>
      </w:r>
      <w:bookmarkEnd w:id="195"/>
      <w:bookmarkEnd w:id="196"/>
      <w:bookmarkEnd w:id="197"/>
    </w:p>
    <w:p>
      <w:pPr>
        <w:pStyle w:val="4"/>
        <w:adjustRightInd w:val="0"/>
        <w:snapToGrid w:val="0"/>
        <w:spacing w:before="93" w:after="0" w:line="576" w:lineRule="exact"/>
        <w:ind w:firstLine="642" w:firstLineChars="200"/>
        <w:rPr>
          <w:rFonts w:ascii="楷体_GB2312"/>
        </w:rPr>
      </w:pPr>
      <w:bookmarkStart w:id="198" w:name="_Toc20448"/>
      <w:bookmarkStart w:id="199" w:name="_Toc11349"/>
      <w:bookmarkStart w:id="200" w:name="_Toc10624069"/>
      <w:r>
        <w:rPr>
          <w:rFonts w:hint="eastAsia" w:ascii="楷体_GB2312"/>
        </w:rPr>
        <w:t>（一）项目概况</w:t>
      </w:r>
      <w:bookmarkEnd w:id="198"/>
      <w:bookmarkEnd w:id="199"/>
      <w:bookmarkEnd w:id="200"/>
    </w:p>
    <w:p>
      <w:pPr>
        <w:pStyle w:val="44"/>
        <w:adjustRightInd w:val="0"/>
        <w:snapToGrid w:val="0"/>
        <w:spacing w:line="576" w:lineRule="exact"/>
        <w:ind w:firstLine="660"/>
        <w:rPr>
          <w:rFonts w:ascii="仿宋_GB2312" w:eastAsia="仿宋_GB2312"/>
          <w:kern w:val="0"/>
          <w:sz w:val="32"/>
          <w:szCs w:val="32"/>
          <w:lang w:val="en-US" w:eastAsia="zh-CN" w:bidi="ar-SA"/>
        </w:rPr>
      </w:pPr>
      <w:bookmarkStart w:id="201" w:name="_Hlk6931087"/>
      <w:r>
        <w:rPr>
          <w:rFonts w:hint="eastAsia" w:ascii="仿宋_GB2312" w:eastAsia="仿宋_GB2312"/>
          <w:color w:val="auto"/>
          <w:kern w:val="0"/>
          <w:sz w:val="32"/>
          <w:szCs w:val="32"/>
          <w:lang w:val="en-US" w:eastAsia="zh-CN" w:bidi="ar-SA"/>
        </w:rPr>
        <w:t>2020年度四川省妇女儿童事业发展专项资金“巾帼心向党—妇女思想政治引领”项目</w:t>
      </w:r>
      <w:bookmarkEnd w:id="201"/>
      <w:r>
        <w:rPr>
          <w:rFonts w:hint="eastAsia" w:ascii="仿宋_GB2312" w:eastAsia="仿宋_GB2312"/>
          <w:color w:val="auto"/>
          <w:kern w:val="0"/>
          <w:sz w:val="32"/>
          <w:szCs w:val="32"/>
          <w:lang w:val="en-US" w:eastAsia="zh-CN" w:bidi="ar-SA"/>
        </w:rPr>
        <w:t>的实施单位是阿坝州妇联，实施内容包括：1、宣传费：线上、线下以巾帼心向党为主题，开展群众性宣传活动、深化巾帼大宣讲内容。线上活动包括：</w:t>
      </w:r>
      <w:r>
        <w:rPr>
          <w:rFonts w:ascii="仿宋_GB2312" w:eastAsia="仿宋_GB2312"/>
          <w:color w:val="auto"/>
          <w:kern w:val="0"/>
          <w:sz w:val="32"/>
          <w:szCs w:val="32"/>
          <w:lang w:val="en-US" w:eastAsia="zh-CN" w:bidi="ar-SA"/>
        </w:rPr>
        <w:t>①</w:t>
      </w:r>
      <w:r>
        <w:rPr>
          <w:rFonts w:hint="eastAsia" w:ascii="仿宋_GB2312" w:eastAsia="仿宋_GB2312"/>
          <w:color w:val="auto"/>
          <w:kern w:val="0"/>
          <w:sz w:val="32"/>
          <w:szCs w:val="32"/>
          <w:lang w:val="en-US" w:eastAsia="zh-CN" w:bidi="ar-SA"/>
        </w:rPr>
        <w:t>巾帼心向党一妇联工作宣传片制作；</w:t>
      </w:r>
      <w:r>
        <w:rPr>
          <w:rFonts w:ascii="仿宋_GB2312" w:eastAsia="仿宋_GB2312"/>
          <w:color w:val="auto"/>
          <w:kern w:val="0"/>
          <w:sz w:val="32"/>
          <w:szCs w:val="32"/>
          <w:lang w:val="en-US" w:eastAsia="zh-CN" w:bidi="ar-SA"/>
        </w:rPr>
        <w:t>②</w:t>
      </w:r>
      <w:r>
        <w:rPr>
          <w:rFonts w:hint="eastAsia" w:ascii="仿宋_GB2312" w:eastAsia="仿宋_GB2312"/>
          <w:color w:val="auto"/>
          <w:kern w:val="0"/>
          <w:sz w:val="32"/>
          <w:szCs w:val="32"/>
          <w:lang w:val="en-US" w:eastAsia="zh-CN" w:bidi="ar-SA"/>
        </w:rPr>
        <w:t>网上互动、成果展点赞 赠话费等；</w:t>
      </w:r>
      <w:r>
        <w:rPr>
          <w:rFonts w:ascii="仿宋_GB2312" w:eastAsia="仿宋_GB2312"/>
          <w:color w:val="auto"/>
          <w:kern w:val="0"/>
          <w:sz w:val="32"/>
          <w:szCs w:val="32"/>
          <w:lang w:val="en-US" w:eastAsia="zh-CN" w:bidi="ar-SA"/>
        </w:rPr>
        <w:t>③</w:t>
      </w:r>
      <w:r>
        <w:rPr>
          <w:rFonts w:hint="eastAsia" w:ascii="仿宋_GB2312" w:eastAsia="仿宋_GB2312"/>
          <w:color w:val="auto"/>
          <w:kern w:val="0"/>
          <w:sz w:val="32"/>
          <w:szCs w:val="32"/>
          <w:lang w:val="en-US" w:eastAsia="zh-CN" w:bidi="ar-SA"/>
        </w:rPr>
        <w:t>线下宣讲活动包括师资费、交通费、住宿费、 物资费、用餐费等。2、开展巾帼志愿服务。包括交通费、住宿费、物资费、用餐费等。</w:t>
      </w:r>
    </w:p>
    <w:p>
      <w:pPr>
        <w:pStyle w:val="4"/>
        <w:adjustRightInd w:val="0"/>
        <w:snapToGrid w:val="0"/>
        <w:spacing w:before="93" w:after="0" w:line="576" w:lineRule="exact"/>
        <w:ind w:firstLine="642" w:firstLineChars="200"/>
        <w:rPr>
          <w:rFonts w:ascii="仿宋_GB2312" w:hAnsi="宋体" w:cs="宋体"/>
          <w:lang w:val="zh-CN"/>
        </w:rPr>
      </w:pPr>
      <w:bookmarkStart w:id="202" w:name="_Toc1228"/>
      <w:bookmarkStart w:id="203" w:name="_Toc10624070"/>
      <w:bookmarkStart w:id="204" w:name="_Toc5316"/>
      <w:r>
        <w:rPr>
          <w:rFonts w:hint="eastAsia" w:ascii="楷体_GB2312"/>
        </w:rPr>
        <w:t>（二）项目立项依据、资金申报情况</w:t>
      </w:r>
      <w:bookmarkEnd w:id="202"/>
      <w:bookmarkEnd w:id="203"/>
      <w:bookmarkEnd w:id="204"/>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按照四川省妇女联合会《关于进一步做好申报2020年度四川省妇女儿童事业发展专项资金的通知》（川妇知[2019]65号）的要求，向四川省妇女联合会提交了“巾帼心向党—妇女思想政治引领”项目《2020年妇儿专项项目绩效目标申报表》和《2020年度省妇联项目申报书》申报立项。</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4月10日，四川省妇女联合会发布《关于2020年年四川省妇女儿童事业发展专项资金下达及项目实施的通知》（川妇知〔2020〕18号），通知列示：阿坝州妇联“巾帼心向党—妇女思想政治引领”建设项目专项资金8.00万元。</w:t>
      </w:r>
    </w:p>
    <w:p>
      <w:pPr>
        <w:pStyle w:val="4"/>
        <w:adjustRightInd w:val="0"/>
        <w:snapToGrid w:val="0"/>
        <w:spacing w:before="93" w:after="0" w:line="576" w:lineRule="exact"/>
        <w:ind w:firstLine="642" w:firstLineChars="200"/>
        <w:rPr>
          <w:rFonts w:ascii="仿宋_GB2312" w:hAnsi="宋体" w:cs="宋体"/>
        </w:rPr>
      </w:pPr>
      <w:bookmarkStart w:id="205" w:name="_Toc10624071"/>
      <w:bookmarkStart w:id="206" w:name="_Toc31361"/>
      <w:bookmarkStart w:id="207" w:name="_Toc32356"/>
      <w:r>
        <w:rPr>
          <w:rFonts w:hint="eastAsia" w:ascii="楷体_GB2312"/>
        </w:rPr>
        <w:t>（三）项目绩效目标</w:t>
      </w:r>
      <w:bookmarkEnd w:id="205"/>
      <w:bookmarkEnd w:id="206"/>
      <w:bookmarkEnd w:id="207"/>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以巾帼心向党为主题，纵向联动等方式开展群众性宣传活动、</w:t>
      </w:r>
      <w:r>
        <w:rPr>
          <w:rFonts w:hint="eastAsia" w:ascii="仿宋_GB2312" w:hAnsi="宋体" w:eastAsia="仿宋_GB2312" w:cs="宋体"/>
          <w:kern w:val="0"/>
          <w:sz w:val="32"/>
          <w:szCs w:val="32"/>
          <w:lang w:val="zh-CN"/>
        </w:rPr>
        <w:t>“百千</w:t>
      </w:r>
      <w:r>
        <w:rPr>
          <w:rFonts w:hint="eastAsia" w:ascii="仿宋_GB2312" w:hAnsi="宋体" w:eastAsia="仿宋_GB2312" w:cs="宋体"/>
          <w:kern w:val="0"/>
          <w:sz w:val="32"/>
          <w:szCs w:val="32"/>
        </w:rPr>
        <w:t>万巾帼大宣讲”、先进典型进校园、进机关、进企业、进社区巡讲、巾帼故事汇巡讲等群众性宣传教育活动。①覆盖3类以上不同妇女群体，覆盖人数达4万。②线上线下宣讲、宣传活动不少于25场。③开展巾帼志愿服务5场。④运用新媒体手段围绕妇女群众关注点在州妇联官方公众号</w:t>
      </w:r>
      <w:r>
        <w:rPr>
          <w:rFonts w:hint="eastAsia" w:ascii="仿宋_GB2312" w:hAnsi="宋体" w:eastAsia="仿宋_GB2312" w:cs="宋体"/>
          <w:kern w:val="0"/>
          <w:sz w:val="32"/>
          <w:szCs w:val="32"/>
          <w:lang w:val="zh-CN"/>
        </w:rPr>
        <w:t>“花开</w:t>
      </w:r>
      <w:r>
        <w:rPr>
          <w:rFonts w:hint="eastAsia" w:ascii="仿宋_GB2312" w:hAnsi="宋体" w:eastAsia="仿宋_GB2312" w:cs="宋体"/>
          <w:kern w:val="0"/>
          <w:sz w:val="32"/>
          <w:szCs w:val="32"/>
        </w:rPr>
        <w:t>阿坝”主动设置话题、引导讨论，努力做到联系妇女群众线下有活动、有面对面交流, 线上有声音、有互动、有话题，实现互动常态化、沟通零距离。⑤通过活动的开展，亮出妇联旗帜、发出妇联声音，凝聚妇女力量，不断增强广大妇女贯彻落实的自觉性和坚定性，团结引领广大妇女群众听党话、跟党走，凝聚全州妇女投身</w:t>
      </w:r>
      <w:r>
        <w:rPr>
          <w:rFonts w:hint="eastAsia" w:ascii="仿宋_GB2312" w:hAnsi="宋体" w:eastAsia="仿宋_GB2312" w:cs="宋体"/>
          <w:kern w:val="0"/>
          <w:sz w:val="32"/>
          <w:szCs w:val="32"/>
          <w:lang w:val="zh-CN"/>
        </w:rPr>
        <w:t>“一州</w:t>
      </w:r>
      <w:r>
        <w:rPr>
          <w:rFonts w:hint="eastAsia" w:ascii="仿宋_GB2312" w:hAnsi="宋体" w:eastAsia="仿宋_GB2312" w:cs="宋体"/>
          <w:kern w:val="0"/>
          <w:sz w:val="32"/>
          <w:szCs w:val="32"/>
        </w:rPr>
        <w:t>两区三家园”建设。</w:t>
      </w:r>
    </w:p>
    <w:p>
      <w:pPr>
        <w:pStyle w:val="4"/>
        <w:adjustRightInd w:val="0"/>
        <w:snapToGrid w:val="0"/>
        <w:spacing w:before="93" w:after="0" w:line="576" w:lineRule="exact"/>
        <w:ind w:firstLine="321"/>
        <w:rPr>
          <w:rFonts w:ascii="楷体_GB2312"/>
        </w:rPr>
      </w:pPr>
      <w:bookmarkStart w:id="208" w:name="_Toc9865187"/>
      <w:bookmarkStart w:id="209" w:name="_Toc10666"/>
      <w:bookmarkStart w:id="210" w:name="_Toc22316"/>
      <w:bookmarkStart w:id="211" w:name="_Toc10624072"/>
      <w:r>
        <w:rPr>
          <w:rFonts w:hint="eastAsia" w:ascii="楷体_GB2312"/>
        </w:rPr>
        <w:t>（四）资金计划、到位及使用情况</w:t>
      </w:r>
      <w:bookmarkEnd w:id="208"/>
      <w:bookmarkEnd w:id="209"/>
      <w:bookmarkEnd w:id="210"/>
      <w:bookmarkEnd w:id="211"/>
    </w:p>
    <w:p>
      <w:pPr>
        <w:adjustRightInd w:val="0"/>
        <w:snapToGrid w:val="0"/>
        <w:spacing w:line="576" w:lineRule="exact"/>
        <w:ind w:firstLine="642"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1.资金计划</w:t>
      </w:r>
    </w:p>
    <w:p>
      <w:pPr>
        <w:adjustRightInd w:val="0"/>
        <w:snapToGrid w:val="0"/>
        <w:spacing w:line="576"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2020年4月10日，四川省妇女联合会发布《关于2020年年四川省妇女儿童事业发展专项资金下达及项目实施的通知》（川妇知〔2020〕18号），阿坝州妇联“巾帼心向党—妇女思想政治引领”项目资金共计8.00万元。</w:t>
      </w:r>
    </w:p>
    <w:p>
      <w:pPr>
        <w:adjustRightInd w:val="0"/>
        <w:snapToGrid w:val="0"/>
        <w:spacing w:line="576" w:lineRule="exact"/>
        <w:ind w:firstLine="642"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2.资金到位</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截止评价报告日，阿坝州妇联收到“巾帼心向党—妇女思想政治引领”项目拨款8.00万元。</w:t>
      </w:r>
    </w:p>
    <w:p>
      <w:pPr>
        <w:adjustRightInd w:val="0"/>
        <w:snapToGrid w:val="0"/>
        <w:spacing w:line="576" w:lineRule="exact"/>
        <w:ind w:firstLine="642" w:firstLineChars="2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3.资金使用</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阿坝州妇联“巾帼心向党—妇女思想政治引领”项目资金具体实施内容包括：</w:t>
      </w:r>
    </w:p>
    <w:p>
      <w:pPr>
        <w:adjustRightInd w:val="0"/>
        <w:snapToGrid w:val="0"/>
        <w:spacing w:line="240" w:lineRule="atLeas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单位：人民币元</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38"/>
        <w:gridCol w:w="4126"/>
        <w:gridCol w:w="1663"/>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序号</w:t>
            </w:r>
          </w:p>
        </w:tc>
        <w:tc>
          <w:tcPr>
            <w:tcW w:w="2471"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实施内容</w:t>
            </w:r>
          </w:p>
        </w:tc>
        <w:tc>
          <w:tcPr>
            <w:tcW w:w="996"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金额</w:t>
            </w:r>
          </w:p>
        </w:tc>
        <w:tc>
          <w:tcPr>
            <w:tcW w:w="1150"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资金支付情况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1</w:t>
            </w:r>
          </w:p>
        </w:tc>
        <w:tc>
          <w:tcPr>
            <w:tcW w:w="2471" w:type="pct"/>
            <w:vAlign w:val="center"/>
          </w:tcPr>
          <w:p>
            <w:pPr>
              <w:pStyle w:val="11"/>
              <w:overflowPunct w:val="0"/>
              <w:adjustRightInd w:val="0"/>
              <w:snapToGrid w:val="0"/>
              <w:spacing w:after="0" w:line="240" w:lineRule="atLeast"/>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巾帼心向党妇联工作宣传片制作</w:t>
            </w:r>
          </w:p>
        </w:tc>
        <w:tc>
          <w:tcPr>
            <w:tcW w:w="996"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68</w:t>
            </w:r>
            <w:r>
              <w:rPr>
                <w:rFonts w:ascii="仿宋_GB2312" w:hAnsi="宋体" w:eastAsia="仿宋_GB2312" w:cs="宋体"/>
                <w:kern w:val="0"/>
                <w:sz w:val="30"/>
                <w:szCs w:val="30"/>
                <w:lang w:val="zh-CN"/>
              </w:rPr>
              <w:t>,</w:t>
            </w:r>
            <w:r>
              <w:rPr>
                <w:rFonts w:hint="eastAsia" w:ascii="仿宋_GB2312" w:hAnsi="宋体" w:eastAsia="仿宋_GB2312" w:cs="宋体"/>
                <w:kern w:val="0"/>
                <w:sz w:val="30"/>
                <w:szCs w:val="30"/>
              </w:rPr>
              <w:t>000</w:t>
            </w:r>
            <w:r>
              <w:rPr>
                <w:rFonts w:hint="eastAsia" w:ascii="仿宋_GB2312" w:hAnsi="宋体" w:eastAsia="仿宋_GB2312" w:cs="宋体"/>
                <w:kern w:val="0"/>
                <w:sz w:val="30"/>
                <w:szCs w:val="30"/>
                <w:lang w:val="zh-CN"/>
              </w:rPr>
              <w:t>.00</w:t>
            </w:r>
          </w:p>
        </w:tc>
        <w:tc>
          <w:tcPr>
            <w:tcW w:w="1150"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2</w:t>
            </w:r>
          </w:p>
        </w:tc>
        <w:tc>
          <w:tcPr>
            <w:tcW w:w="2471" w:type="pct"/>
            <w:vAlign w:val="center"/>
          </w:tcPr>
          <w:p>
            <w:pPr>
              <w:pStyle w:val="11"/>
              <w:overflowPunct w:val="0"/>
              <w:adjustRightInd w:val="0"/>
              <w:snapToGrid w:val="0"/>
              <w:spacing w:after="0" w:line="240" w:lineRule="atLeast"/>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网上互动、成果展点赞赠话费等活动</w:t>
            </w:r>
          </w:p>
        </w:tc>
        <w:tc>
          <w:tcPr>
            <w:tcW w:w="996"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400.00</w:t>
            </w:r>
          </w:p>
        </w:tc>
        <w:tc>
          <w:tcPr>
            <w:tcW w:w="1150"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3</w:t>
            </w:r>
          </w:p>
        </w:tc>
        <w:tc>
          <w:tcPr>
            <w:tcW w:w="2471" w:type="pct"/>
            <w:vAlign w:val="center"/>
          </w:tcPr>
          <w:p>
            <w:pPr>
              <w:pStyle w:val="11"/>
              <w:overflowPunct w:val="0"/>
              <w:adjustRightInd w:val="0"/>
              <w:snapToGrid w:val="0"/>
              <w:spacing w:after="0" w:line="240" w:lineRule="atLeast"/>
              <w:ind w:left="0" w:leftChars="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巾帼志愿宣讲活动</w:t>
            </w:r>
          </w:p>
        </w:tc>
        <w:tc>
          <w:tcPr>
            <w:tcW w:w="996"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10</w:t>
            </w:r>
            <w:r>
              <w:rPr>
                <w:rFonts w:ascii="仿宋_GB2312" w:hAnsi="宋体" w:eastAsia="仿宋_GB2312" w:cs="宋体"/>
                <w:kern w:val="0"/>
                <w:sz w:val="30"/>
                <w:szCs w:val="30"/>
                <w:lang w:val="zh-CN"/>
              </w:rPr>
              <w:t>,</w:t>
            </w:r>
            <w:r>
              <w:rPr>
                <w:rFonts w:hint="eastAsia" w:ascii="仿宋_GB2312" w:hAnsi="宋体" w:eastAsia="仿宋_GB2312" w:cs="宋体"/>
                <w:kern w:val="0"/>
                <w:sz w:val="30"/>
                <w:szCs w:val="30"/>
                <w:lang w:val="zh-CN"/>
              </w:rPr>
              <w:t>000.00</w:t>
            </w:r>
          </w:p>
        </w:tc>
        <w:tc>
          <w:tcPr>
            <w:tcW w:w="1150"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已支付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43" w:hRule="atLeast"/>
        </w:trPr>
        <w:tc>
          <w:tcPr>
            <w:tcW w:w="382"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4</w:t>
            </w:r>
          </w:p>
        </w:tc>
        <w:tc>
          <w:tcPr>
            <w:tcW w:w="2471" w:type="pct"/>
            <w:vAlign w:val="center"/>
          </w:tcPr>
          <w:p>
            <w:pPr>
              <w:pStyle w:val="11"/>
              <w:overflowPunct w:val="0"/>
              <w:adjustRightInd w:val="0"/>
              <w:snapToGrid w:val="0"/>
              <w:spacing w:after="0" w:line="240" w:lineRule="atLeast"/>
              <w:ind w:left="0" w:leftChars="0"/>
              <w:jc w:val="left"/>
              <w:rPr>
                <w:rFonts w:ascii="仿宋_GB2312" w:hAnsi="宋体" w:eastAsia="仿宋_GB2312" w:cs="宋体"/>
                <w:kern w:val="0"/>
                <w:sz w:val="30"/>
                <w:szCs w:val="30"/>
                <w:lang w:val="zh-CN"/>
              </w:rPr>
            </w:pPr>
            <w:r>
              <w:rPr>
                <w:rFonts w:hint="eastAsia" w:ascii="仿宋_GB2312" w:hAnsi="宋体" w:eastAsia="仿宋_GB2312" w:cs="宋体"/>
                <w:kern w:val="0"/>
                <w:sz w:val="30"/>
                <w:szCs w:val="30"/>
              </w:rPr>
              <w:t>绩效评价</w:t>
            </w:r>
            <w:r>
              <w:rPr>
                <w:rFonts w:hint="eastAsia" w:ascii="仿宋_GB2312" w:hAnsi="宋体" w:eastAsia="仿宋_GB2312" w:cs="宋体"/>
                <w:kern w:val="0"/>
                <w:sz w:val="30"/>
                <w:szCs w:val="30"/>
                <w:lang w:val="zh-CN"/>
              </w:rPr>
              <w:t>费</w:t>
            </w:r>
          </w:p>
        </w:tc>
        <w:tc>
          <w:tcPr>
            <w:tcW w:w="996"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1,600</w:t>
            </w:r>
            <w:r>
              <w:rPr>
                <w:rFonts w:hint="eastAsia" w:ascii="仿宋_GB2312" w:hAnsi="宋体" w:eastAsia="仿宋_GB2312" w:cs="宋体"/>
                <w:kern w:val="0"/>
                <w:sz w:val="30"/>
                <w:szCs w:val="30"/>
                <w:lang w:val="zh-CN"/>
              </w:rPr>
              <w:t>.00</w:t>
            </w:r>
          </w:p>
        </w:tc>
        <w:tc>
          <w:tcPr>
            <w:tcW w:w="1150" w:type="pct"/>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rPr>
            </w:pPr>
            <w:r>
              <w:rPr>
                <w:rFonts w:hint="eastAsia" w:ascii="仿宋_GB2312" w:hAnsi="宋体" w:eastAsia="仿宋_GB2312" w:cs="宋体"/>
                <w:kern w:val="0"/>
                <w:sz w:val="30"/>
                <w:szCs w:val="30"/>
              </w:rPr>
              <w:t>未支付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9" w:hRule="atLeast"/>
        </w:trPr>
        <w:tc>
          <w:tcPr>
            <w:tcW w:w="2853" w:type="pct"/>
            <w:gridSpan w:val="2"/>
            <w:vAlign w:val="center"/>
          </w:tcPr>
          <w:p>
            <w:pPr>
              <w:pStyle w:val="11"/>
              <w:overflowPunct w:val="0"/>
              <w:adjustRightInd w:val="0"/>
              <w:snapToGrid w:val="0"/>
              <w:spacing w:after="0" w:line="240" w:lineRule="atLeast"/>
              <w:ind w:left="0" w:leftChars="0"/>
              <w:jc w:val="center"/>
              <w:rPr>
                <w:rFonts w:ascii="仿宋_GB2312" w:hAnsi="宋体" w:eastAsia="仿宋_GB2312" w:cs="宋体"/>
                <w:kern w:val="0"/>
                <w:sz w:val="30"/>
                <w:szCs w:val="30"/>
                <w:lang w:val="zh-CN"/>
              </w:rPr>
            </w:pPr>
            <w:r>
              <w:rPr>
                <w:rFonts w:hint="eastAsia" w:ascii="仿宋_GB2312" w:hAnsi="宋体" w:eastAsia="仿宋_GB2312" w:cs="宋体"/>
                <w:kern w:val="0"/>
                <w:sz w:val="30"/>
                <w:szCs w:val="30"/>
                <w:lang w:val="zh-CN"/>
              </w:rPr>
              <w:t>合计</w:t>
            </w:r>
          </w:p>
        </w:tc>
        <w:tc>
          <w:tcPr>
            <w:tcW w:w="996"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rPr>
            </w:pPr>
            <w:r>
              <w:rPr>
                <w:rFonts w:ascii="仿宋_GB2312" w:hAnsi="宋体" w:eastAsia="仿宋_GB2312" w:cs="宋体"/>
                <w:kern w:val="0"/>
                <w:sz w:val="30"/>
                <w:szCs w:val="30"/>
              </w:rPr>
              <w:fldChar w:fldCharType="begin"/>
            </w:r>
            <w:r>
              <w:rPr>
                <w:rFonts w:ascii="仿宋_GB2312" w:hAnsi="宋体" w:eastAsia="仿宋_GB2312" w:cs="宋体"/>
                <w:kern w:val="0"/>
                <w:sz w:val="30"/>
                <w:szCs w:val="30"/>
              </w:rPr>
              <w:instrText xml:space="preserve"> =sum(above) \# "#,##0.00" \* MERGEFORMAT </w:instrText>
            </w:r>
            <w:r>
              <w:rPr>
                <w:rFonts w:ascii="仿宋_GB2312" w:hAnsi="宋体" w:eastAsia="仿宋_GB2312" w:cs="宋体"/>
                <w:kern w:val="0"/>
                <w:sz w:val="30"/>
                <w:szCs w:val="30"/>
              </w:rPr>
              <w:fldChar w:fldCharType="separate"/>
            </w:r>
            <w:r>
              <w:rPr>
                <w:rFonts w:hint="eastAsia" w:ascii="仿宋_GB2312" w:hAnsi="宋体" w:eastAsia="仿宋_GB2312" w:cs="宋体"/>
                <w:kern w:val="0"/>
                <w:sz w:val="30"/>
                <w:szCs w:val="30"/>
              </w:rPr>
              <w:t>80,000.00</w:t>
            </w:r>
            <w:r>
              <w:rPr>
                <w:rFonts w:ascii="仿宋_GB2312" w:hAnsi="宋体" w:eastAsia="仿宋_GB2312" w:cs="宋体"/>
                <w:kern w:val="0"/>
                <w:sz w:val="30"/>
                <w:szCs w:val="30"/>
              </w:rPr>
              <w:fldChar w:fldCharType="end"/>
            </w:r>
          </w:p>
        </w:tc>
        <w:tc>
          <w:tcPr>
            <w:tcW w:w="1150" w:type="pct"/>
            <w:vAlign w:val="center"/>
          </w:tcPr>
          <w:p>
            <w:pPr>
              <w:pStyle w:val="11"/>
              <w:overflowPunct w:val="0"/>
              <w:adjustRightInd w:val="0"/>
              <w:snapToGrid w:val="0"/>
              <w:spacing w:after="0" w:line="240" w:lineRule="atLeast"/>
              <w:ind w:left="0" w:leftChars="0"/>
              <w:jc w:val="right"/>
              <w:rPr>
                <w:rFonts w:ascii="仿宋_GB2312" w:hAnsi="宋体" w:eastAsia="仿宋_GB2312" w:cs="宋体"/>
                <w:kern w:val="0"/>
                <w:sz w:val="30"/>
                <w:szCs w:val="30"/>
              </w:rPr>
            </w:pPr>
          </w:p>
        </w:tc>
      </w:tr>
    </w:tbl>
    <w:p>
      <w:pPr>
        <w:adjustRightInd w:val="0"/>
        <w:snapToGrid w:val="0"/>
        <w:spacing w:line="576" w:lineRule="exact"/>
        <w:ind w:firstLine="640" w:firstLineChars="200"/>
        <w:rPr>
          <w:rFonts w:ascii="仿宋_GB2312" w:hAnsi="宋体" w:eastAsia="仿宋_GB2312" w:cs="宋体"/>
          <w:kern w:val="0"/>
          <w:sz w:val="32"/>
          <w:szCs w:val="32"/>
        </w:rPr>
      </w:pPr>
      <w:bookmarkStart w:id="212" w:name="_Hlk12455649"/>
      <w:bookmarkStart w:id="213" w:name="_Toc10624073"/>
      <w:bookmarkStart w:id="214" w:name="_Toc9865188"/>
      <w:r>
        <w:rPr>
          <w:rFonts w:hint="eastAsia" w:ascii="仿宋_GB2312" w:hAnsi="宋体" w:eastAsia="仿宋_GB2312" w:cs="宋体"/>
          <w:kern w:val="0"/>
          <w:sz w:val="32"/>
          <w:szCs w:val="32"/>
        </w:rPr>
        <w:t>项目支出具体情况如下：</w:t>
      </w:r>
    </w:p>
    <w:p>
      <w:pPr>
        <w:adjustRightInd w:val="0"/>
        <w:snapToGrid w:val="0"/>
        <w:spacing w:line="576" w:lineRule="exact"/>
        <w:ind w:firstLine="642" w:firstLineChars="200"/>
        <w:rPr>
          <w:rFonts w:ascii="仿宋_GB2312" w:hAnsi="宋体" w:eastAsia="仿宋_GB2312" w:cs="宋体"/>
          <w:kern w:val="0"/>
          <w:sz w:val="32"/>
          <w:szCs w:val="32"/>
          <w:highlight w:val="yellow"/>
        </w:rPr>
      </w:pPr>
      <w:r>
        <w:rPr>
          <w:rFonts w:hint="eastAsia" w:ascii="仿宋_GB2312" w:hAnsi="宋体" w:eastAsia="仿宋_GB2312" w:cs="宋体"/>
          <w:b/>
          <w:bCs/>
          <w:kern w:val="0"/>
          <w:sz w:val="32"/>
          <w:szCs w:val="32"/>
        </w:rPr>
        <w:t>（1）</w:t>
      </w:r>
      <w:bookmarkEnd w:id="212"/>
      <w:r>
        <w:rPr>
          <w:rFonts w:hint="eastAsia" w:ascii="仿宋_GB2312" w:hAnsi="宋体" w:eastAsia="仿宋_GB2312" w:cs="宋体"/>
          <w:kern w:val="0"/>
          <w:sz w:val="30"/>
          <w:szCs w:val="30"/>
        </w:rPr>
        <w:t>巾帼心向党妇联工作宣传片制作</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6月23日，经阿坝州妇联党组会议纪要（第10次）研究决定，同意组宣部采取外包形式拍摄，制作阿坝妇女十三大献礼片（“巾帼心向党”妇联工作宣传片）及州县（市）展板。2020年7月2日经采购询价三家单位，确定中标单位为：成都恒典文化传播有限公司。</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7月2日，阿坝州妇联与成都恒典文化传播有限公司签订了《巾帼心向党—妇联工作宣传片拍摄制作合同》，合同约定成都恒典文化传播有限公司制作巾帼心向党—妇联工作宣传片，成片时间：5分钟左右，协议金额68,000.00元，已支付68,000.00元。</w:t>
      </w:r>
    </w:p>
    <w:p>
      <w:pPr>
        <w:adjustRightInd w:val="0"/>
        <w:snapToGrid w:val="0"/>
        <w:spacing w:line="576" w:lineRule="exact"/>
        <w:ind w:firstLine="642" w:firstLineChars="200"/>
        <w:rPr>
          <w:rFonts w:ascii="仿宋_GB2312" w:hAnsi="宋体" w:eastAsia="仿宋_GB2312" w:cs="宋体"/>
          <w:kern w:val="0"/>
          <w:sz w:val="30"/>
          <w:szCs w:val="30"/>
        </w:rPr>
      </w:pPr>
      <w:r>
        <w:rPr>
          <w:rFonts w:hint="eastAsia" w:ascii="仿宋_GB2312" w:hAnsi="宋体" w:eastAsia="仿宋_GB2312" w:cs="宋体"/>
          <w:b/>
          <w:bCs/>
          <w:kern w:val="0"/>
          <w:sz w:val="32"/>
          <w:szCs w:val="32"/>
        </w:rPr>
        <w:t>（2）</w:t>
      </w:r>
      <w:r>
        <w:rPr>
          <w:rFonts w:hint="eastAsia" w:ascii="仿宋_GB2312" w:hAnsi="宋体" w:eastAsia="仿宋_GB2312" w:cs="宋体"/>
          <w:kern w:val="0"/>
          <w:sz w:val="30"/>
          <w:szCs w:val="30"/>
        </w:rPr>
        <w:t>网上互动、成果展点赞赠话费等活动</w:t>
      </w:r>
    </w:p>
    <w:p>
      <w:pPr>
        <w:adjustRightInd w:val="0"/>
        <w:snapToGrid w:val="0"/>
        <w:spacing w:line="576" w:lineRule="exact"/>
        <w:ind w:firstLine="600" w:firstLineChars="200"/>
        <w:rPr>
          <w:rFonts w:ascii="仿宋_GB2312" w:hAnsi="宋体" w:eastAsia="仿宋_GB2312" w:cs="宋体"/>
          <w:kern w:val="0"/>
          <w:sz w:val="32"/>
          <w:szCs w:val="32"/>
        </w:rPr>
      </w:pPr>
      <w:r>
        <w:rPr>
          <w:rFonts w:hint="eastAsia" w:ascii="仿宋_GB2312" w:hAnsi="宋体" w:eastAsia="仿宋_GB2312" w:cs="宋体"/>
          <w:kern w:val="0"/>
          <w:sz w:val="30"/>
          <w:szCs w:val="30"/>
        </w:rPr>
        <w:t>2020年1月20日，</w:t>
      </w:r>
      <w:r>
        <w:rPr>
          <w:rFonts w:hint="eastAsia" w:ascii="仿宋_GB2312" w:hAnsi="宋体" w:eastAsia="仿宋_GB2312" w:cs="宋体"/>
          <w:kern w:val="0"/>
          <w:sz w:val="32"/>
          <w:szCs w:val="32"/>
        </w:rPr>
        <w:t>阿坝州妇联与中国移动通信集团四川有限公司阿坝分公司签订了《“巾帼心向党—思想引领”网上妇联互动赠话费活动协议》，协议约定：中国移动通信集团四川有限公司阿坝分公司负责按照活动规则将互动活动奖励金打入获奖者提供的个人移动手机号码中，金额400.00元，已支付400.00元。</w:t>
      </w:r>
    </w:p>
    <w:p>
      <w:pPr>
        <w:adjustRightInd w:val="0"/>
        <w:snapToGrid w:val="0"/>
        <w:spacing w:line="576" w:lineRule="exact"/>
        <w:ind w:firstLine="642"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（3）</w:t>
      </w:r>
      <w:r>
        <w:rPr>
          <w:rFonts w:hint="eastAsia" w:ascii="仿宋_GB2312" w:hAnsi="宋体" w:eastAsia="仿宋_GB2312" w:cs="宋体"/>
          <w:kern w:val="0"/>
          <w:sz w:val="30"/>
          <w:szCs w:val="30"/>
        </w:rPr>
        <w:t>巾帼志愿宣讲活动</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阿坝州妇联“净土春晖 巾帼心向党思想引领”大宣讲（黑水站）活动，活动时间：2020年10月27日（星期二）上午9:30，活动经费10,000.00元，其中：由高能电脑广告制作宣传资料、横幅、展板、背景布、音响租赁等支出5697元；宣讲课时费3,000.00元；宣讲老师住宿费1,200.00元，车船费1030元，已支付10,000.00元。</w:t>
      </w:r>
    </w:p>
    <w:p>
      <w:pPr>
        <w:adjustRightInd w:val="0"/>
        <w:snapToGrid w:val="0"/>
        <w:spacing w:line="576" w:lineRule="exact"/>
        <w:ind w:firstLine="642"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（4）</w:t>
      </w:r>
      <w:r>
        <w:rPr>
          <w:rFonts w:hint="eastAsia" w:ascii="仿宋_GB2312" w:hAnsi="宋体" w:eastAsia="仿宋_GB2312" w:cs="宋体"/>
          <w:kern w:val="0"/>
          <w:sz w:val="30"/>
          <w:szCs w:val="30"/>
        </w:rPr>
        <w:t>绩效评价</w:t>
      </w:r>
      <w:r>
        <w:rPr>
          <w:rFonts w:hint="eastAsia" w:ascii="仿宋_GB2312" w:hAnsi="宋体" w:eastAsia="仿宋_GB2312" w:cs="宋体"/>
          <w:kern w:val="0"/>
          <w:sz w:val="30"/>
          <w:szCs w:val="30"/>
          <w:lang w:val="zh-CN"/>
        </w:rPr>
        <w:t>费</w:t>
      </w:r>
    </w:p>
    <w:p>
      <w:pPr>
        <w:adjustRightInd w:val="0"/>
        <w:snapToGrid w:val="0"/>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3月1日，阿坝州妇联与四川天和联合会计师事务所(普通合伙）签订了《财政支出绩效评价咨询业务约定书》，协议约定由四川天和联合会计师事务所(普通合伙）对阿坝州妇联2020年度四川省妇女儿童事业发展专项资金“巾帼心向党—妇女思想政治引领”项目进行绩效评价，费用1,600.00元，未支付，待绩效评价结束后一次性支付。</w:t>
      </w:r>
    </w:p>
    <w:p>
      <w:pPr>
        <w:pStyle w:val="4"/>
        <w:adjustRightInd w:val="0"/>
        <w:snapToGrid w:val="0"/>
        <w:spacing w:before="93" w:after="0" w:line="576" w:lineRule="exact"/>
        <w:ind w:firstLine="321"/>
        <w:rPr>
          <w:rFonts w:ascii="楷体_GB2312"/>
        </w:rPr>
      </w:pPr>
      <w:bookmarkStart w:id="215" w:name="_Toc20617"/>
      <w:bookmarkStart w:id="216" w:name="_Toc16963"/>
      <w:r>
        <w:rPr>
          <w:rFonts w:hint="eastAsia" w:ascii="楷体_GB2312"/>
        </w:rPr>
        <w:t>（五）项目财务管理情况</w:t>
      </w:r>
      <w:bookmarkEnd w:id="213"/>
      <w:bookmarkEnd w:id="214"/>
      <w:bookmarkEnd w:id="215"/>
      <w:bookmarkEnd w:id="216"/>
    </w:p>
    <w:p>
      <w:pPr>
        <w:adjustRightInd w:val="0"/>
        <w:snapToGrid w:val="0"/>
        <w:spacing w:line="576" w:lineRule="exact"/>
        <w:ind w:firstLine="640" w:firstLineChars="200"/>
        <w:rPr>
          <w:rFonts w:ascii="华文仿宋" w:hAnsi="华文仿宋" w:eastAsia="华文仿宋"/>
          <w:sz w:val="32"/>
        </w:rPr>
      </w:pPr>
      <w:r>
        <w:rPr>
          <w:rFonts w:hint="eastAsia" w:ascii="仿宋_GB2312" w:hAnsi="宋体" w:eastAsia="仿宋_GB2312" w:cs="宋体"/>
          <w:kern w:val="0"/>
          <w:sz w:val="32"/>
          <w:szCs w:val="32"/>
          <w:lang w:val="zh-CN"/>
        </w:rPr>
        <w:t>阿坝州妇联按照《“巾帼心向党—妇女思想政治引领”项目资金管理办法》要求，“巾帼心向党—妇女思想政治引领”项目资金</w:t>
      </w:r>
      <w:r>
        <w:rPr>
          <w:rFonts w:ascii="华文仿宋" w:hAnsi="华文仿宋" w:eastAsia="华文仿宋"/>
          <w:sz w:val="32"/>
        </w:rPr>
        <w:t>支付</w:t>
      </w:r>
      <w:r>
        <w:rPr>
          <w:rFonts w:hint="eastAsia" w:ascii="华文仿宋" w:hAnsi="华文仿宋" w:eastAsia="华文仿宋"/>
          <w:sz w:val="32"/>
        </w:rPr>
        <w:t>严格</w:t>
      </w:r>
      <w:r>
        <w:rPr>
          <w:rFonts w:ascii="华文仿宋" w:hAnsi="华文仿宋" w:eastAsia="华文仿宋"/>
          <w:sz w:val="32"/>
        </w:rPr>
        <w:t>按</w:t>
      </w:r>
      <w:r>
        <w:rPr>
          <w:rFonts w:hint="eastAsia" w:ascii="华文仿宋" w:hAnsi="华文仿宋" w:eastAsia="华文仿宋"/>
          <w:sz w:val="32"/>
        </w:rPr>
        <w:t>照</w:t>
      </w:r>
      <w:r>
        <w:rPr>
          <w:rFonts w:ascii="华文仿宋" w:hAnsi="华文仿宋" w:eastAsia="华文仿宋"/>
          <w:sz w:val="32"/>
        </w:rPr>
        <w:t>资金管理办法</w:t>
      </w:r>
      <w:r>
        <w:rPr>
          <w:rFonts w:hint="eastAsia" w:ascii="华文仿宋" w:hAnsi="华文仿宋" w:eastAsia="华文仿宋"/>
          <w:sz w:val="32"/>
        </w:rPr>
        <w:t>规定</w:t>
      </w:r>
      <w:r>
        <w:rPr>
          <w:rFonts w:ascii="华文仿宋" w:hAnsi="华文仿宋" w:eastAsia="华文仿宋"/>
          <w:sz w:val="32"/>
        </w:rPr>
        <w:t>办理</w:t>
      </w:r>
      <w:r>
        <w:rPr>
          <w:rFonts w:hint="eastAsia" w:ascii="华文仿宋" w:hAnsi="华文仿宋" w:eastAsia="华文仿宋"/>
          <w:sz w:val="32"/>
        </w:rPr>
        <w:t>，相</w:t>
      </w:r>
      <w:r>
        <w:rPr>
          <w:rFonts w:ascii="华文仿宋" w:hAnsi="华文仿宋" w:eastAsia="华文仿宋"/>
          <w:sz w:val="32"/>
        </w:rPr>
        <w:t>关</w:t>
      </w:r>
      <w:r>
        <w:rPr>
          <w:rFonts w:hint="eastAsia" w:ascii="华文仿宋" w:hAnsi="华文仿宋" w:eastAsia="华文仿宋"/>
          <w:sz w:val="32"/>
        </w:rPr>
        <w:t>制度</w:t>
      </w:r>
      <w:r>
        <w:rPr>
          <w:rFonts w:ascii="华文仿宋" w:hAnsi="华文仿宋" w:eastAsia="华文仿宋"/>
          <w:sz w:val="32"/>
        </w:rPr>
        <w:t>规定得到了有效执行</w:t>
      </w:r>
      <w:r>
        <w:rPr>
          <w:rFonts w:hint="eastAsia" w:ascii="华文仿宋" w:hAnsi="华文仿宋" w:eastAsia="华文仿宋"/>
          <w:sz w:val="32"/>
        </w:rPr>
        <w:t>。会计</w:t>
      </w:r>
      <w:r>
        <w:rPr>
          <w:rFonts w:ascii="华文仿宋" w:hAnsi="华文仿宋" w:eastAsia="华文仿宋"/>
          <w:sz w:val="32"/>
        </w:rPr>
        <w:t>核算规范</w:t>
      </w:r>
      <w:r>
        <w:rPr>
          <w:rFonts w:hint="eastAsia" w:ascii="华文仿宋" w:hAnsi="华文仿宋" w:eastAsia="华文仿宋"/>
          <w:sz w:val="32"/>
        </w:rPr>
        <w:t>，符合</w:t>
      </w:r>
      <w:r>
        <w:rPr>
          <w:rFonts w:ascii="华文仿宋" w:hAnsi="华文仿宋" w:eastAsia="华文仿宋"/>
          <w:sz w:val="32"/>
        </w:rPr>
        <w:t>会计管理要求</w:t>
      </w:r>
      <w:r>
        <w:rPr>
          <w:rFonts w:hint="eastAsia" w:ascii="华文仿宋" w:hAnsi="华文仿宋" w:eastAsia="华文仿宋"/>
          <w:sz w:val="32"/>
        </w:rPr>
        <w:t>。</w:t>
      </w:r>
      <w:bookmarkStart w:id="217" w:name="_Toc10624074"/>
      <w:bookmarkStart w:id="218" w:name="_Toc9865189"/>
    </w:p>
    <w:p>
      <w:pPr>
        <w:pStyle w:val="4"/>
        <w:adjustRightInd w:val="0"/>
        <w:snapToGrid w:val="0"/>
        <w:spacing w:before="93" w:after="0" w:line="576" w:lineRule="exact"/>
        <w:ind w:firstLine="321"/>
        <w:rPr>
          <w:rFonts w:ascii="楷体_GB2312"/>
        </w:rPr>
      </w:pPr>
      <w:bookmarkStart w:id="219" w:name="_Toc19270"/>
      <w:bookmarkStart w:id="220" w:name="_Toc16746"/>
      <w:r>
        <w:rPr>
          <w:rFonts w:hint="eastAsia" w:ascii="楷体_GB2312"/>
        </w:rPr>
        <w:t>（六）项目组织实施情况</w:t>
      </w:r>
      <w:bookmarkEnd w:id="217"/>
      <w:bookmarkEnd w:id="218"/>
      <w:bookmarkEnd w:id="219"/>
      <w:bookmarkEnd w:id="220"/>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阿坝州妇联按照专项资金管理办法要求，认真做好项目支出审核及项目资金分配调整工作。</w:t>
      </w:r>
    </w:p>
    <w:p>
      <w:pPr>
        <w:adjustRightInd w:val="0"/>
        <w:snapToGrid w:val="0"/>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截至评价报告日，该项目的实施内容已完成，主要实施完成情况如下：</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bookmarkStart w:id="221" w:name="_Toc10624075"/>
      <w:r>
        <w:rPr>
          <w:rFonts w:hint="eastAsia" w:ascii="仿宋_GB2312" w:hAnsi="宋体" w:eastAsia="仿宋_GB2312" w:cs="宋体"/>
          <w:b/>
          <w:bCs/>
          <w:kern w:val="0"/>
          <w:sz w:val="32"/>
          <w:szCs w:val="32"/>
        </w:rPr>
        <w:t>1.</w:t>
      </w:r>
      <w:r>
        <w:rPr>
          <w:rFonts w:hint="eastAsia" w:ascii="仿宋_GB2312" w:hAnsi="宋体" w:eastAsia="仿宋_GB2312" w:cs="宋体"/>
          <w:kern w:val="0"/>
          <w:sz w:val="32"/>
          <w:szCs w:val="32"/>
        </w:rPr>
        <w:t>以巾帼心向党为主题，开展群众性宣传活动、深化巾帼大宣讲内容。线上活动包括：</w:t>
      </w:r>
      <w:r>
        <w:rPr>
          <w:rFonts w:ascii="仿宋_GB2312" w:hAnsi="宋体" w:eastAsia="仿宋_GB2312" w:cs="宋体"/>
          <w:kern w:val="0"/>
          <w:sz w:val="32"/>
          <w:szCs w:val="32"/>
        </w:rPr>
        <w:t>①</w:t>
      </w:r>
      <w:r>
        <w:rPr>
          <w:rFonts w:hint="eastAsia" w:ascii="仿宋_GB2312" w:hAnsi="宋体" w:eastAsia="仿宋_GB2312" w:cs="宋体"/>
          <w:kern w:val="0"/>
          <w:sz w:val="32"/>
          <w:szCs w:val="32"/>
        </w:rPr>
        <w:t>妇联工作宣传片制作；</w:t>
      </w:r>
      <w:r>
        <w:rPr>
          <w:rFonts w:ascii="仿宋_GB2312" w:hAnsi="宋体" w:eastAsia="仿宋_GB2312" w:cs="宋体"/>
          <w:kern w:val="0"/>
          <w:sz w:val="32"/>
          <w:szCs w:val="32"/>
        </w:rPr>
        <w:t>②</w:t>
      </w:r>
      <w:r>
        <w:rPr>
          <w:rFonts w:hint="eastAsia" w:ascii="仿宋_GB2312" w:hAnsi="宋体" w:eastAsia="仿宋_GB2312" w:cs="宋体"/>
          <w:kern w:val="0"/>
          <w:sz w:val="32"/>
          <w:szCs w:val="32"/>
        </w:rPr>
        <w:t>网上互动、成果展点赞 赠话费等；</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highlight w:val="green"/>
          <w:lang w:val="zh-CN"/>
        </w:rPr>
      </w:pPr>
      <w:r>
        <w:rPr>
          <w:rFonts w:hint="eastAsia" w:ascii="仿宋_GB2312" w:hAnsi="宋体" w:eastAsia="仿宋_GB2312" w:cs="宋体"/>
          <w:b/>
          <w:bCs/>
          <w:kern w:val="0"/>
          <w:sz w:val="32"/>
          <w:szCs w:val="32"/>
        </w:rPr>
        <w:t>2.</w:t>
      </w:r>
      <w:r>
        <w:rPr>
          <w:rFonts w:hint="eastAsia" w:ascii="仿宋_GB2312" w:hAnsi="宋体" w:eastAsia="仿宋_GB2312" w:cs="宋体"/>
          <w:kern w:val="0"/>
          <w:sz w:val="32"/>
          <w:szCs w:val="32"/>
        </w:rPr>
        <w:t>线下组织巾帼志愿者开展巾帼志愿者宣讲活动包括师资费、交通费、住宿费、物资费、用餐费等。</w:t>
      </w:r>
    </w:p>
    <w:p>
      <w:pPr>
        <w:pStyle w:val="3"/>
        <w:adjustRightInd w:val="0"/>
        <w:snapToGrid w:val="0"/>
        <w:spacing w:before="0" w:after="0" w:line="576" w:lineRule="exact"/>
        <w:ind w:left="701" w:leftChars="334" w:firstLine="96" w:firstLineChars="30"/>
        <w:rPr>
          <w:rFonts w:ascii="黑体" w:hAnsi="黑体" w:eastAsia="黑体"/>
          <w:bCs w:val="0"/>
          <w:color w:val="000000"/>
          <w:kern w:val="2"/>
          <w:sz w:val="32"/>
          <w:szCs w:val="32"/>
          <w:lang w:val="zh-CN"/>
        </w:rPr>
      </w:pPr>
      <w:bookmarkStart w:id="222" w:name="_Toc4288"/>
      <w:bookmarkStart w:id="223" w:name="_Toc30609"/>
      <w:r>
        <w:rPr>
          <w:rFonts w:hint="eastAsia" w:ascii="楷体_GB2312" w:hAnsi="Cambria" w:eastAsia="仿宋_GB2312"/>
          <w:kern w:val="0"/>
          <w:sz w:val="32"/>
          <w:szCs w:val="32"/>
          <w:lang w:val="zh-CN"/>
        </w:rPr>
        <w:t>二、</w:t>
      </w:r>
      <w:bookmarkEnd w:id="221"/>
      <w:r>
        <w:rPr>
          <w:rFonts w:hint="eastAsia" w:ascii="楷体_GB2312" w:hAnsi="Cambria" w:eastAsia="仿宋_GB2312"/>
          <w:kern w:val="0"/>
          <w:sz w:val="32"/>
          <w:szCs w:val="32"/>
          <w:lang w:val="zh-CN"/>
        </w:rPr>
        <w:t>评价工作开展情况</w:t>
      </w:r>
      <w:bookmarkEnd w:id="222"/>
      <w:bookmarkEnd w:id="223"/>
    </w:p>
    <w:p>
      <w:pPr>
        <w:pStyle w:val="4"/>
        <w:adjustRightInd w:val="0"/>
        <w:snapToGrid w:val="0"/>
        <w:spacing w:before="93" w:after="0" w:line="576" w:lineRule="exact"/>
        <w:ind w:firstLine="642" w:firstLineChars="200"/>
        <w:rPr>
          <w:rFonts w:ascii="楷体_GB2312"/>
          <w:lang w:val="zh-CN"/>
        </w:rPr>
      </w:pPr>
      <w:bookmarkStart w:id="224" w:name="_Toc20213"/>
      <w:bookmarkStart w:id="225" w:name="_Toc8365"/>
      <w:bookmarkStart w:id="226" w:name="_Toc10624076"/>
      <w:r>
        <w:rPr>
          <w:rFonts w:hint="eastAsia" w:ascii="楷体_GB2312"/>
        </w:rPr>
        <w:t>（</w:t>
      </w:r>
      <w:r>
        <w:rPr>
          <w:rFonts w:hint="eastAsia" w:ascii="楷体_GB2312"/>
          <w:lang w:val="zh-CN"/>
        </w:rPr>
        <w:t>一）前期准备</w:t>
      </w:r>
      <w:bookmarkEnd w:id="224"/>
      <w:bookmarkEnd w:id="225"/>
      <w:bookmarkEnd w:id="226"/>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评价机构在该阶段的主要工作是：接受委托任务；成立绩效评价工作组，培训绩效评价工作人员；确定绩效评价总体方案；对相关资料进行收集、整理、数据分析。</w:t>
      </w:r>
    </w:p>
    <w:p>
      <w:pPr>
        <w:pStyle w:val="4"/>
        <w:adjustRightInd w:val="0"/>
        <w:snapToGrid w:val="0"/>
        <w:spacing w:before="93" w:after="0" w:line="576" w:lineRule="exact"/>
        <w:ind w:firstLine="642" w:firstLineChars="200"/>
        <w:rPr>
          <w:rFonts w:ascii="楷体_GB2312"/>
          <w:lang w:val="zh-CN"/>
        </w:rPr>
      </w:pPr>
      <w:bookmarkStart w:id="227" w:name="_Toc2949"/>
      <w:bookmarkStart w:id="228" w:name="_Toc10624077"/>
      <w:bookmarkStart w:id="229" w:name="_Toc23859"/>
      <w:r>
        <w:rPr>
          <w:rFonts w:hint="eastAsia" w:ascii="楷体_GB2312"/>
        </w:rPr>
        <w:t>（</w:t>
      </w:r>
      <w:r>
        <w:rPr>
          <w:rFonts w:hint="eastAsia" w:ascii="楷体_GB2312"/>
          <w:lang w:val="zh-CN"/>
        </w:rPr>
        <w:t>二）组织实施情况</w:t>
      </w:r>
      <w:bookmarkEnd w:id="227"/>
      <w:bookmarkEnd w:id="228"/>
      <w:bookmarkEnd w:id="229"/>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通过查阅资料（包括与项目相关的法律法规及规定、项目档案资料、财务资料等）、询问等方式，了解该评价项目在项目完成、项目效益及项目满意度等方面情况；收集相关数据完成评价、核对工作记录、指标表、数据表及问卷调查；报送项目负责人审核。</w:t>
      </w:r>
    </w:p>
    <w:p>
      <w:pPr>
        <w:pStyle w:val="4"/>
        <w:adjustRightInd w:val="0"/>
        <w:snapToGrid w:val="0"/>
        <w:spacing w:before="93" w:after="0" w:line="576" w:lineRule="exact"/>
        <w:ind w:firstLine="642" w:firstLineChars="200"/>
        <w:rPr>
          <w:rFonts w:ascii="楷体_GB2312"/>
          <w:lang w:val="zh-CN"/>
        </w:rPr>
      </w:pPr>
      <w:bookmarkStart w:id="230" w:name="_Toc10624078"/>
      <w:bookmarkStart w:id="231" w:name="_Toc12142"/>
      <w:bookmarkStart w:id="232" w:name="_Toc2065"/>
      <w:r>
        <w:rPr>
          <w:rFonts w:hint="eastAsia" w:ascii="楷体_GB2312"/>
        </w:rPr>
        <w:t>（</w:t>
      </w:r>
      <w:r>
        <w:rPr>
          <w:rFonts w:hint="eastAsia" w:ascii="楷体_GB2312"/>
          <w:lang w:val="zh-CN"/>
        </w:rPr>
        <w:t>三）分析评价，出具评价报告</w:t>
      </w:r>
      <w:bookmarkEnd w:id="230"/>
      <w:bookmarkEnd w:id="231"/>
      <w:bookmarkEnd w:id="232"/>
    </w:p>
    <w:p>
      <w:pPr>
        <w:overflowPunct w:val="0"/>
        <w:adjustRightInd w:val="0"/>
        <w:snapToGrid w:val="0"/>
        <w:spacing w:line="576" w:lineRule="exact"/>
        <w:ind w:firstLine="640" w:firstLineChars="200"/>
        <w:textAlignment w:val="baseline"/>
        <w:rPr>
          <w:rFonts w:ascii="仿宋_GB2312" w:hAnsi="宋体" w:eastAsia="仿宋_GB2312" w:cs="仿宋_GB2312"/>
          <w:b/>
          <w:bCs/>
          <w:sz w:val="32"/>
          <w:szCs w:val="32"/>
        </w:rPr>
      </w:pPr>
      <w:r>
        <w:rPr>
          <w:rFonts w:hint="eastAsia" w:ascii="仿宋_GB2312" w:hAnsi="宋体" w:eastAsia="仿宋_GB2312" w:cs="宋体"/>
          <w:kern w:val="0"/>
          <w:sz w:val="32"/>
          <w:szCs w:val="32"/>
          <w:lang w:val="zh-CN"/>
        </w:rPr>
        <w:t>评价机构在该阶段的主要工作是：项目评价组根据</w:t>
      </w:r>
      <w:r>
        <w:rPr>
          <w:rFonts w:hint="eastAsia" w:ascii="仿宋_GB2312" w:hAnsi="宋体" w:eastAsia="仿宋_GB2312" w:cs="宋体"/>
          <w:kern w:val="0"/>
          <w:sz w:val="32"/>
          <w:szCs w:val="32"/>
        </w:rPr>
        <w:t>四川省妇女联合会</w:t>
      </w:r>
      <w:r>
        <w:rPr>
          <w:rFonts w:hint="eastAsia" w:ascii="仿宋_GB2312" w:hAnsi="宋体" w:eastAsia="仿宋_GB2312" w:cs="宋体"/>
          <w:kern w:val="0"/>
          <w:sz w:val="32"/>
          <w:szCs w:val="32"/>
          <w:lang w:val="zh-CN"/>
        </w:rPr>
        <w:t>《</w:t>
      </w:r>
      <w:r>
        <w:rPr>
          <w:rFonts w:hint="eastAsia" w:ascii="仿宋_GB2312" w:hAnsi="仿宋_GB2312" w:eastAsia="仿宋_GB2312" w:cs="仿宋_GB2312"/>
          <w:sz w:val="32"/>
          <w:szCs w:val="32"/>
        </w:rPr>
        <w:t>关于2020年度四川省妇女儿童事业发展专项资金绩效运行自行监控工作的通知》、四川省妇联宣传部《关于开展2020年度妇女儿童专项资金的指导通知》以及</w:t>
      </w:r>
      <w:r>
        <w:rPr>
          <w:rFonts w:hint="eastAsia" w:ascii="仿宋_GB2312" w:hAnsi="宋体" w:eastAsia="仿宋_GB2312" w:cs="宋体"/>
          <w:kern w:val="0"/>
          <w:sz w:val="32"/>
          <w:szCs w:val="32"/>
          <w:lang w:val="zh-CN"/>
        </w:rPr>
        <w:t>阿坝州妇联《关于</w:t>
      </w:r>
      <w:r>
        <w:rPr>
          <w:rFonts w:hint="eastAsia" w:ascii="仿宋_GB2312" w:hAnsi="宋体" w:eastAsia="仿宋_GB2312" w:cs="宋体"/>
          <w:kern w:val="0"/>
          <w:sz w:val="32"/>
          <w:szCs w:val="32"/>
        </w:rPr>
        <w:t>开展巾帼心向党—妇女思想政治引领项目总结</w:t>
      </w:r>
      <w:r>
        <w:rPr>
          <w:rFonts w:hint="eastAsia" w:ascii="仿宋_GB2312" w:hAnsi="宋体" w:eastAsia="仿宋_GB2312" w:cs="宋体"/>
          <w:kern w:val="0"/>
          <w:sz w:val="32"/>
          <w:szCs w:val="32"/>
          <w:lang w:val="zh-CN"/>
        </w:rPr>
        <w:t>》和现场评价情况汇总相关数据，按照绩效评价指标体系分析整体绩效评价情况，进行定量定性分析，形成评价初步结论；撰写绩效评价报告初稿，并进行评价机构内部复核，根据复核意见对评价报告进行修正完善，形成绩效评价报告，</w:t>
      </w:r>
      <w:r>
        <w:rPr>
          <w:rFonts w:hint="eastAsia" w:ascii="仿宋_GB2312" w:hAnsi="宋体" w:eastAsia="仿宋_GB2312" w:cs="宋体"/>
          <w:kern w:val="0"/>
          <w:sz w:val="32"/>
          <w:szCs w:val="32"/>
        </w:rPr>
        <w:t>并</w:t>
      </w:r>
      <w:r>
        <w:rPr>
          <w:rFonts w:hint="eastAsia" w:ascii="仿宋_GB2312" w:hAnsi="宋体" w:eastAsia="仿宋_GB2312" w:cs="宋体"/>
          <w:kern w:val="0"/>
          <w:sz w:val="32"/>
          <w:szCs w:val="32"/>
          <w:lang w:val="zh-CN"/>
        </w:rPr>
        <w:t>出具正式绩效评价报告。</w:t>
      </w:r>
    </w:p>
    <w:p>
      <w:pPr>
        <w:pStyle w:val="3"/>
        <w:adjustRightInd w:val="0"/>
        <w:snapToGrid w:val="0"/>
        <w:spacing w:before="0" w:after="0" w:line="576" w:lineRule="exact"/>
        <w:ind w:left="701" w:leftChars="334" w:firstLine="96" w:firstLineChars="30"/>
        <w:rPr>
          <w:rFonts w:ascii="楷体_GB2312" w:hAnsi="Cambria" w:eastAsia="仿宋_GB2312"/>
          <w:kern w:val="0"/>
          <w:sz w:val="32"/>
          <w:szCs w:val="32"/>
          <w:lang w:val="zh-CN"/>
        </w:rPr>
      </w:pPr>
      <w:bookmarkStart w:id="233" w:name="_Toc10624079"/>
      <w:bookmarkStart w:id="234" w:name="_Toc21324"/>
      <w:bookmarkStart w:id="235" w:name="_Toc29792"/>
      <w:r>
        <w:rPr>
          <w:rFonts w:hint="eastAsia" w:ascii="楷体_GB2312" w:hAnsi="Cambria" w:eastAsia="仿宋_GB2312"/>
          <w:kern w:val="0"/>
          <w:sz w:val="32"/>
          <w:szCs w:val="32"/>
          <w:lang w:val="zh-CN"/>
        </w:rPr>
        <w:t>三、绩效评价依据、指标体系、评价标准及评价方法</w:t>
      </w:r>
      <w:bookmarkEnd w:id="233"/>
      <w:bookmarkEnd w:id="234"/>
      <w:bookmarkEnd w:id="235"/>
    </w:p>
    <w:p>
      <w:pPr>
        <w:pStyle w:val="4"/>
        <w:adjustRightInd w:val="0"/>
        <w:snapToGrid w:val="0"/>
        <w:spacing w:before="93" w:after="0" w:line="576" w:lineRule="exact"/>
        <w:ind w:firstLine="642" w:firstLineChars="200"/>
        <w:rPr>
          <w:rFonts w:ascii="楷体_GB2312"/>
        </w:rPr>
      </w:pPr>
      <w:bookmarkStart w:id="236" w:name="_Toc9141"/>
      <w:bookmarkStart w:id="237" w:name="_Toc10624080"/>
      <w:bookmarkStart w:id="238" w:name="_Toc32268"/>
      <w:r>
        <w:rPr>
          <w:rFonts w:hint="eastAsia" w:ascii="楷体_GB2312"/>
        </w:rPr>
        <w:t>（</w:t>
      </w:r>
      <w:r>
        <w:rPr>
          <w:rFonts w:hint="eastAsia" w:ascii="楷体_GB2312"/>
          <w:lang w:val="zh-CN"/>
        </w:rPr>
        <w:t>一）绩效评价依据</w:t>
      </w:r>
      <w:bookmarkEnd w:id="236"/>
      <w:bookmarkEnd w:id="237"/>
      <w:bookmarkEnd w:id="238"/>
    </w:p>
    <w:p>
      <w:pPr>
        <w:adjustRightInd w:val="0"/>
        <w:snapToGrid w:val="0"/>
        <w:spacing w:line="576" w:lineRule="exact"/>
        <w:ind w:firstLine="642"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1.</w:t>
      </w:r>
      <w:r>
        <w:rPr>
          <w:rFonts w:hint="eastAsia" w:ascii="仿宋_GB2312" w:hAnsi="宋体" w:eastAsia="仿宋_GB2312" w:cs="宋体"/>
          <w:kern w:val="0"/>
          <w:sz w:val="32"/>
          <w:szCs w:val="32"/>
        </w:rPr>
        <w:t>四川省妇女联合会《关于进一步做好申报2020年度四川省妇女儿童事业发展专项资金的通知》（川妇知[2019]65号）；</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r>
        <w:rPr>
          <w:rFonts w:hint="eastAsia" w:ascii="仿宋_GB2312" w:hAnsi="宋体" w:eastAsia="仿宋_GB2312" w:cs="宋体"/>
          <w:b/>
          <w:bCs/>
          <w:kern w:val="0"/>
          <w:sz w:val="32"/>
          <w:szCs w:val="32"/>
        </w:rPr>
        <w:t>2.</w:t>
      </w:r>
      <w:r>
        <w:rPr>
          <w:rFonts w:hint="eastAsia" w:ascii="仿宋_GB2312" w:hAnsi="宋体" w:eastAsia="仿宋_GB2312" w:cs="宋体"/>
          <w:kern w:val="0"/>
          <w:sz w:val="32"/>
          <w:szCs w:val="32"/>
        </w:rPr>
        <w:t>四川省妇女联合会发布《关于2020年年四川省妇女儿童事业发展专项资金下达及项目实施的通知》（川妇知〔2020〕18号）；</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r>
        <w:rPr>
          <w:rFonts w:hint="eastAsia" w:ascii="仿宋_GB2312" w:hAnsi="宋体" w:eastAsia="仿宋_GB2312" w:cs="宋体"/>
          <w:b/>
          <w:bCs/>
          <w:kern w:val="0"/>
          <w:sz w:val="32"/>
          <w:szCs w:val="32"/>
        </w:rPr>
        <w:t>3.</w:t>
      </w:r>
      <w:r>
        <w:rPr>
          <w:rFonts w:hint="eastAsia" w:ascii="仿宋_GB2312" w:hAnsi="宋体" w:eastAsia="仿宋_GB2312" w:cs="宋体"/>
          <w:kern w:val="0"/>
          <w:sz w:val="32"/>
          <w:szCs w:val="32"/>
        </w:rPr>
        <w:t>四川省财政厅 四川省妇女联合会 关于印发《四川省妇女儿童事业发展专项资金管理办法》的通知（川财行〔2017〕13号）；</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r>
        <w:rPr>
          <w:rFonts w:hint="eastAsia" w:ascii="仿宋_GB2312" w:hAnsi="宋体" w:eastAsia="仿宋_GB2312" w:cs="宋体"/>
          <w:b/>
          <w:bCs/>
          <w:kern w:val="0"/>
          <w:sz w:val="32"/>
          <w:szCs w:val="32"/>
        </w:rPr>
        <w:t>4.</w:t>
      </w:r>
      <w:r>
        <w:rPr>
          <w:rFonts w:hint="eastAsia" w:ascii="仿宋_GB2312" w:hAnsi="宋体" w:eastAsia="仿宋_GB2312" w:cs="宋体"/>
          <w:kern w:val="0"/>
          <w:sz w:val="32"/>
          <w:szCs w:val="32"/>
          <w:lang w:val="zh-CN"/>
        </w:rPr>
        <w:t>阿坝州妇联《</w:t>
      </w:r>
      <w:r>
        <w:rPr>
          <w:rFonts w:hint="eastAsia" w:ascii="仿宋_GB2312" w:hAnsi="宋体" w:eastAsia="仿宋_GB2312" w:cs="宋体"/>
          <w:kern w:val="0"/>
          <w:sz w:val="32"/>
          <w:szCs w:val="32"/>
        </w:rPr>
        <w:t>财务及资产管理制度》；</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r>
        <w:rPr>
          <w:rFonts w:hint="eastAsia" w:ascii="仿宋_GB2312" w:hAnsi="宋体" w:eastAsia="仿宋_GB2312" w:cs="宋体"/>
          <w:b/>
          <w:bCs/>
          <w:kern w:val="0"/>
          <w:sz w:val="32"/>
          <w:szCs w:val="32"/>
        </w:rPr>
        <w:t>5.</w:t>
      </w:r>
      <w:r>
        <w:rPr>
          <w:rFonts w:hint="eastAsia" w:ascii="仿宋_GB2312" w:hAnsi="宋体" w:eastAsia="仿宋_GB2312" w:cs="宋体"/>
          <w:kern w:val="0"/>
          <w:sz w:val="32"/>
          <w:szCs w:val="32"/>
          <w:lang w:val="zh-CN"/>
        </w:rPr>
        <w:t>阿坝州妇联《四川省妇女儿童事业发展专项—巾帼心向党—妇女思想政治引领项目资金管理办法》；</w:t>
      </w:r>
    </w:p>
    <w:p>
      <w:pPr>
        <w:overflowPunct w:val="0"/>
        <w:adjustRightInd w:val="0"/>
        <w:snapToGrid w:val="0"/>
        <w:spacing w:line="576" w:lineRule="exact"/>
        <w:ind w:firstLine="642" w:firstLineChars="200"/>
        <w:textAlignment w:val="baseline"/>
        <w:rPr>
          <w:rFonts w:ascii="仿宋_GB2312" w:hAnsi="仿宋_GB2312" w:eastAsia="仿宋_GB2312" w:cs="仿宋_GB2312"/>
          <w:sz w:val="32"/>
          <w:szCs w:val="32"/>
        </w:rPr>
      </w:pPr>
      <w:r>
        <w:rPr>
          <w:rFonts w:hint="eastAsia" w:ascii="仿宋_GB2312" w:hAnsi="宋体" w:eastAsia="仿宋_GB2312" w:cs="宋体"/>
          <w:b/>
          <w:bCs/>
          <w:kern w:val="0"/>
          <w:sz w:val="32"/>
          <w:szCs w:val="32"/>
        </w:rPr>
        <w:t>6.</w:t>
      </w:r>
      <w:r>
        <w:rPr>
          <w:rFonts w:hint="eastAsia" w:ascii="仿宋_GB2312" w:hAnsi="宋体" w:eastAsia="仿宋_GB2312" w:cs="宋体"/>
          <w:kern w:val="0"/>
          <w:sz w:val="32"/>
          <w:szCs w:val="32"/>
        </w:rPr>
        <w:t>四川省妇女联合会</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关于2020年度四川省妇女儿童事业发展专项资金绩效运行自行监控工作的通知》；</w:t>
      </w:r>
    </w:p>
    <w:p>
      <w:pPr>
        <w:overflowPunct w:val="0"/>
        <w:adjustRightInd w:val="0"/>
        <w:snapToGrid w:val="0"/>
        <w:spacing w:line="576" w:lineRule="exact"/>
        <w:ind w:firstLine="642" w:firstLineChars="200"/>
        <w:textAlignment w:val="baseline"/>
        <w:rPr>
          <w:rFonts w:ascii="仿宋_GB2312" w:hAnsi="仿宋_GB2312" w:eastAsia="仿宋_GB2312" w:cs="仿宋_GB2312"/>
          <w:sz w:val="32"/>
          <w:szCs w:val="32"/>
        </w:rPr>
      </w:pPr>
      <w:r>
        <w:rPr>
          <w:rFonts w:hint="eastAsia" w:ascii="仿宋_GB2312" w:hAnsi="宋体" w:eastAsia="仿宋_GB2312" w:cs="宋体"/>
          <w:b/>
          <w:bCs/>
          <w:kern w:val="0"/>
          <w:sz w:val="32"/>
          <w:szCs w:val="32"/>
        </w:rPr>
        <w:t>7.</w:t>
      </w:r>
      <w:r>
        <w:rPr>
          <w:rFonts w:hint="eastAsia" w:ascii="仿宋_GB2312" w:hAnsi="仿宋_GB2312" w:eastAsia="仿宋_GB2312" w:cs="仿宋_GB2312"/>
          <w:sz w:val="32"/>
          <w:szCs w:val="32"/>
        </w:rPr>
        <w:t>四川省妇联宣传部《关于开展2020年度妇女儿童专项资金的指导通知》；</w:t>
      </w:r>
    </w:p>
    <w:p>
      <w:pPr>
        <w:overflowPunct w:val="0"/>
        <w:adjustRightInd w:val="0"/>
        <w:snapToGrid w:val="0"/>
        <w:spacing w:line="576" w:lineRule="exact"/>
        <w:ind w:firstLine="642" w:firstLineChars="200"/>
        <w:textAlignment w:val="baseline"/>
        <w:rPr>
          <w:rFonts w:ascii="仿宋_GB2312" w:hAnsi="仿宋_GB2312" w:eastAsia="仿宋_GB2312" w:cs="仿宋_GB2312"/>
          <w:sz w:val="32"/>
          <w:szCs w:val="32"/>
        </w:rPr>
      </w:pPr>
      <w:r>
        <w:rPr>
          <w:rFonts w:hint="eastAsia" w:ascii="仿宋_GB2312" w:hAnsi="宋体" w:eastAsia="仿宋_GB2312" w:cs="宋体"/>
          <w:b/>
          <w:bCs/>
          <w:kern w:val="0"/>
          <w:sz w:val="32"/>
          <w:szCs w:val="32"/>
        </w:rPr>
        <w:t>8.</w:t>
      </w:r>
      <w:r>
        <w:rPr>
          <w:rFonts w:hint="eastAsia" w:ascii="仿宋_GB2312" w:hAnsi="宋体" w:eastAsia="仿宋_GB2312" w:cs="宋体"/>
          <w:kern w:val="0"/>
          <w:sz w:val="32"/>
          <w:szCs w:val="32"/>
          <w:lang w:val="zh-CN"/>
        </w:rPr>
        <w:t>阿坝州妇联《关于</w:t>
      </w:r>
      <w:r>
        <w:rPr>
          <w:rFonts w:hint="eastAsia" w:ascii="仿宋_GB2312" w:hAnsi="宋体" w:eastAsia="仿宋_GB2312" w:cs="宋体"/>
          <w:kern w:val="0"/>
          <w:sz w:val="32"/>
          <w:szCs w:val="32"/>
        </w:rPr>
        <w:t>开展巾帼心向党—妇女思想政治引领项目总结》</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rPr>
      </w:pPr>
      <w:r>
        <w:rPr>
          <w:rFonts w:hint="eastAsia" w:ascii="仿宋_GB2312" w:hAnsi="宋体" w:eastAsia="仿宋_GB2312" w:cs="宋体"/>
          <w:b/>
          <w:bCs/>
          <w:kern w:val="0"/>
          <w:sz w:val="32"/>
          <w:szCs w:val="32"/>
        </w:rPr>
        <w:t>9.</w:t>
      </w:r>
      <w:r>
        <w:rPr>
          <w:rFonts w:hint="eastAsia" w:ascii="仿宋_GB2312" w:hAnsi="宋体" w:eastAsia="仿宋_GB2312" w:cs="宋体"/>
          <w:kern w:val="0"/>
          <w:sz w:val="32"/>
          <w:szCs w:val="32"/>
          <w:lang w:val="zh-CN"/>
        </w:rPr>
        <w:t>阿坝州妇联</w:t>
      </w:r>
      <w:r>
        <w:rPr>
          <w:rFonts w:hint="eastAsia" w:ascii="仿宋_GB2312" w:hAnsi="宋体" w:eastAsia="仿宋_GB2312" w:cs="宋体"/>
          <w:kern w:val="0"/>
          <w:sz w:val="32"/>
          <w:szCs w:val="32"/>
        </w:rPr>
        <w:t>“巾帼心向党—妇女思想政治引领”活动的实施方案;</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rPr>
        <w:t>10</w:t>
      </w:r>
      <w:r>
        <w:rPr>
          <w:rFonts w:hint="eastAsia" w:ascii="仿宋_GB2312" w:hAnsi="宋体" w:eastAsia="仿宋_GB2312" w:cs="宋体"/>
          <w:b/>
          <w:bCs/>
          <w:kern w:val="0"/>
          <w:sz w:val="32"/>
          <w:szCs w:val="32"/>
          <w:lang w:val="zh-CN"/>
        </w:rPr>
        <w:t>.</w:t>
      </w:r>
      <w:r>
        <w:rPr>
          <w:rFonts w:hint="eastAsia" w:ascii="仿宋_GB2312" w:hAnsi="宋体" w:eastAsia="仿宋_GB2312" w:cs="宋体"/>
          <w:kern w:val="0"/>
          <w:sz w:val="32"/>
          <w:szCs w:val="32"/>
          <w:lang w:val="zh-CN"/>
        </w:rPr>
        <w:t>阿坝州妇联与我所签订的《业务约定书》。</w:t>
      </w:r>
    </w:p>
    <w:p>
      <w:pPr>
        <w:pStyle w:val="4"/>
        <w:adjustRightInd w:val="0"/>
        <w:snapToGrid w:val="0"/>
        <w:spacing w:before="93" w:after="0" w:line="576" w:lineRule="exact"/>
        <w:ind w:firstLine="642" w:firstLineChars="200"/>
        <w:rPr>
          <w:rFonts w:ascii="楷体_GB2312"/>
        </w:rPr>
      </w:pPr>
      <w:bookmarkStart w:id="239" w:name="_Toc7010"/>
      <w:bookmarkStart w:id="240" w:name="_Toc10624081"/>
      <w:bookmarkStart w:id="241" w:name="_Toc22510"/>
      <w:r>
        <w:rPr>
          <w:rFonts w:hint="eastAsia" w:ascii="楷体_GB2312"/>
        </w:rPr>
        <w:t>（</w:t>
      </w:r>
      <w:r>
        <w:rPr>
          <w:rFonts w:hint="eastAsia" w:ascii="楷体_GB2312"/>
          <w:lang w:val="zh-CN"/>
        </w:rPr>
        <w:t>二）绩效评价指标体系</w:t>
      </w:r>
      <w:bookmarkEnd w:id="239"/>
      <w:bookmarkEnd w:id="240"/>
      <w:bookmarkEnd w:id="241"/>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本次审计设定的评价指标及权重如下：</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1.</w:t>
      </w:r>
      <w:r>
        <w:rPr>
          <w:rFonts w:hint="eastAsia" w:ascii="仿宋_GB2312" w:hAnsi="宋体" w:eastAsia="仿宋_GB2312" w:cs="宋体"/>
          <w:kern w:val="0"/>
          <w:sz w:val="32"/>
          <w:szCs w:val="32"/>
          <w:lang w:val="zh-CN"/>
        </w:rPr>
        <w:t>项目完成：含数量指标、质量指标、时效指标和成本指标四个二级指标（权重</w:t>
      </w:r>
      <w:r>
        <w:rPr>
          <w:rFonts w:hint="eastAsia" w:ascii="仿宋_GB2312" w:hAnsi="宋体" w:eastAsia="仿宋_GB2312" w:cs="宋体"/>
          <w:kern w:val="0"/>
          <w:sz w:val="32"/>
          <w:szCs w:val="32"/>
        </w:rPr>
        <w:t>50</w:t>
      </w:r>
      <w:r>
        <w:rPr>
          <w:rFonts w:hint="eastAsia" w:ascii="仿宋_GB2312" w:hAnsi="宋体" w:eastAsia="仿宋_GB2312" w:cs="宋体"/>
          <w:kern w:val="0"/>
          <w:sz w:val="32"/>
          <w:szCs w:val="32"/>
          <w:lang w:val="zh-CN"/>
        </w:rPr>
        <w:t>分）；</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2.</w:t>
      </w:r>
      <w:r>
        <w:rPr>
          <w:rFonts w:hint="eastAsia" w:ascii="仿宋_GB2312" w:hAnsi="宋体" w:eastAsia="仿宋_GB2312" w:cs="宋体"/>
          <w:kern w:val="0"/>
          <w:sz w:val="32"/>
          <w:szCs w:val="32"/>
          <w:lang w:val="zh-CN"/>
        </w:rPr>
        <w:t>项目效益：含经济效益、社会效益、生态效益和可持续影响指标四个二级指标（权重</w:t>
      </w:r>
      <w:r>
        <w:rPr>
          <w:rFonts w:hint="eastAsia" w:ascii="仿宋_GB2312" w:hAnsi="宋体" w:eastAsia="仿宋_GB2312" w:cs="宋体"/>
          <w:kern w:val="0"/>
          <w:sz w:val="32"/>
          <w:szCs w:val="32"/>
        </w:rPr>
        <w:t>30</w:t>
      </w:r>
      <w:r>
        <w:rPr>
          <w:rFonts w:hint="eastAsia" w:ascii="仿宋_GB2312" w:hAnsi="宋体" w:eastAsia="仿宋_GB2312" w:cs="宋体"/>
          <w:kern w:val="0"/>
          <w:sz w:val="32"/>
          <w:szCs w:val="32"/>
          <w:lang w:val="zh-CN"/>
        </w:rPr>
        <w:t>分）；</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3.</w:t>
      </w:r>
      <w:r>
        <w:rPr>
          <w:rFonts w:hint="eastAsia" w:ascii="仿宋_GB2312" w:hAnsi="宋体" w:eastAsia="仿宋_GB2312" w:cs="宋体"/>
          <w:kern w:val="0"/>
          <w:sz w:val="32"/>
          <w:szCs w:val="32"/>
          <w:lang w:val="zh-CN"/>
        </w:rPr>
        <w:t>项目满意度：主要测评项目相关人员满意度（权重20分）。</w:t>
      </w:r>
    </w:p>
    <w:p>
      <w:pPr>
        <w:pStyle w:val="4"/>
        <w:adjustRightInd w:val="0"/>
        <w:snapToGrid w:val="0"/>
        <w:spacing w:before="93" w:after="0" w:line="576" w:lineRule="exact"/>
        <w:ind w:firstLine="642" w:firstLineChars="200"/>
        <w:rPr>
          <w:rFonts w:ascii="楷体_GB2312"/>
          <w:lang w:val="zh-CN"/>
        </w:rPr>
      </w:pPr>
      <w:bookmarkStart w:id="242" w:name="_Toc32135"/>
      <w:bookmarkStart w:id="243" w:name="_Toc10624082"/>
      <w:bookmarkStart w:id="244" w:name="_Toc25297"/>
      <w:r>
        <w:rPr>
          <w:rFonts w:hint="eastAsia" w:ascii="楷体_GB2312"/>
          <w:lang w:val="zh-CN"/>
        </w:rPr>
        <w:t>（三）评价标准</w:t>
      </w:r>
      <w:bookmarkEnd w:id="242"/>
      <w:bookmarkEnd w:id="243"/>
      <w:bookmarkEnd w:id="244"/>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1.</w:t>
      </w:r>
      <w:r>
        <w:rPr>
          <w:rFonts w:hint="eastAsia" w:ascii="仿宋_GB2312" w:hAnsi="宋体" w:eastAsia="仿宋_GB2312" w:cs="宋体"/>
          <w:kern w:val="0"/>
          <w:sz w:val="32"/>
          <w:szCs w:val="32"/>
          <w:lang w:val="zh-CN"/>
        </w:rPr>
        <w:t>计划标准，即目标计划、工作量完成计划等；</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2.</w:t>
      </w:r>
      <w:r>
        <w:rPr>
          <w:rFonts w:hint="eastAsia" w:ascii="仿宋_GB2312" w:hAnsi="宋体" w:eastAsia="仿宋_GB2312" w:cs="宋体"/>
          <w:kern w:val="0"/>
          <w:sz w:val="32"/>
          <w:szCs w:val="32"/>
          <w:lang w:val="zh-CN"/>
        </w:rPr>
        <w:t>合同约定标准。</w:t>
      </w:r>
    </w:p>
    <w:p>
      <w:pPr>
        <w:pStyle w:val="4"/>
        <w:adjustRightInd w:val="0"/>
        <w:snapToGrid w:val="0"/>
        <w:spacing w:before="93" w:after="0" w:line="576" w:lineRule="exact"/>
        <w:ind w:firstLine="642" w:firstLineChars="200"/>
        <w:rPr>
          <w:rFonts w:ascii="楷体_GB2312"/>
          <w:lang w:val="zh-CN"/>
        </w:rPr>
      </w:pPr>
      <w:bookmarkStart w:id="245" w:name="_Toc27435"/>
      <w:bookmarkStart w:id="246" w:name="_Toc10624083"/>
      <w:bookmarkStart w:id="247" w:name="_Toc1424"/>
      <w:r>
        <w:rPr>
          <w:rFonts w:hint="eastAsia" w:ascii="楷体_GB2312"/>
        </w:rPr>
        <w:t>（</w:t>
      </w:r>
      <w:r>
        <w:rPr>
          <w:rFonts w:hint="eastAsia" w:ascii="楷体_GB2312"/>
          <w:lang w:val="zh-CN"/>
        </w:rPr>
        <w:t>四）财政项目支出绩效评价方法</w:t>
      </w:r>
      <w:bookmarkEnd w:id="245"/>
      <w:bookmarkEnd w:id="246"/>
      <w:bookmarkEnd w:id="247"/>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根据财政项目支出绩效评价的依据和原则，我们主要采用了目标预定与实施效果比较法，兼以实地调研和发放问卷调查法等评价方法。</w:t>
      </w:r>
    </w:p>
    <w:p>
      <w:pPr>
        <w:pStyle w:val="3"/>
        <w:adjustRightInd w:val="0"/>
        <w:snapToGrid w:val="0"/>
        <w:spacing w:before="0" w:after="0" w:line="576" w:lineRule="exact"/>
        <w:ind w:firstLine="642" w:firstLineChars="200"/>
        <w:rPr>
          <w:rFonts w:ascii="楷体_GB2312" w:hAnsi="Cambria" w:eastAsia="仿宋_GB2312"/>
          <w:kern w:val="0"/>
          <w:sz w:val="32"/>
          <w:szCs w:val="32"/>
          <w:lang w:val="zh-CN"/>
        </w:rPr>
      </w:pPr>
      <w:bookmarkStart w:id="248" w:name="_Toc25819"/>
      <w:bookmarkStart w:id="249" w:name="_Toc10624084"/>
      <w:bookmarkStart w:id="250" w:name="_Toc24163"/>
      <w:r>
        <w:rPr>
          <w:rFonts w:hint="eastAsia" w:ascii="楷体_GB2312" w:hAnsi="Cambria" w:eastAsia="仿宋_GB2312"/>
          <w:kern w:val="0"/>
          <w:sz w:val="32"/>
          <w:szCs w:val="32"/>
          <w:lang w:val="zh-CN"/>
        </w:rPr>
        <w:t>四、绩效目标的实现程度</w:t>
      </w:r>
      <w:bookmarkEnd w:id="248"/>
      <w:bookmarkEnd w:id="249"/>
      <w:bookmarkEnd w:id="250"/>
    </w:p>
    <w:p>
      <w:pPr>
        <w:pStyle w:val="3"/>
        <w:adjustRightInd w:val="0"/>
        <w:snapToGrid w:val="0"/>
        <w:spacing w:before="0" w:after="0" w:line="576" w:lineRule="exact"/>
        <w:ind w:firstLine="642" w:firstLineChars="200"/>
        <w:rPr>
          <w:rFonts w:ascii="楷体_GB2312" w:hAnsi="Cambria" w:eastAsia="仿宋_GB2312"/>
          <w:kern w:val="0"/>
          <w:sz w:val="32"/>
          <w:szCs w:val="32"/>
          <w:lang w:val="zh-CN"/>
        </w:rPr>
      </w:pPr>
      <w:bookmarkStart w:id="251" w:name="_Toc10624085"/>
      <w:bookmarkStart w:id="252" w:name="_Toc6223"/>
      <w:bookmarkStart w:id="253" w:name="_Toc2562"/>
      <w:bookmarkStart w:id="254" w:name="_Toc9865190"/>
      <w:r>
        <w:rPr>
          <w:rFonts w:hint="eastAsia" w:ascii="楷体_GB2312" w:hAnsi="Cambria" w:eastAsia="仿宋_GB2312"/>
          <w:kern w:val="0"/>
          <w:sz w:val="32"/>
          <w:szCs w:val="32"/>
          <w:lang w:val="zh-CN"/>
        </w:rPr>
        <w:t>（一）项目完成情况分析</w:t>
      </w:r>
      <w:bookmarkEnd w:id="251"/>
      <w:bookmarkEnd w:id="252"/>
      <w:bookmarkEnd w:id="253"/>
      <w:bookmarkEnd w:id="254"/>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1.项目完成数量分析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rPr>
      </w:pPr>
      <w:r>
        <w:rPr>
          <w:rFonts w:hint="eastAsia" w:ascii="仿宋" w:hAnsi="仿宋" w:eastAsia="仿宋" w:cs="仿宋"/>
          <w:sz w:val="32"/>
          <w:szCs w:val="32"/>
        </w:rPr>
        <w:t>线上线下宣传活动覆盖了女大学生、贫困母亲、留守儿童、巾帼志愿者等多类妇女群体。运用新媒体手段围绕妇女群众关注点在州妇联官方公众号“花开阿坝”主动设置话题、引导讨论，努力做到联系妇女群众线下有活动、有面对面交流，线上有声音、有互动、有话题，实现互动常态化、沟通零距离。线下阿坝州妇联 黑水县妇联联合举办“净土春晖 巾帼心向党思想引领”大宣讲活动。线上线下宣传覆盖人数超过4万。线上通过微信公众号、qq群、微信群等形式开展宣传活动，线下组织巾帼志愿者开展巾帼志愿宣讲活动。宣传活动超过25场。组织巾帼志愿者开展巾帼志愿宣讲活动超过5场。</w:t>
      </w:r>
      <w:r>
        <w:rPr>
          <w:rFonts w:hint="eastAsia" w:ascii="仿宋_GB2312" w:hAnsi="宋体" w:eastAsia="仿宋_GB2312" w:cs="宋体"/>
          <w:kern w:val="0"/>
          <w:sz w:val="32"/>
          <w:szCs w:val="32"/>
          <w:lang w:val="zh-CN"/>
        </w:rPr>
        <w:t>超额完成了预期指标值。</w:t>
      </w:r>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r>
        <w:rPr>
          <w:rFonts w:hint="eastAsia" w:ascii="仿宋_GB2312" w:hAnsi="宋体" w:eastAsia="仿宋_GB2312" w:cs="宋体"/>
          <w:b/>
          <w:bCs/>
          <w:kern w:val="0"/>
          <w:sz w:val="32"/>
          <w:szCs w:val="32"/>
          <w:lang w:val="zh-CN"/>
        </w:rPr>
        <w:t>2.项目完成质量情况分析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活动的开展，亮出妇联旗帜、发出妇联声音，凝聚妇女力量，不断增强广大妇女贯彻落实的自觉性和坚定性，团结引领广大妇女群众听党话、跟党走，凝聚全州妇女投身“一州两区三家园”建设。加强“两新”组织女性、女大学生、广场舞姐妹等重点群体的思想政治引领。引领阿坝妇女姐妹倡导“女性健康”和“家庭教育”理念，决战脱贫攻坚全面建成小康社会凝聚巾帼智慧和力理。通过开展线上线下活动，活动宣传覆盖面广、受益妇女群众多、效果好。基本完成了预期指标值。</w:t>
      </w:r>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r>
        <w:rPr>
          <w:rFonts w:hint="eastAsia" w:ascii="仿宋_GB2312" w:hAnsi="宋体" w:eastAsia="仿宋_GB2312" w:cs="宋体"/>
          <w:b/>
          <w:bCs/>
          <w:kern w:val="0"/>
          <w:sz w:val="32"/>
          <w:szCs w:val="32"/>
          <w:lang w:val="zh-CN"/>
        </w:rPr>
        <w:t>3.项目完成时效分析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网上妇联互动活动经费由于赠送话费要每年底完成，因此于2021年2月完成</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zh-CN"/>
        </w:rPr>
        <w:t>基本完成了预期指标值。</w:t>
      </w:r>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bookmarkStart w:id="255" w:name="_Toc9865191"/>
      <w:bookmarkStart w:id="256" w:name="_Toc10624086"/>
      <w:r>
        <w:rPr>
          <w:rFonts w:hint="eastAsia" w:ascii="仿宋_GB2312" w:hAnsi="宋体" w:eastAsia="仿宋_GB2312" w:cs="宋体"/>
          <w:b/>
          <w:bCs/>
          <w:kern w:val="0"/>
          <w:sz w:val="32"/>
          <w:szCs w:val="32"/>
          <w:lang w:val="zh-CN"/>
        </w:rPr>
        <w:t>（二）项目效果和效益情况分析</w:t>
      </w:r>
      <w:bookmarkEnd w:id="255"/>
      <w:bookmarkEnd w:id="256"/>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r>
        <w:rPr>
          <w:rFonts w:hint="eastAsia" w:ascii="仿宋_GB2312" w:hAnsi="宋体" w:eastAsia="仿宋_GB2312" w:cs="宋体"/>
          <w:b/>
          <w:bCs/>
          <w:kern w:val="0"/>
          <w:sz w:val="32"/>
          <w:szCs w:val="32"/>
          <w:lang w:val="zh-CN"/>
        </w:rPr>
        <w:t>1.项目社会效益分析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项目实施，妇联组织更好地发挥了桥梁纽带作用，进一步引导了妇女群众的家国情怀、爱国热情、民族精神。有效引领阿坝州妇女群众知党情感党恩，跟党走中国特色社会主义道路，使阿坝州妇女姐妹思想意识进一步提高。基本完成了预期指标值。</w:t>
      </w:r>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r>
        <w:rPr>
          <w:rFonts w:hint="eastAsia" w:ascii="仿宋_GB2312" w:hAnsi="宋体" w:eastAsia="仿宋_GB2312" w:cs="宋体"/>
          <w:b/>
          <w:bCs/>
          <w:kern w:val="0"/>
          <w:sz w:val="32"/>
          <w:szCs w:val="32"/>
          <w:lang w:val="zh-CN"/>
        </w:rPr>
        <w:t>2.项目生态效益分析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通过开展“巾帼心向党”思想引领大宣讲，把高原生态脆弱区的环保公益宣传讲给妇女姐妹听，引导妇女极投身高原生态脆弱区的环保事业,但部分区域引领大宣讲活动</w:t>
      </w:r>
      <w:r>
        <w:rPr>
          <w:rFonts w:hint="eastAsia" w:ascii="仿宋_GB2312" w:hAnsi="宋体" w:eastAsia="仿宋_GB2312" w:cs="宋体"/>
          <w:kern w:val="0"/>
          <w:sz w:val="32"/>
          <w:szCs w:val="32"/>
        </w:rPr>
        <w:t>时开展了</w:t>
      </w:r>
      <w:r>
        <w:rPr>
          <w:rFonts w:hint="eastAsia" w:ascii="仿宋_GB2312" w:hAnsi="宋体" w:eastAsia="仿宋_GB2312" w:cs="宋体"/>
          <w:kern w:val="0"/>
          <w:sz w:val="32"/>
          <w:szCs w:val="32"/>
          <w:lang w:val="zh-CN"/>
        </w:rPr>
        <w:t>高原生态脆弱区的环保公益宣传，</w:t>
      </w:r>
      <w:r>
        <w:rPr>
          <w:rFonts w:hint="eastAsia" w:ascii="仿宋_GB2312" w:hAnsi="宋体" w:eastAsia="仿宋_GB2312" w:cs="宋体"/>
          <w:kern w:val="0"/>
          <w:sz w:val="32"/>
          <w:szCs w:val="32"/>
        </w:rPr>
        <w:t>在宣讲总结中却</w:t>
      </w:r>
      <w:r>
        <w:rPr>
          <w:rFonts w:hint="eastAsia" w:ascii="仿宋_GB2312" w:hAnsi="宋体" w:eastAsia="仿宋_GB2312" w:cs="宋体"/>
          <w:kern w:val="0"/>
          <w:sz w:val="32"/>
          <w:szCs w:val="32"/>
          <w:lang w:val="zh-CN"/>
        </w:rPr>
        <w:t>未</w:t>
      </w:r>
      <w:r>
        <w:rPr>
          <w:rFonts w:hint="eastAsia" w:ascii="仿宋_GB2312" w:hAnsi="宋体" w:eastAsia="仿宋_GB2312" w:cs="宋体"/>
          <w:kern w:val="0"/>
          <w:sz w:val="32"/>
          <w:szCs w:val="32"/>
        </w:rPr>
        <w:t>体现</w:t>
      </w:r>
      <w:r>
        <w:rPr>
          <w:rFonts w:hint="eastAsia" w:ascii="仿宋_GB2312" w:hAnsi="宋体" w:eastAsia="仿宋_GB2312" w:cs="宋体"/>
          <w:kern w:val="0"/>
          <w:sz w:val="32"/>
          <w:szCs w:val="32"/>
          <w:lang w:val="zh-CN"/>
        </w:rPr>
        <w:t>。</w:t>
      </w:r>
      <w:r>
        <w:rPr>
          <w:rFonts w:hint="eastAsia" w:ascii="仿宋_GB2312" w:hAnsi="宋体" w:eastAsia="仿宋_GB2312" w:cs="宋体"/>
          <w:kern w:val="0"/>
          <w:sz w:val="32"/>
          <w:szCs w:val="32"/>
        </w:rPr>
        <w:t>基本</w:t>
      </w:r>
      <w:r>
        <w:rPr>
          <w:rFonts w:hint="eastAsia" w:ascii="仿宋_GB2312" w:hAnsi="宋体" w:eastAsia="仿宋_GB2312" w:cs="宋体"/>
          <w:kern w:val="0"/>
          <w:sz w:val="32"/>
          <w:szCs w:val="32"/>
          <w:lang w:val="zh-CN"/>
        </w:rPr>
        <w:t>完成了预期指标值。</w:t>
      </w:r>
    </w:p>
    <w:p>
      <w:pPr>
        <w:overflowPunct w:val="0"/>
        <w:adjustRightInd w:val="0"/>
        <w:snapToGrid w:val="0"/>
        <w:spacing w:line="576" w:lineRule="exact"/>
        <w:ind w:firstLine="642" w:firstLineChars="200"/>
        <w:textAlignment w:val="baseline"/>
        <w:rPr>
          <w:rFonts w:ascii="仿宋_GB2312" w:hAnsi="宋体" w:eastAsia="仿宋_GB2312" w:cs="宋体"/>
          <w:b/>
          <w:bCs/>
          <w:kern w:val="0"/>
          <w:sz w:val="32"/>
          <w:szCs w:val="32"/>
          <w:lang w:val="zh-CN"/>
        </w:rPr>
      </w:pPr>
      <w:r>
        <w:rPr>
          <w:rFonts w:hint="eastAsia" w:ascii="仿宋_GB2312" w:hAnsi="宋体" w:eastAsia="仿宋_GB2312" w:cs="宋体"/>
          <w:b/>
          <w:bCs/>
          <w:kern w:val="0"/>
          <w:sz w:val="32"/>
          <w:szCs w:val="32"/>
          <w:lang w:val="zh-CN"/>
        </w:rPr>
        <w:t>3.项目可持续影响分析</w:t>
      </w:r>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通过思想引领，我州妇女群众思想状况总体更加积极、健康、向上，家庭更加和睦，社会更加和谐稳定，激发了全州妇女姐妹的正能量。完成了预期指标值。</w:t>
      </w:r>
    </w:p>
    <w:p>
      <w:pPr>
        <w:pStyle w:val="4"/>
        <w:adjustRightInd w:val="0"/>
        <w:snapToGrid w:val="0"/>
        <w:spacing w:before="93" w:after="0" w:line="576" w:lineRule="exact"/>
        <w:ind w:firstLine="642" w:firstLineChars="200"/>
        <w:rPr>
          <w:rFonts w:ascii="仿宋_GB2312" w:hAnsi="宋体" w:cs="宋体"/>
          <w:lang w:val="zh-CN"/>
        </w:rPr>
      </w:pPr>
      <w:bookmarkStart w:id="257" w:name="_Toc10624087"/>
      <w:bookmarkStart w:id="258" w:name="_Toc9865192"/>
      <w:bookmarkStart w:id="259" w:name="_Toc21031"/>
      <w:bookmarkStart w:id="260" w:name="_Toc2621"/>
      <w:r>
        <w:rPr>
          <w:rFonts w:hint="eastAsia" w:ascii="楷体_GB2312"/>
        </w:rPr>
        <w:t>（</w:t>
      </w:r>
      <w:r>
        <w:rPr>
          <w:rFonts w:hint="eastAsia" w:ascii="仿宋_GB2312" w:hAnsi="宋体" w:cs="宋体"/>
          <w:lang w:val="zh-CN"/>
        </w:rPr>
        <w:t>三）满意度情况分析</w:t>
      </w:r>
      <w:bookmarkEnd w:id="257"/>
      <w:bookmarkEnd w:id="258"/>
      <w:bookmarkEnd w:id="259"/>
      <w:bookmarkEnd w:id="260"/>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rPr>
        <w:t>此次发放104份问卷调查表，</w:t>
      </w:r>
      <w:r>
        <w:rPr>
          <w:rFonts w:hint="eastAsia" w:ascii="仿宋_GB2312" w:hAnsi="宋体" w:eastAsia="仿宋_GB2312" w:cs="宋体"/>
          <w:kern w:val="0"/>
          <w:sz w:val="32"/>
          <w:szCs w:val="32"/>
          <w:lang w:val="zh-CN"/>
        </w:rPr>
        <w:t>通过问卷调查，“巾帼心向党—妇女思想政治引领”项目的实施满意度达到</w:t>
      </w:r>
      <w:r>
        <w:rPr>
          <w:rFonts w:hint="eastAsia" w:ascii="仿宋_GB2312" w:hAnsi="宋体" w:eastAsia="仿宋_GB2312" w:cs="宋体"/>
          <w:kern w:val="0"/>
          <w:sz w:val="32"/>
          <w:szCs w:val="32"/>
        </w:rPr>
        <w:t>9</w:t>
      </w:r>
      <w:r>
        <w:rPr>
          <w:rFonts w:hint="eastAsia" w:ascii="仿宋_GB2312" w:hAnsi="宋体" w:eastAsia="仿宋_GB2312" w:cs="宋体"/>
          <w:kern w:val="0"/>
          <w:sz w:val="32"/>
          <w:szCs w:val="32"/>
          <w:lang w:val="zh-CN"/>
        </w:rPr>
        <w:t>0%以上。完成了预期指标值。</w:t>
      </w:r>
    </w:p>
    <w:p>
      <w:pPr>
        <w:pStyle w:val="3"/>
        <w:adjustRightInd w:val="0"/>
        <w:snapToGrid w:val="0"/>
        <w:spacing w:before="0" w:after="0" w:line="576" w:lineRule="exact"/>
        <w:ind w:firstLine="642" w:firstLineChars="200"/>
        <w:rPr>
          <w:rFonts w:ascii="仿宋_GB2312" w:hAnsi="宋体" w:eastAsia="仿宋_GB2312" w:cs="宋体"/>
          <w:kern w:val="0"/>
          <w:sz w:val="32"/>
          <w:szCs w:val="32"/>
          <w:lang w:val="zh-CN"/>
        </w:rPr>
      </w:pPr>
      <w:bookmarkStart w:id="261" w:name="_Toc1908"/>
      <w:bookmarkStart w:id="262" w:name="_Toc3959"/>
      <w:bookmarkStart w:id="263" w:name="_Toc10624088"/>
      <w:r>
        <w:rPr>
          <w:rFonts w:hint="eastAsia" w:ascii="仿宋_GB2312" w:hAnsi="宋体" w:eastAsia="仿宋_GB2312" w:cs="宋体"/>
          <w:kern w:val="0"/>
          <w:sz w:val="32"/>
          <w:szCs w:val="32"/>
          <w:lang w:val="zh-CN"/>
        </w:rPr>
        <w:t>五、评价结论</w:t>
      </w:r>
      <w:bookmarkEnd w:id="261"/>
      <w:bookmarkEnd w:id="262"/>
      <w:bookmarkEnd w:id="263"/>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我们根据本次专项审计的评价指标体系，对阿坝州妇联20</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zh-CN"/>
        </w:rPr>
        <w:t>年度四川省妇女儿童事业发展专项资金“巾帼心向党—妇女思想政治引领”项目的资金支出进行了评价打分，综合得分9</w:t>
      </w:r>
      <w:r>
        <w:rPr>
          <w:rFonts w:hint="eastAsia" w:ascii="仿宋_GB2312" w:hAnsi="宋体" w:eastAsia="仿宋_GB2312" w:cs="宋体"/>
          <w:kern w:val="0"/>
          <w:sz w:val="32"/>
          <w:szCs w:val="32"/>
        </w:rPr>
        <w:t>8</w:t>
      </w:r>
      <w:r>
        <w:rPr>
          <w:rFonts w:hint="eastAsia" w:ascii="仿宋_GB2312" w:hAnsi="宋体" w:eastAsia="仿宋_GB2312" w:cs="宋体"/>
          <w:kern w:val="0"/>
          <w:sz w:val="32"/>
          <w:szCs w:val="32"/>
          <w:lang w:val="zh-CN"/>
        </w:rPr>
        <w:t>分。项目完成较好，具体如下：</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u w:val="single"/>
          <w:lang w:val="zh-CN"/>
        </w:rPr>
      </w:pPr>
      <w:r>
        <w:rPr>
          <w:rFonts w:hint="eastAsia" w:ascii="仿宋_GB2312" w:hAnsi="宋体" w:eastAsia="仿宋_GB2312" w:cs="宋体"/>
          <w:b/>
          <w:bCs/>
          <w:kern w:val="0"/>
          <w:sz w:val="32"/>
          <w:szCs w:val="32"/>
          <w:lang w:val="zh-CN"/>
        </w:rPr>
        <w:t>1.</w:t>
      </w:r>
      <w:r>
        <w:rPr>
          <w:rFonts w:hint="eastAsia" w:ascii="仿宋_GB2312" w:hAnsi="宋体" w:eastAsia="仿宋_GB2312" w:cs="宋体"/>
          <w:kern w:val="0"/>
          <w:sz w:val="32"/>
          <w:szCs w:val="32"/>
          <w:lang w:val="zh-CN"/>
        </w:rPr>
        <w:t>项目完成：标准分值5</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zh-CN"/>
        </w:rPr>
        <w:t>分，评价实际得分</w:t>
      </w:r>
      <w:r>
        <w:rPr>
          <w:rFonts w:hint="eastAsia" w:ascii="仿宋_GB2312" w:hAnsi="宋体" w:eastAsia="仿宋_GB2312" w:cs="宋体"/>
          <w:kern w:val="0"/>
          <w:sz w:val="32"/>
          <w:szCs w:val="32"/>
        </w:rPr>
        <w:t>50</w:t>
      </w:r>
      <w:r>
        <w:rPr>
          <w:rFonts w:hint="eastAsia" w:ascii="仿宋_GB2312" w:hAnsi="宋体" w:eastAsia="仿宋_GB2312" w:cs="宋体"/>
          <w:kern w:val="0"/>
          <w:sz w:val="32"/>
          <w:szCs w:val="32"/>
          <w:lang w:val="zh-CN"/>
        </w:rPr>
        <w:t>分；</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2.</w:t>
      </w:r>
      <w:r>
        <w:rPr>
          <w:rFonts w:hint="eastAsia" w:ascii="仿宋_GB2312" w:hAnsi="宋体" w:eastAsia="仿宋_GB2312" w:cs="宋体"/>
          <w:kern w:val="0"/>
          <w:sz w:val="32"/>
          <w:szCs w:val="32"/>
          <w:lang w:val="zh-CN"/>
        </w:rPr>
        <w:t>项目效益：标准分值</w:t>
      </w:r>
      <w:r>
        <w:rPr>
          <w:rFonts w:hint="eastAsia" w:ascii="仿宋_GB2312" w:hAnsi="宋体" w:eastAsia="仿宋_GB2312" w:cs="宋体"/>
          <w:kern w:val="0"/>
          <w:sz w:val="32"/>
          <w:szCs w:val="32"/>
        </w:rPr>
        <w:t>30</w:t>
      </w:r>
      <w:r>
        <w:rPr>
          <w:rFonts w:hint="eastAsia" w:ascii="仿宋_GB2312" w:hAnsi="宋体" w:eastAsia="仿宋_GB2312" w:cs="宋体"/>
          <w:kern w:val="0"/>
          <w:sz w:val="32"/>
          <w:szCs w:val="32"/>
          <w:lang w:val="zh-CN"/>
        </w:rPr>
        <w:t>分，评价实际得分</w:t>
      </w:r>
      <w:r>
        <w:rPr>
          <w:rFonts w:hint="eastAsia" w:ascii="仿宋_GB2312" w:hAnsi="宋体" w:eastAsia="仿宋_GB2312" w:cs="宋体"/>
          <w:kern w:val="0"/>
          <w:sz w:val="32"/>
          <w:szCs w:val="32"/>
        </w:rPr>
        <w:t>28</w:t>
      </w:r>
      <w:r>
        <w:rPr>
          <w:rFonts w:hint="eastAsia" w:ascii="仿宋_GB2312" w:hAnsi="宋体" w:eastAsia="仿宋_GB2312" w:cs="宋体"/>
          <w:kern w:val="0"/>
          <w:sz w:val="32"/>
          <w:szCs w:val="32"/>
          <w:lang w:val="zh-CN"/>
        </w:rPr>
        <w:t>分；</w:t>
      </w:r>
    </w:p>
    <w:p>
      <w:pPr>
        <w:overflowPunct w:val="0"/>
        <w:adjustRightInd w:val="0"/>
        <w:snapToGrid w:val="0"/>
        <w:spacing w:line="576" w:lineRule="exact"/>
        <w:ind w:firstLine="642"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b/>
          <w:bCs/>
          <w:kern w:val="0"/>
          <w:sz w:val="32"/>
          <w:szCs w:val="32"/>
          <w:lang w:val="zh-CN"/>
        </w:rPr>
        <w:t>3.</w:t>
      </w:r>
      <w:r>
        <w:rPr>
          <w:rFonts w:hint="eastAsia" w:ascii="仿宋_GB2312" w:hAnsi="宋体" w:eastAsia="仿宋_GB2312" w:cs="宋体"/>
          <w:kern w:val="0"/>
          <w:sz w:val="32"/>
          <w:szCs w:val="32"/>
          <w:lang w:val="zh-CN"/>
        </w:rPr>
        <w:t>项目满意度：标准分值20分，评价实际得分20分。</w:t>
      </w:r>
    </w:p>
    <w:p>
      <w:pPr>
        <w:overflowPunct w:val="0"/>
        <w:adjustRightInd w:val="0"/>
        <w:snapToGrid w:val="0"/>
        <w:spacing w:line="576" w:lineRule="exact"/>
        <w:ind w:firstLine="640" w:firstLineChars="200"/>
        <w:textAlignment w:val="baseline"/>
        <w:rPr>
          <w:rFonts w:ascii="仿宋_GB2312" w:hAnsi="宋体" w:eastAsia="仿宋_GB2312" w:cs="宋体"/>
          <w:color w:val="FF0000"/>
          <w:kern w:val="0"/>
          <w:sz w:val="32"/>
          <w:szCs w:val="32"/>
          <w:lang w:val="zh-CN"/>
        </w:rPr>
      </w:pPr>
      <w:r>
        <w:rPr>
          <w:rFonts w:hint="eastAsia" w:ascii="仿宋_GB2312" w:hAnsi="宋体" w:eastAsia="仿宋_GB2312" w:cs="宋体"/>
          <w:kern w:val="0"/>
          <w:sz w:val="32"/>
          <w:szCs w:val="32"/>
          <w:lang w:val="zh-CN"/>
        </w:rPr>
        <w:t>阿坝州妇联20</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zh-CN"/>
        </w:rPr>
        <w:t>年度四川省妇女儿童事业发展专项资金“巾帼心向党—妇女思想政治引领”项目</w:t>
      </w:r>
      <w:r>
        <w:rPr>
          <w:rFonts w:hint="eastAsia" w:ascii="仿宋_GB2312" w:hAnsi="宋体" w:eastAsia="仿宋_GB2312" w:cs="宋体"/>
          <w:kern w:val="0"/>
          <w:sz w:val="32"/>
          <w:szCs w:val="32"/>
        </w:rPr>
        <w:t>已基本</w:t>
      </w:r>
      <w:r>
        <w:rPr>
          <w:rFonts w:hint="eastAsia" w:ascii="仿宋_GB2312" w:hAnsi="宋体" w:eastAsia="仿宋_GB2312" w:cs="宋体"/>
          <w:kern w:val="0"/>
          <w:sz w:val="32"/>
          <w:szCs w:val="32"/>
          <w:lang w:val="zh-CN"/>
        </w:rPr>
        <w:t>完成了预期指标值，</w:t>
      </w:r>
      <w:r>
        <w:rPr>
          <w:rFonts w:hint="eastAsia" w:ascii="仿宋_GB2312" w:hAnsi="宋体" w:eastAsia="仿宋_GB2312" w:cs="宋体"/>
          <w:kern w:val="0"/>
          <w:sz w:val="32"/>
          <w:szCs w:val="32"/>
        </w:rPr>
        <w:t>但</w:t>
      </w:r>
      <w:r>
        <w:rPr>
          <w:rFonts w:hint="eastAsia" w:ascii="仿宋_GB2312" w:hAnsi="宋体" w:eastAsia="仿宋_GB2312" w:cs="宋体"/>
          <w:kern w:val="0"/>
          <w:sz w:val="32"/>
          <w:szCs w:val="32"/>
          <w:lang w:val="zh-CN"/>
        </w:rPr>
        <w:t>开展“巾帼心向党”思想引领大宣讲，把高原生态脆弱区的环保公益宣传讲给妇女姐妹听，引导妇女极投身高原生态脆弱区的环保事业,但部分区域引领大宣讲活动</w:t>
      </w:r>
      <w:r>
        <w:rPr>
          <w:rFonts w:hint="eastAsia" w:ascii="仿宋_GB2312" w:hAnsi="宋体" w:eastAsia="仿宋_GB2312" w:cs="宋体"/>
          <w:kern w:val="0"/>
          <w:sz w:val="32"/>
          <w:szCs w:val="32"/>
        </w:rPr>
        <w:t>时开展了</w:t>
      </w:r>
      <w:r>
        <w:rPr>
          <w:rFonts w:hint="eastAsia" w:ascii="仿宋_GB2312" w:hAnsi="宋体" w:eastAsia="仿宋_GB2312" w:cs="宋体"/>
          <w:kern w:val="0"/>
          <w:sz w:val="32"/>
          <w:szCs w:val="32"/>
          <w:lang w:val="zh-CN"/>
        </w:rPr>
        <w:t>高原生态脆弱区的环保公益宣传，</w:t>
      </w:r>
      <w:r>
        <w:rPr>
          <w:rFonts w:hint="eastAsia" w:ascii="仿宋_GB2312" w:hAnsi="宋体" w:eastAsia="仿宋_GB2312" w:cs="宋体"/>
          <w:kern w:val="0"/>
          <w:sz w:val="32"/>
          <w:szCs w:val="32"/>
        </w:rPr>
        <w:t>在宣讲总结中却</w:t>
      </w:r>
      <w:r>
        <w:rPr>
          <w:rFonts w:hint="eastAsia" w:ascii="仿宋_GB2312" w:hAnsi="宋体" w:eastAsia="仿宋_GB2312" w:cs="宋体"/>
          <w:kern w:val="0"/>
          <w:sz w:val="32"/>
          <w:szCs w:val="32"/>
          <w:lang w:val="zh-CN"/>
        </w:rPr>
        <w:t>未</w:t>
      </w:r>
      <w:r>
        <w:rPr>
          <w:rFonts w:hint="eastAsia" w:ascii="仿宋_GB2312" w:hAnsi="宋体" w:eastAsia="仿宋_GB2312" w:cs="宋体"/>
          <w:kern w:val="0"/>
          <w:sz w:val="32"/>
          <w:szCs w:val="32"/>
        </w:rPr>
        <w:t>体现</w:t>
      </w:r>
      <w:r>
        <w:rPr>
          <w:rFonts w:hint="eastAsia" w:ascii="仿宋_GB2312" w:hAnsi="宋体" w:eastAsia="仿宋_GB2312" w:cs="宋体"/>
          <w:kern w:val="0"/>
          <w:sz w:val="32"/>
          <w:szCs w:val="32"/>
          <w:lang w:val="zh-CN"/>
        </w:rPr>
        <w:t>。</w:t>
      </w:r>
    </w:p>
    <w:p>
      <w:pPr>
        <w:pStyle w:val="3"/>
        <w:adjustRightInd w:val="0"/>
        <w:snapToGrid w:val="0"/>
        <w:spacing w:before="0" w:after="0" w:line="576" w:lineRule="exact"/>
        <w:ind w:firstLine="642" w:firstLineChars="200"/>
        <w:rPr>
          <w:rFonts w:ascii="仿宋_GB2312" w:hAnsi="宋体" w:eastAsia="仿宋_GB2312" w:cs="宋体"/>
          <w:kern w:val="0"/>
          <w:sz w:val="32"/>
          <w:szCs w:val="32"/>
          <w:lang w:val="zh-CN"/>
        </w:rPr>
      </w:pPr>
      <w:bookmarkStart w:id="264" w:name="_Toc8371"/>
      <w:bookmarkStart w:id="265" w:name="_Toc16522"/>
      <w:bookmarkStart w:id="266" w:name="_Toc10624089"/>
      <w:r>
        <w:rPr>
          <w:rFonts w:hint="eastAsia" w:ascii="仿宋_GB2312" w:hAnsi="宋体" w:eastAsia="仿宋_GB2312" w:cs="宋体"/>
          <w:kern w:val="0"/>
          <w:sz w:val="32"/>
          <w:szCs w:val="32"/>
          <w:lang w:val="zh-CN"/>
        </w:rPr>
        <w:t>六、存在的主要问题</w:t>
      </w:r>
      <w:bookmarkEnd w:id="264"/>
      <w:bookmarkEnd w:id="265"/>
      <w:bookmarkEnd w:id="266"/>
    </w:p>
    <w:p>
      <w:pPr>
        <w:overflowPunct w:val="0"/>
        <w:adjustRightInd w:val="0"/>
        <w:snapToGrid w:val="0"/>
        <w:spacing w:line="576" w:lineRule="exact"/>
        <w:ind w:firstLine="640" w:firstLineChars="200"/>
        <w:textAlignment w:val="baseline"/>
        <w:rPr>
          <w:rFonts w:ascii="仿宋_GB2312" w:hAnsi="宋体" w:eastAsia="仿宋_GB2312" w:cs="仿宋_GB2312"/>
          <w:bCs/>
          <w:sz w:val="32"/>
          <w:szCs w:val="32"/>
        </w:rPr>
      </w:pPr>
      <w:r>
        <w:rPr>
          <w:rFonts w:hint="eastAsia" w:ascii="仿宋_GB2312" w:hAnsi="宋体" w:eastAsia="仿宋_GB2312" w:cs="宋体"/>
          <w:kern w:val="0"/>
          <w:sz w:val="32"/>
          <w:szCs w:val="32"/>
          <w:lang w:val="zh-CN"/>
        </w:rPr>
        <w:t>开展“巾帼心向党”思想引领大宣讲，把高原生态脆弱区的环保公益宣传讲给妇女姐妹听，引导妇女极投身高原生态脆弱区的环保事业,但部分区域引领大宣讲活动，</w:t>
      </w:r>
      <w:r>
        <w:rPr>
          <w:rFonts w:hint="eastAsia" w:ascii="仿宋_GB2312" w:hAnsi="宋体" w:eastAsia="仿宋_GB2312" w:cs="宋体"/>
          <w:kern w:val="0"/>
          <w:sz w:val="32"/>
          <w:szCs w:val="32"/>
        </w:rPr>
        <w:t>在宣讲总结中</w:t>
      </w:r>
      <w:r>
        <w:rPr>
          <w:rFonts w:hint="eastAsia" w:ascii="仿宋_GB2312" w:hAnsi="宋体" w:eastAsia="仿宋_GB2312" w:cs="宋体"/>
          <w:kern w:val="0"/>
          <w:sz w:val="32"/>
          <w:szCs w:val="32"/>
          <w:lang w:val="zh-CN"/>
        </w:rPr>
        <w:t>未</w:t>
      </w:r>
      <w:r>
        <w:rPr>
          <w:rFonts w:hint="eastAsia" w:ascii="仿宋_GB2312" w:hAnsi="宋体" w:eastAsia="仿宋_GB2312" w:cs="宋体"/>
          <w:kern w:val="0"/>
          <w:sz w:val="32"/>
          <w:szCs w:val="32"/>
        </w:rPr>
        <w:t>体现</w:t>
      </w:r>
      <w:r>
        <w:rPr>
          <w:rFonts w:hint="eastAsia" w:ascii="仿宋_GB2312" w:hAnsi="宋体" w:eastAsia="仿宋_GB2312" w:cs="宋体"/>
          <w:kern w:val="0"/>
          <w:sz w:val="32"/>
          <w:szCs w:val="32"/>
          <w:lang w:val="zh-CN"/>
        </w:rPr>
        <w:t>。</w:t>
      </w:r>
    </w:p>
    <w:p>
      <w:pPr>
        <w:pStyle w:val="3"/>
        <w:adjustRightInd w:val="0"/>
        <w:snapToGrid w:val="0"/>
        <w:spacing w:before="0" w:after="0" w:line="576" w:lineRule="exact"/>
        <w:ind w:firstLine="642" w:firstLineChars="200"/>
        <w:rPr>
          <w:rFonts w:ascii="黑体" w:hAnsi="黑体" w:eastAsia="黑体"/>
          <w:bCs w:val="0"/>
          <w:color w:val="000000"/>
          <w:kern w:val="2"/>
          <w:sz w:val="32"/>
          <w:szCs w:val="32"/>
          <w:lang w:val="zh-CN"/>
        </w:rPr>
      </w:pPr>
      <w:bookmarkStart w:id="267" w:name="_Toc13419"/>
      <w:bookmarkStart w:id="268" w:name="_Toc10624090"/>
      <w:bookmarkStart w:id="269" w:name="_Toc17358"/>
      <w:r>
        <w:rPr>
          <w:rFonts w:hint="eastAsia" w:ascii="仿宋_GB2312" w:hAnsi="宋体" w:eastAsia="仿宋_GB2312" w:cs="宋体"/>
          <w:kern w:val="0"/>
          <w:sz w:val="32"/>
          <w:szCs w:val="32"/>
          <w:lang w:val="zh-CN"/>
        </w:rPr>
        <w:t>七、建议</w:t>
      </w:r>
      <w:bookmarkEnd w:id="267"/>
      <w:bookmarkEnd w:id="268"/>
      <w:bookmarkEnd w:id="269"/>
    </w:p>
    <w:p>
      <w:pPr>
        <w:adjustRightInd w:val="0"/>
        <w:snapToGrid w:val="0"/>
        <w:spacing w:line="576" w:lineRule="exact"/>
        <w:ind w:firstLine="640" w:firstLineChars="200"/>
        <w:rPr>
          <w:rFonts w:ascii="仿宋_GB2312" w:hAnsi="宋体" w:eastAsia="仿宋_GB2312" w:cs="仿宋_GB2312"/>
          <w:bCs/>
          <w:sz w:val="32"/>
          <w:szCs w:val="32"/>
        </w:rPr>
      </w:pPr>
      <w:r>
        <w:rPr>
          <w:rFonts w:hint="eastAsia" w:ascii="仿宋_GB2312" w:hAnsi="宋体" w:eastAsia="仿宋_GB2312" w:cs="仿宋_GB2312"/>
          <w:bCs/>
          <w:sz w:val="32"/>
          <w:szCs w:val="32"/>
        </w:rPr>
        <w:t>在组织妇联活动前加大对各项活动的宣传力度，进一步激活妇女思想政治引领工作，引领妇女积极投身高原生态脆弱区的环保公益宣传，倡导绿色环保，为创建全国生态示范州提供强劲引领，奉献巾帼力量。</w:t>
      </w:r>
    </w:p>
    <w:p>
      <w:pPr>
        <w:pStyle w:val="3"/>
        <w:adjustRightInd w:val="0"/>
        <w:snapToGrid w:val="0"/>
        <w:spacing w:before="0" w:after="0" w:line="576" w:lineRule="exact"/>
        <w:ind w:firstLine="642" w:firstLineChars="200"/>
        <w:rPr>
          <w:rFonts w:ascii="黑体" w:hAnsi="黑体" w:eastAsia="黑体" w:cs="仿宋_GB2312"/>
          <w:sz w:val="32"/>
          <w:szCs w:val="32"/>
        </w:rPr>
      </w:pPr>
      <w:bookmarkStart w:id="270" w:name="_Toc11357"/>
      <w:bookmarkStart w:id="271" w:name="_Toc31278"/>
      <w:bookmarkStart w:id="272" w:name="_Toc10624091"/>
      <w:r>
        <w:rPr>
          <w:rFonts w:hint="eastAsia" w:ascii="仿宋_GB2312" w:hAnsi="宋体" w:eastAsia="仿宋_GB2312" w:cs="宋体"/>
          <w:kern w:val="0"/>
          <w:sz w:val="32"/>
          <w:szCs w:val="32"/>
          <w:lang w:val="zh-CN"/>
        </w:rPr>
        <w:t>八、其他说明事项</w:t>
      </w:r>
      <w:bookmarkEnd w:id="270"/>
      <w:bookmarkEnd w:id="271"/>
      <w:bookmarkEnd w:id="272"/>
    </w:p>
    <w:p>
      <w:pPr>
        <w:overflowPunct w:val="0"/>
        <w:adjustRightInd w:val="0"/>
        <w:snapToGrid w:val="0"/>
        <w:spacing w:line="576" w:lineRule="exact"/>
        <w:ind w:firstLine="640" w:firstLineChars="200"/>
        <w:textAlignment w:val="baseline"/>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本财政资金绩效评价报告仅限于阿坝州妇联和相关部门了解该评价项目绩效情况之用。未经评价机构同意，其他任何单位和个人不得将本评价结果对外公布。</w:t>
      </w:r>
    </w:p>
    <w:p>
      <w:pPr>
        <w:pStyle w:val="2"/>
        <w:spacing w:before="93"/>
        <w:rPr>
          <w:rFonts w:hAnsi="宋体" w:cs="宋体"/>
          <w:sz w:val="32"/>
          <w:szCs w:val="32"/>
          <w:lang w:val="zh-CN"/>
        </w:rPr>
      </w:pPr>
    </w:p>
    <w:p/>
    <w:p>
      <w:pPr>
        <w:snapToGrid w:val="0"/>
        <w:spacing w:line="576" w:lineRule="exact"/>
        <w:jc w:val="center"/>
        <w:rPr>
          <w:rFonts w:ascii="方正小标宋简体" w:eastAsia="方正小标宋简体"/>
          <w:sz w:val="44"/>
          <w:szCs w:val="44"/>
        </w:rPr>
      </w:pPr>
      <w:r>
        <w:rPr>
          <w:rFonts w:hint="eastAsia" w:ascii="方正小标宋简体" w:eastAsia="方正小标宋简体"/>
          <w:sz w:val="44"/>
          <w:szCs w:val="44"/>
        </w:rPr>
        <w:t>部门预算项目支出绩效自评报告</w:t>
      </w:r>
    </w:p>
    <w:p>
      <w:pPr>
        <w:tabs>
          <w:tab w:val="left" w:pos="3885"/>
        </w:tabs>
        <w:snapToGrid w:val="0"/>
        <w:spacing w:line="576" w:lineRule="exact"/>
        <w:jc w:val="center"/>
        <w:rPr>
          <w:rFonts w:eastAsia="仿宋_GB2312"/>
          <w:sz w:val="32"/>
          <w:szCs w:val="32"/>
        </w:rPr>
      </w:pPr>
      <w:r>
        <w:rPr>
          <w:rFonts w:hint="eastAsia" w:eastAsia="仿宋_GB2312"/>
          <w:sz w:val="32"/>
          <w:szCs w:val="32"/>
        </w:rPr>
        <w:t>（</w:t>
      </w:r>
      <w:r>
        <w:rPr>
          <w:rFonts w:eastAsia="仿宋_GB2312"/>
          <w:sz w:val="32"/>
          <w:szCs w:val="32"/>
        </w:rPr>
        <w:t>1+N工作经费</w:t>
      </w:r>
      <w:r>
        <w:rPr>
          <w:rFonts w:hint="eastAsia" w:eastAsia="仿宋_GB2312"/>
          <w:sz w:val="32"/>
          <w:szCs w:val="32"/>
        </w:rPr>
        <w:t>项目）</w:t>
      </w:r>
    </w:p>
    <w:p>
      <w:pPr>
        <w:pStyle w:val="2"/>
        <w:spacing w:before="93" w:line="576" w:lineRule="exact"/>
      </w:pPr>
    </w:p>
    <w:p>
      <w:pPr>
        <w:tabs>
          <w:tab w:val="left" w:pos="3885"/>
        </w:tabs>
        <w:snapToGrid w:val="0"/>
        <w:spacing w:line="576" w:lineRule="exact"/>
        <w:ind w:left="840"/>
        <w:jc w:val="left"/>
        <w:rPr>
          <w:rFonts w:ascii="黑体" w:eastAsia="黑体"/>
          <w:sz w:val="32"/>
          <w:szCs w:val="21"/>
        </w:rPr>
      </w:pPr>
      <w:r>
        <w:rPr>
          <w:rFonts w:hint="eastAsia" w:ascii="仿宋_GB2312" w:hAnsi="宋体" w:eastAsia="仿宋_GB2312" w:cs="宋体"/>
          <w:b/>
          <w:bCs/>
          <w:kern w:val="0"/>
          <w:sz w:val="32"/>
          <w:szCs w:val="32"/>
        </w:rPr>
        <w:t>一、</w:t>
      </w:r>
      <w:r>
        <w:rPr>
          <w:rFonts w:hint="eastAsia" w:ascii="仿宋_GB2312" w:hAnsi="宋体" w:eastAsia="仿宋_GB2312" w:cs="宋体"/>
          <w:b/>
          <w:bCs/>
          <w:kern w:val="0"/>
          <w:sz w:val="32"/>
          <w:szCs w:val="32"/>
          <w:lang w:val="zh-CN"/>
        </w:rPr>
        <w:t>基本情况</w:t>
      </w:r>
    </w:p>
    <w:p>
      <w:pPr>
        <w:tabs>
          <w:tab w:val="left" w:pos="3885"/>
        </w:tabs>
        <w:snapToGrid w:val="0"/>
        <w:spacing w:line="576" w:lineRule="exact"/>
        <w:ind w:firstLine="640" w:firstLineChars="200"/>
        <w:jc w:val="left"/>
        <w:rPr>
          <w:rFonts w:ascii="仿宋_GB2312" w:eastAsia="仿宋_GB2312" w:cs="仿宋_GB2312"/>
          <w:sz w:val="32"/>
          <w:szCs w:val="21"/>
        </w:rPr>
      </w:pPr>
      <w:r>
        <w:rPr>
          <w:rFonts w:hint="eastAsia" w:ascii="仿宋_GB2312" w:eastAsia="仿宋_GB2312" w:cs="仿宋_GB2312"/>
          <w:sz w:val="32"/>
          <w:szCs w:val="21"/>
        </w:rPr>
        <w:t>2020年州妇联发展联络部涉及1+N工作经费项目三项：一是开展贫困患大病妇女救助工作经费9.9万元；二是</w:t>
      </w:r>
      <w:r>
        <w:rPr>
          <w:rFonts w:hint="eastAsia" w:ascii="仿宋_GB2312" w:eastAsia="仿宋_GB2312" w:cs="仿宋_GB2312"/>
          <w:sz w:val="32"/>
          <w:szCs w:val="32"/>
        </w:rPr>
        <w:t>举办由全州13县（市）部分妇女手工编织从业者及相关人员参加的</w:t>
      </w:r>
      <w:r>
        <w:rPr>
          <w:rFonts w:hint="eastAsia" w:ascii="仿宋_GB2312" w:eastAsia="仿宋_GB2312" w:cs="仿宋"/>
          <w:sz w:val="32"/>
          <w:szCs w:val="32"/>
        </w:rPr>
        <w:t>“净土春晖”</w:t>
      </w:r>
      <w:r>
        <w:rPr>
          <w:rFonts w:hint="eastAsia" w:ascii="仿宋_GB2312" w:eastAsia="仿宋_GB2312"/>
          <w:sz w:val="32"/>
          <w:szCs w:val="32"/>
        </w:rPr>
        <w:t>高原贫困母亲思想引领大讲堂并</w:t>
      </w:r>
      <w:r>
        <w:rPr>
          <w:rFonts w:hint="eastAsia" w:ascii="仿宋_GB2312" w:eastAsia="仿宋_GB2312" w:cs="仿宋_GB2312"/>
          <w:sz w:val="32"/>
          <w:szCs w:val="32"/>
        </w:rPr>
        <w:t>赴甘肃省甘南州、青海省西宁市</w:t>
      </w:r>
      <w:r>
        <w:rPr>
          <w:rFonts w:hint="eastAsia" w:ascii="仿宋_GB2312" w:eastAsia="仿宋_GB2312"/>
          <w:color w:val="000000"/>
          <w:sz w:val="32"/>
          <w:szCs w:val="32"/>
        </w:rPr>
        <w:t>开展妇女手工编织产业交流学习</w:t>
      </w:r>
      <w:r>
        <w:rPr>
          <w:rFonts w:hint="eastAsia" w:ascii="仿宋_GB2312" w:eastAsia="仿宋_GB2312" w:cs="仿宋_GB2312"/>
          <w:sz w:val="32"/>
          <w:szCs w:val="32"/>
        </w:rPr>
        <w:t>工作经费</w:t>
      </w:r>
      <w:r>
        <w:rPr>
          <w:rFonts w:hint="eastAsia" w:ascii="仿宋_GB2312" w:eastAsia="仿宋_GB2312"/>
          <w:sz w:val="32"/>
          <w:szCs w:val="32"/>
        </w:rPr>
        <w:t>117627.55元</w:t>
      </w:r>
      <w:r>
        <w:rPr>
          <w:rFonts w:hint="eastAsia" w:ascii="仿宋_GB2312" w:eastAsia="仿宋_GB2312" w:cs="仿宋_GB2312"/>
          <w:sz w:val="32"/>
          <w:szCs w:val="32"/>
        </w:rPr>
        <w:t>；三是</w:t>
      </w:r>
      <w:r>
        <w:rPr>
          <w:rFonts w:hint="eastAsia" w:ascii="仿宋_GB2312" w:eastAsia="仿宋_GB2312" w:cs="FZFSK--GBK1-0"/>
          <w:color w:val="000000"/>
          <w:kern w:val="0"/>
          <w:sz w:val="32"/>
          <w:szCs w:val="32"/>
        </w:rPr>
        <w:t>为</w:t>
      </w:r>
      <w:r>
        <w:rPr>
          <w:rFonts w:hint="eastAsia" w:ascii="仿宋_GB2312" w:eastAsia="仿宋_GB2312" w:cs="E-BZ"/>
          <w:color w:val="000000"/>
          <w:kern w:val="0"/>
          <w:sz w:val="32"/>
          <w:szCs w:val="32"/>
        </w:rPr>
        <w:t>扎实推进2019年省级妇女居家灵活就业200万项目实施工作，</w:t>
      </w:r>
      <w:r>
        <w:rPr>
          <w:rFonts w:hint="eastAsia" w:ascii="仿宋_GB2312" w:eastAsia="仿宋_GB2312" w:cs="FZFSK--GBK1-0"/>
          <w:color w:val="000000"/>
          <w:kern w:val="0"/>
          <w:sz w:val="32"/>
          <w:szCs w:val="32"/>
        </w:rPr>
        <w:t>进一步加强省级妇女居家灵活就业项目、基地的规范化管理工作</w:t>
      </w:r>
      <w:r>
        <w:rPr>
          <w:rFonts w:hint="eastAsia" w:ascii="仿宋_GB2312" w:eastAsia="仿宋_GB2312" w:cs="E-BZ"/>
          <w:color w:val="000000"/>
          <w:kern w:val="0"/>
          <w:sz w:val="32"/>
          <w:szCs w:val="32"/>
        </w:rPr>
        <w:t>，州妇联采取购买服务的方式实施项目代管工作经费3.9万元；四是</w:t>
      </w:r>
      <w:r>
        <w:rPr>
          <w:rFonts w:hint="eastAsia" w:ascii="仿宋_GB2312" w:eastAsia="仿宋_GB2312"/>
          <w:sz w:val="32"/>
          <w:szCs w:val="32"/>
        </w:rPr>
        <w:t>采取购买服务的方式开展项目督查、评审、咨询、项目管理培训工作3.55万元。</w:t>
      </w:r>
    </w:p>
    <w:p>
      <w:pPr>
        <w:snapToGrid w:val="0"/>
        <w:spacing w:line="576" w:lineRule="exact"/>
        <w:ind w:firstLine="642" w:firstLineChars="200"/>
        <w:rPr>
          <w:rFonts w:ascii="黑体" w:eastAsia="黑体" w:cs="黑体"/>
          <w:sz w:val="32"/>
          <w:szCs w:val="21"/>
        </w:rPr>
      </w:pPr>
      <w:r>
        <w:rPr>
          <w:rFonts w:hint="eastAsia" w:ascii="仿宋_GB2312" w:hAnsi="宋体" w:eastAsia="仿宋_GB2312" w:cs="宋体"/>
          <w:b/>
          <w:bCs/>
          <w:kern w:val="0"/>
          <w:sz w:val="32"/>
          <w:szCs w:val="32"/>
        </w:rPr>
        <w:t>二、项目综合评价</w:t>
      </w:r>
    </w:p>
    <w:p>
      <w:pPr>
        <w:pStyle w:val="20"/>
        <w:shd w:val="clear" w:color="auto" w:fill="FFFFFF"/>
        <w:autoSpaceDN w:val="0"/>
        <w:spacing w:before="0" w:beforeAutospacing="0" w:after="0" w:afterAutospacing="0" w:line="576" w:lineRule="exact"/>
        <w:ind w:firstLine="642" w:firstLineChars="200"/>
        <w:rPr>
          <w:rFonts w:ascii="仿宋_GB2312" w:eastAsia="仿宋_GB2312"/>
          <w:sz w:val="32"/>
          <w:szCs w:val="32"/>
        </w:rPr>
      </w:pPr>
      <w:r>
        <w:rPr>
          <w:rFonts w:hint="eastAsia" w:ascii="仿宋" w:hAnsi="仿宋" w:eastAsia="仿宋" w:cs="仿宋"/>
          <w:b/>
          <w:bCs/>
          <w:sz w:val="32"/>
          <w:szCs w:val="32"/>
        </w:rPr>
        <w:t>（一）</w:t>
      </w:r>
      <w:r>
        <w:rPr>
          <w:rFonts w:hint="eastAsia" w:ascii="仿宋_GB2312" w:eastAsia="仿宋_GB2312" w:cs="仿宋_GB2312"/>
          <w:sz w:val="32"/>
          <w:szCs w:val="32"/>
        </w:rPr>
        <w:t>开展贫困患大病妇女救助工作。</w:t>
      </w:r>
      <w:r>
        <w:rPr>
          <w:rFonts w:hint="eastAsia" w:ascii="仿宋_GB2312" w:eastAsia="仿宋_GB2312"/>
          <w:sz w:val="32"/>
          <w:szCs w:val="32"/>
        </w:rPr>
        <w:t>2020年州妇联党组研究决定继续开展大病患病妇女救助工作，</w:t>
      </w:r>
      <w:r>
        <w:rPr>
          <w:rFonts w:hint="eastAsia" w:ascii="仿宋_GB2312" w:eastAsia="仿宋_GB2312"/>
          <w:color w:val="000000"/>
          <w:sz w:val="32"/>
          <w:szCs w:val="32"/>
        </w:rPr>
        <w:t>共</w:t>
      </w:r>
      <w:r>
        <w:rPr>
          <w:rFonts w:hint="eastAsia" w:ascii="仿宋_GB2312" w:eastAsia="仿宋_GB2312" w:cs="仿宋_GB2312"/>
          <w:sz w:val="32"/>
          <w:szCs w:val="32"/>
        </w:rPr>
        <w:t>救助</w:t>
      </w:r>
      <w:r>
        <w:rPr>
          <w:rFonts w:hint="eastAsia" w:ascii="仿宋_GB2312" w:eastAsia="仿宋_GB2312"/>
          <w:color w:val="000000"/>
          <w:sz w:val="32"/>
          <w:szCs w:val="32"/>
        </w:rPr>
        <w:t>全州村、社区</w:t>
      </w:r>
      <w:r>
        <w:rPr>
          <w:rFonts w:hint="eastAsia" w:ascii="仿宋_GB2312" w:eastAsia="仿宋_GB2312" w:cs="仿宋_GB2312"/>
          <w:sz w:val="32"/>
          <w:szCs w:val="32"/>
        </w:rPr>
        <w:t>贫困患大病妇女33名，发放救助资金99000元。通过开展救助工作</w:t>
      </w:r>
      <w:r>
        <w:rPr>
          <w:rFonts w:hint="eastAsia" w:ascii="仿宋_GB2312" w:eastAsia="仿宋_GB2312"/>
          <w:sz w:val="32"/>
          <w:szCs w:val="32"/>
        </w:rPr>
        <w:t>切实加强了对贫困大病患病妇女的关心关爱，有效缓解患病妇女家庭因病致贫、因病返贫问题，助力巩固拓展了脱贫攻坚成果。</w:t>
      </w:r>
    </w:p>
    <w:p>
      <w:pPr>
        <w:pStyle w:val="20"/>
        <w:shd w:val="clear" w:color="auto" w:fill="FFFFFF"/>
        <w:autoSpaceDN w:val="0"/>
        <w:spacing w:before="0" w:beforeAutospacing="0" w:after="0" w:afterAutospacing="0" w:line="576" w:lineRule="exact"/>
        <w:ind w:firstLine="642" w:firstLineChars="200"/>
        <w:rPr>
          <w:rFonts w:ascii="仿宋_GB2312" w:eastAsia="仿宋_GB2312" w:cs="仿宋"/>
          <w:sz w:val="32"/>
          <w:szCs w:val="32"/>
        </w:rPr>
      </w:pPr>
      <w:r>
        <w:rPr>
          <w:rFonts w:hint="eastAsia" w:ascii="仿宋_GB2312" w:eastAsia="仿宋_GB2312" w:cs="仿宋"/>
          <w:b/>
          <w:bCs/>
          <w:sz w:val="32"/>
          <w:szCs w:val="32"/>
        </w:rPr>
        <w:t>（二）</w:t>
      </w:r>
      <w:r>
        <w:rPr>
          <w:rFonts w:hint="eastAsia" w:ascii="仿宋_GB2312" w:eastAsia="仿宋_GB2312" w:cs="仿宋"/>
          <w:sz w:val="32"/>
          <w:szCs w:val="32"/>
        </w:rPr>
        <w:t>开展“净土春晖”</w:t>
      </w:r>
      <w:r>
        <w:rPr>
          <w:rFonts w:hint="eastAsia" w:ascii="仿宋_GB2312" w:eastAsia="仿宋_GB2312"/>
          <w:sz w:val="32"/>
          <w:szCs w:val="32"/>
        </w:rPr>
        <w:t>高原贫困母亲思想引领大讲堂暨</w:t>
      </w:r>
      <w:r>
        <w:rPr>
          <w:rFonts w:hint="eastAsia" w:ascii="仿宋_GB2312" w:eastAsia="仿宋_GB2312" w:cs="仿宋"/>
          <w:sz w:val="32"/>
          <w:szCs w:val="32"/>
        </w:rPr>
        <w:t>赴甘肃、青海开展妇女手工编织产业学习考察工作。</w:t>
      </w:r>
    </w:p>
    <w:p>
      <w:pPr>
        <w:autoSpaceDN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为深入学习贯彻习近平</w:t>
      </w:r>
      <w:bookmarkStart w:id="314" w:name="_GoBack"/>
      <w:bookmarkEnd w:id="314"/>
      <w:r>
        <w:rPr>
          <w:rFonts w:hint="eastAsia" w:ascii="仿宋_GB2312" w:eastAsia="仿宋_GB2312" w:cs="仿宋_GB2312"/>
          <w:sz w:val="32"/>
          <w:szCs w:val="32"/>
        </w:rPr>
        <w:t>生态文明思想和“重在保护、要在治理、高质量发展”重要讲话精神及中央第七次西藏工作座谈会、州委第十一届九次全会精神等中央省州重大决策部署，扎实推进阿坝州妇女居家灵活就业手工编织产业发展工作，有力带动贫困母亲等妇女积极投身巾帼脱贫行动、乡村振兴巾帼行动及创业创新巾帼行动，不断提升就业技能，实现居家灵活就业，增收致富，持续巩固脱贫攻坚成效。在州委州政府的高度重视以及青海、甘肃省各级妇联、手工编织协会等组织的大力支持下，9月23至29日，州妇联党组书记、主席向秋杰，党组成员、副主席王孝莉带领13县（市）妇联主席（副主席）、妇女手工编织产业带头人（从业者）、巾帼宣讲志愿者以及牧区贫困母亲代表50人前往甘肃省甘南州、青海省西宁市开展了为期一周的妇女居家灵活就业手工编织产业学习交流活动。</w:t>
      </w:r>
    </w:p>
    <w:p>
      <w:pPr>
        <w:autoSpaceDN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学习考察团一行先后在甘肃省甘南州诺乐工坊、甘南州优秀女性创业品牌博巴秀主题馆、青海省第三届民族团结进步青绣大赛、互助县班彦村金盘绣土族文化传播有限公司非遗扶贫就业工坊、湟中县八瓣莲花非物质文化遗产传承体验中心以及甘肃省夏河县桑科镇畜牧业养殖牧民专业合作社等考察点进行实地学习考察和现场学习观摩；在黄河流域九省刺绣艺术展上，我州藏羌织绣等手工编织产品在专门为我州设置的展区点进行了宣传推介和展示展销，两名非遗传承人还作了藏羌织绣非遗文化活态演示；在现场学习观摩及实地考察各点位时，学员们详细询问了解各点位刺绣（青绣）、民族服饰、牦牛绒生产、加工、奶制品加工等产业的发展、产品销售情况，认真学习刺绣、服装及牦牛绒加工等精湛手艺，细心观察刺绣色彩搭配、图案整体设计及牦牛绒原材料供应、生产加工、染色、编织等全产业链条，并虚心向当地产业带头人和绣娘深入请教学习，带着问题对同类民族地区手工制品的设计、研发、销售、推广等情况进行详细了解，并将青绣与藏绣、羌绣，当地牦牛绒产品与我州生产的牦牛绒的不同之处进行细致对比，相互学习借鉴，取长补短，还与两省妇联、手工编织协会就织绣全面发展的典型做法及带动妇女增收情况进行了详细了解，真正实现了技艺的学习与交流。通过实地考察和听取好的经验做法介绍，大家增长了见识，开阔了思路，丰富了知识，提升了技艺。</w:t>
      </w:r>
    </w:p>
    <w:p>
      <w:pPr>
        <w:snapToGrid w:val="0"/>
        <w:spacing w:line="576" w:lineRule="exact"/>
        <w:ind w:firstLine="642" w:firstLineChars="200"/>
        <w:rPr>
          <w:rFonts w:ascii="仿宋_GB2312" w:eastAsia="仿宋_GB2312"/>
          <w:sz w:val="32"/>
          <w:szCs w:val="32"/>
        </w:rPr>
      </w:pPr>
      <w:r>
        <w:rPr>
          <w:rFonts w:hint="eastAsia" w:ascii="仿宋_GB2312" w:eastAsia="仿宋_GB2312"/>
          <w:b/>
          <w:bCs/>
          <w:sz w:val="32"/>
          <w:szCs w:val="32"/>
        </w:rPr>
        <w:t>（三）</w:t>
      </w:r>
      <w:r>
        <w:rPr>
          <w:rFonts w:hint="eastAsia" w:ascii="仿宋_GB2312" w:eastAsia="仿宋_GB2312" w:cs="E-BZ"/>
          <w:color w:val="000000"/>
          <w:kern w:val="0"/>
          <w:sz w:val="32"/>
          <w:szCs w:val="32"/>
        </w:rPr>
        <w:t>采取购买服务的方式实施项目代管工作。</w:t>
      </w:r>
      <w:r>
        <w:rPr>
          <w:rFonts w:hint="eastAsia" w:ascii="仿宋_GB2312" w:eastAsia="仿宋_GB2312" w:cs="FZFSK--GBK1-0"/>
          <w:color w:val="000000"/>
          <w:kern w:val="0"/>
          <w:sz w:val="32"/>
          <w:szCs w:val="32"/>
        </w:rPr>
        <w:t>为</w:t>
      </w:r>
      <w:r>
        <w:rPr>
          <w:rFonts w:hint="eastAsia" w:ascii="仿宋_GB2312" w:eastAsia="仿宋_GB2312" w:cs="E-BZ"/>
          <w:color w:val="000000"/>
          <w:kern w:val="0"/>
          <w:sz w:val="32"/>
          <w:szCs w:val="32"/>
        </w:rPr>
        <w:t>扎实推进2019年省级妇女居家灵活就业200万项目实施工作，</w:t>
      </w:r>
      <w:r>
        <w:rPr>
          <w:rFonts w:hint="eastAsia" w:ascii="仿宋_GB2312" w:eastAsia="仿宋_GB2312" w:cs="FZFSK--GBK1-0"/>
          <w:color w:val="000000"/>
          <w:kern w:val="0"/>
          <w:sz w:val="32"/>
          <w:szCs w:val="32"/>
        </w:rPr>
        <w:t>进一步加强省级妇女居家灵活就业项目、基地的规范化管理工作</w:t>
      </w:r>
      <w:r>
        <w:rPr>
          <w:rFonts w:hint="eastAsia" w:ascii="仿宋_GB2312" w:eastAsia="仿宋_GB2312" w:cs="E-BZ"/>
          <w:color w:val="000000"/>
          <w:kern w:val="0"/>
          <w:sz w:val="32"/>
          <w:szCs w:val="32"/>
        </w:rPr>
        <w:t>，州妇联</w:t>
      </w:r>
      <w:r>
        <w:rPr>
          <w:rFonts w:hint="eastAsia" w:ascii="仿宋_GB2312" w:eastAsia="仿宋_GB2312"/>
          <w:sz w:val="32"/>
          <w:szCs w:val="32"/>
        </w:rPr>
        <w:t>根据州财政局《关于进一步加强政府采购内控管理的通知》(阿州财〔2018〕53号)、《关于印发州交通运输局等部门政府购买服务指导性目录的通知》（阿州财综〔2019〕3号）等相关文件要求</w:t>
      </w:r>
      <w:r>
        <w:rPr>
          <w:rFonts w:hint="eastAsia" w:ascii="仿宋_GB2312" w:eastAsia="仿宋_GB2312" w:cs="E-BZ"/>
          <w:color w:val="000000"/>
          <w:kern w:val="0"/>
          <w:sz w:val="32"/>
          <w:szCs w:val="32"/>
        </w:rPr>
        <w:t>，采取购买服务的方式实施项目代管工作。目前项目代管工作正在实施过程中。</w:t>
      </w:r>
    </w:p>
    <w:p>
      <w:pPr>
        <w:spacing w:line="576" w:lineRule="exact"/>
        <w:ind w:firstLine="642" w:firstLineChars="200"/>
        <w:rPr>
          <w:rFonts w:ascii="仿宋_GB2312" w:eastAsia="仿宋_GB2312"/>
          <w:sz w:val="32"/>
          <w:szCs w:val="32"/>
        </w:rPr>
      </w:pPr>
      <w:r>
        <w:rPr>
          <w:rFonts w:hint="eastAsia" w:ascii="仿宋_GB2312" w:eastAsia="仿宋_GB2312"/>
          <w:b/>
          <w:bCs/>
          <w:sz w:val="32"/>
          <w:szCs w:val="32"/>
        </w:rPr>
        <w:t>（四）</w:t>
      </w:r>
      <w:r>
        <w:rPr>
          <w:rFonts w:hint="eastAsia" w:ascii="仿宋_GB2312" w:eastAsia="仿宋_GB2312"/>
          <w:sz w:val="32"/>
          <w:szCs w:val="32"/>
        </w:rPr>
        <w:t>采取购买服务的方式开展项目督查、评审、咨询、项目管理培训工作。</w:t>
      </w:r>
    </w:p>
    <w:p>
      <w:pPr>
        <w:spacing w:line="576" w:lineRule="exact"/>
        <w:ind w:firstLine="640" w:firstLineChars="200"/>
        <w:rPr>
          <w:rFonts w:ascii="仿宋_GB2312" w:eastAsia="仿宋_GB2312"/>
          <w:sz w:val="32"/>
          <w:szCs w:val="32"/>
        </w:rPr>
      </w:pPr>
      <w:r>
        <w:rPr>
          <w:rFonts w:hint="eastAsia" w:ascii="仿宋_GB2312" w:eastAsia="仿宋_GB2312" w:cs="仿宋"/>
          <w:bCs/>
          <w:sz w:val="32"/>
          <w:szCs w:val="32"/>
        </w:rPr>
        <w:t>为</w:t>
      </w:r>
      <w:r>
        <w:rPr>
          <w:rFonts w:hint="eastAsia" w:ascii="仿宋_GB2312" w:eastAsia="仿宋_GB2312" w:cs="E-BZ"/>
          <w:color w:val="000000"/>
          <w:kern w:val="0"/>
          <w:sz w:val="32"/>
          <w:szCs w:val="32"/>
        </w:rPr>
        <w:t>有力推进2019年州级妇女居家灵活就业100万项目实施工作，州妇联发展部通过购买服务的形式推进2015--2019年已建基地及已实施项目进行督导检查、对2020年州级女居家灵活就业项目评审及项目管理培训、指导咨询等工作，</w:t>
      </w:r>
      <w:r>
        <w:rPr>
          <w:rFonts w:hint="eastAsia" w:ascii="仿宋_GB2312" w:eastAsia="仿宋_GB2312" w:cs="仿宋"/>
          <w:bCs/>
          <w:sz w:val="32"/>
          <w:szCs w:val="32"/>
        </w:rPr>
        <w:t>通过</w:t>
      </w:r>
      <w:r>
        <w:rPr>
          <w:rFonts w:hint="eastAsia" w:ascii="仿宋_GB2312" w:eastAsia="仿宋_GB2312"/>
          <w:sz w:val="32"/>
          <w:szCs w:val="32"/>
        </w:rPr>
        <w:t>开展项目督查、评审、咨询、项目管理培训工作</w:t>
      </w:r>
      <w:r>
        <w:rPr>
          <w:rFonts w:hint="eastAsia" w:ascii="仿宋_GB2312" w:eastAsia="仿宋_GB2312" w:cs="仿宋"/>
          <w:bCs/>
          <w:sz w:val="32"/>
          <w:szCs w:val="32"/>
        </w:rPr>
        <w:t>全面了解掌握我州已实施妇女居家灵活就业项目情况，及时发现和解决项目推进过程中存在的问题和不足，确保项目管理规范、资金使用安全并发挥最大的效益，</w:t>
      </w:r>
      <w:r>
        <w:rPr>
          <w:rFonts w:hint="eastAsia" w:ascii="仿宋_GB2312" w:eastAsia="仿宋_GB2312" w:cs="E-BZ"/>
          <w:color w:val="000000"/>
          <w:kern w:val="0"/>
          <w:sz w:val="32"/>
          <w:szCs w:val="32"/>
        </w:rPr>
        <w:t>保证各项工作顺利实施</w:t>
      </w:r>
      <w:r>
        <w:rPr>
          <w:rFonts w:hint="eastAsia" w:ascii="仿宋_GB2312" w:eastAsia="仿宋_GB2312"/>
          <w:sz w:val="32"/>
          <w:szCs w:val="32"/>
        </w:rPr>
        <w:t>。</w:t>
      </w:r>
    </w:p>
    <w:p>
      <w:pPr>
        <w:pStyle w:val="2"/>
        <w:spacing w:before="93"/>
        <w:rPr>
          <w:sz w:val="32"/>
          <w:szCs w:val="32"/>
        </w:rPr>
      </w:pPr>
    </w:p>
    <w:p/>
    <w:p/>
    <w:p>
      <w:pPr>
        <w:snapToGrid w:val="0"/>
        <w:spacing w:line="576"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部门预算项目支出绩效自评报告范本</w:t>
      </w:r>
    </w:p>
    <w:p>
      <w:pPr>
        <w:tabs>
          <w:tab w:val="left" w:pos="3885"/>
        </w:tabs>
        <w:snapToGrid w:val="0"/>
        <w:spacing w:line="576" w:lineRule="exact"/>
        <w:jc w:val="center"/>
        <w:rPr>
          <w:rFonts w:hAnsi="宋体"/>
          <w:sz w:val="32"/>
          <w:szCs w:val="32"/>
        </w:rPr>
      </w:pPr>
      <w:r>
        <w:rPr>
          <w:rFonts w:hint="eastAsia" w:hAnsi="宋体"/>
          <w:sz w:val="32"/>
          <w:szCs w:val="32"/>
        </w:rPr>
        <w:t>（妇女儿童专项工作经费）</w:t>
      </w:r>
    </w:p>
    <w:p>
      <w:pPr>
        <w:tabs>
          <w:tab w:val="left" w:pos="3885"/>
        </w:tabs>
        <w:snapToGrid w:val="0"/>
        <w:spacing w:line="576" w:lineRule="exact"/>
        <w:ind w:firstLine="421" w:firstLineChars="200"/>
        <w:jc w:val="left"/>
        <w:rPr>
          <w:rFonts w:ascii="宋体" w:hAnsi="宋体"/>
          <w:b/>
          <w:szCs w:val="21"/>
        </w:rPr>
      </w:pPr>
    </w:p>
    <w:p>
      <w:pPr>
        <w:snapToGrid w:val="0"/>
        <w:spacing w:line="576" w:lineRule="exact"/>
        <w:ind w:firstLine="642" w:firstLineChars="2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一、基本情况</w:t>
      </w:r>
    </w:p>
    <w:p>
      <w:pPr>
        <w:tabs>
          <w:tab w:val="left" w:pos="3885"/>
        </w:tabs>
        <w:snapToGrid w:val="0"/>
        <w:spacing w:line="576" w:lineRule="exact"/>
        <w:ind w:left="420" w:leftChars="200"/>
        <w:jc w:val="left"/>
        <w:rPr>
          <w:rFonts w:ascii="仿宋_GB2312" w:hAnsi="仿宋_GB2312" w:cs="仿宋_GB2312"/>
          <w:sz w:val="32"/>
          <w:szCs w:val="32"/>
        </w:rPr>
      </w:pPr>
      <w:r>
        <w:rPr>
          <w:rFonts w:hint="eastAsia" w:ascii="仿宋_GB2312" w:hAnsi="宋体" w:eastAsia="仿宋_GB2312" w:cs="宋体"/>
          <w:b/>
          <w:bCs/>
          <w:kern w:val="0"/>
          <w:sz w:val="32"/>
          <w:szCs w:val="32"/>
        </w:rPr>
        <w:t>（一）项目概况</w:t>
      </w:r>
    </w:p>
    <w:p>
      <w:pPr>
        <w:tabs>
          <w:tab w:val="left" w:pos="3885"/>
        </w:tabs>
        <w:snapToGrid w:val="0"/>
        <w:spacing w:line="576" w:lineRule="exact"/>
        <w:ind w:firstLine="640" w:firstLineChars="200"/>
        <w:jc w:val="left"/>
        <w:rPr>
          <w:rFonts w:ascii="仿宋_GB2312" w:hAnsi="仿宋_GB2312" w:cs="仿宋_GB2312"/>
          <w:szCs w:val="21"/>
        </w:rPr>
      </w:pPr>
      <w:r>
        <w:rPr>
          <w:rFonts w:hint="eastAsia" w:ascii="仿宋_GB2312" w:hAnsi="仿宋_GB2312" w:eastAsia="仿宋_GB2312" w:cs="仿宋_GB2312"/>
          <w:sz w:val="32"/>
          <w:szCs w:val="32"/>
        </w:rPr>
        <w:t>妇女儿童专项经费13万元用于开展的“净土阿坝，云朵妈妈”留守儿童关爱活动、“净土春晖”巾帼志愿宣讲首轮宣讲、“留守儿童暑期关爱服务活动”、开设“特殊时期，特别家教”云课堂、制作“最美家庭”奖牌等各项工作。</w:t>
      </w:r>
      <w:r>
        <w:rPr>
          <w:rFonts w:hint="eastAsia" w:ascii="仿宋_GB2312" w:hAnsi="仿宋_GB2312" w:cs="仿宋_GB2312"/>
          <w:szCs w:val="21"/>
        </w:rPr>
        <w:t xml:space="preserve"> </w:t>
      </w:r>
    </w:p>
    <w:p>
      <w:pPr>
        <w:tabs>
          <w:tab w:val="left" w:pos="3885"/>
        </w:tabs>
        <w:snapToGrid w:val="0"/>
        <w:spacing w:line="576" w:lineRule="exact"/>
        <w:ind w:left="420" w:leftChars="200"/>
        <w:jc w:val="left"/>
        <w:rPr>
          <w:rFonts w:ascii="仿宋_GB2312" w:hAnsi="宋体" w:eastAsia="仿宋_GB2312" w:cs="宋体"/>
          <w:b/>
          <w:bCs/>
          <w:kern w:val="0"/>
          <w:sz w:val="32"/>
          <w:szCs w:val="32"/>
        </w:rPr>
      </w:pPr>
      <w:r>
        <w:rPr>
          <w:rFonts w:hint="eastAsia" w:ascii="楷体_GB2312" w:hAnsi="楷体_GB2312" w:eastAsia="楷体_GB2312" w:cs="楷体_GB2312"/>
          <w:b/>
          <w:bCs/>
          <w:sz w:val="32"/>
          <w:szCs w:val="32"/>
        </w:rPr>
        <w:t>（</w:t>
      </w:r>
      <w:r>
        <w:rPr>
          <w:rFonts w:hint="eastAsia" w:ascii="仿宋_GB2312" w:hAnsi="宋体" w:eastAsia="仿宋_GB2312" w:cs="宋体"/>
          <w:b/>
          <w:bCs/>
          <w:kern w:val="0"/>
          <w:sz w:val="32"/>
          <w:szCs w:val="32"/>
        </w:rPr>
        <w:t>二）项目实施情况</w:t>
      </w:r>
    </w:p>
    <w:p>
      <w:pPr>
        <w:tabs>
          <w:tab w:val="left" w:pos="3885"/>
        </w:tabs>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一是开展“净土春晖.云朵妈妈”--关爱留守儿童特别行动、“净土春晖.云朵妈妈” 暖冬行动等活动，在全州开展慰问留守儿童、牧区单亲儿童、牧区贫困儿童、“5.12”、 “6.24”山体滑坡灾害遗孤、残疾儿童、特困儿童等各类特殊困难儿童317人,发放慰问金5万元,送读书礼包100个,送关爱书信100封,送爱心课堂2节,6-18岁各年龄段优秀经典儿童书籍291册,爱心包51个；二是用1.5万元试点落实社区服务清单事项工作，在马尔康市试点开展“2020年暑期关爱留守儿童活动，活动受到家长、孩子和社区工作人员的肯定；三是组建州级“净土春晖”巾帼志愿宣讲队一支，开展10天9场的巡讲服务工作，覆盖4000余名牧区学生，宣讲使用经费2.97万元；四是使用资金2.73万元，创新性在疫情期间成功开设了“特殊时期，特别家教”娜姆云课堂、“净土阿坝.巾帼解忧.心孕阿坝”娜姆微课堂、“净土阿坝.阳光青春”云课堂、“净土阿坝.春蕾陪伴云课堂等4种云课堂17节，辐射 10.67户家庭；五是制作0.8万元的“最美家庭”奖牌，为17户获评阿坝州“最美家庭”颁发奖牌。 </w:t>
      </w:r>
    </w:p>
    <w:p>
      <w:pPr>
        <w:tabs>
          <w:tab w:val="left" w:pos="3885"/>
        </w:tabs>
        <w:snapToGrid w:val="0"/>
        <w:spacing w:line="576" w:lineRule="exact"/>
        <w:ind w:firstLine="420" w:firstLineChars="200"/>
        <w:jc w:val="left"/>
        <w:rPr>
          <w:rFonts w:ascii="楷体_GB2312" w:hAnsi="楷体_GB2312" w:eastAsia="楷体_GB2312" w:cs="楷体_GB2312"/>
          <w:b/>
          <w:bCs/>
          <w:sz w:val="32"/>
          <w:szCs w:val="32"/>
        </w:rPr>
      </w:pPr>
      <w:r>
        <w:rPr>
          <w:rFonts w:hint="eastAsia" w:eastAsia="楷体_GB2312"/>
        </w:rPr>
        <w:t xml:space="preserve"> </w:t>
      </w:r>
      <w:r>
        <w:rPr>
          <w:rFonts w:hint="eastAsia" w:ascii="楷体_GB2312" w:hAnsi="楷体_GB2312" w:eastAsia="楷体_GB2312" w:cs="楷体_GB2312"/>
          <w:b/>
          <w:bCs/>
          <w:sz w:val="32"/>
          <w:szCs w:val="32"/>
        </w:rPr>
        <w:t>（</w:t>
      </w:r>
      <w:r>
        <w:rPr>
          <w:rFonts w:hint="eastAsia" w:ascii="仿宋_GB2312" w:hAnsi="宋体" w:eastAsia="仿宋_GB2312" w:cs="宋体"/>
          <w:b/>
          <w:bCs/>
          <w:kern w:val="0"/>
          <w:sz w:val="32"/>
          <w:szCs w:val="32"/>
        </w:rPr>
        <w:t>三）资金投入使用情况</w:t>
      </w:r>
    </w:p>
    <w:p>
      <w:pPr>
        <w:tabs>
          <w:tab w:val="left" w:pos="3885"/>
        </w:tabs>
        <w:snapToGrid w:val="0"/>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2020年妇女儿童专项经费13万，全部用于困难儿童帮扶，家开设网上家庭教育课程、及社区清单服务等各项工作。</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（四）项目绩效目标</w:t>
      </w:r>
    </w:p>
    <w:p>
      <w:pPr>
        <w:pStyle w:val="2"/>
        <w:spacing w:before="93" w:line="576" w:lineRule="exact"/>
        <w:ind w:firstLine="640" w:firstLineChars="200"/>
      </w:pPr>
      <w:r>
        <w:rPr>
          <w:rFonts w:hint="eastAsia" w:hAnsi="仿宋_GB2312" w:cs="仿宋_GB2312"/>
          <w:kern w:val="2"/>
          <w:sz w:val="32"/>
          <w:szCs w:val="32"/>
        </w:rPr>
        <w:t>一是建立“最美家庭”常态化寻找机制及巡讲活动，开展寻找“净土阿坝·最美抗‘疫’家庭”活动，常态推进家庭文明创建活动；二是组建阿坝州妇联“净土春晖”巾帼志愿宣讲队。州、县（市）宣讲队联动开展对象式、分众化大宣讲，务实推进法律维权、婚育新风、科学家教等家庭服务重心和服务资源进城乡、学校、家庭、寺庙、机关、乡村、社区等家庭服务“七进”活动；三是重点开展“平安健康宅家里·巾帼关爱抗疫情·科学家教战疫情”活动，扎实开展“四送活动”，创新开展“净土阿坝·巾帼解忧”系列活动；五是创新开设阿坝州妇联“特殊时期·特别家教——娜姆云课堂”；六是联合多部门，发动公益组织、巾帼志愿者关爱单亲母亲及单亲家庭儿童、农村留守儿童和困境儿童，把党和政府对孕产妇、婴幼儿、留守儿童、困境儿童特别的关爱落到实处。</w:t>
      </w:r>
    </w:p>
    <w:p>
      <w:pPr>
        <w:tabs>
          <w:tab w:val="left" w:pos="3885"/>
        </w:tabs>
        <w:snapToGrid w:val="0"/>
        <w:spacing w:line="576" w:lineRule="exact"/>
        <w:ind w:firstLine="642" w:firstLineChars="200"/>
        <w:jc w:val="left"/>
        <w:rPr>
          <w:rFonts w:ascii="楷体_GB2312" w:hAnsi="楷体_GB2312" w:eastAsia="楷体_GB2312" w:cs="楷体_GB2312"/>
          <w:b/>
          <w:bCs/>
          <w:sz w:val="32"/>
          <w:szCs w:val="32"/>
        </w:rPr>
      </w:pPr>
      <w:r>
        <w:rPr>
          <w:rFonts w:hint="eastAsia" w:ascii="仿宋" w:hAnsi="仿宋" w:eastAsia="仿宋" w:cs="仿宋"/>
          <w:b/>
          <w:bCs/>
          <w:sz w:val="32"/>
          <w:szCs w:val="32"/>
        </w:rPr>
        <w:t>二、绩效评价分析</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（一）项目决策情况</w:t>
      </w:r>
    </w:p>
    <w:p>
      <w:pPr>
        <w:tabs>
          <w:tab w:val="left" w:pos="630"/>
        </w:tabs>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遵守党组议事规则，按照我会党组会议制度相关要求， 以上事项家儿部草拟议题 6个，上党组会议研究 5次，主席办公会2次，切实做到了民主商议、集体决策。</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（二）项目管理情况</w:t>
      </w:r>
    </w:p>
    <w:p>
      <w:pPr>
        <w:snapToGrid w:val="0"/>
        <w:spacing w:line="576" w:lineRule="exact"/>
        <w:ind w:firstLine="640" w:firstLineChars="200"/>
        <w:rPr>
          <w:rFonts w:ascii="楷体_GB2312" w:hAnsi="宋体" w:eastAsia="楷体_GB2312"/>
          <w:b/>
          <w:szCs w:val="21"/>
        </w:rPr>
      </w:pPr>
      <w:r>
        <w:rPr>
          <w:rFonts w:hint="eastAsia" w:ascii="仿宋_GB2312" w:hAnsi="仿宋_GB2312" w:eastAsia="仿宋_GB2312" w:cs="仿宋_GB2312"/>
          <w:sz w:val="32"/>
          <w:szCs w:val="32"/>
        </w:rPr>
        <w:t xml:space="preserve"> 项目具体承担部室根据党组会议和主席办公会议议定事项，按照财经相关规定，推进实施。项目实施过程严格按照财经纪律，支付相关经费，做到了账目清晰、业内资料齐备、走账规范。  </w:t>
      </w:r>
      <w:r>
        <w:rPr>
          <w:rFonts w:hint="eastAsia" w:ascii="楷体_GB2312" w:hAnsi="宋体" w:eastAsia="楷体_GB2312"/>
          <w:b/>
          <w:szCs w:val="21"/>
        </w:rPr>
        <w:t xml:space="preserve">  </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（三）项目效益情况</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是启动“净土春晖•云朵妈妈”——关爱留守儿童特别行动，慰问各类特殊困难儿童269人，发放慰问金5万余元，赠送“读书礼包”、“关爱书信”等493份（册）；二是1.5万元联合马尔康友邦社会组织在马尔康马江社区、美谷社区、达萨社区、牧业村开展了2020年阿坝州妇联暑期关爱留守儿童社会工作服务活动。二是以对象式、分众化、分层次的方式开展线上线下妇女儿童维权宣传。组建“净土春晖”阿坝州巾帼志愿宣讲队，以对象式、分众化的方式，向大家呈现了“美丽青春•健康同行”、“绽放青春  自信启航”、“净土春晖  •法治护花”、“青春拒艾滋 • 健康伴我行”、“性别平等及青春期女性卫生保健基础知识教育”为主题的精品微课程，完成8天开展9场次的首轮巡讲任务，覆盖学生4180人，其中13-18岁女生2758人。三是整个疫情期间开展巾帼解忧“阿坝州特殊时期 特别家教娜姆云课堂” “净土阿坝•阳光青春”“净土阿坝•春蕾陪伴”云课堂，28.96万名学生家长受益。在“花开阿坝”微信公众号转播家风家教系列视频10集，发至全州网上家教群，辐射 17366户家庭，覆盖妇女儿童52098人次。全年等关爱活动信息在阿坝日报、微阿坝、四川观察、四川新闻网、中国妇女报等相关媒体刊载。2020年我会获评“第二届四川省家庭教育先进”集体。</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三、存在主要问题</w:t>
      </w:r>
    </w:p>
    <w:p>
      <w:pPr>
        <w:spacing w:line="576" w:lineRule="exact"/>
        <w:ind w:firstLine="420" w:firstLineChars="200"/>
        <w:rPr>
          <w:rFonts w:ascii="仿宋_GB2312" w:hAnsi="仿宋_GB2312" w:eastAsia="仿宋_GB2312" w:cs="仿宋_GB2312"/>
          <w:sz w:val="32"/>
          <w:szCs w:val="32"/>
        </w:rPr>
      </w:pPr>
      <w:r>
        <w:rPr>
          <w:rFonts w:hint="eastAsia"/>
        </w:rPr>
        <w:t xml:space="preserve"> </w:t>
      </w:r>
      <w:r>
        <w:rPr>
          <w:rFonts w:hint="eastAsia" w:ascii="仿宋_GB2312" w:hAnsi="仿宋_GB2312" w:eastAsia="仿宋_GB2312" w:cs="仿宋_GB2312"/>
          <w:sz w:val="32"/>
          <w:szCs w:val="32"/>
        </w:rPr>
        <w:t>基层家庭教育经费投入不足。基层家庭教育工作经费缺乏，是全州基层家庭教育普遍存在和急需解决的问题</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四、相关措施建议</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进一步加大经费投入力度。积极争取将家庭教育工作经费纳入财政预算，扎实深入地开展县（市）、乡（镇）、村（社区)家庭教育工作，以点带面，提高家长素质和科学教子的能力。</w:t>
      </w:r>
    </w:p>
    <w:p>
      <w:pPr>
        <w:pStyle w:val="2"/>
        <w:spacing w:before="93"/>
        <w:rPr>
          <w:rFonts w:hAnsi="仿宋_GB2312" w:cs="仿宋_GB2312"/>
          <w:kern w:val="2"/>
          <w:sz w:val="32"/>
          <w:szCs w:val="32"/>
        </w:rPr>
      </w:pPr>
    </w:p>
    <w:p/>
    <w:p>
      <w:pPr>
        <w:snapToGrid w:val="0"/>
        <w:spacing w:line="576"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部门预算项目支出绩效自评报告范本</w:t>
      </w:r>
    </w:p>
    <w:p>
      <w:pPr>
        <w:tabs>
          <w:tab w:val="left" w:pos="3885"/>
        </w:tabs>
        <w:snapToGrid w:val="0"/>
        <w:spacing w:line="576" w:lineRule="exact"/>
        <w:jc w:val="center"/>
        <w:rPr>
          <w:rFonts w:hAnsi="宋体"/>
          <w:sz w:val="32"/>
          <w:szCs w:val="32"/>
        </w:rPr>
      </w:pPr>
      <w:r>
        <w:rPr>
          <w:rFonts w:hint="eastAsia" w:hAnsi="宋体"/>
          <w:sz w:val="32"/>
          <w:szCs w:val="32"/>
        </w:rPr>
        <w:t>（1+N工作经费）</w:t>
      </w:r>
    </w:p>
    <w:p>
      <w:pPr>
        <w:pStyle w:val="2"/>
        <w:spacing w:before="93"/>
      </w:pPr>
    </w:p>
    <w:p>
      <w:pPr>
        <w:tabs>
          <w:tab w:val="left" w:pos="3885"/>
        </w:tabs>
        <w:snapToGrid w:val="0"/>
        <w:spacing w:line="576" w:lineRule="exact"/>
        <w:ind w:left="420" w:leftChars="200" w:firstLine="642" w:firstLineChars="200"/>
        <w:jc w:val="left"/>
        <w:rPr>
          <w:rFonts w:ascii="黑体" w:hAnsi="宋体" w:eastAsia="黑体"/>
          <w:sz w:val="32"/>
          <w:szCs w:val="32"/>
        </w:rPr>
      </w:pPr>
      <w:r>
        <w:rPr>
          <w:rFonts w:hint="eastAsia" w:ascii="仿宋" w:hAnsi="仿宋" w:eastAsia="仿宋" w:cs="仿宋"/>
          <w:b/>
          <w:bCs/>
          <w:sz w:val="32"/>
          <w:szCs w:val="32"/>
        </w:rPr>
        <w:t>一、基本情况</w:t>
      </w:r>
    </w:p>
    <w:p>
      <w:pPr>
        <w:tabs>
          <w:tab w:val="left" w:pos="3885"/>
        </w:tabs>
        <w:snapToGrid w:val="0"/>
        <w:spacing w:line="576" w:lineRule="exact"/>
        <w:ind w:left="420" w:leftChars="200" w:firstLine="642" w:firstLineChars="200"/>
        <w:jc w:val="left"/>
        <w:rPr>
          <w:rFonts w:ascii="仿宋_GB2312" w:hAnsi="仿宋_GB2312" w:cs="仿宋_GB2312"/>
          <w:szCs w:val="21"/>
        </w:rPr>
      </w:pPr>
      <w:r>
        <w:rPr>
          <w:rFonts w:hint="eastAsia" w:ascii="仿宋" w:hAnsi="仿宋" w:eastAsia="仿宋" w:cs="仿宋"/>
          <w:b/>
          <w:bCs/>
          <w:sz w:val="32"/>
          <w:szCs w:val="32"/>
        </w:rPr>
        <w:t>（一）项目概况。</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为贯彻落实</w:t>
      </w:r>
      <w:r>
        <w:rPr>
          <w:rFonts w:hint="eastAsia" w:ascii="仿宋_GB2312" w:hAnsi="仿宋_GB2312" w:eastAsia="仿宋_GB2312" w:cs="仿宋_GB2312"/>
          <w:bCs/>
          <w:sz w:val="32"/>
          <w:szCs w:val="32"/>
        </w:rPr>
        <w:t>《四川藏区觉姆美好生活行动计划工作方案》、省、州相关会议精神，按照州委“两联一进”群众工作及《阿坝州妇联2020年工作要点》的相关要求，我会持续开展对觉姆姐妹的关爱工作，</w:t>
      </w:r>
      <w:r>
        <w:rPr>
          <w:rFonts w:hint="eastAsia" w:ascii="仿宋_GB2312" w:hAnsi="仿宋_GB2312" w:eastAsia="仿宋_GB2312" w:cs="仿宋_GB2312"/>
          <w:sz w:val="32"/>
          <w:szCs w:val="32"/>
        </w:rPr>
        <w:t>1+N工作经费中拿出9.8万元定制“觉姆关心包”。</w:t>
      </w:r>
      <w:r>
        <w:rPr>
          <w:rFonts w:hint="eastAsia" w:ascii="仿宋_GB2312" w:hAnsi="仿宋_GB2312" w:eastAsia="仿宋_GB2312" w:cs="仿宋_GB2312"/>
          <w:b/>
          <w:bCs/>
          <w:sz w:val="32"/>
          <w:szCs w:val="32"/>
        </w:rPr>
        <w:t>二是</w:t>
      </w:r>
      <w:r>
        <w:rPr>
          <w:rFonts w:hint="eastAsia" w:ascii="仿宋_GB2312" w:hAnsi="仿宋_GB2312" w:eastAsia="仿宋_GB2312" w:cs="仿宋_GB2312"/>
          <w:kern w:val="0"/>
          <w:sz w:val="32"/>
          <w:szCs w:val="32"/>
        </w:rPr>
        <w:t>单亲家庭是一个需要全社会关爱的弱势群体，这一群体的生存状况直接影响着社会经济的发展，关系到子孙后代的健康成长和社会的和谐稳定。我州四个牧区县的单亲家庭较为普遍，其中大多数家庭非常贫困，有的甚至贫病交加，处于幸福的短板，已经不仅是经济问题，同时也是社会问题，更是政治问题。</w:t>
      </w:r>
      <w:r>
        <w:rPr>
          <w:rFonts w:hint="eastAsia" w:ascii="仿宋_GB2312" w:hAnsi="仿宋_GB2312" w:eastAsia="仿宋_GB2312" w:cs="仿宋_GB2312"/>
          <w:sz w:val="32"/>
          <w:szCs w:val="32"/>
        </w:rPr>
        <w:t>为真实地掌握全县单亲贫困家庭的生活现状，</w:t>
      </w:r>
      <w:r>
        <w:rPr>
          <w:rFonts w:hint="eastAsia" w:ascii="仿宋_GB2312" w:hAnsi="仿宋_GB2312" w:eastAsia="仿宋_GB2312" w:cs="仿宋_GB2312"/>
          <w:kern w:val="0"/>
          <w:sz w:val="32"/>
          <w:szCs w:val="32"/>
        </w:rPr>
        <w:t>积极引导单亲贫困家庭自力更生和</w:t>
      </w:r>
      <w:r>
        <w:rPr>
          <w:rFonts w:hint="eastAsia" w:ascii="仿宋_GB2312" w:hAnsi="仿宋_GB2312" w:eastAsia="仿宋_GB2312" w:cs="仿宋_GB2312"/>
          <w:sz w:val="32"/>
          <w:szCs w:val="32"/>
        </w:rPr>
        <w:t>有针对性地开展好帮扶工作，促进单亲贫困家庭脱贫，州妇联决定在对全州范围内的单亲贫困家庭进行了全面调查了解和深入分析的基础上，5万元与四川省民族研究所开展开展“牧区单亲母亲家庭问题与对策研究”课题调研，为开展牧区单亲母亲权益维护提供保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根据工作需要聘请法律顾问，付法律顾问服务费用0.8万元。</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楷体_GB2312" w:hAnsi="楷体_GB2312" w:eastAsia="楷体_GB2312" w:cs="楷体_GB2312"/>
          <w:b/>
          <w:bCs/>
          <w:sz w:val="32"/>
          <w:szCs w:val="32"/>
        </w:rPr>
        <w:t>（</w:t>
      </w:r>
      <w:r>
        <w:rPr>
          <w:rFonts w:hint="eastAsia" w:ascii="仿宋" w:hAnsi="仿宋" w:eastAsia="仿宋" w:cs="仿宋"/>
          <w:b/>
          <w:bCs/>
          <w:sz w:val="32"/>
          <w:szCs w:val="32"/>
        </w:rPr>
        <w:t>二）项目实施情况</w:t>
      </w:r>
    </w:p>
    <w:p>
      <w:pPr>
        <w:spacing w:line="576" w:lineRule="exact"/>
        <w:ind w:firstLine="963" w:firstLineChars="3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定制9.8万元“觉姆关心包”。分别发放红原如意空行寺50个、阿坝四洼尼姑寺100个、壤塘娜泽求宗100个，受益困难觉姆250名，深受尼姑姐妹欢迎；</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用5万元资金开展了“牧区单亲母亲家庭问题与对策研究”课题调研，为从根本上解决单亲母亲、超生育等多重社会问题及我州今后进一步提高社会治理能力，逐步减少牧区单亲母亲家庭问题，促进社会与家庭发展进步，具有很强的针对性和指导性；</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根据工作需要聘请法律顾问，付法律顾问服务费用0.8万元，该法律顾问全年出具各类合同、协议法律文本审查意见9份，为我会领导决策提供了优质、及时、高效、准确的法律服务，进一步推动了我会依法依规处理相关政务、事务工作。</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（三）资金投入使用情况</w:t>
      </w:r>
    </w:p>
    <w:p>
      <w:pPr>
        <w:tabs>
          <w:tab w:val="left" w:pos="3885"/>
        </w:tabs>
        <w:snapToGrid w:val="0"/>
        <w:spacing w:line="576" w:lineRule="exact"/>
        <w:ind w:firstLine="640" w:firstLineChars="200"/>
        <w:jc w:val="left"/>
        <w:rPr>
          <w:rFonts w:ascii="仿宋_GB2312" w:hAnsi="仿宋_GB2312" w:cs="仿宋_GB2312"/>
          <w:szCs w:val="21"/>
        </w:rPr>
      </w:pPr>
      <w:r>
        <w:rPr>
          <w:rFonts w:hint="eastAsia" w:ascii="仿宋_GB2312" w:hAnsi="仿宋_GB2312" w:eastAsia="仿宋_GB2312" w:cs="仿宋_GB2312"/>
          <w:sz w:val="32"/>
          <w:szCs w:val="32"/>
        </w:rPr>
        <w:t>以上三项工作共投入资金15.6万元，都是从1+N工作经费中支出。</w:t>
      </w:r>
    </w:p>
    <w:p>
      <w:pPr>
        <w:tabs>
          <w:tab w:val="left" w:pos="3885"/>
        </w:tabs>
        <w:snapToGrid w:val="0"/>
        <w:spacing w:line="576" w:lineRule="exact"/>
        <w:ind w:firstLine="642" w:firstLineChars="200"/>
        <w:jc w:val="left"/>
        <w:rPr>
          <w:rFonts w:ascii="仿宋" w:hAnsi="仿宋" w:eastAsia="仿宋" w:cs="仿宋"/>
          <w:b/>
          <w:bCs/>
          <w:sz w:val="32"/>
          <w:szCs w:val="32"/>
        </w:rPr>
      </w:pPr>
      <w:r>
        <w:rPr>
          <w:rFonts w:hint="eastAsia" w:ascii="仿宋" w:hAnsi="仿宋" w:eastAsia="仿宋" w:cs="仿宋"/>
          <w:b/>
          <w:bCs/>
          <w:sz w:val="32"/>
          <w:szCs w:val="32"/>
        </w:rPr>
        <w:t>（四）项目绩效目标</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使用9.8万元资金定制了250个觉姆暖心包；</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按照工作协议签订了《法律顾问合同》，进一步推动了我会依法依规处理相关政务、事务工作。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通过《牧区单亲母亲家庭问题与对策研究》课题调研，以及课题调研成果，为牧区县有针对性开展单亲母亲专项工作，长期的攻坚克难，彻底得以整改。</w:t>
      </w:r>
    </w:p>
    <w:p>
      <w:pPr>
        <w:snapToGrid w:val="0"/>
        <w:spacing w:line="576" w:lineRule="exact"/>
        <w:ind w:firstLine="640" w:firstLineChars="200"/>
        <w:rPr>
          <w:rFonts w:ascii="仿宋" w:hAnsi="仿宋" w:eastAsia="仿宋" w:cs="仿宋"/>
          <w:b/>
          <w:bCs/>
          <w:sz w:val="32"/>
          <w:szCs w:val="32"/>
        </w:rPr>
      </w:pPr>
      <w:r>
        <w:rPr>
          <w:rFonts w:hint="eastAsia" w:eastAsia="黑体"/>
          <w:sz w:val="32"/>
          <w:szCs w:val="32"/>
        </w:rPr>
        <w:t xml:space="preserve"> </w:t>
      </w:r>
      <w:r>
        <w:rPr>
          <w:rFonts w:hint="eastAsia" w:ascii="仿宋" w:hAnsi="仿宋" w:eastAsia="仿宋" w:cs="仿宋"/>
          <w:b/>
          <w:bCs/>
          <w:sz w:val="32"/>
          <w:szCs w:val="32"/>
        </w:rPr>
        <w:t>二、评价工作开展情况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此工作将由财务组织实施，确定评价指标体系、评价方法和评价标准等内容。</w:t>
      </w:r>
    </w:p>
    <w:p>
      <w:pPr>
        <w:spacing w:line="576" w:lineRule="exact"/>
        <w:ind w:firstLine="642" w:firstLineChars="200"/>
        <w:rPr>
          <w:rFonts w:ascii="黑体" w:hAnsi="黑体" w:eastAsia="黑体" w:cs="黑体"/>
          <w:sz w:val="32"/>
          <w:szCs w:val="32"/>
        </w:rPr>
      </w:pPr>
      <w:r>
        <w:rPr>
          <w:rFonts w:hint="eastAsia" w:ascii="仿宋" w:hAnsi="仿宋" w:eastAsia="仿宋" w:cs="仿宋"/>
          <w:b/>
          <w:bCs/>
          <w:sz w:val="32"/>
          <w:szCs w:val="32"/>
        </w:rPr>
        <w:t>三、综合评价结论（附评分表）</w:t>
      </w:r>
    </w:p>
    <w:p>
      <w:pPr>
        <w:snapToGrid w:val="0"/>
        <w:spacing w:line="576" w:lineRule="exact"/>
        <w:ind w:firstLine="642" w:firstLineChars="200"/>
        <w:rPr>
          <w:rFonts w:ascii="黑体" w:hAnsi="黑体" w:eastAsia="黑体" w:cs="黑体"/>
          <w:bCs/>
          <w:sz w:val="32"/>
          <w:szCs w:val="32"/>
        </w:rPr>
      </w:pPr>
      <w:r>
        <w:rPr>
          <w:rFonts w:hint="eastAsia" w:ascii="仿宋" w:hAnsi="仿宋" w:eastAsia="仿宋" w:cs="仿宋"/>
          <w:b/>
          <w:bCs/>
          <w:sz w:val="32"/>
          <w:szCs w:val="32"/>
        </w:rPr>
        <w:t>四、绩效评价分析</w:t>
      </w:r>
    </w:p>
    <w:p>
      <w:pPr>
        <w:snapToGrid w:val="0"/>
        <w:spacing w:line="576" w:lineRule="exact"/>
        <w:ind w:firstLine="642" w:firstLineChars="200"/>
        <w:rPr>
          <w:rFonts w:ascii="仿宋" w:hAnsi="仿宋" w:eastAsia="仿宋" w:cs="仿宋"/>
          <w:b/>
          <w:bCs/>
          <w:sz w:val="32"/>
          <w:szCs w:val="32"/>
        </w:rPr>
      </w:pPr>
      <w:r>
        <w:rPr>
          <w:rFonts w:hint="eastAsia" w:ascii="仿宋" w:hAnsi="仿宋" w:eastAsia="仿宋" w:cs="仿宋"/>
          <w:b/>
          <w:bCs/>
          <w:sz w:val="32"/>
          <w:szCs w:val="32"/>
        </w:rPr>
        <w:t>（一）项目决策情况</w:t>
      </w:r>
    </w:p>
    <w:p>
      <w:pPr>
        <w:snapToGrid w:val="0"/>
        <w:spacing w:line="576"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 xml:space="preserve"> </w:t>
      </w:r>
      <w:r>
        <w:rPr>
          <w:rFonts w:hint="eastAsia" w:ascii="仿宋_GB2312" w:hAnsi="仿宋_GB2312" w:eastAsia="仿宋_GB2312" w:cs="仿宋_GB2312"/>
          <w:sz w:val="32"/>
          <w:szCs w:val="32"/>
        </w:rPr>
        <w:t>以上15.6万元的项目经费，在决策前充分按照三重一大各项规定，涉及项目承办部室按照工作需要，拟定经费使用计划，各个具体事项按照一事一议的原则，按照项目事项要求，从事由到拨付资金，由部室分管领导提交党组会议研究，就“觉姆暖心包”和《牧区单亲母亲家庭问题与对策研究》课题全面共上党组会议研究6次。0.8元法律顾问经费，严格按照《法律顾问合同》中的合同期限实施。</w:t>
      </w:r>
    </w:p>
    <w:p>
      <w:pPr>
        <w:snapToGrid w:val="0"/>
        <w:spacing w:line="576" w:lineRule="exact"/>
        <w:ind w:firstLine="642" w:firstLineChars="200"/>
        <w:rPr>
          <w:rFonts w:ascii="仿宋" w:hAnsi="仿宋" w:eastAsia="仿宋" w:cs="仿宋"/>
          <w:b/>
          <w:bCs/>
          <w:sz w:val="32"/>
          <w:szCs w:val="32"/>
        </w:rPr>
      </w:pPr>
      <w:r>
        <w:rPr>
          <w:rFonts w:hint="eastAsia" w:ascii="楷体_GB2312" w:hAnsi="宋体" w:eastAsia="楷体_GB2312"/>
          <w:b/>
          <w:sz w:val="32"/>
          <w:szCs w:val="32"/>
        </w:rPr>
        <w:t>（</w:t>
      </w:r>
      <w:r>
        <w:rPr>
          <w:rFonts w:hint="eastAsia" w:ascii="仿宋" w:hAnsi="仿宋" w:eastAsia="仿宋" w:cs="仿宋"/>
          <w:b/>
          <w:bCs/>
          <w:sz w:val="32"/>
          <w:szCs w:val="32"/>
        </w:rPr>
        <w:t>二）项目管理情况</w:t>
      </w:r>
    </w:p>
    <w:p>
      <w:pPr>
        <w:snapToGrid w:val="0"/>
        <w:spacing w:line="576" w:lineRule="exact"/>
        <w:ind w:firstLine="421" w:firstLineChars="200"/>
        <w:rPr>
          <w:rFonts w:ascii="楷体_GB2312" w:hAnsi="宋体" w:eastAsia="楷体_GB2312"/>
          <w:b/>
          <w:szCs w:val="21"/>
        </w:rPr>
      </w:pPr>
      <w:r>
        <w:rPr>
          <w:rFonts w:hint="eastAsia" w:ascii="楷体_GB2312" w:hAnsi="宋体" w:eastAsia="楷体_GB2312"/>
          <w:b/>
          <w:szCs w:val="21"/>
        </w:rPr>
        <w:t xml:space="preserve">     </w:t>
      </w:r>
      <w:r>
        <w:rPr>
          <w:rFonts w:hint="eastAsia" w:ascii="仿宋_GB2312" w:hAnsi="仿宋_GB2312" w:eastAsia="仿宋_GB2312" w:cs="仿宋_GB2312"/>
          <w:sz w:val="32"/>
          <w:szCs w:val="32"/>
        </w:rPr>
        <w:t xml:space="preserve">严格按照资金管理办法，和“三重一大”相关规定，按相关要求，每各环节均集体决策，项目实施过程严格按照财经纪律，支付相关经费，做到了账目清晰、业内资料齐备、走账规范。 </w:t>
      </w:r>
      <w:r>
        <w:rPr>
          <w:rFonts w:hint="eastAsia" w:ascii="楷体_GB2312" w:hAnsi="宋体" w:eastAsia="楷体_GB2312"/>
          <w:b/>
          <w:szCs w:val="21"/>
        </w:rPr>
        <w:t xml:space="preserve">   </w:t>
      </w:r>
    </w:p>
    <w:p>
      <w:pPr>
        <w:snapToGrid w:val="0"/>
        <w:spacing w:line="576" w:lineRule="exact"/>
        <w:ind w:firstLine="642" w:firstLineChars="200"/>
        <w:rPr>
          <w:rFonts w:ascii="楷体_GB2312" w:hAnsi="宋体" w:eastAsia="楷体_GB2312"/>
          <w:b/>
          <w:sz w:val="32"/>
          <w:szCs w:val="32"/>
        </w:rPr>
      </w:pPr>
      <w:r>
        <w:rPr>
          <w:rFonts w:hint="eastAsia" w:ascii="仿宋" w:hAnsi="仿宋" w:eastAsia="仿宋" w:cs="仿宋"/>
          <w:b/>
          <w:bCs/>
          <w:sz w:val="32"/>
          <w:szCs w:val="32"/>
        </w:rPr>
        <w:t>（三）项目效益情况</w:t>
      </w:r>
    </w:p>
    <w:p>
      <w:pPr>
        <w:spacing w:line="576" w:lineRule="exact"/>
        <w:ind w:firstLine="421" w:firstLineChars="200"/>
        <w:rPr>
          <w:rFonts w:ascii="楷体_GB2312" w:hAnsi="宋体" w:eastAsia="楷体_GB2312"/>
          <w:b/>
          <w:szCs w:val="21"/>
        </w:rPr>
      </w:pPr>
      <w:r>
        <w:rPr>
          <w:rFonts w:hint="eastAsia" w:ascii="楷体_GB2312" w:hAnsi="宋体" w:eastAsia="楷体_GB2312"/>
          <w:b/>
          <w:szCs w:val="21"/>
        </w:rPr>
        <w:t xml:space="preserve"> </w:t>
      </w:r>
      <w:r>
        <w:rPr>
          <w:rFonts w:hint="eastAsia" w:ascii="仿宋_GB2312" w:hAnsi="仿宋_GB2312" w:eastAsia="仿宋_GB2312" w:cs="仿宋_GB2312"/>
          <w:sz w:val="32"/>
          <w:szCs w:val="32"/>
        </w:rPr>
        <w:t xml:space="preserve"> 一是9.8万元为尼姑姐妹量身制作的“觉姆暖心包”分别发放红原如意空行寺50个、阿坝四洼尼姑寺100个、壤塘娜泽求宗100个，受益困难觉姆250名，深受尼姑姐妹欢迎。二是《牧区单亲母亲家庭问题与对策研究》课题，牧区四县党政群相关领导、部门积极参与，按质按量按时完成， 经州内外行业专家及州级从事卫生、扶贫、法律、家庭教育领域的本土专家评审，认为：项目调研注重点面结合，真实地反映了牧区单亲母亲家庭现状，通过深入分析研究，揭示问题根源，并结合阿坝州实际提出相关对策建议，对我州今后进一步提高社会治理能力，逐步减少牧区单亲母亲家庭问题，促进社会与家庭发展进步，具有很强的针对性和指导性。资料详实、全面，内容丰富，行文规范，论据充分，是一篇优秀的研究报告。分别得到了省妇联、州委、州政府、州法院、州政法委等相关领导的肯定。</w:t>
      </w:r>
    </w:p>
    <w:p>
      <w:pPr>
        <w:snapToGrid w:val="0"/>
        <w:spacing w:line="576" w:lineRule="exact"/>
        <w:ind w:firstLine="642" w:firstLineChars="200"/>
        <w:rPr>
          <w:rFonts w:ascii="仿宋" w:hAnsi="仿宋" w:eastAsia="仿宋" w:cs="仿宋"/>
          <w:b/>
          <w:bCs/>
          <w:sz w:val="32"/>
          <w:szCs w:val="32"/>
        </w:rPr>
      </w:pPr>
      <w:r>
        <w:rPr>
          <w:rFonts w:hint="eastAsia" w:ascii="仿宋" w:hAnsi="仿宋" w:eastAsia="仿宋" w:cs="仿宋"/>
          <w:b/>
          <w:bCs/>
          <w:sz w:val="32"/>
          <w:szCs w:val="32"/>
        </w:rPr>
        <w:t>五、存在主要问题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（一）在工作中发现“觉姆暖心包”需求量大，但就我会的不足10万元的经费，远远不能满足，尼姑群体的需求。</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（二）《牧区单亲母亲家庭问题与对策研究》课题调研成果完成，存在的问题分析透彻、下一步的措施具体明了，但在后续帮扶措施经费严重不足。</w:t>
      </w:r>
    </w:p>
    <w:p>
      <w:pPr>
        <w:snapToGrid w:val="0"/>
        <w:spacing w:line="576" w:lineRule="exact"/>
        <w:ind w:firstLine="642" w:firstLineChars="200"/>
        <w:rPr>
          <w:rFonts w:ascii="仿宋" w:hAnsi="仿宋" w:eastAsia="仿宋" w:cs="仿宋"/>
          <w:b/>
          <w:bCs/>
          <w:sz w:val="32"/>
          <w:szCs w:val="32"/>
        </w:rPr>
      </w:pPr>
      <w:r>
        <w:rPr>
          <w:rFonts w:hint="eastAsia" w:ascii="仿宋" w:hAnsi="仿宋" w:eastAsia="仿宋" w:cs="仿宋"/>
          <w:b/>
          <w:bCs/>
          <w:sz w:val="32"/>
          <w:szCs w:val="32"/>
        </w:rPr>
        <w:t>六、相关措施建议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一是加大对妇女儿童特殊群体的帮扶力度，给予专项资金保障；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二是针对制约妇女儿童发展的堵点、难点问题，建议财政在资金拨付上给予重点支持和倾斜。</w:t>
      </w:r>
    </w:p>
    <w:p>
      <w:pPr>
        <w:pStyle w:val="2"/>
        <w:spacing w:before="93" w:line="240" w:lineRule="atLeast"/>
      </w:pPr>
    </w:p>
    <w:p>
      <w:pPr>
        <w:snapToGrid w:val="0"/>
        <w:spacing w:line="240" w:lineRule="atLeast"/>
        <w:ind w:firstLine="640" w:firstLineChars="200"/>
        <w:rPr>
          <w:rFonts w:ascii="黑体" w:hAnsi="黑体" w:eastAsia="黑体" w:cs="黑体"/>
          <w:sz w:val="32"/>
          <w:szCs w:val="32"/>
        </w:rPr>
      </w:pPr>
    </w:p>
    <w:p>
      <w:pPr>
        <w:pStyle w:val="2"/>
        <w:spacing w:before="93" w:line="240" w:lineRule="atLeast"/>
        <w:rPr>
          <w:rFonts w:ascii="黑体" w:hAnsi="黑体" w:eastAsia="黑体" w:cs="黑体"/>
          <w:sz w:val="32"/>
          <w:szCs w:val="32"/>
        </w:rPr>
      </w:pPr>
    </w:p>
    <w:p>
      <w:pPr>
        <w:spacing w:line="240" w:lineRule="atLeast"/>
        <w:rPr>
          <w:rFonts w:ascii="黑体" w:hAnsi="黑体" w:eastAsia="黑体" w:cs="黑体"/>
          <w:sz w:val="32"/>
          <w:szCs w:val="32"/>
        </w:rPr>
      </w:pPr>
    </w:p>
    <w:p>
      <w:pPr>
        <w:pStyle w:val="2"/>
        <w:spacing w:before="93" w:line="240" w:lineRule="atLeast"/>
        <w:rPr>
          <w:rFonts w:ascii="黑体" w:hAnsi="黑体" w:eastAsia="黑体" w:cs="黑体"/>
          <w:sz w:val="32"/>
          <w:szCs w:val="32"/>
        </w:rPr>
      </w:pPr>
    </w:p>
    <w:p>
      <w:pPr>
        <w:spacing w:line="240" w:lineRule="atLeast"/>
        <w:rPr>
          <w:rFonts w:ascii="黑体" w:hAnsi="黑体" w:eastAsia="黑体" w:cs="黑体"/>
          <w:sz w:val="32"/>
          <w:szCs w:val="32"/>
        </w:rPr>
      </w:pPr>
    </w:p>
    <w:p>
      <w:pPr>
        <w:pStyle w:val="2"/>
        <w:spacing w:before="93" w:line="240" w:lineRule="atLeast"/>
        <w:rPr>
          <w:rFonts w:ascii="黑体" w:hAnsi="黑体" w:eastAsia="黑体" w:cs="黑体"/>
          <w:sz w:val="32"/>
          <w:szCs w:val="32"/>
        </w:rPr>
      </w:pPr>
    </w:p>
    <w:p>
      <w:pPr>
        <w:spacing w:line="240" w:lineRule="atLeast"/>
        <w:rPr>
          <w:rFonts w:ascii="黑体" w:hAnsi="黑体" w:eastAsia="黑体" w:cs="黑体"/>
          <w:sz w:val="32"/>
          <w:szCs w:val="32"/>
        </w:rPr>
      </w:pPr>
    </w:p>
    <w:p>
      <w:pPr>
        <w:pStyle w:val="2"/>
        <w:spacing w:before="93" w:line="240" w:lineRule="atLeast"/>
        <w:rPr>
          <w:rFonts w:ascii="黑体" w:hAnsi="黑体" w:eastAsia="黑体" w:cs="黑体"/>
          <w:sz w:val="32"/>
          <w:szCs w:val="32"/>
        </w:rPr>
      </w:pPr>
    </w:p>
    <w:p>
      <w:pPr>
        <w:spacing w:line="240" w:lineRule="atLeast"/>
        <w:rPr>
          <w:rFonts w:ascii="黑体" w:hAnsi="黑体" w:eastAsia="黑体" w:cs="黑体"/>
          <w:sz w:val="32"/>
          <w:szCs w:val="32"/>
        </w:rPr>
      </w:pPr>
    </w:p>
    <w:p>
      <w:pPr>
        <w:pStyle w:val="2"/>
        <w:spacing w:before="93" w:line="240" w:lineRule="atLeast"/>
        <w:rPr>
          <w:rFonts w:ascii="黑体" w:hAnsi="黑体" w:eastAsia="黑体" w:cs="黑体"/>
          <w:sz w:val="32"/>
          <w:szCs w:val="32"/>
        </w:rPr>
      </w:pPr>
    </w:p>
    <w:p>
      <w:pPr>
        <w:spacing w:line="240" w:lineRule="atLeast"/>
        <w:rPr>
          <w:rFonts w:ascii="黑体" w:hAnsi="黑体" w:eastAsia="黑体" w:cs="黑体"/>
          <w:sz w:val="32"/>
          <w:szCs w:val="32"/>
        </w:rPr>
      </w:pPr>
    </w:p>
    <w:p>
      <w:pPr>
        <w:pStyle w:val="2"/>
        <w:spacing w:before="93" w:line="240" w:lineRule="atLeast"/>
        <w:rPr>
          <w:rFonts w:ascii="黑体" w:hAnsi="黑体" w:eastAsia="黑体" w:cs="黑体"/>
          <w:sz w:val="32"/>
          <w:szCs w:val="32"/>
        </w:rPr>
      </w:pPr>
    </w:p>
    <w:p/>
    <w:p>
      <w:pPr>
        <w:spacing w:line="240" w:lineRule="atLeast"/>
      </w:pPr>
    </w:p>
    <w:p>
      <w:pPr>
        <w:pStyle w:val="2"/>
        <w:spacing w:before="93" w:line="240" w:lineRule="atLeast"/>
      </w:pPr>
    </w:p>
    <w:bookmarkEnd w:id="191"/>
    <w:p>
      <w:pPr>
        <w:spacing w:line="240" w:lineRule="atLeast"/>
      </w:pPr>
    </w:p>
    <w:bookmarkEnd w:id="172"/>
    <w:bookmarkEnd w:id="192"/>
    <w:bookmarkEnd w:id="193"/>
    <w:bookmarkEnd w:id="194"/>
    <w:p>
      <w:pPr>
        <w:spacing w:line="600" w:lineRule="exact"/>
        <w:jc w:val="center"/>
        <w:outlineLvl w:val="0"/>
        <w:rPr>
          <w:rStyle w:val="45"/>
          <w:rFonts w:ascii="黑体" w:hAnsi="黑体" w:eastAsia="黑体"/>
          <w:b w:val="0"/>
        </w:rPr>
      </w:pPr>
      <w:r>
        <w:rPr>
          <w:rFonts w:hint="eastAsia" w:ascii="黑体" w:hAnsi="黑体" w:eastAsia="黑体"/>
          <w:color w:val="000000"/>
          <w:sz w:val="44"/>
          <w:szCs w:val="44"/>
        </w:rPr>
        <w:t>第</w:t>
      </w:r>
      <w:r>
        <w:rPr>
          <w:rStyle w:val="45"/>
          <w:rFonts w:hint="eastAsia" w:ascii="黑体" w:hAnsi="黑体" w:eastAsia="黑体"/>
          <w:b w:val="0"/>
        </w:rPr>
        <w:t>五部分</w:t>
      </w:r>
      <w:r>
        <w:rPr>
          <w:rStyle w:val="45"/>
          <w:rFonts w:ascii="黑体" w:hAnsi="黑体" w:eastAsia="黑体"/>
          <w:b w:val="0"/>
        </w:rPr>
        <w:t xml:space="preserve"> </w:t>
      </w:r>
      <w:r>
        <w:rPr>
          <w:rStyle w:val="45"/>
          <w:rFonts w:hint="eastAsia" w:ascii="黑体" w:hAnsi="黑体" w:eastAsia="黑体"/>
          <w:b w:val="0"/>
        </w:rPr>
        <w:t>附表</w:t>
      </w:r>
    </w:p>
    <w:p>
      <w:pPr>
        <w:pStyle w:val="4"/>
        <w:rPr>
          <w:rFonts w:ascii="仿宋" w:hAnsi="仿宋" w:eastAsia="仿宋"/>
          <w:color w:val="000000"/>
        </w:rPr>
      </w:pPr>
      <w:bookmarkStart w:id="273" w:name="_Toc79163636"/>
      <w:bookmarkStart w:id="274" w:name="_Toc15396619"/>
      <w:bookmarkStart w:id="275" w:name="_Toc79163886"/>
      <w:r>
        <w:rPr>
          <w:rFonts w:hint="eastAsia" w:ascii="仿宋" w:hAnsi="仿宋" w:eastAsia="仿宋"/>
          <w:b w:val="0"/>
          <w:color w:val="000000"/>
        </w:rPr>
        <w:t>一、收</w:t>
      </w:r>
      <w:r>
        <w:rPr>
          <w:rStyle w:val="46"/>
          <w:rFonts w:hint="eastAsia" w:ascii="仿宋" w:hAnsi="仿宋" w:eastAsia="仿宋"/>
          <w:b w:val="0"/>
          <w:bCs w:val="0"/>
        </w:rPr>
        <w:t>入支出决算总表</w:t>
      </w:r>
      <w:bookmarkEnd w:id="273"/>
      <w:bookmarkEnd w:id="274"/>
      <w:bookmarkEnd w:id="275"/>
    </w:p>
    <w:p>
      <w:pPr>
        <w:pStyle w:val="4"/>
        <w:rPr>
          <w:rFonts w:ascii="仿宋" w:hAnsi="仿宋" w:eastAsia="仿宋"/>
          <w:color w:val="000000"/>
        </w:rPr>
      </w:pPr>
      <w:bookmarkStart w:id="276" w:name="_Toc79163637"/>
      <w:bookmarkStart w:id="277" w:name="_Toc79163887"/>
      <w:bookmarkStart w:id="278" w:name="_Toc15396620"/>
      <w:r>
        <w:rPr>
          <w:rFonts w:hint="eastAsia" w:ascii="仿宋" w:hAnsi="仿宋" w:eastAsia="仿宋"/>
          <w:b w:val="0"/>
          <w:color w:val="000000"/>
        </w:rPr>
        <w:t>二、收</w:t>
      </w:r>
      <w:r>
        <w:rPr>
          <w:rStyle w:val="46"/>
          <w:rFonts w:hint="eastAsia" w:ascii="仿宋" w:hAnsi="仿宋" w:eastAsia="仿宋"/>
          <w:b w:val="0"/>
          <w:bCs w:val="0"/>
        </w:rPr>
        <w:t>入决算表</w:t>
      </w:r>
      <w:bookmarkEnd w:id="276"/>
      <w:bookmarkEnd w:id="277"/>
      <w:bookmarkEnd w:id="278"/>
    </w:p>
    <w:p>
      <w:pPr>
        <w:pStyle w:val="4"/>
        <w:rPr>
          <w:rFonts w:ascii="仿宋" w:hAnsi="仿宋" w:eastAsia="仿宋"/>
          <w:color w:val="000000"/>
        </w:rPr>
      </w:pPr>
      <w:bookmarkStart w:id="279" w:name="_Toc79163888"/>
      <w:bookmarkStart w:id="280" w:name="_Toc79163638"/>
      <w:bookmarkStart w:id="281" w:name="_Toc15396621"/>
      <w:r>
        <w:rPr>
          <w:rStyle w:val="46"/>
          <w:rFonts w:hint="eastAsia" w:ascii="仿宋" w:hAnsi="仿宋" w:eastAsia="仿宋"/>
          <w:b w:val="0"/>
          <w:bCs w:val="0"/>
        </w:rPr>
        <w:t>三、</w:t>
      </w:r>
      <w:r>
        <w:rPr>
          <w:rFonts w:hint="eastAsia" w:ascii="仿宋" w:hAnsi="仿宋" w:eastAsia="仿宋"/>
          <w:b w:val="0"/>
          <w:color w:val="000000"/>
        </w:rPr>
        <w:t>支</w:t>
      </w:r>
      <w:r>
        <w:rPr>
          <w:rStyle w:val="46"/>
          <w:rFonts w:hint="eastAsia" w:ascii="仿宋" w:hAnsi="仿宋" w:eastAsia="仿宋"/>
          <w:b w:val="0"/>
          <w:bCs w:val="0"/>
        </w:rPr>
        <w:t>出决算表</w:t>
      </w:r>
      <w:bookmarkEnd w:id="279"/>
      <w:bookmarkEnd w:id="280"/>
      <w:bookmarkEnd w:id="281"/>
    </w:p>
    <w:p>
      <w:pPr>
        <w:pStyle w:val="4"/>
        <w:rPr>
          <w:rFonts w:ascii="仿宋" w:hAnsi="仿宋" w:eastAsia="仿宋"/>
          <w:b w:val="0"/>
          <w:color w:val="000000"/>
        </w:rPr>
      </w:pPr>
      <w:bookmarkStart w:id="282" w:name="_Toc15396622"/>
      <w:bookmarkStart w:id="283" w:name="_Toc79163639"/>
      <w:bookmarkStart w:id="284" w:name="_Toc79163889"/>
      <w:r>
        <w:rPr>
          <w:rStyle w:val="46"/>
          <w:rFonts w:hint="eastAsia" w:ascii="仿宋" w:hAnsi="仿宋" w:eastAsia="仿宋"/>
          <w:b w:val="0"/>
          <w:bCs w:val="0"/>
        </w:rPr>
        <w:t>四、</w:t>
      </w:r>
      <w:r>
        <w:rPr>
          <w:rFonts w:hint="eastAsia" w:ascii="仿宋" w:hAnsi="仿宋" w:eastAsia="仿宋"/>
          <w:b w:val="0"/>
          <w:color w:val="000000"/>
        </w:rPr>
        <w:t>财</w:t>
      </w:r>
      <w:r>
        <w:rPr>
          <w:rStyle w:val="46"/>
          <w:rFonts w:hint="eastAsia" w:ascii="仿宋" w:hAnsi="仿宋" w:eastAsia="仿宋"/>
          <w:b w:val="0"/>
          <w:bCs w:val="0"/>
        </w:rPr>
        <w:t>政拨款收入支出决算总表</w:t>
      </w:r>
      <w:bookmarkEnd w:id="282"/>
      <w:bookmarkEnd w:id="283"/>
      <w:bookmarkEnd w:id="284"/>
    </w:p>
    <w:p>
      <w:pPr>
        <w:pStyle w:val="4"/>
        <w:rPr>
          <w:rStyle w:val="46"/>
          <w:rFonts w:ascii="仿宋" w:hAnsi="仿宋" w:eastAsia="仿宋"/>
          <w:b w:val="0"/>
          <w:bCs w:val="0"/>
        </w:rPr>
      </w:pPr>
      <w:bookmarkStart w:id="285" w:name="_Toc79163640"/>
      <w:bookmarkStart w:id="286" w:name="_Toc79163890"/>
      <w:bookmarkStart w:id="287" w:name="_Toc15396623"/>
      <w:r>
        <w:rPr>
          <w:rStyle w:val="46"/>
          <w:rFonts w:hint="eastAsia" w:ascii="仿宋" w:hAnsi="仿宋" w:eastAsia="仿宋"/>
          <w:b w:val="0"/>
          <w:bCs w:val="0"/>
        </w:rPr>
        <w:t>五、</w:t>
      </w:r>
      <w:r>
        <w:rPr>
          <w:rFonts w:hint="eastAsia" w:ascii="仿宋" w:hAnsi="仿宋" w:eastAsia="仿宋"/>
          <w:b w:val="0"/>
          <w:color w:val="000000"/>
        </w:rPr>
        <w:t>财</w:t>
      </w:r>
      <w:r>
        <w:rPr>
          <w:rStyle w:val="46"/>
          <w:rFonts w:hint="eastAsia" w:ascii="仿宋" w:hAnsi="仿宋" w:eastAsia="仿宋"/>
          <w:b w:val="0"/>
          <w:bCs w:val="0"/>
        </w:rPr>
        <w:t>政拨款支出决算明细表</w:t>
      </w:r>
      <w:bookmarkEnd w:id="285"/>
      <w:bookmarkEnd w:id="286"/>
      <w:bookmarkEnd w:id="287"/>
      <w:bookmarkStart w:id="288" w:name="_Toc15396624"/>
    </w:p>
    <w:p>
      <w:pPr>
        <w:pStyle w:val="4"/>
        <w:rPr>
          <w:rFonts w:ascii="仿宋" w:hAnsi="仿宋" w:eastAsia="仿宋"/>
          <w:color w:val="000000"/>
        </w:rPr>
      </w:pPr>
      <w:bookmarkStart w:id="289" w:name="_Toc79163891"/>
      <w:bookmarkStart w:id="290" w:name="_Toc79163641"/>
      <w:r>
        <w:rPr>
          <w:rStyle w:val="46"/>
          <w:rFonts w:hint="eastAsia" w:ascii="仿宋" w:hAnsi="仿宋" w:eastAsia="仿宋"/>
          <w:b w:val="0"/>
          <w:bCs w:val="0"/>
        </w:rPr>
        <w:t>六、</w:t>
      </w:r>
      <w:r>
        <w:rPr>
          <w:rFonts w:hint="eastAsia" w:ascii="仿宋" w:hAnsi="仿宋" w:eastAsia="仿宋"/>
          <w:b w:val="0"/>
          <w:color w:val="000000"/>
        </w:rPr>
        <w:t>一</w:t>
      </w:r>
      <w:r>
        <w:rPr>
          <w:rStyle w:val="46"/>
          <w:rFonts w:hint="eastAsia" w:ascii="仿宋" w:hAnsi="仿宋" w:eastAsia="仿宋"/>
          <w:b w:val="0"/>
          <w:bCs w:val="0"/>
        </w:rPr>
        <w:t>般公共预算财政拨款支出决算表</w:t>
      </w:r>
      <w:bookmarkEnd w:id="288"/>
      <w:bookmarkEnd w:id="289"/>
      <w:bookmarkEnd w:id="290"/>
    </w:p>
    <w:p>
      <w:pPr>
        <w:pStyle w:val="4"/>
        <w:rPr>
          <w:rFonts w:ascii="仿宋" w:hAnsi="仿宋" w:eastAsia="仿宋"/>
          <w:color w:val="000000"/>
        </w:rPr>
      </w:pPr>
      <w:bookmarkStart w:id="291" w:name="_Toc79163642"/>
      <w:bookmarkStart w:id="292" w:name="_Toc15396625"/>
      <w:bookmarkStart w:id="293" w:name="_Toc79163892"/>
      <w:r>
        <w:rPr>
          <w:rStyle w:val="46"/>
          <w:rFonts w:hint="eastAsia" w:ascii="仿宋" w:hAnsi="仿宋" w:eastAsia="仿宋"/>
          <w:b w:val="0"/>
          <w:bCs w:val="0"/>
        </w:rPr>
        <w:t>七、</w:t>
      </w:r>
      <w:r>
        <w:rPr>
          <w:rFonts w:hint="eastAsia" w:ascii="仿宋" w:hAnsi="仿宋" w:eastAsia="仿宋"/>
          <w:b w:val="0"/>
          <w:color w:val="000000"/>
        </w:rPr>
        <w:t>一</w:t>
      </w:r>
      <w:r>
        <w:rPr>
          <w:rStyle w:val="46"/>
          <w:rFonts w:hint="eastAsia" w:ascii="仿宋" w:hAnsi="仿宋" w:eastAsia="仿宋"/>
          <w:b w:val="0"/>
          <w:bCs w:val="0"/>
        </w:rPr>
        <w:t>般公共预算财政拨款支出决算明细表</w:t>
      </w:r>
      <w:bookmarkEnd w:id="291"/>
      <w:bookmarkEnd w:id="292"/>
      <w:bookmarkEnd w:id="293"/>
    </w:p>
    <w:p>
      <w:pPr>
        <w:pStyle w:val="4"/>
        <w:rPr>
          <w:rFonts w:ascii="仿宋" w:hAnsi="仿宋" w:eastAsia="仿宋"/>
          <w:color w:val="000000"/>
        </w:rPr>
      </w:pPr>
      <w:bookmarkStart w:id="294" w:name="_Toc79163893"/>
      <w:bookmarkStart w:id="295" w:name="_Toc79163643"/>
      <w:bookmarkStart w:id="296" w:name="_Toc15396626"/>
      <w:r>
        <w:rPr>
          <w:rStyle w:val="46"/>
          <w:rFonts w:hint="eastAsia" w:ascii="仿宋" w:hAnsi="仿宋" w:eastAsia="仿宋"/>
          <w:b w:val="0"/>
          <w:bCs w:val="0"/>
        </w:rPr>
        <w:t>八、</w:t>
      </w:r>
      <w:r>
        <w:rPr>
          <w:rFonts w:hint="eastAsia" w:ascii="仿宋" w:hAnsi="仿宋" w:eastAsia="仿宋"/>
          <w:b w:val="0"/>
          <w:color w:val="000000"/>
        </w:rPr>
        <w:t>一</w:t>
      </w:r>
      <w:r>
        <w:rPr>
          <w:rStyle w:val="46"/>
          <w:rFonts w:hint="eastAsia" w:ascii="仿宋" w:hAnsi="仿宋" w:eastAsia="仿宋"/>
          <w:b w:val="0"/>
          <w:bCs w:val="0"/>
        </w:rPr>
        <w:t>般公共预算财政拨款基本支出决算表</w:t>
      </w:r>
      <w:bookmarkEnd w:id="294"/>
      <w:bookmarkEnd w:id="295"/>
      <w:bookmarkEnd w:id="296"/>
    </w:p>
    <w:p>
      <w:pPr>
        <w:pStyle w:val="4"/>
        <w:rPr>
          <w:rFonts w:ascii="仿宋" w:hAnsi="仿宋" w:eastAsia="仿宋"/>
          <w:color w:val="000000"/>
        </w:rPr>
      </w:pPr>
      <w:bookmarkStart w:id="297" w:name="_Toc79163644"/>
      <w:bookmarkStart w:id="298" w:name="_Toc79163894"/>
      <w:bookmarkStart w:id="299" w:name="_Toc15396627"/>
      <w:r>
        <w:rPr>
          <w:rStyle w:val="46"/>
          <w:rFonts w:hint="eastAsia" w:ascii="仿宋" w:hAnsi="仿宋" w:eastAsia="仿宋"/>
          <w:b w:val="0"/>
          <w:bCs w:val="0"/>
        </w:rPr>
        <w:t>九、</w:t>
      </w:r>
      <w:r>
        <w:rPr>
          <w:rFonts w:hint="eastAsia" w:ascii="仿宋" w:hAnsi="仿宋" w:eastAsia="仿宋"/>
          <w:b w:val="0"/>
          <w:color w:val="000000"/>
        </w:rPr>
        <w:t>一</w:t>
      </w:r>
      <w:r>
        <w:rPr>
          <w:rStyle w:val="46"/>
          <w:rFonts w:hint="eastAsia" w:ascii="仿宋" w:hAnsi="仿宋" w:eastAsia="仿宋"/>
          <w:b w:val="0"/>
          <w:bCs w:val="0"/>
        </w:rPr>
        <w:t>般公共预算财政拨款项目支出决算表</w:t>
      </w:r>
      <w:bookmarkEnd w:id="297"/>
      <w:bookmarkEnd w:id="298"/>
      <w:bookmarkEnd w:id="299"/>
    </w:p>
    <w:p>
      <w:pPr>
        <w:pStyle w:val="4"/>
        <w:rPr>
          <w:rFonts w:ascii="仿宋" w:hAnsi="仿宋" w:eastAsia="仿宋"/>
          <w:color w:val="000000"/>
        </w:rPr>
      </w:pPr>
      <w:bookmarkStart w:id="300" w:name="_Toc15396628"/>
      <w:bookmarkStart w:id="301" w:name="_Toc79163895"/>
      <w:bookmarkStart w:id="302" w:name="_Toc79163645"/>
      <w:r>
        <w:rPr>
          <w:rStyle w:val="46"/>
          <w:rFonts w:hint="eastAsia" w:ascii="仿宋" w:hAnsi="仿宋" w:eastAsia="仿宋"/>
          <w:b w:val="0"/>
          <w:bCs w:val="0"/>
        </w:rPr>
        <w:t>十、</w:t>
      </w:r>
      <w:r>
        <w:rPr>
          <w:rFonts w:hint="eastAsia" w:ascii="仿宋" w:hAnsi="仿宋" w:eastAsia="仿宋"/>
          <w:b w:val="0"/>
          <w:color w:val="000000"/>
        </w:rPr>
        <w:t>一</w:t>
      </w:r>
      <w:r>
        <w:rPr>
          <w:rStyle w:val="46"/>
          <w:rFonts w:hint="eastAsia" w:ascii="仿宋" w:hAnsi="仿宋" w:eastAsia="仿宋"/>
          <w:b w:val="0"/>
          <w:bCs w:val="0"/>
        </w:rPr>
        <w:t>般公共预算财政拨款“三公”经费支出决算表</w:t>
      </w:r>
      <w:bookmarkEnd w:id="300"/>
      <w:bookmarkEnd w:id="301"/>
      <w:bookmarkEnd w:id="302"/>
    </w:p>
    <w:p>
      <w:pPr>
        <w:pStyle w:val="4"/>
        <w:rPr>
          <w:rFonts w:ascii="仿宋" w:hAnsi="仿宋" w:eastAsia="仿宋"/>
          <w:color w:val="000000"/>
        </w:rPr>
      </w:pPr>
      <w:bookmarkStart w:id="303" w:name="_Toc15396629"/>
      <w:bookmarkStart w:id="304" w:name="_Toc79163646"/>
      <w:bookmarkStart w:id="305" w:name="_Toc79163896"/>
      <w:r>
        <w:rPr>
          <w:rStyle w:val="46"/>
          <w:rFonts w:hint="eastAsia" w:ascii="仿宋" w:hAnsi="仿宋" w:eastAsia="仿宋"/>
          <w:b w:val="0"/>
          <w:bCs w:val="0"/>
        </w:rPr>
        <w:t>十一、</w:t>
      </w:r>
      <w:r>
        <w:rPr>
          <w:rFonts w:hint="eastAsia" w:ascii="仿宋" w:hAnsi="仿宋" w:eastAsia="仿宋"/>
          <w:b w:val="0"/>
          <w:color w:val="000000"/>
        </w:rPr>
        <w:t>政</w:t>
      </w:r>
      <w:r>
        <w:rPr>
          <w:rStyle w:val="46"/>
          <w:rFonts w:hint="eastAsia" w:ascii="仿宋" w:hAnsi="仿宋" w:eastAsia="仿宋"/>
          <w:b w:val="0"/>
          <w:bCs w:val="0"/>
        </w:rPr>
        <w:t>府性基金预算财政拨款收入支出决算表</w:t>
      </w:r>
      <w:bookmarkEnd w:id="303"/>
      <w:bookmarkEnd w:id="304"/>
      <w:bookmarkEnd w:id="305"/>
    </w:p>
    <w:p>
      <w:pPr>
        <w:pStyle w:val="4"/>
        <w:rPr>
          <w:rFonts w:ascii="仿宋" w:hAnsi="仿宋" w:eastAsia="仿宋"/>
          <w:color w:val="000000"/>
        </w:rPr>
      </w:pPr>
      <w:bookmarkStart w:id="306" w:name="_Toc15396630"/>
      <w:bookmarkStart w:id="307" w:name="_Toc79163647"/>
      <w:bookmarkStart w:id="308" w:name="_Toc79163897"/>
      <w:r>
        <w:rPr>
          <w:rStyle w:val="46"/>
          <w:rFonts w:hint="eastAsia" w:ascii="仿宋" w:hAnsi="仿宋" w:eastAsia="仿宋"/>
          <w:b w:val="0"/>
          <w:bCs w:val="0"/>
        </w:rPr>
        <w:t>十二、</w:t>
      </w:r>
      <w:r>
        <w:rPr>
          <w:rFonts w:hint="eastAsia" w:ascii="仿宋" w:hAnsi="仿宋" w:eastAsia="仿宋"/>
          <w:b w:val="0"/>
          <w:color w:val="000000"/>
        </w:rPr>
        <w:t>政</w:t>
      </w:r>
      <w:r>
        <w:rPr>
          <w:rStyle w:val="46"/>
          <w:rFonts w:hint="eastAsia" w:ascii="仿宋" w:hAnsi="仿宋" w:eastAsia="仿宋"/>
          <w:b w:val="0"/>
          <w:bCs w:val="0"/>
        </w:rPr>
        <w:t>府性基金预算财政拨款“三公”经费支出决算表</w:t>
      </w:r>
      <w:bookmarkEnd w:id="306"/>
      <w:bookmarkEnd w:id="307"/>
      <w:bookmarkEnd w:id="308"/>
    </w:p>
    <w:p>
      <w:pPr>
        <w:pStyle w:val="4"/>
        <w:rPr>
          <w:rStyle w:val="46"/>
          <w:rFonts w:ascii="仿宋" w:hAnsi="仿宋" w:eastAsia="仿宋"/>
          <w:b w:val="0"/>
          <w:bCs w:val="0"/>
        </w:rPr>
      </w:pPr>
      <w:bookmarkStart w:id="309" w:name="_Toc15396631"/>
      <w:bookmarkStart w:id="310" w:name="_Toc79163648"/>
      <w:bookmarkStart w:id="311" w:name="_Toc79163898"/>
      <w:r>
        <w:rPr>
          <w:rStyle w:val="46"/>
          <w:rFonts w:hint="eastAsia" w:ascii="仿宋" w:hAnsi="仿宋" w:eastAsia="仿宋"/>
          <w:b w:val="0"/>
          <w:bCs w:val="0"/>
        </w:rPr>
        <w:t>十三、</w:t>
      </w:r>
      <w:r>
        <w:rPr>
          <w:rFonts w:hint="eastAsia" w:ascii="仿宋" w:hAnsi="仿宋" w:eastAsia="仿宋"/>
          <w:b w:val="0"/>
          <w:color w:val="000000"/>
        </w:rPr>
        <w:t>国</w:t>
      </w:r>
      <w:r>
        <w:rPr>
          <w:rStyle w:val="46"/>
          <w:rFonts w:hint="eastAsia" w:ascii="仿宋" w:hAnsi="仿宋" w:eastAsia="仿宋"/>
          <w:b w:val="0"/>
          <w:bCs w:val="0"/>
        </w:rPr>
        <w:t>有资本经营预算财政拨款支出决算表</w:t>
      </w:r>
      <w:bookmarkEnd w:id="309"/>
      <w:bookmarkEnd w:id="310"/>
      <w:bookmarkEnd w:id="311"/>
    </w:p>
    <w:p>
      <w:pPr>
        <w:pStyle w:val="4"/>
        <w:rPr>
          <w:rStyle w:val="46"/>
          <w:rFonts w:ascii="仿宋" w:hAnsi="仿宋" w:eastAsia="仿宋"/>
          <w:b w:val="0"/>
          <w:bCs w:val="0"/>
        </w:rPr>
      </w:pPr>
      <w:bookmarkStart w:id="312" w:name="_Toc79163649"/>
      <w:bookmarkStart w:id="313" w:name="_Toc79163899"/>
      <w:r>
        <w:rPr>
          <w:rStyle w:val="46"/>
          <w:rFonts w:hint="eastAsia" w:ascii="仿宋" w:hAnsi="仿宋" w:eastAsia="仿宋"/>
          <w:b w:val="0"/>
          <w:bCs w:val="0"/>
        </w:rPr>
        <w:t>十四、国有资本经营预算财政拨款支出决算表</w:t>
      </w:r>
      <w:bookmarkEnd w:id="312"/>
      <w:bookmarkEnd w:id="313"/>
    </w:p>
    <w:p>
      <w:pPr>
        <w:pStyle w:val="4"/>
        <w:spacing w:before="93" w:line="240" w:lineRule="atLeast"/>
        <w:ind w:firstLine="320"/>
        <w:rPr>
          <w:rStyle w:val="27"/>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E-BZ">
    <w:altName w:val="Times New Roman"/>
    <w:panose1 w:val="00000000000000000000"/>
    <w:charset w:val="00"/>
    <w:family w:val="auto"/>
    <w:pitch w:val="default"/>
    <w:sig w:usb0="00000000" w:usb1="00000000" w:usb2="00000000" w:usb3="00000000" w:csb0="00040001" w:csb1="00000000"/>
  </w:font>
  <w:font w:name="Malgun Gothic Semilight">
    <w:altName w:val="文泉驿微米黑"/>
    <w:panose1 w:val="020B0502040204020203"/>
    <w:charset w:val="86"/>
    <w:family w:val="swiss"/>
    <w:pitch w:val="default"/>
    <w:sig w:usb0="00000000" w:usb1="00000000" w:usb2="00000012" w:usb3="00000000" w:csb0="203E01BD" w:csb1="D7FF0000"/>
  </w:font>
  <w:font w:name="华文楷体">
    <w:altName w:val="方正楷体_GBK"/>
    <w:panose1 w:val="02010600040101010101"/>
    <w:charset w:val="86"/>
    <w:family w:val="auto"/>
    <w:pitch w:val="default"/>
    <w:sig w:usb0="00000000" w:usb1="00000000" w:usb2="00000000" w:usb3="00000000" w:csb0="0004009F" w:csb1="DFD70000"/>
  </w:font>
  <w:font w:name="华文仿宋">
    <w:altName w:val="汉仪仿宋简"/>
    <w:panose1 w:val="02010600040101010101"/>
    <w:charset w:val="86"/>
    <w:family w:val="auto"/>
    <w:pitch w:val="default"/>
    <w:sig w:usb0="00000000" w:usb1="00000000" w:usb2="00000000" w:usb3="00000000" w:csb0="0004009F" w:csb1="DFD70000"/>
  </w:font>
  <w:font w:name="FZFSK--GBK1-0">
    <w:altName w:val="Times New Roman"/>
    <w:panose1 w:val="00000000000000000000"/>
    <w:charset w:val="00"/>
    <w:family w:val="auto"/>
    <w:pitch w:val="default"/>
    <w:sig w:usb0="00000000" w:usb1="00000000" w:usb2="00000000" w:usb3="00000000" w:csb0="00040001" w:csb1="00000000"/>
  </w:font>
  <w:font w:name="Trebuchet MS">
    <w:panose1 w:val="020B0603020202020204"/>
    <w:charset w:val="00"/>
    <w:family w:val="auto"/>
    <w:pitch w:val="default"/>
    <w:sig w:usb0="00000287" w:usb1="00000000" w:usb2="00000000" w:usb3="00000000" w:csb0="2000009F"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 w:name="SimSun">
    <w:panose1 w:val="02010600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80</w:t>
    </w:r>
    <w:r>
      <w:rPr>
        <w:lang w:val="zh-CN"/>
      </w:rP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1437A"/>
    <w:multiLevelType w:val="singleLevel"/>
    <w:tmpl w:val="8A31437A"/>
    <w:lvl w:ilvl="0" w:tentative="0">
      <w:start w:val="5"/>
      <w:numFmt w:val="chineseCounting"/>
      <w:suff w:val="nothing"/>
      <w:lvlText w:val="%1、"/>
      <w:lvlJc w:val="left"/>
      <w:rPr>
        <w:rFonts w:hint="eastAsia"/>
      </w:rPr>
    </w:lvl>
  </w:abstractNum>
  <w:abstractNum w:abstractNumId="1">
    <w:nsid w:val="9F6DBD7D"/>
    <w:multiLevelType w:val="singleLevel"/>
    <w:tmpl w:val="9F6DBD7D"/>
    <w:lvl w:ilvl="0" w:tentative="0">
      <w:start w:val="2"/>
      <w:numFmt w:val="chineseCounting"/>
      <w:suff w:val="nothing"/>
      <w:lvlText w:val="（%1）"/>
      <w:lvlJc w:val="left"/>
      <w:pPr>
        <w:ind w:left="-90"/>
      </w:pPr>
      <w:rPr>
        <w:rFonts w:hint="eastAsia"/>
      </w:rPr>
    </w:lvl>
  </w:abstractNum>
  <w:abstractNum w:abstractNumId="2">
    <w:nsid w:val="C37FFFE5"/>
    <w:multiLevelType w:val="singleLevel"/>
    <w:tmpl w:val="C37FFFE5"/>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F40E4783"/>
    <w:multiLevelType w:val="singleLevel"/>
    <w:tmpl w:val="F40E4783"/>
    <w:lvl w:ilvl="0" w:tentative="0">
      <w:start w:val="3"/>
      <w:numFmt w:val="chineseCounting"/>
      <w:suff w:val="nothing"/>
      <w:lvlText w:val="（%1）"/>
      <w:lvlJc w:val="left"/>
      <w:rPr>
        <w:rFonts w:hint="eastAsia"/>
      </w:rPr>
    </w:lvl>
  </w:abstractNum>
  <w:abstractNum w:abstractNumId="6">
    <w:nsid w:val="F64EA37B"/>
    <w:multiLevelType w:val="singleLevel"/>
    <w:tmpl w:val="F64EA37B"/>
    <w:lvl w:ilvl="0" w:tentative="0">
      <w:start w:val="1"/>
      <w:numFmt w:val="chineseCounting"/>
      <w:suff w:val="nothing"/>
      <w:lvlText w:val="%1、"/>
      <w:lvlJc w:val="left"/>
      <w:rPr>
        <w:rFonts w:hint="eastAsia" w:ascii="仿宋" w:hAnsi="仿宋" w:eastAsia="仿宋" w:cs="仿宋"/>
        <w:b/>
        <w:bCs/>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19E985FB"/>
    <w:multiLevelType w:val="singleLevel"/>
    <w:tmpl w:val="19E985FB"/>
    <w:lvl w:ilvl="0" w:tentative="0">
      <w:start w:val="1"/>
      <w:numFmt w:val="decimal"/>
      <w:suff w:val="nothing"/>
      <w:lvlText w:val="（%1）"/>
      <w:lvlJc w:val="left"/>
      <w:pPr>
        <w:ind w:left="-10"/>
      </w:pPr>
      <w:rPr>
        <w:rFonts w:hint="default"/>
        <w:b/>
        <w:bCs/>
      </w:rPr>
    </w:lvl>
  </w:abstractNum>
  <w:abstractNum w:abstractNumId="9">
    <w:nsid w:val="3064A595"/>
    <w:multiLevelType w:val="singleLevel"/>
    <w:tmpl w:val="3064A595"/>
    <w:lvl w:ilvl="0" w:tentative="0">
      <w:start w:val="1"/>
      <w:numFmt w:val="chineseCounting"/>
      <w:suff w:val="nothing"/>
      <w:lvlText w:val="%1、"/>
      <w:lvlJc w:val="left"/>
      <w:pPr>
        <w:ind w:left="-10"/>
      </w:pPr>
      <w:rPr>
        <w:rFonts w:hint="eastAsia"/>
      </w:rPr>
    </w:lvl>
  </w:abstractNum>
  <w:num w:numId="1">
    <w:abstractNumId w:val="7"/>
  </w:num>
  <w:num w:numId="2">
    <w:abstractNumId w:val="3"/>
  </w:num>
  <w:num w:numId="3">
    <w:abstractNumId w:val="8"/>
  </w:num>
  <w:num w:numId="4">
    <w:abstractNumId w:val="4"/>
  </w:num>
  <w:num w:numId="5">
    <w:abstractNumId w:val="6"/>
  </w:num>
  <w:num w:numId="6">
    <w:abstractNumId w:val="1"/>
  </w:num>
  <w:num w:numId="7">
    <w:abstractNumId w:val="5"/>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17B"/>
    <w:rsid w:val="000B047F"/>
    <w:rsid w:val="000B5923"/>
    <w:rsid w:val="000B5A48"/>
    <w:rsid w:val="000B6FF3"/>
    <w:rsid w:val="000C3467"/>
    <w:rsid w:val="000C3CA6"/>
    <w:rsid w:val="000D1267"/>
    <w:rsid w:val="000D1D50"/>
    <w:rsid w:val="000D5782"/>
    <w:rsid w:val="000E0139"/>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973BE"/>
    <w:rsid w:val="002A31DE"/>
    <w:rsid w:val="002B2613"/>
    <w:rsid w:val="002B2FF7"/>
    <w:rsid w:val="002D6D05"/>
    <w:rsid w:val="002F1818"/>
    <w:rsid w:val="002F567B"/>
    <w:rsid w:val="002F75AA"/>
    <w:rsid w:val="003216A9"/>
    <w:rsid w:val="00335A74"/>
    <w:rsid w:val="0036561B"/>
    <w:rsid w:val="0037013F"/>
    <w:rsid w:val="00380C92"/>
    <w:rsid w:val="003914FD"/>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0106"/>
    <w:rsid w:val="00443880"/>
    <w:rsid w:val="00445607"/>
    <w:rsid w:val="004464F4"/>
    <w:rsid w:val="00471401"/>
    <w:rsid w:val="00472DA4"/>
    <w:rsid w:val="00473F31"/>
    <w:rsid w:val="0048263A"/>
    <w:rsid w:val="00487E5D"/>
    <w:rsid w:val="004A711F"/>
    <w:rsid w:val="004B199D"/>
    <w:rsid w:val="004B4690"/>
    <w:rsid w:val="004D5479"/>
    <w:rsid w:val="004E0A2D"/>
    <w:rsid w:val="004E0EE8"/>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B7C25"/>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FC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072B"/>
    <w:rsid w:val="006C1937"/>
    <w:rsid w:val="006F020C"/>
    <w:rsid w:val="007127B7"/>
    <w:rsid w:val="0071798E"/>
    <w:rsid w:val="00727CBD"/>
    <w:rsid w:val="007416B6"/>
    <w:rsid w:val="00746F48"/>
    <w:rsid w:val="0075404D"/>
    <w:rsid w:val="0076182A"/>
    <w:rsid w:val="007625FA"/>
    <w:rsid w:val="00762650"/>
    <w:rsid w:val="00765031"/>
    <w:rsid w:val="00767B7E"/>
    <w:rsid w:val="007770C3"/>
    <w:rsid w:val="00784D24"/>
    <w:rsid w:val="00785FBA"/>
    <w:rsid w:val="00786E4A"/>
    <w:rsid w:val="007875EB"/>
    <w:rsid w:val="0079426B"/>
    <w:rsid w:val="00797B17"/>
    <w:rsid w:val="007D1682"/>
    <w:rsid w:val="007D312A"/>
    <w:rsid w:val="007D3F19"/>
    <w:rsid w:val="007E23B0"/>
    <w:rsid w:val="007E23E5"/>
    <w:rsid w:val="007F1991"/>
    <w:rsid w:val="007F2C2F"/>
    <w:rsid w:val="007F55FC"/>
    <w:rsid w:val="007F5665"/>
    <w:rsid w:val="007F5B68"/>
    <w:rsid w:val="00800112"/>
    <w:rsid w:val="00813348"/>
    <w:rsid w:val="008253BB"/>
    <w:rsid w:val="0083706E"/>
    <w:rsid w:val="008408F6"/>
    <w:rsid w:val="008423A5"/>
    <w:rsid w:val="00850625"/>
    <w:rsid w:val="00853718"/>
    <w:rsid w:val="00855221"/>
    <w:rsid w:val="00860645"/>
    <w:rsid w:val="00871F71"/>
    <w:rsid w:val="00872FD8"/>
    <w:rsid w:val="008852CB"/>
    <w:rsid w:val="00885AF4"/>
    <w:rsid w:val="00892977"/>
    <w:rsid w:val="008939CD"/>
    <w:rsid w:val="008B3990"/>
    <w:rsid w:val="008B768C"/>
    <w:rsid w:val="008C4DB1"/>
    <w:rsid w:val="008C4EAF"/>
    <w:rsid w:val="008C5176"/>
    <w:rsid w:val="008C5E2C"/>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A5410"/>
    <w:rsid w:val="009B2C43"/>
    <w:rsid w:val="009B45C4"/>
    <w:rsid w:val="009B4EAE"/>
    <w:rsid w:val="009B7573"/>
    <w:rsid w:val="009C14A1"/>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76B49"/>
    <w:rsid w:val="00A8228A"/>
    <w:rsid w:val="00A907B7"/>
    <w:rsid w:val="00A91760"/>
    <w:rsid w:val="00A93B00"/>
    <w:rsid w:val="00A93C21"/>
    <w:rsid w:val="00AA25A9"/>
    <w:rsid w:val="00AB3E54"/>
    <w:rsid w:val="00AB64C9"/>
    <w:rsid w:val="00AC3C6A"/>
    <w:rsid w:val="00AD5620"/>
    <w:rsid w:val="00AD656B"/>
    <w:rsid w:val="00AD74F1"/>
    <w:rsid w:val="00AD7C1B"/>
    <w:rsid w:val="00AE16BA"/>
    <w:rsid w:val="00AE1EBE"/>
    <w:rsid w:val="00B011E4"/>
    <w:rsid w:val="00B013BB"/>
    <w:rsid w:val="00B03C9D"/>
    <w:rsid w:val="00B060AE"/>
    <w:rsid w:val="00B10517"/>
    <w:rsid w:val="00B14E76"/>
    <w:rsid w:val="00B15B35"/>
    <w:rsid w:val="00B161B8"/>
    <w:rsid w:val="00B2048C"/>
    <w:rsid w:val="00B310B9"/>
    <w:rsid w:val="00B35F3F"/>
    <w:rsid w:val="00B36CBB"/>
    <w:rsid w:val="00B425E0"/>
    <w:rsid w:val="00B440AA"/>
    <w:rsid w:val="00B44B70"/>
    <w:rsid w:val="00B53C56"/>
    <w:rsid w:val="00B57DAF"/>
    <w:rsid w:val="00B748B1"/>
    <w:rsid w:val="00B77EA6"/>
    <w:rsid w:val="00B81598"/>
    <w:rsid w:val="00B841F1"/>
    <w:rsid w:val="00B90E4E"/>
    <w:rsid w:val="00B93580"/>
    <w:rsid w:val="00B944D6"/>
    <w:rsid w:val="00B965DC"/>
    <w:rsid w:val="00BB4DF0"/>
    <w:rsid w:val="00BC289F"/>
    <w:rsid w:val="00BC2D50"/>
    <w:rsid w:val="00BC5361"/>
    <w:rsid w:val="00BC5460"/>
    <w:rsid w:val="00BC6B50"/>
    <w:rsid w:val="00BD0E25"/>
    <w:rsid w:val="00BE6EF5"/>
    <w:rsid w:val="00BF5BD6"/>
    <w:rsid w:val="00C03E31"/>
    <w:rsid w:val="00C069B0"/>
    <w:rsid w:val="00C33E72"/>
    <w:rsid w:val="00C354B2"/>
    <w:rsid w:val="00C35554"/>
    <w:rsid w:val="00C42709"/>
    <w:rsid w:val="00C533CC"/>
    <w:rsid w:val="00C5751C"/>
    <w:rsid w:val="00C61294"/>
    <w:rsid w:val="00C61BFC"/>
    <w:rsid w:val="00C62B85"/>
    <w:rsid w:val="00C65438"/>
    <w:rsid w:val="00C66205"/>
    <w:rsid w:val="00C74852"/>
    <w:rsid w:val="00C84EF5"/>
    <w:rsid w:val="00C87FD8"/>
    <w:rsid w:val="00C91381"/>
    <w:rsid w:val="00C91CBB"/>
    <w:rsid w:val="00C92C62"/>
    <w:rsid w:val="00CB4E70"/>
    <w:rsid w:val="00CC09B6"/>
    <w:rsid w:val="00CC666F"/>
    <w:rsid w:val="00CD1E3F"/>
    <w:rsid w:val="00CE44F6"/>
    <w:rsid w:val="00CE49DA"/>
    <w:rsid w:val="00CE6455"/>
    <w:rsid w:val="00CE7B61"/>
    <w:rsid w:val="00D00095"/>
    <w:rsid w:val="00D106F8"/>
    <w:rsid w:val="00D114F0"/>
    <w:rsid w:val="00D20620"/>
    <w:rsid w:val="00D254F7"/>
    <w:rsid w:val="00D26091"/>
    <w:rsid w:val="00D2685C"/>
    <w:rsid w:val="00D33E3B"/>
    <w:rsid w:val="00D34E7C"/>
    <w:rsid w:val="00D35489"/>
    <w:rsid w:val="00D36AFE"/>
    <w:rsid w:val="00D438A7"/>
    <w:rsid w:val="00D51276"/>
    <w:rsid w:val="00D7035F"/>
    <w:rsid w:val="00DA634F"/>
    <w:rsid w:val="00DA65AC"/>
    <w:rsid w:val="00DB1913"/>
    <w:rsid w:val="00DC410D"/>
    <w:rsid w:val="00DC5A81"/>
    <w:rsid w:val="00DC68CA"/>
    <w:rsid w:val="00DC74B0"/>
    <w:rsid w:val="00DC7CBA"/>
    <w:rsid w:val="00DD73B7"/>
    <w:rsid w:val="00DE79BA"/>
    <w:rsid w:val="00DE7C5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86DC6"/>
    <w:rsid w:val="00EA010F"/>
    <w:rsid w:val="00EC4187"/>
    <w:rsid w:val="00ED1B63"/>
    <w:rsid w:val="00ED3C1F"/>
    <w:rsid w:val="00ED4085"/>
    <w:rsid w:val="00ED420E"/>
    <w:rsid w:val="00ED6FB5"/>
    <w:rsid w:val="00ED6FBE"/>
    <w:rsid w:val="00EE1E26"/>
    <w:rsid w:val="00EE2F57"/>
    <w:rsid w:val="00EF107C"/>
    <w:rsid w:val="00EF4C34"/>
    <w:rsid w:val="00EF60EF"/>
    <w:rsid w:val="00EF77C6"/>
    <w:rsid w:val="00F0086A"/>
    <w:rsid w:val="00F017D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510D"/>
    <w:rsid w:val="00F867A3"/>
    <w:rsid w:val="00F87E96"/>
    <w:rsid w:val="00FA23E8"/>
    <w:rsid w:val="00FD3CC1"/>
    <w:rsid w:val="00FF1E02"/>
    <w:rsid w:val="00FF30B4"/>
    <w:rsid w:val="025839E0"/>
    <w:rsid w:val="02AC7583"/>
    <w:rsid w:val="03452038"/>
    <w:rsid w:val="03B96F17"/>
    <w:rsid w:val="053E797C"/>
    <w:rsid w:val="05AD1FEC"/>
    <w:rsid w:val="07060BA8"/>
    <w:rsid w:val="07886BCA"/>
    <w:rsid w:val="07D86AB1"/>
    <w:rsid w:val="083F3071"/>
    <w:rsid w:val="08C83619"/>
    <w:rsid w:val="08F0625F"/>
    <w:rsid w:val="09371FD4"/>
    <w:rsid w:val="09F643C6"/>
    <w:rsid w:val="0A2032A3"/>
    <w:rsid w:val="0BB86363"/>
    <w:rsid w:val="0DE049F5"/>
    <w:rsid w:val="0E1C02F3"/>
    <w:rsid w:val="0F763C3B"/>
    <w:rsid w:val="10566A96"/>
    <w:rsid w:val="10C055FF"/>
    <w:rsid w:val="110B69D5"/>
    <w:rsid w:val="1162577E"/>
    <w:rsid w:val="118107EC"/>
    <w:rsid w:val="127E1DEB"/>
    <w:rsid w:val="131901CB"/>
    <w:rsid w:val="13A94FE0"/>
    <w:rsid w:val="15B9020F"/>
    <w:rsid w:val="1623454E"/>
    <w:rsid w:val="16440E25"/>
    <w:rsid w:val="164E18DB"/>
    <w:rsid w:val="16BB723D"/>
    <w:rsid w:val="17397E10"/>
    <w:rsid w:val="17BA7C07"/>
    <w:rsid w:val="18B065A2"/>
    <w:rsid w:val="18FB6A4C"/>
    <w:rsid w:val="198D0FDA"/>
    <w:rsid w:val="1C6873DE"/>
    <w:rsid w:val="1CDA2A18"/>
    <w:rsid w:val="1D155CEE"/>
    <w:rsid w:val="1DFE58C9"/>
    <w:rsid w:val="22D12A1C"/>
    <w:rsid w:val="240371BF"/>
    <w:rsid w:val="248C715D"/>
    <w:rsid w:val="267D5B1A"/>
    <w:rsid w:val="27F36F04"/>
    <w:rsid w:val="283A23CE"/>
    <w:rsid w:val="288878DA"/>
    <w:rsid w:val="29233AD5"/>
    <w:rsid w:val="29FD04D3"/>
    <w:rsid w:val="2A451772"/>
    <w:rsid w:val="2B5C07A1"/>
    <w:rsid w:val="2B7946CA"/>
    <w:rsid w:val="2B807643"/>
    <w:rsid w:val="2C097553"/>
    <w:rsid w:val="2C37435F"/>
    <w:rsid w:val="2C625D6A"/>
    <w:rsid w:val="2C732498"/>
    <w:rsid w:val="2C8B6772"/>
    <w:rsid w:val="2DF96A51"/>
    <w:rsid w:val="301D5CBD"/>
    <w:rsid w:val="31333FFE"/>
    <w:rsid w:val="319F7F4E"/>
    <w:rsid w:val="31CF724A"/>
    <w:rsid w:val="32746016"/>
    <w:rsid w:val="33C67C88"/>
    <w:rsid w:val="34C917D3"/>
    <w:rsid w:val="351701B7"/>
    <w:rsid w:val="35390538"/>
    <w:rsid w:val="37B42B73"/>
    <w:rsid w:val="389246CF"/>
    <w:rsid w:val="389B7A55"/>
    <w:rsid w:val="39273A50"/>
    <w:rsid w:val="3C5A4F47"/>
    <w:rsid w:val="3D76157E"/>
    <w:rsid w:val="3E1804F5"/>
    <w:rsid w:val="3F5D7FF4"/>
    <w:rsid w:val="3F9B315C"/>
    <w:rsid w:val="41F0611F"/>
    <w:rsid w:val="42264F6C"/>
    <w:rsid w:val="43944481"/>
    <w:rsid w:val="440919D2"/>
    <w:rsid w:val="443967A3"/>
    <w:rsid w:val="46C517A5"/>
    <w:rsid w:val="47C175FD"/>
    <w:rsid w:val="48A11894"/>
    <w:rsid w:val="4B0469DC"/>
    <w:rsid w:val="4E4E4C4A"/>
    <w:rsid w:val="4ECE2238"/>
    <w:rsid w:val="4F3801D8"/>
    <w:rsid w:val="53D81418"/>
    <w:rsid w:val="5709738F"/>
    <w:rsid w:val="5985614E"/>
    <w:rsid w:val="5AFC50CF"/>
    <w:rsid w:val="5B162CC6"/>
    <w:rsid w:val="5C2C396C"/>
    <w:rsid w:val="5F2577BE"/>
    <w:rsid w:val="604A6A62"/>
    <w:rsid w:val="60A62400"/>
    <w:rsid w:val="60EE7AFD"/>
    <w:rsid w:val="61601DC1"/>
    <w:rsid w:val="61A05E8E"/>
    <w:rsid w:val="62D274C8"/>
    <w:rsid w:val="633C1B04"/>
    <w:rsid w:val="63B72D03"/>
    <w:rsid w:val="651C554F"/>
    <w:rsid w:val="657B7DEB"/>
    <w:rsid w:val="671C2B34"/>
    <w:rsid w:val="68E54BB5"/>
    <w:rsid w:val="6922250B"/>
    <w:rsid w:val="693559EC"/>
    <w:rsid w:val="6A713C81"/>
    <w:rsid w:val="6C096438"/>
    <w:rsid w:val="6C4A05C8"/>
    <w:rsid w:val="6E6426E1"/>
    <w:rsid w:val="6E982AA2"/>
    <w:rsid w:val="70B507AB"/>
    <w:rsid w:val="72073816"/>
    <w:rsid w:val="7227521F"/>
    <w:rsid w:val="72734D90"/>
    <w:rsid w:val="7521329B"/>
    <w:rsid w:val="771A651E"/>
    <w:rsid w:val="7946130A"/>
    <w:rsid w:val="7B6F42B9"/>
    <w:rsid w:val="7CB66A94"/>
    <w:rsid w:val="7D7757F2"/>
    <w:rsid w:val="DB7BDD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5"/>
    <w:qFormat/>
    <w:uiPriority w:val="99"/>
    <w:pPr>
      <w:spacing w:beforeLines="30"/>
    </w:pPr>
    <w:rPr>
      <w:rFonts w:ascii="仿宋_GB2312" w:eastAsia="仿宋_GB2312"/>
      <w:kern w:val="0"/>
      <w:sz w:val="24"/>
      <w:szCs w:val="2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caption"/>
    <w:basedOn w:val="1"/>
    <w:next w:val="1"/>
    <w:unhideWhenUsed/>
    <w:qFormat/>
    <w:uiPriority w:val="35"/>
    <w:rPr>
      <w:rFonts w:eastAsia="黑体" w:asciiTheme="majorHAnsi" w:hAnsiTheme="majorHAnsi" w:cstheme="majorBidi"/>
      <w:sz w:val="20"/>
      <w:szCs w:val="20"/>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ody Text Indent 2"/>
    <w:basedOn w:val="1"/>
    <w:unhideWhenUsed/>
    <w:qFormat/>
    <w:uiPriority w:val="0"/>
    <w:pPr>
      <w:spacing w:after="120" w:line="480" w:lineRule="auto"/>
      <w:ind w:left="420" w:leftChars="200"/>
    </w:p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1">
    <w:name w:val="Body Text First Indent"/>
    <w:basedOn w:val="2"/>
    <w:unhideWhenUsed/>
    <w:qFormat/>
    <w:uiPriority w:val="0"/>
    <w:pPr>
      <w:ind w:firstLine="420" w:firstLineChars="100"/>
    </w:p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Char"/>
    <w:basedOn w:val="23"/>
    <w:link w:val="3"/>
    <w:qFormat/>
    <w:locked/>
    <w:uiPriority w:val="9"/>
    <w:rPr>
      <w:rFonts w:ascii="Times New Roman" w:hAnsi="Times New Roman" w:cs="Times New Roman"/>
      <w:b/>
      <w:bCs/>
      <w:kern w:val="44"/>
      <w:sz w:val="44"/>
      <w:szCs w:val="44"/>
    </w:rPr>
  </w:style>
  <w:style w:type="character" w:customStyle="1" w:styleId="27">
    <w:name w:val="标题 2 Char"/>
    <w:basedOn w:val="23"/>
    <w:link w:val="4"/>
    <w:qFormat/>
    <w:locked/>
    <w:uiPriority w:val="9"/>
    <w:rPr>
      <w:rFonts w:ascii="Cambria" w:hAnsi="Cambria" w:eastAsia="宋体" w:cs="Times New Roman"/>
      <w:b/>
      <w:bCs/>
      <w:kern w:val="2"/>
      <w:sz w:val="32"/>
      <w:szCs w:val="32"/>
    </w:rPr>
  </w:style>
  <w:style w:type="character" w:customStyle="1" w:styleId="28">
    <w:name w:val="标题 3 Char"/>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Char"/>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2"/>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styleId="41">
    <w:name w:val="List Paragraph"/>
    <w:basedOn w:val="1"/>
    <w:qFormat/>
    <w:uiPriority w:val="99"/>
    <w:pPr>
      <w:ind w:firstLine="420" w:firstLineChars="200"/>
    </w:pPr>
  </w:style>
  <w:style w:type="character" w:customStyle="1" w:styleId="42">
    <w:name w:val="NormalCharacter"/>
    <w:semiHidden/>
    <w:qFormat/>
    <w:uiPriority w:val="0"/>
  </w:style>
  <w:style w:type="paragraph" w:customStyle="1" w:styleId="43">
    <w:name w:val="BodyText"/>
    <w:basedOn w:val="1"/>
    <w:next w:val="1"/>
    <w:qFormat/>
    <w:uiPriority w:val="0"/>
    <w:pPr>
      <w:widowControl/>
      <w:textAlignment w:val="baseline"/>
    </w:pPr>
    <w:rPr>
      <w:rFonts w:ascii="Calibri" w:hAnsi="Calibri"/>
    </w:rPr>
  </w:style>
  <w:style w:type="paragraph" w:customStyle="1" w:styleId="44">
    <w:name w:val="Body text|1"/>
    <w:basedOn w:val="1"/>
    <w:qFormat/>
    <w:uiPriority w:val="0"/>
    <w:pPr>
      <w:spacing w:line="389" w:lineRule="auto"/>
      <w:ind w:firstLine="400"/>
    </w:pPr>
    <w:rPr>
      <w:rFonts w:ascii="宋体" w:hAnsi="宋体" w:cs="宋体"/>
      <w:color w:val="545F76"/>
      <w:sz w:val="30"/>
      <w:szCs w:val="30"/>
      <w:lang w:val="zh-TW" w:eastAsia="zh-TW" w:bidi="zh-TW"/>
    </w:rPr>
  </w:style>
  <w:style w:type="character" w:customStyle="1" w:styleId="45">
    <w:name w:val="标题 1 字符"/>
    <w:basedOn w:val="23"/>
    <w:link w:val="3"/>
    <w:qFormat/>
    <w:locked/>
    <w:uiPriority w:val="9"/>
    <w:rPr>
      <w:rFonts w:ascii="Times New Roman" w:hAnsi="Times New Roman" w:cs="Times New Roman"/>
      <w:b/>
      <w:bCs/>
      <w:kern w:val="44"/>
      <w:sz w:val="44"/>
      <w:szCs w:val="44"/>
    </w:rPr>
  </w:style>
  <w:style w:type="character" w:customStyle="1" w:styleId="46">
    <w:name w:val="标题 2 字符"/>
    <w:basedOn w:val="23"/>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200" b="1" i="0" u="none" strike="noStrike" kern="1200" baseline="0">
                <a:solidFill>
                  <a:schemeClr val="tx1"/>
                </a:solidFill>
                <a:latin typeface="+mn-lt"/>
                <a:ea typeface="+mn-ea"/>
                <a:cs typeface="+mn-cs"/>
              </a:defRPr>
            </a:pPr>
            <a:r>
              <a:rPr lang="zh-CN" altLang="en-US" sz="1200"/>
              <a:t>收入、支出决算总计变动情况图</a:t>
            </a:r>
            <a:endParaRPr lang="zh-CN" altLang="en-US" sz="1200"/>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2019年</c:v>
                </c:pt>
                <c:pt idx="1">
                  <c:v>2020年</c:v>
                </c:pt>
              </c:strCache>
            </c:strRef>
          </c:cat>
          <c:val>
            <c:numRef>
              <c:f>Sheet1!$B$2:$B$3</c:f>
              <c:numCache>
                <c:formatCode>General</c:formatCode>
                <c:ptCount val="2"/>
                <c:pt idx="0">
                  <c:v>593.75</c:v>
                </c:pt>
                <c:pt idx="1">
                  <c:v>408.22</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2019年</c:v>
                </c:pt>
                <c:pt idx="1">
                  <c:v>2020年</c:v>
                </c:pt>
              </c:strCache>
            </c:strRef>
          </c:cat>
          <c:val>
            <c:numRef>
              <c:f>Sheet1!$C$2:$C$3</c:f>
              <c:numCache>
                <c:formatCode>General</c:formatCode>
                <c:ptCount val="2"/>
                <c:pt idx="0">
                  <c:v>655.770000000001</c:v>
                </c:pt>
                <c:pt idx="1">
                  <c:v>465.84</c:v>
                </c:pt>
              </c:numCache>
            </c:numRef>
          </c:val>
        </c:ser>
        <c:dLbls>
          <c:showLegendKey val="false"/>
          <c:showVal val="true"/>
          <c:showCatName val="false"/>
          <c:showSerName val="false"/>
          <c:showPercent val="false"/>
          <c:showBubbleSize val="false"/>
        </c:dLbls>
        <c:gapWidth val="150"/>
        <c:overlap val="-25"/>
        <c:axId val="121338496"/>
        <c:axId val="121344384"/>
      </c:barChart>
      <c:catAx>
        <c:axId val="121338496"/>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44384"/>
        <c:crosses val="autoZero"/>
        <c:auto val="true"/>
        <c:lblAlgn val="ctr"/>
        <c:lblOffset val="100"/>
        <c:noMultiLvlLbl val="false"/>
      </c:catAx>
      <c:valAx>
        <c:axId val="121344384"/>
        <c:scaling>
          <c:orientation val="minMax"/>
        </c:scaling>
        <c:delete val="true"/>
        <c:axPos val="l"/>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38496"/>
        <c:crosses val="autoZero"/>
        <c:crossBetween val="between"/>
      </c:valAx>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收入决算结构图</c:v>
                </c:pt>
              </c:strCache>
            </c:strRef>
          </c:tx>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Lbls>
            <c:delete val="true"/>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408.22</c:v>
                </c:pt>
                <c:pt idx="1">
                  <c:v>0</c:v>
                </c:pt>
                <c:pt idx="2">
                  <c:v>0</c:v>
                </c:pt>
                <c:pt idx="3">
                  <c:v>0</c:v>
                </c:pt>
                <c:pt idx="4">
                  <c:v>0</c:v>
                </c:pt>
                <c:pt idx="5">
                  <c:v>0</c:v>
                </c:pt>
                <c:pt idx="6">
                  <c:v>0</c:v>
                </c:pt>
              </c:numCache>
            </c:numRef>
          </c:val>
        </c:ser>
        <c:dLbls>
          <c:showLegendKey val="false"/>
          <c:showVal val="false"/>
          <c:showCatName val="false"/>
          <c:showSerName val="false"/>
          <c:showPercent val="false"/>
          <c:showBubbleSize val="false"/>
          <c:showLeaderLines val="true"/>
        </c:dLbls>
        <c:firstSliceAng val="0"/>
      </c:pieChart>
    </c:plotArea>
    <c:legend>
      <c:legendPos val="r"/>
      <c:layout>
        <c:manualLayout>
          <c:xMode val="edge"/>
          <c:yMode val="edge"/>
          <c:x val="0.578333976929551"/>
          <c:y val="0.209814160226876"/>
          <c:w val="0.390057725629982"/>
          <c:h val="0.558249903549384"/>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支出决算结构图</c:v>
                </c:pt>
              </c:strCache>
            </c:strRef>
          </c:tx>
          <c:explosion val="0"/>
          <c:dPt>
            <c:idx val="0"/>
            <c:bubble3D val="false"/>
          </c:dPt>
          <c:dPt>
            <c:idx val="1"/>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0">
                  <c:v>基本支出</c:v>
                </c:pt>
                <c:pt idx="1">
                  <c:v>项目支出</c:v>
                </c:pt>
              </c:strCache>
            </c:strRef>
          </c:cat>
          <c:val>
            <c:numRef>
              <c:f>Sheet1!$B$2:$B$3</c:f>
              <c:numCache>
                <c:formatCode>General</c:formatCode>
                <c:ptCount val="2"/>
                <c:pt idx="0">
                  <c:v>354.85</c:v>
                </c:pt>
                <c:pt idx="1">
                  <c:v>110.99</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000" b="1" i="0" u="none" strike="noStrike" kern="1200" baseline="0">
                <a:solidFill>
                  <a:schemeClr val="tx1"/>
                </a:solidFill>
                <a:latin typeface="+mn-lt"/>
                <a:ea typeface="+mn-ea"/>
                <a:cs typeface="+mn-cs"/>
              </a:defRPr>
            </a:pPr>
            <a:r>
              <a:rPr lang="zh-CN" altLang="en-US" sz="1000"/>
              <a:t>财政拨款收、支决算总计变动情况图</a:t>
            </a:r>
            <a:endParaRPr lang="zh-CN" altLang="en-US" sz="1000"/>
          </a:p>
        </c:rich>
      </c:tx>
      <c:layout/>
      <c:overlay val="false"/>
    </c:title>
    <c:autoTitleDeleted val="false"/>
    <c:plotArea>
      <c:layout>
        <c:manualLayout>
          <c:layoutTarget val="inner"/>
          <c:xMode val="edge"/>
          <c:yMode val="edge"/>
          <c:x val="0.0478934591659408"/>
          <c:y val="0.418685922462426"/>
          <c:w val="0.91727493416792"/>
          <c:h val="0.373919431520489"/>
        </c:manualLayout>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2019年</c:v>
                </c:pt>
                <c:pt idx="1">
                  <c:v>2020年</c:v>
                </c:pt>
              </c:strCache>
            </c:strRef>
          </c:cat>
          <c:val>
            <c:numRef>
              <c:f>Sheet1!$B$2:$B$3</c:f>
              <c:numCache>
                <c:formatCode>General</c:formatCode>
                <c:ptCount val="2"/>
                <c:pt idx="0">
                  <c:v>593.75</c:v>
                </c:pt>
                <c:pt idx="1">
                  <c:v>408.22</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2019年</c:v>
                </c:pt>
                <c:pt idx="1">
                  <c:v>2020年</c:v>
                </c:pt>
              </c:strCache>
            </c:strRef>
          </c:cat>
          <c:val>
            <c:numRef>
              <c:f>Sheet1!$C$2:$C$3</c:f>
              <c:numCache>
                <c:formatCode>General</c:formatCode>
                <c:ptCount val="2"/>
                <c:pt idx="0">
                  <c:v>655.77</c:v>
                </c:pt>
                <c:pt idx="1">
                  <c:v>465.84</c:v>
                </c:pt>
              </c:numCache>
            </c:numRef>
          </c:val>
        </c:ser>
        <c:dLbls>
          <c:showLegendKey val="false"/>
          <c:showVal val="true"/>
          <c:showCatName val="false"/>
          <c:showSerName val="false"/>
          <c:showPercent val="false"/>
          <c:showBubbleSize val="false"/>
        </c:dLbls>
        <c:gapWidth val="150"/>
        <c:overlap val="-25"/>
        <c:axId val="121408128"/>
        <c:axId val="121889152"/>
      </c:barChart>
      <c:catAx>
        <c:axId val="121408128"/>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889152"/>
        <c:crosses val="autoZero"/>
        <c:auto val="true"/>
        <c:lblAlgn val="ctr"/>
        <c:lblOffset val="100"/>
        <c:noMultiLvlLbl val="false"/>
      </c:catAx>
      <c:valAx>
        <c:axId val="121889152"/>
        <c:scaling>
          <c:orientation val="minMax"/>
        </c:scaling>
        <c:delete val="true"/>
        <c:axPos val="l"/>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408128"/>
        <c:crosses val="autoZero"/>
        <c:crossBetween val="between"/>
      </c:valAx>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000" b="1" i="0" u="none" strike="noStrike" kern="1200" baseline="0">
                <a:solidFill>
                  <a:schemeClr val="tx1"/>
                </a:solidFill>
                <a:latin typeface="+mn-lt"/>
                <a:ea typeface="+mn-ea"/>
                <a:cs typeface="+mn-cs"/>
              </a:defRPr>
            </a:pPr>
            <a:r>
              <a:rPr lang="zh-CN" altLang="en-US" sz="1000"/>
              <a:t>一般公共预算财政拨款支出决算变动情况图</a:t>
            </a:r>
            <a:endParaRPr lang="zh-CN" altLang="en-US" sz="1000"/>
          </a:p>
        </c:rich>
      </c:tx>
      <c:layout/>
      <c:overlay val="false"/>
    </c:title>
    <c:autoTitleDeleted val="false"/>
    <c:plotArea>
      <c:layout>
        <c:manualLayout>
          <c:layoutTarget val="inner"/>
          <c:xMode val="edge"/>
          <c:yMode val="edge"/>
          <c:x val="0.0478934591659408"/>
          <c:y val="0.418685922462426"/>
          <c:w val="0.91727493416792"/>
          <c:h val="0.373919431520489"/>
        </c:manualLayout>
      </c:layout>
      <c:barChart>
        <c:barDir val="col"/>
        <c:grouping val="clustered"/>
        <c:varyColors val="false"/>
        <c:ser>
          <c:idx val="0"/>
          <c:order val="0"/>
          <c:tx>
            <c:strRef>
              <c:f>Sheet1!$B$1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2019年</c:v>
                </c:pt>
                <c:pt idx="1">
                  <c:v>2020年</c:v>
                </c:pt>
              </c:strCache>
            </c:strRef>
          </c:cat>
          <c:val>
            <c:numRef>
              <c:f>Sheet1!$B$2:$B$3</c:f>
              <c:numCache>
                <c:formatCode>General</c:formatCode>
                <c:ptCount val="2"/>
                <c:pt idx="0">
                  <c:v>655.77</c:v>
                </c:pt>
                <c:pt idx="1">
                  <c:v>465.84</c:v>
                </c:pt>
              </c:numCache>
            </c:numRef>
          </c:val>
        </c:ser>
        <c:dLbls>
          <c:showLegendKey val="false"/>
          <c:showVal val="true"/>
          <c:showCatName val="false"/>
          <c:showSerName val="false"/>
          <c:showPercent val="false"/>
          <c:showBubbleSize val="false"/>
        </c:dLbls>
        <c:gapWidth val="150"/>
        <c:overlap val="-25"/>
        <c:axId val="121868672"/>
        <c:axId val="121870208"/>
      </c:barChart>
      <c:catAx>
        <c:axId val="121868672"/>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870208"/>
        <c:crosses val="autoZero"/>
        <c:auto val="true"/>
        <c:lblAlgn val="ctr"/>
        <c:lblOffset val="100"/>
        <c:noMultiLvlLbl val="false"/>
      </c:catAx>
      <c:valAx>
        <c:axId val="121870208"/>
        <c:scaling>
          <c:orientation val="minMax"/>
        </c:scaling>
        <c:delete val="true"/>
        <c:axPos val="l"/>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868672"/>
        <c:crosses val="autoZero"/>
        <c:crossBetween val="between"/>
      </c:valAx>
    </c:plotArea>
    <c:plotVisOnly val="true"/>
    <c:dispBlanksAs val="gap"/>
    <c:showDLblsOverMax val="false"/>
  </c:chart>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一般公共预算财政拨款支出情况</a:t>
            </a:r>
            <a:endParaRPr lang="zh-CN" altLang="en-US"/>
          </a:p>
        </c:rich>
      </c:tx>
      <c:layout/>
      <c:overlay val="false"/>
    </c:title>
    <c:autoTitleDeleted val="false"/>
    <c:plotArea>
      <c:layout/>
      <c:pieChart>
        <c:varyColors val="true"/>
        <c:ser>
          <c:idx val="0"/>
          <c:order val="0"/>
          <c:tx>
            <c:strRef>
              <c:f>Sheet1!$B$1</c:f>
              <c:strCache>
                <c:ptCount val="1"/>
                <c:pt idx="0">
                  <c:v>一般公共预算财政拨款支出情况图</c:v>
                </c:pt>
              </c:strCache>
            </c:strRef>
          </c:tx>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ctr"/>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Sheet1!$A$2:$A$9</c:f>
              <c:strCache>
                <c:ptCount val="8"/>
                <c:pt idx="0">
                  <c:v>行政运行</c:v>
                </c:pt>
                <c:pt idx="1">
                  <c:v>一般行政管理事务</c:v>
                </c:pt>
                <c:pt idx="2">
                  <c:v>其他群众团体事务</c:v>
                </c:pt>
                <c:pt idx="3">
                  <c:v>养老保险</c:v>
                </c:pt>
                <c:pt idx="4">
                  <c:v>职业年金</c:v>
                </c:pt>
                <c:pt idx="5">
                  <c:v>行政单位医疗</c:v>
                </c:pt>
                <c:pt idx="6">
                  <c:v>公务员医疗补助</c:v>
                </c:pt>
                <c:pt idx="7">
                  <c:v>住房公积金</c:v>
                </c:pt>
              </c:strCache>
            </c:strRef>
          </c:cat>
          <c:val>
            <c:numRef>
              <c:f>Sheet1!$B$2:$B$9</c:f>
              <c:numCache>
                <c:formatCode>General</c:formatCode>
                <c:ptCount val="8"/>
                <c:pt idx="0">
                  <c:v>284.5</c:v>
                </c:pt>
                <c:pt idx="1">
                  <c:v>99.3</c:v>
                </c:pt>
                <c:pt idx="2">
                  <c:v>7.8</c:v>
                </c:pt>
                <c:pt idx="3">
                  <c:v>21.1</c:v>
                </c:pt>
                <c:pt idx="4">
                  <c:v>10.3</c:v>
                </c:pt>
                <c:pt idx="5">
                  <c:v>13.7</c:v>
                </c:pt>
                <c:pt idx="6">
                  <c:v>3.2</c:v>
                </c:pt>
                <c:pt idx="7">
                  <c:v>21.3</c:v>
                </c:pt>
              </c:numCache>
            </c:numRef>
          </c:val>
        </c:ser>
        <c:dLbls>
          <c:showLegendKey val="false"/>
          <c:showVal val="false"/>
          <c:showCatName val="false"/>
          <c:showSerName val="false"/>
          <c:showPercent val="true"/>
          <c:showBubbleSize val="false"/>
          <c:showLeaderLines val="true"/>
        </c:dLbls>
        <c:firstSliceAng val="0"/>
      </c:pieChart>
    </c:plotArea>
    <c:legend>
      <c:legendPos val="t"/>
      <c:layout>
        <c:manualLayout>
          <c:xMode val="edge"/>
          <c:yMode val="edge"/>
          <c:x val="0"/>
          <c:y val="0.168995659377319"/>
          <c:w val="0.29140309136054"/>
          <c:h val="0.831004340622681"/>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“三公”经费财政拨款支出结构图</c:v>
                </c:pt>
              </c:strCache>
            </c:strRef>
          </c:tx>
          <c:explosion val="0"/>
          <c:dPt>
            <c:idx val="0"/>
            <c:bubble3D val="false"/>
          </c:dPt>
          <c:dPt>
            <c:idx val="1"/>
            <c:bubble3D val="false"/>
          </c:dPt>
          <c:dPt>
            <c:idx val="2"/>
            <c:bubble3D val="false"/>
          </c:dPt>
          <c:dPt>
            <c:idx val="3"/>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因公出国（境）费支出</c:v>
                </c:pt>
                <c:pt idx="1">
                  <c:v>公务用车购置费</c:v>
                </c:pt>
                <c:pt idx="2">
                  <c:v>公车运行维护费</c:v>
                </c:pt>
                <c:pt idx="3">
                  <c:v>公务接待费</c:v>
                </c:pt>
              </c:strCache>
            </c:strRef>
          </c:cat>
          <c:val>
            <c:numRef>
              <c:f>Sheet1!$B$2:$B$5</c:f>
              <c:numCache>
                <c:formatCode>General</c:formatCode>
                <c:ptCount val="4"/>
                <c:pt idx="0">
                  <c:v>0</c:v>
                </c:pt>
                <c:pt idx="1">
                  <c:v>0</c:v>
                </c:pt>
                <c:pt idx="2">
                  <c:v>11.67</c:v>
                </c:pt>
                <c:pt idx="3">
                  <c:v>0.34</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82</Pages>
  <Words>34810</Words>
  <Characters>9195</Characters>
  <Lines>76</Lines>
  <Paragraphs>87</Paragraphs>
  <TotalTime>0</TotalTime>
  <ScaleCrop>false</ScaleCrop>
  <LinksUpToDate>false</LinksUpToDate>
  <CharactersWithSpaces>43918</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2021-09-23T12:00:00Z</dcterms:created>
  <dc:creator>曹颖</dc:creator>
  <cp:lastModifiedBy>user</cp:lastModifiedBy>
  <cp:lastPrinted>2021-09-18T15:32:00Z</cp:lastPrinted>
  <dcterms:modified xsi:type="dcterms:W3CDTF">2022-04-14T14:56:53Z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3A81896542FF4C6688D5FCE64FCF86CC</vt:lpwstr>
  </property>
</Properties>
</file>