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476BD">
      <w:pPr>
        <w:spacing w:line="600" w:lineRule="exact"/>
        <w:jc w:val="center"/>
        <w:outlineLvl w:val="0"/>
        <w:rPr>
          <w:rFonts w:ascii="方正小标宋简体" w:hAnsi="宋体" w:eastAsia="方正小标宋简体"/>
          <w:color w:val="000000"/>
          <w:sz w:val="32"/>
          <w:szCs w:val="32"/>
        </w:rPr>
      </w:pPr>
      <w:bookmarkStart w:id="0" w:name="_Toc15306267"/>
    </w:p>
    <w:p w14:paraId="1E180960">
      <w:pPr>
        <w:spacing w:line="600" w:lineRule="exact"/>
        <w:jc w:val="center"/>
        <w:outlineLvl w:val="0"/>
        <w:rPr>
          <w:rFonts w:ascii="方正小标宋简体" w:hAnsi="宋体" w:eastAsia="方正小标宋简体"/>
          <w:color w:val="000000"/>
          <w:sz w:val="32"/>
          <w:szCs w:val="32"/>
        </w:rPr>
      </w:pPr>
    </w:p>
    <w:p w14:paraId="6B4E72B3">
      <w:pPr>
        <w:spacing w:line="600" w:lineRule="exact"/>
        <w:jc w:val="center"/>
        <w:outlineLvl w:val="0"/>
        <w:rPr>
          <w:rFonts w:ascii="方正小标宋简体" w:hAnsi="宋体" w:eastAsia="方正小标宋简体"/>
          <w:color w:val="000000"/>
          <w:sz w:val="32"/>
          <w:szCs w:val="32"/>
        </w:rPr>
      </w:pPr>
    </w:p>
    <w:p w14:paraId="57C6DCB4">
      <w:pPr>
        <w:spacing w:line="600" w:lineRule="exact"/>
        <w:jc w:val="center"/>
        <w:outlineLvl w:val="0"/>
        <w:rPr>
          <w:rFonts w:ascii="方正小标宋简体" w:hAnsi="宋体" w:eastAsia="方正小标宋简体"/>
          <w:color w:val="000000"/>
          <w:sz w:val="32"/>
          <w:szCs w:val="32"/>
        </w:rPr>
      </w:pPr>
    </w:p>
    <w:p w14:paraId="09CE9A62">
      <w:pPr>
        <w:adjustRightInd w:val="0"/>
        <w:snapToGrid w:val="0"/>
        <w:spacing w:line="360" w:lineRule="auto"/>
        <w:jc w:val="center"/>
        <w:outlineLvl w:val="0"/>
        <w:rPr>
          <w:rFonts w:ascii="方正小标宋简体" w:hAnsi="宋体" w:eastAsia="方正小标宋简体"/>
          <w:color w:val="000000"/>
          <w:sz w:val="32"/>
          <w:szCs w:val="32"/>
        </w:rPr>
      </w:pPr>
      <w:bookmarkStart w:id="1" w:name="_Toc15377425"/>
      <w:bookmarkStart w:id="2" w:name="_Toc15396597"/>
      <w:bookmarkStart w:id="3" w:name="_Toc15396475"/>
      <w:bookmarkStart w:id="4" w:name="_Toc15377193"/>
      <w:bookmarkStart w:id="5" w:name="_Toc15378441"/>
      <w:r>
        <w:rPr>
          <w:rFonts w:ascii="黑体" w:hAnsi="黑体" w:eastAsia="黑体"/>
          <w:color w:val="000000"/>
          <w:sz w:val="32"/>
          <w:szCs w:val="32"/>
        </w:rPr>
        <w:t>201</w:t>
      </w:r>
      <w:r>
        <w:rPr>
          <w:rFonts w:hint="eastAsia" w:ascii="黑体" w:hAnsi="黑体" w:eastAsia="黑体"/>
          <w:color w:val="000000"/>
          <w:sz w:val="32"/>
          <w:szCs w:val="32"/>
        </w:rPr>
        <w:t>9</w:t>
      </w:r>
      <w:r>
        <w:rPr>
          <w:rFonts w:hint="eastAsia" w:ascii="方正小标宋简体" w:hAnsi="宋体" w:eastAsia="方正小标宋简体"/>
          <w:color w:val="000000"/>
          <w:sz w:val="32"/>
          <w:szCs w:val="32"/>
        </w:rPr>
        <w:t>年度</w:t>
      </w:r>
      <w:bookmarkEnd w:id="1"/>
      <w:bookmarkEnd w:id="2"/>
      <w:bookmarkEnd w:id="3"/>
      <w:bookmarkEnd w:id="4"/>
      <w:bookmarkEnd w:id="5"/>
    </w:p>
    <w:p w14:paraId="1CAD39BF">
      <w:pPr>
        <w:adjustRightInd w:val="0"/>
        <w:snapToGrid w:val="0"/>
        <w:spacing w:line="360" w:lineRule="auto"/>
        <w:jc w:val="center"/>
        <w:outlineLvl w:val="0"/>
        <w:rPr>
          <w:rFonts w:ascii="方正小标宋简体" w:hAnsi="宋体" w:eastAsia="方正小标宋简体"/>
          <w:color w:val="000000"/>
          <w:sz w:val="32"/>
          <w:szCs w:val="32"/>
        </w:rPr>
      </w:pPr>
      <w:bookmarkStart w:id="6" w:name="_Toc15377194"/>
      <w:bookmarkStart w:id="7" w:name="_Toc15377426"/>
      <w:bookmarkStart w:id="8" w:name="_Toc15396476"/>
      <w:bookmarkStart w:id="9" w:name="_Toc15396598"/>
      <w:bookmarkStart w:id="10" w:name="_Toc15378442"/>
      <w:r>
        <w:rPr>
          <w:rFonts w:hint="eastAsia" w:ascii="方正小标宋简体" w:hAnsi="宋体" w:eastAsia="方正小标宋简体"/>
          <w:color w:val="000000"/>
          <w:sz w:val="32"/>
          <w:szCs w:val="32"/>
        </w:rPr>
        <w:t>四川省阿坝州</w:t>
      </w:r>
      <w:bookmarkEnd w:id="0"/>
      <w:bookmarkStart w:id="11" w:name="_Toc15306268"/>
      <w:r>
        <w:rPr>
          <w:rFonts w:hint="eastAsia" w:ascii="方正小标宋简体" w:hAnsi="宋体" w:eastAsia="方正小标宋简体"/>
          <w:color w:val="000000"/>
          <w:sz w:val="32"/>
          <w:szCs w:val="32"/>
        </w:rPr>
        <w:t>妇女联合会部门决算</w:t>
      </w:r>
      <w:bookmarkEnd w:id="6"/>
      <w:bookmarkEnd w:id="7"/>
      <w:bookmarkEnd w:id="8"/>
      <w:bookmarkEnd w:id="9"/>
      <w:bookmarkEnd w:id="10"/>
      <w:bookmarkEnd w:id="11"/>
    </w:p>
    <w:p w14:paraId="0333DEDD">
      <w:pPr>
        <w:widowControl/>
        <w:jc w:val="center"/>
        <w:rPr>
          <w:rFonts w:ascii="方正小标宋简体" w:hAnsi="宋体" w:eastAsia="方正小标宋简体"/>
          <w:color w:val="000000"/>
          <w:sz w:val="32"/>
          <w:szCs w:val="32"/>
        </w:rPr>
      </w:pPr>
    </w:p>
    <w:p w14:paraId="77D10EFA">
      <w:pPr>
        <w:rPr>
          <w:rFonts w:ascii="方正小标宋简体" w:hAnsi="宋体" w:eastAsia="方正小标宋简体"/>
          <w:sz w:val="32"/>
          <w:szCs w:val="32"/>
        </w:rPr>
      </w:pPr>
    </w:p>
    <w:p w14:paraId="4B7D849F">
      <w:pPr>
        <w:rPr>
          <w:rFonts w:ascii="方正小标宋简体" w:hAnsi="宋体" w:eastAsia="方正小标宋简体"/>
          <w:sz w:val="32"/>
          <w:szCs w:val="32"/>
        </w:rPr>
      </w:pPr>
    </w:p>
    <w:p w14:paraId="71689186">
      <w:pPr>
        <w:rPr>
          <w:rFonts w:ascii="方正小标宋简体" w:hAnsi="宋体" w:eastAsia="方正小标宋简体"/>
          <w:sz w:val="32"/>
          <w:szCs w:val="32"/>
        </w:rPr>
      </w:pPr>
    </w:p>
    <w:p w14:paraId="0C8B3929">
      <w:pPr>
        <w:rPr>
          <w:rFonts w:ascii="方正小标宋简体" w:hAnsi="宋体" w:eastAsia="方正小标宋简体"/>
          <w:sz w:val="32"/>
          <w:szCs w:val="32"/>
        </w:rPr>
      </w:pPr>
    </w:p>
    <w:p w14:paraId="4F41DA01">
      <w:pPr>
        <w:rPr>
          <w:rFonts w:ascii="方正小标宋简体" w:hAnsi="宋体" w:eastAsia="方正小标宋简体"/>
          <w:sz w:val="32"/>
          <w:szCs w:val="32"/>
        </w:rPr>
      </w:pPr>
    </w:p>
    <w:p w14:paraId="743FB46D">
      <w:pPr>
        <w:rPr>
          <w:rFonts w:ascii="方正小标宋简体" w:hAnsi="宋体" w:eastAsia="方正小标宋简体"/>
          <w:sz w:val="32"/>
          <w:szCs w:val="32"/>
        </w:rPr>
      </w:pPr>
    </w:p>
    <w:p w14:paraId="3661CC54">
      <w:pPr>
        <w:autoSpaceDE w:val="0"/>
        <w:autoSpaceDN w:val="0"/>
        <w:adjustRightInd w:val="0"/>
        <w:ind w:firstLine="1276"/>
        <w:jc w:val="left"/>
        <w:rPr>
          <w:rFonts w:ascii="仿宋_GB2312" w:hAnsi="Calibri" w:eastAsia="仿宋_GB2312" w:cs="仿宋_GB2312"/>
          <w:sz w:val="32"/>
          <w:szCs w:val="32"/>
        </w:rPr>
      </w:pPr>
      <w:r>
        <w:rPr>
          <w:rFonts w:hint="eastAsia" w:ascii="仿宋_GB2312" w:hAnsi="Calibri" w:eastAsia="仿宋_GB2312" w:cs="仿宋_GB2312"/>
          <w:sz w:val="32"/>
          <w:szCs w:val="32"/>
        </w:rPr>
        <w:t>保密审查情况：</w:t>
      </w:r>
    </w:p>
    <w:p w14:paraId="1FAA2D6C">
      <w:pPr>
        <w:autoSpaceDE w:val="0"/>
        <w:autoSpaceDN w:val="0"/>
        <w:adjustRightInd w:val="0"/>
        <w:ind w:firstLine="1276"/>
        <w:jc w:val="left"/>
        <w:rPr>
          <w:rFonts w:ascii="仿宋_GB2312" w:hAnsi="Calibri" w:eastAsia="仿宋_GB2312" w:cs="仿宋_GB2312"/>
          <w:sz w:val="32"/>
          <w:szCs w:val="32"/>
        </w:rPr>
      </w:pPr>
    </w:p>
    <w:p w14:paraId="3032E8E4">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r>
        <w:rPr>
          <w:rFonts w:eastAsia="仿宋_GB2312"/>
          <w:sz w:val="32"/>
          <w:szCs w:val="32"/>
        </w:rPr>
        <w:t xml:space="preserve"> </w:t>
      </w:r>
    </w:p>
    <w:p w14:paraId="51DBA4AF">
      <w:pPr>
        <w:widowControl/>
        <w:jc w:val="center"/>
        <w:rPr>
          <w:rFonts w:ascii="方正小标宋简体" w:hAnsi="宋体" w:eastAsia="方正小标宋简体"/>
          <w:sz w:val="32"/>
          <w:szCs w:val="32"/>
        </w:rPr>
      </w:pPr>
    </w:p>
    <w:p w14:paraId="201BA496">
      <w:pPr>
        <w:widowControl/>
        <w:jc w:val="center"/>
        <w:rPr>
          <w:rFonts w:ascii="黑体" w:hAnsi="黑体" w:eastAsia="黑体"/>
          <w:color w:val="000000"/>
          <w:sz w:val="32"/>
          <w:szCs w:val="32"/>
        </w:rPr>
      </w:pPr>
      <w:r>
        <w:rPr>
          <w:rFonts w:ascii="方正小标宋简体" w:hAnsi="宋体" w:eastAsia="方正小标宋简体"/>
          <w:sz w:val="32"/>
          <w:szCs w:val="32"/>
        </w:rPr>
        <w:br w:type="page"/>
      </w:r>
      <w:r>
        <w:rPr>
          <w:rFonts w:hint="eastAsia" w:ascii="黑体" w:hAnsi="黑体" w:eastAsia="黑体"/>
          <w:color w:val="000000"/>
          <w:sz w:val="32"/>
          <w:szCs w:val="32"/>
        </w:rPr>
        <w:t>目录</w:t>
      </w:r>
    </w:p>
    <w:p w14:paraId="6AF4646D">
      <w:pPr>
        <w:pStyle w:val="12"/>
        <w:rPr>
          <w:rFonts w:hint="eastAsia"/>
          <w:sz w:val="32"/>
          <w:szCs w:val="32"/>
        </w:rPr>
      </w:pPr>
      <w:r>
        <w:rPr>
          <w:rFonts w:hint="eastAsia"/>
          <w:sz w:val="32"/>
          <w:szCs w:val="32"/>
        </w:rPr>
        <w:t>公开时间：2020年9月</w:t>
      </w:r>
      <w:r>
        <w:rPr>
          <w:sz w:val="32"/>
          <w:szCs w:val="32"/>
        </w:rPr>
        <w:t>25</w:t>
      </w:r>
      <w:r>
        <w:rPr>
          <w:rFonts w:hint="eastAsia"/>
          <w:sz w:val="32"/>
          <w:szCs w:val="32"/>
        </w:rPr>
        <w:t>日</w:t>
      </w:r>
    </w:p>
    <w:p w14:paraId="370BD8CB"/>
    <w:p w14:paraId="36DD4A58">
      <w:pPr>
        <w:pStyle w:val="12"/>
        <w:adjustRightInd w:val="0"/>
        <w:snapToGrid w:val="0"/>
        <w:spacing w:before="0" w:line="440" w:lineRule="exact"/>
        <w:jc w:val="left"/>
        <w:rPr>
          <w:rFonts w:hint="eastAsia" w:ascii="黑体" w:hAnsi="黑体" w:eastAsia="黑体" w:cstheme="minorBidi"/>
          <w:sz w:val="32"/>
          <w:szCs w:val="32"/>
        </w:rPr>
      </w:pPr>
      <w:r>
        <w:rPr>
          <w:rFonts w:hint="eastAsia" w:ascii="黑体" w:hAnsi="黑体" w:eastAsia="黑体"/>
          <w:sz w:val="32"/>
          <w:szCs w:val="32"/>
        </w:rPr>
        <w:t>第一部分 部门概况</w:t>
      </w:r>
    </w:p>
    <w:p w14:paraId="485DC3F2">
      <w:pPr>
        <w:pStyle w:val="13"/>
        <w:adjustRightInd w:val="0"/>
        <w:snapToGrid w:val="0"/>
        <w:spacing w:line="440" w:lineRule="exact"/>
        <w:jc w:val="left"/>
        <w:rPr>
          <w:rFonts w:hint="eastAsia" w:ascii="仿宋_GB2312" w:hAnsi="仿宋" w:eastAsia="仿宋_GB2312"/>
          <w:sz w:val="32"/>
          <w:szCs w:val="32"/>
        </w:rPr>
      </w:pPr>
      <w:r>
        <w:rPr>
          <w:rFonts w:hint="eastAsia" w:ascii="仿宋_GB2312" w:eastAsia="仿宋_GB2312"/>
          <w:sz w:val="32"/>
          <w:szCs w:val="32"/>
        </w:rPr>
        <w:t xml:space="preserve">一、基本职能及主要工作........................4-12     </w:t>
      </w:r>
    </w:p>
    <w:p w14:paraId="55A10E5A">
      <w:pPr>
        <w:pStyle w:val="13"/>
        <w:adjustRightInd w:val="0"/>
        <w:snapToGrid w:val="0"/>
        <w:spacing w:line="440" w:lineRule="exact"/>
        <w:jc w:val="left"/>
        <w:rPr>
          <w:rFonts w:hint="eastAsia" w:ascii="仿宋_GB2312" w:hAnsi="仿宋" w:eastAsia="仿宋_GB2312" w:cstheme="minorBidi"/>
          <w:sz w:val="32"/>
          <w:szCs w:val="32"/>
        </w:rPr>
      </w:pPr>
      <w:r>
        <w:rPr>
          <w:rFonts w:hint="eastAsia" w:ascii="仿宋_GB2312" w:eastAsia="仿宋_GB2312"/>
          <w:sz w:val="32"/>
          <w:szCs w:val="32"/>
        </w:rPr>
        <w:t>二、机构设置</w:t>
      </w:r>
    </w:p>
    <w:p w14:paraId="5DDFA75D">
      <w:pPr>
        <w:pStyle w:val="12"/>
        <w:adjustRightInd w:val="0"/>
        <w:snapToGrid w:val="0"/>
        <w:spacing w:before="0" w:line="440" w:lineRule="exact"/>
        <w:jc w:val="left"/>
        <w:rPr>
          <w:rFonts w:ascii="黑体" w:hAnsi="黑体" w:eastAsia="黑体"/>
          <w:sz w:val="32"/>
          <w:szCs w:val="32"/>
        </w:rPr>
      </w:pPr>
      <w:r>
        <w:rPr>
          <w:rFonts w:hint="eastAsia" w:ascii="黑体" w:hAnsi="黑体" w:eastAsia="黑体"/>
          <w:sz w:val="32"/>
          <w:szCs w:val="32"/>
        </w:rPr>
        <w:t>第二部分度部门决算情况说明</w:t>
      </w:r>
    </w:p>
    <w:p w14:paraId="5CB07BC0">
      <w:pPr>
        <w:pStyle w:val="13"/>
        <w:adjustRightInd w:val="0"/>
        <w:snapToGrid w:val="0"/>
        <w:spacing w:line="440" w:lineRule="exact"/>
        <w:jc w:val="left"/>
        <w:rPr>
          <w:rFonts w:hint="eastAsia" w:ascii="仿宋_GB2312" w:hAnsi="仿宋" w:eastAsia="仿宋_GB2312" w:cstheme="minorBidi"/>
          <w:sz w:val="32"/>
          <w:szCs w:val="32"/>
        </w:rPr>
      </w:pPr>
      <w:r>
        <w:rPr>
          <w:rFonts w:hint="eastAsia" w:ascii="仿宋_GB2312" w:eastAsia="仿宋_GB2312"/>
          <w:sz w:val="32"/>
          <w:szCs w:val="32"/>
        </w:rPr>
        <w:t>一、收入支出决算总体情况说明</w:t>
      </w:r>
      <w:r>
        <w:rPr>
          <w:rFonts w:ascii="仿宋_GB2312" w:eastAsia="仿宋_GB2312"/>
          <w:sz w:val="32"/>
          <w:szCs w:val="32"/>
        </w:rPr>
        <w:t>…………………………</w:t>
      </w:r>
      <w:r>
        <w:rPr>
          <w:rFonts w:hint="eastAsia" w:ascii="仿宋_GB2312" w:eastAsia="仿宋_GB2312"/>
          <w:sz w:val="32"/>
          <w:szCs w:val="32"/>
        </w:rPr>
        <w:t>12</w:t>
      </w:r>
    </w:p>
    <w:p w14:paraId="78D6167F">
      <w:pPr>
        <w:pStyle w:val="13"/>
        <w:adjustRightInd w:val="0"/>
        <w:snapToGrid w:val="0"/>
        <w:spacing w:line="440" w:lineRule="exact"/>
        <w:jc w:val="left"/>
        <w:rPr>
          <w:rFonts w:hint="eastAsia" w:ascii="仿宋_GB2312" w:hAnsi="仿宋" w:eastAsia="仿宋_GB2312" w:cstheme="minorBidi"/>
          <w:sz w:val="32"/>
          <w:szCs w:val="32"/>
        </w:rPr>
      </w:pPr>
      <w:r>
        <w:rPr>
          <w:rFonts w:hint="eastAsia" w:ascii="仿宋_GB2312" w:eastAsia="仿宋_GB2312"/>
          <w:sz w:val="32"/>
          <w:szCs w:val="32"/>
        </w:rPr>
        <w:t>二、收入决算情况说明</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13</w:t>
      </w:r>
    </w:p>
    <w:p w14:paraId="42AA33EA">
      <w:pPr>
        <w:pStyle w:val="13"/>
        <w:adjustRightInd w:val="0"/>
        <w:snapToGrid w:val="0"/>
        <w:spacing w:line="440" w:lineRule="exact"/>
        <w:jc w:val="left"/>
        <w:rPr>
          <w:rFonts w:hint="eastAsia" w:ascii="仿宋_GB2312" w:hAnsi="仿宋" w:eastAsia="仿宋_GB2312" w:cstheme="minorBidi"/>
          <w:sz w:val="32"/>
          <w:szCs w:val="32"/>
        </w:rPr>
      </w:pPr>
      <w:r>
        <w:rPr>
          <w:rFonts w:hint="eastAsia" w:ascii="仿宋_GB2312" w:eastAsia="仿宋_GB2312"/>
          <w:sz w:val="32"/>
          <w:szCs w:val="32"/>
        </w:rPr>
        <w:t>三、支出决算情况说明</w:t>
      </w:r>
      <w:r>
        <w:rPr>
          <w:rFonts w:ascii="仿宋_GB2312" w:eastAsia="仿宋_GB2312"/>
          <w:sz w:val="32"/>
          <w:szCs w:val="32"/>
        </w:rPr>
        <w:t>…………………………………</w:t>
      </w:r>
      <w:r>
        <w:rPr>
          <w:rFonts w:hint="eastAsia" w:ascii="仿宋_GB2312" w:eastAsia="仿宋_GB2312"/>
          <w:sz w:val="32"/>
          <w:szCs w:val="32"/>
        </w:rPr>
        <w:t>..13</w:t>
      </w:r>
    </w:p>
    <w:p w14:paraId="19FD21B7">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四、财政拨款收入支出决算总体情况说明</w:t>
      </w:r>
      <w:r>
        <w:rPr>
          <w:rFonts w:ascii="仿宋_GB2312" w:eastAsia="仿宋_GB2312"/>
          <w:sz w:val="32"/>
          <w:szCs w:val="32"/>
        </w:rPr>
        <w:t>………………</w:t>
      </w:r>
      <w:r>
        <w:rPr>
          <w:rFonts w:hint="eastAsia" w:ascii="仿宋_GB2312" w:eastAsia="仿宋_GB2312"/>
          <w:sz w:val="32"/>
          <w:szCs w:val="32"/>
        </w:rPr>
        <w:t>15</w:t>
      </w:r>
    </w:p>
    <w:p w14:paraId="1F1F8470">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五、一般公共预算财政拨款支出决算情况说</w:t>
      </w:r>
      <w:r>
        <w:rPr>
          <w:rFonts w:ascii="仿宋_GB2312" w:eastAsia="仿宋_GB2312"/>
          <w:sz w:val="32"/>
          <w:szCs w:val="32"/>
        </w:rPr>
        <w:t>………</w:t>
      </w:r>
      <w:r>
        <w:rPr>
          <w:rFonts w:hint="eastAsia" w:ascii="仿宋_GB2312" w:eastAsia="仿宋_GB2312"/>
          <w:sz w:val="32"/>
          <w:szCs w:val="32"/>
        </w:rPr>
        <w:t>15-18</w:t>
      </w:r>
    </w:p>
    <w:p w14:paraId="6CD72574">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六、一般公共预算财政拨款基本支出决算情况说明.18-19</w:t>
      </w:r>
    </w:p>
    <w:p w14:paraId="480C4BBE">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七、</w:t>
      </w:r>
      <w:r>
        <w:rPr>
          <w:rFonts w:ascii="仿宋_GB2312" w:eastAsia="仿宋_GB2312"/>
          <w:sz w:val="32"/>
          <w:szCs w:val="32"/>
        </w:rPr>
        <w:t>“</w:t>
      </w:r>
      <w:r>
        <w:rPr>
          <w:rFonts w:hint="eastAsia" w:ascii="仿宋_GB2312" w:eastAsia="仿宋_GB2312"/>
          <w:sz w:val="32"/>
          <w:szCs w:val="32"/>
        </w:rPr>
        <w:t>三公”经费财政拨款支出决算情况说明</w:t>
      </w:r>
      <w:r>
        <w:rPr>
          <w:rFonts w:ascii="仿宋_GB2312" w:eastAsia="仿宋_GB2312"/>
          <w:sz w:val="32"/>
          <w:szCs w:val="32"/>
        </w:rPr>
        <w:t>……</w:t>
      </w:r>
      <w:r>
        <w:rPr>
          <w:rFonts w:hint="eastAsia" w:ascii="仿宋_GB2312" w:eastAsia="仿宋_GB2312"/>
          <w:sz w:val="32"/>
          <w:szCs w:val="32"/>
        </w:rPr>
        <w:t>..19-21</w:t>
      </w:r>
    </w:p>
    <w:p w14:paraId="32016A24">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八、政府性基金预算支出决算情况说明</w:t>
      </w:r>
      <w:r>
        <w:rPr>
          <w:rFonts w:ascii="仿宋_GB2312" w:eastAsia="仿宋_GB2312"/>
          <w:sz w:val="32"/>
          <w:szCs w:val="32"/>
        </w:rPr>
        <w:t>………………</w:t>
      </w:r>
      <w:r>
        <w:rPr>
          <w:rFonts w:hint="eastAsia" w:ascii="仿宋_GB2312" w:eastAsia="仿宋_GB2312"/>
          <w:sz w:val="32"/>
          <w:szCs w:val="32"/>
        </w:rPr>
        <w:t>..21</w:t>
      </w:r>
    </w:p>
    <w:p w14:paraId="1A979A45">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九、</w:t>
      </w:r>
      <w:r>
        <w:rPr>
          <w:rFonts w:ascii="仿宋_GB2312" w:eastAsia="仿宋_GB2312"/>
          <w:sz w:val="32"/>
          <w:szCs w:val="32"/>
        </w:rPr>
        <w:t xml:space="preserve"> 国</w:t>
      </w:r>
      <w:r>
        <w:rPr>
          <w:rFonts w:hint="eastAsia" w:ascii="仿宋_GB2312" w:eastAsia="仿宋_GB2312"/>
          <w:sz w:val="32"/>
          <w:szCs w:val="32"/>
        </w:rPr>
        <w:t>有资本经营预算支出决算情况说明</w:t>
      </w:r>
      <w:r>
        <w:rPr>
          <w:rFonts w:ascii="仿宋_GB2312" w:eastAsia="仿宋_GB2312"/>
          <w:sz w:val="32"/>
          <w:szCs w:val="32"/>
        </w:rPr>
        <w:t>……………</w:t>
      </w:r>
      <w:r>
        <w:rPr>
          <w:rFonts w:hint="eastAsia" w:ascii="仿宋_GB2312" w:eastAsia="仿宋_GB2312"/>
          <w:sz w:val="32"/>
          <w:szCs w:val="32"/>
        </w:rPr>
        <w:t>.21</w:t>
      </w:r>
    </w:p>
    <w:p w14:paraId="1BEEB071">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十、其他重要事项的情况说</w:t>
      </w:r>
      <w:r>
        <w:rPr>
          <w:rFonts w:ascii="仿宋_GB2312" w:eastAsia="仿宋_GB2312"/>
          <w:sz w:val="32"/>
          <w:szCs w:val="32"/>
        </w:rPr>
        <w:t>…………………………</w:t>
      </w:r>
      <w:r>
        <w:rPr>
          <w:rFonts w:hint="eastAsia" w:ascii="仿宋_GB2312" w:eastAsia="仿宋_GB2312"/>
          <w:sz w:val="32"/>
          <w:szCs w:val="32"/>
        </w:rPr>
        <w:t>.21-37</w:t>
      </w:r>
    </w:p>
    <w:p w14:paraId="5E757D2A">
      <w:pPr>
        <w:pStyle w:val="12"/>
        <w:adjustRightInd w:val="0"/>
        <w:snapToGrid w:val="0"/>
        <w:spacing w:before="0" w:line="440" w:lineRule="exact"/>
        <w:jc w:val="left"/>
        <w:rPr>
          <w:rFonts w:ascii="黑体" w:hAnsi="黑体" w:eastAsia="黑体" w:cstheme="minorBidi"/>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名词解释</w:t>
      </w:r>
      <w:r>
        <w:rPr>
          <w:rFonts w:ascii="黑体" w:hAnsi="黑体" w:eastAsia="黑体"/>
          <w:sz w:val="32"/>
          <w:szCs w:val="32"/>
        </w:rPr>
        <w:t>……………………</w:t>
      </w:r>
      <w:r>
        <w:rPr>
          <w:rFonts w:hint="eastAsia" w:ascii="黑体" w:hAnsi="黑体" w:eastAsia="黑体"/>
          <w:sz w:val="32"/>
          <w:szCs w:val="32"/>
        </w:rPr>
        <w:t xml:space="preserve"> </w:t>
      </w:r>
      <w:r>
        <w:rPr>
          <w:rFonts w:ascii="黑体" w:hAnsi="黑体" w:eastAsia="黑体"/>
          <w:sz w:val="32"/>
          <w:szCs w:val="32"/>
        </w:rPr>
        <w:t>………………</w:t>
      </w:r>
      <w:r>
        <w:rPr>
          <w:rFonts w:hint="eastAsia" w:ascii="黑体" w:hAnsi="黑体" w:eastAsia="黑体"/>
          <w:sz w:val="32"/>
          <w:szCs w:val="32"/>
        </w:rPr>
        <w:t>38-40</w:t>
      </w:r>
    </w:p>
    <w:p w14:paraId="66838042">
      <w:pPr>
        <w:pStyle w:val="12"/>
        <w:adjustRightInd w:val="0"/>
        <w:snapToGrid w:val="0"/>
        <w:spacing w:before="0" w:line="440" w:lineRule="exact"/>
        <w:jc w:val="left"/>
        <w:rPr>
          <w:rFonts w:ascii="黑体" w:hAnsi="黑体" w:eastAsia="黑体" w:cstheme="minorBidi"/>
          <w:sz w:val="32"/>
          <w:szCs w:val="32"/>
        </w:rPr>
      </w:pPr>
      <w:r>
        <w:rPr>
          <w:rFonts w:hint="eastAsia" w:ascii="黑体" w:hAnsi="黑体" w:eastAsia="黑体"/>
          <w:sz w:val="32"/>
          <w:szCs w:val="32"/>
        </w:rPr>
        <w:t>第四部分</w:t>
      </w:r>
      <w:r>
        <w:rPr>
          <w:rFonts w:ascii="黑体" w:hAnsi="黑体" w:eastAsia="黑体"/>
          <w:sz w:val="32"/>
          <w:szCs w:val="32"/>
        </w:rPr>
        <w:t xml:space="preserve"> </w:t>
      </w:r>
      <w:r>
        <w:rPr>
          <w:rFonts w:hint="eastAsia" w:ascii="黑体" w:hAnsi="黑体" w:eastAsia="黑体"/>
          <w:sz w:val="32"/>
          <w:szCs w:val="32"/>
        </w:rPr>
        <w:t>附件</w:t>
      </w:r>
    </w:p>
    <w:p w14:paraId="5900C8FE">
      <w:pPr>
        <w:pStyle w:val="13"/>
        <w:adjustRightInd w:val="0"/>
        <w:snapToGrid w:val="0"/>
        <w:spacing w:line="440" w:lineRule="exact"/>
        <w:jc w:val="left"/>
        <w:rPr>
          <w:rFonts w:ascii="仿宋_GB2312" w:eastAsia="仿宋_GB2312"/>
          <w:sz w:val="32"/>
          <w:szCs w:val="32"/>
        </w:rPr>
      </w:pPr>
      <w:r>
        <w:rPr>
          <w:rFonts w:hint="eastAsia"/>
          <w:sz w:val="32"/>
          <w:szCs w:val="32"/>
        </w:rPr>
        <w:t>附件</w:t>
      </w:r>
      <w:r>
        <w:rPr>
          <w:sz w:val="32"/>
          <w:szCs w:val="32"/>
        </w:rPr>
        <w:t>1</w:t>
      </w:r>
      <w:r>
        <w:rPr>
          <w:rFonts w:hint="eastAsia"/>
          <w:sz w:val="32"/>
          <w:szCs w:val="32"/>
        </w:rPr>
        <w:t>:</w:t>
      </w:r>
      <w:r>
        <w:rPr>
          <w:rFonts w:hint="eastAsia" w:ascii="方正小标宋简体" w:hAnsi="宋体" w:eastAsia="方正小标宋简体"/>
          <w:color w:val="000000"/>
          <w:kern w:val="0"/>
          <w:sz w:val="32"/>
          <w:szCs w:val="32"/>
        </w:rPr>
        <w:t xml:space="preserve"> </w:t>
      </w:r>
      <w:r>
        <w:rPr>
          <w:rFonts w:hint="eastAsia" w:ascii="仿宋_GB2312" w:eastAsia="仿宋_GB2312"/>
          <w:sz w:val="32"/>
          <w:szCs w:val="32"/>
        </w:rPr>
        <w:t>阿坝州妇女联合会</w:t>
      </w:r>
      <w:r>
        <w:rPr>
          <w:rFonts w:ascii="仿宋_GB2312" w:eastAsia="仿宋_GB2312"/>
          <w:sz w:val="32"/>
          <w:szCs w:val="32"/>
        </w:rPr>
        <w:t>2019年部门</w:t>
      </w:r>
      <w:r>
        <w:rPr>
          <w:rFonts w:hint="eastAsia" w:ascii="仿宋_GB2312" w:eastAsia="仿宋_GB2312"/>
          <w:sz w:val="32"/>
          <w:szCs w:val="32"/>
        </w:rPr>
        <w:t>整体支出绩效评价报告</w:t>
      </w:r>
      <w:r>
        <w:rPr>
          <w:rFonts w:ascii="仿宋_GB2312" w:eastAsia="仿宋_GB2312"/>
          <w:sz w:val="32"/>
          <w:szCs w:val="32"/>
        </w:rPr>
        <w:t>…………………………………………………</w:t>
      </w:r>
      <w:r>
        <w:rPr>
          <w:rFonts w:hint="eastAsia" w:ascii="仿宋_GB2312" w:eastAsia="仿宋_GB2312"/>
          <w:sz w:val="32"/>
          <w:szCs w:val="32"/>
        </w:rPr>
        <w:t>41-46</w:t>
      </w:r>
    </w:p>
    <w:p w14:paraId="3DF6FB59">
      <w:pPr>
        <w:pStyle w:val="13"/>
        <w:adjustRightInd w:val="0"/>
        <w:snapToGrid w:val="0"/>
        <w:spacing w:line="440" w:lineRule="exact"/>
        <w:jc w:val="left"/>
        <w:rPr>
          <w:rFonts w:hint="eastAsia" w:ascii="仿宋_GB2312" w:eastAsia="仿宋_GB2312"/>
          <w:sz w:val="32"/>
          <w:szCs w:val="32"/>
        </w:rPr>
      </w:pPr>
      <w:r>
        <w:rPr>
          <w:rFonts w:hint="eastAsia"/>
          <w:sz w:val="32"/>
          <w:szCs w:val="32"/>
        </w:rPr>
        <w:t>附件</w:t>
      </w:r>
      <w:r>
        <w:rPr>
          <w:sz w:val="32"/>
          <w:szCs w:val="32"/>
        </w:rPr>
        <w:t>2</w:t>
      </w:r>
      <w:r>
        <w:rPr>
          <w:rFonts w:hint="eastAsia"/>
          <w:sz w:val="32"/>
          <w:szCs w:val="32"/>
        </w:rPr>
        <w:t>:</w:t>
      </w:r>
      <w:r>
        <w:rPr>
          <w:rFonts w:hint="eastAsia" w:ascii="仿宋_GB2312" w:eastAsia="仿宋_GB2312"/>
          <w:sz w:val="32"/>
          <w:szCs w:val="32"/>
        </w:rPr>
        <w:t>阿坝州妇联项目绩效评价报告</w:t>
      </w:r>
      <w:r>
        <w:rPr>
          <w:rFonts w:ascii="仿宋_GB2312" w:eastAsia="仿宋_GB2312"/>
          <w:sz w:val="32"/>
          <w:szCs w:val="32"/>
        </w:rPr>
        <w:t>……………</w:t>
      </w:r>
      <w:r>
        <w:rPr>
          <w:rFonts w:hint="eastAsia" w:ascii="仿宋_GB2312" w:eastAsia="仿宋_GB2312"/>
          <w:sz w:val="32"/>
          <w:szCs w:val="32"/>
        </w:rPr>
        <w:t>.47-86</w:t>
      </w:r>
    </w:p>
    <w:p w14:paraId="0F7373BB">
      <w:pPr>
        <w:pStyle w:val="12"/>
        <w:adjustRightInd w:val="0"/>
        <w:snapToGrid w:val="0"/>
        <w:spacing w:before="0" w:line="440" w:lineRule="exact"/>
        <w:jc w:val="left"/>
        <w:rPr>
          <w:rFonts w:ascii="黑体" w:hAnsi="黑体" w:eastAsia="黑体" w:cstheme="minorBidi"/>
          <w:sz w:val="32"/>
          <w:szCs w:val="32"/>
        </w:rPr>
      </w:pPr>
      <w:r>
        <w:rPr>
          <w:rFonts w:hint="eastAsia" w:ascii="黑体" w:hAnsi="黑体" w:eastAsia="黑体"/>
          <w:sz w:val="32"/>
          <w:szCs w:val="32"/>
        </w:rPr>
        <w:t>第五部分</w:t>
      </w:r>
      <w:r>
        <w:rPr>
          <w:rFonts w:ascii="黑体" w:hAnsi="黑体" w:eastAsia="黑体"/>
          <w:sz w:val="32"/>
          <w:szCs w:val="32"/>
        </w:rPr>
        <w:t xml:space="preserve"> </w:t>
      </w:r>
      <w:r>
        <w:rPr>
          <w:rFonts w:hint="eastAsia" w:ascii="黑体" w:hAnsi="黑体" w:eastAsia="黑体"/>
          <w:sz w:val="32"/>
          <w:szCs w:val="32"/>
        </w:rPr>
        <w:t>附表</w:t>
      </w:r>
    </w:p>
    <w:p w14:paraId="6ADBE418">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一、收入支出决算总表</w:t>
      </w:r>
    </w:p>
    <w:p w14:paraId="276DD4BA">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二、收入决算表</w:t>
      </w:r>
    </w:p>
    <w:p w14:paraId="5D372D59">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三、支出决算表</w:t>
      </w:r>
    </w:p>
    <w:p w14:paraId="411BFA68">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四、财政拨款收入支出决算总表</w:t>
      </w:r>
    </w:p>
    <w:p w14:paraId="622063CC">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五、财政拨款支出决算明细表</w:t>
      </w:r>
    </w:p>
    <w:p w14:paraId="6AC29262">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六、一般公共预算财政拨款支出决算表</w:t>
      </w:r>
    </w:p>
    <w:p w14:paraId="062B6DFB">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七、一般公共预算财政拨款支出决算明细表</w:t>
      </w:r>
    </w:p>
    <w:p w14:paraId="6DD4D0DE">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八、一般公共预算财政拨款基本支出决算表</w:t>
      </w:r>
    </w:p>
    <w:p w14:paraId="6079B5E8">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九、一般公共预算财政拨款项目支出决算表</w:t>
      </w:r>
    </w:p>
    <w:p w14:paraId="55D081E7">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十、一般公共预算财政拨款“三公”经费支出决算表</w:t>
      </w:r>
    </w:p>
    <w:p w14:paraId="4202521C">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十一、政府性基金预算财政拨款收入支出决算表</w:t>
      </w:r>
    </w:p>
    <w:p w14:paraId="64F17FF3">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十二、政府性基金预算财政拨款“三公”经费支出决算表</w:t>
      </w:r>
    </w:p>
    <w:p w14:paraId="38607588">
      <w:pPr>
        <w:pStyle w:val="13"/>
        <w:adjustRightInd w:val="0"/>
        <w:snapToGrid w:val="0"/>
        <w:spacing w:line="440" w:lineRule="exact"/>
        <w:jc w:val="left"/>
        <w:rPr>
          <w:rFonts w:ascii="仿宋_GB2312" w:eastAsia="仿宋_GB2312"/>
          <w:sz w:val="32"/>
          <w:szCs w:val="32"/>
        </w:rPr>
      </w:pPr>
      <w:r>
        <w:rPr>
          <w:rFonts w:hint="eastAsia" w:ascii="仿宋_GB2312" w:eastAsia="仿宋_GB2312"/>
          <w:sz w:val="32"/>
          <w:szCs w:val="32"/>
        </w:rPr>
        <w:t>十三、国有资本经营预算支出决算表</w:t>
      </w:r>
    </w:p>
    <w:p w14:paraId="39FE673E">
      <w:pPr>
        <w:widowControl/>
        <w:spacing w:line="440" w:lineRule="exact"/>
        <w:jc w:val="left"/>
        <w:rPr>
          <w:rFonts w:ascii="仿宋" w:hAnsi="仿宋" w:eastAsia="仿宋"/>
          <w:bCs/>
          <w:kern w:val="44"/>
          <w:sz w:val="32"/>
          <w:szCs w:val="32"/>
        </w:rPr>
      </w:pPr>
      <w:bookmarkStart w:id="12" w:name="_Toc15377196"/>
      <w:bookmarkStart w:id="13" w:name="_Toc15396599"/>
      <w:r>
        <w:rPr>
          <w:rFonts w:ascii="仿宋" w:hAnsi="仿宋" w:eastAsia="仿宋"/>
          <w:b/>
          <w:sz w:val="32"/>
          <w:szCs w:val="32"/>
        </w:rPr>
        <w:br w:type="page"/>
      </w:r>
    </w:p>
    <w:p w14:paraId="07583FBF">
      <w:pPr>
        <w:pStyle w:val="2"/>
        <w:jc w:val="center"/>
        <w:rPr>
          <w:rFonts w:ascii="黑体" w:hAnsi="黑体" w:eastAsia="黑体"/>
          <w:bCs w:val="0"/>
          <w:sz w:val="32"/>
          <w:szCs w:val="32"/>
        </w:rPr>
      </w:pPr>
      <w:r>
        <w:rPr>
          <w:rFonts w:hint="eastAsia" w:ascii="黑体" w:hAnsi="黑体" w:eastAsia="黑体"/>
          <w:b w:val="0"/>
          <w:sz w:val="32"/>
          <w:szCs w:val="32"/>
        </w:rPr>
        <w:t xml:space="preserve">第一部分 </w:t>
      </w:r>
      <w:r>
        <w:rPr>
          <w:rStyle w:val="26"/>
          <w:rFonts w:hint="eastAsia" w:ascii="黑体" w:hAnsi="黑体" w:eastAsia="黑体"/>
          <w:b w:val="0"/>
          <w:bCs w:val="0"/>
          <w:sz w:val="32"/>
          <w:szCs w:val="32"/>
        </w:rPr>
        <w:t>部门概况</w:t>
      </w:r>
      <w:bookmarkEnd w:id="12"/>
      <w:bookmarkEnd w:id="13"/>
    </w:p>
    <w:p w14:paraId="207D601A">
      <w:pPr>
        <w:pStyle w:val="3"/>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14:paraId="63EF895F">
      <w:pPr>
        <w:widowControl/>
        <w:spacing w:line="560" w:lineRule="exact"/>
        <w:ind w:firstLine="482" w:firstLineChars="150"/>
        <w:rPr>
          <w:rFonts w:ascii="仿宋" w:hAnsi="仿宋" w:eastAsia="仿宋" w:cs="宋体"/>
          <w:bCs/>
          <w:kern w:val="0"/>
          <w:sz w:val="32"/>
          <w:szCs w:val="32"/>
        </w:rPr>
      </w:pPr>
      <w:bookmarkStart w:id="16" w:name="_Toc15377198"/>
      <w:bookmarkStart w:id="17" w:name="_Toc15378445"/>
      <w:r>
        <w:rPr>
          <w:rFonts w:hint="eastAsia" w:ascii="仿宋" w:hAnsi="仿宋" w:eastAsia="仿宋"/>
          <w:b/>
          <w:bCs/>
          <w:color w:val="000000"/>
          <w:sz w:val="32"/>
          <w:szCs w:val="32"/>
        </w:rPr>
        <w:t>（一）主要职能。</w:t>
      </w:r>
      <w:bookmarkEnd w:id="16"/>
      <w:bookmarkEnd w:id="17"/>
      <w:bookmarkStart w:id="18" w:name="_Toc15377199"/>
      <w:bookmarkStart w:id="19" w:name="_Toc15378446"/>
      <w:r>
        <w:rPr>
          <w:rFonts w:hint="eastAsia" w:ascii="仿宋" w:hAnsi="仿宋" w:eastAsia="仿宋" w:cs="宋体"/>
          <w:bCs/>
          <w:kern w:val="0"/>
          <w:sz w:val="32"/>
          <w:szCs w:val="32"/>
        </w:rPr>
        <w:t>坚持正确的政治方向</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团结</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教育全州各族各界妇女在思想上</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行动上同党中央保持高度一致</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代表妇女参与国家和社会事务的民主管理和民主监督</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关注并加强研究涉及妇女切身利益的热点</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难点问题</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及时向州委</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州政府反映社情民意</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提出对策建议</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依法维护妇女儿童的合法权益</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为妇女儿童服务</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为基层服务</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加强与社会各界的联系</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协调推动全社会为妇女儿童办实事</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办好事。</w:t>
      </w:r>
    </w:p>
    <w:p w14:paraId="487A75D7">
      <w:pPr>
        <w:spacing w:line="540" w:lineRule="exact"/>
        <w:ind w:firstLine="643" w:firstLineChars="200"/>
        <w:rPr>
          <w:rFonts w:ascii="仿宋_GB2312" w:hAnsi="仿宋_GB2312" w:eastAsia="仿宋_GB2312" w:cs="仿宋_GB2312"/>
          <w:sz w:val="32"/>
          <w:szCs w:val="32"/>
        </w:rPr>
      </w:pPr>
      <w:r>
        <w:rPr>
          <w:rFonts w:hint="eastAsia" w:ascii="仿宋" w:hAnsi="仿宋" w:eastAsia="仿宋"/>
          <w:b/>
          <w:bCs/>
          <w:color w:val="000000"/>
          <w:sz w:val="32"/>
          <w:szCs w:val="32"/>
        </w:rPr>
        <w:t>（二）</w:t>
      </w:r>
      <w:r>
        <w:rPr>
          <w:rFonts w:ascii="仿宋" w:hAnsi="仿宋" w:eastAsia="仿宋"/>
          <w:b/>
          <w:bCs/>
          <w:color w:val="000000"/>
          <w:sz w:val="32"/>
          <w:szCs w:val="32"/>
        </w:rPr>
        <w:t>201</w:t>
      </w:r>
      <w:r>
        <w:rPr>
          <w:rFonts w:hint="eastAsia" w:ascii="仿宋" w:hAnsi="仿宋" w:eastAsia="仿宋"/>
          <w:b/>
          <w:bCs/>
          <w:color w:val="000000"/>
          <w:sz w:val="32"/>
          <w:szCs w:val="32"/>
        </w:rPr>
        <w:t>9年重点工作完成情况。</w:t>
      </w:r>
      <w:bookmarkEnd w:id="18"/>
      <w:bookmarkEnd w:id="19"/>
      <w:bookmarkStart w:id="20" w:name="_Toc15396601"/>
      <w:bookmarkStart w:id="21" w:name="_Toc15377200"/>
      <w:r>
        <w:rPr>
          <w:rFonts w:hint="eastAsia" w:ascii="仿宋_GB2312" w:hAnsi="仿宋_GB2312" w:eastAsia="仿宋_GB2312" w:cs="仿宋_GB2312"/>
          <w:sz w:val="32"/>
          <w:szCs w:val="32"/>
          <w:shd w:val="clear" w:color="auto" w:fill="FFFFFF"/>
        </w:rPr>
        <w:t>全州各级妇联组织积极围绕“发展、民生、稳定”三件大事</w:t>
      </w:r>
      <w:r>
        <w:rPr>
          <w:rFonts w:hint="eastAsia" w:ascii="仿宋_GB2312" w:hAnsi="仿宋_GB2312" w:eastAsia="仿宋_GB2312" w:cs="仿宋_GB2312"/>
          <w:sz w:val="32"/>
          <w:szCs w:val="32"/>
        </w:rPr>
        <w:t>，圆满完成年度各项工作目标任务。</w:t>
      </w:r>
    </w:p>
    <w:p w14:paraId="24CAD4D1">
      <w:pPr>
        <w:spacing w:line="540" w:lineRule="exact"/>
        <w:ind w:firstLine="643" w:firstLineChars="200"/>
        <w:rPr>
          <w:rFonts w:eastAsia="仿宋"/>
        </w:rPr>
      </w:pPr>
      <w:r>
        <w:rPr>
          <w:rFonts w:hint="eastAsia" w:ascii="楷体" w:hAnsi="楷体" w:eastAsia="楷体"/>
          <w:b/>
          <w:bCs/>
          <w:color w:val="000000"/>
          <w:sz w:val="32"/>
          <w:szCs w:val="32"/>
        </w:rPr>
        <w:t>(一)聚焦服务发展新使命，推动妇女参与经济建设。</w:t>
      </w:r>
      <w:r>
        <w:rPr>
          <w:rFonts w:hint="eastAsia" w:ascii="仿宋_GB2312" w:eastAsia="仿宋_GB2312"/>
          <w:bCs/>
          <w:color w:val="000000"/>
          <w:sz w:val="32"/>
          <w:szCs w:val="32"/>
        </w:rPr>
        <w:t>深入推进“巾帼脱贫行动”、“巾帼双创”、“乡村振兴巾帼行动”等品牌工程，做好女农民工服务相关工作，拓展妇女创业就业途径。</w:t>
      </w:r>
      <w:r>
        <w:rPr>
          <w:rFonts w:hint="eastAsia" w:ascii="仿宋_GB2312" w:eastAsia="仿宋_GB2312"/>
          <w:b/>
          <w:color w:val="000000"/>
          <w:sz w:val="32"/>
          <w:szCs w:val="32"/>
        </w:rPr>
        <w:t>一是</w:t>
      </w:r>
      <w:r>
        <w:rPr>
          <w:rFonts w:hint="eastAsia" w:ascii="仿宋_GB2312" w:eastAsia="仿宋_GB2312"/>
          <w:bCs/>
          <w:color w:val="000000"/>
          <w:sz w:val="32"/>
          <w:szCs w:val="32"/>
        </w:rPr>
        <w:t>开展2019年“春风行动”，全州13县（市）妇联联合人社部门组织专场招聘活动10场次，为7606人提供免费服务，介绍959名女性成功就业，组织跨地区妇女劳务输出245人，为554名妇女提供职业技能和创业培训，为978名妇女提供了劳动权益维护和法律援助服务。</w:t>
      </w:r>
      <w:r>
        <w:rPr>
          <w:rFonts w:hint="eastAsia" w:ascii="仿宋_GB2312" w:eastAsia="仿宋_GB2312"/>
          <w:sz w:val="32"/>
          <w:szCs w:val="32"/>
        </w:rPr>
        <w:t>成功孵化</w:t>
      </w:r>
      <w:r>
        <w:rPr>
          <w:rFonts w:hint="eastAsia" w:ascii="仿宋_GB2312" w:hAnsi="宋体" w:eastAsia="仿宋_GB2312" w:cs="宋体"/>
          <w:kern w:val="0"/>
          <w:sz w:val="32"/>
          <w:szCs w:val="32"/>
        </w:rPr>
        <w:t>阿坝州特色妇女居家灵活就业产品——若尔盖白河社区妇女制作的阿坝“吉祥娃娃”已走出国门，成为了“一带一路”的小使者。</w:t>
      </w:r>
      <w:r>
        <w:rPr>
          <w:rFonts w:hint="eastAsia" w:ascii="仿宋_GB2312" w:eastAsia="仿宋_GB2312"/>
          <w:b/>
          <w:color w:val="000000"/>
          <w:sz w:val="32"/>
          <w:szCs w:val="32"/>
        </w:rPr>
        <w:t>二是</w:t>
      </w:r>
      <w:r>
        <w:rPr>
          <w:rFonts w:hint="eastAsia" w:ascii="仿宋_GB2312" w:eastAsia="仿宋_GB2312"/>
          <w:bCs/>
          <w:color w:val="000000"/>
          <w:sz w:val="32"/>
          <w:szCs w:val="32"/>
        </w:rPr>
        <w:t>开展创业就业扶持工作。与农行阿坝州支行签订合作协议，探索推进巾帼创业就业金融服务项目。</w:t>
      </w:r>
      <w:r>
        <w:rPr>
          <w:rFonts w:hint="eastAsia" w:ascii="仿宋_GB2312" w:eastAsia="仿宋_GB2312"/>
          <w:b/>
          <w:color w:val="000000"/>
          <w:sz w:val="32"/>
          <w:szCs w:val="32"/>
        </w:rPr>
        <w:t>三是</w:t>
      </w:r>
      <w:r>
        <w:rPr>
          <w:rFonts w:hint="eastAsia" w:ascii="仿宋_GB2312" w:eastAsia="仿宋_GB2312"/>
          <w:bCs/>
          <w:color w:val="000000"/>
          <w:sz w:val="32"/>
          <w:szCs w:val="32"/>
        </w:rPr>
        <w:t>申报省级妇女居家灵活就业基地建设项目1个，争取项目资金120万元。</w:t>
      </w:r>
      <w:r>
        <w:rPr>
          <w:rFonts w:hint="eastAsia" w:ascii="仿宋_GB2312" w:eastAsia="仿宋_GB2312"/>
          <w:sz w:val="32"/>
          <w:szCs w:val="32"/>
        </w:rPr>
        <w:t>争取2019年100万元州级妇女居家灵活就业扶持资金扶持12个妇女居家灵活就业项目，</w:t>
      </w:r>
      <w:r>
        <w:rPr>
          <w:rFonts w:hint="eastAsia" w:ascii="仿宋_GB2312" w:eastAsia="仿宋_GB2312"/>
          <w:bCs/>
          <w:color w:val="000000"/>
          <w:sz w:val="32"/>
          <w:szCs w:val="32"/>
        </w:rPr>
        <w:t>带动910名妇女，年增收3000元</w:t>
      </w:r>
      <w:r>
        <w:rPr>
          <w:rFonts w:hint="eastAsia" w:ascii="仿宋_GB2312" w:eastAsia="仿宋_GB2312"/>
          <w:sz w:val="32"/>
          <w:szCs w:val="32"/>
        </w:rPr>
        <w:t>。</w:t>
      </w:r>
      <w:r>
        <w:rPr>
          <w:rFonts w:hint="eastAsia" w:ascii="仿宋_GB2312" w:eastAsia="仿宋_GB2312"/>
          <w:b/>
          <w:bCs/>
          <w:sz w:val="32"/>
          <w:szCs w:val="32"/>
        </w:rPr>
        <w:t>四是</w:t>
      </w:r>
      <w:r>
        <w:rPr>
          <w:rFonts w:hint="eastAsia" w:ascii="仿宋_GB2312" w:eastAsia="仿宋_GB2312"/>
          <w:bCs/>
          <w:color w:val="000000"/>
          <w:sz w:val="32"/>
          <w:szCs w:val="32"/>
        </w:rPr>
        <w:t>举办阿坝州妇女居家灵活就业项目管理培训会，重点对2018年10个扶持项目实施方工作人员、州妇联项目管理工作人员等共计40人进行培训；推荐6个企业和个人参加全国手工大赛，推荐16名基层姐妹参加 “中国非物质文化遗产传承人研修研习培训计划”成都纺织高等专科学校“2019藏族编织技艺普及培训班”；</w:t>
      </w:r>
      <w:r>
        <w:rPr>
          <w:rFonts w:hint="eastAsia" w:ascii="仿宋_GB2312" w:eastAsia="仿宋_GB2312"/>
          <w:b/>
          <w:bCs/>
          <w:sz w:val="32"/>
          <w:szCs w:val="32"/>
        </w:rPr>
        <w:t>五是</w:t>
      </w:r>
      <w:r>
        <w:rPr>
          <w:rFonts w:hint="eastAsia" w:ascii="仿宋_GB2312" w:eastAsia="仿宋_GB2312"/>
          <w:bCs/>
          <w:sz w:val="32"/>
          <w:szCs w:val="32"/>
        </w:rPr>
        <w:t>争取省妇联妇儿专项工作资金90万，</w:t>
      </w:r>
      <w:r>
        <w:rPr>
          <w:rFonts w:hint="eastAsia" w:ascii="仿宋_GB2312" w:eastAsia="仿宋_GB2312"/>
          <w:sz w:val="32"/>
          <w:szCs w:val="32"/>
        </w:rPr>
        <w:t>组织全州21名妇女姐妹贵州盛华职业学院唐人坊非遗学院进行手工编织技能及产品设计能力提升培训。举办13场妇女居家灵活就业技能大赛；开展 2019年“浙阿姐妹手拉手.巾帼脱贫快步走”浙江义乌国际博览行</w:t>
      </w:r>
      <w:r>
        <w:rPr>
          <w:rFonts w:hint="eastAsia" w:ascii="仿宋_GB2312" w:hAnsi="宋体" w:eastAsia="仿宋_GB2312"/>
          <w:sz w:val="32"/>
          <w:szCs w:val="32"/>
        </w:rPr>
        <w:t>——</w:t>
      </w:r>
      <w:r>
        <w:rPr>
          <w:rFonts w:hint="eastAsia" w:ascii="仿宋_GB2312" w:eastAsia="仿宋_GB2312"/>
          <w:sz w:val="32"/>
          <w:szCs w:val="32"/>
        </w:rPr>
        <w:t>阿坝州妇女居家灵活就业成果系列推介活动；</w:t>
      </w:r>
      <w:r>
        <w:rPr>
          <w:rFonts w:hint="eastAsia" w:ascii="仿宋_GB2312" w:hAnsi="仿宋" w:eastAsia="仿宋_GB2312"/>
          <w:sz w:val="32"/>
          <w:szCs w:val="32"/>
        </w:rPr>
        <w:t>在马尔康举办阿坝州各县（市）妇女传统民族服饰暨女性原创品牌服饰推广，在浙江省义博会对妇女居家灵活就业原创设计民族服饰品牌及藏羌服饰产品进行了推介，</w:t>
      </w:r>
      <w:r>
        <w:rPr>
          <w:rFonts w:hint="eastAsia" w:ascii="仿宋_GB2312" w:eastAsia="仿宋_GB2312"/>
          <w:sz w:val="32"/>
          <w:szCs w:val="32"/>
        </w:rPr>
        <w:t>并</w:t>
      </w:r>
      <w:r>
        <w:rPr>
          <w:rFonts w:hint="eastAsia" w:ascii="仿宋_GB2312" w:hAnsi="仿宋" w:eastAsia="仿宋_GB2312"/>
          <w:color w:val="000000"/>
          <w:spacing w:val="17"/>
          <w:sz w:val="32"/>
          <w:szCs w:val="32"/>
          <w:shd w:val="clear" w:color="auto" w:fill="FFFFFF"/>
        </w:rPr>
        <w:t>设立13个展馆，</w:t>
      </w:r>
      <w:r>
        <w:rPr>
          <w:rFonts w:hint="eastAsia" w:ascii="仿宋_GB2312" w:hAnsi="仿宋" w:eastAsia="仿宋_GB2312"/>
          <w:bCs/>
          <w:color w:val="000000"/>
          <w:spacing w:val="17"/>
          <w:sz w:val="32"/>
          <w:szCs w:val="32"/>
        </w:rPr>
        <w:t>组织全州30余家</w:t>
      </w:r>
      <w:r>
        <w:rPr>
          <w:rFonts w:hint="eastAsia" w:ascii="仿宋_GB2312" w:hAnsi="仿宋" w:eastAsia="仿宋_GB2312"/>
          <w:color w:val="000000"/>
          <w:spacing w:val="17"/>
          <w:sz w:val="32"/>
          <w:szCs w:val="32"/>
          <w:shd w:val="clear" w:color="auto" w:fill="FFFFFF"/>
        </w:rPr>
        <w:t>妇女居家灵活就业合作社和企业共计</w:t>
      </w:r>
      <w:r>
        <w:rPr>
          <w:rFonts w:hint="eastAsia" w:ascii="仿宋_GB2312" w:hAnsi="仿宋" w:eastAsia="仿宋_GB2312"/>
          <w:bCs/>
          <w:color w:val="000000"/>
          <w:spacing w:val="17"/>
          <w:sz w:val="32"/>
          <w:szCs w:val="32"/>
        </w:rPr>
        <w:t>117名参展商</w:t>
      </w:r>
      <w:r>
        <w:rPr>
          <w:rFonts w:hint="eastAsia" w:ascii="仿宋_GB2312" w:hAnsi="仿宋" w:eastAsia="仿宋_GB2312"/>
          <w:color w:val="000000"/>
          <w:spacing w:val="17"/>
          <w:sz w:val="32"/>
          <w:szCs w:val="32"/>
          <w:shd w:val="clear" w:color="auto" w:fill="FFFFFF"/>
        </w:rPr>
        <w:t>及产品</w:t>
      </w:r>
      <w:r>
        <w:rPr>
          <w:rFonts w:hint="eastAsia" w:ascii="仿宋_GB2312" w:hAnsi="仿宋" w:eastAsia="仿宋_GB2312"/>
          <w:bCs/>
          <w:color w:val="000000"/>
          <w:spacing w:val="17"/>
          <w:sz w:val="32"/>
          <w:szCs w:val="32"/>
        </w:rPr>
        <w:t>2500余件参展</w:t>
      </w:r>
      <w:r>
        <w:rPr>
          <w:rFonts w:hint="eastAsia" w:ascii="仿宋_GB2312" w:hAnsi="仿宋" w:eastAsia="仿宋_GB2312"/>
          <w:color w:val="000000"/>
          <w:spacing w:val="17"/>
          <w:sz w:val="32"/>
          <w:szCs w:val="32"/>
          <w:shd w:val="clear" w:color="auto" w:fill="FFFFFF"/>
        </w:rPr>
        <w:t>。13县（市）展馆进行了羌绣、藏织、吉祥娃娃制作等非遗活态现场展示，活动</w:t>
      </w:r>
      <w:r>
        <w:rPr>
          <w:rFonts w:hint="eastAsia" w:ascii="仿宋_GB2312" w:hAnsi="仿宋" w:eastAsia="仿宋_GB2312"/>
          <w:bCs/>
          <w:color w:val="000000"/>
          <w:spacing w:val="17"/>
          <w:sz w:val="32"/>
          <w:szCs w:val="32"/>
        </w:rPr>
        <w:t>发放宣传资料（名片）3661份</w:t>
      </w:r>
      <w:r>
        <w:rPr>
          <w:rFonts w:hint="eastAsia" w:ascii="仿宋_GB2312" w:hAnsi="仿宋" w:eastAsia="仿宋_GB2312"/>
          <w:color w:val="000000"/>
          <w:spacing w:val="17"/>
          <w:sz w:val="32"/>
          <w:szCs w:val="32"/>
          <w:shd w:val="clear" w:color="auto" w:fill="FFFFFF"/>
        </w:rPr>
        <w:t>，达成销售、代理、来料加工等</w:t>
      </w:r>
      <w:r>
        <w:rPr>
          <w:rFonts w:hint="eastAsia" w:ascii="仿宋_GB2312" w:hAnsi="仿宋" w:eastAsia="仿宋_GB2312"/>
          <w:bCs/>
          <w:color w:val="000000"/>
          <w:spacing w:val="17"/>
          <w:sz w:val="32"/>
          <w:szCs w:val="32"/>
        </w:rPr>
        <w:t>合作意向168项</w:t>
      </w:r>
      <w:r>
        <w:rPr>
          <w:rFonts w:hint="eastAsia" w:ascii="仿宋_GB2312" w:hAnsi="仿宋" w:eastAsia="仿宋_GB2312"/>
          <w:color w:val="000000"/>
          <w:spacing w:val="17"/>
          <w:sz w:val="32"/>
          <w:szCs w:val="32"/>
          <w:shd w:val="clear" w:color="auto" w:fill="FFFFFF"/>
        </w:rPr>
        <w:t>，</w:t>
      </w:r>
      <w:r>
        <w:rPr>
          <w:rFonts w:hint="eastAsia" w:ascii="仿宋_GB2312" w:hAnsi="仿宋" w:eastAsia="仿宋_GB2312"/>
          <w:bCs/>
          <w:color w:val="000000"/>
          <w:spacing w:val="17"/>
          <w:sz w:val="32"/>
          <w:szCs w:val="32"/>
        </w:rPr>
        <w:t>获得微信客户近2000名，销售产品500余件，价值12万余元。</w:t>
      </w:r>
      <w:r>
        <w:rPr>
          <w:rFonts w:hint="eastAsia" w:ascii="仿宋_GB2312" w:hAnsi="仿宋" w:eastAsia="仿宋_GB2312"/>
          <w:b/>
          <w:sz w:val="32"/>
          <w:szCs w:val="32"/>
        </w:rPr>
        <w:t>六</w:t>
      </w:r>
      <w:r>
        <w:rPr>
          <w:rFonts w:hint="eastAsia" w:ascii="仿宋_GB2312" w:eastAsia="仿宋_GB2312"/>
          <w:b/>
          <w:bCs/>
          <w:color w:val="000000"/>
          <w:sz w:val="32"/>
          <w:szCs w:val="32"/>
        </w:rPr>
        <w:t>是</w:t>
      </w:r>
      <w:r>
        <w:rPr>
          <w:rFonts w:hint="eastAsia" w:ascii="仿宋_GB2312" w:eastAsia="仿宋_GB2312"/>
          <w:bCs/>
          <w:color w:val="000000"/>
          <w:sz w:val="32"/>
          <w:szCs w:val="32"/>
        </w:rPr>
        <w:t>积极参与全州联合调研组对壤塘县、阿坝县的脱贫攻坚调研工作，认真完成调研任务，并针对存在的主要问题，提出了相关工作建议；认真完成马尔康市2019年贫困对象退出验收工作。</w:t>
      </w:r>
      <w:r>
        <w:rPr>
          <w:rFonts w:hint="eastAsia" w:ascii="仿宋_GB2312" w:eastAsia="仿宋_GB2312"/>
          <w:b/>
          <w:bCs/>
          <w:color w:val="000000"/>
          <w:sz w:val="32"/>
          <w:szCs w:val="32"/>
        </w:rPr>
        <w:t>七是</w:t>
      </w:r>
      <w:r>
        <w:rPr>
          <w:rFonts w:hint="eastAsia" w:ascii="仿宋_GB2312" w:eastAsia="仿宋_GB2312"/>
          <w:bCs/>
          <w:color w:val="000000"/>
          <w:sz w:val="32"/>
          <w:szCs w:val="32"/>
        </w:rPr>
        <w:t>推进实施九寨沟县青少年体育增能项目和“安康家园”大学生助学项目，资助大学生20名，资助金额27万元，圆满完成社会脱贫专项任务。</w:t>
      </w:r>
      <w:r>
        <w:rPr>
          <w:rFonts w:hint="eastAsia" w:ascii="仿宋_GB2312" w:eastAsia="仿宋_GB2312"/>
          <w:sz w:val="32"/>
          <w:szCs w:val="32"/>
        </w:rPr>
        <w:t>今年，我会被评为“全国巾帼建功先进集体”。</w:t>
      </w:r>
    </w:p>
    <w:p w14:paraId="14E917E2">
      <w:pPr>
        <w:spacing w:line="540" w:lineRule="exact"/>
        <w:rPr>
          <w:rFonts w:ascii="仿宋_GB2312" w:eastAsia="仿宋_GB2312"/>
          <w:bCs/>
          <w:color w:val="000000"/>
          <w:sz w:val="32"/>
          <w:szCs w:val="32"/>
        </w:rPr>
      </w:pPr>
      <w:r>
        <w:rPr>
          <w:rFonts w:hint="eastAsia" w:ascii="仿宋_GB2312" w:hAnsi="宋体" w:eastAsia="仿宋_GB2312" w:cs="宋体"/>
          <w:kern w:val="0"/>
          <w:sz w:val="32"/>
          <w:szCs w:val="32"/>
        </w:rPr>
        <w:t xml:space="preserve">   </w:t>
      </w:r>
      <w:r>
        <w:rPr>
          <w:rFonts w:hint="eastAsia" w:ascii="楷体" w:hAnsi="楷体" w:eastAsia="楷体"/>
          <w:b/>
          <w:bCs/>
          <w:color w:val="000000"/>
          <w:sz w:val="32"/>
          <w:szCs w:val="32"/>
        </w:rPr>
        <w:t>（二）强化维权服务新担当，推进社会稳定和谐。</w:t>
      </w:r>
      <w:r>
        <w:rPr>
          <w:rFonts w:hint="eastAsia" w:ascii="仿宋_GB2312" w:eastAsia="仿宋_GB2312"/>
          <w:bCs/>
          <w:color w:val="000000"/>
          <w:sz w:val="32"/>
          <w:szCs w:val="32"/>
        </w:rPr>
        <w:t>以“法治护航、平安万家、阿坝巾帼在行动”为主题，组织全州妇联系统开展三八维权周、维权月、“4</w:t>
      </w:r>
      <w:r>
        <w:rPr>
          <w:rFonts w:hint="eastAsia" w:ascii="仿宋_GB2312" w:hAnsi="宋体" w:cs="宋体"/>
          <w:bCs/>
          <w:color w:val="000000"/>
          <w:sz w:val="32"/>
          <w:szCs w:val="32"/>
        </w:rPr>
        <w:t>•</w:t>
      </w:r>
      <w:r>
        <w:rPr>
          <w:rFonts w:hint="eastAsia" w:ascii="仿宋_GB2312" w:eastAsia="仿宋_GB2312"/>
          <w:bCs/>
          <w:color w:val="000000"/>
          <w:sz w:val="32"/>
          <w:szCs w:val="32"/>
        </w:rPr>
        <w:t>15”全民国家安全教育日、禁毒宣传月、安全生产月等集中普法宣传活动</w:t>
      </w:r>
      <w:r>
        <w:rPr>
          <w:rFonts w:hint="eastAsia" w:ascii="仿宋_GB2312" w:hAnsi="仿宋_GB2312" w:eastAsia="仿宋_GB2312" w:cs="仿宋_GB2312"/>
          <w:bCs/>
          <w:color w:val="000000"/>
          <w:sz w:val="32"/>
          <w:szCs w:val="32"/>
        </w:rPr>
        <w:t>270余场次，现场发放《反家庭暴力法》《婚姻法》《妇女权益保障法》等法律法规及防艾、禁毒、安全生产知识宣传资料1</w:t>
      </w:r>
      <w:r>
        <w:rPr>
          <w:rFonts w:hint="eastAsia" w:ascii="仿宋_GB2312" w:eastAsia="仿宋_GB2312"/>
          <w:bCs/>
          <w:color w:val="000000"/>
          <w:sz w:val="32"/>
          <w:szCs w:val="32"/>
        </w:rPr>
        <w:t>3000余份，</w:t>
      </w:r>
      <w:r>
        <w:rPr>
          <w:rFonts w:hint="eastAsia" w:ascii="仿宋_GB2312" w:hAnsi="仿宋" w:eastAsia="仿宋_GB2312"/>
          <w:sz w:val="32"/>
          <w:szCs w:val="32"/>
        </w:rPr>
        <w:t>受益群众60000余人次</w:t>
      </w:r>
      <w:r>
        <w:rPr>
          <w:rFonts w:hint="eastAsia" w:ascii="仿宋_GB2312" w:eastAsia="仿宋_GB2312"/>
          <w:bCs/>
          <w:color w:val="000000"/>
          <w:sz w:val="32"/>
          <w:szCs w:val="32"/>
        </w:rPr>
        <w:t>。班子成员深入阿坝县四洼尼姑寺、马尔康市大藏乡德尔巴村和打耙村、理县通化乡通化村开展“法治护航，平安万家”巾帼送法进寺庙、进乡村；举办了法律知识抢答赛和妇女权益保障法知识宣讲活动；</w:t>
      </w:r>
    </w:p>
    <w:p w14:paraId="3A737932">
      <w:pPr>
        <w:spacing w:line="540" w:lineRule="exact"/>
        <w:rPr>
          <w:rFonts w:ascii="仿宋_GB2312" w:hAnsi="仿宋" w:eastAsia="仿宋_GB2312"/>
          <w:sz w:val="32"/>
          <w:szCs w:val="32"/>
        </w:rPr>
      </w:pPr>
      <w:r>
        <w:rPr>
          <w:rFonts w:hint="eastAsia" w:ascii="仿宋_GB2312" w:eastAsia="仿宋_GB2312"/>
          <w:bCs/>
          <w:color w:val="000000"/>
          <w:sz w:val="32"/>
          <w:szCs w:val="32"/>
        </w:rPr>
        <w:t>组织观看参与“法治护航，平安万家”——四川省2019年度“三</w:t>
      </w:r>
      <w:r>
        <w:rPr>
          <w:rFonts w:hint="eastAsia" w:ascii="仿宋_GB2312" w:hAnsi="宋体" w:cs="宋体"/>
          <w:bCs/>
          <w:color w:val="000000"/>
          <w:sz w:val="32"/>
          <w:szCs w:val="32"/>
        </w:rPr>
        <w:t>•</w:t>
      </w:r>
      <w:r>
        <w:rPr>
          <w:rFonts w:hint="eastAsia" w:ascii="仿宋_GB2312" w:hAnsi="仿宋_GB2312" w:eastAsia="仿宋_GB2312" w:cs="仿宋_GB2312"/>
          <w:bCs/>
          <w:color w:val="000000"/>
          <w:sz w:val="32"/>
          <w:szCs w:val="32"/>
        </w:rPr>
        <w:t>八”妇女维权周暨普法知识竞赛活动启动仪式，及“天府小妹微普法”网络知识竞赛活动。</w:t>
      </w:r>
      <w:r>
        <w:rPr>
          <w:rFonts w:hint="eastAsia" w:ascii="仿宋_GB2312" w:eastAsia="仿宋_GB2312"/>
          <w:bCs/>
          <w:color w:val="000000"/>
          <w:sz w:val="32"/>
          <w:szCs w:val="32"/>
        </w:rPr>
        <w:t>组织州妇联十二届执委、州妇联机关全体干部职工共计50余人到阿坝州“格桑梅朵”青少年法治教育实践基地进行观摩学习；</w:t>
      </w:r>
      <w:r>
        <w:rPr>
          <w:rFonts w:hint="eastAsia" w:ascii="仿宋_GB2312" w:eastAsia="仿宋_GB2312"/>
          <w:sz w:val="32"/>
          <w:szCs w:val="32"/>
        </w:rPr>
        <w:t>全州目前共建婚姻家庭纠纷人民调解委员会128个，组建率100%，</w:t>
      </w:r>
      <w:r>
        <w:rPr>
          <w:rFonts w:hint="eastAsia" w:ascii="仿宋_GB2312" w:hAnsi="仿宋" w:eastAsia="仿宋_GB2312"/>
          <w:sz w:val="32"/>
          <w:szCs w:val="32"/>
        </w:rPr>
        <w:t>建信访代理室325个，建立反家暴妇女儿童救助（庇护）机构112所，家庭暴力伤情鉴定机构29所，</w:t>
      </w:r>
      <w:r>
        <w:rPr>
          <w:rFonts w:hint="eastAsia" w:ascii="仿宋_GB2312" w:eastAsia="仿宋_GB2312"/>
          <w:sz w:val="32"/>
          <w:szCs w:val="32"/>
        </w:rPr>
        <w:t>专兼职调解员532人，2019年调解成功案件62件，乡镇建婚姻家庭纠纷调解中心率达到90%。</w:t>
      </w:r>
      <w:r>
        <w:rPr>
          <w:rFonts w:hint="eastAsia" w:ascii="仿宋_GB2312" w:hAnsi="仿宋" w:eastAsia="仿宋_GB2312"/>
          <w:sz w:val="32"/>
          <w:szCs w:val="32"/>
        </w:rPr>
        <w:t>建立村级议事会703个，开展仪式活动903次。</w:t>
      </w:r>
      <w:r>
        <w:rPr>
          <w:rFonts w:hint="eastAsia" w:ascii="仿宋_GB2312" w:eastAsia="仿宋_GB2312"/>
          <w:bCs/>
          <w:color w:val="000000"/>
          <w:sz w:val="32"/>
          <w:szCs w:val="32"/>
        </w:rPr>
        <w:t>联合相关部门开展“首届阿坝州维护妇女儿童合法权益优秀案例”评选活动，积极征集优秀案例；与州司法局等相关部门联系沟通共同推动婚调工作，维护妇女儿童合法权益。</w:t>
      </w:r>
      <w:r>
        <w:rPr>
          <w:rFonts w:hint="eastAsia" w:ascii="仿宋_GB2312" w:hAnsi="仿宋_GB2312" w:eastAsia="仿宋_GB2312" w:cs="仿宋_GB2312"/>
          <w:color w:val="000000"/>
          <w:sz w:val="32"/>
          <w:szCs w:val="32"/>
        </w:rPr>
        <w:t>进一步完善覆盖到村（社区）的四川省妇联“维权地图”和网上信访系统，逐步在乡（镇）、村（社区）开通12338维权服务热线。全州妇联共接待来信来访来电94件。</w:t>
      </w:r>
      <w:r>
        <w:rPr>
          <w:rFonts w:hint="eastAsia" w:ascii="仿宋_GB2312" w:eastAsia="仿宋_GB2312"/>
          <w:bCs/>
          <w:color w:val="000000"/>
          <w:sz w:val="32"/>
          <w:szCs w:val="32"/>
        </w:rPr>
        <w:t>做好各类维稳时间节点的维稳情况报送等工作，</w:t>
      </w:r>
      <w:r>
        <w:rPr>
          <w:rFonts w:hint="eastAsia" w:ascii="仿宋_GB2312" w:hAnsi="仿宋" w:eastAsia="仿宋_GB2312" w:cs="仿宋"/>
          <w:color w:val="000000"/>
          <w:kern w:val="0"/>
          <w:sz w:val="32"/>
          <w:szCs w:val="32"/>
        </w:rPr>
        <w:t>已完成并上报重传、禁毒、综治、安全生产、依法治州及觉姆关爱信息20期。我会被推荐为“全国维护妇女儿童权益工作先进集体”。</w:t>
      </w:r>
    </w:p>
    <w:p w14:paraId="2DD4B3E8">
      <w:pPr>
        <w:spacing w:line="540" w:lineRule="exact"/>
        <w:ind w:firstLine="643" w:firstLineChars="200"/>
        <w:jc w:val="left"/>
        <w:rPr>
          <w:rFonts w:eastAsia="仿宋_GB2312"/>
        </w:rPr>
      </w:pPr>
      <w:r>
        <w:rPr>
          <w:rFonts w:hint="eastAsia" w:ascii="华文楷体" w:hAnsi="华文楷体" w:eastAsia="华文楷体" w:cs="华文楷体"/>
          <w:b/>
          <w:bCs/>
          <w:kern w:val="0"/>
          <w:sz w:val="32"/>
          <w:szCs w:val="32"/>
        </w:rPr>
        <w:t>（三）</w:t>
      </w:r>
      <w:r>
        <w:rPr>
          <w:rFonts w:hint="eastAsia" w:ascii="华文楷体" w:hAnsi="华文楷体" w:eastAsia="华文楷体" w:cs="华文楷体"/>
          <w:b/>
          <w:bCs/>
          <w:color w:val="000000"/>
          <w:sz w:val="32"/>
          <w:szCs w:val="32"/>
        </w:rPr>
        <w:t>关爱帮扶济困新举措，推动妇儿民生持续发展。</w:t>
      </w:r>
      <w:r>
        <w:rPr>
          <w:rFonts w:hint="eastAsia" w:ascii="仿宋_GB2312" w:eastAsia="仿宋_GB2312"/>
          <w:bCs/>
          <w:color w:val="000000"/>
          <w:sz w:val="32"/>
          <w:szCs w:val="32"/>
        </w:rPr>
        <w:t>结合妇联职能，整合社会力量，积极帮助各类困难妇女儿童，切实解决实际困难。与州教育局联合在阿坝报上发出“六一”儿童节慰问信。印发《2019年关爱农民工“回家行动”工作方案》和《阿坝州妇联关于开展“关爱进家、幸福驻家”活动的实施意见》，并在全州全面启动。在春节、端午等重要节点对城乡特困单亲母亲家庭、“5.12”“6.24”“8.8”等地震异地就学阿坝籍学生、灾区困难学生、女民工、联系村贫困儿童等进行慰问走访。截止目前走访慰问645人，发放慰问品、慰问金共计52.96万元。</w:t>
      </w:r>
      <w:r>
        <w:rPr>
          <w:rFonts w:hint="eastAsia" w:ascii="仿宋_GB2312" w:hAnsi="仿宋_GB2312" w:eastAsia="仿宋_GB2312" w:cs="仿宋_GB2312"/>
          <w:sz w:val="32"/>
          <w:szCs w:val="32"/>
        </w:rPr>
        <w:t>购买总价值10万元的250个觉姆暖心包发放给壤塘、阿坝两县觉姆姐妹。拟于11月在壤塘县开展觉姆关心关爱免费体检及肺结核筛查工作。争取全国“两癌”救助金23万元救助23名患病妇女；安排州本级经费2.1万元救助9名社区癌症患病妇女。争取到全国妇基会、</w:t>
      </w:r>
      <w:r>
        <w:rPr>
          <w:rFonts w:hint="eastAsia" w:ascii="仿宋_GB2312" w:eastAsia="仿宋_GB2312" w:cs="仿宋_GB2312"/>
          <w:sz w:val="32"/>
          <w:szCs w:val="32"/>
        </w:rPr>
        <w:t>张家港暨阳公益、江苏大唐纺织科技有限公司、张家港市凯西进出口有限公司等社会公益捐赠的价值24.18万元的衣物、母亲邮包等物品，发放给马尔康市大藏乡、马尔康市第四小学、红原县瓦切乡的部分贫困学生和壤塘县贫困母亲家庭。</w:t>
      </w:r>
      <w:r>
        <w:rPr>
          <w:rFonts w:hint="eastAsia" w:ascii="仿宋_GB2312" w:hAnsi="仿宋_GB2312" w:eastAsia="仿宋_GB2312" w:cs="仿宋_GB2312"/>
          <w:sz w:val="32"/>
          <w:szCs w:val="32"/>
        </w:rPr>
        <w:t>持续开展儿童之家建设项目，投入资金194万元，</w:t>
      </w:r>
      <w:r>
        <w:rPr>
          <w:rFonts w:hint="eastAsia" w:ascii="仿宋_GB2312" w:eastAsia="仿宋_GB2312"/>
          <w:color w:val="000000"/>
          <w:sz w:val="32"/>
          <w:szCs w:val="32"/>
        </w:rPr>
        <w:t>建成儿童之家95个，已完成项目建设的 95 %。</w:t>
      </w:r>
      <w:r>
        <w:rPr>
          <w:rFonts w:hint="eastAsia" w:ascii="仿宋_GB2312" w:eastAsia="仿宋_GB2312"/>
          <w:sz w:val="32"/>
          <w:szCs w:val="32"/>
        </w:rPr>
        <w:t>截止10月底，11个县（市）中已有9个县（市）完成儿童之家建设任务并通过县级检查验收，其余2个县（市）完成部分儿童之家建设。</w:t>
      </w:r>
      <w:r>
        <w:rPr>
          <w:rFonts w:hint="eastAsia" w:ascii="仿宋_GB2312" w:hAnsi="宋体" w:eastAsia="仿宋_GB2312" w:cs="宋体"/>
          <w:kern w:val="0"/>
          <w:sz w:val="32"/>
          <w:szCs w:val="32"/>
        </w:rPr>
        <w:t>已拨付资金166.94万元，占资金预算下达比重的94.14%。</w:t>
      </w:r>
    </w:p>
    <w:p w14:paraId="673C03E3">
      <w:pPr>
        <w:pStyle w:val="6"/>
        <w:spacing w:before="93" w:line="540" w:lineRule="exact"/>
        <w:rPr>
          <w:rFonts w:hAnsi="仿宋_GB2312" w:cs="仿宋_GB2312"/>
          <w:color w:val="000000"/>
          <w:sz w:val="32"/>
          <w:szCs w:val="32"/>
        </w:rPr>
      </w:pPr>
      <w:r>
        <w:rPr>
          <w:rFonts w:hint="eastAsia"/>
          <w:bCs/>
          <w:color w:val="000000"/>
          <w:sz w:val="32"/>
          <w:szCs w:val="32"/>
        </w:rPr>
        <w:t xml:space="preserve">   </w:t>
      </w:r>
      <w:r>
        <w:rPr>
          <w:rFonts w:hint="eastAsia" w:ascii="华文楷体" w:hAnsi="华文楷体" w:eastAsia="华文楷体" w:cs="华文楷体"/>
          <w:b/>
          <w:color w:val="000000"/>
          <w:sz w:val="32"/>
          <w:szCs w:val="32"/>
        </w:rPr>
        <w:t>（四）思想政治引领新覆盖，推进意识形态有序开展。</w:t>
      </w:r>
      <w:r>
        <w:rPr>
          <w:rFonts w:hint="eastAsia" w:hAnsi="华文楷体" w:cs="华文楷体"/>
          <w:b/>
          <w:color w:val="000000"/>
          <w:sz w:val="32"/>
          <w:szCs w:val="32"/>
        </w:rPr>
        <w:t>一是</w:t>
      </w:r>
      <w:r>
        <w:rPr>
          <w:rFonts w:hint="eastAsia"/>
          <w:bCs/>
          <w:color w:val="000000"/>
          <w:sz w:val="32"/>
          <w:szCs w:val="32"/>
        </w:rPr>
        <w:t>把意识形态工作和业务工作同研究、同部署、同落实。党组听取2019年度意识形态工作汇报，专题研究2019年度的意识形态工作3次。制定《州妇联党组关于省委意识形态工作专项问题整改工作方案》，认真落实州委办意识形态工作专项督查检查整改及工作清单。利用党组会、中心组会议、主席办公会和支部党员大会等，学习习近平新时代中国特色社会主义思想和党的十九大精神、习近平关于意识形态、民族宗教政策、妇女儿童和妇联、扶贫工作及全面从严治党等重要论述。有序开展民族团结示范创建工作，并获州民族团结进步先进集体。截止10月底，党组中心组学习13次，职工集中学习29次。</w:t>
      </w:r>
      <w:r>
        <w:rPr>
          <w:rFonts w:hint="eastAsia" w:hAnsi="华文楷体" w:cs="华文楷体"/>
          <w:b/>
          <w:color w:val="000000"/>
          <w:sz w:val="32"/>
          <w:szCs w:val="32"/>
        </w:rPr>
        <w:t>二是</w:t>
      </w:r>
      <w:r>
        <w:rPr>
          <w:rFonts w:hint="eastAsia" w:hAnsi="仿宋" w:cs="华文楷体"/>
          <w:bCs/>
          <w:color w:val="000000"/>
          <w:w w:val="95"/>
          <w:sz w:val="32"/>
          <w:szCs w:val="32"/>
        </w:rPr>
        <w:t>扎实开展“不忘初心，牢记使命”主题教育。</w:t>
      </w:r>
      <w:r>
        <w:rPr>
          <w:rFonts w:hint="eastAsia" w:hAnsi="仿宋_GB2312" w:cs="仿宋_GB2312"/>
          <w:color w:val="000000"/>
          <w:w w:val="95"/>
          <w:sz w:val="32"/>
          <w:szCs w:val="32"/>
        </w:rPr>
        <w:t>会党组高度重视，按照州委主题教育办的统一要求，在州委第十七巡回指导组的有力指导下，按照《州妇联开展“不忘初心，牢记使命”主题教育实施方案》，会党组认真落实州委“五个必须”的工作要求，切实抓好学习教育、调查研究、检视问题等各项措施，努力做到先学一步、学深一层、先改起来、改实一点，对主题教育重点工作亲自研究、亲自组织、亲自推动、既当好了指挥员、更当好了战斗员，自觉起好模范表率作用，示范推动主题教育在州妇联深入开展。班子开展集体学习18次，阿坝州妇联班子对照党章党规找差距会议 1次，会机关党员对照党章党规找差距会议1次，班子深入基层开展调研15人次，撰写《阿坝州牧区妇女思想政治引领工作的现状和思考》《关于阿坝州家庭家教建设专题调研的报告》《阿坝州妇女居家灵活就业现状、存在问题基对策建议》等调研报告3篇，成功召开阿坝州妇联调研成果交流分享会。落实整改措施，</w:t>
      </w:r>
      <w:r>
        <w:rPr>
          <w:rFonts w:hint="eastAsia" w:hAnsi="仿宋"/>
          <w:color w:val="000000"/>
          <w:sz w:val="32"/>
          <w:szCs w:val="32"/>
        </w:rPr>
        <w:t>通过深入基层、发放问卷、召开座谈会、交心谈心等方式，深入开展自检自查，</w:t>
      </w:r>
      <w:r>
        <w:rPr>
          <w:rFonts w:hint="eastAsia" w:hAnsi="仿宋_GB2312" w:cs="仿宋_GB2312"/>
          <w:color w:val="000000"/>
          <w:w w:val="95"/>
          <w:sz w:val="32"/>
          <w:szCs w:val="32"/>
        </w:rPr>
        <w:t>班子查找问题11项，班子成员每人13项（其中11项为班子共性问题，2项为班子个人查找问题），并结合实践建立了《阿坝州</w:t>
      </w:r>
      <w:r>
        <w:rPr>
          <w:rFonts w:hint="eastAsia" w:hAnsi="仿宋" w:cs="宋体"/>
          <w:bCs/>
          <w:color w:val="000000"/>
          <w:sz w:val="32"/>
          <w:szCs w:val="32"/>
        </w:rPr>
        <w:t>班子“不忘初心、牢记使命”主题教育问题清单及整改台账》和《班子成员“不忘初心、牢记使命”主题教育问题清单及整改台账》，立行立改5项，长期坚持6项。</w:t>
      </w:r>
      <w:r>
        <w:rPr>
          <w:rFonts w:hint="eastAsia" w:hAnsi="仿宋_GB2312" w:cs="仿宋_GB2312"/>
          <w:color w:val="000000"/>
          <w:w w:val="95"/>
          <w:sz w:val="32"/>
          <w:szCs w:val="32"/>
        </w:rPr>
        <w:t>11月继续常态化推进主题教育活动，结合实际开展“四项教育”，重点落实整改措施，巩固深化成果，开展好专题民主生活会和专题组织生活会。</w:t>
      </w:r>
      <w:r>
        <w:rPr>
          <w:rFonts w:hint="eastAsia"/>
          <w:b/>
          <w:bCs/>
          <w:color w:val="000000"/>
          <w:sz w:val="32"/>
          <w:szCs w:val="32"/>
        </w:rPr>
        <w:t>三是</w:t>
      </w:r>
      <w:r>
        <w:rPr>
          <w:rFonts w:hint="eastAsia" w:hAnsi="仿宋"/>
          <w:bCs/>
          <w:color w:val="000000"/>
          <w:sz w:val="32"/>
          <w:szCs w:val="32"/>
        </w:rPr>
        <w:t>加大妇女思想整治引领，</w:t>
      </w:r>
      <w:r>
        <w:rPr>
          <w:rFonts w:hint="eastAsia" w:hAnsi="仿宋" w:cs="仿宋"/>
          <w:color w:val="000000"/>
          <w:sz w:val="32"/>
          <w:szCs w:val="32"/>
        </w:rPr>
        <w:t>组织开展了庆祝建国70周年“巾帼心向党•礼赞新中国”群众性宣传教育活动。线上线下开展“巾帼大宣讲”活动700余场次。</w:t>
      </w:r>
      <w:r>
        <w:rPr>
          <w:rFonts w:hint="eastAsia" w:hAnsi="仿宋" w:cs="仿宋"/>
          <w:b/>
          <w:bCs/>
          <w:color w:val="000000"/>
          <w:sz w:val="32"/>
          <w:szCs w:val="32"/>
        </w:rPr>
        <w:t>四是</w:t>
      </w:r>
      <w:r>
        <w:rPr>
          <w:rFonts w:hint="eastAsia" w:hAnsi="仿宋" w:cs="仿宋"/>
          <w:color w:val="000000"/>
          <w:spacing w:val="-20"/>
          <w:sz w:val="32"/>
          <w:szCs w:val="32"/>
        </w:rPr>
        <w:t>在</w:t>
      </w:r>
      <w:r>
        <w:rPr>
          <w:rFonts w:hint="eastAsia" w:hAnsi="仿宋" w:cs="仿宋"/>
          <w:color w:val="000000"/>
          <w:sz w:val="32"/>
          <w:szCs w:val="32"/>
        </w:rPr>
        <w:t>茂县、红原县、金川县、松潘县、黑水5县“妇女之家”举办</w:t>
      </w:r>
      <w:r>
        <w:rPr>
          <w:rFonts w:hint="eastAsia" w:hAnsi="仿宋" w:cs="仿宋"/>
          <w:color w:val="000000"/>
          <w:spacing w:val="-20"/>
          <w:sz w:val="32"/>
          <w:szCs w:val="32"/>
        </w:rPr>
        <w:t>“七一”群众性宣传教育活动百个妇女之家万名妇女联动活动，</w:t>
      </w:r>
      <w:r>
        <w:rPr>
          <w:rFonts w:hint="eastAsia" w:hAnsi="仿宋" w:cs="仿宋"/>
          <w:color w:val="000000"/>
          <w:sz w:val="32"/>
          <w:szCs w:val="32"/>
        </w:rPr>
        <w:t>参与妇女1000余人，掀起广场舞妇女庆祝新中国成立70周年活动的高潮，同时启动建立广场舞群众妇女之家（妇女微家）工作。</w:t>
      </w:r>
      <w:r>
        <w:rPr>
          <w:rFonts w:hint="eastAsia" w:hAnsi="仿宋" w:cs="仿宋"/>
          <w:b/>
          <w:color w:val="000000"/>
          <w:sz w:val="32"/>
          <w:szCs w:val="32"/>
        </w:rPr>
        <w:t>五是</w:t>
      </w:r>
      <w:r>
        <w:rPr>
          <w:rFonts w:hint="eastAsia" w:hAnsi="仿宋" w:cs="仿宋"/>
          <w:color w:val="000000"/>
          <w:sz w:val="32"/>
          <w:szCs w:val="32"/>
        </w:rPr>
        <w:t>以州委办、州政府办名义下发</w:t>
      </w:r>
      <w:r>
        <w:rPr>
          <w:rFonts w:hint="eastAsia"/>
          <w:bCs/>
          <w:color w:val="000000"/>
          <w:sz w:val="32"/>
          <w:szCs w:val="32"/>
        </w:rPr>
        <w:t>《阿坝州“花开阿坝</w:t>
      </w:r>
      <w:r>
        <w:rPr>
          <w:rFonts w:hint="eastAsia" w:hAnsi="宋体" w:cs="宋体"/>
          <w:bCs/>
          <w:color w:val="000000"/>
          <w:sz w:val="32"/>
          <w:szCs w:val="32"/>
        </w:rPr>
        <w:t>•</w:t>
      </w:r>
      <w:r>
        <w:rPr>
          <w:rFonts w:hint="eastAsia" w:hAnsi="仿宋_GB2312" w:cs="仿宋_GB2312"/>
          <w:bCs/>
          <w:color w:val="000000"/>
          <w:sz w:val="32"/>
          <w:szCs w:val="32"/>
        </w:rPr>
        <w:t>幸福万家”巾帼行动计划（</w:t>
      </w:r>
      <w:r>
        <w:rPr>
          <w:rFonts w:hint="eastAsia"/>
          <w:bCs/>
          <w:color w:val="000000"/>
          <w:sz w:val="32"/>
          <w:szCs w:val="32"/>
        </w:rPr>
        <w:t>2019—2021年）》，并举行“花开阿坝</w:t>
      </w:r>
      <w:r>
        <w:rPr>
          <w:rFonts w:hint="eastAsia" w:hAnsi="宋体" w:cs="宋体"/>
          <w:bCs/>
          <w:color w:val="000000"/>
          <w:sz w:val="32"/>
          <w:szCs w:val="32"/>
        </w:rPr>
        <w:t>•</w:t>
      </w:r>
      <w:r>
        <w:rPr>
          <w:rFonts w:hint="eastAsia" w:hAnsi="仿宋_GB2312" w:cs="仿宋_GB2312"/>
          <w:bCs/>
          <w:color w:val="000000"/>
          <w:sz w:val="32"/>
          <w:szCs w:val="32"/>
        </w:rPr>
        <w:t>幸福万家”巾帼行动计划（</w:t>
      </w:r>
      <w:r>
        <w:rPr>
          <w:rFonts w:hint="eastAsia"/>
          <w:bCs/>
          <w:color w:val="000000"/>
          <w:sz w:val="32"/>
          <w:szCs w:val="32"/>
        </w:rPr>
        <w:t>2019—2021年）启动仪式，旨在全州开展文明习惯、科学家教、优良家风、优质服务进家庭活动。</w:t>
      </w:r>
      <w:r>
        <w:rPr>
          <w:rFonts w:hint="eastAsia" w:hAnsi="仿宋" w:cs="仿宋_GB2312"/>
          <w:color w:val="000000"/>
          <w:sz w:val="32"/>
          <w:szCs w:val="32"/>
        </w:rPr>
        <w:t>在四川省妇干部校举办了全州“幸福使者·母亲课堂”家庭教育骨干讲师培训班，13个县（市）的100名“幸福使者”参加培训，通过骨干师资培训，为基层壮大队伍打下基础。</w:t>
      </w:r>
      <w:r>
        <w:rPr>
          <w:rFonts w:hint="eastAsia" w:hAnsi="仿宋"/>
          <w:color w:val="000000"/>
          <w:sz w:val="32"/>
          <w:szCs w:val="32"/>
        </w:rPr>
        <w:t>在黑水、阿坝、壤塘3个拟摘帽脱贫县、马尔康市、州级机关开展了5场“美丽阿坝·幸福家庭—科学家教进万家”巡讲活动共1500多名家长聆听了讲座</w:t>
      </w:r>
      <w:r>
        <w:rPr>
          <w:rFonts w:hint="eastAsia" w:hAnsi="仿宋"/>
          <w:spacing w:val="8"/>
          <w:sz w:val="32"/>
          <w:szCs w:val="32"/>
          <w:shd w:val="clear" w:color="auto" w:fill="FFFFFF"/>
        </w:rPr>
        <w:t>，提升了部分家长的科学家教育理念，达到了预期目的</w:t>
      </w:r>
      <w:r>
        <w:rPr>
          <w:rFonts w:hint="eastAsia" w:hAnsi="仿宋"/>
          <w:sz w:val="32"/>
          <w:szCs w:val="32"/>
        </w:rPr>
        <w:t>。</w:t>
      </w:r>
      <w:r>
        <w:rPr>
          <w:rFonts w:hint="eastAsia" w:hAnsi="仿宋" w:cs="仿宋"/>
          <w:b/>
          <w:bCs/>
          <w:color w:val="000000"/>
          <w:sz w:val="32"/>
          <w:szCs w:val="32"/>
        </w:rPr>
        <w:t>六是</w:t>
      </w:r>
      <w:r>
        <w:rPr>
          <w:rFonts w:hint="eastAsia" w:hAnsi="仿宋" w:cs="仿宋"/>
          <w:color w:val="000000"/>
          <w:sz w:val="32"/>
          <w:szCs w:val="32"/>
        </w:rPr>
        <w:t>为深入推进“我和我的祖国”群众性主题宣传教育活动，阿坝州妇联、州委宣传部、长征干部学院在阿坝州长征干部学院联合开展了“时代新人说--我和祖国共成长”家国情怀故事汇活动，现场参加人数达3000余人，活动通过人民网、中国女网、女性之声及阿坝州官方媒体等平台视频、图文播出，吸引了超过1310万人次收看，深受群众好评。</w:t>
      </w:r>
    </w:p>
    <w:p w14:paraId="74D809F5">
      <w:pPr>
        <w:pStyle w:val="6"/>
        <w:spacing w:before="93" w:line="540" w:lineRule="exact"/>
        <w:ind w:firstLine="643" w:firstLineChars="200"/>
        <w:rPr>
          <w:rFonts w:ascii="楷体" w:hAnsi="楷体" w:eastAsia="楷体"/>
          <w:bCs/>
          <w:color w:val="000000"/>
          <w:sz w:val="32"/>
          <w:szCs w:val="32"/>
        </w:rPr>
      </w:pPr>
      <w:r>
        <w:rPr>
          <w:rFonts w:hint="eastAsia" w:ascii="华文楷体" w:hAnsi="华文楷体" w:eastAsia="华文楷体" w:cs="华文楷体"/>
          <w:b/>
          <w:bCs/>
          <w:color w:val="000000"/>
          <w:sz w:val="32"/>
          <w:szCs w:val="32"/>
        </w:rPr>
        <w:t>（五）党建引领妇建新突破，推进主体责任落实。</w:t>
      </w:r>
      <w:r>
        <w:rPr>
          <w:rFonts w:hint="eastAsia"/>
          <w:b/>
          <w:color w:val="000000"/>
          <w:sz w:val="32"/>
          <w:szCs w:val="32"/>
        </w:rPr>
        <w:t>一是</w:t>
      </w:r>
      <w:r>
        <w:rPr>
          <w:rFonts w:hint="eastAsia"/>
          <w:bCs/>
          <w:color w:val="000000"/>
          <w:sz w:val="32"/>
          <w:szCs w:val="32"/>
        </w:rPr>
        <w:t>加强党的政治建设，印发《州妇联2019年党建工作要点》，形成《党建领航 花开阿坝——阿坝州妇联2019年“五带五加强”党建带妇建工作方案》，下发《关于进一步加强机关妇女组织建设的意见》，推动各项工作有序开展。</w:t>
      </w:r>
      <w:r>
        <w:rPr>
          <w:rFonts w:hint="eastAsia"/>
          <w:b/>
          <w:bCs/>
          <w:color w:val="000000"/>
          <w:sz w:val="32"/>
          <w:szCs w:val="32"/>
        </w:rPr>
        <w:t>四是</w:t>
      </w:r>
      <w:r>
        <w:rPr>
          <w:rFonts w:hint="eastAsia"/>
          <w:bCs/>
          <w:color w:val="000000"/>
          <w:sz w:val="32"/>
          <w:szCs w:val="32"/>
        </w:rPr>
        <w:t>严肃党内政治生活，认真召开了2018年度民主生活会和组织生活会。组织生活会上还对每位党员进行了认真评议，认真执行“三会一课”制度及民主集中制。加强机关党员教育管理。制定党组关于加强党内法规学习贯彻的意见，扩大全体在职党员参与中心组学习，坚持每月开展党章党规学习。发动全体在职党员下载学习强国，最高学习积分 11786分。组织学习《中国共产党支部工作条例（试行）》《党员教育管理工作条例》等，让每位党员熟悉党的工作流程和教育管理要求。 党组成员、党支部副书记讲党课6次。开展丰富多彩的“党员主题日”活动 10次，特别是与扶贫帮扶村党委一起开展的主题党日活动，深受帮扶村党员欢迎。</w:t>
      </w:r>
      <w:r>
        <w:rPr>
          <w:rFonts w:hint="eastAsia"/>
          <w:b/>
          <w:bCs/>
          <w:color w:val="000000"/>
          <w:sz w:val="32"/>
          <w:szCs w:val="32"/>
        </w:rPr>
        <w:t>二是</w:t>
      </w:r>
      <w:r>
        <w:rPr>
          <w:rFonts w:hint="eastAsia"/>
          <w:bCs/>
          <w:color w:val="000000"/>
          <w:sz w:val="32"/>
          <w:szCs w:val="32"/>
        </w:rPr>
        <w:t>履行党风廉政建设主体责任和“一岗双责”。</w:t>
      </w:r>
      <w:r>
        <w:rPr>
          <w:rFonts w:hint="eastAsia" w:hAnsi="仿宋"/>
          <w:color w:val="000000"/>
          <w:sz w:val="32"/>
          <w:szCs w:val="32"/>
        </w:rPr>
        <w:t>认真制定《阿坝州妇联2019年党风廉政建设工作要点》，召开了党风廉政建设工作会，对全年工作进行了统筹安排。党组书记与班子成员、副县级领导、13县（市）妇联主席，分管领导与分管部室负责人，部室负责人与部室工作人员层层签订党风廉政建设年度目标责任书24份。开展</w:t>
      </w:r>
      <w:r>
        <w:rPr>
          <w:rFonts w:hint="eastAsia" w:hAnsi="仿宋" w:cs="仿宋_GB2312"/>
          <w:color w:val="000000"/>
          <w:spacing w:val="-20"/>
          <w:sz w:val="32"/>
          <w:szCs w:val="32"/>
        </w:rPr>
        <w:t>县（市）妇联主席集体廉政谈话1次，与会机关中层以上干部集体廉政谈话3次，共计34人次。</w:t>
      </w:r>
      <w:r>
        <w:rPr>
          <w:rFonts w:hint="eastAsia" w:hAnsi="仿宋"/>
          <w:color w:val="000000"/>
          <w:sz w:val="32"/>
          <w:szCs w:val="32"/>
        </w:rPr>
        <w:t>围绕元旦、春节、五一、端午、十一、羌历年等重要节假日抓好监督，共开展节日廉政提醒6次，覆盖州、县（市）妇联干部及州妇联执委84人；围绕“党员干部、公职人员‘赌博敛财’问题专项整治”工作抓好监督，10名党员干部签订《不参与赌博敛财承诺书》，4名党员领导干部签订《不利用地方名贵特产谋取私利承诺书》。</w:t>
      </w:r>
      <w:r>
        <w:rPr>
          <w:rFonts w:hint="eastAsia" w:hAnsi="仿宋"/>
          <w:b/>
          <w:color w:val="000000"/>
          <w:sz w:val="32"/>
          <w:szCs w:val="32"/>
        </w:rPr>
        <w:t>二是</w:t>
      </w:r>
      <w:r>
        <w:rPr>
          <w:rFonts w:hint="eastAsia" w:hAnsi="仿宋"/>
          <w:color w:val="000000"/>
          <w:sz w:val="32"/>
          <w:szCs w:val="32"/>
        </w:rPr>
        <w:t>紧紧围绕选好人、用好人，提高干部队伍整体素质要求，严格按照《选人用人工作条例》规定的程序和要求提拔使用1名正科级干部。截止10月，会机关4名副县级以上党员领导干部参加了州委第二纪检监察组组织的警示教育活动；党组中心组学纪学法19次，会机关开展职工学纪学法及观看警示教育宣传30次。坚持民主集中制，对三重一大事项集体研究决策。召开党组会议22次，主席办公会议2次，扎紧权力笼子，确保核心权力规范运行。</w:t>
      </w:r>
      <w:r>
        <w:rPr>
          <w:rFonts w:hint="eastAsia" w:ascii="仿宋" w:hAnsi="仿宋" w:eastAsia="仿宋"/>
          <w:color w:val="000000"/>
          <w:sz w:val="32"/>
          <w:szCs w:val="32"/>
        </w:rPr>
        <w:t xml:space="preserve"> </w:t>
      </w:r>
    </w:p>
    <w:p w14:paraId="59BFC571">
      <w:pPr>
        <w:spacing w:line="540" w:lineRule="exact"/>
        <w:ind w:firstLine="643" w:firstLineChars="200"/>
        <w:rPr>
          <w:rFonts w:ascii="仿宋_GB2312" w:hAnsi="仿宋" w:eastAsia="仿宋_GB2312"/>
          <w:w w:val="95"/>
          <w:sz w:val="32"/>
          <w:szCs w:val="32"/>
        </w:rPr>
      </w:pPr>
      <w:r>
        <w:rPr>
          <w:rFonts w:hint="eastAsia" w:ascii="华文楷体" w:hAnsi="华文楷体" w:eastAsia="华文楷体" w:cs="华文楷体"/>
          <w:b/>
          <w:color w:val="000000"/>
          <w:sz w:val="32"/>
          <w:szCs w:val="32"/>
        </w:rPr>
        <w:t>（六）联系服务职能新深化，群众工作扎实有力。</w:t>
      </w:r>
      <w:r>
        <w:rPr>
          <w:rFonts w:hint="eastAsia" w:ascii="仿宋_GB2312" w:eastAsia="仿宋_GB2312"/>
          <w:w w:val="95"/>
          <w:sz w:val="32"/>
          <w:szCs w:val="32"/>
        </w:rPr>
        <w:t>深入开展“两联一进”群众工作全覆盖，让干部职工不忘初心、牢记使命，进一步强化担当精神、转变工作作风，进一步树牢宗旨意识、密切党群干群关系。截止10月</w:t>
      </w:r>
      <w:r>
        <w:rPr>
          <w:rFonts w:hint="eastAsia" w:ascii="仿宋_GB2312" w:hAnsi="仿宋" w:eastAsia="仿宋_GB2312"/>
          <w:w w:val="95"/>
          <w:sz w:val="32"/>
          <w:szCs w:val="32"/>
        </w:rPr>
        <w:t>共</w:t>
      </w:r>
      <w:r>
        <w:rPr>
          <w:rFonts w:hint="eastAsia" w:ascii="仿宋_GB2312" w:eastAsia="仿宋_GB2312"/>
          <w:w w:val="95"/>
          <w:sz w:val="32"/>
          <w:szCs w:val="32"/>
        </w:rPr>
        <w:t>探访联系僧人33次，开展座谈8次，解决实际问题4个。</w:t>
      </w:r>
      <w:r>
        <w:rPr>
          <w:rFonts w:hint="eastAsia" w:ascii="仿宋_GB2312" w:hAnsi="仿宋" w:eastAsia="仿宋_GB2312"/>
          <w:w w:val="95"/>
          <w:sz w:val="32"/>
          <w:szCs w:val="32"/>
        </w:rPr>
        <w:t>开展法律宣讲6次，全会干部职工参与人数达57人次。领导干部讲党课 5次,  395余人次参加。开展慰问6次，发放慰问金3.54万元。我会被评为“联寺联僧”先进集体，1名副县级领导干部被评为“联户联情”先进个人。</w:t>
      </w:r>
    </w:p>
    <w:p w14:paraId="32AE2D15">
      <w:pPr>
        <w:spacing w:line="560" w:lineRule="exact"/>
        <w:ind w:firstLine="643" w:firstLineChars="200"/>
        <w:rPr>
          <w:rStyle w:val="27"/>
        </w:rPr>
      </w:pPr>
      <w:r>
        <w:rPr>
          <w:rStyle w:val="27"/>
          <w:rFonts w:hint="eastAsia" w:ascii="黑体" w:hAnsi="黑体" w:eastAsia="黑体"/>
        </w:rPr>
        <w:t>二、机构设置</w:t>
      </w:r>
      <w:bookmarkEnd w:id="20"/>
      <w:bookmarkEnd w:id="21"/>
    </w:p>
    <w:p w14:paraId="11963D53">
      <w:pPr>
        <w:spacing w:line="560" w:lineRule="exact"/>
        <w:ind w:firstLine="640" w:firstLineChars="200"/>
        <w:rPr>
          <w:rFonts w:ascii="仿宋" w:hAnsi="仿宋" w:eastAsia="仿宋"/>
          <w:sz w:val="32"/>
          <w:szCs w:val="32"/>
        </w:rPr>
      </w:pPr>
      <w:r>
        <w:rPr>
          <w:rFonts w:hint="eastAsia" w:ascii="仿宋" w:hAnsi="仿宋" w:eastAsia="仿宋" w:cs="宋体"/>
          <w:sz w:val="32"/>
          <w:szCs w:val="32"/>
        </w:rPr>
        <w:t>1.我会设一室三部</w:t>
      </w:r>
      <w:r>
        <w:rPr>
          <w:rFonts w:hint="eastAsia" w:ascii="仿宋" w:hAnsi="仿宋" w:eastAsia="仿宋" w:cs="Malgun Gothic Semilight"/>
          <w:sz w:val="32"/>
          <w:szCs w:val="32"/>
        </w:rPr>
        <w:t>，</w:t>
      </w:r>
      <w:r>
        <w:rPr>
          <w:rFonts w:hint="eastAsia" w:ascii="仿宋" w:hAnsi="仿宋" w:eastAsia="仿宋" w:cs="宋体"/>
          <w:sz w:val="32"/>
          <w:szCs w:val="32"/>
        </w:rPr>
        <w:t>即办公室</w:t>
      </w:r>
      <w:r>
        <w:rPr>
          <w:rFonts w:hint="eastAsia" w:ascii="仿宋" w:hAnsi="仿宋" w:eastAsia="仿宋" w:cs="Malgun Gothic Semilight"/>
          <w:sz w:val="32"/>
          <w:szCs w:val="32"/>
        </w:rPr>
        <w:t>、</w:t>
      </w:r>
      <w:r>
        <w:rPr>
          <w:rFonts w:hint="eastAsia" w:ascii="仿宋" w:hAnsi="仿宋" w:eastAsia="仿宋" w:cs="宋体"/>
          <w:sz w:val="32"/>
          <w:szCs w:val="32"/>
        </w:rPr>
        <w:t>儿童工作部</w:t>
      </w:r>
      <w:r>
        <w:rPr>
          <w:rFonts w:hint="eastAsia" w:ascii="仿宋" w:hAnsi="仿宋" w:eastAsia="仿宋" w:cs="Malgun Gothic Semilight"/>
          <w:sz w:val="32"/>
          <w:szCs w:val="32"/>
        </w:rPr>
        <w:t>、</w:t>
      </w:r>
      <w:r>
        <w:rPr>
          <w:rFonts w:hint="eastAsia" w:ascii="仿宋" w:hAnsi="仿宋" w:eastAsia="仿宋" w:cs="宋体"/>
          <w:sz w:val="32"/>
          <w:szCs w:val="32"/>
        </w:rPr>
        <w:t>宣传教育发展部</w:t>
      </w:r>
      <w:r>
        <w:rPr>
          <w:rFonts w:hint="eastAsia" w:ascii="仿宋" w:hAnsi="仿宋" w:eastAsia="仿宋" w:cs="Malgun Gothic Semilight"/>
          <w:sz w:val="32"/>
          <w:szCs w:val="32"/>
        </w:rPr>
        <w:t>、</w:t>
      </w:r>
      <w:r>
        <w:rPr>
          <w:rFonts w:hint="eastAsia" w:ascii="仿宋" w:hAnsi="仿宋" w:eastAsia="仿宋" w:cs="宋体"/>
          <w:sz w:val="32"/>
          <w:szCs w:val="32"/>
        </w:rPr>
        <w:t>组织权益部</w:t>
      </w:r>
      <w:r>
        <w:rPr>
          <w:rFonts w:hint="eastAsia" w:ascii="仿宋" w:hAnsi="仿宋" w:eastAsia="仿宋" w:cs="Malgun Gothic Semilight"/>
          <w:sz w:val="32"/>
          <w:szCs w:val="32"/>
        </w:rPr>
        <w:t>。</w:t>
      </w:r>
      <w:r>
        <w:rPr>
          <w:rFonts w:hint="eastAsia" w:ascii="仿宋" w:hAnsi="仿宋" w:eastAsia="仿宋" w:cs="宋体"/>
          <w:sz w:val="32"/>
          <w:szCs w:val="32"/>
        </w:rPr>
        <w:t>州政府妇儿工委办设在我会</w:t>
      </w:r>
      <w:r>
        <w:rPr>
          <w:rFonts w:hint="eastAsia" w:ascii="仿宋" w:hAnsi="仿宋" w:eastAsia="仿宋" w:cs="Malgun Gothic Semilight"/>
          <w:sz w:val="32"/>
          <w:szCs w:val="32"/>
        </w:rPr>
        <w:t>。</w:t>
      </w:r>
    </w:p>
    <w:p w14:paraId="3EA8CB99">
      <w:pPr>
        <w:spacing w:line="560" w:lineRule="exact"/>
        <w:ind w:firstLine="640" w:firstLineChars="200"/>
        <w:rPr>
          <w:rFonts w:ascii="仿宋" w:hAnsi="仿宋" w:eastAsia="仿宋" w:cs="宋体"/>
          <w:color w:val="000000"/>
          <w:spacing w:val="-2"/>
          <w:kern w:val="0"/>
          <w:sz w:val="32"/>
          <w:szCs w:val="32"/>
        </w:rPr>
      </w:pPr>
      <w:r>
        <w:rPr>
          <w:rFonts w:hint="eastAsia" w:ascii="仿宋" w:hAnsi="仿宋" w:eastAsia="仿宋" w:cs="宋体"/>
          <w:sz w:val="32"/>
          <w:szCs w:val="32"/>
        </w:rPr>
        <w:t>2.我会总编制</w:t>
      </w:r>
      <w:r>
        <w:rPr>
          <w:rFonts w:hint="eastAsia" w:ascii="仿宋" w:hAnsi="仿宋" w:eastAsia="仿宋"/>
          <w:sz w:val="32"/>
          <w:szCs w:val="32"/>
        </w:rPr>
        <w:t>14</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cs="宋体"/>
          <w:sz w:val="32"/>
          <w:szCs w:val="32"/>
        </w:rPr>
        <w:t>其中</w:t>
      </w:r>
      <w:r>
        <w:rPr>
          <w:rFonts w:hint="eastAsia" w:ascii="仿宋" w:hAnsi="仿宋" w:eastAsia="仿宋" w:cs="Malgun Gothic Semilight"/>
          <w:sz w:val="32"/>
          <w:szCs w:val="32"/>
        </w:rPr>
        <w:t>：</w:t>
      </w:r>
      <w:r>
        <w:rPr>
          <w:rFonts w:hint="eastAsia" w:ascii="仿宋" w:hAnsi="仿宋" w:eastAsia="仿宋" w:cs="宋体"/>
          <w:sz w:val="32"/>
          <w:szCs w:val="32"/>
        </w:rPr>
        <w:t>行政编制</w:t>
      </w:r>
      <w:r>
        <w:rPr>
          <w:rFonts w:hint="eastAsia" w:ascii="仿宋" w:hAnsi="仿宋" w:eastAsia="仿宋"/>
          <w:sz w:val="32"/>
          <w:szCs w:val="32"/>
        </w:rPr>
        <w:t>11</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cs="宋体"/>
          <w:sz w:val="32"/>
          <w:szCs w:val="32"/>
        </w:rPr>
        <w:t>工勤人员</w:t>
      </w:r>
      <w:r>
        <w:rPr>
          <w:rFonts w:hint="eastAsia" w:ascii="仿宋" w:hAnsi="仿宋" w:eastAsia="仿宋"/>
          <w:sz w:val="32"/>
          <w:szCs w:val="32"/>
        </w:rPr>
        <w:t>3</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cs="宋体"/>
          <w:sz w:val="32"/>
          <w:szCs w:val="32"/>
        </w:rPr>
        <w:t>在职人员总数</w:t>
      </w:r>
      <w:r>
        <w:rPr>
          <w:rFonts w:hint="eastAsia" w:ascii="仿宋" w:hAnsi="仿宋" w:eastAsia="仿宋"/>
          <w:sz w:val="32"/>
          <w:szCs w:val="32"/>
        </w:rPr>
        <w:t>13</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cs="宋体"/>
          <w:sz w:val="32"/>
          <w:szCs w:val="32"/>
        </w:rPr>
        <w:t>其中</w:t>
      </w:r>
      <w:r>
        <w:rPr>
          <w:rFonts w:hint="eastAsia" w:ascii="仿宋" w:hAnsi="仿宋" w:eastAsia="仿宋" w:cs="Malgun Gothic Semilight"/>
          <w:sz w:val="32"/>
          <w:szCs w:val="32"/>
        </w:rPr>
        <w:t>：</w:t>
      </w:r>
      <w:r>
        <w:rPr>
          <w:rFonts w:hint="eastAsia" w:ascii="仿宋" w:hAnsi="仿宋" w:eastAsia="仿宋" w:cs="宋体"/>
          <w:sz w:val="32"/>
          <w:szCs w:val="32"/>
        </w:rPr>
        <w:t>行政人员</w:t>
      </w:r>
      <w:r>
        <w:rPr>
          <w:rFonts w:hint="eastAsia" w:ascii="仿宋" w:hAnsi="仿宋" w:eastAsia="仿宋"/>
          <w:sz w:val="32"/>
          <w:szCs w:val="32"/>
        </w:rPr>
        <w:t>10</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cs="宋体"/>
          <w:sz w:val="32"/>
          <w:szCs w:val="32"/>
        </w:rPr>
        <w:t>工勤人员</w:t>
      </w:r>
      <w:r>
        <w:rPr>
          <w:rFonts w:hint="eastAsia" w:ascii="仿宋" w:hAnsi="仿宋" w:eastAsia="仿宋"/>
          <w:sz w:val="32"/>
          <w:szCs w:val="32"/>
        </w:rPr>
        <w:t>3</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cs="宋体"/>
          <w:sz w:val="32"/>
          <w:szCs w:val="32"/>
        </w:rPr>
        <w:t>退休人员</w:t>
      </w:r>
      <w:r>
        <w:rPr>
          <w:rFonts w:hint="eastAsia" w:ascii="仿宋" w:hAnsi="仿宋" w:eastAsia="仿宋"/>
          <w:sz w:val="32"/>
          <w:szCs w:val="32"/>
        </w:rPr>
        <w:t>6</w:t>
      </w:r>
      <w:r>
        <w:rPr>
          <w:rFonts w:hint="eastAsia" w:ascii="仿宋" w:hAnsi="仿宋" w:eastAsia="仿宋" w:cs="宋体"/>
          <w:sz w:val="32"/>
          <w:szCs w:val="32"/>
        </w:rPr>
        <w:t>人</w:t>
      </w:r>
      <w:r>
        <w:rPr>
          <w:rFonts w:hint="eastAsia" w:ascii="仿宋" w:hAnsi="仿宋" w:eastAsia="仿宋"/>
          <w:sz w:val="32"/>
          <w:szCs w:val="32"/>
        </w:rPr>
        <w:t>。</w:t>
      </w:r>
    </w:p>
    <w:p w14:paraId="594E1074">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42CCCE49">
      <w:pPr>
        <w:pStyle w:val="2"/>
        <w:ind w:right="440"/>
        <w:jc w:val="center"/>
        <w:rPr>
          <w:rFonts w:ascii="黑体" w:hAnsi="黑体" w:eastAsia="黑体"/>
          <w:b w:val="0"/>
          <w:bCs w:val="0"/>
          <w:sz w:val="32"/>
          <w:szCs w:val="32"/>
        </w:rPr>
      </w:pPr>
      <w:bookmarkStart w:id="22" w:name="_Toc15396602"/>
      <w:bookmarkStart w:id="23" w:name="_Toc15377204"/>
      <w:r>
        <w:rPr>
          <w:rFonts w:hint="eastAsia" w:ascii="黑体" w:hAnsi="黑体" w:eastAsia="黑体"/>
          <w:b w:val="0"/>
          <w:color w:val="000000"/>
          <w:sz w:val="32"/>
          <w:szCs w:val="32"/>
        </w:rPr>
        <w:t>第二部分</w:t>
      </w:r>
      <w:r>
        <w:rPr>
          <w:rFonts w:hint="eastAsia" w:ascii="黑体" w:hAnsi="黑体" w:eastAsia="黑体"/>
          <w:color w:val="000000"/>
          <w:sz w:val="32"/>
          <w:szCs w:val="32"/>
        </w:rPr>
        <w:t xml:space="preserve"> </w:t>
      </w:r>
      <w:r>
        <w:rPr>
          <w:rStyle w:val="26"/>
          <w:rFonts w:hint="eastAsia" w:ascii="黑体" w:hAnsi="黑体" w:eastAsia="黑体"/>
          <w:b w:val="0"/>
          <w:bCs w:val="0"/>
          <w:sz w:val="32"/>
          <w:szCs w:val="32"/>
        </w:rPr>
        <w:t>2019年度部门决算情况说明</w:t>
      </w:r>
      <w:bookmarkEnd w:id="22"/>
      <w:bookmarkEnd w:id="23"/>
    </w:p>
    <w:p w14:paraId="0CE1957D">
      <w:pPr>
        <w:pStyle w:val="25"/>
        <w:numPr>
          <w:ilvl w:val="0"/>
          <w:numId w:val="1"/>
        </w:numPr>
        <w:spacing w:line="600" w:lineRule="exact"/>
        <w:ind w:firstLineChars="0"/>
        <w:outlineLvl w:val="1"/>
        <w:rPr>
          <w:rStyle w:val="27"/>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14:paraId="5FF6914B">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2019年度收、支总计1249.52万元。与2018年相比，收、支总计各增加3.38万元、72.7万元，增长6.48</w:t>
      </w:r>
      <w:r>
        <w:rPr>
          <w:rFonts w:ascii="仿宋" w:hAnsi="仿宋" w:eastAsia="仿宋"/>
          <w:color w:val="000000"/>
          <w:sz w:val="32"/>
          <w:szCs w:val="32"/>
        </w:rPr>
        <w:t>%</w:t>
      </w:r>
      <w:r>
        <w:rPr>
          <w:rFonts w:hint="eastAsia" w:ascii="仿宋" w:hAnsi="仿宋" w:eastAsia="仿宋"/>
          <w:color w:val="000000"/>
          <w:sz w:val="32"/>
          <w:szCs w:val="32"/>
        </w:rPr>
        <w:t>。主要变动原因：一是加大的基层妇女干部的业务能力培训，二是在我州开展讲好阿坝红色故事，弘扬藏羌家国情怀时代新人说</w:t>
      </w:r>
      <w:r>
        <w:rPr>
          <w:rFonts w:ascii="仿宋" w:hAnsi="仿宋" w:eastAsia="仿宋"/>
          <w:color w:val="000000"/>
          <w:sz w:val="32"/>
          <w:szCs w:val="32"/>
        </w:rPr>
        <w:t>—</w:t>
      </w:r>
      <w:r>
        <w:rPr>
          <w:rFonts w:hint="eastAsia" w:ascii="仿宋" w:hAnsi="仿宋" w:eastAsia="仿宋"/>
          <w:color w:val="000000"/>
          <w:sz w:val="32"/>
          <w:szCs w:val="32"/>
        </w:rPr>
        <w:t>“我和我祖国共成长”家国情怀故事汇。三是召开四川省妇女十三大会议，我州需选举省妇女代表以及执委会。</w:t>
      </w:r>
    </w:p>
    <w:p w14:paraId="0C509DBE">
      <w:pPr>
        <w:pStyle w:val="34"/>
        <w:rPr>
          <w:rFonts w:hint="eastAsia"/>
        </w:rPr>
      </w:pPr>
      <w:r>
        <w:rPr>
          <w:lang w:val="en-US"/>
        </w:rPr>
        <w:drawing>
          <wp:inline distT="0" distB="0" distL="0" distR="0">
            <wp:extent cx="2362200" cy="2447925"/>
            <wp:effectExtent l="19050" t="0" r="1905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A36C034">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14:paraId="6AFABF83">
      <w:pPr>
        <w:pStyle w:val="25"/>
        <w:numPr>
          <w:ilvl w:val="0"/>
          <w:numId w:val="1"/>
        </w:numPr>
        <w:spacing w:line="600" w:lineRule="exact"/>
        <w:ind w:firstLineChars="0"/>
        <w:outlineLvl w:val="1"/>
        <w:rPr>
          <w:rStyle w:val="27"/>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7"/>
          <w:rFonts w:hint="eastAsia" w:ascii="黑体" w:hAnsi="黑体" w:eastAsia="黑体"/>
          <w:b w:val="0"/>
        </w:rPr>
        <w:t>入决算情况说明</w:t>
      </w:r>
      <w:bookmarkEnd w:id="26"/>
      <w:bookmarkEnd w:id="27"/>
    </w:p>
    <w:p w14:paraId="6E7B839F">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9年本年收入合计593.75万元，其中：一般公共预算财政拨款收入593.75万元，占100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 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上级补助收入0</w:t>
      </w:r>
      <w:r>
        <w:rPr>
          <w:rFonts w:hint="eastAsia" w:ascii="仿宋" w:hAnsi="仿宋" w:eastAsia="仿宋"/>
          <w:color w:val="000000"/>
          <w:sz w:val="32"/>
          <w:szCs w:val="32"/>
        </w:rPr>
        <w:t>万元, 占0</w:t>
      </w:r>
      <w:r>
        <w:rPr>
          <w:rFonts w:ascii="仿宋" w:hAnsi="仿宋" w:eastAsia="仿宋"/>
          <w:color w:val="000000"/>
          <w:sz w:val="32"/>
          <w:szCs w:val="32"/>
        </w:rPr>
        <w:t>%</w:t>
      </w:r>
      <w:r>
        <w:rPr>
          <w:rFonts w:hint="eastAsia" w:ascii="仿宋" w:hAnsi="仿宋" w:eastAsia="仿宋"/>
          <w:color w:val="000000"/>
          <w:sz w:val="32"/>
          <w:szCs w:val="32"/>
        </w:rPr>
        <w:t>；事业收入0万元, 占0</w:t>
      </w:r>
      <w:r>
        <w:rPr>
          <w:rFonts w:ascii="仿宋" w:hAnsi="仿宋" w:eastAsia="仿宋"/>
          <w:color w:val="000000"/>
          <w:sz w:val="32"/>
          <w:szCs w:val="32"/>
        </w:rPr>
        <w:t>%</w:t>
      </w:r>
      <w:r>
        <w:rPr>
          <w:rFonts w:hint="eastAsia" w:ascii="仿宋" w:hAnsi="仿宋" w:eastAsia="仿宋"/>
          <w:color w:val="000000"/>
          <w:sz w:val="32"/>
          <w:szCs w:val="32"/>
        </w:rPr>
        <w:t>；经营收入0万元, 占0</w:t>
      </w:r>
      <w:r>
        <w:rPr>
          <w:rFonts w:ascii="仿宋" w:hAnsi="仿宋" w:eastAsia="仿宋"/>
          <w:color w:val="000000"/>
          <w:sz w:val="32"/>
          <w:szCs w:val="32"/>
        </w:rPr>
        <w:t>%</w:t>
      </w:r>
      <w:r>
        <w:rPr>
          <w:rFonts w:hint="eastAsia" w:ascii="仿宋" w:hAnsi="仿宋" w:eastAsia="仿宋"/>
          <w:color w:val="000000"/>
          <w:sz w:val="32"/>
          <w:szCs w:val="32"/>
        </w:rPr>
        <w:t>；附属单位上缴收入0万元, 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3902248A">
      <w:pPr>
        <w:pStyle w:val="34"/>
        <w:rPr>
          <w:rFonts w:hint="eastAsia"/>
        </w:rPr>
      </w:pPr>
      <w:r>
        <w:rPr>
          <w:lang w:val="en-US"/>
        </w:rPr>
        <w:drawing>
          <wp:inline distT="0" distB="0" distL="0" distR="0">
            <wp:extent cx="4400550" cy="3333750"/>
            <wp:effectExtent l="19050" t="0" r="1905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5B9751E">
      <w:pPr>
        <w:pStyle w:val="34"/>
        <w:rPr>
          <w:rFonts w:hint="eastAsia"/>
          <w:color w:val="000000" w:themeColor="text1"/>
        </w:rPr>
      </w:pPr>
      <w:r>
        <w:rPr>
          <w:rFonts w:hint="eastAsia"/>
          <w:color w:val="000000" w:themeColor="text1"/>
        </w:rPr>
        <w:t>（图2：收入决算结构图）（饼状图）</w:t>
      </w:r>
    </w:p>
    <w:p w14:paraId="67C66729">
      <w:pPr>
        <w:pStyle w:val="25"/>
        <w:numPr>
          <w:ilvl w:val="0"/>
          <w:numId w:val="1"/>
        </w:numPr>
        <w:spacing w:line="600" w:lineRule="exact"/>
        <w:ind w:firstLineChars="0"/>
        <w:outlineLvl w:val="1"/>
        <w:rPr>
          <w:rStyle w:val="27"/>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28"/>
      <w:bookmarkEnd w:id="29"/>
    </w:p>
    <w:p w14:paraId="441DFBCB">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9年本年支出合计655.77万元，其中：基本支出415.67万元，占63.39</w:t>
      </w:r>
      <w:r>
        <w:rPr>
          <w:rFonts w:ascii="仿宋" w:hAnsi="仿宋" w:eastAsia="仿宋"/>
          <w:color w:val="000000"/>
          <w:sz w:val="32"/>
          <w:szCs w:val="32"/>
        </w:rPr>
        <w:t>%</w:t>
      </w:r>
      <w:r>
        <w:rPr>
          <w:rFonts w:hint="eastAsia" w:ascii="仿宋" w:hAnsi="仿宋" w:eastAsia="仿宋"/>
          <w:color w:val="000000"/>
          <w:sz w:val="32"/>
          <w:szCs w:val="32"/>
        </w:rPr>
        <w:t>；项目支出240.1万元，占36.61</w:t>
      </w:r>
      <w:r>
        <w:rPr>
          <w:rFonts w:ascii="仿宋" w:hAnsi="仿宋" w:eastAsia="仿宋"/>
          <w:color w:val="000000"/>
          <w:sz w:val="32"/>
          <w:szCs w:val="32"/>
        </w:rPr>
        <w:t>%</w:t>
      </w:r>
      <w:r>
        <w:rPr>
          <w:rFonts w:hint="eastAsia" w:ascii="仿宋" w:hAnsi="仿宋" w:eastAsia="仿宋"/>
          <w:color w:val="000000"/>
          <w:sz w:val="32"/>
          <w:szCs w:val="32"/>
        </w:rPr>
        <w:t>；上缴上级支出0万元0；经营支出0万元0；对附属单位补助支出0万元0。</w:t>
      </w:r>
    </w:p>
    <w:p w14:paraId="3C39581E">
      <w:pPr>
        <w:pStyle w:val="34"/>
        <w:rPr>
          <w:rFonts w:hint="eastAsia"/>
          <w:szCs w:val="32"/>
        </w:rPr>
      </w:pPr>
      <w:r>
        <w:rPr>
          <w:rFonts w:hint="eastAsia"/>
          <w:lang w:val="en-US"/>
        </w:rPr>
        <w:drawing>
          <wp:inline distT="0" distB="0" distL="0" distR="0">
            <wp:extent cx="3705225" cy="2533650"/>
            <wp:effectExtent l="19050" t="0" r="952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ABC6C2A">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14:paraId="191763F8">
      <w:pPr>
        <w:spacing w:line="600" w:lineRule="exact"/>
        <w:ind w:firstLine="640" w:firstLineChars="200"/>
        <w:outlineLvl w:val="1"/>
        <w:rPr>
          <w:rStyle w:val="27"/>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0"/>
      <w:bookmarkEnd w:id="31"/>
    </w:p>
    <w:p w14:paraId="2C6C72F3">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9年财政拨款收、支总计1249.82万元。与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8年相比，财政拨款收、支总计各增加3.38万元、72.7万元，增长6.48</w:t>
      </w:r>
      <w:r>
        <w:rPr>
          <w:rFonts w:ascii="仿宋" w:hAnsi="仿宋" w:eastAsia="仿宋"/>
          <w:color w:val="000000"/>
          <w:sz w:val="32"/>
          <w:szCs w:val="32"/>
        </w:rPr>
        <w:t>%</w:t>
      </w:r>
      <w:r>
        <w:rPr>
          <w:rFonts w:hint="eastAsia" w:ascii="仿宋" w:hAnsi="仿宋" w:eastAsia="仿宋"/>
          <w:color w:val="000000"/>
          <w:sz w:val="32"/>
          <w:szCs w:val="32"/>
        </w:rPr>
        <w:t>。主要变动原因：一是加大的基层妇女干部的业务能力培训，二是在我州开展讲好阿坝红色故事，弘扬藏羌家国情怀时代新人说</w:t>
      </w:r>
      <w:r>
        <w:rPr>
          <w:rFonts w:ascii="仿宋" w:hAnsi="仿宋" w:eastAsia="仿宋"/>
          <w:color w:val="000000"/>
          <w:sz w:val="32"/>
          <w:szCs w:val="32"/>
        </w:rPr>
        <w:t>—</w:t>
      </w:r>
      <w:r>
        <w:rPr>
          <w:rFonts w:hint="eastAsia" w:ascii="仿宋" w:hAnsi="仿宋" w:eastAsia="仿宋"/>
          <w:color w:val="000000"/>
          <w:sz w:val="32"/>
          <w:szCs w:val="32"/>
        </w:rPr>
        <w:t>“我和我祖国共成长”家国情怀故事汇。三是召开四川省妇女十三大会议，我州需选举省妇女代表以及执委会。</w:t>
      </w:r>
    </w:p>
    <w:p w14:paraId="474F26F7">
      <w:pPr>
        <w:pStyle w:val="34"/>
        <w:rPr>
          <w:rFonts w:hint="eastAsia"/>
        </w:rPr>
      </w:pPr>
      <w:r>
        <w:rPr>
          <w:rFonts w:hint="eastAsia"/>
          <w:lang w:val="en-US"/>
        </w:rPr>
        <w:drawing>
          <wp:inline distT="0" distB="0" distL="0" distR="0">
            <wp:extent cx="5274310" cy="3076575"/>
            <wp:effectExtent l="19050" t="0" r="21590" b="0"/>
            <wp:docPr id="8"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2632ED9">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14:paraId="079F93B4">
      <w:pPr>
        <w:spacing w:line="600" w:lineRule="exact"/>
        <w:ind w:firstLine="640" w:firstLineChars="200"/>
        <w:outlineLvl w:val="1"/>
        <w:rPr>
          <w:rStyle w:val="27"/>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14:paraId="28EAF736">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65CB97AF">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9年一般公共预算财政拨款支出655.77万元，占本年支出合计的100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8年相比，一般公共预算财政拨款增加72.7万元，增长12.47</w:t>
      </w:r>
      <w:r>
        <w:rPr>
          <w:rFonts w:ascii="仿宋" w:hAnsi="仿宋" w:eastAsia="仿宋"/>
          <w:color w:val="000000"/>
          <w:sz w:val="32"/>
          <w:szCs w:val="32"/>
        </w:rPr>
        <w:t>%</w:t>
      </w:r>
      <w:r>
        <w:rPr>
          <w:rFonts w:hint="eastAsia" w:ascii="仿宋" w:hAnsi="仿宋" w:eastAsia="仿宋"/>
          <w:color w:val="000000"/>
          <w:sz w:val="32"/>
          <w:szCs w:val="32"/>
        </w:rPr>
        <w:t>。主要变动原因是一是加大的基层妇女干部的业务能力培训，二是在我州开展讲好阿坝红色故事，弘扬藏羌家国情怀时代新人说</w:t>
      </w:r>
      <w:r>
        <w:rPr>
          <w:rFonts w:ascii="仿宋" w:hAnsi="仿宋" w:eastAsia="仿宋"/>
          <w:color w:val="000000"/>
          <w:sz w:val="32"/>
          <w:szCs w:val="32"/>
        </w:rPr>
        <w:t>—</w:t>
      </w:r>
      <w:r>
        <w:rPr>
          <w:rFonts w:hint="eastAsia" w:ascii="仿宋" w:hAnsi="仿宋" w:eastAsia="仿宋"/>
          <w:color w:val="000000"/>
          <w:sz w:val="32"/>
          <w:szCs w:val="32"/>
        </w:rPr>
        <w:t>“我和我祖国共成长”家国情怀故事汇。三是召开四川省妇女十三大会议，我州需选举省妇女代表以及执委会。</w:t>
      </w:r>
    </w:p>
    <w:p w14:paraId="68E50854">
      <w:pPr>
        <w:pStyle w:val="34"/>
        <w:rPr>
          <w:rFonts w:hint="eastAsia"/>
        </w:rPr>
      </w:pPr>
      <w:r>
        <w:rPr>
          <w:rFonts w:hint="eastAsia"/>
          <w:lang w:val="en-US"/>
        </w:rPr>
        <w:drawing>
          <wp:inline distT="0" distB="0" distL="0" distR="0">
            <wp:extent cx="5274310" cy="3076575"/>
            <wp:effectExtent l="19050" t="0" r="21590" b="0"/>
            <wp:docPr id="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44DA23D">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14:paraId="21F03555">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14:paraId="050F7012">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政拨款支出655.77万元，主要用于以下方面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一般公共服务（201）</w:t>
      </w:r>
      <w:r>
        <w:rPr>
          <w:rFonts w:hint="eastAsia" w:ascii="仿宋" w:hAnsi="仿宋" w:eastAsia="仿宋"/>
          <w:color w:val="000000" w:themeColor="text1"/>
          <w:sz w:val="32"/>
          <w:szCs w:val="32"/>
        </w:rPr>
        <w:t>支出577.55万元，占88.07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教育支出（类）</w:t>
      </w:r>
      <w:r>
        <w:rPr>
          <w:rFonts w:hint="eastAsia" w:ascii="仿宋" w:hAnsi="仿宋" w:eastAsia="仿宋"/>
          <w:color w:val="000000" w:themeColor="text1"/>
          <w:sz w:val="32"/>
          <w:szCs w:val="32"/>
        </w:rPr>
        <w:t>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科学技术（类）</w:t>
      </w:r>
      <w:r>
        <w:rPr>
          <w:rFonts w:hint="eastAsia" w:ascii="仿宋" w:hAnsi="仿宋" w:eastAsia="仿宋"/>
          <w:color w:val="000000" w:themeColor="text1"/>
          <w:sz w:val="32"/>
          <w:szCs w:val="32"/>
        </w:rPr>
        <w:t>支出0万元，占0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文化旅游体育与传媒（类）支出0万元，占0</w:t>
      </w:r>
      <w:r>
        <w:rPr>
          <w:rFonts w:ascii="仿宋" w:hAnsi="仿宋" w:eastAsia="仿宋"/>
          <w:b/>
          <w:bCs/>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社会保障和就业（208）</w:t>
      </w:r>
      <w:r>
        <w:rPr>
          <w:rFonts w:hint="eastAsia" w:ascii="仿宋" w:hAnsi="仿宋" w:eastAsia="仿宋"/>
          <w:color w:val="000000" w:themeColor="text1"/>
          <w:sz w:val="32"/>
          <w:szCs w:val="32"/>
        </w:rPr>
        <w:t>支出34.68万元，占5.29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卫生健康支出（210）</w:t>
      </w:r>
      <w:r>
        <w:rPr>
          <w:rFonts w:hint="eastAsia" w:ascii="仿宋" w:hAnsi="仿宋" w:eastAsia="仿宋"/>
          <w:color w:val="000000" w:themeColor="text1"/>
          <w:sz w:val="32"/>
          <w:szCs w:val="32"/>
        </w:rPr>
        <w:t>19.08万元，占2.91</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；住房保障支出（221）24.45万元，占3.73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14:paraId="1A8D9FAC">
      <w:pPr>
        <w:pStyle w:val="34"/>
        <w:rPr>
          <w:rFonts w:hint="eastAsia"/>
        </w:rPr>
      </w:pPr>
    </w:p>
    <w:p w14:paraId="5AD05CF1">
      <w:pPr>
        <w:pStyle w:val="34"/>
        <w:rPr>
          <w:rFonts w:hint="eastAsia"/>
        </w:rPr>
      </w:pPr>
      <w:r>
        <w:rPr>
          <w:color w:val="000000" w:themeColor="text1"/>
          <w:lang w:val="en-US"/>
        </w:rPr>
        <w:drawing>
          <wp:inline distT="0" distB="0" distL="0" distR="0">
            <wp:extent cx="3457575" cy="2724150"/>
            <wp:effectExtent l="19050" t="0" r="9525" b="0"/>
            <wp:docPr id="9"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22D6266">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14:paraId="1A729FAC">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14:paraId="20D8A12B">
      <w:pPr>
        <w:spacing w:line="600" w:lineRule="exact"/>
        <w:ind w:firstLine="643" w:firstLineChars="200"/>
        <w:outlineLvl w:val="2"/>
        <w:rPr>
          <w:rFonts w:ascii="仿宋" w:hAnsi="仿宋" w:eastAsia="仿宋"/>
          <w:color w:val="FF0000"/>
          <w:sz w:val="32"/>
          <w:szCs w:val="32"/>
        </w:rPr>
      </w:pPr>
      <w:bookmarkStart w:id="37" w:name="_Toc15378460"/>
      <w:bookmarkStart w:id="38" w:name="_Toc15377213"/>
      <w:bookmarkStart w:id="39" w:name="_Toc15377444"/>
      <w:r>
        <w:rPr>
          <w:rFonts w:hint="eastAsia" w:ascii="仿宋" w:hAnsi="仿宋" w:eastAsia="仿宋"/>
          <w:b/>
          <w:color w:val="000000" w:themeColor="text1"/>
          <w:sz w:val="32"/>
          <w:szCs w:val="32"/>
        </w:rPr>
        <w:t>2019年般公共预算支出决算数为655.77</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预算99.11</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7"/>
      <w:bookmarkEnd w:id="38"/>
      <w:bookmarkEnd w:id="39"/>
    </w:p>
    <w:p w14:paraId="3EAD438D">
      <w:pPr>
        <w:spacing w:line="600" w:lineRule="exact"/>
        <w:ind w:firstLine="643" w:firstLineChars="200"/>
        <w:rPr>
          <w:rStyle w:val="16"/>
          <w:rFonts w:ascii="仿宋" w:hAnsi="仿宋" w:eastAsia="仿宋"/>
          <w:b w:val="0"/>
          <w:bCs/>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一般公共服务（201）群众团体事务（20129）行政运行（01）</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支出决算为337.45万元，完成预算99.86</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，决算数小于预算数的主要原因是压减支出，厉行节约。</w:t>
      </w:r>
    </w:p>
    <w:p w14:paraId="44CCF452">
      <w:pPr>
        <w:spacing w:line="60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rPr>
        <w:t>2.一般公共服务（201）群众团体事务（20129）一般行政管理事务（02）：</w:t>
      </w:r>
      <w:r>
        <w:rPr>
          <w:rStyle w:val="16"/>
          <w:rFonts w:hint="eastAsia" w:ascii="仿宋" w:hAnsi="仿宋" w:eastAsia="仿宋"/>
          <w:b w:val="0"/>
          <w:bCs/>
          <w:color w:val="000000"/>
          <w:sz w:val="32"/>
          <w:szCs w:val="32"/>
        </w:rPr>
        <w:t>支出决算为124.77万元，完成预算98</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，决算数小于预算数的主要原因是每年在春节前开展对贫困妇女儿童慰问工作。</w:t>
      </w:r>
    </w:p>
    <w:p w14:paraId="479696D0">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rPr>
        <w:t>3</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一般公共服务（201）群众团体事务（20129）其他群众团体事务支出（99）：</w:t>
      </w:r>
      <w:r>
        <w:rPr>
          <w:rStyle w:val="16"/>
          <w:rFonts w:hint="eastAsia" w:ascii="仿宋" w:hAnsi="仿宋" w:eastAsia="仿宋"/>
          <w:b w:val="0"/>
          <w:bCs/>
          <w:color w:val="000000"/>
          <w:sz w:val="32"/>
          <w:szCs w:val="32"/>
        </w:rPr>
        <w:t>支出决算为115.33万元，完成预算97.81</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，决算数小于预算数的主要原因是2019年妇女儿童专项工作经费预留有质保金和项目审计费。</w:t>
      </w:r>
    </w:p>
    <w:p w14:paraId="7C039087">
      <w:pPr>
        <w:spacing w:line="600" w:lineRule="exact"/>
        <w:ind w:firstLine="643" w:firstLineChars="200"/>
        <w:rPr>
          <w:rFonts w:ascii="仿宋" w:hAnsi="仿宋" w:eastAsia="仿宋"/>
          <w:bCs/>
          <w:color w:val="000000"/>
          <w:sz w:val="32"/>
          <w:szCs w:val="32"/>
        </w:rPr>
      </w:pPr>
      <w:r>
        <w:rPr>
          <w:rStyle w:val="16"/>
          <w:rFonts w:hint="eastAsia" w:ascii="仿宋" w:hAnsi="仿宋" w:eastAsia="仿宋"/>
          <w:bCs/>
          <w:color w:val="000000"/>
          <w:sz w:val="32"/>
          <w:szCs w:val="32"/>
        </w:rPr>
        <w:t>4</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社会保障和就业（208）行政事业单位离退休费（05）机关事业单位基本养老保险缴费支出（05）</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支出决算为23.77万元，完成预算100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2D45D917">
      <w:pPr>
        <w:spacing w:line="60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rPr>
        <w:t>5</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 xml:space="preserve"> 社会保障和就业（208）行政事业单位离退休费（05）机关事业单位职业年金缴费支出（06）</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支出决算为19.92万元，完成预算100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378F2354">
      <w:pPr>
        <w:spacing w:line="60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rPr>
        <w:t>6</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 xml:space="preserve"> 卫生健康支出（210）行政事业单位单位医疗（11）行政单位医疗（06）</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支出决算为16.29万元，完成预算100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790A2456">
      <w:pPr>
        <w:spacing w:line="600" w:lineRule="exact"/>
        <w:ind w:firstLine="643" w:firstLineChars="200"/>
        <w:rPr>
          <w:rFonts w:ascii="仿宋" w:hAnsi="仿宋" w:eastAsia="仿宋"/>
          <w:bCs/>
          <w:color w:val="000000"/>
          <w:sz w:val="32"/>
          <w:szCs w:val="32"/>
        </w:rPr>
      </w:pPr>
      <w:r>
        <w:rPr>
          <w:rStyle w:val="16"/>
          <w:rFonts w:hint="eastAsia" w:ascii="仿宋" w:hAnsi="仿宋" w:eastAsia="仿宋"/>
          <w:bCs/>
          <w:color w:val="000000"/>
          <w:sz w:val="32"/>
          <w:szCs w:val="32"/>
        </w:rPr>
        <w:t>7</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 xml:space="preserve"> 卫生健康支出（210）行政事业单位单位医疗（11）公务员医疗补助（06）</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 xml:space="preserve"> 支出决算为2.79万元，完成预算100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1497BB3C">
      <w:pPr>
        <w:spacing w:line="60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rPr>
        <w:t>8</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 xml:space="preserve"> 住房保障支出（221）住房改革支出（22102）住房公积金（01）</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支出决算为23.25万元，完成预算100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39ED0E70">
      <w:pPr>
        <w:spacing w:line="600" w:lineRule="exact"/>
        <w:ind w:firstLine="643" w:firstLineChars="200"/>
        <w:rPr>
          <w:rFonts w:ascii="仿宋" w:hAnsi="仿宋" w:eastAsia="仿宋"/>
          <w:bCs/>
          <w:color w:val="000000"/>
          <w:sz w:val="32"/>
          <w:szCs w:val="32"/>
        </w:rPr>
      </w:pPr>
      <w:r>
        <w:rPr>
          <w:rStyle w:val="16"/>
          <w:rFonts w:hint="eastAsia" w:ascii="仿宋" w:hAnsi="仿宋" w:eastAsia="仿宋"/>
          <w:bCs/>
          <w:color w:val="000000"/>
          <w:sz w:val="32"/>
          <w:szCs w:val="32"/>
        </w:rPr>
        <w:t>9</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 xml:space="preserve"> 住房保障支出（221）住房改革支出（22102）购房补贴（03）</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支出决算为1.2万元，完成预算100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571093C7">
      <w:pPr>
        <w:tabs>
          <w:tab w:val="right" w:pos="8306"/>
        </w:tabs>
        <w:spacing w:line="600" w:lineRule="exact"/>
        <w:ind w:firstLine="640"/>
        <w:outlineLvl w:val="1"/>
        <w:rPr>
          <w:rStyle w:val="27"/>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0"/>
      <w:bookmarkEnd w:id="41"/>
      <w:r>
        <w:rPr>
          <w:rStyle w:val="27"/>
          <w:rFonts w:ascii="黑体" w:hAnsi="黑体" w:eastAsia="黑体"/>
          <w:b w:val="0"/>
        </w:rPr>
        <w:tab/>
      </w:r>
    </w:p>
    <w:p w14:paraId="6D4AB59C">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9年一般公共预算财政拨款基本支出415.67万元，其中：</w:t>
      </w:r>
    </w:p>
    <w:p w14:paraId="0AFCD62A">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311.49万元，主要包括：基本工资61.59万元、津贴补贴136.95万元、奖4.61万元金、机关事业单位基本养老保险缴费23.77万元、职业年金缴费10.92万元、其他社会保障缴费1.73万元、其他工资福利支出21.03万元、离休费、退休费、抚恤金、生活补助8.56万元、职工基本医疗保险缴费16.29万元、公务员医疗医疗补助缴费2.79万元、奖励金、住房公积金23.25万元、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104.18万元，主要包括：办公费4.73万元、印刷0.04万元费、手续费0.21万元、水费0.37万元、电费0.87万元、邮电费2.52万元、取暖费、物业管理费、差旅费10万元、因公出国（境）费用、维修（护）费1.16万元、租赁费、会议费26.29万元、培训费22.73万元、公务接待费0.43万元、劳务费0.38万元、委托业务费、工会经费2.52万元、福利费1.16万元、公务用车运行维护费12.49万元、其他交通费0.87万元、税金及附加费用、其他商品和服务支出9万元、办公设备购置5.57万元、专用设备购置2.84万元、信息网络及软件购置更新、其他资本性支出等。</w:t>
      </w:r>
    </w:p>
    <w:p w14:paraId="47DD7EB7">
      <w:pPr>
        <w:spacing w:line="600" w:lineRule="exact"/>
        <w:ind w:firstLine="640"/>
        <w:outlineLvl w:val="1"/>
        <w:rPr>
          <w:rStyle w:val="27"/>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14:paraId="3978F49F">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11B6387D">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9年“三公”经费财政拨款支出决算为0.43万元，完成预算47.89</w:t>
      </w:r>
      <w:r>
        <w:rPr>
          <w:rFonts w:ascii="仿宋" w:hAnsi="仿宋" w:eastAsia="仿宋"/>
          <w:color w:val="000000"/>
          <w:sz w:val="32"/>
          <w:szCs w:val="32"/>
        </w:rPr>
        <w:t>%</w:t>
      </w:r>
      <w:r>
        <w:rPr>
          <w:rFonts w:hint="eastAsia" w:ascii="仿宋" w:hAnsi="仿宋" w:eastAsia="仿宋"/>
          <w:color w:val="000000"/>
          <w:sz w:val="32"/>
          <w:szCs w:val="32"/>
        </w:rPr>
        <w:t>，决算数小于预算数（或与预算数持平）的主要原因是厉行节约。</w:t>
      </w:r>
    </w:p>
    <w:p w14:paraId="1A3F4D59">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14:paraId="42CEBA48">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ascii="仿宋" w:hAnsi="仿宋" w:eastAsia="仿宋"/>
          <w:color w:val="000000"/>
          <w:sz w:val="32"/>
          <w:szCs w:val="32"/>
        </w:rPr>
        <w:t>**</w:t>
      </w:r>
      <w:r>
        <w:rPr>
          <w:rFonts w:hint="eastAsia" w:ascii="仿宋" w:hAnsi="仿宋" w:eastAsia="仿宋"/>
          <w:color w:val="000000"/>
          <w:sz w:val="32"/>
          <w:szCs w:val="32"/>
        </w:rPr>
        <w:t>万元，占</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；公务用车购置及运行维护费支出决算12.49万元，占96.67</w:t>
      </w:r>
      <w:r>
        <w:rPr>
          <w:rFonts w:ascii="仿宋" w:hAnsi="仿宋" w:eastAsia="仿宋"/>
          <w:color w:val="000000"/>
          <w:sz w:val="32"/>
          <w:szCs w:val="32"/>
        </w:rPr>
        <w:t>%</w:t>
      </w:r>
      <w:r>
        <w:rPr>
          <w:rFonts w:hint="eastAsia" w:ascii="仿宋" w:hAnsi="仿宋" w:eastAsia="仿宋"/>
          <w:color w:val="000000"/>
          <w:sz w:val="32"/>
          <w:szCs w:val="32"/>
        </w:rPr>
        <w:t>；公务接待费支出决算0.43万元，占3.33</w:t>
      </w:r>
      <w:r>
        <w:rPr>
          <w:rFonts w:ascii="仿宋" w:hAnsi="仿宋" w:eastAsia="仿宋"/>
          <w:color w:val="000000"/>
          <w:sz w:val="32"/>
          <w:szCs w:val="32"/>
        </w:rPr>
        <w:t>%</w:t>
      </w:r>
      <w:r>
        <w:rPr>
          <w:rFonts w:hint="eastAsia" w:ascii="仿宋" w:hAnsi="仿宋" w:eastAsia="仿宋"/>
          <w:color w:val="000000"/>
          <w:sz w:val="32"/>
          <w:szCs w:val="32"/>
        </w:rPr>
        <w:t>。具体情况如下：</w:t>
      </w:r>
    </w:p>
    <w:p w14:paraId="4EEC548A">
      <w:pPr>
        <w:pStyle w:val="34"/>
        <w:rPr>
          <w:rFonts w:ascii="仿宋" w:hAnsi="仿宋" w:eastAsia="仿宋"/>
          <w:sz w:val="32"/>
          <w:szCs w:val="32"/>
        </w:rPr>
      </w:pPr>
      <w:r>
        <w:rPr>
          <w:rFonts w:ascii="仿宋" w:hAnsi="仿宋" w:eastAsia="仿宋"/>
          <w:sz w:val="32"/>
          <w:szCs w:val="32"/>
          <w:lang w:val="en-US"/>
        </w:rPr>
        <w:drawing>
          <wp:inline distT="0" distB="0" distL="0" distR="0">
            <wp:extent cx="3209925" cy="2333625"/>
            <wp:effectExtent l="19050" t="0" r="9525" b="0"/>
            <wp:docPr id="10"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09D88B">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14:paraId="423BDED2">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8年增加0万元，增长为0。开支内容包括：无</w:t>
      </w:r>
    </w:p>
    <w:p w14:paraId="0BACE00B">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12.49万元,</w:t>
      </w:r>
      <w:r>
        <w:rPr>
          <w:rStyle w:val="16"/>
          <w:rFonts w:hint="eastAsia" w:ascii="仿宋" w:hAnsi="仿宋" w:eastAsia="仿宋"/>
          <w:b w:val="0"/>
          <w:bCs/>
          <w:color w:val="000000"/>
          <w:sz w:val="32"/>
          <w:szCs w:val="32"/>
        </w:rPr>
        <w:t>完成预算97.58</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8年减少0.28万元，下降2.19</w:t>
      </w:r>
      <w:r>
        <w:rPr>
          <w:rFonts w:ascii="仿宋_GB2312" w:eastAsia="仿宋_GB2312"/>
          <w:color w:val="000000"/>
          <w:sz w:val="32"/>
          <w:szCs w:val="32"/>
        </w:rPr>
        <w:t>%</w:t>
      </w:r>
      <w:r>
        <w:rPr>
          <w:rFonts w:hint="eastAsia" w:ascii="仿宋_GB2312" w:eastAsia="仿宋_GB2312"/>
          <w:color w:val="000000"/>
          <w:sz w:val="32"/>
          <w:szCs w:val="32"/>
        </w:rPr>
        <w:t>。主要原因是厉行节约。</w:t>
      </w:r>
    </w:p>
    <w:p w14:paraId="1F0EF787">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月底，单位共有公务用车2辆，其中：主要领导干部用车0辆、机要通信用车0辆、应急保障用车0辆、 执法执勤用车0辆，其他用车2辆。</w:t>
      </w:r>
    </w:p>
    <w:p w14:paraId="296D3F89">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12.49万元。主要用于到阿坝州13县（市）开展妇女儿童工作，对贫困妇女儿童慰问、开展“两联一进”工作、参加省、州安排各种会议等所需的公务用车燃料费、维修费、过路过桥费、保险费等支出。</w:t>
      </w:r>
    </w:p>
    <w:p w14:paraId="45B0ADC1">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0.43万元，</w:t>
      </w:r>
      <w:r>
        <w:rPr>
          <w:rStyle w:val="16"/>
          <w:rFonts w:hint="eastAsia" w:ascii="仿宋" w:hAnsi="仿宋" w:eastAsia="仿宋"/>
          <w:b w:val="0"/>
          <w:bCs/>
          <w:color w:val="000000"/>
          <w:sz w:val="32"/>
          <w:szCs w:val="32"/>
        </w:rPr>
        <w:t>完成预算47.89</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8年减少0.22万元，下降33.86</w:t>
      </w:r>
      <w:r>
        <w:rPr>
          <w:rFonts w:ascii="仿宋_GB2312" w:eastAsia="仿宋_GB2312"/>
          <w:color w:val="000000"/>
          <w:sz w:val="32"/>
          <w:szCs w:val="32"/>
        </w:rPr>
        <w:t>%</w:t>
      </w:r>
      <w:r>
        <w:rPr>
          <w:rFonts w:hint="eastAsia" w:ascii="仿宋_GB2312" w:eastAsia="仿宋_GB2312"/>
          <w:color w:val="000000"/>
          <w:sz w:val="32"/>
          <w:szCs w:val="32"/>
        </w:rPr>
        <w:t>。主要原因是厉行节约。</w:t>
      </w:r>
    </w:p>
    <w:p w14:paraId="31542CF5">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0.43</w:t>
      </w:r>
      <w:r>
        <w:rPr>
          <w:rFonts w:hint="eastAsia" w:ascii="仿宋_GB2312" w:eastAsia="仿宋_GB2312"/>
          <w:color w:val="000000"/>
          <w:sz w:val="32"/>
          <w:szCs w:val="32"/>
        </w:rPr>
        <w:t>万元，主要用于省级到阿坝往上开展妇女儿童工作、兄弟县对我州高原县开展对口帮扶工作、县级妇联到州上汇报工儿等所用餐费。国内公务接待5批次，36人次（不包括陪同人员），共计支出0.43万元，具体内容包括：同上。</w:t>
      </w:r>
    </w:p>
    <w:p w14:paraId="6AA5700A">
      <w:pPr>
        <w:spacing w:line="600" w:lineRule="exact"/>
        <w:ind w:firstLine="643"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w:t>
      </w:r>
      <w:bookmarkStart w:id="46" w:name="_Toc15396610"/>
      <w:bookmarkStart w:id="47" w:name="_Toc15377218"/>
    </w:p>
    <w:p w14:paraId="77FE9E75">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6"/>
      <w:bookmarkEnd w:id="47"/>
    </w:p>
    <w:p w14:paraId="5258006F">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14:paraId="452B136E">
      <w:pPr>
        <w:numPr>
          <w:ilvl w:val="0"/>
          <w:numId w:val="2"/>
        </w:numPr>
        <w:spacing w:line="600" w:lineRule="exact"/>
        <w:ind w:firstLine="640"/>
        <w:outlineLvl w:val="1"/>
        <w:rPr>
          <w:rStyle w:val="27"/>
          <w:rFonts w:ascii="黑体" w:hAnsi="黑体" w:eastAsia="黑体"/>
          <w:b w:val="0"/>
        </w:rPr>
      </w:pPr>
      <w:bookmarkStart w:id="48" w:name="_Toc15377219"/>
      <w:bookmarkStart w:id="49" w:name="_Toc15396611"/>
      <w:r>
        <w:rPr>
          <w:rStyle w:val="27"/>
          <w:rFonts w:hint="eastAsia" w:ascii="黑体" w:hAnsi="黑体" w:eastAsia="黑体"/>
          <w:b w:val="0"/>
        </w:rPr>
        <w:t>国有资本经营预算支出决算情况说明</w:t>
      </w:r>
      <w:bookmarkEnd w:id="48"/>
      <w:bookmarkEnd w:id="49"/>
    </w:p>
    <w:p w14:paraId="5589F614">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14:paraId="76AD4309">
      <w:pPr>
        <w:spacing w:line="600" w:lineRule="exact"/>
        <w:ind w:firstLine="800" w:firstLineChars="250"/>
        <w:outlineLvl w:val="1"/>
        <w:rPr>
          <w:rStyle w:val="27"/>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50"/>
      <w:bookmarkEnd w:id="51"/>
    </w:p>
    <w:p w14:paraId="18FE45E8">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08586E4B">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9年，州妇联机关运行经费支出104.18万元，比</w:t>
      </w:r>
      <w:r>
        <w:rPr>
          <w:rFonts w:ascii="仿宋_GB2312" w:eastAsia="仿宋_GB2312"/>
          <w:color w:val="000000"/>
          <w:sz w:val="32"/>
          <w:szCs w:val="32"/>
        </w:rPr>
        <w:t>201</w:t>
      </w:r>
      <w:r>
        <w:rPr>
          <w:rFonts w:hint="eastAsia" w:ascii="仿宋_GB2312" w:eastAsia="仿宋_GB2312"/>
          <w:color w:val="000000"/>
          <w:sz w:val="32"/>
          <w:szCs w:val="32"/>
        </w:rPr>
        <w:t>8年减少3.6万元，下降3.24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主要原因是压减支出，厉行节约。</w:t>
      </w:r>
    </w:p>
    <w:p w14:paraId="3123A96D">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2E75F625">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9年，州妇联政府采购支出总额5.57万元，其中：政府采购货物支出5.57万元、政府采购工程支出0万元、政府采购服务支出0万元。主要用于办公设备的购置。授予中小企业合同金额5.57万元，占政府采购支出总额的10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14:paraId="20FE23A9">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28C9A135">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日，阿坝州妇联共有车辆2辆，其中：主要领导干部用车0辆、机要通信用车0辆、应急保障用车0辆、其他用车2辆，</w:t>
      </w:r>
      <w:r>
        <w:rPr>
          <w:rFonts w:hint="eastAsia" w:ascii="仿宋_GB2312" w:eastAsia="仿宋_GB2312"/>
          <w:color w:val="000000" w:themeColor="text1"/>
          <w:sz w:val="32"/>
          <w:szCs w:val="32"/>
        </w:rPr>
        <w:t>其他用车主要是用于开展公务活动，公务用车。单价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14:paraId="4974F94B">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50401B0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9项目（项目名称）开展了预算事前绩效评估，对9个项目编制了绩效目标，预算执行过程中，选取9个项目开展绩效监控，年终执行完毕后，对9个项目开展了绩效目标完成情况自评。</w:t>
      </w:r>
    </w:p>
    <w:p w14:paraId="3405148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本部门按要求对2019年部门整体支出开展绩效自评，从评价情况来看2019年项目围绕妇女居家灵活就业制作人活动，妇女儿童发展权益、基层组织建设、贫困妇女儿童救助、庆祝三八节、儿童节等节日、关心关爱觉姆姐妹等工作取得一定成效，达到一定的社会效果。我会还自行组织了3个项目支出绩效评价，从评价情况来看完成情况非常好，社会反响也不错。    </w:t>
      </w:r>
    </w:p>
    <w:p w14:paraId="4281CCF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本部门在2019年度部门决算中反映“2019年妇女儿童专项工作经费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“1+N工作经费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“发展权益工作经费”等9项目绩效目标实际完成情况。</w:t>
      </w:r>
    </w:p>
    <w:p w14:paraId="1AED6A7A">
      <w:pPr>
        <w:overflowPunct w:val="0"/>
        <w:adjustRightInd w:val="0"/>
        <w:snapToGrid w:val="0"/>
        <w:spacing w:line="360" w:lineRule="auto"/>
        <w:ind w:firstLine="640" w:firstLineChars="200"/>
        <w:textAlignment w:val="baseline"/>
        <w:rPr>
          <w:rFonts w:ascii="仿宋_GB2312" w:hAnsi="宋体" w:eastAsia="仿宋_GB2312" w:cs="仿宋_GB2312"/>
          <w:bCs/>
          <w:sz w:val="32"/>
          <w:szCs w:val="32"/>
        </w:rPr>
      </w:pPr>
      <w:r>
        <w:rPr>
          <w:rFonts w:hint="eastAsia" w:ascii="仿宋_GB2312" w:hAnsi="仿宋_GB2312" w:eastAsia="仿宋_GB2312" w:cs="仿宋_GB2312"/>
          <w:sz w:val="32"/>
          <w:szCs w:val="32"/>
        </w:rPr>
        <w:t>（1）</w:t>
      </w:r>
      <w:r>
        <w:rPr>
          <w:rFonts w:hint="eastAsia" w:ascii="仿宋_GB2312" w:hAnsi="宋体" w:eastAsia="仿宋_GB2312" w:cs="宋体"/>
          <w:kern w:val="0"/>
          <w:sz w:val="32"/>
          <w:szCs w:val="32"/>
        </w:rPr>
        <w:t>2019年度四川省妇女儿童事业发展专项资金“绣出藏区羌区”项目的实施单位是阿坝州妇联，实施内容包括： 1、举办1场“净土阿坝 指尖锦绣”阿坝州妇女手工编织品牌推广系列活动，使全州巧手姐妹技能得到展现、产品得到展示，并以此帮助她们提升产品品质、拓宽销售市场、提升产品销量，从中选树具有代表性和阿坝特质的妇女手工编织品牌。2、在全州选出20名从事手工编织产业、有一定技能基础的绣娘、致富带头人，赴贵州省盛华职业技术学院、北京服装学院等地进行手工编织培训提升，使这些绣娘和带头人在色彩搭配、刺绣编织技能、品牌培育、产品创新等方面得到进一步提升。3、在红原等机场借助高原航空港优势对极具特色的阿坝州手工编织类产品进行专柜推广，助力与外界的销售渠道提高品牌影响力和阿坝州妇女居家灵活就业的综合效益。</w:t>
      </w:r>
      <w:r>
        <w:rPr>
          <w:rFonts w:hint="eastAsia" w:ascii="仿宋_GB2312" w:hAnsi="仿宋_GB2312" w:eastAsia="仿宋_GB2312" w:cs="仿宋_GB2312"/>
          <w:sz w:val="32"/>
          <w:szCs w:val="32"/>
        </w:rPr>
        <w:t>项目全年预算数90万元，执行数为87.78万元，完成预算的97.53%。通过项目实施</w:t>
      </w:r>
      <w:r>
        <w:rPr>
          <w:rFonts w:ascii="仿宋_GB2312" w:hAnsi="宋体" w:eastAsia="仿宋_GB2312" w:cs="宋体"/>
          <w:kern w:val="0"/>
          <w:sz w:val="32"/>
          <w:szCs w:val="32"/>
        </w:rPr>
        <w:t>让阿坝州妇女姐妹手工编织技能得到了提升，眼界变得开阔，基地建设取得了实效。在技能大赛和推广系列活动上，通过展示妇女手工编织产品等，扩大产品影响力，让参加活动的妇女姐妹售卖了自己的产品，获得了新的更好的原材料供应，也增加了收入。</w:t>
      </w:r>
      <w:r>
        <w:rPr>
          <w:rFonts w:hint="eastAsia" w:ascii="仿宋_GB2312" w:hAnsi="仿宋_GB2312" w:eastAsia="仿宋_GB2312" w:cs="仿宋_GB2312"/>
          <w:sz w:val="32"/>
          <w:szCs w:val="32"/>
        </w:rPr>
        <w:t>，发现的主要问题：</w:t>
      </w:r>
      <w:r>
        <w:rPr>
          <w:rFonts w:hint="eastAsia" w:ascii="仿宋_GB2312" w:hAnsi="宋体" w:eastAsia="仿宋_GB2312" w:cs="宋体"/>
          <w:kern w:val="0"/>
          <w:sz w:val="32"/>
          <w:szCs w:val="32"/>
        </w:rPr>
        <w:t>在阿坝红原机场设置阿坝州妇女居家灵活就业产品展示展销点项目，因受高原恶劣气候及疫情影响，未全面完成展柜安装和产品上架工作</w:t>
      </w:r>
      <w:r>
        <w:rPr>
          <w:rFonts w:hint="eastAsia" w:ascii="仿宋_GB2312" w:hAnsi="宋体" w:eastAsia="仿宋_GB2312" w:cs="宋体"/>
          <w:kern w:val="0"/>
          <w:sz w:val="32"/>
          <w:szCs w:val="32"/>
          <w:lang w:val="zh-CN"/>
        </w:rPr>
        <w:t>。</w:t>
      </w:r>
      <w:r>
        <w:rPr>
          <w:rFonts w:hint="eastAsia" w:ascii="仿宋_GB2312" w:hAnsi="仿宋_GB2312" w:eastAsia="仿宋_GB2312" w:cs="仿宋_GB2312"/>
          <w:sz w:val="32"/>
          <w:szCs w:val="32"/>
        </w:rPr>
        <w:t>下一步改进措施：</w:t>
      </w:r>
      <w:r>
        <w:rPr>
          <w:rFonts w:hint="eastAsia" w:ascii="仿宋_GB2312" w:hAnsi="宋体" w:eastAsia="仿宋_GB2312" w:cs="宋体"/>
          <w:kern w:val="0"/>
          <w:sz w:val="32"/>
          <w:szCs w:val="32"/>
        </w:rPr>
        <w:t>加大现场协调、现场督办力度、抓紧项目实施周期，强化项目管理等措施，实现按期完成目标。</w:t>
      </w:r>
    </w:p>
    <w:p w14:paraId="506563D5">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2019年度四川省妇女儿童事业发展——“巾帼心向党”思想引领项目绩效目标完成情况综述。项目全年预算数8万元，执行数为7.84万元，完成预算的98%。通过项目实施，保障及时了解和把握所联系妇女群众的思想动态，运用妇女群众喜闻乐见的语言和方式传递正能量，更好地把广大妇女群众团结在党的周围。发现的主要问题：妇联充分利用好此次项目资金，因地制宜开展了富有阿坝特色的“巾帼心向党”思想引领大宣讲和群众性宣传教育活动，全州妇女姐妹反响很好，基层各地妇联都希望省、州妇联能支持资金开展相关活动，但我州幅员面积广，人口居住分散，要分点全覆盖开展相关活动所需经费无法保障。下一步改进措施：建议省妇联在下达相关项目资金分配时能倾斜考虑阿坝州。</w:t>
      </w:r>
    </w:p>
    <w:p w14:paraId="5A6F1DF7">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1+N工作经费项目绩效目标完成情况综述。项目全年预算数45万元，执行数为45万元，完成预算的100%。通过项目实施，民族团结宣传片制作目标是为了更好呈现本会民族团结工作的成果，为民族团结创建助力；贫困大病患病妇女救助是对13县（市）20名贫困患大病妇女得到及时救助；19年州级妇女居家灵活就业评审是为了做好2019年100万州级妇女居家灵活就业项目的甄选、做好相关的培训指导工作；觉姆义诊是针对壤塘县的部分觉姆姐妹进行义诊，通过关爱健康助力社会稳定；觉姆暖心包购置是为了给予觉姆最需要的生活关怀，从而促进社会稳定；阿坝州首届维护妇女儿童合法权益十大案例评审是通过案例评选发布宣传，以案说法，引导全社会良好法治氛围的形成。项目资金的使用极大解决了相关工作的资金缺口，项目基本在时限范围内实施</w:t>
      </w:r>
      <w:r>
        <w:rPr>
          <w:rFonts w:hint="eastAsia" w:ascii="仿宋" w:hAnsi="仿宋" w:eastAsia="仿宋" w:cs="仿宋_GB2312"/>
        </w:rPr>
        <w:t>，</w:t>
      </w:r>
      <w:r>
        <w:rPr>
          <w:rFonts w:hint="eastAsia" w:ascii="仿宋_GB2312" w:hAnsi="仿宋_GB2312" w:eastAsia="仿宋_GB2312" w:cs="仿宋_GB2312"/>
          <w:sz w:val="32"/>
          <w:szCs w:val="32"/>
        </w:rPr>
        <w:t>项目申报内容与实际相符，申报目标是合理可行的，绩效目标均得到了实现。发现的主要问题觉姆义诊项目的实施因为受到天气、疫情和觉姆自身等原因的影响，没有在现场义诊中全部完成检查，时效性还不够。下一步改进措施：进一步加强对项目实施的计划安排，根据实际情况靠前推进项目实施，不断提高项目实施的时效性要求，一定在时间限定范围内完成相关工作。</w:t>
      </w:r>
    </w:p>
    <w:p w14:paraId="21E8C90C">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发展权益工作项目绩效目标完成情况综述。项目全年预算数10万元，执行数为10万元，完成预算的100%。通过项目实施，购买法制宣传资料1套；对9名符合条件的社区两癌患病妇女进行救助；为赴基层开展维权工作提供保障；续聘律师1名；阿坝州首届维护妇女儿童十大案例文稿质量得到答复提供，切更具有法律性，印制十大案例宣传册，用于各</w:t>
      </w:r>
      <w:r>
        <w:rPr>
          <w:rFonts w:hint="eastAsia" w:ascii="仿宋" w:hAnsi="仿宋" w:eastAsia="仿宋"/>
          <w:sz w:val="32"/>
          <w:szCs w:val="32"/>
        </w:rPr>
        <w:t>级法治宣传。通过发展权益项目的实施，</w:t>
      </w:r>
      <w:r>
        <w:rPr>
          <w:rFonts w:hint="eastAsia" w:ascii="仿宋_GB2312" w:hAnsi="仿宋_GB2312" w:eastAsia="仿宋_GB2312" w:cs="仿宋_GB2312"/>
          <w:sz w:val="32"/>
          <w:szCs w:val="32"/>
        </w:rPr>
        <w:t>法制宣传资料购买、差旅费、律师聘用对于本会法治工作有序开展给与了重要的保障，项目资金使用效益明显。社区两癌患病妇女救助费用使用为患病妇女解燃眉之急，让她们充分感受到妇女“娘家”的温暖，社会影响力加大，妇联形象得到大幅度提升；案例文稿质量提高，对人员姓名修改保护了当事人的隐私，同时让广大妇女群众更加乐于接受，通俗易懂的同时不乏法律知识的讲解，案例宣传册印制使宣传更加直观，便于学习，宣传效果事半功倍。发现的主要问题：因藏语翻译受藏文编译局的工作进度安排的影响，双语宣传册的印制工作有所滞后，需抓紧印制，时效性还不够。下一步改进措施：进一步加强对项目实施的计划安排，根据实际情况靠前推进项目实施，不断提高项目实施的时效性要求，一定在时间限定范围内完成相关工作。</w:t>
      </w:r>
    </w:p>
    <w:p w14:paraId="09EA34AF">
      <w:pPr>
        <w:spacing w:line="540" w:lineRule="exact"/>
        <w:ind w:firstLine="640" w:firstLineChars="200"/>
        <w:rPr>
          <w:rFonts w:ascii="仿宋" w:hAnsi="仿宋" w:eastAsia="仿宋"/>
        </w:rPr>
      </w:pPr>
      <w:r>
        <w:rPr>
          <w:rFonts w:hint="eastAsia" w:ascii="仿宋_GB2312" w:hAnsi="仿宋_GB2312" w:eastAsia="仿宋_GB2312" w:cs="仿宋_GB2312"/>
          <w:sz w:val="32"/>
          <w:szCs w:val="32"/>
        </w:rPr>
        <w:t>（5）三八节等节庆项目绩效目标完成情况综述。项目全年预算数10万元，执行数为9.56万元，完成预算的95.6%。通过项目实施，</w:t>
      </w:r>
      <w:r>
        <w:rPr>
          <w:rFonts w:hint="eastAsia" w:ascii="仿宋" w:hAnsi="仿宋" w:eastAsia="仿宋"/>
          <w:sz w:val="32"/>
          <w:szCs w:val="32"/>
        </w:rPr>
        <w:t>为进一步了解基层广大妇女群众的需求，持续扩大妇联组织的吸引力、影响力和凝聚力，2019年“三八”节，阿坝州妇联紧紧围绕州委中心工作，组织号召全州妇联系统,围绕民族团结创建目标，紧扣“两联一进”群众工作全覆盖，着力妇联改革，以“强三性去四化”为根本遵循，走出机关，深入基层，倾听基层妇女姐妹的心声，把纪念“三八”国际劳动妇女节作为深化引领、服务、联系妇女群众的重要契机，通过“下基层、访妇情、送荣誉、传关怀”主题活动把党的关怀和温暖传递到妇女群众身边，与基层姐妹们一起开展“三八”国际劳动妇女节纪念活动。</w:t>
      </w:r>
      <w:r>
        <w:rPr>
          <w:rFonts w:hint="eastAsia" w:ascii="仿宋_GB2312" w:hAnsi="仿宋_GB2312" w:eastAsia="仿宋_GB2312" w:cs="仿宋_GB2312"/>
          <w:sz w:val="32"/>
          <w:szCs w:val="32"/>
        </w:rPr>
        <w:t>发现的主要问题：:妇女思想引领和关心关爱覆盖范围和力度还需加大。下一步改进措施：加大力度和覆盖范围。</w:t>
      </w: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0DC7F535">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76C4C8D8">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b/>
                <w:bCs/>
                <w:color w:val="000000"/>
                <w:kern w:val="0"/>
                <w:sz w:val="32"/>
                <w:szCs w:val="32"/>
              </w:rPr>
              <w:t>项目绩效目标完成情况表</w:t>
            </w:r>
            <w:r>
              <w:rPr>
                <w:rFonts w:hint="eastAsia" w:asciiTheme="minorEastAsia" w:hAnsiTheme="minorEastAsia" w:eastAsiaTheme="minorEastAsia" w:cstheme="minorEastAsia"/>
                <w:b/>
                <w:bCs/>
                <w:color w:val="000000"/>
                <w:kern w:val="0"/>
                <w:sz w:val="32"/>
                <w:szCs w:val="32"/>
              </w:rPr>
              <w:br w:type="textWrapping"/>
            </w:r>
            <w:r>
              <w:rPr>
                <w:rFonts w:hint="eastAsia" w:asciiTheme="minorEastAsia" w:hAnsiTheme="minorEastAsia" w:eastAsiaTheme="minorEastAsia" w:cstheme="minorEastAsia"/>
                <w:color w:val="000000"/>
                <w:kern w:val="0"/>
                <w:sz w:val="32"/>
                <w:szCs w:val="32"/>
              </w:rPr>
              <w:t>(2019 年度)</w:t>
            </w:r>
          </w:p>
        </w:tc>
      </w:tr>
      <w:tr w14:paraId="148C37AE">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83B2EF">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166880">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b/>
                <w:bCs/>
                <w:sz w:val="24"/>
              </w:rPr>
              <w:t>2019年度四川省妇女儿童事业发展——“巾帼心向党”思想引领项目</w:t>
            </w:r>
          </w:p>
        </w:tc>
      </w:tr>
      <w:tr w14:paraId="7EFFB96A">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F5FD39">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81FFD4">
            <w:pPr>
              <w:widowControl/>
              <w:spacing w:line="340" w:lineRule="exact"/>
              <w:jc w:val="center"/>
              <w:textAlignment w:val="center"/>
              <w:rPr>
                <w:rFonts w:asciiTheme="minorEastAsia" w:hAnsiTheme="minorEastAsia" w:eastAsiaTheme="minorEastAsia" w:cstheme="minorEastAsia"/>
                <w:color w:val="000000"/>
                <w:sz w:val="24"/>
              </w:rPr>
            </w:pPr>
          </w:p>
        </w:tc>
      </w:tr>
      <w:tr w14:paraId="0C3BCF3D">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C52201">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DE43A7">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DE4916">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D42C1D">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385B2F">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8万元</w:t>
            </w:r>
          </w:p>
        </w:tc>
      </w:tr>
      <w:tr w14:paraId="7CB9F6EE">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EC5AF1">
            <w:pPr>
              <w:spacing w:line="340" w:lineRule="exact"/>
              <w:jc w:val="center"/>
              <w:rPr>
                <w:rFonts w:asciiTheme="minorEastAsia" w:hAnsiTheme="minorEastAsia" w:eastAsiaTheme="minorEastAsia" w:cstheme="minorEastAsia"/>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C5CAB0">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887B08">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C26084">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5E6433">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8万元</w:t>
            </w:r>
          </w:p>
        </w:tc>
      </w:tr>
      <w:tr w14:paraId="142F2146">
        <w:tblPrEx>
          <w:tblCellMar>
            <w:top w:w="0" w:type="dxa"/>
            <w:left w:w="0" w:type="dxa"/>
            <w:bottom w:w="0" w:type="dxa"/>
            <w:right w:w="0" w:type="dxa"/>
          </w:tblCellMar>
        </w:tblPrEx>
        <w:trPr>
          <w:trHeight w:val="216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12FFCB">
            <w:pPr>
              <w:spacing w:line="340" w:lineRule="exact"/>
              <w:jc w:val="center"/>
              <w:rPr>
                <w:rFonts w:asciiTheme="minorEastAsia" w:hAnsiTheme="minorEastAsia" w:eastAsiaTheme="minorEastAsia" w:cstheme="minorEastAsia"/>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98D179">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9CA748">
            <w:pPr>
              <w:widowControl/>
              <w:spacing w:line="340" w:lineRule="exact"/>
              <w:jc w:val="center"/>
              <w:textAlignment w:val="center"/>
              <w:rPr>
                <w:rFonts w:asciiTheme="minorEastAsia" w:hAnsiTheme="minorEastAsia" w:eastAsiaTheme="minorEastAsia" w:cstheme="minorEastAsia"/>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8FA48A">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B24ED6">
            <w:pPr>
              <w:spacing w:line="340" w:lineRule="exact"/>
              <w:jc w:val="center"/>
              <w:rPr>
                <w:rFonts w:asciiTheme="minorEastAsia" w:hAnsiTheme="minorEastAsia" w:eastAsiaTheme="minorEastAsia" w:cstheme="minorEastAsia"/>
                <w:color w:val="000000"/>
                <w:sz w:val="24"/>
              </w:rPr>
            </w:pPr>
          </w:p>
        </w:tc>
      </w:tr>
      <w:tr w14:paraId="340F3179">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7DB846">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1001E7">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CB79E7">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实际完成目标</w:t>
            </w:r>
          </w:p>
        </w:tc>
      </w:tr>
      <w:tr w14:paraId="22435037">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CF04CD">
            <w:pPr>
              <w:widowControl/>
              <w:spacing w:line="340" w:lineRule="exact"/>
              <w:jc w:val="center"/>
              <w:rPr>
                <w:rFonts w:asciiTheme="minorEastAsia" w:hAnsiTheme="minorEastAsia" w:eastAsiaTheme="minorEastAsia" w:cstheme="minorEastAsia"/>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64942D">
            <w:pPr>
              <w:widowControl/>
              <w:spacing w:line="34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通过活动的开展，亮出妇联旗帜、发出妇联声音，凝聚妇女的力量。1、线上线下宣传覆盖3类以上不同妇女群体，覆盖人数达5万。2、线上线下宣讲活动不少于30场。3、运用“花开阿坝”、不同群体妇女微信群等宣传平台，围绕妇女群众关注点主动设置话题、引导讨论，积极互动，努力做到联系妇女群众线下有活动、有面对面交流，线上有声音、有互动。4、突出妇女群众思想引领。及时了解和把握所联系妇女群众的思想动态，运用妇女群众喜闻乐见的语言和方式传递正能量，更好地把广大妇女群众团结在党的周围。</w:t>
            </w:r>
          </w:p>
          <w:p w14:paraId="5644B197">
            <w:pPr>
              <w:widowControl/>
              <w:spacing w:line="340" w:lineRule="exact"/>
              <w:jc w:val="center"/>
              <w:textAlignment w:val="center"/>
              <w:rPr>
                <w:rFonts w:asciiTheme="minorEastAsia" w:hAnsiTheme="minorEastAsia" w:eastAsiaTheme="minorEastAsia" w:cstheme="minorEastAsia"/>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567C04">
            <w:pPr>
              <w:widowControl/>
              <w:spacing w:line="34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线上线下宣传覆盖3类以上不同妇女群体，覆盖人数达5万。开展“巾帼心向党”思想引领大宣讲。邀请专家老师深入机关、四个景区管理局开展宣讲5场次，深入基层小金县、阿坝县、汶川县开展宣讲3场次，进一步激活妇女思想政治引领工作，妇联组织更好地发挥桥梁纽带作用，带领广大妇女更加自觉地筑牢理想信念。</w:t>
            </w:r>
          </w:p>
          <w:p w14:paraId="0084430E">
            <w:pPr>
              <w:widowControl/>
              <w:spacing w:line="34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2、开展群众性宣传教育活动。利用基层妇女之家、机关妇女组织等阵地，开展好“巾帼心向党、礼赞新中国”群众性宣传教育活动。</w:t>
            </w:r>
            <w:r>
              <w:rPr>
                <w:rFonts w:hint="eastAsia" w:asciiTheme="minorEastAsia" w:hAnsiTheme="minorEastAsia" w:eastAsiaTheme="minorEastAsia" w:cstheme="minorEastAsia"/>
                <w:b/>
                <w:bCs/>
                <w:sz w:val="24"/>
              </w:rPr>
              <w:t>一是</w:t>
            </w:r>
            <w:r>
              <w:rPr>
                <w:rFonts w:hint="eastAsia" w:asciiTheme="minorEastAsia" w:hAnsiTheme="minorEastAsia" w:eastAsiaTheme="minorEastAsia" w:cstheme="minorEastAsia"/>
                <w:sz w:val="24"/>
              </w:rPr>
              <w:t>在松潘县进安镇金坑坝社区妇女之家开展全国“巾帼心向党 礼赞新中国”群众性宣传教育活动“妇女之家”千场联动活动。</w:t>
            </w:r>
            <w:r>
              <w:rPr>
                <w:rFonts w:hint="eastAsia" w:asciiTheme="minorEastAsia" w:hAnsiTheme="minorEastAsia" w:eastAsiaTheme="minorEastAsia" w:cstheme="minorEastAsia"/>
                <w:b/>
                <w:bCs/>
                <w:sz w:val="24"/>
              </w:rPr>
              <w:t>二是</w:t>
            </w:r>
            <w:r>
              <w:rPr>
                <w:rFonts w:hint="eastAsia" w:asciiTheme="minorEastAsia" w:hAnsiTheme="minorEastAsia" w:eastAsiaTheme="minorEastAsia" w:cstheme="minorEastAsia"/>
                <w:sz w:val="24"/>
              </w:rPr>
              <w:t>在金川县、红原县、茂县妇女之家开展“七一”群众性宣传教育活动 百个妇女之家万名妇女联动活动。</w:t>
            </w:r>
            <w:r>
              <w:rPr>
                <w:rFonts w:hint="eastAsia" w:asciiTheme="minorEastAsia" w:hAnsiTheme="minorEastAsia" w:eastAsiaTheme="minorEastAsia" w:cstheme="minorEastAsia"/>
                <w:b/>
                <w:bCs/>
                <w:sz w:val="24"/>
              </w:rPr>
              <w:t>三是</w:t>
            </w:r>
            <w:r>
              <w:rPr>
                <w:rFonts w:hint="eastAsia" w:asciiTheme="minorEastAsia" w:hAnsiTheme="minorEastAsia" w:eastAsiaTheme="minorEastAsia" w:cstheme="minorEastAsia"/>
                <w:sz w:val="24"/>
              </w:rPr>
              <w:t>在黑水县开展广场舞姐妹庆祝新中国成立70周年群众性宣传教育活动。</w:t>
            </w:r>
          </w:p>
          <w:p w14:paraId="319DCFA2">
            <w:pPr>
              <w:widowControl/>
              <w:spacing w:line="34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3、“巾帼心向党”思想引领网上妇联互动赠话费活动：2019年12月至2020年1月在阿坝州妇联微信公众号举办“巾帼心向党 建功新时代”——“花开阿坝 幸福万家”工作成果展示点赞活动，进一步凝聚妇女、引领妇女。线上线下宣讲活动超过30场。</w:t>
            </w:r>
          </w:p>
          <w:p w14:paraId="1F80CC1A">
            <w:pPr>
              <w:widowControl/>
              <w:spacing w:line="340" w:lineRule="exact"/>
              <w:ind w:firstLine="480" w:firstLineChars="200"/>
              <w:rPr>
                <w:rFonts w:asciiTheme="minorEastAsia" w:hAnsiTheme="minorEastAsia" w:eastAsiaTheme="minorEastAsia" w:cstheme="minorEastAsia"/>
                <w:b/>
                <w:sz w:val="24"/>
                <w:lang w:val="zh-CN"/>
              </w:rPr>
            </w:pPr>
            <w:r>
              <w:rPr>
                <w:rFonts w:hint="eastAsia" w:asciiTheme="minorEastAsia" w:hAnsiTheme="minorEastAsia" w:eastAsiaTheme="minorEastAsia" w:cstheme="minorEastAsia"/>
                <w:sz w:val="24"/>
              </w:rPr>
              <w:t>4、第三方开展项目评估。</w:t>
            </w:r>
          </w:p>
          <w:p w14:paraId="61D3B95C">
            <w:pPr>
              <w:widowControl/>
              <w:spacing w:line="340" w:lineRule="exact"/>
              <w:jc w:val="center"/>
              <w:textAlignment w:val="center"/>
              <w:rPr>
                <w:rFonts w:asciiTheme="minorEastAsia" w:hAnsiTheme="minorEastAsia" w:eastAsiaTheme="minorEastAsia" w:cstheme="minorEastAsia"/>
                <w:color w:val="000000"/>
                <w:sz w:val="24"/>
              </w:rPr>
            </w:pPr>
          </w:p>
        </w:tc>
      </w:tr>
      <w:tr w14:paraId="295F62A2">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5A7F5B12">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A56E04">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EDCCF7">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AC45CB">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B22475">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C8E067">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实际完成指标值(包含数字及文字描述)</w:t>
            </w:r>
          </w:p>
        </w:tc>
      </w:tr>
      <w:tr w14:paraId="2AC30BD6">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89FA87C">
            <w:pPr>
              <w:widowControl/>
              <w:spacing w:line="340" w:lineRule="exact"/>
              <w:jc w:val="center"/>
              <w:textAlignment w:val="center"/>
              <w:rPr>
                <w:rFonts w:asciiTheme="minorEastAsia" w:hAnsiTheme="minorEastAsia" w:eastAsiaTheme="minorEastAsia" w:cstheme="minorEastAsia"/>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6F5118">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F5DCDF">
            <w:pPr>
              <w:widowControl/>
              <w:spacing w:line="340" w:lineRule="exact"/>
              <w:jc w:val="center"/>
              <w:textAlignment w:val="center"/>
              <w:rPr>
                <w:rFonts w:asciiTheme="minorEastAsia" w:hAnsiTheme="minorEastAsia" w:eastAsiaTheme="minorEastAsia" w:cstheme="minorEastAsia"/>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6FF803">
            <w:pPr>
              <w:widowControl/>
              <w:spacing w:line="340" w:lineRule="exact"/>
              <w:jc w:val="center"/>
              <w:textAlignment w:val="center"/>
              <w:rPr>
                <w:rFonts w:asciiTheme="minorEastAsia" w:hAnsiTheme="minorEastAsia" w:eastAsiaTheme="minorEastAsia" w:cstheme="minorEastAsia"/>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7ED387">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sz w:val="24"/>
              </w:rPr>
              <w:t>线上线下宣传覆盖3类以上不同妇女群体，覆盖人数达5万。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845278">
            <w:pPr>
              <w:widowControl/>
              <w:spacing w:line="3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通过开展“巾帼心向党”思想引领大宣讲；开展群众性宣传教育活动；利用基层妇女之家、机关妇女组织等阵地，开展“巾帼心向党、礼赞新中国”群众性宣传教育活动；“巾帼心向党”思想引领网上妇联互动赠话费活动。</w:t>
            </w:r>
          </w:p>
          <w:p w14:paraId="4E660F0E">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sz w:val="24"/>
              </w:rPr>
              <w:t>线上线下宣传覆盖3类以上不同妇女群体，覆盖人数达5万。</w:t>
            </w:r>
          </w:p>
        </w:tc>
      </w:tr>
      <w:tr w14:paraId="334F156F">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2CC5BE0E">
            <w:pPr>
              <w:widowControl/>
              <w:spacing w:line="340" w:lineRule="exact"/>
              <w:jc w:val="center"/>
              <w:textAlignment w:val="center"/>
              <w:rPr>
                <w:rFonts w:asciiTheme="minorEastAsia" w:hAnsiTheme="minorEastAsia" w:eastAsiaTheme="minorEastAsia" w:cstheme="minorEastAsia"/>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3B548D">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D5A249">
            <w:pPr>
              <w:widowControl/>
              <w:spacing w:line="340" w:lineRule="exact"/>
              <w:jc w:val="center"/>
              <w:textAlignment w:val="center"/>
              <w:rPr>
                <w:rFonts w:asciiTheme="minorEastAsia" w:hAnsiTheme="minorEastAsia" w:eastAsiaTheme="minorEastAsia" w:cstheme="minorEastAsia"/>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A204A2">
            <w:pPr>
              <w:widowControl/>
              <w:spacing w:line="340" w:lineRule="exact"/>
              <w:jc w:val="center"/>
              <w:textAlignment w:val="center"/>
              <w:rPr>
                <w:rFonts w:asciiTheme="minorEastAsia" w:hAnsiTheme="minorEastAsia" w:eastAsiaTheme="minorEastAsia" w:cstheme="minorEastAsia"/>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D2A03A">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67C816">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90%</w:t>
            </w:r>
          </w:p>
        </w:tc>
      </w:tr>
    </w:tbl>
    <w:p w14:paraId="778F72DC">
      <w:pPr>
        <w:spacing w:line="580" w:lineRule="exact"/>
        <w:ind w:left="630"/>
        <w:rPr>
          <w:rFonts w:ascii="仿宋_GB2312" w:hAnsi="仿宋_GB2312" w:eastAsia="仿宋_GB2312" w:cs="仿宋_GB2312"/>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28482DC6">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55F86380">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b/>
                <w:bCs/>
                <w:color w:val="000000"/>
                <w:kern w:val="0"/>
                <w:sz w:val="24"/>
              </w:rPr>
              <w:t>项目绩效目标完成情况表</w:t>
            </w:r>
            <w:r>
              <w:rPr>
                <w:rFonts w:hint="eastAsia" w:asciiTheme="minorEastAsia" w:hAnsiTheme="minorEastAsia" w:eastAsiaTheme="minorEastAsia" w:cstheme="minorEastAsia"/>
                <w:b/>
                <w:bCs/>
                <w:color w:val="000000"/>
                <w:kern w:val="0"/>
                <w:sz w:val="24"/>
              </w:rPr>
              <w:br w:type="textWrapping"/>
            </w:r>
            <w:r>
              <w:rPr>
                <w:rFonts w:hint="eastAsia" w:asciiTheme="minorEastAsia" w:hAnsiTheme="minorEastAsia" w:eastAsiaTheme="minorEastAsia" w:cstheme="minorEastAsia"/>
                <w:color w:val="000000"/>
                <w:kern w:val="0"/>
                <w:sz w:val="24"/>
              </w:rPr>
              <w:t>(2019 年度)</w:t>
            </w:r>
          </w:p>
        </w:tc>
      </w:tr>
      <w:tr w14:paraId="7167A39E">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647423">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BAA4A2">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三八节活动经费</w:t>
            </w:r>
          </w:p>
        </w:tc>
      </w:tr>
      <w:tr w14:paraId="2329B94E">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88CB76">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811F4A">
            <w:pPr>
              <w:widowControl/>
              <w:spacing w:line="340" w:lineRule="exact"/>
              <w:jc w:val="center"/>
              <w:textAlignment w:val="center"/>
              <w:rPr>
                <w:rFonts w:asciiTheme="minorEastAsia" w:hAnsiTheme="minorEastAsia" w:eastAsiaTheme="minorEastAsia" w:cstheme="minorEastAsia"/>
                <w:color w:val="000000"/>
                <w:sz w:val="24"/>
              </w:rPr>
            </w:pPr>
          </w:p>
        </w:tc>
      </w:tr>
      <w:tr w14:paraId="74E3179A">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8AE13E">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423454">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F374B1">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34D64E">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CECADB">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8万元</w:t>
            </w:r>
          </w:p>
        </w:tc>
      </w:tr>
      <w:tr w14:paraId="68DE0600">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1A40A3">
            <w:pPr>
              <w:spacing w:line="340" w:lineRule="exact"/>
              <w:jc w:val="center"/>
              <w:rPr>
                <w:rFonts w:asciiTheme="minorEastAsia" w:hAnsiTheme="minorEastAsia" w:eastAsiaTheme="minorEastAsia" w:cstheme="minorEastAsia"/>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7852AF">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216597">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85E705">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FCBCEE">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8万元</w:t>
            </w:r>
          </w:p>
        </w:tc>
      </w:tr>
      <w:tr w14:paraId="34E2B54E">
        <w:tblPrEx>
          <w:tblCellMar>
            <w:top w:w="0" w:type="dxa"/>
            <w:left w:w="0" w:type="dxa"/>
            <w:bottom w:w="0" w:type="dxa"/>
            <w:right w:w="0" w:type="dxa"/>
          </w:tblCellMar>
        </w:tblPrEx>
        <w:trPr>
          <w:trHeight w:val="1635"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599ACF">
            <w:pPr>
              <w:spacing w:line="340" w:lineRule="exact"/>
              <w:jc w:val="center"/>
              <w:rPr>
                <w:rFonts w:asciiTheme="minorEastAsia" w:hAnsiTheme="minorEastAsia" w:eastAsiaTheme="minorEastAsia" w:cstheme="minorEastAsia"/>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F2A267">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BABBB8">
            <w:pPr>
              <w:widowControl/>
              <w:spacing w:line="340" w:lineRule="exact"/>
              <w:textAlignment w:val="center"/>
              <w:rPr>
                <w:rFonts w:asciiTheme="minorEastAsia" w:hAnsiTheme="minorEastAsia" w:eastAsiaTheme="minorEastAsia" w:cstheme="minorEastAsia"/>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FC84B2">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6954DF">
            <w:pPr>
              <w:spacing w:line="340" w:lineRule="exact"/>
              <w:jc w:val="center"/>
              <w:rPr>
                <w:rFonts w:asciiTheme="minorEastAsia" w:hAnsiTheme="minorEastAsia" w:eastAsiaTheme="minorEastAsia" w:cstheme="minorEastAsia"/>
                <w:color w:val="000000"/>
                <w:sz w:val="24"/>
              </w:rPr>
            </w:pPr>
          </w:p>
        </w:tc>
      </w:tr>
      <w:tr w14:paraId="26626F31">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FE252F">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8D9317">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B8C615">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实际完成目标</w:t>
            </w:r>
          </w:p>
        </w:tc>
      </w:tr>
      <w:tr w14:paraId="21249504">
        <w:tblPrEx>
          <w:tblCellMar>
            <w:top w:w="0" w:type="dxa"/>
            <w:left w:w="0" w:type="dxa"/>
            <w:bottom w:w="0" w:type="dxa"/>
            <w:right w:w="0" w:type="dxa"/>
          </w:tblCellMar>
        </w:tblPrEx>
        <w:trPr>
          <w:trHeight w:val="467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5EB2BD">
            <w:pPr>
              <w:spacing w:line="340" w:lineRule="exact"/>
              <w:jc w:val="center"/>
              <w:rPr>
                <w:rFonts w:asciiTheme="minorEastAsia" w:hAnsiTheme="minorEastAsia" w:eastAsiaTheme="minorEastAsia" w:cstheme="minorEastAsia"/>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97DFC8">
            <w:pPr>
              <w:widowControl/>
              <w:spacing w:line="340" w:lineRule="exac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sz w:val="24"/>
              </w:rPr>
              <w:t>进一步了解基层广大妇女群众的需求，持续扩大妇联组织的吸引力、影响力和凝聚力，2019年“三八”节，阿坝州妇联紧紧围绕州委中心工作，组织号召全州妇联系统,围绕民族团结创建目标，紧扣“两联一进”群众工作全覆盖，着力妇联改革，以“强三性去四化”为根本遵循，走出机关，深入基层，倾听基层妇女姐妹的心声，把纪念“三八”国际劳动妇女节作为深化引领、服务、联系妇女群众的重要契机，通过“下基层、访妇情、送荣誉、传关怀”主题活动把党的关怀和温暖传递到妇女群众身边，与基层姐妹们一起开展“三八”国际劳动妇女节纪念活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E300E0">
            <w:pPr>
              <w:numPr>
                <w:ilvl w:val="0"/>
                <w:numId w:val="3"/>
              </w:numPr>
              <w:spacing w:line="34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州妇联组织三个工作组赴阿坝四洼尼姑寺、马尔康市大藏乡、理县通化乡通化村三个点开展“下基层、访妇情、送荣誉、传关怀”活动，将2018年度全国、省、州三八红旗集体、三八红旗手的荣誉送到基层姐妹身边，与基层妇联一起开展纪念三八国际妇女节活动。活动中对贫困觉姆姐妹、村级老妇干、困难群众等开展了慰问，为他们送去慰问金。</w:t>
            </w:r>
          </w:p>
          <w:p w14:paraId="2A7D35B8">
            <w:pPr>
              <w:pStyle w:val="6"/>
              <w:numPr>
                <w:ilvl w:val="0"/>
                <w:numId w:val="3"/>
              </w:numPr>
              <w:spacing w:beforeLines="0" w:after="120"/>
            </w:pPr>
            <w:r>
              <w:rPr>
                <w:rFonts w:hint="eastAsia"/>
              </w:rPr>
              <w:t xml:space="preserve">开展“花开阿坝、幸福万家”启动仪式 </w:t>
            </w:r>
          </w:p>
          <w:p w14:paraId="50CC74EE">
            <w:pPr>
              <w:widowControl/>
              <w:spacing w:line="340" w:lineRule="exact"/>
              <w:jc w:val="center"/>
              <w:textAlignment w:val="center"/>
              <w:rPr>
                <w:rFonts w:asciiTheme="minorEastAsia" w:hAnsiTheme="minorEastAsia" w:eastAsiaTheme="minorEastAsia" w:cstheme="minorEastAsia"/>
                <w:color w:val="000000"/>
                <w:sz w:val="24"/>
              </w:rPr>
            </w:pPr>
          </w:p>
        </w:tc>
      </w:tr>
      <w:tr w14:paraId="2323FE12">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5DD1B55E">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67DBA0">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16E837">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C85DCE">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FA0B15">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A41492">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实际完成指标值(包含数字及文字描述)</w:t>
            </w:r>
          </w:p>
        </w:tc>
      </w:tr>
      <w:tr w14:paraId="0DA9E843">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E1FC117">
            <w:pPr>
              <w:widowControl/>
              <w:spacing w:line="340" w:lineRule="exact"/>
              <w:jc w:val="center"/>
              <w:textAlignment w:val="center"/>
              <w:rPr>
                <w:rFonts w:asciiTheme="minorEastAsia" w:hAnsiTheme="minorEastAsia" w:eastAsiaTheme="minorEastAsia" w:cstheme="minorEastAsia"/>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B9D348">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90FED4">
            <w:pPr>
              <w:widowControl/>
              <w:spacing w:line="340" w:lineRule="exact"/>
              <w:jc w:val="center"/>
              <w:textAlignment w:val="center"/>
              <w:rPr>
                <w:rFonts w:asciiTheme="minorEastAsia" w:hAnsiTheme="minorEastAsia" w:eastAsiaTheme="minorEastAsia" w:cstheme="minorEastAsia"/>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3510C0">
            <w:pPr>
              <w:widowControl/>
              <w:spacing w:line="340" w:lineRule="exact"/>
              <w:jc w:val="center"/>
              <w:textAlignment w:val="center"/>
              <w:rPr>
                <w:rFonts w:asciiTheme="minorEastAsia" w:hAnsiTheme="minorEastAsia" w:eastAsiaTheme="minorEastAsia" w:cstheme="minorEastAsia"/>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FF1551">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sz w:val="24"/>
              </w:rPr>
              <w:t>开展“下基层、访妇情、送荣誉、传关怀”主题活动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A14F2E">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sz w:val="24"/>
              </w:rPr>
              <w:t>州妇联组织三个工作组赴阿坝四洼尼姑寺、马尔康市大藏乡、理县通化乡通化村三个点开展“下基层、访妇情、送荣誉、传关怀”活动，送去慰问金</w:t>
            </w:r>
          </w:p>
        </w:tc>
      </w:tr>
      <w:tr w14:paraId="7DB0ABEA">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24F2421C">
            <w:pPr>
              <w:widowControl/>
              <w:spacing w:line="340" w:lineRule="exact"/>
              <w:jc w:val="center"/>
              <w:textAlignment w:val="center"/>
              <w:rPr>
                <w:rFonts w:asciiTheme="minorEastAsia" w:hAnsiTheme="minorEastAsia" w:eastAsiaTheme="minorEastAsia" w:cstheme="minorEastAsia"/>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EA8929">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BAB915">
            <w:pPr>
              <w:widowControl/>
              <w:spacing w:line="340" w:lineRule="exact"/>
              <w:jc w:val="center"/>
              <w:textAlignment w:val="center"/>
              <w:rPr>
                <w:rFonts w:asciiTheme="minorEastAsia" w:hAnsiTheme="minorEastAsia" w:eastAsiaTheme="minorEastAsia" w:cstheme="minorEastAsia"/>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9F1C85">
            <w:pPr>
              <w:widowControl/>
              <w:spacing w:line="340" w:lineRule="exact"/>
              <w:jc w:val="center"/>
              <w:textAlignment w:val="center"/>
              <w:rPr>
                <w:rFonts w:asciiTheme="minorEastAsia" w:hAnsiTheme="minorEastAsia" w:eastAsiaTheme="minorEastAsia" w:cstheme="minorEastAsia"/>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2E8EDF">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F31838">
            <w:pPr>
              <w:widowControl/>
              <w:spacing w:line="340" w:lineRule="exact"/>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90%</w:t>
            </w:r>
          </w:p>
        </w:tc>
      </w:tr>
    </w:tbl>
    <w:p w14:paraId="0F77411E">
      <w:pPr>
        <w:spacing w:line="580" w:lineRule="exact"/>
        <w:ind w:left="630"/>
        <w:rPr>
          <w:rFonts w:ascii="仿宋_GB2312" w:hAnsi="仿宋_GB2312" w:eastAsia="仿宋_GB2312" w:cs="仿宋_GB2312"/>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24"/>
        <w:gridCol w:w="1033"/>
        <w:gridCol w:w="1025"/>
        <w:gridCol w:w="2392"/>
        <w:gridCol w:w="2394"/>
        <w:gridCol w:w="2392"/>
      </w:tblGrid>
      <w:tr w14:paraId="7EDD78A0">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3FA42AD2">
            <w:pPr>
              <w:widowControl/>
              <w:spacing w:line="560" w:lineRule="exact"/>
              <w:jc w:val="center"/>
              <w:textAlignment w:val="center"/>
              <w:rPr>
                <w:rFonts w:ascii="宋体" w:hAnsi="宋体" w:cs="宋体"/>
                <w:color w:val="000000"/>
                <w:sz w:val="32"/>
                <w:szCs w:val="32"/>
              </w:rPr>
            </w:pPr>
            <w:r>
              <w:rPr>
                <w:rFonts w:hint="eastAsia" w:ascii="宋体" w:hAnsi="宋体" w:cs="宋体"/>
                <w:b/>
                <w:bCs/>
                <w:color w:val="000000"/>
                <w:kern w:val="0"/>
                <w:sz w:val="44"/>
                <w:szCs w:val="44"/>
              </w:rPr>
              <w:t>项目绩效目标完成情况表</w:t>
            </w:r>
            <w:r>
              <w:rPr>
                <w:rFonts w:hint="eastAsia" w:ascii="宋体" w:hAnsi="宋体" w:cs="宋体"/>
                <w:b/>
                <w:bCs/>
                <w:color w:val="000000"/>
                <w:kern w:val="0"/>
                <w:sz w:val="32"/>
                <w:szCs w:val="32"/>
              </w:rPr>
              <w:br w:type="textWrapping"/>
            </w:r>
            <w:r>
              <w:rPr>
                <w:rFonts w:hint="eastAsia" w:ascii="宋体" w:hAnsi="宋体" w:cs="宋体"/>
                <w:color w:val="000000"/>
                <w:kern w:val="0"/>
                <w:sz w:val="32"/>
                <w:szCs w:val="32"/>
              </w:rPr>
              <w:t>(2019 年度)</w:t>
            </w:r>
          </w:p>
        </w:tc>
      </w:tr>
      <w:tr w14:paraId="071077A0">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4AF483">
            <w:pPr>
              <w:widowControl/>
              <w:spacing w:line="360" w:lineRule="exact"/>
              <w:jc w:val="center"/>
              <w:textAlignment w:val="center"/>
              <w:rPr>
                <w:rFonts w:ascii="仿宋_GB2312" w:hAnsi="宋体"/>
                <w:sz w:val="28"/>
                <w:szCs w:val="28"/>
              </w:rPr>
            </w:pPr>
            <w:r>
              <w:rPr>
                <w:rFonts w:hint="eastAsia" w:ascii="仿宋_GB2312" w:hAnsi="宋体"/>
                <w:sz w:val="28"/>
                <w:szCs w:val="28"/>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F968C7">
            <w:pPr>
              <w:widowControl/>
              <w:spacing w:line="360" w:lineRule="exact"/>
              <w:jc w:val="center"/>
              <w:textAlignment w:val="center"/>
              <w:rPr>
                <w:rFonts w:ascii="仿宋_GB2312" w:hAnsi="宋体"/>
                <w:sz w:val="28"/>
                <w:szCs w:val="28"/>
              </w:rPr>
            </w:pPr>
            <w:r>
              <w:rPr>
                <w:rFonts w:hint="eastAsia" w:ascii="仿宋_GB2312" w:hAnsi="宋体"/>
                <w:sz w:val="28"/>
                <w:szCs w:val="28"/>
              </w:rPr>
              <w:t>发展权益部工作经费</w:t>
            </w:r>
          </w:p>
        </w:tc>
      </w:tr>
      <w:tr w14:paraId="30C7F35D">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27071A">
            <w:pPr>
              <w:widowControl/>
              <w:spacing w:line="360" w:lineRule="exact"/>
              <w:jc w:val="center"/>
              <w:textAlignment w:val="center"/>
              <w:rPr>
                <w:rFonts w:ascii="仿宋_GB2312" w:hAnsi="宋体"/>
                <w:sz w:val="28"/>
                <w:szCs w:val="28"/>
              </w:rPr>
            </w:pPr>
            <w:r>
              <w:rPr>
                <w:rFonts w:hint="eastAsia" w:ascii="仿宋_GB2312" w:hAnsi="宋体"/>
                <w:sz w:val="28"/>
                <w:szCs w:val="28"/>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825139">
            <w:pPr>
              <w:widowControl/>
              <w:spacing w:line="360" w:lineRule="exact"/>
              <w:jc w:val="center"/>
              <w:textAlignment w:val="center"/>
              <w:rPr>
                <w:rFonts w:ascii="仿宋_GB2312" w:hAnsi="宋体"/>
                <w:sz w:val="28"/>
                <w:szCs w:val="28"/>
              </w:rPr>
            </w:pPr>
            <w:r>
              <w:rPr>
                <w:rFonts w:ascii="仿宋_GB2312" w:hAnsi="宋体"/>
                <w:sz w:val="28"/>
                <w:szCs w:val="28"/>
              </w:rPr>
              <w:t>阿坝州妇联</w:t>
            </w:r>
          </w:p>
        </w:tc>
      </w:tr>
      <w:tr w14:paraId="04F8163C">
        <w:tblPrEx>
          <w:tblCellMar>
            <w:top w:w="0" w:type="dxa"/>
            <w:left w:w="0" w:type="dxa"/>
            <w:bottom w:w="0" w:type="dxa"/>
            <w:right w:w="0" w:type="dxa"/>
          </w:tblCellMar>
        </w:tblPrEx>
        <w:trPr>
          <w:trHeight w:val="276" w:hRule="atLeast"/>
          <w:jc w:val="center"/>
        </w:trPr>
        <w:tc>
          <w:tcPr>
            <w:tcW w:w="72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66FB02">
            <w:pPr>
              <w:widowControl/>
              <w:spacing w:line="360" w:lineRule="exact"/>
              <w:jc w:val="center"/>
              <w:textAlignment w:val="center"/>
              <w:rPr>
                <w:rFonts w:ascii="仿宋_GB2312" w:hAnsi="宋体"/>
                <w:sz w:val="28"/>
                <w:szCs w:val="28"/>
              </w:rPr>
            </w:pPr>
            <w:r>
              <w:rPr>
                <w:rFonts w:hint="eastAsia" w:ascii="仿宋_GB2312" w:hAnsi="宋体"/>
                <w:sz w:val="28"/>
                <w:szCs w:val="28"/>
              </w:rPr>
              <w:t>预算执行情况(万元)</w:t>
            </w: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49C40C">
            <w:pPr>
              <w:widowControl/>
              <w:spacing w:line="360" w:lineRule="exact"/>
              <w:jc w:val="center"/>
              <w:textAlignment w:val="center"/>
              <w:rPr>
                <w:rFonts w:ascii="仿宋_GB2312" w:hAnsi="宋体"/>
                <w:sz w:val="28"/>
                <w:szCs w:val="28"/>
              </w:rPr>
            </w:pPr>
            <w:r>
              <w:rPr>
                <w:rFonts w:hint="eastAsia" w:ascii="仿宋_GB2312" w:hAnsi="宋体"/>
                <w:sz w:val="28"/>
                <w:szCs w:val="28"/>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7D5BCC">
            <w:pPr>
              <w:widowControl/>
              <w:spacing w:line="360" w:lineRule="exact"/>
              <w:jc w:val="center"/>
              <w:textAlignment w:val="center"/>
              <w:rPr>
                <w:rFonts w:ascii="仿宋_GB2312" w:hAnsi="宋体"/>
                <w:sz w:val="28"/>
                <w:szCs w:val="28"/>
              </w:rPr>
            </w:pPr>
            <w:r>
              <w:rPr>
                <w:rFonts w:hint="eastAsia" w:ascii="仿宋_GB2312" w:hAnsi="宋体"/>
                <w:sz w:val="28"/>
                <w:szCs w:val="28"/>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E6627D">
            <w:pPr>
              <w:widowControl/>
              <w:spacing w:line="360" w:lineRule="exact"/>
              <w:jc w:val="center"/>
              <w:textAlignment w:val="center"/>
              <w:rPr>
                <w:rFonts w:ascii="仿宋_GB2312" w:hAnsi="宋体"/>
                <w:sz w:val="28"/>
                <w:szCs w:val="28"/>
              </w:rPr>
            </w:pPr>
            <w:r>
              <w:rPr>
                <w:rFonts w:hint="eastAsia" w:ascii="仿宋_GB2312" w:hAnsi="宋体"/>
                <w:sz w:val="28"/>
                <w:szCs w:val="28"/>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12C92B">
            <w:pPr>
              <w:widowControl/>
              <w:spacing w:line="360" w:lineRule="exact"/>
              <w:jc w:val="center"/>
              <w:textAlignment w:val="center"/>
              <w:rPr>
                <w:rFonts w:ascii="仿宋_GB2312" w:hAnsi="宋体"/>
                <w:sz w:val="28"/>
                <w:szCs w:val="28"/>
              </w:rPr>
            </w:pPr>
            <w:r>
              <w:rPr>
                <w:rFonts w:hint="eastAsia" w:ascii="仿宋_GB2312" w:hAnsi="宋体"/>
                <w:sz w:val="28"/>
                <w:szCs w:val="28"/>
              </w:rPr>
              <w:t>10万元</w:t>
            </w:r>
          </w:p>
        </w:tc>
      </w:tr>
      <w:tr w14:paraId="5AE2685A">
        <w:tblPrEx>
          <w:tblCellMar>
            <w:top w:w="0" w:type="dxa"/>
            <w:left w:w="0" w:type="dxa"/>
            <w:bottom w:w="0" w:type="dxa"/>
            <w:right w:w="0" w:type="dxa"/>
          </w:tblCellMar>
        </w:tblPrEx>
        <w:trPr>
          <w:trHeight w:val="276"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AED772">
            <w:pPr>
              <w:spacing w:line="360" w:lineRule="exact"/>
              <w:jc w:val="center"/>
              <w:rPr>
                <w:rFonts w:ascii="仿宋_GB2312" w:hAnsi="宋体"/>
                <w:sz w:val="28"/>
                <w:szCs w:val="28"/>
              </w:rPr>
            </w:pP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B72FCE">
            <w:pPr>
              <w:widowControl/>
              <w:spacing w:line="360" w:lineRule="exact"/>
              <w:jc w:val="center"/>
              <w:textAlignment w:val="center"/>
              <w:rPr>
                <w:rFonts w:ascii="仿宋_GB2312" w:hAnsi="宋体"/>
                <w:sz w:val="28"/>
                <w:szCs w:val="28"/>
              </w:rPr>
            </w:pPr>
            <w:r>
              <w:rPr>
                <w:rFonts w:hint="eastAsia" w:ascii="仿宋_GB2312" w:hAnsi="宋体"/>
                <w:sz w:val="28"/>
                <w:szCs w:val="28"/>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F57C9C">
            <w:pPr>
              <w:widowControl/>
              <w:spacing w:line="360" w:lineRule="exact"/>
              <w:jc w:val="center"/>
              <w:textAlignment w:val="center"/>
              <w:rPr>
                <w:rFonts w:ascii="仿宋_GB2312" w:hAnsi="宋体"/>
                <w:sz w:val="28"/>
                <w:szCs w:val="28"/>
              </w:rPr>
            </w:pPr>
            <w:r>
              <w:rPr>
                <w:rFonts w:hint="eastAsia" w:ascii="仿宋_GB2312" w:hAnsi="宋体"/>
                <w:sz w:val="28"/>
                <w:szCs w:val="28"/>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05DEB0">
            <w:pPr>
              <w:widowControl/>
              <w:spacing w:line="360" w:lineRule="exact"/>
              <w:jc w:val="center"/>
              <w:textAlignment w:val="center"/>
              <w:rPr>
                <w:rFonts w:ascii="仿宋_GB2312" w:hAnsi="宋体"/>
                <w:sz w:val="28"/>
                <w:szCs w:val="28"/>
              </w:rPr>
            </w:pPr>
            <w:r>
              <w:rPr>
                <w:rFonts w:hint="eastAsia" w:ascii="仿宋_GB2312" w:hAnsi="宋体"/>
                <w:sz w:val="28"/>
                <w:szCs w:val="28"/>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2241AE">
            <w:pPr>
              <w:widowControl/>
              <w:spacing w:line="360" w:lineRule="exact"/>
              <w:jc w:val="center"/>
              <w:textAlignment w:val="center"/>
              <w:rPr>
                <w:rFonts w:ascii="仿宋_GB2312" w:hAnsi="宋体"/>
                <w:sz w:val="28"/>
                <w:szCs w:val="28"/>
              </w:rPr>
            </w:pPr>
            <w:r>
              <w:rPr>
                <w:rFonts w:hint="eastAsia" w:ascii="仿宋_GB2312" w:hAnsi="宋体"/>
                <w:sz w:val="28"/>
                <w:szCs w:val="28"/>
              </w:rPr>
              <w:t>10万元</w:t>
            </w:r>
          </w:p>
        </w:tc>
      </w:tr>
      <w:tr w14:paraId="37C83D84">
        <w:tblPrEx>
          <w:tblCellMar>
            <w:top w:w="0" w:type="dxa"/>
            <w:left w:w="0" w:type="dxa"/>
            <w:bottom w:w="0" w:type="dxa"/>
            <w:right w:w="0" w:type="dxa"/>
          </w:tblCellMar>
        </w:tblPrEx>
        <w:trPr>
          <w:trHeight w:val="481"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7A419A">
            <w:pPr>
              <w:spacing w:line="360" w:lineRule="exact"/>
              <w:jc w:val="center"/>
              <w:rPr>
                <w:rFonts w:ascii="仿宋_GB2312" w:hAnsi="宋体"/>
                <w:sz w:val="28"/>
                <w:szCs w:val="28"/>
              </w:rPr>
            </w:pP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A04F35">
            <w:pPr>
              <w:widowControl/>
              <w:spacing w:line="360" w:lineRule="exact"/>
              <w:jc w:val="center"/>
              <w:textAlignment w:val="center"/>
              <w:rPr>
                <w:rFonts w:ascii="仿宋_GB2312" w:hAnsi="宋体"/>
                <w:sz w:val="28"/>
                <w:szCs w:val="28"/>
              </w:rPr>
            </w:pPr>
            <w:r>
              <w:rPr>
                <w:rFonts w:hint="eastAsia" w:ascii="仿宋_GB2312" w:hAnsi="宋体"/>
                <w:sz w:val="28"/>
                <w:szCs w:val="28"/>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A87F4E">
            <w:pPr>
              <w:widowControl/>
              <w:spacing w:line="360" w:lineRule="exact"/>
              <w:jc w:val="center"/>
              <w:textAlignment w:val="center"/>
              <w:rPr>
                <w:rFonts w:ascii="仿宋_GB2312" w:hAnsi="宋体"/>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6BFE15">
            <w:pPr>
              <w:widowControl/>
              <w:spacing w:line="360" w:lineRule="exact"/>
              <w:jc w:val="center"/>
              <w:textAlignment w:val="center"/>
              <w:rPr>
                <w:rFonts w:ascii="仿宋_GB2312" w:hAnsi="宋体"/>
                <w:sz w:val="28"/>
                <w:szCs w:val="28"/>
              </w:rPr>
            </w:pPr>
            <w:r>
              <w:rPr>
                <w:rFonts w:hint="eastAsia" w:ascii="仿宋_GB2312" w:hAnsi="宋体"/>
                <w:sz w:val="28"/>
                <w:szCs w:val="28"/>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D8728D">
            <w:pPr>
              <w:spacing w:line="360" w:lineRule="exact"/>
              <w:jc w:val="center"/>
              <w:rPr>
                <w:rFonts w:ascii="仿宋_GB2312" w:hAnsi="宋体"/>
                <w:sz w:val="28"/>
                <w:szCs w:val="28"/>
              </w:rPr>
            </w:pPr>
          </w:p>
        </w:tc>
      </w:tr>
      <w:tr w14:paraId="664E326A">
        <w:tblPrEx>
          <w:tblCellMar>
            <w:top w:w="0" w:type="dxa"/>
            <w:left w:w="0" w:type="dxa"/>
            <w:bottom w:w="0" w:type="dxa"/>
            <w:right w:w="0" w:type="dxa"/>
          </w:tblCellMar>
        </w:tblPrEx>
        <w:trPr>
          <w:trHeight w:val="276" w:hRule="atLeast"/>
          <w:jc w:val="center"/>
        </w:trPr>
        <w:tc>
          <w:tcPr>
            <w:tcW w:w="72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849EF2">
            <w:pPr>
              <w:widowControl/>
              <w:spacing w:line="360" w:lineRule="exact"/>
              <w:jc w:val="center"/>
              <w:textAlignment w:val="center"/>
              <w:rPr>
                <w:rFonts w:ascii="仿宋_GB2312" w:hAnsi="宋体"/>
                <w:sz w:val="28"/>
                <w:szCs w:val="28"/>
              </w:rPr>
            </w:pPr>
            <w:r>
              <w:rPr>
                <w:rFonts w:hint="eastAsia" w:ascii="仿宋_GB2312" w:hAnsi="宋体"/>
                <w:sz w:val="28"/>
                <w:szCs w:val="28"/>
              </w:rPr>
              <w:t>年度目标完成情况</w:t>
            </w:r>
          </w:p>
        </w:tc>
        <w:tc>
          <w:tcPr>
            <w:tcW w:w="44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8EF7C4">
            <w:pPr>
              <w:widowControl/>
              <w:spacing w:line="360" w:lineRule="exact"/>
              <w:jc w:val="center"/>
              <w:textAlignment w:val="center"/>
              <w:rPr>
                <w:rFonts w:ascii="仿宋_GB2312" w:hAnsi="宋体"/>
                <w:sz w:val="28"/>
                <w:szCs w:val="28"/>
              </w:rPr>
            </w:pPr>
            <w:r>
              <w:rPr>
                <w:rFonts w:hint="eastAsia" w:ascii="仿宋_GB2312" w:hAnsi="宋体"/>
                <w:sz w:val="28"/>
                <w:szCs w:val="28"/>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E2CFF4">
            <w:pPr>
              <w:widowControl/>
              <w:spacing w:line="360" w:lineRule="exact"/>
              <w:jc w:val="center"/>
              <w:textAlignment w:val="center"/>
              <w:rPr>
                <w:rFonts w:ascii="仿宋_GB2312" w:hAnsi="宋体"/>
                <w:sz w:val="28"/>
                <w:szCs w:val="28"/>
              </w:rPr>
            </w:pPr>
            <w:r>
              <w:rPr>
                <w:rFonts w:hint="eastAsia" w:ascii="仿宋_GB2312" w:hAnsi="宋体"/>
                <w:sz w:val="28"/>
                <w:szCs w:val="28"/>
              </w:rPr>
              <w:t>实际完成目标</w:t>
            </w:r>
          </w:p>
        </w:tc>
      </w:tr>
      <w:tr w14:paraId="13837AAE">
        <w:tblPrEx>
          <w:tblCellMar>
            <w:top w:w="0" w:type="dxa"/>
            <w:left w:w="0" w:type="dxa"/>
            <w:bottom w:w="0" w:type="dxa"/>
            <w:right w:w="0" w:type="dxa"/>
          </w:tblCellMar>
        </w:tblPrEx>
        <w:trPr>
          <w:trHeight w:val="1159"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5CF11F">
            <w:pPr>
              <w:spacing w:line="360" w:lineRule="exact"/>
              <w:jc w:val="center"/>
              <w:rPr>
                <w:rFonts w:ascii="仿宋_GB2312" w:hAnsi="宋体"/>
                <w:sz w:val="28"/>
                <w:szCs w:val="28"/>
              </w:rPr>
            </w:pPr>
          </w:p>
        </w:tc>
        <w:tc>
          <w:tcPr>
            <w:tcW w:w="44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39A8D0">
            <w:pPr>
              <w:widowControl/>
              <w:spacing w:line="360" w:lineRule="exact"/>
              <w:ind w:firstLine="560" w:firstLineChars="200"/>
              <w:jc w:val="left"/>
              <w:textAlignment w:val="center"/>
              <w:rPr>
                <w:rFonts w:ascii="仿宋_GB2312" w:hAnsi="宋体"/>
                <w:sz w:val="28"/>
                <w:szCs w:val="28"/>
              </w:rPr>
            </w:pPr>
            <w:r>
              <w:rPr>
                <w:rFonts w:hint="eastAsia" w:ascii="仿宋_GB2312" w:hAnsi="宋体"/>
                <w:sz w:val="28"/>
                <w:szCs w:val="28"/>
              </w:rPr>
              <w:t>宣传资料购置和权益部基层工作差旅费用目标是保证权益重点工作的有序推进，为年底工作考核提供重要保证。社区两癌患病妇女救助费用是为了让9名符合条件的患病妇女获得及时的救助；续聘周明光律师是为了让我会有常年的法律顾问提供法律咨询，并对部分协议合同等提供合法性审查，使我会各项工作更具合法性；阿坝州首届维护妇女儿童十大案例编审费是为了保证拟发布案例的合法性和文稿质量。宣传册印制力求扩大宣传面。</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D655CB">
            <w:pPr>
              <w:widowControl/>
              <w:spacing w:line="360" w:lineRule="exact"/>
              <w:ind w:firstLine="560" w:firstLineChars="200"/>
              <w:jc w:val="left"/>
              <w:textAlignment w:val="center"/>
              <w:rPr>
                <w:rFonts w:ascii="仿宋_GB2312" w:hAnsi="宋体"/>
                <w:sz w:val="28"/>
                <w:szCs w:val="28"/>
              </w:rPr>
            </w:pPr>
            <w:r>
              <w:rPr>
                <w:rFonts w:ascii="仿宋_GB2312" w:hAnsi="宋体"/>
                <w:sz w:val="28"/>
                <w:szCs w:val="28"/>
              </w:rPr>
              <w:t>发展权益工作得到了充分保障</w:t>
            </w:r>
            <w:r>
              <w:rPr>
                <w:rFonts w:hint="eastAsia" w:ascii="仿宋_GB2312" w:hAnsi="宋体"/>
                <w:sz w:val="28"/>
                <w:szCs w:val="28"/>
              </w:rPr>
              <w:t>，</w:t>
            </w:r>
            <w:r>
              <w:rPr>
                <w:rFonts w:ascii="仿宋_GB2312" w:hAnsi="宋体"/>
                <w:sz w:val="28"/>
                <w:szCs w:val="28"/>
              </w:rPr>
              <w:t>社区妇女得到救助</w:t>
            </w:r>
            <w:r>
              <w:rPr>
                <w:rFonts w:hint="eastAsia" w:ascii="仿宋_GB2312" w:hAnsi="宋体"/>
                <w:sz w:val="28"/>
                <w:szCs w:val="28"/>
              </w:rPr>
              <w:t>，</w:t>
            </w:r>
            <w:r>
              <w:rPr>
                <w:rFonts w:ascii="仿宋_GB2312" w:hAnsi="宋体"/>
                <w:sz w:val="28"/>
                <w:szCs w:val="28"/>
              </w:rPr>
              <w:t>为她们解决了燃眉之急</w:t>
            </w:r>
            <w:r>
              <w:rPr>
                <w:rFonts w:hint="eastAsia" w:ascii="仿宋_GB2312" w:hAnsi="宋体"/>
                <w:sz w:val="28"/>
                <w:szCs w:val="28"/>
              </w:rPr>
              <w:t>。</w:t>
            </w:r>
            <w:r>
              <w:rPr>
                <w:rFonts w:ascii="仿宋_GB2312" w:hAnsi="宋体"/>
                <w:sz w:val="28"/>
                <w:szCs w:val="28"/>
              </w:rPr>
              <w:t>续聘律师为本会工作开展提供了重要的法律保障</w:t>
            </w:r>
            <w:r>
              <w:rPr>
                <w:rFonts w:hint="eastAsia" w:ascii="仿宋_GB2312" w:hAnsi="宋体"/>
                <w:sz w:val="28"/>
                <w:szCs w:val="28"/>
              </w:rPr>
              <w:t>，合法性提高。十大案例审费用对于发布案例的文稿质量、法律可信度大大提高。宣传册的印制使案例能够得到广泛的宣传，达到以案说法的目的。</w:t>
            </w:r>
          </w:p>
        </w:tc>
      </w:tr>
      <w:tr w14:paraId="47EC338F">
        <w:tblPrEx>
          <w:tblCellMar>
            <w:top w:w="0" w:type="dxa"/>
            <w:left w:w="0" w:type="dxa"/>
            <w:bottom w:w="0" w:type="dxa"/>
            <w:right w:w="0" w:type="dxa"/>
          </w:tblCellMar>
        </w:tblPrEx>
        <w:trPr>
          <w:trHeight w:val="1489" w:hRule="atLeast"/>
          <w:jc w:val="center"/>
        </w:trPr>
        <w:tc>
          <w:tcPr>
            <w:tcW w:w="724"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35D242A">
            <w:pPr>
              <w:widowControl/>
              <w:spacing w:line="360" w:lineRule="exact"/>
              <w:jc w:val="center"/>
              <w:textAlignment w:val="center"/>
              <w:rPr>
                <w:rFonts w:ascii="仿宋_GB2312" w:hAnsi="宋体"/>
                <w:sz w:val="28"/>
                <w:szCs w:val="28"/>
              </w:rPr>
            </w:pPr>
            <w:r>
              <w:rPr>
                <w:rFonts w:hint="eastAsia" w:ascii="仿宋_GB2312" w:hAnsi="宋体"/>
                <w:sz w:val="28"/>
                <w:szCs w:val="28"/>
              </w:rPr>
              <w:t>绩效指标完成情况</w:t>
            </w: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1C1C8D">
            <w:pPr>
              <w:widowControl/>
              <w:spacing w:line="360" w:lineRule="exact"/>
              <w:jc w:val="center"/>
              <w:textAlignment w:val="center"/>
              <w:rPr>
                <w:rFonts w:ascii="仿宋_GB2312" w:hAnsi="宋体"/>
                <w:sz w:val="28"/>
                <w:szCs w:val="28"/>
              </w:rPr>
            </w:pPr>
            <w:r>
              <w:rPr>
                <w:rFonts w:hint="eastAsia" w:ascii="仿宋_GB2312" w:hAnsi="宋体"/>
                <w:sz w:val="28"/>
                <w:szCs w:val="28"/>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5E896B">
            <w:pPr>
              <w:widowControl/>
              <w:spacing w:line="360" w:lineRule="exact"/>
              <w:jc w:val="center"/>
              <w:textAlignment w:val="center"/>
              <w:rPr>
                <w:rFonts w:ascii="仿宋_GB2312" w:hAnsi="宋体"/>
                <w:sz w:val="28"/>
                <w:szCs w:val="28"/>
              </w:rPr>
            </w:pPr>
            <w:r>
              <w:rPr>
                <w:rFonts w:hint="eastAsia" w:ascii="仿宋_GB2312" w:hAnsi="宋体"/>
                <w:sz w:val="28"/>
                <w:szCs w:val="28"/>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7AB0BA">
            <w:pPr>
              <w:widowControl/>
              <w:spacing w:line="360" w:lineRule="exact"/>
              <w:jc w:val="center"/>
              <w:textAlignment w:val="center"/>
              <w:rPr>
                <w:rFonts w:ascii="仿宋_GB2312" w:hAnsi="宋体"/>
                <w:sz w:val="28"/>
                <w:szCs w:val="28"/>
              </w:rPr>
            </w:pPr>
            <w:r>
              <w:rPr>
                <w:rFonts w:hint="eastAsia" w:ascii="仿宋_GB2312" w:hAnsi="宋体"/>
                <w:sz w:val="28"/>
                <w:szCs w:val="28"/>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CA91C5">
            <w:pPr>
              <w:widowControl/>
              <w:spacing w:line="360" w:lineRule="exact"/>
              <w:jc w:val="center"/>
              <w:textAlignment w:val="center"/>
              <w:rPr>
                <w:rFonts w:ascii="仿宋_GB2312" w:hAnsi="宋体"/>
                <w:sz w:val="28"/>
                <w:szCs w:val="28"/>
              </w:rPr>
            </w:pPr>
            <w:r>
              <w:rPr>
                <w:rFonts w:hint="eastAsia" w:ascii="仿宋_GB2312" w:hAnsi="宋体"/>
                <w:sz w:val="28"/>
                <w:szCs w:val="28"/>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0174F0">
            <w:pPr>
              <w:widowControl/>
              <w:spacing w:line="360" w:lineRule="exact"/>
              <w:jc w:val="center"/>
              <w:textAlignment w:val="center"/>
              <w:rPr>
                <w:rFonts w:ascii="仿宋_GB2312" w:hAnsi="宋体"/>
                <w:sz w:val="28"/>
                <w:szCs w:val="28"/>
              </w:rPr>
            </w:pPr>
            <w:r>
              <w:rPr>
                <w:rFonts w:hint="eastAsia" w:ascii="仿宋_GB2312" w:hAnsi="宋体"/>
                <w:sz w:val="28"/>
                <w:szCs w:val="28"/>
              </w:rPr>
              <w:t>实际完成指标值(包含数字及文字描述)</w:t>
            </w:r>
          </w:p>
        </w:tc>
      </w:tr>
      <w:tr w14:paraId="3B8B04BA">
        <w:tblPrEx>
          <w:tblCellMar>
            <w:top w:w="0" w:type="dxa"/>
            <w:left w:w="0" w:type="dxa"/>
            <w:bottom w:w="0" w:type="dxa"/>
            <w:right w:w="0" w:type="dxa"/>
          </w:tblCellMar>
        </w:tblPrEx>
        <w:trPr>
          <w:trHeight w:val="1985" w:hRule="atLeast"/>
          <w:jc w:val="center"/>
        </w:trPr>
        <w:tc>
          <w:tcPr>
            <w:tcW w:w="724" w:type="dxa"/>
            <w:vMerge w:val="continue"/>
            <w:tcBorders>
              <w:left w:val="single" w:color="000000" w:sz="4" w:space="0"/>
              <w:right w:val="single" w:color="000000" w:sz="4" w:space="0"/>
            </w:tcBorders>
            <w:tcMar>
              <w:top w:w="15" w:type="dxa"/>
              <w:left w:w="15" w:type="dxa"/>
              <w:right w:w="15" w:type="dxa"/>
            </w:tcMar>
            <w:vAlign w:val="center"/>
          </w:tcPr>
          <w:p w14:paraId="68F7468C">
            <w:pPr>
              <w:widowControl/>
              <w:spacing w:line="360" w:lineRule="exact"/>
              <w:jc w:val="center"/>
              <w:textAlignment w:val="center"/>
              <w:rPr>
                <w:rFonts w:ascii="仿宋_GB2312" w:hAnsi="宋体"/>
                <w:sz w:val="28"/>
                <w:szCs w:val="28"/>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8FBBCE">
            <w:pPr>
              <w:widowControl/>
              <w:spacing w:line="360" w:lineRule="exact"/>
              <w:jc w:val="center"/>
              <w:textAlignment w:val="center"/>
              <w:rPr>
                <w:rFonts w:ascii="仿宋_GB2312" w:hAnsi="宋体"/>
                <w:sz w:val="28"/>
                <w:szCs w:val="28"/>
              </w:rPr>
            </w:pPr>
            <w:r>
              <w:rPr>
                <w:rFonts w:hint="eastAsia" w:ascii="仿宋_GB2312" w:hAnsi="宋体"/>
                <w:sz w:val="28"/>
                <w:szCs w:val="2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2017F8">
            <w:pPr>
              <w:widowControl/>
              <w:spacing w:line="360" w:lineRule="exact"/>
              <w:jc w:val="center"/>
              <w:textAlignment w:val="center"/>
              <w:rPr>
                <w:rFonts w:ascii="仿宋_GB2312" w:hAnsi="宋体"/>
                <w:sz w:val="28"/>
                <w:szCs w:val="28"/>
              </w:rPr>
            </w:pPr>
            <w:r>
              <w:rPr>
                <w:rFonts w:ascii="仿宋_GB2312" w:hAnsi="宋体"/>
                <w:sz w:val="28"/>
                <w:szCs w:val="28"/>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0703E9">
            <w:pPr>
              <w:widowControl/>
              <w:spacing w:line="360" w:lineRule="exact"/>
              <w:jc w:val="center"/>
              <w:textAlignment w:val="center"/>
              <w:rPr>
                <w:rFonts w:ascii="仿宋_GB2312" w:hAnsi="宋体"/>
                <w:sz w:val="28"/>
                <w:szCs w:val="28"/>
              </w:rPr>
            </w:pPr>
            <w:r>
              <w:rPr>
                <w:rFonts w:hint="eastAsia" w:ascii="仿宋_GB2312" w:hAnsi="宋体"/>
                <w:sz w:val="28"/>
                <w:szCs w:val="28"/>
              </w:rPr>
              <w:t>1.救助9名患病妇女；2.续聘1名律师；3.印制15000份宣传册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76C148">
            <w:pPr>
              <w:widowControl/>
              <w:spacing w:line="360" w:lineRule="exact"/>
              <w:jc w:val="center"/>
              <w:textAlignment w:val="center"/>
              <w:rPr>
                <w:rFonts w:ascii="仿宋_GB2312" w:hAnsi="宋体"/>
                <w:sz w:val="28"/>
                <w:szCs w:val="28"/>
              </w:rPr>
            </w:pPr>
            <w:r>
              <w:rPr>
                <w:rFonts w:hint="eastAsia" w:ascii="仿宋_GB2312" w:hAnsi="宋体"/>
                <w:sz w:val="28"/>
                <w:szCs w:val="28"/>
              </w:rPr>
              <w:t>9名；1名；15000册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8F79C5">
            <w:pPr>
              <w:widowControl/>
              <w:spacing w:line="360" w:lineRule="exact"/>
              <w:jc w:val="center"/>
              <w:textAlignment w:val="center"/>
              <w:rPr>
                <w:rFonts w:ascii="仿宋_GB2312" w:hAnsi="宋体"/>
                <w:sz w:val="28"/>
                <w:szCs w:val="28"/>
              </w:rPr>
            </w:pPr>
            <w:r>
              <w:rPr>
                <w:rFonts w:hint="eastAsia" w:ascii="仿宋_GB2312" w:hAnsi="宋体"/>
                <w:sz w:val="28"/>
                <w:szCs w:val="28"/>
              </w:rPr>
              <w:t>完成</w:t>
            </w:r>
          </w:p>
        </w:tc>
      </w:tr>
      <w:tr w14:paraId="531F60F4">
        <w:tblPrEx>
          <w:tblCellMar>
            <w:top w:w="0" w:type="dxa"/>
            <w:left w:w="0" w:type="dxa"/>
            <w:bottom w:w="0" w:type="dxa"/>
            <w:right w:w="0" w:type="dxa"/>
          </w:tblCellMar>
        </w:tblPrEx>
        <w:trPr>
          <w:trHeight w:val="1297" w:hRule="atLeast"/>
          <w:jc w:val="center"/>
        </w:trPr>
        <w:tc>
          <w:tcPr>
            <w:tcW w:w="724" w:type="dxa"/>
            <w:vMerge w:val="continue"/>
            <w:tcBorders>
              <w:left w:val="single" w:color="000000" w:sz="4" w:space="0"/>
              <w:right w:val="single" w:color="000000" w:sz="4" w:space="0"/>
            </w:tcBorders>
            <w:tcMar>
              <w:top w:w="15" w:type="dxa"/>
              <w:left w:w="15" w:type="dxa"/>
              <w:right w:w="15" w:type="dxa"/>
            </w:tcMar>
            <w:vAlign w:val="center"/>
          </w:tcPr>
          <w:p w14:paraId="3D735145">
            <w:pPr>
              <w:widowControl/>
              <w:spacing w:line="360" w:lineRule="exact"/>
              <w:jc w:val="center"/>
              <w:textAlignment w:val="center"/>
              <w:rPr>
                <w:rFonts w:ascii="仿宋_GB2312" w:hAnsi="宋体"/>
                <w:sz w:val="28"/>
                <w:szCs w:val="28"/>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40185E">
            <w:pPr>
              <w:widowControl/>
              <w:spacing w:line="360" w:lineRule="exact"/>
              <w:jc w:val="center"/>
              <w:textAlignment w:val="center"/>
              <w:rPr>
                <w:rFonts w:ascii="仿宋_GB2312" w:hAnsi="宋体"/>
                <w:sz w:val="28"/>
                <w:szCs w:val="28"/>
              </w:rPr>
            </w:pPr>
            <w:r>
              <w:rPr>
                <w:rFonts w:hint="eastAsia" w:ascii="仿宋_GB2312" w:hAnsi="宋体"/>
                <w:sz w:val="28"/>
                <w:szCs w:val="2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17EFEA">
            <w:pPr>
              <w:widowControl/>
              <w:spacing w:line="360" w:lineRule="exact"/>
              <w:jc w:val="center"/>
              <w:textAlignment w:val="center"/>
              <w:rPr>
                <w:rFonts w:ascii="仿宋_GB2312" w:hAnsi="宋体"/>
                <w:sz w:val="28"/>
                <w:szCs w:val="28"/>
              </w:rPr>
            </w:pPr>
            <w:r>
              <w:rPr>
                <w:rFonts w:ascii="仿宋_GB2312" w:hAnsi="宋体"/>
                <w:sz w:val="28"/>
                <w:szCs w:val="28"/>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900327">
            <w:pPr>
              <w:widowControl/>
              <w:spacing w:line="360" w:lineRule="exact"/>
              <w:jc w:val="center"/>
              <w:textAlignment w:val="center"/>
              <w:rPr>
                <w:rFonts w:ascii="仿宋_GB2312" w:hAnsi="宋体"/>
                <w:sz w:val="28"/>
                <w:szCs w:val="28"/>
              </w:rPr>
            </w:pPr>
            <w:r>
              <w:rPr>
                <w:rFonts w:hint="eastAsia" w:ascii="仿宋_GB2312" w:hAnsi="宋体"/>
                <w:sz w:val="28"/>
                <w:szCs w:val="28"/>
              </w:rPr>
              <w:t>1.及时救助患病妇女；2.律师为本会提供法律咨询等服务；3.按要求完成</w:t>
            </w:r>
            <w:r>
              <w:rPr>
                <w:rFonts w:ascii="仿宋_GB2312" w:hAnsi="宋体"/>
                <w:sz w:val="28"/>
                <w:szCs w:val="28"/>
              </w:rPr>
              <w:t>案例文稿和印制服务</w:t>
            </w:r>
            <w:r>
              <w:rPr>
                <w:rFonts w:hint="eastAsia" w:ascii="仿宋_GB2312" w:hAnsi="宋体"/>
                <w:sz w:val="28"/>
                <w:szCs w:val="28"/>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5EAA4F">
            <w:pPr>
              <w:widowControl/>
              <w:spacing w:line="360" w:lineRule="exact"/>
              <w:jc w:val="center"/>
              <w:textAlignment w:val="center"/>
              <w:rPr>
                <w:rFonts w:ascii="仿宋_GB2312" w:hAnsi="宋体"/>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6CB53A">
            <w:pPr>
              <w:widowControl/>
              <w:spacing w:line="360" w:lineRule="exact"/>
              <w:jc w:val="center"/>
              <w:textAlignment w:val="center"/>
              <w:rPr>
                <w:rFonts w:ascii="仿宋_GB2312" w:hAnsi="宋体"/>
                <w:sz w:val="28"/>
                <w:szCs w:val="28"/>
              </w:rPr>
            </w:pPr>
            <w:r>
              <w:rPr>
                <w:rFonts w:hint="eastAsia" w:ascii="仿宋_GB2312" w:hAnsi="宋体"/>
                <w:sz w:val="28"/>
                <w:szCs w:val="28"/>
              </w:rPr>
              <w:t>患病妇女得到帮助；律师为本会提供法律咨询服务并对相关文件、合同、协议提出合法性审查建议；</w:t>
            </w:r>
            <w:r>
              <w:rPr>
                <w:rFonts w:ascii="仿宋_GB2312" w:hAnsi="宋体"/>
                <w:sz w:val="28"/>
                <w:szCs w:val="28"/>
              </w:rPr>
              <w:t>案例文稿法律专业性强</w:t>
            </w:r>
            <w:r>
              <w:rPr>
                <w:rFonts w:hint="eastAsia" w:ascii="仿宋_GB2312" w:hAnsi="宋体"/>
                <w:sz w:val="28"/>
                <w:szCs w:val="28"/>
              </w:rPr>
              <w:t>，</w:t>
            </w:r>
            <w:r>
              <w:rPr>
                <w:rFonts w:ascii="仿宋_GB2312" w:hAnsi="宋体"/>
                <w:sz w:val="28"/>
                <w:szCs w:val="28"/>
              </w:rPr>
              <w:t>宣传册印制质量良好</w:t>
            </w:r>
          </w:p>
        </w:tc>
      </w:tr>
      <w:tr w14:paraId="05EBCF1B">
        <w:tblPrEx>
          <w:tblCellMar>
            <w:top w:w="0" w:type="dxa"/>
            <w:left w:w="0" w:type="dxa"/>
            <w:bottom w:w="0" w:type="dxa"/>
            <w:right w:w="0" w:type="dxa"/>
          </w:tblCellMar>
        </w:tblPrEx>
        <w:trPr>
          <w:trHeight w:val="1042" w:hRule="atLeast"/>
          <w:jc w:val="center"/>
        </w:trPr>
        <w:tc>
          <w:tcPr>
            <w:tcW w:w="724" w:type="dxa"/>
            <w:vMerge w:val="continue"/>
            <w:tcBorders>
              <w:left w:val="single" w:color="000000" w:sz="4" w:space="0"/>
              <w:right w:val="single" w:color="000000" w:sz="4" w:space="0"/>
            </w:tcBorders>
            <w:tcMar>
              <w:top w:w="15" w:type="dxa"/>
              <w:left w:w="15" w:type="dxa"/>
              <w:right w:w="15" w:type="dxa"/>
            </w:tcMar>
            <w:vAlign w:val="center"/>
          </w:tcPr>
          <w:p w14:paraId="4CAECFCC">
            <w:pPr>
              <w:widowControl/>
              <w:spacing w:line="360" w:lineRule="exact"/>
              <w:jc w:val="center"/>
              <w:textAlignment w:val="center"/>
              <w:rPr>
                <w:rFonts w:ascii="仿宋_GB2312" w:hAnsi="宋体"/>
                <w:sz w:val="28"/>
                <w:szCs w:val="28"/>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E3187C">
            <w:pPr>
              <w:widowControl/>
              <w:spacing w:line="360" w:lineRule="exact"/>
              <w:jc w:val="center"/>
              <w:textAlignment w:val="center"/>
              <w:rPr>
                <w:rFonts w:ascii="仿宋_GB2312" w:hAnsi="宋体"/>
                <w:sz w:val="28"/>
                <w:szCs w:val="28"/>
              </w:rPr>
            </w:pPr>
            <w:r>
              <w:rPr>
                <w:rFonts w:hint="eastAsia" w:ascii="仿宋_GB2312" w:hAnsi="宋体"/>
                <w:sz w:val="28"/>
                <w:szCs w:val="2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DB17FF">
            <w:pPr>
              <w:widowControl/>
              <w:spacing w:line="360" w:lineRule="exact"/>
              <w:jc w:val="center"/>
              <w:textAlignment w:val="center"/>
              <w:rPr>
                <w:rFonts w:ascii="仿宋_GB2312" w:hAnsi="宋体"/>
                <w:sz w:val="28"/>
                <w:szCs w:val="28"/>
              </w:rPr>
            </w:pPr>
            <w:r>
              <w:rPr>
                <w:rFonts w:ascii="仿宋_GB2312" w:hAnsi="宋体"/>
                <w:sz w:val="28"/>
                <w:szCs w:val="28"/>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34D04B">
            <w:pPr>
              <w:widowControl/>
              <w:spacing w:line="360" w:lineRule="exact"/>
              <w:jc w:val="center"/>
              <w:textAlignment w:val="center"/>
              <w:rPr>
                <w:rFonts w:ascii="仿宋_GB2312" w:hAnsi="宋体"/>
                <w:sz w:val="28"/>
                <w:szCs w:val="28"/>
              </w:rPr>
            </w:pPr>
            <w:r>
              <w:rPr>
                <w:rFonts w:hint="eastAsia" w:ascii="仿宋_GB2312" w:hAnsi="宋体"/>
                <w:sz w:val="28"/>
                <w:szCs w:val="28"/>
              </w:rPr>
              <w:t>年内完成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86AC6F">
            <w:pPr>
              <w:widowControl/>
              <w:spacing w:line="360" w:lineRule="exact"/>
              <w:jc w:val="center"/>
              <w:textAlignment w:val="center"/>
              <w:rPr>
                <w:rFonts w:ascii="仿宋_GB2312" w:hAnsi="宋体"/>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1DF746">
            <w:pPr>
              <w:widowControl/>
              <w:spacing w:line="360" w:lineRule="exact"/>
              <w:jc w:val="center"/>
              <w:textAlignment w:val="center"/>
              <w:rPr>
                <w:rFonts w:ascii="仿宋_GB2312" w:hAnsi="宋体"/>
                <w:sz w:val="28"/>
                <w:szCs w:val="28"/>
              </w:rPr>
            </w:pPr>
            <w:r>
              <w:rPr>
                <w:rFonts w:hint="eastAsia" w:ascii="仿宋_GB2312" w:hAnsi="宋体"/>
                <w:sz w:val="28"/>
                <w:szCs w:val="28"/>
              </w:rPr>
              <w:t>完成</w:t>
            </w:r>
          </w:p>
        </w:tc>
      </w:tr>
      <w:tr w14:paraId="6560BDC3">
        <w:tblPrEx>
          <w:tblCellMar>
            <w:top w:w="0" w:type="dxa"/>
            <w:left w:w="0" w:type="dxa"/>
            <w:bottom w:w="0" w:type="dxa"/>
            <w:right w:w="0" w:type="dxa"/>
          </w:tblCellMar>
        </w:tblPrEx>
        <w:trPr>
          <w:trHeight w:val="1297" w:hRule="atLeast"/>
          <w:jc w:val="center"/>
        </w:trPr>
        <w:tc>
          <w:tcPr>
            <w:tcW w:w="724" w:type="dxa"/>
            <w:vMerge w:val="continue"/>
            <w:tcBorders>
              <w:left w:val="single" w:color="000000" w:sz="4" w:space="0"/>
              <w:right w:val="single" w:color="000000" w:sz="4" w:space="0"/>
            </w:tcBorders>
            <w:tcMar>
              <w:top w:w="15" w:type="dxa"/>
              <w:left w:w="15" w:type="dxa"/>
              <w:right w:w="15" w:type="dxa"/>
            </w:tcMar>
            <w:vAlign w:val="center"/>
          </w:tcPr>
          <w:p w14:paraId="0C842C1E">
            <w:pPr>
              <w:widowControl/>
              <w:spacing w:line="360" w:lineRule="exact"/>
              <w:jc w:val="center"/>
              <w:textAlignment w:val="center"/>
              <w:rPr>
                <w:rFonts w:ascii="仿宋_GB2312" w:hAnsi="宋体"/>
                <w:sz w:val="28"/>
                <w:szCs w:val="28"/>
              </w:rPr>
            </w:pPr>
          </w:p>
        </w:tc>
        <w:tc>
          <w:tcPr>
            <w:tcW w:w="1033" w:type="dxa"/>
            <w:tcBorders>
              <w:top w:val="single" w:color="000000" w:sz="4" w:space="0"/>
              <w:left w:val="single" w:color="000000" w:sz="4" w:space="0"/>
              <w:right w:val="single" w:color="000000" w:sz="4" w:space="0"/>
            </w:tcBorders>
            <w:tcMar>
              <w:top w:w="15" w:type="dxa"/>
              <w:left w:w="15" w:type="dxa"/>
              <w:right w:w="15" w:type="dxa"/>
            </w:tcMar>
            <w:vAlign w:val="center"/>
          </w:tcPr>
          <w:p w14:paraId="042EA671">
            <w:pPr>
              <w:widowControl/>
              <w:spacing w:line="360" w:lineRule="exact"/>
              <w:jc w:val="center"/>
              <w:textAlignment w:val="center"/>
              <w:rPr>
                <w:rFonts w:ascii="仿宋_GB2312" w:hAnsi="宋体"/>
                <w:sz w:val="28"/>
                <w:szCs w:val="28"/>
              </w:rPr>
            </w:pPr>
            <w:r>
              <w:rPr>
                <w:rFonts w:hint="eastAsia" w:ascii="仿宋_GB2312" w:hAnsi="宋体"/>
                <w:sz w:val="28"/>
                <w:szCs w:val="28"/>
              </w:rPr>
              <w:t>效益指标</w:t>
            </w:r>
          </w:p>
          <w:p w14:paraId="2DE69E47">
            <w:pPr>
              <w:spacing w:line="360" w:lineRule="exact"/>
              <w:textAlignment w:val="center"/>
              <w:rPr>
                <w:rFonts w:ascii="仿宋_GB2312" w:hAnsi="宋体"/>
                <w:sz w:val="28"/>
                <w:szCs w:val="28"/>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AB6EEA">
            <w:pPr>
              <w:widowControl/>
              <w:spacing w:line="360" w:lineRule="exact"/>
              <w:jc w:val="center"/>
              <w:textAlignment w:val="center"/>
              <w:rPr>
                <w:rFonts w:ascii="仿宋_GB2312" w:hAnsi="宋体"/>
                <w:sz w:val="28"/>
                <w:szCs w:val="28"/>
              </w:rPr>
            </w:pPr>
            <w:r>
              <w:rPr>
                <w:rFonts w:hint="eastAsia" w:ascii="仿宋_GB2312" w:hAnsi="宋体"/>
                <w:sz w:val="28"/>
                <w:szCs w:val="28"/>
              </w:rPr>
              <w:t>社会</w:t>
            </w:r>
            <w:r>
              <w:rPr>
                <w:rFonts w:ascii="仿宋_GB2312" w:hAnsi="宋体"/>
                <w:sz w:val="28"/>
                <w:szCs w:val="28"/>
              </w:rPr>
              <w:t>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319CE7">
            <w:pPr>
              <w:widowControl/>
              <w:spacing w:line="360" w:lineRule="exact"/>
              <w:jc w:val="center"/>
              <w:textAlignment w:val="center"/>
              <w:rPr>
                <w:rFonts w:ascii="仿宋_GB2312" w:hAnsi="宋体"/>
                <w:sz w:val="28"/>
                <w:szCs w:val="28"/>
              </w:rPr>
            </w:pPr>
            <w:r>
              <w:rPr>
                <w:rFonts w:ascii="仿宋_GB2312" w:hAnsi="宋体"/>
                <w:sz w:val="28"/>
                <w:szCs w:val="28"/>
              </w:rPr>
              <w:t>关注癌症患病妇女</w:t>
            </w:r>
            <w:r>
              <w:rPr>
                <w:rFonts w:hint="eastAsia" w:ascii="仿宋_GB2312" w:hAnsi="宋体"/>
                <w:sz w:val="28"/>
                <w:szCs w:val="28"/>
              </w:rPr>
              <w:t>；扩大妇女儿童权益保护宣传力度。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B02714">
            <w:pPr>
              <w:widowControl/>
              <w:spacing w:line="360" w:lineRule="exact"/>
              <w:jc w:val="center"/>
              <w:textAlignment w:val="center"/>
              <w:rPr>
                <w:rFonts w:ascii="仿宋_GB2312" w:hAnsi="宋体"/>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350E80">
            <w:pPr>
              <w:widowControl/>
              <w:spacing w:line="360" w:lineRule="exact"/>
              <w:jc w:val="center"/>
              <w:textAlignment w:val="center"/>
              <w:rPr>
                <w:rFonts w:ascii="仿宋_GB2312" w:hAnsi="宋体"/>
                <w:sz w:val="28"/>
                <w:szCs w:val="28"/>
              </w:rPr>
            </w:pPr>
            <w:r>
              <w:rPr>
                <w:rFonts w:ascii="仿宋_GB2312" w:hAnsi="宋体"/>
                <w:sz w:val="28"/>
                <w:szCs w:val="28"/>
              </w:rPr>
              <w:t>让全社会关注癌症患病妇女</w:t>
            </w:r>
            <w:r>
              <w:rPr>
                <w:rFonts w:hint="eastAsia" w:ascii="仿宋_GB2312" w:hAnsi="宋体"/>
                <w:sz w:val="28"/>
                <w:szCs w:val="28"/>
              </w:rPr>
              <w:t>；在全社会营造学法、懂法、尊法、用法的良好氛围，切实维护妇女儿童合法权益。</w:t>
            </w:r>
          </w:p>
        </w:tc>
      </w:tr>
      <w:tr w14:paraId="36761B18">
        <w:tblPrEx>
          <w:tblCellMar>
            <w:top w:w="0" w:type="dxa"/>
            <w:left w:w="0" w:type="dxa"/>
            <w:bottom w:w="0" w:type="dxa"/>
            <w:right w:w="0" w:type="dxa"/>
          </w:tblCellMar>
        </w:tblPrEx>
        <w:trPr>
          <w:trHeight w:val="1050" w:hRule="atLeast"/>
          <w:jc w:val="center"/>
        </w:trPr>
        <w:tc>
          <w:tcPr>
            <w:tcW w:w="724"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7C480921">
            <w:pPr>
              <w:widowControl/>
              <w:spacing w:line="360" w:lineRule="exact"/>
              <w:jc w:val="center"/>
              <w:textAlignment w:val="center"/>
              <w:rPr>
                <w:rFonts w:ascii="仿宋_GB2312" w:hAnsi="宋体"/>
                <w:sz w:val="28"/>
                <w:szCs w:val="28"/>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09AC01">
            <w:pPr>
              <w:widowControl/>
              <w:spacing w:line="360" w:lineRule="exact"/>
              <w:jc w:val="center"/>
              <w:textAlignment w:val="center"/>
              <w:rPr>
                <w:rFonts w:ascii="仿宋_GB2312" w:hAnsi="宋体"/>
                <w:sz w:val="28"/>
                <w:szCs w:val="28"/>
              </w:rPr>
            </w:pPr>
            <w:r>
              <w:rPr>
                <w:rFonts w:hint="eastAsia" w:ascii="仿宋_GB2312" w:hAnsi="宋体"/>
                <w:sz w:val="28"/>
                <w:szCs w:val="2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ECF501">
            <w:pPr>
              <w:widowControl/>
              <w:spacing w:line="360" w:lineRule="exact"/>
              <w:jc w:val="center"/>
              <w:textAlignment w:val="center"/>
              <w:rPr>
                <w:rFonts w:ascii="仿宋_GB2312" w:hAnsi="宋体"/>
                <w:sz w:val="28"/>
                <w:szCs w:val="28"/>
              </w:rPr>
            </w:pPr>
            <w:r>
              <w:rPr>
                <w:rFonts w:ascii="仿宋_GB2312" w:hAnsi="宋体"/>
                <w:sz w:val="28"/>
                <w:szCs w:val="28"/>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ACF361">
            <w:pPr>
              <w:widowControl/>
              <w:spacing w:line="360" w:lineRule="exact"/>
              <w:jc w:val="center"/>
              <w:textAlignment w:val="center"/>
              <w:rPr>
                <w:rFonts w:ascii="仿宋_GB2312" w:hAnsi="宋体"/>
                <w:sz w:val="28"/>
                <w:szCs w:val="28"/>
              </w:rPr>
            </w:pPr>
            <w:r>
              <w:rPr>
                <w:rFonts w:ascii="仿宋_GB2312" w:hAnsi="宋体"/>
                <w:sz w:val="28"/>
                <w:szCs w:val="28"/>
              </w:rPr>
              <w:t>患病妇女满意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CA128A">
            <w:pPr>
              <w:widowControl/>
              <w:spacing w:line="360" w:lineRule="exact"/>
              <w:jc w:val="center"/>
              <w:textAlignment w:val="center"/>
              <w:rPr>
                <w:rFonts w:ascii="仿宋_GB2312" w:hAnsi="宋体"/>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751F45">
            <w:pPr>
              <w:widowControl/>
              <w:spacing w:line="360" w:lineRule="exact"/>
              <w:jc w:val="center"/>
              <w:textAlignment w:val="center"/>
              <w:rPr>
                <w:rFonts w:ascii="仿宋_GB2312" w:hAnsi="宋体"/>
                <w:sz w:val="28"/>
                <w:szCs w:val="28"/>
              </w:rPr>
            </w:pPr>
            <w:r>
              <w:rPr>
                <w:rFonts w:ascii="仿宋_GB2312" w:hAnsi="宋体"/>
                <w:sz w:val="28"/>
                <w:szCs w:val="28"/>
              </w:rPr>
              <w:t>为受助妇女送去温暖</w:t>
            </w:r>
            <w:r>
              <w:rPr>
                <w:rFonts w:hint="eastAsia" w:ascii="仿宋_GB2312" w:hAnsi="宋体"/>
                <w:sz w:val="28"/>
                <w:szCs w:val="28"/>
              </w:rPr>
              <w:t>，</w:t>
            </w:r>
            <w:r>
              <w:rPr>
                <w:rFonts w:ascii="仿宋_GB2312" w:hAnsi="宋体"/>
                <w:sz w:val="28"/>
                <w:szCs w:val="28"/>
              </w:rPr>
              <w:t>受助妇女满意</w:t>
            </w:r>
          </w:p>
        </w:tc>
      </w:tr>
    </w:tbl>
    <w:p w14:paraId="3247B7EA">
      <w:pPr>
        <w:spacing w:line="580" w:lineRule="exact"/>
        <w:ind w:left="630"/>
        <w:rPr>
          <w:rFonts w:hint="eastAsia" w:ascii="楷体_GB2312" w:hAnsi="楷体_GB2312" w:eastAsia="楷体_GB2312" w:cs="楷体_GB2312"/>
          <w:sz w:val="32"/>
          <w:szCs w:val="32"/>
        </w:rPr>
      </w:pPr>
    </w:p>
    <w:p w14:paraId="229A4C56">
      <w:pPr>
        <w:spacing w:line="580" w:lineRule="exact"/>
        <w:ind w:firstLine="640" w:firstLineChars="200"/>
        <w:rPr>
          <w:rFonts w:ascii="仿宋_GB2312" w:hAnsi="仿宋_GB2312" w:eastAsia="仿宋_GB2312" w:cs="仿宋_GB2312"/>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1008"/>
        <w:gridCol w:w="425"/>
        <w:gridCol w:w="567"/>
        <w:gridCol w:w="782"/>
        <w:gridCol w:w="2195"/>
        <w:gridCol w:w="1842"/>
        <w:gridCol w:w="749"/>
        <w:gridCol w:w="2392"/>
      </w:tblGrid>
      <w:tr w14:paraId="64EDEDDF">
        <w:tblPrEx>
          <w:tblCellMar>
            <w:top w:w="0" w:type="dxa"/>
            <w:left w:w="0" w:type="dxa"/>
            <w:bottom w:w="0" w:type="dxa"/>
            <w:right w:w="0" w:type="dxa"/>
          </w:tblCellMar>
        </w:tblPrEx>
        <w:trPr>
          <w:trHeight w:val="1034" w:hRule="atLeast"/>
          <w:jc w:val="center"/>
        </w:trPr>
        <w:tc>
          <w:tcPr>
            <w:tcW w:w="9960" w:type="dxa"/>
            <w:gridSpan w:val="8"/>
            <w:tcBorders>
              <w:top w:val="nil"/>
              <w:left w:val="nil"/>
              <w:bottom w:val="nil"/>
              <w:right w:val="nil"/>
            </w:tcBorders>
            <w:tcMar>
              <w:top w:w="15" w:type="dxa"/>
              <w:left w:w="15" w:type="dxa"/>
              <w:right w:w="15" w:type="dxa"/>
            </w:tcMar>
            <w:vAlign w:val="center"/>
          </w:tcPr>
          <w:p w14:paraId="6D18A496">
            <w:pPr>
              <w:widowControl/>
              <w:jc w:val="center"/>
              <w:textAlignment w:val="center"/>
              <w:rPr>
                <w:rFonts w:ascii="宋体" w:hAnsi="宋体" w:cs="宋体"/>
                <w:color w:val="000000"/>
                <w:sz w:val="32"/>
                <w:szCs w:val="32"/>
              </w:rPr>
            </w:pPr>
            <w:r>
              <w:rPr>
                <w:rFonts w:hint="eastAsia" w:ascii="方正小标宋_GBK" w:hAnsi="宋体" w:eastAsia="方正小标宋_GBK" w:cs="宋体"/>
                <w:bCs/>
                <w:color w:val="000000"/>
                <w:kern w:val="0"/>
                <w:sz w:val="44"/>
                <w:szCs w:val="44"/>
              </w:rPr>
              <w:t>项目绩效目标完成情况表</w:t>
            </w:r>
            <w:r>
              <w:rPr>
                <w:rFonts w:hint="eastAsia" w:ascii="方正小标宋_GBK" w:hAnsi="宋体" w:eastAsia="方正小标宋_GBK" w:cs="宋体"/>
                <w:bCs/>
                <w:color w:val="000000"/>
                <w:kern w:val="0"/>
                <w:sz w:val="44"/>
                <w:szCs w:val="44"/>
              </w:rPr>
              <w:br w:type="textWrapping"/>
            </w:r>
            <w:r>
              <w:rPr>
                <w:rFonts w:hint="eastAsia" w:ascii="宋体" w:hAnsi="宋体" w:cs="宋体"/>
                <w:color w:val="000000"/>
                <w:kern w:val="0"/>
                <w:sz w:val="32"/>
                <w:szCs w:val="32"/>
              </w:rPr>
              <w:t>(2019 年度)</w:t>
            </w:r>
          </w:p>
        </w:tc>
      </w:tr>
      <w:tr w14:paraId="7CD391CB">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68906A">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E04ED2">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1+N工作经费</w:t>
            </w:r>
          </w:p>
        </w:tc>
      </w:tr>
      <w:tr w14:paraId="19C33ED3">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F4C3C5">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F9983F">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阿坝州妇联</w:t>
            </w:r>
          </w:p>
        </w:tc>
      </w:tr>
      <w:tr w14:paraId="501DD5C9">
        <w:tblPrEx>
          <w:tblCellMar>
            <w:top w:w="0" w:type="dxa"/>
            <w:left w:w="0" w:type="dxa"/>
            <w:bottom w:w="0" w:type="dxa"/>
            <w:right w:w="0" w:type="dxa"/>
          </w:tblCellMar>
        </w:tblPrEx>
        <w:trPr>
          <w:trHeight w:val="276" w:hRule="atLeast"/>
          <w:jc w:val="center"/>
        </w:trPr>
        <w:tc>
          <w:tcPr>
            <w:tcW w:w="100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4CC3D5">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预算执行情况(万元)</w:t>
            </w:r>
          </w:p>
        </w:tc>
        <w:tc>
          <w:tcPr>
            <w:tcW w:w="17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9574B9">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预算数:</w:t>
            </w:r>
          </w:p>
        </w:tc>
        <w:tc>
          <w:tcPr>
            <w:tcW w:w="21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F7D83E">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24.6094</w:t>
            </w:r>
          </w:p>
        </w:tc>
        <w:tc>
          <w:tcPr>
            <w:tcW w:w="25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E3EC4D">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98B870">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24.6094</w:t>
            </w:r>
          </w:p>
        </w:tc>
      </w:tr>
      <w:tr w14:paraId="04DD375C">
        <w:tblPrEx>
          <w:tblCellMar>
            <w:top w:w="0" w:type="dxa"/>
            <w:left w:w="0" w:type="dxa"/>
            <w:bottom w:w="0" w:type="dxa"/>
            <w:right w:w="0" w:type="dxa"/>
          </w:tblCellMar>
        </w:tblPrEx>
        <w:trPr>
          <w:trHeight w:val="276"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E4B8B9">
            <w:pPr>
              <w:spacing w:line="360" w:lineRule="exact"/>
              <w:jc w:val="center"/>
              <w:rPr>
                <w:rFonts w:ascii="仿宋_GB2312" w:hAnsi="宋体" w:eastAsia="仿宋_GB2312" w:cs="宋体"/>
                <w:color w:val="000000"/>
                <w:sz w:val="32"/>
                <w:szCs w:val="32"/>
              </w:rPr>
            </w:pPr>
          </w:p>
        </w:tc>
        <w:tc>
          <w:tcPr>
            <w:tcW w:w="17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6C2D46">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其中-财政拨款:</w:t>
            </w:r>
          </w:p>
        </w:tc>
        <w:tc>
          <w:tcPr>
            <w:tcW w:w="21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6FEA7B">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24.6094</w:t>
            </w:r>
          </w:p>
        </w:tc>
        <w:tc>
          <w:tcPr>
            <w:tcW w:w="25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449A2A">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BA04E2">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24.6094</w:t>
            </w:r>
          </w:p>
        </w:tc>
      </w:tr>
      <w:tr w14:paraId="0895D962">
        <w:tblPrEx>
          <w:tblCellMar>
            <w:top w:w="0" w:type="dxa"/>
            <w:left w:w="0" w:type="dxa"/>
            <w:bottom w:w="0" w:type="dxa"/>
            <w:right w:w="0" w:type="dxa"/>
          </w:tblCellMar>
        </w:tblPrEx>
        <w:trPr>
          <w:trHeight w:val="489"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467211">
            <w:pPr>
              <w:spacing w:line="360" w:lineRule="exact"/>
              <w:jc w:val="center"/>
              <w:rPr>
                <w:rFonts w:ascii="仿宋_GB2312" w:hAnsi="宋体" w:eastAsia="仿宋_GB2312" w:cs="宋体"/>
                <w:color w:val="000000"/>
                <w:sz w:val="32"/>
                <w:szCs w:val="32"/>
              </w:rPr>
            </w:pPr>
          </w:p>
        </w:tc>
        <w:tc>
          <w:tcPr>
            <w:tcW w:w="17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BB113D">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其它资金:</w:t>
            </w:r>
          </w:p>
        </w:tc>
        <w:tc>
          <w:tcPr>
            <w:tcW w:w="21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8F66EB">
            <w:pPr>
              <w:widowControl/>
              <w:spacing w:line="360" w:lineRule="exact"/>
              <w:jc w:val="center"/>
              <w:textAlignment w:val="center"/>
              <w:rPr>
                <w:rFonts w:ascii="仿宋_GB2312" w:hAnsi="宋体" w:eastAsia="仿宋_GB2312" w:cs="宋体"/>
                <w:color w:val="000000"/>
                <w:sz w:val="32"/>
                <w:szCs w:val="32"/>
              </w:rPr>
            </w:pPr>
          </w:p>
        </w:tc>
        <w:tc>
          <w:tcPr>
            <w:tcW w:w="25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DB8FD6">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1C71B7">
            <w:pPr>
              <w:spacing w:line="360" w:lineRule="exact"/>
              <w:jc w:val="center"/>
              <w:rPr>
                <w:rFonts w:ascii="仿宋_GB2312" w:hAnsi="宋体" w:eastAsia="仿宋_GB2312" w:cs="宋体"/>
                <w:color w:val="000000"/>
                <w:sz w:val="32"/>
                <w:szCs w:val="32"/>
              </w:rPr>
            </w:pPr>
          </w:p>
        </w:tc>
      </w:tr>
      <w:tr w14:paraId="465ED0B9">
        <w:tblPrEx>
          <w:tblCellMar>
            <w:top w:w="0" w:type="dxa"/>
            <w:left w:w="0" w:type="dxa"/>
            <w:bottom w:w="0" w:type="dxa"/>
            <w:right w:w="0" w:type="dxa"/>
          </w:tblCellMar>
        </w:tblPrEx>
        <w:trPr>
          <w:trHeight w:val="276" w:hRule="atLeast"/>
          <w:jc w:val="center"/>
        </w:trPr>
        <w:tc>
          <w:tcPr>
            <w:tcW w:w="100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E6C218">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年度目标完成情况</w:t>
            </w:r>
          </w:p>
        </w:tc>
        <w:tc>
          <w:tcPr>
            <w:tcW w:w="3969"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C9D00F">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预期目标</w:t>
            </w:r>
          </w:p>
        </w:tc>
        <w:tc>
          <w:tcPr>
            <w:tcW w:w="498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40939B">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实际完成目标</w:t>
            </w:r>
          </w:p>
        </w:tc>
      </w:tr>
      <w:tr w14:paraId="1E5F1787">
        <w:tblPrEx>
          <w:tblCellMar>
            <w:top w:w="0" w:type="dxa"/>
            <w:left w:w="0" w:type="dxa"/>
            <w:bottom w:w="0" w:type="dxa"/>
            <w:right w:w="0" w:type="dxa"/>
          </w:tblCellMar>
        </w:tblPrEx>
        <w:trPr>
          <w:trHeight w:val="8089"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1FEA58">
            <w:pPr>
              <w:spacing w:line="360" w:lineRule="exact"/>
              <w:jc w:val="center"/>
              <w:rPr>
                <w:rFonts w:ascii="仿宋_GB2312" w:hAnsi="宋体" w:eastAsia="仿宋_GB2312" w:cs="宋体"/>
                <w:color w:val="000000"/>
                <w:sz w:val="32"/>
                <w:szCs w:val="32"/>
              </w:rPr>
            </w:pPr>
          </w:p>
        </w:tc>
        <w:tc>
          <w:tcPr>
            <w:tcW w:w="3969"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0CFD22">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仿宋" w:eastAsia="仿宋_GB2312" w:cs="仿宋_GB2312"/>
                <w:sz w:val="32"/>
                <w:szCs w:val="32"/>
              </w:rPr>
              <w:t>民族团结宣传片制作目标是为了更好呈现本会民族团结工作的成果，为民族团结创建助力；贫困大病患病妇女救助是对13县（市）20名贫困患大病妇女得到及时救助；19年州级妇女居家灵活就业评审是为了做好2019年100万州级妇女居家灵活就业项目的甄选、做好相关的培训指导工作；觉姆义诊是针对壤塘县的部分觉姆姐妹进行义诊，通过关爱健康助力社会稳定；觉姆暖心包购置是为了给予觉姆最需要的生活关怀，从而促进社会稳定；阿坝州首届维护妇女儿童合法权益十大案例评审是通过案例评选发布宣传，以案说法，引导全社会良好法治氛围的形成。</w:t>
            </w:r>
          </w:p>
        </w:tc>
        <w:tc>
          <w:tcPr>
            <w:tcW w:w="498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7DFDD0">
            <w:pPr>
              <w:widowControl/>
              <w:spacing w:line="360" w:lineRule="exact"/>
              <w:jc w:val="left"/>
              <w:textAlignment w:val="center"/>
              <w:rPr>
                <w:rFonts w:ascii="仿宋_GB2312" w:hAnsi="宋体" w:eastAsia="仿宋_GB2312" w:cs="宋体"/>
                <w:color w:val="000000"/>
                <w:sz w:val="32"/>
                <w:szCs w:val="32"/>
              </w:rPr>
            </w:pPr>
            <w:r>
              <w:rPr>
                <w:rFonts w:hint="eastAsia" w:ascii="仿宋_GB2312" w:hAnsi="仿宋" w:eastAsia="仿宋_GB2312" w:cs="仿宋_GB2312"/>
                <w:sz w:val="32"/>
                <w:szCs w:val="32"/>
              </w:rPr>
              <w:t>民族团结宣传片制作很好地呈现本会民族团结工作的成果；贫困大病患病妇女救助让13县（市）20名贫困患大病妇女得到及时救助，感受到了妇女“娘家”的温暖；通过19年州级妇女居家灵活就业评审出2019年100万州级妇女居家灵活就业项目12个，同时做好了相关的培训指导咨询等工作；觉姆义诊对壤塘县的部分觉姆姐妹及时了解身体状况，得到了一定医疗服务，觉姆暖心包购置发放，也为觉姆姐妹解决了一定的生活所需，让她们感受到党和国家的温暖，促进了社会稳定；阿坝州首届维护妇女儿童合法权益十大案例评审通过案例评选发布宣传，以案说法，引导全社会良好法治氛围的形成，让更多人更加关心关注妇女儿童权益的维护。</w:t>
            </w:r>
          </w:p>
        </w:tc>
      </w:tr>
      <w:tr w14:paraId="50FB2981">
        <w:tblPrEx>
          <w:tblCellMar>
            <w:top w:w="0" w:type="dxa"/>
            <w:left w:w="0" w:type="dxa"/>
            <w:bottom w:w="0" w:type="dxa"/>
            <w:right w:w="0" w:type="dxa"/>
          </w:tblCellMar>
        </w:tblPrEx>
        <w:trPr>
          <w:trHeight w:val="1042" w:hRule="atLeast"/>
          <w:jc w:val="center"/>
        </w:trPr>
        <w:tc>
          <w:tcPr>
            <w:tcW w:w="1008"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4BF0D972">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绩效指标完成情况</w:t>
            </w: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76C5D5">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一级指标</w:t>
            </w: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7C735D">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二级指标</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A679F9">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三级指标</w:t>
            </w:r>
          </w:p>
        </w:tc>
        <w:tc>
          <w:tcPr>
            <w:tcW w:w="18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782C47">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预期指标值(包含数字及文字描述)</w:t>
            </w:r>
          </w:p>
        </w:tc>
        <w:tc>
          <w:tcPr>
            <w:tcW w:w="314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38F14B">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实际完成指标值(包含数字及文字描述)</w:t>
            </w:r>
          </w:p>
        </w:tc>
      </w:tr>
      <w:tr w14:paraId="32FEC935">
        <w:tblPrEx>
          <w:tblCellMar>
            <w:top w:w="0" w:type="dxa"/>
            <w:left w:w="0" w:type="dxa"/>
            <w:bottom w:w="0" w:type="dxa"/>
            <w:right w:w="0" w:type="dxa"/>
          </w:tblCellMar>
        </w:tblPrEx>
        <w:trPr>
          <w:trHeight w:val="2335" w:hRule="atLeast"/>
          <w:jc w:val="center"/>
        </w:trPr>
        <w:tc>
          <w:tcPr>
            <w:tcW w:w="1008" w:type="dxa"/>
            <w:vMerge w:val="continue"/>
            <w:tcBorders>
              <w:left w:val="single" w:color="000000" w:sz="4" w:space="0"/>
              <w:right w:val="single" w:color="000000" w:sz="4" w:space="0"/>
            </w:tcBorders>
            <w:tcMar>
              <w:top w:w="15" w:type="dxa"/>
              <w:left w:w="15" w:type="dxa"/>
              <w:right w:w="15" w:type="dxa"/>
            </w:tcMar>
            <w:vAlign w:val="center"/>
          </w:tcPr>
          <w:p w14:paraId="2F67C480">
            <w:pPr>
              <w:widowControl/>
              <w:spacing w:line="360" w:lineRule="exact"/>
              <w:jc w:val="center"/>
              <w:textAlignment w:val="center"/>
              <w:rPr>
                <w:rFonts w:ascii="仿宋_GB2312" w:hAnsi="宋体" w:eastAsia="仿宋_GB2312" w:cs="宋体"/>
                <w:color w:val="000000"/>
                <w:sz w:val="32"/>
                <w:szCs w:val="32"/>
              </w:rPr>
            </w:pP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8AA44B">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项目完成指标</w:t>
            </w: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431D60">
            <w:pPr>
              <w:widowControl/>
              <w:spacing w:line="360" w:lineRule="exact"/>
              <w:jc w:val="center"/>
              <w:textAlignment w:val="center"/>
              <w:rPr>
                <w:rFonts w:ascii="仿宋_GB2312" w:hAnsi="宋体"/>
                <w:sz w:val="28"/>
                <w:szCs w:val="28"/>
              </w:rPr>
            </w:pPr>
            <w:r>
              <w:rPr>
                <w:rFonts w:ascii="仿宋_GB2312" w:hAnsi="宋体"/>
                <w:sz w:val="28"/>
                <w:szCs w:val="28"/>
              </w:rPr>
              <w:t>数量指标</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79934D">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1部宣传片；20名贫困患大病妇女；对100万项目进行评审；评选出十大案例；对部分觉姆姐妹进行义诊。</w:t>
            </w:r>
          </w:p>
        </w:tc>
        <w:tc>
          <w:tcPr>
            <w:tcW w:w="18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7E584A">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1部；20名；完成对申报项目进行评审，选出100万拟扶持项目；评出十大案例；完成对部分觉姆姐妹进行义诊。</w:t>
            </w:r>
          </w:p>
        </w:tc>
        <w:tc>
          <w:tcPr>
            <w:tcW w:w="314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40D2D9">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完成了1部宣传片制作；完成对20名贫困患大病妇女进行救助；完成对申报项目的评审，选出了12个拟扶持项目；评选出了十大典型案例；完成对部分觉姆姐妹进行义诊。</w:t>
            </w:r>
          </w:p>
        </w:tc>
      </w:tr>
      <w:tr w14:paraId="6B3807A5">
        <w:tblPrEx>
          <w:tblCellMar>
            <w:top w:w="0" w:type="dxa"/>
            <w:left w:w="0" w:type="dxa"/>
            <w:bottom w:w="0" w:type="dxa"/>
            <w:right w:w="0" w:type="dxa"/>
          </w:tblCellMar>
        </w:tblPrEx>
        <w:trPr>
          <w:trHeight w:val="3411" w:hRule="atLeast"/>
          <w:jc w:val="center"/>
        </w:trPr>
        <w:tc>
          <w:tcPr>
            <w:tcW w:w="1008" w:type="dxa"/>
            <w:vMerge w:val="continue"/>
            <w:tcBorders>
              <w:left w:val="single" w:color="000000" w:sz="4" w:space="0"/>
              <w:right w:val="single" w:color="000000" w:sz="4" w:space="0"/>
            </w:tcBorders>
            <w:tcMar>
              <w:top w:w="15" w:type="dxa"/>
              <w:left w:w="15" w:type="dxa"/>
              <w:right w:w="15" w:type="dxa"/>
            </w:tcMar>
            <w:vAlign w:val="center"/>
          </w:tcPr>
          <w:p w14:paraId="25597A27">
            <w:pPr>
              <w:widowControl/>
              <w:spacing w:line="360" w:lineRule="exact"/>
              <w:jc w:val="center"/>
              <w:textAlignment w:val="center"/>
              <w:rPr>
                <w:rFonts w:ascii="仿宋_GB2312" w:hAnsi="宋体" w:eastAsia="仿宋_GB2312" w:cs="宋体"/>
                <w:color w:val="000000"/>
                <w:sz w:val="32"/>
                <w:szCs w:val="32"/>
              </w:rPr>
            </w:pP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B5E3DF">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项目完成指标</w:t>
            </w: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D4A048">
            <w:pPr>
              <w:widowControl/>
              <w:spacing w:line="360" w:lineRule="exact"/>
              <w:jc w:val="center"/>
              <w:textAlignment w:val="center"/>
              <w:rPr>
                <w:rFonts w:ascii="仿宋_GB2312" w:hAnsi="宋体"/>
                <w:sz w:val="28"/>
                <w:szCs w:val="28"/>
              </w:rPr>
            </w:pPr>
            <w:r>
              <w:rPr>
                <w:rFonts w:ascii="仿宋_GB2312" w:hAnsi="宋体"/>
                <w:sz w:val="28"/>
                <w:szCs w:val="28"/>
              </w:rPr>
              <w:t>质量指标</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5970C9">
            <w:pPr>
              <w:widowControl/>
              <w:spacing w:line="360" w:lineRule="exact"/>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宣传片质量优良，能够展示本会工作特色，画质清晰；及时救助患病妇女；评审出符合扶持标准的项目；十大案例有典型性，局有很好的宣传意义；觉姆得到免费检查和基本治疗。</w:t>
            </w:r>
          </w:p>
        </w:tc>
        <w:tc>
          <w:tcPr>
            <w:tcW w:w="18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A29343">
            <w:pPr>
              <w:widowControl/>
              <w:spacing w:line="360" w:lineRule="exact"/>
              <w:jc w:val="center"/>
              <w:textAlignment w:val="center"/>
              <w:rPr>
                <w:rFonts w:ascii="仿宋_GB2312" w:hAnsi="宋体" w:eastAsia="仿宋_GB2312" w:cs="宋体"/>
                <w:color w:val="000000"/>
                <w:sz w:val="32"/>
                <w:szCs w:val="32"/>
              </w:rPr>
            </w:pPr>
          </w:p>
        </w:tc>
        <w:tc>
          <w:tcPr>
            <w:tcW w:w="314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2D038F">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宣传片质量优良，能够展示本会工作特色，画质清晰；救助金及时发放给了患病妇女；评审出符合扶持标准的项目；十大案例有典型性，局有很好的宣传意义；觉姆得到免费检查和基本治疗。</w:t>
            </w:r>
          </w:p>
        </w:tc>
      </w:tr>
      <w:tr w14:paraId="24F05FBA">
        <w:tblPrEx>
          <w:tblCellMar>
            <w:top w:w="0" w:type="dxa"/>
            <w:left w:w="0" w:type="dxa"/>
            <w:bottom w:w="0" w:type="dxa"/>
            <w:right w:w="0" w:type="dxa"/>
          </w:tblCellMar>
        </w:tblPrEx>
        <w:trPr>
          <w:trHeight w:val="1816" w:hRule="atLeast"/>
          <w:jc w:val="center"/>
        </w:trPr>
        <w:tc>
          <w:tcPr>
            <w:tcW w:w="1008" w:type="dxa"/>
            <w:vMerge w:val="continue"/>
            <w:tcBorders>
              <w:left w:val="single" w:color="000000" w:sz="4" w:space="0"/>
              <w:right w:val="single" w:color="000000" w:sz="4" w:space="0"/>
            </w:tcBorders>
            <w:tcMar>
              <w:top w:w="15" w:type="dxa"/>
              <w:left w:w="15" w:type="dxa"/>
              <w:right w:w="15" w:type="dxa"/>
            </w:tcMar>
            <w:vAlign w:val="center"/>
          </w:tcPr>
          <w:p w14:paraId="5712C516">
            <w:pPr>
              <w:widowControl/>
              <w:spacing w:line="360" w:lineRule="exact"/>
              <w:jc w:val="center"/>
              <w:textAlignment w:val="center"/>
              <w:rPr>
                <w:rFonts w:ascii="仿宋_GB2312" w:hAnsi="宋体" w:eastAsia="仿宋_GB2312" w:cs="宋体"/>
                <w:color w:val="000000"/>
                <w:sz w:val="32"/>
                <w:szCs w:val="32"/>
              </w:rPr>
            </w:pP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A0FC31">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项目完成指标</w:t>
            </w: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0D8027">
            <w:pPr>
              <w:widowControl/>
              <w:spacing w:line="360" w:lineRule="exact"/>
              <w:jc w:val="center"/>
              <w:textAlignment w:val="center"/>
              <w:rPr>
                <w:rFonts w:ascii="仿宋_GB2312" w:hAnsi="宋体"/>
                <w:sz w:val="28"/>
                <w:szCs w:val="28"/>
              </w:rPr>
            </w:pPr>
            <w:r>
              <w:rPr>
                <w:rFonts w:ascii="仿宋_GB2312" w:hAnsi="宋体"/>
                <w:sz w:val="28"/>
                <w:szCs w:val="28"/>
              </w:rPr>
              <w:t>时效指标</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9C90E4">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年内完成</w:t>
            </w:r>
          </w:p>
        </w:tc>
        <w:tc>
          <w:tcPr>
            <w:tcW w:w="18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F4C959">
            <w:pPr>
              <w:widowControl/>
              <w:spacing w:line="360" w:lineRule="exact"/>
              <w:jc w:val="center"/>
              <w:textAlignment w:val="center"/>
              <w:rPr>
                <w:rFonts w:ascii="仿宋_GB2312" w:hAnsi="宋体" w:eastAsia="仿宋_GB2312" w:cs="宋体"/>
                <w:color w:val="000000"/>
                <w:sz w:val="32"/>
                <w:szCs w:val="32"/>
              </w:rPr>
            </w:pPr>
          </w:p>
        </w:tc>
        <w:tc>
          <w:tcPr>
            <w:tcW w:w="314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B7893B">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完成</w:t>
            </w:r>
          </w:p>
        </w:tc>
      </w:tr>
      <w:tr w14:paraId="412730BA">
        <w:tblPrEx>
          <w:tblCellMar>
            <w:top w:w="0" w:type="dxa"/>
            <w:left w:w="0" w:type="dxa"/>
            <w:bottom w:w="0" w:type="dxa"/>
            <w:right w:w="0" w:type="dxa"/>
          </w:tblCellMar>
        </w:tblPrEx>
        <w:trPr>
          <w:trHeight w:val="1042" w:hRule="atLeast"/>
          <w:jc w:val="center"/>
        </w:trPr>
        <w:tc>
          <w:tcPr>
            <w:tcW w:w="1008" w:type="dxa"/>
            <w:vMerge w:val="continue"/>
            <w:tcBorders>
              <w:left w:val="single" w:color="000000" w:sz="4" w:space="0"/>
              <w:right w:val="single" w:color="000000" w:sz="4" w:space="0"/>
            </w:tcBorders>
            <w:tcMar>
              <w:top w:w="15" w:type="dxa"/>
              <w:left w:w="15" w:type="dxa"/>
              <w:right w:w="15" w:type="dxa"/>
            </w:tcMar>
            <w:vAlign w:val="center"/>
          </w:tcPr>
          <w:p w14:paraId="7058564F">
            <w:pPr>
              <w:widowControl/>
              <w:spacing w:line="360" w:lineRule="exact"/>
              <w:jc w:val="center"/>
              <w:textAlignment w:val="center"/>
              <w:rPr>
                <w:rFonts w:ascii="仿宋_GB2312" w:hAnsi="宋体" w:eastAsia="仿宋_GB2312" w:cs="宋体"/>
                <w:color w:val="000000"/>
                <w:sz w:val="32"/>
                <w:szCs w:val="32"/>
              </w:rPr>
            </w:pP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7126E8">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效益指标</w:t>
            </w: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BE257C">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sz w:val="28"/>
                <w:szCs w:val="28"/>
              </w:rPr>
              <w:t>社会</w:t>
            </w:r>
            <w:r>
              <w:rPr>
                <w:rFonts w:ascii="仿宋_GB2312" w:hAnsi="宋体"/>
                <w:sz w:val="28"/>
                <w:szCs w:val="28"/>
              </w:rPr>
              <w:t>效益</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5A7A57">
            <w:pPr>
              <w:widowControl/>
              <w:spacing w:line="360" w:lineRule="exact"/>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宣传片充分能够展示本会工作成果，让更多人了解妇联在民族创建工作作出的成绩；20名患病妇女得到及时救助；评审出符合扶持标准的项目；十大案例有典型性，具有很好的宣传价值，能够营造良好的维护妇女儿童合法权益的社会氛围；觉姆得到免费检查和基本治疗。</w:t>
            </w:r>
          </w:p>
        </w:tc>
        <w:tc>
          <w:tcPr>
            <w:tcW w:w="18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21CF62">
            <w:pPr>
              <w:widowControl/>
              <w:spacing w:line="360" w:lineRule="exact"/>
              <w:jc w:val="center"/>
              <w:textAlignment w:val="center"/>
              <w:rPr>
                <w:rFonts w:ascii="仿宋_GB2312" w:hAnsi="宋体" w:eastAsia="仿宋_GB2312" w:cs="宋体"/>
                <w:color w:val="000000"/>
                <w:sz w:val="32"/>
                <w:szCs w:val="32"/>
              </w:rPr>
            </w:pPr>
          </w:p>
        </w:tc>
        <w:tc>
          <w:tcPr>
            <w:tcW w:w="314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58FB6F">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宣传片充分展示了本会工作成果，让更多人了解妇联在民族创建工作作出的成绩；20名患病妇女得到了及时的救助，感受到了“娘家”的温暖；评审出符合扶持标准的12个项目，能够带动更多妇女姐妹增收致富；十大案例有典型性，具有很好的宣传价值，切实营造了良好的维护妇女儿童合法权益的社会氛围，让更多的人关心关爱妇女儿童；壤塘县娜泽求宗修行点的觉姆得到了免费的健康检查和基本的治疗，真正感受到了社会的关爱。</w:t>
            </w:r>
          </w:p>
        </w:tc>
      </w:tr>
      <w:tr w14:paraId="118863FF">
        <w:tblPrEx>
          <w:tblCellMar>
            <w:top w:w="0" w:type="dxa"/>
            <w:left w:w="0" w:type="dxa"/>
            <w:bottom w:w="0" w:type="dxa"/>
            <w:right w:w="0" w:type="dxa"/>
          </w:tblCellMar>
        </w:tblPrEx>
        <w:trPr>
          <w:trHeight w:val="1050" w:hRule="atLeast"/>
          <w:jc w:val="center"/>
        </w:trPr>
        <w:tc>
          <w:tcPr>
            <w:tcW w:w="1008"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67E5E20C">
            <w:pPr>
              <w:widowControl/>
              <w:spacing w:line="360" w:lineRule="exact"/>
              <w:jc w:val="center"/>
              <w:textAlignment w:val="center"/>
              <w:rPr>
                <w:rFonts w:ascii="仿宋_GB2312" w:hAnsi="宋体" w:eastAsia="仿宋_GB2312" w:cs="宋体"/>
                <w:color w:val="000000"/>
                <w:sz w:val="32"/>
                <w:szCs w:val="32"/>
              </w:rPr>
            </w:pPr>
          </w:p>
        </w:tc>
        <w:tc>
          <w:tcPr>
            <w:tcW w:w="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926A99">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满意度指标</w:t>
            </w: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EBF7CE">
            <w:pPr>
              <w:widowControl/>
              <w:spacing w:line="360" w:lineRule="exact"/>
              <w:jc w:val="center"/>
              <w:textAlignment w:val="center"/>
              <w:rPr>
                <w:rFonts w:ascii="仿宋_GB2312" w:hAnsi="宋体" w:eastAsia="仿宋_GB2312" w:cs="宋体"/>
                <w:color w:val="000000"/>
                <w:sz w:val="32"/>
                <w:szCs w:val="32"/>
              </w:rPr>
            </w:pPr>
            <w:r>
              <w:rPr>
                <w:rFonts w:ascii="仿宋_GB2312" w:hAnsi="宋体"/>
                <w:sz w:val="28"/>
                <w:szCs w:val="28"/>
              </w:rPr>
              <w:t>满意度</w:t>
            </w:r>
          </w:p>
        </w:tc>
        <w:tc>
          <w:tcPr>
            <w:tcW w:w="29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9F9BD9">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宣传片效果好，单位干部职工满意；20名患病妇女满意；接受义诊的觉姆姐妹满意。</w:t>
            </w:r>
          </w:p>
        </w:tc>
        <w:tc>
          <w:tcPr>
            <w:tcW w:w="18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E7D389">
            <w:pPr>
              <w:widowControl/>
              <w:spacing w:line="360" w:lineRule="exact"/>
              <w:jc w:val="center"/>
              <w:textAlignment w:val="center"/>
              <w:rPr>
                <w:rFonts w:ascii="仿宋_GB2312" w:hAnsi="宋体" w:eastAsia="仿宋_GB2312" w:cs="宋体"/>
                <w:color w:val="000000"/>
                <w:sz w:val="32"/>
                <w:szCs w:val="32"/>
              </w:rPr>
            </w:pPr>
          </w:p>
        </w:tc>
        <w:tc>
          <w:tcPr>
            <w:tcW w:w="314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C309D7">
            <w:pPr>
              <w:widowControl/>
              <w:spacing w:line="3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宣传片效果好，单位干部职工满意度100%；20名患病妇女满意；接受免费义诊的觉姆姐妹满意。</w:t>
            </w:r>
          </w:p>
        </w:tc>
      </w:tr>
    </w:tbl>
    <w:p w14:paraId="65EF5E21">
      <w:pPr>
        <w:spacing w:line="360" w:lineRule="exact"/>
        <w:rPr>
          <w:rFonts w:ascii="仿宋_GB2312" w:eastAsia="仿宋_GB2312"/>
          <w:sz w:val="32"/>
          <w:szCs w:val="32"/>
        </w:rPr>
      </w:pPr>
    </w:p>
    <w:tbl>
      <w:tblPr>
        <w:tblStyle w:val="14"/>
        <w:tblpPr w:leftFromText="180" w:rightFromText="180" w:horzAnchor="margin" w:tblpXSpec="center" w:tblpY="-1374"/>
        <w:tblW w:w="10751" w:type="dxa"/>
        <w:tblInd w:w="0" w:type="dxa"/>
        <w:tblLayout w:type="fixed"/>
        <w:tblCellMar>
          <w:top w:w="0" w:type="dxa"/>
          <w:left w:w="108" w:type="dxa"/>
          <w:bottom w:w="0" w:type="dxa"/>
          <w:right w:w="108" w:type="dxa"/>
        </w:tblCellMar>
      </w:tblPr>
      <w:tblGrid>
        <w:gridCol w:w="210"/>
        <w:gridCol w:w="465"/>
        <w:gridCol w:w="210"/>
        <w:gridCol w:w="261"/>
        <w:gridCol w:w="663"/>
        <w:gridCol w:w="69"/>
        <w:gridCol w:w="782"/>
        <w:gridCol w:w="1216"/>
        <w:gridCol w:w="1477"/>
        <w:gridCol w:w="210"/>
        <w:gridCol w:w="611"/>
        <w:gridCol w:w="456"/>
        <w:gridCol w:w="1133"/>
        <w:gridCol w:w="842"/>
        <w:gridCol w:w="927"/>
        <w:gridCol w:w="425"/>
        <w:gridCol w:w="98"/>
        <w:gridCol w:w="486"/>
        <w:gridCol w:w="210"/>
      </w:tblGrid>
      <w:tr w14:paraId="61929B50">
        <w:tblPrEx>
          <w:tblCellMar>
            <w:top w:w="0" w:type="dxa"/>
            <w:left w:w="108" w:type="dxa"/>
            <w:bottom w:w="0" w:type="dxa"/>
            <w:right w:w="108" w:type="dxa"/>
          </w:tblCellMar>
        </w:tblPrEx>
        <w:trPr>
          <w:gridBefore w:val="1"/>
          <w:gridAfter w:val="3"/>
          <w:wBefore w:w="210" w:type="dxa"/>
          <w:wAfter w:w="794" w:type="dxa"/>
          <w:trHeight w:val="480" w:hRule="atLeast"/>
        </w:trPr>
        <w:tc>
          <w:tcPr>
            <w:tcW w:w="9747" w:type="dxa"/>
            <w:gridSpan w:val="15"/>
            <w:tcBorders>
              <w:top w:val="nil"/>
              <w:left w:val="nil"/>
              <w:bottom w:val="nil"/>
              <w:right w:val="nil"/>
            </w:tcBorders>
            <w:shd w:val="clear" w:color="auto" w:fill="auto"/>
            <w:vAlign w:val="center"/>
          </w:tcPr>
          <w:p w14:paraId="055AE00F">
            <w:pPr>
              <w:widowControl/>
              <w:jc w:val="center"/>
              <w:rPr>
                <w:rFonts w:hint="eastAsia" w:ascii="宋体" w:hAnsi="宋体" w:cs="宋体"/>
                <w:b/>
                <w:bCs/>
                <w:kern w:val="0"/>
                <w:sz w:val="32"/>
                <w:szCs w:val="32"/>
              </w:rPr>
            </w:pPr>
          </w:p>
          <w:p w14:paraId="3F4F6F7B">
            <w:pPr>
              <w:widowControl/>
              <w:rPr>
                <w:rFonts w:hint="eastAsia" w:ascii="宋体" w:hAnsi="宋体" w:cs="宋体"/>
                <w:b/>
                <w:bCs/>
                <w:kern w:val="0"/>
                <w:sz w:val="32"/>
                <w:szCs w:val="32"/>
              </w:rPr>
            </w:pPr>
          </w:p>
          <w:p w14:paraId="07C1C406">
            <w:pPr>
              <w:widowControl/>
              <w:jc w:val="center"/>
              <w:rPr>
                <w:rFonts w:ascii="宋体" w:hAnsi="宋体" w:cs="宋体"/>
                <w:b/>
                <w:bCs/>
                <w:kern w:val="0"/>
                <w:sz w:val="32"/>
                <w:szCs w:val="32"/>
              </w:rPr>
            </w:pPr>
            <w:r>
              <w:rPr>
                <w:rFonts w:hint="eastAsia" w:ascii="宋体" w:hAnsi="宋体" w:cs="宋体"/>
                <w:b/>
                <w:bCs/>
                <w:kern w:val="0"/>
                <w:sz w:val="32"/>
                <w:szCs w:val="32"/>
              </w:rPr>
              <w:t>项目支出绩效自评表</w:t>
            </w:r>
          </w:p>
        </w:tc>
      </w:tr>
      <w:tr w14:paraId="3CFCC87E">
        <w:tblPrEx>
          <w:tblCellMar>
            <w:top w:w="0" w:type="dxa"/>
            <w:left w:w="108" w:type="dxa"/>
            <w:bottom w:w="0" w:type="dxa"/>
            <w:right w:w="108" w:type="dxa"/>
          </w:tblCellMar>
        </w:tblPrEx>
        <w:trPr>
          <w:gridBefore w:val="1"/>
          <w:gridAfter w:val="3"/>
          <w:wBefore w:w="210" w:type="dxa"/>
          <w:wAfter w:w="794" w:type="dxa"/>
          <w:trHeight w:val="285" w:hRule="atLeast"/>
        </w:trPr>
        <w:tc>
          <w:tcPr>
            <w:tcW w:w="9747" w:type="dxa"/>
            <w:gridSpan w:val="15"/>
            <w:tcBorders>
              <w:top w:val="nil"/>
              <w:left w:val="nil"/>
              <w:bottom w:val="nil"/>
              <w:right w:val="nil"/>
            </w:tcBorders>
            <w:shd w:val="clear" w:color="auto" w:fill="auto"/>
            <w:vAlign w:val="center"/>
          </w:tcPr>
          <w:p w14:paraId="5F6919E6">
            <w:pPr>
              <w:widowControl/>
              <w:jc w:val="center"/>
              <w:rPr>
                <w:rFonts w:ascii="宋体" w:hAnsi="宋体" w:cs="宋体"/>
                <w:kern w:val="0"/>
                <w:sz w:val="24"/>
              </w:rPr>
            </w:pPr>
            <w:r>
              <w:rPr>
                <w:rFonts w:hint="eastAsia" w:ascii="宋体" w:hAnsi="宋体" w:cs="宋体"/>
                <w:kern w:val="0"/>
                <w:sz w:val="24"/>
              </w:rPr>
              <w:t>（</w:t>
            </w:r>
            <w:r>
              <w:rPr>
                <w:kern w:val="0"/>
                <w:sz w:val="24"/>
              </w:rPr>
              <w:t xml:space="preserve"> 2019 </w:t>
            </w:r>
            <w:r>
              <w:rPr>
                <w:rFonts w:hint="eastAsia" w:ascii="宋体" w:hAnsi="宋体" w:cs="宋体"/>
                <w:kern w:val="0"/>
                <w:sz w:val="24"/>
              </w:rPr>
              <w:t>年度）</w:t>
            </w:r>
          </w:p>
        </w:tc>
      </w:tr>
      <w:tr w14:paraId="2BC8D0FF">
        <w:tblPrEx>
          <w:tblCellMar>
            <w:top w:w="0" w:type="dxa"/>
            <w:left w:w="108" w:type="dxa"/>
            <w:bottom w:w="0" w:type="dxa"/>
            <w:right w:w="108" w:type="dxa"/>
          </w:tblCellMar>
        </w:tblPrEx>
        <w:trPr>
          <w:gridBefore w:val="1"/>
          <w:wBefore w:w="210" w:type="dxa"/>
          <w:trHeight w:val="180" w:hRule="atLeast"/>
        </w:trPr>
        <w:tc>
          <w:tcPr>
            <w:tcW w:w="936" w:type="dxa"/>
            <w:gridSpan w:val="3"/>
            <w:tcBorders>
              <w:top w:val="nil"/>
              <w:left w:val="nil"/>
              <w:bottom w:val="single" w:color="auto" w:sz="4" w:space="0"/>
              <w:right w:val="nil"/>
            </w:tcBorders>
            <w:shd w:val="clear" w:color="auto" w:fill="auto"/>
            <w:noWrap/>
            <w:vAlign w:val="center"/>
          </w:tcPr>
          <w:p w14:paraId="32DDFA9E">
            <w:pPr>
              <w:widowControl/>
              <w:jc w:val="left"/>
              <w:rPr>
                <w:rFonts w:ascii="宋体" w:hAnsi="宋体" w:cs="宋体"/>
                <w:kern w:val="0"/>
                <w:sz w:val="24"/>
              </w:rPr>
            </w:pPr>
            <w:r>
              <w:rPr>
                <w:rFonts w:hint="eastAsia" w:ascii="宋体" w:hAnsi="宋体" w:cs="宋体"/>
                <w:kern w:val="0"/>
                <w:sz w:val="24"/>
              </w:rPr>
              <w:t>　</w:t>
            </w:r>
          </w:p>
        </w:tc>
        <w:tc>
          <w:tcPr>
            <w:tcW w:w="732" w:type="dxa"/>
            <w:gridSpan w:val="2"/>
            <w:tcBorders>
              <w:top w:val="nil"/>
              <w:left w:val="nil"/>
              <w:bottom w:val="single" w:color="auto" w:sz="4" w:space="0"/>
              <w:right w:val="nil"/>
            </w:tcBorders>
            <w:shd w:val="clear" w:color="auto" w:fill="auto"/>
            <w:vAlign w:val="center"/>
          </w:tcPr>
          <w:p w14:paraId="2CF1191B">
            <w:pPr>
              <w:widowControl/>
              <w:jc w:val="left"/>
              <w:rPr>
                <w:rFonts w:ascii="宋体" w:hAnsi="宋体" w:cs="宋体"/>
                <w:kern w:val="0"/>
                <w:sz w:val="24"/>
              </w:rPr>
            </w:pPr>
            <w:r>
              <w:rPr>
                <w:rFonts w:hint="eastAsia" w:ascii="宋体" w:hAnsi="宋体" w:cs="宋体"/>
                <w:kern w:val="0"/>
                <w:sz w:val="24"/>
              </w:rPr>
              <w:t>　</w:t>
            </w:r>
          </w:p>
        </w:tc>
        <w:tc>
          <w:tcPr>
            <w:tcW w:w="1998" w:type="dxa"/>
            <w:gridSpan w:val="2"/>
            <w:tcBorders>
              <w:top w:val="nil"/>
              <w:left w:val="nil"/>
              <w:bottom w:val="nil"/>
              <w:right w:val="nil"/>
            </w:tcBorders>
            <w:shd w:val="clear" w:color="auto" w:fill="auto"/>
            <w:vAlign w:val="center"/>
          </w:tcPr>
          <w:p w14:paraId="61A92A86">
            <w:pPr>
              <w:widowControl/>
              <w:jc w:val="left"/>
              <w:rPr>
                <w:rFonts w:ascii="宋体" w:hAnsi="宋体" w:cs="宋体"/>
                <w:kern w:val="0"/>
                <w:sz w:val="24"/>
              </w:rPr>
            </w:pPr>
          </w:p>
        </w:tc>
        <w:tc>
          <w:tcPr>
            <w:tcW w:w="2298" w:type="dxa"/>
            <w:gridSpan w:val="3"/>
            <w:tcBorders>
              <w:top w:val="nil"/>
              <w:left w:val="nil"/>
              <w:bottom w:val="nil"/>
              <w:right w:val="nil"/>
            </w:tcBorders>
            <w:shd w:val="clear" w:color="auto" w:fill="auto"/>
            <w:vAlign w:val="center"/>
          </w:tcPr>
          <w:p w14:paraId="44BC6CEC">
            <w:pPr>
              <w:widowControl/>
              <w:jc w:val="left"/>
              <w:rPr>
                <w:rFonts w:ascii="宋体" w:hAnsi="宋体" w:cs="宋体"/>
                <w:kern w:val="0"/>
                <w:sz w:val="24"/>
              </w:rPr>
            </w:pPr>
          </w:p>
        </w:tc>
        <w:tc>
          <w:tcPr>
            <w:tcW w:w="2431" w:type="dxa"/>
            <w:gridSpan w:val="3"/>
            <w:tcBorders>
              <w:top w:val="nil"/>
              <w:left w:val="nil"/>
              <w:bottom w:val="nil"/>
              <w:right w:val="nil"/>
            </w:tcBorders>
            <w:shd w:val="clear" w:color="auto" w:fill="auto"/>
            <w:vAlign w:val="center"/>
          </w:tcPr>
          <w:p w14:paraId="22FF9307">
            <w:pPr>
              <w:widowControl/>
              <w:jc w:val="left"/>
              <w:rPr>
                <w:rFonts w:ascii="宋体" w:hAnsi="宋体" w:cs="宋体"/>
                <w:kern w:val="0"/>
                <w:sz w:val="24"/>
              </w:rPr>
            </w:pPr>
          </w:p>
        </w:tc>
        <w:tc>
          <w:tcPr>
            <w:tcW w:w="1450" w:type="dxa"/>
            <w:gridSpan w:val="3"/>
            <w:tcBorders>
              <w:top w:val="nil"/>
              <w:left w:val="nil"/>
              <w:bottom w:val="nil"/>
              <w:right w:val="nil"/>
            </w:tcBorders>
            <w:shd w:val="clear" w:color="auto" w:fill="auto"/>
            <w:vAlign w:val="center"/>
          </w:tcPr>
          <w:p w14:paraId="7F31D7BA">
            <w:pPr>
              <w:widowControl/>
              <w:jc w:val="left"/>
              <w:rPr>
                <w:rFonts w:ascii="宋体" w:hAnsi="宋体" w:cs="宋体"/>
                <w:kern w:val="0"/>
                <w:sz w:val="24"/>
              </w:rPr>
            </w:pPr>
          </w:p>
        </w:tc>
        <w:tc>
          <w:tcPr>
            <w:tcW w:w="696" w:type="dxa"/>
            <w:gridSpan w:val="2"/>
            <w:tcBorders>
              <w:top w:val="nil"/>
              <w:left w:val="nil"/>
              <w:bottom w:val="nil"/>
              <w:right w:val="nil"/>
            </w:tcBorders>
            <w:shd w:val="clear" w:color="auto" w:fill="auto"/>
            <w:vAlign w:val="center"/>
          </w:tcPr>
          <w:p w14:paraId="1A0A3B18">
            <w:pPr>
              <w:widowControl/>
              <w:jc w:val="left"/>
              <w:rPr>
                <w:rFonts w:ascii="宋体" w:hAnsi="宋体" w:cs="宋体"/>
                <w:kern w:val="0"/>
                <w:sz w:val="24"/>
              </w:rPr>
            </w:pPr>
          </w:p>
        </w:tc>
      </w:tr>
      <w:tr w14:paraId="2642F51D">
        <w:tblPrEx>
          <w:tblCellMar>
            <w:top w:w="0" w:type="dxa"/>
            <w:left w:w="108" w:type="dxa"/>
            <w:bottom w:w="0" w:type="dxa"/>
            <w:right w:w="108" w:type="dxa"/>
          </w:tblCellMar>
        </w:tblPrEx>
        <w:trPr>
          <w:gridBefore w:val="1"/>
          <w:wBefore w:w="210" w:type="dxa"/>
          <w:trHeight w:val="439" w:hRule="atLeast"/>
        </w:trPr>
        <w:tc>
          <w:tcPr>
            <w:tcW w:w="166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650B233">
            <w:pPr>
              <w:widowControl/>
              <w:jc w:val="center"/>
              <w:rPr>
                <w:rFonts w:ascii="宋体" w:hAnsi="宋体" w:cs="宋体"/>
                <w:kern w:val="0"/>
                <w:sz w:val="24"/>
              </w:rPr>
            </w:pPr>
            <w:r>
              <w:rPr>
                <w:rFonts w:hint="eastAsia" w:ascii="宋体" w:hAnsi="宋体" w:cs="宋体"/>
                <w:kern w:val="0"/>
                <w:sz w:val="24"/>
              </w:rPr>
              <w:t>项目名称</w:t>
            </w:r>
          </w:p>
        </w:tc>
        <w:tc>
          <w:tcPr>
            <w:tcW w:w="8873" w:type="dxa"/>
            <w:gridSpan w:val="13"/>
            <w:tcBorders>
              <w:top w:val="single" w:color="auto" w:sz="4" w:space="0"/>
              <w:left w:val="nil"/>
              <w:bottom w:val="single" w:color="auto" w:sz="4" w:space="0"/>
              <w:right w:val="single" w:color="auto" w:sz="4" w:space="0"/>
            </w:tcBorders>
            <w:shd w:val="clear" w:color="auto" w:fill="auto"/>
            <w:vAlign w:val="center"/>
          </w:tcPr>
          <w:p w14:paraId="4C017216">
            <w:pPr>
              <w:widowControl/>
              <w:jc w:val="center"/>
              <w:rPr>
                <w:rFonts w:ascii="宋体" w:hAnsi="宋体" w:cs="宋体"/>
                <w:kern w:val="0"/>
                <w:sz w:val="24"/>
              </w:rPr>
            </w:pPr>
            <w:r>
              <w:rPr>
                <w:rFonts w:hint="eastAsia" w:ascii="宋体" w:hAnsi="宋体" w:cs="宋体"/>
                <w:kern w:val="0"/>
                <w:sz w:val="24"/>
              </w:rPr>
              <w:t>妇女儿童事业发展专项资金</w:t>
            </w:r>
          </w:p>
        </w:tc>
      </w:tr>
      <w:tr w14:paraId="73A1E0D0">
        <w:tblPrEx>
          <w:tblCellMar>
            <w:top w:w="0" w:type="dxa"/>
            <w:left w:w="108" w:type="dxa"/>
            <w:bottom w:w="0" w:type="dxa"/>
            <w:right w:w="108" w:type="dxa"/>
          </w:tblCellMar>
        </w:tblPrEx>
        <w:trPr>
          <w:gridBefore w:val="1"/>
          <w:wBefore w:w="210" w:type="dxa"/>
          <w:trHeight w:val="439" w:hRule="atLeast"/>
        </w:trPr>
        <w:tc>
          <w:tcPr>
            <w:tcW w:w="1668" w:type="dxa"/>
            <w:gridSpan w:val="5"/>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DFD2790">
            <w:pPr>
              <w:widowControl/>
              <w:jc w:val="center"/>
              <w:rPr>
                <w:rFonts w:ascii="宋体" w:hAnsi="宋体" w:cs="宋体"/>
                <w:kern w:val="0"/>
                <w:sz w:val="24"/>
              </w:rPr>
            </w:pPr>
            <w:r>
              <w:rPr>
                <w:rFonts w:hint="eastAsia" w:ascii="宋体" w:hAnsi="宋体" w:cs="宋体"/>
                <w:kern w:val="0"/>
                <w:sz w:val="24"/>
              </w:rPr>
              <w:t>项目预算</w:t>
            </w:r>
            <w:r>
              <w:rPr>
                <w:rFonts w:hint="eastAsia" w:ascii="宋体" w:hAnsi="宋体" w:cs="宋体"/>
                <w:kern w:val="0"/>
                <w:sz w:val="24"/>
              </w:rPr>
              <w:br w:type="textWrapping"/>
            </w:r>
            <w:r>
              <w:rPr>
                <w:rFonts w:hint="eastAsia" w:ascii="宋体" w:hAnsi="宋体" w:cs="宋体"/>
                <w:kern w:val="0"/>
                <w:sz w:val="24"/>
              </w:rPr>
              <w:t>执行情况</w:t>
            </w:r>
            <w:r>
              <w:rPr>
                <w:rFonts w:hint="eastAsia" w:ascii="宋体" w:hAnsi="宋体" w:cs="宋体"/>
                <w:kern w:val="0"/>
                <w:sz w:val="24"/>
              </w:rPr>
              <w:br w:type="textWrapping"/>
            </w:r>
            <w:r>
              <w:rPr>
                <w:rFonts w:hint="eastAsia" w:ascii="宋体" w:hAnsi="宋体" w:cs="宋体"/>
                <w:kern w:val="0"/>
                <w:sz w:val="24"/>
              </w:rPr>
              <w:t>（万元）</w:t>
            </w:r>
          </w:p>
        </w:tc>
        <w:tc>
          <w:tcPr>
            <w:tcW w:w="3685" w:type="dxa"/>
            <w:gridSpan w:val="4"/>
            <w:tcBorders>
              <w:top w:val="single" w:color="auto" w:sz="4" w:space="0"/>
              <w:left w:val="nil"/>
              <w:bottom w:val="single" w:color="auto" w:sz="4" w:space="0"/>
              <w:right w:val="single" w:color="auto" w:sz="4" w:space="0"/>
            </w:tcBorders>
            <w:shd w:val="clear" w:color="auto" w:fill="auto"/>
            <w:vAlign w:val="center"/>
          </w:tcPr>
          <w:p w14:paraId="4B0024B2">
            <w:pPr>
              <w:widowControl/>
              <w:jc w:val="left"/>
              <w:rPr>
                <w:rFonts w:ascii="宋体" w:hAnsi="宋体" w:cs="宋体"/>
                <w:kern w:val="0"/>
                <w:sz w:val="24"/>
              </w:rPr>
            </w:pPr>
            <w:r>
              <w:rPr>
                <w:rFonts w:hint="eastAsia" w:ascii="宋体" w:hAnsi="宋体" w:cs="宋体"/>
                <w:kern w:val="0"/>
                <w:sz w:val="24"/>
              </w:rPr>
              <w:t xml:space="preserve"> 预算数：</w:t>
            </w:r>
          </w:p>
        </w:tc>
        <w:tc>
          <w:tcPr>
            <w:tcW w:w="1067" w:type="dxa"/>
            <w:gridSpan w:val="2"/>
            <w:tcBorders>
              <w:top w:val="nil"/>
              <w:left w:val="nil"/>
              <w:bottom w:val="single" w:color="auto" w:sz="4" w:space="0"/>
              <w:right w:val="single" w:color="auto" w:sz="4" w:space="0"/>
            </w:tcBorders>
            <w:shd w:val="clear" w:color="auto" w:fill="auto"/>
            <w:vAlign w:val="center"/>
          </w:tcPr>
          <w:p w14:paraId="5B052753">
            <w:pPr>
              <w:widowControl/>
              <w:jc w:val="left"/>
              <w:rPr>
                <w:rFonts w:ascii="宋体" w:hAnsi="宋体" w:cs="宋体"/>
                <w:kern w:val="0"/>
                <w:sz w:val="24"/>
              </w:rPr>
            </w:pPr>
            <w:r>
              <w:rPr>
                <w:rFonts w:hint="eastAsia" w:ascii="宋体" w:hAnsi="宋体" w:cs="宋体"/>
                <w:kern w:val="0"/>
                <w:sz w:val="24"/>
              </w:rPr>
              <w:t>90万元</w:t>
            </w:r>
          </w:p>
        </w:tc>
        <w:tc>
          <w:tcPr>
            <w:tcW w:w="2902" w:type="dxa"/>
            <w:gridSpan w:val="3"/>
            <w:tcBorders>
              <w:top w:val="nil"/>
              <w:left w:val="nil"/>
              <w:bottom w:val="single" w:color="auto" w:sz="4" w:space="0"/>
              <w:right w:val="single" w:color="auto" w:sz="4" w:space="0"/>
            </w:tcBorders>
            <w:shd w:val="clear" w:color="auto" w:fill="auto"/>
            <w:vAlign w:val="center"/>
          </w:tcPr>
          <w:p w14:paraId="71374F37">
            <w:pPr>
              <w:widowControl/>
              <w:jc w:val="left"/>
              <w:rPr>
                <w:rFonts w:ascii="宋体" w:hAnsi="宋体" w:cs="宋体"/>
                <w:kern w:val="0"/>
                <w:sz w:val="24"/>
              </w:rPr>
            </w:pPr>
            <w:r>
              <w:rPr>
                <w:rFonts w:hint="eastAsia" w:ascii="宋体" w:hAnsi="宋体" w:cs="宋体"/>
                <w:kern w:val="0"/>
                <w:sz w:val="24"/>
              </w:rPr>
              <w:t xml:space="preserve"> 执行数：</w:t>
            </w:r>
          </w:p>
        </w:tc>
        <w:tc>
          <w:tcPr>
            <w:tcW w:w="1219" w:type="dxa"/>
            <w:gridSpan w:val="4"/>
            <w:tcBorders>
              <w:top w:val="nil"/>
              <w:left w:val="nil"/>
              <w:bottom w:val="single" w:color="auto" w:sz="4" w:space="0"/>
              <w:right w:val="single" w:color="auto" w:sz="4" w:space="0"/>
            </w:tcBorders>
            <w:shd w:val="clear" w:color="auto" w:fill="auto"/>
            <w:vAlign w:val="center"/>
          </w:tcPr>
          <w:p w14:paraId="76AF4FD7">
            <w:pPr>
              <w:widowControl/>
              <w:jc w:val="right"/>
              <w:rPr>
                <w:rFonts w:ascii="宋体" w:hAnsi="宋体" w:cs="宋体"/>
                <w:kern w:val="0"/>
                <w:sz w:val="24"/>
              </w:rPr>
            </w:pPr>
            <w:r>
              <w:rPr>
                <w:rFonts w:hint="eastAsia" w:ascii="宋体" w:hAnsi="宋体" w:cs="宋体"/>
                <w:kern w:val="0"/>
                <w:sz w:val="24"/>
              </w:rPr>
              <w:t>90万元</w:t>
            </w:r>
          </w:p>
        </w:tc>
      </w:tr>
      <w:tr w14:paraId="5058EA39">
        <w:tblPrEx>
          <w:tblCellMar>
            <w:top w:w="0" w:type="dxa"/>
            <w:left w:w="108" w:type="dxa"/>
            <w:bottom w:w="0" w:type="dxa"/>
            <w:right w:w="108" w:type="dxa"/>
          </w:tblCellMar>
        </w:tblPrEx>
        <w:trPr>
          <w:gridBefore w:val="1"/>
          <w:wBefore w:w="210" w:type="dxa"/>
          <w:trHeight w:val="439" w:hRule="atLeast"/>
        </w:trPr>
        <w:tc>
          <w:tcPr>
            <w:tcW w:w="1668" w:type="dxa"/>
            <w:gridSpan w:val="5"/>
            <w:vMerge w:val="continue"/>
            <w:tcBorders>
              <w:top w:val="single" w:color="auto" w:sz="4" w:space="0"/>
              <w:left w:val="single" w:color="auto" w:sz="4" w:space="0"/>
              <w:bottom w:val="single" w:color="auto" w:sz="4" w:space="0"/>
              <w:right w:val="single" w:color="auto" w:sz="4" w:space="0"/>
            </w:tcBorders>
            <w:vAlign w:val="center"/>
          </w:tcPr>
          <w:p w14:paraId="1A5B6ABF">
            <w:pPr>
              <w:widowControl/>
              <w:jc w:val="left"/>
              <w:rPr>
                <w:rFonts w:ascii="宋体" w:hAnsi="宋体" w:cs="宋体"/>
                <w:kern w:val="0"/>
                <w:sz w:val="24"/>
              </w:rPr>
            </w:pPr>
          </w:p>
        </w:tc>
        <w:tc>
          <w:tcPr>
            <w:tcW w:w="3685" w:type="dxa"/>
            <w:gridSpan w:val="4"/>
            <w:tcBorders>
              <w:top w:val="single" w:color="auto" w:sz="4" w:space="0"/>
              <w:left w:val="nil"/>
              <w:bottom w:val="single" w:color="auto" w:sz="4" w:space="0"/>
              <w:right w:val="single" w:color="auto" w:sz="4" w:space="0"/>
            </w:tcBorders>
            <w:shd w:val="clear" w:color="auto" w:fill="auto"/>
            <w:vAlign w:val="center"/>
          </w:tcPr>
          <w:p w14:paraId="3427B3B7">
            <w:pPr>
              <w:widowControl/>
              <w:jc w:val="left"/>
              <w:rPr>
                <w:rFonts w:ascii="宋体" w:hAnsi="宋体" w:cs="宋体"/>
                <w:kern w:val="0"/>
                <w:sz w:val="24"/>
              </w:rPr>
            </w:pPr>
            <w:r>
              <w:rPr>
                <w:rFonts w:hint="eastAsia" w:ascii="宋体" w:hAnsi="宋体" w:cs="宋体"/>
                <w:kern w:val="0"/>
                <w:sz w:val="24"/>
              </w:rPr>
              <w:t xml:space="preserve">       其中：财政拨款</w:t>
            </w:r>
          </w:p>
        </w:tc>
        <w:tc>
          <w:tcPr>
            <w:tcW w:w="1067" w:type="dxa"/>
            <w:gridSpan w:val="2"/>
            <w:tcBorders>
              <w:top w:val="nil"/>
              <w:left w:val="nil"/>
              <w:bottom w:val="single" w:color="auto" w:sz="4" w:space="0"/>
              <w:right w:val="single" w:color="auto" w:sz="4" w:space="0"/>
            </w:tcBorders>
            <w:shd w:val="clear" w:color="auto" w:fill="auto"/>
            <w:vAlign w:val="center"/>
          </w:tcPr>
          <w:p w14:paraId="69603129">
            <w:pPr>
              <w:widowControl/>
              <w:jc w:val="left"/>
              <w:rPr>
                <w:rFonts w:ascii="宋体" w:hAnsi="宋体" w:cs="宋体"/>
                <w:kern w:val="0"/>
                <w:sz w:val="24"/>
              </w:rPr>
            </w:pPr>
            <w:r>
              <w:rPr>
                <w:rFonts w:hint="eastAsia" w:ascii="宋体" w:hAnsi="宋体" w:cs="宋体"/>
                <w:kern w:val="0"/>
                <w:sz w:val="24"/>
              </w:rPr>
              <w:t>90万元</w:t>
            </w:r>
          </w:p>
        </w:tc>
        <w:tc>
          <w:tcPr>
            <w:tcW w:w="2902" w:type="dxa"/>
            <w:gridSpan w:val="3"/>
            <w:tcBorders>
              <w:top w:val="nil"/>
              <w:left w:val="nil"/>
              <w:bottom w:val="single" w:color="auto" w:sz="4" w:space="0"/>
              <w:right w:val="single" w:color="auto" w:sz="4" w:space="0"/>
            </w:tcBorders>
            <w:shd w:val="clear" w:color="auto" w:fill="auto"/>
            <w:vAlign w:val="center"/>
          </w:tcPr>
          <w:p w14:paraId="17271B7A">
            <w:pPr>
              <w:widowControl/>
              <w:jc w:val="left"/>
              <w:rPr>
                <w:rFonts w:ascii="宋体" w:hAnsi="宋体" w:cs="宋体"/>
                <w:kern w:val="0"/>
                <w:sz w:val="24"/>
              </w:rPr>
            </w:pPr>
            <w:r>
              <w:rPr>
                <w:rFonts w:hint="eastAsia" w:ascii="宋体" w:hAnsi="宋体" w:cs="宋体"/>
                <w:kern w:val="0"/>
                <w:sz w:val="24"/>
              </w:rPr>
              <w:t xml:space="preserve"> 其中：财政拨款</w:t>
            </w:r>
          </w:p>
        </w:tc>
        <w:tc>
          <w:tcPr>
            <w:tcW w:w="1219" w:type="dxa"/>
            <w:gridSpan w:val="4"/>
            <w:tcBorders>
              <w:top w:val="nil"/>
              <w:left w:val="nil"/>
              <w:bottom w:val="single" w:color="auto" w:sz="4" w:space="0"/>
              <w:right w:val="single" w:color="auto" w:sz="4" w:space="0"/>
            </w:tcBorders>
            <w:shd w:val="clear" w:color="auto" w:fill="auto"/>
            <w:vAlign w:val="center"/>
          </w:tcPr>
          <w:p w14:paraId="21024A52">
            <w:pPr>
              <w:widowControl/>
              <w:jc w:val="right"/>
              <w:rPr>
                <w:rFonts w:ascii="宋体" w:hAnsi="宋体" w:cs="宋体"/>
                <w:kern w:val="0"/>
                <w:sz w:val="24"/>
              </w:rPr>
            </w:pPr>
            <w:r>
              <w:rPr>
                <w:rFonts w:hint="eastAsia" w:ascii="宋体" w:hAnsi="宋体" w:cs="宋体"/>
                <w:kern w:val="0"/>
                <w:sz w:val="24"/>
              </w:rPr>
              <w:t>90万元</w:t>
            </w:r>
          </w:p>
        </w:tc>
      </w:tr>
      <w:tr w14:paraId="41D4C585">
        <w:tblPrEx>
          <w:tblCellMar>
            <w:top w:w="0" w:type="dxa"/>
            <w:left w:w="108" w:type="dxa"/>
            <w:bottom w:w="0" w:type="dxa"/>
            <w:right w:w="108" w:type="dxa"/>
          </w:tblCellMar>
        </w:tblPrEx>
        <w:trPr>
          <w:gridBefore w:val="1"/>
          <w:wBefore w:w="210" w:type="dxa"/>
          <w:trHeight w:val="439" w:hRule="atLeast"/>
        </w:trPr>
        <w:tc>
          <w:tcPr>
            <w:tcW w:w="1668" w:type="dxa"/>
            <w:gridSpan w:val="5"/>
            <w:vMerge w:val="continue"/>
            <w:tcBorders>
              <w:top w:val="single" w:color="auto" w:sz="4" w:space="0"/>
              <w:left w:val="single" w:color="auto" w:sz="4" w:space="0"/>
              <w:bottom w:val="single" w:color="auto" w:sz="4" w:space="0"/>
              <w:right w:val="single" w:color="auto" w:sz="4" w:space="0"/>
            </w:tcBorders>
            <w:vAlign w:val="center"/>
          </w:tcPr>
          <w:p w14:paraId="72A97F6A">
            <w:pPr>
              <w:widowControl/>
              <w:jc w:val="left"/>
              <w:rPr>
                <w:rFonts w:ascii="宋体" w:hAnsi="宋体" w:cs="宋体"/>
                <w:kern w:val="0"/>
                <w:sz w:val="24"/>
              </w:rPr>
            </w:pPr>
          </w:p>
        </w:tc>
        <w:tc>
          <w:tcPr>
            <w:tcW w:w="3685" w:type="dxa"/>
            <w:gridSpan w:val="4"/>
            <w:tcBorders>
              <w:top w:val="single" w:color="auto" w:sz="4" w:space="0"/>
              <w:left w:val="nil"/>
              <w:bottom w:val="single" w:color="auto" w:sz="4" w:space="0"/>
              <w:right w:val="single" w:color="auto" w:sz="4" w:space="0"/>
            </w:tcBorders>
            <w:shd w:val="clear" w:color="auto" w:fill="auto"/>
            <w:vAlign w:val="center"/>
          </w:tcPr>
          <w:p w14:paraId="3F54A3E2">
            <w:pPr>
              <w:widowControl/>
              <w:jc w:val="left"/>
              <w:rPr>
                <w:rFonts w:ascii="宋体" w:hAnsi="宋体" w:cs="宋体"/>
                <w:kern w:val="0"/>
                <w:sz w:val="24"/>
              </w:rPr>
            </w:pPr>
            <w:r>
              <w:rPr>
                <w:rFonts w:hint="eastAsia" w:ascii="宋体" w:hAnsi="宋体" w:cs="宋体"/>
                <w:kern w:val="0"/>
                <w:sz w:val="24"/>
              </w:rPr>
              <w:t xml:space="preserve">             其他资金</w:t>
            </w:r>
          </w:p>
        </w:tc>
        <w:tc>
          <w:tcPr>
            <w:tcW w:w="1067" w:type="dxa"/>
            <w:gridSpan w:val="2"/>
            <w:tcBorders>
              <w:top w:val="nil"/>
              <w:left w:val="nil"/>
              <w:bottom w:val="single" w:color="auto" w:sz="4" w:space="0"/>
              <w:right w:val="single" w:color="auto" w:sz="4" w:space="0"/>
            </w:tcBorders>
            <w:shd w:val="clear" w:color="auto" w:fill="auto"/>
            <w:vAlign w:val="center"/>
          </w:tcPr>
          <w:p w14:paraId="4CE5E6CA">
            <w:pPr>
              <w:widowControl/>
              <w:jc w:val="left"/>
              <w:rPr>
                <w:rFonts w:ascii="宋体" w:hAnsi="宋体" w:cs="宋体"/>
                <w:kern w:val="0"/>
                <w:sz w:val="24"/>
              </w:rPr>
            </w:pPr>
            <w:r>
              <w:rPr>
                <w:rFonts w:hint="eastAsia" w:ascii="宋体" w:hAnsi="宋体" w:cs="宋体"/>
                <w:kern w:val="0"/>
                <w:sz w:val="24"/>
              </w:rPr>
              <w:t>　</w:t>
            </w:r>
          </w:p>
        </w:tc>
        <w:tc>
          <w:tcPr>
            <w:tcW w:w="2902" w:type="dxa"/>
            <w:gridSpan w:val="3"/>
            <w:tcBorders>
              <w:top w:val="nil"/>
              <w:left w:val="nil"/>
              <w:bottom w:val="single" w:color="auto" w:sz="4" w:space="0"/>
              <w:right w:val="single" w:color="auto" w:sz="4" w:space="0"/>
            </w:tcBorders>
            <w:shd w:val="clear" w:color="auto" w:fill="auto"/>
            <w:vAlign w:val="center"/>
          </w:tcPr>
          <w:p w14:paraId="401C39CB">
            <w:pPr>
              <w:widowControl/>
              <w:jc w:val="left"/>
              <w:rPr>
                <w:rFonts w:ascii="宋体" w:hAnsi="宋体" w:cs="宋体"/>
                <w:kern w:val="0"/>
                <w:sz w:val="24"/>
              </w:rPr>
            </w:pPr>
            <w:r>
              <w:rPr>
                <w:rFonts w:hint="eastAsia" w:ascii="宋体" w:hAnsi="宋体" w:cs="宋体"/>
                <w:kern w:val="0"/>
                <w:sz w:val="24"/>
              </w:rPr>
              <w:t xml:space="preserve">       其他资金</w:t>
            </w:r>
          </w:p>
        </w:tc>
        <w:tc>
          <w:tcPr>
            <w:tcW w:w="1219" w:type="dxa"/>
            <w:gridSpan w:val="4"/>
            <w:tcBorders>
              <w:top w:val="nil"/>
              <w:left w:val="nil"/>
              <w:bottom w:val="single" w:color="auto" w:sz="4" w:space="0"/>
              <w:right w:val="single" w:color="auto" w:sz="4" w:space="0"/>
            </w:tcBorders>
            <w:shd w:val="clear" w:color="auto" w:fill="auto"/>
            <w:vAlign w:val="center"/>
          </w:tcPr>
          <w:p w14:paraId="725B6968">
            <w:pPr>
              <w:widowControl/>
              <w:jc w:val="right"/>
              <w:rPr>
                <w:rFonts w:ascii="宋体" w:hAnsi="宋体" w:cs="宋体"/>
                <w:kern w:val="0"/>
                <w:sz w:val="24"/>
              </w:rPr>
            </w:pPr>
            <w:r>
              <w:rPr>
                <w:rFonts w:hint="eastAsia" w:ascii="宋体" w:hAnsi="宋体" w:cs="宋体"/>
                <w:kern w:val="0"/>
                <w:sz w:val="24"/>
              </w:rPr>
              <w:t>　</w:t>
            </w:r>
          </w:p>
        </w:tc>
      </w:tr>
      <w:tr w14:paraId="3C67D6A0">
        <w:tblPrEx>
          <w:tblCellMar>
            <w:top w:w="0" w:type="dxa"/>
            <w:left w:w="108" w:type="dxa"/>
            <w:bottom w:w="0" w:type="dxa"/>
            <w:right w:w="108" w:type="dxa"/>
          </w:tblCellMar>
        </w:tblPrEx>
        <w:trPr>
          <w:gridBefore w:val="1"/>
          <w:wBefore w:w="210" w:type="dxa"/>
          <w:trHeight w:val="439" w:hRule="atLeast"/>
        </w:trPr>
        <w:tc>
          <w:tcPr>
            <w:tcW w:w="675"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CDF2E15">
            <w:pPr>
              <w:widowControl/>
              <w:jc w:val="center"/>
              <w:rPr>
                <w:rFonts w:ascii="宋体" w:hAnsi="宋体" w:cs="宋体"/>
                <w:kern w:val="0"/>
                <w:sz w:val="24"/>
              </w:rPr>
            </w:pPr>
            <w:r>
              <w:rPr>
                <w:rFonts w:hint="eastAsia" w:ascii="宋体" w:hAnsi="宋体" w:cs="宋体"/>
                <w:kern w:val="0"/>
                <w:sz w:val="24"/>
              </w:rPr>
              <w:t>年</w:t>
            </w:r>
            <w:r>
              <w:rPr>
                <w:rFonts w:hint="eastAsia" w:ascii="宋体" w:hAnsi="宋体" w:cs="宋体"/>
                <w:kern w:val="0"/>
                <w:sz w:val="24"/>
              </w:rPr>
              <w:br w:type="textWrapping"/>
            </w:r>
            <w:r>
              <w:rPr>
                <w:rFonts w:hint="eastAsia" w:ascii="宋体" w:hAnsi="宋体" w:cs="宋体"/>
                <w:kern w:val="0"/>
                <w:sz w:val="24"/>
              </w:rPr>
              <w:t>度</w:t>
            </w:r>
            <w:r>
              <w:rPr>
                <w:rFonts w:hint="eastAsia" w:ascii="宋体" w:hAnsi="宋体" w:cs="宋体"/>
                <w:kern w:val="0"/>
                <w:sz w:val="24"/>
              </w:rPr>
              <w:br w:type="textWrapping"/>
            </w:r>
            <w:r>
              <w:rPr>
                <w:rFonts w:hint="eastAsia" w:ascii="宋体" w:hAnsi="宋体" w:cs="宋体"/>
                <w:kern w:val="0"/>
                <w:sz w:val="24"/>
              </w:rPr>
              <w:t>总</w:t>
            </w:r>
            <w:r>
              <w:rPr>
                <w:rFonts w:hint="eastAsia" w:ascii="宋体" w:hAnsi="宋体" w:cs="宋体"/>
                <w:kern w:val="0"/>
                <w:sz w:val="24"/>
              </w:rPr>
              <w:br w:type="textWrapping"/>
            </w:r>
            <w:r>
              <w:rPr>
                <w:rFonts w:hint="eastAsia" w:ascii="宋体" w:hAnsi="宋体" w:cs="宋体"/>
                <w:kern w:val="0"/>
                <w:sz w:val="24"/>
              </w:rPr>
              <w:t>体</w:t>
            </w:r>
            <w:r>
              <w:rPr>
                <w:rFonts w:hint="eastAsia" w:ascii="宋体" w:hAnsi="宋体" w:cs="宋体"/>
                <w:kern w:val="0"/>
                <w:sz w:val="24"/>
              </w:rPr>
              <w:br w:type="textWrapping"/>
            </w:r>
            <w:r>
              <w:rPr>
                <w:rFonts w:hint="eastAsia" w:ascii="宋体" w:hAnsi="宋体" w:cs="宋体"/>
                <w:kern w:val="0"/>
                <w:sz w:val="24"/>
              </w:rPr>
              <w:t>目</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完</w:t>
            </w:r>
            <w:r>
              <w:rPr>
                <w:rFonts w:hint="eastAsia" w:ascii="宋体" w:hAnsi="宋体" w:cs="宋体"/>
                <w:kern w:val="0"/>
                <w:sz w:val="24"/>
              </w:rPr>
              <w:br w:type="textWrapping"/>
            </w:r>
            <w:r>
              <w:rPr>
                <w:rFonts w:hint="eastAsia" w:ascii="宋体" w:hAnsi="宋体" w:cs="宋体"/>
                <w:kern w:val="0"/>
                <w:sz w:val="24"/>
              </w:rPr>
              <w:t>成</w:t>
            </w:r>
            <w:r>
              <w:rPr>
                <w:rFonts w:hint="eastAsia" w:ascii="宋体" w:hAnsi="宋体" w:cs="宋体"/>
                <w:kern w:val="0"/>
                <w:sz w:val="24"/>
              </w:rPr>
              <w:br w:type="textWrapping"/>
            </w:r>
            <w:r>
              <w:rPr>
                <w:rFonts w:hint="eastAsia" w:ascii="宋体" w:hAnsi="宋体" w:cs="宋体"/>
                <w:kern w:val="0"/>
                <w:sz w:val="24"/>
              </w:rPr>
              <w:t>情</w:t>
            </w:r>
            <w:r>
              <w:rPr>
                <w:rFonts w:hint="eastAsia" w:ascii="宋体" w:hAnsi="宋体" w:cs="宋体"/>
                <w:kern w:val="0"/>
                <w:sz w:val="24"/>
              </w:rPr>
              <w:br w:type="textWrapping"/>
            </w:r>
            <w:r>
              <w:rPr>
                <w:rFonts w:hint="eastAsia" w:ascii="宋体" w:hAnsi="宋体" w:cs="宋体"/>
                <w:kern w:val="0"/>
                <w:sz w:val="24"/>
              </w:rPr>
              <w:t>况</w:t>
            </w:r>
          </w:p>
        </w:tc>
        <w:tc>
          <w:tcPr>
            <w:tcW w:w="4678" w:type="dxa"/>
            <w:gridSpan w:val="7"/>
            <w:tcBorders>
              <w:top w:val="single" w:color="auto" w:sz="4" w:space="0"/>
              <w:left w:val="nil"/>
              <w:bottom w:val="single" w:color="auto" w:sz="4" w:space="0"/>
              <w:right w:val="single" w:color="auto" w:sz="4" w:space="0"/>
            </w:tcBorders>
            <w:shd w:val="clear" w:color="auto" w:fill="auto"/>
            <w:vAlign w:val="center"/>
          </w:tcPr>
          <w:p w14:paraId="2F79C36B">
            <w:pPr>
              <w:widowControl/>
              <w:jc w:val="center"/>
              <w:rPr>
                <w:rFonts w:ascii="宋体" w:hAnsi="宋体" w:cs="宋体"/>
                <w:kern w:val="0"/>
                <w:sz w:val="24"/>
              </w:rPr>
            </w:pPr>
            <w:r>
              <w:rPr>
                <w:rFonts w:hint="eastAsia" w:ascii="宋体" w:hAnsi="宋体" w:cs="宋体"/>
                <w:kern w:val="0"/>
                <w:sz w:val="24"/>
              </w:rPr>
              <w:t>预期目标</w:t>
            </w:r>
          </w:p>
        </w:tc>
        <w:tc>
          <w:tcPr>
            <w:tcW w:w="5188" w:type="dxa"/>
            <w:gridSpan w:val="9"/>
            <w:tcBorders>
              <w:top w:val="single" w:color="auto" w:sz="4" w:space="0"/>
              <w:left w:val="nil"/>
              <w:bottom w:val="single" w:color="auto" w:sz="4" w:space="0"/>
              <w:right w:val="single" w:color="auto" w:sz="4" w:space="0"/>
            </w:tcBorders>
            <w:shd w:val="clear" w:color="auto" w:fill="auto"/>
            <w:vAlign w:val="center"/>
          </w:tcPr>
          <w:p w14:paraId="7B9641AE">
            <w:pPr>
              <w:widowControl/>
              <w:jc w:val="center"/>
              <w:rPr>
                <w:rFonts w:ascii="宋体" w:hAnsi="宋体" w:cs="宋体"/>
                <w:kern w:val="0"/>
                <w:sz w:val="24"/>
              </w:rPr>
            </w:pPr>
            <w:r>
              <w:rPr>
                <w:rFonts w:hint="eastAsia" w:ascii="宋体" w:hAnsi="宋体" w:cs="宋体"/>
                <w:kern w:val="0"/>
                <w:sz w:val="24"/>
              </w:rPr>
              <w:t>目标实际完成情况</w:t>
            </w:r>
          </w:p>
        </w:tc>
      </w:tr>
      <w:tr w14:paraId="0D211A82">
        <w:tblPrEx>
          <w:tblCellMar>
            <w:top w:w="0" w:type="dxa"/>
            <w:left w:w="108" w:type="dxa"/>
            <w:bottom w:w="0" w:type="dxa"/>
            <w:right w:w="108" w:type="dxa"/>
          </w:tblCellMar>
        </w:tblPrEx>
        <w:trPr>
          <w:gridBefore w:val="1"/>
          <w:wBefore w:w="210" w:type="dxa"/>
          <w:trHeight w:val="4897" w:hRule="atLeast"/>
        </w:trPr>
        <w:tc>
          <w:tcPr>
            <w:tcW w:w="675" w:type="dxa"/>
            <w:gridSpan w:val="2"/>
            <w:vMerge w:val="continue"/>
            <w:tcBorders>
              <w:top w:val="nil"/>
              <w:left w:val="single" w:color="auto" w:sz="4" w:space="0"/>
              <w:bottom w:val="single" w:color="auto" w:sz="4" w:space="0"/>
              <w:right w:val="single" w:color="auto" w:sz="4" w:space="0"/>
            </w:tcBorders>
            <w:vAlign w:val="center"/>
          </w:tcPr>
          <w:p w14:paraId="7DFA5A66">
            <w:pPr>
              <w:widowControl/>
              <w:jc w:val="left"/>
              <w:rPr>
                <w:rFonts w:ascii="宋体" w:hAnsi="宋体" w:cs="宋体"/>
                <w:kern w:val="0"/>
                <w:sz w:val="24"/>
              </w:rPr>
            </w:pPr>
          </w:p>
        </w:tc>
        <w:tc>
          <w:tcPr>
            <w:tcW w:w="4678" w:type="dxa"/>
            <w:gridSpan w:val="7"/>
            <w:tcBorders>
              <w:top w:val="single" w:color="auto" w:sz="4" w:space="0"/>
              <w:left w:val="nil"/>
              <w:bottom w:val="single" w:color="auto" w:sz="4" w:space="0"/>
              <w:right w:val="single" w:color="auto" w:sz="4" w:space="0"/>
            </w:tcBorders>
            <w:shd w:val="clear" w:color="auto" w:fill="auto"/>
          </w:tcPr>
          <w:p w14:paraId="27A7D432">
            <w:pPr>
              <w:widowControl/>
              <w:spacing w:after="240"/>
              <w:jc w:val="left"/>
              <w:rPr>
                <w:rFonts w:ascii="宋体" w:hAnsi="宋体" w:cs="宋体"/>
                <w:kern w:val="0"/>
                <w:sz w:val="24"/>
              </w:rPr>
            </w:pPr>
            <w:r>
              <w:rPr>
                <w:rFonts w:hint="eastAsia" w:ascii="宋体" w:hAnsi="宋体" w:cs="宋体"/>
                <w:kern w:val="0"/>
                <w:sz w:val="24"/>
              </w:rPr>
              <w:t xml:space="preserve"> 1、举办1场“净土阿坝 指尖锦绣”阿坝州妇女手工编织品牌推广系列活动，使全州巧手姐妹技能得到展现、产品得到展示，并以此帮助她们提升产品品质、拓宽销售市场、提升产品销量，从中选树具有代表性和阿坝特质的妇女手工编织品牌。2、在全州选出20名从事手工编织产业、有一定技能基础的绣娘、致富带头人，赴贵州省盛华职业技术学院、北京服装学院等地进行手工编织培训提升，使这些绣娘和带头人在色彩搭配、刺绣编织技能、品牌培育、产品创新等方面得到进一步提升。3、在红原等机场借助高原航空港优势对极具特色的阿坝州手工编织类产品进行专柜推广，助力与外界的销售渠道提高品牌影响力和阿坝州妇女居家灵活就业的综合效益。</w:t>
            </w:r>
          </w:p>
        </w:tc>
        <w:tc>
          <w:tcPr>
            <w:tcW w:w="5188" w:type="dxa"/>
            <w:gridSpan w:val="9"/>
            <w:tcBorders>
              <w:top w:val="single" w:color="auto" w:sz="4" w:space="0"/>
              <w:left w:val="nil"/>
              <w:bottom w:val="single" w:color="auto" w:sz="4" w:space="0"/>
              <w:right w:val="single" w:color="auto" w:sz="4" w:space="0"/>
            </w:tcBorders>
            <w:shd w:val="clear" w:color="auto" w:fill="auto"/>
          </w:tcPr>
          <w:p w14:paraId="04766FA2">
            <w:pPr>
              <w:widowControl/>
              <w:jc w:val="left"/>
              <w:rPr>
                <w:rFonts w:ascii="宋体" w:hAnsi="宋体" w:cs="宋体"/>
                <w:kern w:val="0"/>
                <w:sz w:val="24"/>
              </w:rPr>
            </w:pPr>
            <w:r>
              <w:rPr>
                <w:rFonts w:hint="eastAsia" w:ascii="宋体" w:hAnsi="宋体" w:cs="宋体"/>
                <w:kern w:val="0"/>
                <w:sz w:val="24"/>
              </w:rPr>
              <w:t xml:space="preserve"> 1、举办了1场“净土阿坝 指尖锦绣”阿坝州妇女手工编织品牌推广系列活动，使全州巧手姐妹技能得到展现、产品得到展示，并以此帮助她们提升产品品质、拓宽销售市场、提升产品销量，从中选树具有代表性和阿坝特质的妇女手工编织品牌。2、在全州选出20名从事手工编织产业、有一定技能基础的绣娘、致富带头人，赴贵州省盛华职业技术学院等地进行了手工编织培训提升，使这些绣娘和带头人在色彩搭配、刺绣编织技能、品牌培育、产品创新等方面得到进一步提升。3、在红原机场借助高原航空港优势对极具特色的阿坝州手工编织类产品进行专柜推广，助力与外界的销售渠道提高品牌影响力和阿坝州妇女居家灵活就业的综合效益，虽然暂未完成，但是居家灵活就业姐妹积极参与，待疫情结束将立即重新启动完成。</w:t>
            </w:r>
          </w:p>
        </w:tc>
      </w:tr>
      <w:tr w14:paraId="5A2FCC50">
        <w:tblPrEx>
          <w:tblCellMar>
            <w:top w:w="0" w:type="dxa"/>
            <w:left w:w="108" w:type="dxa"/>
            <w:bottom w:w="0" w:type="dxa"/>
            <w:right w:w="108" w:type="dxa"/>
          </w:tblCellMar>
        </w:tblPrEx>
        <w:trPr>
          <w:gridAfter w:val="1"/>
          <w:wAfter w:w="210" w:type="dxa"/>
          <w:trHeight w:val="494" w:hRule="atLeast"/>
        </w:trPr>
        <w:tc>
          <w:tcPr>
            <w:tcW w:w="675"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6D74A9E">
            <w:pPr>
              <w:widowControl/>
              <w:rPr>
                <w:rFonts w:ascii="宋体" w:hAnsi="宋体" w:cs="宋体"/>
                <w:kern w:val="0"/>
                <w:sz w:val="24"/>
              </w:rPr>
            </w:pPr>
          </w:p>
          <w:p w14:paraId="094A3011">
            <w:pPr>
              <w:widowControl/>
              <w:jc w:val="center"/>
              <w:rPr>
                <w:rFonts w:ascii="宋体" w:hAnsi="宋体" w:cs="宋体"/>
                <w:kern w:val="0"/>
                <w:sz w:val="24"/>
              </w:rPr>
            </w:pPr>
            <w:r>
              <w:rPr>
                <w:rFonts w:hint="eastAsia" w:ascii="宋体" w:hAnsi="宋体" w:cs="宋体"/>
                <w:kern w:val="0"/>
                <w:sz w:val="24"/>
              </w:rPr>
              <w:t>年</w:t>
            </w:r>
            <w:r>
              <w:rPr>
                <w:rFonts w:hint="eastAsia" w:ascii="宋体" w:hAnsi="宋体" w:cs="宋体"/>
                <w:kern w:val="0"/>
                <w:sz w:val="24"/>
              </w:rPr>
              <w:br w:type="textWrapping"/>
            </w:r>
            <w:r>
              <w:rPr>
                <w:rFonts w:hint="eastAsia" w:ascii="宋体" w:hAnsi="宋体" w:cs="宋体"/>
                <w:kern w:val="0"/>
                <w:sz w:val="24"/>
              </w:rPr>
              <w:t>度</w:t>
            </w:r>
            <w:r>
              <w:rPr>
                <w:rFonts w:hint="eastAsia" w:ascii="宋体" w:hAnsi="宋体" w:cs="宋体"/>
                <w:kern w:val="0"/>
                <w:sz w:val="24"/>
              </w:rPr>
              <w:br w:type="textWrapping"/>
            </w: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完</w:t>
            </w:r>
            <w:r>
              <w:rPr>
                <w:rFonts w:hint="eastAsia" w:ascii="宋体" w:hAnsi="宋体" w:cs="宋体"/>
                <w:kern w:val="0"/>
                <w:sz w:val="24"/>
              </w:rPr>
              <w:br w:type="textWrapping"/>
            </w:r>
            <w:r>
              <w:rPr>
                <w:rFonts w:hint="eastAsia" w:ascii="宋体" w:hAnsi="宋体" w:cs="宋体"/>
                <w:kern w:val="0"/>
                <w:sz w:val="24"/>
              </w:rPr>
              <w:t>成</w:t>
            </w:r>
            <w:r>
              <w:rPr>
                <w:rFonts w:hint="eastAsia" w:ascii="宋体" w:hAnsi="宋体" w:cs="宋体"/>
                <w:kern w:val="0"/>
                <w:sz w:val="24"/>
              </w:rPr>
              <w:br w:type="textWrapping"/>
            </w:r>
            <w:r>
              <w:rPr>
                <w:rFonts w:hint="eastAsia" w:ascii="宋体" w:hAnsi="宋体" w:cs="宋体"/>
                <w:kern w:val="0"/>
                <w:sz w:val="24"/>
              </w:rPr>
              <w:t>情</w:t>
            </w:r>
            <w:r>
              <w:rPr>
                <w:rFonts w:hint="eastAsia" w:ascii="宋体" w:hAnsi="宋体" w:cs="宋体"/>
                <w:kern w:val="0"/>
                <w:sz w:val="24"/>
              </w:rPr>
              <w:br w:type="textWrapping"/>
            </w:r>
            <w:r>
              <w:rPr>
                <w:rFonts w:hint="eastAsia" w:ascii="宋体" w:hAnsi="宋体" w:cs="宋体"/>
                <w:kern w:val="0"/>
                <w:sz w:val="24"/>
              </w:rPr>
              <w:t>况</w:t>
            </w:r>
          </w:p>
          <w:p w14:paraId="4993C05F">
            <w:pPr>
              <w:widowControl/>
              <w:jc w:val="center"/>
              <w:rPr>
                <w:rFonts w:ascii="宋体" w:hAnsi="宋体" w:cs="宋体"/>
                <w:kern w:val="0"/>
                <w:sz w:val="24"/>
              </w:rPr>
            </w:pPr>
          </w:p>
          <w:p w14:paraId="4F594C3A">
            <w:pPr>
              <w:widowControl/>
              <w:jc w:val="center"/>
              <w:rPr>
                <w:rFonts w:ascii="宋体" w:hAnsi="宋体" w:cs="宋体"/>
                <w:kern w:val="0"/>
                <w:sz w:val="24"/>
              </w:rPr>
            </w:pPr>
          </w:p>
          <w:p w14:paraId="42AC7EEA">
            <w:pPr>
              <w:widowControl/>
              <w:jc w:val="center"/>
              <w:rPr>
                <w:rFonts w:ascii="宋体" w:hAnsi="宋体" w:cs="宋体"/>
                <w:kern w:val="0"/>
                <w:sz w:val="24"/>
              </w:rPr>
            </w:pPr>
          </w:p>
          <w:p w14:paraId="173EBA0D">
            <w:pPr>
              <w:widowControl/>
              <w:jc w:val="center"/>
              <w:rPr>
                <w:rFonts w:ascii="宋体" w:hAnsi="宋体" w:cs="宋体"/>
                <w:kern w:val="0"/>
                <w:sz w:val="24"/>
              </w:rPr>
            </w:pPr>
          </w:p>
          <w:p w14:paraId="659F1EF2">
            <w:pPr>
              <w:widowControl/>
              <w:jc w:val="center"/>
              <w:rPr>
                <w:rFonts w:ascii="宋体" w:hAnsi="宋体" w:cs="宋体"/>
                <w:kern w:val="0"/>
                <w:sz w:val="24"/>
              </w:rPr>
            </w:pPr>
          </w:p>
          <w:p w14:paraId="361FE676">
            <w:pPr>
              <w:widowControl/>
              <w:jc w:val="center"/>
              <w:rPr>
                <w:rFonts w:ascii="宋体" w:hAnsi="宋体" w:cs="宋体"/>
                <w:kern w:val="0"/>
                <w:sz w:val="24"/>
              </w:rPr>
            </w:pPr>
          </w:p>
          <w:p w14:paraId="1E609FD1">
            <w:pPr>
              <w:widowControl/>
              <w:jc w:val="center"/>
              <w:rPr>
                <w:rFonts w:ascii="宋体" w:hAnsi="宋体" w:cs="宋体"/>
                <w:kern w:val="0"/>
                <w:sz w:val="24"/>
              </w:rPr>
            </w:pPr>
          </w:p>
          <w:p w14:paraId="72A16C89">
            <w:pPr>
              <w:widowControl/>
              <w:jc w:val="center"/>
              <w:rPr>
                <w:rFonts w:ascii="宋体" w:hAnsi="宋体" w:cs="宋体"/>
                <w:kern w:val="0"/>
                <w:sz w:val="24"/>
              </w:rPr>
            </w:pPr>
          </w:p>
          <w:p w14:paraId="023704E2">
            <w:pPr>
              <w:widowControl/>
              <w:jc w:val="center"/>
              <w:rPr>
                <w:rFonts w:ascii="宋体" w:hAnsi="宋体" w:cs="宋体"/>
                <w:kern w:val="0"/>
                <w:sz w:val="24"/>
              </w:rPr>
            </w:pPr>
          </w:p>
          <w:p w14:paraId="73C12B91">
            <w:pPr>
              <w:widowControl/>
              <w:jc w:val="center"/>
              <w:rPr>
                <w:rFonts w:ascii="宋体" w:hAnsi="宋体" w:cs="宋体"/>
                <w:kern w:val="0"/>
                <w:sz w:val="24"/>
              </w:rPr>
            </w:pPr>
          </w:p>
          <w:p w14:paraId="411A5D50">
            <w:pPr>
              <w:widowControl/>
              <w:jc w:val="center"/>
              <w:rPr>
                <w:rFonts w:ascii="宋体" w:hAnsi="宋体" w:cs="宋体"/>
                <w:kern w:val="0"/>
                <w:sz w:val="24"/>
              </w:rPr>
            </w:pPr>
          </w:p>
          <w:p w14:paraId="5265D2FA">
            <w:pPr>
              <w:widowControl/>
              <w:jc w:val="center"/>
              <w:rPr>
                <w:rFonts w:ascii="宋体" w:hAnsi="宋体" w:cs="宋体"/>
                <w:kern w:val="0"/>
                <w:sz w:val="24"/>
              </w:rPr>
            </w:pPr>
          </w:p>
          <w:p w14:paraId="6685F8D7">
            <w:pPr>
              <w:widowControl/>
              <w:jc w:val="center"/>
              <w:rPr>
                <w:rFonts w:ascii="宋体" w:hAnsi="宋体" w:cs="宋体"/>
                <w:kern w:val="0"/>
                <w:sz w:val="24"/>
              </w:rPr>
            </w:pPr>
          </w:p>
          <w:p w14:paraId="17CC7E22">
            <w:pPr>
              <w:widowControl/>
              <w:jc w:val="center"/>
              <w:rPr>
                <w:rFonts w:ascii="宋体" w:hAnsi="宋体" w:cs="宋体"/>
                <w:kern w:val="0"/>
                <w:sz w:val="24"/>
              </w:rPr>
            </w:pPr>
          </w:p>
          <w:p w14:paraId="03B9BC23">
            <w:pPr>
              <w:widowControl/>
              <w:jc w:val="center"/>
              <w:rPr>
                <w:rFonts w:ascii="宋体" w:hAnsi="宋体" w:cs="宋体"/>
                <w:kern w:val="0"/>
                <w:sz w:val="24"/>
              </w:rPr>
            </w:pPr>
          </w:p>
          <w:p w14:paraId="2D6FE003">
            <w:pPr>
              <w:widowControl/>
              <w:jc w:val="center"/>
              <w:rPr>
                <w:rFonts w:ascii="宋体" w:hAnsi="宋体" w:cs="宋体"/>
                <w:kern w:val="0"/>
                <w:sz w:val="24"/>
              </w:rPr>
            </w:pPr>
          </w:p>
          <w:p w14:paraId="2B18F5A9">
            <w:pPr>
              <w:widowControl/>
              <w:jc w:val="center"/>
              <w:rPr>
                <w:rFonts w:ascii="宋体" w:hAnsi="宋体" w:cs="宋体"/>
                <w:kern w:val="0"/>
                <w:sz w:val="24"/>
              </w:rPr>
            </w:pPr>
          </w:p>
          <w:p w14:paraId="37A9D60A">
            <w:pPr>
              <w:widowControl/>
              <w:jc w:val="center"/>
              <w:rPr>
                <w:rFonts w:ascii="宋体" w:hAnsi="宋体" w:cs="宋体"/>
                <w:kern w:val="0"/>
                <w:sz w:val="24"/>
              </w:rPr>
            </w:pPr>
          </w:p>
          <w:p w14:paraId="671BA62D">
            <w:pPr>
              <w:widowControl/>
              <w:jc w:val="center"/>
              <w:rPr>
                <w:rFonts w:ascii="宋体" w:hAnsi="宋体" w:cs="宋体"/>
                <w:kern w:val="0"/>
                <w:sz w:val="24"/>
              </w:rPr>
            </w:pPr>
          </w:p>
          <w:p w14:paraId="1B62BDB4">
            <w:pPr>
              <w:widowControl/>
              <w:jc w:val="center"/>
              <w:rPr>
                <w:rFonts w:ascii="宋体" w:hAnsi="宋体" w:cs="宋体"/>
                <w:kern w:val="0"/>
                <w:sz w:val="24"/>
              </w:rPr>
            </w:pPr>
          </w:p>
          <w:p w14:paraId="3C5B13B7">
            <w:pPr>
              <w:widowControl/>
              <w:jc w:val="center"/>
              <w:rPr>
                <w:rFonts w:ascii="宋体" w:hAnsi="宋体" w:cs="宋体"/>
                <w:kern w:val="0"/>
                <w:sz w:val="24"/>
              </w:rPr>
            </w:pPr>
          </w:p>
          <w:p w14:paraId="4CF59F3B">
            <w:pPr>
              <w:widowControl/>
              <w:jc w:val="center"/>
              <w:rPr>
                <w:rFonts w:ascii="宋体" w:hAnsi="宋体" w:cs="宋体"/>
                <w:kern w:val="0"/>
                <w:sz w:val="24"/>
              </w:rPr>
            </w:pPr>
          </w:p>
          <w:p w14:paraId="5D02BE6C">
            <w:pPr>
              <w:widowControl/>
              <w:jc w:val="center"/>
              <w:rPr>
                <w:rFonts w:ascii="宋体" w:hAnsi="宋体" w:cs="宋体"/>
                <w:kern w:val="0"/>
                <w:sz w:val="24"/>
              </w:rPr>
            </w:pPr>
            <w:r>
              <w:rPr>
                <w:rFonts w:hint="eastAsia" w:ascii="宋体" w:hAnsi="宋体" w:cs="宋体"/>
                <w:kern w:val="0"/>
                <w:sz w:val="24"/>
              </w:rPr>
              <w:t>年</w:t>
            </w:r>
            <w:r>
              <w:rPr>
                <w:rFonts w:hint="eastAsia" w:ascii="宋体" w:hAnsi="宋体" w:cs="宋体"/>
                <w:kern w:val="0"/>
                <w:sz w:val="24"/>
              </w:rPr>
              <w:br w:type="textWrapping"/>
            </w:r>
            <w:r>
              <w:rPr>
                <w:rFonts w:hint="eastAsia" w:ascii="宋体" w:hAnsi="宋体" w:cs="宋体"/>
                <w:kern w:val="0"/>
                <w:sz w:val="24"/>
              </w:rPr>
              <w:t>度</w:t>
            </w:r>
            <w:r>
              <w:rPr>
                <w:rFonts w:hint="eastAsia" w:ascii="宋体" w:hAnsi="宋体" w:cs="宋体"/>
                <w:kern w:val="0"/>
                <w:sz w:val="24"/>
              </w:rPr>
              <w:br w:type="textWrapping"/>
            </w: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r>
              <w:rPr>
                <w:rFonts w:hint="eastAsia" w:ascii="宋体" w:hAnsi="宋体" w:cs="宋体"/>
                <w:kern w:val="0"/>
                <w:sz w:val="24"/>
              </w:rPr>
              <w:br w:type="textWrapping"/>
            </w:r>
            <w:r>
              <w:rPr>
                <w:rFonts w:hint="eastAsia" w:ascii="宋体" w:hAnsi="宋体" w:cs="宋体"/>
                <w:kern w:val="0"/>
                <w:sz w:val="24"/>
              </w:rPr>
              <w:t>完</w:t>
            </w:r>
            <w:r>
              <w:rPr>
                <w:rFonts w:hint="eastAsia" w:ascii="宋体" w:hAnsi="宋体" w:cs="宋体"/>
                <w:kern w:val="0"/>
                <w:sz w:val="24"/>
              </w:rPr>
              <w:br w:type="textWrapping"/>
            </w:r>
            <w:r>
              <w:rPr>
                <w:rFonts w:hint="eastAsia" w:ascii="宋体" w:hAnsi="宋体" w:cs="宋体"/>
                <w:kern w:val="0"/>
                <w:sz w:val="24"/>
              </w:rPr>
              <w:t>成</w:t>
            </w:r>
            <w:r>
              <w:rPr>
                <w:rFonts w:hint="eastAsia" w:ascii="宋体" w:hAnsi="宋体" w:cs="宋体"/>
                <w:kern w:val="0"/>
                <w:sz w:val="24"/>
              </w:rPr>
              <w:br w:type="textWrapping"/>
            </w:r>
            <w:r>
              <w:rPr>
                <w:rFonts w:hint="eastAsia" w:ascii="宋体" w:hAnsi="宋体" w:cs="宋体"/>
                <w:kern w:val="0"/>
                <w:sz w:val="24"/>
              </w:rPr>
              <w:t>情</w:t>
            </w:r>
            <w:r>
              <w:rPr>
                <w:rFonts w:hint="eastAsia" w:ascii="宋体" w:hAnsi="宋体" w:cs="宋体"/>
                <w:kern w:val="0"/>
                <w:sz w:val="24"/>
              </w:rPr>
              <w:br w:type="textWrapping"/>
            </w:r>
            <w:r>
              <w:rPr>
                <w:rFonts w:hint="eastAsia" w:ascii="宋体" w:hAnsi="宋体" w:cs="宋体"/>
                <w:kern w:val="0"/>
                <w:sz w:val="24"/>
              </w:rPr>
              <w:t>况</w:t>
            </w:r>
          </w:p>
        </w:tc>
        <w:tc>
          <w:tcPr>
            <w:tcW w:w="1134" w:type="dxa"/>
            <w:gridSpan w:val="3"/>
            <w:tcBorders>
              <w:top w:val="nil"/>
              <w:left w:val="nil"/>
              <w:bottom w:val="single" w:color="auto" w:sz="4" w:space="0"/>
              <w:right w:val="single" w:color="auto" w:sz="4" w:space="0"/>
            </w:tcBorders>
            <w:shd w:val="clear" w:color="auto" w:fill="auto"/>
            <w:vAlign w:val="center"/>
          </w:tcPr>
          <w:p w14:paraId="0415F8BD">
            <w:pPr>
              <w:widowControl/>
              <w:jc w:val="center"/>
              <w:rPr>
                <w:rFonts w:ascii="宋体" w:hAnsi="宋体" w:cs="宋体"/>
                <w:kern w:val="0"/>
                <w:sz w:val="24"/>
              </w:rPr>
            </w:pPr>
            <w:r>
              <w:rPr>
                <w:rFonts w:hint="eastAsia" w:ascii="宋体" w:hAnsi="宋体" w:cs="宋体"/>
                <w:kern w:val="0"/>
                <w:sz w:val="24"/>
              </w:rPr>
              <w:t>一级指标</w:t>
            </w:r>
          </w:p>
        </w:tc>
        <w:tc>
          <w:tcPr>
            <w:tcW w:w="851" w:type="dxa"/>
            <w:gridSpan w:val="2"/>
            <w:tcBorders>
              <w:top w:val="nil"/>
              <w:left w:val="nil"/>
              <w:bottom w:val="single" w:color="auto" w:sz="4" w:space="0"/>
              <w:right w:val="single" w:color="auto" w:sz="4" w:space="0"/>
            </w:tcBorders>
            <w:shd w:val="clear" w:color="auto" w:fill="auto"/>
            <w:vAlign w:val="center"/>
          </w:tcPr>
          <w:p w14:paraId="5A61F7E9">
            <w:pPr>
              <w:widowControl/>
              <w:jc w:val="center"/>
              <w:rPr>
                <w:rFonts w:ascii="宋体" w:hAnsi="宋体" w:cs="宋体"/>
                <w:kern w:val="0"/>
                <w:sz w:val="24"/>
              </w:rPr>
            </w:pPr>
            <w:r>
              <w:rPr>
                <w:rFonts w:hint="eastAsia" w:ascii="宋体" w:hAnsi="宋体" w:cs="宋体"/>
                <w:kern w:val="0"/>
                <w:sz w:val="24"/>
              </w:rPr>
              <w:t>二级指标</w:t>
            </w:r>
          </w:p>
        </w:tc>
        <w:tc>
          <w:tcPr>
            <w:tcW w:w="2693" w:type="dxa"/>
            <w:gridSpan w:val="2"/>
            <w:tcBorders>
              <w:top w:val="single" w:color="auto" w:sz="4" w:space="0"/>
              <w:left w:val="nil"/>
              <w:bottom w:val="single" w:color="auto" w:sz="4" w:space="0"/>
              <w:right w:val="single" w:color="auto" w:sz="4" w:space="0"/>
            </w:tcBorders>
            <w:shd w:val="clear" w:color="auto" w:fill="auto"/>
            <w:vAlign w:val="center"/>
          </w:tcPr>
          <w:p w14:paraId="4E5AA528">
            <w:pPr>
              <w:widowControl/>
              <w:jc w:val="center"/>
              <w:rPr>
                <w:rFonts w:ascii="宋体" w:hAnsi="宋体" w:cs="宋体"/>
                <w:kern w:val="0"/>
                <w:sz w:val="24"/>
              </w:rPr>
            </w:pPr>
            <w:r>
              <w:rPr>
                <w:rFonts w:hint="eastAsia" w:ascii="宋体" w:hAnsi="宋体" w:cs="宋体"/>
                <w:kern w:val="0"/>
                <w:sz w:val="24"/>
              </w:rPr>
              <w:t>三级指标</w:t>
            </w:r>
          </w:p>
        </w:tc>
        <w:tc>
          <w:tcPr>
            <w:tcW w:w="2410" w:type="dxa"/>
            <w:gridSpan w:val="4"/>
            <w:tcBorders>
              <w:top w:val="nil"/>
              <w:left w:val="nil"/>
              <w:bottom w:val="single" w:color="auto" w:sz="4" w:space="0"/>
              <w:right w:val="single" w:color="auto" w:sz="4" w:space="0"/>
            </w:tcBorders>
            <w:shd w:val="clear" w:color="auto" w:fill="auto"/>
            <w:vAlign w:val="center"/>
          </w:tcPr>
          <w:p w14:paraId="13CAAAE0">
            <w:pPr>
              <w:widowControl/>
              <w:jc w:val="center"/>
              <w:rPr>
                <w:rFonts w:ascii="宋体" w:hAnsi="宋体" w:cs="宋体"/>
                <w:kern w:val="0"/>
                <w:sz w:val="24"/>
              </w:rPr>
            </w:pPr>
            <w:r>
              <w:rPr>
                <w:rFonts w:hint="eastAsia" w:ascii="宋体" w:hAnsi="宋体" w:cs="宋体"/>
                <w:kern w:val="0"/>
                <w:sz w:val="24"/>
              </w:rPr>
              <w:t>预期指标值</w:t>
            </w:r>
          </w:p>
        </w:tc>
        <w:tc>
          <w:tcPr>
            <w:tcW w:w="2778" w:type="dxa"/>
            <w:gridSpan w:val="5"/>
            <w:tcBorders>
              <w:top w:val="nil"/>
              <w:left w:val="nil"/>
              <w:bottom w:val="single" w:color="auto" w:sz="4" w:space="0"/>
              <w:right w:val="single" w:color="auto" w:sz="4" w:space="0"/>
            </w:tcBorders>
            <w:shd w:val="clear" w:color="auto" w:fill="auto"/>
            <w:vAlign w:val="center"/>
          </w:tcPr>
          <w:p w14:paraId="0667FB5F">
            <w:pPr>
              <w:widowControl/>
              <w:jc w:val="center"/>
              <w:rPr>
                <w:rFonts w:ascii="宋体" w:hAnsi="宋体" w:cs="宋体"/>
                <w:kern w:val="0"/>
                <w:sz w:val="24"/>
              </w:rPr>
            </w:pPr>
            <w:r>
              <w:rPr>
                <w:rFonts w:hint="eastAsia" w:ascii="宋体" w:hAnsi="宋体" w:cs="宋体"/>
                <w:kern w:val="0"/>
                <w:sz w:val="24"/>
              </w:rPr>
              <w:t>实际完成指标值</w:t>
            </w:r>
          </w:p>
        </w:tc>
      </w:tr>
      <w:tr w14:paraId="48B906D7">
        <w:tblPrEx>
          <w:tblCellMar>
            <w:top w:w="0" w:type="dxa"/>
            <w:left w:w="108" w:type="dxa"/>
            <w:bottom w:w="0" w:type="dxa"/>
            <w:right w:w="108" w:type="dxa"/>
          </w:tblCellMar>
        </w:tblPrEx>
        <w:trPr>
          <w:gridAfter w:val="1"/>
          <w:wAfter w:w="210" w:type="dxa"/>
          <w:trHeight w:val="987" w:hRule="atLeast"/>
        </w:trPr>
        <w:tc>
          <w:tcPr>
            <w:tcW w:w="675" w:type="dxa"/>
            <w:gridSpan w:val="2"/>
            <w:vMerge w:val="continue"/>
            <w:tcBorders>
              <w:top w:val="nil"/>
              <w:left w:val="single" w:color="auto" w:sz="4" w:space="0"/>
              <w:bottom w:val="single" w:color="auto" w:sz="4" w:space="0"/>
              <w:right w:val="single" w:color="auto" w:sz="4" w:space="0"/>
            </w:tcBorders>
            <w:vAlign w:val="center"/>
          </w:tcPr>
          <w:p w14:paraId="74712223">
            <w:pPr>
              <w:widowControl/>
              <w:jc w:val="left"/>
              <w:rPr>
                <w:rFonts w:ascii="宋体" w:hAnsi="宋体" w:cs="宋体"/>
                <w:kern w:val="0"/>
                <w:sz w:val="24"/>
              </w:rPr>
            </w:pPr>
          </w:p>
        </w:tc>
        <w:tc>
          <w:tcPr>
            <w:tcW w:w="1134" w:type="dxa"/>
            <w:gridSpan w:val="3"/>
            <w:vMerge w:val="restart"/>
            <w:tcBorders>
              <w:top w:val="nil"/>
              <w:left w:val="single" w:color="auto" w:sz="4" w:space="0"/>
              <w:bottom w:val="single" w:color="auto" w:sz="4" w:space="0"/>
              <w:right w:val="single" w:color="auto" w:sz="4" w:space="0"/>
            </w:tcBorders>
            <w:shd w:val="clear" w:color="auto" w:fill="auto"/>
            <w:vAlign w:val="center"/>
          </w:tcPr>
          <w:p w14:paraId="7AAE1F3F">
            <w:pPr>
              <w:widowControl/>
              <w:jc w:val="center"/>
              <w:rPr>
                <w:rFonts w:ascii="宋体" w:hAnsi="宋体" w:cs="宋体"/>
                <w:kern w:val="0"/>
                <w:sz w:val="24"/>
              </w:rPr>
            </w:pPr>
            <w:r>
              <w:rPr>
                <w:rFonts w:hint="eastAsia" w:ascii="宋体" w:hAnsi="宋体" w:cs="宋体"/>
                <w:kern w:val="0"/>
                <w:sz w:val="24"/>
              </w:rPr>
              <w:t>完成指标</w:t>
            </w:r>
          </w:p>
        </w:tc>
        <w:tc>
          <w:tcPr>
            <w:tcW w:w="851"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067F6B2F">
            <w:pPr>
              <w:widowControl/>
              <w:jc w:val="center"/>
              <w:rPr>
                <w:rFonts w:ascii="宋体" w:hAnsi="宋体" w:cs="宋体"/>
                <w:kern w:val="0"/>
                <w:sz w:val="24"/>
              </w:rPr>
            </w:pPr>
            <w:r>
              <w:rPr>
                <w:rFonts w:hint="eastAsia" w:ascii="宋体" w:hAnsi="宋体" w:cs="宋体"/>
                <w:kern w:val="0"/>
                <w:sz w:val="24"/>
              </w:rPr>
              <w:t>数量指标</w:t>
            </w:r>
          </w:p>
        </w:tc>
        <w:tc>
          <w:tcPr>
            <w:tcW w:w="2693" w:type="dxa"/>
            <w:gridSpan w:val="2"/>
            <w:tcBorders>
              <w:top w:val="single" w:color="auto" w:sz="4" w:space="0"/>
              <w:left w:val="nil"/>
              <w:bottom w:val="single" w:color="auto" w:sz="4" w:space="0"/>
              <w:right w:val="single" w:color="auto" w:sz="4" w:space="0"/>
            </w:tcBorders>
            <w:shd w:val="clear" w:color="auto" w:fill="auto"/>
            <w:vAlign w:val="center"/>
          </w:tcPr>
          <w:p w14:paraId="1BAB70F7">
            <w:pPr>
              <w:widowControl/>
              <w:jc w:val="left"/>
              <w:rPr>
                <w:rFonts w:ascii="宋体" w:hAnsi="宋体" w:cs="宋体"/>
                <w:kern w:val="0"/>
                <w:sz w:val="24"/>
              </w:rPr>
            </w:pPr>
            <w:r>
              <w:rPr>
                <w:rFonts w:hint="eastAsia" w:ascii="宋体" w:hAnsi="宋体" w:cs="宋体"/>
                <w:kern w:val="0"/>
                <w:sz w:val="24"/>
              </w:rPr>
              <w:t xml:space="preserve"> 1、举办1场全州妇女手工编织技能大赛和品牌宣传推广系列活动；</w:t>
            </w:r>
          </w:p>
        </w:tc>
        <w:tc>
          <w:tcPr>
            <w:tcW w:w="2410" w:type="dxa"/>
            <w:gridSpan w:val="4"/>
            <w:tcBorders>
              <w:top w:val="nil"/>
              <w:left w:val="nil"/>
              <w:bottom w:val="single" w:color="auto" w:sz="4" w:space="0"/>
              <w:right w:val="single" w:color="auto" w:sz="4" w:space="0"/>
            </w:tcBorders>
            <w:shd w:val="clear" w:color="auto" w:fill="auto"/>
            <w:vAlign w:val="center"/>
          </w:tcPr>
          <w:p w14:paraId="50672BED">
            <w:pPr>
              <w:widowControl/>
              <w:jc w:val="left"/>
              <w:rPr>
                <w:rFonts w:ascii="宋体" w:hAnsi="宋体" w:cs="宋体"/>
                <w:kern w:val="0"/>
                <w:sz w:val="24"/>
              </w:rPr>
            </w:pPr>
            <w:r>
              <w:rPr>
                <w:rFonts w:hint="eastAsia" w:ascii="宋体" w:hAnsi="宋体" w:cs="宋体"/>
                <w:kern w:val="0"/>
                <w:sz w:val="24"/>
              </w:rPr>
              <w:t>1场</w:t>
            </w:r>
          </w:p>
        </w:tc>
        <w:tc>
          <w:tcPr>
            <w:tcW w:w="2778" w:type="dxa"/>
            <w:gridSpan w:val="5"/>
            <w:tcBorders>
              <w:top w:val="nil"/>
              <w:left w:val="nil"/>
              <w:bottom w:val="single" w:color="auto" w:sz="4" w:space="0"/>
              <w:right w:val="single" w:color="auto" w:sz="4" w:space="0"/>
            </w:tcBorders>
            <w:shd w:val="clear" w:color="auto" w:fill="auto"/>
            <w:vAlign w:val="center"/>
          </w:tcPr>
          <w:p w14:paraId="26AE5894">
            <w:pPr>
              <w:widowControl/>
              <w:jc w:val="left"/>
              <w:rPr>
                <w:rFonts w:ascii="宋体" w:hAnsi="宋体" w:cs="宋体"/>
                <w:kern w:val="0"/>
                <w:sz w:val="24"/>
              </w:rPr>
            </w:pPr>
            <w:r>
              <w:rPr>
                <w:rFonts w:hint="eastAsia" w:ascii="宋体" w:hAnsi="宋体" w:cs="宋体"/>
                <w:kern w:val="0"/>
                <w:sz w:val="24"/>
              </w:rPr>
              <w:t>1场</w:t>
            </w:r>
          </w:p>
        </w:tc>
      </w:tr>
      <w:tr w14:paraId="1D1F5FF4">
        <w:tblPrEx>
          <w:tblCellMar>
            <w:top w:w="0" w:type="dxa"/>
            <w:left w:w="108" w:type="dxa"/>
            <w:bottom w:w="0" w:type="dxa"/>
            <w:right w:w="108" w:type="dxa"/>
          </w:tblCellMar>
        </w:tblPrEx>
        <w:trPr>
          <w:gridAfter w:val="1"/>
          <w:wAfter w:w="210" w:type="dxa"/>
          <w:trHeight w:val="1409" w:hRule="atLeast"/>
        </w:trPr>
        <w:tc>
          <w:tcPr>
            <w:tcW w:w="675" w:type="dxa"/>
            <w:gridSpan w:val="2"/>
            <w:vMerge w:val="continue"/>
            <w:tcBorders>
              <w:top w:val="nil"/>
              <w:left w:val="single" w:color="auto" w:sz="4" w:space="0"/>
              <w:bottom w:val="single" w:color="auto" w:sz="4" w:space="0"/>
              <w:right w:val="single" w:color="auto" w:sz="4" w:space="0"/>
            </w:tcBorders>
            <w:vAlign w:val="center"/>
          </w:tcPr>
          <w:p w14:paraId="3D3C90D0">
            <w:pPr>
              <w:widowControl/>
              <w:jc w:val="left"/>
              <w:rPr>
                <w:rFonts w:ascii="宋体" w:hAnsi="宋体" w:cs="宋体"/>
                <w:kern w:val="0"/>
                <w:sz w:val="24"/>
              </w:rPr>
            </w:pPr>
          </w:p>
        </w:tc>
        <w:tc>
          <w:tcPr>
            <w:tcW w:w="1134" w:type="dxa"/>
            <w:gridSpan w:val="3"/>
            <w:vMerge w:val="continue"/>
            <w:tcBorders>
              <w:top w:val="nil"/>
              <w:left w:val="single" w:color="auto" w:sz="4" w:space="0"/>
              <w:bottom w:val="single" w:color="auto" w:sz="4" w:space="0"/>
              <w:right w:val="single" w:color="auto" w:sz="4" w:space="0"/>
            </w:tcBorders>
            <w:vAlign w:val="center"/>
          </w:tcPr>
          <w:p w14:paraId="0EDD9B2C">
            <w:pPr>
              <w:widowControl/>
              <w:jc w:val="left"/>
              <w:rPr>
                <w:rFonts w:ascii="宋体" w:hAnsi="宋体" w:cs="宋体"/>
                <w:kern w:val="0"/>
                <w:sz w:val="24"/>
              </w:rPr>
            </w:pPr>
          </w:p>
        </w:tc>
        <w:tc>
          <w:tcPr>
            <w:tcW w:w="851" w:type="dxa"/>
            <w:gridSpan w:val="2"/>
            <w:vMerge w:val="continue"/>
            <w:tcBorders>
              <w:top w:val="nil"/>
              <w:left w:val="single" w:color="auto" w:sz="4" w:space="0"/>
              <w:bottom w:val="single" w:color="auto" w:sz="4" w:space="0"/>
              <w:right w:val="single" w:color="auto" w:sz="4" w:space="0"/>
            </w:tcBorders>
            <w:vAlign w:val="center"/>
          </w:tcPr>
          <w:p w14:paraId="1EDADC11">
            <w:pPr>
              <w:widowControl/>
              <w:jc w:val="left"/>
              <w:rPr>
                <w:rFonts w:ascii="宋体" w:hAnsi="宋体" w:cs="宋体"/>
                <w:kern w:val="0"/>
                <w:sz w:val="24"/>
              </w:rPr>
            </w:pPr>
          </w:p>
        </w:tc>
        <w:tc>
          <w:tcPr>
            <w:tcW w:w="2693" w:type="dxa"/>
            <w:gridSpan w:val="2"/>
            <w:tcBorders>
              <w:top w:val="single" w:color="auto" w:sz="4" w:space="0"/>
              <w:left w:val="nil"/>
              <w:bottom w:val="single" w:color="auto" w:sz="4" w:space="0"/>
              <w:right w:val="single" w:color="auto" w:sz="4" w:space="0"/>
            </w:tcBorders>
            <w:shd w:val="clear" w:color="auto" w:fill="auto"/>
            <w:vAlign w:val="center"/>
          </w:tcPr>
          <w:p w14:paraId="754C630A">
            <w:pPr>
              <w:widowControl/>
              <w:jc w:val="left"/>
              <w:rPr>
                <w:rFonts w:ascii="宋体" w:hAnsi="宋体" w:cs="宋体"/>
                <w:kern w:val="0"/>
                <w:sz w:val="24"/>
              </w:rPr>
            </w:pPr>
            <w:r>
              <w:rPr>
                <w:rFonts w:hint="eastAsia" w:ascii="宋体" w:hAnsi="宋体" w:cs="宋体"/>
                <w:kern w:val="0"/>
                <w:sz w:val="24"/>
              </w:rPr>
              <w:t>2、组织手工编织姐妹赴贵州省盛华职业技术学院、北京服装学院等地开展手工技能提升和品牌优化类培训学习；</w:t>
            </w:r>
          </w:p>
        </w:tc>
        <w:tc>
          <w:tcPr>
            <w:tcW w:w="2410" w:type="dxa"/>
            <w:gridSpan w:val="4"/>
            <w:tcBorders>
              <w:top w:val="nil"/>
              <w:left w:val="nil"/>
              <w:bottom w:val="single" w:color="auto" w:sz="4" w:space="0"/>
              <w:right w:val="single" w:color="auto" w:sz="4" w:space="0"/>
            </w:tcBorders>
            <w:shd w:val="clear" w:color="auto" w:fill="auto"/>
            <w:vAlign w:val="center"/>
          </w:tcPr>
          <w:p w14:paraId="063FD135">
            <w:pPr>
              <w:widowControl/>
              <w:jc w:val="left"/>
              <w:rPr>
                <w:rFonts w:ascii="宋体" w:hAnsi="宋体" w:cs="宋体"/>
                <w:kern w:val="0"/>
                <w:sz w:val="24"/>
              </w:rPr>
            </w:pPr>
            <w:r>
              <w:rPr>
                <w:rFonts w:hint="eastAsia" w:ascii="宋体" w:hAnsi="宋体" w:cs="宋体"/>
                <w:kern w:val="0"/>
                <w:sz w:val="24"/>
              </w:rPr>
              <w:t>20名</w:t>
            </w:r>
          </w:p>
        </w:tc>
        <w:tc>
          <w:tcPr>
            <w:tcW w:w="2778" w:type="dxa"/>
            <w:gridSpan w:val="5"/>
            <w:tcBorders>
              <w:top w:val="nil"/>
              <w:left w:val="nil"/>
              <w:bottom w:val="single" w:color="auto" w:sz="4" w:space="0"/>
              <w:right w:val="single" w:color="auto" w:sz="4" w:space="0"/>
            </w:tcBorders>
            <w:shd w:val="clear" w:color="auto" w:fill="auto"/>
            <w:vAlign w:val="center"/>
          </w:tcPr>
          <w:p w14:paraId="1736FD6F">
            <w:pPr>
              <w:widowControl/>
              <w:jc w:val="left"/>
              <w:rPr>
                <w:rFonts w:ascii="宋体" w:hAnsi="宋体" w:cs="宋体"/>
                <w:kern w:val="0"/>
                <w:sz w:val="24"/>
              </w:rPr>
            </w:pPr>
            <w:r>
              <w:rPr>
                <w:rFonts w:hint="eastAsia" w:ascii="宋体" w:hAnsi="宋体" w:cs="宋体"/>
                <w:kern w:val="0"/>
                <w:sz w:val="24"/>
              </w:rPr>
              <w:t>20名</w:t>
            </w:r>
          </w:p>
        </w:tc>
      </w:tr>
      <w:tr w14:paraId="1F398AEE">
        <w:tblPrEx>
          <w:tblCellMar>
            <w:top w:w="0" w:type="dxa"/>
            <w:left w:w="108" w:type="dxa"/>
            <w:bottom w:w="0" w:type="dxa"/>
            <w:right w:w="108" w:type="dxa"/>
          </w:tblCellMar>
        </w:tblPrEx>
        <w:trPr>
          <w:gridAfter w:val="1"/>
          <w:wAfter w:w="210" w:type="dxa"/>
          <w:trHeight w:val="416" w:hRule="atLeast"/>
        </w:trPr>
        <w:tc>
          <w:tcPr>
            <w:tcW w:w="675" w:type="dxa"/>
            <w:gridSpan w:val="2"/>
            <w:vMerge w:val="continue"/>
            <w:tcBorders>
              <w:top w:val="nil"/>
              <w:left w:val="single" w:color="auto" w:sz="4" w:space="0"/>
              <w:bottom w:val="single" w:color="auto" w:sz="4" w:space="0"/>
              <w:right w:val="single" w:color="auto" w:sz="4" w:space="0"/>
            </w:tcBorders>
            <w:vAlign w:val="center"/>
          </w:tcPr>
          <w:p w14:paraId="30145E7C">
            <w:pPr>
              <w:widowControl/>
              <w:jc w:val="left"/>
              <w:rPr>
                <w:rFonts w:ascii="宋体" w:hAnsi="宋体" w:cs="宋体"/>
                <w:kern w:val="0"/>
                <w:sz w:val="24"/>
              </w:rPr>
            </w:pPr>
          </w:p>
        </w:tc>
        <w:tc>
          <w:tcPr>
            <w:tcW w:w="1134" w:type="dxa"/>
            <w:gridSpan w:val="3"/>
            <w:vMerge w:val="continue"/>
            <w:tcBorders>
              <w:top w:val="nil"/>
              <w:left w:val="single" w:color="auto" w:sz="4" w:space="0"/>
              <w:bottom w:val="single" w:color="auto" w:sz="4" w:space="0"/>
              <w:right w:val="single" w:color="auto" w:sz="4" w:space="0"/>
            </w:tcBorders>
            <w:vAlign w:val="center"/>
          </w:tcPr>
          <w:p w14:paraId="733F6B61">
            <w:pPr>
              <w:widowControl/>
              <w:jc w:val="left"/>
              <w:rPr>
                <w:rFonts w:ascii="宋体" w:hAnsi="宋体" w:cs="宋体"/>
                <w:kern w:val="0"/>
                <w:sz w:val="24"/>
              </w:rPr>
            </w:pPr>
          </w:p>
        </w:tc>
        <w:tc>
          <w:tcPr>
            <w:tcW w:w="851" w:type="dxa"/>
            <w:gridSpan w:val="2"/>
            <w:vMerge w:val="continue"/>
            <w:tcBorders>
              <w:top w:val="nil"/>
              <w:left w:val="single" w:color="auto" w:sz="4" w:space="0"/>
              <w:bottom w:val="single" w:color="auto" w:sz="4" w:space="0"/>
              <w:right w:val="single" w:color="auto" w:sz="4" w:space="0"/>
            </w:tcBorders>
            <w:vAlign w:val="center"/>
          </w:tcPr>
          <w:p w14:paraId="2F7BF7F5">
            <w:pPr>
              <w:widowControl/>
              <w:jc w:val="left"/>
              <w:rPr>
                <w:rFonts w:ascii="宋体" w:hAnsi="宋体" w:cs="宋体"/>
                <w:kern w:val="0"/>
                <w:sz w:val="24"/>
              </w:rPr>
            </w:pPr>
          </w:p>
        </w:tc>
        <w:tc>
          <w:tcPr>
            <w:tcW w:w="2693" w:type="dxa"/>
            <w:gridSpan w:val="2"/>
            <w:tcBorders>
              <w:top w:val="single" w:color="auto" w:sz="4" w:space="0"/>
              <w:left w:val="nil"/>
              <w:bottom w:val="single" w:color="auto" w:sz="4" w:space="0"/>
              <w:right w:val="single" w:color="auto" w:sz="4" w:space="0"/>
            </w:tcBorders>
            <w:shd w:val="clear" w:color="auto" w:fill="auto"/>
            <w:vAlign w:val="center"/>
          </w:tcPr>
          <w:p w14:paraId="43233D1C">
            <w:pPr>
              <w:widowControl/>
              <w:jc w:val="left"/>
              <w:rPr>
                <w:rFonts w:ascii="宋体" w:hAnsi="宋体" w:cs="宋体"/>
                <w:kern w:val="0"/>
                <w:sz w:val="24"/>
              </w:rPr>
            </w:pPr>
            <w:r>
              <w:rPr>
                <w:rFonts w:hint="eastAsia" w:ascii="宋体" w:hAnsi="宋体" w:cs="宋体"/>
                <w:kern w:val="0"/>
                <w:sz w:val="24"/>
              </w:rPr>
              <w:t>3、在阿坝红原等机场设置阿坝州妇女居家灵活就业产品展示展销点。</w:t>
            </w:r>
          </w:p>
        </w:tc>
        <w:tc>
          <w:tcPr>
            <w:tcW w:w="2410" w:type="dxa"/>
            <w:gridSpan w:val="4"/>
            <w:tcBorders>
              <w:top w:val="nil"/>
              <w:left w:val="nil"/>
              <w:bottom w:val="single" w:color="auto" w:sz="4" w:space="0"/>
              <w:right w:val="single" w:color="auto" w:sz="4" w:space="0"/>
            </w:tcBorders>
            <w:shd w:val="clear" w:color="auto" w:fill="auto"/>
            <w:vAlign w:val="center"/>
          </w:tcPr>
          <w:p w14:paraId="11C253E1">
            <w:pPr>
              <w:widowControl/>
              <w:jc w:val="left"/>
              <w:rPr>
                <w:rFonts w:ascii="宋体" w:hAnsi="宋体" w:cs="宋体"/>
                <w:kern w:val="0"/>
                <w:sz w:val="24"/>
              </w:rPr>
            </w:pPr>
            <w:r>
              <w:rPr>
                <w:rFonts w:hint="eastAsia" w:ascii="宋体" w:hAnsi="宋体" w:cs="宋体"/>
                <w:kern w:val="0"/>
                <w:sz w:val="24"/>
              </w:rPr>
              <w:t>2个</w:t>
            </w:r>
          </w:p>
        </w:tc>
        <w:tc>
          <w:tcPr>
            <w:tcW w:w="2778" w:type="dxa"/>
            <w:gridSpan w:val="5"/>
            <w:tcBorders>
              <w:top w:val="nil"/>
              <w:left w:val="nil"/>
              <w:bottom w:val="single" w:color="auto" w:sz="4" w:space="0"/>
              <w:right w:val="single" w:color="auto" w:sz="4" w:space="0"/>
            </w:tcBorders>
            <w:shd w:val="clear" w:color="auto" w:fill="auto"/>
            <w:vAlign w:val="center"/>
          </w:tcPr>
          <w:p w14:paraId="253D43E5">
            <w:pPr>
              <w:widowControl/>
              <w:jc w:val="left"/>
              <w:rPr>
                <w:rFonts w:ascii="宋体" w:hAnsi="宋体" w:cs="宋体"/>
                <w:kern w:val="0"/>
                <w:sz w:val="24"/>
              </w:rPr>
            </w:pPr>
            <w:r>
              <w:rPr>
                <w:rFonts w:hint="eastAsia" w:ascii="宋体" w:hAnsi="宋体" w:cs="宋体"/>
                <w:kern w:val="0"/>
                <w:sz w:val="24"/>
              </w:rPr>
              <w:t>2个</w:t>
            </w:r>
          </w:p>
        </w:tc>
      </w:tr>
      <w:tr w14:paraId="64E24EAE">
        <w:tblPrEx>
          <w:tblCellMar>
            <w:top w:w="0" w:type="dxa"/>
            <w:left w:w="108" w:type="dxa"/>
            <w:bottom w:w="0" w:type="dxa"/>
            <w:right w:w="108" w:type="dxa"/>
          </w:tblCellMar>
        </w:tblPrEx>
        <w:trPr>
          <w:gridAfter w:val="1"/>
          <w:wAfter w:w="210" w:type="dxa"/>
          <w:trHeight w:val="2190" w:hRule="atLeast"/>
        </w:trPr>
        <w:tc>
          <w:tcPr>
            <w:tcW w:w="675" w:type="dxa"/>
            <w:gridSpan w:val="2"/>
            <w:vMerge w:val="continue"/>
            <w:tcBorders>
              <w:top w:val="nil"/>
              <w:left w:val="single" w:color="auto" w:sz="4" w:space="0"/>
              <w:bottom w:val="single" w:color="auto" w:sz="4" w:space="0"/>
              <w:right w:val="single" w:color="auto" w:sz="4" w:space="0"/>
            </w:tcBorders>
            <w:vAlign w:val="center"/>
          </w:tcPr>
          <w:p w14:paraId="599F27C1">
            <w:pPr>
              <w:widowControl/>
              <w:jc w:val="left"/>
              <w:rPr>
                <w:rFonts w:ascii="宋体" w:hAnsi="宋体" w:cs="宋体"/>
                <w:kern w:val="0"/>
                <w:sz w:val="24"/>
              </w:rPr>
            </w:pPr>
          </w:p>
        </w:tc>
        <w:tc>
          <w:tcPr>
            <w:tcW w:w="1134" w:type="dxa"/>
            <w:gridSpan w:val="3"/>
            <w:vMerge w:val="continue"/>
            <w:tcBorders>
              <w:top w:val="nil"/>
              <w:left w:val="single" w:color="auto" w:sz="4" w:space="0"/>
              <w:bottom w:val="single" w:color="auto" w:sz="4" w:space="0"/>
              <w:right w:val="single" w:color="auto" w:sz="4" w:space="0"/>
            </w:tcBorders>
            <w:vAlign w:val="center"/>
          </w:tcPr>
          <w:p w14:paraId="48D663A6">
            <w:pPr>
              <w:widowControl/>
              <w:jc w:val="left"/>
              <w:rPr>
                <w:rFonts w:ascii="宋体" w:hAnsi="宋体" w:cs="宋体"/>
                <w:kern w:val="0"/>
                <w:sz w:val="24"/>
              </w:rPr>
            </w:pPr>
          </w:p>
        </w:tc>
        <w:tc>
          <w:tcPr>
            <w:tcW w:w="851" w:type="dxa"/>
            <w:gridSpan w:val="2"/>
            <w:tcBorders>
              <w:top w:val="nil"/>
              <w:left w:val="nil"/>
              <w:bottom w:val="single" w:color="auto" w:sz="4" w:space="0"/>
              <w:right w:val="single" w:color="auto" w:sz="4" w:space="0"/>
            </w:tcBorders>
            <w:shd w:val="clear" w:color="auto" w:fill="auto"/>
            <w:vAlign w:val="center"/>
          </w:tcPr>
          <w:p w14:paraId="5BCCC789">
            <w:pPr>
              <w:widowControl/>
              <w:jc w:val="center"/>
              <w:rPr>
                <w:rFonts w:ascii="宋体" w:hAnsi="宋体" w:cs="宋体"/>
                <w:kern w:val="0"/>
                <w:sz w:val="24"/>
              </w:rPr>
            </w:pPr>
            <w:r>
              <w:rPr>
                <w:rFonts w:hint="eastAsia" w:ascii="宋体" w:hAnsi="宋体" w:cs="宋体"/>
                <w:kern w:val="0"/>
                <w:sz w:val="24"/>
              </w:rPr>
              <w:t>质量指标</w:t>
            </w:r>
          </w:p>
        </w:tc>
        <w:tc>
          <w:tcPr>
            <w:tcW w:w="2693" w:type="dxa"/>
            <w:gridSpan w:val="2"/>
            <w:tcBorders>
              <w:top w:val="single" w:color="auto" w:sz="4" w:space="0"/>
              <w:left w:val="nil"/>
              <w:bottom w:val="single" w:color="auto" w:sz="4" w:space="0"/>
              <w:right w:val="single" w:color="auto" w:sz="4" w:space="0"/>
            </w:tcBorders>
            <w:shd w:val="clear" w:color="auto" w:fill="auto"/>
            <w:vAlign w:val="center"/>
          </w:tcPr>
          <w:p w14:paraId="11736232">
            <w:pPr>
              <w:widowControl/>
              <w:jc w:val="left"/>
              <w:rPr>
                <w:rFonts w:ascii="宋体" w:hAnsi="宋体" w:cs="宋体"/>
                <w:kern w:val="0"/>
                <w:sz w:val="24"/>
              </w:rPr>
            </w:pPr>
            <w:r>
              <w:rPr>
                <w:rFonts w:hint="eastAsia" w:ascii="宋体" w:hAnsi="宋体" w:cs="宋体"/>
                <w:kern w:val="0"/>
                <w:sz w:val="24"/>
              </w:rPr>
              <w:t xml:space="preserve"> 20名妇女在手工编织色彩搭配、手工技能、品牌优化等方面有所收获；手工编织技能大赛暨品牌推广系列活动有一定的社会影响，群众反响好，选树出具有代表性和阿坝特质的妇女手工编织品牌；在阿坝红原等机场设置展示展销点帮助妇女姐妹推广特色手工编织产品，拓宽销售渠道。</w:t>
            </w:r>
          </w:p>
        </w:tc>
        <w:tc>
          <w:tcPr>
            <w:tcW w:w="2410" w:type="dxa"/>
            <w:gridSpan w:val="4"/>
            <w:tcBorders>
              <w:top w:val="nil"/>
              <w:left w:val="nil"/>
              <w:bottom w:val="single" w:color="auto" w:sz="4" w:space="0"/>
              <w:right w:val="single" w:color="auto" w:sz="4" w:space="0"/>
            </w:tcBorders>
            <w:shd w:val="clear" w:color="auto" w:fill="auto"/>
            <w:vAlign w:val="center"/>
          </w:tcPr>
          <w:p w14:paraId="76B3C871">
            <w:pPr>
              <w:widowControl/>
              <w:jc w:val="left"/>
              <w:rPr>
                <w:rFonts w:ascii="宋体" w:hAnsi="宋体" w:cs="宋体"/>
                <w:kern w:val="0"/>
                <w:sz w:val="24"/>
              </w:rPr>
            </w:pPr>
            <w:r>
              <w:rPr>
                <w:rFonts w:hint="eastAsia" w:ascii="宋体" w:hAnsi="宋体" w:cs="宋体"/>
                <w:kern w:val="0"/>
                <w:sz w:val="24"/>
              </w:rPr>
              <w:t>　</w:t>
            </w:r>
          </w:p>
        </w:tc>
        <w:tc>
          <w:tcPr>
            <w:tcW w:w="2778" w:type="dxa"/>
            <w:gridSpan w:val="5"/>
            <w:tcBorders>
              <w:top w:val="nil"/>
              <w:left w:val="nil"/>
              <w:bottom w:val="single" w:color="auto" w:sz="4" w:space="0"/>
              <w:right w:val="single" w:color="auto" w:sz="4" w:space="0"/>
            </w:tcBorders>
            <w:shd w:val="clear" w:color="auto" w:fill="auto"/>
            <w:vAlign w:val="center"/>
          </w:tcPr>
          <w:p w14:paraId="313FC462">
            <w:pPr>
              <w:widowControl/>
              <w:jc w:val="left"/>
              <w:rPr>
                <w:rFonts w:ascii="宋体" w:hAnsi="宋体" w:cs="宋体"/>
                <w:kern w:val="0"/>
                <w:sz w:val="24"/>
              </w:rPr>
            </w:pPr>
            <w:r>
              <w:rPr>
                <w:rFonts w:hint="eastAsia" w:ascii="宋体" w:hAnsi="宋体" w:cs="宋体"/>
                <w:kern w:val="0"/>
                <w:sz w:val="24"/>
              </w:rPr>
              <w:t xml:space="preserve"> 20名妇女在手工编织色彩搭配、手工技能、品牌优化等方面有所收获；手工编织技能大赛暨品牌推广系列活动有一定的社会影响，群众反响好，选树出具有代表性和阿坝特质的妇女手工编织品牌；在阿坝红原等机场设置展示展销点帮助妇女姐妹推广特色手工编织产品，拓宽销售渠道。</w:t>
            </w:r>
          </w:p>
        </w:tc>
      </w:tr>
      <w:tr w14:paraId="7EB3AE64">
        <w:tblPrEx>
          <w:tblCellMar>
            <w:top w:w="0" w:type="dxa"/>
            <w:left w:w="108" w:type="dxa"/>
            <w:bottom w:w="0" w:type="dxa"/>
            <w:right w:w="108" w:type="dxa"/>
          </w:tblCellMar>
        </w:tblPrEx>
        <w:trPr>
          <w:gridAfter w:val="1"/>
          <w:wAfter w:w="210" w:type="dxa"/>
          <w:trHeight w:val="889" w:hRule="atLeast"/>
        </w:trPr>
        <w:tc>
          <w:tcPr>
            <w:tcW w:w="675" w:type="dxa"/>
            <w:gridSpan w:val="2"/>
            <w:vMerge w:val="continue"/>
            <w:tcBorders>
              <w:top w:val="nil"/>
              <w:left w:val="single" w:color="auto" w:sz="4" w:space="0"/>
              <w:bottom w:val="single" w:color="auto" w:sz="4" w:space="0"/>
              <w:right w:val="single" w:color="auto" w:sz="4" w:space="0"/>
            </w:tcBorders>
            <w:vAlign w:val="center"/>
          </w:tcPr>
          <w:p w14:paraId="793B4A97">
            <w:pPr>
              <w:widowControl/>
              <w:jc w:val="left"/>
              <w:rPr>
                <w:rFonts w:ascii="宋体" w:hAnsi="宋体" w:cs="宋体"/>
                <w:kern w:val="0"/>
                <w:sz w:val="24"/>
              </w:rPr>
            </w:pPr>
          </w:p>
        </w:tc>
        <w:tc>
          <w:tcPr>
            <w:tcW w:w="1134" w:type="dxa"/>
            <w:gridSpan w:val="3"/>
            <w:vMerge w:val="continue"/>
            <w:tcBorders>
              <w:top w:val="nil"/>
              <w:left w:val="single" w:color="auto" w:sz="4" w:space="0"/>
              <w:bottom w:val="single" w:color="auto" w:sz="4" w:space="0"/>
              <w:right w:val="single" w:color="auto" w:sz="4" w:space="0"/>
            </w:tcBorders>
            <w:vAlign w:val="center"/>
          </w:tcPr>
          <w:p w14:paraId="5088A509">
            <w:pPr>
              <w:widowControl/>
              <w:jc w:val="left"/>
              <w:rPr>
                <w:rFonts w:ascii="宋体" w:hAnsi="宋体" w:cs="宋体"/>
                <w:kern w:val="0"/>
                <w:sz w:val="24"/>
              </w:rPr>
            </w:pPr>
          </w:p>
        </w:tc>
        <w:tc>
          <w:tcPr>
            <w:tcW w:w="851"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EE27786">
            <w:pPr>
              <w:widowControl/>
              <w:jc w:val="center"/>
              <w:rPr>
                <w:rFonts w:ascii="宋体" w:hAnsi="宋体" w:cs="宋体"/>
                <w:kern w:val="0"/>
                <w:sz w:val="24"/>
              </w:rPr>
            </w:pPr>
            <w:r>
              <w:rPr>
                <w:rFonts w:hint="eastAsia" w:ascii="宋体" w:hAnsi="宋体" w:cs="宋体"/>
                <w:kern w:val="0"/>
                <w:sz w:val="24"/>
              </w:rPr>
              <w:t>时效指标</w:t>
            </w:r>
          </w:p>
        </w:tc>
        <w:tc>
          <w:tcPr>
            <w:tcW w:w="2693" w:type="dxa"/>
            <w:gridSpan w:val="2"/>
            <w:tcBorders>
              <w:top w:val="single" w:color="auto" w:sz="4" w:space="0"/>
              <w:left w:val="nil"/>
              <w:bottom w:val="single" w:color="auto" w:sz="4" w:space="0"/>
              <w:right w:val="single" w:color="auto" w:sz="4" w:space="0"/>
            </w:tcBorders>
            <w:shd w:val="clear" w:color="auto" w:fill="auto"/>
            <w:vAlign w:val="center"/>
          </w:tcPr>
          <w:p w14:paraId="7F202859">
            <w:pPr>
              <w:widowControl/>
              <w:jc w:val="left"/>
              <w:rPr>
                <w:rFonts w:ascii="宋体" w:hAnsi="宋体" w:cs="宋体"/>
                <w:kern w:val="0"/>
                <w:sz w:val="24"/>
              </w:rPr>
            </w:pPr>
            <w:r>
              <w:rPr>
                <w:rFonts w:hint="eastAsia" w:ascii="宋体" w:hAnsi="宋体" w:cs="宋体"/>
                <w:kern w:val="0"/>
                <w:sz w:val="24"/>
              </w:rPr>
              <w:t>手工编织技能大赛暨品牌推广系列活动；</w:t>
            </w:r>
          </w:p>
        </w:tc>
        <w:tc>
          <w:tcPr>
            <w:tcW w:w="2410" w:type="dxa"/>
            <w:gridSpan w:val="4"/>
            <w:tcBorders>
              <w:top w:val="nil"/>
              <w:left w:val="nil"/>
              <w:bottom w:val="single" w:color="auto" w:sz="4" w:space="0"/>
              <w:right w:val="single" w:color="auto" w:sz="4" w:space="0"/>
            </w:tcBorders>
            <w:shd w:val="clear" w:color="auto" w:fill="auto"/>
            <w:vAlign w:val="center"/>
          </w:tcPr>
          <w:p w14:paraId="7F356453">
            <w:pPr>
              <w:widowControl/>
              <w:jc w:val="left"/>
              <w:rPr>
                <w:rFonts w:ascii="宋体" w:hAnsi="宋体" w:cs="宋体"/>
                <w:kern w:val="0"/>
                <w:sz w:val="24"/>
              </w:rPr>
            </w:pPr>
            <w:r>
              <w:rPr>
                <w:rFonts w:hint="eastAsia" w:ascii="宋体" w:hAnsi="宋体" w:cs="宋体"/>
                <w:kern w:val="0"/>
                <w:sz w:val="24"/>
              </w:rPr>
              <w:t>2019年12月31日前</w:t>
            </w:r>
          </w:p>
        </w:tc>
        <w:tc>
          <w:tcPr>
            <w:tcW w:w="2778" w:type="dxa"/>
            <w:gridSpan w:val="5"/>
            <w:tcBorders>
              <w:top w:val="nil"/>
              <w:left w:val="nil"/>
              <w:bottom w:val="single" w:color="auto" w:sz="4" w:space="0"/>
              <w:right w:val="single" w:color="auto" w:sz="4" w:space="0"/>
            </w:tcBorders>
            <w:shd w:val="clear" w:color="auto" w:fill="auto"/>
            <w:vAlign w:val="center"/>
          </w:tcPr>
          <w:p w14:paraId="5AFBC00D">
            <w:pPr>
              <w:widowControl/>
              <w:jc w:val="left"/>
              <w:rPr>
                <w:rFonts w:ascii="宋体" w:hAnsi="宋体" w:cs="宋体"/>
                <w:kern w:val="0"/>
                <w:sz w:val="24"/>
              </w:rPr>
            </w:pPr>
            <w:r>
              <w:rPr>
                <w:rFonts w:hint="eastAsia" w:ascii="宋体" w:hAnsi="宋体" w:cs="宋体"/>
                <w:kern w:val="0"/>
                <w:sz w:val="24"/>
              </w:rPr>
              <w:t>2019年12月31日前已完成</w:t>
            </w:r>
          </w:p>
        </w:tc>
      </w:tr>
      <w:tr w14:paraId="54FB00ED">
        <w:tblPrEx>
          <w:tblCellMar>
            <w:top w:w="0" w:type="dxa"/>
            <w:left w:w="108" w:type="dxa"/>
            <w:bottom w:w="0" w:type="dxa"/>
            <w:right w:w="108" w:type="dxa"/>
          </w:tblCellMar>
        </w:tblPrEx>
        <w:trPr>
          <w:gridAfter w:val="1"/>
          <w:wAfter w:w="210" w:type="dxa"/>
          <w:trHeight w:val="439" w:hRule="atLeast"/>
        </w:trPr>
        <w:tc>
          <w:tcPr>
            <w:tcW w:w="675" w:type="dxa"/>
            <w:gridSpan w:val="2"/>
            <w:vMerge w:val="continue"/>
            <w:tcBorders>
              <w:top w:val="nil"/>
              <w:left w:val="single" w:color="auto" w:sz="4" w:space="0"/>
              <w:bottom w:val="single" w:color="auto" w:sz="4" w:space="0"/>
              <w:right w:val="single" w:color="auto" w:sz="4" w:space="0"/>
            </w:tcBorders>
            <w:vAlign w:val="center"/>
          </w:tcPr>
          <w:p w14:paraId="4D5655A1">
            <w:pPr>
              <w:widowControl/>
              <w:jc w:val="left"/>
              <w:rPr>
                <w:rFonts w:ascii="宋体" w:hAnsi="宋体" w:cs="宋体"/>
                <w:kern w:val="0"/>
                <w:sz w:val="24"/>
              </w:rPr>
            </w:pPr>
          </w:p>
        </w:tc>
        <w:tc>
          <w:tcPr>
            <w:tcW w:w="1134" w:type="dxa"/>
            <w:gridSpan w:val="3"/>
            <w:vMerge w:val="continue"/>
            <w:tcBorders>
              <w:top w:val="nil"/>
              <w:left w:val="single" w:color="auto" w:sz="4" w:space="0"/>
              <w:bottom w:val="single" w:color="auto" w:sz="4" w:space="0"/>
              <w:right w:val="single" w:color="auto" w:sz="4" w:space="0"/>
            </w:tcBorders>
            <w:vAlign w:val="center"/>
          </w:tcPr>
          <w:p w14:paraId="1F905EAC">
            <w:pPr>
              <w:widowControl/>
              <w:jc w:val="left"/>
              <w:rPr>
                <w:rFonts w:ascii="宋体" w:hAnsi="宋体" w:cs="宋体"/>
                <w:kern w:val="0"/>
                <w:sz w:val="24"/>
              </w:rPr>
            </w:pPr>
          </w:p>
        </w:tc>
        <w:tc>
          <w:tcPr>
            <w:tcW w:w="851" w:type="dxa"/>
            <w:gridSpan w:val="2"/>
            <w:vMerge w:val="continue"/>
            <w:tcBorders>
              <w:top w:val="nil"/>
              <w:left w:val="single" w:color="auto" w:sz="4" w:space="0"/>
              <w:bottom w:val="single" w:color="auto" w:sz="4" w:space="0"/>
              <w:right w:val="single" w:color="auto" w:sz="4" w:space="0"/>
            </w:tcBorders>
            <w:vAlign w:val="center"/>
          </w:tcPr>
          <w:p w14:paraId="6EF6E0FF">
            <w:pPr>
              <w:widowControl/>
              <w:jc w:val="left"/>
              <w:rPr>
                <w:rFonts w:ascii="宋体" w:hAnsi="宋体" w:cs="宋体"/>
                <w:kern w:val="0"/>
                <w:sz w:val="24"/>
              </w:rPr>
            </w:pPr>
          </w:p>
        </w:tc>
        <w:tc>
          <w:tcPr>
            <w:tcW w:w="2693" w:type="dxa"/>
            <w:gridSpan w:val="2"/>
            <w:tcBorders>
              <w:top w:val="single" w:color="auto" w:sz="4" w:space="0"/>
              <w:left w:val="nil"/>
              <w:bottom w:val="single" w:color="auto" w:sz="4" w:space="0"/>
              <w:right w:val="single" w:color="auto" w:sz="4" w:space="0"/>
            </w:tcBorders>
            <w:shd w:val="clear" w:color="auto" w:fill="auto"/>
            <w:vAlign w:val="center"/>
          </w:tcPr>
          <w:p w14:paraId="19681E16">
            <w:pPr>
              <w:widowControl/>
              <w:jc w:val="left"/>
              <w:rPr>
                <w:rFonts w:ascii="宋体" w:hAnsi="宋体" w:cs="宋体"/>
                <w:kern w:val="0"/>
                <w:sz w:val="24"/>
              </w:rPr>
            </w:pPr>
            <w:r>
              <w:rPr>
                <w:rFonts w:hint="eastAsia" w:ascii="宋体" w:hAnsi="宋体" w:cs="宋体"/>
                <w:kern w:val="0"/>
                <w:sz w:val="24"/>
              </w:rPr>
              <w:t>培训工作；</w:t>
            </w:r>
          </w:p>
        </w:tc>
        <w:tc>
          <w:tcPr>
            <w:tcW w:w="2410" w:type="dxa"/>
            <w:gridSpan w:val="4"/>
            <w:tcBorders>
              <w:top w:val="nil"/>
              <w:left w:val="nil"/>
              <w:bottom w:val="single" w:color="auto" w:sz="4" w:space="0"/>
              <w:right w:val="single" w:color="auto" w:sz="4" w:space="0"/>
            </w:tcBorders>
            <w:shd w:val="clear" w:color="auto" w:fill="auto"/>
            <w:vAlign w:val="center"/>
          </w:tcPr>
          <w:p w14:paraId="5484D3BF">
            <w:pPr>
              <w:widowControl/>
              <w:jc w:val="left"/>
              <w:rPr>
                <w:rFonts w:ascii="宋体" w:hAnsi="宋体" w:cs="宋体"/>
                <w:kern w:val="0"/>
                <w:sz w:val="24"/>
              </w:rPr>
            </w:pPr>
            <w:r>
              <w:rPr>
                <w:rFonts w:hint="eastAsia" w:ascii="宋体" w:hAnsi="宋体" w:cs="宋体"/>
                <w:kern w:val="0"/>
                <w:sz w:val="24"/>
              </w:rPr>
              <w:t>2019年12月31日前</w:t>
            </w:r>
          </w:p>
        </w:tc>
        <w:tc>
          <w:tcPr>
            <w:tcW w:w="2778" w:type="dxa"/>
            <w:gridSpan w:val="5"/>
            <w:tcBorders>
              <w:top w:val="nil"/>
              <w:left w:val="nil"/>
              <w:bottom w:val="single" w:color="auto" w:sz="4" w:space="0"/>
              <w:right w:val="single" w:color="auto" w:sz="4" w:space="0"/>
            </w:tcBorders>
            <w:shd w:val="clear" w:color="auto" w:fill="auto"/>
            <w:vAlign w:val="center"/>
          </w:tcPr>
          <w:p w14:paraId="71E5FCA1">
            <w:pPr>
              <w:widowControl/>
              <w:jc w:val="left"/>
              <w:rPr>
                <w:rFonts w:ascii="宋体" w:hAnsi="宋体" w:cs="宋体"/>
                <w:kern w:val="0"/>
                <w:sz w:val="24"/>
              </w:rPr>
            </w:pPr>
            <w:r>
              <w:rPr>
                <w:rFonts w:hint="eastAsia" w:ascii="宋体" w:hAnsi="宋体" w:cs="宋体"/>
                <w:kern w:val="0"/>
                <w:sz w:val="24"/>
              </w:rPr>
              <w:t>2019年12月31日前已完成</w:t>
            </w:r>
          </w:p>
        </w:tc>
      </w:tr>
      <w:tr w14:paraId="47720178">
        <w:tblPrEx>
          <w:tblCellMar>
            <w:top w:w="0" w:type="dxa"/>
            <w:left w:w="108" w:type="dxa"/>
            <w:bottom w:w="0" w:type="dxa"/>
            <w:right w:w="108" w:type="dxa"/>
          </w:tblCellMar>
        </w:tblPrEx>
        <w:trPr>
          <w:gridAfter w:val="1"/>
          <w:wAfter w:w="210" w:type="dxa"/>
          <w:trHeight w:val="930" w:hRule="atLeast"/>
        </w:trPr>
        <w:tc>
          <w:tcPr>
            <w:tcW w:w="675" w:type="dxa"/>
            <w:gridSpan w:val="2"/>
            <w:vMerge w:val="continue"/>
            <w:tcBorders>
              <w:top w:val="nil"/>
              <w:left w:val="single" w:color="auto" w:sz="4" w:space="0"/>
              <w:bottom w:val="single" w:color="auto" w:sz="4" w:space="0"/>
              <w:right w:val="single" w:color="auto" w:sz="4" w:space="0"/>
            </w:tcBorders>
            <w:vAlign w:val="center"/>
          </w:tcPr>
          <w:p w14:paraId="52876CDD">
            <w:pPr>
              <w:widowControl/>
              <w:jc w:val="left"/>
              <w:rPr>
                <w:rFonts w:ascii="宋体" w:hAnsi="宋体" w:cs="宋体"/>
                <w:kern w:val="0"/>
                <w:sz w:val="24"/>
              </w:rPr>
            </w:pPr>
          </w:p>
        </w:tc>
        <w:tc>
          <w:tcPr>
            <w:tcW w:w="1134" w:type="dxa"/>
            <w:gridSpan w:val="3"/>
            <w:vMerge w:val="continue"/>
            <w:tcBorders>
              <w:top w:val="nil"/>
              <w:left w:val="single" w:color="auto" w:sz="4" w:space="0"/>
              <w:bottom w:val="single" w:color="auto" w:sz="4" w:space="0"/>
              <w:right w:val="single" w:color="auto" w:sz="4" w:space="0"/>
            </w:tcBorders>
            <w:vAlign w:val="center"/>
          </w:tcPr>
          <w:p w14:paraId="5490F522">
            <w:pPr>
              <w:widowControl/>
              <w:jc w:val="left"/>
              <w:rPr>
                <w:rFonts w:ascii="宋体" w:hAnsi="宋体" w:cs="宋体"/>
                <w:kern w:val="0"/>
                <w:sz w:val="24"/>
              </w:rPr>
            </w:pPr>
          </w:p>
        </w:tc>
        <w:tc>
          <w:tcPr>
            <w:tcW w:w="851" w:type="dxa"/>
            <w:gridSpan w:val="2"/>
            <w:vMerge w:val="continue"/>
            <w:tcBorders>
              <w:top w:val="nil"/>
              <w:left w:val="single" w:color="auto" w:sz="4" w:space="0"/>
              <w:bottom w:val="single" w:color="auto" w:sz="4" w:space="0"/>
              <w:right w:val="single" w:color="auto" w:sz="4" w:space="0"/>
            </w:tcBorders>
            <w:vAlign w:val="center"/>
          </w:tcPr>
          <w:p w14:paraId="790DF22E">
            <w:pPr>
              <w:widowControl/>
              <w:jc w:val="left"/>
              <w:rPr>
                <w:rFonts w:ascii="宋体" w:hAnsi="宋体" w:cs="宋体"/>
                <w:kern w:val="0"/>
                <w:sz w:val="24"/>
              </w:rPr>
            </w:pPr>
          </w:p>
        </w:tc>
        <w:tc>
          <w:tcPr>
            <w:tcW w:w="2693" w:type="dxa"/>
            <w:gridSpan w:val="2"/>
            <w:tcBorders>
              <w:top w:val="single" w:color="auto" w:sz="4" w:space="0"/>
              <w:left w:val="nil"/>
              <w:bottom w:val="single" w:color="auto" w:sz="4" w:space="0"/>
              <w:right w:val="single" w:color="auto" w:sz="4" w:space="0"/>
            </w:tcBorders>
            <w:shd w:val="clear" w:color="auto" w:fill="auto"/>
            <w:vAlign w:val="center"/>
          </w:tcPr>
          <w:p w14:paraId="7DC9A262">
            <w:pPr>
              <w:widowControl/>
              <w:jc w:val="left"/>
              <w:rPr>
                <w:rFonts w:ascii="宋体" w:hAnsi="宋体" w:cs="宋体"/>
                <w:kern w:val="0"/>
                <w:sz w:val="24"/>
              </w:rPr>
            </w:pPr>
            <w:r>
              <w:rPr>
                <w:rFonts w:hint="eastAsia" w:ascii="宋体" w:hAnsi="宋体" w:cs="宋体"/>
                <w:kern w:val="0"/>
                <w:sz w:val="24"/>
              </w:rPr>
              <w:t>展示展销点设置工作。</w:t>
            </w:r>
          </w:p>
        </w:tc>
        <w:tc>
          <w:tcPr>
            <w:tcW w:w="2410" w:type="dxa"/>
            <w:gridSpan w:val="4"/>
            <w:tcBorders>
              <w:top w:val="nil"/>
              <w:left w:val="nil"/>
              <w:bottom w:val="single" w:color="auto" w:sz="4" w:space="0"/>
              <w:right w:val="single" w:color="auto" w:sz="4" w:space="0"/>
            </w:tcBorders>
            <w:shd w:val="clear" w:color="auto" w:fill="auto"/>
            <w:vAlign w:val="center"/>
          </w:tcPr>
          <w:p w14:paraId="7AE386EC">
            <w:pPr>
              <w:widowControl/>
              <w:jc w:val="left"/>
              <w:rPr>
                <w:rFonts w:ascii="宋体" w:hAnsi="宋体" w:cs="宋体"/>
                <w:kern w:val="0"/>
                <w:sz w:val="24"/>
              </w:rPr>
            </w:pPr>
            <w:r>
              <w:rPr>
                <w:rFonts w:hint="eastAsia" w:ascii="宋体" w:hAnsi="宋体" w:cs="宋体"/>
                <w:kern w:val="0"/>
                <w:sz w:val="24"/>
              </w:rPr>
              <w:t>2019年12月31日前</w:t>
            </w:r>
          </w:p>
        </w:tc>
        <w:tc>
          <w:tcPr>
            <w:tcW w:w="2778" w:type="dxa"/>
            <w:gridSpan w:val="5"/>
            <w:tcBorders>
              <w:top w:val="nil"/>
              <w:left w:val="nil"/>
              <w:bottom w:val="single" w:color="auto" w:sz="4" w:space="0"/>
              <w:right w:val="single" w:color="auto" w:sz="4" w:space="0"/>
            </w:tcBorders>
            <w:shd w:val="clear" w:color="auto" w:fill="auto"/>
            <w:vAlign w:val="center"/>
          </w:tcPr>
          <w:p w14:paraId="0E25F689">
            <w:pPr>
              <w:widowControl/>
              <w:jc w:val="left"/>
              <w:rPr>
                <w:rFonts w:ascii="宋体" w:hAnsi="宋体" w:cs="宋体"/>
                <w:kern w:val="0"/>
                <w:sz w:val="24"/>
              </w:rPr>
            </w:pPr>
            <w:r>
              <w:rPr>
                <w:rFonts w:hint="eastAsia" w:ascii="宋体" w:hAnsi="宋体" w:cs="宋体"/>
                <w:kern w:val="0"/>
                <w:sz w:val="24"/>
              </w:rPr>
              <w:t>展柜制作、协议签订等功工作已经完成，但是受高原恶劣气候和疫情影响暂未全面完成展柜安装和产品上架工作，待疫情结束将立即完成。</w:t>
            </w:r>
          </w:p>
        </w:tc>
      </w:tr>
      <w:tr w14:paraId="6190FA09">
        <w:tblPrEx>
          <w:tblCellMar>
            <w:top w:w="0" w:type="dxa"/>
            <w:left w:w="108" w:type="dxa"/>
            <w:bottom w:w="0" w:type="dxa"/>
            <w:right w:w="108" w:type="dxa"/>
          </w:tblCellMar>
        </w:tblPrEx>
        <w:trPr>
          <w:gridAfter w:val="1"/>
          <w:wAfter w:w="210" w:type="dxa"/>
          <w:trHeight w:val="4887" w:hRule="atLeast"/>
        </w:trPr>
        <w:tc>
          <w:tcPr>
            <w:tcW w:w="675" w:type="dxa"/>
            <w:gridSpan w:val="2"/>
            <w:vMerge w:val="continue"/>
            <w:tcBorders>
              <w:top w:val="nil"/>
              <w:left w:val="single" w:color="auto" w:sz="4" w:space="0"/>
              <w:bottom w:val="single" w:color="auto" w:sz="4" w:space="0"/>
              <w:right w:val="single" w:color="auto" w:sz="4" w:space="0"/>
            </w:tcBorders>
            <w:vAlign w:val="center"/>
          </w:tcPr>
          <w:p w14:paraId="198BABFC">
            <w:pPr>
              <w:widowControl/>
              <w:jc w:val="left"/>
              <w:rPr>
                <w:rFonts w:ascii="宋体" w:hAnsi="宋体" w:cs="宋体"/>
                <w:kern w:val="0"/>
                <w:sz w:val="24"/>
              </w:rPr>
            </w:pPr>
          </w:p>
        </w:tc>
        <w:tc>
          <w:tcPr>
            <w:tcW w:w="1134" w:type="dxa"/>
            <w:gridSpan w:val="3"/>
            <w:vMerge w:val="continue"/>
            <w:tcBorders>
              <w:top w:val="nil"/>
              <w:left w:val="single" w:color="auto" w:sz="4" w:space="0"/>
              <w:bottom w:val="single" w:color="auto" w:sz="4" w:space="0"/>
              <w:right w:val="single" w:color="auto" w:sz="4" w:space="0"/>
            </w:tcBorders>
            <w:vAlign w:val="center"/>
          </w:tcPr>
          <w:p w14:paraId="0BBB8E46">
            <w:pPr>
              <w:widowControl/>
              <w:jc w:val="left"/>
              <w:rPr>
                <w:rFonts w:ascii="宋体" w:hAnsi="宋体" w:cs="宋体"/>
                <w:kern w:val="0"/>
                <w:sz w:val="24"/>
              </w:rPr>
            </w:pPr>
          </w:p>
        </w:tc>
        <w:tc>
          <w:tcPr>
            <w:tcW w:w="851" w:type="dxa"/>
            <w:gridSpan w:val="2"/>
            <w:tcBorders>
              <w:top w:val="nil"/>
              <w:left w:val="nil"/>
              <w:bottom w:val="single" w:color="auto" w:sz="4" w:space="0"/>
              <w:right w:val="single" w:color="auto" w:sz="4" w:space="0"/>
            </w:tcBorders>
            <w:shd w:val="clear" w:color="auto" w:fill="auto"/>
            <w:vAlign w:val="center"/>
          </w:tcPr>
          <w:p w14:paraId="088AF7FD">
            <w:pPr>
              <w:widowControl/>
              <w:jc w:val="center"/>
              <w:rPr>
                <w:rFonts w:ascii="宋体" w:hAnsi="宋体" w:cs="宋体"/>
                <w:kern w:val="0"/>
                <w:sz w:val="24"/>
              </w:rPr>
            </w:pPr>
            <w:r>
              <w:rPr>
                <w:rFonts w:hint="eastAsia" w:ascii="宋体" w:hAnsi="宋体" w:cs="宋体"/>
                <w:kern w:val="0"/>
                <w:sz w:val="24"/>
              </w:rPr>
              <w:t>经济效益</w:t>
            </w:r>
            <w:r>
              <w:rPr>
                <w:rFonts w:hint="eastAsia" w:ascii="宋体" w:hAnsi="宋体" w:cs="宋体"/>
                <w:kern w:val="0"/>
                <w:sz w:val="24"/>
              </w:rPr>
              <w:br w:type="textWrapping"/>
            </w:r>
            <w:r>
              <w:rPr>
                <w:rFonts w:hint="eastAsia" w:ascii="宋体" w:hAnsi="宋体" w:cs="宋体"/>
                <w:kern w:val="0"/>
                <w:sz w:val="24"/>
              </w:rPr>
              <w:t>指标</w:t>
            </w:r>
          </w:p>
        </w:tc>
        <w:tc>
          <w:tcPr>
            <w:tcW w:w="2693" w:type="dxa"/>
            <w:gridSpan w:val="2"/>
            <w:tcBorders>
              <w:top w:val="single" w:color="auto" w:sz="4" w:space="0"/>
              <w:left w:val="nil"/>
              <w:bottom w:val="single" w:color="auto" w:sz="4" w:space="0"/>
              <w:right w:val="single" w:color="auto" w:sz="4" w:space="0"/>
            </w:tcBorders>
            <w:shd w:val="clear" w:color="auto" w:fill="auto"/>
            <w:vAlign w:val="center"/>
          </w:tcPr>
          <w:p w14:paraId="3E3E3CA5">
            <w:pPr>
              <w:widowControl/>
              <w:jc w:val="left"/>
              <w:rPr>
                <w:rFonts w:ascii="宋体" w:hAnsi="宋体" w:cs="宋体"/>
                <w:kern w:val="0"/>
                <w:sz w:val="24"/>
              </w:rPr>
            </w:pPr>
            <w:r>
              <w:rPr>
                <w:rFonts w:hint="eastAsia" w:ascii="宋体" w:hAnsi="宋体" w:cs="宋体"/>
                <w:kern w:val="0"/>
                <w:sz w:val="24"/>
              </w:rPr>
              <w:t>通过项目实施让我州妇女姐妹手工编织技能得到提升，眼界变得开阔，基地建设取得实效，将促进妇女姐妹增收致富。在技能大赛和推广系列活动上，通过展示妇女手工编织产品等，扩大产品影响力，让参加活动的妇女姐妹售卖自己的产品，帮助她们获得收入。机场展示展销点的设置将帮助妇女姐妹手工产品销售渠道的拓宽。</w:t>
            </w:r>
          </w:p>
        </w:tc>
        <w:tc>
          <w:tcPr>
            <w:tcW w:w="2410" w:type="dxa"/>
            <w:gridSpan w:val="4"/>
            <w:tcBorders>
              <w:top w:val="nil"/>
              <w:left w:val="nil"/>
              <w:bottom w:val="single" w:color="auto" w:sz="4" w:space="0"/>
              <w:right w:val="single" w:color="auto" w:sz="4" w:space="0"/>
            </w:tcBorders>
            <w:shd w:val="clear" w:color="auto" w:fill="auto"/>
            <w:vAlign w:val="center"/>
          </w:tcPr>
          <w:p w14:paraId="7EFAB58F">
            <w:pPr>
              <w:widowControl/>
              <w:jc w:val="left"/>
              <w:rPr>
                <w:rFonts w:ascii="宋体" w:hAnsi="宋体" w:cs="宋体"/>
                <w:color w:val="FF0000"/>
                <w:kern w:val="0"/>
                <w:sz w:val="28"/>
                <w:szCs w:val="28"/>
              </w:rPr>
            </w:pPr>
            <w:r>
              <w:rPr>
                <w:rFonts w:hint="eastAsia" w:ascii="宋体" w:hAnsi="宋体" w:cs="宋体"/>
                <w:color w:val="FF0000"/>
                <w:kern w:val="0"/>
                <w:sz w:val="28"/>
                <w:szCs w:val="28"/>
              </w:rPr>
              <w:t>　</w:t>
            </w:r>
          </w:p>
        </w:tc>
        <w:tc>
          <w:tcPr>
            <w:tcW w:w="2778" w:type="dxa"/>
            <w:gridSpan w:val="5"/>
            <w:tcBorders>
              <w:top w:val="nil"/>
              <w:left w:val="nil"/>
              <w:bottom w:val="single" w:color="auto" w:sz="4" w:space="0"/>
              <w:right w:val="single" w:color="auto" w:sz="4" w:space="0"/>
            </w:tcBorders>
            <w:shd w:val="clear" w:color="auto" w:fill="auto"/>
            <w:vAlign w:val="center"/>
          </w:tcPr>
          <w:p w14:paraId="69DA1307">
            <w:pPr>
              <w:widowControl/>
              <w:jc w:val="left"/>
              <w:rPr>
                <w:rFonts w:ascii="宋体" w:hAnsi="宋体" w:cs="宋体"/>
                <w:kern w:val="0"/>
                <w:sz w:val="24"/>
              </w:rPr>
            </w:pPr>
            <w:r>
              <w:rPr>
                <w:rFonts w:hint="eastAsia" w:ascii="宋体" w:hAnsi="宋体" w:cs="宋体"/>
                <w:kern w:val="0"/>
                <w:sz w:val="24"/>
              </w:rPr>
              <w:t>项目实施让我州妇女姐妹手工编织技能得到了提升，眼界变得开阔，基地建设取得了实效，实实在在提高了收入。在技能大赛和推广系列活动上，通过展示妇女手工编织产品等，扩大产品影响力，让参加活动的妇女姐妹售卖了自己的产品，获得了新的更好的原材料供应，也增加了收入。机场展示展销点的设置将帮助妇女姐妹手工产品销售渠道的拓宽，让他们被更多的人了解。</w:t>
            </w:r>
          </w:p>
        </w:tc>
      </w:tr>
      <w:tr w14:paraId="39791AF9">
        <w:tblPrEx>
          <w:tblCellMar>
            <w:top w:w="0" w:type="dxa"/>
            <w:left w:w="108" w:type="dxa"/>
            <w:bottom w:w="0" w:type="dxa"/>
            <w:right w:w="108" w:type="dxa"/>
          </w:tblCellMar>
        </w:tblPrEx>
        <w:trPr>
          <w:gridAfter w:val="1"/>
          <w:wAfter w:w="210" w:type="dxa"/>
          <w:trHeight w:val="1819" w:hRule="atLeast"/>
        </w:trPr>
        <w:tc>
          <w:tcPr>
            <w:tcW w:w="675" w:type="dxa"/>
            <w:gridSpan w:val="2"/>
            <w:vMerge w:val="continue"/>
            <w:tcBorders>
              <w:top w:val="nil"/>
              <w:left w:val="single" w:color="auto" w:sz="4" w:space="0"/>
              <w:bottom w:val="single" w:color="auto" w:sz="4" w:space="0"/>
              <w:right w:val="single" w:color="auto" w:sz="4" w:space="0"/>
            </w:tcBorders>
            <w:vAlign w:val="center"/>
          </w:tcPr>
          <w:p w14:paraId="693EB965">
            <w:pPr>
              <w:widowControl/>
              <w:jc w:val="left"/>
              <w:rPr>
                <w:rFonts w:ascii="宋体" w:hAnsi="宋体" w:cs="宋体"/>
                <w:kern w:val="0"/>
                <w:sz w:val="24"/>
              </w:rPr>
            </w:pPr>
          </w:p>
        </w:tc>
        <w:tc>
          <w:tcPr>
            <w:tcW w:w="1134" w:type="dxa"/>
            <w:gridSpan w:val="3"/>
            <w:vMerge w:val="continue"/>
            <w:tcBorders>
              <w:top w:val="nil"/>
              <w:left w:val="single" w:color="auto" w:sz="4" w:space="0"/>
              <w:bottom w:val="single" w:color="auto" w:sz="4" w:space="0"/>
              <w:right w:val="single" w:color="auto" w:sz="4" w:space="0"/>
            </w:tcBorders>
            <w:vAlign w:val="center"/>
          </w:tcPr>
          <w:p w14:paraId="6C835618">
            <w:pPr>
              <w:widowControl/>
              <w:jc w:val="left"/>
              <w:rPr>
                <w:rFonts w:ascii="宋体" w:hAnsi="宋体" w:cs="宋体"/>
                <w:kern w:val="0"/>
                <w:sz w:val="24"/>
              </w:rPr>
            </w:pPr>
          </w:p>
        </w:tc>
        <w:tc>
          <w:tcPr>
            <w:tcW w:w="851" w:type="dxa"/>
            <w:gridSpan w:val="2"/>
            <w:tcBorders>
              <w:top w:val="nil"/>
              <w:left w:val="nil"/>
              <w:bottom w:val="single" w:color="auto" w:sz="4" w:space="0"/>
              <w:right w:val="single" w:color="auto" w:sz="4" w:space="0"/>
            </w:tcBorders>
            <w:shd w:val="clear" w:color="auto" w:fill="auto"/>
            <w:vAlign w:val="center"/>
          </w:tcPr>
          <w:p w14:paraId="35BCEE7E">
            <w:pPr>
              <w:widowControl/>
              <w:jc w:val="center"/>
              <w:rPr>
                <w:rFonts w:ascii="宋体" w:hAnsi="宋体" w:cs="宋体"/>
                <w:kern w:val="0"/>
                <w:sz w:val="24"/>
              </w:rPr>
            </w:pPr>
            <w:r>
              <w:rPr>
                <w:rFonts w:hint="eastAsia" w:ascii="宋体" w:hAnsi="宋体" w:cs="宋体"/>
                <w:kern w:val="0"/>
                <w:sz w:val="24"/>
              </w:rPr>
              <w:t>社会效益</w:t>
            </w:r>
            <w:r>
              <w:rPr>
                <w:rFonts w:hint="eastAsia" w:ascii="宋体" w:hAnsi="宋体" w:cs="宋体"/>
                <w:kern w:val="0"/>
                <w:sz w:val="24"/>
              </w:rPr>
              <w:br w:type="textWrapping"/>
            </w:r>
            <w:r>
              <w:rPr>
                <w:rFonts w:hint="eastAsia" w:ascii="宋体" w:hAnsi="宋体" w:cs="宋体"/>
                <w:kern w:val="0"/>
                <w:sz w:val="24"/>
              </w:rPr>
              <w:t>指标</w:t>
            </w:r>
          </w:p>
        </w:tc>
        <w:tc>
          <w:tcPr>
            <w:tcW w:w="2693" w:type="dxa"/>
            <w:gridSpan w:val="2"/>
            <w:tcBorders>
              <w:top w:val="single" w:color="auto" w:sz="4" w:space="0"/>
              <w:left w:val="nil"/>
              <w:bottom w:val="single" w:color="auto" w:sz="4" w:space="0"/>
              <w:right w:val="single" w:color="auto" w:sz="4" w:space="0"/>
            </w:tcBorders>
            <w:shd w:val="clear" w:color="auto" w:fill="auto"/>
            <w:vAlign w:val="center"/>
          </w:tcPr>
          <w:p w14:paraId="2F7D64B1">
            <w:pPr>
              <w:widowControl/>
              <w:jc w:val="left"/>
              <w:rPr>
                <w:rFonts w:ascii="宋体" w:hAnsi="宋体" w:cs="宋体"/>
                <w:kern w:val="0"/>
                <w:sz w:val="24"/>
              </w:rPr>
            </w:pPr>
            <w:r>
              <w:rPr>
                <w:rFonts w:hint="eastAsia" w:ascii="宋体" w:hAnsi="宋体" w:cs="宋体"/>
                <w:kern w:val="0"/>
                <w:sz w:val="24"/>
              </w:rPr>
              <w:t>通过项目的实施，我州妇女姐妹在脱贫攻坚中的能力水平得到了提升、展现，让全社会共同关注妇女居家灵活就业，将产生较大的社会影响力；有力助推“巾帼脱贫”行动，也将获得良好的社会效益。</w:t>
            </w:r>
          </w:p>
        </w:tc>
        <w:tc>
          <w:tcPr>
            <w:tcW w:w="2410" w:type="dxa"/>
            <w:gridSpan w:val="4"/>
            <w:tcBorders>
              <w:top w:val="nil"/>
              <w:left w:val="nil"/>
              <w:bottom w:val="single" w:color="auto" w:sz="4" w:space="0"/>
              <w:right w:val="single" w:color="auto" w:sz="4" w:space="0"/>
            </w:tcBorders>
            <w:shd w:val="clear" w:color="auto" w:fill="auto"/>
            <w:vAlign w:val="center"/>
          </w:tcPr>
          <w:p w14:paraId="61DA48B3">
            <w:pPr>
              <w:widowControl/>
              <w:jc w:val="left"/>
              <w:rPr>
                <w:rFonts w:ascii="宋体" w:hAnsi="宋体" w:cs="宋体"/>
                <w:color w:val="FF0000"/>
                <w:kern w:val="0"/>
                <w:sz w:val="28"/>
                <w:szCs w:val="28"/>
              </w:rPr>
            </w:pPr>
            <w:r>
              <w:rPr>
                <w:rFonts w:hint="eastAsia" w:ascii="宋体" w:hAnsi="宋体" w:cs="宋体"/>
                <w:color w:val="FF0000"/>
                <w:kern w:val="0"/>
                <w:sz w:val="28"/>
                <w:szCs w:val="28"/>
              </w:rPr>
              <w:t>　</w:t>
            </w:r>
          </w:p>
        </w:tc>
        <w:tc>
          <w:tcPr>
            <w:tcW w:w="2778" w:type="dxa"/>
            <w:gridSpan w:val="5"/>
            <w:tcBorders>
              <w:top w:val="nil"/>
              <w:left w:val="nil"/>
              <w:bottom w:val="single" w:color="auto" w:sz="4" w:space="0"/>
              <w:right w:val="single" w:color="auto" w:sz="4" w:space="0"/>
            </w:tcBorders>
            <w:shd w:val="clear" w:color="auto" w:fill="auto"/>
            <w:vAlign w:val="center"/>
          </w:tcPr>
          <w:p w14:paraId="42E973CB">
            <w:pPr>
              <w:widowControl/>
              <w:jc w:val="left"/>
              <w:rPr>
                <w:rFonts w:ascii="宋体" w:hAnsi="宋体" w:cs="宋体"/>
                <w:kern w:val="0"/>
                <w:sz w:val="24"/>
              </w:rPr>
            </w:pPr>
            <w:r>
              <w:rPr>
                <w:rFonts w:hint="eastAsia" w:ascii="宋体" w:hAnsi="宋体" w:cs="宋体"/>
                <w:kern w:val="0"/>
                <w:sz w:val="24"/>
              </w:rPr>
              <w:t>通过项目的实施，我州妇女姐妹在脱贫攻坚中的能力水平得到了提升，让全社会共同关注妇女居家灵活就业，产生了较大的社会影响力；有力助推“巾帼脱贫”行动，也将获得良好的社会效益。</w:t>
            </w:r>
          </w:p>
        </w:tc>
      </w:tr>
      <w:tr w14:paraId="5899D6F6">
        <w:tblPrEx>
          <w:tblCellMar>
            <w:top w:w="0" w:type="dxa"/>
            <w:left w:w="108" w:type="dxa"/>
            <w:bottom w:w="0" w:type="dxa"/>
            <w:right w:w="108" w:type="dxa"/>
          </w:tblCellMar>
        </w:tblPrEx>
        <w:trPr>
          <w:gridAfter w:val="1"/>
          <w:wAfter w:w="210" w:type="dxa"/>
          <w:trHeight w:val="942" w:hRule="atLeast"/>
        </w:trPr>
        <w:tc>
          <w:tcPr>
            <w:tcW w:w="675" w:type="dxa"/>
            <w:gridSpan w:val="2"/>
            <w:vMerge w:val="continue"/>
            <w:tcBorders>
              <w:top w:val="nil"/>
              <w:left w:val="single" w:color="auto" w:sz="4" w:space="0"/>
              <w:bottom w:val="single" w:color="auto" w:sz="4" w:space="0"/>
              <w:right w:val="single" w:color="auto" w:sz="4" w:space="0"/>
            </w:tcBorders>
            <w:vAlign w:val="center"/>
          </w:tcPr>
          <w:p w14:paraId="2B1D578A">
            <w:pPr>
              <w:widowControl/>
              <w:jc w:val="left"/>
              <w:rPr>
                <w:rFonts w:ascii="宋体" w:hAnsi="宋体" w:cs="宋体"/>
                <w:kern w:val="0"/>
                <w:sz w:val="24"/>
              </w:rPr>
            </w:pPr>
          </w:p>
        </w:tc>
        <w:tc>
          <w:tcPr>
            <w:tcW w:w="1134" w:type="dxa"/>
            <w:gridSpan w:val="3"/>
            <w:vMerge w:val="continue"/>
            <w:tcBorders>
              <w:top w:val="nil"/>
              <w:left w:val="single" w:color="auto" w:sz="4" w:space="0"/>
              <w:bottom w:val="single" w:color="auto" w:sz="4" w:space="0"/>
              <w:right w:val="single" w:color="auto" w:sz="4" w:space="0"/>
            </w:tcBorders>
            <w:vAlign w:val="center"/>
          </w:tcPr>
          <w:p w14:paraId="3A65D306">
            <w:pPr>
              <w:widowControl/>
              <w:jc w:val="left"/>
              <w:rPr>
                <w:rFonts w:ascii="宋体" w:hAnsi="宋体" w:cs="宋体"/>
                <w:kern w:val="0"/>
                <w:sz w:val="24"/>
              </w:rPr>
            </w:pPr>
          </w:p>
        </w:tc>
        <w:tc>
          <w:tcPr>
            <w:tcW w:w="851" w:type="dxa"/>
            <w:gridSpan w:val="2"/>
            <w:tcBorders>
              <w:top w:val="nil"/>
              <w:left w:val="nil"/>
              <w:bottom w:val="single" w:color="auto" w:sz="4" w:space="0"/>
              <w:right w:val="single" w:color="auto" w:sz="4" w:space="0"/>
            </w:tcBorders>
            <w:shd w:val="clear" w:color="auto" w:fill="auto"/>
            <w:vAlign w:val="center"/>
          </w:tcPr>
          <w:p w14:paraId="4AC25CBC">
            <w:pPr>
              <w:widowControl/>
              <w:jc w:val="center"/>
              <w:rPr>
                <w:rFonts w:ascii="宋体" w:hAnsi="宋体" w:cs="宋体"/>
                <w:kern w:val="0"/>
                <w:sz w:val="24"/>
              </w:rPr>
            </w:pPr>
            <w:r>
              <w:rPr>
                <w:rFonts w:hint="eastAsia" w:ascii="宋体" w:hAnsi="宋体" w:cs="宋体"/>
                <w:kern w:val="0"/>
                <w:sz w:val="24"/>
              </w:rPr>
              <w:t>满意度指标</w:t>
            </w:r>
          </w:p>
        </w:tc>
        <w:tc>
          <w:tcPr>
            <w:tcW w:w="2693" w:type="dxa"/>
            <w:gridSpan w:val="2"/>
            <w:tcBorders>
              <w:top w:val="single" w:color="auto" w:sz="4" w:space="0"/>
              <w:left w:val="nil"/>
              <w:bottom w:val="single" w:color="auto" w:sz="4" w:space="0"/>
              <w:right w:val="single" w:color="auto" w:sz="4" w:space="0"/>
            </w:tcBorders>
            <w:shd w:val="clear" w:color="auto" w:fill="auto"/>
            <w:vAlign w:val="center"/>
          </w:tcPr>
          <w:p w14:paraId="67364456">
            <w:pPr>
              <w:widowControl/>
              <w:jc w:val="left"/>
              <w:rPr>
                <w:rFonts w:ascii="宋体" w:hAnsi="宋体" w:cs="宋体"/>
                <w:kern w:val="0"/>
                <w:sz w:val="24"/>
              </w:rPr>
            </w:pPr>
            <w:r>
              <w:rPr>
                <w:rFonts w:hint="eastAsia" w:ascii="宋体" w:hAnsi="宋体" w:cs="宋体"/>
                <w:kern w:val="0"/>
                <w:sz w:val="24"/>
              </w:rPr>
              <w:t>参训、参赛的妇女姐妹有收获，抽样调查满意度达到80%以上。</w:t>
            </w:r>
          </w:p>
        </w:tc>
        <w:tc>
          <w:tcPr>
            <w:tcW w:w="2410" w:type="dxa"/>
            <w:gridSpan w:val="4"/>
            <w:tcBorders>
              <w:top w:val="nil"/>
              <w:left w:val="nil"/>
              <w:bottom w:val="single" w:color="auto" w:sz="4" w:space="0"/>
              <w:right w:val="single" w:color="auto" w:sz="4" w:space="0"/>
            </w:tcBorders>
            <w:shd w:val="clear" w:color="auto" w:fill="auto"/>
            <w:vAlign w:val="center"/>
          </w:tcPr>
          <w:p w14:paraId="03728B46">
            <w:pPr>
              <w:widowControl/>
              <w:jc w:val="center"/>
              <w:rPr>
                <w:rFonts w:ascii="宋体" w:hAnsi="宋体" w:cs="宋体"/>
                <w:color w:val="FF0000"/>
                <w:kern w:val="0"/>
                <w:sz w:val="24"/>
              </w:rPr>
            </w:pPr>
            <w:r>
              <w:rPr>
                <w:rFonts w:hint="eastAsia" w:ascii="宋体" w:hAnsi="宋体" w:cs="宋体"/>
                <w:color w:val="FF0000"/>
                <w:kern w:val="0"/>
                <w:sz w:val="24"/>
              </w:rPr>
              <w:t>　</w:t>
            </w:r>
          </w:p>
        </w:tc>
        <w:tc>
          <w:tcPr>
            <w:tcW w:w="2778" w:type="dxa"/>
            <w:gridSpan w:val="5"/>
            <w:tcBorders>
              <w:top w:val="nil"/>
              <w:left w:val="nil"/>
              <w:bottom w:val="single" w:color="auto" w:sz="4" w:space="0"/>
              <w:right w:val="single" w:color="auto" w:sz="4" w:space="0"/>
            </w:tcBorders>
            <w:shd w:val="clear" w:color="auto" w:fill="auto"/>
            <w:vAlign w:val="center"/>
          </w:tcPr>
          <w:p w14:paraId="44D20A0E">
            <w:pPr>
              <w:widowControl/>
              <w:jc w:val="left"/>
              <w:rPr>
                <w:rFonts w:ascii="宋体" w:hAnsi="宋体" w:cs="宋体"/>
                <w:kern w:val="0"/>
                <w:sz w:val="24"/>
              </w:rPr>
            </w:pPr>
            <w:r>
              <w:rPr>
                <w:rFonts w:hint="eastAsia" w:ascii="宋体" w:hAnsi="宋体" w:cs="宋体"/>
                <w:kern w:val="0"/>
                <w:sz w:val="24"/>
              </w:rPr>
              <w:t>参训、参赛、参展的妇女姐妹有收获，抽样调查满意度达到了90%以上。</w:t>
            </w:r>
          </w:p>
        </w:tc>
      </w:tr>
    </w:tbl>
    <w:p w14:paraId="4AFC7C65">
      <w:pPr>
        <w:spacing w:line="580" w:lineRule="exact"/>
        <w:rPr>
          <w:rFonts w:hint="eastAsia" w:ascii="楷体_GB2312" w:hAnsi="楷体_GB2312" w:eastAsia="楷体_GB2312" w:cs="楷体_GB2312"/>
          <w:sz w:val="32"/>
          <w:szCs w:val="32"/>
        </w:rPr>
      </w:pPr>
    </w:p>
    <w:p w14:paraId="09546061">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5502EFBF">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本部门按要求对2019年部门整体支出绩效评价情况开展自评，《阿坝州妇联2019年部门整体支出绩效评价报告》见附件（附件1）。</w:t>
      </w:r>
    </w:p>
    <w:p w14:paraId="633AF58E">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9项目、9项目开展了绩效评价，《阿坝州妇联项目2019年绩效评价报告》见附件（附件2）。（非涉密部门均需公开部门整体支出评价报告，部门自行组织的绩效评价情况根据部门实际公开，若未组织项目绩效评价，则只需说明部门整体支出绩效评价情况）</w:t>
      </w:r>
    </w:p>
    <w:p w14:paraId="4FCCE851">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33A4E34D">
      <w:pPr>
        <w:numPr>
          <w:ilvl w:val="0"/>
          <w:numId w:val="4"/>
        </w:numPr>
        <w:spacing w:line="600" w:lineRule="exact"/>
        <w:ind w:firstLine="480" w:firstLineChars="150"/>
        <w:jc w:val="center"/>
        <w:outlineLvl w:val="0"/>
        <w:rPr>
          <w:rStyle w:val="26"/>
          <w:rFonts w:ascii="黑体" w:hAnsi="黑体" w:eastAsia="黑体"/>
          <w:b w:val="0"/>
          <w:sz w:val="32"/>
          <w:szCs w:val="32"/>
        </w:rPr>
      </w:pPr>
      <w:bookmarkStart w:id="55" w:name="_Toc15396613"/>
      <w:bookmarkStart w:id="56" w:name="_Toc15377225"/>
      <w:r>
        <w:rPr>
          <w:rFonts w:hint="eastAsia" w:ascii="黑体" w:hAnsi="黑体" w:eastAsia="黑体"/>
          <w:color w:val="000000"/>
          <w:sz w:val="32"/>
          <w:szCs w:val="32"/>
        </w:rPr>
        <w:t>名</w:t>
      </w:r>
      <w:r>
        <w:rPr>
          <w:rStyle w:val="26"/>
          <w:rFonts w:hint="eastAsia" w:ascii="黑体" w:hAnsi="黑体" w:eastAsia="黑体"/>
          <w:b w:val="0"/>
          <w:sz w:val="32"/>
          <w:szCs w:val="32"/>
        </w:rPr>
        <w:t>词解释</w:t>
      </w:r>
      <w:bookmarkEnd w:id="55"/>
      <w:bookmarkEnd w:id="56"/>
    </w:p>
    <w:p w14:paraId="63763BFC">
      <w:pPr>
        <w:spacing w:line="600" w:lineRule="exact"/>
        <w:jc w:val="left"/>
        <w:rPr>
          <w:rFonts w:ascii="宋体"/>
          <w:b/>
          <w:color w:val="000000"/>
          <w:sz w:val="32"/>
          <w:szCs w:val="32"/>
        </w:rPr>
      </w:pPr>
    </w:p>
    <w:p w14:paraId="5426CA3D">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7487BD14">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190BA48F">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01E928F2">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1639D4FA">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69E930B4">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1564A203">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05CA45E4">
      <w:pPr>
        <w:pStyle w:val="24"/>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59D39101">
      <w:pPr>
        <w:spacing w:line="576" w:lineRule="exact"/>
        <w:ind w:firstLine="640" w:firstLineChars="200"/>
        <w:rPr>
          <w:rFonts w:ascii="仿宋" w:hAnsi="仿宋" w:eastAsia="仿宋" w:cs="仿宋_GB2312"/>
          <w:sz w:val="32"/>
          <w:szCs w:val="32"/>
        </w:rPr>
      </w:pPr>
      <w:r>
        <w:rPr>
          <w:rFonts w:ascii="仿宋_GB2312" w:eastAsia="仿宋_GB2312"/>
          <w:color w:val="000000"/>
          <w:sz w:val="32"/>
          <w:szCs w:val="32"/>
        </w:rPr>
        <w:t>9.</w:t>
      </w:r>
      <w:r>
        <w:rPr>
          <w:rFonts w:hint="eastAsia" w:ascii="仿宋" w:hAnsi="仿宋" w:eastAsia="仿宋" w:cs="仿宋_GB2312"/>
          <w:sz w:val="32"/>
          <w:szCs w:val="32"/>
        </w:rPr>
        <w:t>一般公共服务（201）群众团体事务（29）行政运行（01</w:t>
      </w:r>
      <w:r>
        <w:rPr>
          <w:rFonts w:ascii="仿宋" w:hAnsi="仿宋" w:eastAsia="仿宋" w:cs="仿宋_GB2312"/>
          <w:sz w:val="32"/>
          <w:szCs w:val="32"/>
        </w:rPr>
        <w:t>）</w:t>
      </w:r>
      <w:r>
        <w:rPr>
          <w:rFonts w:hint="eastAsia" w:ascii="仿宋" w:hAnsi="仿宋" w:eastAsia="仿宋" w:cs="仿宋_GB2312"/>
          <w:sz w:val="32"/>
          <w:szCs w:val="32"/>
        </w:rPr>
        <w:t>指：单位基本支出。</w:t>
      </w:r>
    </w:p>
    <w:p w14:paraId="583FED24">
      <w:pPr>
        <w:spacing w:line="576" w:lineRule="exact"/>
        <w:ind w:firstLine="640" w:firstLineChars="200"/>
        <w:rPr>
          <w:rFonts w:ascii="仿宋" w:hAnsi="仿宋" w:eastAsia="仿宋" w:cs="仿宋_GB2312"/>
          <w:sz w:val="32"/>
          <w:szCs w:val="32"/>
        </w:rPr>
      </w:pPr>
      <w:r>
        <w:rPr>
          <w:rFonts w:hint="eastAsia" w:ascii="仿宋_GB2312" w:eastAsia="仿宋_GB2312"/>
          <w:color w:val="000000"/>
          <w:sz w:val="32"/>
          <w:szCs w:val="32"/>
        </w:rPr>
        <w:t>10.</w:t>
      </w:r>
      <w:r>
        <w:rPr>
          <w:rFonts w:hint="eastAsia" w:ascii="仿宋" w:hAnsi="仿宋" w:eastAsia="仿宋" w:cs="仿宋_GB2312"/>
          <w:sz w:val="32"/>
          <w:szCs w:val="32"/>
        </w:rPr>
        <w:t>一般公共服务（201）群众团体事务（29）一般行政管理事务（02）指：单位项目经费。</w:t>
      </w:r>
    </w:p>
    <w:p w14:paraId="111B873E">
      <w:pPr>
        <w:spacing w:line="576" w:lineRule="exact"/>
        <w:ind w:firstLine="640" w:firstLineChars="200"/>
        <w:rPr>
          <w:rFonts w:ascii="仿宋_GB2312" w:eastAsia="仿宋_GB2312"/>
          <w:color w:val="000000"/>
          <w:sz w:val="32"/>
          <w:szCs w:val="32"/>
        </w:rPr>
      </w:pPr>
      <w:r>
        <w:rPr>
          <w:rFonts w:hint="eastAsia" w:ascii="仿宋" w:hAnsi="仿宋" w:eastAsia="仿宋" w:cs="仿宋_GB2312"/>
          <w:sz w:val="32"/>
          <w:szCs w:val="32"/>
        </w:rPr>
        <w:t>11.一般公共服务（201）群众团体事务（29）其他群众团体事务支出（99）指</w:t>
      </w:r>
      <w:r>
        <w:rPr>
          <w:rFonts w:hint="eastAsia" w:ascii="仿宋_GB2312" w:eastAsia="仿宋_GB2312"/>
          <w:color w:val="000000"/>
          <w:sz w:val="32"/>
          <w:szCs w:val="32"/>
        </w:rPr>
        <w:t>：妇女儿童事业专项经费。</w:t>
      </w:r>
      <w:r>
        <w:rPr>
          <w:rFonts w:ascii="仿宋_GB2312" w:eastAsia="仿宋_GB2312"/>
          <w:color w:val="000000"/>
          <w:sz w:val="32"/>
          <w:szCs w:val="32"/>
        </w:rPr>
        <w:t xml:space="preserve"> </w:t>
      </w:r>
    </w:p>
    <w:p w14:paraId="35893B56">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12</w:t>
      </w:r>
      <w:r>
        <w:rPr>
          <w:rFonts w:ascii="仿宋" w:hAnsi="仿宋" w:eastAsia="仿宋" w:cs="仿宋_GB2312"/>
          <w:sz w:val="32"/>
          <w:szCs w:val="32"/>
        </w:rPr>
        <w:t>.</w:t>
      </w:r>
      <w:r>
        <w:rPr>
          <w:rFonts w:hint="eastAsia" w:ascii="仿宋" w:hAnsi="仿宋" w:eastAsia="仿宋" w:cs="仿宋_GB2312"/>
          <w:sz w:val="32"/>
          <w:szCs w:val="32"/>
        </w:rPr>
        <w:t>住房保障支出（221）住房改革支出（02）住房公积金（01）</w:t>
      </w:r>
      <w:r>
        <w:rPr>
          <w:rFonts w:ascii="仿宋" w:hAnsi="仿宋" w:eastAsia="仿宋" w:cs="仿宋_GB2312"/>
          <w:sz w:val="32"/>
          <w:szCs w:val="32"/>
        </w:rPr>
        <w:t>:</w:t>
      </w:r>
      <w:r>
        <w:rPr>
          <w:rFonts w:hint="eastAsia" w:ascii="仿宋" w:hAnsi="仿宋" w:eastAsia="仿宋" w:cs="仿宋_GB2312"/>
          <w:sz w:val="32"/>
          <w:szCs w:val="32"/>
        </w:rPr>
        <w:t>指单位缴纳住房公积金。</w:t>
      </w:r>
    </w:p>
    <w:p w14:paraId="019B0CFC">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13</w:t>
      </w:r>
      <w:r>
        <w:rPr>
          <w:rFonts w:ascii="仿宋" w:hAnsi="仿宋" w:eastAsia="仿宋" w:cs="仿宋_GB2312"/>
          <w:sz w:val="32"/>
          <w:szCs w:val="32"/>
        </w:rPr>
        <w:t>.</w:t>
      </w:r>
      <w:r>
        <w:rPr>
          <w:rFonts w:hint="eastAsia" w:ascii="仿宋" w:hAnsi="仿宋" w:eastAsia="仿宋" w:cs="仿宋_GB2312"/>
          <w:sz w:val="32"/>
          <w:szCs w:val="32"/>
        </w:rPr>
        <w:t>社会保障和就业（208）行政事业单位离退休（05）机关事业单位基本养老保险费缴费支出（05）指</w:t>
      </w:r>
      <w:r>
        <w:rPr>
          <w:rFonts w:ascii="仿宋" w:hAnsi="仿宋" w:eastAsia="仿宋" w:cs="仿宋_GB2312"/>
          <w:sz w:val="32"/>
          <w:szCs w:val="32"/>
        </w:rPr>
        <w:t>:</w:t>
      </w:r>
      <w:r>
        <w:rPr>
          <w:rFonts w:hint="eastAsia" w:ascii="仿宋" w:hAnsi="仿宋" w:eastAsia="仿宋" w:cs="仿宋_GB2312"/>
          <w:sz w:val="32"/>
          <w:szCs w:val="32"/>
        </w:rPr>
        <w:t>单位缴纳养老保险费。</w:t>
      </w:r>
    </w:p>
    <w:p w14:paraId="64B3554D">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14</w:t>
      </w:r>
      <w:r>
        <w:rPr>
          <w:rFonts w:ascii="仿宋" w:hAnsi="仿宋" w:eastAsia="仿宋" w:cs="仿宋_GB2312"/>
          <w:sz w:val="32"/>
          <w:szCs w:val="32"/>
        </w:rPr>
        <w:t>.</w:t>
      </w:r>
      <w:r>
        <w:rPr>
          <w:rFonts w:hint="eastAsia" w:ascii="仿宋" w:hAnsi="仿宋" w:eastAsia="仿宋" w:cs="仿宋_GB2312"/>
          <w:sz w:val="32"/>
          <w:szCs w:val="32"/>
        </w:rPr>
        <w:t>社会保障和就业（208）行政事业单位离退休（05）机关事业单位职业年金缴费支出（06）指：单位缴纳职业年金。</w:t>
      </w:r>
    </w:p>
    <w:p w14:paraId="3DE6FFC5">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15</w:t>
      </w:r>
      <w:r>
        <w:rPr>
          <w:rFonts w:ascii="仿宋" w:hAnsi="仿宋" w:eastAsia="仿宋" w:cs="仿宋_GB2312"/>
          <w:sz w:val="32"/>
          <w:szCs w:val="32"/>
        </w:rPr>
        <w:t>.</w:t>
      </w:r>
      <w:r>
        <w:rPr>
          <w:rFonts w:hint="eastAsia" w:ascii="仿宋" w:hAnsi="仿宋" w:eastAsia="仿宋" w:cs="仿宋_GB2312"/>
          <w:sz w:val="32"/>
          <w:szCs w:val="32"/>
        </w:rPr>
        <w:t>医疗卫生与计划生育（210）行政事业单位医疗（11）行政单位医疗（01）指</w:t>
      </w:r>
      <w:r>
        <w:rPr>
          <w:rFonts w:ascii="仿宋" w:hAnsi="仿宋" w:eastAsia="仿宋" w:cs="仿宋_GB2312"/>
          <w:sz w:val="32"/>
          <w:szCs w:val="32"/>
        </w:rPr>
        <w:t>:</w:t>
      </w:r>
      <w:r>
        <w:rPr>
          <w:rFonts w:hint="eastAsia" w:ascii="仿宋" w:hAnsi="仿宋" w:eastAsia="仿宋" w:cs="仿宋_GB2312"/>
          <w:sz w:val="32"/>
          <w:szCs w:val="32"/>
        </w:rPr>
        <w:t>单位缴纳医疗保险费用。</w:t>
      </w:r>
    </w:p>
    <w:p w14:paraId="58F4274C">
      <w:pPr>
        <w:spacing w:line="576" w:lineRule="exact"/>
        <w:ind w:firstLine="640" w:firstLineChars="200"/>
        <w:rPr>
          <w:rFonts w:ascii="仿宋_GB2312" w:eastAsia="仿宋_GB2312"/>
          <w:color w:val="000000"/>
          <w:sz w:val="32"/>
          <w:szCs w:val="32"/>
        </w:rPr>
      </w:pPr>
      <w:r>
        <w:rPr>
          <w:rFonts w:hint="eastAsia" w:ascii="仿宋" w:hAnsi="仿宋" w:eastAsia="仿宋" w:cs="仿宋_GB2312"/>
          <w:sz w:val="32"/>
          <w:szCs w:val="32"/>
        </w:rPr>
        <w:t>16</w:t>
      </w:r>
      <w:r>
        <w:rPr>
          <w:rFonts w:ascii="仿宋" w:hAnsi="仿宋" w:eastAsia="仿宋" w:cs="仿宋_GB2312"/>
          <w:sz w:val="32"/>
          <w:szCs w:val="32"/>
        </w:rPr>
        <w:t>.</w:t>
      </w:r>
      <w:r>
        <w:rPr>
          <w:rFonts w:hint="eastAsia" w:ascii="仿宋" w:hAnsi="仿宋" w:eastAsia="仿宋" w:cs="仿宋_GB2312"/>
          <w:sz w:val="32"/>
          <w:szCs w:val="32"/>
        </w:rPr>
        <w:t>医疗卫生与计划生育（210）行政事业单位医疗（11）公务员医疗补助（03）指</w:t>
      </w:r>
      <w:r>
        <w:rPr>
          <w:rFonts w:ascii="仿宋" w:hAnsi="仿宋" w:eastAsia="仿宋" w:cs="仿宋_GB2312"/>
          <w:sz w:val="32"/>
          <w:szCs w:val="32"/>
        </w:rPr>
        <w:t>:</w:t>
      </w:r>
      <w:r>
        <w:rPr>
          <w:rFonts w:hint="eastAsia" w:ascii="仿宋" w:hAnsi="仿宋" w:eastAsia="仿宋" w:cs="仿宋_GB2312"/>
          <w:sz w:val="32"/>
          <w:szCs w:val="32"/>
        </w:rPr>
        <w:t>单位缴纳公务员医疗补助费用</w:t>
      </w:r>
      <w:r>
        <w:rPr>
          <w:rFonts w:hint="eastAsia" w:ascii="仿宋_GB2312" w:eastAsia="仿宋_GB2312"/>
          <w:color w:val="000000"/>
          <w:sz w:val="32"/>
          <w:szCs w:val="32"/>
        </w:rPr>
        <w:t>。</w:t>
      </w:r>
    </w:p>
    <w:p w14:paraId="45D16FD7">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17.“两癌”：指患宫颈癌和乳腺癌。</w:t>
      </w:r>
    </w:p>
    <w:p w14:paraId="686140B0">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4C36CD63">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5B0280BE">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14FEDB12">
      <w:pPr>
        <w:pStyle w:val="24"/>
        <w:spacing w:line="576" w:lineRule="exact"/>
        <w:ind w:firstLine="640" w:firstLineChars="200"/>
        <w:rPr>
          <w:rFonts w:ascii="仿宋_GB2312" w:eastAsia="仿宋_GB2312"/>
          <w:sz w:val="32"/>
          <w:szCs w:val="32"/>
        </w:rPr>
      </w:pPr>
      <w:r>
        <w:rPr>
          <w:rFonts w:hint="eastAsia" w:ascii="仿宋_GB2312" w:eastAsia="仿宋_GB2312"/>
          <w:sz w:val="32"/>
          <w:szCs w:val="32"/>
        </w:rPr>
        <w:t>21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D735EC0">
      <w:pPr>
        <w:pStyle w:val="24"/>
        <w:spacing w:line="576" w:lineRule="exact"/>
        <w:ind w:firstLine="640" w:firstLineChars="200"/>
        <w:rPr>
          <w:rFonts w:ascii="仿宋_GB2312" w:eastAsia="仿宋_GB2312"/>
          <w:sz w:val="32"/>
          <w:szCs w:val="32"/>
        </w:rPr>
      </w:pPr>
      <w:r>
        <w:rPr>
          <w:rFonts w:hint="eastAsia" w:ascii="仿宋_GB2312" w:eastAsia="仿宋_GB2312"/>
          <w:sz w:val="32"/>
          <w:szCs w:val="32"/>
        </w:rPr>
        <w:t>22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BD50799">
      <w:pPr>
        <w:spacing w:line="600" w:lineRule="exact"/>
        <w:jc w:val="center"/>
        <w:outlineLvl w:val="0"/>
        <w:rPr>
          <w:rStyle w:val="26"/>
          <w:rFonts w:ascii="黑体" w:hAnsi="黑体" w:eastAsia="黑体"/>
          <w:b w:val="0"/>
          <w:sz w:val="32"/>
          <w:szCs w:val="32"/>
        </w:rPr>
      </w:pPr>
      <w:bookmarkStart w:id="57" w:name="_Toc15377226"/>
      <w:r>
        <w:rPr>
          <w:rFonts w:ascii="宋体"/>
          <w:b/>
          <w:color w:val="000000"/>
          <w:sz w:val="32"/>
          <w:szCs w:val="32"/>
        </w:rPr>
        <w:br w:type="page"/>
      </w:r>
      <w:bookmarkStart w:id="58" w:name="_Toc15396614"/>
      <w:r>
        <w:rPr>
          <w:rFonts w:hint="eastAsia" w:ascii="黑体" w:hAnsi="黑体" w:eastAsia="黑体"/>
          <w:color w:val="000000"/>
          <w:sz w:val="32"/>
          <w:szCs w:val="32"/>
        </w:rPr>
        <w:t>第</w:t>
      </w:r>
      <w:r>
        <w:rPr>
          <w:rStyle w:val="26"/>
          <w:rFonts w:hint="eastAsia" w:ascii="黑体" w:hAnsi="黑体" w:eastAsia="黑体"/>
          <w:b w:val="0"/>
          <w:sz w:val="32"/>
          <w:szCs w:val="32"/>
        </w:rPr>
        <w:t>四部分 附件</w:t>
      </w:r>
      <w:bookmarkEnd w:id="58"/>
    </w:p>
    <w:p w14:paraId="2D310EE8">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1E6C43B4">
      <w:pPr>
        <w:spacing w:line="580" w:lineRule="exact"/>
        <w:jc w:val="center"/>
        <w:rPr>
          <w:rFonts w:ascii="方正小标宋简体" w:hAnsi="方正小标宋简体" w:eastAsia="方正小标宋简体" w:cs="方正小标宋简体"/>
          <w:sz w:val="32"/>
          <w:szCs w:val="32"/>
        </w:rPr>
      </w:pPr>
    </w:p>
    <w:p w14:paraId="6D98CA3A">
      <w:pPr>
        <w:spacing w:line="600" w:lineRule="exact"/>
        <w:jc w:val="center"/>
        <w:rPr>
          <w:rFonts w:ascii="方正小标宋简体" w:hAnsi="宋体" w:eastAsia="方正小标宋简体"/>
          <w:color w:val="000000"/>
          <w:kern w:val="0"/>
          <w:sz w:val="32"/>
          <w:szCs w:val="32"/>
        </w:rPr>
      </w:pPr>
      <w:r>
        <w:rPr>
          <w:rFonts w:hint="eastAsia" w:ascii="方正小标宋简体" w:hAnsi="宋体" w:eastAsia="方正小标宋简体"/>
          <w:color w:val="000000"/>
          <w:kern w:val="0"/>
          <w:sz w:val="32"/>
          <w:szCs w:val="32"/>
        </w:rPr>
        <w:t>阿坝州妇女联合会</w:t>
      </w:r>
    </w:p>
    <w:p w14:paraId="17F09D83">
      <w:pPr>
        <w:spacing w:line="600" w:lineRule="exact"/>
        <w:jc w:val="center"/>
        <w:rPr>
          <w:rFonts w:ascii="方正小标宋简体" w:hAnsi="宋体" w:eastAsia="方正小标宋简体"/>
          <w:color w:val="000000"/>
          <w:kern w:val="0"/>
          <w:sz w:val="32"/>
          <w:szCs w:val="32"/>
          <w:lang w:val="zh-CN"/>
        </w:rPr>
      </w:pPr>
      <w:r>
        <w:rPr>
          <w:rFonts w:ascii="方正小标宋简体" w:hAnsi="宋体" w:eastAsia="方正小标宋简体"/>
          <w:color w:val="000000"/>
          <w:kern w:val="0"/>
          <w:sz w:val="32"/>
          <w:szCs w:val="32"/>
        </w:rPr>
        <w:t>2019年部门</w:t>
      </w:r>
      <w:r>
        <w:rPr>
          <w:rFonts w:hint="eastAsia" w:ascii="方正小标宋简体" w:hAnsi="宋体" w:eastAsia="方正小标宋简体"/>
          <w:color w:val="000000"/>
          <w:kern w:val="0"/>
          <w:sz w:val="32"/>
          <w:szCs w:val="32"/>
          <w:lang w:val="zh-CN"/>
        </w:rPr>
        <w:t>整体支出绩效评价报告</w:t>
      </w:r>
    </w:p>
    <w:p w14:paraId="6884D509">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p>
    <w:p w14:paraId="2AFCF987">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5A98E6CF">
      <w:pPr>
        <w:pStyle w:val="6"/>
        <w:spacing w:before="93" w:line="560" w:lineRule="exact"/>
        <w:ind w:right="-105" w:rightChars="-50" w:firstLine="643" w:firstLineChars="200"/>
        <w:rPr>
          <w:rFonts w:ascii="Times New Roman"/>
          <w:color w:val="000000"/>
          <w:sz w:val="32"/>
          <w:szCs w:val="32"/>
        </w:rPr>
      </w:pPr>
      <w:r>
        <w:rPr>
          <w:rFonts w:hint="eastAsia" w:hAnsi="宋体" w:cs="宋体"/>
          <w:b/>
          <w:color w:val="000000"/>
          <w:sz w:val="32"/>
          <w:szCs w:val="32"/>
          <w:shd w:val="clear" w:color="auto" w:fill="FFFFFF"/>
          <w:lang w:val="zh-CN"/>
        </w:rPr>
        <w:t>（一）机构组成。</w:t>
      </w:r>
      <w:r>
        <w:rPr>
          <w:rFonts w:ascii="仿宋" w:hAnsi="仿宋" w:eastAsia="仿宋" w:cs="仿宋"/>
          <w:sz w:val="32"/>
          <w:szCs w:val="32"/>
        </w:rPr>
        <w:t>阿坝州妇联按州委“三定方案”设</w:t>
      </w:r>
      <w:r>
        <w:rPr>
          <w:rFonts w:ascii="Times New Roman"/>
          <w:color w:val="000000"/>
          <w:sz w:val="32"/>
          <w:szCs w:val="32"/>
        </w:rPr>
        <w:t>一室三部，即办公室、家庭儿童和维权部、发展联络部、组织宣传部。州政府议事协调机构妇儿工委办设在我会。</w:t>
      </w:r>
    </w:p>
    <w:p w14:paraId="33DB81D7">
      <w:pPr>
        <w:widowControl/>
        <w:spacing w:line="560" w:lineRule="exact"/>
        <w:ind w:firstLine="643" w:firstLineChars="200"/>
        <w:rPr>
          <w:rFonts w:ascii="仿宋" w:hAnsi="仿宋" w:eastAsia="仿宋" w:cs="宋体"/>
          <w:bCs/>
          <w:kern w:val="0"/>
          <w:sz w:val="32"/>
          <w:szCs w:val="32"/>
        </w:rPr>
      </w:pPr>
      <w:r>
        <w:rPr>
          <w:rFonts w:hint="eastAsia" w:ascii="仿宋_GB2312" w:hAnsi="宋体" w:eastAsia="仿宋_GB2312" w:cs="宋体"/>
          <w:b/>
          <w:color w:val="000000"/>
          <w:kern w:val="0"/>
          <w:sz w:val="32"/>
          <w:szCs w:val="32"/>
          <w:shd w:val="clear" w:color="auto" w:fill="FFFFFF"/>
          <w:lang w:val="zh-CN"/>
        </w:rPr>
        <w:t>（二）机构职能。</w:t>
      </w:r>
      <w:r>
        <w:rPr>
          <w:rFonts w:hint="eastAsia" w:ascii="仿宋" w:hAnsi="仿宋" w:eastAsia="仿宋" w:cs="宋体"/>
          <w:bCs/>
          <w:kern w:val="0"/>
          <w:sz w:val="32"/>
          <w:szCs w:val="32"/>
        </w:rPr>
        <w:t>坚持正确的政治方向</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团结</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教育全州各族各界妇女在思想上</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行动上同党中央保持高度一致</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代表妇女参与国家和社会事务的民主管理和民主监督</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关注并加强研究涉及妇女切身利益的热点</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难点问题</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及时向州委</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州政府反映社情民意</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提出对策建议</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依法维护妇女儿童的合法权益</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为妇女儿童服务</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为基层服务</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加强与社会各界的联系</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协调推动全社会为妇女儿童办实事</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办好事。</w:t>
      </w:r>
    </w:p>
    <w:p w14:paraId="1F147721">
      <w:pPr>
        <w:spacing w:line="560" w:lineRule="exact"/>
        <w:ind w:firstLine="640" w:firstLineChars="200"/>
        <w:rPr>
          <w:rFonts w:ascii="仿宋" w:hAnsi="仿宋" w:eastAsia="仿宋" w:cs="宋体"/>
          <w:color w:val="000000"/>
          <w:spacing w:val="-2"/>
          <w:kern w:val="0"/>
          <w:sz w:val="32"/>
          <w:szCs w:val="32"/>
        </w:rPr>
      </w:pPr>
      <w:r>
        <w:rPr>
          <w:rFonts w:hint="eastAsia" w:ascii="仿宋_GB2312" w:hAnsi="宋体" w:eastAsia="仿宋_GB2312" w:cs="宋体"/>
          <w:color w:val="000000"/>
          <w:kern w:val="0"/>
          <w:sz w:val="32"/>
          <w:szCs w:val="32"/>
          <w:shd w:val="clear" w:color="auto" w:fill="FFFFFF"/>
          <w:lang w:val="zh-CN"/>
        </w:rPr>
        <w:t>（三）人员概况。</w:t>
      </w:r>
      <w:r>
        <w:rPr>
          <w:rFonts w:hint="eastAsia" w:ascii="仿宋" w:hAnsi="仿宋" w:eastAsia="仿宋" w:cs="宋体"/>
          <w:sz w:val="32"/>
          <w:szCs w:val="32"/>
        </w:rPr>
        <w:t>总编制</w:t>
      </w:r>
      <w:r>
        <w:rPr>
          <w:rFonts w:hint="eastAsia" w:ascii="仿宋" w:hAnsi="仿宋" w:eastAsia="仿宋"/>
          <w:sz w:val="32"/>
          <w:szCs w:val="32"/>
        </w:rPr>
        <w:t>14</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cs="宋体"/>
          <w:sz w:val="32"/>
          <w:szCs w:val="32"/>
        </w:rPr>
        <w:t>其中</w:t>
      </w:r>
      <w:r>
        <w:rPr>
          <w:rFonts w:hint="eastAsia" w:ascii="仿宋" w:hAnsi="仿宋" w:eastAsia="仿宋" w:cs="Malgun Gothic Semilight"/>
          <w:sz w:val="32"/>
          <w:szCs w:val="32"/>
        </w:rPr>
        <w:t>：</w:t>
      </w:r>
      <w:r>
        <w:rPr>
          <w:rFonts w:hint="eastAsia" w:ascii="仿宋" w:hAnsi="仿宋" w:eastAsia="仿宋" w:cs="宋体"/>
          <w:sz w:val="32"/>
          <w:szCs w:val="32"/>
        </w:rPr>
        <w:t>行政编制</w:t>
      </w:r>
      <w:r>
        <w:rPr>
          <w:rFonts w:hint="eastAsia" w:ascii="仿宋" w:hAnsi="仿宋" w:eastAsia="仿宋"/>
          <w:sz w:val="32"/>
          <w:szCs w:val="32"/>
        </w:rPr>
        <w:t>11</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cs="宋体"/>
          <w:sz w:val="32"/>
          <w:szCs w:val="32"/>
        </w:rPr>
        <w:t>工勤人员</w:t>
      </w:r>
      <w:r>
        <w:rPr>
          <w:rFonts w:hint="eastAsia" w:ascii="仿宋" w:hAnsi="仿宋" w:eastAsia="仿宋"/>
          <w:sz w:val="32"/>
          <w:szCs w:val="32"/>
        </w:rPr>
        <w:t>3</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cs="宋体"/>
          <w:sz w:val="32"/>
          <w:szCs w:val="32"/>
        </w:rPr>
        <w:t>在职人员总数</w:t>
      </w:r>
      <w:r>
        <w:rPr>
          <w:rFonts w:hint="eastAsia" w:ascii="仿宋" w:hAnsi="仿宋" w:eastAsia="仿宋"/>
          <w:sz w:val="32"/>
          <w:szCs w:val="32"/>
        </w:rPr>
        <w:t>13</w:t>
      </w:r>
      <w:r>
        <w:rPr>
          <w:rFonts w:hint="eastAsia" w:ascii="仿宋" w:hAnsi="仿宋" w:eastAsia="仿宋" w:cs="宋体"/>
          <w:sz w:val="32"/>
          <w:szCs w:val="32"/>
        </w:rPr>
        <w:t>名（2019年10月退休1名行政人员）</w:t>
      </w:r>
      <w:r>
        <w:rPr>
          <w:rFonts w:hint="eastAsia" w:ascii="仿宋" w:hAnsi="仿宋" w:eastAsia="仿宋" w:cs="Malgun Gothic Semilight"/>
          <w:sz w:val="32"/>
          <w:szCs w:val="32"/>
        </w:rPr>
        <w:t>，</w:t>
      </w:r>
      <w:r>
        <w:rPr>
          <w:rFonts w:hint="eastAsia" w:ascii="仿宋" w:hAnsi="仿宋" w:eastAsia="仿宋" w:cs="宋体"/>
          <w:sz w:val="32"/>
          <w:szCs w:val="32"/>
        </w:rPr>
        <w:t>其中</w:t>
      </w:r>
      <w:r>
        <w:rPr>
          <w:rFonts w:hint="eastAsia" w:ascii="仿宋" w:hAnsi="仿宋" w:eastAsia="仿宋" w:cs="Malgun Gothic Semilight"/>
          <w:sz w:val="32"/>
          <w:szCs w:val="32"/>
        </w:rPr>
        <w:t>：</w:t>
      </w:r>
      <w:r>
        <w:rPr>
          <w:rFonts w:hint="eastAsia" w:ascii="仿宋" w:hAnsi="仿宋" w:eastAsia="仿宋" w:cs="宋体"/>
          <w:sz w:val="32"/>
          <w:szCs w:val="32"/>
        </w:rPr>
        <w:t>行政人员</w:t>
      </w:r>
      <w:r>
        <w:rPr>
          <w:rFonts w:hint="eastAsia" w:ascii="仿宋" w:hAnsi="仿宋" w:eastAsia="仿宋"/>
          <w:sz w:val="32"/>
          <w:szCs w:val="32"/>
        </w:rPr>
        <w:t>10</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cs="宋体"/>
          <w:sz w:val="32"/>
          <w:szCs w:val="32"/>
        </w:rPr>
        <w:t>工勤人员</w:t>
      </w:r>
      <w:r>
        <w:rPr>
          <w:rFonts w:hint="eastAsia" w:ascii="仿宋" w:hAnsi="仿宋" w:eastAsia="仿宋"/>
          <w:sz w:val="32"/>
          <w:szCs w:val="32"/>
        </w:rPr>
        <w:t>3</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cs="宋体"/>
          <w:sz w:val="32"/>
          <w:szCs w:val="32"/>
        </w:rPr>
        <w:t>退休人员</w:t>
      </w:r>
      <w:r>
        <w:rPr>
          <w:rFonts w:hint="eastAsia" w:ascii="仿宋" w:hAnsi="仿宋" w:eastAsia="仿宋"/>
          <w:sz w:val="32"/>
          <w:szCs w:val="32"/>
        </w:rPr>
        <w:t>6</w:t>
      </w:r>
      <w:r>
        <w:rPr>
          <w:rFonts w:hint="eastAsia" w:ascii="仿宋" w:hAnsi="仿宋" w:eastAsia="仿宋" w:cs="宋体"/>
          <w:sz w:val="32"/>
          <w:szCs w:val="32"/>
        </w:rPr>
        <w:t>人</w:t>
      </w:r>
      <w:r>
        <w:rPr>
          <w:rFonts w:hint="eastAsia" w:ascii="仿宋" w:hAnsi="仿宋" w:eastAsia="仿宋"/>
          <w:sz w:val="32"/>
          <w:szCs w:val="32"/>
        </w:rPr>
        <w:t>。</w:t>
      </w:r>
    </w:p>
    <w:p w14:paraId="223C17E7">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76721DB9">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1C5E4205">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sz w:val="32"/>
          <w:szCs w:val="32"/>
        </w:rPr>
        <w:t>2019年阿坝州妇联收入，当年财政拨款收入为593.75万元</w:t>
      </w:r>
      <w:r>
        <w:rPr>
          <w:rFonts w:hint="eastAsia" w:ascii="仿宋" w:hAnsi="仿宋" w:eastAsia="仿宋" w:cs="仿宋"/>
          <w:color w:val="000000"/>
          <w:sz w:val="32"/>
          <w:szCs w:val="32"/>
        </w:rPr>
        <w:t>，</w:t>
      </w:r>
      <w:r>
        <w:rPr>
          <w:rFonts w:hint="eastAsia" w:ascii="仿宋" w:hAnsi="仿宋" w:eastAsia="仿宋" w:cs="仿宋"/>
          <w:sz w:val="32"/>
          <w:szCs w:val="32"/>
        </w:rPr>
        <w:t>其中：基本支出拨款收入352.64万元，项目支出拨款收入241.11万元，一般公共财政拨款收入占100%。</w:t>
      </w:r>
    </w:p>
    <w:p w14:paraId="7D6D5F27">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color w:val="000000"/>
          <w:sz w:val="32"/>
          <w:szCs w:val="32"/>
        </w:rPr>
        <w:t>2020年年初预算收入446.93万元，其中：</w:t>
      </w:r>
      <w:r>
        <w:rPr>
          <w:rFonts w:hint="eastAsia" w:ascii="仿宋" w:hAnsi="仿宋" w:eastAsia="仿宋" w:cs="仿宋"/>
          <w:sz w:val="32"/>
          <w:szCs w:val="32"/>
        </w:rPr>
        <w:t>一般公共财政拨款收入</w:t>
      </w:r>
      <w:r>
        <w:rPr>
          <w:rFonts w:hint="eastAsia" w:ascii="仿宋" w:hAnsi="仿宋" w:eastAsia="仿宋" w:cs="仿宋"/>
          <w:color w:val="000000"/>
          <w:sz w:val="32"/>
          <w:szCs w:val="32"/>
        </w:rPr>
        <w:t>446.93万元，</w:t>
      </w:r>
      <w:r>
        <w:rPr>
          <w:rFonts w:hint="eastAsia" w:ascii="仿宋" w:hAnsi="仿宋" w:eastAsia="仿宋" w:cs="仿宋"/>
          <w:bCs/>
          <w:sz w:val="32"/>
          <w:szCs w:val="32"/>
        </w:rPr>
        <w:t>财政应返还额度</w:t>
      </w:r>
      <w:r>
        <w:rPr>
          <w:rFonts w:hint="eastAsia" w:ascii="仿宋" w:hAnsi="仿宋" w:eastAsia="仿宋" w:cs="仿宋"/>
          <w:color w:val="000000"/>
          <w:sz w:val="32"/>
          <w:szCs w:val="32"/>
        </w:rPr>
        <w:t>31.35万元，其中省专2.52万元，2019年目标奖预付款28.83万元。</w:t>
      </w:r>
    </w:p>
    <w:p w14:paraId="251AE6B4">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14:paraId="654955A3">
      <w:pPr>
        <w:widowControl/>
        <w:adjustRightInd w:val="0"/>
        <w:snapToGrid w:val="0"/>
        <w:spacing w:line="580" w:lineRule="exact"/>
        <w:ind w:firstLine="616"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spacing w:val="-6"/>
          <w:sz w:val="32"/>
          <w:szCs w:val="32"/>
        </w:rPr>
        <w:t>2019年阿坝州妇联支出总额为 655.77万元，其中：当年财政基本支出415.57万元，项目支出240.1万元，按功能分：行政运行（2012901）337.45万元，机关事业单位基本养老保险缴费支出（2080505）23.77万元，机关事业单位职业年金缴费支出（2080506）10.91万元，行政单位医疗（2101101）16.29万元，公务员医疗补助（2101103）2.79万元，住房公积金（2210201）24.45万元。项目支出：一般行政管理事务（2012902）124.77万元，其他群众团体事务支出（2012999）115.33万元。</w:t>
      </w:r>
    </w:p>
    <w:p w14:paraId="25417FB8">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568DE823">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582F3BD0">
      <w:pPr>
        <w:widowControl/>
        <w:shd w:val="clear" w:color="auto" w:fill="FFFFFF"/>
        <w:spacing w:line="576" w:lineRule="exact"/>
        <w:ind w:firstLine="720"/>
        <w:rPr>
          <w:rFonts w:ascii="华文楷体" w:hAnsi="华文楷体" w:eastAsia="华文楷体" w:cs="华文楷体"/>
          <w:b/>
          <w:bCs/>
          <w:color w:val="000000"/>
          <w:kern w:val="0"/>
          <w:sz w:val="32"/>
          <w:szCs w:val="32"/>
        </w:rPr>
      </w:pPr>
      <w:r>
        <w:rPr>
          <w:rFonts w:hint="eastAsia" w:ascii="华文楷体" w:hAnsi="华文楷体" w:eastAsia="华文楷体" w:cs="华文楷体"/>
          <w:b/>
          <w:bCs/>
          <w:color w:val="000000"/>
          <w:kern w:val="0"/>
          <w:sz w:val="32"/>
          <w:szCs w:val="32"/>
        </w:rPr>
        <w:t>（一）预决算编制情况</w:t>
      </w:r>
    </w:p>
    <w:p w14:paraId="40FB62BE">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sz w:val="32"/>
          <w:szCs w:val="32"/>
        </w:rPr>
        <w:t>我会部门预算严格按照相关要求编制，强化预算的权威性和严肃性，充分发挥预算在资源配置中的主导作用，在预算编制过程中按照工作的常态性与时效性，对项目的申报进行可行性及绩效论证，准确编制部门预算，严格按类款项设置科目，按时完成基础库及项目库的数据报送。</w:t>
      </w:r>
    </w:p>
    <w:p w14:paraId="738B04EF">
      <w:pPr>
        <w:widowControl/>
        <w:shd w:val="clear" w:color="auto" w:fill="FFFFFF"/>
        <w:spacing w:line="576" w:lineRule="exact"/>
        <w:ind w:firstLine="800" w:firstLineChars="250"/>
        <w:rPr>
          <w:rFonts w:ascii="仿宋" w:hAnsi="仿宋" w:eastAsia="仿宋" w:cs="仿宋"/>
          <w:sz w:val="32"/>
          <w:szCs w:val="32"/>
        </w:rPr>
      </w:pPr>
      <w:r>
        <w:rPr>
          <w:rFonts w:hint="eastAsia" w:ascii="仿宋" w:hAnsi="仿宋" w:eastAsia="仿宋" w:cs="仿宋"/>
          <w:sz w:val="32"/>
          <w:szCs w:val="32"/>
        </w:rPr>
        <w:t>1.阿坝州妇联于2019年10月编制2020年部门预算：支出合计</w:t>
      </w:r>
      <w:r>
        <w:rPr>
          <w:rFonts w:hint="eastAsia" w:ascii="仿宋" w:hAnsi="仿宋" w:eastAsia="仿宋" w:cs="仿宋"/>
          <w:color w:val="000000"/>
          <w:sz w:val="32"/>
          <w:szCs w:val="32"/>
        </w:rPr>
        <w:t>446.93</w:t>
      </w:r>
      <w:r>
        <w:rPr>
          <w:rFonts w:hint="eastAsia" w:ascii="仿宋" w:hAnsi="仿宋" w:eastAsia="仿宋" w:cs="仿宋"/>
          <w:sz w:val="32"/>
          <w:szCs w:val="32"/>
        </w:rPr>
        <w:t>万元。基本支出340.71万元，其中工资福利支出291.22万元，商品和服务支出49.21万元，对个人和家庭的补助0.28万元。</w:t>
      </w:r>
    </w:p>
    <w:p w14:paraId="6777818D">
      <w:pPr>
        <w:widowControl/>
        <w:shd w:val="clear" w:color="auto" w:fill="FFFFFF"/>
        <w:spacing w:line="576" w:lineRule="exact"/>
        <w:ind w:firstLine="640"/>
        <w:rPr>
          <w:rFonts w:ascii="仿宋" w:hAnsi="仿宋" w:eastAsia="仿宋" w:cs="仿宋"/>
          <w:sz w:val="32"/>
          <w:szCs w:val="32"/>
        </w:rPr>
      </w:pPr>
      <w:r>
        <w:rPr>
          <w:rFonts w:hint="eastAsia" w:ascii="仿宋" w:hAnsi="仿宋" w:eastAsia="仿宋" w:cs="仿宋"/>
          <w:sz w:val="32"/>
          <w:szCs w:val="32"/>
        </w:rPr>
        <w:t>2.项目支出预算共计106.22万元，其中办公设备购置费5.7万元，妇儿工委办专项经费10万元，妇女儿童宣传经费5万元，妇女儿童专项工作经费13万元，基层组织建设工作经费10万元，贫困妇女儿童扶助5万元，三八节、儿童节、母亲节等活动经费10万元，1+N工作经费45万元。</w:t>
      </w:r>
    </w:p>
    <w:p w14:paraId="555E913B">
      <w:pPr>
        <w:widowControl/>
        <w:shd w:val="clear" w:color="auto" w:fill="FFFFFF"/>
        <w:spacing w:line="576" w:lineRule="exact"/>
        <w:rPr>
          <w:rFonts w:ascii="仿宋" w:hAnsi="仿宋" w:eastAsia="仿宋" w:cs="仿宋"/>
          <w:sz w:val="32"/>
          <w:szCs w:val="32"/>
        </w:rPr>
      </w:pPr>
      <w:r>
        <w:rPr>
          <w:rFonts w:hint="eastAsia" w:ascii="仿宋" w:hAnsi="仿宋" w:eastAsia="仿宋" w:cs="仿宋"/>
          <w:sz w:val="32"/>
          <w:szCs w:val="32"/>
        </w:rPr>
        <w:t>3.结转项目：2019年度妇女儿童事业发展专项资金2.52万元。</w:t>
      </w:r>
    </w:p>
    <w:p w14:paraId="3CAD7F1C">
      <w:pPr>
        <w:widowControl/>
        <w:shd w:val="clear" w:color="auto" w:fill="FFFFFF"/>
        <w:spacing w:line="576" w:lineRule="exact"/>
        <w:ind w:firstLine="643" w:firstLineChars="200"/>
        <w:rPr>
          <w:rFonts w:ascii="华文楷体" w:hAnsi="华文楷体" w:eastAsia="华文楷体" w:cs="华文楷体"/>
          <w:b/>
          <w:bCs/>
          <w:color w:val="000000"/>
          <w:kern w:val="0"/>
          <w:sz w:val="32"/>
          <w:szCs w:val="32"/>
        </w:rPr>
      </w:pPr>
      <w:r>
        <w:rPr>
          <w:rFonts w:hint="eastAsia" w:ascii="华文楷体" w:hAnsi="华文楷体" w:eastAsia="华文楷体" w:cs="华文楷体"/>
          <w:b/>
          <w:bCs/>
          <w:sz w:val="32"/>
          <w:szCs w:val="32"/>
        </w:rPr>
        <w:t>（二）执行管理情况</w:t>
      </w:r>
    </w:p>
    <w:p w14:paraId="33950659">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sz w:val="32"/>
          <w:szCs w:val="32"/>
        </w:rPr>
        <w:t>我会在预算执行中严格按照《预算法》规定，对部门预算资金进行分配，及时分月、分季度合理申请预算计划。对部门预算按照工作开展情况及时、有效地执行资金支付，对资金预算进行定期或不定期评估。严格按照中央八项规定及州直机关公务用车经费、接待费等管理办法要求，厉行节约，对“三公”经费列支手续及附件不全的经费，一律不予报销。</w:t>
      </w:r>
    </w:p>
    <w:p w14:paraId="6AB0AF59">
      <w:pPr>
        <w:widowControl/>
        <w:shd w:val="clear" w:color="auto" w:fill="FFFFFF"/>
        <w:spacing w:line="576" w:lineRule="exact"/>
        <w:ind w:firstLine="643" w:firstLineChars="200"/>
        <w:rPr>
          <w:rFonts w:ascii="华文楷体" w:hAnsi="华文楷体" w:eastAsia="华文楷体" w:cs="华文楷体"/>
          <w:b/>
          <w:bCs/>
          <w:sz w:val="32"/>
          <w:szCs w:val="32"/>
        </w:rPr>
      </w:pPr>
      <w:r>
        <w:rPr>
          <w:rFonts w:hint="eastAsia" w:ascii="华文楷体" w:hAnsi="华文楷体" w:eastAsia="华文楷体" w:cs="华文楷体"/>
          <w:b/>
          <w:bCs/>
          <w:sz w:val="32"/>
          <w:szCs w:val="32"/>
        </w:rPr>
        <w:t>（三）综合管理</w:t>
      </w:r>
    </w:p>
    <w:p w14:paraId="15B96D08">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b/>
          <w:bCs/>
          <w:sz w:val="32"/>
          <w:szCs w:val="32"/>
        </w:rPr>
        <w:t>1.政府采购。</w:t>
      </w:r>
      <w:r>
        <w:rPr>
          <w:rFonts w:hint="eastAsia" w:ascii="仿宋" w:hAnsi="仿宋" w:eastAsia="仿宋" w:cs="仿宋"/>
          <w:sz w:val="32"/>
          <w:szCs w:val="32"/>
        </w:rPr>
        <w:t>我会政府采购严格按照《中华人民共和国政府采购法》，对集中采购目录的项目，根据集中采购目录、采购限额标准和已批复的部门预算编制额度，实施政府采购计划；对办公设置购置，采取网上竞价的方式进行采购，对单一采购项目采取市场询价的方式进行采购，严格履行政府采购相关备案手续，2019年政府采购预算5.8万元，实际采购资金5.57万元，节约率为4.02%</w:t>
      </w:r>
    </w:p>
    <w:p w14:paraId="0E78A259">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b/>
          <w:bCs/>
          <w:sz w:val="32"/>
          <w:szCs w:val="32"/>
        </w:rPr>
        <w:t>2.资产管理情况。</w:t>
      </w:r>
      <w:r>
        <w:rPr>
          <w:rFonts w:hint="eastAsia" w:ascii="仿宋" w:hAnsi="仿宋" w:eastAsia="仿宋" w:cs="仿宋"/>
          <w:sz w:val="32"/>
          <w:szCs w:val="32"/>
        </w:rPr>
        <w:t>我会固定资产全部纳入资产管理系统管理，严格执行国有资产的购置、转让、报废等报批报审，资产处置收入及时足额上缴国库资产。及时开展财政国有资产管理信息系统数据清查、报送，单位固定资产全部纳入信息系统管理，并按要求及时将资产增减变动情况准确录入信息系统。按要求编制、按时报送年度国有资产报告，做到数据真实、内容完整，通过信息系统提交了年度资产分析报告，2019年我会固定资产为171.4万元，新增固定资产8.41万元。</w:t>
      </w:r>
    </w:p>
    <w:p w14:paraId="0775F9C3">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b/>
          <w:bCs/>
          <w:sz w:val="32"/>
          <w:szCs w:val="32"/>
        </w:rPr>
        <w:t>3.内控制度管理。</w:t>
      </w:r>
      <w:r>
        <w:rPr>
          <w:rFonts w:hint="eastAsia" w:ascii="仿宋" w:hAnsi="仿宋" w:eastAsia="仿宋" w:cs="仿宋"/>
          <w:spacing w:val="-6"/>
          <w:sz w:val="32"/>
          <w:szCs w:val="32"/>
        </w:rPr>
        <w:t>为更好开展财务工作，我会制定了收入管理制度、预算管理制度、支出管理制度、采购管理制度等内控管理制度，明确财务机构及财务人员职责。会机关主要负责人对本单位的会计工作和会计资料的真实性、完整性负责；严格执行会计事项的处理不能由一人全过程办理，必须由二人及以上人员处理；单位会计对会计凭证、会计帐簿、决算报告及其他会计资料进行审核。</w:t>
      </w:r>
    </w:p>
    <w:p w14:paraId="38C3E425">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b/>
          <w:bCs/>
          <w:sz w:val="32"/>
          <w:szCs w:val="32"/>
        </w:rPr>
        <w:t>4.信息公开情况。</w:t>
      </w:r>
      <w:r>
        <w:rPr>
          <w:rFonts w:hint="eastAsia" w:ascii="仿宋" w:hAnsi="仿宋" w:eastAsia="仿宋" w:cs="仿宋"/>
          <w:spacing w:val="-6"/>
          <w:sz w:val="32"/>
          <w:szCs w:val="32"/>
        </w:rPr>
        <w:t>严格</w:t>
      </w:r>
      <w:r>
        <w:rPr>
          <w:rFonts w:hint="eastAsia" w:ascii="仿宋" w:hAnsi="仿宋" w:eastAsia="仿宋" w:cs="仿宋"/>
          <w:sz w:val="32"/>
          <w:szCs w:val="32"/>
        </w:rPr>
        <w:t>按照财政统一安排部署和具体要求，在州财政局部门预算批复20日内向社会公开了本部门信息（含所有财政资金安排的“三公”经费、机关运行经费的安排、使用情况等），主动接受社会以及财政等部门监督检查。</w:t>
      </w:r>
    </w:p>
    <w:p w14:paraId="53E0E9FC">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b/>
          <w:bCs/>
          <w:sz w:val="32"/>
          <w:szCs w:val="32"/>
        </w:rPr>
        <w:t>5.</w:t>
      </w:r>
      <w:r>
        <w:rPr>
          <w:rFonts w:hint="eastAsia" w:ascii="仿宋" w:hAnsi="仿宋" w:eastAsia="仿宋" w:cs="仿宋"/>
          <w:b/>
          <w:bCs/>
          <w:spacing w:val="-6"/>
          <w:sz w:val="32"/>
          <w:szCs w:val="32"/>
        </w:rPr>
        <w:t>加强绩效评价。</w:t>
      </w:r>
      <w:r>
        <w:rPr>
          <w:rFonts w:hint="eastAsia" w:ascii="仿宋" w:hAnsi="仿宋" w:eastAsia="仿宋" w:cs="仿宋"/>
          <w:spacing w:val="-6"/>
          <w:sz w:val="32"/>
          <w:szCs w:val="32"/>
        </w:rPr>
        <w:t>我单位按要求对2019年和2020年上半年部门整体支出均进行绩效评价，并主动接受财政等部门监督检查。</w:t>
      </w:r>
    </w:p>
    <w:p w14:paraId="3300831C">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b/>
          <w:bCs/>
          <w:sz w:val="32"/>
          <w:szCs w:val="32"/>
        </w:rPr>
        <w:t>6.其他。</w:t>
      </w:r>
      <w:r>
        <w:rPr>
          <w:rFonts w:hint="eastAsia" w:ascii="仿宋" w:hAnsi="仿宋" w:eastAsia="仿宋" w:cs="仿宋"/>
          <w:sz w:val="32"/>
          <w:szCs w:val="32"/>
        </w:rPr>
        <w:t>我单位2019年和2020年上半年均无政府性债务，2019年非税收入60元固定资产处置费用已缴国库。</w:t>
      </w:r>
    </w:p>
    <w:p w14:paraId="2FC06EAE">
      <w:pPr>
        <w:widowControl/>
        <w:shd w:val="clear" w:color="auto" w:fill="FFFFFF"/>
        <w:spacing w:line="576" w:lineRule="exact"/>
        <w:ind w:firstLine="720"/>
        <w:rPr>
          <w:rFonts w:ascii="华文楷体" w:hAnsi="华文楷体" w:eastAsia="华文楷体" w:cs="华文楷体"/>
          <w:b/>
          <w:bCs/>
          <w:sz w:val="32"/>
          <w:szCs w:val="32"/>
        </w:rPr>
      </w:pPr>
      <w:r>
        <w:rPr>
          <w:rFonts w:hint="eastAsia" w:ascii="华文楷体" w:hAnsi="华文楷体" w:eastAsia="华文楷体" w:cs="华文楷体"/>
          <w:b/>
          <w:bCs/>
          <w:sz w:val="32"/>
          <w:szCs w:val="32"/>
        </w:rPr>
        <w:t>（四）整体绩效</w:t>
      </w:r>
    </w:p>
    <w:p w14:paraId="66112955">
      <w:pPr>
        <w:widowControl/>
        <w:shd w:val="clear" w:color="auto" w:fill="FFFFFF"/>
        <w:spacing w:line="576" w:lineRule="exact"/>
        <w:ind w:firstLine="720"/>
        <w:rPr>
          <w:rFonts w:ascii="仿宋" w:hAnsi="仿宋" w:eastAsia="仿宋" w:cs="仿宋"/>
          <w:bCs/>
          <w:spacing w:val="-6"/>
          <w:sz w:val="32"/>
          <w:szCs w:val="32"/>
          <w:lang w:val="zh-CN"/>
        </w:rPr>
      </w:pPr>
      <w:r>
        <w:rPr>
          <w:rFonts w:hint="eastAsia" w:ascii="仿宋" w:hAnsi="仿宋" w:eastAsia="仿宋" w:cs="仿宋"/>
          <w:spacing w:val="-6"/>
          <w:sz w:val="32"/>
          <w:szCs w:val="32"/>
        </w:rPr>
        <w:t>总体上看，我会围绕年初的工作计划，稳定扎实的推进各项工作，部门履职情况较好。同时，对重点项目进行定期和不定期的开展绩效评价。全年预算编制报送及时、预算执行力度较好</w:t>
      </w:r>
      <w:r>
        <w:rPr>
          <w:rFonts w:hint="eastAsia" w:ascii="仿宋" w:hAnsi="仿宋" w:eastAsia="仿宋" w:cs="仿宋"/>
          <w:bCs/>
          <w:spacing w:val="-6"/>
          <w:sz w:val="32"/>
          <w:szCs w:val="32"/>
          <w:lang w:val="zh-CN"/>
        </w:rPr>
        <w:t>。</w:t>
      </w:r>
    </w:p>
    <w:p w14:paraId="56355949">
      <w:pPr>
        <w:widowControl/>
        <w:shd w:val="clear" w:color="auto" w:fill="FFFFFF"/>
        <w:spacing w:line="576" w:lineRule="exact"/>
        <w:ind w:firstLine="640"/>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78FF60F9">
      <w:pPr>
        <w:widowControl/>
        <w:shd w:val="clear" w:color="auto" w:fill="FFFFFF"/>
        <w:spacing w:line="576" w:lineRule="exact"/>
        <w:ind w:firstLine="720"/>
        <w:rPr>
          <w:rFonts w:ascii="华文楷体" w:hAnsi="华文楷体" w:eastAsia="华文楷体" w:cs="华文楷体"/>
          <w:b/>
          <w:bCs/>
          <w:sz w:val="32"/>
          <w:szCs w:val="32"/>
        </w:rPr>
      </w:pPr>
      <w:r>
        <w:rPr>
          <w:rFonts w:hint="eastAsia" w:ascii="华文楷体" w:hAnsi="华文楷体" w:eastAsia="华文楷体" w:cs="华文楷体"/>
          <w:b/>
          <w:bCs/>
          <w:sz w:val="32"/>
          <w:szCs w:val="32"/>
        </w:rPr>
        <w:t>（一）评价结论</w:t>
      </w:r>
    </w:p>
    <w:p w14:paraId="7ECAA44E">
      <w:pPr>
        <w:widowControl/>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2019年我会加强部门预算管理，努力提高财政资金使用效益，取得了较好的成绩，部门支出绩效评价自评得分94分。主要表现在：较为准确、及时地完成预算编制工作；资金支出管理规范，资金管理制度较为完善，会计核算和账务处理规范，会计资料完整；圆满完成了省妇联、州委、州政府下达的目标任务。一是预算编制准确，按时完成预算基础库及项目库的报送和预算草案的提交；二是对项目经费进行绩效目标编制，做到绩效目标与实际需求相吻合；三是部门预决算按财政要求进行挂网公开；四是项目实施规划符合实际工作要求；五是财务管理制度健全、管理规范，会计人员岗位按职责分设，财务印鉴按要求保管，各司其职、各负其责；六是部门决算做到帐表一致，未出现应编未编、错误列编、虚假混编等现象，并按要求公开决算。</w:t>
      </w:r>
    </w:p>
    <w:p w14:paraId="1DF62665">
      <w:pPr>
        <w:widowControl/>
        <w:shd w:val="clear" w:color="auto" w:fill="FFFFFF"/>
        <w:spacing w:line="576" w:lineRule="exact"/>
        <w:ind w:firstLine="643" w:firstLineChars="200"/>
        <w:rPr>
          <w:rFonts w:ascii="华文楷体" w:hAnsi="华文楷体" w:eastAsia="华文楷体" w:cs="华文楷体"/>
          <w:b/>
          <w:bCs/>
          <w:sz w:val="32"/>
          <w:szCs w:val="32"/>
        </w:rPr>
      </w:pPr>
      <w:r>
        <w:rPr>
          <w:rFonts w:hint="eastAsia" w:ascii="华文楷体" w:hAnsi="华文楷体" w:eastAsia="华文楷体" w:cs="华文楷体"/>
          <w:b/>
          <w:bCs/>
          <w:sz w:val="32"/>
          <w:szCs w:val="32"/>
        </w:rPr>
        <w:t>（二）存在问题</w:t>
      </w:r>
    </w:p>
    <w:p w14:paraId="7703969D">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sz w:val="32"/>
          <w:szCs w:val="32"/>
        </w:rPr>
        <w:t>一是由于人员少，工作量大，对群团行政管理事务的资金安排、使用、核算上存在一定的偏差，导致预算经费科目与支出科目存在差异。</w:t>
      </w:r>
    </w:p>
    <w:p w14:paraId="4724EF7A">
      <w:pPr>
        <w:widowControl/>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二是今年上半年受疫情影响，项目实施进度缓慢，项目资金执行进度滞后未按时序推进。</w:t>
      </w:r>
    </w:p>
    <w:p w14:paraId="79F58AD0">
      <w:pPr>
        <w:widowControl/>
        <w:shd w:val="clear" w:color="auto" w:fill="FFFFFF"/>
        <w:spacing w:line="576" w:lineRule="exact"/>
        <w:ind w:firstLine="643" w:firstLineChars="200"/>
        <w:rPr>
          <w:rFonts w:ascii="华文楷体" w:hAnsi="华文楷体" w:eastAsia="华文楷体" w:cs="华文楷体"/>
          <w:b/>
          <w:bCs/>
          <w:sz w:val="32"/>
          <w:szCs w:val="32"/>
        </w:rPr>
      </w:pPr>
      <w:r>
        <w:rPr>
          <w:rFonts w:hint="eastAsia" w:ascii="华文楷体" w:hAnsi="华文楷体" w:eastAsia="华文楷体" w:cs="华文楷体"/>
          <w:b/>
          <w:bCs/>
          <w:sz w:val="32"/>
          <w:szCs w:val="32"/>
        </w:rPr>
        <w:t>（三）改进建议</w:t>
      </w:r>
    </w:p>
    <w:p w14:paraId="4D85058D">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sz w:val="32"/>
          <w:szCs w:val="32"/>
        </w:rPr>
        <w:t>在今后的工作中，一是继续深化部门预算改革，建立部门预算项目储备、预算执行考核、预算执行动态监控三项机制；二是加强国有资产管理，及时处置已达到报废年限且不能使用的固定资产；三是加强预算管理，增强预算执行力度，保障财政资金使用效率；四是加强财务人员业务培训，进一步提高业务素质。</w:t>
      </w:r>
    </w:p>
    <w:p w14:paraId="786335A8">
      <w:pPr>
        <w:spacing w:line="580" w:lineRule="exact"/>
        <w:rPr>
          <w:rFonts w:ascii="黑体" w:hAnsi="黑体" w:eastAsia="黑体" w:cs="黑体"/>
          <w:sz w:val="32"/>
          <w:szCs w:val="32"/>
        </w:rPr>
      </w:pPr>
    </w:p>
    <w:p w14:paraId="3C4E513D">
      <w:pPr>
        <w:spacing w:line="580" w:lineRule="exact"/>
        <w:rPr>
          <w:rFonts w:ascii="黑体" w:hAnsi="黑体" w:eastAsia="黑体" w:cs="黑体"/>
          <w:sz w:val="32"/>
          <w:szCs w:val="32"/>
        </w:rPr>
      </w:pPr>
    </w:p>
    <w:p w14:paraId="43AFFDA4">
      <w:pPr>
        <w:spacing w:line="580" w:lineRule="exact"/>
        <w:rPr>
          <w:rFonts w:ascii="黑体" w:hAnsi="黑体" w:eastAsia="黑体" w:cs="黑体"/>
          <w:sz w:val="32"/>
          <w:szCs w:val="32"/>
        </w:rPr>
      </w:pPr>
    </w:p>
    <w:p w14:paraId="06C68ACC">
      <w:pPr>
        <w:spacing w:line="580" w:lineRule="exact"/>
        <w:rPr>
          <w:rFonts w:ascii="黑体" w:hAnsi="黑体" w:eastAsia="黑体" w:cs="黑体"/>
          <w:sz w:val="32"/>
          <w:szCs w:val="32"/>
        </w:rPr>
      </w:pPr>
    </w:p>
    <w:p w14:paraId="3C19900D">
      <w:pPr>
        <w:spacing w:line="580" w:lineRule="exact"/>
        <w:rPr>
          <w:rFonts w:ascii="黑体" w:hAnsi="黑体" w:eastAsia="黑体" w:cs="黑体"/>
          <w:sz w:val="32"/>
          <w:szCs w:val="32"/>
        </w:rPr>
      </w:pPr>
    </w:p>
    <w:p w14:paraId="6E95377A">
      <w:pPr>
        <w:spacing w:line="580" w:lineRule="exact"/>
        <w:rPr>
          <w:rFonts w:ascii="黑体" w:hAnsi="黑体" w:eastAsia="黑体" w:cs="黑体"/>
          <w:sz w:val="32"/>
          <w:szCs w:val="32"/>
        </w:rPr>
      </w:pPr>
    </w:p>
    <w:p w14:paraId="78E5A724">
      <w:pPr>
        <w:spacing w:line="580" w:lineRule="exact"/>
        <w:rPr>
          <w:rFonts w:ascii="黑体" w:hAnsi="黑体" w:eastAsia="黑体" w:cs="黑体"/>
          <w:sz w:val="32"/>
          <w:szCs w:val="32"/>
        </w:rPr>
      </w:pPr>
    </w:p>
    <w:p w14:paraId="57E7315D">
      <w:pPr>
        <w:spacing w:line="580" w:lineRule="exact"/>
        <w:rPr>
          <w:rFonts w:ascii="黑体" w:hAnsi="黑体" w:eastAsia="黑体" w:cs="黑体"/>
          <w:sz w:val="32"/>
          <w:szCs w:val="32"/>
        </w:rPr>
      </w:pPr>
    </w:p>
    <w:p w14:paraId="46C5E671">
      <w:pPr>
        <w:spacing w:line="580" w:lineRule="exact"/>
        <w:rPr>
          <w:rFonts w:ascii="黑体" w:hAnsi="黑体" w:eastAsia="黑体" w:cs="黑体"/>
          <w:sz w:val="32"/>
          <w:szCs w:val="32"/>
        </w:rPr>
      </w:pPr>
    </w:p>
    <w:p w14:paraId="12B53D34">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14:paraId="470FC2C7">
      <w:pPr>
        <w:spacing w:line="580" w:lineRule="exact"/>
        <w:ind w:firstLine="640" w:firstLineChars="200"/>
        <w:rPr>
          <w:rFonts w:ascii="仿宋_GB2312" w:hAnsi="仿宋_GB2312" w:eastAsia="仿宋_GB2312" w:cs="仿宋_GB2312"/>
          <w:sz w:val="32"/>
          <w:szCs w:val="32"/>
        </w:rPr>
      </w:pPr>
    </w:p>
    <w:p w14:paraId="7DF9B3F4">
      <w:pPr>
        <w:spacing w:line="600" w:lineRule="exact"/>
        <w:jc w:val="center"/>
        <w:rPr>
          <w:rFonts w:ascii="方正小标宋简体" w:hAnsi="宋体" w:eastAsia="方正小标宋简体"/>
          <w:color w:val="000000"/>
          <w:kern w:val="0"/>
          <w:sz w:val="32"/>
          <w:szCs w:val="32"/>
          <w:lang w:val="zh-CN"/>
        </w:rPr>
      </w:pPr>
      <w:r>
        <w:rPr>
          <w:rFonts w:hint="eastAsia" w:ascii="方正小标宋简体" w:hAnsi="宋体" w:eastAsia="方正小标宋简体"/>
          <w:color w:val="000000"/>
          <w:kern w:val="0"/>
          <w:sz w:val="32"/>
          <w:szCs w:val="32"/>
          <w:lang w:val="zh-CN"/>
        </w:rPr>
        <w:t>2019年度四川省妇女儿童事业发展</w:t>
      </w:r>
    </w:p>
    <w:p w14:paraId="19B3AC4A">
      <w:pPr>
        <w:spacing w:line="600" w:lineRule="exact"/>
        <w:jc w:val="center"/>
        <w:rPr>
          <w:rFonts w:ascii="方正小标宋简体" w:hAnsi="宋体" w:eastAsia="方正小标宋简体"/>
          <w:color w:val="000000"/>
          <w:kern w:val="0"/>
          <w:sz w:val="32"/>
          <w:szCs w:val="32"/>
          <w:lang w:val="zh-CN"/>
        </w:rPr>
      </w:pPr>
      <w:r>
        <w:rPr>
          <w:rFonts w:hint="eastAsia" w:ascii="方正小标宋简体" w:hAnsi="宋体" w:eastAsia="方正小标宋简体"/>
          <w:color w:val="000000"/>
          <w:kern w:val="0"/>
          <w:sz w:val="32"/>
          <w:szCs w:val="32"/>
          <w:lang w:val="zh-CN"/>
        </w:rPr>
        <w:t>——“巾帼心向党”思想引领项目</w:t>
      </w:r>
    </w:p>
    <w:p w14:paraId="4A39BDB6">
      <w:pPr>
        <w:spacing w:line="600" w:lineRule="exact"/>
        <w:jc w:val="center"/>
        <w:rPr>
          <w:rFonts w:ascii="方正小标宋简体" w:hAnsi="宋体" w:eastAsia="方正小标宋简体"/>
          <w:color w:val="000000"/>
          <w:kern w:val="0"/>
          <w:sz w:val="32"/>
          <w:szCs w:val="32"/>
          <w:lang w:val="zh-CN"/>
        </w:rPr>
      </w:pPr>
      <w:r>
        <w:rPr>
          <w:rFonts w:hint="eastAsia" w:ascii="方正小标宋简体" w:hAnsi="宋体" w:eastAsia="方正小标宋简体"/>
          <w:color w:val="000000"/>
          <w:kern w:val="0"/>
          <w:sz w:val="32"/>
          <w:szCs w:val="32"/>
          <w:lang w:val="zh-CN"/>
        </w:rPr>
        <w:t>绩效评价报告</w:t>
      </w:r>
    </w:p>
    <w:p w14:paraId="7FD7C3D3">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6A4AE895">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0FBEB770">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巾帼心向党思想引领项目在我州线上线下建立覆盖3类以上不同妇女群体，线上线下宣讲开展宣讲活动。运用新媒体如州、县（市）妇联官方微信公众号等宣传平台，围绕妇女群众关注点主动设置话题、引导讨论，积极互动，努力做到联系妇女群众线下有活动、有面对面交流，线上有声音、有互动。</w:t>
      </w:r>
    </w:p>
    <w:p w14:paraId="311B2329">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利用基层妇女之家、机关妇女组织等阵地，开展好“巾帼心向党、礼赞新中国”群众性宣传教育活动。</w:t>
      </w:r>
    </w:p>
    <w:p w14:paraId="6207F7C9">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利用妇女姐妹自己的宣讲队，深入基层开展宣讲，进一步激活妇女思想政治引领工作，妇联组织更好地发挥桥梁纽带作用，带领广大妇女更加自觉地筑牢理想信念。</w:t>
      </w:r>
    </w:p>
    <w:p w14:paraId="26CDE487">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194B3E09">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通过活动的开展，亮出妇联旗帜、发出妇联声音，凝聚妇女的力量。1、线上线下宣传覆盖3类以上不同妇女群体，覆盖人数达5万。2、线上线下宣讲活动不少于30场。3、运用“花开阿坝”、不同群体妇女微信群等宣传平台，围绕妇女群众关注点主动设置话题、引导讨论，积极互动，努力做到联系妇女群众线下有活动、有面对面交流，线上有声音、有互动。4、突出妇女群众思想引领。及时了解和把握所联系妇女群众的思想动态，运用妇女群众喜闻乐见的语言和方式传递正能量，更好地把广大妇女群众团结在党的周围。</w:t>
      </w:r>
    </w:p>
    <w:p w14:paraId="1D76DDE5">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545C082C">
      <w:pPr>
        <w:widowControl/>
        <w:spacing w:line="576" w:lineRule="exact"/>
        <w:ind w:firstLine="640" w:firstLineChars="200"/>
        <w:jc w:val="left"/>
        <w:rPr>
          <w:rFonts w:ascii="仿宋_GB2312" w:hAnsi="宋体" w:eastAsia="仿宋_GB2312"/>
          <w:sz w:val="32"/>
          <w:szCs w:val="32"/>
          <w:lang w:val="zh-CN"/>
        </w:rPr>
      </w:pPr>
      <w:r>
        <w:rPr>
          <w:rFonts w:hint="eastAsia" w:ascii="仿宋_GB2312" w:hAnsi="宋体" w:eastAsia="仿宋_GB2312"/>
          <w:sz w:val="32"/>
          <w:szCs w:val="32"/>
          <w:lang w:val="zh-CN"/>
        </w:rPr>
        <w:t>项目完成后，聘请了四川锦程会计师事务所有限责任公司对项目进行评估。</w:t>
      </w:r>
    </w:p>
    <w:p w14:paraId="55AEC6B2">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15AB1625">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1548C6F1">
      <w:pPr>
        <w:widowControl/>
        <w:spacing w:line="576" w:lineRule="exact"/>
        <w:ind w:firstLine="640" w:firstLineChars="200"/>
        <w:jc w:val="left"/>
        <w:rPr>
          <w:rFonts w:ascii="仿宋_GB2312" w:hAnsi="宋体" w:eastAsia="仿宋_GB2312"/>
          <w:sz w:val="32"/>
          <w:szCs w:val="32"/>
          <w:lang w:val="zh-CN"/>
        </w:rPr>
      </w:pPr>
      <w:r>
        <w:rPr>
          <w:rFonts w:hint="eastAsia" w:ascii="仿宋_GB2312" w:hAnsi="宋体" w:eastAsia="仿宋_GB2312"/>
          <w:sz w:val="32"/>
          <w:szCs w:val="32"/>
          <w:lang w:val="zh-CN"/>
        </w:rPr>
        <w:t>按照省妇联要求于2018年11月进行项目申报，经省妇联研究决定后批复。</w:t>
      </w:r>
    </w:p>
    <w:p w14:paraId="4FCF77BC">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14:paraId="6BD595FB">
      <w:pPr>
        <w:spacing w:line="576" w:lineRule="exact"/>
        <w:ind w:firstLine="640"/>
        <w:rPr>
          <w:rFonts w:ascii="仿宋_GB2312" w:hAnsi="宋体" w:eastAsia="仿宋_GB2312"/>
          <w:sz w:val="32"/>
          <w:szCs w:val="32"/>
          <w:lang w:val="zh-CN"/>
        </w:rPr>
      </w:pPr>
      <w:r>
        <w:rPr>
          <w:rFonts w:hint="eastAsia" w:ascii="仿宋_GB2312" w:hAnsi="宋体" w:eastAsia="仿宋_GB2312"/>
          <w:sz w:val="32"/>
          <w:szCs w:val="32"/>
          <w:lang w:val="zh-CN"/>
        </w:rPr>
        <w:t>1.资金计划及到位：资金到位率100%，与项目前期计划相符。资金到位及时。</w:t>
      </w:r>
    </w:p>
    <w:p w14:paraId="2D335B0D">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资金使用：州本级完成8万元，其中完成巾帼心向党思想引领大宣讲3.9915万元；完成群众性宣传教育活动3.5万元；完成“巾帼心向党”思想引领网上妇联互动活动0.3485万元；第三方评估费用0.16万元。支付按照合同和资金管理办法执行，合规合法，与预算相符。</w:t>
      </w:r>
    </w:p>
    <w:p w14:paraId="3B903907">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28239889">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总体评价各项目实施单位财务管理制度是否健全，是否严格执行财务管理制度，账务处理是否及时，会计核算是否规范等。</w:t>
      </w:r>
    </w:p>
    <w:p w14:paraId="616E58B5">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（四）项目财务管理情况。</w:t>
      </w:r>
    </w:p>
    <w:p w14:paraId="1DF95058">
      <w:pPr>
        <w:adjustRightInd w:val="0"/>
        <w:snapToGrid w:val="0"/>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项目实施过程中单位财务管理制度健全，严格执行财务管理制度，账务处理及时，会计核算规范。</w:t>
      </w:r>
    </w:p>
    <w:p w14:paraId="5CBFE09D">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7D384C5D">
      <w:pPr>
        <w:adjustRightInd w:val="0"/>
        <w:snapToGrid w:val="0"/>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项目监督、管理均规范。</w:t>
      </w:r>
    </w:p>
    <w:p w14:paraId="0DE9DBEC">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14:paraId="07BF98D0">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1CD2ACF3">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1、开展“巾帼心向党”思想引领大宣讲。邀请专家老师深入机关、四个景区管理局开展宣讲5场次，深入基层小金县、阿坝县、汶川县开展宣讲3场次，进一步激活妇女思想政治引领工作，妇联组织更好地发挥桥梁纽带作用，带领广大妇女更加自觉地筑牢理想信念。</w:t>
      </w:r>
    </w:p>
    <w:p w14:paraId="66ABC679">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2、开展群众性宣传教育活动。利用基层妇女之家、机关妇女组织等阵地，开展好“巾帼心向党、礼赞新中国”群众性宣传教育活动。一是在松潘县进安镇金坑坝社区妇女之家开展全国“巾帼心向党 礼赞新中国”群众性宣传教育活动“妇女之家”千场联动活动。二是在金川县、红原县、茂县妇女之家开展“七一”群众性宣传教育活动 百个妇女之家万名妇女联动活动。三是在黑水县开展广场舞姐妹庆祝新中国成立70周年群众性宣传教育活动。</w:t>
      </w:r>
    </w:p>
    <w:p w14:paraId="75023E64">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3、“巾帼心向党”思想引领网上妇联互动赠话费活动：2019年12月至2020年1月在阿坝州妇联微信公众号举办“巾帼心向党 建功新时代”——“花开阿坝 幸福万家”工作成果展示点赞活动，进一步凝聚妇女、引领妇女。</w:t>
      </w:r>
    </w:p>
    <w:p w14:paraId="4FDA4D76">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4、第三方开展项目评估。</w:t>
      </w:r>
    </w:p>
    <w:p w14:paraId="58FC9647">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2A89C388">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1、项目的实施更好地促进了“巾帼心向党”群众性宣传教育活动、思想引领大宣讲的开展，亮出妇联旗帜、发出妇联声音，凝聚妇女的力量，有效引导我州妇女群众知党情感党恩，跟党走中国特色社会主义道路，使我州妇女姐妹思想意识进一步提高。</w:t>
      </w:r>
    </w:p>
    <w:p w14:paraId="63F4EAC7">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线上思想引领进一步拉近了姐妹们的距离，做到了各级妇联组织与基层妇女姐妹面对面交流。围绕妇女群众关注点主动设置话题、引导讨论，积极互动，做到了联系妇女群众线下有活动、有面对面交流，线上有声音、有互动。</w:t>
      </w:r>
    </w:p>
    <w:p w14:paraId="6E0B859E">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3、通过开展高原生态脆弱区的环保公益宣传，倡导绿色环保，以实际行动持之以恒保护长江、黄河上游生态平衡，为我州创建全国生态示范州提供强劲引领，奉献巾帼力量。</w:t>
      </w:r>
    </w:p>
    <w:p w14:paraId="234BAD5C">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75053C18">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2EDAA73C">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阿坝州妇联2019年度四川省妇女儿童事业发展专项资金“巾帼心向党思想引领”项目已完成了预期指标值，达到了预期目的。</w:t>
      </w:r>
    </w:p>
    <w:p w14:paraId="0BF9E18D">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26F1CC42">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州妇联充分利用好此次项目资金，因地制宜开展了富有阿坝特色的“巾帼心向党”思想引领大宣讲和群众性宣传教育活动，全州妇女姐妹反响很好，基层各地妇联都希望省、州妇联能支持资金开展相关活动，但我州幅员面积广，人口居住分散，要分点全覆盖开展相关活动所需经费无法保障。</w:t>
      </w:r>
    </w:p>
    <w:p w14:paraId="485B000C">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122B1A5B">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建议省妇联在下达相关项目资金分配时能倾斜考虑阿坝州。</w:t>
      </w:r>
    </w:p>
    <w:p w14:paraId="0A67EF1A">
      <w:pPr>
        <w:spacing w:line="576" w:lineRule="exact"/>
        <w:ind w:firstLine="640" w:firstLineChars="200"/>
        <w:rPr>
          <w:rFonts w:ascii="仿宋_GB2312" w:hAnsi="宋体" w:eastAsia="仿宋_GB2312"/>
          <w:bCs/>
          <w:sz w:val="32"/>
          <w:szCs w:val="32"/>
          <w:lang w:val="zh-CN"/>
        </w:rPr>
      </w:pPr>
    </w:p>
    <w:p w14:paraId="09A79CBD">
      <w:pPr>
        <w:spacing w:line="600" w:lineRule="exact"/>
        <w:jc w:val="center"/>
        <w:rPr>
          <w:rFonts w:ascii="方正小标宋简体" w:hAnsi="宋体" w:eastAsia="方正小标宋简体"/>
          <w:color w:val="000000"/>
          <w:kern w:val="0"/>
          <w:sz w:val="32"/>
          <w:szCs w:val="32"/>
          <w:lang w:val="zh-CN"/>
        </w:rPr>
      </w:pPr>
      <w:r>
        <w:rPr>
          <w:rFonts w:hint="eastAsia" w:ascii="方正小标宋简体" w:hAnsi="宋体" w:eastAsia="方正小标宋简体"/>
          <w:color w:val="000000"/>
          <w:kern w:val="0"/>
          <w:sz w:val="32"/>
          <w:szCs w:val="32"/>
          <w:lang w:val="zh-CN"/>
        </w:rPr>
        <w:t>发展权益工作项目绩效评价报告</w:t>
      </w:r>
    </w:p>
    <w:p w14:paraId="440B0F30">
      <w:pPr>
        <w:spacing w:line="600" w:lineRule="exact"/>
        <w:jc w:val="center"/>
        <w:rPr>
          <w:rFonts w:ascii="方正小标宋简体" w:hAnsi="宋体" w:eastAsia="方正小标宋简体"/>
          <w:color w:val="000000"/>
          <w:kern w:val="0"/>
          <w:sz w:val="32"/>
          <w:szCs w:val="32"/>
          <w:lang w:val="zh-CN"/>
        </w:rPr>
      </w:pPr>
    </w:p>
    <w:p w14:paraId="2460312C">
      <w:pPr>
        <w:adjustRightInd w:val="0"/>
        <w:snapToGrid w:val="0"/>
        <w:spacing w:line="600" w:lineRule="exact"/>
        <w:ind w:firstLine="960" w:firstLineChars="30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171D14B2">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3BE8FA2B">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rPr>
        <w:t>此项目资金主要针对发展权益部年初重要工作进行申报，以保障发展权益部的相关工作推进，项目资金的使用主要由发展权益部负责。主要包括：根据州依法治州办、州司法局等</w:t>
      </w:r>
      <w:r>
        <w:rPr>
          <w:rFonts w:hint="eastAsia" w:ascii="仿宋_GB2312" w:hAnsi="仿宋_GB2312" w:eastAsia="仿宋_GB2312" w:cs="仿宋_GB2312"/>
          <w:bCs/>
          <w:sz w:val="32"/>
          <w:szCs w:val="32"/>
        </w:rPr>
        <w:t>法治阿坝建设</w:t>
      </w:r>
      <w:r>
        <w:rPr>
          <w:rFonts w:hint="eastAsia" w:ascii="仿宋_GB2312" w:hAnsi="宋体" w:eastAsia="仿宋_GB2312"/>
          <w:sz w:val="32"/>
          <w:szCs w:val="32"/>
        </w:rPr>
        <w:t>工作要求购买的法制宣传资料的相关费用0.063元；根据</w:t>
      </w:r>
      <w:r>
        <w:rPr>
          <w:rFonts w:hint="eastAsia" w:ascii="仿宋_GB2312" w:hAnsi="仿宋_GB2312" w:eastAsia="仿宋_GB2312" w:cs="仿宋_GB2312"/>
          <w:bCs/>
          <w:sz w:val="32"/>
          <w:szCs w:val="32"/>
        </w:rPr>
        <w:t>我会下发的《关于开展社区贫困癌症患病妇女救助工作的通知》（阿州妇发〔2019年〕24号）文件，对9名符合条件的</w:t>
      </w:r>
      <w:r>
        <w:rPr>
          <w:rFonts w:hint="eastAsia" w:ascii="仿宋_GB2312" w:hAnsi="宋体" w:eastAsia="仿宋_GB2312"/>
          <w:sz w:val="32"/>
          <w:szCs w:val="32"/>
        </w:rPr>
        <w:t>社区两癌患病妇女救助费用2.7万元；开展权益工作产生的部分差旅费用0.277万元；</w:t>
      </w:r>
      <w:r>
        <w:rPr>
          <w:rFonts w:hint="eastAsia" w:ascii="仿宋_GB2312" w:eastAsia="仿宋_GB2312"/>
          <w:sz w:val="32"/>
          <w:szCs w:val="32"/>
        </w:rPr>
        <w:t>权益部结合州委《关于深化律师制度改革的实施意见》、《阿坝州法律顾问团管理办法》等相关文件规定，续聘周明光律师为我会的常年法律顾问所支付的每年8000元的聘用费；为提升案例文稿质量，结合市场常规支付的阿坝州首届维护妇女儿童十大案例</w:t>
      </w:r>
      <w:r>
        <w:rPr>
          <w:rFonts w:hint="eastAsia" w:ascii="仿宋_GB2312" w:hAnsi="仿宋" w:eastAsia="仿宋_GB2312"/>
          <w:sz w:val="32"/>
          <w:szCs w:val="32"/>
        </w:rPr>
        <w:t>编审费1万元，十大案例宣传册印制费5.16元。</w:t>
      </w:r>
    </w:p>
    <w:p w14:paraId="26940FB3">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7A91BECE">
      <w:pPr>
        <w:adjustRightInd w:val="0"/>
        <w:snapToGrid w:val="0"/>
        <w:spacing w:line="600" w:lineRule="exact"/>
        <w:ind w:firstLine="720"/>
        <w:rPr>
          <w:rFonts w:ascii="仿宋_GB2312" w:hAnsi="仿宋" w:eastAsia="仿宋_GB2312" w:cs="仿宋_GB2312"/>
          <w:sz w:val="32"/>
          <w:szCs w:val="32"/>
        </w:rPr>
      </w:pPr>
      <w:r>
        <w:rPr>
          <w:rFonts w:hint="eastAsia" w:ascii="仿宋_GB2312" w:hAnsi="仿宋" w:eastAsia="仿宋_GB2312" w:cs="仿宋_GB2312"/>
          <w:sz w:val="32"/>
          <w:szCs w:val="32"/>
        </w:rPr>
        <w:t>宣传资料购置和权益部基层工作差旅费用目标是保证权益重点工作的有序推进，为年底工作考核提供重要保证。</w:t>
      </w:r>
      <w:r>
        <w:rPr>
          <w:rFonts w:hint="eastAsia" w:ascii="仿宋_GB2312" w:hAnsi="宋体" w:eastAsia="仿宋_GB2312"/>
          <w:sz w:val="32"/>
          <w:szCs w:val="32"/>
        </w:rPr>
        <w:t>社区两癌患病妇女救助费用是为了让</w:t>
      </w:r>
      <w:r>
        <w:rPr>
          <w:rFonts w:hint="eastAsia" w:ascii="仿宋_GB2312" w:hAnsi="仿宋_GB2312" w:eastAsia="仿宋_GB2312" w:cs="仿宋_GB2312"/>
          <w:bCs/>
          <w:sz w:val="32"/>
          <w:szCs w:val="32"/>
        </w:rPr>
        <w:t>9名符合条件的</w:t>
      </w:r>
      <w:r>
        <w:rPr>
          <w:rFonts w:hint="eastAsia" w:ascii="仿宋_GB2312" w:hAnsi="宋体" w:eastAsia="仿宋_GB2312"/>
          <w:sz w:val="32"/>
          <w:szCs w:val="32"/>
        </w:rPr>
        <w:t>患病妇女获得及时的救助；</w:t>
      </w:r>
      <w:r>
        <w:rPr>
          <w:rFonts w:hint="eastAsia" w:ascii="仿宋_GB2312" w:eastAsia="仿宋_GB2312"/>
          <w:sz w:val="32"/>
          <w:szCs w:val="32"/>
        </w:rPr>
        <w:t>续聘周明光律师是为了让我会有常年的法律顾问提供法律咨询，并对部分协议合同等提供合法性审查，使我会各项工作更具合法性；阿坝州首届维护妇女儿童十大案例</w:t>
      </w:r>
      <w:r>
        <w:rPr>
          <w:rFonts w:hint="eastAsia" w:ascii="仿宋_GB2312" w:hAnsi="仿宋" w:eastAsia="仿宋_GB2312"/>
          <w:sz w:val="32"/>
          <w:szCs w:val="32"/>
        </w:rPr>
        <w:t>编审费是为了保证拟发布案例的合法性和文稿质量。</w:t>
      </w:r>
      <w:r>
        <w:rPr>
          <w:rFonts w:hint="eastAsia" w:ascii="仿宋_GB2312" w:hAnsi="仿宋" w:eastAsia="仿宋_GB2312" w:cs="仿宋_GB2312"/>
          <w:sz w:val="32"/>
          <w:szCs w:val="32"/>
        </w:rPr>
        <w:t>项目资金的使用极大解决了相关工作的资金缺口，项目均在时限范围内实施，项目</w:t>
      </w:r>
      <w:r>
        <w:rPr>
          <w:rFonts w:hint="eastAsia" w:ascii="仿宋_GB2312" w:hAnsi="宋体" w:eastAsia="仿宋_GB2312"/>
          <w:sz w:val="32"/>
          <w:szCs w:val="32"/>
          <w:lang w:val="zh-CN"/>
        </w:rPr>
        <w:t>申报内容与实际相符，申报目标是合理可行的，</w:t>
      </w:r>
      <w:r>
        <w:rPr>
          <w:rFonts w:hint="eastAsia" w:ascii="仿宋_GB2312" w:hAnsi="仿宋" w:eastAsia="仿宋_GB2312" w:cs="仿宋_GB2312"/>
          <w:sz w:val="32"/>
          <w:szCs w:val="32"/>
        </w:rPr>
        <w:t>绩效目标均得到了实现。</w:t>
      </w:r>
    </w:p>
    <w:p w14:paraId="4E619EC2">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72499301">
      <w:pPr>
        <w:spacing w:line="580" w:lineRule="exact"/>
        <w:ind w:firstLine="640" w:firstLineChars="200"/>
        <w:rPr>
          <w:rFonts w:ascii="仿宋_GB2312" w:hAnsi="宋体" w:eastAsia="仿宋_GB2312"/>
          <w:sz w:val="32"/>
          <w:szCs w:val="32"/>
          <w:lang w:val="zh-CN"/>
        </w:rPr>
      </w:pPr>
      <w:r>
        <w:rPr>
          <w:rFonts w:hint="eastAsia" w:ascii="仿宋_GB2312" w:hAnsi="仿宋" w:eastAsia="仿宋_GB2312" w:cs="仿宋_GB2312"/>
          <w:sz w:val="32"/>
          <w:szCs w:val="32"/>
        </w:rPr>
        <w:t>州妇联根据项目实施情况和资金使用情况，主要针对</w:t>
      </w:r>
      <w:r>
        <w:rPr>
          <w:rFonts w:hint="eastAsia" w:ascii="仿宋_GB2312" w:hAnsi="宋体" w:eastAsia="仿宋_GB2312" w:cs="宋体"/>
          <w:kern w:val="0"/>
          <w:sz w:val="32"/>
          <w:szCs w:val="32"/>
          <w:lang w:val="zh-CN"/>
        </w:rPr>
        <w:t>计划标准，即目标计划、资金计划、工作量完成计划等，围绕项目完成指标、效益指标、满意度指标等</w:t>
      </w:r>
      <w:r>
        <w:rPr>
          <w:rFonts w:hint="eastAsia" w:ascii="仿宋_GB2312" w:hAnsi="仿宋" w:eastAsia="仿宋_GB2312" w:cs="仿宋_GB2312"/>
          <w:sz w:val="32"/>
          <w:szCs w:val="32"/>
        </w:rPr>
        <w:t>对发展权益部项目实施进行绩效自评。</w:t>
      </w:r>
    </w:p>
    <w:p w14:paraId="7FC196A9">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20EDB0CD">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5F0A2C2A">
      <w:pPr>
        <w:adjustRightInd w:val="0"/>
        <w:snapToGrid w:val="0"/>
        <w:spacing w:line="600" w:lineRule="exact"/>
        <w:ind w:firstLine="720"/>
        <w:rPr>
          <w:rFonts w:ascii="仿宋" w:hAnsi="仿宋" w:eastAsia="仿宋"/>
          <w:sz w:val="32"/>
          <w:szCs w:val="32"/>
          <w:lang w:val="zh-CN"/>
        </w:rPr>
      </w:pPr>
      <w:r>
        <w:rPr>
          <w:rFonts w:hint="eastAsia" w:ascii="仿宋" w:hAnsi="仿宋" w:eastAsia="仿宋"/>
          <w:sz w:val="32"/>
          <w:szCs w:val="32"/>
          <w:lang w:val="zh-CN"/>
        </w:rPr>
        <w:t>项目资金由</w:t>
      </w:r>
      <w:r>
        <w:rPr>
          <w:rFonts w:hint="eastAsia" w:ascii="仿宋" w:hAnsi="仿宋" w:eastAsia="仿宋"/>
          <w:sz w:val="32"/>
          <w:szCs w:val="32"/>
        </w:rPr>
        <w:t>发展权益</w:t>
      </w:r>
      <w:r>
        <w:rPr>
          <w:rFonts w:hint="eastAsia" w:ascii="仿宋" w:hAnsi="仿宋" w:eastAsia="仿宋"/>
          <w:sz w:val="32"/>
          <w:szCs w:val="32"/>
          <w:lang w:val="zh-CN"/>
        </w:rPr>
        <w:t>部提出使用申请，大额资金的使用，</w:t>
      </w:r>
      <w:r>
        <w:rPr>
          <w:rFonts w:hint="eastAsia" w:ascii="仿宋" w:hAnsi="仿宋" w:eastAsia="仿宋"/>
          <w:sz w:val="32"/>
          <w:szCs w:val="32"/>
        </w:rPr>
        <w:t>如十大案例印制费、社区癌症患病妇女救助金等，</w:t>
      </w:r>
      <w:r>
        <w:rPr>
          <w:rFonts w:hint="eastAsia" w:ascii="仿宋" w:hAnsi="仿宋" w:eastAsia="仿宋"/>
          <w:sz w:val="32"/>
          <w:szCs w:val="32"/>
          <w:lang w:val="zh-CN"/>
        </w:rPr>
        <w:t>均经党组会同意批复后使用，财务严格按照财经纪律和财政相关工作要求进行资金申报和使用。</w:t>
      </w:r>
    </w:p>
    <w:p w14:paraId="67D55F4B">
      <w:pPr>
        <w:adjustRightInd w:val="0"/>
        <w:snapToGrid w:val="0"/>
        <w:spacing w:line="600" w:lineRule="exact"/>
        <w:ind w:firstLine="720"/>
        <w:rPr>
          <w:rFonts w:ascii="仿宋_GB2312" w:hAnsi="宋体"/>
          <w:sz w:val="32"/>
          <w:szCs w:val="32"/>
          <w:lang w:val="zh-CN"/>
        </w:rPr>
      </w:pPr>
      <w:r>
        <w:rPr>
          <w:rFonts w:hint="eastAsia" w:ascii="楷体_GB2312" w:hAnsi="宋体" w:eastAsia="楷体_GB2312"/>
          <w:b/>
          <w:sz w:val="32"/>
          <w:szCs w:val="32"/>
          <w:lang w:val="zh-CN"/>
        </w:rPr>
        <w:t>（二）资金计划、到位及使用情况</w:t>
      </w:r>
    </w:p>
    <w:p w14:paraId="19E650DB">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资金使用计划符合工作需求；资金均及时到位，及时按程序规定支付；资金使用符合财经纪律要求，均按规定程序进行使用，支付及时，手续完备。</w:t>
      </w:r>
    </w:p>
    <w:p w14:paraId="3D827003">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23873573">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州妇联相关财务管理制度健全，相关资金使用均严格执行财务管理制度，账务处理及时，会计核算规范。</w:t>
      </w:r>
    </w:p>
    <w:p w14:paraId="21537B9E">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22EBB3FB">
      <w:pPr>
        <w:adjustRightInd w:val="0"/>
        <w:snapToGrid w:val="0"/>
        <w:spacing w:line="600" w:lineRule="exact"/>
        <w:ind w:firstLine="720"/>
        <w:rPr>
          <w:rFonts w:ascii="仿宋_GB2312" w:hAnsi="宋体" w:eastAsia="仿宋_GB2312"/>
          <w:b/>
          <w:sz w:val="32"/>
          <w:szCs w:val="32"/>
          <w:lang w:val="zh-CN"/>
        </w:rPr>
      </w:pPr>
      <w:r>
        <w:rPr>
          <w:rFonts w:hint="eastAsia" w:ascii="楷体_GB2312" w:hAnsi="宋体" w:eastAsia="楷体_GB2312"/>
          <w:b/>
          <w:sz w:val="32"/>
          <w:szCs w:val="32"/>
          <w:lang w:val="zh-CN"/>
        </w:rPr>
        <w:t>（一）项目组织架构及实施流程。</w:t>
      </w:r>
      <w:r>
        <w:rPr>
          <w:rFonts w:hint="eastAsia" w:ascii="仿宋_GB2312" w:eastAsia="仿宋_GB2312"/>
          <w:sz w:val="32"/>
          <w:szCs w:val="32"/>
        </w:rPr>
        <w:t>项目主要由发展权益部实施，由部长为主要负责人，负责项目实施全过程的推进，同时做好资金的申报，报账材料的收集上报等工作，</w:t>
      </w:r>
      <w:r>
        <w:rPr>
          <w:rFonts w:hint="eastAsia" w:ascii="仿宋_GB2312" w:hAnsi="宋体" w:eastAsia="仿宋_GB2312"/>
          <w:sz w:val="32"/>
          <w:szCs w:val="32"/>
        </w:rPr>
        <w:t>十大案例印制费、社区癌症患病妇女救助金</w:t>
      </w:r>
      <w:r>
        <w:rPr>
          <w:rFonts w:hint="eastAsia" w:ascii="仿宋_GB2312" w:eastAsia="仿宋_GB2312"/>
          <w:sz w:val="32"/>
          <w:szCs w:val="32"/>
        </w:rPr>
        <w:t>等大笔资金的均通过党组会议审议通过后使用。</w:t>
      </w:r>
    </w:p>
    <w:p w14:paraId="2BEEF502">
      <w:pPr>
        <w:ind w:firstLine="643" w:firstLineChars="200"/>
        <w:rPr>
          <w:rFonts w:ascii="仿宋_GB2312" w:hAnsi="宋体" w:eastAsia="仿宋_GB2312" w:cs="宋体"/>
          <w:kern w:val="0"/>
          <w:sz w:val="32"/>
          <w:szCs w:val="32"/>
          <w:lang w:val="zh-CN"/>
        </w:rPr>
      </w:pPr>
      <w:r>
        <w:rPr>
          <w:rFonts w:hint="eastAsia" w:ascii="楷体_GB2312" w:hAnsi="宋体" w:eastAsia="楷体_GB2312"/>
          <w:b/>
          <w:sz w:val="32"/>
          <w:szCs w:val="32"/>
          <w:lang w:val="zh-CN"/>
        </w:rPr>
        <w:t>（二）项目管理情况。</w:t>
      </w:r>
      <w:r>
        <w:rPr>
          <w:rFonts w:hint="eastAsia" w:ascii="仿宋_GB2312" w:eastAsia="仿宋_GB2312"/>
          <w:sz w:val="32"/>
          <w:szCs w:val="32"/>
        </w:rPr>
        <w:t>党组高度重视发展权益工作资金的使用，严格按照使用范围进行使用。对州妇联通过调研发现，社区贫困癌症患病妇女家庭医疗开支大，生活困难，近年来全国、省妇联对于农村两癌患病妇女都有救助资金，因而我会从17年开始对社区两癌妇女也进行了救助，并执行《阿坝州妇联社区贫困两癌患病妇女救助资金管理办法》，2019年通过摸底共9名妇女符合救助条件，因而安排2.7万元为她们解决燃眉之急。严格资金使用，收集患病妇女相关救助资金申报材料，确保救助资金使用安全。</w:t>
      </w:r>
      <w:r>
        <w:rPr>
          <w:rFonts w:hint="eastAsia" w:ascii="仿宋_GB2312" w:hAnsi="仿宋" w:eastAsia="仿宋_GB2312" w:cs="仿宋_GB2312"/>
          <w:sz w:val="32"/>
          <w:szCs w:val="32"/>
        </w:rPr>
        <w:t>阿坝州首届维护妇女儿童合法权益十大案例编审、法制宣传资料购买、部分维权工作经费、律师聘用费等都是严格按照财务制度进行使用报销，</w:t>
      </w:r>
      <w:r>
        <w:rPr>
          <w:rFonts w:hint="eastAsia" w:ascii="仿宋_GB2312" w:hAnsi="宋体" w:eastAsia="仿宋_GB2312"/>
          <w:sz w:val="32"/>
          <w:szCs w:val="32"/>
        </w:rPr>
        <w:t>十大案例印制费也是按照采购的相关要求推进。各项目内容均得到了</w:t>
      </w:r>
      <w:r>
        <w:rPr>
          <w:rFonts w:hint="eastAsia" w:ascii="仿宋_GB2312" w:hAnsi="仿宋" w:eastAsia="仿宋_GB2312" w:cs="仿宋_GB2312"/>
          <w:sz w:val="32"/>
          <w:szCs w:val="32"/>
        </w:rPr>
        <w:t>认真推进，确保项目落地落实，项目管理</w:t>
      </w:r>
      <w:r>
        <w:rPr>
          <w:rFonts w:hint="eastAsia" w:ascii="仿宋_GB2312" w:eastAsia="仿宋_GB2312"/>
          <w:sz w:val="32"/>
          <w:szCs w:val="32"/>
        </w:rPr>
        <w:t>都是科学规范的。</w:t>
      </w:r>
    </w:p>
    <w:p w14:paraId="5112E2D8">
      <w:pPr>
        <w:adjustRightInd w:val="0"/>
        <w:snapToGrid w:val="0"/>
        <w:spacing w:line="600" w:lineRule="exact"/>
        <w:ind w:firstLine="720"/>
        <w:rPr>
          <w:rFonts w:ascii="仿宋" w:hAnsi="仿宋" w:eastAsia="仿宋" w:cs="仿宋_GB2312"/>
          <w:sz w:val="32"/>
          <w:szCs w:val="32"/>
        </w:rPr>
      </w:pPr>
      <w:r>
        <w:rPr>
          <w:rFonts w:hint="eastAsia" w:ascii="楷体_GB2312" w:hAnsi="宋体" w:eastAsia="楷体_GB2312"/>
          <w:b/>
          <w:sz w:val="32"/>
          <w:szCs w:val="32"/>
          <w:lang w:val="zh-CN"/>
        </w:rPr>
        <w:t>（三）项目监管情况。</w:t>
      </w:r>
      <w:r>
        <w:rPr>
          <w:rFonts w:hint="eastAsia" w:ascii="仿宋" w:hAnsi="仿宋" w:eastAsia="仿宋" w:cs="仿宋_GB2312"/>
          <w:sz w:val="32"/>
          <w:szCs w:val="32"/>
        </w:rPr>
        <w:t>不断强化单位内控制度的执行力度，部室长对项目的实施负责，党组认真做好各项监管工作，财务人员对项目报账材料审核把关，层层压实责任，传到压力，保证项目落地落实，资金使用安全规范。</w:t>
      </w:r>
    </w:p>
    <w:p w14:paraId="1383AC8E">
      <w:pPr>
        <w:adjustRightInd w:val="0"/>
        <w:snapToGrid w:val="0"/>
        <w:spacing w:line="600" w:lineRule="exact"/>
        <w:ind w:firstLine="720"/>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14:paraId="1F2D4640">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5BB2D5F5">
      <w:pPr>
        <w:adjustRightInd w:val="0"/>
        <w:snapToGrid w:val="0"/>
        <w:spacing w:line="600" w:lineRule="exact"/>
        <w:ind w:firstLine="720"/>
        <w:rPr>
          <w:rFonts w:ascii="仿宋" w:hAnsi="仿宋" w:eastAsia="仿宋" w:cs="仿宋_GB2312"/>
          <w:sz w:val="32"/>
          <w:szCs w:val="32"/>
        </w:rPr>
      </w:pPr>
      <w:r>
        <w:rPr>
          <w:rFonts w:hint="eastAsia" w:ascii="仿宋" w:hAnsi="仿宋" w:eastAsia="仿宋" w:cs="仿宋_GB2312"/>
          <w:sz w:val="32"/>
          <w:szCs w:val="32"/>
        </w:rPr>
        <w:t>购买法制宣传资料1套；对9名符合条件的社区两癌患病妇女进行救助；为赴基层开展维权工作提供保障；续聘律师1名；阿坝州首届维护妇女儿童十大案例文稿质量得到答复提供，切更具有法律性，印制十大案例宣传册，用于各级法治宣传。</w:t>
      </w:r>
    </w:p>
    <w:p w14:paraId="70C09C4D">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3E9888FE">
      <w:pPr>
        <w:adjustRightInd w:val="0"/>
        <w:snapToGrid w:val="0"/>
        <w:spacing w:line="600" w:lineRule="exact"/>
        <w:ind w:firstLine="720"/>
        <w:rPr>
          <w:rFonts w:ascii="仿宋" w:hAnsi="仿宋" w:eastAsia="仿宋" w:cs="仿宋_GB2312"/>
          <w:sz w:val="32"/>
          <w:szCs w:val="32"/>
        </w:rPr>
      </w:pPr>
      <w:r>
        <w:rPr>
          <w:rFonts w:hint="eastAsia" w:ascii="仿宋" w:hAnsi="仿宋" w:eastAsia="仿宋" w:cs="仿宋_GB2312"/>
          <w:sz w:val="32"/>
          <w:szCs w:val="32"/>
        </w:rPr>
        <w:t>法制宣传资料购买、差旅费、律师聘用对于本会法治工作有序开展给与了重要的保障，项目资金使用效益明显。社区两癌患病妇女救助费用使用为患病妇女解燃眉之急，让她们充分感受到妇女“娘家”的温暖，社会影响力加大，妇联形象得到大幅度提升；案例文稿质量提高，对人员姓名修改保护了当事人的隐私，同时让广大妇女群众更加乐于接受，通俗易懂的同时不乏法律知识的讲解，案例宣传册印制使宣传更加直观，便于学习，宣传效果事半功倍。</w:t>
      </w:r>
    </w:p>
    <w:p w14:paraId="04BE16D7">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32660B6A">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096CDE40">
      <w:pPr>
        <w:adjustRightInd w:val="0"/>
        <w:snapToGrid w:val="0"/>
        <w:spacing w:line="600" w:lineRule="exact"/>
        <w:ind w:firstLine="720"/>
        <w:rPr>
          <w:rFonts w:ascii="仿宋" w:hAnsi="仿宋" w:eastAsia="仿宋" w:cs="仿宋_GB2312"/>
          <w:sz w:val="32"/>
          <w:szCs w:val="32"/>
        </w:rPr>
      </w:pPr>
      <w:r>
        <w:rPr>
          <w:rFonts w:hint="eastAsia" w:ascii="仿宋" w:hAnsi="仿宋" w:eastAsia="仿宋" w:cs="仿宋_GB2312"/>
          <w:sz w:val="32"/>
          <w:szCs w:val="32"/>
        </w:rPr>
        <w:t>总体而言，上述项目的实施符合财政要求，管理规范，项目资金均按照规定程序使用，项目实施达到了绩效目标要求。</w:t>
      </w:r>
    </w:p>
    <w:p w14:paraId="15AABD9D">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227480A4">
      <w:pPr>
        <w:adjustRightInd w:val="0"/>
        <w:snapToGrid w:val="0"/>
        <w:spacing w:line="600" w:lineRule="exact"/>
        <w:ind w:firstLine="720"/>
        <w:rPr>
          <w:rFonts w:ascii="仿宋" w:hAnsi="仿宋" w:eastAsia="仿宋" w:cs="仿宋_GB2312"/>
          <w:sz w:val="32"/>
          <w:szCs w:val="32"/>
        </w:rPr>
      </w:pPr>
      <w:r>
        <w:rPr>
          <w:rFonts w:hint="eastAsia" w:ascii="仿宋" w:hAnsi="仿宋" w:eastAsia="仿宋" w:cs="仿宋_GB2312"/>
          <w:sz w:val="32"/>
          <w:szCs w:val="32"/>
        </w:rPr>
        <w:t>存在的问题主要是：因藏语翻译受藏文编译局的工作进度安排的影响，双语宣传册的印制工作有所滞后，需抓紧印制，时效性还不够。</w:t>
      </w:r>
    </w:p>
    <w:p w14:paraId="70432AF8">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035DF5BF">
      <w:pPr>
        <w:adjustRightInd w:val="0"/>
        <w:snapToGrid w:val="0"/>
        <w:spacing w:line="600" w:lineRule="exact"/>
        <w:ind w:firstLine="720"/>
        <w:rPr>
          <w:rFonts w:ascii="仿宋" w:hAnsi="仿宋" w:eastAsia="仿宋" w:cs="仿宋_GB2312"/>
          <w:sz w:val="32"/>
          <w:szCs w:val="32"/>
        </w:rPr>
      </w:pPr>
      <w:r>
        <w:rPr>
          <w:rFonts w:hint="eastAsia" w:ascii="仿宋" w:hAnsi="仿宋" w:eastAsia="仿宋" w:cs="仿宋_GB2312"/>
          <w:sz w:val="32"/>
          <w:szCs w:val="32"/>
        </w:rPr>
        <w:t>进一步加强对项目实施的计划安排，根据实际情况靠前推进项目实施，不断提高项目实施的时效性要求，一定在时间限定范围内完成相关工作。</w:t>
      </w:r>
    </w:p>
    <w:p w14:paraId="7741A048">
      <w:pPr>
        <w:adjustRightInd w:val="0"/>
        <w:snapToGrid w:val="0"/>
        <w:spacing w:line="600" w:lineRule="exact"/>
        <w:ind w:firstLine="720"/>
        <w:rPr>
          <w:rFonts w:ascii="仿宋" w:hAnsi="仿宋" w:eastAsia="仿宋" w:cs="仿宋_GB2312"/>
          <w:sz w:val="32"/>
          <w:szCs w:val="32"/>
        </w:rPr>
      </w:pPr>
    </w:p>
    <w:p w14:paraId="6DFAB88A">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1+N工作经费项目绩效评价报告</w:t>
      </w:r>
    </w:p>
    <w:p w14:paraId="3DDAFA48">
      <w:pPr>
        <w:spacing w:line="600" w:lineRule="exact"/>
        <w:jc w:val="center"/>
        <w:rPr>
          <w:rFonts w:ascii="方正小标宋简体" w:hAnsi="宋体" w:eastAsia="方正小标宋简体"/>
          <w:color w:val="000000"/>
          <w:kern w:val="0"/>
          <w:sz w:val="44"/>
          <w:szCs w:val="44"/>
          <w:lang w:val="zh-CN"/>
        </w:rPr>
      </w:pPr>
    </w:p>
    <w:p w14:paraId="690C7A6F">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48E177C8">
      <w:pPr>
        <w:adjustRightInd w:val="0"/>
        <w:snapToGrid w:val="0"/>
        <w:spacing w:line="600" w:lineRule="exact"/>
        <w:ind w:firstLine="720"/>
        <w:rPr>
          <w:rFonts w:ascii="仿宋" w:hAnsi="仿宋" w:eastAsia="仿宋" w:cs="仿宋_GB2312"/>
          <w:sz w:val="32"/>
          <w:szCs w:val="32"/>
        </w:rPr>
      </w:pPr>
      <w:r>
        <w:rPr>
          <w:rFonts w:hint="eastAsia" w:ascii="仿宋" w:hAnsi="仿宋" w:eastAsia="仿宋" w:cs="仿宋_GB2312"/>
          <w:sz w:val="32"/>
          <w:szCs w:val="32"/>
        </w:rPr>
        <w:t>1+N资金主要用于民族团结、“群心向党、礼赞祖国”宣传片制作4.48万元、贫困大病患病妇女救助5.9714万元、19年州级妇女居家灵活就业评审2万元、觉姆义诊3.378万元、阿坝州首届维护妇女儿童合法权益十大案例评审0.84万元、觉姆暖心包购置和觉姆寺院的清洁费用11万元，支付微信平台维护费用7.6万元等工作，资金的申报均根据日常深入基层调研，摸底了解到的群众需求，以及结合州委民族团结创建、维稳等重点工作任务进行申报。针对贫困大病患病妇女形成了《阿坝州妇联贫困大病患病妇女救助资金管理办法》，针对资金额较大的宣传片制作、觉姆义诊、暖心包购置等均按照要求履行采购程序或形成了使用方案等。</w:t>
      </w:r>
    </w:p>
    <w:p w14:paraId="3DE8D15B">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20A59641">
      <w:pPr>
        <w:adjustRightInd w:val="0"/>
        <w:snapToGrid w:val="0"/>
        <w:spacing w:line="600" w:lineRule="exact"/>
        <w:ind w:firstLine="720"/>
        <w:rPr>
          <w:rFonts w:ascii="仿宋" w:hAnsi="仿宋" w:eastAsia="仿宋" w:cs="仿宋_GB2312"/>
          <w:sz w:val="32"/>
          <w:szCs w:val="32"/>
        </w:rPr>
      </w:pPr>
      <w:r>
        <w:rPr>
          <w:rFonts w:hint="eastAsia" w:ascii="仿宋_GB2312" w:hAnsi="宋体"/>
          <w:sz w:val="32"/>
          <w:szCs w:val="32"/>
          <w:lang w:val="zh-CN"/>
        </w:rPr>
        <w:t>民族</w:t>
      </w:r>
      <w:r>
        <w:rPr>
          <w:rFonts w:hint="eastAsia" w:ascii="仿宋" w:hAnsi="仿宋" w:eastAsia="仿宋" w:cs="仿宋_GB2312"/>
          <w:sz w:val="32"/>
          <w:szCs w:val="32"/>
        </w:rPr>
        <w:t>团结宣传片制作目标是为了更好呈现本会民族团结工作的成果，为民族团结创建助力；贫困大病患病妇女救助是对13县（市）20名贫困患大病妇女得到及时救助；19年州级妇女居家灵活就业评审是为了做好2019年100万州级妇女居家灵活就业项目的甄选、做好相关的培训指导工作；觉姆义诊是针对壤塘县的部分觉姆姐妹进行义诊，通过关爱健康助力社会稳定；觉姆暖心包购置是为了给予觉姆最需要的生活关怀，从而促进社会稳定；阿坝州首届维护妇女儿童合法权益十大案例评审是通过案例评选发布宣传，以案说法，引导全社会良好法治氛围的形成。项目资金的使用极大解决了相关工作的资金缺口，项目基本在时限范围内实施，项目申报内容与实际相符，申报目标是合理可行的，绩效目标均得到了实现。</w:t>
      </w:r>
    </w:p>
    <w:p w14:paraId="15ABA004">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 xml:space="preserve">（三）项目自评步骤及方法    </w:t>
      </w:r>
    </w:p>
    <w:p w14:paraId="70207161">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州妇联根据项目实施情况和资金使用情况，</w:t>
      </w:r>
      <w:r>
        <w:rPr>
          <w:rFonts w:hint="eastAsia" w:ascii="仿宋" w:hAnsi="仿宋" w:eastAsia="仿宋" w:cs="仿宋_GB2312"/>
          <w:sz w:val="32"/>
          <w:szCs w:val="32"/>
        </w:rPr>
        <w:t>主要针对计划标准，即目标计划、资金计划、工作量完成计划等，围绕项目完成指标、效益指标、满意度指标等</w:t>
      </w:r>
      <w:r>
        <w:rPr>
          <w:rFonts w:ascii="仿宋" w:hAnsi="仿宋" w:eastAsia="仿宋" w:cs="仿宋_GB2312"/>
          <w:sz w:val="32"/>
          <w:szCs w:val="32"/>
        </w:rPr>
        <w:t>对</w:t>
      </w:r>
      <w:r>
        <w:rPr>
          <w:rFonts w:hint="eastAsia" w:ascii="仿宋" w:hAnsi="仿宋" w:eastAsia="仿宋" w:cs="仿宋_GB2312"/>
          <w:sz w:val="32"/>
          <w:szCs w:val="32"/>
        </w:rPr>
        <w:t>1+N项目实施进行绩效自评。</w:t>
      </w:r>
    </w:p>
    <w:p w14:paraId="005C7AF2">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12A10F03">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40E146A1">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项目资金由相关部室提出使用申请，大额资金的使用均经党组会同意批复后使用，财务严格按照财经纪律和财政相关工作要求进行资金申报和使用。</w:t>
      </w:r>
    </w:p>
    <w:p w14:paraId="234B9B9B">
      <w:pPr>
        <w:adjustRightInd w:val="0"/>
        <w:snapToGrid w:val="0"/>
        <w:spacing w:line="600" w:lineRule="exact"/>
        <w:ind w:firstLine="720"/>
        <w:rPr>
          <w:rFonts w:ascii="仿宋_GB2312" w:hAnsi="宋体"/>
          <w:sz w:val="32"/>
          <w:szCs w:val="32"/>
          <w:lang w:val="zh-CN"/>
        </w:rPr>
      </w:pPr>
      <w:r>
        <w:rPr>
          <w:rFonts w:hint="eastAsia" w:ascii="楷体_GB2312" w:hAnsi="宋体" w:eastAsia="楷体_GB2312"/>
          <w:b/>
          <w:sz w:val="32"/>
          <w:szCs w:val="32"/>
          <w:lang w:val="zh-CN"/>
        </w:rPr>
        <w:t>（二）资金计划、到位及使用情况</w:t>
      </w:r>
    </w:p>
    <w:p w14:paraId="30BE9AA9">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资金使用计划符合工作需求；资金均及时到位，及时按程序规定支付；资金使用符合财经纪律要求，均按规定程序进行使用，支付及时，手续完备。</w:t>
      </w:r>
    </w:p>
    <w:p w14:paraId="5ECFDB39">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4B33A8F3">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州妇联相关财务管理制度健全，相关资金使用均严格执行财务管理制度，账务处理及时，会计核算规范。</w:t>
      </w:r>
    </w:p>
    <w:p w14:paraId="3CEAE6AE">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1B52ED42">
      <w:pPr>
        <w:adjustRightInd w:val="0"/>
        <w:snapToGrid w:val="0"/>
        <w:spacing w:line="600" w:lineRule="exact"/>
        <w:ind w:firstLine="720"/>
        <w:rPr>
          <w:rFonts w:ascii="仿宋" w:hAnsi="仿宋" w:eastAsia="仿宋" w:cs="仿宋_GB2312"/>
          <w:sz w:val="32"/>
          <w:szCs w:val="32"/>
        </w:rPr>
      </w:pPr>
      <w:r>
        <w:rPr>
          <w:rFonts w:hint="eastAsia" w:ascii="楷体_GB2312" w:hAnsi="宋体" w:eastAsia="楷体_GB2312"/>
          <w:b/>
          <w:sz w:val="32"/>
          <w:szCs w:val="32"/>
          <w:lang w:val="zh-CN"/>
        </w:rPr>
        <w:t>（一）项目组织架构及实施流程。</w:t>
      </w:r>
      <w:r>
        <w:rPr>
          <w:rFonts w:hint="eastAsia" w:ascii="仿宋" w:hAnsi="仿宋" w:eastAsia="仿宋" w:cs="仿宋_GB2312"/>
          <w:sz w:val="32"/>
          <w:szCs w:val="32"/>
        </w:rPr>
        <w:t>项目主要由权益和发展部实施，由部长为主要负责人，负责项目实施全过程的推进，同时做好资金的申报，报账材料的收集上报等工作，觉姆暖心包购置、民族团结宣传品制作等大笔资金的均通过党组会议审议通过后使用。</w:t>
      </w:r>
    </w:p>
    <w:p w14:paraId="54053DBE">
      <w:pPr>
        <w:ind w:firstLine="643" w:firstLineChars="200"/>
        <w:rPr>
          <w:rFonts w:ascii="仿宋" w:hAnsi="仿宋" w:eastAsia="仿宋" w:cs="仿宋_GB2312"/>
          <w:sz w:val="32"/>
          <w:szCs w:val="32"/>
        </w:rPr>
      </w:pPr>
      <w:r>
        <w:rPr>
          <w:rFonts w:hint="eastAsia" w:ascii="楷体_GB2312" w:hAnsi="宋体" w:eastAsia="楷体_GB2312"/>
          <w:b/>
          <w:sz w:val="32"/>
          <w:szCs w:val="32"/>
          <w:lang w:val="zh-CN"/>
        </w:rPr>
        <w:t>（二）项目管理情况。</w:t>
      </w:r>
      <w:r>
        <w:rPr>
          <w:rFonts w:hint="eastAsia" w:ascii="仿宋" w:hAnsi="仿宋" w:eastAsia="仿宋" w:cs="仿宋_GB2312"/>
          <w:sz w:val="32"/>
          <w:szCs w:val="32"/>
        </w:rPr>
        <w:t>党组高度重视1+N经费的使用和管理。对州妇联通过调研发现，贫困大病患病妇女家庭医疗开支大，生活较困难，近年来全国、省妇联对于农村两癌患病妇女都有救助资金，17年开始我会对社区两癌妇女也进行了救助，但是其他大病患病妇女却没有，因而安排部分资金为她们解决燃眉之急显得非常必要，为切实加强对贫困大病患病妇女的关心和关爱，州妇联党组研究形成了《阿坝州妇联贫困大病患病妇女救助资金管理办法》，按照前期摸底所得对救助名额进行分配，并收集相关救助对象材料，确保救助资金使用安全。宣传片制作、暖心包购置等费用按照签订的相关协议执行，19年州级妇女居家灵活就业评审、觉姆义诊、阿坝州首届维护妇女儿童合法权益十大案例评审等工作均形成实施方案，认真推进，确保项目落地落实，项目管理都是科学规范的。</w:t>
      </w:r>
    </w:p>
    <w:p w14:paraId="5A953AE1">
      <w:pPr>
        <w:adjustRightInd w:val="0"/>
        <w:snapToGrid w:val="0"/>
        <w:spacing w:line="600" w:lineRule="exact"/>
        <w:ind w:firstLine="720"/>
        <w:rPr>
          <w:rFonts w:ascii="仿宋" w:hAnsi="仿宋" w:eastAsia="仿宋" w:cs="仿宋_GB2312"/>
          <w:sz w:val="32"/>
          <w:szCs w:val="32"/>
        </w:rPr>
      </w:pPr>
      <w:r>
        <w:rPr>
          <w:rFonts w:hint="eastAsia" w:ascii="楷体_GB2312" w:hAnsi="宋体" w:eastAsia="楷体_GB2312"/>
          <w:b/>
          <w:sz w:val="32"/>
          <w:szCs w:val="32"/>
          <w:lang w:val="zh-CN"/>
        </w:rPr>
        <w:t>（三）项目监管情况。</w:t>
      </w:r>
      <w:r>
        <w:rPr>
          <w:rFonts w:hint="eastAsia" w:ascii="仿宋" w:hAnsi="仿宋" w:eastAsia="仿宋" w:cs="仿宋_GB2312"/>
          <w:sz w:val="32"/>
          <w:szCs w:val="32"/>
        </w:rPr>
        <w:t>不断强化单位内控制度的执行力度，部室长对项目的实施负责，党组认真做好各项监管工作，财务人员对项目报账材料审核把关，层层压实责任，传到压力，保证项目落地落实，资金使用安全规范。</w:t>
      </w:r>
    </w:p>
    <w:p w14:paraId="11CCBB12">
      <w:pPr>
        <w:adjustRightInd w:val="0"/>
        <w:snapToGrid w:val="0"/>
        <w:spacing w:line="600" w:lineRule="exact"/>
        <w:ind w:firstLine="720"/>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14:paraId="05260900">
      <w:pPr>
        <w:adjustRightInd w:val="0"/>
        <w:snapToGrid w:val="0"/>
        <w:spacing w:line="600" w:lineRule="exact"/>
        <w:ind w:firstLine="720"/>
        <w:rPr>
          <w:rFonts w:ascii="仿宋" w:hAnsi="仿宋" w:eastAsia="仿宋" w:cs="仿宋_GB2312"/>
          <w:sz w:val="32"/>
          <w:szCs w:val="32"/>
        </w:rPr>
      </w:pPr>
      <w:r>
        <w:rPr>
          <w:rFonts w:hint="eastAsia" w:ascii="楷体_GB2312" w:hAnsi="宋体" w:eastAsia="楷体_GB2312"/>
          <w:b/>
          <w:sz w:val="32"/>
          <w:szCs w:val="32"/>
          <w:lang w:val="zh-CN"/>
        </w:rPr>
        <w:t>（一）项目完成情况。</w:t>
      </w:r>
      <w:r>
        <w:rPr>
          <w:rFonts w:hint="eastAsia" w:ascii="仿宋" w:hAnsi="仿宋" w:eastAsia="仿宋" w:cs="仿宋_GB2312"/>
          <w:sz w:val="32"/>
          <w:szCs w:val="32"/>
        </w:rPr>
        <w:t>共制作了一步民族团结宣传片，救助20名大病患病贫困妇女，通过评审甄选出12个项目进行扶持，并及时进行项目实施指导，完成对壤塘县100余名觉姆的义诊，购置价值10万元的暖心包发放给壤塘和阿坝两县觉姆，十大案例评审工作顺利开展，从全州各县市推荐的各类案例中评选出10个最具典型性和代表性的案例进行发布宣传。所有项目均按时限要求完成。</w:t>
      </w:r>
    </w:p>
    <w:p w14:paraId="6DE76932">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70EB5071">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sz w:val="32"/>
          <w:szCs w:val="32"/>
          <w:lang w:val="zh-CN"/>
        </w:rPr>
        <w:t>民族</w:t>
      </w:r>
      <w:r>
        <w:rPr>
          <w:rFonts w:hint="eastAsia" w:ascii="仿宋" w:hAnsi="仿宋" w:eastAsia="仿宋" w:cs="仿宋_GB2312"/>
          <w:sz w:val="32"/>
          <w:szCs w:val="32"/>
        </w:rPr>
        <w:t>团结宣传片制作很好地展现了近年来本会民族团结工作的成果，为单位民族团结创建工作起到积极作用；贫困大病患病妇女救助让13县（市）20名贫困患大病妇女得到及时救助，解决了她们的燃眉之急，提升了妇联形象；19年州级妇女居家灵活就业评审是为2019年100万州级妇女居家灵活就业项目扶持甄选出12个有发展潜力，帮扶妇女有一定成效的项目，并对项目实施进行有效指导；觉姆义诊让壤塘县</w:t>
      </w:r>
      <w:r>
        <w:rPr>
          <w:rFonts w:hint="eastAsia" w:ascii="仿宋_GB2312" w:cs="仿宋_GB2312"/>
          <w:bCs/>
          <w:sz w:val="32"/>
          <w:szCs w:val="32"/>
        </w:rPr>
        <w:t>娜泽求宗尼姑安置点</w:t>
      </w:r>
      <w:r>
        <w:rPr>
          <w:rFonts w:hint="eastAsia" w:ascii="仿宋" w:hAnsi="仿宋" w:eastAsia="仿宋" w:cs="仿宋_GB2312"/>
          <w:sz w:val="32"/>
          <w:szCs w:val="32"/>
        </w:rPr>
        <w:t>的部分觉姆姐妹感受到了</w:t>
      </w:r>
      <w:r>
        <w:rPr>
          <w:rFonts w:hint="eastAsia" w:ascii="仿宋" w:hAnsi="仿宋" w:eastAsia="仿宋" w:cs="仿宋_GB2312"/>
          <w:sz w:val="32"/>
          <w:szCs w:val="32"/>
          <w:lang w:val="en-US" w:eastAsia="zh-CN"/>
        </w:rPr>
        <w:t>党</w:t>
      </w:r>
      <w:r>
        <w:rPr>
          <w:rFonts w:hint="eastAsia" w:ascii="仿宋" w:hAnsi="仿宋" w:eastAsia="仿宋" w:cs="仿宋_GB2312"/>
          <w:sz w:val="32"/>
          <w:szCs w:val="32"/>
        </w:rPr>
        <w:t>合国家的关心，觉姆暖心包的购置发放也为觉姆姐妹带去了妇女娘家的关怀，两项活动开展都为阿坝州社会稳定长治久安作出了积极的贡献；阿坝州首届维护妇女儿童合法权益十大案例评选发布宣传，以案说法，用身边事教育广大妇女群众尊法、学法、知法、用法起到了良好宣传效果。这些项目的实施都产生了良好的社会反响，尤其是觉姆和贫困妇女关爱的项目，其持续的影响是巨大的，社会效益是明显的。</w:t>
      </w:r>
    </w:p>
    <w:p w14:paraId="3708AD82">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bookmarkStart w:id="104" w:name="_GoBack"/>
      <w:bookmarkEnd w:id="104"/>
    </w:p>
    <w:p w14:paraId="11BB9879">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05B6E289">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总体而言，上述项目的实施符合财政要求，管理规范，项目资金均按照规定程序使用，项目实施达到了绩效目标要求。</w:t>
      </w:r>
    </w:p>
    <w:p w14:paraId="09B4FCF8">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07D5359C">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存在的问题主要是：觉姆义诊项目的实施因为受到天气、疫情和觉姆自身等原因的影响，没有在现场义诊中全部完成检查，时效性还不够。</w:t>
      </w:r>
    </w:p>
    <w:p w14:paraId="55FF1652">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769E0814">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进一步加强对项目实施的计划安排，根据实际情况靠前推进项目实施，不断提高项目实施的时效性要求，一定在时间限定范围内完成相关工作。</w:t>
      </w:r>
    </w:p>
    <w:p w14:paraId="3D148635">
      <w:pPr>
        <w:adjustRightInd w:val="0"/>
        <w:snapToGrid w:val="0"/>
        <w:spacing w:line="600" w:lineRule="exact"/>
        <w:ind w:firstLine="640" w:firstLineChars="200"/>
        <w:rPr>
          <w:rFonts w:ascii="仿宋" w:hAnsi="仿宋" w:eastAsia="仿宋" w:cs="仿宋_GB2312"/>
          <w:sz w:val="32"/>
          <w:szCs w:val="32"/>
        </w:rPr>
      </w:pPr>
    </w:p>
    <w:p w14:paraId="0F4564F6">
      <w:pPr>
        <w:adjustRightInd w:val="0"/>
        <w:snapToGrid w:val="0"/>
        <w:spacing w:line="600" w:lineRule="exact"/>
        <w:ind w:firstLine="720"/>
        <w:jc w:val="center"/>
        <w:rPr>
          <w:rFonts w:ascii="方正小标宋简体" w:hAnsi="华文中宋" w:eastAsia="方正小标宋简体" w:cs="华文中宋"/>
          <w:sz w:val="44"/>
          <w:szCs w:val="44"/>
        </w:rPr>
      </w:pPr>
      <w:r>
        <w:rPr>
          <w:rFonts w:hint="eastAsia" w:ascii="方正小标宋简体" w:hAnsi="华文中宋" w:eastAsia="方正小标宋简体" w:cs="华文中宋"/>
          <w:sz w:val="44"/>
          <w:szCs w:val="44"/>
        </w:rPr>
        <w:t>四川省妇女儿童事业发展项目</w:t>
      </w:r>
    </w:p>
    <w:p w14:paraId="553BBC6A">
      <w:pPr>
        <w:adjustRightInd w:val="0"/>
        <w:snapToGrid w:val="0"/>
        <w:spacing w:line="600" w:lineRule="exact"/>
        <w:ind w:firstLine="720"/>
        <w:jc w:val="center"/>
        <w:rPr>
          <w:rFonts w:ascii="方正小标宋简体" w:hAnsi="仿宋" w:eastAsia="方正小标宋简体" w:cs="仿宋_GB2312"/>
          <w:sz w:val="32"/>
          <w:szCs w:val="32"/>
        </w:rPr>
      </w:pPr>
      <w:r>
        <w:rPr>
          <w:rFonts w:hint="eastAsia" w:ascii="方正小标宋简体" w:hAnsi="华文中宋" w:eastAsia="方正小标宋简体" w:cs="华文中宋"/>
          <w:sz w:val="44"/>
          <w:szCs w:val="44"/>
        </w:rPr>
        <w:t>绩效评价报告</w:t>
      </w:r>
    </w:p>
    <w:p w14:paraId="65A3C6FF">
      <w:pPr>
        <w:adjustRightInd w:val="0"/>
        <w:snapToGrid w:val="0"/>
        <w:spacing w:line="600" w:lineRule="exact"/>
        <w:ind w:firstLine="720"/>
        <w:rPr>
          <w:rFonts w:ascii="仿宋" w:hAnsi="仿宋" w:eastAsia="仿宋" w:cs="仿宋_GB2312"/>
          <w:sz w:val="32"/>
          <w:szCs w:val="32"/>
        </w:rPr>
      </w:pPr>
    </w:p>
    <w:p w14:paraId="0EB1777F">
      <w:pPr>
        <w:spacing w:line="60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一 、项目基本情况</w:t>
      </w:r>
    </w:p>
    <w:p w14:paraId="7CC27C8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州2019年度四川省妇女儿童事业发展项目资金（绣出藏区羌区）总金额90万元。主要安排市（州）本级完成三个事项共计90万元。内容主要包括：一是举办1场“净土阿坝，指尖锦绣”阿坝州妇女手工编织品牌推广系列活动，使全州巧手姐妹技能得到展现、产品得到展示、宣传、销售，并以此帮助她们提升产品品质、拓宽销售市场、提升产品销量，从中选树具有代表性和阿坝特质的妇女手工编织品牌，资金预算68万元。二是在全州选出20名从事手工编织产业、有一定技能基础的绣娘、致富带头人，赴贵州省盛华职业技术学院等地进行手工编织培训提升，使这些绣娘和带头人在色彩搭配、刺绣编织技能、品牌培育、产品创新等方面得到进一步提升，资金预算12万元。三是在红原机场借助高原航空港优势对极具特色的阿坝州手工编织类产品进行专柜推广，助力与外界的销售渠道提高品牌影响力和阿坝州妇女居家灵活就业的综合效益，资金预算10万元。</w:t>
      </w:r>
    </w:p>
    <w:p w14:paraId="3F6361C9">
      <w:pPr>
        <w:spacing w:line="60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二、项目实施及管理情况</w:t>
      </w:r>
    </w:p>
    <w:p w14:paraId="7B51EB79">
      <w:pPr>
        <w:spacing w:line="600" w:lineRule="exact"/>
        <w:ind w:firstLine="64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（一）资金计划、到位及使用情况</w:t>
      </w:r>
    </w:p>
    <w:p w14:paraId="2433953A">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资金计划及到位情况。资金用于举办全州妇女手工编织技能大赛和品牌宣传推广系列活动，计划使用68万元；组织手工编织贫困妇女赴民族地区、内地先进地区开展手工技能提升和品牌优化类培训学习，计划使用12万元；在旅游机场设置阿坝州妇女居家灵活就业产品展示展销点2个，计划使用10万元。资金于2019年2月20日下达我会，到位率100%，到位及时。我会在相关活动完成后也按照财政要求，认真履行审核报销手续，及时进行了资金支付，保证了资金的高效使用。</w:t>
      </w:r>
    </w:p>
    <w:p w14:paraId="183A5703">
      <w:pPr>
        <w:spacing w:line="60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2.资金使用情况</w:t>
      </w:r>
    </w:p>
    <w:p w14:paraId="61B8EC82">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一是</w:t>
      </w:r>
      <w:r>
        <w:rPr>
          <w:rFonts w:hint="eastAsia" w:ascii="仿宋_GB2312" w:hAnsi="仿宋_GB2312" w:eastAsia="仿宋_GB2312" w:cs="仿宋_GB2312"/>
          <w:sz w:val="32"/>
          <w:szCs w:val="32"/>
        </w:rPr>
        <w:t>举办1场“净土阿坝，指尖锦绣”阿坝州妇女手工编织品牌推广系列活动，预算资金为68万元，实际支出666596.92元，剩余13403.08元。</w:t>
      </w:r>
      <w:r>
        <w:rPr>
          <w:rFonts w:hint="eastAsia" w:ascii="仿宋_GB2312" w:hAnsi="仿宋_GB2312" w:eastAsia="仿宋_GB2312" w:cs="仿宋_GB2312"/>
          <w:b/>
          <w:sz w:val="32"/>
          <w:szCs w:val="32"/>
        </w:rPr>
        <w:t>二是</w:t>
      </w:r>
      <w:r>
        <w:rPr>
          <w:rFonts w:hint="eastAsia" w:ascii="仿宋_GB2312" w:hAnsi="仿宋_GB2312" w:eastAsia="仿宋_GB2312" w:cs="仿宋_GB2312"/>
          <w:sz w:val="32"/>
          <w:szCs w:val="32"/>
        </w:rPr>
        <w:t>在全州选出20名从事手工编织产业、有一定技能基础的绣娘、致富带头人，赴贵州省盛华职业技术学院等地进行手工编织培训提升，预算资金12万元，实际支出117982.88元，剩余2017.12元。</w:t>
      </w:r>
      <w:r>
        <w:rPr>
          <w:rFonts w:hint="eastAsia" w:ascii="仿宋_GB2312" w:hAnsi="仿宋_GB2312" w:eastAsia="仿宋_GB2312" w:cs="仿宋_GB2312"/>
          <w:b/>
          <w:sz w:val="32"/>
          <w:szCs w:val="32"/>
        </w:rPr>
        <w:t>三是</w:t>
      </w:r>
      <w:r>
        <w:rPr>
          <w:rFonts w:hint="eastAsia" w:ascii="仿宋_GB2312" w:hAnsi="仿宋_GB2312" w:eastAsia="仿宋_GB2312" w:cs="仿宋_GB2312"/>
          <w:sz w:val="32"/>
          <w:szCs w:val="32"/>
        </w:rPr>
        <w:t>在红原机场借助高原航空港优势对极具特色的阿坝州手工编织类产品进行专柜推广，预算资金是10万元，实际支出93230.09元，剩余6769.91元，尚有质保金需进行支付。剩余并结转资金共计22190.11元，将用于支付机场展示点质保金和项目审计评估费用。所有资金均按照财政规定、《关于2019年四川省妇女儿童事业发展专项资金下达及项目实施的通知》（川妇知〔2019〕16号）和《四川省妇儿专项资金管理办法》进行安排使用，符合报销要求，相关依据合规合法，资金支付基本与预算相符。</w:t>
      </w:r>
    </w:p>
    <w:p w14:paraId="0F3CE723">
      <w:pPr>
        <w:spacing w:line="600" w:lineRule="exact"/>
        <w:ind w:firstLine="64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（二）项目财务管理情况</w:t>
      </w:r>
    </w:p>
    <w:p w14:paraId="65EED263">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会按照2018年建立的《四川省妇女儿童事业发展项目资金财务管理制度》严格进行项目实施与资金管理工作，并设置了专门的妇儿专项项目实施工作领导小组，项目严格执行财务管理制度、财务处理及时、会计核算及财务处理均按照财政相关规定进行，符合相关规范。</w:t>
      </w:r>
    </w:p>
    <w:p w14:paraId="098FF17C">
      <w:pPr>
        <w:spacing w:line="600" w:lineRule="exact"/>
        <w:ind w:firstLine="64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（三）项目组织实施情况。</w:t>
      </w:r>
    </w:p>
    <w:p w14:paraId="7E53852B">
      <w:pPr>
        <w:spacing w:line="576" w:lineRule="exact"/>
        <w:ind w:firstLine="643" w:firstLineChars="200"/>
        <w:rPr>
          <w:rFonts w:ascii="黑体" w:hAnsi="黑体" w:eastAsia="黑体"/>
          <w:sz w:val="32"/>
          <w:szCs w:val="32"/>
        </w:rPr>
      </w:pPr>
      <w:r>
        <w:rPr>
          <w:rFonts w:hint="eastAsia" w:ascii="仿宋_GB2312" w:eastAsia="仿宋_GB2312"/>
          <w:b/>
          <w:sz w:val="32"/>
          <w:szCs w:val="32"/>
        </w:rPr>
        <w:t>1.加强组织领导，细化实施方案，保证工作落实。</w:t>
      </w:r>
      <w:r>
        <w:rPr>
          <w:rFonts w:hint="eastAsia" w:ascii="仿宋_GB2312" w:eastAsia="仿宋_GB2312"/>
          <w:sz w:val="32"/>
          <w:szCs w:val="32"/>
        </w:rPr>
        <w:t>我会严格按照省妇联要求认真编制上报了项目申报书和项目绩效目标申报表，对于具体的项目资金分配和使用绩效进行了预</w:t>
      </w:r>
      <w:r>
        <w:rPr>
          <w:rFonts w:hint="eastAsia" w:ascii="仿宋_GB2312" w:hAnsi="仿宋_GB2312" w:eastAsia="仿宋_GB2312" w:cs="仿宋_GB2312"/>
          <w:sz w:val="32"/>
          <w:szCs w:val="32"/>
        </w:rPr>
        <w:t>算。《关于2019年四川省妇女儿童事业发展专项资金下达及项目实施的通知》（川妇知〔2019〕16号）中明确了90万元的使用内容。</w:t>
      </w:r>
      <w:r>
        <w:rPr>
          <w:rFonts w:hint="eastAsia" w:ascii="仿宋_GB2312" w:eastAsia="仿宋_GB2312" w:cs="华文仿宋"/>
          <w:sz w:val="32"/>
          <w:szCs w:val="32"/>
        </w:rPr>
        <w:t>我会党组高度重视专项资金的使用，强化组织领导，</w:t>
      </w:r>
      <w:r>
        <w:rPr>
          <w:rFonts w:hint="eastAsia" w:ascii="仿宋_GB2312" w:eastAsia="仿宋_GB2312"/>
          <w:sz w:val="32"/>
          <w:szCs w:val="32"/>
        </w:rPr>
        <w:t>及时成立了一把手为组长、分管副主席为副组长，相关部室工作人员、财务人员为成员的项目实施工作领导小组，对项目的实施和资金的使用进行统筹管理和监督检查，小组下设办公室，由发展部部长负责日常具体工作。在每个子项目的实施过程中又分别形成了详细的项目实施方案，项目的推进有力有序，保证了项目实施的成效和资金使用的安全。</w:t>
      </w:r>
    </w:p>
    <w:p w14:paraId="613919E8">
      <w:pPr>
        <w:spacing w:line="576" w:lineRule="exact"/>
        <w:ind w:firstLine="643" w:firstLineChars="200"/>
        <w:rPr>
          <w:rFonts w:ascii="仿宋_GB2312" w:eastAsia="仿宋_GB2312" w:cs="仿宋_GB2312"/>
          <w:b/>
          <w:bCs/>
          <w:sz w:val="32"/>
          <w:szCs w:val="32"/>
        </w:rPr>
      </w:pPr>
      <w:r>
        <w:rPr>
          <w:rFonts w:hint="eastAsia" w:ascii="仿宋_GB2312" w:eastAsia="仿宋_GB2312" w:cs="仿宋_GB2312"/>
          <w:b/>
          <w:bCs/>
          <w:sz w:val="32"/>
          <w:szCs w:val="32"/>
        </w:rPr>
        <w:t>2.项目实施情况</w:t>
      </w:r>
    </w:p>
    <w:p w14:paraId="697E1E1A">
      <w:pPr>
        <w:spacing w:line="576" w:lineRule="exact"/>
        <w:ind w:firstLine="643" w:firstLineChars="200"/>
        <w:rPr>
          <w:rFonts w:ascii="仿宋_GB2312" w:eastAsia="仿宋_GB2312" w:cs="仿宋_GB2312"/>
          <w:b/>
          <w:bCs/>
          <w:sz w:val="32"/>
          <w:szCs w:val="32"/>
        </w:rPr>
      </w:pPr>
      <w:r>
        <w:rPr>
          <w:rFonts w:hint="eastAsia" w:ascii="仿宋_GB2312" w:eastAsia="仿宋_GB2312" w:cs="仿宋_GB2312"/>
          <w:b/>
          <w:bCs/>
          <w:sz w:val="32"/>
          <w:szCs w:val="32"/>
        </w:rPr>
        <w:t>（1）赴贵州培训学习情况</w:t>
      </w:r>
    </w:p>
    <w:p w14:paraId="12049FC4">
      <w:pPr>
        <w:spacing w:line="576" w:lineRule="exact"/>
        <w:ind w:firstLine="640" w:firstLineChars="200"/>
        <w:rPr>
          <w:rFonts w:ascii="仿宋_GB2312" w:hAnsi="Calibri" w:eastAsia="仿宋_GB2312"/>
          <w:sz w:val="32"/>
          <w:szCs w:val="32"/>
        </w:rPr>
      </w:pPr>
      <w:r>
        <w:rPr>
          <w:rFonts w:hint="eastAsia" w:ascii="仿宋_GB2312" w:hAnsi="Calibri" w:eastAsia="仿宋_GB2312"/>
          <w:sz w:val="32"/>
          <w:szCs w:val="32"/>
        </w:rPr>
        <w:t>为了大力弘扬传承我州藏羌民族传统文化，持续推动全州手工编织产业健康发展，不断提升我州妇女的劳动技能及手工编织产业的研发能力,抓实全州妇女居家灵活就业工作，有力推动“乡村振兴巾帼行动”、“巾帼脱贫行动”、“创业创新巾帼行动”，更好地带动全州妇女在脱贫攻坚主战场中发挥好半边天作用，7月15日-24日我会组织了为期10天的阿坝州妇女手工编织技能及研发能力提升培训班在贵州盛华职业学院唐人坊非遗学院成功举办。10天的学习中，学院邀请到盛华职业学院非遗学院副院长、中级工艺美术师秦贞贞，四川美术学院公共艺术学院教授、民艺研究专家赖小静；</w:t>
      </w:r>
      <w:r>
        <w:rPr>
          <w:rFonts w:ascii="仿宋_GB2312" w:hAnsi="Calibri" w:eastAsia="仿宋_GB2312"/>
          <w:vanish/>
          <w:sz w:val="32"/>
          <w:szCs w:val="32"/>
        </w:rPr>
        <w:t xml:space="preserve"> </w:t>
      </w:r>
      <w:r>
        <w:rPr>
          <w:rFonts w:hint="eastAsia" w:ascii="仿宋_GB2312" w:hAnsi="Calibri" w:eastAsia="仿宋_GB2312"/>
          <w:sz w:val="32"/>
          <w:szCs w:val="32"/>
        </w:rPr>
        <w:t>贵州民族大学美术学院副教授，研究生导师潘桃洁;非遗传承人、盛华职业学院非遗学院杨先芬老师等众多优秀的专业老师为大家精心授课，并就学员的部分作品进行了现场点评和指导。来自全州13个县（市）有着弘扬藏羌民族传统文化、传承藏羌民族传统手工技艺意愿的20名姐妹严守培训纪律，认真学习交流，相互取长补短，她们学到了贵州的刺绣针法和多种非遗产品制作手法，并化为己用，使之与藏织羌绣等手工编织技艺有机融合，学到了如何提升产品的设计与创新、如何更好地运用色彩提升产品艺术性、如何做好文创产品的市场营销等方面的知识，学习成效明显，收获颇丰，确保了培训效果。</w:t>
      </w:r>
      <w:r>
        <w:rPr>
          <w:rFonts w:hint="eastAsia" w:ascii="仿宋_GB2312" w:eastAsia="仿宋_GB2312"/>
          <w:sz w:val="32"/>
          <w:szCs w:val="32"/>
        </w:rPr>
        <w:t>整个学习过程中学员们撰写了学习心得，交流了学习收获，学习结束后有了新产品的诞生。</w:t>
      </w:r>
    </w:p>
    <w:p w14:paraId="0D93D25E">
      <w:pPr>
        <w:spacing w:line="580" w:lineRule="exact"/>
        <w:ind w:firstLine="643" w:firstLineChars="200"/>
        <w:rPr>
          <w:rFonts w:ascii="仿宋_GB2312" w:eastAsia="仿宋_GB2312"/>
          <w:b/>
          <w:sz w:val="32"/>
          <w:szCs w:val="32"/>
        </w:rPr>
      </w:pPr>
      <w:r>
        <w:rPr>
          <w:rFonts w:hint="eastAsia" w:ascii="仿宋_GB2312" w:eastAsia="仿宋_GB2312"/>
          <w:b/>
          <w:sz w:val="32"/>
          <w:szCs w:val="32"/>
        </w:rPr>
        <w:t>（2）展示点建设情况</w:t>
      </w:r>
    </w:p>
    <w:p w14:paraId="5A988ADC">
      <w:pPr>
        <w:spacing w:line="580" w:lineRule="exact"/>
        <w:ind w:firstLine="640" w:firstLineChars="200"/>
        <w:rPr>
          <w:rFonts w:ascii="仿宋_GB2312" w:eastAsia="仿宋_GB2312"/>
          <w:b/>
          <w:sz w:val="32"/>
          <w:szCs w:val="32"/>
        </w:rPr>
      </w:pPr>
      <w:r>
        <w:rPr>
          <w:rFonts w:hint="eastAsia" w:ascii="仿宋_GB2312" w:eastAsia="仿宋_GB2312"/>
          <w:sz w:val="32"/>
          <w:szCs w:val="32"/>
        </w:rPr>
        <w:t>为我州妇女居家灵活就业产品</w:t>
      </w:r>
      <w:r>
        <w:rPr>
          <w:rFonts w:ascii="仿宋_GB2312" w:eastAsia="仿宋_GB2312"/>
          <w:sz w:val="32"/>
          <w:szCs w:val="32"/>
        </w:rPr>
        <w:t>搭建现代化、国际化的阿坝州民族传统手工艺和地方特色妇女居家灵活就业产品的线下展示、销售平台，将全州妇女居家灵活就业产品</w:t>
      </w:r>
      <w:r>
        <w:rPr>
          <w:rFonts w:hint="eastAsia" w:ascii="仿宋_GB2312" w:eastAsia="仿宋_GB2312"/>
          <w:sz w:val="32"/>
          <w:szCs w:val="32"/>
        </w:rPr>
        <w:t>及</w:t>
      </w:r>
      <w:r>
        <w:rPr>
          <w:rFonts w:ascii="仿宋_GB2312" w:eastAsia="仿宋_GB2312"/>
          <w:sz w:val="32"/>
          <w:szCs w:val="32"/>
        </w:rPr>
        <w:t>全州妇女居家灵活就业产业发展情况，以最直观</w:t>
      </w:r>
      <w:r>
        <w:rPr>
          <w:rFonts w:hint="eastAsia" w:ascii="仿宋_GB2312" w:eastAsia="仿宋_GB2312"/>
          <w:sz w:val="32"/>
          <w:szCs w:val="32"/>
        </w:rPr>
        <w:t>、</w:t>
      </w:r>
      <w:r>
        <w:rPr>
          <w:rFonts w:ascii="仿宋_GB2312" w:eastAsia="仿宋_GB2312"/>
          <w:sz w:val="32"/>
          <w:szCs w:val="32"/>
        </w:rPr>
        <w:t>最便捷的方式展示给国内外消费者</w:t>
      </w:r>
      <w:r>
        <w:rPr>
          <w:rFonts w:hint="eastAsia" w:ascii="仿宋_GB2312" w:eastAsia="仿宋_GB2312"/>
          <w:sz w:val="32"/>
          <w:szCs w:val="32"/>
        </w:rPr>
        <w:t>，</w:t>
      </w:r>
      <w:r>
        <w:rPr>
          <w:rFonts w:ascii="仿宋_GB2312" w:eastAsia="仿宋_GB2312"/>
          <w:sz w:val="32"/>
          <w:szCs w:val="32"/>
        </w:rPr>
        <w:t>扩大其影响力，为各地妇女姐妹提供一个展示自己，以及依靠手艺与劳动摆脱贫困的平台，力求搭建起妇女居家灵活就业产品和全球消费者之间的桥梁</w:t>
      </w:r>
      <w:r>
        <w:rPr>
          <w:rFonts w:hint="eastAsia" w:ascii="仿宋_GB2312" w:eastAsia="仿宋_GB2312"/>
          <w:sz w:val="32"/>
          <w:szCs w:val="32"/>
        </w:rPr>
        <w:t>，帮助我州妇女姐妹增收致富，我会利用省妇儿专项资金10万元在红原机场设立2个展示展销点。主席和分管领导先后三次深入红原机场进行实地考察，并结合实际拟定下发了《阿坝州妇联关于组织商家入驻红原机场阿坝州妇女居家灵活就业产品展示展销点的通知》，确定了设置贵宾室产品展示展销点、候机厅产品展示展销点，对入驻商家资格等提出了要求，对入驻程序进行设定。为了保证展柜的制作质量，分管副主席亲自带队赴成都比选制作公司，进行前期沟通，确定制作方案，并与机场、代售商家等签订协议书，有序推进相关工作。原定于12月进行展柜安装及验收等工作，但是由于红原气候和机场放假等原因，推迟至节后，后又因疫情影响，目前展柜暂时无法进行安装，展示点商品无法入驻，待疫情过后即刻安装，并完成商品入驻，支付质保金等工作。</w:t>
      </w:r>
      <w:r>
        <w:rPr>
          <w:rFonts w:ascii="仿宋_GB2312" w:eastAsia="仿宋_GB2312"/>
          <w:sz w:val="32"/>
          <w:szCs w:val="32"/>
        </w:rPr>
        <w:t xml:space="preserve"> </w:t>
      </w:r>
    </w:p>
    <w:p w14:paraId="35F2FE3D">
      <w:pPr>
        <w:spacing w:line="580" w:lineRule="exact"/>
        <w:ind w:firstLine="643" w:firstLineChars="200"/>
        <w:rPr>
          <w:rFonts w:ascii="仿宋_GB2312" w:eastAsia="仿宋_GB2312"/>
          <w:b/>
          <w:sz w:val="32"/>
          <w:szCs w:val="32"/>
        </w:rPr>
      </w:pPr>
      <w:r>
        <w:rPr>
          <w:rFonts w:hint="eastAsia" w:ascii="仿宋_GB2312" w:eastAsia="仿宋_GB2312"/>
          <w:b/>
          <w:sz w:val="32"/>
          <w:szCs w:val="32"/>
        </w:rPr>
        <w:t>（3）产品推介系列活动</w:t>
      </w:r>
    </w:p>
    <w:p w14:paraId="3EC3CC0F">
      <w:pPr>
        <w:spacing w:line="576" w:lineRule="exact"/>
        <w:ind w:firstLine="640" w:firstLineChars="200"/>
        <w:rPr>
          <w:rFonts w:ascii="仿宋_GB2312" w:eastAsia="仿宋_GB2312"/>
          <w:sz w:val="32"/>
          <w:szCs w:val="32"/>
        </w:rPr>
      </w:pPr>
      <w:r>
        <w:rPr>
          <w:rFonts w:hint="eastAsia" w:ascii="仿宋_GB2312" w:eastAsia="仿宋_GB2312"/>
          <w:sz w:val="32"/>
          <w:szCs w:val="32"/>
        </w:rPr>
        <w:t>为深入贯彻落实党中央、国务院关于开展东西部扶贫协作和对口支援的战略部署，进一步推动浙江省与阿坝州深化扶贫、务实合作，全面拓展深化东西部扶贫协作和对口帮扶的妇女工作丰富内涵，宣传推介全州妇女居家灵活就业丰硕成果，展示展销妇女居家灵活就业产品，搭建东西部创业姐妹交流平台，州妇联开展了“浙阿姐妹手拉手·巾帼脱贫快步走”浙江义乌国际博览行</w:t>
      </w:r>
      <w:r>
        <w:rPr>
          <w:rFonts w:hint="eastAsia" w:asciiTheme="minorEastAsia" w:hAnsiTheme="minorEastAsia"/>
          <w:sz w:val="32"/>
          <w:szCs w:val="32"/>
        </w:rPr>
        <w:t>——</w:t>
      </w:r>
      <w:r>
        <w:rPr>
          <w:rFonts w:hint="eastAsia" w:ascii="仿宋_GB2312" w:eastAsia="仿宋_GB2312"/>
          <w:sz w:val="32"/>
          <w:szCs w:val="32"/>
        </w:rPr>
        <w:t>阿坝州妇女居家灵活就业成果系列推介活动，活动由阿坝州内和浙江省推介活动两大部分组成。</w:t>
      </w:r>
      <w:r>
        <w:rPr>
          <w:rFonts w:hint="eastAsia" w:ascii="仿宋_GB2312" w:eastAsia="仿宋_GB2312"/>
          <w:b/>
          <w:sz w:val="32"/>
          <w:szCs w:val="32"/>
        </w:rPr>
        <w:t>一是州内部分：</w:t>
      </w:r>
      <w:r>
        <w:rPr>
          <w:rFonts w:hint="eastAsia" w:ascii="仿宋_GB2312" w:eastAsia="仿宋_GB2312"/>
          <w:sz w:val="32"/>
          <w:szCs w:val="32"/>
        </w:rPr>
        <w:t>为充分展示我州妇女居家灵活就业和女性农民工职业技能培训的丰富成果，激发广大妇女姐妹重视技能、提升技能、勤劳致富的积极性、主动性，同时为“浙阿姐妹手拉手·巾帼脱贫快步走”浙江义乌国际博览行——阿坝州妇女居家灵活就业成果推介活动筛选赴浙江参展优秀代表，2019年7月州、县（市）妇联联合在全州13县（市）举办首届妇女居家灵活就业暨女性农民工手工编织技能大赛。各县（市）妇联结合本县实际设立藏织、藏绣、羌绣、藏装等比赛类别，州妇联按照2019年省妇儿专项资金使用预算，给与每县3000元的奖金支持。</w:t>
      </w:r>
      <w:r>
        <w:rPr>
          <w:rFonts w:ascii="仿宋_GB2312" w:eastAsia="仿宋_GB2312"/>
          <w:sz w:val="32"/>
          <w:szCs w:val="32"/>
        </w:rPr>
        <w:t>结合</w:t>
      </w:r>
      <w:r>
        <w:rPr>
          <w:rFonts w:hint="eastAsia" w:ascii="仿宋" w:hAnsi="仿宋" w:eastAsia="仿宋"/>
          <w:sz w:val="32"/>
          <w:szCs w:val="32"/>
        </w:rPr>
        <w:t>全州群团部门“群心向党</w:t>
      </w:r>
      <w:r>
        <w:rPr>
          <w:rFonts w:hint="eastAsia" w:ascii="仿宋_GB2312" w:eastAsia="仿宋_GB2312"/>
          <w:sz w:val="32"/>
          <w:szCs w:val="32"/>
        </w:rPr>
        <w:t>·</w:t>
      </w:r>
      <w:r>
        <w:rPr>
          <w:rFonts w:hint="eastAsia" w:ascii="仿宋" w:hAnsi="仿宋" w:eastAsia="仿宋"/>
          <w:sz w:val="32"/>
          <w:szCs w:val="32"/>
        </w:rPr>
        <w:t>礼赞祖国”</w:t>
      </w:r>
      <w:r>
        <w:rPr>
          <w:rFonts w:hint="eastAsia" w:ascii="宋体" w:hAnsi="宋体"/>
          <w:sz w:val="32"/>
          <w:szCs w:val="32"/>
        </w:rPr>
        <w:t>——</w:t>
      </w:r>
      <w:r>
        <w:rPr>
          <w:rFonts w:hint="eastAsia" w:ascii="仿宋" w:hAnsi="仿宋" w:eastAsia="仿宋"/>
          <w:sz w:val="32"/>
          <w:szCs w:val="32"/>
        </w:rPr>
        <w:t>阿坝州民族团结暨群众文化季活动，州妇联在“群心向党</w:t>
      </w:r>
      <w:r>
        <w:rPr>
          <w:rFonts w:hint="eastAsia" w:ascii="仿宋_GB2312" w:eastAsia="仿宋_GB2312"/>
          <w:sz w:val="32"/>
          <w:szCs w:val="32"/>
        </w:rPr>
        <w:t>·</w:t>
      </w:r>
      <w:r>
        <w:rPr>
          <w:rFonts w:hint="eastAsia" w:ascii="仿宋" w:hAnsi="仿宋" w:eastAsia="仿宋"/>
          <w:sz w:val="32"/>
          <w:szCs w:val="32"/>
        </w:rPr>
        <w:t>礼赞祖国”专场晚会中组织巾帼志愿者进行妇女居家灵活就业产品、女性原创服饰品牌推介及在马尔康设置13县（市）展馆进行各县（市）妇女居家灵活就业产品推广。</w:t>
      </w:r>
      <w:r>
        <w:rPr>
          <w:rFonts w:hint="eastAsia" w:ascii="仿宋" w:hAnsi="仿宋" w:eastAsia="仿宋"/>
          <w:b/>
          <w:sz w:val="32"/>
          <w:szCs w:val="32"/>
        </w:rPr>
        <w:t>二是浙江部分：</w:t>
      </w:r>
      <w:r>
        <w:rPr>
          <w:rFonts w:hint="eastAsia" w:ascii="仿宋" w:eastAsia="仿宋"/>
          <w:sz w:val="32"/>
          <w:szCs w:val="32"/>
        </w:rPr>
        <w:t>10月21日-25日在浙江省妇联和四川省妇联的大力关心和支持下，在州委州政府领导重视下，</w:t>
      </w:r>
      <w:r>
        <w:rPr>
          <w:rFonts w:hint="eastAsia" w:ascii="仿宋_GB2312" w:eastAsia="仿宋_GB2312"/>
          <w:sz w:val="32"/>
          <w:szCs w:val="32"/>
        </w:rPr>
        <w:t>利用义乌国际小商品博览会的有利契机，成功举办为期5天的“浙阿姐妹手拉手·巾帼脱贫快步走”浙江义乌国际博览行</w:t>
      </w:r>
      <w:r>
        <w:rPr>
          <w:rFonts w:hint="eastAsia" w:ascii="宋体"/>
          <w:sz w:val="32"/>
          <w:szCs w:val="32"/>
        </w:rPr>
        <w:t>——</w:t>
      </w:r>
      <w:r>
        <w:rPr>
          <w:rFonts w:hint="eastAsia" w:ascii="仿宋_GB2312" w:eastAsia="仿宋_GB2312"/>
          <w:sz w:val="32"/>
          <w:szCs w:val="32"/>
        </w:rPr>
        <w:t>阿坝州妇女居家灵活就业成果系列推介活动。州妇联在义乌国际博览会浙江省妇联对口扶贫展示展销区共设立展馆13个，组织13县（市）参展人员117名，共30余家妇女居家灵活就业合作社和企业及吉祥娃娃、羌绣制品、藏织腰带、手工藏香、生态土鸡蛋、牛肉干等2500余件最具特色的妇女居家灵活就业产品参展，13县（市）展馆分别进行了羌绣、藏织、吉祥娃娃制作等非遗活态现场展示，在5天的展示展销活动中发放宣传资料（名片）3661份，达成合作意向168项，建立长期微信客户2000余名，销售产品500余件，价值12万余元。</w:t>
      </w:r>
    </w:p>
    <w:p w14:paraId="7DAD1A9F">
      <w:pPr>
        <w:spacing w:line="60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三、项目绩效情况</w:t>
      </w:r>
    </w:p>
    <w:p w14:paraId="7BD00CE4">
      <w:pPr>
        <w:spacing w:line="600" w:lineRule="exact"/>
        <w:ind w:firstLine="64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（一）项目完成情况</w:t>
      </w:r>
    </w:p>
    <w:p w14:paraId="5F7C57C7">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目前项目三项工作中已经在规定时间内圆满完成了两项，质量和时效、成本指标等都已经达到了年初预定的绩效目标。机场展示展销点工作因受到气候条件、春节假期和疫情影响暂未完成，但是各项准备工作已经做好，待疫情结束将立即完成，并及时支付质保金。我会高度重视项目实施过程中的各项资料的收集整理归档工作，安排专人负责，及时将各项目的实施方案、监督检查资料、图片视频资料等进行收集整理，并形成专卷进行留存备查。同时，为了了解项目实施的满意度情况，专门制作了满意度测评表，对参与者进行满意度测评，测评满意率达到了90%以上，我会也在测评中不断征集基层姐妹对于妇女手工编织产业发展和妇女居家灵活就业工作的建议和意见，以推进各级妇联组织居家灵活就业工作水平的提高。我会已通过购买服务请第三方进行项目绩效评估审计工作，待疫情结束后将及时完成评估工作，并及时向省妇联上报相关报告。</w:t>
      </w:r>
    </w:p>
    <w:p w14:paraId="58A17737">
      <w:pPr>
        <w:spacing w:line="600" w:lineRule="exact"/>
        <w:ind w:firstLine="64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（二）项目效益情况</w:t>
      </w:r>
    </w:p>
    <w:p w14:paraId="35D8B100">
      <w:pPr>
        <w:spacing w:line="560" w:lineRule="exact"/>
        <w:ind w:firstLine="640" w:firstLineChars="200"/>
        <w:rPr>
          <w:rFonts w:ascii="仿宋_GB2312" w:hAnsi="黑体" w:eastAsia="仿宋_GB2312"/>
          <w:b/>
          <w:sz w:val="32"/>
          <w:szCs w:val="32"/>
        </w:rPr>
      </w:pPr>
      <w:r>
        <w:rPr>
          <w:rFonts w:ascii="仿宋_GB2312" w:hAnsi="黑体" w:eastAsia="仿宋_GB2312"/>
          <w:sz w:val="32"/>
          <w:szCs w:val="32"/>
        </w:rPr>
        <w:t>由于州妇联严格按照年初申报的项目内容执行</w:t>
      </w:r>
      <w:r>
        <w:rPr>
          <w:rFonts w:hint="eastAsia" w:ascii="仿宋_GB2312" w:hAnsi="黑体" w:eastAsia="仿宋_GB2312"/>
          <w:sz w:val="32"/>
          <w:szCs w:val="32"/>
        </w:rPr>
        <w:t>，</w:t>
      </w:r>
      <w:r>
        <w:rPr>
          <w:rFonts w:ascii="仿宋_GB2312" w:hAnsi="黑体" w:eastAsia="仿宋_GB2312"/>
          <w:sz w:val="32"/>
          <w:szCs w:val="32"/>
        </w:rPr>
        <w:t>并有序推进项目的实施</w:t>
      </w:r>
      <w:r>
        <w:rPr>
          <w:rFonts w:hint="eastAsia" w:ascii="仿宋_GB2312" w:hAnsi="黑体" w:eastAsia="仿宋_GB2312"/>
          <w:sz w:val="32"/>
          <w:szCs w:val="32"/>
        </w:rPr>
        <w:t>，</w:t>
      </w:r>
      <w:r>
        <w:rPr>
          <w:rFonts w:ascii="仿宋_GB2312" w:hAnsi="黑体" w:eastAsia="仿宋_GB2312"/>
          <w:sz w:val="32"/>
          <w:szCs w:val="32"/>
        </w:rPr>
        <w:t>抓好项目的落地落实</w:t>
      </w:r>
      <w:r>
        <w:rPr>
          <w:rFonts w:hint="eastAsia" w:ascii="仿宋_GB2312" w:hAnsi="黑体" w:eastAsia="仿宋_GB2312"/>
          <w:sz w:val="32"/>
          <w:szCs w:val="32"/>
        </w:rPr>
        <w:t>，</w:t>
      </w:r>
      <w:r>
        <w:rPr>
          <w:rFonts w:ascii="仿宋_GB2312" w:hAnsi="黑体" w:eastAsia="仿宋_GB2312"/>
          <w:sz w:val="32"/>
          <w:szCs w:val="32"/>
        </w:rPr>
        <w:t>每一项工作都做到实处</w:t>
      </w:r>
      <w:r>
        <w:rPr>
          <w:rFonts w:hint="eastAsia" w:ascii="仿宋_GB2312" w:hAnsi="黑体" w:eastAsia="仿宋_GB2312"/>
          <w:sz w:val="32"/>
          <w:szCs w:val="32"/>
        </w:rPr>
        <w:t>，</w:t>
      </w:r>
      <w:r>
        <w:rPr>
          <w:rFonts w:ascii="仿宋_GB2312" w:hAnsi="黑体" w:eastAsia="仿宋_GB2312"/>
          <w:sz w:val="32"/>
          <w:szCs w:val="32"/>
        </w:rPr>
        <w:t>每一分钱都用到实处</w:t>
      </w:r>
      <w:r>
        <w:rPr>
          <w:rFonts w:hint="eastAsia" w:ascii="仿宋_GB2312" w:hAnsi="黑体" w:eastAsia="仿宋_GB2312"/>
          <w:sz w:val="32"/>
          <w:szCs w:val="32"/>
        </w:rPr>
        <w:t>，</w:t>
      </w:r>
      <w:r>
        <w:rPr>
          <w:rFonts w:ascii="仿宋_GB2312" w:hAnsi="黑体" w:eastAsia="仿宋_GB2312"/>
          <w:sz w:val="32"/>
          <w:szCs w:val="32"/>
        </w:rPr>
        <w:t>所以项目绩效目标也得到了较好地实现</w:t>
      </w:r>
      <w:r>
        <w:rPr>
          <w:rFonts w:hint="eastAsia" w:ascii="仿宋_GB2312" w:hAnsi="黑体" w:eastAsia="仿宋_GB2312"/>
          <w:sz w:val="32"/>
          <w:szCs w:val="32"/>
        </w:rPr>
        <w:t>。</w:t>
      </w:r>
    </w:p>
    <w:p w14:paraId="54B3F53E">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1.</w:t>
      </w:r>
      <w:r>
        <w:rPr>
          <w:rFonts w:hint="eastAsia" w:ascii="仿宋_GB2312" w:hAnsi="黑体" w:eastAsia="仿宋_GB2312"/>
          <w:sz w:val="32"/>
          <w:szCs w:val="32"/>
        </w:rPr>
        <w:t>赴贵州学习考察活动真正让我州的手工编织姐妹长了见识，学有所获、学有所思，</w:t>
      </w:r>
      <w:r>
        <w:rPr>
          <w:rFonts w:hint="eastAsia" w:ascii="仿宋_GB2312" w:eastAsia="仿宋_GB2312"/>
          <w:sz w:val="32"/>
          <w:szCs w:val="32"/>
        </w:rPr>
        <w:t>让学员们在学习知识的同时，更感受了非遗传承人、高级工艺美术师在传承经典上的不懈追求与无私付出，所有的学员都收获颇丰，</w:t>
      </w:r>
      <w:r>
        <w:rPr>
          <w:rFonts w:hint="eastAsia" w:ascii="仿宋_GB2312" w:hAnsi="黑体" w:eastAsia="仿宋_GB2312"/>
          <w:sz w:val="32"/>
          <w:szCs w:val="32"/>
        </w:rPr>
        <w:t>既促进了非遗文化的传承又推动了居家就业增收致富。学员中汶川羌山衷情羊角羌绣合作社经理杨忠琼学习结束后，积极申请州级妇女居家灵活就业项目，拟对合作社绣娘们进行羌绣技能的培训提升，还拓宽思维，把所学灵活应用到来料加工产业当中。金川县咯尔乡金江村妇联主席朱学英学习之后励志将已经建立起来的刺绣合作社做大做强，也积极申请了州级妇女居家灵活就业项目支持，并着手在藏绣发展上花功夫，争取出成效。马尔康格桑娜传统手工编织专业合作社的负责人格桑娜姆根据所学知识对自己的产品进行改良提升，产品入选了10月份在浙江举办的推介活动，其余人员纷纷设计出了受大众喜爱的新产品。</w:t>
      </w:r>
    </w:p>
    <w:p w14:paraId="7923DFB4">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2.</w:t>
      </w:r>
      <w:r>
        <w:rPr>
          <w:rFonts w:hint="eastAsia" w:ascii="仿宋_GB2312" w:hAnsi="黑体" w:eastAsia="仿宋_GB2312"/>
          <w:sz w:val="32"/>
          <w:szCs w:val="32"/>
        </w:rPr>
        <w:t>展示点的设置为更多居家灵活就业的姐妹提供了销售平台，将极大地解决她们产品销路的瓶颈问题，也为我州妇女居家灵活就业产品提供了更好地展示宣传平台，让更多地区和国家的人能够直接购买到这些优质的产品同时，也了解了藏羌文化。这是阿坝州首次尝试在机场设置妇女居家灵活就业展示展销点，必将取得好的成效。</w:t>
      </w:r>
    </w:p>
    <w:p w14:paraId="3D2483EB">
      <w:pPr>
        <w:spacing w:line="560" w:lineRule="exact"/>
        <w:ind w:firstLine="643" w:firstLineChars="200"/>
        <w:rPr>
          <w:rFonts w:ascii="仿宋_GB2312" w:hAnsi="仿宋_GB2312" w:eastAsia="仿宋_GB2312" w:cs="仿宋_GB2312"/>
          <w:sz w:val="32"/>
          <w:szCs w:val="32"/>
        </w:rPr>
      </w:pPr>
      <w:r>
        <w:rPr>
          <w:rFonts w:hint="eastAsia" w:ascii="仿宋_GB2312" w:hAnsi="黑体" w:eastAsia="仿宋_GB2312"/>
          <w:b/>
          <w:sz w:val="32"/>
          <w:szCs w:val="32"/>
        </w:rPr>
        <w:t>3.</w:t>
      </w:r>
      <w:r>
        <w:rPr>
          <w:rFonts w:hint="eastAsia" w:ascii="仿宋_GB2312" w:hAnsi="黑体" w:eastAsia="仿宋_GB2312"/>
          <w:sz w:val="32"/>
          <w:szCs w:val="32"/>
        </w:rPr>
        <w:t>推介系列活动的举办，不仅在州内掀起了一股妇女居家灵活就业比学赶超的高潮，也让诸多年轻女性设计师脱颖而出，受到广泛瞩目，其产品也得到了更多的青睐，为妇女居家灵活就业产品创新注入了新的活动里。浙江推介活动</w:t>
      </w:r>
      <w:r>
        <w:rPr>
          <w:rFonts w:ascii="仿宋_GB2312" w:hAnsi="黑体" w:eastAsia="仿宋_GB2312"/>
          <w:sz w:val="32"/>
          <w:szCs w:val="32"/>
        </w:rPr>
        <w:t>全面展示了几年来妇女居家灵活就业工作的巨大成果</w:t>
      </w:r>
      <w:r>
        <w:rPr>
          <w:rFonts w:hint="eastAsia" w:ascii="仿宋_GB2312" w:hAnsi="黑体" w:eastAsia="仿宋_GB2312"/>
          <w:sz w:val="32"/>
          <w:szCs w:val="32"/>
        </w:rPr>
        <w:t>，让更多姐妹获得了人生出彩的机会，许多姐妹获得了与浙江相关原材料供应、产品加工、产品销售等企业合作的机会，使产品找到了更好的销售平台，原材料有了更好的来源，使东西合作巾帼篇章有了更丰富的内容。</w:t>
      </w:r>
    </w:p>
    <w:p w14:paraId="7FB1261A">
      <w:pPr>
        <w:spacing w:line="60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四、工作亮点</w:t>
      </w:r>
    </w:p>
    <w:p w14:paraId="2961F9D1">
      <w:pPr>
        <w:spacing w:line="576" w:lineRule="exact"/>
        <w:ind w:firstLine="640" w:firstLineChars="200"/>
        <w:rPr>
          <w:rFonts w:ascii="仿宋_GB2312" w:eastAsia="仿宋_GB2312"/>
          <w:sz w:val="32"/>
          <w:szCs w:val="32"/>
        </w:rPr>
      </w:pPr>
      <w:r>
        <w:rPr>
          <w:rFonts w:hint="eastAsia" w:ascii="仿宋_GB2312" w:eastAsia="仿宋_GB2312"/>
          <w:sz w:val="32"/>
          <w:szCs w:val="32"/>
        </w:rPr>
        <w:t>在项目实施中最大的亮点就是为期5天的“浙阿姐妹手拉手.巾帼脱贫快步走”浙江义乌国际博览行</w:t>
      </w:r>
      <w:r>
        <w:rPr>
          <w:rFonts w:hint="eastAsia" w:ascii="宋体"/>
          <w:sz w:val="32"/>
          <w:szCs w:val="32"/>
        </w:rPr>
        <w:t>——</w:t>
      </w:r>
      <w:r>
        <w:rPr>
          <w:rFonts w:hint="eastAsia" w:ascii="仿宋_GB2312" w:eastAsia="仿宋_GB2312"/>
          <w:sz w:val="32"/>
          <w:szCs w:val="32"/>
        </w:rPr>
        <w:t>阿坝州妇女居家灵活就业成果系列推介活动，此项活动的开展，展示了阿坝姐妹的风采，搭建了产品宣传销售的平台，建起了东西协作的巾帼桥梁，为妇女姐妹带来了实实在在的收获。</w:t>
      </w:r>
    </w:p>
    <w:p w14:paraId="7CEB3970">
      <w:pPr>
        <w:spacing w:line="576" w:lineRule="exact"/>
        <w:ind w:firstLine="643" w:firstLineChars="200"/>
        <w:rPr>
          <w:rFonts w:ascii="仿宋_GB2312" w:eastAsia="仿宋_GB2312"/>
          <w:sz w:val="32"/>
          <w:szCs w:val="32"/>
        </w:rPr>
      </w:pPr>
      <w:r>
        <w:rPr>
          <w:rFonts w:hint="eastAsia" w:ascii="楷体_GB2312" w:eastAsia="楷体_GB2312"/>
          <w:b/>
          <w:sz w:val="32"/>
          <w:szCs w:val="32"/>
        </w:rPr>
        <w:t>（一）产品展销，收益丰硕。</w:t>
      </w:r>
      <w:r>
        <w:rPr>
          <w:rFonts w:hint="eastAsia" w:ascii="仿宋_GB2312" w:eastAsia="仿宋_GB2312"/>
          <w:sz w:val="32"/>
          <w:szCs w:val="32"/>
        </w:rPr>
        <w:t xml:space="preserve">州妇联在义乌国际博览会浙江省妇联对口扶贫展示展销区共设立展馆13个，组织13县（市）参展人员117名，共30余家妇女居家灵活就业合作社和企业及吉祥娃娃、羌绣制品、藏织腰带、手工藏香、生态土鸡蛋、牛肉干等2500余件最具特色的妇女居家灵活就业产品参展，13县（市）展馆分别进行了羌绣、藏织、吉祥娃娃制作等非遗活态现场展示，在5天的展示展销活动中发放宣传资料（名片）3661份，达成合作意向168项，建立长期微信客户2000余名，销售产品500余件，价值12万余元。 </w:t>
      </w:r>
    </w:p>
    <w:p w14:paraId="7E4EFFA6">
      <w:pPr>
        <w:spacing w:line="576" w:lineRule="exact"/>
        <w:ind w:firstLine="643" w:firstLineChars="200"/>
        <w:rPr>
          <w:rFonts w:ascii="仿宋_GB2312" w:eastAsia="仿宋_GB2312"/>
          <w:sz w:val="32"/>
          <w:szCs w:val="32"/>
        </w:rPr>
      </w:pPr>
      <w:r>
        <w:rPr>
          <w:rFonts w:hint="eastAsia" w:ascii="楷体_GB2312" w:eastAsia="楷体_GB2312"/>
          <w:b/>
          <w:sz w:val="32"/>
          <w:szCs w:val="32"/>
        </w:rPr>
        <w:t>（二）市场检验，明确方向。</w:t>
      </w:r>
      <w:r>
        <w:rPr>
          <w:rFonts w:hint="eastAsia" w:ascii="仿宋_GB2312" w:eastAsia="仿宋_GB2312"/>
          <w:sz w:val="32"/>
          <w:szCs w:val="32"/>
        </w:rPr>
        <w:t>活动的开展让我州居家灵活就业创业的参展姐妹充分认识了现有妇女居家灵活就业产品的市场适应性。从产品销量看，若尔盖的吉祥娃娃、理县的感恩娃娃销售情况比较理想，因为手工制作、设计新颖、形象可爱，这两种手工制品受到了消费者的亲睐。而比较传统的妇女手工产品如藏族腰带、传统的羌绣产品却有着一定的局限性，市场适应性不好，产品受众度不高。这也让我们的妇女居家灵活就业产品得到了一次来之不易的市场检验机会，让我们的姐妹们更加明确了只有受普通大众欢迎的产品才能够越走越远，才能够在市场上更长久的立足，才能够带来好的收益，也明确了今后产品设计研发制作的方向。</w:t>
      </w:r>
    </w:p>
    <w:p w14:paraId="6839E059">
      <w:pPr>
        <w:spacing w:line="576" w:lineRule="exact"/>
        <w:ind w:firstLine="643" w:firstLineChars="200"/>
        <w:rPr>
          <w:rFonts w:ascii="仿宋_GB2312" w:eastAsia="仿宋_GB2312"/>
          <w:sz w:val="32"/>
          <w:szCs w:val="32"/>
        </w:rPr>
      </w:pPr>
      <w:r>
        <w:rPr>
          <w:rFonts w:hint="eastAsia" w:ascii="楷体_GB2312" w:eastAsia="楷体_GB2312"/>
          <w:b/>
          <w:sz w:val="32"/>
          <w:szCs w:val="32"/>
        </w:rPr>
        <w:t>（三）学习营销，转变理念。</w:t>
      </w:r>
      <w:r>
        <w:rPr>
          <w:rFonts w:hint="eastAsia" w:ascii="仿宋_GB2312" w:eastAsia="仿宋_GB2312"/>
          <w:sz w:val="32"/>
          <w:szCs w:val="32"/>
        </w:rPr>
        <w:t>姐妹们在活动中获得了产品营销的丰富经验。在展示展销活动中，产品的销售量与销售人员的推介有着直接的联系。许多姐妹因为没有参加过类似的展示展销活动，极度缺乏营销经验，即使有好的产品，却因为宣传力度不够，以及守株待兔式的营销方式，而致使销量偏低。而汶川县南林茶业发展有限公司、茂县羌山泉水生态土鸡养殖专业合作社的销售人员，通过现场煮茶、煮鸡蛋，热情推荐介绍产品让顾客免费品尝的方式吸引了大量的中外客商，也促进了产品的销售，获得了较好的销售业绩，据不完全统计汶川县南林茶业发展有限公司现场销售共计6000余元，羌山泉水生态土鸡养殖专业合作社家建立长期微信客户1000多个，现场及网上销售6万元。他们的展位不仅顾客如云，其他县（市）参展商也纷纷前往其展位学习销售经验，他们成为了各县（市）参展姐妹学习的榜样，使大家更明白了营销手段对于产品销售的重要性，进一步转变了营销的理念，为她们今后的产品营销提供了好的范本。</w:t>
      </w:r>
    </w:p>
    <w:p w14:paraId="7A5D2C08">
      <w:pPr>
        <w:spacing w:line="576" w:lineRule="exact"/>
        <w:rPr>
          <w:rFonts w:ascii="仿宋_GB2312" w:eastAsia="仿宋_GB2312"/>
          <w:sz w:val="32"/>
          <w:szCs w:val="32"/>
        </w:rPr>
      </w:pPr>
      <w:r>
        <w:rPr>
          <w:rFonts w:hint="eastAsia" w:ascii="楷体_GB2312" w:eastAsia="楷体_GB2312"/>
          <w:b/>
          <w:sz w:val="32"/>
          <w:szCs w:val="32"/>
        </w:rPr>
        <w:t xml:space="preserve">    （四）产销合作，搭建平台。</w:t>
      </w:r>
      <w:r>
        <w:rPr>
          <w:rFonts w:hint="eastAsia" w:ascii="仿宋_GB2312" w:eastAsia="仿宋_GB2312"/>
          <w:sz w:val="32"/>
          <w:szCs w:val="32"/>
        </w:rPr>
        <w:t>参展姐妹们获得了产销合作的更多机会和平台，这是本次展示展销活动最大的收获，我州多家参展合作社、企业与其他地区参展企业达成了合作意向，为拓宽市场迈出了重要的一步。理县花儿纳吉羌绣合作社与浙江省义乌市万誉电子商务有限公司等4家公司达成了初步合作意向，每个合作意向涉及资金均在10万元以上，目前几家公司与花儿纳吉羌绣合作社正在进一步的洽谈沟通中。若尔盖白河社区的阿坝州唐人坊民俗文旅有限公司与浙江知名企业文博日用品有限公司在展销活动中达成了来料加工合作意向，目前白河社区的姐妹们正在抓紧设计符合文博公司要求的藏族特色芭比娃娃，设计成功后两家公司将进一步商讨具体的合作事宜。茂县兴绣藏羌文化工艺发展有限公司与浙江省义乌市龙祥香包等2家公司初步达成来料加工合作意向，两家公司负责人将亲赴茂县进行实地考察后进一步商讨具体合作事宜。黑水县花地拉木藏织藏绣厂在活动中联系到了制作黑水特色花腰带所需原材料的供应商，使腰带制作成本降低了15到20元，目前所购置的30公斤原材料已被一抢而光，又订购了50公斤原材料。松潘县巧娘藏羌手工刺绣专业合作社、理县</w:t>
      </w:r>
      <w:r>
        <w:rPr>
          <w:rFonts w:hint="eastAsia" w:ascii="宋体" w:hAnsi="宋体" w:cs="宋体"/>
          <w:sz w:val="32"/>
          <w:szCs w:val="32"/>
        </w:rPr>
        <w:t>囍</w:t>
      </w:r>
      <w:r>
        <w:rPr>
          <w:rFonts w:hint="eastAsia" w:ascii="仿宋_GB2312" w:eastAsia="仿宋_GB2312"/>
          <w:sz w:val="32"/>
          <w:szCs w:val="32"/>
        </w:rPr>
        <w:t>悦藏织羌绣专业合作社、壤塘县三郎寺藏香传习所等参展企业与合作社也均与现场部分厂商达成了合作意向。</w:t>
      </w:r>
    </w:p>
    <w:p w14:paraId="6804980B">
      <w:pPr>
        <w:spacing w:line="576" w:lineRule="exact"/>
        <w:ind w:firstLine="643" w:firstLineChars="200"/>
        <w:rPr>
          <w:rFonts w:ascii="仿宋_GB2312" w:eastAsia="仿宋_GB2312"/>
          <w:sz w:val="32"/>
          <w:szCs w:val="32"/>
        </w:rPr>
      </w:pPr>
      <w:r>
        <w:rPr>
          <w:rFonts w:hint="eastAsia" w:ascii="楷体_GB2312" w:eastAsia="楷体_GB2312"/>
          <w:b/>
          <w:sz w:val="32"/>
          <w:szCs w:val="32"/>
        </w:rPr>
        <w:t>（五）文化交流，思想交融。</w:t>
      </w:r>
      <w:r>
        <w:rPr>
          <w:rFonts w:hint="eastAsia" w:ascii="仿宋_GB2312" w:eastAsia="仿宋_GB2312"/>
          <w:sz w:val="32"/>
          <w:szCs w:val="32"/>
        </w:rPr>
        <w:t>在浙江省妇联妇女创新成果推介会——阿坝州妇女居家灵活就业产品推介展示部分，黑水县卡斯达温艺术团、阿坝师范学院的姐妹们对藏族女性服饰黑水花腰带和羌族女性服饰及羌绣进行了推广展示，来自阿坝州13县（市）和阿坝州妇女居家灵活就业基地红原县草原之心艺术团的巾帼志愿者对阿坝州13县（市）女性民族传统服饰和女大学生创业创新带头人色俄初的德戛纳、张居悦的</w:t>
      </w:r>
      <w:r>
        <w:rPr>
          <w:rFonts w:hint="eastAsia" w:ascii="宋体" w:hAnsi="宋体" w:cs="宋体"/>
          <w:sz w:val="32"/>
          <w:szCs w:val="32"/>
        </w:rPr>
        <w:t>囍</w:t>
      </w:r>
      <w:r>
        <w:rPr>
          <w:rFonts w:hint="eastAsia" w:ascii="仿宋_GB2312" w:hAnsi="仿宋_GB2312" w:eastAsia="仿宋_GB2312" w:cs="仿宋_GB2312"/>
          <w:sz w:val="32"/>
          <w:szCs w:val="32"/>
        </w:rPr>
        <w:t>悦、桑吉康珠的塞拉勒、其美旺姆的恩扎莉拉、陈仕江的尔玛的嫁衣等</w:t>
      </w:r>
      <w:r>
        <w:rPr>
          <w:rFonts w:hint="eastAsia" w:ascii="仿宋_GB2312" w:eastAsia="仿宋_GB2312"/>
          <w:sz w:val="32"/>
          <w:szCs w:val="32"/>
        </w:rPr>
        <w:t>5个女性民族服饰原创设计品牌进行了展演，极富民族特色与时尚气息的展演，向来自全球广大参展商、客商和浙江省各级妇联组织的姐妹们展示了阿坝州女性独特的风采，也展示了阿坝姐妹巧手创造的丰硕成果，赢得了现场观众的热烈掌声，成为了推介全场的最大亮点。推介会上，州妇联党组书记、主席向秋杰就近年来阿坝州妇女居家灵活就业产业发展情况和本次活动的目的意义等发表了讲话，阿坝州妇联扶持的巾帼致富带头人</w:t>
      </w:r>
      <w:r>
        <w:rPr>
          <w:rFonts w:hint="eastAsia" w:ascii="宋体"/>
          <w:sz w:val="32"/>
          <w:szCs w:val="32"/>
        </w:rPr>
        <w:t>——</w:t>
      </w:r>
      <w:r>
        <w:rPr>
          <w:rFonts w:hint="eastAsia" w:ascii="仿宋_GB2312" w:eastAsia="仿宋_GB2312"/>
          <w:sz w:val="32"/>
          <w:szCs w:val="32"/>
        </w:rPr>
        <w:t xml:space="preserve">阿坝州若尔盖县白河社区党支部书记、阿坝州唐人坊民俗文旅有限公司董事长张慧玲和阿坝州兴绣藏羌文化工艺发展有限公司李荟分别对本公司的产品进行了展示推介。整个推介环节是阿坝姐妹巧手致富故事的展现，是阿坝姐妹无限风采的绽放，也是阿坝深厚文化魅力的传播，通过推介环节，浙阿姐妹彼此有了更加深刻的认识，不同的地域文化产生了极大的共鸣，为浙阿妇女民族文化交流起到了积极推动作用。 </w:t>
      </w:r>
    </w:p>
    <w:p w14:paraId="0967EA6A">
      <w:pPr>
        <w:spacing w:line="576" w:lineRule="exact"/>
        <w:ind w:firstLine="640" w:firstLineChars="200"/>
        <w:rPr>
          <w:rFonts w:ascii="仿宋_GB2312" w:eastAsia="仿宋_GB2312"/>
          <w:sz w:val="32"/>
          <w:szCs w:val="32"/>
        </w:rPr>
      </w:pPr>
      <w:r>
        <w:rPr>
          <w:rFonts w:hint="eastAsia" w:ascii="仿宋_GB2312" w:eastAsia="仿宋_GB2312"/>
          <w:sz w:val="32"/>
          <w:szCs w:val="32"/>
        </w:rPr>
        <w:t>本次展示展销活动是全州各级妇联组织为居家灵活就业妇女姐妹寻找无限商机、拓宽产品销售市场平台所做的一次大胆尝试，是围绕党政所急、妇女所需而做得一件惠民好事，是结合巾帼脱贫行动、巾帼双创行动、乡村振兴巾帼行动，助力脱贫攻坚、乡村振兴而做的一件民生实事。它真正实现了让姐妹们“走出去长见识、学经验带回来”的目的，帮助她们在获得收入的同时，增长了见识，转变了观念，获得了资源，寻找了商机，拓宽了销路，收获了友谊，加强了学习。使本次参展企业和合作社背后庞大的贫困妇女群体有了持续稳定的收入保障，增强了她们的获得感、存在感和幸福感，增强了她们靠灵巧的双手勤劳致富的信心和决心。活动的开展有力推动了我州妇女居家灵活就业与市场无缝对接，为我州妇女居家灵活就业产业更好更快发展指明了道路，让它以新的方式开启新的征程。</w:t>
      </w:r>
    </w:p>
    <w:p w14:paraId="71F1264E">
      <w:pPr>
        <w:spacing w:line="60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五、问题和建议</w:t>
      </w:r>
    </w:p>
    <w:p w14:paraId="26BA37B0">
      <w:pPr>
        <w:spacing w:line="560" w:lineRule="exact"/>
        <w:ind w:firstLine="640" w:firstLineChars="200"/>
        <w:rPr>
          <w:rFonts w:ascii="仿宋_GB2312" w:eastAsia="仿宋_GB2312"/>
          <w:sz w:val="32"/>
          <w:szCs w:val="32"/>
        </w:rPr>
      </w:pPr>
      <w:r>
        <w:rPr>
          <w:rFonts w:hint="eastAsia" w:ascii="仿宋_GB2312" w:eastAsia="仿宋_GB2312"/>
          <w:sz w:val="32"/>
          <w:szCs w:val="32"/>
        </w:rPr>
        <w:t>2019年90万元妇女儿童专项资金项目的实施，真正在提升妇女姐妹手工编织技能、开阔视野、拓宽销售渠道、增强致富信心上起到了积极的作用，提升了各级妇联组织在群众的凝聚力和公信力，更实实在在帮助姐妹们足不出户增收致富，项目经费用到了实处，取得了实效。阿坝州妇联将继续用好管好每一分资金，做好做实每一项工作，争取更多的资金支持，带动更多的妇女姐妹投身“巾帼脱贫行动”、“乡村振兴巾帼行动”、“创业创新巾帼行动”，积极为阿坝州脱贫攻坚、“一州两区三家园”建设贡献更多的巾帼力量！</w:t>
      </w:r>
    </w:p>
    <w:p w14:paraId="383313C5">
      <w:pPr>
        <w:adjustRightInd w:val="0"/>
        <w:snapToGrid w:val="0"/>
        <w:spacing w:line="600" w:lineRule="exact"/>
        <w:ind w:firstLine="720"/>
        <w:rPr>
          <w:rFonts w:ascii="仿宋" w:hAnsi="仿宋" w:eastAsia="仿宋" w:cs="仿宋_GB2312"/>
          <w:sz w:val="32"/>
          <w:szCs w:val="32"/>
        </w:rPr>
      </w:pPr>
    </w:p>
    <w:p w14:paraId="16E78CA3">
      <w:pPr>
        <w:adjustRightInd w:val="0"/>
        <w:snapToGrid w:val="0"/>
        <w:spacing w:line="600" w:lineRule="exact"/>
        <w:ind w:firstLine="720"/>
        <w:jc w:val="center"/>
        <w:rPr>
          <w:rFonts w:ascii="方正小标宋简体" w:hAnsi="华文中宋" w:eastAsia="方正小标宋简体" w:cs="华文中宋"/>
          <w:sz w:val="44"/>
          <w:szCs w:val="44"/>
        </w:rPr>
      </w:pPr>
      <w:r>
        <w:rPr>
          <w:rFonts w:hint="eastAsia" w:ascii="方正小标宋简体" w:hAnsi="华文中宋" w:eastAsia="方正小标宋简体" w:cs="华文中宋"/>
          <w:sz w:val="44"/>
          <w:szCs w:val="44"/>
        </w:rPr>
        <w:t>妇女微家项目绩效评价报告</w:t>
      </w:r>
    </w:p>
    <w:p w14:paraId="3550C951">
      <w:pPr>
        <w:adjustRightInd w:val="0"/>
        <w:snapToGrid w:val="0"/>
        <w:spacing w:line="600" w:lineRule="exact"/>
        <w:ind w:firstLine="720"/>
        <w:jc w:val="center"/>
        <w:rPr>
          <w:rFonts w:ascii="方正小标宋简体" w:hAnsi="华文中宋" w:eastAsia="方正小标宋简体" w:cs="华文中宋"/>
          <w:sz w:val="44"/>
          <w:szCs w:val="44"/>
        </w:rPr>
      </w:pPr>
    </w:p>
    <w:p w14:paraId="2C3E6FFD">
      <w:pPr>
        <w:pStyle w:val="3"/>
        <w:adjustRightInd w:val="0"/>
        <w:snapToGrid w:val="0"/>
        <w:spacing w:before="0" w:after="0" w:line="360" w:lineRule="auto"/>
        <w:rPr>
          <w:rFonts w:ascii="楷体_GB2312"/>
        </w:rPr>
      </w:pPr>
      <w:bookmarkStart w:id="59" w:name="_Toc10624069"/>
      <w:r>
        <w:rPr>
          <w:rFonts w:hint="eastAsia" w:ascii="楷体_GB2312"/>
        </w:rPr>
        <w:t>（一）项目概况</w:t>
      </w:r>
      <w:bookmarkEnd w:id="59"/>
    </w:p>
    <w:p w14:paraId="208932FD">
      <w:pPr>
        <w:adjustRightInd w:val="0"/>
        <w:snapToGrid w:val="0"/>
        <w:spacing w:line="360" w:lineRule="auto"/>
        <w:ind w:firstLine="640" w:firstLineChars="200"/>
        <w:rPr>
          <w:rFonts w:ascii="仿宋_GB2312" w:hAnsi="宋体" w:eastAsia="仿宋_GB2312" w:cs="宋体"/>
          <w:kern w:val="0"/>
          <w:sz w:val="32"/>
          <w:szCs w:val="32"/>
        </w:rPr>
      </w:pPr>
      <w:bookmarkStart w:id="60" w:name="_Hlk6931087"/>
      <w:r>
        <w:rPr>
          <w:rFonts w:hint="eastAsia" w:ascii="仿宋_GB2312" w:hAnsi="宋体" w:eastAsia="仿宋_GB2312" w:cs="宋体"/>
          <w:kern w:val="0"/>
          <w:sz w:val="32"/>
          <w:szCs w:val="32"/>
        </w:rPr>
        <w:t>2019年度四川省妇女儿童事业发展专项资金“妇女微家”项目</w:t>
      </w:r>
      <w:bookmarkEnd w:id="60"/>
      <w:r>
        <w:rPr>
          <w:rFonts w:hint="eastAsia" w:ascii="仿宋_GB2312" w:hAnsi="宋体" w:eastAsia="仿宋_GB2312" w:cs="宋体"/>
          <w:kern w:val="0"/>
          <w:sz w:val="32"/>
          <w:szCs w:val="32"/>
        </w:rPr>
        <w:t>的实施单位是阿坝州妇联，实施内容包括：在妇女群众集中的新领域、新业态、新阶层、新群体中建立“妇女微家”1个。结合不同行业领域特色，组织微家成员开展线上线下宣讲、培训等各类活动不少于6次；开展妇女儿童服务类活动不少于6次，服务妇女儿童不少于700人次。</w:t>
      </w:r>
    </w:p>
    <w:p w14:paraId="465C3511">
      <w:pPr>
        <w:pStyle w:val="3"/>
        <w:adjustRightInd w:val="0"/>
        <w:snapToGrid w:val="0"/>
        <w:spacing w:before="0" w:after="0" w:line="360" w:lineRule="auto"/>
        <w:ind w:firstLine="565" w:firstLineChars="176"/>
        <w:rPr>
          <w:rFonts w:ascii="仿宋_GB2312" w:hAnsi="宋体" w:eastAsia="仿宋_GB2312" w:cs="宋体"/>
          <w:kern w:val="0"/>
          <w:lang w:val="zh-CN"/>
        </w:rPr>
      </w:pPr>
      <w:bookmarkStart w:id="61" w:name="_Toc10624070"/>
      <w:r>
        <w:rPr>
          <w:rFonts w:hint="eastAsia" w:ascii="楷体_GB2312"/>
        </w:rPr>
        <w:t>（二）项目立项依据、资金申报情况</w:t>
      </w:r>
      <w:bookmarkEnd w:id="61"/>
    </w:p>
    <w:p w14:paraId="3E657CD7">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阿坝州妇联按照四川省妇女联合会《关于申报2019年度四川省妇女儿童事业发展专项资金的通知》（川妇知[2018]85号）的要求，向四川省妇女联合会提交了“妇女微家”项目《2019年妇儿专项项目申报表》申报立项。</w:t>
      </w:r>
    </w:p>
    <w:p w14:paraId="0F1420C1">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2019年2月20日，四川省妇女联合会发布《关于2019年年四川省妇女儿童事业发展专项资金下达及项目实施的通知》（川妇知〔2019〕16号），通知列示：阿坝州妇联“妇女微家”建设项目专项资金7万元。</w:t>
      </w:r>
    </w:p>
    <w:p w14:paraId="42EA31D8">
      <w:pPr>
        <w:pStyle w:val="3"/>
        <w:adjustRightInd w:val="0"/>
        <w:snapToGrid w:val="0"/>
        <w:spacing w:before="0" w:after="0" w:line="360" w:lineRule="auto"/>
        <w:ind w:firstLine="565" w:firstLineChars="176"/>
        <w:rPr>
          <w:rFonts w:ascii="仿宋_GB2312" w:hAnsi="宋体" w:eastAsia="仿宋_GB2312" w:cs="宋体"/>
          <w:kern w:val="0"/>
        </w:rPr>
      </w:pPr>
      <w:bookmarkStart w:id="62" w:name="_Toc10624071"/>
      <w:r>
        <w:rPr>
          <w:rFonts w:hint="eastAsia" w:ascii="楷体_GB2312"/>
        </w:rPr>
        <w:t>（三）项目绩效目标</w:t>
      </w:r>
      <w:bookmarkEnd w:id="62"/>
    </w:p>
    <w:p w14:paraId="6FA6D1FB">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在妇女群众集中的新领域、新业态、新阶层、新群体中建立“妇女微家”1个。结合不同行业领域特色，组织微家成员开展线上线下宣讲、培训等各类活动不少于6次；开展妇女儿童服务类活动不少于6次，服务妇女儿童不少于700人次。通过项目的落地实施，使妇女微家成为妇联组织宣传党的路线方针政策的阵地，联络各族各界优秀妇女的枢纽，服务妇女群众的窗口，引领妇女思想的课堂。</w:t>
      </w:r>
    </w:p>
    <w:p w14:paraId="141DC033">
      <w:pPr>
        <w:pStyle w:val="3"/>
        <w:adjustRightInd w:val="0"/>
        <w:snapToGrid w:val="0"/>
        <w:spacing w:before="0" w:after="0" w:line="360" w:lineRule="auto"/>
        <w:ind w:firstLine="565" w:firstLineChars="176"/>
        <w:rPr>
          <w:rFonts w:ascii="楷体_GB2312"/>
        </w:rPr>
      </w:pPr>
      <w:bookmarkStart w:id="63" w:name="_Toc10624072"/>
      <w:bookmarkStart w:id="64" w:name="_Toc9865187"/>
      <w:r>
        <w:rPr>
          <w:rFonts w:hint="eastAsia" w:ascii="楷体_GB2312"/>
        </w:rPr>
        <w:t>（四）资金计划、到位及使用情况</w:t>
      </w:r>
      <w:bookmarkEnd w:id="63"/>
      <w:bookmarkEnd w:id="64"/>
    </w:p>
    <w:p w14:paraId="4AA68F53">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1.资金计划</w:t>
      </w:r>
    </w:p>
    <w:p w14:paraId="41A5D571">
      <w:pPr>
        <w:adjustRightInd w:val="0"/>
        <w:snapToGrid w:val="0"/>
        <w:spacing w:line="360" w:lineRule="auto"/>
        <w:ind w:firstLine="640" w:firstLineChars="200"/>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rPr>
        <w:t>2019年2月20日，四川省妇女联合会发布《关于2019年年四川省妇女儿童事业发展专项资金下达及项目实施的通知》（川妇知〔2019〕16号），阿坝州妇联“妇女微家”资金共计7.00万元。</w:t>
      </w:r>
    </w:p>
    <w:p w14:paraId="0A3D63F1">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2.资金到位</w:t>
      </w:r>
    </w:p>
    <w:p w14:paraId="3FEE67E0">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截止评价报告日，阿坝州妇联收到“妇女微家”项目拨款7.00万元。</w:t>
      </w:r>
    </w:p>
    <w:p w14:paraId="7070E881">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3.资金使用</w:t>
      </w:r>
    </w:p>
    <w:p w14:paraId="25007EDD">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阿坝州妇联“妇女微家”项目资金具体实施内容包括：</w:t>
      </w:r>
    </w:p>
    <w:p w14:paraId="3764D11E">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单位：人民币元</w:t>
      </w:r>
    </w:p>
    <w:tbl>
      <w:tblPr>
        <w:tblStyle w:val="1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638"/>
        <w:gridCol w:w="4126"/>
        <w:gridCol w:w="1663"/>
        <w:gridCol w:w="1920"/>
      </w:tblGrid>
      <w:tr w14:paraId="1014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3" w:hRule="atLeast"/>
        </w:trPr>
        <w:tc>
          <w:tcPr>
            <w:tcW w:w="382" w:type="pct"/>
            <w:vAlign w:val="center"/>
          </w:tcPr>
          <w:p w14:paraId="41E9B678">
            <w:pPr>
              <w:pStyle w:val="8"/>
              <w:overflowPunct w:val="0"/>
              <w:adjustRightInd w:val="0"/>
              <w:snapToGrid w:val="0"/>
              <w:spacing w:after="0" w:line="240" w:lineRule="auto"/>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序号</w:t>
            </w:r>
          </w:p>
        </w:tc>
        <w:tc>
          <w:tcPr>
            <w:tcW w:w="2471" w:type="pct"/>
            <w:vAlign w:val="center"/>
          </w:tcPr>
          <w:p w14:paraId="6C321CAC">
            <w:pPr>
              <w:pStyle w:val="8"/>
              <w:overflowPunct w:val="0"/>
              <w:adjustRightInd w:val="0"/>
              <w:snapToGrid w:val="0"/>
              <w:spacing w:after="0" w:line="240" w:lineRule="auto"/>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实施内容</w:t>
            </w:r>
          </w:p>
        </w:tc>
        <w:tc>
          <w:tcPr>
            <w:tcW w:w="996" w:type="pct"/>
            <w:vAlign w:val="center"/>
          </w:tcPr>
          <w:p w14:paraId="135035B8">
            <w:pPr>
              <w:pStyle w:val="8"/>
              <w:overflowPunct w:val="0"/>
              <w:adjustRightInd w:val="0"/>
              <w:snapToGrid w:val="0"/>
              <w:spacing w:after="0" w:line="240" w:lineRule="auto"/>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金额</w:t>
            </w:r>
          </w:p>
        </w:tc>
        <w:tc>
          <w:tcPr>
            <w:tcW w:w="1150" w:type="pct"/>
            <w:vAlign w:val="center"/>
          </w:tcPr>
          <w:p w14:paraId="2DE12CBA">
            <w:pPr>
              <w:pStyle w:val="8"/>
              <w:overflowPunct w:val="0"/>
              <w:adjustRightInd w:val="0"/>
              <w:snapToGrid w:val="0"/>
              <w:spacing w:after="0" w:line="240" w:lineRule="auto"/>
              <w:ind w:left="0" w:leftChars="0"/>
              <w:jc w:val="center"/>
              <w:rPr>
                <w:rFonts w:ascii="仿宋_GB2312" w:hAnsi="宋体" w:eastAsia="仿宋_GB2312" w:cs="宋体"/>
                <w:kern w:val="0"/>
                <w:sz w:val="30"/>
                <w:szCs w:val="30"/>
              </w:rPr>
            </w:pPr>
            <w:r>
              <w:rPr>
                <w:rFonts w:hint="eastAsia" w:ascii="仿宋_GB2312" w:hAnsi="宋体" w:eastAsia="仿宋_GB2312" w:cs="宋体"/>
                <w:kern w:val="0"/>
                <w:sz w:val="30"/>
                <w:szCs w:val="30"/>
              </w:rPr>
              <w:t>资金支付情况</w:t>
            </w:r>
          </w:p>
        </w:tc>
      </w:tr>
      <w:tr w14:paraId="7C5CB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3" w:hRule="atLeast"/>
        </w:trPr>
        <w:tc>
          <w:tcPr>
            <w:tcW w:w="382" w:type="pct"/>
            <w:vAlign w:val="center"/>
          </w:tcPr>
          <w:p w14:paraId="2E242B3F">
            <w:pPr>
              <w:pStyle w:val="8"/>
              <w:overflowPunct w:val="0"/>
              <w:adjustRightInd w:val="0"/>
              <w:snapToGrid w:val="0"/>
              <w:spacing w:after="0" w:line="240" w:lineRule="auto"/>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1</w:t>
            </w:r>
          </w:p>
        </w:tc>
        <w:tc>
          <w:tcPr>
            <w:tcW w:w="2471" w:type="pct"/>
            <w:vAlign w:val="center"/>
          </w:tcPr>
          <w:p w14:paraId="42C60E69">
            <w:pPr>
              <w:pStyle w:val="8"/>
              <w:overflowPunct w:val="0"/>
              <w:adjustRightInd w:val="0"/>
              <w:snapToGrid w:val="0"/>
              <w:spacing w:after="0" w:line="240" w:lineRule="auto"/>
              <w:ind w:left="0" w:leftChars="0"/>
              <w:jc w:val="left"/>
              <w:rPr>
                <w:rFonts w:ascii="仿宋_GB2312" w:hAnsi="宋体" w:eastAsia="仿宋_GB2312" w:cs="宋体"/>
                <w:kern w:val="0"/>
                <w:sz w:val="30"/>
                <w:szCs w:val="30"/>
              </w:rPr>
            </w:pPr>
            <w:r>
              <w:rPr>
                <w:rFonts w:hint="eastAsia" w:ascii="仿宋_GB2312" w:hAnsi="宋体" w:eastAsia="仿宋_GB2312" w:cs="宋体"/>
                <w:kern w:val="0"/>
                <w:sz w:val="30"/>
                <w:szCs w:val="30"/>
              </w:rPr>
              <w:t>妇女微家建设</w:t>
            </w:r>
          </w:p>
        </w:tc>
        <w:tc>
          <w:tcPr>
            <w:tcW w:w="996" w:type="pct"/>
            <w:vAlign w:val="center"/>
          </w:tcPr>
          <w:p w14:paraId="455F1DE6">
            <w:pPr>
              <w:pStyle w:val="8"/>
              <w:overflowPunct w:val="0"/>
              <w:adjustRightInd w:val="0"/>
              <w:snapToGrid w:val="0"/>
              <w:spacing w:after="0" w:line="240" w:lineRule="auto"/>
              <w:ind w:left="0" w:leftChars="0"/>
              <w:jc w:val="right"/>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6</w:t>
            </w:r>
            <w:r>
              <w:rPr>
                <w:rFonts w:hint="eastAsia" w:ascii="仿宋_GB2312" w:hAnsi="宋体" w:eastAsia="仿宋_GB2312" w:cs="宋体"/>
                <w:kern w:val="0"/>
                <w:sz w:val="30"/>
                <w:szCs w:val="30"/>
              </w:rPr>
              <w:t>1</w:t>
            </w:r>
            <w:r>
              <w:rPr>
                <w:rFonts w:ascii="仿宋_GB2312" w:hAnsi="宋体" w:eastAsia="仿宋_GB2312" w:cs="宋体"/>
                <w:kern w:val="0"/>
                <w:sz w:val="30"/>
                <w:szCs w:val="30"/>
                <w:lang w:val="zh-CN"/>
              </w:rPr>
              <w:t>,</w:t>
            </w:r>
            <w:r>
              <w:rPr>
                <w:rFonts w:hint="eastAsia" w:ascii="仿宋_GB2312" w:hAnsi="宋体" w:eastAsia="仿宋_GB2312" w:cs="宋体"/>
                <w:kern w:val="0"/>
                <w:sz w:val="30"/>
                <w:szCs w:val="30"/>
              </w:rPr>
              <w:t>6</w:t>
            </w:r>
            <w:r>
              <w:rPr>
                <w:rFonts w:hint="eastAsia" w:ascii="仿宋_GB2312" w:hAnsi="宋体" w:eastAsia="仿宋_GB2312" w:cs="宋体"/>
                <w:kern w:val="0"/>
                <w:sz w:val="30"/>
                <w:szCs w:val="30"/>
                <w:lang w:val="zh-CN"/>
              </w:rPr>
              <w:t>00.00</w:t>
            </w:r>
          </w:p>
        </w:tc>
        <w:tc>
          <w:tcPr>
            <w:tcW w:w="1150" w:type="pct"/>
            <w:vAlign w:val="center"/>
          </w:tcPr>
          <w:p w14:paraId="11061138">
            <w:pPr>
              <w:pStyle w:val="8"/>
              <w:overflowPunct w:val="0"/>
              <w:adjustRightInd w:val="0"/>
              <w:snapToGrid w:val="0"/>
              <w:spacing w:after="0" w:line="240" w:lineRule="auto"/>
              <w:ind w:left="0" w:leftChars="0"/>
              <w:jc w:val="center"/>
              <w:rPr>
                <w:rFonts w:ascii="仿宋_GB2312" w:hAnsi="宋体" w:eastAsia="仿宋_GB2312" w:cs="宋体"/>
                <w:kern w:val="0"/>
                <w:sz w:val="30"/>
                <w:szCs w:val="30"/>
              </w:rPr>
            </w:pPr>
            <w:r>
              <w:rPr>
                <w:rFonts w:hint="eastAsia" w:ascii="仿宋_GB2312" w:hAnsi="宋体" w:eastAsia="仿宋_GB2312" w:cs="宋体"/>
                <w:kern w:val="0"/>
                <w:sz w:val="30"/>
                <w:szCs w:val="30"/>
              </w:rPr>
              <w:t>已支付</w:t>
            </w:r>
          </w:p>
        </w:tc>
      </w:tr>
      <w:tr w14:paraId="0C35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3" w:hRule="atLeast"/>
        </w:trPr>
        <w:tc>
          <w:tcPr>
            <w:tcW w:w="382" w:type="pct"/>
            <w:vAlign w:val="center"/>
          </w:tcPr>
          <w:p w14:paraId="635323F5">
            <w:pPr>
              <w:pStyle w:val="8"/>
              <w:overflowPunct w:val="0"/>
              <w:adjustRightInd w:val="0"/>
              <w:snapToGrid w:val="0"/>
              <w:spacing w:after="0" w:line="240" w:lineRule="auto"/>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2</w:t>
            </w:r>
          </w:p>
        </w:tc>
        <w:tc>
          <w:tcPr>
            <w:tcW w:w="2471" w:type="pct"/>
            <w:vAlign w:val="center"/>
          </w:tcPr>
          <w:p w14:paraId="028CF88E">
            <w:pPr>
              <w:pStyle w:val="8"/>
              <w:overflowPunct w:val="0"/>
              <w:adjustRightInd w:val="0"/>
              <w:snapToGrid w:val="0"/>
              <w:spacing w:after="0" w:line="240" w:lineRule="auto"/>
              <w:ind w:left="0" w:leftChars="0"/>
              <w:jc w:val="left"/>
              <w:rPr>
                <w:rFonts w:ascii="仿宋_GB2312" w:hAnsi="宋体" w:eastAsia="仿宋_GB2312" w:cs="宋体"/>
                <w:kern w:val="0"/>
                <w:sz w:val="30"/>
                <w:szCs w:val="30"/>
              </w:rPr>
            </w:pPr>
            <w:r>
              <w:rPr>
                <w:rFonts w:hint="eastAsia" w:ascii="仿宋_GB2312" w:hAnsi="宋体" w:eastAsia="仿宋_GB2312" w:cs="宋体"/>
                <w:kern w:val="0"/>
                <w:sz w:val="30"/>
                <w:szCs w:val="30"/>
                <w:lang w:val="zh-CN"/>
              </w:rPr>
              <w:t>“</w:t>
            </w:r>
            <w:r>
              <w:rPr>
                <w:rFonts w:hint="eastAsia" w:ascii="仿宋_GB2312" w:hAnsi="宋体" w:eastAsia="仿宋_GB2312" w:cs="宋体"/>
                <w:kern w:val="0"/>
                <w:sz w:val="30"/>
                <w:szCs w:val="30"/>
              </w:rPr>
              <w:t>妇女微家”网络平台技术服务</w:t>
            </w:r>
          </w:p>
        </w:tc>
        <w:tc>
          <w:tcPr>
            <w:tcW w:w="996" w:type="pct"/>
            <w:vAlign w:val="center"/>
          </w:tcPr>
          <w:p w14:paraId="3A635A42">
            <w:pPr>
              <w:pStyle w:val="8"/>
              <w:overflowPunct w:val="0"/>
              <w:adjustRightInd w:val="0"/>
              <w:snapToGrid w:val="0"/>
              <w:spacing w:after="0" w:line="240" w:lineRule="auto"/>
              <w:ind w:left="0" w:leftChars="0"/>
              <w:jc w:val="right"/>
              <w:rPr>
                <w:rFonts w:ascii="仿宋_GB2312" w:hAnsi="宋体" w:eastAsia="仿宋_GB2312" w:cs="宋体"/>
                <w:kern w:val="0"/>
                <w:sz w:val="30"/>
                <w:szCs w:val="30"/>
              </w:rPr>
            </w:pPr>
            <w:r>
              <w:rPr>
                <w:rFonts w:hint="eastAsia" w:ascii="仿宋_GB2312" w:hAnsi="宋体" w:eastAsia="仿宋_GB2312" w:cs="宋体"/>
                <w:kern w:val="0"/>
                <w:sz w:val="30"/>
                <w:szCs w:val="30"/>
              </w:rPr>
              <w:t>7</w:t>
            </w:r>
            <w:r>
              <w:rPr>
                <w:rFonts w:ascii="仿宋_GB2312" w:hAnsi="宋体" w:eastAsia="仿宋_GB2312" w:cs="宋体"/>
                <w:kern w:val="0"/>
                <w:sz w:val="30"/>
                <w:szCs w:val="30"/>
                <w:lang w:val="zh-CN"/>
              </w:rPr>
              <w:t>,</w:t>
            </w:r>
            <w:r>
              <w:rPr>
                <w:rFonts w:hint="eastAsia" w:ascii="仿宋_GB2312" w:hAnsi="宋体" w:eastAsia="仿宋_GB2312" w:cs="宋体"/>
                <w:kern w:val="0"/>
                <w:sz w:val="30"/>
                <w:szCs w:val="30"/>
                <w:lang w:val="zh-CN"/>
              </w:rPr>
              <w:t>000.00</w:t>
            </w:r>
          </w:p>
        </w:tc>
        <w:tc>
          <w:tcPr>
            <w:tcW w:w="1150" w:type="pct"/>
            <w:vAlign w:val="center"/>
          </w:tcPr>
          <w:p w14:paraId="4DBAB405">
            <w:pPr>
              <w:pStyle w:val="8"/>
              <w:overflowPunct w:val="0"/>
              <w:adjustRightInd w:val="0"/>
              <w:snapToGrid w:val="0"/>
              <w:spacing w:after="0" w:line="240" w:lineRule="auto"/>
              <w:ind w:left="0" w:leftChars="0"/>
              <w:jc w:val="center"/>
              <w:rPr>
                <w:rFonts w:ascii="仿宋_GB2312" w:hAnsi="宋体" w:eastAsia="仿宋_GB2312" w:cs="宋体"/>
                <w:kern w:val="0"/>
                <w:sz w:val="30"/>
                <w:szCs w:val="30"/>
              </w:rPr>
            </w:pPr>
            <w:r>
              <w:rPr>
                <w:rFonts w:hint="eastAsia" w:ascii="仿宋_GB2312" w:hAnsi="宋体" w:eastAsia="仿宋_GB2312" w:cs="宋体"/>
                <w:kern w:val="0"/>
                <w:sz w:val="30"/>
                <w:szCs w:val="30"/>
              </w:rPr>
              <w:t>已支付</w:t>
            </w:r>
          </w:p>
        </w:tc>
      </w:tr>
      <w:tr w14:paraId="753C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3" w:hRule="atLeast"/>
        </w:trPr>
        <w:tc>
          <w:tcPr>
            <w:tcW w:w="382" w:type="pct"/>
            <w:vAlign w:val="center"/>
          </w:tcPr>
          <w:p w14:paraId="0B259C9B">
            <w:pPr>
              <w:pStyle w:val="8"/>
              <w:overflowPunct w:val="0"/>
              <w:adjustRightInd w:val="0"/>
              <w:snapToGrid w:val="0"/>
              <w:spacing w:after="0" w:line="240" w:lineRule="auto"/>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3</w:t>
            </w:r>
          </w:p>
        </w:tc>
        <w:tc>
          <w:tcPr>
            <w:tcW w:w="2471" w:type="pct"/>
            <w:vAlign w:val="center"/>
          </w:tcPr>
          <w:p w14:paraId="5F2FFB3C">
            <w:pPr>
              <w:pStyle w:val="8"/>
              <w:overflowPunct w:val="0"/>
              <w:adjustRightInd w:val="0"/>
              <w:snapToGrid w:val="0"/>
              <w:spacing w:after="0" w:line="240" w:lineRule="auto"/>
              <w:ind w:left="0" w:leftChars="0"/>
              <w:jc w:val="left"/>
              <w:rPr>
                <w:rFonts w:ascii="仿宋_GB2312" w:hAnsi="宋体" w:eastAsia="仿宋_GB2312" w:cs="宋体"/>
                <w:kern w:val="0"/>
                <w:sz w:val="30"/>
                <w:szCs w:val="30"/>
                <w:lang w:val="zh-CN"/>
              </w:rPr>
            </w:pPr>
            <w:r>
              <w:rPr>
                <w:rFonts w:hint="eastAsia" w:ascii="仿宋_GB2312" w:hAnsi="宋体" w:eastAsia="仿宋_GB2312" w:cs="宋体"/>
                <w:kern w:val="0"/>
                <w:sz w:val="30"/>
                <w:szCs w:val="30"/>
              </w:rPr>
              <w:t>绩效评价</w:t>
            </w:r>
            <w:r>
              <w:rPr>
                <w:rFonts w:hint="eastAsia" w:ascii="仿宋_GB2312" w:hAnsi="宋体" w:eastAsia="仿宋_GB2312" w:cs="宋体"/>
                <w:kern w:val="0"/>
                <w:sz w:val="30"/>
                <w:szCs w:val="30"/>
                <w:lang w:val="zh-CN"/>
              </w:rPr>
              <w:t>费</w:t>
            </w:r>
          </w:p>
        </w:tc>
        <w:tc>
          <w:tcPr>
            <w:tcW w:w="996" w:type="pct"/>
            <w:vAlign w:val="center"/>
          </w:tcPr>
          <w:p w14:paraId="0669C768">
            <w:pPr>
              <w:pStyle w:val="8"/>
              <w:overflowPunct w:val="0"/>
              <w:adjustRightInd w:val="0"/>
              <w:snapToGrid w:val="0"/>
              <w:spacing w:after="0" w:line="240" w:lineRule="auto"/>
              <w:ind w:left="0" w:leftChars="0"/>
              <w:jc w:val="right"/>
              <w:rPr>
                <w:rFonts w:ascii="仿宋_GB2312" w:hAnsi="宋体" w:eastAsia="仿宋_GB2312" w:cs="宋体"/>
                <w:kern w:val="0"/>
                <w:sz w:val="30"/>
                <w:szCs w:val="30"/>
              </w:rPr>
            </w:pPr>
            <w:r>
              <w:rPr>
                <w:rFonts w:hint="eastAsia" w:ascii="仿宋_GB2312" w:hAnsi="宋体" w:eastAsia="仿宋_GB2312" w:cs="宋体"/>
                <w:kern w:val="0"/>
                <w:sz w:val="30"/>
                <w:szCs w:val="30"/>
              </w:rPr>
              <w:t>1,40</w:t>
            </w:r>
            <w:r>
              <w:rPr>
                <w:rFonts w:hint="eastAsia" w:ascii="仿宋_GB2312" w:hAnsi="宋体" w:eastAsia="仿宋_GB2312" w:cs="宋体"/>
                <w:kern w:val="0"/>
                <w:sz w:val="30"/>
                <w:szCs w:val="30"/>
                <w:lang w:val="zh-CN"/>
              </w:rPr>
              <w:t>0.00</w:t>
            </w:r>
          </w:p>
        </w:tc>
        <w:tc>
          <w:tcPr>
            <w:tcW w:w="1150" w:type="pct"/>
            <w:vAlign w:val="center"/>
          </w:tcPr>
          <w:p w14:paraId="7E3B53E7">
            <w:pPr>
              <w:pStyle w:val="8"/>
              <w:overflowPunct w:val="0"/>
              <w:adjustRightInd w:val="0"/>
              <w:snapToGrid w:val="0"/>
              <w:spacing w:after="0" w:line="240" w:lineRule="auto"/>
              <w:ind w:left="0" w:leftChars="0"/>
              <w:jc w:val="center"/>
              <w:rPr>
                <w:rFonts w:ascii="仿宋_GB2312" w:hAnsi="宋体" w:eastAsia="仿宋_GB2312" w:cs="宋体"/>
                <w:kern w:val="0"/>
                <w:sz w:val="30"/>
                <w:szCs w:val="30"/>
              </w:rPr>
            </w:pPr>
            <w:r>
              <w:rPr>
                <w:rFonts w:hint="eastAsia" w:ascii="仿宋_GB2312" w:hAnsi="宋体" w:eastAsia="仿宋_GB2312" w:cs="宋体"/>
                <w:kern w:val="0"/>
                <w:sz w:val="30"/>
                <w:szCs w:val="30"/>
              </w:rPr>
              <w:t>未支付</w:t>
            </w:r>
          </w:p>
        </w:tc>
      </w:tr>
      <w:tr w14:paraId="1C40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59" w:hRule="atLeast"/>
        </w:trPr>
        <w:tc>
          <w:tcPr>
            <w:tcW w:w="2853" w:type="pct"/>
            <w:gridSpan w:val="2"/>
            <w:vAlign w:val="center"/>
          </w:tcPr>
          <w:p w14:paraId="581BE726">
            <w:pPr>
              <w:pStyle w:val="8"/>
              <w:overflowPunct w:val="0"/>
              <w:adjustRightInd w:val="0"/>
              <w:snapToGrid w:val="0"/>
              <w:spacing w:after="0" w:line="240" w:lineRule="auto"/>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合计</w:t>
            </w:r>
          </w:p>
        </w:tc>
        <w:tc>
          <w:tcPr>
            <w:tcW w:w="996" w:type="pct"/>
            <w:vAlign w:val="center"/>
          </w:tcPr>
          <w:p w14:paraId="5AC57450">
            <w:pPr>
              <w:pStyle w:val="8"/>
              <w:overflowPunct w:val="0"/>
              <w:adjustRightInd w:val="0"/>
              <w:snapToGrid w:val="0"/>
              <w:spacing w:after="0" w:line="240" w:lineRule="auto"/>
              <w:ind w:left="0" w:leftChars="0"/>
              <w:jc w:val="right"/>
              <w:rPr>
                <w:rFonts w:ascii="仿宋_GB2312" w:hAnsi="宋体" w:eastAsia="仿宋_GB2312" w:cs="宋体"/>
                <w:kern w:val="0"/>
                <w:sz w:val="30"/>
                <w:szCs w:val="30"/>
              </w:rPr>
            </w:pPr>
            <w:r>
              <w:rPr>
                <w:rFonts w:ascii="仿宋_GB2312" w:hAnsi="宋体" w:eastAsia="仿宋_GB2312" w:cs="宋体"/>
                <w:kern w:val="0"/>
                <w:sz w:val="30"/>
                <w:szCs w:val="30"/>
              </w:rPr>
              <w:fldChar w:fldCharType="begin"/>
            </w:r>
            <w:r>
              <w:rPr>
                <w:rFonts w:ascii="仿宋_GB2312" w:hAnsi="宋体" w:eastAsia="仿宋_GB2312" w:cs="宋体"/>
                <w:kern w:val="0"/>
                <w:sz w:val="30"/>
                <w:szCs w:val="30"/>
              </w:rPr>
              <w:instrText xml:space="preserve"> =sum(above) \# "#,##0.00" \* MERGEFORMAT </w:instrText>
            </w:r>
            <w:r>
              <w:rPr>
                <w:rFonts w:ascii="仿宋_GB2312" w:hAnsi="宋体" w:eastAsia="仿宋_GB2312" w:cs="宋体"/>
                <w:kern w:val="0"/>
                <w:sz w:val="30"/>
                <w:szCs w:val="30"/>
              </w:rPr>
              <w:fldChar w:fldCharType="separate"/>
            </w:r>
            <w:r>
              <w:rPr>
                <w:rFonts w:hint="eastAsia" w:ascii="仿宋_GB2312" w:hAnsi="宋体" w:eastAsia="仿宋_GB2312" w:cs="宋体"/>
                <w:kern w:val="0"/>
                <w:sz w:val="30"/>
                <w:szCs w:val="30"/>
              </w:rPr>
              <w:t>70,000.00</w:t>
            </w:r>
            <w:r>
              <w:rPr>
                <w:rFonts w:ascii="仿宋_GB2312" w:hAnsi="宋体" w:eastAsia="仿宋_GB2312" w:cs="宋体"/>
                <w:kern w:val="0"/>
                <w:sz w:val="30"/>
                <w:szCs w:val="30"/>
              </w:rPr>
              <w:fldChar w:fldCharType="end"/>
            </w:r>
          </w:p>
        </w:tc>
        <w:tc>
          <w:tcPr>
            <w:tcW w:w="1150" w:type="pct"/>
            <w:vAlign w:val="center"/>
          </w:tcPr>
          <w:p w14:paraId="10CA5FF6">
            <w:pPr>
              <w:pStyle w:val="8"/>
              <w:overflowPunct w:val="0"/>
              <w:adjustRightInd w:val="0"/>
              <w:snapToGrid w:val="0"/>
              <w:spacing w:after="0" w:line="240" w:lineRule="auto"/>
              <w:ind w:left="0" w:leftChars="0"/>
              <w:jc w:val="right"/>
              <w:rPr>
                <w:rFonts w:ascii="仿宋_GB2312" w:hAnsi="宋体" w:eastAsia="仿宋_GB2312" w:cs="宋体"/>
                <w:kern w:val="0"/>
                <w:sz w:val="30"/>
                <w:szCs w:val="30"/>
              </w:rPr>
            </w:pPr>
          </w:p>
        </w:tc>
      </w:tr>
    </w:tbl>
    <w:p w14:paraId="52B8C5E5">
      <w:pPr>
        <w:adjustRightInd w:val="0"/>
        <w:snapToGrid w:val="0"/>
        <w:spacing w:line="360" w:lineRule="auto"/>
        <w:ind w:firstLine="640" w:firstLineChars="200"/>
        <w:rPr>
          <w:rFonts w:ascii="仿宋_GB2312" w:hAnsi="宋体" w:eastAsia="仿宋_GB2312" w:cs="宋体"/>
          <w:kern w:val="0"/>
          <w:sz w:val="32"/>
          <w:szCs w:val="32"/>
        </w:rPr>
      </w:pPr>
      <w:bookmarkStart w:id="65" w:name="_Hlk12455649"/>
      <w:bookmarkStart w:id="66" w:name="_Toc10624073"/>
      <w:bookmarkStart w:id="67" w:name="_Toc9865188"/>
      <w:r>
        <w:rPr>
          <w:rFonts w:hint="eastAsia" w:ascii="仿宋_GB2312" w:hAnsi="宋体" w:eastAsia="仿宋_GB2312" w:cs="宋体"/>
          <w:kern w:val="0"/>
          <w:sz w:val="32"/>
          <w:szCs w:val="32"/>
        </w:rPr>
        <w:t>项目支出具体情况如下：</w:t>
      </w:r>
    </w:p>
    <w:p w14:paraId="7A84D727">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bookmarkEnd w:id="65"/>
      <w:r>
        <w:rPr>
          <w:rFonts w:hint="eastAsia" w:ascii="仿宋_GB2312" w:hAnsi="宋体" w:eastAsia="仿宋_GB2312" w:cs="宋体"/>
          <w:kern w:val="0"/>
          <w:sz w:val="30"/>
          <w:szCs w:val="30"/>
        </w:rPr>
        <w:t>妇女微家建设</w:t>
      </w:r>
    </w:p>
    <w:p w14:paraId="33041DEF">
      <w:pPr>
        <w:adjustRightInd w:val="0"/>
        <w:snapToGrid w:val="0"/>
        <w:spacing w:line="360" w:lineRule="auto"/>
        <w:ind w:firstLine="640" w:firstLineChars="200"/>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rPr>
        <w:t>2019年5月29日，阿坝州妇联提请研究2019年“妇女微家”项目外包事宜，由于时间和地点跨度较大，建议采取购买服务的方式。同日，经党组会议研究决定，一致同意采用询价方式，确定中标单位。2019年6月22日经询价三家社会组织，确定中标单位为：阿坝州社会工作协会。</w:t>
      </w:r>
    </w:p>
    <w:p w14:paraId="0FD7C8DE">
      <w:pPr>
        <w:adjustRightInd w:val="0"/>
        <w:snapToGrid w:val="0"/>
        <w:spacing w:line="360" w:lineRule="auto"/>
        <w:ind w:firstLine="640" w:firstLineChars="200"/>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rPr>
        <w:t>2019年6月25日，阿坝州妇联与阿坝州社会工作协会签订了《2019年度阿坝州妇女联合会“妇女微家”建设项目合同》，协议约定项目内容：进行“微宣传”、开展“微议事”、组织“微家风”、提供“微法律”、实施“微公益”、开展“微活动”，服务费用</w:t>
      </w:r>
      <w:r>
        <w:rPr>
          <w:rFonts w:hint="eastAsia" w:ascii="仿宋_GB2312" w:hAnsi="宋体" w:eastAsia="仿宋_GB2312" w:cs="宋体"/>
          <w:kern w:val="0"/>
          <w:sz w:val="32"/>
          <w:szCs w:val="32"/>
          <w:lang w:val="zh-CN"/>
        </w:rPr>
        <w:t>6</w:t>
      </w: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val="zh-CN"/>
        </w:rPr>
        <w:t>,</w:t>
      </w:r>
      <w:r>
        <w:rPr>
          <w:rFonts w:hint="eastAsia" w:ascii="仿宋_GB2312" w:hAnsi="宋体" w:eastAsia="仿宋_GB2312" w:cs="宋体"/>
          <w:kern w:val="0"/>
          <w:sz w:val="32"/>
          <w:szCs w:val="32"/>
        </w:rPr>
        <w:t>6</w:t>
      </w:r>
      <w:r>
        <w:rPr>
          <w:rFonts w:hint="eastAsia" w:ascii="仿宋_GB2312" w:hAnsi="宋体" w:eastAsia="仿宋_GB2312" w:cs="宋体"/>
          <w:kern w:val="0"/>
          <w:sz w:val="32"/>
          <w:szCs w:val="32"/>
          <w:lang w:val="zh-CN"/>
        </w:rPr>
        <w:t>00.00</w:t>
      </w:r>
      <w:r>
        <w:rPr>
          <w:rFonts w:hint="eastAsia" w:ascii="仿宋_GB2312" w:hAnsi="宋体" w:eastAsia="仿宋_GB2312" w:cs="宋体"/>
          <w:kern w:val="0"/>
          <w:sz w:val="32"/>
          <w:szCs w:val="32"/>
        </w:rPr>
        <w:t>元，已支付</w:t>
      </w:r>
      <w:r>
        <w:rPr>
          <w:rFonts w:hint="eastAsia" w:ascii="仿宋_GB2312" w:hAnsi="宋体" w:eastAsia="仿宋_GB2312" w:cs="宋体"/>
          <w:kern w:val="0"/>
          <w:sz w:val="32"/>
          <w:szCs w:val="32"/>
          <w:lang w:val="zh-CN"/>
        </w:rPr>
        <w:t>6</w:t>
      </w: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val="zh-CN"/>
        </w:rPr>
        <w:t>,</w:t>
      </w:r>
      <w:r>
        <w:rPr>
          <w:rFonts w:hint="eastAsia" w:ascii="仿宋_GB2312" w:hAnsi="宋体" w:eastAsia="仿宋_GB2312" w:cs="宋体"/>
          <w:kern w:val="0"/>
          <w:sz w:val="32"/>
          <w:szCs w:val="32"/>
        </w:rPr>
        <w:t>6</w:t>
      </w:r>
      <w:r>
        <w:rPr>
          <w:rFonts w:hint="eastAsia" w:ascii="仿宋_GB2312" w:hAnsi="宋体" w:eastAsia="仿宋_GB2312" w:cs="宋体"/>
          <w:kern w:val="0"/>
          <w:sz w:val="32"/>
          <w:szCs w:val="32"/>
          <w:lang w:val="zh-CN"/>
        </w:rPr>
        <w:t>00.00</w:t>
      </w:r>
      <w:r>
        <w:rPr>
          <w:rFonts w:hint="eastAsia" w:ascii="仿宋_GB2312" w:hAnsi="宋体" w:eastAsia="仿宋_GB2312" w:cs="宋体"/>
          <w:kern w:val="0"/>
          <w:sz w:val="32"/>
          <w:szCs w:val="32"/>
        </w:rPr>
        <w:t>元。</w:t>
      </w:r>
    </w:p>
    <w:p w14:paraId="4392D466">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val="zh-CN"/>
        </w:rPr>
        <w:t>“</w:t>
      </w:r>
      <w:r>
        <w:rPr>
          <w:rFonts w:hint="eastAsia" w:ascii="仿宋_GB2312" w:hAnsi="宋体" w:eastAsia="仿宋_GB2312" w:cs="宋体"/>
          <w:kern w:val="0"/>
          <w:sz w:val="32"/>
          <w:szCs w:val="32"/>
        </w:rPr>
        <w:t>妇女微家”网络平台技术服务</w:t>
      </w:r>
    </w:p>
    <w:p w14:paraId="5FB047C4">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2019年6月25日，阿坝州妇联与四川转发一下网络科技有限公司签订了《“妇女微家”网络平台技术服务合同书》，协议约定合作范围：四川转发一下网络科技有限公司为四川省妇联开发“妇女微家”系统平台，阿坝州妇联作为系统的接入方，在使用该平台的过程中，四川转发一下网络科技有限公司为阿坝州妇联提供必要的技术接入、人员培训等服务，服务费用7,000.00元，已支付7,000.00元。</w:t>
      </w:r>
    </w:p>
    <w:p w14:paraId="58162646">
      <w:pPr>
        <w:adjustRightInd w:val="0"/>
        <w:snapToGrid w:val="0"/>
        <w:spacing w:line="360" w:lineRule="auto"/>
        <w:ind w:firstLine="640" w:firstLineChars="200"/>
        <w:rPr>
          <w:rFonts w:ascii="仿宋_GB2312" w:hAnsi="宋体" w:eastAsia="仿宋_GB2312" w:cs="宋体"/>
          <w:kern w:val="0"/>
          <w:sz w:val="32"/>
          <w:szCs w:val="32"/>
          <w:lang w:val="zh-CN"/>
        </w:rPr>
      </w:pPr>
      <w:r>
        <w:rPr>
          <w:rFonts w:hint="eastAsia" w:ascii="仿宋_GB2312" w:hAnsi="宋体" w:eastAsia="仿宋_GB2312" w:cs="宋体"/>
          <w:kern w:val="0"/>
          <w:sz w:val="32"/>
          <w:szCs w:val="32"/>
        </w:rPr>
        <w:t>（3）绩效评价</w:t>
      </w:r>
      <w:r>
        <w:rPr>
          <w:rFonts w:hint="eastAsia" w:ascii="仿宋_GB2312" w:hAnsi="宋体" w:eastAsia="仿宋_GB2312" w:cs="宋体"/>
          <w:kern w:val="0"/>
          <w:sz w:val="32"/>
          <w:szCs w:val="32"/>
          <w:lang w:val="zh-CN"/>
        </w:rPr>
        <w:t>费</w:t>
      </w:r>
    </w:p>
    <w:p w14:paraId="45346324">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1月8日，阿坝州妇联与四川锦程会计师事务所有限责任公司签订了《财政支出绩效评价咨询业务约定书》，协议约定由四川锦程会计师事务所有限责任公司对阿坝州妇联2019年度四川省妇女儿童事业发展专项资金“妇女微家”项目进行绩效评价。</w:t>
      </w:r>
    </w:p>
    <w:p w14:paraId="3946F1C4">
      <w:pPr>
        <w:pStyle w:val="3"/>
        <w:adjustRightInd w:val="0"/>
        <w:snapToGrid w:val="0"/>
        <w:spacing w:before="0" w:after="0" w:line="360" w:lineRule="auto"/>
        <w:ind w:firstLine="565" w:firstLineChars="176"/>
        <w:rPr>
          <w:rFonts w:ascii="楷体_GB2312"/>
        </w:rPr>
      </w:pPr>
      <w:r>
        <w:rPr>
          <w:rFonts w:hint="eastAsia" w:ascii="楷体_GB2312"/>
        </w:rPr>
        <w:t>（五）项目财务管理情况</w:t>
      </w:r>
      <w:bookmarkEnd w:id="66"/>
      <w:bookmarkEnd w:id="67"/>
    </w:p>
    <w:p w14:paraId="70E979C5">
      <w:pPr>
        <w:adjustRightInd w:val="0"/>
        <w:snapToGrid w:val="0"/>
        <w:spacing w:line="360" w:lineRule="auto"/>
        <w:ind w:firstLine="640" w:firstLineChars="200"/>
        <w:rPr>
          <w:rFonts w:ascii="华文仿宋" w:hAnsi="华文仿宋" w:eastAsia="华文仿宋"/>
          <w:sz w:val="32"/>
        </w:rPr>
      </w:pPr>
      <w:r>
        <w:rPr>
          <w:rFonts w:hint="eastAsia" w:ascii="仿宋_GB2312" w:hAnsi="宋体" w:eastAsia="仿宋_GB2312" w:cs="宋体"/>
          <w:kern w:val="0"/>
          <w:sz w:val="32"/>
          <w:szCs w:val="32"/>
          <w:lang w:val="zh-CN"/>
        </w:rPr>
        <w:t>阿坝州妇联按照《“妇女微家”项目资金管理办法》要求，“妇女微家”项目资金</w:t>
      </w:r>
      <w:r>
        <w:rPr>
          <w:rFonts w:ascii="华文仿宋" w:hAnsi="华文仿宋" w:eastAsia="华文仿宋"/>
          <w:sz w:val="32"/>
        </w:rPr>
        <w:t>支付</w:t>
      </w:r>
      <w:r>
        <w:rPr>
          <w:rFonts w:hint="eastAsia" w:ascii="华文仿宋" w:hAnsi="华文仿宋" w:eastAsia="华文仿宋"/>
          <w:sz w:val="32"/>
        </w:rPr>
        <w:t>严格</w:t>
      </w:r>
      <w:r>
        <w:rPr>
          <w:rFonts w:ascii="华文仿宋" w:hAnsi="华文仿宋" w:eastAsia="华文仿宋"/>
          <w:sz w:val="32"/>
        </w:rPr>
        <w:t>按</w:t>
      </w:r>
      <w:r>
        <w:rPr>
          <w:rFonts w:hint="eastAsia" w:ascii="华文仿宋" w:hAnsi="华文仿宋" w:eastAsia="华文仿宋"/>
          <w:sz w:val="32"/>
        </w:rPr>
        <w:t>照</w:t>
      </w:r>
      <w:r>
        <w:rPr>
          <w:rFonts w:ascii="华文仿宋" w:hAnsi="华文仿宋" w:eastAsia="华文仿宋"/>
          <w:sz w:val="32"/>
        </w:rPr>
        <w:t>资金管理办法</w:t>
      </w:r>
      <w:r>
        <w:rPr>
          <w:rFonts w:hint="eastAsia" w:ascii="华文仿宋" w:hAnsi="华文仿宋" w:eastAsia="华文仿宋"/>
          <w:sz w:val="32"/>
        </w:rPr>
        <w:t>规定</w:t>
      </w:r>
      <w:r>
        <w:rPr>
          <w:rFonts w:ascii="华文仿宋" w:hAnsi="华文仿宋" w:eastAsia="华文仿宋"/>
          <w:sz w:val="32"/>
        </w:rPr>
        <w:t>办理</w:t>
      </w:r>
      <w:r>
        <w:rPr>
          <w:rFonts w:hint="eastAsia" w:ascii="华文仿宋" w:hAnsi="华文仿宋" w:eastAsia="华文仿宋"/>
          <w:sz w:val="32"/>
        </w:rPr>
        <w:t>，相</w:t>
      </w:r>
      <w:r>
        <w:rPr>
          <w:rFonts w:ascii="华文仿宋" w:hAnsi="华文仿宋" w:eastAsia="华文仿宋"/>
          <w:sz w:val="32"/>
        </w:rPr>
        <w:t>关</w:t>
      </w:r>
      <w:r>
        <w:rPr>
          <w:rFonts w:hint="eastAsia" w:ascii="华文仿宋" w:hAnsi="华文仿宋" w:eastAsia="华文仿宋"/>
          <w:sz w:val="32"/>
        </w:rPr>
        <w:t>制度</w:t>
      </w:r>
      <w:r>
        <w:rPr>
          <w:rFonts w:ascii="华文仿宋" w:hAnsi="华文仿宋" w:eastAsia="华文仿宋"/>
          <w:sz w:val="32"/>
        </w:rPr>
        <w:t>规定得到了有效执行</w:t>
      </w:r>
      <w:r>
        <w:rPr>
          <w:rFonts w:hint="eastAsia" w:ascii="华文仿宋" w:hAnsi="华文仿宋" w:eastAsia="华文仿宋"/>
          <w:sz w:val="32"/>
        </w:rPr>
        <w:t>。会计</w:t>
      </w:r>
      <w:r>
        <w:rPr>
          <w:rFonts w:ascii="华文仿宋" w:hAnsi="华文仿宋" w:eastAsia="华文仿宋"/>
          <w:sz w:val="32"/>
        </w:rPr>
        <w:t>核算规范</w:t>
      </w:r>
      <w:r>
        <w:rPr>
          <w:rFonts w:hint="eastAsia" w:ascii="华文仿宋" w:hAnsi="华文仿宋" w:eastAsia="华文仿宋"/>
          <w:sz w:val="32"/>
        </w:rPr>
        <w:t>，符合</w:t>
      </w:r>
      <w:r>
        <w:rPr>
          <w:rFonts w:ascii="华文仿宋" w:hAnsi="华文仿宋" w:eastAsia="华文仿宋"/>
          <w:sz w:val="32"/>
        </w:rPr>
        <w:t>会计管理要求</w:t>
      </w:r>
      <w:r>
        <w:rPr>
          <w:rFonts w:hint="eastAsia" w:ascii="华文仿宋" w:hAnsi="华文仿宋" w:eastAsia="华文仿宋"/>
          <w:sz w:val="32"/>
        </w:rPr>
        <w:t>。</w:t>
      </w:r>
      <w:bookmarkStart w:id="68" w:name="_Toc10624074"/>
      <w:bookmarkStart w:id="69" w:name="_Toc9865189"/>
    </w:p>
    <w:p w14:paraId="4E93DC0E">
      <w:pPr>
        <w:pStyle w:val="3"/>
        <w:adjustRightInd w:val="0"/>
        <w:snapToGrid w:val="0"/>
        <w:spacing w:before="0" w:after="0" w:line="360" w:lineRule="auto"/>
        <w:ind w:firstLine="565" w:firstLineChars="176"/>
        <w:rPr>
          <w:rFonts w:ascii="楷体_GB2312"/>
        </w:rPr>
      </w:pPr>
      <w:r>
        <w:rPr>
          <w:rFonts w:hint="eastAsia" w:ascii="楷体_GB2312"/>
        </w:rPr>
        <w:t>（六）项目组织实施情况</w:t>
      </w:r>
      <w:bookmarkEnd w:id="68"/>
      <w:bookmarkEnd w:id="69"/>
    </w:p>
    <w:p w14:paraId="397BC80D">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阿坝州妇联按照专项资金管理办法要求，认真做好项目支出审核及项目资金分配调整工作。</w:t>
      </w:r>
    </w:p>
    <w:p w14:paraId="19749709">
      <w:pPr>
        <w:adjustRightInd w:val="0"/>
        <w:snapToGrid w:val="0"/>
        <w:spacing w:line="360" w:lineRule="auto"/>
        <w:ind w:firstLine="640" w:firstLineChars="200"/>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截至评价报告日，该项目的实施内容已完成，主要实施完成情况如下：</w:t>
      </w:r>
    </w:p>
    <w:p w14:paraId="22BB9A71">
      <w:pPr>
        <w:pStyle w:val="2"/>
        <w:adjustRightInd w:val="0"/>
        <w:snapToGrid w:val="0"/>
        <w:spacing w:before="0" w:after="0" w:line="360" w:lineRule="auto"/>
        <w:ind w:firstLine="567"/>
        <w:rPr>
          <w:rFonts w:ascii="仿宋_GB2312" w:hAnsi="宋体" w:eastAsia="仿宋_GB2312" w:cs="宋体"/>
          <w:b w:val="0"/>
          <w:bCs w:val="0"/>
          <w:kern w:val="0"/>
          <w:sz w:val="32"/>
          <w:szCs w:val="32"/>
          <w:lang w:val="zh-CN"/>
        </w:rPr>
      </w:pPr>
      <w:bookmarkStart w:id="70" w:name="_Toc10624075"/>
      <w:r>
        <w:rPr>
          <w:rFonts w:hint="eastAsia" w:ascii="仿宋_GB2312" w:hAnsi="宋体" w:eastAsia="仿宋_GB2312" w:cs="宋体"/>
          <w:b w:val="0"/>
          <w:bCs w:val="0"/>
          <w:kern w:val="0"/>
          <w:sz w:val="32"/>
          <w:szCs w:val="32"/>
          <w:lang w:val="zh-CN"/>
        </w:rPr>
        <w:t>“妇女微家”主要建立在有爱心、有条件、有能力、有素养的妇联执委或者优秀女企业家、女科技致富带头人、女性社团组织负责人、巾帼志愿服务团队领头人、女性先进典型的家中或工作室中，也可以建在村民小组、社区网格，以及各类园区、商务楼宇、专业市场等单位场所的要求，经前期走访调研，确立构建3个“妇女微家”。在2019年7月-11月期间共计开展活动7次</w:t>
      </w:r>
      <w:r>
        <w:rPr>
          <w:rFonts w:hint="eastAsia" w:ascii="仿宋_GB2312" w:eastAsia="仿宋_GB2312" w:cs="宋体"/>
          <w:b w:val="0"/>
          <w:bCs w:val="0"/>
          <w:kern w:val="0"/>
          <w:sz w:val="32"/>
          <w:szCs w:val="32"/>
          <w:lang w:val="zh-CN"/>
        </w:rPr>
        <w:t>，</w:t>
      </w:r>
      <w:r>
        <w:rPr>
          <w:rFonts w:hint="eastAsia" w:ascii="仿宋_GB2312" w:hAnsi="宋体" w:eastAsia="仿宋_GB2312" w:cs="宋体"/>
          <w:b w:val="0"/>
          <w:bCs w:val="0"/>
          <w:kern w:val="0"/>
          <w:sz w:val="32"/>
          <w:szCs w:val="32"/>
          <w:lang w:val="zh-CN"/>
        </w:rPr>
        <w:t>服务妇女儿童700多人。</w:t>
      </w:r>
    </w:p>
    <w:p w14:paraId="509004BE">
      <w:pPr>
        <w:pStyle w:val="2"/>
        <w:adjustRightInd w:val="0"/>
        <w:snapToGrid w:val="0"/>
        <w:spacing w:before="0" w:after="0" w:line="360" w:lineRule="auto"/>
        <w:ind w:firstLine="567"/>
        <w:rPr>
          <w:rFonts w:ascii="黑体" w:hAnsi="黑体" w:eastAsia="黑体"/>
          <w:bCs w:val="0"/>
          <w:color w:val="000000"/>
          <w:kern w:val="2"/>
          <w:sz w:val="32"/>
          <w:szCs w:val="32"/>
          <w:lang w:val="zh-CN"/>
        </w:rPr>
      </w:pPr>
      <w:r>
        <w:rPr>
          <w:rFonts w:hint="eastAsia" w:ascii="黑体" w:hAnsi="黑体" w:eastAsia="黑体"/>
          <w:bCs w:val="0"/>
          <w:color w:val="000000"/>
          <w:kern w:val="2"/>
          <w:sz w:val="32"/>
          <w:szCs w:val="32"/>
          <w:lang w:val="zh-CN"/>
        </w:rPr>
        <w:t>二、绩效评价的组织实施情况</w:t>
      </w:r>
      <w:bookmarkEnd w:id="70"/>
    </w:p>
    <w:p w14:paraId="3844B45A">
      <w:pPr>
        <w:pStyle w:val="3"/>
        <w:adjustRightInd w:val="0"/>
        <w:snapToGrid w:val="0"/>
        <w:spacing w:before="0" w:after="0" w:line="360" w:lineRule="auto"/>
        <w:ind w:firstLine="565" w:firstLineChars="176"/>
        <w:rPr>
          <w:rFonts w:ascii="楷体_GB2312"/>
        </w:rPr>
      </w:pPr>
      <w:bookmarkStart w:id="71" w:name="_Toc10624076"/>
      <w:r>
        <w:rPr>
          <w:rFonts w:hint="eastAsia" w:ascii="楷体_GB2312"/>
        </w:rPr>
        <w:t>（一）前期准备</w:t>
      </w:r>
      <w:bookmarkEnd w:id="71"/>
    </w:p>
    <w:p w14:paraId="79245468">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评价机构在该阶段的主要工作是：接受委托任务；成立绩效评价工作组，培训绩效评价工作人员；确定绩效评价总体方案；对相关资料进行收集、整理、数据分析。</w:t>
      </w:r>
    </w:p>
    <w:p w14:paraId="16771A7B">
      <w:pPr>
        <w:pStyle w:val="3"/>
        <w:adjustRightInd w:val="0"/>
        <w:snapToGrid w:val="0"/>
        <w:spacing w:before="0" w:after="0" w:line="360" w:lineRule="auto"/>
        <w:ind w:firstLine="565" w:firstLineChars="176"/>
        <w:rPr>
          <w:rFonts w:ascii="楷体_GB2312"/>
        </w:rPr>
      </w:pPr>
      <w:bookmarkStart w:id="72" w:name="_Toc10624077"/>
      <w:r>
        <w:rPr>
          <w:rFonts w:hint="eastAsia" w:ascii="楷体_GB2312"/>
        </w:rPr>
        <w:t>（二）组织实施情况</w:t>
      </w:r>
      <w:bookmarkEnd w:id="72"/>
    </w:p>
    <w:p w14:paraId="3F3EAAE1">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评价机构在该阶段的主要工作是：通过查阅资料（包括与项目相关的法律法规及规定、项目档案资料、财务资料等）、询问等方式，了解该评价项目在项目完成、项目效益及项目满意度等方面情况；收集相关数据完成评价、核对工作记录、指标表、数据表及问卷调查；报送项目负责人审核。</w:t>
      </w:r>
    </w:p>
    <w:p w14:paraId="3577C8F5">
      <w:pPr>
        <w:pStyle w:val="3"/>
        <w:adjustRightInd w:val="0"/>
        <w:snapToGrid w:val="0"/>
        <w:spacing w:before="0" w:after="0" w:line="360" w:lineRule="auto"/>
        <w:ind w:firstLine="565" w:firstLineChars="176"/>
        <w:rPr>
          <w:rFonts w:ascii="楷体_GB2312"/>
        </w:rPr>
      </w:pPr>
      <w:bookmarkStart w:id="73" w:name="_Toc10624078"/>
      <w:r>
        <w:rPr>
          <w:rFonts w:hint="eastAsia" w:ascii="楷体_GB2312"/>
        </w:rPr>
        <w:t>（三）分析评价，出具评价报告</w:t>
      </w:r>
      <w:bookmarkEnd w:id="73"/>
    </w:p>
    <w:p w14:paraId="0389E06A">
      <w:pPr>
        <w:overflowPunct w:val="0"/>
        <w:adjustRightInd w:val="0"/>
        <w:snapToGrid w:val="0"/>
        <w:spacing w:line="360" w:lineRule="auto"/>
        <w:ind w:firstLine="640" w:firstLineChars="200"/>
        <w:textAlignment w:val="baseline"/>
        <w:rPr>
          <w:rFonts w:ascii="仿宋_GB2312" w:hAnsi="宋体" w:eastAsia="仿宋_GB2312" w:cs="仿宋_GB2312"/>
          <w:b/>
          <w:bCs/>
          <w:sz w:val="32"/>
          <w:szCs w:val="32"/>
        </w:rPr>
      </w:pPr>
      <w:r>
        <w:rPr>
          <w:rFonts w:hint="eastAsia" w:ascii="仿宋_GB2312" w:hAnsi="宋体" w:eastAsia="仿宋_GB2312" w:cs="宋体"/>
          <w:kern w:val="0"/>
          <w:sz w:val="32"/>
          <w:szCs w:val="32"/>
          <w:lang w:val="zh-CN"/>
        </w:rPr>
        <w:t>评价机构在该阶段的主要工作是：项目评价组根据</w:t>
      </w:r>
      <w:r>
        <w:rPr>
          <w:rFonts w:hint="eastAsia" w:ascii="仿宋_GB2312" w:hAnsi="宋体" w:eastAsia="仿宋_GB2312" w:cs="宋体"/>
          <w:kern w:val="0"/>
          <w:sz w:val="32"/>
          <w:szCs w:val="32"/>
        </w:rPr>
        <w:t>四川省妇女联合会</w:t>
      </w:r>
      <w:r>
        <w:rPr>
          <w:rFonts w:hint="eastAsia" w:ascii="仿宋_GB2312" w:hAnsi="宋体" w:eastAsia="仿宋_GB2312" w:cs="宋体"/>
          <w:kern w:val="0"/>
          <w:sz w:val="32"/>
          <w:szCs w:val="32"/>
          <w:lang w:val="zh-CN"/>
        </w:rPr>
        <w:t>《</w:t>
      </w:r>
      <w:r>
        <w:rPr>
          <w:rFonts w:hint="eastAsia" w:ascii="仿宋_GB2312" w:hAnsi="仿宋_GB2312" w:eastAsia="仿宋_GB2312" w:cs="仿宋_GB2312"/>
          <w:sz w:val="32"/>
          <w:szCs w:val="32"/>
        </w:rPr>
        <w:t>关于开展2019年度四川省妇女儿童事业发展项目资金使用、项目实施及绩效评价工作的通知》以及</w:t>
      </w:r>
      <w:r>
        <w:rPr>
          <w:rFonts w:hint="eastAsia" w:ascii="仿宋_GB2312" w:hAnsi="宋体" w:eastAsia="仿宋_GB2312" w:cs="宋体"/>
          <w:kern w:val="0"/>
          <w:sz w:val="32"/>
          <w:szCs w:val="32"/>
          <w:lang w:val="zh-CN"/>
        </w:rPr>
        <w:t>阿坝州妇联《关于201</w:t>
      </w:r>
      <w:r>
        <w:rPr>
          <w:rFonts w:hint="eastAsia" w:ascii="仿宋_GB2312" w:hAnsi="宋体" w:eastAsia="仿宋_GB2312" w:cs="宋体"/>
          <w:kern w:val="0"/>
          <w:sz w:val="32"/>
          <w:szCs w:val="32"/>
        </w:rPr>
        <w:t>9</w:t>
      </w:r>
      <w:r>
        <w:rPr>
          <w:rFonts w:hint="eastAsia" w:ascii="仿宋_GB2312" w:hAnsi="宋体" w:eastAsia="仿宋_GB2312" w:cs="宋体"/>
          <w:kern w:val="0"/>
          <w:sz w:val="32"/>
          <w:szCs w:val="32"/>
          <w:lang w:val="zh-CN"/>
        </w:rPr>
        <w:t>年度四川省妇女儿童事业发展</w:t>
      </w:r>
      <w:r>
        <w:rPr>
          <w:rFonts w:hint="eastAsia" w:ascii="仿宋_GB2312" w:hAnsi="宋体" w:eastAsia="仿宋_GB2312" w:cs="宋体"/>
          <w:kern w:val="0"/>
          <w:sz w:val="32"/>
          <w:szCs w:val="32"/>
        </w:rPr>
        <w:t>项目</w:t>
      </w:r>
      <w:r>
        <w:rPr>
          <w:rFonts w:hint="eastAsia" w:ascii="仿宋_GB2312" w:hAnsi="宋体" w:eastAsia="仿宋_GB2312" w:cs="宋体"/>
          <w:kern w:val="0"/>
          <w:sz w:val="32"/>
          <w:szCs w:val="32"/>
          <w:lang w:val="zh-CN"/>
        </w:rPr>
        <w:t>资金使用、</w:t>
      </w:r>
      <w:r>
        <w:rPr>
          <w:rFonts w:hint="eastAsia" w:ascii="仿宋_GB2312" w:hAnsi="宋体" w:eastAsia="仿宋_GB2312" w:cs="宋体"/>
          <w:kern w:val="0"/>
          <w:sz w:val="32"/>
          <w:szCs w:val="32"/>
        </w:rPr>
        <w:t>项目实施和绩效评价</w:t>
      </w:r>
      <w:r>
        <w:rPr>
          <w:rFonts w:hint="eastAsia" w:ascii="仿宋_GB2312" w:hAnsi="宋体" w:eastAsia="仿宋_GB2312" w:cs="宋体"/>
          <w:kern w:val="0"/>
          <w:sz w:val="32"/>
          <w:szCs w:val="32"/>
          <w:lang w:val="zh-CN"/>
        </w:rPr>
        <w:t>情况</w:t>
      </w:r>
      <w:r>
        <w:rPr>
          <w:rFonts w:hint="eastAsia" w:ascii="仿宋_GB2312" w:hAnsi="宋体" w:eastAsia="仿宋_GB2312" w:cs="宋体"/>
          <w:kern w:val="0"/>
          <w:sz w:val="32"/>
          <w:szCs w:val="32"/>
        </w:rPr>
        <w:t>的总结</w:t>
      </w:r>
      <w:r>
        <w:rPr>
          <w:rFonts w:hint="eastAsia" w:ascii="仿宋_GB2312" w:hAnsi="宋体" w:eastAsia="仿宋_GB2312" w:cs="宋体"/>
          <w:kern w:val="0"/>
          <w:sz w:val="32"/>
          <w:szCs w:val="32"/>
          <w:lang w:val="zh-CN"/>
        </w:rPr>
        <w:t>》和现场评价情况汇总相关数据，按照绩效评价指标体系分析整体绩效评价情况，进行定量定性分析，形成评价初步结论；撰写绩效评价报告初稿，并进行评价机构内部复核，根据复核意见对评价报告进行修正完善，形成绩效评价报告，</w:t>
      </w:r>
      <w:r>
        <w:rPr>
          <w:rFonts w:hint="eastAsia" w:ascii="仿宋_GB2312" w:hAnsi="宋体" w:eastAsia="仿宋_GB2312" w:cs="宋体"/>
          <w:kern w:val="0"/>
          <w:sz w:val="32"/>
          <w:szCs w:val="32"/>
        </w:rPr>
        <w:t>并</w:t>
      </w:r>
      <w:r>
        <w:rPr>
          <w:rFonts w:hint="eastAsia" w:ascii="仿宋_GB2312" w:hAnsi="宋体" w:eastAsia="仿宋_GB2312" w:cs="宋体"/>
          <w:kern w:val="0"/>
          <w:sz w:val="32"/>
          <w:szCs w:val="32"/>
          <w:lang w:val="zh-CN"/>
        </w:rPr>
        <w:t>出具正式绩效评价报告。</w:t>
      </w:r>
    </w:p>
    <w:p w14:paraId="1671CCFD">
      <w:pPr>
        <w:pStyle w:val="2"/>
        <w:adjustRightInd w:val="0"/>
        <w:snapToGrid w:val="0"/>
        <w:spacing w:before="0" w:after="0" w:line="360" w:lineRule="auto"/>
        <w:ind w:firstLine="567"/>
        <w:rPr>
          <w:rFonts w:ascii="黑体" w:hAnsi="黑体" w:eastAsia="黑体"/>
          <w:bCs w:val="0"/>
          <w:color w:val="000000"/>
          <w:kern w:val="2"/>
          <w:sz w:val="32"/>
          <w:szCs w:val="32"/>
          <w:lang w:val="zh-CN"/>
        </w:rPr>
      </w:pPr>
      <w:bookmarkStart w:id="74" w:name="_Toc10624079"/>
      <w:r>
        <w:rPr>
          <w:rFonts w:hint="eastAsia" w:ascii="黑体" w:hAnsi="黑体" w:eastAsia="黑体"/>
          <w:bCs w:val="0"/>
          <w:color w:val="000000"/>
          <w:kern w:val="2"/>
          <w:sz w:val="32"/>
          <w:szCs w:val="32"/>
          <w:lang w:val="zh-CN"/>
        </w:rPr>
        <w:t>三、绩效评价依据、指标体系、评价标准及评价方法</w:t>
      </w:r>
      <w:bookmarkEnd w:id="74"/>
    </w:p>
    <w:p w14:paraId="7D1A3440">
      <w:pPr>
        <w:pStyle w:val="3"/>
        <w:adjustRightInd w:val="0"/>
        <w:snapToGrid w:val="0"/>
        <w:spacing w:before="0" w:after="0" w:line="360" w:lineRule="auto"/>
        <w:ind w:firstLine="565" w:firstLineChars="176"/>
        <w:rPr>
          <w:rFonts w:ascii="楷体_GB2312"/>
        </w:rPr>
      </w:pPr>
      <w:bookmarkStart w:id="75" w:name="_Toc10624080"/>
      <w:r>
        <w:rPr>
          <w:rFonts w:hint="eastAsia" w:ascii="楷体_GB2312"/>
        </w:rPr>
        <w:t>（一）绩效评价依据</w:t>
      </w:r>
      <w:bookmarkEnd w:id="75"/>
    </w:p>
    <w:p w14:paraId="7F4DA950">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1.四川省妇女联合会《关于申报2019年度四川省妇女儿童事业发展专项资金的通知》（川妇知[2018]85号）；</w:t>
      </w:r>
    </w:p>
    <w:p w14:paraId="627620A9">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2.四川省妇女联合会《关于2019年年四川省妇女儿童事业发展专项资金下达及项目实施的通知》（川妇知〔2019〕16号）；</w:t>
      </w:r>
    </w:p>
    <w:p w14:paraId="467EFF72">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3.四川省财政厅 四川省妇女联合会 关于印发《四川省妇女儿童事业发展专项资金管理办法》的通知（川财行〔2017〕13号）；</w:t>
      </w:r>
    </w:p>
    <w:p w14:paraId="05695419">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4.</w:t>
      </w:r>
      <w:r>
        <w:rPr>
          <w:rFonts w:hint="eastAsia" w:ascii="仿宋_GB2312" w:hAnsi="宋体" w:eastAsia="仿宋_GB2312" w:cs="宋体"/>
          <w:kern w:val="0"/>
          <w:sz w:val="32"/>
          <w:szCs w:val="32"/>
          <w:lang w:val="zh-CN"/>
        </w:rPr>
        <w:t>阿坝州妇联《</w:t>
      </w:r>
      <w:r>
        <w:rPr>
          <w:rFonts w:hint="eastAsia" w:ascii="仿宋_GB2312" w:hAnsi="宋体" w:eastAsia="仿宋_GB2312" w:cs="宋体"/>
          <w:kern w:val="0"/>
          <w:sz w:val="32"/>
          <w:szCs w:val="32"/>
        </w:rPr>
        <w:t>财务及资产管理制度》；</w:t>
      </w:r>
    </w:p>
    <w:p w14:paraId="362674BB">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5.</w:t>
      </w:r>
      <w:r>
        <w:rPr>
          <w:rFonts w:hint="eastAsia" w:ascii="仿宋_GB2312" w:hAnsi="宋体" w:eastAsia="仿宋_GB2312" w:cs="宋体"/>
          <w:kern w:val="0"/>
          <w:sz w:val="32"/>
          <w:szCs w:val="32"/>
          <w:lang w:val="zh-CN"/>
        </w:rPr>
        <w:t>阿坝州妇联《“妇女微家”项目资金管理办法》；</w:t>
      </w:r>
    </w:p>
    <w:p w14:paraId="7F1DC05A">
      <w:pPr>
        <w:overflowPunct w:val="0"/>
        <w:adjustRightInd w:val="0"/>
        <w:snapToGrid w:val="0"/>
        <w:spacing w:line="360" w:lineRule="auto"/>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6.四川省妇女联合会</w:t>
      </w:r>
      <w:r>
        <w:rPr>
          <w:rFonts w:hint="eastAsia" w:ascii="仿宋_GB2312" w:hAnsi="宋体" w:eastAsia="仿宋_GB2312" w:cs="宋体"/>
          <w:kern w:val="0"/>
          <w:sz w:val="32"/>
          <w:szCs w:val="32"/>
          <w:lang w:val="zh-CN"/>
        </w:rPr>
        <w:t>《</w:t>
      </w:r>
      <w:r>
        <w:rPr>
          <w:rFonts w:hint="eastAsia" w:ascii="仿宋_GB2312" w:hAnsi="仿宋_GB2312" w:eastAsia="仿宋_GB2312" w:cs="仿宋_GB2312"/>
          <w:sz w:val="32"/>
          <w:szCs w:val="32"/>
        </w:rPr>
        <w:t>关于开展2019年度四川省妇女儿童事业发展项目资金使用、项目实施及绩效评价工作的通知》；</w:t>
      </w:r>
    </w:p>
    <w:p w14:paraId="17852AF5">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7.</w:t>
      </w:r>
      <w:r>
        <w:rPr>
          <w:rFonts w:hint="eastAsia" w:ascii="仿宋_GB2312" w:hAnsi="宋体" w:eastAsia="仿宋_GB2312" w:cs="宋体"/>
          <w:kern w:val="0"/>
          <w:sz w:val="32"/>
          <w:szCs w:val="32"/>
          <w:lang w:val="zh-CN"/>
        </w:rPr>
        <w:t>阿坝州妇联《关于201</w:t>
      </w:r>
      <w:r>
        <w:rPr>
          <w:rFonts w:hint="eastAsia" w:ascii="仿宋_GB2312" w:hAnsi="宋体" w:eastAsia="仿宋_GB2312" w:cs="宋体"/>
          <w:kern w:val="0"/>
          <w:sz w:val="32"/>
          <w:szCs w:val="32"/>
        </w:rPr>
        <w:t>9</w:t>
      </w:r>
      <w:r>
        <w:rPr>
          <w:rFonts w:hint="eastAsia" w:ascii="仿宋_GB2312" w:hAnsi="宋体" w:eastAsia="仿宋_GB2312" w:cs="宋体"/>
          <w:kern w:val="0"/>
          <w:sz w:val="32"/>
          <w:szCs w:val="32"/>
          <w:lang w:val="zh-CN"/>
        </w:rPr>
        <w:t>年度四川省妇女儿童事业发展</w:t>
      </w:r>
      <w:r>
        <w:rPr>
          <w:rFonts w:hint="eastAsia" w:ascii="仿宋_GB2312" w:hAnsi="宋体" w:eastAsia="仿宋_GB2312" w:cs="宋体"/>
          <w:kern w:val="0"/>
          <w:sz w:val="32"/>
          <w:szCs w:val="32"/>
        </w:rPr>
        <w:t>项目</w:t>
      </w:r>
      <w:r>
        <w:rPr>
          <w:rFonts w:hint="eastAsia" w:ascii="仿宋_GB2312" w:hAnsi="宋体" w:eastAsia="仿宋_GB2312" w:cs="宋体"/>
          <w:kern w:val="0"/>
          <w:sz w:val="32"/>
          <w:szCs w:val="32"/>
          <w:lang w:val="zh-CN"/>
        </w:rPr>
        <w:t>资金使用、</w:t>
      </w:r>
      <w:r>
        <w:rPr>
          <w:rFonts w:hint="eastAsia" w:ascii="仿宋_GB2312" w:hAnsi="宋体" w:eastAsia="仿宋_GB2312" w:cs="宋体"/>
          <w:kern w:val="0"/>
          <w:sz w:val="32"/>
          <w:szCs w:val="32"/>
        </w:rPr>
        <w:t>项目实施和绩效评价</w:t>
      </w:r>
      <w:r>
        <w:rPr>
          <w:rFonts w:hint="eastAsia" w:ascii="仿宋_GB2312" w:hAnsi="宋体" w:eastAsia="仿宋_GB2312" w:cs="宋体"/>
          <w:kern w:val="0"/>
          <w:sz w:val="32"/>
          <w:szCs w:val="32"/>
          <w:lang w:val="zh-CN"/>
        </w:rPr>
        <w:t>情况</w:t>
      </w:r>
      <w:r>
        <w:rPr>
          <w:rFonts w:hint="eastAsia" w:ascii="仿宋_GB2312" w:hAnsi="宋体" w:eastAsia="仿宋_GB2312" w:cs="宋体"/>
          <w:kern w:val="0"/>
          <w:sz w:val="32"/>
          <w:szCs w:val="32"/>
        </w:rPr>
        <w:t>的总结</w:t>
      </w:r>
      <w:r>
        <w:rPr>
          <w:rFonts w:hint="eastAsia" w:ascii="仿宋_GB2312" w:hAnsi="宋体" w:eastAsia="仿宋_GB2312" w:cs="宋体"/>
          <w:kern w:val="0"/>
          <w:sz w:val="32"/>
          <w:szCs w:val="32"/>
          <w:lang w:val="zh-CN"/>
        </w:rPr>
        <w:t>》</w:t>
      </w:r>
      <w:r>
        <w:rPr>
          <w:rFonts w:hint="eastAsia" w:ascii="仿宋_GB2312" w:hAnsi="宋体" w:eastAsia="仿宋_GB2312" w:cs="宋体"/>
          <w:kern w:val="0"/>
          <w:sz w:val="32"/>
          <w:szCs w:val="32"/>
        </w:rPr>
        <w:t>;</w:t>
      </w:r>
    </w:p>
    <w:p w14:paraId="0300BBE9">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8.</w:t>
      </w:r>
      <w:r>
        <w:rPr>
          <w:rFonts w:hint="eastAsia" w:ascii="仿宋_GB2312" w:hAnsi="宋体" w:eastAsia="仿宋_GB2312" w:cs="宋体"/>
          <w:kern w:val="0"/>
          <w:sz w:val="32"/>
          <w:szCs w:val="32"/>
          <w:lang w:val="zh-CN"/>
        </w:rPr>
        <w:t>阿坝州妇联《</w:t>
      </w:r>
      <w:r>
        <w:rPr>
          <w:rFonts w:ascii="仿宋_GB2312" w:hAnsi="宋体" w:eastAsia="仿宋_GB2312" w:cs="宋体"/>
          <w:kern w:val="0"/>
          <w:sz w:val="32"/>
          <w:szCs w:val="32"/>
        </w:rPr>
        <w:t>“</w:t>
      </w:r>
      <w:r>
        <w:rPr>
          <w:rFonts w:hint="eastAsia" w:ascii="仿宋_GB2312" w:hAnsi="宋体" w:eastAsia="仿宋_GB2312" w:cs="宋体"/>
          <w:kern w:val="0"/>
          <w:sz w:val="32"/>
          <w:szCs w:val="32"/>
        </w:rPr>
        <w:t>妇女微家”实施方案</w:t>
      </w:r>
      <w:r>
        <w:rPr>
          <w:rFonts w:hint="eastAsia" w:ascii="仿宋_GB2312" w:hAnsi="宋体" w:eastAsia="仿宋_GB2312" w:cs="宋体"/>
          <w:kern w:val="0"/>
          <w:sz w:val="32"/>
          <w:szCs w:val="32"/>
          <w:lang w:val="zh-CN"/>
        </w:rPr>
        <w:t>》</w:t>
      </w:r>
      <w:r>
        <w:rPr>
          <w:rFonts w:hint="eastAsia" w:ascii="仿宋_GB2312" w:hAnsi="宋体" w:eastAsia="仿宋_GB2312" w:cs="宋体"/>
          <w:kern w:val="0"/>
          <w:sz w:val="32"/>
          <w:szCs w:val="32"/>
        </w:rPr>
        <w:t>;</w:t>
      </w:r>
    </w:p>
    <w:p w14:paraId="1B29BF21">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rPr>
        <w:t>9</w:t>
      </w:r>
      <w:r>
        <w:rPr>
          <w:rFonts w:hint="eastAsia" w:ascii="仿宋_GB2312" w:hAnsi="宋体" w:eastAsia="仿宋_GB2312" w:cs="宋体"/>
          <w:kern w:val="0"/>
          <w:sz w:val="32"/>
          <w:szCs w:val="32"/>
          <w:lang w:val="zh-CN"/>
        </w:rPr>
        <w:t>.阿坝州妇联与我所签订的《业务约定书》。</w:t>
      </w:r>
    </w:p>
    <w:p w14:paraId="5BE5C42F">
      <w:pPr>
        <w:pStyle w:val="3"/>
        <w:adjustRightInd w:val="0"/>
        <w:snapToGrid w:val="0"/>
        <w:spacing w:before="0" w:after="0" w:line="360" w:lineRule="auto"/>
        <w:ind w:firstLine="565" w:firstLineChars="176"/>
        <w:rPr>
          <w:rFonts w:ascii="楷体_GB2312"/>
        </w:rPr>
      </w:pPr>
      <w:bookmarkStart w:id="76" w:name="_Toc10624081"/>
      <w:r>
        <w:rPr>
          <w:rFonts w:hint="eastAsia" w:ascii="楷体_GB2312"/>
        </w:rPr>
        <w:t>（二）绩效评价指标体系</w:t>
      </w:r>
      <w:bookmarkEnd w:id="76"/>
    </w:p>
    <w:p w14:paraId="2E500D86">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本次审计设定的评价指标及权重如下：</w:t>
      </w:r>
    </w:p>
    <w:p w14:paraId="4548AC7C">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1.项目完成：含数量指标、质量指标、时效指标和成本指标四个二级指标（权重</w:t>
      </w:r>
      <w:r>
        <w:rPr>
          <w:rFonts w:ascii="仿宋_GB2312" w:hAnsi="宋体" w:eastAsia="仿宋_GB2312" w:cs="宋体"/>
          <w:kern w:val="0"/>
          <w:sz w:val="32"/>
          <w:szCs w:val="32"/>
          <w:lang w:val="zh-CN"/>
        </w:rPr>
        <w:t>56</w:t>
      </w:r>
      <w:r>
        <w:rPr>
          <w:rFonts w:hint="eastAsia" w:ascii="仿宋_GB2312" w:hAnsi="宋体" w:eastAsia="仿宋_GB2312" w:cs="宋体"/>
          <w:kern w:val="0"/>
          <w:sz w:val="32"/>
          <w:szCs w:val="32"/>
          <w:lang w:val="zh-CN"/>
        </w:rPr>
        <w:t>分）；</w:t>
      </w:r>
    </w:p>
    <w:p w14:paraId="5820105E">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2.项目效益：含经济效益、社会效益、生态效益和可持续影响指标四个二级指标（权重</w:t>
      </w:r>
      <w:r>
        <w:rPr>
          <w:rFonts w:ascii="仿宋_GB2312" w:hAnsi="宋体" w:eastAsia="仿宋_GB2312" w:cs="宋体"/>
          <w:kern w:val="0"/>
          <w:sz w:val="32"/>
          <w:szCs w:val="32"/>
          <w:lang w:val="zh-CN"/>
        </w:rPr>
        <w:t>24</w:t>
      </w:r>
      <w:r>
        <w:rPr>
          <w:rFonts w:hint="eastAsia" w:ascii="仿宋_GB2312" w:hAnsi="宋体" w:eastAsia="仿宋_GB2312" w:cs="宋体"/>
          <w:kern w:val="0"/>
          <w:sz w:val="32"/>
          <w:szCs w:val="32"/>
          <w:lang w:val="zh-CN"/>
        </w:rPr>
        <w:t>分）；</w:t>
      </w:r>
    </w:p>
    <w:p w14:paraId="3F16E2F9">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3.项目满意度：主要测评项目相关人员满意度（权重20分）。</w:t>
      </w:r>
    </w:p>
    <w:p w14:paraId="133D9B21">
      <w:pPr>
        <w:pStyle w:val="3"/>
        <w:adjustRightInd w:val="0"/>
        <w:snapToGrid w:val="0"/>
        <w:spacing w:before="0" w:after="0" w:line="360" w:lineRule="auto"/>
        <w:ind w:firstLine="565" w:firstLineChars="176"/>
        <w:rPr>
          <w:rFonts w:ascii="楷体_GB2312"/>
        </w:rPr>
      </w:pPr>
      <w:bookmarkStart w:id="77" w:name="_Toc10624082"/>
      <w:r>
        <w:rPr>
          <w:rFonts w:hint="eastAsia" w:ascii="楷体_GB2312"/>
        </w:rPr>
        <w:t>（三）评价标准</w:t>
      </w:r>
      <w:bookmarkEnd w:id="77"/>
    </w:p>
    <w:p w14:paraId="0185CDD5">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1.计划标准，即目标计划、工作量完成计划等；</w:t>
      </w:r>
    </w:p>
    <w:p w14:paraId="4B8DE918">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2.合同约定标准。</w:t>
      </w:r>
    </w:p>
    <w:p w14:paraId="730DCF49">
      <w:pPr>
        <w:pStyle w:val="3"/>
        <w:adjustRightInd w:val="0"/>
        <w:snapToGrid w:val="0"/>
        <w:spacing w:before="0" w:after="0" w:line="360" w:lineRule="auto"/>
        <w:ind w:firstLine="565" w:firstLineChars="176"/>
        <w:rPr>
          <w:rFonts w:ascii="楷体_GB2312"/>
        </w:rPr>
      </w:pPr>
      <w:bookmarkStart w:id="78" w:name="_Toc10624083"/>
      <w:r>
        <w:rPr>
          <w:rFonts w:hint="eastAsia" w:ascii="楷体_GB2312"/>
        </w:rPr>
        <w:t>（四）财政项目支出绩效评价方法</w:t>
      </w:r>
      <w:bookmarkEnd w:id="78"/>
    </w:p>
    <w:p w14:paraId="25A0E1F7">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根据财政项目支出绩效评价的依据和原则，我们主要采用了目标预定与实施效果比较法，兼以实地调研和发放问卷调查法等评价方法。</w:t>
      </w:r>
    </w:p>
    <w:p w14:paraId="7ABB35AE">
      <w:pPr>
        <w:pStyle w:val="2"/>
        <w:adjustRightInd w:val="0"/>
        <w:snapToGrid w:val="0"/>
        <w:spacing w:before="0" w:after="0" w:line="360" w:lineRule="auto"/>
        <w:ind w:firstLine="567"/>
        <w:rPr>
          <w:rFonts w:ascii="黑体" w:hAnsi="黑体" w:eastAsia="黑体"/>
          <w:bCs w:val="0"/>
          <w:color w:val="000000"/>
          <w:kern w:val="2"/>
          <w:sz w:val="32"/>
          <w:szCs w:val="32"/>
          <w:lang w:val="zh-CN"/>
        </w:rPr>
      </w:pPr>
      <w:bookmarkStart w:id="79" w:name="_Toc10624084"/>
      <w:r>
        <w:rPr>
          <w:rFonts w:hint="eastAsia" w:ascii="黑体" w:hAnsi="黑体" w:eastAsia="黑体"/>
          <w:bCs w:val="0"/>
          <w:color w:val="000000"/>
          <w:kern w:val="2"/>
          <w:sz w:val="32"/>
          <w:szCs w:val="32"/>
          <w:lang w:val="zh-CN"/>
        </w:rPr>
        <w:t>四、绩效目标的实现程度</w:t>
      </w:r>
      <w:bookmarkEnd w:id="79"/>
    </w:p>
    <w:p w14:paraId="4FDD8434">
      <w:pPr>
        <w:pStyle w:val="3"/>
        <w:adjustRightInd w:val="0"/>
        <w:snapToGrid w:val="0"/>
        <w:spacing w:before="0" w:after="0" w:line="360" w:lineRule="auto"/>
        <w:ind w:firstLine="565" w:firstLineChars="176"/>
        <w:rPr>
          <w:rFonts w:ascii="楷体_GB2312"/>
        </w:rPr>
      </w:pPr>
      <w:bookmarkStart w:id="80" w:name="_Toc10624085"/>
      <w:bookmarkStart w:id="81" w:name="_Toc9865190"/>
      <w:r>
        <w:rPr>
          <w:rFonts w:hint="eastAsia" w:ascii="楷体_GB2312"/>
        </w:rPr>
        <w:t>（一）项目完成情况分析</w:t>
      </w:r>
      <w:bookmarkEnd w:id="80"/>
      <w:bookmarkEnd w:id="81"/>
    </w:p>
    <w:p w14:paraId="52A34C9D">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1.项目完成数量分析</w:t>
      </w:r>
    </w:p>
    <w:p w14:paraId="5F860B04">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r>
        <w:rPr>
          <w:rFonts w:hint="eastAsia" w:ascii="仿宋" w:hAnsi="仿宋" w:eastAsia="仿宋" w:cs="仿宋"/>
          <w:sz w:val="32"/>
          <w:szCs w:val="32"/>
        </w:rPr>
        <w:t>针对民族地区差异，分别在藏区和羌区共建立3个“妇女微家”。其中：2019年7月18日在马尔康市松岗镇松岗村党支部书记赵春秀同志的家中设立“嘉康·妇女微家”；2019年8月27日在马尔康市卓克基镇西索村团支部书记扎斯满家中设立“嘉绒德咪·妇女微家”；2019年11月7日，于汶川县水磨镇来料加工厂设立“尔玛·妇女微家”。在2019年7月-11月期间共计开展活动7次。服务妇女儿童700多人。</w:t>
      </w:r>
      <w:r>
        <w:rPr>
          <w:rFonts w:hint="eastAsia" w:ascii="仿宋_GB2312" w:hAnsi="宋体" w:eastAsia="仿宋_GB2312" w:cs="宋体"/>
          <w:kern w:val="0"/>
          <w:sz w:val="32"/>
          <w:szCs w:val="32"/>
          <w:lang w:val="zh-CN"/>
        </w:rPr>
        <w:t>超额完成了预期指标值。</w:t>
      </w:r>
    </w:p>
    <w:p w14:paraId="206AAADA">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2.项目完成质量情况分析</w:t>
      </w:r>
    </w:p>
    <w:p w14:paraId="31FFE1EB">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微家的设立，统一了标识，并各自具有民族地区特色，根据妇女微家职能、职责及当地妇女实际需求，制定妇女微家工作制度。活动类型开展丰富，填补妇女需求空白。活动类型的设置，依托当地现有资源、重大节日、以满足妇女群众健康知识需求、法律政策需求、休闲娱乐需求为目的。超额完成了指标值。</w:t>
      </w:r>
    </w:p>
    <w:p w14:paraId="0E2240D1">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3.项目完成时效分析</w:t>
      </w:r>
    </w:p>
    <w:p w14:paraId="733FAC3D">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bookmarkStart w:id="82" w:name="_Hlk9864041"/>
      <w:r>
        <w:rPr>
          <w:rFonts w:hint="eastAsia" w:ascii="仿宋_GB2312" w:hAnsi="宋体" w:eastAsia="仿宋_GB2312" w:cs="宋体"/>
          <w:kern w:val="0"/>
          <w:sz w:val="32"/>
          <w:szCs w:val="32"/>
          <w:lang w:val="zh-CN"/>
        </w:rPr>
        <w:t>11月底前</w:t>
      </w:r>
      <w:r>
        <w:rPr>
          <w:rFonts w:hint="eastAsia" w:ascii="仿宋" w:hAnsi="仿宋" w:eastAsia="仿宋" w:cs="仿宋"/>
          <w:sz w:val="32"/>
          <w:szCs w:val="32"/>
          <w:lang w:val="zh-CN"/>
        </w:rPr>
        <w:t>完成</w:t>
      </w:r>
      <w:r>
        <w:rPr>
          <w:rFonts w:hint="eastAsia" w:ascii="仿宋" w:hAnsi="仿宋" w:eastAsia="仿宋" w:cs="仿宋"/>
          <w:sz w:val="32"/>
          <w:szCs w:val="32"/>
        </w:rPr>
        <w:t>3个</w:t>
      </w:r>
      <w:r>
        <w:rPr>
          <w:rFonts w:hint="eastAsia" w:ascii="仿宋" w:hAnsi="仿宋" w:eastAsia="仿宋" w:cs="仿宋"/>
          <w:sz w:val="32"/>
          <w:szCs w:val="32"/>
          <w:lang w:val="zh-CN"/>
        </w:rPr>
        <w:t>“妇女微家”建立；</w:t>
      </w:r>
      <w:r>
        <w:rPr>
          <w:rFonts w:hint="eastAsia" w:ascii="仿宋" w:hAnsi="仿宋" w:eastAsia="仿宋" w:cs="仿宋"/>
          <w:sz w:val="32"/>
          <w:szCs w:val="32"/>
        </w:rPr>
        <w:t>在2019年7月-11月期间共计开展活动7次；其中：</w:t>
      </w:r>
      <w:r>
        <w:rPr>
          <w:rFonts w:ascii="仿宋" w:hAnsi="仿宋" w:eastAsia="仿宋" w:cs="仿宋"/>
          <w:sz w:val="32"/>
          <w:szCs w:val="32"/>
        </w:rPr>
        <w:t>①</w:t>
      </w:r>
      <w:r>
        <w:rPr>
          <w:rFonts w:hint="eastAsia" w:ascii="仿宋" w:hAnsi="仿宋" w:eastAsia="仿宋" w:cs="仿宋"/>
          <w:sz w:val="32"/>
          <w:szCs w:val="32"/>
          <w:lang w:val="zh-CN"/>
        </w:rPr>
        <w:t>“</w:t>
      </w:r>
      <w:r>
        <w:rPr>
          <w:rFonts w:hint="eastAsia" w:ascii="仿宋" w:hAnsi="仿宋" w:eastAsia="仿宋" w:cs="仿宋"/>
          <w:sz w:val="32"/>
          <w:szCs w:val="32"/>
        </w:rPr>
        <w:t>嘉绒德咪·妇女微家”开展了“两癌”健康知识宣传讲座和巾帼风采·贺祖国华诞主题活动；</w:t>
      </w:r>
      <w:r>
        <w:rPr>
          <w:rFonts w:ascii="仿宋" w:hAnsi="仿宋" w:eastAsia="仿宋" w:cs="仿宋"/>
          <w:sz w:val="32"/>
          <w:szCs w:val="32"/>
        </w:rPr>
        <w:t>②</w:t>
      </w:r>
      <w:r>
        <w:rPr>
          <w:rFonts w:hint="eastAsia" w:ascii="仿宋" w:hAnsi="仿宋" w:eastAsia="仿宋" w:cs="仿宋"/>
          <w:sz w:val="32"/>
          <w:szCs w:val="32"/>
          <w:lang w:val="zh-CN"/>
        </w:rPr>
        <w:t>“</w:t>
      </w:r>
      <w:r>
        <w:rPr>
          <w:rFonts w:hint="eastAsia" w:ascii="仿宋" w:hAnsi="仿宋" w:eastAsia="仿宋" w:cs="仿宋"/>
          <w:sz w:val="32"/>
          <w:szCs w:val="32"/>
        </w:rPr>
        <w:t>嘉康·妇女微家”开展了传承非遗文化·展示民族风采主题活动和千针万线绣风采·祖国华诞献贺礼主题活动；</w:t>
      </w:r>
      <w:r>
        <w:rPr>
          <w:rFonts w:ascii="仿宋" w:hAnsi="仿宋" w:eastAsia="仿宋" w:cs="仿宋"/>
          <w:sz w:val="32"/>
          <w:szCs w:val="32"/>
        </w:rPr>
        <w:t>③</w:t>
      </w:r>
      <w:r>
        <w:rPr>
          <w:rFonts w:hint="eastAsia" w:ascii="仿宋" w:hAnsi="仿宋" w:eastAsia="仿宋" w:cs="仿宋"/>
          <w:sz w:val="32"/>
          <w:szCs w:val="32"/>
          <w:lang w:val="zh-CN"/>
        </w:rPr>
        <w:t>“</w:t>
      </w:r>
      <w:r>
        <w:rPr>
          <w:rFonts w:hint="eastAsia" w:ascii="仿宋" w:hAnsi="仿宋" w:eastAsia="仿宋" w:cs="仿宋"/>
          <w:sz w:val="32"/>
          <w:szCs w:val="32"/>
        </w:rPr>
        <w:t>尔玛·妇女微家”开展了揭牌仪式暨来料加工技能大赛、小微大爱·心中有爱主题</w:t>
      </w:r>
      <w:r>
        <w:rPr>
          <w:rFonts w:hint="eastAsia" w:ascii="仿宋_GB2312" w:hAnsi="宋体" w:eastAsia="仿宋_GB2312" w:cs="宋体"/>
          <w:kern w:val="0"/>
          <w:sz w:val="32"/>
          <w:szCs w:val="32"/>
        </w:rPr>
        <w:t>活动、携手并进·与你同行主题活动；但筹备活动的自主组织力较弱。</w:t>
      </w:r>
      <w:r>
        <w:rPr>
          <w:rFonts w:hint="eastAsia" w:ascii="仿宋_GB2312" w:hAnsi="宋体" w:eastAsia="仿宋_GB2312" w:cs="宋体"/>
          <w:kern w:val="0"/>
          <w:sz w:val="32"/>
          <w:szCs w:val="32"/>
          <w:lang w:val="zh-CN"/>
        </w:rPr>
        <w:t>基本完成了预期指标值。</w:t>
      </w:r>
    </w:p>
    <w:bookmarkEnd w:id="82"/>
    <w:p w14:paraId="7F856773">
      <w:pPr>
        <w:pStyle w:val="3"/>
        <w:adjustRightInd w:val="0"/>
        <w:snapToGrid w:val="0"/>
        <w:spacing w:before="0" w:after="0" w:line="360" w:lineRule="auto"/>
        <w:ind w:firstLine="565" w:firstLineChars="176"/>
        <w:rPr>
          <w:rFonts w:ascii="楷体_GB2312"/>
        </w:rPr>
      </w:pPr>
      <w:bookmarkStart w:id="83" w:name="_Toc10624086"/>
      <w:bookmarkStart w:id="84" w:name="_Toc9865191"/>
      <w:r>
        <w:rPr>
          <w:rFonts w:hint="eastAsia" w:ascii="楷体_GB2312"/>
        </w:rPr>
        <w:t>（二）项目效果和效益情况分析</w:t>
      </w:r>
      <w:bookmarkEnd w:id="83"/>
      <w:bookmarkEnd w:id="84"/>
    </w:p>
    <w:p w14:paraId="554323EF">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1.项目社会效益分析</w:t>
      </w:r>
    </w:p>
    <w:p w14:paraId="5D6413FF">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实现了 “妇女微家”六大职能任务：1、宣传党的政策，强化思想政治引领。2、密切联系妇女，服务贴近妇情民意。3、开展就业指导，助推妇女就业创业。4、加强教育引导，提供法律维权服务。5、注重立德树人，开展家庭文化建设。6、聚集社会资源，推进公益志愿服务。</w:t>
      </w:r>
      <w:r>
        <w:rPr>
          <w:rFonts w:hint="eastAsia" w:ascii="仿宋_GB2312" w:hAnsi="宋体" w:eastAsia="仿宋_GB2312" w:cs="宋体"/>
          <w:kern w:val="0"/>
          <w:sz w:val="32"/>
          <w:szCs w:val="32"/>
        </w:rPr>
        <w:t>但筹备活动的自主组织力较弱</w:t>
      </w:r>
      <w:r>
        <w:rPr>
          <w:rFonts w:hint="eastAsia" w:ascii="仿宋_GB2312" w:hAnsi="宋体" w:eastAsia="仿宋_GB2312" w:cs="宋体"/>
          <w:kern w:val="0"/>
          <w:sz w:val="32"/>
          <w:szCs w:val="32"/>
          <w:lang w:val="zh-CN"/>
        </w:rPr>
        <w:t>。基本完成了预期指标值。</w:t>
      </w:r>
    </w:p>
    <w:p w14:paraId="186A5194">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2.项目生态效益分析</w:t>
      </w:r>
    </w:p>
    <w:p w14:paraId="748AD9FF">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“妇女微家”项目的实施，未对生态造成破坏。完成了预期指标值。</w:t>
      </w:r>
    </w:p>
    <w:p w14:paraId="6CBDC8E6">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3.项目可持续影响分析</w:t>
      </w:r>
    </w:p>
    <w:p w14:paraId="2B4A18DE">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“妇女微家”</w:t>
      </w:r>
      <w:r>
        <w:rPr>
          <w:rFonts w:hint="eastAsia" w:ascii="仿宋_GB2312" w:hAnsi="宋体" w:eastAsia="仿宋_GB2312" w:cs="宋体"/>
          <w:kern w:val="0"/>
          <w:sz w:val="32"/>
          <w:szCs w:val="32"/>
        </w:rPr>
        <w:t>建立后，有相应的管理制度，能长期服务妇女儿童，但制度内容不够完善</w:t>
      </w:r>
      <w:r>
        <w:rPr>
          <w:rFonts w:hint="eastAsia" w:ascii="仿宋_GB2312" w:hAnsi="宋体" w:eastAsia="仿宋_GB2312" w:cs="宋体"/>
          <w:kern w:val="0"/>
          <w:sz w:val="32"/>
          <w:szCs w:val="32"/>
          <w:lang w:val="zh-CN"/>
        </w:rPr>
        <w:t>。完成了预期指标值。</w:t>
      </w:r>
    </w:p>
    <w:p w14:paraId="73654EA2">
      <w:pPr>
        <w:pStyle w:val="3"/>
        <w:adjustRightInd w:val="0"/>
        <w:snapToGrid w:val="0"/>
        <w:spacing w:before="0" w:after="0" w:line="360" w:lineRule="auto"/>
        <w:ind w:firstLine="565" w:firstLineChars="176"/>
        <w:rPr>
          <w:rFonts w:ascii="楷体_GB2312"/>
        </w:rPr>
      </w:pPr>
      <w:bookmarkStart w:id="85" w:name="_Toc9865192"/>
      <w:bookmarkStart w:id="86" w:name="_Toc10624087"/>
      <w:r>
        <w:rPr>
          <w:rFonts w:hint="eastAsia" w:ascii="楷体_GB2312"/>
        </w:rPr>
        <w:t>（三）满意度情况分析</w:t>
      </w:r>
      <w:bookmarkEnd w:id="85"/>
      <w:bookmarkEnd w:id="86"/>
    </w:p>
    <w:p w14:paraId="38D08CE3">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rPr>
        <w:t>此次发放115份问卷调查表，</w:t>
      </w:r>
      <w:r>
        <w:rPr>
          <w:rFonts w:hint="eastAsia" w:ascii="仿宋_GB2312" w:hAnsi="宋体" w:eastAsia="仿宋_GB2312" w:cs="宋体"/>
          <w:kern w:val="0"/>
          <w:sz w:val="32"/>
          <w:szCs w:val="32"/>
          <w:lang w:val="zh-CN"/>
        </w:rPr>
        <w:t>通过问卷调查，“妇女微家”项目的实施满意度达到80%以上。完成了预期指标值。</w:t>
      </w:r>
    </w:p>
    <w:p w14:paraId="7BFF8602">
      <w:pPr>
        <w:pStyle w:val="2"/>
        <w:adjustRightInd w:val="0"/>
        <w:snapToGrid w:val="0"/>
        <w:spacing w:before="0" w:after="0" w:line="360" w:lineRule="auto"/>
        <w:ind w:firstLine="567"/>
        <w:rPr>
          <w:rFonts w:ascii="黑体" w:hAnsi="黑体" w:eastAsia="黑体"/>
          <w:bCs w:val="0"/>
          <w:color w:val="000000"/>
          <w:kern w:val="2"/>
          <w:sz w:val="32"/>
          <w:szCs w:val="32"/>
          <w:lang w:val="zh-CN"/>
        </w:rPr>
      </w:pPr>
      <w:bookmarkStart w:id="87" w:name="_Toc10624088"/>
      <w:r>
        <w:rPr>
          <w:rFonts w:hint="eastAsia" w:ascii="黑体" w:hAnsi="黑体" w:eastAsia="黑体"/>
          <w:bCs w:val="0"/>
          <w:color w:val="000000"/>
          <w:kern w:val="2"/>
          <w:sz w:val="32"/>
          <w:szCs w:val="32"/>
          <w:lang w:val="zh-CN"/>
        </w:rPr>
        <w:t>五、评价结论</w:t>
      </w:r>
      <w:bookmarkEnd w:id="87"/>
    </w:p>
    <w:p w14:paraId="7DE65FAA">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我们根据本次专项审计的评价指标体系，对阿坝州妇联2019年度四川省妇女儿童事业发展专项资金“妇女微家”项目的资金支出进行了评价打分，综合得分94分。项目完成较好，具体如下：</w:t>
      </w:r>
    </w:p>
    <w:p w14:paraId="2D2C3825">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u w:val="single"/>
          <w:lang w:val="zh-CN"/>
        </w:rPr>
      </w:pPr>
      <w:r>
        <w:rPr>
          <w:rFonts w:hint="eastAsia" w:ascii="仿宋_GB2312" w:hAnsi="宋体" w:eastAsia="仿宋_GB2312" w:cs="宋体"/>
          <w:kern w:val="0"/>
          <w:sz w:val="32"/>
          <w:szCs w:val="32"/>
          <w:lang w:val="zh-CN"/>
        </w:rPr>
        <w:t>1.项目完成：标准分值56分，评价实际得分5</w:t>
      </w:r>
      <w:r>
        <w:rPr>
          <w:rFonts w:hint="eastAsia" w:ascii="仿宋_GB2312" w:hAnsi="宋体" w:eastAsia="仿宋_GB2312" w:cs="宋体"/>
          <w:kern w:val="0"/>
          <w:sz w:val="32"/>
          <w:szCs w:val="32"/>
        </w:rPr>
        <w:t>4</w:t>
      </w:r>
      <w:r>
        <w:rPr>
          <w:rFonts w:hint="eastAsia" w:ascii="仿宋_GB2312" w:hAnsi="宋体" w:eastAsia="仿宋_GB2312" w:cs="宋体"/>
          <w:kern w:val="0"/>
          <w:sz w:val="32"/>
          <w:szCs w:val="32"/>
          <w:lang w:val="zh-CN"/>
        </w:rPr>
        <w:t>分；</w:t>
      </w:r>
    </w:p>
    <w:p w14:paraId="5CDFEC86">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2.项目</w:t>
      </w:r>
      <w:r>
        <w:rPr>
          <w:rFonts w:hint="eastAsia" w:ascii="仿宋_GB2312" w:hAnsi="宋体" w:eastAsia="仿宋_GB2312" w:cs="宋体"/>
          <w:kern w:val="0"/>
          <w:sz w:val="32"/>
          <w:szCs w:val="32"/>
        </w:rPr>
        <w:t>绩效</w:t>
      </w:r>
      <w:r>
        <w:rPr>
          <w:rFonts w:hint="eastAsia" w:ascii="仿宋_GB2312" w:hAnsi="宋体" w:eastAsia="仿宋_GB2312" w:cs="宋体"/>
          <w:kern w:val="0"/>
          <w:sz w:val="32"/>
          <w:szCs w:val="32"/>
          <w:lang w:val="zh-CN"/>
        </w:rPr>
        <w:t>：标准分值24分，评价实际得分2</w:t>
      </w:r>
      <w:r>
        <w:rPr>
          <w:rFonts w:hint="eastAsia" w:ascii="仿宋_GB2312" w:hAnsi="宋体" w:eastAsia="仿宋_GB2312" w:cs="宋体"/>
          <w:kern w:val="0"/>
          <w:sz w:val="32"/>
          <w:szCs w:val="32"/>
        </w:rPr>
        <w:t>0</w:t>
      </w:r>
      <w:r>
        <w:rPr>
          <w:rFonts w:hint="eastAsia" w:ascii="仿宋_GB2312" w:hAnsi="宋体" w:eastAsia="仿宋_GB2312" w:cs="宋体"/>
          <w:kern w:val="0"/>
          <w:sz w:val="32"/>
          <w:szCs w:val="32"/>
          <w:lang w:val="zh-CN"/>
        </w:rPr>
        <w:t>分；</w:t>
      </w:r>
    </w:p>
    <w:p w14:paraId="5C0DDBE7">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3.项目满意度：标准分值20分，评价实际得分20分。</w:t>
      </w:r>
    </w:p>
    <w:p w14:paraId="67F88C30">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阿坝州妇联2019年度四川省妇女儿童事业发展专项资金“妇女微家”项目</w:t>
      </w:r>
      <w:r>
        <w:rPr>
          <w:rFonts w:hint="eastAsia" w:ascii="仿宋_GB2312" w:hAnsi="宋体" w:eastAsia="仿宋_GB2312" w:cs="宋体"/>
          <w:kern w:val="0"/>
          <w:sz w:val="32"/>
          <w:szCs w:val="32"/>
        </w:rPr>
        <w:t>已基本</w:t>
      </w:r>
      <w:r>
        <w:rPr>
          <w:rFonts w:hint="eastAsia" w:ascii="仿宋_GB2312" w:hAnsi="宋体" w:eastAsia="仿宋_GB2312" w:cs="宋体"/>
          <w:kern w:val="0"/>
          <w:sz w:val="32"/>
          <w:szCs w:val="32"/>
          <w:lang w:val="zh-CN"/>
        </w:rPr>
        <w:t>完成了预期指标值。但</w:t>
      </w:r>
      <w:r>
        <w:rPr>
          <w:rFonts w:hint="eastAsia" w:ascii="仿宋_GB2312" w:hAnsi="宋体" w:eastAsia="仿宋_GB2312" w:cs="宋体"/>
          <w:kern w:val="0"/>
          <w:sz w:val="32"/>
          <w:szCs w:val="32"/>
        </w:rPr>
        <w:t>在</w:t>
      </w:r>
      <w:r>
        <w:rPr>
          <w:rFonts w:hint="eastAsia" w:ascii="仿宋_GB2312" w:hAnsi="宋体" w:eastAsia="仿宋_GB2312" w:cs="宋体"/>
          <w:kern w:val="0"/>
          <w:sz w:val="32"/>
          <w:szCs w:val="32"/>
          <w:lang w:val="zh-CN"/>
        </w:rPr>
        <w:t>筹备活动的自主组织力</w:t>
      </w:r>
      <w:r>
        <w:rPr>
          <w:rFonts w:hint="eastAsia" w:ascii="仿宋_GB2312" w:hAnsi="宋体" w:eastAsia="仿宋_GB2312" w:cs="宋体"/>
          <w:kern w:val="0"/>
          <w:sz w:val="32"/>
          <w:szCs w:val="32"/>
        </w:rPr>
        <w:t>方面</w:t>
      </w:r>
      <w:r>
        <w:rPr>
          <w:rFonts w:hint="eastAsia" w:ascii="仿宋_GB2312" w:hAnsi="宋体" w:eastAsia="仿宋_GB2312" w:cs="宋体"/>
          <w:kern w:val="0"/>
          <w:sz w:val="32"/>
          <w:szCs w:val="32"/>
          <w:lang w:val="zh-CN"/>
        </w:rPr>
        <w:t>较弱</w:t>
      </w:r>
      <w:r>
        <w:rPr>
          <w:rFonts w:hint="eastAsia" w:ascii="仿宋_GB2312" w:hAnsi="宋体" w:eastAsia="仿宋_GB2312" w:cs="宋体"/>
          <w:kern w:val="0"/>
          <w:sz w:val="32"/>
          <w:szCs w:val="32"/>
        </w:rPr>
        <w:t>以及妇女微家的工作制度不够完善</w:t>
      </w:r>
      <w:r>
        <w:rPr>
          <w:rFonts w:hint="eastAsia" w:ascii="仿宋_GB2312" w:hAnsi="宋体" w:eastAsia="仿宋_GB2312" w:cs="宋体"/>
          <w:kern w:val="0"/>
          <w:sz w:val="32"/>
          <w:szCs w:val="32"/>
          <w:lang w:val="zh-CN"/>
        </w:rPr>
        <w:t>。</w:t>
      </w:r>
    </w:p>
    <w:p w14:paraId="63F4BEEF">
      <w:pPr>
        <w:pStyle w:val="2"/>
        <w:adjustRightInd w:val="0"/>
        <w:snapToGrid w:val="0"/>
        <w:spacing w:before="0" w:after="0" w:line="360" w:lineRule="auto"/>
        <w:ind w:firstLine="567"/>
        <w:rPr>
          <w:rFonts w:ascii="黑体" w:hAnsi="黑体" w:eastAsia="黑体"/>
          <w:bCs w:val="0"/>
          <w:color w:val="000000"/>
          <w:kern w:val="2"/>
          <w:sz w:val="32"/>
          <w:szCs w:val="32"/>
          <w:lang w:val="zh-CN"/>
        </w:rPr>
      </w:pPr>
      <w:bookmarkStart w:id="88" w:name="_Toc10624089"/>
      <w:r>
        <w:rPr>
          <w:rFonts w:hint="eastAsia" w:ascii="黑体" w:hAnsi="黑体" w:eastAsia="黑体"/>
          <w:bCs w:val="0"/>
          <w:color w:val="000000"/>
          <w:kern w:val="2"/>
          <w:sz w:val="32"/>
          <w:szCs w:val="32"/>
          <w:lang w:val="zh-CN"/>
        </w:rPr>
        <w:t>六、存在的主要问题</w:t>
      </w:r>
      <w:bookmarkEnd w:id="88"/>
    </w:p>
    <w:p w14:paraId="0D417DD3">
      <w:pPr>
        <w:overflowPunct w:val="0"/>
        <w:adjustRightInd w:val="0"/>
        <w:snapToGrid w:val="0"/>
        <w:spacing w:line="360" w:lineRule="auto"/>
        <w:ind w:firstLine="640" w:firstLineChars="200"/>
        <w:textAlignment w:val="baseline"/>
        <w:rPr>
          <w:rFonts w:ascii="仿宋_GB2312" w:hAnsi="宋体" w:eastAsia="仿宋_GB2312" w:cs="仿宋_GB2312"/>
          <w:bCs/>
          <w:sz w:val="32"/>
          <w:szCs w:val="32"/>
        </w:rPr>
      </w:pPr>
      <w:r>
        <w:rPr>
          <w:rFonts w:hint="eastAsia" w:ascii="仿宋_GB2312" w:hAnsi="宋体" w:eastAsia="仿宋_GB2312" w:cs="宋体"/>
          <w:kern w:val="0"/>
          <w:sz w:val="32"/>
          <w:szCs w:val="32"/>
        </w:rPr>
        <w:t>在</w:t>
      </w:r>
      <w:r>
        <w:rPr>
          <w:rFonts w:hint="eastAsia" w:ascii="仿宋_GB2312" w:hAnsi="宋体" w:eastAsia="仿宋_GB2312" w:cs="宋体"/>
          <w:kern w:val="0"/>
          <w:sz w:val="32"/>
          <w:szCs w:val="32"/>
          <w:lang w:val="zh-CN"/>
        </w:rPr>
        <w:t>筹备活动的自主组织力</w:t>
      </w:r>
      <w:r>
        <w:rPr>
          <w:rFonts w:hint="eastAsia" w:ascii="仿宋_GB2312" w:hAnsi="宋体" w:eastAsia="仿宋_GB2312" w:cs="宋体"/>
          <w:kern w:val="0"/>
          <w:sz w:val="32"/>
          <w:szCs w:val="32"/>
        </w:rPr>
        <w:t>方面</w:t>
      </w:r>
      <w:r>
        <w:rPr>
          <w:rFonts w:hint="eastAsia" w:ascii="仿宋_GB2312" w:hAnsi="宋体" w:eastAsia="仿宋_GB2312" w:cs="宋体"/>
          <w:kern w:val="0"/>
          <w:sz w:val="32"/>
          <w:szCs w:val="32"/>
          <w:lang w:val="zh-CN"/>
        </w:rPr>
        <w:t>较弱</w:t>
      </w:r>
      <w:r>
        <w:rPr>
          <w:rFonts w:hint="eastAsia" w:ascii="仿宋_GB2312" w:hAnsi="宋体" w:eastAsia="仿宋_GB2312" w:cs="宋体"/>
          <w:kern w:val="0"/>
          <w:sz w:val="32"/>
          <w:szCs w:val="32"/>
        </w:rPr>
        <w:t>以及妇女微家的工作制度不够完善</w:t>
      </w:r>
      <w:r>
        <w:rPr>
          <w:rFonts w:hint="eastAsia" w:ascii="仿宋_GB2312" w:hAnsi="宋体" w:eastAsia="仿宋_GB2312" w:cs="宋体"/>
          <w:kern w:val="0"/>
          <w:sz w:val="32"/>
          <w:szCs w:val="32"/>
          <w:lang w:val="zh-CN"/>
        </w:rPr>
        <w:t>。</w:t>
      </w:r>
    </w:p>
    <w:p w14:paraId="143E8C07">
      <w:pPr>
        <w:pStyle w:val="2"/>
        <w:adjustRightInd w:val="0"/>
        <w:snapToGrid w:val="0"/>
        <w:spacing w:before="0" w:after="0" w:line="360" w:lineRule="auto"/>
        <w:ind w:firstLine="567"/>
        <w:rPr>
          <w:rFonts w:ascii="黑体" w:hAnsi="黑体" w:eastAsia="黑体"/>
          <w:bCs w:val="0"/>
          <w:color w:val="000000"/>
          <w:kern w:val="2"/>
          <w:sz w:val="32"/>
          <w:szCs w:val="32"/>
          <w:lang w:val="zh-CN"/>
        </w:rPr>
      </w:pPr>
      <w:bookmarkStart w:id="89" w:name="_Toc10624090"/>
      <w:r>
        <w:rPr>
          <w:rFonts w:hint="eastAsia" w:ascii="黑体" w:hAnsi="黑体" w:eastAsia="黑体"/>
          <w:bCs w:val="0"/>
          <w:color w:val="000000"/>
          <w:kern w:val="2"/>
          <w:sz w:val="32"/>
          <w:szCs w:val="32"/>
          <w:lang w:val="zh-CN"/>
        </w:rPr>
        <w:t>七、建议</w:t>
      </w:r>
      <w:bookmarkEnd w:id="89"/>
    </w:p>
    <w:p w14:paraId="31C09E9A">
      <w:pPr>
        <w:overflowPunct w:val="0"/>
        <w:adjustRightInd w:val="0"/>
        <w:snapToGrid w:val="0"/>
        <w:spacing w:line="360" w:lineRule="auto"/>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提高筹备活动的自主组织力，</w:t>
      </w:r>
      <w:r>
        <w:rPr>
          <w:rFonts w:hint="eastAsia" w:ascii="仿宋_GB2312" w:hAnsi="宋体" w:eastAsia="仿宋_GB2312" w:cs="宋体"/>
          <w:kern w:val="0"/>
          <w:sz w:val="32"/>
          <w:szCs w:val="32"/>
          <w:lang w:val="zh-CN"/>
        </w:rPr>
        <w:t>定期对妇女微家负责人进行专业培训，提升妇女微家负责人组织“妇女微家”能力；在妇女群众中，筛选更多的优秀妇女同胞，树立典型，带动妇女群众积极性，提升向心力；</w:t>
      </w:r>
      <w:r>
        <w:rPr>
          <w:rFonts w:hint="eastAsia" w:ascii="仿宋_GB2312" w:hAnsi="宋体" w:eastAsia="仿宋_GB2312" w:cs="宋体"/>
          <w:kern w:val="0"/>
          <w:sz w:val="32"/>
          <w:szCs w:val="32"/>
        </w:rPr>
        <w:t>进一步完善适合自身的妇女微家工作制度。</w:t>
      </w:r>
    </w:p>
    <w:p w14:paraId="1BA66581">
      <w:pPr>
        <w:adjustRightInd w:val="0"/>
        <w:snapToGrid w:val="0"/>
        <w:spacing w:line="600" w:lineRule="exact"/>
        <w:ind w:firstLine="720"/>
        <w:rPr>
          <w:rFonts w:ascii="仿宋" w:hAnsi="仿宋" w:eastAsia="仿宋" w:cs="仿宋_GB2312"/>
          <w:sz w:val="32"/>
          <w:szCs w:val="32"/>
        </w:rPr>
      </w:pPr>
    </w:p>
    <w:p w14:paraId="34828C5C">
      <w:pPr>
        <w:spacing w:line="600" w:lineRule="exact"/>
        <w:jc w:val="center"/>
        <w:rPr>
          <w:rFonts w:ascii="仿宋_GB2312" w:hAnsi="宋体"/>
          <w:b/>
          <w:bCs/>
          <w:sz w:val="44"/>
          <w:szCs w:val="44"/>
        </w:rPr>
      </w:pPr>
      <w:r>
        <w:rPr>
          <w:rFonts w:hint="eastAsia" w:ascii="仿宋_GB2312" w:hAnsi="宋体"/>
          <w:b/>
          <w:bCs/>
          <w:sz w:val="44"/>
          <w:szCs w:val="44"/>
        </w:rPr>
        <w:t>（“时代新人说——我和祖国共成长”家国情怀故事汇活动项目）</w:t>
      </w:r>
    </w:p>
    <w:p w14:paraId="64792C00">
      <w:pPr>
        <w:pStyle w:val="34"/>
        <w:spacing w:line="600" w:lineRule="exact"/>
        <w:ind w:firstLine="640"/>
        <w:jc w:val="center"/>
        <w:rPr>
          <w:rFonts w:ascii="宋体" w:hAnsi="宋体"/>
          <w:color w:val="auto"/>
          <w:kern w:val="2"/>
          <w:sz w:val="44"/>
          <w:szCs w:val="44"/>
        </w:rPr>
      </w:pPr>
    </w:p>
    <w:p w14:paraId="5D2C9CA2">
      <w:pPr>
        <w:tabs>
          <w:tab w:val="left" w:pos="4185"/>
        </w:tabs>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r>
        <w:rPr>
          <w:rFonts w:ascii="黑体" w:hAnsi="宋体" w:eastAsia="黑体"/>
          <w:sz w:val="32"/>
          <w:szCs w:val="32"/>
          <w:lang w:val="zh-CN"/>
        </w:rPr>
        <w:tab/>
      </w:r>
    </w:p>
    <w:p w14:paraId="7DE3AD94">
      <w:pPr>
        <w:adjustRightInd w:val="0"/>
        <w:snapToGrid w:val="0"/>
        <w:spacing w:line="600" w:lineRule="exact"/>
        <w:ind w:firstLine="720"/>
        <w:rPr>
          <w:rFonts w:ascii="黑体" w:hAnsi="宋体" w:eastAsia="黑体"/>
        </w:rPr>
      </w:pPr>
      <w:r>
        <w:rPr>
          <w:rFonts w:hint="eastAsia" w:ascii="仿宋_GB2312" w:hAnsi="仿宋_GB2312" w:eastAsia="仿宋_GB2312" w:cs="仿宋_GB2312"/>
          <w:sz w:val="32"/>
          <w:szCs w:val="32"/>
        </w:rPr>
        <w:t>为深入贯彻习近平总书记在同全国妇联新一届领导班子成员集体谈话时的重要精神，紧紧围绕隆重庆祝中华人民共和国成立70周年，大力弘扬以爱国主义为核心的伟大民族精神，在全州城乡广泛开展形式多样、内容丰富的群众性主题宣传教育活动，讲好阿坝故事。按照全国妇联、省妇联要求，阿坝州委宣传部、州妇联等部门于7月19日上午在阿坝州长征干部学院举行“时代新人说--我和祖国共成长”家国情怀故事汇。</w:t>
      </w:r>
    </w:p>
    <w:p w14:paraId="537EF052">
      <w:pPr>
        <w:tabs>
          <w:tab w:val="left" w:pos="4185"/>
        </w:tabs>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1FB1A6F6">
      <w:pPr>
        <w:spacing w:line="600" w:lineRule="exact"/>
        <w:ind w:firstLine="640" w:firstLineChars="200"/>
        <w:rPr>
          <w:rFonts w:ascii="仿宋_GB2312" w:hAnsi="仿宋_GB2312" w:cs="仿宋_GB2312"/>
        </w:rPr>
      </w:pPr>
      <w:r>
        <w:rPr>
          <w:rFonts w:hint="eastAsia" w:ascii="仿宋_GB2312" w:hAnsi="仿宋_GB2312" w:cs="仿宋_GB2312"/>
          <w:sz w:val="32"/>
          <w:szCs w:val="32"/>
        </w:rPr>
        <w:t>经费：</w:t>
      </w:r>
      <w:r>
        <w:rPr>
          <w:rFonts w:hint="eastAsia" w:ascii="仿宋_GB2312" w:hAnsi="仿宋_GB2312" w:cs="仿宋_GB2312"/>
          <w:b/>
          <w:bCs/>
          <w:sz w:val="32"/>
          <w:szCs w:val="32"/>
        </w:rPr>
        <w:t>17.617万元。</w:t>
      </w:r>
      <w:r>
        <w:rPr>
          <w:rFonts w:hint="eastAsia" w:ascii="仿宋_GB2312" w:hAnsi="仿宋_GB2312" w:cs="仿宋_GB2312"/>
          <w:sz w:val="32"/>
          <w:szCs w:val="32"/>
        </w:rPr>
        <w:t>按照活动经费预算，州妇联向州政府和财政请示，拨付经费，据实支付。主要用于活动中：演员演出费、演员往返交通费、演出编导费、活动舞美设计、背景设计、物料设计等、活动现场购买矿泉水、现场氛围营造购买小红旗手掌、购买凳子、活动人员食宿费、活动现场劳务费。</w:t>
      </w:r>
    </w:p>
    <w:p w14:paraId="5AB82580">
      <w:pPr>
        <w:tabs>
          <w:tab w:val="left" w:pos="4185"/>
        </w:tabs>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三、项目实施情况</w:t>
      </w:r>
    </w:p>
    <w:p w14:paraId="75264A02">
      <w:pPr>
        <w:spacing w:line="600" w:lineRule="exact"/>
        <w:ind w:firstLine="640" w:firstLineChars="200"/>
        <w:rPr>
          <w:rFonts w:ascii="仿宋_GB2312" w:hAnsi="仿宋_GB2312" w:cs="仿宋_GB2312"/>
        </w:rPr>
      </w:pPr>
      <w:r>
        <w:rPr>
          <w:rFonts w:ascii="仿宋" w:hAnsi="仿宋" w:eastAsia="仿宋"/>
          <w:sz w:val="32"/>
          <w:szCs w:val="32"/>
        </w:rPr>
        <w:t>活动</w:t>
      </w:r>
      <w:r>
        <w:rPr>
          <w:rFonts w:hint="eastAsia" w:ascii="仿宋_GB2312" w:hAnsi="仿宋_GB2312" w:eastAsia="仿宋_GB2312" w:cs="仿宋_GB2312"/>
          <w:sz w:val="32"/>
          <w:szCs w:val="32"/>
        </w:rPr>
        <w:t>由全国妇联主办，四川省妇联、四川省委宣传部、人民网、中国妇女报社承办，阿坝州委宣传部、阿坝州妇联、州直机关工委、长征干部学院、马尔康市委协办。7月19日上午9时，中共阿坝州委书记刘坪，中共阿坝州委副书记、州人民政府州长杨克宁,四川省妇联党组成员、副主席张怀青,州委常委、州总工会主席金吉昌,州委常委、宣传部长杨星,州人大常委会副主任颁玛德吉,政协阿坝州委员会副主席王明辉,阿坝军分区党委书记、政治委员杨一平,州人民政府秘书长余光亚以及州委州政府副秘书长，马尔康市四大班子的领导出席活动。革命先烈后代，脱贫攻坚先进人物，全国“最美家庭”代表，省、州“三八红旗手”代表，省妇联机关部分党员代表，阿坝长征干部学院师生，州、县（市）妇联主席，各界妇女群众代表、学生代表，州直机关干部，马尔康地区干部群众、驻州武警、特警官兵等近3000余人参加活动。</w:t>
      </w:r>
    </w:p>
    <w:p w14:paraId="6D529281">
      <w:pPr>
        <w:spacing w:line="600" w:lineRule="exact"/>
        <w:ind w:firstLine="640" w:firstLineChars="200"/>
        <w:rPr>
          <w:rFonts w:ascii="仿宋_GB2312" w:hAnsi="仿宋_GB2312" w:cs="仿宋_GB2312"/>
        </w:rPr>
      </w:pPr>
      <w:r>
        <w:rPr>
          <w:rFonts w:hint="eastAsia" w:ascii="仿宋_GB2312" w:hAnsi="仿宋_GB2312" w:eastAsia="仿宋_GB2312" w:cs="仿宋_GB2312"/>
          <w:sz w:val="32"/>
          <w:szCs w:val="32"/>
        </w:rPr>
        <w:t>活动以长征干部学院高级讲师王东林一堂精彩的微型党课拉开序幕，他带领大家重温了中国工农红军长征时期进入阿坝16个月艰苦卓绝的辉煌历程；一根红飘带，染红雪域高原,一朵团结花，盛开千万代。微舞剧《一朵花》再现了当年红军长征爬雪山过草地时的艰苦卓绝和大无畏的英雄壮举；红军长征在阿坝州驻留时间最长、面临困境最大、召开会议最多，经历了最为艰苦、最为悲壮的历程，“雪山草地军民鱼水情”系列的情景再现表演，让我们感受了红军战士与藏羌儿女“雪山草地、苦乐同心”的军民鱼水情；南坪小调《采花》、《盼红军》、马尔康嘉绒女子舞蹈《嘉莫察瓦绒的思念》用声音和舞蹈传递着阿坝州各族儿女对红军的情谊和浓郁的家国情怀；中国妇女十二大代表、阿坝州妇联执委、小金县达维镇冒水村党支部书记陈望慧讲诉“夹金山下玫瑰姐”巾帼脱贫好故事，讲述了阿坝巾帼在党委、政府的领导下传扬为民初心，继承长征精神，勇挑重担，带领群众脱贫致富，带领妇女同胞建功新时代的新故事；四川省三八红旗集体——理县通化乡通化村巾帼志愿队表演的民族快板、舞蹈《羌山女儿心向党》，字字句句歌颂祖国、歌颂党、歌颂新时代，道出了阿坝儿女爱党爱国爱家乡的情怀和坚定不移听党话、跟党走的决心。同时也展示了在妇联改革中，全州基层妇联组织充满活力、积极作为的新面貌。活动中，省妇联党组成员、副主席张怀青宣布了四川阿坝红色夏令营开营并授旗。最后在优秀藏羌歌手、长征干部学院师生们的带领下，全场共唱《我和我的祖国》，高歌抒发对祖国的热爱祝福，红旗飘扬，现场的气氛涌向高潮。</w:t>
      </w:r>
    </w:p>
    <w:p w14:paraId="073AE38A">
      <w:pPr>
        <w:adjustRightInd w:val="0"/>
        <w:snapToGrid w:val="0"/>
        <w:spacing w:line="600" w:lineRule="exact"/>
        <w:ind w:firstLine="640" w:firstLineChars="200"/>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14:paraId="7E698009">
      <w:pPr>
        <w:spacing w:line="600" w:lineRule="exact"/>
        <w:ind w:firstLine="640" w:firstLineChars="200"/>
        <w:rPr>
          <w:rFonts w:ascii="仿宋_GB2312" w:hAnsi="仿宋_GB2312" w:cs="仿宋_GB2312"/>
        </w:rPr>
      </w:pPr>
      <w:r>
        <w:rPr>
          <w:rFonts w:hint="eastAsia" w:ascii="仿宋" w:hAnsi="仿宋" w:eastAsia="仿宋"/>
          <w:sz w:val="32"/>
          <w:szCs w:val="32"/>
        </w:rPr>
        <w:t>此次活动</w:t>
      </w:r>
      <w:r>
        <w:rPr>
          <w:rFonts w:ascii="仿宋" w:hAnsi="仿宋" w:eastAsia="仿宋"/>
          <w:sz w:val="32"/>
          <w:szCs w:val="32"/>
        </w:rPr>
        <w:t>是阿坝州广泛组织开展庆祝中华人民共和国成立70周年群众性主题宣传教育活动的重要内容，也是全国妇联、省妇联深化“巾帼心向党·礼赞新中国”群众性宣传教育活动长征沿线阿坝州站点的重要活动，</w:t>
      </w:r>
      <w:r>
        <w:rPr>
          <w:rFonts w:hint="eastAsia" w:ascii="仿宋_GB2312" w:hAnsi="仿宋_GB2312" w:eastAsia="仿宋_GB2312" w:cs="仿宋_GB2312"/>
          <w:sz w:val="32"/>
          <w:szCs w:val="32"/>
        </w:rPr>
        <w:t>活动紧紧围绕隆重庆祝中华人民共和国成立70周年，大力弘扬以爱国主义为核心的伟大民族精神，通过讲好雪山草地长征路上好故事，展示新阿坝藏羌巾帼好风采，寻精神，守初心，强信心，再次掀起“唱、讲、写、献”新高潮，让家国情怀红飘带在长征路上飞扬，激励带领妇女听党话、跟党走，奋斗新时代。活动通过人民网、中国女网、女性之声、中国妇女报全媒体、微阿坝、阿坝州电视台、阿坝日报、花开阿坝、网易、圆点直播、斗鱼、虎牙、快手、西瓜视频、新浪微博等平台视频、图文播出，吸引了超过1310万人次收看，深受群众好评。活动充分展示了阿坝州深入贯彻习近平总书记对四川工作系列重要指示精神和治蜀兴川取得的成就，展示了阿坝妇女和家庭巨大变化，进一步引导广大妇女和家庭饮水思源、主动担当，传承家国情怀，感恩中国共产党、感恩伟大祖国，以实际行动建功新时代，为决胜全面建成小康社会、推动“一州两区三家园”建设、实现中华民族伟大复兴的中国梦，凝聚磅礴的巾帼力量而不懈奋斗的豪情壮志！</w:t>
      </w:r>
    </w:p>
    <w:p w14:paraId="2C44B6DD">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3AAA8F47">
      <w:pPr>
        <w:adjustRightInd w:val="0"/>
        <w:snapToGrid w:val="0"/>
        <w:spacing w:line="576" w:lineRule="exact"/>
        <w:ind w:firstLine="720"/>
        <w:rPr>
          <w:rFonts w:ascii="楷体_GB2312" w:hAnsi="宋体" w:eastAsia="楷体_GB2312"/>
          <w:b/>
          <w:lang w:val="zh-CN"/>
        </w:rPr>
      </w:pPr>
      <w:r>
        <w:rPr>
          <w:rFonts w:hint="eastAsia" w:ascii="仿宋_GB2312" w:hAnsi="宋体" w:eastAsia="仿宋_GB2312" w:cs="宋体"/>
          <w:kern w:val="0"/>
          <w:sz w:val="32"/>
          <w:szCs w:val="32"/>
          <w:lang w:val="zh-CN"/>
        </w:rPr>
        <w:t>项目</w:t>
      </w:r>
      <w:r>
        <w:rPr>
          <w:rFonts w:hint="eastAsia" w:ascii="仿宋_GB2312" w:hAnsi="宋体" w:eastAsia="仿宋_GB2312" w:cs="宋体"/>
          <w:kern w:val="0"/>
          <w:sz w:val="32"/>
          <w:szCs w:val="32"/>
        </w:rPr>
        <w:t>已</w:t>
      </w:r>
      <w:r>
        <w:rPr>
          <w:rFonts w:hint="eastAsia" w:ascii="仿宋_GB2312" w:hAnsi="宋体" w:eastAsia="仿宋_GB2312" w:cs="宋体"/>
          <w:kern w:val="0"/>
          <w:sz w:val="32"/>
          <w:szCs w:val="32"/>
          <w:lang w:val="zh-CN"/>
        </w:rPr>
        <w:t>完成了预期指标值</w:t>
      </w:r>
      <w:r>
        <w:rPr>
          <w:rFonts w:hint="eastAsia" w:ascii="仿宋_GB2312" w:hAnsi="宋体" w:cs="宋体"/>
          <w:kern w:val="0"/>
          <w:sz w:val="32"/>
          <w:szCs w:val="32"/>
          <w:lang w:val="zh-CN"/>
        </w:rPr>
        <w:t>，</w:t>
      </w:r>
      <w:r>
        <w:rPr>
          <w:rFonts w:hint="eastAsia" w:ascii="仿宋_GB2312" w:hAnsi="宋体" w:cs="宋体"/>
          <w:kern w:val="0"/>
          <w:sz w:val="32"/>
          <w:szCs w:val="32"/>
        </w:rPr>
        <w:t>达到了预期目的。</w:t>
      </w:r>
    </w:p>
    <w:p w14:paraId="11EAA550"/>
    <w:p w14:paraId="1E0432FC">
      <w:pPr>
        <w:spacing w:line="600" w:lineRule="exact"/>
        <w:jc w:val="center"/>
        <w:outlineLvl w:val="0"/>
        <w:rPr>
          <w:rStyle w:val="26"/>
          <w:rFonts w:hint="eastAsia" w:ascii="黑体" w:hAnsi="黑体" w:eastAsia="黑体"/>
          <w:b w:val="0"/>
          <w:sz w:val="32"/>
          <w:szCs w:val="32"/>
        </w:rPr>
      </w:pPr>
    </w:p>
    <w:p w14:paraId="4E9891A2">
      <w:pPr>
        <w:spacing w:line="600" w:lineRule="exact"/>
        <w:jc w:val="center"/>
        <w:outlineLvl w:val="0"/>
        <w:rPr>
          <w:rStyle w:val="26"/>
          <w:rFonts w:hint="eastAsia" w:ascii="黑体" w:hAnsi="黑体" w:eastAsia="黑体"/>
          <w:b w:val="0"/>
          <w:sz w:val="32"/>
          <w:szCs w:val="32"/>
        </w:rPr>
      </w:pPr>
    </w:p>
    <w:p w14:paraId="74C0DECC">
      <w:pPr>
        <w:spacing w:line="600" w:lineRule="exact"/>
        <w:jc w:val="center"/>
        <w:outlineLvl w:val="0"/>
        <w:rPr>
          <w:rStyle w:val="26"/>
          <w:rFonts w:hint="eastAsia" w:ascii="黑体" w:hAnsi="黑体" w:eastAsia="黑体"/>
          <w:b w:val="0"/>
          <w:sz w:val="32"/>
          <w:szCs w:val="32"/>
        </w:rPr>
      </w:pPr>
    </w:p>
    <w:p w14:paraId="090D82DA">
      <w:pPr>
        <w:spacing w:line="600" w:lineRule="exact"/>
        <w:jc w:val="center"/>
        <w:outlineLvl w:val="0"/>
        <w:rPr>
          <w:rStyle w:val="26"/>
          <w:rFonts w:hint="eastAsia" w:ascii="黑体" w:hAnsi="黑体" w:eastAsia="黑体"/>
          <w:b w:val="0"/>
          <w:sz w:val="32"/>
          <w:szCs w:val="32"/>
        </w:rPr>
      </w:pPr>
    </w:p>
    <w:p w14:paraId="68ACD97F">
      <w:pPr>
        <w:spacing w:line="600" w:lineRule="exact"/>
        <w:jc w:val="center"/>
        <w:outlineLvl w:val="0"/>
        <w:rPr>
          <w:rStyle w:val="26"/>
          <w:rFonts w:hint="eastAsia" w:ascii="黑体" w:hAnsi="黑体" w:eastAsia="黑体"/>
          <w:b w:val="0"/>
          <w:sz w:val="32"/>
          <w:szCs w:val="32"/>
        </w:rPr>
      </w:pPr>
    </w:p>
    <w:p w14:paraId="4942F042">
      <w:pPr>
        <w:spacing w:line="600" w:lineRule="exact"/>
        <w:jc w:val="center"/>
        <w:outlineLvl w:val="0"/>
        <w:rPr>
          <w:rStyle w:val="26"/>
          <w:rFonts w:hint="eastAsia" w:ascii="黑体" w:hAnsi="黑体" w:eastAsia="黑体"/>
          <w:b w:val="0"/>
          <w:sz w:val="32"/>
          <w:szCs w:val="32"/>
        </w:rPr>
      </w:pPr>
    </w:p>
    <w:p w14:paraId="4F58592D">
      <w:pPr>
        <w:spacing w:line="600" w:lineRule="exact"/>
        <w:jc w:val="center"/>
        <w:outlineLvl w:val="0"/>
        <w:rPr>
          <w:rStyle w:val="26"/>
          <w:rFonts w:ascii="黑体" w:hAnsi="黑体" w:eastAsia="黑体"/>
          <w:b w:val="0"/>
          <w:sz w:val="32"/>
          <w:szCs w:val="32"/>
        </w:rPr>
      </w:pPr>
    </w:p>
    <w:p w14:paraId="6AB34909">
      <w:pPr>
        <w:spacing w:line="600" w:lineRule="exact"/>
        <w:jc w:val="center"/>
        <w:outlineLvl w:val="0"/>
        <w:rPr>
          <w:rStyle w:val="26"/>
          <w:rFonts w:ascii="黑体" w:hAnsi="黑体" w:eastAsia="黑体"/>
          <w:b w:val="0"/>
          <w:sz w:val="32"/>
          <w:szCs w:val="32"/>
        </w:rPr>
      </w:pPr>
      <w:bookmarkStart w:id="90" w:name="_Toc15396618"/>
      <w:r>
        <w:rPr>
          <w:rFonts w:hint="eastAsia" w:ascii="黑体" w:hAnsi="黑体" w:eastAsia="黑体"/>
          <w:color w:val="000000"/>
          <w:sz w:val="32"/>
          <w:szCs w:val="32"/>
        </w:rPr>
        <w:t>第</w:t>
      </w:r>
      <w:r>
        <w:rPr>
          <w:rStyle w:val="26"/>
          <w:rFonts w:hint="eastAsia" w:ascii="黑体" w:hAnsi="黑体" w:eastAsia="黑体"/>
          <w:b w:val="0"/>
          <w:sz w:val="32"/>
          <w:szCs w:val="32"/>
        </w:rPr>
        <w:t>五部分 附表</w:t>
      </w:r>
      <w:bookmarkEnd w:id="57"/>
      <w:bookmarkEnd w:id="90"/>
    </w:p>
    <w:p w14:paraId="65174487">
      <w:pPr>
        <w:spacing w:line="600" w:lineRule="exact"/>
        <w:jc w:val="center"/>
        <w:outlineLvl w:val="0"/>
        <w:rPr>
          <w:rFonts w:ascii="仿宋" w:hAnsi="仿宋" w:eastAsia="仿宋"/>
          <w:b/>
          <w:color w:val="000000"/>
          <w:sz w:val="32"/>
          <w:szCs w:val="32"/>
        </w:rPr>
      </w:pPr>
    </w:p>
    <w:p w14:paraId="1A1A50F1">
      <w:pPr>
        <w:pStyle w:val="3"/>
        <w:rPr>
          <w:rFonts w:ascii="仿宋" w:hAnsi="仿宋" w:eastAsia="仿宋"/>
          <w:color w:val="000000"/>
        </w:rPr>
      </w:pPr>
      <w:bookmarkStart w:id="91"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91"/>
    </w:p>
    <w:p w14:paraId="1CE7A3C2">
      <w:pPr>
        <w:pStyle w:val="3"/>
        <w:rPr>
          <w:rFonts w:ascii="仿宋" w:hAnsi="仿宋" w:eastAsia="仿宋"/>
          <w:color w:val="000000"/>
        </w:rPr>
      </w:pPr>
      <w:bookmarkStart w:id="92"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92"/>
    </w:p>
    <w:p w14:paraId="237E43BF">
      <w:pPr>
        <w:pStyle w:val="3"/>
        <w:rPr>
          <w:rFonts w:ascii="仿宋" w:hAnsi="仿宋" w:eastAsia="仿宋"/>
          <w:color w:val="000000"/>
        </w:rPr>
      </w:pPr>
      <w:bookmarkStart w:id="93"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93"/>
    </w:p>
    <w:p w14:paraId="666615E5">
      <w:pPr>
        <w:pStyle w:val="3"/>
        <w:rPr>
          <w:rFonts w:ascii="仿宋" w:hAnsi="仿宋" w:eastAsia="仿宋"/>
          <w:b w:val="0"/>
          <w:color w:val="000000"/>
        </w:rPr>
      </w:pPr>
      <w:bookmarkStart w:id="94"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94"/>
    </w:p>
    <w:p w14:paraId="56B9791A">
      <w:pPr>
        <w:pStyle w:val="3"/>
        <w:rPr>
          <w:rStyle w:val="27"/>
          <w:rFonts w:ascii="仿宋" w:hAnsi="仿宋" w:eastAsia="仿宋"/>
          <w:b w:val="0"/>
          <w:bCs w:val="0"/>
        </w:rPr>
      </w:pPr>
      <w:bookmarkStart w:id="95"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95"/>
      <w:bookmarkStart w:id="96" w:name="_Toc15396624"/>
    </w:p>
    <w:p w14:paraId="6A355920">
      <w:pPr>
        <w:pStyle w:val="3"/>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96"/>
    </w:p>
    <w:p w14:paraId="48B43708">
      <w:pPr>
        <w:pStyle w:val="3"/>
        <w:rPr>
          <w:rFonts w:ascii="仿宋" w:hAnsi="仿宋" w:eastAsia="仿宋"/>
          <w:color w:val="000000"/>
        </w:rPr>
      </w:pPr>
      <w:bookmarkStart w:id="97"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97"/>
    </w:p>
    <w:p w14:paraId="12FF3983">
      <w:pPr>
        <w:pStyle w:val="3"/>
        <w:rPr>
          <w:rFonts w:ascii="仿宋" w:hAnsi="仿宋" w:eastAsia="仿宋"/>
          <w:color w:val="000000"/>
        </w:rPr>
      </w:pPr>
      <w:bookmarkStart w:id="98"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98"/>
    </w:p>
    <w:p w14:paraId="5BA87635">
      <w:pPr>
        <w:pStyle w:val="3"/>
        <w:rPr>
          <w:rFonts w:ascii="仿宋" w:hAnsi="仿宋" w:eastAsia="仿宋"/>
          <w:color w:val="000000"/>
        </w:rPr>
      </w:pPr>
      <w:bookmarkStart w:id="99"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99"/>
    </w:p>
    <w:p w14:paraId="4657ED5F">
      <w:pPr>
        <w:pStyle w:val="3"/>
        <w:rPr>
          <w:rFonts w:ascii="仿宋" w:hAnsi="仿宋" w:eastAsia="仿宋"/>
          <w:color w:val="000000"/>
        </w:rPr>
      </w:pPr>
      <w:bookmarkStart w:id="100"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00"/>
    </w:p>
    <w:p w14:paraId="6BF3693C">
      <w:pPr>
        <w:pStyle w:val="3"/>
        <w:rPr>
          <w:rFonts w:ascii="仿宋" w:hAnsi="仿宋" w:eastAsia="仿宋"/>
          <w:color w:val="000000"/>
        </w:rPr>
      </w:pPr>
      <w:bookmarkStart w:id="101"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01"/>
    </w:p>
    <w:p w14:paraId="22500D71">
      <w:pPr>
        <w:pStyle w:val="3"/>
        <w:rPr>
          <w:rFonts w:ascii="仿宋" w:hAnsi="仿宋" w:eastAsia="仿宋"/>
          <w:color w:val="000000"/>
        </w:rPr>
      </w:pPr>
      <w:bookmarkStart w:id="102"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02"/>
    </w:p>
    <w:p w14:paraId="0A89FD9A">
      <w:pPr>
        <w:pStyle w:val="3"/>
        <w:rPr>
          <w:rFonts w:ascii="仿宋" w:hAnsi="仿宋" w:eastAsia="仿宋"/>
          <w:color w:val="000000" w:themeColor="text1"/>
        </w:rPr>
      </w:pPr>
      <w:bookmarkStart w:id="103"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10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Malgun Gothic Semilight">
    <w:panose1 w:val="020B0502040204020203"/>
    <w:charset w:val="86"/>
    <w:family w:val="swiss"/>
    <w:pitch w:val="default"/>
    <w:sig w:usb0="900002AF" w:usb1="01D77CFB" w:usb2="00000012" w:usb3="00000000" w:csb0="203E01BD" w:csb1="D7FF0000"/>
  </w:font>
  <w:font w:name="楷体">
    <w:panose1 w:val="02010609060101010101"/>
    <w:charset w:val="86"/>
    <w:family w:val="modern"/>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2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华文仿宋">
    <w:altName w:val="仿宋"/>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0897B487">
        <w:pPr>
          <w:pStyle w:val="10"/>
          <w:jc w:val="center"/>
        </w:pPr>
        <w:r>
          <w:fldChar w:fldCharType="begin"/>
        </w:r>
        <w:r>
          <w:instrText xml:space="preserve">PAGE   \* MERGEFORMAT</w:instrText>
        </w:r>
        <w:r>
          <w:fldChar w:fldCharType="separate"/>
        </w:r>
        <w:r>
          <w:rPr>
            <w:lang w:val="zh-CN"/>
          </w:rPr>
          <w:t>2</w:t>
        </w:r>
        <w:r>
          <w:rPr>
            <w:lang w:val="zh-CN"/>
          </w:rPr>
          <w:fldChar w:fldCharType="end"/>
        </w:r>
      </w:p>
    </w:sdtContent>
  </w:sdt>
  <w:p w14:paraId="6EA1F748">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41D44">
    <w:pPr>
      <w:pStyle w:val="11"/>
      <w:pBdr>
        <w:bottom w:val="none" w:color="auto" w:sz="0" w:space="0"/>
      </w:pBdr>
      <w:jc w:val="both"/>
      <w:rPr>
        <w:rFonts w:hint="eastAsia"/>
      </w:rPr>
    </w:pPr>
  </w:p>
  <w:p w14:paraId="2F423473">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F247335E"/>
    <w:multiLevelType w:val="singleLevel"/>
    <w:tmpl w:val="F247335E"/>
    <w:lvl w:ilvl="0" w:tentative="0">
      <w:start w:val="1"/>
      <w:numFmt w:val="decimal"/>
      <w:suff w:val="nothing"/>
      <w:lvlText w:val="%1、"/>
      <w:lvlJc w:val="left"/>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3291"/>
    <w:rsid w:val="000222C6"/>
    <w:rsid w:val="0002549F"/>
    <w:rsid w:val="000468DB"/>
    <w:rsid w:val="0006487A"/>
    <w:rsid w:val="00065F8F"/>
    <w:rsid w:val="00070A43"/>
    <w:rsid w:val="000768F2"/>
    <w:rsid w:val="0007774D"/>
    <w:rsid w:val="0009184B"/>
    <w:rsid w:val="00094236"/>
    <w:rsid w:val="0009593C"/>
    <w:rsid w:val="00097322"/>
    <w:rsid w:val="000A22DB"/>
    <w:rsid w:val="000A6A92"/>
    <w:rsid w:val="000B047F"/>
    <w:rsid w:val="000B5923"/>
    <w:rsid w:val="000B5A48"/>
    <w:rsid w:val="000B6FF3"/>
    <w:rsid w:val="000C3467"/>
    <w:rsid w:val="000C3CA6"/>
    <w:rsid w:val="000D1267"/>
    <w:rsid w:val="000D1D50"/>
    <w:rsid w:val="000D5782"/>
    <w:rsid w:val="000E6613"/>
    <w:rsid w:val="000E7119"/>
    <w:rsid w:val="00104FCB"/>
    <w:rsid w:val="001105FF"/>
    <w:rsid w:val="00114E9B"/>
    <w:rsid w:val="00142216"/>
    <w:rsid w:val="00144D6A"/>
    <w:rsid w:val="0014729F"/>
    <w:rsid w:val="00157BAB"/>
    <w:rsid w:val="001654D1"/>
    <w:rsid w:val="00174518"/>
    <w:rsid w:val="0018106D"/>
    <w:rsid w:val="001877A7"/>
    <w:rsid w:val="00191536"/>
    <w:rsid w:val="00196687"/>
    <w:rsid w:val="001C0962"/>
    <w:rsid w:val="001D7531"/>
    <w:rsid w:val="001E192D"/>
    <w:rsid w:val="001E737D"/>
    <w:rsid w:val="001F0592"/>
    <w:rsid w:val="001F7506"/>
    <w:rsid w:val="002006CD"/>
    <w:rsid w:val="00200CFE"/>
    <w:rsid w:val="00202B36"/>
    <w:rsid w:val="00204B7A"/>
    <w:rsid w:val="00204CDE"/>
    <w:rsid w:val="00210207"/>
    <w:rsid w:val="0021101A"/>
    <w:rsid w:val="00220536"/>
    <w:rsid w:val="00235629"/>
    <w:rsid w:val="00260C38"/>
    <w:rsid w:val="002616C0"/>
    <w:rsid w:val="00265372"/>
    <w:rsid w:val="002662AA"/>
    <w:rsid w:val="002665B1"/>
    <w:rsid w:val="00277CDF"/>
    <w:rsid w:val="00280496"/>
    <w:rsid w:val="00294DC9"/>
    <w:rsid w:val="00295495"/>
    <w:rsid w:val="002A31DE"/>
    <w:rsid w:val="002B2613"/>
    <w:rsid w:val="002D19B0"/>
    <w:rsid w:val="002D6D05"/>
    <w:rsid w:val="002F1818"/>
    <w:rsid w:val="002F567B"/>
    <w:rsid w:val="003216A9"/>
    <w:rsid w:val="00335A74"/>
    <w:rsid w:val="00347973"/>
    <w:rsid w:val="00360495"/>
    <w:rsid w:val="0036561B"/>
    <w:rsid w:val="0037013F"/>
    <w:rsid w:val="00380C92"/>
    <w:rsid w:val="00385626"/>
    <w:rsid w:val="00395BEF"/>
    <w:rsid w:val="003A0DC6"/>
    <w:rsid w:val="003A484F"/>
    <w:rsid w:val="003A4883"/>
    <w:rsid w:val="003B0BE0"/>
    <w:rsid w:val="003B0C1B"/>
    <w:rsid w:val="003B5FC2"/>
    <w:rsid w:val="003B688C"/>
    <w:rsid w:val="003C0291"/>
    <w:rsid w:val="003C39AE"/>
    <w:rsid w:val="003C7B60"/>
    <w:rsid w:val="003D0C0F"/>
    <w:rsid w:val="003D1FB2"/>
    <w:rsid w:val="003D66DA"/>
    <w:rsid w:val="003E1310"/>
    <w:rsid w:val="003E49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33EDE"/>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5AF7"/>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55DE"/>
    <w:rsid w:val="00746F48"/>
    <w:rsid w:val="0075404D"/>
    <w:rsid w:val="0076182A"/>
    <w:rsid w:val="00767B7E"/>
    <w:rsid w:val="007770C3"/>
    <w:rsid w:val="00784D24"/>
    <w:rsid w:val="00785FBA"/>
    <w:rsid w:val="00786E4A"/>
    <w:rsid w:val="007875EB"/>
    <w:rsid w:val="0079426B"/>
    <w:rsid w:val="007C1B0C"/>
    <w:rsid w:val="007D1682"/>
    <w:rsid w:val="007D312A"/>
    <w:rsid w:val="007D3F19"/>
    <w:rsid w:val="007E23B0"/>
    <w:rsid w:val="007E5C23"/>
    <w:rsid w:val="007F1991"/>
    <w:rsid w:val="007F2C2F"/>
    <w:rsid w:val="007F55FC"/>
    <w:rsid w:val="007F5665"/>
    <w:rsid w:val="00800112"/>
    <w:rsid w:val="00813348"/>
    <w:rsid w:val="008253BB"/>
    <w:rsid w:val="00833962"/>
    <w:rsid w:val="008360FD"/>
    <w:rsid w:val="0083706E"/>
    <w:rsid w:val="008408F6"/>
    <w:rsid w:val="008423A5"/>
    <w:rsid w:val="00846088"/>
    <w:rsid w:val="00850625"/>
    <w:rsid w:val="00853718"/>
    <w:rsid w:val="00855221"/>
    <w:rsid w:val="00860645"/>
    <w:rsid w:val="00871F71"/>
    <w:rsid w:val="00872FD8"/>
    <w:rsid w:val="00885AF4"/>
    <w:rsid w:val="008939CD"/>
    <w:rsid w:val="008B3E94"/>
    <w:rsid w:val="008B768C"/>
    <w:rsid w:val="008C2B68"/>
    <w:rsid w:val="008C2F69"/>
    <w:rsid w:val="008C4DB1"/>
    <w:rsid w:val="008C4EAF"/>
    <w:rsid w:val="008C5176"/>
    <w:rsid w:val="008C7FD0"/>
    <w:rsid w:val="008D3041"/>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E5570"/>
    <w:rsid w:val="009F1185"/>
    <w:rsid w:val="009F18CD"/>
    <w:rsid w:val="009F2A13"/>
    <w:rsid w:val="009F7527"/>
    <w:rsid w:val="00A039ED"/>
    <w:rsid w:val="00A04EB0"/>
    <w:rsid w:val="00A04F99"/>
    <w:rsid w:val="00A11044"/>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04E8"/>
    <w:rsid w:val="00B40BD8"/>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680A"/>
    <w:rsid w:val="00C5751C"/>
    <w:rsid w:val="00C61BFC"/>
    <w:rsid w:val="00C62B85"/>
    <w:rsid w:val="00C65438"/>
    <w:rsid w:val="00C65EA1"/>
    <w:rsid w:val="00C91CBB"/>
    <w:rsid w:val="00CB4E70"/>
    <w:rsid w:val="00CC09B6"/>
    <w:rsid w:val="00CC666F"/>
    <w:rsid w:val="00CD1E3F"/>
    <w:rsid w:val="00CE44F6"/>
    <w:rsid w:val="00CE4781"/>
    <w:rsid w:val="00CE49DA"/>
    <w:rsid w:val="00CE7B61"/>
    <w:rsid w:val="00CF607D"/>
    <w:rsid w:val="00D00095"/>
    <w:rsid w:val="00D114F0"/>
    <w:rsid w:val="00D129DB"/>
    <w:rsid w:val="00D179F5"/>
    <w:rsid w:val="00D20620"/>
    <w:rsid w:val="00D2207C"/>
    <w:rsid w:val="00D254F7"/>
    <w:rsid w:val="00D26091"/>
    <w:rsid w:val="00D2685C"/>
    <w:rsid w:val="00D34E7C"/>
    <w:rsid w:val="00D35489"/>
    <w:rsid w:val="00D36AFE"/>
    <w:rsid w:val="00D51276"/>
    <w:rsid w:val="00D7035F"/>
    <w:rsid w:val="00D71472"/>
    <w:rsid w:val="00D7617E"/>
    <w:rsid w:val="00DA634F"/>
    <w:rsid w:val="00DA65AC"/>
    <w:rsid w:val="00DB1913"/>
    <w:rsid w:val="00DC410D"/>
    <w:rsid w:val="00DC5A81"/>
    <w:rsid w:val="00DC68CA"/>
    <w:rsid w:val="00DC7CBA"/>
    <w:rsid w:val="00DD73B7"/>
    <w:rsid w:val="00DF08DD"/>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93406"/>
    <w:rsid w:val="00EA010F"/>
    <w:rsid w:val="00EC7108"/>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B2FAB"/>
    <w:rsid w:val="00FC3506"/>
    <w:rsid w:val="00FD3CC1"/>
    <w:rsid w:val="00FE69A9"/>
    <w:rsid w:val="00FF1E02"/>
    <w:rsid w:val="00FF30B4"/>
    <w:rsid w:val="10C055FF"/>
    <w:rsid w:val="16BB723D"/>
    <w:rsid w:val="240371BF"/>
    <w:rsid w:val="29FD04D3"/>
    <w:rsid w:val="319F7F4E"/>
    <w:rsid w:val="4ECE2238"/>
    <w:rsid w:val="69CA3CA8"/>
    <w:rsid w:val="72734D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rPr>
      <w:rFonts w:eastAsia="黑体" w:asciiTheme="majorHAnsi" w:hAnsiTheme="majorHAnsi" w:cstheme="majorBidi"/>
      <w:sz w:val="20"/>
      <w:szCs w:val="20"/>
    </w:rPr>
  </w:style>
  <w:style w:type="paragraph" w:styleId="6">
    <w:name w:val="Body Text"/>
    <w:basedOn w:val="1"/>
    <w:link w:val="23"/>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ody Text Indent 2"/>
    <w:basedOn w:val="1"/>
    <w:link w:val="33"/>
    <w:unhideWhenUsed/>
    <w:uiPriority w:val="0"/>
    <w:pPr>
      <w:spacing w:after="120" w:line="480" w:lineRule="auto"/>
      <w:ind w:left="420" w:leftChars="200"/>
    </w:pPr>
  </w:style>
  <w:style w:type="paragraph" w:styleId="9">
    <w:name w:val="Balloon Text"/>
    <w:basedOn w:val="1"/>
    <w:link w:val="29"/>
    <w:semiHidden/>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1"/>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10"/>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2"/>
    <w:qFormat/>
    <w:uiPriority w:val="9"/>
    <w:rPr>
      <w:rFonts w:ascii="Times New Roman" w:hAnsi="Times New Roman"/>
      <w:b/>
      <w:bCs/>
      <w:kern w:val="44"/>
      <w:sz w:val="44"/>
      <w:szCs w:val="44"/>
    </w:rPr>
  </w:style>
  <w:style w:type="character" w:customStyle="1" w:styleId="27">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5"/>
    <w:link w:val="9"/>
    <w:semiHidden/>
    <w:qFormat/>
    <w:uiPriority w:val="99"/>
    <w:rPr>
      <w:rFonts w:ascii="Times New Roman" w:hAnsi="Times New Roman"/>
      <w:kern w:val="2"/>
      <w:sz w:val="18"/>
      <w:szCs w:val="18"/>
    </w:rPr>
  </w:style>
  <w:style w:type="character" w:customStyle="1" w:styleId="30">
    <w:name w:val="标题 3 Char"/>
    <w:basedOn w:val="15"/>
    <w:link w:val="4"/>
    <w:qFormat/>
    <w:uiPriority w:val="9"/>
    <w:rPr>
      <w:rFonts w:ascii="Times New Roman" w:hAnsi="Times New Roman"/>
      <w:b/>
      <w:bCs/>
      <w:kern w:val="2"/>
      <w:sz w:val="32"/>
      <w:szCs w:val="32"/>
    </w:rPr>
  </w:style>
  <w:style w:type="paragraph" w:customStyle="1" w:styleId="31">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正文文本缩进 2 Char"/>
    <w:link w:val="8"/>
    <w:uiPriority w:val="0"/>
    <w:rPr>
      <w:rFonts w:ascii="Times New Roman" w:hAnsi="Times New Roman"/>
      <w:kern w:val="2"/>
      <w:sz w:val="21"/>
      <w:szCs w:val="24"/>
    </w:rPr>
  </w:style>
  <w:style w:type="character" w:customStyle="1" w:styleId="33">
    <w:name w:val="正文文本缩进 2 Char1"/>
    <w:basedOn w:val="15"/>
    <w:link w:val="8"/>
    <w:semiHidden/>
    <w:qFormat/>
    <w:uiPriority w:val="99"/>
    <w:rPr>
      <w:rFonts w:ascii="Times New Roman" w:hAnsi="Times New Roman"/>
      <w:kern w:val="2"/>
      <w:sz w:val="21"/>
      <w:szCs w:val="24"/>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06304521349714"/>
          <c:y val="0.116006273209657"/>
          <c:w val="0.788706200431905"/>
          <c:h val="0.746632212769071"/>
        </c:manualLayout>
      </c:layout>
      <c:barChart>
        <c:barDir val="col"/>
        <c:grouping val="clustered"/>
        <c:varyColors val="0"/>
        <c:ser>
          <c:idx val="0"/>
          <c:order val="0"/>
          <c:tx>
            <c:strRef>
              <c:f>Sheet1!$B$1</c:f>
              <c:strCache>
                <c:ptCount val="1"/>
                <c:pt idx="0">
                  <c:v>2018</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2"/>
                <c:pt idx="0">
                  <c:v>收入</c:v>
                </c:pt>
                <c:pt idx="1">
                  <c:v>支出</c:v>
                </c:pt>
              </c:strCache>
            </c:strRef>
          </c:cat>
          <c:val>
            <c:numRef>
              <c:f>Sheet1!$B$2:$B$5</c:f>
              <c:numCache>
                <c:formatCode>General</c:formatCode>
                <c:ptCount val="4"/>
                <c:pt idx="0">
                  <c:v>590.37</c:v>
                </c:pt>
                <c:pt idx="1">
                  <c:v>583.07</c:v>
                </c:pt>
              </c:numCache>
            </c:numRef>
          </c:val>
        </c:ser>
        <c:ser>
          <c:idx val="1"/>
          <c:order val="1"/>
          <c:tx>
            <c:strRef>
              <c:f>Sheet1!$C$1</c:f>
              <c:strCache>
                <c:ptCount val="1"/>
                <c:pt idx="0">
                  <c:v>2019</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2"/>
                <c:pt idx="0">
                  <c:v>收入</c:v>
                </c:pt>
                <c:pt idx="1">
                  <c:v>支出</c:v>
                </c:pt>
              </c:strCache>
            </c:strRef>
          </c:cat>
          <c:val>
            <c:numRef>
              <c:f>Sheet1!$C$2:$C$5</c:f>
              <c:numCache>
                <c:formatCode>General</c:formatCode>
                <c:ptCount val="4"/>
                <c:pt idx="0">
                  <c:v>593.75</c:v>
                </c:pt>
                <c:pt idx="1">
                  <c:v>655.770000000001</c:v>
                </c:pt>
              </c:numCache>
            </c:numRef>
          </c:val>
        </c:ser>
        <c:dLbls>
          <c:showLegendKey val="0"/>
          <c:showVal val="1"/>
          <c:showCatName val="0"/>
          <c:showSerName val="0"/>
          <c:showPercent val="0"/>
          <c:showBubbleSize val="0"/>
        </c:dLbls>
        <c:gapWidth val="150"/>
        <c:axId val="88494848"/>
        <c:axId val="88503808"/>
      </c:barChart>
      <c:catAx>
        <c:axId val="8849484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8503808"/>
        <c:crosses val="autoZero"/>
        <c:auto val="1"/>
        <c:lblAlgn val="ctr"/>
        <c:lblOffset val="100"/>
        <c:noMultiLvlLbl val="0"/>
      </c:catAx>
      <c:valAx>
        <c:axId val="8850380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849484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eb0f9ecc-f8cf-4a77-82aa-932ec56275ca}"/>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2019年收入情况</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一般公共预算收入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593.75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542fef58-b241-453d-951f-f7364cb19cdc}"/>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2019年支出决算情况</c:v>
                </c:pt>
              </c:strCache>
            </c:strRef>
          </c:tx>
          <c:explosion val="25"/>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415.67</c:v>
                </c:pt>
                <c:pt idx="1">
                  <c:v>240.1</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f1f51d93-007d-4b65-b3fc-ad7d8eedef4c}"/>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总收支出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'Sheet1'!$A$2:$A$5</c:f>
              <c:numCache>
                <c:formatCode>General</c:formatCode>
                <c:ptCount val="4"/>
                <c:pt idx="0">
                  <c:v>2018</c:v>
                </c:pt>
                <c:pt idx="1">
                  <c:v>2019</c:v>
                </c:pt>
              </c:numCache>
            </c:numRef>
          </c:cat>
          <c:val>
            <c:numRef>
              <c:f>'Sheet1'!$B$2:$B$5</c:f>
              <c:numCache>
                <c:formatCode>General</c:formatCode>
                <c:ptCount val="4"/>
                <c:pt idx="0">
                  <c:v>1253.2</c:v>
                </c:pt>
                <c:pt idx="1">
                  <c:v>1249.82</c:v>
                </c:pt>
              </c:numCache>
            </c:numRef>
          </c:val>
        </c:ser>
        <c:dLbls>
          <c:showLegendKey val="0"/>
          <c:showVal val="1"/>
          <c:showCatName val="0"/>
          <c:showSerName val="0"/>
          <c:showPercent val="0"/>
          <c:showBubbleSize val="0"/>
        </c:dLbls>
        <c:gapWidth val="150"/>
        <c:axId val="105887616"/>
        <c:axId val="106116224"/>
      </c:barChart>
      <c:catAx>
        <c:axId val="10588761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6116224"/>
        <c:crosses val="autoZero"/>
        <c:auto val="1"/>
        <c:lblAlgn val="ctr"/>
        <c:lblOffset val="100"/>
        <c:noMultiLvlLbl val="0"/>
      </c:catAx>
      <c:valAx>
        <c:axId val="1061162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88761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5d241e52-317d-4398-8767-7890ce9a6940}"/>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一般公共预算财政拨款支出</a:t>
            </a:r>
            <a:endParaRPr lang="zh-CN" altLang="en-US"/>
          </a:p>
        </c:rich>
      </c:tx>
      <c:layout/>
      <c:overlay val="0"/>
    </c:title>
    <c:autoTitleDeleted val="0"/>
    <c:plotArea>
      <c:layout/>
      <c:barChart>
        <c:barDir val="col"/>
        <c:grouping val="clustered"/>
        <c:varyColors val="0"/>
        <c:ser>
          <c:idx val="0"/>
          <c:order val="0"/>
          <c:tx>
            <c:strRef>
              <c:f>'Sheet1'!$B$1</c:f>
              <c:strCache>
                <c:ptCount val="1"/>
                <c:pt idx="0">
                  <c:v>般公共预算财政拨款支出</c:v>
                </c:pt>
              </c:strCache>
            </c:strRef>
          </c:tx>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'Sheet1'!$A$2:$A$5</c:f>
              <c:numCache>
                <c:formatCode>General</c:formatCode>
                <c:ptCount val="4"/>
                <c:pt idx="0">
                  <c:v>2018</c:v>
                </c:pt>
                <c:pt idx="1">
                  <c:v>2019</c:v>
                </c:pt>
              </c:numCache>
            </c:numRef>
          </c:cat>
          <c:val>
            <c:numRef>
              <c:f>'Sheet1'!$B$2:$B$5</c:f>
              <c:numCache>
                <c:formatCode>General</c:formatCode>
                <c:ptCount val="4"/>
                <c:pt idx="0">
                  <c:v>583.07</c:v>
                </c:pt>
                <c:pt idx="1">
                  <c:v>655.770000000001</c:v>
                </c:pt>
              </c:numCache>
            </c:numRef>
          </c:val>
        </c:ser>
        <c:dLbls>
          <c:showLegendKey val="0"/>
          <c:showVal val="0"/>
          <c:showCatName val="0"/>
          <c:showSerName val="0"/>
          <c:showPercent val="0"/>
          <c:showBubbleSize val="0"/>
        </c:dLbls>
        <c:gapWidth val="150"/>
        <c:axId val="143721984"/>
        <c:axId val="143723520"/>
      </c:barChart>
      <c:catAx>
        <c:axId val="143721984"/>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3723520"/>
        <c:crosses val="autoZero"/>
        <c:auto val="1"/>
        <c:lblAlgn val="ctr"/>
        <c:lblOffset val="100"/>
        <c:noMultiLvlLbl val="0"/>
      </c:catAx>
      <c:valAx>
        <c:axId val="14372352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372198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8e99008f-9ec3-4515-a0fd-9391b60b0ed2}"/>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一般公共预算财政拨款支出决算</c:v>
                </c:pt>
              </c:strCache>
            </c:strRef>
          </c:tx>
          <c:explosion val="25"/>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一般公共服务</c:v>
                </c:pt>
                <c:pt idx="1">
                  <c:v>社会保障和就业</c:v>
                </c:pt>
                <c:pt idx="2">
                  <c:v>卫生健康支出</c:v>
                </c:pt>
                <c:pt idx="3">
                  <c:v>住房保障支出</c:v>
                </c:pt>
              </c:strCache>
            </c:strRef>
          </c:cat>
          <c:val>
            <c:numRef>
              <c:f>Sheet1!$B$2:$B$5</c:f>
              <c:numCache>
                <c:formatCode>General</c:formatCode>
                <c:ptCount val="4"/>
                <c:pt idx="0">
                  <c:v>577.549999999999</c:v>
                </c:pt>
                <c:pt idx="1">
                  <c:v>34.68</c:v>
                </c:pt>
                <c:pt idx="2">
                  <c:v>19.08</c:v>
                </c:pt>
                <c:pt idx="3">
                  <c:v>24.45</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5ea56b7f-aa3f-4359-8864-5fad9272143d}"/>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“三公”经费财政拨款支出</c:v>
                </c:pt>
              </c:strCache>
            </c:strRef>
          </c:tx>
          <c:explosion val="25"/>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因公出国（境）费用</c:v>
                </c:pt>
                <c:pt idx="1">
                  <c:v>公务用车购置及运行维护费</c:v>
                </c:pt>
                <c:pt idx="2">
                  <c:v>公务接待费</c:v>
                </c:pt>
              </c:strCache>
            </c:strRef>
          </c:cat>
          <c:val>
            <c:numRef>
              <c:f>Sheet1!$B$2:$B$4</c:f>
              <c:numCache>
                <c:formatCode>General</c:formatCode>
                <c:ptCount val="3"/>
                <c:pt idx="0">
                  <c:v>0</c:v>
                </c:pt>
                <c:pt idx="1">
                  <c:v>12.49</c:v>
                </c:pt>
                <c:pt idx="2">
                  <c:v>0.43</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ee091713-de59-4976-9f63-cc1eae23edaf}"/>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58CD1-1A72-4B5A-A330-CBE6227BC7E0}">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87</Pages>
  <Words>5824</Words>
  <Characters>6241</Characters>
  <Lines>318</Lines>
  <Paragraphs>89</Paragraphs>
  <TotalTime>1028</TotalTime>
  <ScaleCrop>false</ScaleCrop>
  <LinksUpToDate>false</LinksUpToDate>
  <CharactersWithSpaces>6274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一个笨蛋</cp:lastModifiedBy>
  <cp:lastPrinted>2020-09-29T05:12:00Z</cp:lastPrinted>
  <dcterms:modified xsi:type="dcterms:W3CDTF">2025-04-23T07:41:24Z</dcterms:modified>
  <dc:title>四川省***</dc:title>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eyJoZGlkIjoiYjllZGNkZWEzYjg0NDNmNTQ5MjkzNjk0ODlhNmVkYzAiLCJ1c2VySWQiOiI0MTAxMDQ4MDkifQ==</vt:lpwstr>
  </property>
  <property fmtid="{D5CDD505-2E9C-101B-9397-08002B2CF9AE}" pid="4" name="ICV">
    <vt:lpwstr>8BF3AC896B244E438B855B355E06BE41_12</vt:lpwstr>
  </property>
</Properties>
</file>