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193"/>
      <w:bookmarkStart w:id="3" w:name="_Toc15378441"/>
      <w:bookmarkStart w:id="4" w:name="_Toc15396475"/>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rPr>
      </w:pPr>
      <w:bookmarkStart w:id="6" w:name="_Toc15377194"/>
      <w:bookmarkStart w:id="7" w:name="_Toc15396476"/>
      <w:bookmarkStart w:id="8" w:name="_Toc15396598"/>
      <w:bookmarkStart w:id="9" w:name="_Toc15378442"/>
      <w:bookmarkStart w:id="10" w:name="_Toc15377426"/>
      <w:r>
        <w:rPr>
          <w:rFonts w:hint="eastAsia" w:ascii="方正小标宋简体" w:eastAsia="方正小标宋简体"/>
          <w:sz w:val="72"/>
          <w:szCs w:val="72"/>
        </w:rPr>
        <w:t>四川省阿坝州</w:t>
      </w:r>
      <w:bookmarkEnd w:id="0"/>
      <w:bookmarkStart w:id="11" w:name="_Toc15306268"/>
    </w:p>
    <w:p>
      <w:pPr>
        <w:jc w:val="center"/>
        <w:rPr>
          <w:rFonts w:ascii="方正小标宋简体" w:eastAsia="方正小标宋简体"/>
          <w:sz w:val="72"/>
          <w:szCs w:val="72"/>
        </w:rPr>
      </w:pPr>
      <w:r>
        <w:rPr>
          <w:rFonts w:hint="eastAsia" w:ascii="方正小标宋简体" w:hAnsi="Times New Roman" w:eastAsia="方正小标宋简体" w:cs="Times New Roman"/>
          <w:sz w:val="72"/>
          <w:szCs w:val="72"/>
        </w:rPr>
        <w:t>共青团阿坝州委</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pStyle w:val="8"/>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公开时间：2021年</w:t>
      </w:r>
      <w:r>
        <w:rPr>
          <w:rFonts w:hAnsiTheme="minorHAnsi"/>
          <w:b w:val="0"/>
          <w:bCs w:val="0"/>
          <w:sz w:val="24"/>
          <w:szCs w:val="24"/>
        </w:rPr>
        <w:t>9</w:t>
      </w:r>
      <w:r>
        <w:rPr>
          <w:rFonts w:hint="eastAsia" w:hAnsiTheme="minorHAnsi"/>
          <w:b w:val="0"/>
          <w:bCs w:val="0"/>
          <w:sz w:val="24"/>
          <w:szCs w:val="24"/>
        </w:rPr>
        <w:t>月</w:t>
      </w:r>
      <w:r>
        <w:rPr>
          <w:rFonts w:hAnsiTheme="minorHAnsi"/>
          <w:b w:val="0"/>
          <w:bCs w:val="0"/>
          <w:sz w:val="24"/>
          <w:szCs w:val="24"/>
        </w:rPr>
        <w:t>25</w:t>
      </w:r>
      <w:r>
        <w:rPr>
          <w:rFonts w:hint="eastAsia" w:hAnsiTheme="minorHAnsi"/>
          <w:b w:val="0"/>
          <w:bCs w:val="0"/>
          <w:sz w:val="24"/>
          <w:szCs w:val="24"/>
        </w:rPr>
        <w:t>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pPr>
        <w:pStyle w:val="15"/>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b w:val="0"/>
          <w:bCs w:val="0"/>
        </w:rPr>
        <w:t>2020年度部门决算情况说明</w:t>
      </w:r>
      <w:r>
        <w:tab/>
      </w:r>
      <w:r>
        <w:rPr>
          <w:rFonts w:hint="eastAsia"/>
          <w:lang w:val="en-US" w:eastAsia="zh-CN"/>
        </w:rPr>
        <w:t>9</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9</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9</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10</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10</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12</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14</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14</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14</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15</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16</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16</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16</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16</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16</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17</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17</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28</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30</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30</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团州委</w:t>
      </w:r>
      <w:r>
        <w:rPr>
          <w:rFonts w:ascii="方正小标宋简体" w:hAnsi="黑体" w:eastAsia="方正小标宋简体" w:cs="黑体"/>
        </w:rPr>
        <w:t>2020年部门整体支出绩效评价报告</w:t>
      </w:r>
      <w:r>
        <w:tab/>
      </w:r>
      <w:r>
        <w:rPr>
          <w:rFonts w:hint="eastAsia"/>
          <w:lang w:val="en-US" w:eastAsia="zh-CN"/>
        </w:rPr>
        <w:t>30</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34</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5个</w:t>
      </w:r>
      <w:r>
        <w:rPr>
          <w:rFonts w:ascii="方正小标宋简体" w:hAnsi="黑体" w:eastAsia="方正小标宋简体" w:cs="黑体"/>
        </w:rPr>
        <w:t>项目2020年绩效评价报告</w:t>
      </w:r>
      <w:r>
        <w:tab/>
      </w:r>
      <w:r>
        <w:rPr>
          <w:rFonts w:hint="eastAsia"/>
          <w:lang w:val="en-US" w:eastAsia="zh-CN"/>
        </w:rPr>
        <w:t>34</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39</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39</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39</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39</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39</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39</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39</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39</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39</w:t>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3</w:t>
      </w:r>
      <w:r>
        <w:rPr>
          <w:rFonts w:hint="eastAsia"/>
          <w:lang w:val="en-US" w:eastAsia="zh-CN"/>
        </w:rPr>
        <w:t>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3</w:t>
      </w:r>
      <w:r>
        <w:rPr>
          <w:rFonts w:hint="eastAsia"/>
          <w:lang w:val="en-US" w:eastAsia="zh-CN"/>
        </w:rPr>
        <w:t>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3</w:t>
      </w:r>
      <w:r>
        <w:rPr>
          <w:rFonts w:hint="eastAsia"/>
          <w:lang w:val="en-US" w:eastAsia="zh-CN"/>
        </w:rPr>
        <w:t>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3</w:t>
      </w:r>
      <w:r>
        <w:rPr>
          <w:rFonts w:hint="eastAsia"/>
          <w:lang w:val="en-US" w:eastAsia="zh-CN"/>
        </w:rPr>
        <w:t>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3</w:t>
      </w:r>
      <w:r>
        <w:rPr>
          <w:rFonts w:hint="eastAsia"/>
          <w:lang w:val="en-US" w:eastAsia="zh-CN"/>
        </w:rPr>
        <w:t>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3</w:t>
      </w:r>
      <w:r>
        <w:rPr>
          <w:rFonts w:hint="eastAsia"/>
          <w:lang w:val="en-US" w:eastAsia="zh-CN"/>
        </w:rPr>
        <w:t>9</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4"/>
        <w:jc w:val="center"/>
        <w:rPr>
          <w:rStyle w:val="25"/>
          <w:rFonts w:ascii="黑体" w:hAnsi="黑体" w:eastAsia="黑体"/>
          <w:b/>
          <w:bCs w:val="0"/>
        </w:rPr>
      </w:pPr>
      <w:bookmarkStart w:id="14" w:name="_Toc79163851"/>
      <w:bookmarkStart w:id="15" w:name="_Toc79163601"/>
      <w:r>
        <w:rPr>
          <w:rFonts w:hint="eastAsia" w:ascii="黑体" w:hAnsi="黑体" w:eastAsia="黑体"/>
          <w:b w:val="0"/>
        </w:rPr>
        <w:t>第一部分</w:t>
      </w:r>
      <w:r>
        <w:rPr>
          <w:rStyle w:val="25"/>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6"/>
          <w:rFonts w:ascii="仿宋" w:hAnsi="仿宋" w:eastAsia="仿宋"/>
          <w:b w:val="0"/>
          <w:bCs w:val="0"/>
        </w:rPr>
      </w:pPr>
      <w:bookmarkStart w:id="16" w:name="_Toc79163852"/>
      <w:bookmarkStart w:id="17" w:name="_Toc15377197"/>
      <w:bookmarkStart w:id="18" w:name="_Toc15396600"/>
      <w:bookmarkStart w:id="19" w:name="_Toc7916360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hint="default" w:ascii="仿宋_GB2312" w:hAnsi="仿宋_GB2312" w:eastAsia="仿宋_GB2312" w:cs="仿宋_GB2312"/>
          <w:sz w:val="32"/>
          <w:szCs w:val="32"/>
          <w:shd w:val="clear" w:color="auto" w:fill="FFFFFF"/>
        </w:rPr>
      </w:pPr>
      <w:bookmarkStart w:id="24" w:name="_Toc79163854"/>
      <w:bookmarkStart w:id="25" w:name="_Toc15377199"/>
      <w:bookmarkStart w:id="26" w:name="_Toc79163604"/>
      <w:bookmarkStart w:id="27" w:name="_Toc15378446"/>
      <w:r>
        <w:rPr>
          <w:rFonts w:hint="eastAsia" w:ascii="仿宋_GB2312" w:hAnsi="仿宋_GB2312" w:eastAsia="仿宋_GB2312" w:cs="仿宋_GB2312"/>
          <w:sz w:val="32"/>
          <w:szCs w:val="32"/>
          <w:shd w:val="clear" w:color="auto" w:fill="FFFFFF"/>
        </w:rPr>
        <w:t>根据阿委办发〔2002〕6号文件规定，团州委主要职责是：行使共青团阿坝州委员会赋予的领导全州共青团工作、领导全州青联和少先队工作的职能，对全州性青年社团组织进行指导和管理。参与制定我州青少年事业发展规划和青少年工作方针、政策，对我州青少年活动阵地、青少年服务机构的建设等进行规划和管理。</w:t>
      </w:r>
      <w:r>
        <w:rPr>
          <w:rFonts w:hint="default" w:ascii="仿宋_GB2312" w:hAnsi="仿宋_GB2312" w:eastAsia="仿宋_GB2312" w:cs="仿宋_GB2312"/>
          <w:sz w:val="32"/>
          <w:szCs w:val="32"/>
          <w:shd w:val="clear" w:color="auto" w:fill="FFFFFF"/>
        </w:rPr>
        <w:t> </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480" w:firstLineChars="200"/>
        <w:jc w:val="left"/>
        <w:textAlignment w:val="auto"/>
        <w:rPr>
          <w:rFonts w:hint="default" w:ascii="仿宋_GB2312" w:hAnsi="仿宋_GB2312" w:eastAsia="仿宋_GB2312" w:cs="仿宋_GB2312"/>
          <w:i w:val="0"/>
          <w:caps w:val="0"/>
          <w:color w:val="111111"/>
          <w:spacing w:val="0"/>
          <w:sz w:val="32"/>
          <w:szCs w:val="32"/>
          <w:lang w:val="en-US"/>
        </w:rPr>
      </w:pPr>
      <w:r>
        <w:rPr>
          <w:rFonts w:hint="eastAsia" w:ascii="微软雅黑" w:hAnsi="微软雅黑" w:eastAsia="微软雅黑" w:cs="微软雅黑"/>
          <w:i w:val="0"/>
          <w:caps w:val="0"/>
          <w:color w:val="111111"/>
          <w:spacing w:val="0"/>
          <w:sz w:val="24"/>
          <w:szCs w:val="24"/>
        </w:rPr>
        <w:t> </w:t>
      </w:r>
      <w:r>
        <w:rPr>
          <w:rFonts w:hint="eastAsia" w:ascii="楷体_GB2312" w:hAnsi="仿宋_GB2312" w:eastAsia="楷体_GB2312" w:cs="仿宋_GB2312"/>
          <w:b/>
          <w:kern w:val="2"/>
          <w:sz w:val="32"/>
          <w:szCs w:val="32"/>
          <w:lang w:val="en-US" w:eastAsia="zh-CN" w:bidi="ar-SA"/>
        </w:rPr>
        <w:t>（一）坚持不懈用习近平新时代中国特色社会主义思想教育引领青年，筑牢广大青年听党话、跟党走的思想根基。</w:t>
      </w:r>
      <w:r>
        <w:rPr>
          <w:rFonts w:hint="eastAsia" w:ascii="仿宋_GB2312" w:hAnsi="仿宋_GB2312" w:eastAsia="仿宋_GB2312" w:cs="仿宋_GB2312"/>
          <w:b w:val="0"/>
          <w:bCs w:val="0"/>
          <w:sz w:val="32"/>
          <w:szCs w:val="32"/>
          <w:lang w:val="en-US" w:eastAsia="zh-CN"/>
        </w:rPr>
        <w:t>以</w:t>
      </w:r>
      <w:r>
        <w:rPr>
          <w:rFonts w:hint="eastAsia" w:ascii="仿宋_GB2312" w:hAnsi="仿宋_GB2312" w:eastAsia="仿宋_GB2312" w:cs="仿宋_GB2312"/>
          <w:b w:val="0"/>
          <w:bCs w:val="0"/>
          <w:sz w:val="32"/>
          <w:szCs w:val="32"/>
        </w:rPr>
        <w:t>形势政策教育、理想信念教育和民族团结</w:t>
      </w:r>
      <w:r>
        <w:rPr>
          <w:rFonts w:hint="eastAsia" w:ascii="仿宋_GB2312" w:hAnsi="仿宋_GB2312" w:eastAsia="仿宋_GB2312" w:cs="仿宋_GB2312"/>
          <w:b w:val="0"/>
          <w:bCs w:val="0"/>
          <w:sz w:val="32"/>
          <w:szCs w:val="32"/>
          <w:lang w:val="en-US" w:eastAsia="zh-CN"/>
        </w:rPr>
        <w:t>进步</w:t>
      </w:r>
      <w:r>
        <w:rPr>
          <w:rFonts w:hint="eastAsia" w:ascii="仿宋_GB2312" w:hAnsi="仿宋_GB2312" w:eastAsia="仿宋_GB2312" w:cs="仿宋_GB2312"/>
          <w:b w:val="0"/>
          <w:bCs w:val="0"/>
          <w:sz w:val="32"/>
          <w:szCs w:val="32"/>
        </w:rPr>
        <w:t>教育</w:t>
      </w:r>
      <w:r>
        <w:rPr>
          <w:rFonts w:hint="eastAsia" w:ascii="仿宋_GB2312" w:hAnsi="仿宋_GB2312" w:eastAsia="仿宋_GB2312" w:cs="仿宋_GB2312"/>
          <w:b w:val="0"/>
          <w:bCs w:val="0"/>
          <w:sz w:val="32"/>
          <w:szCs w:val="32"/>
          <w:lang w:val="en-US" w:eastAsia="zh-CN"/>
        </w:rPr>
        <w:t>为主题，以红色文化、科学文化、融情教育和法治教育为抓手，引导</w:t>
      </w:r>
      <w:r>
        <w:rPr>
          <w:rFonts w:hint="eastAsia" w:ascii="仿宋_GB2312" w:hAnsi="仿宋_GB2312" w:eastAsia="仿宋_GB2312" w:cs="仿宋_GB2312"/>
          <w:b w:val="0"/>
          <w:bCs w:val="0"/>
          <w:i w:val="0"/>
          <w:caps w:val="0"/>
          <w:color w:val="111111"/>
          <w:spacing w:val="0"/>
          <w:sz w:val="32"/>
          <w:szCs w:val="32"/>
          <w:lang w:val="en-US" w:eastAsia="zh-CN"/>
        </w:rPr>
        <w:t>广大青年牢固树立“四个意识”、坚定“四个自信”、坚持“两个维护”，筑牢各民族共同团结进步、共同维护祖国统一和社会稳定的思想共识。</w:t>
      </w:r>
      <w:r>
        <w:rPr>
          <w:rFonts w:hint="eastAsia" w:ascii="仿宋_GB2312" w:hAnsi="仿宋_GB2312" w:eastAsia="仿宋_GB2312" w:cs="仿宋_GB2312"/>
          <w:b/>
          <w:bCs/>
          <w:sz w:val="32"/>
          <w:szCs w:val="32"/>
          <w:lang w:val="en-US" w:eastAsia="zh-CN"/>
        </w:rPr>
        <w:t>组织“</w:t>
      </w:r>
      <w:r>
        <w:rPr>
          <w:rFonts w:hint="eastAsia" w:ascii="仿宋_GB2312" w:hAnsi="仿宋_GB2312" w:eastAsia="仿宋_GB2312" w:cs="仿宋_GB2312"/>
          <w:b/>
          <w:bCs/>
          <w:kern w:val="2"/>
          <w:sz w:val="32"/>
          <w:szCs w:val="32"/>
          <w:lang w:val="en-US" w:eastAsia="zh-CN" w:bidi="ar-SA"/>
        </w:rPr>
        <w:t>青年大学习</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kern w:val="2"/>
          <w:sz w:val="32"/>
          <w:szCs w:val="32"/>
          <w:lang w:val="en-US" w:eastAsia="zh-CN" w:bidi="ar-SA"/>
        </w:rPr>
        <w:t>网上团课29期，</w:t>
      </w:r>
      <w:r>
        <w:rPr>
          <w:rFonts w:hint="eastAsia" w:ascii="仿宋_GB2312" w:hAnsi="仿宋_GB2312" w:eastAsia="仿宋_GB2312" w:cs="仿宋_GB2312"/>
          <w:b w:val="0"/>
          <w:bCs w:val="0"/>
          <w:i w:val="0"/>
          <w:caps w:val="0"/>
          <w:color w:val="111111"/>
          <w:spacing w:val="0"/>
          <w:sz w:val="32"/>
          <w:szCs w:val="32"/>
          <w:lang w:val="en-US" w:eastAsia="zh-CN"/>
        </w:rPr>
        <w:t>参与人次31.22万，参学比稳居全省前列。</w:t>
      </w:r>
      <w:r>
        <w:rPr>
          <w:rFonts w:hint="eastAsia" w:ascii="仿宋_GB2312" w:hAnsi="仿宋_GB2312" w:eastAsia="仿宋_GB2312" w:cs="仿宋_GB2312"/>
          <w:b/>
          <w:bCs/>
          <w:sz w:val="32"/>
          <w:szCs w:val="32"/>
          <w:lang w:val="en-US" w:eastAsia="zh-CN"/>
        </w:rPr>
        <w:t>深入实施青年宣讲团、红领巾宣讲团计划</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i w:val="0"/>
          <w:caps w:val="0"/>
          <w:color w:val="111111"/>
          <w:spacing w:val="0"/>
          <w:sz w:val="32"/>
          <w:szCs w:val="32"/>
          <w:lang w:val="en-US" w:eastAsia="zh-CN"/>
        </w:rPr>
        <w:t>聘请中小学校领军教师、基层检察院法治讲解员、行业系统青年骨干和两新组织优秀代表</w:t>
      </w:r>
      <w:r>
        <w:rPr>
          <w:rFonts w:hint="eastAsia" w:ascii="仿宋_GB2312" w:hAnsi="仿宋_GB2312" w:eastAsia="仿宋_GB2312" w:cs="仿宋_GB2312"/>
          <w:b w:val="0"/>
          <w:bCs w:val="0"/>
          <w:i w:val="0"/>
          <w:caps w:val="0"/>
          <w:color w:val="111111"/>
          <w:spacing w:val="0"/>
          <w:sz w:val="32"/>
          <w:szCs w:val="32"/>
        </w:rPr>
        <w:t>深入基层</w:t>
      </w:r>
      <w:r>
        <w:rPr>
          <w:rFonts w:hint="eastAsia" w:ascii="仿宋_GB2312" w:hAnsi="仿宋_GB2312" w:eastAsia="仿宋_GB2312" w:cs="仿宋_GB2312"/>
          <w:b w:val="0"/>
          <w:bCs w:val="0"/>
          <w:i w:val="0"/>
          <w:caps w:val="0"/>
          <w:color w:val="111111"/>
          <w:spacing w:val="0"/>
          <w:sz w:val="32"/>
          <w:szCs w:val="32"/>
          <w:lang w:val="en-US" w:eastAsia="zh-CN"/>
        </w:rPr>
        <w:t>宣讲27场，</w:t>
      </w:r>
      <w:r>
        <w:rPr>
          <w:rFonts w:hint="eastAsia" w:ascii="仿宋_GB2312" w:hAnsi="仿宋_GB2312" w:eastAsia="仿宋_GB2312" w:cs="仿宋_GB2312"/>
          <w:b w:val="0"/>
          <w:bCs w:val="0"/>
          <w:i w:val="0"/>
          <w:caps w:val="0"/>
          <w:color w:val="111111"/>
          <w:spacing w:val="0"/>
          <w:sz w:val="32"/>
          <w:szCs w:val="32"/>
        </w:rPr>
        <w:t>面对面</w:t>
      </w:r>
      <w:r>
        <w:rPr>
          <w:rFonts w:hint="eastAsia" w:ascii="仿宋_GB2312" w:hAnsi="仿宋_GB2312" w:eastAsia="仿宋_GB2312" w:cs="仿宋_GB2312"/>
          <w:b w:val="0"/>
          <w:bCs w:val="0"/>
          <w:i w:val="0"/>
          <w:caps w:val="0"/>
          <w:color w:val="111111"/>
          <w:spacing w:val="0"/>
          <w:sz w:val="32"/>
          <w:szCs w:val="32"/>
          <w:lang w:val="en-US" w:eastAsia="zh-CN"/>
        </w:rPr>
        <w:t>地向</w:t>
      </w:r>
      <w:r>
        <w:rPr>
          <w:rFonts w:hint="eastAsia" w:ascii="仿宋_GB2312" w:hAnsi="仿宋_GB2312" w:eastAsia="仿宋_GB2312" w:cs="仿宋_GB2312"/>
          <w:b w:val="0"/>
          <w:bCs w:val="0"/>
          <w:i w:val="0"/>
          <w:caps w:val="0"/>
          <w:color w:val="111111"/>
          <w:spacing w:val="0"/>
          <w:sz w:val="32"/>
          <w:szCs w:val="32"/>
        </w:rPr>
        <w:t>青年宣讲党的理论和主张</w:t>
      </w:r>
      <w:r>
        <w:rPr>
          <w:rFonts w:hint="eastAsia" w:ascii="仿宋_GB2312" w:hAnsi="仿宋_GB2312" w:eastAsia="仿宋_GB2312" w:cs="仿宋_GB2312"/>
          <w:b w:val="0"/>
          <w:bCs w:val="0"/>
          <w:i w:val="0"/>
          <w:caps w:val="0"/>
          <w:color w:val="111111"/>
          <w:spacing w:val="0"/>
          <w:sz w:val="32"/>
          <w:szCs w:val="32"/>
          <w:lang w:eastAsia="zh-CN"/>
        </w:rPr>
        <w:t>。</w:t>
      </w:r>
      <w:r>
        <w:rPr>
          <w:rFonts w:hint="eastAsia" w:ascii="仿宋_GB2312" w:hAnsi="仿宋_GB2312" w:eastAsia="仿宋_GB2312" w:cs="仿宋_GB2312"/>
          <w:b/>
          <w:bCs/>
          <w:sz w:val="32"/>
          <w:szCs w:val="32"/>
          <w:lang w:val="en-US" w:eastAsia="zh-CN"/>
        </w:rPr>
        <w:t>开展“红土高原格桑花”系列活动深化社会主义核心价值观培育工程</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sz w:val="32"/>
          <w:szCs w:val="32"/>
        </w:rPr>
        <w:t>在中小学生中</w:t>
      </w:r>
      <w:r>
        <w:rPr>
          <w:rFonts w:hint="eastAsia" w:ascii="仿宋_GB2312" w:hAnsi="仿宋_GB2312" w:eastAsia="仿宋_GB2312" w:cs="仿宋_GB2312"/>
          <w:b w:val="0"/>
          <w:bCs w:val="0"/>
          <w:sz w:val="32"/>
          <w:szCs w:val="32"/>
          <w:lang w:val="en-US" w:eastAsia="zh-CN"/>
        </w:rPr>
        <w:t>倡导文明出行、勤俭节约、生态环保等理念，通过“小手拉大手”的示范带动体现后喻文化的积极作用。</w:t>
      </w:r>
      <w:r>
        <w:rPr>
          <w:rFonts w:hint="eastAsia" w:ascii="仿宋_GB2312" w:hAnsi="仿宋_GB2312" w:eastAsia="仿宋_GB2312" w:cs="仿宋_GB2312"/>
          <w:b/>
          <w:bCs/>
          <w:sz w:val="32"/>
          <w:szCs w:val="32"/>
          <w:lang w:val="en-US" w:eastAsia="zh-CN"/>
        </w:rPr>
        <w:t>强化青少年先进性教育</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开展“迎接少代会 争做好队员”</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“感恩奋进 做时代接班人”</w:t>
      </w:r>
      <w:r>
        <w:rPr>
          <w:rFonts w:hint="eastAsia" w:ascii="仿宋_GB2312" w:hAnsi="仿宋_GB2312" w:eastAsia="仿宋_GB2312" w:cs="仿宋_GB2312"/>
          <w:b w:val="0"/>
          <w:bCs w:val="0"/>
          <w:sz w:val="32"/>
          <w:szCs w:val="32"/>
          <w:lang w:val="en-US" w:eastAsia="zh-CN"/>
        </w:rPr>
        <w:t>等</w:t>
      </w:r>
      <w:r>
        <w:rPr>
          <w:rFonts w:hint="eastAsia" w:ascii="仿宋_GB2312" w:hAnsi="仿宋_GB2312" w:eastAsia="仿宋_GB2312" w:cs="仿宋_GB2312"/>
          <w:b w:val="0"/>
          <w:bCs w:val="0"/>
          <w:sz w:val="32"/>
          <w:szCs w:val="32"/>
        </w:rPr>
        <w:t>主题团日活动，</w:t>
      </w:r>
      <w:r>
        <w:rPr>
          <w:rFonts w:hint="eastAsia" w:ascii="仿宋_GB2312" w:hAnsi="仿宋_GB2312" w:eastAsia="仿宋_GB2312" w:cs="仿宋_GB2312"/>
          <w:b w:val="0"/>
          <w:bCs w:val="0"/>
          <w:sz w:val="32"/>
          <w:szCs w:val="32"/>
          <w:lang w:val="en-US" w:eastAsia="zh-CN"/>
        </w:rPr>
        <w:t>举办基层团干部、少先队辅导员和创业青年理论培训3期培训200人，</w:t>
      </w:r>
      <w:r>
        <w:rPr>
          <w:rFonts w:hint="eastAsia" w:ascii="仿宋_GB2312" w:hAnsi="仿宋_GB2312" w:eastAsia="仿宋_GB2312" w:cs="仿宋_GB2312"/>
          <w:b w:val="0"/>
          <w:bCs w:val="0"/>
          <w:i w:val="0"/>
          <w:caps w:val="0"/>
          <w:color w:val="111111"/>
          <w:spacing w:val="0"/>
          <w:sz w:val="32"/>
          <w:szCs w:val="32"/>
          <w:lang w:val="en-US" w:eastAsia="zh-CN"/>
        </w:rPr>
        <w:t>拍摄阿真能周先进事迹专题宣传片，</w:t>
      </w:r>
      <w:r>
        <w:rPr>
          <w:rFonts w:hint="eastAsia" w:ascii="仿宋_GB2312" w:hAnsi="仿宋_GB2312" w:eastAsia="仿宋_GB2312" w:cs="仿宋_GB2312"/>
          <w:b w:val="0"/>
          <w:bCs w:val="0"/>
          <w:sz w:val="32"/>
          <w:szCs w:val="32"/>
          <w:lang w:val="en-US" w:eastAsia="zh-CN"/>
        </w:rPr>
        <w:t>以</w:t>
      </w:r>
      <w:r>
        <w:rPr>
          <w:rFonts w:hint="eastAsia" w:ascii="仿宋_GB2312" w:hAnsi="仿宋_GB2312" w:eastAsia="仿宋_GB2312" w:cs="仿宋_GB2312"/>
          <w:b w:val="0"/>
          <w:bCs w:val="0"/>
          <w:i w:val="0"/>
          <w:caps w:val="0"/>
          <w:color w:val="111111"/>
          <w:spacing w:val="0"/>
          <w:sz w:val="32"/>
          <w:szCs w:val="32"/>
        </w:rPr>
        <w:t>仪式教育</w:t>
      </w:r>
      <w:r>
        <w:rPr>
          <w:rFonts w:hint="eastAsia" w:ascii="仿宋_GB2312" w:hAnsi="仿宋_GB2312" w:eastAsia="仿宋_GB2312" w:cs="仿宋_GB2312"/>
          <w:b w:val="0"/>
          <w:bCs w:val="0"/>
          <w:i w:val="0"/>
          <w:caps w:val="0"/>
          <w:color w:val="111111"/>
          <w:spacing w:val="0"/>
          <w:sz w:val="32"/>
          <w:szCs w:val="32"/>
          <w:lang w:eastAsia="zh-CN"/>
        </w:rPr>
        <w:t>、</w:t>
      </w:r>
      <w:r>
        <w:rPr>
          <w:rFonts w:hint="eastAsia" w:ascii="仿宋_GB2312" w:hAnsi="仿宋_GB2312" w:eastAsia="仿宋_GB2312" w:cs="仿宋_GB2312"/>
          <w:b w:val="0"/>
          <w:bCs w:val="0"/>
          <w:i w:val="0"/>
          <w:caps w:val="0"/>
          <w:color w:val="111111"/>
          <w:spacing w:val="0"/>
          <w:sz w:val="32"/>
          <w:szCs w:val="32"/>
          <w:lang w:val="en-US" w:eastAsia="zh-CN"/>
        </w:rPr>
        <w:t>榜样引领</w:t>
      </w:r>
      <w:r>
        <w:rPr>
          <w:rFonts w:hint="eastAsia" w:ascii="仿宋_GB2312" w:hAnsi="仿宋_GB2312" w:eastAsia="仿宋_GB2312" w:cs="仿宋_GB2312"/>
          <w:b w:val="0"/>
          <w:bCs w:val="0"/>
          <w:i w:val="0"/>
          <w:caps w:val="0"/>
          <w:color w:val="111111"/>
          <w:spacing w:val="0"/>
          <w:sz w:val="32"/>
          <w:szCs w:val="32"/>
        </w:rPr>
        <w:t>推进青少年民族团结进步教育内化于心、外化于行。</w:t>
      </w:r>
      <w:r>
        <w:rPr>
          <w:rFonts w:hint="eastAsia" w:ascii="仿宋_GB2312" w:hAnsi="仿宋_GB2312" w:eastAsia="仿宋_GB2312" w:cs="仿宋_GB2312"/>
          <w:b/>
          <w:bCs/>
          <w:sz w:val="32"/>
          <w:szCs w:val="32"/>
          <w:lang w:val="en-US" w:eastAsia="zh-CN"/>
        </w:rPr>
        <w:t>新媒体宣传提质增效拓宽思想引领途径，</w:t>
      </w:r>
      <w:r>
        <w:rPr>
          <w:rFonts w:hint="eastAsia" w:ascii="仿宋_GB2312" w:hAnsi="仿宋_GB2312" w:eastAsia="仿宋_GB2312" w:cs="仿宋_GB2312"/>
          <w:b w:val="0"/>
          <w:bCs w:val="0"/>
          <w:i w:val="0"/>
          <w:caps w:val="0"/>
          <w:color w:val="111111"/>
          <w:spacing w:val="0"/>
          <w:sz w:val="32"/>
          <w:szCs w:val="32"/>
        </w:rPr>
        <w:t>深化阵地建设、内容建设、队伍建设，</w:t>
      </w:r>
      <w:r>
        <w:rPr>
          <w:rFonts w:hint="eastAsia" w:ascii="仿宋_GB2312" w:hAnsi="仿宋_GB2312" w:eastAsia="仿宋_GB2312" w:cs="仿宋_GB2312"/>
          <w:b w:val="0"/>
          <w:bCs w:val="0"/>
          <w:i w:val="0"/>
          <w:caps w:val="0"/>
          <w:color w:val="111111"/>
          <w:spacing w:val="0"/>
          <w:sz w:val="32"/>
          <w:szCs w:val="32"/>
          <w:lang w:val="en-US" w:eastAsia="zh-CN"/>
        </w:rPr>
        <w:t>发布《阿坝青年》电子期刊9期、268条微信、526条微博，广泛开展“团团带你游阿坝”主题宣传活动和</w:t>
      </w:r>
      <w:r>
        <w:rPr>
          <w:rFonts w:hint="eastAsia" w:eastAsia="仿宋_GB2312" w:cs="仿宋_GB2312"/>
          <w:b w:val="0"/>
          <w:bCs w:val="0"/>
          <w:sz w:val="32"/>
          <w:szCs w:val="32"/>
        </w:rPr>
        <w:t>阿坝州青年志愿者之歌</w:t>
      </w:r>
      <w:r>
        <w:rPr>
          <w:rFonts w:hint="eastAsia" w:eastAsia="仿宋_GB2312" w:cs="仿宋_GB2312"/>
          <w:b w:val="0"/>
          <w:bCs w:val="0"/>
          <w:sz w:val="32"/>
          <w:szCs w:val="32"/>
          <w:lang w:val="en-US" w:eastAsia="zh-CN"/>
        </w:rPr>
        <w:t>征集活动</w:t>
      </w:r>
      <w:r>
        <w:rPr>
          <w:rFonts w:hint="eastAsia" w:eastAsia="仿宋_GB2312" w:cs="仿宋_GB2312"/>
          <w:b w:val="0"/>
          <w:bCs w:val="0"/>
          <w:sz w:val="32"/>
          <w:szCs w:val="32"/>
        </w:rPr>
        <w:t>。</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3" w:firstLineChars="200"/>
        <w:jc w:val="left"/>
        <w:textAlignment w:val="auto"/>
        <w:rPr>
          <w:rFonts w:eastAsia="仿宋_GB2312" w:cs="仿宋_GB2312"/>
          <w:b/>
          <w:sz w:val="32"/>
          <w:szCs w:val="32"/>
        </w:rPr>
      </w:pPr>
      <w:r>
        <w:rPr>
          <w:rFonts w:hint="eastAsia" w:ascii="楷体_GB2312" w:hAnsi="仿宋_GB2312" w:eastAsia="楷体_GB2312" w:cs="仿宋_GB2312"/>
          <w:b/>
          <w:kern w:val="2"/>
          <w:sz w:val="32"/>
          <w:szCs w:val="32"/>
          <w:lang w:val="en-US" w:eastAsia="zh-CN" w:bidi="ar-SA"/>
        </w:rPr>
        <w:t>（二）围绕“一州两区三家园”发展要求，着力提升共青团服务中心大局的实效。</w:t>
      </w:r>
      <w:r>
        <w:rPr>
          <w:rFonts w:hint="eastAsia" w:ascii="仿宋_GB2312" w:eastAsia="仿宋_GB2312"/>
          <w:b w:val="0"/>
          <w:bCs w:val="0"/>
          <w:color w:val="000000"/>
          <w:sz w:val="32"/>
          <w:szCs w:val="32"/>
        </w:rPr>
        <w:t>组织引导广大团员青年支持</w:t>
      </w:r>
      <w:r>
        <w:rPr>
          <w:rFonts w:hint="eastAsia" w:ascii="仿宋_GB2312" w:eastAsia="仿宋_GB2312"/>
          <w:b w:val="0"/>
          <w:bCs w:val="0"/>
          <w:color w:val="000000"/>
          <w:sz w:val="32"/>
          <w:szCs w:val="32"/>
          <w:lang w:eastAsia="zh-CN"/>
        </w:rPr>
        <w:t>、</w:t>
      </w:r>
      <w:r>
        <w:rPr>
          <w:rFonts w:hint="eastAsia" w:ascii="仿宋_GB2312" w:eastAsia="仿宋_GB2312"/>
          <w:b w:val="0"/>
          <w:bCs w:val="0"/>
          <w:color w:val="000000"/>
          <w:sz w:val="32"/>
          <w:szCs w:val="32"/>
          <w:lang w:val="en-US" w:eastAsia="zh-CN"/>
        </w:rPr>
        <w:t>参与</w:t>
      </w:r>
      <w:r>
        <w:rPr>
          <w:rFonts w:hint="eastAsia" w:ascii="仿宋_GB2312" w:eastAsia="仿宋_GB2312"/>
          <w:b w:val="0"/>
          <w:bCs w:val="0"/>
          <w:color w:val="000000"/>
          <w:sz w:val="32"/>
          <w:szCs w:val="32"/>
        </w:rPr>
        <w:t>改革发展</w:t>
      </w:r>
      <w:r>
        <w:rPr>
          <w:rFonts w:hint="eastAsia" w:ascii="仿宋_GB2312" w:eastAsia="仿宋_GB2312"/>
          <w:b w:val="0"/>
          <w:bCs w:val="0"/>
          <w:color w:val="000000"/>
          <w:sz w:val="32"/>
          <w:szCs w:val="32"/>
          <w:lang w:eastAsia="zh-CN"/>
        </w:rPr>
        <w:t>，</w:t>
      </w:r>
      <w:r>
        <w:rPr>
          <w:rFonts w:hint="eastAsia" w:ascii="仿宋_GB2312" w:hAnsi="仿宋_GB2312" w:eastAsia="仿宋_GB2312" w:cs="仿宋_GB2312"/>
          <w:b w:val="0"/>
          <w:bCs w:val="0"/>
          <w:sz w:val="32"/>
          <w:szCs w:val="32"/>
        </w:rPr>
        <w:t>踊跃投身</w:t>
      </w:r>
      <w:r>
        <w:rPr>
          <w:rFonts w:hint="eastAsia" w:ascii="仿宋_GB2312" w:eastAsia="仿宋_GB2312"/>
          <w:b w:val="0"/>
          <w:bCs w:val="0"/>
          <w:color w:val="000000"/>
          <w:sz w:val="32"/>
          <w:szCs w:val="32"/>
        </w:rPr>
        <w:t>经济建设、</w:t>
      </w:r>
      <w:r>
        <w:rPr>
          <w:rFonts w:hint="eastAsia" w:ascii="仿宋_GB2312" w:eastAsia="仿宋_GB2312"/>
          <w:b w:val="0"/>
          <w:bCs w:val="0"/>
          <w:color w:val="000000"/>
          <w:sz w:val="32"/>
          <w:szCs w:val="32"/>
          <w:lang w:val="en-US" w:eastAsia="zh-CN"/>
        </w:rPr>
        <w:t>脱贫攻坚、</w:t>
      </w:r>
      <w:r>
        <w:rPr>
          <w:rFonts w:hint="eastAsia" w:ascii="仿宋_GB2312" w:eastAsia="仿宋_GB2312"/>
          <w:b w:val="0"/>
          <w:bCs w:val="0"/>
          <w:color w:val="000000"/>
          <w:sz w:val="32"/>
          <w:szCs w:val="32"/>
        </w:rPr>
        <w:t>乡村振兴等主战场，</w:t>
      </w:r>
      <w:r>
        <w:rPr>
          <w:rFonts w:hint="eastAsia" w:ascii="仿宋_GB2312" w:hAnsi="仿宋_GB2312" w:eastAsia="仿宋_GB2312" w:cs="仿宋_GB2312"/>
          <w:b w:val="0"/>
          <w:bCs w:val="0"/>
          <w:sz w:val="32"/>
          <w:szCs w:val="32"/>
        </w:rPr>
        <w:t>立足本职岗位辛勤劳动、挥洒汗水，1个集体、1名个人荣获全国表彰，3个集体、5名个人荣获省级表彰，推荐1名全国青联委员，</w:t>
      </w:r>
      <w:r>
        <w:rPr>
          <w:rFonts w:hint="eastAsia" w:ascii="仿宋_GB2312" w:hAnsi="仿宋_GB2312" w:eastAsia="仿宋_GB2312" w:cs="仿宋_GB2312"/>
          <w:b w:val="0"/>
          <w:bCs w:val="0"/>
          <w:color w:val="auto"/>
          <w:sz w:val="32"/>
          <w:szCs w:val="32"/>
        </w:rPr>
        <w:t>评选表彰全州抗击疫情先进集体</w:t>
      </w:r>
      <w:r>
        <w:rPr>
          <w:rFonts w:hint="eastAsia" w:ascii="仿宋_GB2312" w:hAnsi="仿宋_GB2312" w:eastAsia="仿宋_GB2312" w:cs="仿宋_GB2312"/>
          <w:b w:val="0"/>
          <w:bCs w:val="0"/>
          <w:color w:val="auto"/>
          <w:sz w:val="32"/>
          <w:szCs w:val="32"/>
          <w:lang w:val="en-US" w:eastAsia="zh-CN"/>
        </w:rPr>
        <w:t>28</w:t>
      </w:r>
      <w:r>
        <w:rPr>
          <w:rFonts w:hint="eastAsia" w:ascii="仿宋_GB2312" w:hAnsi="仿宋_GB2312" w:eastAsia="仿宋_GB2312" w:cs="仿宋_GB2312"/>
          <w:b w:val="0"/>
          <w:bCs w:val="0"/>
          <w:color w:val="auto"/>
          <w:sz w:val="32"/>
          <w:szCs w:val="32"/>
        </w:rPr>
        <w:t>个</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先进个人</w:t>
      </w:r>
      <w:r>
        <w:rPr>
          <w:rFonts w:hint="eastAsia" w:ascii="仿宋_GB2312" w:hAnsi="仿宋_GB2312" w:eastAsia="仿宋_GB2312" w:cs="仿宋_GB2312"/>
          <w:b w:val="0"/>
          <w:bCs w:val="0"/>
          <w:color w:val="auto"/>
          <w:sz w:val="32"/>
          <w:szCs w:val="32"/>
          <w:lang w:val="en-US" w:eastAsia="zh-CN"/>
        </w:rPr>
        <w:t>173</w:t>
      </w:r>
      <w:r>
        <w:rPr>
          <w:rFonts w:hint="eastAsia" w:ascii="仿宋_GB2312" w:hAnsi="仿宋_GB2312" w:eastAsia="仿宋_GB2312" w:cs="仿宋_GB2312"/>
          <w:b w:val="0"/>
          <w:bCs w:val="0"/>
          <w:color w:val="auto"/>
          <w:sz w:val="32"/>
          <w:szCs w:val="32"/>
        </w:rPr>
        <w:t>名，州级</w:t>
      </w:r>
      <w:r>
        <w:rPr>
          <w:rFonts w:hint="eastAsia" w:ascii="仿宋_GB2312" w:hAnsi="仿宋_GB2312" w:eastAsia="仿宋_GB2312" w:cs="仿宋_GB2312"/>
          <w:b w:val="0"/>
          <w:bCs w:val="0"/>
          <w:color w:val="auto"/>
          <w:sz w:val="32"/>
          <w:szCs w:val="32"/>
          <w:lang w:val="en-US" w:eastAsia="zh-CN"/>
        </w:rPr>
        <w:t>优秀</w:t>
      </w:r>
      <w:r>
        <w:rPr>
          <w:rFonts w:hint="eastAsia" w:ascii="仿宋_GB2312" w:hAnsi="仿宋_GB2312" w:eastAsia="仿宋_GB2312" w:cs="仿宋_GB2312"/>
          <w:b w:val="0"/>
          <w:bCs w:val="0"/>
          <w:color w:val="auto"/>
          <w:sz w:val="32"/>
          <w:szCs w:val="32"/>
        </w:rPr>
        <w:t>团组织</w:t>
      </w:r>
      <w:r>
        <w:rPr>
          <w:rFonts w:hint="eastAsia" w:ascii="仿宋_GB2312" w:hAnsi="仿宋_GB2312" w:eastAsia="仿宋_GB2312" w:cs="仿宋_GB2312"/>
          <w:b w:val="0"/>
          <w:bCs w:val="0"/>
          <w:color w:val="auto"/>
          <w:sz w:val="32"/>
          <w:szCs w:val="32"/>
          <w:lang w:val="en-US" w:eastAsia="zh-CN"/>
        </w:rPr>
        <w:t>40</w:t>
      </w:r>
      <w:r>
        <w:rPr>
          <w:rFonts w:hint="eastAsia" w:ascii="仿宋_GB2312" w:hAnsi="仿宋_GB2312" w:eastAsia="仿宋_GB2312" w:cs="仿宋_GB2312"/>
          <w:b w:val="0"/>
          <w:bCs w:val="0"/>
          <w:color w:val="auto"/>
          <w:sz w:val="32"/>
          <w:szCs w:val="32"/>
        </w:rPr>
        <w:t>个</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优秀个人</w:t>
      </w:r>
      <w:r>
        <w:rPr>
          <w:rFonts w:hint="eastAsia" w:ascii="仿宋_GB2312" w:hAnsi="仿宋_GB2312" w:eastAsia="仿宋_GB2312" w:cs="仿宋_GB2312"/>
          <w:b w:val="0"/>
          <w:bCs w:val="0"/>
          <w:color w:val="auto"/>
          <w:sz w:val="32"/>
          <w:szCs w:val="32"/>
          <w:lang w:val="en-US" w:eastAsia="zh-CN"/>
        </w:rPr>
        <w:t>70名</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bCs/>
          <w:color w:val="auto"/>
          <w:sz w:val="32"/>
          <w:szCs w:val="32"/>
          <w:lang w:val="en-US" w:eastAsia="zh-CN"/>
        </w:rPr>
        <w:t>积极助力脱贫攻坚，架好党和群众的连心桥。</w:t>
      </w:r>
      <w:r>
        <w:rPr>
          <w:rFonts w:hint="eastAsia" w:ascii="仿宋_GB2312" w:hAnsi="仿宋_GB2312" w:eastAsia="仿宋_GB2312" w:cs="仿宋_GB2312"/>
          <w:b w:val="0"/>
          <w:bCs w:val="0"/>
          <w:sz w:val="32"/>
          <w:szCs w:val="32"/>
          <w:lang w:val="en-US" w:eastAsia="zh-CN"/>
        </w:rPr>
        <w:t>赴马尔康开展</w:t>
      </w:r>
      <w:r>
        <w:rPr>
          <w:rFonts w:hint="eastAsia" w:ascii="仿宋_GB2312" w:hAnsi="仿宋_GB2312" w:eastAsia="仿宋_GB2312" w:cs="仿宋_GB2312"/>
          <w:b w:val="0"/>
          <w:bCs w:val="0"/>
          <w:sz w:val="32"/>
          <w:szCs w:val="32"/>
        </w:rPr>
        <w:t>脱贫攻坚督查，走访群众88户</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264人；在梭磨乡木尔溪村以“公司+农户”模式落地结球生菜试点种植项目，帮助贫困群众那个增收6000元；持续推进“我要上大学”和“国资委教育扶贫专项资金”项目，向476名大、中、小学生提供133万助学资金；配套26万元在13个县（市）建立州级“童伴之家”试点，制定《阿坝州三级（州级）“童伴计划”项目实施管理办法》。</w:t>
      </w:r>
      <w:r>
        <w:rPr>
          <w:rFonts w:hint="eastAsia" w:ascii="仿宋_GB2312" w:hAnsi="仿宋_GB2312" w:eastAsia="仿宋_GB2312" w:cs="仿宋_GB2312"/>
          <w:b/>
          <w:bCs/>
          <w:color w:val="auto"/>
          <w:sz w:val="32"/>
          <w:szCs w:val="32"/>
          <w:lang w:val="en-US" w:eastAsia="zh-CN"/>
        </w:rPr>
        <w:t>加强志愿服务品牌建设，推进志愿服务规范化常态化管理。</w:t>
      </w:r>
      <w:r>
        <w:rPr>
          <w:rFonts w:hint="eastAsia" w:ascii="仿宋_GB2312" w:hAnsi="仿宋_GB2312" w:eastAsia="仿宋_GB2312" w:cs="仿宋_GB2312"/>
          <w:b w:val="0"/>
          <w:bCs w:val="0"/>
          <w:sz w:val="32"/>
          <w:szCs w:val="32"/>
          <w:lang w:val="en-US" w:eastAsia="zh-CN"/>
        </w:rPr>
        <w:t>招录西部计划志愿者66名，其中深度贫困县志愿者13名。开展“爱在村寨、美在旅途、靓在景区、讲在青年”志愿服务行动，发放宣传资料3.23万册，清理生活、农牧场垃圾126余吨，提供咨询解答、道路指引、交通疏导、安全提醒服务4000余人次。疫情期间成立193支青年突击队、</w:t>
      </w:r>
      <w:r>
        <w:rPr>
          <w:rFonts w:hint="eastAsia" w:ascii="仿宋_GB2312" w:hAnsi="仿宋_GB2312" w:eastAsia="仿宋_GB2312" w:cs="仿宋_GB2312"/>
          <w:b w:val="0"/>
          <w:bCs w:val="0"/>
          <w:sz w:val="32"/>
          <w:szCs w:val="32"/>
        </w:rPr>
        <w:t>31支专项志愿服务队，招募5968名志愿者，深入社区、村寨、卡点开展防疫宣传、人员登记管理、公共场所消杀毒、义务理发、心理辅导、代购跑腿等志愿服务，累计服务1.1万余人次。州青联</w:t>
      </w:r>
      <w:r>
        <w:rPr>
          <w:rFonts w:hint="eastAsia" w:ascii="仿宋_GB2312" w:hAnsi="仿宋_GB2312" w:eastAsia="仿宋_GB2312" w:cs="仿宋_GB2312"/>
          <w:b w:val="0"/>
          <w:bCs w:val="0"/>
          <w:sz w:val="32"/>
          <w:szCs w:val="32"/>
          <w:lang w:val="en-US" w:eastAsia="zh-CN"/>
        </w:rPr>
        <w:t>委员</w:t>
      </w:r>
      <w:r>
        <w:rPr>
          <w:rFonts w:hint="eastAsia" w:ascii="仿宋_GB2312" w:hAnsi="仿宋_GB2312" w:eastAsia="仿宋_GB2312" w:cs="仿宋_GB2312"/>
          <w:b w:val="0"/>
          <w:bCs w:val="0"/>
          <w:sz w:val="32"/>
          <w:szCs w:val="32"/>
        </w:rPr>
        <w:t>捐款4.1万元、</w:t>
      </w:r>
      <w:r>
        <w:rPr>
          <w:rFonts w:hint="eastAsia" w:ascii="仿宋_GB2312" w:hAnsi="仿宋_GB2312" w:eastAsia="仿宋_GB2312" w:cs="仿宋_GB2312"/>
          <w:b w:val="0"/>
          <w:bCs w:val="0"/>
          <w:sz w:val="32"/>
          <w:szCs w:val="32"/>
          <w:lang w:val="en-US" w:eastAsia="zh-CN"/>
        </w:rPr>
        <w:t>捐赠</w:t>
      </w:r>
      <w:r>
        <w:rPr>
          <w:rFonts w:hint="eastAsia" w:ascii="仿宋_GB2312" w:hAnsi="仿宋_GB2312" w:eastAsia="仿宋_GB2312" w:cs="仿宋_GB2312"/>
          <w:b w:val="0"/>
          <w:bCs w:val="0"/>
          <w:sz w:val="32"/>
          <w:szCs w:val="32"/>
        </w:rPr>
        <w:t>物资4.57万元支援</w:t>
      </w:r>
      <w:r>
        <w:rPr>
          <w:rFonts w:hint="eastAsia" w:ascii="仿宋_GB2312" w:hAnsi="仿宋_GB2312" w:eastAsia="仿宋_GB2312" w:cs="仿宋_GB2312"/>
          <w:b w:val="0"/>
          <w:bCs w:val="0"/>
          <w:sz w:val="32"/>
          <w:szCs w:val="32"/>
          <w:lang w:val="en-US" w:eastAsia="zh-CN"/>
        </w:rPr>
        <w:t>各县</w:t>
      </w:r>
      <w:r>
        <w:rPr>
          <w:rFonts w:hint="eastAsia" w:ascii="仿宋_GB2312" w:hAnsi="仿宋_GB2312" w:eastAsia="仿宋_GB2312" w:cs="仿宋_GB2312"/>
          <w:b w:val="0"/>
          <w:bCs w:val="0"/>
          <w:sz w:val="32"/>
          <w:szCs w:val="32"/>
        </w:rPr>
        <w:t>抗疫一线。</w:t>
      </w:r>
      <w:r>
        <w:rPr>
          <w:rFonts w:hint="eastAsia" w:ascii="仿宋_GB2312" w:hAnsi="仿宋_GB2312" w:eastAsia="仿宋_GB2312" w:cs="仿宋_GB2312"/>
          <w:b/>
          <w:bCs/>
          <w:sz w:val="32"/>
          <w:szCs w:val="32"/>
          <w:lang w:val="en-US" w:eastAsia="zh-CN"/>
        </w:rPr>
        <w:t>竭诚服务青年就业创业。</w:t>
      </w:r>
      <w:r>
        <w:rPr>
          <w:rFonts w:hint="eastAsia" w:ascii="仿宋_GB2312" w:hAnsi="仿宋_GB2312" w:eastAsia="仿宋_GB2312" w:cs="仿宋_GB2312"/>
          <w:b w:val="0"/>
          <w:bCs w:val="0"/>
          <w:sz w:val="32"/>
          <w:szCs w:val="32"/>
        </w:rPr>
        <w:t>持续深化创青春、青年文明号、青创计划、逐梦计划等工作，开展2020年州级青年创业专项扶持资金申报工作，</w:t>
      </w:r>
      <w:r>
        <w:rPr>
          <w:rFonts w:hint="eastAsia" w:ascii="仿宋_GB2312" w:hAnsi="仿宋_GB2312" w:eastAsia="仿宋_GB2312" w:cs="仿宋_GB2312"/>
          <w:b w:val="0"/>
          <w:bCs w:val="0"/>
          <w:sz w:val="32"/>
          <w:szCs w:val="32"/>
          <w:lang w:val="en-US" w:eastAsia="zh-CN"/>
        </w:rPr>
        <w:t>为</w:t>
      </w:r>
      <w:r>
        <w:rPr>
          <w:rFonts w:hint="eastAsia" w:ascii="仿宋_GB2312" w:hAnsi="仿宋_GB2312" w:eastAsia="仿宋_GB2312" w:cs="仿宋_GB2312"/>
          <w:b w:val="0"/>
          <w:bCs w:val="0"/>
          <w:sz w:val="32"/>
          <w:szCs w:val="32"/>
        </w:rPr>
        <w:t>41个青年创业项目</w:t>
      </w:r>
      <w:r>
        <w:rPr>
          <w:rFonts w:hint="eastAsia" w:ascii="仿宋_GB2312" w:hAnsi="仿宋_GB2312" w:eastAsia="仿宋_GB2312" w:cs="仿宋_GB2312"/>
          <w:b w:val="0"/>
          <w:bCs w:val="0"/>
          <w:sz w:val="32"/>
          <w:szCs w:val="32"/>
          <w:lang w:val="en-US" w:eastAsia="zh-CN"/>
        </w:rPr>
        <w:t>提供100万元扶持资金。落实“</w:t>
      </w:r>
      <w:r>
        <w:rPr>
          <w:rFonts w:hint="eastAsia" w:ascii="仿宋_GB2312" w:hAnsi="仿宋_GB2312" w:eastAsia="仿宋_GB2312" w:cs="仿宋_GB2312"/>
          <w:b w:val="0"/>
          <w:bCs w:val="0"/>
          <w:sz w:val="32"/>
          <w:szCs w:val="32"/>
        </w:rPr>
        <w:t>青</w:t>
      </w:r>
      <w:r>
        <w:rPr>
          <w:rFonts w:hint="eastAsia" w:ascii="仿宋_GB2312" w:hAnsi="仿宋_GB2312" w:eastAsia="仿宋_GB2312" w:cs="仿宋_GB2312"/>
          <w:b w:val="0"/>
          <w:bCs w:val="0"/>
          <w:sz w:val="32"/>
          <w:szCs w:val="32"/>
          <w:lang w:val="en-US" w:eastAsia="zh-CN"/>
        </w:rPr>
        <w:t>创</w:t>
      </w:r>
      <w:r>
        <w:rPr>
          <w:rFonts w:hint="eastAsia" w:ascii="仿宋_GB2312" w:hAnsi="仿宋_GB2312" w:eastAsia="仿宋_GB2312" w:cs="仿宋_GB2312"/>
          <w:b w:val="0"/>
          <w:bCs w:val="0"/>
          <w:sz w:val="32"/>
          <w:szCs w:val="32"/>
        </w:rPr>
        <w:t>10</w:t>
      </w:r>
      <w:r>
        <w:rPr>
          <w:rFonts w:hint="eastAsia" w:ascii="仿宋_GB2312" w:hAnsi="仿宋_GB2312" w:eastAsia="仿宋_GB2312" w:cs="仿宋_GB2312"/>
          <w:b w:val="0"/>
          <w:bCs w:val="0"/>
          <w:sz w:val="32"/>
          <w:szCs w:val="32"/>
          <w:lang w:val="en-US" w:eastAsia="zh-CN"/>
        </w:rPr>
        <w:t xml:space="preserve">万 </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”省级创业扶持启动资金13万元，</w:t>
      </w:r>
      <w:r>
        <w:rPr>
          <w:rFonts w:hint="eastAsia" w:ascii="仿宋_GB2312" w:hAnsi="仿宋_GB2312" w:eastAsia="仿宋_GB2312" w:cs="仿宋_GB2312"/>
          <w:b w:val="0"/>
          <w:bCs w:val="0"/>
          <w:sz w:val="32"/>
          <w:szCs w:val="32"/>
        </w:rPr>
        <w:t>开展公</w:t>
      </w:r>
      <w:r>
        <w:rPr>
          <w:rFonts w:hint="eastAsia" w:ascii="仿宋_GB2312" w:hAnsi="仿宋_GB2312" w:eastAsia="仿宋_GB2312" w:cs="仿宋_GB2312"/>
          <w:b w:val="0"/>
          <w:bCs w:val="0"/>
          <w:color w:val="000000" w:themeColor="text1"/>
          <w:sz w:val="32"/>
          <w:szCs w:val="32"/>
          <w14:textFill>
            <w14:solidFill>
              <w14:schemeClr w14:val="tx1"/>
            </w14:solidFill>
          </w14:textFill>
        </w:rPr>
        <w:t>务员免费直播课、千校万岗等就业咨询服务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动员青创联盟成员及各界爱心力量790余名，完成42万余元创业筹款。向13县拨付26万元青创专项经费，有效推进产业发展、带动了群众增收、助力了脱贫进程、引领了社会风尚；通过“逐梦计划”为在校学生提供实习岗位，完成计划的150%。</w:t>
      </w:r>
      <w:r>
        <w:rPr>
          <w:rFonts w:hint="eastAsia" w:ascii="仿宋_GB2312" w:hAnsi="仿宋_GB2312" w:eastAsia="仿宋_GB2312" w:cs="仿宋_GB2312"/>
          <w:b/>
          <w:bCs/>
          <w:sz w:val="32"/>
          <w:szCs w:val="32"/>
          <w:lang w:val="en-US" w:eastAsia="zh-CN"/>
        </w:rPr>
        <w:t>关爱助学行动持续升温。</w:t>
      </w:r>
      <w:r>
        <w:rPr>
          <w:rFonts w:hint="eastAsia" w:ascii="仿宋_GB2312" w:hAnsi="仿宋_GB2312" w:eastAsia="仿宋_GB2312" w:cs="仿宋_GB2312"/>
          <w:b w:val="0"/>
          <w:bCs w:val="0"/>
          <w:sz w:val="32"/>
          <w:szCs w:val="32"/>
          <w:lang w:val="en-US" w:eastAsia="zh-CN"/>
        </w:rPr>
        <w:t>“暖冬”行动为240名儿童送去6万元慰问物资。</w:t>
      </w:r>
      <w:r>
        <w:rPr>
          <w:rFonts w:hint="eastAsia" w:ascii="仿宋_GB2312" w:hAnsi="仿宋_GB2312" w:eastAsia="仿宋_GB2312" w:cs="仿宋_GB2312"/>
          <w:b w:val="0"/>
          <w:bCs w:val="0"/>
          <w:sz w:val="32"/>
          <w:szCs w:val="32"/>
        </w:rPr>
        <w:t>“共青希望新心——如新中华儿童心脏病基金”公益活动</w:t>
      </w:r>
      <w:r>
        <w:rPr>
          <w:rFonts w:hint="eastAsia" w:ascii="仿宋_GB2312" w:hAnsi="仿宋_GB2312" w:eastAsia="仿宋_GB2312" w:cs="仿宋_GB2312"/>
          <w:b w:val="0"/>
          <w:bCs w:val="0"/>
          <w:sz w:val="32"/>
          <w:szCs w:val="32"/>
          <w:shd w:val="clear" w:color="auto" w:fill="FFFFFF" w:themeFill="background1"/>
        </w:rPr>
        <w:t>为</w:t>
      </w:r>
      <w:r>
        <w:rPr>
          <w:rFonts w:hint="eastAsia" w:ascii="仿宋_GB2312" w:hAnsi="仿宋_GB2312" w:eastAsia="仿宋_GB2312" w:cs="仿宋_GB2312"/>
          <w:b w:val="0"/>
          <w:bCs w:val="0"/>
          <w:sz w:val="32"/>
          <w:szCs w:val="32"/>
          <w:lang w:val="en-US" w:eastAsia="zh-CN"/>
        </w:rPr>
        <w:t>10202名</w:t>
      </w:r>
      <w:r>
        <w:rPr>
          <w:rFonts w:hint="eastAsia" w:ascii="仿宋_GB2312" w:hAnsi="仿宋_GB2312" w:eastAsia="仿宋_GB2312" w:cs="仿宋_GB2312"/>
          <w:b w:val="0"/>
          <w:bCs w:val="0"/>
          <w:sz w:val="32"/>
          <w:szCs w:val="32"/>
          <w:shd w:val="clear" w:color="auto" w:fill="FFFFFF" w:themeFill="background1"/>
        </w:rPr>
        <w:t>儿童免费进行先天性心脏病筛查</w:t>
      </w:r>
      <w:r>
        <w:rPr>
          <w:rFonts w:hint="eastAsia" w:ascii="仿宋_GB2312" w:hAnsi="仿宋_GB2312" w:eastAsia="仿宋_GB2312" w:cs="仿宋_GB2312"/>
          <w:b w:val="0"/>
          <w:bCs w:val="0"/>
          <w:sz w:val="32"/>
          <w:szCs w:val="32"/>
        </w:rPr>
        <w:t>，提供20万元“向阳花少儿医疗救助基金”</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与</w:t>
      </w:r>
      <w:r>
        <w:rPr>
          <w:rFonts w:hint="eastAsia" w:ascii="仿宋_GB2312" w:hAnsi="仿宋_GB2312" w:eastAsia="仿宋_GB2312" w:cs="仿宋_GB2312"/>
          <w:b w:val="0"/>
          <w:bCs w:val="0"/>
          <w:sz w:val="32"/>
          <w:szCs w:val="32"/>
        </w:rPr>
        <w:t>浙江团省</w:t>
      </w:r>
      <w:r>
        <w:rPr>
          <w:rFonts w:hint="eastAsia" w:ascii="仿宋_GB2312" w:hAnsi="仿宋_GB2312" w:eastAsia="仿宋_GB2312" w:cs="仿宋_GB2312"/>
          <w:b w:val="0"/>
          <w:bCs w:val="0"/>
          <w:sz w:val="32"/>
          <w:szCs w:val="32"/>
          <w:lang w:val="en-US" w:eastAsia="zh-CN"/>
        </w:rPr>
        <w:t>委、</w:t>
      </w:r>
      <w:r>
        <w:rPr>
          <w:rFonts w:hint="eastAsia" w:ascii="仿宋_GB2312" w:hAnsi="仿宋_GB2312" w:eastAsia="仿宋_GB2312" w:cs="仿宋_GB2312"/>
          <w:b w:val="0"/>
          <w:bCs w:val="0"/>
          <w:sz w:val="32"/>
          <w:szCs w:val="32"/>
        </w:rPr>
        <w:t>绍兴团市委</w:t>
      </w:r>
      <w:r>
        <w:rPr>
          <w:rFonts w:hint="eastAsia" w:ascii="仿宋_GB2312" w:hAnsi="仿宋_GB2312" w:eastAsia="仿宋_GB2312" w:cs="仿宋_GB2312"/>
          <w:b w:val="0"/>
          <w:bCs w:val="0"/>
          <w:sz w:val="32"/>
          <w:szCs w:val="32"/>
          <w:lang w:val="en-US" w:eastAsia="zh-CN"/>
        </w:rPr>
        <w:t>联合开展“圆梦微心愿”公益活动，</w:t>
      </w:r>
      <w:r>
        <w:rPr>
          <w:rFonts w:hint="eastAsia" w:ascii="仿宋_GB2312" w:hAnsi="仿宋_GB2312" w:eastAsia="仿宋_GB2312" w:cs="仿宋_GB2312"/>
          <w:b w:val="0"/>
          <w:bCs w:val="0"/>
          <w:sz w:val="32"/>
          <w:szCs w:val="32"/>
        </w:rPr>
        <w:t>为432名小学生</w:t>
      </w:r>
      <w:r>
        <w:rPr>
          <w:rFonts w:hint="eastAsia" w:ascii="仿宋_GB2312" w:hAnsi="仿宋_GB2312" w:eastAsia="仿宋_GB2312" w:cs="仿宋_GB2312"/>
          <w:b w:val="0"/>
          <w:bCs w:val="0"/>
          <w:sz w:val="32"/>
          <w:szCs w:val="32"/>
          <w:lang w:val="en-US" w:eastAsia="zh-CN"/>
        </w:rPr>
        <w:t>捐赠</w:t>
      </w:r>
      <w:r>
        <w:rPr>
          <w:rFonts w:hint="eastAsia" w:ascii="仿宋_GB2312" w:hAnsi="仿宋_GB2312" w:eastAsia="仿宋_GB2312" w:cs="仿宋_GB2312"/>
          <w:b w:val="0"/>
          <w:bCs w:val="0"/>
          <w:sz w:val="32"/>
          <w:szCs w:val="32"/>
        </w:rPr>
        <w:t>8.6万</w:t>
      </w:r>
      <w:r>
        <w:rPr>
          <w:rFonts w:hint="eastAsia" w:ascii="仿宋_GB2312" w:hAnsi="仿宋_GB2312" w:eastAsia="仿宋_GB2312" w:cs="仿宋_GB2312"/>
          <w:b w:val="0"/>
          <w:bCs w:val="0"/>
          <w:sz w:val="32"/>
          <w:szCs w:val="32"/>
          <w:lang w:val="en-US" w:eastAsia="zh-CN"/>
        </w:rPr>
        <w:t>物资。</w:t>
      </w:r>
    </w:p>
    <w:p>
      <w:pPr>
        <w:pStyle w:val="20"/>
        <w:numPr>
          <w:ilvl w:val="0"/>
          <w:numId w:val="0"/>
        </w:numPr>
        <w:spacing w:before="0" w:beforeAutospacing="0" w:after="0" w:afterAutospacing="0" w:line="560" w:lineRule="exact"/>
        <w:ind w:firstLine="643" w:firstLineChars="200"/>
        <w:jc w:val="both"/>
        <w:rPr>
          <w:rFonts w:eastAsia="仿宋_GB2312" w:cs="仿宋_GB2312"/>
          <w:b/>
          <w:sz w:val="32"/>
          <w:szCs w:val="32"/>
        </w:rPr>
      </w:pPr>
      <w:r>
        <w:rPr>
          <w:rFonts w:hint="eastAsia" w:ascii="楷体_GB2312" w:hAnsi="楷体_GB2312" w:eastAsia="楷体_GB2312" w:cs="楷体_GB2312"/>
          <w:b/>
          <w:bCs w:val="0"/>
          <w:kern w:val="2"/>
          <w:sz w:val="32"/>
          <w:szCs w:val="32"/>
          <w:lang w:val="en-US" w:eastAsia="zh-CN" w:bidi="ar-SA"/>
        </w:rPr>
        <w:t>（三）坚持大抓基层的鲜明导向，为青年健康成长提供优质的服务和良好的社会环境。</w:t>
      </w:r>
      <w:r>
        <w:rPr>
          <w:rFonts w:hint="eastAsia" w:ascii="仿宋_GB2312" w:hAnsi="仿宋_GB2312" w:eastAsia="仿宋_GB2312" w:cs="仿宋_GB2312"/>
          <w:b w:val="0"/>
          <w:bCs w:val="0"/>
          <w:sz w:val="32"/>
          <w:szCs w:val="32"/>
        </w:rPr>
        <w:t>紧扣当代青年实际需求，聚焦毕业求职、创新创业、社会融入、婚恋交友等青年的烦心事、操心事，为青年发展提供更好的社会环境。</w:t>
      </w:r>
      <w:r>
        <w:rPr>
          <w:rFonts w:hint="eastAsia" w:ascii="仿宋_GB2312" w:hAnsi="仿宋_GB2312" w:eastAsia="仿宋_GB2312" w:cs="仿宋_GB2312"/>
          <w:b/>
          <w:bCs/>
          <w:sz w:val="32"/>
          <w:szCs w:val="32"/>
          <w:lang w:val="en-US" w:eastAsia="zh-CN"/>
        </w:rPr>
        <w:t>扎实推进</w:t>
      </w:r>
      <w:r>
        <w:rPr>
          <w:rFonts w:hint="eastAsia" w:ascii="仿宋_GB2312" w:hAnsi="仿宋_GB2312" w:eastAsia="仿宋_GB2312" w:cs="仿宋_GB2312"/>
          <w:b/>
          <w:bCs/>
          <w:color w:val="auto"/>
          <w:sz w:val="32"/>
          <w:szCs w:val="32"/>
          <w:lang w:val="en-US" w:eastAsia="zh-CN"/>
        </w:rPr>
        <w:t>中长期青年发展规划。</w:t>
      </w:r>
      <w:r>
        <w:rPr>
          <w:rFonts w:hint="eastAsia" w:ascii="仿宋_GB2312" w:hAnsi="仿宋_GB2312" w:eastAsia="仿宋_GB2312" w:cs="仿宋_GB2312"/>
          <w:b w:val="0"/>
          <w:bCs w:val="0"/>
          <w:sz w:val="32"/>
          <w:szCs w:val="32"/>
          <w:lang w:val="en-US" w:eastAsia="zh-CN"/>
        </w:rPr>
        <w:t>召开</w:t>
      </w:r>
      <w:r>
        <w:rPr>
          <w:rFonts w:hint="eastAsia" w:ascii="仿宋_GB2312" w:hAnsi="仿宋_GB2312" w:eastAsia="仿宋_GB2312" w:cs="仿宋_GB2312"/>
          <w:b w:val="0"/>
          <w:bCs w:val="0"/>
          <w:i w:val="0"/>
          <w:caps w:val="0"/>
          <w:color w:val="111111"/>
          <w:spacing w:val="0"/>
          <w:sz w:val="32"/>
          <w:szCs w:val="32"/>
          <w:lang w:val="en-US" w:eastAsia="zh-CN"/>
        </w:rPr>
        <w:t>中长期青年发展规划第二次联席会议，</w:t>
      </w:r>
      <w:r>
        <w:rPr>
          <w:rFonts w:hint="eastAsia" w:ascii="仿宋_GB2312" w:hAnsi="仿宋_GB2312" w:eastAsia="仿宋_GB2312" w:cs="仿宋_GB2312"/>
          <w:b w:val="0"/>
          <w:bCs w:val="0"/>
          <w:i w:val="0"/>
          <w:caps w:val="0"/>
          <w:color w:val="111111"/>
          <w:spacing w:val="0"/>
          <w:sz w:val="32"/>
          <w:szCs w:val="32"/>
        </w:rPr>
        <w:t>推动</w:t>
      </w:r>
      <w:r>
        <w:rPr>
          <w:rFonts w:hint="eastAsia" w:ascii="仿宋_GB2312" w:hAnsi="仿宋_GB2312" w:eastAsia="仿宋_GB2312" w:cs="仿宋_GB2312"/>
          <w:b w:val="0"/>
          <w:bCs w:val="0"/>
          <w:i w:val="0"/>
          <w:caps w:val="0"/>
          <w:color w:val="111111"/>
          <w:spacing w:val="0"/>
          <w:sz w:val="32"/>
          <w:szCs w:val="32"/>
          <w:lang w:val="en-US" w:eastAsia="zh-CN"/>
        </w:rPr>
        <w:t>州</w:t>
      </w:r>
      <w:r>
        <w:rPr>
          <w:rFonts w:hint="eastAsia" w:ascii="仿宋_GB2312" w:hAnsi="仿宋_GB2312" w:eastAsia="仿宋_GB2312" w:cs="仿宋_GB2312"/>
          <w:b w:val="0"/>
          <w:bCs w:val="0"/>
          <w:i w:val="0"/>
          <w:caps w:val="0"/>
          <w:color w:val="111111"/>
          <w:spacing w:val="0"/>
          <w:sz w:val="32"/>
          <w:szCs w:val="32"/>
        </w:rPr>
        <w:t>级相关部门在青年就业创业、教育健康、社会融入等重点领域出台相关配套政策</w:t>
      </w:r>
      <w:r>
        <w:rPr>
          <w:rFonts w:hint="eastAsia" w:ascii="仿宋_GB2312" w:hAnsi="仿宋_GB2312" w:eastAsia="仿宋_GB2312" w:cs="仿宋_GB2312"/>
          <w:b w:val="0"/>
          <w:bCs w:val="0"/>
          <w:i w:val="0"/>
          <w:caps w:val="0"/>
          <w:color w:val="111111"/>
          <w:spacing w:val="0"/>
          <w:sz w:val="32"/>
          <w:szCs w:val="32"/>
          <w:lang w:eastAsia="zh-CN"/>
        </w:rPr>
        <w:t>，</w:t>
      </w:r>
      <w:r>
        <w:rPr>
          <w:rFonts w:hint="eastAsia" w:ascii="仿宋_GB2312" w:hAnsi="仿宋_GB2312" w:eastAsia="仿宋_GB2312" w:cs="仿宋_GB2312"/>
          <w:b w:val="0"/>
          <w:bCs w:val="0"/>
          <w:i w:val="0"/>
          <w:caps w:val="0"/>
          <w:color w:val="111111"/>
          <w:spacing w:val="0"/>
          <w:sz w:val="32"/>
          <w:szCs w:val="32"/>
        </w:rPr>
        <w:t>将规划重点领域和项目纳入“十四五”规划编制计划。依托团的组织体系和“面对面”等工作载体，常态化收集、了解青少年普遍性利益诉求和现实困难，发挥人大、政协等政治参与渠道作用，努力畅通青少年利益诉求渠道</w:t>
      </w:r>
      <w:r>
        <w:rPr>
          <w:rFonts w:hint="eastAsia" w:ascii="仿宋_GB2312" w:hAnsi="仿宋_GB2312" w:eastAsia="仿宋_GB2312" w:cs="仿宋_GB2312"/>
          <w:b w:val="0"/>
          <w:bCs w:val="0"/>
          <w:i w:val="0"/>
          <w:caps w:val="0"/>
          <w:color w:val="111111"/>
          <w:spacing w:val="0"/>
          <w:sz w:val="32"/>
          <w:szCs w:val="32"/>
          <w:lang w:eastAsia="zh-CN"/>
        </w:rPr>
        <w:t>。</w:t>
      </w:r>
      <w:r>
        <w:rPr>
          <w:rFonts w:hint="eastAsia" w:ascii="仿宋_GB2312" w:hAnsi="仿宋_GB2312" w:eastAsia="仿宋_GB2312" w:cs="仿宋_GB2312"/>
          <w:b/>
          <w:bCs/>
          <w:color w:val="auto"/>
          <w:sz w:val="32"/>
          <w:szCs w:val="32"/>
          <w:lang w:val="en-US" w:eastAsia="zh-CN"/>
        </w:rPr>
        <w:t>持续强化基层组织规范化建设。</w:t>
      </w:r>
      <w:r>
        <w:rPr>
          <w:rFonts w:hint="eastAsia" w:ascii="仿宋_GB2312" w:hAnsi="仿宋_GB2312" w:eastAsia="仿宋_GB2312" w:cs="仿宋_GB2312"/>
          <w:sz w:val="32"/>
          <w:szCs w:val="32"/>
        </w:rPr>
        <w:t>认真落实“全团大抓基层”“全团抓学校”的工作要求，</w:t>
      </w:r>
      <w:r>
        <w:rPr>
          <w:rFonts w:hint="eastAsia" w:ascii="仿宋_GB2312" w:hAnsi="仿宋_GB2312" w:eastAsia="仿宋_GB2312" w:cs="仿宋_GB2312"/>
          <w:sz w:val="32"/>
          <w:szCs w:val="32"/>
          <w:lang w:val="en-US" w:eastAsia="zh-CN"/>
        </w:rPr>
        <w:t>系统</w:t>
      </w:r>
      <w:r>
        <w:rPr>
          <w:rFonts w:hint="eastAsia" w:ascii="仿宋_GB2312" w:hAnsi="仿宋_GB2312" w:eastAsia="仿宋_GB2312" w:cs="仿宋_GB2312"/>
          <w:sz w:val="32"/>
          <w:szCs w:val="32"/>
        </w:rPr>
        <w:t>梳理了全州13个团县委、</w:t>
      </w:r>
      <w:r>
        <w:rPr>
          <w:rFonts w:hint="eastAsia" w:ascii="仿宋_GB2312" w:hAnsi="仿宋_GB2312" w:eastAsia="仿宋_GB2312" w:cs="仿宋_GB2312"/>
          <w:sz w:val="32"/>
          <w:szCs w:val="32"/>
          <w:lang w:val="en-US" w:eastAsia="zh-CN"/>
        </w:rPr>
        <w:t>289</w:t>
      </w:r>
      <w:r>
        <w:rPr>
          <w:rFonts w:hint="eastAsia" w:ascii="仿宋_GB2312" w:hAnsi="仿宋_GB2312" w:eastAsia="仿宋_GB2312" w:cs="仿宋_GB2312"/>
          <w:sz w:val="32"/>
          <w:szCs w:val="32"/>
        </w:rPr>
        <w:t>个基层团委、</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个团工委、</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个团总支、</w:t>
      </w:r>
      <w:r>
        <w:rPr>
          <w:rFonts w:hint="eastAsia" w:ascii="仿宋_GB2312" w:hAnsi="仿宋_GB2312" w:eastAsia="仿宋_GB2312" w:cs="仿宋_GB2312"/>
          <w:sz w:val="32"/>
          <w:szCs w:val="32"/>
          <w:lang w:val="en-US" w:eastAsia="zh-CN"/>
        </w:rPr>
        <w:t>2240</w:t>
      </w:r>
      <w:r>
        <w:rPr>
          <w:rFonts w:hint="eastAsia" w:ascii="仿宋_GB2312" w:hAnsi="仿宋_GB2312" w:eastAsia="仿宋_GB2312" w:cs="仿宋_GB2312"/>
          <w:sz w:val="32"/>
          <w:szCs w:val="32"/>
        </w:rPr>
        <w:t>个团支部</w:t>
      </w:r>
      <w:r>
        <w:rPr>
          <w:rFonts w:hint="eastAsia" w:ascii="仿宋_GB2312" w:hAnsi="仿宋_GB2312" w:eastAsia="仿宋_GB2312" w:cs="仿宋_GB2312"/>
          <w:sz w:val="32"/>
          <w:szCs w:val="32"/>
          <w:lang w:val="en-US" w:eastAsia="zh-CN"/>
        </w:rPr>
        <w:t>等基层组织</w:t>
      </w:r>
      <w:r>
        <w:rPr>
          <w:rFonts w:hint="eastAsia" w:ascii="仿宋_GB2312" w:hAnsi="仿宋_GB2312" w:eastAsia="仿宋_GB2312" w:cs="仿宋_GB2312"/>
          <w:sz w:val="32"/>
          <w:szCs w:val="32"/>
        </w:rPr>
        <w:t>运行</w:t>
      </w:r>
      <w:r>
        <w:rPr>
          <w:rFonts w:hint="eastAsia" w:ascii="仿宋_GB2312" w:hAnsi="仿宋_GB2312" w:eastAsia="仿宋_GB2312" w:cs="仿宋_GB2312"/>
          <w:sz w:val="32"/>
          <w:szCs w:val="32"/>
          <w:lang w:val="en-US" w:eastAsia="zh-CN"/>
        </w:rPr>
        <w:t>情况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以月度核查工作台账的形式督促所有团支部对照目标任务进行自查自检，如期完成</w:t>
      </w:r>
      <w:r>
        <w:rPr>
          <w:rFonts w:hint="eastAsia" w:ascii="仿宋_GB2312" w:hAnsi="仿宋_GB2312" w:eastAsia="仿宋_GB2312" w:cs="仿宋_GB2312"/>
          <w:sz w:val="32"/>
          <w:szCs w:val="32"/>
        </w:rPr>
        <w:t>软弱涣散团组织整顿。</w:t>
      </w:r>
      <w:r>
        <w:rPr>
          <w:rFonts w:hint="eastAsia" w:ascii="仿宋_GB2312" w:hAnsi="仿宋_GB2312" w:eastAsia="仿宋_GB2312" w:cs="仿宋_GB2312"/>
          <w:b/>
          <w:bCs/>
          <w:color w:val="auto"/>
          <w:sz w:val="32"/>
          <w:szCs w:val="32"/>
          <w:lang w:val="en-US" w:eastAsia="zh-CN"/>
        </w:rPr>
        <w:t>抓实乡镇行政区划调整改革“后半篇”工作。</w:t>
      </w:r>
      <w:r>
        <w:rPr>
          <w:rFonts w:hint="eastAsia" w:ascii="仿宋_GB2312" w:hAnsi="仿宋_GB2312" w:eastAsia="仿宋_GB2312" w:cs="仿宋_GB2312"/>
          <w:b w:val="0"/>
          <w:bCs w:val="0"/>
          <w:sz w:val="32"/>
          <w:szCs w:val="32"/>
        </w:rPr>
        <w:t>乡镇行政区划调整改革后，我州由原来的221个乡镇合并为162个，</w:t>
      </w:r>
      <w:r>
        <w:rPr>
          <w:rFonts w:hint="eastAsia" w:ascii="仿宋_GB2312" w:hAnsi="仿宋_GB2312" w:eastAsia="仿宋_GB2312" w:cs="仿宋_GB2312"/>
          <w:b w:val="0"/>
          <w:bCs w:val="0"/>
          <w:sz w:val="32"/>
          <w:szCs w:val="32"/>
          <w:lang w:val="en-US" w:eastAsia="zh-CN"/>
        </w:rPr>
        <w:t>我委多次深入乡镇进行调研，要求县、乡、村三级团组织理顺隶属关系，及时进行调整工作思路，努力扩大组织覆盖健全组织体系，</w:t>
      </w:r>
      <w:r>
        <w:rPr>
          <w:rFonts w:hint="eastAsia" w:ascii="仿宋_GB2312" w:hAnsi="仿宋_GB2312" w:eastAsia="仿宋_GB2312" w:cs="仿宋_GB2312"/>
          <w:sz w:val="32"/>
          <w:szCs w:val="32"/>
        </w:rPr>
        <w:t>加快探索新兴领域团建，密切联系青年志愿者、创业青年、互联网行业,深耕传统领域团建，注重</w:t>
      </w:r>
      <w:r>
        <w:rPr>
          <w:rFonts w:hint="eastAsia" w:ascii="仿宋_GB2312" w:hAnsi="仿宋_GB2312" w:eastAsia="仿宋_GB2312" w:cs="仿宋_GB2312"/>
          <w:sz w:val="32"/>
          <w:szCs w:val="32"/>
          <w:lang w:val="en-US" w:eastAsia="zh-CN"/>
        </w:rPr>
        <w:t>纵横</w:t>
      </w:r>
      <w:r>
        <w:rPr>
          <w:rFonts w:hint="eastAsia" w:ascii="仿宋_GB2312" w:hAnsi="仿宋_GB2312" w:eastAsia="仿宋_GB2312" w:cs="仿宋_GB2312"/>
          <w:sz w:val="32"/>
          <w:szCs w:val="32"/>
        </w:rPr>
        <w:t>联系</w:t>
      </w:r>
      <w:r>
        <w:rPr>
          <w:rFonts w:hint="eastAsia" w:ascii="仿宋_GB2312" w:hAnsi="仿宋_GB2312" w:eastAsia="仿宋_GB2312" w:cs="仿宋_GB2312"/>
          <w:color w:val="000000"/>
          <w:sz w:val="32"/>
          <w:szCs w:val="32"/>
        </w:rPr>
        <w:t>。积极推进“智慧团建”系统建设，打好了“学社衔接”攻坚战，实现了毕业学生团员团组织关系转接率达100%。</w:t>
      </w:r>
      <w:r>
        <w:rPr>
          <w:rFonts w:hint="eastAsia" w:ascii="仿宋_GB2312" w:hAnsi="仿宋_GB2312" w:eastAsia="仿宋_GB2312" w:cs="仿宋_GB2312"/>
          <w:sz w:val="32"/>
          <w:szCs w:val="32"/>
        </w:rPr>
        <w:t>严格按照规定收取上年度团费5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84</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元，上缴至共青团四川省委团费2</w:t>
      </w:r>
      <w:r>
        <w:rPr>
          <w:rFonts w:hint="eastAsia" w:ascii="仿宋_GB2312" w:hAnsi="仿宋_GB2312" w:eastAsia="仿宋_GB2312" w:cs="仿宋_GB2312"/>
          <w:sz w:val="32"/>
          <w:szCs w:val="32"/>
          <w:lang w:val="en-US" w:eastAsia="zh-CN"/>
        </w:rPr>
        <w:t>.5万</w:t>
      </w:r>
      <w:r>
        <w:rPr>
          <w:rFonts w:hint="eastAsia" w:ascii="仿宋_GB2312" w:hAnsi="仿宋_GB2312" w:eastAsia="仿宋_GB2312" w:cs="仿宋_GB2312"/>
          <w:sz w:val="32"/>
          <w:szCs w:val="32"/>
        </w:rPr>
        <w:t>元。</w:t>
      </w:r>
    </w:p>
    <w:p/>
    <w:p>
      <w:pPr>
        <w:pStyle w:val="5"/>
        <w:rPr>
          <w:rStyle w:val="26"/>
          <w:b w:val="0"/>
          <w:bCs w:val="0"/>
        </w:rPr>
      </w:pPr>
      <w:bookmarkStart w:id="28" w:name="_Toc15396601"/>
      <w:bookmarkStart w:id="29" w:name="_Toc79163605"/>
      <w:bookmarkStart w:id="30" w:name="_Toc15377200"/>
      <w:bookmarkStart w:id="31" w:name="_Toc79163855"/>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left"/>
        <w:textAlignment w:val="auto"/>
        <w:outlineLvl w:val="9"/>
        <w:rPr>
          <w:rFonts w:ascii="仿宋" w:hAnsi="仿宋" w:eastAsia="仿宋"/>
          <w:color w:val="000000"/>
          <w:kern w:val="0"/>
          <w:sz w:val="32"/>
          <w:szCs w:val="32"/>
        </w:rPr>
      </w:pPr>
      <w:r>
        <w:rPr>
          <w:rFonts w:hint="default" w:ascii="仿宋_GB2312" w:hAnsi="仿宋_GB2312" w:eastAsia="仿宋_GB2312" w:cs="仿宋_GB2312"/>
          <w:sz w:val="32"/>
          <w:szCs w:val="32"/>
          <w:shd w:val="clear" w:color="auto" w:fill="FFFFFF"/>
        </w:rPr>
        <w:t>中国共产主义青年团四川省阿坝州委员会（本级）</w:t>
      </w:r>
      <w:r>
        <w:rPr>
          <w:rFonts w:hint="eastAsia" w:ascii="仿宋_GB2312" w:hAnsi="仿宋_GB2312" w:eastAsia="仿宋_GB2312" w:cs="仿宋_GB2312"/>
          <w:sz w:val="32"/>
          <w:szCs w:val="32"/>
          <w:shd w:val="clear" w:color="auto" w:fill="FFFFFF"/>
        </w:rPr>
        <w:t>属一级预算单位1个，其中内设机构4个。</w:t>
      </w:r>
      <w:r>
        <w:rPr>
          <w:rFonts w:hint="default" w:ascii="仿宋_GB2312" w:hAnsi="仿宋_GB2312" w:eastAsia="仿宋_GB2312" w:cs="仿宋_GB2312"/>
          <w:sz w:val="32"/>
          <w:szCs w:val="32"/>
          <w:shd w:val="clear" w:color="auto" w:fill="FFFFFF"/>
        </w:rPr>
        <w:t>下属二级单位</w:t>
      </w:r>
      <w:r>
        <w:rPr>
          <w:rFonts w:hint="eastAsia" w:ascii="仿宋_GB2312" w:hAnsi="仿宋_GB2312" w:eastAsia="仿宋_GB2312" w:cs="仿宋_GB2312"/>
          <w:sz w:val="32"/>
          <w:szCs w:val="32"/>
          <w:shd w:val="clear" w:color="auto" w:fill="FFFFFF"/>
          <w:lang w:val="en-US" w:eastAsia="zh-CN"/>
        </w:rPr>
        <w:t>0</w:t>
      </w:r>
      <w:r>
        <w:rPr>
          <w:rFonts w:hint="default" w:ascii="仿宋_GB2312" w:hAnsi="仿宋_GB2312" w:eastAsia="仿宋_GB2312" w:cs="仿宋_GB2312"/>
          <w:sz w:val="32"/>
          <w:szCs w:val="32"/>
          <w:shd w:val="clear" w:color="auto" w:fill="FFFFFF"/>
        </w:rPr>
        <w:t>个，其中行政单位</w:t>
      </w:r>
      <w:r>
        <w:rPr>
          <w:rFonts w:hint="eastAsia" w:ascii="仿宋_GB2312" w:hAnsi="仿宋_GB2312" w:eastAsia="仿宋_GB2312" w:cs="仿宋_GB2312"/>
          <w:sz w:val="32"/>
          <w:szCs w:val="32"/>
          <w:shd w:val="clear" w:color="auto" w:fill="FFFFFF"/>
          <w:lang w:val="en-US" w:eastAsia="zh-CN"/>
        </w:rPr>
        <w:t>0</w:t>
      </w:r>
      <w:r>
        <w:rPr>
          <w:rFonts w:hint="default" w:ascii="仿宋_GB2312" w:hAnsi="仿宋_GB2312" w:eastAsia="仿宋_GB2312" w:cs="仿宋_GB2312"/>
          <w:sz w:val="32"/>
          <w:szCs w:val="32"/>
          <w:shd w:val="clear" w:color="auto" w:fill="FFFFFF"/>
        </w:rPr>
        <w:t>个，参照公务员法管理的事业单位</w:t>
      </w:r>
      <w:r>
        <w:rPr>
          <w:rFonts w:hint="eastAsia" w:ascii="仿宋_GB2312" w:hAnsi="仿宋_GB2312" w:eastAsia="仿宋_GB2312" w:cs="仿宋_GB2312"/>
          <w:sz w:val="32"/>
          <w:szCs w:val="32"/>
          <w:shd w:val="clear" w:color="auto" w:fill="FFFFFF"/>
          <w:lang w:val="en-US" w:eastAsia="zh-CN"/>
        </w:rPr>
        <w:t>0</w:t>
      </w:r>
      <w:r>
        <w:rPr>
          <w:rFonts w:hint="default" w:ascii="仿宋_GB2312" w:hAnsi="仿宋_GB2312" w:eastAsia="仿宋_GB2312" w:cs="仿宋_GB2312"/>
          <w:sz w:val="32"/>
          <w:szCs w:val="32"/>
          <w:shd w:val="clear" w:color="auto" w:fill="FFFFFF"/>
        </w:rPr>
        <w:t>个，其他事业单位</w:t>
      </w:r>
      <w:r>
        <w:rPr>
          <w:rFonts w:hint="eastAsia" w:ascii="仿宋_GB2312" w:hAnsi="仿宋_GB2312" w:eastAsia="仿宋_GB2312" w:cs="仿宋_GB2312"/>
          <w:sz w:val="32"/>
          <w:szCs w:val="32"/>
          <w:shd w:val="clear" w:color="auto" w:fill="FFFFFF"/>
          <w:lang w:val="en-US" w:eastAsia="zh-CN"/>
        </w:rPr>
        <w:t>0</w:t>
      </w:r>
      <w:r>
        <w:rPr>
          <w:rFonts w:hint="eastAsia" w:ascii="仿宋_GB2312" w:hAnsi="仿宋_GB2312" w:eastAsia="仿宋_GB2312" w:cs="仿宋_GB2312"/>
          <w:sz w:val="32"/>
          <w:szCs w:val="32"/>
          <w:shd w:val="clear" w:color="auto" w:fill="FFFFFF"/>
          <w:lang w:val="en-US"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7">
            <o:LockedField>false</o:LockedField>
          </o:OLEObject>
        </w:object>
      </w:r>
      <w:r>
        <w:rPr>
          <w:rFonts w:hint="default" w:ascii="仿宋_GB2312" w:hAnsi="仿宋_GB2312" w:eastAsia="仿宋_GB2312" w:cs="仿宋_GB2312"/>
          <w:sz w:val="32"/>
          <w:szCs w:val="32"/>
          <w:shd w:val="clear" w:color="auto" w:fill="FFFFFF"/>
        </w:rPr>
        <w:t>个。</w:t>
      </w:r>
      <w:r>
        <w:rPr>
          <w:rFonts w:ascii="仿宋" w:hAnsi="仿宋" w:eastAsia="仿宋"/>
          <w:color w:val="000000"/>
          <w:sz w:val="32"/>
          <w:szCs w:val="32"/>
        </w:rPr>
        <w:br w:type="page"/>
      </w:r>
    </w:p>
    <w:p>
      <w:pPr>
        <w:pStyle w:val="4"/>
        <w:ind w:right="440"/>
        <w:jc w:val="right"/>
        <w:rPr>
          <w:rStyle w:val="25"/>
          <w:rFonts w:ascii="黑体" w:hAnsi="黑体" w:eastAsia="黑体"/>
          <w:b w:val="0"/>
          <w:bCs w:val="0"/>
        </w:rPr>
      </w:pPr>
      <w:bookmarkStart w:id="32" w:name="_Toc79163859"/>
      <w:bookmarkStart w:id="33" w:name="_Toc15396602"/>
      <w:bookmarkStart w:id="34" w:name="_Toc15377204"/>
      <w:bookmarkStart w:id="35" w:name="_Toc79163609"/>
      <w:r>
        <w:rPr>
          <w:rFonts w:hint="eastAsia" w:ascii="黑体" w:hAnsi="黑体" w:eastAsia="黑体"/>
          <w:b w:val="0"/>
          <w:color w:val="000000"/>
        </w:rPr>
        <w:t>第二部分</w:t>
      </w:r>
      <w:r>
        <w:rPr>
          <w:rStyle w:val="25"/>
          <w:rFonts w:ascii="黑体" w:hAnsi="黑体" w:eastAsia="黑体"/>
          <w:b w:val="0"/>
          <w:bCs w:val="0"/>
        </w:rPr>
        <w:t>2020</w:t>
      </w:r>
      <w:r>
        <w:rPr>
          <w:rStyle w:val="25"/>
          <w:rFonts w:hint="eastAsia" w:ascii="黑体" w:hAnsi="黑体" w:eastAsia="黑体"/>
          <w:b w:val="0"/>
          <w:bCs w:val="0"/>
        </w:rPr>
        <w:t>年度部门决算情况说明</w:t>
      </w:r>
      <w:bookmarkEnd w:id="32"/>
      <w:bookmarkEnd w:id="33"/>
      <w:bookmarkEnd w:id="34"/>
      <w:bookmarkEnd w:id="35"/>
    </w:p>
    <w:p/>
    <w:p>
      <w:pPr>
        <w:pStyle w:val="36"/>
        <w:numPr>
          <w:ilvl w:val="0"/>
          <w:numId w:val="1"/>
        </w:numPr>
        <w:spacing w:line="600" w:lineRule="exact"/>
        <w:ind w:firstLineChars="0"/>
        <w:outlineLvl w:val="1"/>
        <w:rPr>
          <w:rStyle w:val="26"/>
          <w:rFonts w:ascii="黑体" w:hAnsi="黑体" w:eastAsia="黑体"/>
          <w:b w:val="0"/>
        </w:rPr>
      </w:pPr>
      <w:bookmarkStart w:id="36" w:name="_Toc15396603"/>
      <w:bookmarkStart w:id="37" w:name="_Toc79163610"/>
      <w:bookmarkStart w:id="38" w:name="_Toc79163860"/>
      <w:bookmarkStart w:id="39"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sz w:val="32"/>
          <w:szCs w:val="32"/>
        </w:rPr>
      </w:pPr>
      <w:r>
        <w:rPr>
          <w:rFonts w:ascii="仿宋" w:hAnsi="仿宋" w:eastAsia="仿宋"/>
          <w:color w:val="000000"/>
          <w:sz w:val="32"/>
          <w:szCs w:val="32"/>
        </w:rPr>
        <w:t>2020</w:t>
      </w:r>
      <w:r>
        <w:rPr>
          <w:rFonts w:hint="eastAsia" w:ascii="仿宋" w:hAnsi="仿宋" w:eastAsia="仿宋"/>
          <w:color w:val="000000"/>
          <w:sz w:val="32"/>
          <w:szCs w:val="32"/>
        </w:rPr>
        <w:t>年度</w:t>
      </w:r>
      <w:r>
        <w:rPr>
          <w:rFonts w:hint="eastAsia" w:ascii="仿宋" w:hAnsi="仿宋" w:eastAsia="仿宋"/>
          <w:color w:val="000000"/>
          <w:sz w:val="32"/>
          <w:szCs w:val="32"/>
          <w:lang w:val="en-US" w:eastAsia="zh-CN"/>
        </w:rPr>
        <w:t>收、支出总计</w:t>
      </w:r>
      <w:r>
        <w:rPr>
          <w:rFonts w:hint="eastAsia" w:ascii="仿宋" w:hAnsi="仿宋" w:eastAsia="仿宋"/>
          <w:color w:val="000000"/>
          <w:sz w:val="32"/>
          <w:szCs w:val="32"/>
        </w:rPr>
        <w:t>346</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22万元。与</w:t>
      </w:r>
      <w:r>
        <w:rPr>
          <w:rFonts w:ascii="仿宋" w:hAnsi="仿宋" w:eastAsia="仿宋"/>
          <w:color w:val="000000"/>
          <w:sz w:val="32"/>
          <w:szCs w:val="32"/>
        </w:rPr>
        <w:t>2019</w:t>
      </w:r>
      <w:r>
        <w:rPr>
          <w:rFonts w:hint="eastAsia" w:ascii="仿宋" w:hAnsi="仿宋" w:eastAsia="仿宋"/>
          <w:color w:val="000000"/>
          <w:sz w:val="32"/>
          <w:szCs w:val="32"/>
        </w:rPr>
        <w:t>年相比，</w:t>
      </w:r>
      <w:r>
        <w:rPr>
          <w:rFonts w:hint="eastAsia" w:ascii="仿宋" w:hAnsi="仿宋" w:eastAsia="仿宋"/>
          <w:color w:val="000000"/>
          <w:sz w:val="32"/>
          <w:szCs w:val="32"/>
          <w:lang w:val="en-US" w:eastAsia="zh-CN"/>
        </w:rPr>
        <w:t>收、支总计减少59.77万元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收、支</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18.9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default" w:ascii="仿宋_GB2312" w:hAnsi="仿宋_GB2312" w:eastAsia="仿宋_GB2312" w:cs="仿宋_GB2312"/>
          <w:sz w:val="32"/>
          <w:szCs w:val="32"/>
          <w:shd w:val="clear" w:color="auto" w:fill="FFFFFF"/>
        </w:rPr>
        <w:t>减少了</w:t>
      </w:r>
      <w:r>
        <w:rPr>
          <w:rFonts w:hint="eastAsia" w:ascii="仿宋_GB2312" w:hAnsi="仿宋_GB2312" w:eastAsia="仿宋_GB2312" w:cs="仿宋_GB2312"/>
          <w:sz w:val="32"/>
          <w:szCs w:val="32"/>
          <w:shd w:val="clear" w:color="auto" w:fill="FFFFFF"/>
          <w:lang w:val="en-US" w:eastAsia="zh-CN"/>
        </w:rPr>
        <w:t>关工委经费</w:t>
      </w:r>
      <w:r>
        <w:rPr>
          <w:rFonts w:hint="eastAsia" w:ascii="仿宋_GB2312" w:hAnsi="仿宋_GB2312" w:eastAsia="仿宋_GB2312" w:cs="仿宋_GB2312"/>
          <w:sz w:val="32"/>
          <w:szCs w:val="32"/>
          <w:shd w:val="clear" w:color="auto" w:fill="FFFFFF"/>
          <w:lang w:eastAsia="zh-CN"/>
        </w:rPr>
        <w:t>，加强了管理、厉行勤俭节约。</w:t>
      </w:r>
    </w:p>
    <w:p>
      <w:pPr>
        <w:spacing w:line="600" w:lineRule="exact"/>
        <w:ind w:firstLine="420" w:firstLineChars="200"/>
        <w:rPr>
          <w:rFonts w:hint="eastAsia" w:ascii="仿宋" w:hAnsi="仿宋" w:eastAsia="仿宋"/>
          <w:color w:val="000000"/>
          <w:sz w:val="32"/>
          <w:szCs w:val="32"/>
        </w:rPr>
      </w:pPr>
      <w:r>
        <w:drawing>
          <wp:anchor distT="0" distB="0" distL="114300" distR="114300" simplePos="0" relativeHeight="251659264" behindDoc="1" locked="0" layoutInCell="1" allowOverlap="1">
            <wp:simplePos x="0" y="0"/>
            <wp:positionH relativeFrom="column">
              <wp:posOffset>347345</wp:posOffset>
            </wp:positionH>
            <wp:positionV relativeFrom="paragraph">
              <wp:posOffset>122555</wp:posOffset>
            </wp:positionV>
            <wp:extent cx="4572000" cy="2743200"/>
            <wp:effectExtent l="4445" t="4445" r="14605" b="14605"/>
            <wp:wrapTight wrapText="bothSides">
              <wp:wrapPolygon>
                <wp:start x="-21" y="-35"/>
                <wp:lineTo x="-21" y="21565"/>
                <wp:lineTo x="21579" y="21565"/>
                <wp:lineTo x="21579" y="-35"/>
                <wp:lineTo x="-21" y="-35"/>
              </wp:wrapPolygon>
            </wp:wrapTight>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rPr>
          <w:rFonts w:hint="eastAsia" w:ascii="仿宋" w:hAnsi="仿宋" w:eastAsia="仿宋"/>
          <w:color w:val="000000"/>
          <w:sz w:val="32"/>
          <w:szCs w:val="32"/>
        </w:rPr>
      </w:pPr>
    </w:p>
    <w:p>
      <w:pPr>
        <w:pStyle w:val="36"/>
        <w:numPr>
          <w:ilvl w:val="0"/>
          <w:numId w:val="1"/>
        </w:numPr>
        <w:spacing w:line="600" w:lineRule="exact"/>
        <w:ind w:firstLineChars="0"/>
        <w:outlineLvl w:val="1"/>
        <w:rPr>
          <w:rStyle w:val="26"/>
          <w:rFonts w:ascii="黑体" w:hAnsi="黑体" w:eastAsia="黑体"/>
          <w:b w:val="0"/>
        </w:rPr>
      </w:pPr>
      <w:bookmarkStart w:id="40" w:name="_Toc79163611"/>
      <w:bookmarkStart w:id="41" w:name="_Toc79163861"/>
      <w:bookmarkStart w:id="42" w:name="_Toc15396604"/>
      <w:bookmarkStart w:id="43"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年本年收入合计346</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22万元，其中：一般公共预算财政拨款收入315</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90万元，占</w:t>
      </w:r>
      <w:r>
        <w:rPr>
          <w:rFonts w:hint="eastAsia" w:ascii="仿宋" w:hAnsi="仿宋" w:eastAsia="仿宋"/>
          <w:color w:val="000000"/>
          <w:sz w:val="32"/>
          <w:szCs w:val="32"/>
          <w:lang w:val="en-US" w:eastAsia="zh-CN"/>
        </w:rPr>
        <w:t>91.2</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w:t>
      </w:r>
      <w:r>
        <w:rPr>
          <w:rFonts w:hint="eastAsia" w:ascii="仿宋" w:hAnsi="仿宋" w:eastAsia="仿宋"/>
          <w:color w:val="000000"/>
          <w:sz w:val="32"/>
          <w:szCs w:val="32"/>
          <w:lang w:val="en-US" w:eastAsia="zh-CN"/>
        </w:rPr>
        <w:t>入0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；其他收入30</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3</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8.8</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1" locked="0" layoutInCell="1" allowOverlap="1">
            <wp:simplePos x="0" y="0"/>
            <wp:positionH relativeFrom="column">
              <wp:posOffset>252095</wp:posOffset>
            </wp:positionH>
            <wp:positionV relativeFrom="paragraph">
              <wp:posOffset>-7959090</wp:posOffset>
            </wp:positionV>
            <wp:extent cx="4572000" cy="2743200"/>
            <wp:effectExtent l="4445" t="4445" r="14605" b="14605"/>
            <wp:wrapTight wrapText="bothSides">
              <wp:wrapPolygon>
                <wp:start x="-21" y="-35"/>
                <wp:lineTo x="-21" y="21565"/>
                <wp:lineTo x="21579" y="21565"/>
                <wp:lineTo x="21579" y="-35"/>
                <wp:lineTo x="-21" y="-35"/>
              </wp:wrapPolygon>
            </wp:wrapTight>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hint="eastAsia" w:ascii="仿宋" w:hAnsi="仿宋" w:eastAsia="仿宋"/>
          <w:color w:val="000000"/>
          <w:sz w:val="32"/>
          <w:szCs w:val="32"/>
        </w:rPr>
      </w:pPr>
    </w:p>
    <w:p>
      <w:pPr>
        <w:pStyle w:val="36"/>
        <w:numPr>
          <w:ilvl w:val="0"/>
          <w:numId w:val="1"/>
        </w:numPr>
        <w:spacing w:line="600" w:lineRule="exact"/>
        <w:ind w:firstLineChars="0"/>
        <w:outlineLvl w:val="1"/>
        <w:rPr>
          <w:rStyle w:val="26"/>
          <w:rFonts w:ascii="黑体" w:hAnsi="黑体" w:eastAsia="黑体"/>
          <w:b w:val="0"/>
        </w:rPr>
      </w:pPr>
      <w:bookmarkStart w:id="44" w:name="_Toc79163862"/>
      <w:bookmarkStart w:id="45" w:name="_Toc15377207"/>
      <w:bookmarkStart w:id="46" w:name="_Toc79163612"/>
      <w:bookmarkStart w:id="47"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年本年支出合计346</w:t>
      </w:r>
      <w:r>
        <w:rPr>
          <w:rFonts w:hint="eastAsia" w:ascii="仿宋_GB2312" w:eastAsia="仿宋_GB2312"/>
          <w:sz w:val="32"/>
          <w:szCs w:val="32"/>
          <w:lang w:val="en-US" w:eastAsia="zh-CN"/>
        </w:rPr>
        <w:t>.</w:t>
      </w:r>
      <w:r>
        <w:rPr>
          <w:rFonts w:hint="eastAsia" w:ascii="仿宋_GB2312" w:eastAsia="仿宋_GB2312"/>
          <w:sz w:val="32"/>
          <w:szCs w:val="32"/>
        </w:rPr>
        <w:t>22万元，其中：基本支出243</w:t>
      </w:r>
      <w:r>
        <w:rPr>
          <w:rFonts w:hint="eastAsia" w:ascii="仿宋_GB2312" w:eastAsia="仿宋_GB2312"/>
          <w:sz w:val="32"/>
          <w:szCs w:val="32"/>
          <w:lang w:val="en-US" w:eastAsia="zh-CN"/>
        </w:rPr>
        <w:t>.</w:t>
      </w:r>
      <w:r>
        <w:rPr>
          <w:rFonts w:hint="eastAsia" w:ascii="仿宋_GB2312" w:eastAsia="仿宋_GB2312"/>
          <w:sz w:val="32"/>
          <w:szCs w:val="32"/>
        </w:rPr>
        <w:t>22万元，占</w:t>
      </w:r>
      <w:r>
        <w:rPr>
          <w:rFonts w:hint="eastAsia" w:ascii="仿宋_GB2312" w:eastAsia="仿宋_GB2312"/>
          <w:sz w:val="32"/>
          <w:szCs w:val="32"/>
          <w:lang w:val="en-US" w:eastAsia="zh-CN"/>
        </w:rPr>
        <w:t>70.25</w:t>
      </w:r>
      <w:r>
        <w:rPr>
          <w:rFonts w:ascii="仿宋_GB2312" w:eastAsia="仿宋_GB2312"/>
          <w:sz w:val="32"/>
          <w:szCs w:val="32"/>
        </w:rPr>
        <w:t>%</w:t>
      </w:r>
      <w:r>
        <w:rPr>
          <w:rFonts w:hint="eastAsia" w:ascii="仿宋_GB2312" w:eastAsia="仿宋_GB2312"/>
          <w:sz w:val="32"/>
          <w:szCs w:val="32"/>
        </w:rPr>
        <w:t>；项目支出103万元，占</w:t>
      </w:r>
      <w:r>
        <w:rPr>
          <w:rFonts w:hint="eastAsia" w:ascii="仿宋_GB2312" w:eastAsia="仿宋_GB2312"/>
          <w:sz w:val="32"/>
          <w:szCs w:val="32"/>
          <w:lang w:val="en-US" w:eastAsia="zh-CN"/>
        </w:rPr>
        <w:t>29.75</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 w:hAnsi="仿宋" w:eastAsia="仿宋"/>
          <w:color w:val="000000"/>
          <w:sz w:val="32"/>
          <w:szCs w:val="32"/>
          <w:shd w:val="pct10" w:color="auto" w:fill="FFFFFF"/>
        </w:rPr>
      </w:pPr>
      <w:r>
        <w:drawing>
          <wp:anchor distT="0" distB="0" distL="114300" distR="114300" simplePos="0" relativeHeight="251661312" behindDoc="1" locked="0" layoutInCell="1" allowOverlap="1">
            <wp:simplePos x="0" y="0"/>
            <wp:positionH relativeFrom="column">
              <wp:posOffset>96520</wp:posOffset>
            </wp:positionH>
            <wp:positionV relativeFrom="paragraph">
              <wp:posOffset>261620</wp:posOffset>
            </wp:positionV>
            <wp:extent cx="4572000" cy="2743200"/>
            <wp:effectExtent l="4445" t="4445" r="14605" b="14605"/>
            <wp:wrapTight wrapText="bothSides">
              <wp:wrapPolygon>
                <wp:start x="-21" y="-35"/>
                <wp:lineTo x="-21" y="21565"/>
                <wp:lineTo x="21579" y="21565"/>
                <wp:lineTo x="21579" y="-35"/>
                <wp:lineTo x="-21" y="-35"/>
              </wp:wrapPolygon>
            </wp:wrapTight>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outlineLvl w:val="1"/>
        <w:rPr>
          <w:rStyle w:val="26"/>
          <w:rFonts w:ascii="黑体" w:hAnsi="黑体" w:eastAsia="黑体"/>
          <w:b w:val="0"/>
        </w:rPr>
      </w:pPr>
      <w:bookmarkStart w:id="48" w:name="_Toc15396606"/>
      <w:bookmarkStart w:id="49" w:name="_Toc79163863"/>
      <w:bookmarkStart w:id="50" w:name="_Toc79163613"/>
      <w:bookmarkStart w:id="51"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年财政拨款收、支总计346</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22万元。与</w:t>
      </w:r>
      <w:r>
        <w:rPr>
          <w:rFonts w:ascii="仿宋" w:hAnsi="仿宋" w:eastAsia="仿宋"/>
          <w:color w:val="000000"/>
          <w:sz w:val="32"/>
          <w:szCs w:val="32"/>
        </w:rPr>
        <w:t>2019</w:t>
      </w:r>
      <w:r>
        <w:rPr>
          <w:rFonts w:hint="eastAsia" w:ascii="仿宋" w:hAnsi="仿宋" w:eastAsia="仿宋"/>
          <w:color w:val="000000"/>
          <w:sz w:val="32"/>
          <w:szCs w:val="32"/>
        </w:rPr>
        <w:t>年相比，</w:t>
      </w:r>
      <w:r>
        <w:rPr>
          <w:rFonts w:hint="eastAsia" w:ascii="仿宋" w:hAnsi="仿宋" w:eastAsia="仿宋"/>
          <w:color w:val="000000"/>
          <w:sz w:val="32"/>
          <w:szCs w:val="32"/>
          <w:lang w:val="en-US" w:eastAsia="zh-CN"/>
        </w:rPr>
        <w:t>收、支总计减少59.77万元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收、支</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18.9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default" w:ascii="仿宋_GB2312" w:hAnsi="仿宋_GB2312" w:eastAsia="仿宋_GB2312" w:cs="仿宋_GB2312"/>
          <w:sz w:val="32"/>
          <w:szCs w:val="32"/>
          <w:shd w:val="clear" w:color="auto" w:fill="FFFFFF"/>
        </w:rPr>
        <w:t>减少了</w:t>
      </w:r>
      <w:r>
        <w:rPr>
          <w:rFonts w:hint="eastAsia" w:ascii="仿宋_GB2312" w:hAnsi="仿宋_GB2312" w:eastAsia="仿宋_GB2312" w:cs="仿宋_GB2312"/>
          <w:sz w:val="32"/>
          <w:szCs w:val="32"/>
          <w:shd w:val="clear" w:color="auto" w:fill="FFFFFF"/>
          <w:lang w:val="en-US" w:eastAsia="zh-CN"/>
        </w:rPr>
        <w:t>关工委经费</w:t>
      </w:r>
      <w:r>
        <w:rPr>
          <w:rFonts w:hint="eastAsia" w:ascii="仿宋_GB2312" w:hAnsi="仿宋_GB2312" w:eastAsia="仿宋_GB2312" w:cs="仿宋_GB2312"/>
          <w:sz w:val="32"/>
          <w:szCs w:val="32"/>
          <w:shd w:val="clear" w:color="auto" w:fill="FFFFFF"/>
          <w:lang w:eastAsia="zh-CN"/>
        </w:rPr>
        <w:t>，加强了管理、厉行勤俭节约。</w:t>
      </w:r>
    </w:p>
    <w:p>
      <w:pPr>
        <w:spacing w:line="600" w:lineRule="exact"/>
        <w:rPr>
          <w:rFonts w:ascii="仿宋" w:hAnsi="仿宋" w:eastAsia="仿宋"/>
          <w:color w:val="000000"/>
          <w:sz w:val="32"/>
          <w:szCs w:val="32"/>
        </w:rPr>
      </w:pPr>
      <w:r>
        <w:drawing>
          <wp:anchor distT="0" distB="0" distL="114300" distR="114300" simplePos="0" relativeHeight="251662336" behindDoc="1" locked="0" layoutInCell="1" allowOverlap="1">
            <wp:simplePos x="0" y="0"/>
            <wp:positionH relativeFrom="column">
              <wp:posOffset>375920</wp:posOffset>
            </wp:positionH>
            <wp:positionV relativeFrom="paragraph">
              <wp:posOffset>137160</wp:posOffset>
            </wp:positionV>
            <wp:extent cx="4572000" cy="2743200"/>
            <wp:effectExtent l="4445" t="4445" r="14605" b="14605"/>
            <wp:wrapTight wrapText="bothSides">
              <wp:wrapPolygon>
                <wp:start x="-21" y="-35"/>
                <wp:lineTo x="-21" y="21565"/>
                <wp:lineTo x="21579" y="21565"/>
                <wp:lineTo x="21579" y="-35"/>
                <wp:lineTo x="-21" y="-35"/>
              </wp:wrapPolygon>
            </wp:wrapTight>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52" w:name="_Toc15396607"/>
      <w:bookmarkStart w:id="53" w:name="_Toc79163864"/>
      <w:bookmarkStart w:id="54" w:name="_Toc15377209"/>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15377210"/>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_GB2312" w:hAnsi="仿宋_GB2312" w:eastAsia="仿宋_GB2312" w:cs="仿宋_GB2312"/>
          <w:sz w:val="32"/>
          <w:szCs w:val="32"/>
          <w:shd w:val="clear" w:color="auto" w:fill="FFFFFF"/>
          <w:lang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_GB2312" w:eastAsia="仿宋_GB2312"/>
          <w:sz w:val="32"/>
          <w:szCs w:val="32"/>
        </w:rPr>
        <w:t>243</w:t>
      </w:r>
      <w:r>
        <w:rPr>
          <w:rFonts w:hint="eastAsia" w:ascii="仿宋_GB2312" w:eastAsia="仿宋_GB2312"/>
          <w:sz w:val="32"/>
          <w:szCs w:val="32"/>
          <w:lang w:val="en-US" w:eastAsia="zh-CN"/>
        </w:rPr>
        <w:t>.</w:t>
      </w:r>
      <w:r>
        <w:rPr>
          <w:rFonts w:hint="eastAsia" w:ascii="仿宋_GB2312" w:eastAsia="仿宋_GB2312"/>
          <w:sz w:val="32"/>
          <w:szCs w:val="32"/>
        </w:rPr>
        <w:t>22万元</w:t>
      </w:r>
      <w:r>
        <w:rPr>
          <w:rFonts w:hint="eastAsia" w:ascii="仿宋" w:hAnsi="仿宋" w:eastAsia="仿宋"/>
          <w:color w:val="000000"/>
          <w:sz w:val="32"/>
          <w:szCs w:val="32"/>
        </w:rPr>
        <w:t>，占本年支出合计的</w:t>
      </w:r>
      <w:r>
        <w:rPr>
          <w:rFonts w:hint="eastAsia" w:ascii="仿宋_GB2312" w:eastAsia="仿宋_GB2312"/>
          <w:sz w:val="32"/>
          <w:szCs w:val="32"/>
          <w:lang w:val="en-US" w:eastAsia="zh-CN"/>
        </w:rPr>
        <w:t>70.25</w:t>
      </w:r>
      <w:r>
        <w:rPr>
          <w:rFonts w:ascii="仿宋_GB2312" w:eastAsia="仿宋_GB2312"/>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67.96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21.83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default" w:ascii="仿宋_GB2312" w:hAnsi="仿宋_GB2312" w:eastAsia="仿宋_GB2312" w:cs="仿宋_GB2312"/>
          <w:sz w:val="32"/>
          <w:szCs w:val="32"/>
          <w:shd w:val="clear" w:color="auto" w:fill="FFFFFF"/>
        </w:rPr>
        <w:t>减少了</w:t>
      </w:r>
      <w:r>
        <w:rPr>
          <w:rFonts w:hint="eastAsia" w:ascii="仿宋_GB2312" w:hAnsi="仿宋_GB2312" w:eastAsia="仿宋_GB2312" w:cs="仿宋_GB2312"/>
          <w:sz w:val="32"/>
          <w:szCs w:val="32"/>
          <w:shd w:val="clear" w:color="auto" w:fill="FFFFFF"/>
          <w:lang w:val="en-US" w:eastAsia="zh-CN"/>
        </w:rPr>
        <w:t>关工委经费</w:t>
      </w:r>
      <w:r>
        <w:rPr>
          <w:rFonts w:hint="eastAsia" w:ascii="仿宋_GB2312" w:hAnsi="仿宋_GB2312" w:eastAsia="仿宋_GB2312" w:cs="仿宋_GB2312"/>
          <w:sz w:val="32"/>
          <w:szCs w:val="32"/>
          <w:shd w:val="clear" w:color="auto" w:fill="FFFFFF"/>
          <w:lang w:eastAsia="zh-CN"/>
        </w:rPr>
        <w:t>，加强了管理、厉行勤俭节约。</w:t>
      </w:r>
    </w:p>
    <w:p>
      <w:pPr>
        <w:spacing w:line="600" w:lineRule="exact"/>
        <w:rPr>
          <w:rFonts w:hint="eastAsia" w:ascii="仿宋_GB2312" w:hAnsi="仿宋_GB2312" w:eastAsia="仿宋_GB2312" w:cs="仿宋_GB2312"/>
          <w:sz w:val="32"/>
          <w:szCs w:val="32"/>
          <w:shd w:val="clear" w:color="auto" w:fill="FFFFFF"/>
          <w:lang w:eastAsia="zh-CN"/>
        </w:rPr>
      </w:pPr>
      <w:r>
        <w:drawing>
          <wp:anchor distT="0" distB="0" distL="114300" distR="114300" simplePos="0" relativeHeight="251663360" behindDoc="0" locked="0" layoutInCell="1" allowOverlap="1">
            <wp:simplePos x="0" y="0"/>
            <wp:positionH relativeFrom="column">
              <wp:posOffset>385445</wp:posOffset>
            </wp:positionH>
            <wp:positionV relativeFrom="paragraph">
              <wp:posOffset>-8173720</wp:posOffset>
            </wp:positionV>
            <wp:extent cx="4572000" cy="2743200"/>
            <wp:effectExtent l="4445" t="4445" r="14605" b="14605"/>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346.22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284.35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82.13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25.89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14.42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4.16</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21.56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6.23</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410845</wp:posOffset>
            </wp:positionH>
            <wp:positionV relativeFrom="paragraph">
              <wp:posOffset>-2453005</wp:posOffset>
            </wp:positionV>
            <wp:extent cx="4572000" cy="2743200"/>
            <wp:effectExtent l="4445" t="4445" r="14605" b="14605"/>
            <wp:wrapTopAndBottom/>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2" w:name="_Toc79163617"/>
      <w:bookmarkStart w:id="63" w:name="_Toc7916386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2020</w:t>
      </w:r>
      <w:r>
        <w:rPr>
          <w:rFonts w:hint="eastAsia" w:ascii="仿宋_GB2312" w:eastAsia="仿宋_GB2312"/>
          <w:b/>
          <w:bCs/>
          <w:sz w:val="32"/>
          <w:szCs w:val="32"/>
        </w:rPr>
        <w:t>年一般公共预算支出决算数为346</w:t>
      </w:r>
      <w:r>
        <w:rPr>
          <w:rFonts w:hint="eastAsia" w:ascii="仿宋_GB2312" w:eastAsia="仿宋_GB2312"/>
          <w:b/>
          <w:bCs/>
          <w:sz w:val="32"/>
          <w:szCs w:val="32"/>
          <w:lang w:val="en-US" w:eastAsia="zh-CN"/>
        </w:rPr>
        <w:t>.</w:t>
      </w:r>
      <w:r>
        <w:rPr>
          <w:rFonts w:hint="eastAsia" w:ascii="仿宋_GB2312" w:eastAsia="仿宋_GB2312"/>
          <w:b/>
          <w:bCs/>
          <w:sz w:val="32"/>
          <w:szCs w:val="32"/>
        </w:rPr>
        <w:t>22</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一般公共服务（类）</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支出决算为284</w:t>
      </w:r>
      <w:r>
        <w:rPr>
          <w:rStyle w:val="23"/>
          <w:rFonts w:hint="eastAsia" w:ascii="仿宋" w:hAnsi="仿宋" w:eastAsia="仿宋"/>
          <w:b w:val="0"/>
          <w:bCs/>
          <w:color w:val="000000"/>
          <w:sz w:val="32"/>
          <w:szCs w:val="32"/>
          <w:lang w:val="en-US" w:eastAsia="zh-CN"/>
        </w:rPr>
        <w:t>.</w:t>
      </w:r>
      <w:r>
        <w:rPr>
          <w:rStyle w:val="23"/>
          <w:rFonts w:hint="eastAsia" w:ascii="仿宋" w:hAnsi="仿宋" w:eastAsia="仿宋"/>
          <w:b w:val="0"/>
          <w:bCs/>
          <w:color w:val="000000"/>
          <w:sz w:val="32"/>
          <w:szCs w:val="32"/>
        </w:rPr>
        <w:t>3526.85万元，完成预算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2.</w:t>
      </w:r>
      <w:r>
        <w:rPr>
          <w:rStyle w:val="23"/>
          <w:rFonts w:hint="eastAsia" w:ascii="仿宋" w:hAnsi="仿宋" w:eastAsia="仿宋"/>
          <w:bCs/>
          <w:color w:val="000000"/>
          <w:sz w:val="32"/>
          <w:szCs w:val="32"/>
        </w:rPr>
        <w:t>教育（类）</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3.</w:t>
      </w:r>
      <w:r>
        <w:rPr>
          <w:rStyle w:val="23"/>
          <w:rFonts w:hint="eastAsia" w:ascii="仿宋" w:hAnsi="仿宋" w:eastAsia="仿宋"/>
          <w:bCs/>
          <w:color w:val="000000"/>
          <w:sz w:val="32"/>
          <w:szCs w:val="32"/>
        </w:rPr>
        <w:t>科学技术（类</w:t>
      </w:r>
      <w:r>
        <w:rPr>
          <w:rStyle w:val="23"/>
          <w:rFonts w:hint="eastAsia" w:ascii="仿宋" w:hAnsi="仿宋" w:eastAsia="仿宋"/>
          <w:bCs/>
          <w:color w:val="000000"/>
          <w:sz w:val="32"/>
          <w:szCs w:val="32"/>
          <w:lang w:eastAsia="zh-CN"/>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4.</w:t>
      </w:r>
      <w:r>
        <w:rPr>
          <w:rStyle w:val="23"/>
          <w:rFonts w:hint="eastAsia" w:ascii="仿宋" w:hAnsi="仿宋" w:eastAsia="仿宋"/>
          <w:bCs/>
          <w:color w:val="000000"/>
          <w:sz w:val="32"/>
          <w:szCs w:val="32"/>
        </w:rPr>
        <w:t>文化旅游体育与传媒（类）</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5.</w:t>
      </w:r>
      <w:r>
        <w:rPr>
          <w:rStyle w:val="23"/>
          <w:rFonts w:hint="eastAsia" w:ascii="仿宋" w:hAnsi="仿宋" w:eastAsia="仿宋"/>
          <w:bCs/>
          <w:color w:val="000000"/>
          <w:sz w:val="32"/>
          <w:szCs w:val="32"/>
        </w:rPr>
        <w:t>社会保障和就业（类）</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支出决算为25</w:t>
      </w:r>
      <w:r>
        <w:rPr>
          <w:rStyle w:val="23"/>
          <w:rFonts w:hint="eastAsia" w:ascii="仿宋" w:hAnsi="仿宋" w:eastAsia="仿宋"/>
          <w:b w:val="0"/>
          <w:bCs/>
          <w:color w:val="000000"/>
          <w:sz w:val="32"/>
          <w:szCs w:val="32"/>
          <w:lang w:val="en-US" w:eastAsia="zh-CN"/>
        </w:rPr>
        <w:t>.</w:t>
      </w:r>
      <w:r>
        <w:rPr>
          <w:rStyle w:val="23"/>
          <w:rFonts w:hint="eastAsia" w:ascii="仿宋" w:hAnsi="仿宋" w:eastAsia="仿宋"/>
          <w:b w:val="0"/>
          <w:bCs/>
          <w:color w:val="000000"/>
          <w:sz w:val="32"/>
          <w:szCs w:val="32"/>
        </w:rPr>
        <w:t>89万元，完成预算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6.</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14.42</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7</w:t>
      </w:r>
      <w:r>
        <w:rPr>
          <w:rStyle w:val="23"/>
          <w:rFonts w:ascii="仿宋" w:hAnsi="仿宋" w:eastAsia="仿宋"/>
          <w:bCs/>
          <w:color w:val="000000"/>
          <w:sz w:val="32"/>
          <w:szCs w:val="32"/>
        </w:rPr>
        <w:t>.</w:t>
      </w:r>
      <w:r>
        <w:rPr>
          <w:rFonts w:hint="eastAsia" w:ascii="仿宋" w:hAnsi="仿宋" w:eastAsia="仿宋"/>
          <w:b/>
          <w:bCs/>
          <w:color w:val="000000"/>
          <w:sz w:val="32"/>
          <w:szCs w:val="32"/>
          <w:lang w:val="en-US" w:eastAsia="zh-CN"/>
        </w:rPr>
        <w:t>住房保障</w:t>
      </w:r>
      <w:r>
        <w:rPr>
          <w:rStyle w:val="23"/>
          <w:rFonts w:hint="eastAsia" w:ascii="仿宋" w:hAnsi="仿宋" w:eastAsia="仿宋"/>
          <w:bCs/>
          <w:color w:val="000000"/>
          <w:sz w:val="32"/>
          <w:szCs w:val="32"/>
        </w:rPr>
        <w:t>（类）</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21.56</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6"/>
        </w:rPr>
      </w:pPr>
      <w:bookmarkStart w:id="68" w:name="_Toc79163618"/>
      <w:bookmarkStart w:id="69" w:name="_Toc15377214"/>
      <w:bookmarkStart w:id="70" w:name="_Toc79163868"/>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8"/>
      <w:bookmarkEnd w:id="69"/>
      <w:bookmarkEnd w:id="70"/>
      <w:bookmarkEnd w:id="7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346.22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人员经费61</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8</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日常公用经费284</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35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FF0000"/>
          <w:sz w:val="32"/>
          <w:szCs w:val="32"/>
        </w:rPr>
      </w:pPr>
    </w:p>
    <w:p>
      <w:pPr>
        <w:spacing w:line="600" w:lineRule="exact"/>
        <w:ind w:firstLine="640"/>
        <w:outlineLvl w:val="1"/>
        <w:rPr>
          <w:rStyle w:val="26"/>
          <w:rFonts w:ascii="黑体" w:hAnsi="黑体" w:eastAsia="黑体"/>
          <w:b w:val="0"/>
        </w:rPr>
      </w:pPr>
      <w:bookmarkStart w:id="72" w:name="_Toc79163869"/>
      <w:bookmarkStart w:id="73" w:name="_Toc15377215"/>
      <w:bookmarkStart w:id="74" w:name="_Toc15396609"/>
      <w:bookmarkStart w:id="75" w:name="_Toc7916361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620"/>
      <w:bookmarkStart w:id="77" w:name="_Toc15377216"/>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年“三公”经费财政拨款支出决算为29</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9</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，决算数预算数持平的主要原因是</w:t>
      </w:r>
      <w:r>
        <w:rPr>
          <w:rFonts w:hint="eastAsia" w:ascii="仿宋" w:hAnsi="仿宋" w:eastAsia="仿宋"/>
          <w:color w:val="000000"/>
          <w:sz w:val="32"/>
          <w:szCs w:val="32"/>
          <w:lang w:val="en-US" w:eastAsia="zh-CN"/>
        </w:rPr>
        <w:t>合理规划使用</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79163871"/>
      <w:bookmarkStart w:id="80" w:name="_Toc7916362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29.3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97.73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2.27</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477520</wp:posOffset>
            </wp:positionH>
            <wp:positionV relativeFrom="paragraph">
              <wp:posOffset>137795</wp:posOffset>
            </wp:positionV>
            <wp:extent cx="4572000" cy="2743200"/>
            <wp:effectExtent l="4445" t="4445" r="14605" b="14605"/>
            <wp:wrapTopAndBottom/>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29.3</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17.41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59.41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公务用车年代久远，大型维修</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29.3</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团州委前往各县（市）开展共青团、少先队、创业青年</w:t>
      </w:r>
      <w:r>
        <w:rPr>
          <w:rFonts w:hint="eastAsia" w:ascii="仿宋_GB2312" w:eastAsia="仿宋_GB2312"/>
          <w:color w:val="000000"/>
          <w:sz w:val="32"/>
          <w:szCs w:val="32"/>
        </w:rPr>
        <w:t>等所需的公务用车燃料费、维修费、过路过桥费、保险费</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维修费</w:t>
      </w:r>
      <w:r>
        <w:rPr>
          <w:rFonts w:hint="eastAsia" w:ascii="仿宋_GB2312" w:eastAsia="仿宋_GB2312"/>
          <w:color w:val="000000"/>
          <w:sz w:val="32"/>
          <w:szCs w:val="32"/>
        </w:rPr>
        <w:t>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0.68</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0.03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4.41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加强管理</w:t>
      </w:r>
      <w:r>
        <w:rPr>
          <w:rFonts w:hint="eastAsia" w:ascii="仿宋_GB2312" w:eastAsia="仿宋_GB2312"/>
          <w:color w:val="000000"/>
          <w:sz w:val="32"/>
          <w:szCs w:val="32"/>
        </w:rPr>
        <w:t>。其中：</w:t>
      </w:r>
    </w:p>
    <w:p>
      <w:pPr>
        <w:spacing w:line="600" w:lineRule="exact"/>
        <w:ind w:firstLine="640"/>
        <w:rPr>
          <w:rFonts w:hint="eastAsia"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0.68</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团州委各级来阿坝州开展</w:t>
      </w:r>
      <w:r>
        <w:rPr>
          <w:rFonts w:hint="eastAsia" w:ascii="仿宋_GB2312" w:eastAsia="仿宋_GB2312"/>
          <w:color w:val="000000"/>
          <w:sz w:val="32"/>
          <w:szCs w:val="32"/>
        </w:rPr>
        <w:t>业务活动开支</w:t>
      </w:r>
      <w:r>
        <w:rPr>
          <w:rFonts w:hint="eastAsia" w:ascii="仿宋_GB2312" w:eastAsia="仿宋_GB2312"/>
          <w:color w:val="000000"/>
          <w:sz w:val="32"/>
          <w:szCs w:val="32"/>
          <w:lang w:eastAsia="zh-CN"/>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0.68</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青年创业扶持项目评审专家6人，华西医院先心病义诊工作组14人，开源农业技术人员3人</w:t>
      </w:r>
      <w:r>
        <w:rPr>
          <w:rFonts w:hint="eastAsia" w:ascii="仿宋_GB2312" w:eastAsia="仿宋_GB2312"/>
          <w:color w:val="000000"/>
          <w:sz w:val="32"/>
          <w:szCs w:val="32"/>
        </w:rPr>
        <w:t>。</w:t>
      </w:r>
    </w:p>
    <w:p>
      <w:pPr>
        <w:spacing w:line="600" w:lineRule="exact"/>
        <w:ind w:firstLine="640"/>
        <w:outlineLvl w:val="1"/>
        <w:rPr>
          <w:rStyle w:val="26"/>
          <w:rFonts w:ascii="黑体" w:hAnsi="黑体" w:eastAsia="黑体"/>
        </w:rPr>
      </w:pPr>
      <w:bookmarkStart w:id="82" w:name="_Toc15377218"/>
      <w:bookmarkStart w:id="83" w:name="_Toc79163622"/>
      <w:bookmarkStart w:id="84" w:name="_Toc79163872"/>
      <w:bookmarkStart w:id="85"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6"/>
          <w:rFonts w:ascii="黑体" w:hAnsi="黑体" w:eastAsia="黑体"/>
          <w:b w:val="0"/>
        </w:rPr>
      </w:pPr>
      <w:bookmarkStart w:id="86" w:name="_Toc79163623"/>
      <w:bookmarkStart w:id="87" w:name="_Toc79163873"/>
      <w:bookmarkStart w:id="88" w:name="_Toc15396611"/>
      <w:bookmarkStart w:id="89" w:name="_Toc15377219"/>
      <w:r>
        <w:rPr>
          <w:rStyle w:val="26"/>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90" w:name="_Toc79163624"/>
      <w:bookmarkStart w:id="91" w:name="_Toc15377221"/>
      <w:bookmarkStart w:id="92" w:name="_Toc79163874"/>
      <w:bookmarkStart w:id="93"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875"/>
      <w:bookmarkStart w:id="96" w:name="_Toc7916362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团州委</w:t>
      </w:r>
      <w:r>
        <w:rPr>
          <w:rFonts w:hint="eastAsia" w:ascii="仿宋_GB2312" w:eastAsia="仿宋_GB2312"/>
          <w:color w:val="000000"/>
          <w:sz w:val="32"/>
          <w:szCs w:val="32"/>
        </w:rPr>
        <w:t>机关运行经费支出38</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6</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3.59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9.29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工作事务增多。</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79163877"/>
      <w:bookmarkStart w:id="102" w:name="_Toc15377224"/>
      <w:r>
        <w:rPr>
          <w:rFonts w:hint="eastAsia" w:ascii="仿宋" w:hAnsi="仿宋" w:eastAsia="仿宋"/>
          <w:b/>
          <w:color w:val="000000"/>
          <w:sz w:val="32"/>
          <w:szCs w:val="32"/>
        </w:rPr>
        <w:t>（三）国有资产占有使用情况</w:t>
      </w:r>
      <w:bookmarkEnd w:id="100"/>
      <w:bookmarkEnd w:id="101"/>
      <w:bookmarkEnd w:id="102"/>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firstLine="640" w:firstLineChars="200"/>
        <w:jc w:val="left"/>
        <w:rPr>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default" w:ascii="仿宋_GB2312" w:hAnsi="仿宋_GB2312" w:eastAsia="仿宋_GB2312" w:cs="仿宋_GB2312"/>
          <w:sz w:val="32"/>
          <w:szCs w:val="32"/>
          <w:shd w:val="clear" w:color="auto" w:fill="FFFFFF"/>
        </w:rPr>
        <w:t>，中国共产主义青年团四川省阿坝州委员会（本级）共有车辆2辆，其中：主要领导干部用车0 辆、机要通信用车0辆、应急保障用车0辆、执法执勤用车0 辆、特种专业技术用车0辆、离退休干部用车0辆、其他用车 2辆</w:t>
      </w:r>
      <w:r>
        <w:rPr>
          <w:rFonts w:hint="eastAsia" w:ascii="仿宋_GB2312" w:hAnsi="仿宋_GB2312" w:eastAsia="仿宋_GB2312" w:cs="仿宋_GB2312"/>
          <w:sz w:val="32"/>
          <w:szCs w:val="32"/>
          <w:shd w:val="clear" w:color="auto" w:fill="FFFFFF"/>
          <w:lang w:eastAsia="zh-CN"/>
        </w:rPr>
        <w:t>，</w:t>
      </w:r>
      <w:r>
        <w:rPr>
          <w:rFonts w:hint="default" w:ascii="仿宋_GB2312" w:hAnsi="仿宋_GB2312" w:eastAsia="仿宋_GB2312" w:cs="仿宋_GB2312"/>
          <w:sz w:val="32"/>
          <w:szCs w:val="32"/>
          <w:shd w:val="clear" w:color="auto" w:fill="FFFFFF"/>
        </w:rPr>
        <w:t>主要是用于</w:t>
      </w:r>
      <w:r>
        <w:rPr>
          <w:rFonts w:hint="eastAsia" w:ascii="仿宋_GB2312" w:hAnsi="仿宋_GB2312" w:eastAsia="仿宋_GB2312" w:cs="仿宋_GB2312"/>
          <w:sz w:val="32"/>
          <w:szCs w:val="32"/>
          <w:shd w:val="clear" w:color="auto" w:fill="FFFFFF"/>
          <w:lang w:val="en-US" w:eastAsia="zh-CN"/>
        </w:rPr>
        <w:t>日常赴别地工作开展</w:t>
      </w:r>
      <w:r>
        <w:rPr>
          <w:rFonts w:hint="default" w:ascii="仿宋_GB2312" w:hAnsi="仿宋_GB2312" w:eastAsia="仿宋_GB2312" w:cs="仿宋_GB2312"/>
          <w:sz w:val="32"/>
          <w:szCs w:val="32"/>
          <w:shd w:val="clear" w:color="auto" w:fill="FFFFFF"/>
        </w:rPr>
        <w:t>。单价50万元以上通用设备0台（套），单价100万元以上专用设备0（套）。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hint="default" w:ascii="仿宋_GB2312" w:hAnsi="仿宋_GB2312" w:eastAsia="仿宋_GB2312" w:cs="仿宋_GB2312"/>
          <w:kern w:val="0"/>
          <w:sz w:val="32"/>
          <w:szCs w:val="32"/>
          <w:shd w:val="clear" w:color="auto" w:fill="FFFFFF"/>
          <w:lang w:val="en-US" w:eastAsia="zh-CN" w:bidi="ar"/>
        </w:rPr>
      </w:pPr>
      <w:r>
        <w:rPr>
          <w:rFonts w:hint="eastAsia" w:ascii="仿宋_GB2312" w:hAnsi="仿宋_GB2312" w:eastAsia="仿宋_GB2312" w:cs="仿宋_GB2312"/>
          <w:kern w:val="0"/>
          <w:sz w:val="32"/>
          <w:szCs w:val="32"/>
          <w:shd w:val="clear" w:color="auto" w:fill="FFFFFF"/>
          <w:lang w:val="en-US" w:eastAsia="zh-CN" w:bidi="ar"/>
        </w:rPr>
        <w:t>根据预算绩效管理要求，本部门（单位）在年初预算编制阶段，组织对新媒体维护、基层团干部和少先队辅导员培训、共青团工作、青少年工作、基层团组织建设及“五四”活动及西部计划青年志愿者工作6个项目开展了预算事前绩效评估，对6个项目编制了绩效目标，预算执行过程中，选取5个项目开展绩效监控，年终执行完毕后，对5个项目开展了绩效目标完成情况自评。</w:t>
      </w:r>
    </w:p>
    <w:p>
      <w:pPr>
        <w:pStyle w:val="20"/>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jc w:val="left"/>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hint="eastAsia" w:ascii="楷体_GB2312" w:hAnsi="楷体_GB2312" w:eastAsia="楷体_GB2312" w:cs="楷体_GB2312"/>
          <w:sz w:val="32"/>
          <w:szCs w:val="32"/>
          <w:lang w:val="en-US" w:eastAsia="zh-CN"/>
        </w:rPr>
        <w:t xml:space="preserve">    </w:t>
      </w:r>
      <w:r>
        <w:rPr>
          <w:rFonts w:hint="default" w:ascii="仿宋_GB2312" w:hAnsi="仿宋_GB2312" w:eastAsia="仿宋_GB2312" w:cs="仿宋_GB2312"/>
          <w:sz w:val="32"/>
          <w:szCs w:val="32"/>
          <w:shd w:val="clear" w:color="auto" w:fill="FFFFFF"/>
        </w:rPr>
        <w:t>本部门按要求对</w:t>
      </w:r>
      <w:r>
        <w:rPr>
          <w:rFonts w:hint="eastAsia" w:ascii="仿宋_GB2312" w:hAnsi="仿宋_GB2312" w:eastAsia="仿宋_GB2312" w:cs="仿宋_GB2312"/>
          <w:sz w:val="32"/>
          <w:szCs w:val="32"/>
          <w:shd w:val="clear" w:color="auto" w:fill="FFFFFF"/>
          <w:lang w:val="en-US" w:eastAsia="zh-CN"/>
        </w:rPr>
        <w:t>2020</w:t>
      </w:r>
      <w:r>
        <w:rPr>
          <w:rFonts w:hint="default" w:ascii="仿宋_GB2312" w:hAnsi="仿宋_GB2312" w:eastAsia="仿宋_GB2312" w:cs="仿宋_GB2312"/>
          <w:sz w:val="32"/>
          <w:szCs w:val="32"/>
          <w:shd w:val="clear" w:color="auto" w:fill="FFFFFF"/>
        </w:rPr>
        <w:t>年部门整体支出开展绩效自评，从评价情况来看</w:t>
      </w:r>
      <w:r>
        <w:rPr>
          <w:rFonts w:hint="eastAsia" w:ascii="仿宋_GB2312" w:hAnsi="仿宋_GB2312" w:eastAsia="仿宋_GB2312" w:cs="仿宋_GB2312"/>
          <w:sz w:val="32"/>
          <w:szCs w:val="32"/>
          <w:shd w:val="clear" w:color="auto" w:fill="FFFFFF"/>
        </w:rPr>
        <w:t>我委历来重视单位内部管理制度建设及监督，对各项资金的管理、经费收支审批等均作了明确规定，正确组织资金的使用，债权债务及时结算，切实做好厉行节约工作，全面落实各项管理制度要求，努力降低行政成本。</w:t>
      </w:r>
      <w:r>
        <w:rPr>
          <w:rFonts w:hint="eastAsia" w:ascii="仿宋_GB2312" w:hAnsi="仿宋_GB2312" w:eastAsia="仿宋_GB2312" w:cs="仿宋_GB2312"/>
          <w:sz w:val="32"/>
          <w:szCs w:val="32"/>
          <w:shd w:val="clear" w:color="auto" w:fill="FFFFFF"/>
          <w:lang w:eastAsia="zh-CN"/>
        </w:rPr>
        <w:t>我委</w:t>
      </w:r>
      <w:r>
        <w:rPr>
          <w:rFonts w:hint="eastAsia" w:ascii="仿宋_GB2312" w:hAnsi="仿宋_GB2312" w:eastAsia="仿宋_GB2312" w:cs="仿宋_GB2312"/>
          <w:sz w:val="32"/>
          <w:szCs w:val="32"/>
          <w:shd w:val="clear" w:color="auto" w:fill="FFFFFF"/>
        </w:rPr>
        <w:t>还自行组织了5个项目绩效评价，从评价情况来看，我委能专款专用，按项目实施计划的进度情况进行资金拨付，无截留、无挪用等现象，在</w:t>
      </w:r>
      <w:r>
        <w:rPr>
          <w:rFonts w:hint="default" w:ascii="仿宋_GB2312" w:hAnsi="仿宋_GB2312" w:eastAsia="仿宋_GB2312" w:cs="仿宋_GB2312"/>
          <w:sz w:val="32"/>
          <w:szCs w:val="32"/>
          <w:shd w:val="clear" w:color="auto" w:fill="FFFFFF"/>
        </w:rPr>
        <w:t>支出过程中能严格遵守各项规章制度</w:t>
      </w:r>
      <w:r>
        <w:rPr>
          <w:rFonts w:hint="eastAsia" w:ascii="仿宋_GB2312" w:hAnsi="仿宋_GB2312" w:eastAsia="仿宋_GB2312" w:cs="仿宋_GB2312"/>
          <w:sz w:val="32"/>
          <w:szCs w:val="32"/>
          <w:shd w:val="clear" w:color="auto" w:fill="FFFFFF"/>
        </w:rPr>
        <w:t>，实行了先有预算、后有执行、“用钱必问效、无效必问责”的新常态。</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新媒体、网站运行维护</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color w:val="auto"/>
          <w:sz w:val="32"/>
          <w:szCs w:val="32"/>
          <w:shd w:val="clear" w:color="auto" w:fill="FFFFFF"/>
        </w:rPr>
        <w:t>团属新媒体阵地打造，县级团委采用软件终端网络视频会议系统开通，推动团属网站的升级管理，推动县级及县级以下团组织、学校、企业和团干部开通官方、个人微博、微信，建立共青团系统微博、微信体系，着力提升共青团微博、微信活跃度和影响力。</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shd w:val="clear" w:color="auto" w:fill="FFFFFF"/>
          <w:lang w:val="en-US" w:eastAsia="zh-CN"/>
        </w:rPr>
        <w:t>项目推进力度不够，存在拖延的情况</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shd w:val="clear" w:color="auto" w:fill="FFFFFF"/>
          <w:lang w:val="en-US" w:eastAsia="zh-CN"/>
        </w:rPr>
        <w:t>按照预算安排及时组织实施，加大培训力度和覆盖面。</w:t>
      </w: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bookmarkStart w:id="163" w:name="_GoBack" w:colFirst="3" w:colLast="5"/>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ind w:firstLine="210" w:firstLineChars="10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新媒体、网站运行维护项目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ind w:firstLine="210" w:firstLineChars="100"/>
              <w:jc w:val="center"/>
              <w:textAlignment w:val="center"/>
              <w:rPr>
                <w:rFonts w:hint="eastAsia" w:ascii="仿宋" w:hAnsi="仿宋" w:eastAsia="仿宋" w:cs="仿宋"/>
                <w:color w:val="000000"/>
                <w:kern w:val="0"/>
                <w:sz w:val="21"/>
                <w:szCs w:val="21"/>
                <w:lang w:val="en-US" w:eastAsia="zh-CN" w:bidi="ar"/>
              </w:rPr>
            </w:pPr>
            <w:r>
              <w:rPr>
                <w:rFonts w:hint="default" w:ascii="仿宋" w:hAnsi="仿宋" w:eastAsia="仿宋" w:cs="仿宋"/>
                <w:color w:val="000000"/>
                <w:kern w:val="0"/>
                <w:sz w:val="21"/>
                <w:szCs w:val="21"/>
                <w:lang w:val="en-US" w:eastAsia="zh-CN" w:bidi="ar"/>
              </w:rPr>
              <w:t>中国共产主义青年团四川省阿坝州委员会（本级）</w:t>
            </w:r>
          </w:p>
        </w:tc>
      </w:tr>
      <w:bookmarkEnd w:id="163"/>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6万元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ind w:firstLine="210" w:firstLineChars="10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主要包括团属网站、组织新媒体小编开展宣传培训、官方微信、博客，团干个人微博、微信的运营维护。按照财政相关规定编制了本项项目支出预算。</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ind w:firstLine="210" w:firstLineChars="10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保障团属新媒体阵地打造，县级团委采用软件终端网络视频会议系统开通，推动团属网站的升级管理，推动县级及县级以下团组织、学校、企业和团干部开通官方、个人微博、微信，建立共青团系统微博、微信体系，着力提升共青团微博、微信活跃度和影响力。</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ind w:firstLine="210" w:firstLineChars="10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color w:val="000000"/>
                <w:kern w:val="0"/>
                <w:sz w:val="21"/>
                <w:szCs w:val="21"/>
                <w:lang w:val="en-US" w:eastAsia="zh-CN" w:bidi="ar"/>
              </w:rPr>
              <w:t>推动团系统新媒体打造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ind w:firstLine="210" w:firstLineChars="10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注重提高团干部运用新媒体能力的培养，充分发挥利用新媒体沟通便捷、信息丰富、聚集灵活的特点，广泛开展活动，组织新媒体小编开展网络宣传培训。</w:t>
            </w:r>
          </w:p>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kern w:val="2"/>
                <w:sz w:val="21"/>
                <w:szCs w:val="21"/>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 w:hAnsi="仿宋" w:eastAsia="仿宋" w:cs="仿宋"/>
                <w:color w:val="000000"/>
                <w:kern w:val="0"/>
                <w:sz w:val="21"/>
                <w:szCs w:val="21"/>
                <w:lang w:val="en-US" w:eastAsia="zh-CN" w:bidi="ar"/>
              </w:rPr>
              <w:t>深化阵地建设、内容建设、队伍建设，发布《阿坝青年》电子期刊9期、268条微信、526条微博，广泛开展“团团带你游阿坝”主题宣传活动和阿坝州青年志愿者之歌征集活动。</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color w:val="000000"/>
                <w:kern w:val="0"/>
                <w:sz w:val="21"/>
                <w:szCs w:val="21"/>
                <w:lang w:bidi="ar"/>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color w:val="000000"/>
                <w:kern w:val="0"/>
                <w:sz w:val="21"/>
                <w:szCs w:val="21"/>
                <w:lang w:val="en-US" w:eastAsia="zh-CN" w:bidi="ar"/>
              </w:rPr>
              <w:t>扩大团属媒体宣传影响力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ind w:firstLine="210" w:firstLineChars="10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密切团组织与团员青年尤其是流动团员的联系，让共青团在网络上传播“青年好声音”，传递青春正能量。</w:t>
            </w:r>
          </w:p>
          <w:p>
            <w:pPr>
              <w:keepNext w:val="0"/>
              <w:keepLines w:val="0"/>
              <w:pageBreakBefore w:val="0"/>
              <w:widowControl/>
              <w:kinsoku/>
              <w:wordWrap/>
              <w:overflowPunct/>
              <w:topLinePunct w:val="0"/>
              <w:autoSpaceDE/>
              <w:autoSpaceDN/>
              <w:bidi w:val="0"/>
              <w:adjustRightInd/>
              <w:spacing w:beforeAutospacing="0" w:afterAutospacing="0" w:line="576" w:lineRule="exact"/>
              <w:ind w:firstLine="210" w:firstLineChars="100"/>
              <w:jc w:val="center"/>
              <w:textAlignment w:val="center"/>
              <w:rPr>
                <w:rFonts w:hint="eastAsia" w:ascii="仿宋" w:hAnsi="仿宋" w:eastAsia="仿宋" w:cs="仿宋"/>
                <w:kern w:val="2"/>
                <w:sz w:val="21"/>
                <w:szCs w:val="21"/>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 w:hAnsi="仿宋" w:eastAsia="仿宋" w:cs="仿宋"/>
                <w:color w:val="000000"/>
                <w:kern w:val="0"/>
                <w:sz w:val="21"/>
                <w:szCs w:val="21"/>
                <w:lang w:val="en-US" w:eastAsia="zh-CN" w:bidi="ar"/>
              </w:rPr>
              <w:t>推动县级及县级以下团组织、学校、企业和团干部开通官方、个人微博、微信，建立共青团系统微博、微信体系，着力提升共青团微博、微信活跃度和影响力。</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满意度</w:t>
            </w:r>
          </w:p>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rPr>
              <w:t>服务单位评价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rPr>
              <w:t>根据相关单位的反馈情况，进行满意度评价</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rPr>
              <w:t>根据相关单位的反应很满意，解决了人手不够的问题。</w:t>
            </w:r>
          </w:p>
        </w:tc>
      </w:tr>
    </w:tbl>
    <w:p>
      <w:pPr>
        <w:pStyle w:val="8"/>
      </w:pPr>
    </w:p>
    <w:p>
      <w:pPr>
        <w:pStyle w:val="20"/>
        <w:keepNext w:val="0"/>
        <w:keepLines w:val="0"/>
        <w:pageBreakBefore w:val="0"/>
        <w:widowControl/>
        <w:numPr>
          <w:ilvl w:val="0"/>
          <w:numId w:val="4"/>
        </w:numPr>
        <w:suppressLineNumbers w:val="0"/>
        <w:kinsoku/>
        <w:wordWrap/>
        <w:overflowPunct/>
        <w:topLinePunct w:val="0"/>
        <w:autoSpaceDE/>
        <w:autoSpaceDN/>
        <w:bidi w:val="0"/>
        <w:adjustRightInd/>
        <w:spacing w:before="0" w:beforeAutospacing="0" w:after="0" w:afterAutospacing="0" w:line="576" w:lineRule="exact"/>
        <w:ind w:left="0" w:leftChars="0" w:right="0" w:right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val="en-US" w:eastAsia="zh-CN"/>
        </w:rPr>
        <w:t>团干部、辅导员及双创青年培训经费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lang w:val="en-US" w:eastAsia="zh-CN"/>
        </w:rPr>
        <w:t>通过项目实施，分层分类开展团干部和辅导员业务培训，重点抓好乡镇、村、企业、学校团干部和辅导员培训工作，全面提升他们的政治理论素质，努力加强队伍建设。提高了广大团干尤其是基层团干和少先队辅导员的业务水准。发现的主要问题：项目推进力度不够，存在拖延的情况。下一步改进措施：年初按照预算安排及时组织实施，加大培训力度和覆盖面。</w:t>
      </w:r>
    </w:p>
    <w:tbl>
      <w:tblPr>
        <w:tblStyle w:val="21"/>
        <w:tblW w:w="10036"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674"/>
        <w:gridCol w:w="1134"/>
        <w:gridCol w:w="849"/>
        <w:gridCol w:w="1984"/>
        <w:gridCol w:w="1985"/>
        <w:gridCol w:w="241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70" w:hRule="atLeast"/>
          <w:tblCellSpacing w:w="0" w:type="dxa"/>
          <w:jc w:val="center"/>
        </w:trPr>
        <w:tc>
          <w:tcPr>
            <w:tcW w:w="10036" w:type="dxa"/>
            <w:gridSpan w:val="6"/>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sz w:val="21"/>
                <w:szCs w:val="21"/>
              </w:rPr>
            </w:pPr>
            <w:r>
              <w:rPr>
                <w:rStyle w:val="23"/>
                <w:rFonts w:hint="default" w:ascii="仿宋_GB2312" w:hAnsi="仿宋_GB2312" w:eastAsia="仿宋_GB2312" w:cs="仿宋_GB2312"/>
                <w:sz w:val="21"/>
                <w:szCs w:val="21"/>
              </w:rPr>
              <w:t xml:space="preserve">项目绩效目标完成情况表 </w:t>
            </w:r>
            <w:r>
              <w:rPr>
                <w:rFonts w:hint="default"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2020</w:t>
            </w:r>
            <w:r>
              <w:rPr>
                <w:rFonts w:hint="default" w:ascii="仿宋_GB2312" w:hAnsi="仿宋_GB2312" w:eastAsia="仿宋_GB2312" w:cs="仿宋_GB2312"/>
                <w:sz w:val="21"/>
                <w:szCs w:val="21"/>
              </w:rPr>
              <w:t>年度)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70" w:hRule="atLeast"/>
          <w:tblCellSpacing w:w="0" w:type="dxa"/>
          <w:jc w:val="center"/>
        </w:trPr>
        <w:tc>
          <w:tcPr>
            <w:tcW w:w="3657" w:type="dxa"/>
            <w:gridSpan w:val="3"/>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项目名称</w:t>
            </w:r>
          </w:p>
        </w:tc>
        <w:tc>
          <w:tcPr>
            <w:tcW w:w="6379" w:type="dxa"/>
            <w:gridSpan w:val="3"/>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团干部、辅导员及双创青年培训经费</w:t>
            </w:r>
            <w:r>
              <w:rPr>
                <w:rFonts w:hint="eastAsia" w:ascii="仿宋" w:hAnsi="仿宋" w:eastAsia="仿宋" w:cs="仿宋"/>
                <w:color w:val="000000"/>
                <w:sz w:val="21"/>
                <w:szCs w:val="21"/>
              </w:rPr>
              <w:t>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70" w:hRule="atLeast"/>
          <w:tblCellSpacing w:w="0" w:type="dxa"/>
          <w:jc w:val="center"/>
        </w:trPr>
        <w:tc>
          <w:tcPr>
            <w:tcW w:w="3657" w:type="dxa"/>
            <w:gridSpan w:val="3"/>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预算单位</w:t>
            </w:r>
          </w:p>
        </w:tc>
        <w:tc>
          <w:tcPr>
            <w:tcW w:w="6379" w:type="dxa"/>
            <w:gridSpan w:val="3"/>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color w:val="000000"/>
                <w:sz w:val="21"/>
                <w:szCs w:val="21"/>
              </w:rPr>
            </w:pPr>
            <w:r>
              <w:rPr>
                <w:rFonts w:hint="default" w:ascii="仿宋" w:hAnsi="仿宋" w:eastAsia="仿宋" w:cs="仿宋"/>
                <w:color w:val="000000"/>
                <w:sz w:val="21"/>
                <w:szCs w:val="21"/>
              </w:rPr>
              <w:t>中国共产主义青年团四川省阿坝州委员会（本级）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70" w:hRule="atLeast"/>
          <w:tblCellSpacing w:w="0" w:type="dxa"/>
          <w:jc w:val="center"/>
        </w:trPr>
        <w:tc>
          <w:tcPr>
            <w:tcW w:w="167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983" w:type="dxa"/>
            <w:gridSpan w:val="2"/>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其中-财政拨款:</w:t>
            </w:r>
          </w:p>
        </w:tc>
        <w:tc>
          <w:tcPr>
            <w:tcW w:w="1984"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lang w:val="en-US" w:eastAsia="zh-CN"/>
              </w:rPr>
              <w:t>20万元</w:t>
            </w:r>
          </w:p>
        </w:tc>
        <w:tc>
          <w:tcPr>
            <w:tcW w:w="1985"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hint="eastAsia" w:ascii="仿宋" w:hAnsi="仿宋" w:eastAsia="仿宋" w:cs="仿宋"/>
                <w:sz w:val="21"/>
                <w:szCs w:val="21"/>
              </w:rPr>
            </w:pPr>
            <w:r>
              <w:rPr>
                <w:rFonts w:hint="eastAsia" w:ascii="仿宋" w:hAnsi="仿宋" w:eastAsia="仿宋" w:cs="仿宋"/>
                <w:sz w:val="21"/>
                <w:szCs w:val="21"/>
              </w:rPr>
              <w:t>其中-财政拨款:</w:t>
            </w:r>
          </w:p>
        </w:tc>
        <w:tc>
          <w:tcPr>
            <w:tcW w:w="2410"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lang w:val="en-US" w:eastAsia="zh-CN"/>
              </w:rPr>
              <w:t>20万元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70" w:hRule="atLeast"/>
          <w:tblCellSpacing w:w="0" w:type="dxa"/>
          <w:jc w:val="center"/>
        </w:trPr>
        <w:tc>
          <w:tcPr>
            <w:tcW w:w="1674"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983" w:type="dxa"/>
            <w:gridSpan w:val="2"/>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其它资金:</w:t>
            </w:r>
          </w:p>
        </w:tc>
        <w:tc>
          <w:tcPr>
            <w:tcW w:w="1984"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985"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其它资金:</w:t>
            </w:r>
          </w:p>
        </w:tc>
        <w:tc>
          <w:tcPr>
            <w:tcW w:w="2410"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3" w:hRule="atLeast"/>
          <w:tblCellSpacing w:w="0" w:type="dxa"/>
          <w:jc w:val="center"/>
        </w:trPr>
        <w:tc>
          <w:tcPr>
            <w:tcW w:w="1674"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年度目标完成情况</w:t>
            </w:r>
          </w:p>
        </w:tc>
        <w:tc>
          <w:tcPr>
            <w:tcW w:w="3967" w:type="dxa"/>
            <w:gridSpan w:val="3"/>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开展分层分类团干部培训，抓好乡、镇、村、企业团干部</w:t>
            </w:r>
            <w:r>
              <w:rPr>
                <w:rFonts w:hint="eastAsia" w:ascii="仿宋" w:hAnsi="仿宋" w:eastAsia="仿宋" w:cs="仿宋"/>
                <w:color w:val="000000"/>
                <w:sz w:val="21"/>
                <w:szCs w:val="21"/>
                <w:lang w:eastAsia="zh-CN"/>
              </w:rPr>
              <w:t>和少先队辅导员</w:t>
            </w:r>
            <w:r>
              <w:rPr>
                <w:rFonts w:hint="eastAsia" w:ascii="仿宋" w:hAnsi="仿宋" w:eastAsia="仿宋" w:cs="仿宋"/>
                <w:color w:val="000000"/>
                <w:sz w:val="21"/>
                <w:szCs w:val="21"/>
              </w:rPr>
              <w:t>培训工作，全面提升团干部的政治理论素质，努力加强团的队伍建设。</w:t>
            </w:r>
          </w:p>
        </w:tc>
        <w:tc>
          <w:tcPr>
            <w:tcW w:w="4395"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以共青团改革为契机，全面从严治团，紧紧围绕“去四化 强三性”的主攻方向和核心任务，直面突出问题、采取有力措施、勇于攻坚破难，以强化基层基础为着力点，强化服务意识、提升服务能力，扩大团的工作覆盖面，切实提高服务青年和党政中心工作的综合能力，做广大青年信得过、靠得住、离不开的贴心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绩效指标完成情况</w:t>
            </w:r>
          </w:p>
        </w:tc>
        <w:tc>
          <w:tcPr>
            <w:tcW w:w="1134"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一级指标</w:t>
            </w:r>
          </w:p>
        </w:tc>
        <w:tc>
          <w:tcPr>
            <w:tcW w:w="849"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二级指标</w:t>
            </w:r>
          </w:p>
        </w:tc>
        <w:tc>
          <w:tcPr>
            <w:tcW w:w="1984"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三级指标</w:t>
            </w:r>
          </w:p>
        </w:tc>
        <w:tc>
          <w:tcPr>
            <w:tcW w:w="1985"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预期指标值(包含数字及文字描述)</w:t>
            </w:r>
          </w:p>
        </w:tc>
        <w:tc>
          <w:tcPr>
            <w:tcW w:w="2410"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实际完成指标值(包含数字及文字描述)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kern w:val="0"/>
                <w:sz w:val="21"/>
                <w:szCs w:val="21"/>
                <w:lang w:bidi="ar"/>
              </w:rPr>
              <w:t>项目完成指标</w:t>
            </w:r>
          </w:p>
        </w:tc>
        <w:tc>
          <w:tcPr>
            <w:tcW w:w="849"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数量指标</w:t>
            </w:r>
          </w:p>
        </w:tc>
        <w:tc>
          <w:tcPr>
            <w:tcW w:w="198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lang w:eastAsia="zh-CN"/>
              </w:rPr>
            </w:pPr>
            <w:r>
              <w:rPr>
                <w:rFonts w:hint="eastAsia" w:ascii="仿宋" w:hAnsi="仿宋" w:eastAsia="仿宋" w:cs="仿宋"/>
                <w:color w:val="000000"/>
                <w:sz w:val="21"/>
                <w:szCs w:val="21"/>
              </w:rPr>
              <w:t>团干部管理</w:t>
            </w:r>
          </w:p>
        </w:tc>
        <w:tc>
          <w:tcPr>
            <w:tcW w:w="198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50人5天</w:t>
            </w:r>
          </w:p>
        </w:tc>
        <w:tc>
          <w:tcPr>
            <w:tcW w:w="2410"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lang w:eastAsia="zh-CN"/>
              </w:rPr>
            </w:pPr>
            <w:r>
              <w:rPr>
                <w:rFonts w:hint="eastAsia" w:ascii="仿宋" w:hAnsi="仿宋" w:eastAsia="仿宋" w:cs="仿宋"/>
                <w:color w:val="auto"/>
                <w:sz w:val="21"/>
                <w:szCs w:val="21"/>
                <w:lang w:val="en-US" w:eastAsia="zh-CN"/>
              </w:rPr>
              <w:t>参加省团校为期5天的培训50人。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kern w:val="0"/>
                <w:sz w:val="21"/>
                <w:szCs w:val="21"/>
                <w:lang w:bidi="ar"/>
              </w:rPr>
              <w:t>效益指标</w:t>
            </w:r>
          </w:p>
        </w:tc>
        <w:tc>
          <w:tcPr>
            <w:tcW w:w="849"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社会效益</w:t>
            </w:r>
          </w:p>
        </w:tc>
        <w:tc>
          <w:tcPr>
            <w:tcW w:w="198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创新创业</w:t>
            </w:r>
          </w:p>
        </w:tc>
        <w:tc>
          <w:tcPr>
            <w:tcW w:w="198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center"/>
              <w:outlineLvl w:val="9"/>
              <w:rPr>
                <w:rFonts w:hint="eastAsia" w:ascii="仿宋" w:hAnsi="仿宋" w:eastAsia="仿宋" w:cs="仿宋"/>
                <w:color w:val="000000"/>
                <w:sz w:val="21"/>
                <w:szCs w:val="21"/>
              </w:rPr>
            </w:pPr>
            <w:r>
              <w:rPr>
                <w:rFonts w:hint="eastAsia" w:ascii="仿宋" w:hAnsi="仿宋" w:eastAsia="仿宋" w:cs="仿宋"/>
                <w:color w:val="000000"/>
                <w:sz w:val="21"/>
                <w:szCs w:val="21"/>
              </w:rPr>
              <w:t>以农村电子商务为重点，协助统筹资源举办 农村电子商务培训班，培训创业青年，创建 农村电子商务创业示范基地，培养农村电子商务青年致富“领头雁”，指导各县（市）成立农村电子商务创业联盟。加强青年“双创”政策的宣传力度，鼓励大学生面向市场、面向产业、面向基层就业，“逐梦计划”募集实习岗位。</w:t>
            </w:r>
          </w:p>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p>
        </w:tc>
        <w:tc>
          <w:tcPr>
            <w:tcW w:w="2410"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持续深化创青春、青年文明号、青创计划、逐梦计划等工作，开展2020年州级青年创业专项扶持资金申报工作，</w:t>
            </w:r>
            <w:r>
              <w:rPr>
                <w:rFonts w:hint="eastAsia" w:ascii="仿宋" w:hAnsi="仿宋" w:eastAsia="仿宋" w:cs="仿宋"/>
                <w:color w:val="000000"/>
                <w:sz w:val="21"/>
                <w:szCs w:val="21"/>
                <w:lang w:val="en-US" w:eastAsia="zh-CN"/>
              </w:rPr>
              <w:t>为</w:t>
            </w:r>
            <w:r>
              <w:rPr>
                <w:rFonts w:hint="eastAsia" w:ascii="仿宋" w:hAnsi="仿宋" w:eastAsia="仿宋" w:cs="仿宋"/>
                <w:color w:val="000000"/>
                <w:sz w:val="21"/>
                <w:szCs w:val="21"/>
              </w:rPr>
              <w:t>41个青年创业项目</w:t>
            </w:r>
            <w:r>
              <w:rPr>
                <w:rFonts w:hint="eastAsia" w:ascii="仿宋" w:hAnsi="仿宋" w:eastAsia="仿宋" w:cs="仿宋"/>
                <w:color w:val="000000"/>
                <w:sz w:val="21"/>
                <w:szCs w:val="21"/>
                <w:lang w:val="en-US" w:eastAsia="zh-CN"/>
              </w:rPr>
              <w:t>提供100万元扶持资金。落实“</w:t>
            </w:r>
            <w:r>
              <w:rPr>
                <w:rFonts w:hint="eastAsia" w:ascii="仿宋" w:hAnsi="仿宋" w:eastAsia="仿宋" w:cs="仿宋"/>
                <w:color w:val="000000"/>
                <w:sz w:val="21"/>
                <w:szCs w:val="21"/>
              </w:rPr>
              <w:t>青</w:t>
            </w:r>
            <w:r>
              <w:rPr>
                <w:rFonts w:hint="eastAsia" w:ascii="仿宋" w:hAnsi="仿宋" w:eastAsia="仿宋" w:cs="仿宋"/>
                <w:color w:val="000000"/>
                <w:sz w:val="21"/>
                <w:szCs w:val="21"/>
                <w:lang w:val="en-US" w:eastAsia="zh-CN"/>
              </w:rPr>
              <w:t>创</w:t>
            </w:r>
            <w:r>
              <w:rPr>
                <w:rFonts w:hint="eastAsia" w:ascii="仿宋" w:hAnsi="仿宋" w:eastAsia="仿宋" w:cs="仿宋"/>
                <w:color w:val="000000"/>
                <w:sz w:val="21"/>
                <w:szCs w:val="21"/>
              </w:rPr>
              <w:t>10</w:t>
            </w:r>
            <w:r>
              <w:rPr>
                <w:rFonts w:hint="eastAsia" w:ascii="仿宋" w:hAnsi="仿宋" w:eastAsia="仿宋" w:cs="仿宋"/>
                <w:color w:val="000000"/>
                <w:sz w:val="21"/>
                <w:szCs w:val="21"/>
                <w:lang w:val="en-US" w:eastAsia="zh-CN"/>
              </w:rPr>
              <w:t xml:space="preserve">万 </w:t>
            </w: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”省级创业扶持启动资金13万元，</w:t>
            </w:r>
            <w:r>
              <w:rPr>
                <w:rFonts w:hint="eastAsia" w:ascii="仿宋" w:hAnsi="仿宋" w:eastAsia="仿宋" w:cs="仿宋"/>
                <w:color w:val="000000"/>
                <w:sz w:val="21"/>
                <w:szCs w:val="21"/>
              </w:rPr>
              <w:t>开展公务员免费直播课、千校万岗等就业咨询服务</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动员青创联盟成员及各界爱心力量790余名，完成42万余元创业筹款。向13县拨付26万元青创专项经费，有效推进产业发展、带动了群众增收、助力了脱贫进程、引领了社会风尚；通过“逐梦计划”为在校学生提供实习岗位，完成计划的150%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kern w:val="0"/>
                <w:sz w:val="21"/>
                <w:szCs w:val="21"/>
                <w:lang w:bidi="ar"/>
              </w:rPr>
              <w:t>项目完成指标</w:t>
            </w:r>
          </w:p>
        </w:tc>
        <w:tc>
          <w:tcPr>
            <w:tcW w:w="849"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质量指标</w:t>
            </w:r>
          </w:p>
        </w:tc>
        <w:tc>
          <w:tcPr>
            <w:tcW w:w="198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团员管理</w:t>
            </w:r>
          </w:p>
        </w:tc>
        <w:tc>
          <w:tcPr>
            <w:tcW w:w="198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center"/>
              <w:outlineLvl w:val="9"/>
              <w:rPr>
                <w:rFonts w:hint="eastAsia" w:ascii="仿宋" w:hAnsi="仿宋" w:eastAsia="仿宋" w:cs="仿宋"/>
                <w:sz w:val="21"/>
                <w:szCs w:val="21"/>
              </w:rPr>
            </w:pPr>
            <w:r>
              <w:rPr>
                <w:rFonts w:hint="eastAsia" w:ascii="仿宋" w:hAnsi="仿宋" w:eastAsia="仿宋" w:cs="仿宋"/>
                <w:color w:val="000000"/>
                <w:sz w:val="21"/>
                <w:szCs w:val="21"/>
              </w:rPr>
              <w:t>狠抓基础团务，把好入团质量关，控制入团比例，规范入团程序，强化入团仪式，严格落实“三会两制一课”和团费收缴管理。做好“智慧建团”工作，准确掌握各项基础数据。</w:t>
            </w:r>
          </w:p>
        </w:tc>
        <w:tc>
          <w:tcPr>
            <w:tcW w:w="2410" w:type="dxa"/>
            <w:noWrap w:val="0"/>
            <w:vAlign w:val="center"/>
          </w:tcPr>
          <w:p>
            <w:pPr>
              <w:pStyle w:val="20"/>
              <w:numPr>
                <w:ilvl w:val="0"/>
                <w:numId w:val="0"/>
              </w:numPr>
              <w:spacing w:before="0" w:beforeAutospacing="0" w:after="0" w:afterAutospacing="0" w:line="560" w:lineRule="exact"/>
              <w:ind w:firstLine="420" w:firstLineChars="200"/>
              <w:jc w:val="both"/>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乡镇行政区划调整改革后，我州由原来的221个乡镇合并为162个，我委多次深入乡镇进行调研，要求县、乡、村三级团组织理顺隶属关系，及时进行调整工作思路，努力扩大组织覆盖健全组织体系，加快探索新兴领域团建，密切联系青年志愿者、创业青年、互联网行业,深耕传统领域团建，注重纵横联系。积极推进“智慧团建”系统建设，打好了“学社衔接”攻坚战，实现了毕业学生团员团组织关系转接率达100%。严格按照规定收取上年度团费5.84万元，上缴至共青团四川省委团费2.5万元。</w:t>
            </w:r>
          </w:p>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center"/>
              <w:outlineLvl w:val="9"/>
              <w:rPr>
                <w:rFonts w:hint="eastAsia" w:ascii="仿宋" w:hAnsi="仿宋" w:eastAsia="仿宋" w:cs="仿宋"/>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kern w:val="2"/>
                <w:sz w:val="21"/>
                <w:szCs w:val="21"/>
                <w:lang w:val="en-US" w:eastAsia="zh-CN" w:bidi="ar-SA"/>
              </w:rPr>
            </w:pPr>
            <w:r>
              <w:rPr>
                <w:rFonts w:hint="eastAsia" w:ascii="仿宋" w:hAnsi="仿宋" w:eastAsia="仿宋" w:cs="仿宋"/>
                <w:color w:val="000000"/>
                <w:kern w:val="0"/>
                <w:sz w:val="21"/>
                <w:szCs w:val="21"/>
                <w:lang w:bidi="ar"/>
              </w:rPr>
              <w:t>项目完成指标</w:t>
            </w:r>
          </w:p>
        </w:tc>
        <w:tc>
          <w:tcPr>
            <w:tcW w:w="849"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rPr>
              <w:t>质量指标</w:t>
            </w:r>
          </w:p>
        </w:tc>
        <w:tc>
          <w:tcPr>
            <w:tcW w:w="198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default"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少先队辅导员培训</w:t>
            </w:r>
          </w:p>
        </w:tc>
        <w:tc>
          <w:tcPr>
            <w:tcW w:w="198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50人5天</w:t>
            </w:r>
          </w:p>
        </w:tc>
        <w:tc>
          <w:tcPr>
            <w:tcW w:w="2410"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center"/>
              <w:outlineLvl w:val="9"/>
              <w:rPr>
                <w:rFonts w:hint="default" w:ascii="仿宋" w:hAnsi="仿宋" w:eastAsia="仿宋" w:cs="仿宋"/>
                <w:color w:val="0000FF"/>
                <w:sz w:val="21"/>
                <w:szCs w:val="21"/>
                <w:lang w:val="en-US" w:eastAsia="zh-CN"/>
              </w:rPr>
            </w:pPr>
            <w:r>
              <w:rPr>
                <w:rFonts w:hint="eastAsia" w:ascii="仿宋" w:hAnsi="仿宋" w:eastAsia="仿宋" w:cs="仿宋"/>
                <w:color w:val="auto"/>
                <w:sz w:val="21"/>
                <w:szCs w:val="21"/>
                <w:lang w:val="en-US" w:eastAsia="zh-CN"/>
              </w:rPr>
              <w:t>参加省团校为期5天的培训50人。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满意度指标</w:t>
            </w:r>
          </w:p>
        </w:tc>
        <w:tc>
          <w:tcPr>
            <w:tcW w:w="849"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满意度指标</w:t>
            </w:r>
          </w:p>
        </w:tc>
        <w:tc>
          <w:tcPr>
            <w:tcW w:w="198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满意度</w:t>
            </w:r>
          </w:p>
        </w:tc>
        <w:tc>
          <w:tcPr>
            <w:tcW w:w="198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满意</w:t>
            </w:r>
          </w:p>
        </w:tc>
        <w:tc>
          <w:tcPr>
            <w:tcW w:w="2410"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满意</w:t>
            </w:r>
          </w:p>
        </w:tc>
      </w:tr>
    </w:tbl>
    <w:p>
      <w:pPr>
        <w:pStyle w:val="8"/>
        <w:numPr>
          <w:ilvl w:val="0"/>
          <w:numId w:val="0"/>
        </w:num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shd w:val="clear" w:color="auto" w:fill="FFFFFF"/>
          <w:lang w:eastAsia="zh-CN"/>
        </w:rPr>
        <w:t>青少年工作经费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color w:val="auto"/>
          <w:sz w:val="32"/>
          <w:szCs w:val="32"/>
          <w:shd w:val="clear" w:color="auto" w:fill="FFFFFF"/>
        </w:rPr>
        <w:t>积极参与全州重大网络舆情的正面引导，传播网络好声音、弘扬网络正能量，营造风清气朗的网络环境</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color w:val="auto"/>
          <w:sz w:val="32"/>
          <w:szCs w:val="32"/>
          <w:u w:val="none"/>
          <w:shd w:val="clear" w:color="auto" w:fill="FFFFFF"/>
          <w:lang w:val="en-US" w:eastAsia="zh-CN"/>
        </w:rPr>
        <w:t>12355青少年维权、心里咨询和救助服务热线使用率低</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color w:val="auto"/>
          <w:sz w:val="32"/>
          <w:szCs w:val="32"/>
          <w:u w:val="none"/>
          <w:shd w:val="clear" w:color="auto" w:fill="FFFFFF"/>
          <w:lang w:eastAsia="zh-CN"/>
        </w:rPr>
        <w:t>加强青少年维权意识、心理咨询和救助服务力度，强化宣传力度，扩大覆盖范围。</w:t>
      </w:r>
    </w:p>
    <w:tbl>
      <w:tblPr>
        <w:tblStyle w:val="21"/>
        <w:tblW w:w="10036"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674"/>
        <w:gridCol w:w="1004"/>
        <w:gridCol w:w="979"/>
        <w:gridCol w:w="422"/>
        <w:gridCol w:w="1562"/>
        <w:gridCol w:w="1985"/>
        <w:gridCol w:w="241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3" w:hRule="atLeast"/>
          <w:tblCellSpacing w:w="0" w:type="dxa"/>
          <w:jc w:val="center"/>
        </w:trPr>
        <w:tc>
          <w:tcPr>
            <w:tcW w:w="10036" w:type="dxa"/>
            <w:gridSpan w:val="7"/>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Style w:val="23"/>
                <w:rFonts w:hint="eastAsia" w:ascii="仿宋" w:hAnsi="仿宋" w:eastAsia="仿宋" w:cs="仿宋"/>
                <w:sz w:val="21"/>
                <w:szCs w:val="21"/>
              </w:rPr>
              <w:t xml:space="preserve">项目绩效目标完成情况表 </w:t>
            </w:r>
            <w:r>
              <w:rPr>
                <w:rFonts w:hint="eastAsia" w:ascii="仿宋" w:hAnsi="仿宋" w:eastAsia="仿宋" w:cs="仿宋"/>
                <w:sz w:val="21"/>
                <w:szCs w:val="21"/>
              </w:rPr>
              <w:t>(</w:t>
            </w:r>
            <w:r>
              <w:rPr>
                <w:rFonts w:hint="eastAsia" w:ascii="仿宋" w:hAnsi="仿宋" w:eastAsia="仿宋" w:cs="仿宋"/>
                <w:sz w:val="21"/>
                <w:szCs w:val="21"/>
                <w:lang w:val="en-US" w:eastAsia="zh-CN"/>
              </w:rPr>
              <w:t>2020</w:t>
            </w:r>
            <w:r>
              <w:rPr>
                <w:rFonts w:hint="eastAsia" w:ascii="仿宋" w:hAnsi="仿宋" w:eastAsia="仿宋" w:cs="仿宋"/>
                <w:sz w:val="21"/>
                <w:szCs w:val="21"/>
              </w:rPr>
              <w:t xml:space="preserve"> 年度)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3" w:hRule="atLeast"/>
          <w:tblCellSpacing w:w="0" w:type="dxa"/>
          <w:jc w:val="center"/>
        </w:trPr>
        <w:tc>
          <w:tcPr>
            <w:tcW w:w="3657" w:type="dxa"/>
            <w:gridSpan w:val="3"/>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项目名称</w:t>
            </w:r>
          </w:p>
        </w:tc>
        <w:tc>
          <w:tcPr>
            <w:tcW w:w="6379" w:type="dxa"/>
            <w:gridSpan w:val="4"/>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shd w:val="clear" w:color="auto" w:fill="FFFFFF"/>
                <w:lang w:eastAsia="zh-CN"/>
              </w:rPr>
              <w:t>青少年工作经费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3" w:hRule="atLeast"/>
          <w:tblCellSpacing w:w="0" w:type="dxa"/>
          <w:jc w:val="center"/>
        </w:trPr>
        <w:tc>
          <w:tcPr>
            <w:tcW w:w="3657" w:type="dxa"/>
            <w:gridSpan w:val="3"/>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预算单位</w:t>
            </w:r>
          </w:p>
        </w:tc>
        <w:tc>
          <w:tcPr>
            <w:tcW w:w="6379" w:type="dxa"/>
            <w:gridSpan w:val="4"/>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lang w:eastAsia="zh-CN"/>
              </w:rPr>
              <w:t>团州委</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3" w:hRule="atLeast"/>
          <w:tblCellSpacing w:w="0" w:type="dxa"/>
          <w:jc w:val="center"/>
        </w:trPr>
        <w:tc>
          <w:tcPr>
            <w:tcW w:w="1674" w:type="dxa"/>
            <w:vMerge w:val="restart"/>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预算执行情况(万元)</w:t>
            </w:r>
          </w:p>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983" w:type="dxa"/>
            <w:gridSpan w:val="2"/>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预算数:</w:t>
            </w:r>
          </w:p>
        </w:tc>
        <w:tc>
          <w:tcPr>
            <w:tcW w:w="1984"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ind w:firstLine="210" w:firstLineChars="10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4万元</w:t>
            </w:r>
          </w:p>
        </w:tc>
        <w:tc>
          <w:tcPr>
            <w:tcW w:w="1985"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hint="eastAsia" w:ascii="仿宋" w:hAnsi="仿宋" w:eastAsia="仿宋" w:cs="仿宋"/>
                <w:sz w:val="21"/>
                <w:szCs w:val="21"/>
              </w:rPr>
            </w:pPr>
            <w:r>
              <w:rPr>
                <w:rFonts w:hint="eastAsia" w:ascii="仿宋" w:hAnsi="仿宋" w:eastAsia="仿宋" w:cs="仿宋"/>
                <w:sz w:val="21"/>
                <w:szCs w:val="21"/>
              </w:rPr>
              <w:t>执行数:</w:t>
            </w:r>
          </w:p>
        </w:tc>
        <w:tc>
          <w:tcPr>
            <w:tcW w:w="2410"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3" w:hRule="atLeast"/>
          <w:tblCellSpacing w:w="0" w:type="dxa"/>
          <w:jc w:val="center"/>
        </w:trPr>
        <w:tc>
          <w:tcPr>
            <w:tcW w:w="1674"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983" w:type="dxa"/>
            <w:gridSpan w:val="2"/>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其中-财政拨款:</w:t>
            </w:r>
          </w:p>
        </w:tc>
        <w:tc>
          <w:tcPr>
            <w:tcW w:w="1984"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4万元</w:t>
            </w:r>
          </w:p>
        </w:tc>
        <w:tc>
          <w:tcPr>
            <w:tcW w:w="1985"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hint="eastAsia" w:ascii="仿宋" w:hAnsi="仿宋" w:eastAsia="仿宋" w:cs="仿宋"/>
                <w:sz w:val="21"/>
                <w:szCs w:val="21"/>
              </w:rPr>
            </w:pPr>
            <w:r>
              <w:rPr>
                <w:rFonts w:hint="eastAsia" w:ascii="仿宋" w:hAnsi="仿宋" w:eastAsia="仿宋" w:cs="仿宋"/>
                <w:sz w:val="21"/>
                <w:szCs w:val="21"/>
              </w:rPr>
              <w:t>其中-财政拨款:</w:t>
            </w:r>
          </w:p>
        </w:tc>
        <w:tc>
          <w:tcPr>
            <w:tcW w:w="2410"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3" w:hRule="atLeast"/>
          <w:tblCellSpacing w:w="0" w:type="dxa"/>
          <w:jc w:val="center"/>
        </w:trPr>
        <w:tc>
          <w:tcPr>
            <w:tcW w:w="1674"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983" w:type="dxa"/>
            <w:gridSpan w:val="2"/>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其它资金:</w:t>
            </w:r>
          </w:p>
        </w:tc>
        <w:tc>
          <w:tcPr>
            <w:tcW w:w="1984"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c>
          <w:tcPr>
            <w:tcW w:w="1985" w:type="dxa"/>
            <w:noWrap w:val="0"/>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其它资金:</w:t>
            </w:r>
          </w:p>
        </w:tc>
        <w:tc>
          <w:tcPr>
            <w:tcW w:w="2410" w:type="dxa"/>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outlineLvl w:val="9"/>
              <w:rPr>
                <w:rFonts w:hint="eastAsia" w:ascii="仿宋" w:hAnsi="仿宋" w:eastAsia="仿宋" w:cs="仿宋"/>
                <w:sz w:val="21"/>
                <w:szCs w:val="21"/>
              </w:rPr>
            </w:pPr>
            <w:r>
              <w:rPr>
                <w:rFonts w:hint="eastAsia" w:ascii="仿宋" w:hAnsi="仿宋" w:eastAsia="仿宋" w:cs="仿宋"/>
                <w:sz w:val="21"/>
                <w:szCs w:val="21"/>
              </w:rPr>
              <w:t>年度目标完成情况</w:t>
            </w:r>
          </w:p>
        </w:tc>
        <w:tc>
          <w:tcPr>
            <w:tcW w:w="3967" w:type="dxa"/>
            <w:gridSpan w:val="4"/>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sz w:val="21"/>
                <w:szCs w:val="21"/>
              </w:rPr>
              <w:t>把握工作重点，扎实推进青少年思想引导工作。紧扣党政大局，在推进全面深化改革中建功立业。贴近实际需求，竭诚服务困难青少年成长发展。坚持改革创新，不断扩大团的工作有效覆盖面。以提高团的吸引力、凝聚力和影响力。</w:t>
            </w:r>
          </w:p>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p>
        </w:tc>
        <w:tc>
          <w:tcPr>
            <w:tcW w:w="4395"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rPr>
            </w:pPr>
            <w:r>
              <w:rPr>
                <w:rFonts w:hint="eastAsia" w:ascii="仿宋" w:hAnsi="仿宋" w:eastAsia="仿宋" w:cs="仿宋"/>
                <w:sz w:val="21"/>
                <w:szCs w:val="21"/>
              </w:rPr>
              <w:t>严格落实党的意识形态工作责任制和党的网络意识形态工作责任制，在重大节点和敏感时点加强形势研判，组建14支青年网络宣传队伍，积极参与全州重大网络舆情的正面引导，传播网络好声音、弘扬网络正能量，营造风清气朗的网络环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绩效指标完成情况</w:t>
            </w:r>
          </w:p>
        </w:tc>
        <w:tc>
          <w:tcPr>
            <w:tcW w:w="1004" w:type="dxa"/>
            <w:noWrap w:val="0"/>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一级指标</w:t>
            </w:r>
          </w:p>
        </w:tc>
        <w:tc>
          <w:tcPr>
            <w:tcW w:w="1401" w:type="dxa"/>
            <w:gridSpan w:val="2"/>
            <w:noWrap w:val="0"/>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二级指标</w:t>
            </w:r>
          </w:p>
        </w:tc>
        <w:tc>
          <w:tcPr>
            <w:tcW w:w="1562" w:type="dxa"/>
            <w:noWrap w:val="0"/>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三级指标</w:t>
            </w:r>
          </w:p>
        </w:tc>
        <w:tc>
          <w:tcPr>
            <w:tcW w:w="1985" w:type="dxa"/>
            <w:noWrap w:val="0"/>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预期指标值(包含数字及文字描述)</w:t>
            </w:r>
          </w:p>
        </w:tc>
        <w:tc>
          <w:tcPr>
            <w:tcW w:w="2410" w:type="dxa"/>
            <w:noWrap w:val="0"/>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实际完成指标值(包含数字及文字描述)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p>
        </w:tc>
        <w:tc>
          <w:tcPr>
            <w:tcW w:w="100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项目完成指标</w:t>
            </w:r>
          </w:p>
        </w:tc>
        <w:tc>
          <w:tcPr>
            <w:tcW w:w="1401"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数量指标</w:t>
            </w:r>
          </w:p>
        </w:tc>
        <w:tc>
          <w:tcPr>
            <w:tcW w:w="1562"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覆盖面</w:t>
            </w:r>
          </w:p>
        </w:tc>
        <w:tc>
          <w:tcPr>
            <w:tcW w:w="198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sz w:val="21"/>
                <w:szCs w:val="21"/>
                <w:lang w:val="en-US" w:eastAsia="zh-CN"/>
              </w:rPr>
            </w:pPr>
            <w:r>
              <w:rPr>
                <w:rFonts w:hint="eastAsia" w:ascii="仿宋" w:hAnsi="仿宋" w:eastAsia="仿宋" w:cs="仿宋"/>
                <w:sz w:val="21"/>
                <w:szCs w:val="21"/>
              </w:rPr>
              <w:t>严格落实党的意识形态工作责任制和党的网络意识形态工作责任制，在重大节点和敏感时点加强形势研判，</w:t>
            </w:r>
          </w:p>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p>
        </w:tc>
        <w:tc>
          <w:tcPr>
            <w:tcW w:w="2410"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rPr>
              <w:t>组建14支青年网络宣传队伍，积极参与全州重大网络舆情的正面引导，传播网络好声音、弘扬网络正能量，营造风清气朗的网络环境。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p>
        </w:tc>
        <w:tc>
          <w:tcPr>
            <w:tcW w:w="100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项目完成指标</w:t>
            </w:r>
          </w:p>
        </w:tc>
        <w:tc>
          <w:tcPr>
            <w:tcW w:w="1401"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成本指标</w:t>
            </w:r>
          </w:p>
        </w:tc>
        <w:tc>
          <w:tcPr>
            <w:tcW w:w="1562"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成本</w:t>
            </w:r>
          </w:p>
        </w:tc>
        <w:tc>
          <w:tcPr>
            <w:tcW w:w="198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人均</w:t>
            </w:r>
            <w:r>
              <w:rPr>
                <w:rFonts w:hint="eastAsia" w:ascii="仿宋" w:hAnsi="仿宋" w:eastAsia="仿宋" w:cs="仿宋"/>
                <w:sz w:val="21"/>
                <w:szCs w:val="21"/>
                <w:lang w:val="en-US" w:eastAsia="zh-CN"/>
              </w:rPr>
              <w:t>1元</w:t>
            </w:r>
          </w:p>
        </w:tc>
        <w:tc>
          <w:tcPr>
            <w:tcW w:w="2410"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人均低于</w:t>
            </w:r>
            <w:r>
              <w:rPr>
                <w:rFonts w:hint="eastAsia" w:ascii="仿宋" w:hAnsi="仿宋" w:eastAsia="仿宋" w:cs="仿宋"/>
                <w:sz w:val="21"/>
                <w:szCs w:val="21"/>
                <w:lang w:val="en-US" w:eastAsia="zh-CN"/>
              </w:rPr>
              <w:t>1元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167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p>
        </w:tc>
        <w:tc>
          <w:tcPr>
            <w:tcW w:w="100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满意度指标</w:t>
            </w:r>
          </w:p>
        </w:tc>
        <w:tc>
          <w:tcPr>
            <w:tcW w:w="1401"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满意度指标</w:t>
            </w:r>
          </w:p>
        </w:tc>
        <w:tc>
          <w:tcPr>
            <w:tcW w:w="1562"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满意度</w:t>
            </w:r>
          </w:p>
        </w:tc>
        <w:tc>
          <w:tcPr>
            <w:tcW w:w="198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满意</w:t>
            </w:r>
          </w:p>
        </w:tc>
        <w:tc>
          <w:tcPr>
            <w:tcW w:w="2410"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eastAsia="zh-CN"/>
              </w:rPr>
              <w:t>满意</w:t>
            </w:r>
          </w:p>
        </w:tc>
      </w:tr>
    </w:tbl>
    <w:p>
      <w:pPr>
        <w:pStyle w:val="20"/>
        <w:keepNext w:val="0"/>
        <w:keepLines w:val="0"/>
        <w:pageBreakBefore w:val="0"/>
        <w:widowControl/>
        <w:numPr>
          <w:ilvl w:val="0"/>
          <w:numId w:val="4"/>
        </w:numPr>
        <w:suppressLineNumbers w:val="0"/>
        <w:kinsoku/>
        <w:wordWrap/>
        <w:overflowPunct/>
        <w:topLinePunct w:val="0"/>
        <w:autoSpaceDE/>
        <w:autoSpaceDN/>
        <w:bidi w:val="0"/>
        <w:adjustRightInd/>
        <w:spacing w:before="0" w:beforeAutospacing="0" w:after="0" w:afterAutospacing="0" w:line="576" w:lineRule="exact"/>
        <w:jc w:val="left"/>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宋体" w:eastAsia="仿宋_GB2312" w:cs="宋体"/>
          <w:color w:val="000000"/>
          <w:kern w:val="0"/>
          <w:sz w:val="32"/>
          <w:szCs w:val="32"/>
          <w:shd w:val="clear" w:color="auto" w:fill="FFFFFF"/>
          <w:lang w:val="zh-CN"/>
        </w:rPr>
        <w:t>西部计划及青年志愿者</w:t>
      </w:r>
      <w:r>
        <w:rPr>
          <w:rFonts w:hint="eastAsia" w:ascii="仿宋_GB2312" w:hAnsi="宋体" w:eastAsia="仿宋_GB2312" w:cs="宋体"/>
          <w:color w:val="000000"/>
          <w:kern w:val="0"/>
          <w:sz w:val="32"/>
          <w:szCs w:val="32"/>
          <w:shd w:val="clear" w:color="auto" w:fill="FFFFFF"/>
          <w:lang w:val="zh-CN" w:eastAsia="zh-CN"/>
        </w:rPr>
        <w:t>专项</w:t>
      </w:r>
      <w:r>
        <w:rPr>
          <w:rFonts w:hint="eastAsia" w:ascii="仿宋_GB2312" w:hAnsi="宋体" w:eastAsia="仿宋_GB2312" w:cs="宋体"/>
          <w:color w:val="000000"/>
          <w:kern w:val="0"/>
          <w:sz w:val="32"/>
          <w:szCs w:val="32"/>
          <w:shd w:val="clear" w:color="auto" w:fill="FFFFFF"/>
          <w:lang w:val="zh-CN"/>
        </w:rPr>
        <w:t>工作</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lang w:val="en-US" w:eastAsia="zh-CN"/>
        </w:rPr>
        <w:t>通过项目实施,切实做好我州312名专项扶贫、基础教育、基层社会管理、青年工作大学生西部计划志愿者的培训管理和服务保障工作，给他们创造一个宽松、舒适的工作环境。发现的主要问题：经费预算不足，只能开展常规志愿服务管理工作，志愿服务缺乏主题特色。下一步改进措施：提升志愿服务理念，改善服务环境，利用有限的工作经费实施有阿坝特色的志愿服务工作。</w:t>
      </w: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1273"/>
        <w:gridCol w:w="862"/>
        <w:gridCol w:w="647"/>
        <w:gridCol w:w="2232"/>
        <w:gridCol w:w="2233"/>
        <w:gridCol w:w="2713"/>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shd w:val="clear" w:color="auto" w:fill="FFFFFF"/>
              </w:rPr>
              <w:t>西部计划及青年志愿者</w:t>
            </w:r>
            <w:r>
              <w:rPr>
                <w:rFonts w:hint="eastAsia" w:ascii="仿宋" w:hAnsi="仿宋" w:eastAsia="仿宋" w:cs="仿宋"/>
                <w:sz w:val="21"/>
                <w:szCs w:val="21"/>
                <w:shd w:val="clear" w:color="auto" w:fill="FFFFFF"/>
                <w:lang w:eastAsia="zh-CN"/>
              </w:rPr>
              <w:t>专项</w:t>
            </w:r>
            <w:r>
              <w:rPr>
                <w:rFonts w:hint="eastAsia" w:ascii="仿宋" w:hAnsi="仿宋" w:eastAsia="仿宋" w:cs="仿宋"/>
                <w:sz w:val="21"/>
                <w:szCs w:val="21"/>
                <w:shd w:val="clear" w:color="auto" w:fill="FFFFFF"/>
              </w:rPr>
              <w:t>工作</w:t>
            </w:r>
            <w:r>
              <w:rPr>
                <w:rFonts w:hint="eastAsia" w:ascii="仿宋" w:hAnsi="仿宋" w:eastAsia="仿宋" w:cs="仿宋"/>
                <w:sz w:val="21"/>
                <w:szCs w:val="21"/>
                <w:shd w:val="clear" w:color="auto" w:fill="FFFFFF"/>
                <w:lang w:eastAsia="zh-CN"/>
              </w:rPr>
              <w:t>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eastAsia="zh-CN"/>
              </w:rPr>
              <w:t>团州委</w:t>
            </w:r>
          </w:p>
        </w:tc>
      </w:tr>
      <w:tr>
        <w:tblPrEx>
          <w:tblCellMar>
            <w:top w:w="0" w:type="dxa"/>
            <w:left w:w="0" w:type="dxa"/>
            <w:bottom w:w="0" w:type="dxa"/>
            <w:right w:w="0" w:type="dxa"/>
          </w:tblCellMar>
        </w:tblPrEx>
        <w:trPr>
          <w:trHeight w:val="90" w:hRule="atLeast"/>
          <w:jc w:val="center"/>
        </w:trPr>
        <w:tc>
          <w:tcPr>
            <w:tcW w:w="12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预算执行情况(万元)</w:t>
            </w:r>
          </w:p>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15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预算数:</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val="en-US" w:eastAsia="zh-CN"/>
              </w:rPr>
              <w:t>25万元</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执行数:</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val="en-US" w:eastAsia="zh-CN"/>
              </w:rPr>
              <w:t>25万元</w:t>
            </w:r>
          </w:p>
        </w:tc>
      </w:tr>
      <w:tr>
        <w:tblPrEx>
          <w:tblCellMar>
            <w:top w:w="0" w:type="dxa"/>
            <w:left w:w="0" w:type="dxa"/>
            <w:bottom w:w="0" w:type="dxa"/>
            <w:right w:w="0" w:type="dxa"/>
          </w:tblCellMar>
        </w:tblPrEx>
        <w:trPr>
          <w:trHeight w:val="276"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15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其中-财政拨款:</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val="en-US" w:eastAsia="zh-CN"/>
              </w:rPr>
              <w:t>25万元</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其中-财政拨款:</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val="en-US" w:eastAsia="zh-CN"/>
              </w:rPr>
              <w:t>25万元</w:t>
            </w:r>
          </w:p>
        </w:tc>
      </w:tr>
      <w:tr>
        <w:tblPrEx>
          <w:tblCellMar>
            <w:top w:w="0" w:type="dxa"/>
            <w:left w:w="0" w:type="dxa"/>
            <w:bottom w:w="0" w:type="dxa"/>
            <w:right w:w="0" w:type="dxa"/>
          </w:tblCellMar>
        </w:tblPrEx>
        <w:trPr>
          <w:trHeight w:val="1511"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15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其它资金:</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其它资金:</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12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年度目标完成情况</w:t>
            </w:r>
          </w:p>
        </w:tc>
        <w:tc>
          <w:tcPr>
            <w:tcW w:w="3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420" w:firstLineChars="200"/>
              <w:jc w:val="left"/>
              <w:textAlignment w:val="center"/>
              <w:outlineLvl w:val="9"/>
              <w:rPr>
                <w:rFonts w:ascii="宋体" w:cs="宋体"/>
                <w:color w:val="000000"/>
                <w:sz w:val="24"/>
              </w:rPr>
            </w:pPr>
            <w:r>
              <w:rPr>
                <w:rFonts w:hint="eastAsia" w:ascii="仿宋" w:hAnsi="仿宋" w:eastAsia="仿宋" w:cs="仿宋"/>
                <w:color w:val="000000"/>
                <w:sz w:val="21"/>
                <w:szCs w:val="21"/>
              </w:rPr>
              <w:t>切实做好对“西部计划”及青年志愿者的服务工作，给他们创造一个宽松、舒适的工作环境，在节假期间为他们送去温暖和慰问。激发他们的工作热情，提高工作积极性。</w:t>
            </w:r>
          </w:p>
        </w:tc>
        <w:tc>
          <w:tcPr>
            <w:tcW w:w="494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jc w:val="left"/>
              <w:textAlignment w:val="center"/>
              <w:outlineLvl w:val="9"/>
              <w:rPr>
                <w:rFonts w:ascii="宋体" w:cs="宋体"/>
                <w:color w:val="000000"/>
                <w:sz w:val="24"/>
              </w:rPr>
            </w:pPr>
            <w:r>
              <w:rPr>
                <w:rFonts w:hint="eastAsia" w:ascii="仿宋" w:hAnsi="仿宋" w:eastAsia="仿宋" w:cs="仿宋"/>
                <w:color w:val="000000"/>
                <w:sz w:val="21"/>
                <w:szCs w:val="21"/>
              </w:rPr>
              <w:t>全面落实</w:t>
            </w:r>
            <w:r>
              <w:rPr>
                <w:rFonts w:hint="eastAsia" w:ascii="仿宋" w:hAnsi="仿宋" w:eastAsia="仿宋" w:cs="仿宋"/>
                <w:color w:val="000000"/>
                <w:sz w:val="21"/>
                <w:szCs w:val="21"/>
                <w:lang w:val="en-US" w:eastAsia="zh-CN"/>
              </w:rPr>
              <w:t>2020</w:t>
            </w:r>
            <w:r>
              <w:rPr>
                <w:rFonts w:hint="eastAsia" w:ascii="仿宋" w:hAnsi="仿宋" w:eastAsia="仿宋" w:cs="仿宋"/>
                <w:color w:val="000000"/>
                <w:sz w:val="21"/>
                <w:szCs w:val="21"/>
              </w:rPr>
              <w:t>年志愿者招募工作，指导各县（市）做好志愿者岗位安排、年度考核工作。</w:t>
            </w:r>
          </w:p>
        </w:tc>
      </w:tr>
      <w:tr>
        <w:tblPrEx>
          <w:tblCellMar>
            <w:top w:w="0" w:type="dxa"/>
            <w:left w:w="0" w:type="dxa"/>
            <w:bottom w:w="0" w:type="dxa"/>
            <w:right w:w="0" w:type="dxa"/>
          </w:tblCellMar>
        </w:tblPrEx>
        <w:trPr>
          <w:trHeight w:val="1159" w:hRule="atLeast"/>
          <w:jc w:val="center"/>
        </w:trPr>
        <w:tc>
          <w:tcPr>
            <w:tcW w:w="12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绩效指标完成情况</w:t>
            </w: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一级指标</w:t>
            </w:r>
          </w:p>
        </w:tc>
        <w:tc>
          <w:tcPr>
            <w:tcW w:w="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pPr>
            <w:r>
              <w:rPr>
                <w:rFonts w:hint="eastAsia" w:ascii="仿宋" w:hAnsi="仿宋" w:eastAsia="仿宋" w:cs="仿宋"/>
                <w:sz w:val="21"/>
                <w:szCs w:val="21"/>
              </w:rPr>
              <w:t>二级指标</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pPr>
            <w:r>
              <w:rPr>
                <w:rFonts w:hint="eastAsia" w:ascii="仿宋" w:hAnsi="仿宋" w:eastAsia="仿宋" w:cs="仿宋"/>
                <w:sz w:val="21"/>
                <w:szCs w:val="21"/>
              </w:rPr>
              <w:t>三级指标</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预期指标值(包含数字及文字描述)</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pPr>
            <w:r>
              <w:rPr>
                <w:rFonts w:hint="eastAsia" w:ascii="仿宋" w:hAnsi="仿宋" w:eastAsia="仿宋" w:cs="仿宋"/>
                <w:sz w:val="21"/>
                <w:szCs w:val="21"/>
              </w:rPr>
              <w:t>实际完成指标值(包含数字及文字描述)</w:t>
            </w:r>
          </w:p>
        </w:tc>
      </w:tr>
      <w:tr>
        <w:tblPrEx>
          <w:tblCellMar>
            <w:top w:w="0" w:type="dxa"/>
            <w:left w:w="0" w:type="dxa"/>
            <w:bottom w:w="0" w:type="dxa"/>
            <w:right w:w="0" w:type="dxa"/>
          </w:tblCellMar>
        </w:tblPrEx>
        <w:trPr>
          <w:trHeight w:val="1042" w:hRule="atLeast"/>
          <w:jc w:val="center"/>
        </w:trPr>
        <w:tc>
          <w:tcPr>
            <w:tcW w:w="1273"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项目完成</w:t>
            </w:r>
          </w:p>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ascii="宋体" w:cs="宋体"/>
                <w:color w:val="000000"/>
                <w:sz w:val="24"/>
              </w:rPr>
            </w:pPr>
            <w:r>
              <w:rPr>
                <w:rFonts w:hint="eastAsia" w:ascii="仿宋" w:hAnsi="仿宋" w:eastAsia="仿宋" w:cs="仿宋"/>
                <w:color w:val="000000"/>
                <w:kern w:val="0"/>
                <w:sz w:val="21"/>
                <w:szCs w:val="21"/>
                <w:lang w:bidi="ar"/>
              </w:rPr>
              <w:t>指标</w:t>
            </w:r>
          </w:p>
        </w:tc>
        <w:tc>
          <w:tcPr>
            <w:tcW w:w="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ascii="宋体" w:cs="宋体"/>
                <w:color w:val="000000"/>
                <w:sz w:val="24"/>
              </w:rPr>
            </w:pPr>
            <w:r>
              <w:rPr>
                <w:rFonts w:hint="eastAsia" w:ascii="仿宋" w:hAnsi="仿宋" w:eastAsia="仿宋" w:cs="仿宋"/>
                <w:color w:val="000000"/>
                <w:sz w:val="21"/>
                <w:szCs w:val="21"/>
              </w:rPr>
              <w:t>数量指标</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志愿者招募、培训</w:t>
            </w:r>
          </w:p>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ascii="宋体" w:cs="宋体"/>
                <w:color w:val="000000"/>
                <w:sz w:val="24"/>
              </w:rPr>
            </w:pPr>
            <w:r>
              <w:rPr>
                <w:rFonts w:hint="eastAsia" w:ascii="仿宋" w:hAnsi="仿宋" w:eastAsia="仿宋" w:cs="仿宋"/>
                <w:color w:val="000000"/>
                <w:sz w:val="21"/>
                <w:szCs w:val="21"/>
              </w:rPr>
              <w:t>及服务</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充分运用“志愿四川”网站，动员青年围绕扶贫济困、助老助残、社区服务、生态建设、大型活动、抢险救灾、网络文明、社会管理、文化建设等重点领域和“青年网络文明志愿行动”、中国青年志愿者助残“阳光行动”、“共青团关爱农民工子女志愿服务行动”等重点项目开展志愿服务。</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lang w:val="en-US" w:eastAsia="zh-CN"/>
              </w:rPr>
              <w:t>招录西部计划志愿者66名，其中深度贫困县志愿者13名。开展“爱在村寨、美在旅途、靓在景区、讲在青年”志愿服务行动，发放宣传资料3.23万册，清理生活、农牧场垃圾126余吨，提供咨询解答、道路指引、交通疏导、安全提醒服务4000余人次。疫情期间成立193支青年突击队、31支专项志愿服务队，招募5968名志愿者，深入社区、村寨、卡点开展防疫宣传、人员登记管理、公共场所消杀毒、义务理发、心理辅导、代购跑腿等志愿服务，累计服务1.1万余人次。</w:t>
            </w:r>
          </w:p>
        </w:tc>
      </w:tr>
      <w:tr>
        <w:tblPrEx>
          <w:tblCellMar>
            <w:top w:w="0" w:type="dxa"/>
            <w:left w:w="0" w:type="dxa"/>
            <w:bottom w:w="0" w:type="dxa"/>
            <w:right w:w="0" w:type="dxa"/>
          </w:tblCellMar>
        </w:tblPrEx>
        <w:trPr>
          <w:trHeight w:val="953" w:hRule="atLeast"/>
          <w:jc w:val="center"/>
        </w:trPr>
        <w:tc>
          <w:tcPr>
            <w:tcW w:w="1273" w:type="dxa"/>
            <w:tcBorders>
              <w:left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项目完成</w:t>
            </w:r>
          </w:p>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ascii="宋体" w:cs="宋体"/>
                <w:color w:val="000000"/>
                <w:sz w:val="24"/>
              </w:rPr>
            </w:pPr>
            <w:r>
              <w:rPr>
                <w:rFonts w:hint="eastAsia" w:ascii="仿宋" w:hAnsi="仿宋" w:eastAsia="仿宋" w:cs="仿宋"/>
                <w:color w:val="000000"/>
                <w:kern w:val="0"/>
                <w:sz w:val="21"/>
                <w:szCs w:val="21"/>
                <w:lang w:bidi="ar"/>
              </w:rPr>
              <w:t>指标</w:t>
            </w:r>
          </w:p>
        </w:tc>
        <w:tc>
          <w:tcPr>
            <w:tcW w:w="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ascii="宋体" w:cs="宋体"/>
                <w:color w:val="000000"/>
                <w:sz w:val="24"/>
              </w:rPr>
            </w:pPr>
            <w:r>
              <w:rPr>
                <w:rFonts w:hint="eastAsia" w:ascii="仿宋" w:hAnsi="仿宋" w:eastAsia="仿宋" w:cs="仿宋"/>
                <w:color w:val="000000"/>
                <w:sz w:val="21"/>
                <w:szCs w:val="21"/>
              </w:rPr>
              <w:t>质量指标</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ascii="宋体" w:cs="宋体"/>
                <w:color w:val="000000"/>
                <w:sz w:val="24"/>
              </w:rPr>
            </w:pPr>
            <w:r>
              <w:rPr>
                <w:rFonts w:hint="eastAsia" w:ascii="仿宋" w:hAnsi="仿宋" w:eastAsia="仿宋" w:cs="仿宋"/>
                <w:color w:val="000000"/>
                <w:sz w:val="21"/>
                <w:szCs w:val="21"/>
              </w:rPr>
              <w:t>基层服务</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在基层发挥了重要作用</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每年为相关单位提供礼仪服务达30余次</w:t>
            </w:r>
          </w:p>
        </w:tc>
      </w:tr>
      <w:tr>
        <w:tblPrEx>
          <w:tblCellMar>
            <w:top w:w="0" w:type="dxa"/>
            <w:left w:w="0" w:type="dxa"/>
            <w:bottom w:w="0" w:type="dxa"/>
            <w:right w:w="0" w:type="dxa"/>
          </w:tblCellMar>
        </w:tblPrEx>
        <w:trPr>
          <w:trHeight w:val="1297" w:hRule="atLeast"/>
          <w:jc w:val="center"/>
        </w:trPr>
        <w:tc>
          <w:tcPr>
            <w:tcW w:w="1273" w:type="dxa"/>
            <w:tcBorders>
              <w:left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ascii="宋体" w:cs="宋体"/>
                <w:color w:val="000000"/>
                <w:sz w:val="24"/>
              </w:rPr>
            </w:pPr>
            <w:r>
              <w:rPr>
                <w:rFonts w:hint="eastAsia" w:ascii="仿宋" w:hAnsi="仿宋" w:eastAsia="仿宋" w:cs="仿宋"/>
                <w:color w:val="000000"/>
                <w:kern w:val="0"/>
                <w:sz w:val="21"/>
                <w:szCs w:val="21"/>
                <w:lang w:bidi="ar"/>
              </w:rPr>
              <w:t>满意度指标</w:t>
            </w:r>
          </w:p>
        </w:tc>
        <w:tc>
          <w:tcPr>
            <w:tcW w:w="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满意度</w:t>
            </w:r>
          </w:p>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ascii="宋体" w:cs="宋体"/>
                <w:color w:val="000000"/>
                <w:sz w:val="24"/>
              </w:rPr>
            </w:pPr>
            <w:r>
              <w:rPr>
                <w:rFonts w:hint="eastAsia" w:ascii="仿宋" w:hAnsi="仿宋" w:eastAsia="仿宋" w:cs="仿宋"/>
                <w:color w:val="000000"/>
                <w:sz w:val="21"/>
                <w:szCs w:val="21"/>
              </w:rPr>
              <w:t>指标</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76" w:lineRule="exact"/>
              <w:jc w:val="center"/>
              <w:textAlignment w:val="center"/>
              <w:rPr>
                <w:rFonts w:ascii="宋体" w:cs="宋体"/>
                <w:color w:val="000000"/>
                <w:sz w:val="24"/>
              </w:rPr>
            </w:pPr>
            <w:r>
              <w:rPr>
                <w:rFonts w:hint="eastAsia" w:ascii="仿宋" w:hAnsi="仿宋" w:eastAsia="仿宋" w:cs="仿宋"/>
                <w:color w:val="000000"/>
                <w:sz w:val="21"/>
                <w:szCs w:val="21"/>
              </w:rPr>
              <w:t>服务单位评价</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根据相关单位的反馈情况，进行满意度评价</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根据相关单位的反应很满意，解决了人手不够的问题。</w:t>
            </w:r>
          </w:p>
        </w:tc>
      </w:tr>
    </w:tbl>
    <w:p/>
    <w:p>
      <w:pPr>
        <w:spacing w:line="580" w:lineRule="exact"/>
        <w:ind w:firstLine="640" w:firstLineChars="200"/>
        <w:rPr>
          <w:rFonts w:ascii="仿宋_GB2312" w:hAnsi="仿宋_GB2312" w:eastAsia="仿宋_GB2312" w:cs="仿宋_GB2312"/>
          <w:sz w:val="32"/>
          <w:szCs w:val="32"/>
        </w:rPr>
      </w:pPr>
    </w:p>
    <w:p>
      <w:pPr>
        <w:pStyle w:val="20"/>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76" w:lineRule="exact"/>
        <w:ind w:right="0" w:rightChars="0"/>
        <w:jc w:val="left"/>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shd w:val="clear" w:color="auto" w:fill="FFFFFF"/>
          <w:lang w:val="en-US" w:eastAsia="zh-CN"/>
        </w:rPr>
        <w:t>基层团组织建设及五四活动经费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lang w:val="en-US" w:eastAsia="zh-CN"/>
        </w:rPr>
        <w:t>通过项目实施，建立完善党建带团建工作机制，进一步巩固“百乡千村”建设成果，对部分优秀乡、村团组织进行硬件完善，建立基层团干部激励和经费保障机制。推进落实共青团改革，为团结带领广大青年进一步弘扬“爱国、进步、民主、科学”的“五四”精神，动员引导广大团员青年积极创先争优、增强了青年社会责任感和历史使命感。发现的主要问题：项目投入资金有限、持续性不够，基层团组织分类示范力度不大。下一步改进措施：加强后续跟踪和项目持续性建设，加强示范性影响。</w:t>
      </w: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1273"/>
        <w:gridCol w:w="862"/>
        <w:gridCol w:w="647"/>
        <w:gridCol w:w="2232"/>
        <w:gridCol w:w="2233"/>
        <w:gridCol w:w="2713"/>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shd w:val="clear" w:color="auto" w:fill="FFFFFF"/>
                <w:lang w:val="en-US" w:eastAsia="zh-CN"/>
              </w:rPr>
              <w:t>基层团组织建设及五四活动经费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eastAsia="zh-CN"/>
              </w:rPr>
              <w:t>团州委</w:t>
            </w:r>
          </w:p>
        </w:tc>
      </w:tr>
      <w:tr>
        <w:tblPrEx>
          <w:tblCellMar>
            <w:top w:w="0" w:type="dxa"/>
            <w:left w:w="0" w:type="dxa"/>
            <w:bottom w:w="0" w:type="dxa"/>
            <w:right w:w="0" w:type="dxa"/>
          </w:tblCellMar>
        </w:tblPrEx>
        <w:trPr>
          <w:trHeight w:val="276" w:hRule="atLeast"/>
          <w:jc w:val="center"/>
        </w:trPr>
        <w:tc>
          <w:tcPr>
            <w:tcW w:w="12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jc w:val="center"/>
              <w:rPr>
                <w:rFonts w:hint="eastAsia" w:ascii="仿宋" w:hAnsi="仿宋" w:eastAsia="仿宋" w:cs="仿宋"/>
                <w:sz w:val="21"/>
                <w:szCs w:val="21"/>
              </w:rPr>
            </w:pPr>
            <w:r>
              <w:rPr>
                <w:rFonts w:hint="eastAsia" w:ascii="仿宋" w:hAnsi="仿宋" w:eastAsia="仿宋" w:cs="仿宋"/>
                <w:sz w:val="21"/>
                <w:szCs w:val="21"/>
              </w:rPr>
              <w:t>预算执行情况(万元)</w:t>
            </w:r>
          </w:p>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hint="eastAsia" w:ascii="仿宋" w:hAnsi="仿宋" w:eastAsia="仿宋" w:cs="仿宋"/>
                <w:sz w:val="21"/>
                <w:szCs w:val="21"/>
              </w:rPr>
            </w:pPr>
          </w:p>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15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预算数:</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val="en-US" w:eastAsia="zh-CN"/>
              </w:rPr>
              <w:t>10万元</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执行数:</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val="en-US" w:eastAsia="zh-CN"/>
              </w:rPr>
              <w:t>10万元</w:t>
            </w:r>
          </w:p>
        </w:tc>
      </w:tr>
      <w:tr>
        <w:tblPrEx>
          <w:tblCellMar>
            <w:top w:w="0" w:type="dxa"/>
            <w:left w:w="0" w:type="dxa"/>
            <w:bottom w:w="0" w:type="dxa"/>
            <w:right w:w="0" w:type="dxa"/>
          </w:tblCellMar>
        </w:tblPrEx>
        <w:trPr>
          <w:trHeight w:val="276"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15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其中-财政拨款:</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val="en-US" w:eastAsia="zh-CN"/>
              </w:rPr>
              <w:t>10万元</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其中-财政拨款:</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r>
              <w:rPr>
                <w:rFonts w:hint="eastAsia" w:ascii="仿宋" w:hAnsi="仿宋" w:eastAsia="仿宋" w:cs="仿宋"/>
                <w:sz w:val="21"/>
                <w:szCs w:val="21"/>
                <w:lang w:val="en-US" w:eastAsia="zh-CN"/>
              </w:rPr>
              <w:t>10万元</w:t>
            </w:r>
          </w:p>
        </w:tc>
      </w:tr>
      <w:tr>
        <w:tblPrEx>
          <w:tblCellMar>
            <w:top w:w="0" w:type="dxa"/>
            <w:left w:w="0" w:type="dxa"/>
            <w:bottom w:w="0" w:type="dxa"/>
            <w:right w:w="0" w:type="dxa"/>
          </w:tblCellMar>
        </w:tblPrEx>
        <w:trPr>
          <w:trHeight w:val="1511"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15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其它资金:</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leftChars="0" w:right="0" w:rightChars="0"/>
              <w:jc w:val="center"/>
              <w:rPr>
                <w:rFonts w:ascii="宋体" w:cs="宋体"/>
                <w:color w:val="000000"/>
                <w:sz w:val="24"/>
              </w:rPr>
            </w:pPr>
            <w:r>
              <w:rPr>
                <w:rFonts w:hint="eastAsia" w:ascii="仿宋" w:hAnsi="仿宋" w:eastAsia="仿宋" w:cs="仿宋"/>
                <w:sz w:val="21"/>
                <w:szCs w:val="21"/>
              </w:rPr>
              <w:t>其它资金:</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576" w:lineRule="exact"/>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12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outlineLvl w:val="9"/>
              <w:rPr>
                <w:rFonts w:ascii="宋体" w:cs="宋体"/>
                <w:color w:val="000000"/>
                <w:sz w:val="24"/>
              </w:rPr>
            </w:pPr>
            <w:r>
              <w:rPr>
                <w:rFonts w:hint="eastAsia" w:ascii="仿宋" w:hAnsi="仿宋" w:eastAsia="仿宋" w:cs="仿宋"/>
                <w:sz w:val="21"/>
                <w:szCs w:val="21"/>
              </w:rPr>
              <w:t>年度目标完成情况</w:t>
            </w:r>
          </w:p>
        </w:tc>
        <w:tc>
          <w:tcPr>
            <w:tcW w:w="3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建立完善党建带团建工作机制，根据《中央和国家机关基层党组织党建活动经费管理办法》，开展主题党日活动、党员大会、党内组织生活和党风廉政教育等活动。保障基层团干部权益，建立基层团干部激励和经费保障机制；进一步加强我委党组织标准化建设（包括阵地建设等），丰富党内组织生活，主题党日、党员大会多样化开展。</w:t>
            </w:r>
          </w:p>
        </w:tc>
        <w:tc>
          <w:tcPr>
            <w:tcW w:w="494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eastAsia" w:ascii="仿宋" w:hAnsi="仿宋" w:eastAsia="仿宋" w:cs="仿宋"/>
                <w:color w:val="000000"/>
                <w:sz w:val="21"/>
                <w:szCs w:val="21"/>
              </w:rPr>
            </w:pPr>
            <w:r>
              <w:rPr>
                <w:rFonts w:hint="eastAsia" w:ascii="仿宋" w:hAnsi="仿宋" w:eastAsia="仿宋" w:cs="仿宋"/>
                <w:color w:val="000000"/>
                <w:sz w:val="21"/>
                <w:szCs w:val="21"/>
              </w:rPr>
              <w:t>强化“凝聚青年、服务大局、当好桥梁、从严治团”四维工作格局责任落实，巩固改革成果、牢记根本任务、履行基本职责，全力推动全州共青团工作不断创新发展。</w:t>
            </w:r>
          </w:p>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p>
        </w:tc>
      </w:tr>
      <w:tr>
        <w:tblPrEx>
          <w:tblCellMar>
            <w:top w:w="0" w:type="dxa"/>
            <w:left w:w="0" w:type="dxa"/>
            <w:bottom w:w="0" w:type="dxa"/>
            <w:right w:w="0" w:type="dxa"/>
          </w:tblCellMar>
        </w:tblPrEx>
        <w:trPr>
          <w:trHeight w:val="1159" w:hRule="atLeast"/>
          <w:jc w:val="center"/>
        </w:trPr>
        <w:tc>
          <w:tcPr>
            <w:tcW w:w="12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outlineLvl w:val="9"/>
              <w:rPr>
                <w:rFonts w:ascii="宋体" w:cs="宋体"/>
                <w:color w:val="000000"/>
                <w:sz w:val="24"/>
              </w:rPr>
            </w:pPr>
            <w:r>
              <w:rPr>
                <w:rFonts w:hint="eastAsia" w:ascii="仿宋" w:hAnsi="仿宋" w:eastAsia="仿宋" w:cs="仿宋"/>
                <w:sz w:val="21"/>
                <w:szCs w:val="21"/>
              </w:rPr>
              <w:t>绩效指标完成情况</w:t>
            </w: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outlineLvl w:val="9"/>
              <w:rPr>
                <w:rFonts w:ascii="宋体" w:cs="宋体"/>
                <w:color w:val="000000"/>
                <w:sz w:val="24"/>
              </w:rPr>
            </w:pPr>
            <w:r>
              <w:rPr>
                <w:rFonts w:hint="eastAsia" w:ascii="仿宋" w:hAnsi="仿宋" w:eastAsia="仿宋" w:cs="仿宋"/>
                <w:sz w:val="21"/>
                <w:szCs w:val="21"/>
              </w:rPr>
              <w:t>一级指标</w:t>
            </w:r>
          </w:p>
        </w:tc>
        <w:tc>
          <w:tcPr>
            <w:tcW w:w="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outlineLvl w:val="9"/>
            </w:pPr>
            <w:r>
              <w:rPr>
                <w:rFonts w:hint="eastAsia" w:ascii="仿宋" w:hAnsi="仿宋" w:eastAsia="仿宋" w:cs="仿宋"/>
                <w:sz w:val="21"/>
                <w:szCs w:val="21"/>
              </w:rPr>
              <w:t>二级指标</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outlineLvl w:val="9"/>
            </w:pPr>
            <w:r>
              <w:rPr>
                <w:rFonts w:hint="eastAsia" w:ascii="仿宋" w:hAnsi="仿宋" w:eastAsia="仿宋" w:cs="仿宋"/>
                <w:sz w:val="21"/>
                <w:szCs w:val="21"/>
              </w:rPr>
              <w:t>三级指标</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outlineLvl w:val="9"/>
              <w:rPr>
                <w:rFonts w:ascii="宋体" w:cs="宋体"/>
                <w:color w:val="000000"/>
                <w:sz w:val="24"/>
              </w:rPr>
            </w:pPr>
            <w:r>
              <w:rPr>
                <w:rFonts w:hint="eastAsia" w:ascii="仿宋" w:hAnsi="仿宋" w:eastAsia="仿宋" w:cs="仿宋"/>
                <w:sz w:val="21"/>
                <w:szCs w:val="21"/>
              </w:rPr>
              <w:t>预期指标值(包含数字及文字描述)</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outlineLvl w:val="9"/>
            </w:pPr>
            <w:r>
              <w:rPr>
                <w:rFonts w:hint="eastAsia" w:ascii="仿宋" w:hAnsi="仿宋" w:eastAsia="仿宋" w:cs="仿宋"/>
                <w:sz w:val="21"/>
                <w:szCs w:val="21"/>
              </w:rPr>
              <w:t>实际完成指标值(包含数字及文字描述)</w:t>
            </w:r>
          </w:p>
        </w:tc>
      </w:tr>
      <w:tr>
        <w:tblPrEx>
          <w:tblCellMar>
            <w:top w:w="0" w:type="dxa"/>
            <w:left w:w="0" w:type="dxa"/>
            <w:bottom w:w="0" w:type="dxa"/>
            <w:right w:w="0" w:type="dxa"/>
          </w:tblCellMar>
        </w:tblPrEx>
        <w:trPr>
          <w:trHeight w:val="1042" w:hRule="atLeast"/>
          <w:jc w:val="center"/>
        </w:trPr>
        <w:tc>
          <w:tcPr>
            <w:tcW w:w="1273"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outlineLvl w:val="9"/>
              <w:rPr>
                <w:rFonts w:ascii="宋体" w:cs="宋体"/>
                <w:color w:val="000000"/>
                <w:sz w:val="24"/>
              </w:rPr>
            </w:pP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kern w:val="0"/>
                <w:sz w:val="21"/>
                <w:szCs w:val="21"/>
                <w:lang w:bidi="ar"/>
              </w:rPr>
              <w:t>项目完成指标</w:t>
            </w:r>
          </w:p>
        </w:tc>
        <w:tc>
          <w:tcPr>
            <w:tcW w:w="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数量指标</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hint="default" w:ascii="宋体" w:eastAsia="宋体" w:cs="宋体"/>
                <w:color w:val="000000"/>
                <w:sz w:val="24"/>
                <w:lang w:val="en-US" w:eastAsia="zh-CN"/>
              </w:rPr>
            </w:pPr>
            <w:r>
              <w:rPr>
                <w:rFonts w:hint="eastAsia" w:ascii="仿宋" w:hAnsi="仿宋" w:eastAsia="仿宋" w:cs="仿宋"/>
                <w:color w:val="000000"/>
                <w:sz w:val="21"/>
                <w:szCs w:val="21"/>
                <w:lang w:val="en-US" w:eastAsia="zh-CN"/>
              </w:rPr>
              <w:t>强化组织规范</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center"/>
              <w:outlineLvl w:val="9"/>
              <w:rPr>
                <w:rFonts w:ascii="宋体" w:cs="宋体"/>
                <w:color w:val="000000"/>
                <w:sz w:val="24"/>
              </w:rPr>
            </w:pPr>
            <w:r>
              <w:rPr>
                <w:rFonts w:hint="eastAsia" w:ascii="仿宋" w:hAnsi="仿宋" w:eastAsia="仿宋" w:cs="仿宋"/>
                <w:color w:val="000000"/>
                <w:kern w:val="2"/>
                <w:sz w:val="21"/>
                <w:szCs w:val="21"/>
                <w:lang w:val="en-US" w:eastAsia="zh-CN" w:bidi="ar-SA"/>
              </w:rPr>
              <w:t>持续强化基层组织规范化建设。</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outlineLvl w:val="9"/>
              <w:rPr>
                <w:rFonts w:ascii="宋体" w:cs="宋体"/>
                <w:color w:val="000000"/>
                <w:sz w:val="24"/>
              </w:rPr>
            </w:pPr>
            <w:r>
              <w:rPr>
                <w:rFonts w:hint="eastAsia" w:ascii="仿宋" w:hAnsi="仿宋" w:eastAsia="仿宋" w:cs="仿宋"/>
                <w:color w:val="000000"/>
                <w:kern w:val="2"/>
                <w:sz w:val="21"/>
                <w:szCs w:val="21"/>
                <w:lang w:val="en-US" w:eastAsia="zh-CN" w:bidi="ar-SA"/>
              </w:rPr>
              <w:t>认真落实“全团大抓基层”“全团抓学校”的工作要求，系统梳理了全州13个团县委、289个基层团委、2个团工委、6个团总支、2240个团支部等基层组织运行情况，以月度核查工作台账的形式督促所有团支部对照目标任务进行自查自检，如期完成软弱涣散团组织整顿。</w:t>
            </w:r>
          </w:p>
        </w:tc>
      </w:tr>
      <w:tr>
        <w:tblPrEx>
          <w:tblCellMar>
            <w:top w:w="0" w:type="dxa"/>
            <w:left w:w="0" w:type="dxa"/>
            <w:bottom w:w="0" w:type="dxa"/>
            <w:right w:w="0" w:type="dxa"/>
          </w:tblCellMar>
        </w:tblPrEx>
        <w:trPr>
          <w:trHeight w:val="953" w:hRule="atLeast"/>
          <w:jc w:val="center"/>
        </w:trPr>
        <w:tc>
          <w:tcPr>
            <w:tcW w:w="1273" w:type="dxa"/>
            <w:tcBorders>
              <w:left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outlineLvl w:val="9"/>
              <w:rPr>
                <w:rFonts w:ascii="宋体" w:cs="宋体"/>
                <w:color w:val="000000"/>
                <w:sz w:val="24"/>
              </w:rPr>
            </w:pP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kern w:val="0"/>
                <w:sz w:val="21"/>
                <w:szCs w:val="21"/>
                <w:lang w:bidi="ar"/>
              </w:rPr>
              <w:t>项目完成指标</w:t>
            </w:r>
          </w:p>
        </w:tc>
        <w:tc>
          <w:tcPr>
            <w:tcW w:w="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质量指标</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网络阵地</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构建新媒体矩阵、互联网团组织、共青团融合平台三项建设，积极宣传推广团属“双微”平台和“青年之声”网络互动社交平台。</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center"/>
              <w:outlineLvl w:val="9"/>
              <w:rPr>
                <w:rFonts w:ascii="宋体" w:cs="宋体"/>
                <w:color w:val="000000"/>
                <w:sz w:val="24"/>
              </w:rPr>
            </w:pPr>
            <w:r>
              <w:rPr>
                <w:rFonts w:hint="eastAsia" w:ascii="仿宋" w:hAnsi="仿宋" w:eastAsia="仿宋" w:cs="仿宋"/>
                <w:color w:val="000000"/>
                <w:sz w:val="21"/>
                <w:szCs w:val="21"/>
              </w:rPr>
              <w:t>深化阵地建设、内容建设、队伍建设，</w:t>
            </w:r>
            <w:r>
              <w:rPr>
                <w:rFonts w:hint="eastAsia" w:ascii="仿宋" w:hAnsi="仿宋" w:eastAsia="仿宋" w:cs="仿宋"/>
                <w:color w:val="000000"/>
                <w:sz w:val="21"/>
                <w:szCs w:val="21"/>
                <w:lang w:val="en-US" w:eastAsia="zh-CN"/>
              </w:rPr>
              <w:t>发布《阿坝青年》电子期刊9期、268条微信、526条微博，广泛开展“团团带你游阿坝”主题宣传活动和</w:t>
            </w:r>
            <w:r>
              <w:rPr>
                <w:rFonts w:hint="eastAsia" w:ascii="仿宋" w:hAnsi="仿宋" w:eastAsia="仿宋" w:cs="仿宋"/>
                <w:color w:val="000000"/>
                <w:sz w:val="21"/>
                <w:szCs w:val="21"/>
              </w:rPr>
              <w:t>阿坝州青年志愿者之歌</w:t>
            </w:r>
            <w:r>
              <w:rPr>
                <w:rFonts w:hint="eastAsia" w:ascii="仿宋" w:hAnsi="仿宋" w:eastAsia="仿宋" w:cs="仿宋"/>
                <w:color w:val="000000"/>
                <w:sz w:val="21"/>
                <w:szCs w:val="21"/>
                <w:lang w:val="en-US" w:eastAsia="zh-CN"/>
              </w:rPr>
              <w:t>征集活动</w:t>
            </w:r>
            <w:r>
              <w:rPr>
                <w:rFonts w:hint="eastAsia" w:ascii="仿宋" w:hAnsi="仿宋" w:eastAsia="仿宋" w:cs="仿宋"/>
                <w:color w:val="000000"/>
                <w:sz w:val="21"/>
                <w:szCs w:val="21"/>
              </w:rPr>
              <w:t>。</w:t>
            </w:r>
          </w:p>
        </w:tc>
      </w:tr>
      <w:tr>
        <w:tblPrEx>
          <w:tblCellMar>
            <w:top w:w="0" w:type="dxa"/>
            <w:left w:w="0" w:type="dxa"/>
            <w:bottom w:w="0" w:type="dxa"/>
            <w:right w:w="0" w:type="dxa"/>
          </w:tblCellMar>
        </w:tblPrEx>
        <w:trPr>
          <w:trHeight w:val="1297" w:hRule="atLeast"/>
          <w:jc w:val="center"/>
        </w:trPr>
        <w:tc>
          <w:tcPr>
            <w:tcW w:w="1273" w:type="dxa"/>
            <w:tcBorders>
              <w:left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outlineLvl w:val="9"/>
              <w:rPr>
                <w:rFonts w:ascii="宋体" w:cs="宋体"/>
                <w:color w:val="000000"/>
                <w:sz w:val="24"/>
              </w:rPr>
            </w:pP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kern w:val="0"/>
                <w:sz w:val="21"/>
                <w:szCs w:val="21"/>
                <w:lang w:bidi="ar"/>
              </w:rPr>
              <w:t>效益指标</w:t>
            </w:r>
          </w:p>
        </w:tc>
        <w:tc>
          <w:tcPr>
            <w:tcW w:w="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可持续影响指标</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团干部激励</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center"/>
              <w:outlineLvl w:val="9"/>
              <w:rPr>
                <w:rFonts w:ascii="宋体" w:cs="宋体"/>
                <w:color w:val="000000"/>
                <w:sz w:val="24"/>
              </w:rPr>
            </w:pPr>
            <w:r>
              <w:rPr>
                <w:rFonts w:hint="eastAsia" w:ascii="仿宋" w:hAnsi="仿宋" w:eastAsia="仿宋" w:cs="仿宋"/>
                <w:color w:val="000000"/>
                <w:sz w:val="21"/>
                <w:szCs w:val="21"/>
              </w:rPr>
              <w:t>建立基层团干部激励和经费保障机制</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center"/>
              <w:outlineLvl w:val="9"/>
              <w:rPr>
                <w:rFonts w:ascii="宋体" w:cs="宋体"/>
                <w:color w:val="000000"/>
                <w:sz w:val="24"/>
              </w:rPr>
            </w:pPr>
            <w:r>
              <w:rPr>
                <w:rFonts w:hint="eastAsia" w:ascii="仿宋" w:hAnsi="仿宋" w:eastAsia="仿宋" w:cs="仿宋"/>
                <w:color w:val="000000"/>
                <w:sz w:val="21"/>
                <w:szCs w:val="21"/>
              </w:rPr>
              <w:t>组织引导广大团员青年支持</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参与</w:t>
            </w:r>
            <w:r>
              <w:rPr>
                <w:rFonts w:hint="eastAsia" w:ascii="仿宋" w:hAnsi="仿宋" w:eastAsia="仿宋" w:cs="仿宋"/>
                <w:color w:val="000000"/>
                <w:sz w:val="21"/>
                <w:szCs w:val="21"/>
              </w:rPr>
              <w:t>改革发展</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踊跃投身经济建设、</w:t>
            </w:r>
            <w:r>
              <w:rPr>
                <w:rFonts w:hint="eastAsia" w:ascii="仿宋" w:hAnsi="仿宋" w:eastAsia="仿宋" w:cs="仿宋"/>
                <w:color w:val="000000"/>
                <w:sz w:val="21"/>
                <w:szCs w:val="21"/>
                <w:lang w:val="en-US" w:eastAsia="zh-CN"/>
              </w:rPr>
              <w:t>脱贫攻坚、</w:t>
            </w:r>
            <w:r>
              <w:rPr>
                <w:rFonts w:hint="eastAsia" w:ascii="仿宋" w:hAnsi="仿宋" w:eastAsia="仿宋" w:cs="仿宋"/>
                <w:color w:val="000000"/>
                <w:sz w:val="21"/>
                <w:szCs w:val="21"/>
              </w:rPr>
              <w:t>乡村振兴等主战场，立足本职岗位辛勤劳动、挥洒汗水，1个集体、1名个人荣获全国表彰，3个集体、5名个人荣获省级表彰，推荐1名全国青联委员，评选表彰全州抗击疫情先进集体</w:t>
            </w:r>
            <w:r>
              <w:rPr>
                <w:rFonts w:hint="eastAsia" w:ascii="仿宋" w:hAnsi="仿宋" w:eastAsia="仿宋" w:cs="仿宋"/>
                <w:color w:val="000000"/>
                <w:sz w:val="21"/>
                <w:szCs w:val="21"/>
                <w:lang w:val="en-US" w:eastAsia="zh-CN"/>
              </w:rPr>
              <w:t>28</w:t>
            </w:r>
            <w:r>
              <w:rPr>
                <w:rFonts w:hint="eastAsia" w:ascii="仿宋" w:hAnsi="仿宋" w:eastAsia="仿宋" w:cs="仿宋"/>
                <w:color w:val="000000"/>
                <w:sz w:val="21"/>
                <w:szCs w:val="21"/>
              </w:rPr>
              <w:t>个</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先进个人</w:t>
            </w:r>
            <w:r>
              <w:rPr>
                <w:rFonts w:hint="eastAsia" w:ascii="仿宋" w:hAnsi="仿宋" w:eastAsia="仿宋" w:cs="仿宋"/>
                <w:color w:val="000000"/>
                <w:sz w:val="21"/>
                <w:szCs w:val="21"/>
                <w:lang w:val="en-US" w:eastAsia="zh-CN"/>
              </w:rPr>
              <w:t>173</w:t>
            </w:r>
            <w:r>
              <w:rPr>
                <w:rFonts w:hint="eastAsia" w:ascii="仿宋" w:hAnsi="仿宋" w:eastAsia="仿宋" w:cs="仿宋"/>
                <w:color w:val="000000"/>
                <w:sz w:val="21"/>
                <w:szCs w:val="21"/>
              </w:rPr>
              <w:t>名，州级</w:t>
            </w:r>
            <w:r>
              <w:rPr>
                <w:rFonts w:hint="eastAsia" w:ascii="仿宋" w:hAnsi="仿宋" w:eastAsia="仿宋" w:cs="仿宋"/>
                <w:color w:val="000000"/>
                <w:sz w:val="21"/>
                <w:szCs w:val="21"/>
                <w:lang w:val="en-US" w:eastAsia="zh-CN"/>
              </w:rPr>
              <w:t>优秀</w:t>
            </w:r>
            <w:r>
              <w:rPr>
                <w:rFonts w:hint="eastAsia" w:ascii="仿宋" w:hAnsi="仿宋" w:eastAsia="仿宋" w:cs="仿宋"/>
                <w:color w:val="000000"/>
                <w:sz w:val="21"/>
                <w:szCs w:val="21"/>
              </w:rPr>
              <w:t>团组织</w:t>
            </w:r>
            <w:r>
              <w:rPr>
                <w:rFonts w:hint="eastAsia" w:ascii="仿宋" w:hAnsi="仿宋" w:eastAsia="仿宋" w:cs="仿宋"/>
                <w:color w:val="000000"/>
                <w:sz w:val="21"/>
                <w:szCs w:val="21"/>
                <w:lang w:val="en-US" w:eastAsia="zh-CN"/>
              </w:rPr>
              <w:t>40</w:t>
            </w:r>
            <w:r>
              <w:rPr>
                <w:rFonts w:hint="eastAsia" w:ascii="仿宋" w:hAnsi="仿宋" w:eastAsia="仿宋" w:cs="仿宋"/>
                <w:color w:val="000000"/>
                <w:sz w:val="21"/>
                <w:szCs w:val="21"/>
              </w:rPr>
              <w:t>个</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优秀个人</w:t>
            </w:r>
            <w:r>
              <w:rPr>
                <w:rFonts w:hint="eastAsia" w:ascii="仿宋" w:hAnsi="仿宋" w:eastAsia="仿宋" w:cs="仿宋"/>
                <w:color w:val="000000"/>
                <w:sz w:val="21"/>
                <w:szCs w:val="21"/>
                <w:lang w:val="en-US" w:eastAsia="zh-CN"/>
              </w:rPr>
              <w:t>70名</w:t>
            </w:r>
            <w:r>
              <w:rPr>
                <w:rFonts w:hint="eastAsia" w:ascii="仿宋" w:hAnsi="仿宋" w:eastAsia="仿宋" w:cs="仿宋"/>
                <w:color w:val="000000"/>
                <w:sz w:val="21"/>
                <w:szCs w:val="21"/>
              </w:rPr>
              <w:t>。</w:t>
            </w:r>
          </w:p>
        </w:tc>
      </w:tr>
      <w:tr>
        <w:tblPrEx>
          <w:tblCellMar>
            <w:top w:w="0" w:type="dxa"/>
            <w:left w:w="0" w:type="dxa"/>
            <w:bottom w:w="0" w:type="dxa"/>
            <w:right w:w="0" w:type="dxa"/>
          </w:tblCellMar>
        </w:tblPrEx>
        <w:trPr>
          <w:trHeight w:val="1297" w:hRule="atLeast"/>
          <w:jc w:val="center"/>
        </w:trPr>
        <w:tc>
          <w:tcPr>
            <w:tcW w:w="1273" w:type="dxa"/>
            <w:tcBorders>
              <w:left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outlineLvl w:val="9"/>
              <w:rPr>
                <w:rFonts w:ascii="宋体" w:cs="宋体"/>
                <w:color w:val="000000"/>
                <w:sz w:val="24"/>
              </w:rPr>
            </w:pP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满意度指标</w:t>
            </w:r>
          </w:p>
        </w:tc>
        <w:tc>
          <w:tcPr>
            <w:tcW w:w="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满意度指标</w:t>
            </w:r>
          </w:p>
        </w:tc>
        <w:tc>
          <w:tcPr>
            <w:tcW w:w="2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满意度</w:t>
            </w:r>
          </w:p>
        </w:tc>
        <w:tc>
          <w:tcPr>
            <w:tcW w:w="2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满意</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满意</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共青团阿坝州委</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本部门自行组织对基层团组织建设及五四活动经费项目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青少年工作经费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团干部、辅导员及双创青年培训经费项目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西部计划及青年志愿者专项工作项目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新媒体、网站运行维护项目开展了绩效评价，《</w:t>
      </w:r>
      <w:r>
        <w:rPr>
          <w:rFonts w:hint="eastAsia" w:ascii="仿宋_GB2312" w:hAnsi="仿宋_GB2312" w:eastAsia="仿宋_GB2312" w:cs="仿宋_GB2312"/>
          <w:sz w:val="32"/>
          <w:szCs w:val="32"/>
          <w:lang w:val="en-US" w:eastAsia="zh-CN"/>
        </w:rPr>
        <w:t>共青团阿坝州委</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5"/>
          <w:rFonts w:ascii="黑体" w:hAnsi="黑体" w:eastAsia="黑体"/>
          <w:b w:val="0"/>
        </w:rPr>
      </w:pPr>
      <w:bookmarkStart w:id="105" w:name="_Toc15377225"/>
      <w:bookmarkStart w:id="106" w:name="_Toc15396613"/>
      <w:bookmarkStart w:id="107" w:name="_Toc79163879"/>
      <w:bookmarkStart w:id="108" w:name="_Toc79163629"/>
      <w:r>
        <w:rPr>
          <w:rFonts w:hint="eastAsia" w:ascii="黑体" w:hAnsi="黑体" w:eastAsia="黑体"/>
          <w:color w:val="000000"/>
          <w:sz w:val="44"/>
          <w:szCs w:val="44"/>
        </w:rPr>
        <w:t>名</w:t>
      </w:r>
      <w:r>
        <w:rPr>
          <w:rStyle w:val="25"/>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center"/>
        <w:rPr>
          <w:rStyle w:val="23"/>
          <w:rFonts w:hint="eastAsia" w:ascii="黑体" w:hAnsi="黑体" w:eastAsia="黑体" w:cs="黑体"/>
          <w:sz w:val="32"/>
          <w:szCs w:val="32"/>
          <w:shd w:val="clear" w:color="auto" w:fill="FFFFFF"/>
        </w:rPr>
      </w:pPr>
      <w:r>
        <w:rPr>
          <w:rStyle w:val="23"/>
          <w:rFonts w:hint="eastAsia" w:ascii="黑体" w:hAnsi="黑体" w:eastAsia="黑体" w:cs="黑体"/>
          <w:sz w:val="32"/>
          <w:szCs w:val="32"/>
          <w:shd w:val="clear" w:color="auto" w:fill="FFFFFF"/>
        </w:rPr>
        <w:t>第三部分 名词解释</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center"/>
        <w:rPr>
          <w:rStyle w:val="23"/>
          <w:rFonts w:hint="default" w:ascii="仿宋_GB2312" w:hAnsi="仿宋_GB2312" w:eastAsia="仿宋_GB2312" w:cs="仿宋_GB2312"/>
          <w:sz w:val="32"/>
          <w:szCs w:val="32"/>
          <w:shd w:val="clear" w:color="auto" w:fill="FFFFFF"/>
        </w:rPr>
      </w:pP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 xml:space="preserve">1.财政拨款收入：指州级财政当年拨付的资金。 </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 xml:space="preserve">2.年初结转和结余：指以前年度尚未完成、结转到本年按有关规定继续使用的资金。 </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3.一般公共服务：行政运行（2012901）指共青团组织的基本支出，一般行政管理事务（2012902）指共青团组织未单独设置项级科目的其他项目支出</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4.社会保障和就业：机关事业单位基本养老保险缴费支出（2080505）指机关事业单位实施养老保险制度由单位缴纳的基本养老保险支出，机关事业单位职业年金缴费支出（2080506）指机关事业单位实施养老保险制度由单位实际缴纳的职业年金支出。</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5.医疗卫生与计划生育：行政单位医疗（2100501）指财政部门集中安排的行政单位基本医疗保险缴费经费，未参加医疗保险的行政单位的公费医疗经费，按国家规定享受离休人员、红军老战士待遇人员的医疗经费。</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6.住房保障支出：住房公积金（2210201）指行政事业单位按人力资源和社会保障部、财政部规定的基本工资和津贴补贴以及规定比例为职工缴纳的住房公积金。</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7.年末结转和结余：指本年度或以前年度预算安排、因客观条件发生变化无法按原计划实施，需延迟到以后年度按有关规定继续使用的资金。</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8.基本支出：指为保障机构正常运转、完成日常工作任务而发生的人员支出和公用支出。</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 xml:space="preserve">9.项目支出：指在基本支出之外为完成特定行政任务和事业发展目标所发生的支出。 </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rFonts w:hint="eastAsia" w:ascii="仿宋" w:hAnsi="仿宋" w:eastAsia="仿宋" w:cs="仿宋"/>
          <w:sz w:val="32"/>
          <w:szCs w:val="32"/>
        </w:rPr>
      </w:pPr>
      <w:r>
        <w:rPr>
          <w:rFonts w:hint="eastAsia" w:ascii="仿宋" w:hAnsi="仿宋" w:eastAsia="仿宋" w:cs="仿宋"/>
          <w:sz w:val="32"/>
          <w:szCs w:val="32"/>
        </w:rPr>
        <w:t>10.“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0"/>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jc w:val="left"/>
        <w:rPr>
          <w:sz w:val="32"/>
          <w:szCs w:val="32"/>
          <w:shd w:val="clear" w:color="auto" w:fill="FFFFFF"/>
        </w:rPr>
      </w:pPr>
      <w:r>
        <w:rPr>
          <w:rFonts w:hint="eastAsia" w:ascii="仿宋" w:hAnsi="仿宋" w:eastAsia="仿宋" w:cs="仿宋"/>
          <w:sz w:val="32"/>
          <w:szCs w:val="32"/>
        </w:rPr>
        <w:t>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5"/>
        <w:spacing w:line="560" w:lineRule="exact"/>
        <w:ind w:firstLine="640" w:firstLineChars="200"/>
        <w:rPr>
          <w:rFonts w:ascii="仿宋_GB2312" w:eastAsia="仿宋_GB2312" w:cs="黑体"/>
          <w:sz w:val="32"/>
          <w:szCs w:val="32"/>
        </w:rPr>
      </w:pPr>
    </w:p>
    <w:p>
      <w:pPr>
        <w:spacing w:line="600" w:lineRule="exact"/>
        <w:jc w:val="center"/>
        <w:outlineLvl w:val="0"/>
        <w:rPr>
          <w:rStyle w:val="25"/>
          <w:rFonts w:ascii="黑体" w:hAnsi="黑体" w:eastAsia="黑体"/>
          <w:b w:val="0"/>
        </w:rPr>
      </w:pPr>
      <w:bookmarkStart w:id="109" w:name="_Toc15377226"/>
      <w:r>
        <w:rPr>
          <w:rFonts w:ascii="宋体"/>
          <w:b/>
          <w:color w:val="000000"/>
          <w:sz w:val="44"/>
          <w:szCs w:val="44"/>
        </w:rPr>
        <w:br w:type="page"/>
      </w:r>
      <w:bookmarkStart w:id="110" w:name="_Toc15396614"/>
      <w:bookmarkStart w:id="111" w:name="_Toc79163630"/>
      <w:bookmarkStart w:id="112" w:name="_Toc79163880"/>
      <w:r>
        <w:rPr>
          <w:rFonts w:hint="eastAsia" w:ascii="黑体" w:hAnsi="黑体" w:eastAsia="黑体"/>
          <w:color w:val="000000"/>
          <w:sz w:val="44"/>
          <w:szCs w:val="44"/>
        </w:rPr>
        <w:t>第</w:t>
      </w:r>
      <w:r>
        <w:rPr>
          <w:rStyle w:val="25"/>
          <w:rFonts w:hint="eastAsia" w:ascii="黑体" w:hAnsi="黑体" w:eastAsia="黑体"/>
          <w:b w:val="0"/>
        </w:rPr>
        <w:t>四部分附件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lang w:val="en-US" w:eastAsia="zh-CN"/>
        </w:rPr>
      </w:pPr>
      <w:bookmarkStart w:id="115" w:name="_Toc79163882"/>
      <w:bookmarkStart w:id="116" w:name="_Toc79163632"/>
      <w:r>
        <w:rPr>
          <w:rFonts w:hint="eastAsia" w:ascii="方正小标宋简体" w:hAnsi="黑体" w:eastAsia="方正小标宋简体" w:cs="黑体"/>
          <w:sz w:val="44"/>
          <w:szCs w:val="44"/>
          <w:lang w:val="en-US" w:eastAsia="zh-CN"/>
        </w:rPr>
        <w:t>共青团阿坝州委</w:t>
      </w:r>
    </w:p>
    <w:p>
      <w:pPr>
        <w:spacing w:line="600" w:lineRule="exact"/>
        <w:jc w:val="center"/>
        <w:outlineLvl w:val="0"/>
        <w:rPr>
          <w:rFonts w:ascii="方正小标宋简体" w:hAnsi="黑体" w:eastAsia="方正小标宋简体" w:cs="黑体"/>
          <w:sz w:val="44"/>
          <w:szCs w:val="44"/>
        </w:rPr>
      </w:pP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3" w:firstLineChars="200"/>
        <w:jc w:val="left"/>
        <w:textAlignment w:val="auto"/>
        <w:outlineLvl w:val="9"/>
        <w:rPr>
          <w:rFonts w:hint="eastAsia" w:ascii="楷体" w:hAnsi="楷体" w:eastAsia="楷体" w:cs="楷体"/>
          <w:b/>
          <w:bCs/>
          <w:kern w:val="2"/>
          <w:sz w:val="32"/>
          <w:szCs w:val="32"/>
          <w:shd w:val="clear" w:color="auto" w:fill="FFFFFF"/>
          <w:lang w:val="zh-CN" w:eastAsia="zh-CN" w:bidi="ar-SA"/>
        </w:rPr>
      </w:pPr>
      <w:r>
        <w:rPr>
          <w:rFonts w:hint="eastAsia" w:ascii="楷体" w:hAnsi="楷体" w:eastAsia="楷体" w:cs="楷体"/>
          <w:b/>
          <w:bCs/>
          <w:kern w:val="2"/>
          <w:sz w:val="32"/>
          <w:szCs w:val="32"/>
          <w:shd w:val="clear" w:color="auto" w:fill="FFFFFF"/>
          <w:lang w:val="zh-CN" w:eastAsia="zh-CN" w:bidi="ar-SA"/>
        </w:rPr>
        <w:t>（一）机构组成</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left"/>
        <w:textAlignment w:val="auto"/>
        <w:outlineLvl w:val="9"/>
        <w:rPr>
          <w:rFonts w:ascii="仿宋_GB2312" w:cs="宋体"/>
          <w:color w:val="000000"/>
          <w:kern w:val="0"/>
          <w:szCs w:val="32"/>
          <w:shd w:val="clear" w:color="auto" w:fill="FFFFFF"/>
          <w:lang w:val="zh-CN"/>
        </w:rPr>
      </w:pPr>
      <w:r>
        <w:rPr>
          <w:rFonts w:hint="default" w:ascii="仿宋_GB2312" w:hAnsi="仿宋_GB2312" w:eastAsia="仿宋_GB2312" w:cs="仿宋_GB2312"/>
          <w:kern w:val="2"/>
          <w:sz w:val="32"/>
          <w:szCs w:val="32"/>
          <w:shd w:val="clear" w:color="auto" w:fill="FFFFFF"/>
          <w:lang w:val="en-US" w:eastAsia="zh-CN" w:bidi="ar-SA"/>
        </w:rPr>
        <w:t>中</w:t>
      </w:r>
      <w:r>
        <w:rPr>
          <w:rFonts w:hint="default" w:ascii="仿宋_GB2312" w:hAnsi="仿宋_GB2312" w:eastAsia="仿宋_GB2312" w:cs="仿宋_GB2312"/>
          <w:sz w:val="32"/>
          <w:szCs w:val="32"/>
          <w:shd w:val="clear" w:color="auto" w:fill="FFFFFF"/>
        </w:rPr>
        <w:t>国共产主义青年团四川省阿坝州委员会（本级）</w:t>
      </w:r>
      <w:r>
        <w:rPr>
          <w:rFonts w:hint="eastAsia" w:ascii="仿宋_GB2312" w:hAnsi="仿宋_GB2312" w:eastAsia="仿宋_GB2312" w:cs="仿宋_GB2312"/>
          <w:sz w:val="32"/>
          <w:szCs w:val="32"/>
          <w:shd w:val="clear" w:color="auto" w:fill="FFFFFF"/>
        </w:rPr>
        <w:t>属一级预算单位1个，</w:t>
      </w:r>
      <w:r>
        <w:rPr>
          <w:rFonts w:hint="eastAsia" w:ascii="仿宋_GB2312" w:hAnsi="仿宋_GB2312" w:eastAsia="仿宋_GB2312" w:cs="仿宋_GB2312"/>
          <w:color w:val="auto"/>
          <w:sz w:val="32"/>
          <w:szCs w:val="32"/>
        </w:rPr>
        <w:t>无参照公务员法管理的事业单位；无其他事业单位。本部门内设办公室、农工部、学少部和组宣部4个职能部门，以及州综治委预防青少年违法犯罪领导小组办公室、州社会志愿服务工作委员会办公室等</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rPr>
        <w:t>个议事协调机构和州青联联合会、州少先队工作委员会、州青年就业创业促进会、州志愿者协会4个社会团体。</w:t>
      </w:r>
      <w:r>
        <w:rPr>
          <w:rFonts w:hint="default" w:ascii="仿宋_GB2312" w:hAnsi="仿宋_GB2312" w:eastAsia="仿宋_GB2312" w:cs="仿宋_GB2312"/>
          <w:sz w:val="32"/>
          <w:szCs w:val="32"/>
          <w:shd w:val="clear" w:color="auto" w:fill="FFFFFF"/>
        </w:rPr>
        <w:t>下属二级单位</w:t>
      </w:r>
      <w:r>
        <w:rPr>
          <w:rFonts w:hint="eastAsia" w:ascii="仿宋_GB2312" w:hAnsi="仿宋_GB2312" w:eastAsia="仿宋_GB2312" w:cs="仿宋_GB2312"/>
          <w:sz w:val="32"/>
          <w:szCs w:val="32"/>
          <w:shd w:val="clear" w:color="auto" w:fill="FFFFFF"/>
          <w:lang w:val="en-US" w:eastAsia="zh-CN"/>
        </w:rPr>
        <w:t>0</w:t>
      </w:r>
      <w:r>
        <w:rPr>
          <w:rFonts w:hint="default" w:ascii="仿宋_GB2312" w:hAnsi="仿宋_GB2312" w:eastAsia="仿宋_GB2312" w:cs="仿宋_GB2312"/>
          <w:sz w:val="32"/>
          <w:szCs w:val="32"/>
          <w:shd w:val="clear" w:color="auto" w:fill="FFFFFF"/>
        </w:rPr>
        <w:t>个，其中行政单位</w:t>
      </w:r>
      <w:r>
        <w:rPr>
          <w:rFonts w:hint="eastAsia" w:ascii="仿宋_GB2312" w:hAnsi="仿宋_GB2312" w:eastAsia="仿宋_GB2312" w:cs="仿宋_GB2312"/>
          <w:sz w:val="32"/>
          <w:szCs w:val="32"/>
          <w:shd w:val="clear" w:color="auto" w:fill="FFFFFF"/>
          <w:lang w:val="en-US" w:eastAsia="zh-CN"/>
        </w:rPr>
        <w:t>0</w:t>
      </w:r>
      <w:r>
        <w:rPr>
          <w:rFonts w:hint="default" w:ascii="仿宋_GB2312" w:hAnsi="仿宋_GB2312" w:eastAsia="仿宋_GB2312" w:cs="仿宋_GB2312"/>
          <w:sz w:val="32"/>
          <w:szCs w:val="32"/>
          <w:shd w:val="clear" w:color="auto" w:fill="FFFFFF"/>
        </w:rPr>
        <w:t>个，参照公务员法管理的事业单位</w:t>
      </w:r>
      <w:r>
        <w:rPr>
          <w:rFonts w:hint="eastAsia" w:ascii="仿宋_GB2312" w:hAnsi="仿宋_GB2312" w:eastAsia="仿宋_GB2312" w:cs="仿宋_GB2312"/>
          <w:sz w:val="32"/>
          <w:szCs w:val="32"/>
          <w:shd w:val="clear" w:color="auto" w:fill="FFFFFF"/>
          <w:lang w:val="en-US" w:eastAsia="zh-CN"/>
        </w:rPr>
        <w:t>0</w:t>
      </w:r>
      <w:r>
        <w:rPr>
          <w:rFonts w:hint="default" w:ascii="仿宋_GB2312" w:hAnsi="仿宋_GB2312" w:eastAsia="仿宋_GB2312" w:cs="仿宋_GB2312"/>
          <w:sz w:val="32"/>
          <w:szCs w:val="32"/>
          <w:shd w:val="clear" w:color="auto" w:fill="FFFFFF"/>
        </w:rPr>
        <w:t>个，其他事业单位</w:t>
      </w:r>
      <w:r>
        <w:rPr>
          <w:rFonts w:hint="eastAsia" w:ascii="仿宋_GB2312" w:hAnsi="仿宋_GB2312" w:eastAsia="仿宋_GB2312" w:cs="仿宋_GB2312"/>
          <w:sz w:val="32"/>
          <w:szCs w:val="32"/>
          <w:shd w:val="clear" w:color="auto" w:fill="FFFFFF"/>
          <w:lang w:val="en-US" w:eastAsia="zh-CN"/>
        </w:rPr>
        <w:t>0</w:t>
      </w:r>
      <w:r>
        <w:rPr>
          <w:rFonts w:hint="eastAsia" w:ascii="仿宋_GB2312" w:hAnsi="仿宋_GB2312" w:eastAsia="仿宋_GB2312" w:cs="仿宋_GB2312"/>
          <w:sz w:val="32"/>
          <w:szCs w:val="32"/>
          <w:shd w:val="clear" w:color="auto" w:fill="FFFFFF"/>
          <w:lang w:val="en-US"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15">
            <o:LockedField>false</o:LockedField>
          </o:OLEObject>
        </w:object>
      </w:r>
      <w:r>
        <w:rPr>
          <w:rFonts w:hint="default" w:ascii="仿宋_GB2312" w:hAnsi="仿宋_GB2312" w:eastAsia="仿宋_GB2312" w:cs="仿宋_GB2312"/>
          <w:sz w:val="32"/>
          <w:szCs w:val="32"/>
          <w:shd w:val="clear" w:color="auto" w:fill="FFFFFF"/>
        </w:rPr>
        <w:t>个。</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3" w:firstLineChars="200"/>
        <w:jc w:val="left"/>
        <w:textAlignment w:val="auto"/>
        <w:outlineLvl w:val="9"/>
        <w:rPr>
          <w:rFonts w:hint="eastAsia" w:ascii="楷体" w:hAnsi="楷体" w:eastAsia="楷体" w:cs="楷体"/>
          <w:b/>
          <w:bCs/>
          <w:kern w:val="2"/>
          <w:sz w:val="32"/>
          <w:szCs w:val="32"/>
          <w:shd w:val="clear" w:color="auto" w:fill="FFFFFF"/>
          <w:lang w:val="zh-CN" w:eastAsia="zh-CN" w:bidi="ar-SA"/>
        </w:rPr>
      </w:pPr>
      <w:r>
        <w:rPr>
          <w:rFonts w:hint="eastAsia" w:ascii="楷体" w:hAnsi="楷体" w:eastAsia="楷体" w:cs="楷体"/>
          <w:b/>
          <w:bCs/>
          <w:kern w:val="2"/>
          <w:sz w:val="32"/>
          <w:szCs w:val="32"/>
          <w:shd w:val="clear" w:color="auto" w:fill="FFFFFF"/>
          <w:lang w:val="zh-CN" w:eastAsia="zh-CN" w:bidi="ar-SA"/>
        </w:rPr>
        <w:t>（二）机构职能</w:t>
      </w:r>
    </w:p>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ascii="仿宋_GB2312" w:cs="宋体"/>
          <w:color w:val="000000"/>
          <w:kern w:val="0"/>
          <w:szCs w:val="32"/>
          <w:shd w:val="clear" w:color="auto" w:fill="FFFFFF"/>
          <w:lang w:val="zh-CN"/>
        </w:rPr>
      </w:pPr>
      <w:r>
        <w:rPr>
          <w:rFonts w:hint="eastAsia" w:ascii="仿宋_GB2312" w:hAnsi="仿宋_GB2312" w:eastAsia="仿宋_GB2312" w:cs="仿宋_GB2312"/>
          <w:sz w:val="32"/>
          <w:szCs w:val="32"/>
          <w:shd w:val="clear" w:color="auto" w:fill="FFFFFF"/>
        </w:rPr>
        <w:t>根据阿委办发〔2002〕6号文件规定，团州委主要职责是：行使共青团阿坝州委员会赋予的领导全州共青团工作、领导全州青联和少先队工作的职能，对全州性青年社团组织进行指导和管理。参与制定我州青少年事业发展规划和青少年工作方针、政策，对我州青少年活动阵地、青少年服务机构的建设等进行规划和管理。</w:t>
      </w:r>
      <w:r>
        <w:rPr>
          <w:rFonts w:hint="default" w:ascii="仿宋_GB2312" w:hAnsi="仿宋_GB2312" w:eastAsia="仿宋_GB2312" w:cs="仿宋_GB2312"/>
          <w:sz w:val="32"/>
          <w:szCs w:val="32"/>
          <w:shd w:val="clear" w:color="auto" w:fill="FFFFFF"/>
        </w:rPr>
        <w:t> </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3" w:firstLineChars="200"/>
        <w:jc w:val="left"/>
        <w:textAlignment w:val="auto"/>
        <w:outlineLvl w:val="9"/>
        <w:rPr>
          <w:rFonts w:hint="eastAsia" w:ascii="楷体" w:hAnsi="楷体" w:eastAsia="楷体" w:cs="楷体"/>
          <w:b/>
          <w:bCs/>
          <w:kern w:val="2"/>
          <w:sz w:val="32"/>
          <w:szCs w:val="32"/>
          <w:shd w:val="clear" w:color="auto" w:fill="FFFFFF"/>
          <w:lang w:val="zh-CN" w:eastAsia="zh-CN" w:bidi="ar-SA"/>
        </w:rPr>
      </w:pPr>
      <w:r>
        <w:rPr>
          <w:rFonts w:hint="eastAsia" w:ascii="楷体" w:hAnsi="楷体" w:eastAsia="楷体" w:cs="楷体"/>
          <w:b/>
          <w:bCs/>
          <w:kern w:val="2"/>
          <w:sz w:val="32"/>
          <w:szCs w:val="32"/>
          <w:shd w:val="clear" w:color="auto" w:fill="FFFFFF"/>
          <w:lang w:val="zh-CN" w:eastAsia="zh-CN" w:bidi="ar-SA"/>
        </w:rPr>
        <w:t>（</w:t>
      </w:r>
      <w:r>
        <w:rPr>
          <w:rFonts w:hint="eastAsia" w:ascii="楷体" w:hAnsi="楷体" w:eastAsia="楷体" w:cs="楷体"/>
          <w:b/>
          <w:bCs/>
          <w:kern w:val="2"/>
          <w:sz w:val="32"/>
          <w:szCs w:val="32"/>
          <w:shd w:val="clear" w:color="auto" w:fill="FFFFFF"/>
          <w:lang w:val="en-US" w:eastAsia="zh-CN" w:bidi="ar-SA"/>
        </w:rPr>
        <w:t>三</w:t>
      </w:r>
      <w:r>
        <w:rPr>
          <w:rFonts w:hint="eastAsia" w:ascii="楷体" w:hAnsi="楷体" w:eastAsia="楷体" w:cs="楷体"/>
          <w:b/>
          <w:bCs/>
          <w:kern w:val="2"/>
          <w:sz w:val="32"/>
          <w:szCs w:val="32"/>
          <w:shd w:val="clear" w:color="auto" w:fill="FFFFFF"/>
          <w:lang w:val="zh-CN" w:eastAsia="zh-CN" w:bidi="ar-SA"/>
        </w:rPr>
        <w:t>）人员概况</w:t>
      </w:r>
    </w:p>
    <w:p>
      <w:pPr>
        <w:pStyle w:val="40"/>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60" w:lineRule="exact"/>
        <w:ind w:right="0" w:rightChars="0" w:firstLine="640" w:firstLineChars="200"/>
        <w:jc w:val="left"/>
        <w:textAlignment w:val="auto"/>
        <w:outlineLvl w:val="9"/>
        <w:rPr>
          <w:rFonts w:ascii="仿宋_GB2312" w:cs="宋体"/>
          <w:color w:val="000000"/>
          <w:kern w:val="0"/>
          <w:szCs w:val="32"/>
          <w:shd w:val="clear" w:color="auto" w:fill="FFFFFF"/>
          <w:lang w:val="zh-CN"/>
        </w:rPr>
      </w:pPr>
      <w:r>
        <w:rPr>
          <w:rFonts w:hint="default" w:ascii="仿宋_GB2312" w:hAnsi="仿宋_GB2312" w:eastAsia="仿宋_GB2312" w:cs="仿宋_GB2312"/>
          <w:kern w:val="2"/>
          <w:sz w:val="32"/>
          <w:szCs w:val="32"/>
          <w:shd w:val="clear" w:color="auto" w:fill="FFFFFF"/>
          <w:lang w:val="en-US" w:eastAsia="zh-CN" w:bidi="ar-SA"/>
        </w:rPr>
        <w:t>本单位本年度年末实有人数为</w:t>
      </w:r>
      <w:r>
        <w:rPr>
          <w:rFonts w:hint="eastAsia" w:ascii="仿宋_GB2312" w:hAnsi="仿宋_GB2312" w:eastAsia="仿宋_GB2312" w:cs="仿宋_GB2312"/>
          <w:kern w:val="2"/>
          <w:sz w:val="32"/>
          <w:szCs w:val="32"/>
          <w:shd w:val="clear" w:color="auto" w:fill="FFFFFF"/>
          <w:lang w:val="en-US" w:eastAsia="zh-CN" w:bidi="ar-SA"/>
        </w:rPr>
        <w:t>11</w:t>
      </w:r>
      <w:r>
        <w:rPr>
          <w:rFonts w:hint="default" w:ascii="仿宋_GB2312" w:hAnsi="仿宋_GB2312" w:eastAsia="仿宋_GB2312" w:cs="仿宋_GB2312"/>
          <w:kern w:val="2"/>
          <w:sz w:val="32"/>
          <w:szCs w:val="32"/>
          <w:shd w:val="clear" w:color="auto" w:fill="FFFFFF"/>
          <w:lang w:val="en-US" w:eastAsia="zh-CN" w:bidi="ar-SA"/>
        </w:rPr>
        <w:t>人，比上年</w:t>
      </w:r>
      <w:r>
        <w:rPr>
          <w:rFonts w:hint="eastAsia" w:ascii="仿宋_GB2312" w:hAnsi="仿宋_GB2312" w:eastAsia="仿宋_GB2312" w:cs="仿宋_GB2312"/>
          <w:kern w:val="2"/>
          <w:sz w:val="32"/>
          <w:szCs w:val="32"/>
          <w:shd w:val="clear" w:color="auto" w:fill="FFFFFF"/>
          <w:lang w:val="en-US" w:eastAsia="zh-CN" w:bidi="ar-SA"/>
        </w:rPr>
        <w:t>未增加</w:t>
      </w:r>
      <w:r>
        <w:rPr>
          <w:rFonts w:hint="default" w:ascii="仿宋_GB2312" w:hAnsi="仿宋_GB2312" w:eastAsia="仿宋_GB2312" w:cs="仿宋_GB2312"/>
          <w:kern w:val="2"/>
          <w:sz w:val="32"/>
          <w:szCs w:val="32"/>
          <w:shd w:val="clear" w:color="auto" w:fill="FFFFFF"/>
          <w:lang w:val="en-US" w:eastAsia="zh-CN" w:bidi="ar-SA"/>
        </w:rPr>
        <w:t>；年末实有离退休人数为0人，比上年增加0人。年末实有其他人数为0人，比上年增加0人；无变动。</w:t>
      </w:r>
    </w:p>
    <w:p>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二、部门财政资金收支情况</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3" w:firstLineChars="200"/>
        <w:jc w:val="left"/>
        <w:textAlignment w:val="auto"/>
        <w:outlineLvl w:val="9"/>
        <w:rPr>
          <w:rFonts w:hint="default" w:ascii="楷体" w:hAnsi="楷体" w:eastAsia="楷体" w:cs="楷体"/>
          <w:b/>
          <w:bCs/>
          <w:kern w:val="2"/>
          <w:sz w:val="32"/>
          <w:szCs w:val="32"/>
          <w:shd w:val="clear" w:color="auto" w:fill="FFFFFF"/>
          <w:lang w:val="zh-CN" w:eastAsia="zh-CN" w:bidi="ar-SA"/>
        </w:rPr>
      </w:pPr>
      <w:r>
        <w:rPr>
          <w:rFonts w:hint="eastAsia" w:ascii="楷体" w:hAnsi="楷体" w:eastAsia="楷体" w:cs="楷体"/>
          <w:b/>
          <w:bCs/>
          <w:kern w:val="2"/>
          <w:sz w:val="32"/>
          <w:szCs w:val="32"/>
          <w:shd w:val="clear" w:color="auto" w:fill="FFFFFF"/>
          <w:lang w:val="zh-CN" w:eastAsia="zh-CN" w:bidi="ar-SA"/>
        </w:rPr>
        <w:t>（一）部门财政资金收入情况。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kern w:val="2"/>
          <w:sz w:val="32"/>
          <w:szCs w:val="32"/>
          <w:shd w:val="clear" w:color="auto" w:fill="FFFFFF"/>
          <w:lang w:val="zh-CN" w:eastAsia="zh-CN" w:bidi="ar-SA"/>
        </w:rPr>
      </w:pPr>
      <w:r>
        <w:rPr>
          <w:rFonts w:hint="default" w:ascii="仿宋_GB2312" w:hAnsi="仿宋_GB2312" w:eastAsia="仿宋_GB2312" w:cs="仿宋_GB2312"/>
          <w:kern w:val="2"/>
          <w:sz w:val="32"/>
          <w:szCs w:val="32"/>
          <w:shd w:val="clear" w:color="auto" w:fill="FFFFFF"/>
          <w:lang w:val="zh-CN" w:eastAsia="zh-CN" w:bidi="ar-SA"/>
        </w:rPr>
        <w:t>本单位本年度总收入为315.90万元。其中：一般公共预算财政拨款收入为315.90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3" w:firstLineChars="200"/>
        <w:jc w:val="left"/>
        <w:textAlignment w:val="auto"/>
        <w:outlineLvl w:val="9"/>
        <w:rPr>
          <w:rFonts w:hint="eastAsia" w:ascii="楷体" w:hAnsi="楷体" w:eastAsia="楷体" w:cs="楷体"/>
          <w:b/>
          <w:bCs/>
          <w:kern w:val="2"/>
          <w:sz w:val="32"/>
          <w:szCs w:val="32"/>
          <w:shd w:val="clear" w:color="auto" w:fill="FFFFFF"/>
          <w:lang w:val="zh-CN" w:eastAsia="zh-CN" w:bidi="ar-SA"/>
        </w:rPr>
      </w:pPr>
      <w:r>
        <w:rPr>
          <w:rFonts w:hint="eastAsia" w:ascii="楷体" w:hAnsi="楷体" w:eastAsia="楷体" w:cs="楷体"/>
          <w:b/>
          <w:bCs/>
          <w:kern w:val="2"/>
          <w:sz w:val="32"/>
          <w:szCs w:val="32"/>
          <w:shd w:val="clear" w:color="auto" w:fill="FFFFFF"/>
          <w:lang w:val="zh-CN" w:eastAsia="zh-CN" w:bidi="ar-SA"/>
        </w:rPr>
        <w:t>（二）部门财政资金支出情况</w:t>
      </w:r>
    </w:p>
    <w:p>
      <w:pPr>
        <w:pStyle w:val="40"/>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leftChars="0" w:right="0" w:rightChars="0" w:firstLine="640" w:firstLineChars="200"/>
        <w:jc w:val="left"/>
        <w:textAlignment w:val="auto"/>
        <w:outlineLvl w:val="9"/>
        <w:rPr>
          <w:rFonts w:hint="eastAsia" w:ascii="仿宋_GB2312" w:hAnsi="仿宋_GB2312" w:eastAsia="仿宋_GB2312" w:cs="仿宋_GB2312"/>
          <w:kern w:val="2"/>
          <w:sz w:val="32"/>
          <w:szCs w:val="32"/>
          <w:shd w:val="clear" w:color="auto" w:fill="FFFFFF"/>
          <w:lang w:val="zh-CN" w:eastAsia="zh-CN" w:bidi="ar-SA"/>
        </w:rPr>
      </w:pPr>
      <w:r>
        <w:rPr>
          <w:rFonts w:hint="default" w:ascii="仿宋_GB2312" w:hAnsi="仿宋_GB2312" w:eastAsia="仿宋_GB2312" w:cs="仿宋_GB2312"/>
          <w:kern w:val="2"/>
          <w:sz w:val="32"/>
          <w:szCs w:val="32"/>
          <w:shd w:val="clear" w:color="auto" w:fill="FFFFFF"/>
          <w:lang w:val="zh-CN" w:eastAsia="zh-CN" w:bidi="ar-SA"/>
        </w:rPr>
        <w:t>本年度总支出为346.22万元。其中：一般公共服务支出为284.35万元，占比82.13%；外交支出为0.00万元，占比0.00%；国防支出为0.00万元，占比0.00%；公共安全支出为0.00万元，占比0.00%；教育支出为0.00万元，占比0.00%；科学技术支出为0.00万元，占比0.00%；文化旅游体育与传媒支出为0.00万元，占比0.00%；社会保障和就业支出为25.89万元，占比7.48%；卫生健康支出为14.42万元，占比4.17%；节能环保支出为0.00万元，占比0.00%；城乡社区支出为0.00万元，占比0.00%；农林水支出为0.00万元，占比0.00%；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21.56万元，占比6.23%；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left"/>
        <w:textAlignment w:val="auto"/>
        <w:rPr>
          <w:rFonts w:ascii="仿宋_GB2312" w:cs="宋体"/>
          <w:color w:val="000000"/>
          <w:kern w:val="0"/>
          <w:szCs w:val="32"/>
          <w:shd w:val="clear" w:color="auto" w:fill="FFFFFF"/>
          <w:lang w:val="zh-CN"/>
        </w:rPr>
      </w:pPr>
      <w:r>
        <w:rPr>
          <w:rFonts w:hint="eastAsia" w:ascii="楷体" w:hAnsi="楷体" w:eastAsia="楷体" w:cs="楷体"/>
          <w:b/>
          <w:bCs/>
          <w:kern w:val="2"/>
          <w:sz w:val="32"/>
          <w:szCs w:val="32"/>
          <w:shd w:val="clear" w:color="auto" w:fill="FFFFFF"/>
          <w:lang w:val="zh-CN" w:eastAsia="zh-CN" w:bidi="ar-SA"/>
        </w:rPr>
        <w:t>（一）部门预算管理</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zh-CN" w:eastAsia="zh-CN" w:bidi="ar-SA"/>
        </w:rPr>
        <w:t>加强预算管理和执行力度，本着“以收定支，量入为主，保证重点”的原则，本年度严格按照有关规定和工作需要，合理、科学的对资金进行有序安排，基本支出按照季度均衡原则使用资金，年底预算执行率达</w:t>
      </w:r>
      <w:r>
        <w:rPr>
          <w:rFonts w:hint="eastAsia" w:ascii="仿宋_GB2312" w:hAnsi="仿宋_GB2312" w:eastAsia="仿宋_GB2312" w:cs="仿宋_GB2312"/>
          <w:kern w:val="2"/>
          <w:sz w:val="32"/>
          <w:szCs w:val="32"/>
          <w:shd w:val="clear" w:color="auto" w:fill="FFFFFF"/>
          <w:lang w:val="en-US" w:eastAsia="zh-CN" w:bidi="ar-SA"/>
        </w:rPr>
        <w:t>100%。</w:t>
      </w:r>
      <w:r>
        <w:rPr>
          <w:rFonts w:hint="default" w:ascii="仿宋_GB2312" w:hAnsi="仿宋_GB2312" w:eastAsia="仿宋_GB2312" w:cs="仿宋_GB2312"/>
          <w:kern w:val="2"/>
          <w:sz w:val="32"/>
          <w:szCs w:val="32"/>
          <w:shd w:val="clear" w:color="auto" w:fill="FFFFFF"/>
          <w:lang w:val="zh-CN" w:eastAsia="zh-CN" w:bidi="ar-SA"/>
        </w:rPr>
        <w:t>本单位本年度收入调整预算数为315.90万元，收入决算数为315.90万元，预算完成度为100.00%，上年度预算完成度为100.00%</w:t>
      </w:r>
      <w:r>
        <w:rPr>
          <w:rFonts w:hint="eastAsia" w:ascii="仿宋_GB2312" w:hAnsi="仿宋_GB2312" w:eastAsia="仿宋_GB2312" w:cs="仿宋_GB2312"/>
          <w:kern w:val="2"/>
          <w:sz w:val="32"/>
          <w:szCs w:val="32"/>
          <w:shd w:val="clear" w:color="auto" w:fill="FFFFFF"/>
          <w:lang w:val="zh-CN" w:eastAsia="zh-CN" w:bidi="ar-SA"/>
        </w:rPr>
        <w:t>。</w:t>
      </w:r>
      <w:r>
        <w:rPr>
          <w:rFonts w:hint="default" w:ascii="仿宋_GB2312" w:hAnsi="仿宋_GB2312" w:eastAsia="仿宋_GB2312" w:cs="仿宋_GB2312"/>
          <w:kern w:val="2"/>
          <w:sz w:val="32"/>
          <w:szCs w:val="32"/>
          <w:shd w:val="clear" w:color="auto" w:fill="FFFFFF"/>
          <w:lang w:val="zh-CN" w:eastAsia="zh-CN" w:bidi="ar-SA"/>
        </w:rPr>
        <w:t>本年度支出调整预算数为346.22万元，支出决算数为346.22万元，预算完成度为100.00%</w:t>
      </w:r>
      <w:r>
        <w:rPr>
          <w:rFonts w:hint="eastAsia" w:ascii="仿宋_GB2312" w:hAnsi="仿宋_GB2312" w:eastAsia="仿宋_GB2312" w:cs="仿宋_GB2312"/>
          <w:kern w:val="2"/>
          <w:sz w:val="32"/>
          <w:szCs w:val="32"/>
          <w:shd w:val="clear" w:color="auto" w:fill="FFFFFF"/>
          <w:lang w:val="zh-CN" w:eastAsia="zh-CN" w:bidi="ar-SA"/>
        </w:rPr>
        <w:t>。</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jc w:val="left"/>
        <w:textAlignment w:val="auto"/>
        <w:outlineLvl w:val="9"/>
        <w:rPr>
          <w:rFonts w:hint="default" w:ascii="楷体" w:hAnsi="楷体" w:eastAsia="楷体" w:cs="楷体"/>
          <w:b/>
          <w:bCs/>
          <w:kern w:val="2"/>
          <w:sz w:val="32"/>
          <w:szCs w:val="32"/>
          <w:shd w:val="clear" w:color="auto" w:fill="FFFFFF"/>
          <w:lang w:val="zh-CN" w:eastAsia="zh-CN" w:bidi="ar-SA"/>
        </w:rPr>
      </w:pPr>
      <w:r>
        <w:rPr>
          <w:rFonts w:hint="eastAsia" w:ascii="楷体" w:hAnsi="楷体" w:eastAsia="楷体" w:cs="楷体"/>
          <w:b/>
          <w:bCs/>
          <w:kern w:val="2"/>
          <w:sz w:val="32"/>
          <w:szCs w:val="32"/>
          <w:shd w:val="clear" w:color="auto" w:fill="FFFFFF"/>
          <w:lang w:val="zh-CN" w:eastAsia="zh-CN" w:bidi="ar-SA"/>
        </w:rPr>
        <w:t>（二）结果应用情况</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信息公开。在规定时间按照统一格式、内容、口径分别在政府门户网站公开了2020年部门预算、2019年部门决算，信息做到基础数据真实、准确、完整。</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outlineLvl w:val="9"/>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left"/>
        <w:textAlignment w:val="auto"/>
        <w:rPr>
          <w:rFonts w:hint="eastAsia" w:ascii="仿宋_GB2312" w:hAnsi="仿宋_GB2312" w:eastAsia="仿宋_GB2312" w:cs="仿宋_GB2312"/>
          <w:kern w:val="2"/>
          <w:sz w:val="32"/>
          <w:szCs w:val="32"/>
          <w:shd w:val="clear" w:color="auto" w:fill="FFFFFF"/>
          <w:lang w:val="zh-CN" w:eastAsia="zh-CN" w:bidi="ar-SA"/>
        </w:rPr>
      </w:pPr>
      <w:r>
        <w:rPr>
          <w:rFonts w:hint="eastAsia" w:ascii="楷体" w:hAnsi="楷体" w:eastAsia="楷体" w:cs="楷体"/>
          <w:b/>
          <w:bCs/>
          <w:kern w:val="2"/>
          <w:sz w:val="32"/>
          <w:szCs w:val="32"/>
          <w:shd w:val="clear" w:color="auto" w:fill="FFFFFF"/>
          <w:lang w:val="zh-CN" w:eastAsia="zh-CN" w:bidi="ar-SA"/>
        </w:rPr>
        <w:t>（一）评价结论。</w:t>
      </w:r>
      <w:r>
        <w:rPr>
          <w:rFonts w:hint="eastAsia" w:ascii="仿宋_GB2312" w:hAnsi="仿宋_GB2312" w:eastAsia="仿宋_GB2312" w:cs="仿宋_GB2312"/>
          <w:kern w:val="2"/>
          <w:sz w:val="32"/>
          <w:szCs w:val="32"/>
          <w:shd w:val="clear" w:color="auto" w:fill="FFFFFF"/>
          <w:lang w:val="zh-CN" w:eastAsia="zh-CN" w:bidi="ar-SA"/>
        </w:rPr>
        <w:t>通过绩效评价，我委</w:t>
      </w:r>
      <w:r>
        <w:rPr>
          <w:rFonts w:hint="eastAsia" w:ascii="仿宋_GB2312" w:hAnsi="仿宋_GB2312" w:eastAsia="仿宋_GB2312" w:cs="仿宋_GB2312"/>
          <w:kern w:val="2"/>
          <w:sz w:val="32"/>
          <w:szCs w:val="32"/>
          <w:shd w:val="clear" w:color="auto" w:fill="FFFFFF"/>
          <w:lang w:val="en-US" w:eastAsia="zh-CN" w:bidi="ar-SA"/>
        </w:rPr>
        <w:t>2020年部门整体支出绩效自我评价得到84分、2020年度部门预算具有明确的用途和目标，制定了详细的执行计划，资金到位及时并严格按照财政有关规定使用。预算决策、管理、执行等日益规范，能较好地满足工作需要，取得了良好的社会效益。</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jc w:val="left"/>
        <w:textAlignment w:val="auto"/>
        <w:outlineLvl w:val="9"/>
        <w:rPr>
          <w:rFonts w:hint="eastAsia" w:ascii="楷体" w:hAnsi="楷体" w:eastAsia="楷体" w:cs="楷体"/>
          <w:b/>
          <w:bCs/>
          <w:kern w:val="2"/>
          <w:sz w:val="32"/>
          <w:szCs w:val="32"/>
          <w:shd w:val="clear" w:color="auto" w:fill="FFFFFF"/>
          <w:lang w:val="zh-CN" w:eastAsia="zh-CN" w:bidi="ar-SA"/>
        </w:rPr>
      </w:pPr>
      <w:r>
        <w:rPr>
          <w:rFonts w:hint="eastAsia" w:ascii="楷体" w:hAnsi="楷体" w:eastAsia="楷体" w:cs="楷体"/>
          <w:b/>
          <w:bCs/>
          <w:kern w:val="2"/>
          <w:sz w:val="32"/>
          <w:szCs w:val="32"/>
          <w:shd w:val="clear" w:color="auto" w:fill="FFFFFF"/>
          <w:lang w:val="zh-CN" w:eastAsia="zh-CN" w:bidi="ar-SA"/>
        </w:rPr>
        <w:t>（二）存在问题</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1.部分项目资金支付进度滞后。</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2.内控制度需进一步完善，随着资金管理改革的进一步推进，我单位内部机构进行了相应的优化，建立健全了财务管理制度、固定资产管理制度等制度，但仍需要进一步强化财务约束监督体制。</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jc w:val="left"/>
        <w:textAlignment w:val="auto"/>
        <w:outlineLvl w:val="9"/>
        <w:rPr>
          <w:rFonts w:hint="eastAsia" w:ascii="楷体" w:hAnsi="楷体" w:eastAsia="楷体" w:cs="楷体"/>
          <w:b/>
          <w:bCs/>
          <w:kern w:val="2"/>
          <w:sz w:val="32"/>
          <w:szCs w:val="32"/>
          <w:shd w:val="clear" w:color="auto" w:fill="FFFFFF"/>
          <w:lang w:val="zh-CN" w:eastAsia="zh-CN" w:bidi="ar-SA"/>
        </w:rPr>
      </w:pPr>
      <w:r>
        <w:rPr>
          <w:rFonts w:hint="eastAsia" w:ascii="楷体" w:hAnsi="楷体" w:eastAsia="楷体" w:cs="楷体"/>
          <w:b/>
          <w:bCs/>
          <w:kern w:val="2"/>
          <w:sz w:val="32"/>
          <w:szCs w:val="32"/>
          <w:shd w:val="clear" w:color="auto" w:fill="FFFFFF"/>
          <w:lang w:val="zh-CN" w:eastAsia="zh-CN" w:bidi="ar-SA"/>
        </w:rPr>
        <w:t>（三）改进建议</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1.科学合理编制预算，严格执行预算。进一步提高预算编制到位率，做准做全基本支出预算，做全项目支出预算，加强预算支出的审核、跟踪及预算执行情况分析，提高预算编制严谨性和可控性。</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2.进一步强化项目资金管理。严格实行项目管理程序化，实现项目申报、实施、拨付、评价全流程监督与控制，规范专项资金管理，提高专项资金的使用效益。</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2"/>
          <w:sz w:val="32"/>
          <w:szCs w:val="32"/>
          <w:shd w:val="clear" w:color="auto" w:fill="FFFFFF"/>
          <w:lang w:val="en-US" w:eastAsia="zh-CN" w:bidi="ar-SA"/>
        </w:rPr>
        <w:t>3.进一步完善内部管理制度，提升管理效能，更好地履行职能职责。</w:t>
      </w:r>
    </w:p>
    <w:p>
      <w:pPr>
        <w:spacing w:line="600" w:lineRule="exact"/>
        <w:jc w:val="left"/>
        <w:outlineLvl w:val="0"/>
        <w:rPr>
          <w:rFonts w:ascii="黑体" w:hAnsi="黑体" w:eastAsia="黑体" w:cs="黑体"/>
          <w:sz w:val="32"/>
          <w:szCs w:val="32"/>
        </w:rPr>
      </w:pPr>
      <w:bookmarkStart w:id="117" w:name="_Toc79163633"/>
      <w:bookmarkStart w:id="118" w:name="_Toc79163883"/>
      <w:r>
        <w:rPr>
          <w:rFonts w:hint="eastAsia" w:ascii="黑体" w:hAnsi="黑体" w:eastAsia="黑体" w:cs="黑体"/>
          <w:sz w:val="32"/>
          <w:szCs w:val="32"/>
        </w:rPr>
        <w:t>附件</w:t>
      </w:r>
      <w:r>
        <w:rPr>
          <w:rFonts w:ascii="黑体" w:hAnsi="黑体" w:eastAsia="黑体" w:cs="黑体"/>
          <w:sz w:val="32"/>
          <w:szCs w:val="32"/>
        </w:rPr>
        <w:t>2</w:t>
      </w:r>
      <w:bookmarkEnd w:id="117"/>
      <w:bookmarkEnd w:id="118"/>
    </w:p>
    <w:p>
      <w:pPr>
        <w:keepNext w:val="0"/>
        <w:keepLines w:val="0"/>
        <w:pageBreakBefore w:val="0"/>
        <w:kinsoku/>
        <w:wordWrap/>
        <w:overflowPunct/>
        <w:topLinePunct w:val="0"/>
        <w:autoSpaceDE/>
        <w:autoSpaceDN/>
        <w:bidi w:val="0"/>
        <w:adjustRightInd/>
        <w:spacing w:beforeAutospacing="0" w:afterAutospacing="0" w:line="576" w:lineRule="exact"/>
        <w:jc w:val="center"/>
        <w:rPr>
          <w:rFonts w:hint="eastAsia" w:ascii="黑体" w:hAnsi="黑体" w:eastAsia="黑体" w:cs="黑体"/>
          <w:sz w:val="32"/>
          <w:szCs w:val="32"/>
        </w:rPr>
      </w:pPr>
      <w:r>
        <w:rPr>
          <w:rFonts w:hint="eastAsia" w:ascii="黑体" w:hAnsi="黑体" w:eastAsia="黑体" w:cs="黑体"/>
          <w:sz w:val="32"/>
          <w:szCs w:val="32"/>
          <w:lang w:val="en-US" w:eastAsia="zh-CN"/>
        </w:rPr>
        <w:t>共青团阿坝州委2020</w:t>
      </w:r>
      <w:r>
        <w:rPr>
          <w:rFonts w:hint="eastAsia" w:ascii="黑体" w:hAnsi="黑体" w:eastAsia="黑体" w:cs="黑体"/>
          <w:sz w:val="32"/>
          <w:szCs w:val="32"/>
        </w:rPr>
        <w:t>年项目支出绩效评价报告</w:t>
      </w:r>
    </w:p>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ascii="黑体" w:hAnsi="黑体" w:eastAsia="黑体" w:cs="黑体"/>
          <w:sz w:val="32"/>
          <w:szCs w:val="32"/>
        </w:rPr>
      </w:pPr>
      <w:r>
        <w:rPr>
          <w:rFonts w:hint="eastAsia" w:ascii="黑体" w:hAnsi="黑体" w:eastAsia="黑体" w:cs="黑体"/>
          <w:sz w:val="32"/>
          <w:szCs w:val="32"/>
        </w:rPr>
        <w:t>一、评价工作开展及项目情况</w:t>
      </w:r>
    </w:p>
    <w:p>
      <w:pPr>
        <w:keepNext w:val="0"/>
        <w:keepLines w:val="0"/>
        <w:pageBreakBefore w:val="0"/>
        <w:kinsoku/>
        <w:wordWrap/>
        <w:overflowPunct/>
        <w:topLinePunct w:val="0"/>
        <w:autoSpaceDE/>
        <w:autoSpaceDN/>
        <w:bidi w:val="0"/>
        <w:adjustRightInd/>
        <w:spacing w:beforeAutospacing="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（一）评价工作开展情况</w:t>
      </w:r>
    </w:p>
    <w:p>
      <w:pPr>
        <w:pStyle w:val="20"/>
        <w:keepNext w:val="0"/>
        <w:keepLines w:val="0"/>
        <w:pageBreakBefore w:val="0"/>
        <w:widowControl/>
        <w:kinsoku/>
        <w:wordWrap/>
        <w:overflowPunct/>
        <w:topLinePunct w:val="0"/>
        <w:autoSpaceDE/>
        <w:autoSpaceDN/>
        <w:bidi w:val="0"/>
        <w:adjustRightInd/>
        <w:spacing w:before="0" w:beforeAutospacing="0" w:after="0" w:afterAutospacing="0" w:line="576" w:lineRule="exact"/>
        <w:ind w:left="45" w:right="45" w:firstLine="420"/>
        <w:jc w:val="both"/>
        <w:rPr>
          <w:rFonts w:eastAsia="仿宋_GB2312"/>
          <w:sz w:val="32"/>
          <w:szCs w:val="32"/>
        </w:rPr>
      </w:pPr>
      <w:r>
        <w:rPr>
          <w:rFonts w:eastAsia="仿宋_GB2312"/>
          <w:sz w:val="32"/>
          <w:szCs w:val="32"/>
        </w:rPr>
        <w:t>为加强财政专项资金管理，提高资金使用效益，根据《中华人民共和国预算法》和</w:t>
      </w:r>
      <w:r>
        <w:rPr>
          <w:rFonts w:hint="eastAsia" w:eastAsia="仿宋_GB2312"/>
          <w:sz w:val="32"/>
          <w:szCs w:val="32"/>
        </w:rPr>
        <w:t>《关于开展20</w:t>
      </w:r>
      <w:r>
        <w:rPr>
          <w:rFonts w:hint="eastAsia" w:eastAsia="仿宋_GB2312"/>
          <w:sz w:val="32"/>
          <w:szCs w:val="32"/>
          <w:lang w:val="en-US" w:eastAsia="zh-CN"/>
        </w:rPr>
        <w:t>20</w:t>
      </w:r>
      <w:r>
        <w:rPr>
          <w:rFonts w:hint="eastAsia" w:eastAsia="仿宋_GB2312"/>
          <w:sz w:val="32"/>
          <w:szCs w:val="32"/>
        </w:rPr>
        <w:t>年财政支出绩效评价工作的通知》（阿州财</w:t>
      </w:r>
      <w:r>
        <w:rPr>
          <w:rFonts w:hint="eastAsia" w:eastAsia="仿宋_GB2312"/>
          <w:sz w:val="32"/>
          <w:szCs w:val="32"/>
          <w:lang w:eastAsia="zh-CN"/>
        </w:rPr>
        <w:t>监绩</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号</w:t>
      </w:r>
      <w:r>
        <w:rPr>
          <w:rFonts w:hint="eastAsia" w:eastAsia="仿宋_GB2312"/>
          <w:sz w:val="32"/>
          <w:szCs w:val="32"/>
        </w:rPr>
        <w:t>）</w:t>
      </w:r>
      <w:r>
        <w:rPr>
          <w:rFonts w:eastAsia="仿宋_GB2312"/>
          <w:sz w:val="32"/>
          <w:szCs w:val="32"/>
        </w:rPr>
        <w:t>的要求，我</w:t>
      </w:r>
      <w:r>
        <w:rPr>
          <w:rFonts w:hint="eastAsia" w:eastAsia="仿宋_GB2312"/>
          <w:sz w:val="32"/>
          <w:szCs w:val="32"/>
        </w:rPr>
        <w:t>委</w:t>
      </w:r>
      <w:r>
        <w:rPr>
          <w:rFonts w:eastAsia="仿宋_GB2312"/>
          <w:sz w:val="32"/>
          <w:szCs w:val="32"/>
        </w:rPr>
        <w:t>对20</w:t>
      </w:r>
      <w:r>
        <w:rPr>
          <w:rFonts w:hint="eastAsia" w:eastAsia="仿宋_GB2312"/>
          <w:sz w:val="32"/>
          <w:szCs w:val="32"/>
          <w:lang w:val="en-US" w:eastAsia="zh-CN"/>
        </w:rPr>
        <w:t>20</w:t>
      </w:r>
      <w:r>
        <w:rPr>
          <w:rFonts w:eastAsia="仿宋_GB2312"/>
          <w:sz w:val="32"/>
          <w:szCs w:val="32"/>
        </w:rPr>
        <w:t>年度部门整体支出</w:t>
      </w:r>
      <w:r>
        <w:rPr>
          <w:rFonts w:hint="eastAsia" w:eastAsia="仿宋_GB2312"/>
          <w:sz w:val="32"/>
          <w:szCs w:val="32"/>
        </w:rPr>
        <w:t>及项目支出</w:t>
      </w:r>
      <w:r>
        <w:rPr>
          <w:rFonts w:eastAsia="仿宋_GB2312"/>
          <w:sz w:val="32"/>
          <w:szCs w:val="32"/>
        </w:rPr>
        <w:t>进行绩效评价</w:t>
      </w:r>
      <w:r>
        <w:rPr>
          <w:rFonts w:hint="eastAsia" w:eastAsia="仿宋_GB2312"/>
          <w:sz w:val="32"/>
          <w:szCs w:val="32"/>
        </w:rPr>
        <w:t>。</w:t>
      </w:r>
    </w:p>
    <w:p>
      <w:pPr>
        <w:keepNext w:val="0"/>
        <w:keepLines w:val="0"/>
        <w:pageBreakBefore w:val="0"/>
        <w:numPr>
          <w:ilvl w:val="0"/>
          <w:numId w:val="6"/>
        </w:numPr>
        <w:kinsoku/>
        <w:wordWrap/>
        <w:overflowPunct/>
        <w:topLinePunct w:val="0"/>
        <w:autoSpaceDE/>
        <w:autoSpaceDN/>
        <w:bidi w:val="0"/>
        <w:adjustRightInd/>
        <w:spacing w:beforeAutospacing="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项目基本情况</w:t>
      </w:r>
    </w:p>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eastAsia="仿宋_GB2312"/>
          <w:sz w:val="32"/>
          <w:szCs w:val="32"/>
        </w:rPr>
      </w:pPr>
      <w:r>
        <w:rPr>
          <w:rFonts w:eastAsia="仿宋_GB2312"/>
          <w:sz w:val="32"/>
          <w:szCs w:val="32"/>
        </w:rPr>
        <w:t>本报告评价的项目支出为我</w:t>
      </w:r>
      <w:r>
        <w:rPr>
          <w:rFonts w:hint="eastAsia" w:eastAsia="仿宋_GB2312"/>
          <w:sz w:val="32"/>
          <w:szCs w:val="32"/>
        </w:rPr>
        <w:t>委</w:t>
      </w:r>
      <w:r>
        <w:rPr>
          <w:rFonts w:eastAsia="仿宋_GB2312"/>
          <w:sz w:val="32"/>
          <w:szCs w:val="32"/>
        </w:rPr>
        <w:t>纳入州本级</w:t>
      </w:r>
      <w:r>
        <w:rPr>
          <w:rFonts w:hint="eastAsia" w:eastAsia="仿宋_GB2312"/>
          <w:sz w:val="32"/>
          <w:szCs w:val="32"/>
          <w:lang w:val="en-US" w:eastAsia="zh-CN"/>
        </w:rPr>
        <w:t>2020</w:t>
      </w:r>
      <w:r>
        <w:rPr>
          <w:rFonts w:eastAsia="仿宋_GB2312"/>
          <w:sz w:val="32"/>
          <w:szCs w:val="32"/>
        </w:rPr>
        <w:t>年度预算管理的整体支出绩效目标管理的</w:t>
      </w:r>
      <w:r>
        <w:rPr>
          <w:rFonts w:hint="eastAsia" w:eastAsia="仿宋_GB2312"/>
          <w:sz w:val="32"/>
          <w:szCs w:val="32"/>
        </w:rPr>
        <w:t>项目</w:t>
      </w:r>
      <w:r>
        <w:rPr>
          <w:rFonts w:eastAsia="仿宋_GB2312"/>
          <w:sz w:val="32"/>
          <w:szCs w:val="32"/>
        </w:rPr>
        <w:t>共计5项，</w:t>
      </w:r>
      <w:r>
        <w:rPr>
          <w:rFonts w:hint="eastAsia" w:eastAsia="仿宋_GB2312"/>
          <w:sz w:val="32"/>
          <w:szCs w:val="32"/>
        </w:rPr>
        <w:t>涉及</w:t>
      </w:r>
      <w:r>
        <w:rPr>
          <w:rFonts w:eastAsia="仿宋_GB2312"/>
          <w:sz w:val="32"/>
          <w:szCs w:val="32"/>
        </w:rPr>
        <w:t>资金</w:t>
      </w:r>
      <w:r>
        <w:rPr>
          <w:rFonts w:hint="eastAsia" w:eastAsia="仿宋_GB2312"/>
          <w:sz w:val="32"/>
          <w:szCs w:val="32"/>
        </w:rPr>
        <w:t>共计</w:t>
      </w:r>
      <w:r>
        <w:rPr>
          <w:rFonts w:hint="eastAsia" w:eastAsia="仿宋_GB2312"/>
          <w:sz w:val="32"/>
          <w:szCs w:val="32"/>
          <w:lang w:val="en-US" w:eastAsia="zh-CN"/>
        </w:rPr>
        <w:t>65</w:t>
      </w:r>
      <w:r>
        <w:rPr>
          <w:rFonts w:eastAsia="仿宋_GB2312"/>
          <w:sz w:val="32"/>
          <w:szCs w:val="32"/>
        </w:rPr>
        <w:t>万元</w:t>
      </w:r>
      <w:r>
        <w:rPr>
          <w:rFonts w:hint="eastAsia" w:eastAsia="仿宋_GB2312"/>
          <w:sz w:val="32"/>
          <w:szCs w:val="32"/>
        </w:rPr>
        <w:t>。</w:t>
      </w:r>
    </w:p>
    <w:p>
      <w:pPr>
        <w:pStyle w:val="20"/>
        <w:keepNext w:val="0"/>
        <w:keepLines w:val="0"/>
        <w:pageBreakBefore w:val="0"/>
        <w:widowControl/>
        <w:kinsoku/>
        <w:wordWrap/>
        <w:overflowPunct/>
        <w:topLinePunct w:val="0"/>
        <w:autoSpaceDE/>
        <w:autoSpaceDN/>
        <w:bidi w:val="0"/>
        <w:adjustRightInd/>
        <w:spacing w:before="0" w:beforeAutospacing="0" w:after="0" w:afterAutospacing="0" w:line="576"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 立项背景及目的</w:t>
      </w:r>
    </w:p>
    <w:tbl>
      <w:tblPr>
        <w:tblStyle w:val="2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1284"/>
        <w:gridCol w:w="2571"/>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tblCellSpacing w:w="0" w:type="dxa"/>
        </w:trPr>
        <w:tc>
          <w:tcPr>
            <w:tcW w:w="2646"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项目名称</w:t>
            </w:r>
          </w:p>
        </w:tc>
        <w:tc>
          <w:tcPr>
            <w:tcW w:w="1284"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支出金额（万元）</w:t>
            </w:r>
          </w:p>
        </w:tc>
        <w:tc>
          <w:tcPr>
            <w:tcW w:w="2571"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立项背景</w:t>
            </w:r>
          </w:p>
        </w:tc>
        <w:tc>
          <w:tcPr>
            <w:tcW w:w="2289"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立项目的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tblCellSpacing w:w="0" w:type="dxa"/>
        </w:trPr>
        <w:tc>
          <w:tcPr>
            <w:tcW w:w="2646"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shd w:val="clear" w:color="auto" w:fill="FFFFFF"/>
                <w:lang w:val="en-US" w:eastAsia="zh-CN"/>
              </w:rPr>
              <w:t>新媒体、网站运行维护项目</w:t>
            </w:r>
          </w:p>
        </w:tc>
        <w:tc>
          <w:tcPr>
            <w:tcW w:w="1284"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val="en-US" w:eastAsia="zh-CN"/>
              </w:rPr>
              <w:t>6</w:t>
            </w:r>
          </w:p>
        </w:tc>
        <w:tc>
          <w:tcPr>
            <w:tcW w:w="2571" w:type="dxa"/>
            <w:noWrap w:val="0"/>
            <w:tcMar>
              <w:left w:w="84" w:type="dxa"/>
              <w:right w:w="84"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textAlignment w:val="auto"/>
              <w:outlineLvl w:val="9"/>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团属网站、组织新媒体小编开展宣传培训、官方微信、博客，团干个人微博、微信的运营维护。</w:t>
            </w:r>
          </w:p>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textAlignment w:val="auto"/>
              <w:outlineLvl w:val="9"/>
              <w:rPr>
                <w:rFonts w:hint="eastAsia" w:ascii="仿宋" w:hAnsi="仿宋" w:eastAsia="仿宋" w:cs="仿宋"/>
                <w:color w:val="000000"/>
                <w:sz w:val="21"/>
                <w:szCs w:val="21"/>
              </w:rPr>
            </w:pPr>
          </w:p>
        </w:tc>
        <w:tc>
          <w:tcPr>
            <w:tcW w:w="2289" w:type="dxa"/>
            <w:noWrap w:val="0"/>
            <w:tcMar>
              <w:left w:w="84" w:type="dxa"/>
              <w:right w:w="84"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textAlignment w:val="auto"/>
              <w:outlineLvl w:val="9"/>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val="en-US" w:eastAsia="zh-CN"/>
              </w:rPr>
              <w:t>着力打造团属新媒体阵地，县级团委采用软件终端开通网络视频会议系统，推动团属网站的升级管理，推动县级及县级以下团组织、学校、企业和团干部开通官方、个人微博、微信，建立共青团系统微博、微信体系，着力提升共青团微博、微信活跃度和影响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0" w:hRule="atLeast"/>
          <w:tblCellSpacing w:w="0" w:type="dxa"/>
        </w:trPr>
        <w:tc>
          <w:tcPr>
            <w:tcW w:w="2646"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shd w:val="clear" w:color="auto" w:fill="FFFFFF"/>
                <w:lang w:val="en-US" w:eastAsia="zh-CN"/>
              </w:rPr>
              <w:t>西部计划及青年志愿者专项工作经费</w:t>
            </w:r>
          </w:p>
        </w:tc>
        <w:tc>
          <w:tcPr>
            <w:tcW w:w="1284"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25</w:t>
            </w:r>
          </w:p>
        </w:tc>
        <w:tc>
          <w:tcPr>
            <w:tcW w:w="2571" w:type="dxa"/>
            <w:noWrap w:val="0"/>
            <w:tcMar>
              <w:left w:w="84" w:type="dxa"/>
              <w:right w:w="84"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textAlignment w:val="auto"/>
              <w:outlineLvl w:val="9"/>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根据团中央、财政部、教育部等相关部门的文件精神，各地要切实做好对志愿大学生的服务工作，给他们创造一个宽松、舒适的工作环境</w:t>
            </w:r>
          </w:p>
        </w:tc>
        <w:tc>
          <w:tcPr>
            <w:tcW w:w="2289" w:type="dxa"/>
            <w:noWrap w:val="0"/>
            <w:tcMar>
              <w:left w:w="84" w:type="dxa"/>
              <w:right w:w="84"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textAlignment w:val="auto"/>
              <w:outlineLvl w:val="9"/>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有效做好全州“西部计划”及青年志愿者专项管理和服务指导工作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7" w:hRule="atLeast"/>
          <w:tblCellSpacing w:w="0" w:type="dxa"/>
        </w:trPr>
        <w:tc>
          <w:tcPr>
            <w:tcW w:w="2646"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shd w:val="clear" w:color="auto" w:fill="FFFFFF"/>
                <w:lang w:val="en-US" w:eastAsia="zh-CN"/>
              </w:rPr>
              <w:t>团干部、辅导员及双创青年培训经费</w:t>
            </w:r>
          </w:p>
        </w:tc>
        <w:tc>
          <w:tcPr>
            <w:tcW w:w="1284"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20</w:t>
            </w:r>
          </w:p>
        </w:tc>
        <w:tc>
          <w:tcPr>
            <w:tcW w:w="2571" w:type="dxa"/>
            <w:noWrap w:val="0"/>
            <w:tcMar>
              <w:left w:w="84" w:type="dxa"/>
              <w:right w:w="84" w:type="dxa"/>
            </w:tcMar>
            <w:vAlign w:val="top"/>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textAlignment w:val="auto"/>
              <w:outlineLvl w:val="9"/>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建立完善党建带团建工作机制</w:t>
            </w:r>
          </w:p>
        </w:tc>
        <w:tc>
          <w:tcPr>
            <w:tcW w:w="2289"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textAlignment w:val="auto"/>
              <w:outlineLvl w:val="9"/>
              <w:rPr>
                <w:rFonts w:hint="eastAsia" w:ascii="仿宋" w:hAnsi="仿宋" w:eastAsia="仿宋" w:cs="仿宋"/>
                <w:color w:val="000000"/>
                <w:sz w:val="21"/>
                <w:szCs w:val="21"/>
              </w:rPr>
            </w:pPr>
            <w:r>
              <w:rPr>
                <w:rFonts w:hint="eastAsia" w:ascii="仿宋" w:hAnsi="仿宋" w:eastAsia="仿宋" w:cs="仿宋"/>
                <w:color w:val="000000"/>
                <w:sz w:val="21"/>
                <w:szCs w:val="21"/>
              </w:rPr>
              <w:t>进一步巩固“百乡千村”建设成果，对部分优秀乡、村团组织进行硬件完善。乡镇(社区)团建工作纳入同级党委党建工作规划和年度考核内容，考核比重不低于10%。建立基层团干部激励和经费保障机制。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tblCellSpacing w:w="0" w:type="dxa"/>
        </w:trPr>
        <w:tc>
          <w:tcPr>
            <w:tcW w:w="2646"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shd w:val="clear" w:color="auto" w:fill="FFFFFF"/>
                <w:lang w:val="en-US" w:eastAsia="zh-CN"/>
              </w:rPr>
              <w:t>基层团组织建设及五四活动经费</w:t>
            </w:r>
          </w:p>
        </w:tc>
        <w:tc>
          <w:tcPr>
            <w:tcW w:w="1284"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w:t>
            </w:r>
          </w:p>
        </w:tc>
        <w:tc>
          <w:tcPr>
            <w:tcW w:w="2571" w:type="dxa"/>
            <w:noWrap w:val="0"/>
            <w:tcMar>
              <w:left w:w="84" w:type="dxa"/>
              <w:right w:w="84"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textAlignment w:val="auto"/>
              <w:outlineLvl w:val="9"/>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提高广大团干尤其是基层团干和少先队辅导员的业务水准是共青团工作开展的重要保障。青年就业创业工作是新时期共青团服务青年工作的重要抓手。</w:t>
            </w:r>
          </w:p>
        </w:tc>
        <w:tc>
          <w:tcPr>
            <w:tcW w:w="2289" w:type="dxa"/>
            <w:noWrap w:val="0"/>
            <w:tcMar>
              <w:left w:w="84" w:type="dxa"/>
              <w:right w:w="84"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textAlignment w:val="auto"/>
              <w:outlineLvl w:val="9"/>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分层分类开展团干部业务培训，重点抓好乡镇、村、企业团干部培训工作，全面提升团干部的政治理论素质，努力加强团的队伍建设。切实培养农村致富带头人和青年岗位能手。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tblCellSpacing w:w="0" w:type="dxa"/>
        </w:trPr>
        <w:tc>
          <w:tcPr>
            <w:tcW w:w="2646"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shd w:val="clear" w:color="auto" w:fill="FFFFFF"/>
                <w:lang w:eastAsia="zh-CN"/>
              </w:rPr>
              <w:t>青少年工作经费</w:t>
            </w:r>
          </w:p>
        </w:tc>
        <w:tc>
          <w:tcPr>
            <w:tcW w:w="1284"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w:t>
            </w:r>
          </w:p>
        </w:tc>
        <w:tc>
          <w:tcPr>
            <w:tcW w:w="2571"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textAlignment w:val="auto"/>
              <w:outlineLvl w:val="9"/>
              <w:rPr>
                <w:rFonts w:hint="eastAsia" w:ascii="仿宋" w:hAnsi="仿宋" w:eastAsia="仿宋" w:cs="仿宋"/>
                <w:color w:val="000000"/>
                <w:sz w:val="21"/>
                <w:szCs w:val="21"/>
              </w:rPr>
            </w:pPr>
            <w:r>
              <w:rPr>
                <w:rFonts w:hint="eastAsia" w:ascii="仿宋" w:hAnsi="仿宋" w:eastAsia="仿宋" w:cs="仿宋"/>
                <w:color w:val="000000"/>
                <w:sz w:val="21"/>
                <w:szCs w:val="21"/>
              </w:rPr>
              <w:t>根据《四川省人民政府办公厅关于落实省委工会共青团妇联工作会议精神的意见》（川委发〔2013〕18号）和《中共阿坝州委常委会议纪要》（阿委八届第16号）文件，按工作对象提取共青团工作专项经费，按不低于人均1元的标准在年度预算中相应安排共青团组织工作专项经费，适当解决青教办工作经费的精神</w:t>
            </w:r>
            <w:r>
              <w:rPr>
                <w:rFonts w:hint="eastAsia" w:ascii="仿宋" w:hAnsi="仿宋" w:eastAsia="仿宋" w:cs="仿宋"/>
                <w:color w:val="000000"/>
                <w:sz w:val="21"/>
                <w:szCs w:val="21"/>
                <w:lang w:eastAsia="zh-CN"/>
              </w:rPr>
              <w:t>。</w:t>
            </w:r>
          </w:p>
        </w:tc>
        <w:tc>
          <w:tcPr>
            <w:tcW w:w="2289" w:type="dxa"/>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textAlignment w:val="auto"/>
              <w:outlineLvl w:val="9"/>
              <w:rPr>
                <w:rFonts w:hint="eastAsia" w:ascii="仿宋" w:hAnsi="仿宋" w:eastAsia="仿宋" w:cs="仿宋"/>
                <w:color w:val="000000"/>
                <w:sz w:val="21"/>
                <w:szCs w:val="21"/>
              </w:rPr>
            </w:pPr>
            <w:r>
              <w:rPr>
                <w:rFonts w:hint="eastAsia" w:ascii="仿宋" w:hAnsi="仿宋" w:eastAsia="仿宋" w:cs="仿宋"/>
                <w:color w:val="000000"/>
                <w:sz w:val="21"/>
                <w:szCs w:val="21"/>
              </w:rPr>
              <w:t>该经费主要用于开展青少年思想引领，制作“青少年维权岗”和“未成年人维权行动月”资料，“12355青少年维权、心理咨询和救助服务热线”平台建设及维护,加强重点青少年群体服务管理和预防犯罪工作州、县两级核心指标体系建立，重点青少年管理试点工作富有成效。　</w:t>
            </w:r>
          </w:p>
        </w:tc>
      </w:tr>
    </w:tbl>
    <w:p>
      <w:pPr>
        <w:pStyle w:val="20"/>
        <w:keepNext w:val="0"/>
        <w:keepLines w:val="0"/>
        <w:pageBreakBefore w:val="0"/>
        <w:widowControl/>
        <w:kinsoku/>
        <w:wordWrap/>
        <w:overflowPunct/>
        <w:topLinePunct w:val="0"/>
        <w:autoSpaceDE/>
        <w:autoSpaceDN/>
        <w:bidi w:val="0"/>
        <w:adjustRightInd/>
        <w:spacing w:before="0" w:beforeAutospacing="0" w:after="0" w:afterAutospacing="0" w:line="576" w:lineRule="exact"/>
        <w:ind w:firstLine="320" w:firstLineChars="100"/>
        <w:rPr>
          <w:rFonts w:eastAsia="仿宋_GB2312"/>
          <w:b/>
          <w:bCs/>
          <w:sz w:val="32"/>
          <w:szCs w:val="32"/>
        </w:rPr>
      </w:pPr>
      <w:r>
        <w:rPr>
          <w:rFonts w:hint="eastAsia" w:ascii="仿宋_GB2312" w:hAnsi="仿宋_GB2312" w:eastAsia="仿宋_GB2312" w:cs="仿宋_GB2312"/>
          <w:color w:val="F9F9F9"/>
          <w:sz w:val="32"/>
          <w:szCs w:val="32"/>
        </w:rPr>
        <w:t xml:space="preserve">  </w:t>
      </w:r>
      <w:r>
        <w:rPr>
          <w:rFonts w:hint="eastAsia" w:ascii="仿宋_GB2312" w:hAnsi="仿宋_GB2312" w:eastAsia="仿宋_GB2312" w:cs="仿宋_GB2312"/>
          <w:b/>
          <w:bCs/>
          <w:sz w:val="32"/>
          <w:szCs w:val="32"/>
        </w:rPr>
        <w:t>2.组织及管理情况</w:t>
      </w:r>
    </w:p>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eastAsia="仿宋_GB2312"/>
          <w:sz w:val="32"/>
          <w:szCs w:val="32"/>
        </w:rPr>
      </w:pPr>
      <w:r>
        <w:rPr>
          <w:rFonts w:hint="eastAsia" w:eastAsia="仿宋_GB2312"/>
          <w:sz w:val="32"/>
          <w:szCs w:val="32"/>
        </w:rPr>
        <w:t>项目资金实施绩效管理，</w:t>
      </w:r>
      <w:r>
        <w:rPr>
          <w:rFonts w:eastAsia="仿宋_GB2312"/>
          <w:sz w:val="32"/>
          <w:szCs w:val="32"/>
        </w:rPr>
        <w:t>贯穿</w:t>
      </w:r>
      <w:r>
        <w:rPr>
          <w:rFonts w:hint="eastAsia" w:eastAsia="仿宋_GB2312"/>
          <w:sz w:val="32"/>
          <w:szCs w:val="32"/>
        </w:rPr>
        <w:t>在</w:t>
      </w:r>
      <w:r>
        <w:rPr>
          <w:rFonts w:eastAsia="仿宋_GB2312"/>
          <w:sz w:val="32"/>
          <w:szCs w:val="32"/>
        </w:rPr>
        <w:t>预算前、预算中、预算后各个环节</w:t>
      </w:r>
      <w:r>
        <w:rPr>
          <w:rFonts w:hint="eastAsia" w:eastAsia="仿宋_GB2312"/>
          <w:sz w:val="32"/>
          <w:szCs w:val="32"/>
        </w:rPr>
        <w:t>，</w:t>
      </w:r>
      <w:r>
        <w:rPr>
          <w:rFonts w:eastAsia="仿宋_GB2312"/>
          <w:sz w:val="32"/>
          <w:szCs w:val="32"/>
        </w:rPr>
        <w:t>把项目推进与年度目标任务相结合进行分解下达，量化到科室，责任到人</w:t>
      </w:r>
      <w:r>
        <w:rPr>
          <w:rFonts w:hint="eastAsia" w:eastAsia="仿宋_GB2312"/>
          <w:sz w:val="32"/>
          <w:szCs w:val="32"/>
        </w:rPr>
        <w:t>，</w:t>
      </w:r>
      <w:r>
        <w:rPr>
          <w:rFonts w:eastAsia="仿宋_GB2312"/>
          <w:sz w:val="32"/>
          <w:szCs w:val="32"/>
        </w:rPr>
        <w:t>分管领导和项目实施科室（负责人）明晰任务</w:t>
      </w:r>
      <w:r>
        <w:rPr>
          <w:rFonts w:hint="eastAsia" w:eastAsia="仿宋_GB2312"/>
          <w:sz w:val="32"/>
          <w:szCs w:val="32"/>
        </w:rPr>
        <w:t>，将</w:t>
      </w:r>
      <w:r>
        <w:rPr>
          <w:rFonts w:eastAsia="仿宋_GB2312"/>
          <w:sz w:val="32"/>
          <w:szCs w:val="32"/>
        </w:rPr>
        <w:t>项目推进、资金使用及目标工作完成有序的结合起来</w:t>
      </w:r>
      <w:r>
        <w:rPr>
          <w:rFonts w:hint="eastAsia" w:eastAsia="仿宋_GB2312"/>
          <w:sz w:val="32"/>
          <w:szCs w:val="32"/>
        </w:rPr>
        <w:t>。</w:t>
      </w:r>
    </w:p>
    <w:p>
      <w:pPr>
        <w:keepNext w:val="0"/>
        <w:keepLines w:val="0"/>
        <w:pageBreakBefore w:val="0"/>
        <w:kinsoku/>
        <w:wordWrap/>
        <w:overflowPunct/>
        <w:topLinePunct w:val="0"/>
        <w:autoSpaceDE/>
        <w:autoSpaceDN/>
        <w:bidi w:val="0"/>
        <w:adjustRightInd/>
        <w:spacing w:beforeAutospacing="0" w:afterAutospacing="0" w:line="576" w:lineRule="exact"/>
        <w:ind w:firstLine="643" w:firstLineChars="200"/>
        <w:rPr>
          <w:rFonts w:eastAsia="仿宋_GB2312"/>
          <w:b/>
          <w:bCs/>
          <w:sz w:val="32"/>
          <w:szCs w:val="32"/>
        </w:rPr>
      </w:pPr>
      <w:r>
        <w:rPr>
          <w:rFonts w:hint="eastAsia" w:eastAsia="仿宋_GB2312"/>
          <w:b/>
          <w:bCs/>
          <w:sz w:val="32"/>
          <w:szCs w:val="32"/>
        </w:rPr>
        <w:t>3.绩效目标情况</w:t>
      </w:r>
    </w:p>
    <w:p>
      <w:pPr>
        <w:pStyle w:val="20"/>
        <w:keepNext w:val="0"/>
        <w:keepLines w:val="0"/>
        <w:pageBreakBefore w:val="0"/>
        <w:kinsoku/>
        <w:wordWrap/>
        <w:overflowPunct/>
        <w:topLinePunct w:val="0"/>
        <w:autoSpaceDE/>
        <w:autoSpaceDN/>
        <w:bidi w:val="0"/>
        <w:adjustRightInd/>
        <w:spacing w:before="0" w:beforeAutospacing="0" w:after="0" w:afterAutospacing="0" w:line="576" w:lineRule="exact"/>
        <w:ind w:firstLine="640" w:firstLineChars="200"/>
        <w:rPr>
          <w:rFonts w:eastAsia="仿宋_GB2312"/>
          <w:sz w:val="32"/>
          <w:szCs w:val="32"/>
        </w:rPr>
      </w:pPr>
      <w:r>
        <w:rPr>
          <w:rFonts w:hint="eastAsia" w:eastAsia="仿宋_GB2312"/>
          <w:sz w:val="32"/>
          <w:szCs w:val="32"/>
        </w:rPr>
        <w:t>我委</w:t>
      </w:r>
      <w:r>
        <w:rPr>
          <w:rFonts w:eastAsia="仿宋_GB2312"/>
          <w:sz w:val="32"/>
          <w:szCs w:val="32"/>
        </w:rPr>
        <w:t>紧紧围绕工作职能，结合实际情况，</w:t>
      </w:r>
      <w:r>
        <w:rPr>
          <w:rFonts w:hint="eastAsia" w:eastAsia="仿宋_GB2312"/>
          <w:sz w:val="32"/>
          <w:szCs w:val="32"/>
        </w:rPr>
        <w:t>开展项目绩效评价工作，明细如下：</w:t>
      </w:r>
    </w:p>
    <w:tbl>
      <w:tblPr>
        <w:tblStyle w:val="21"/>
        <w:tblpPr w:leftFromText="180" w:rightFromText="180" w:vertAnchor="text" w:horzAnchor="page" w:tblpX="1824" w:tblpY="79"/>
        <w:tblOverlap w:val="never"/>
        <w:tblW w:w="0" w:type="auto"/>
        <w:tblCellSpacing w:w="0" w:type="dxa"/>
        <w:tblInd w:w="2" w:type="dxa"/>
        <w:tblLayout w:type="fixed"/>
        <w:tblCellMar>
          <w:top w:w="0" w:type="dxa"/>
          <w:left w:w="0" w:type="dxa"/>
          <w:bottom w:w="0" w:type="dxa"/>
          <w:right w:w="0" w:type="dxa"/>
        </w:tblCellMar>
      </w:tblPr>
      <w:tblGrid>
        <w:gridCol w:w="1839"/>
        <w:gridCol w:w="5441"/>
        <w:gridCol w:w="1290"/>
      </w:tblGrid>
      <w:tr>
        <w:tblPrEx>
          <w:tblCellMar>
            <w:top w:w="0" w:type="dxa"/>
            <w:left w:w="0" w:type="dxa"/>
            <w:bottom w:w="0" w:type="dxa"/>
            <w:right w:w="0" w:type="dxa"/>
          </w:tblCellMar>
        </w:tblPrEx>
        <w:trPr>
          <w:trHeight w:val="462" w:hRule="atLeast"/>
          <w:tblHeader/>
          <w:tblCellSpacing w:w="0" w:type="dxa"/>
        </w:trPr>
        <w:tc>
          <w:tcPr>
            <w:tcW w:w="1839" w:type="dxa"/>
            <w:tcBorders>
              <w:top w:val="single" w:color="auto" w:sz="4" w:space="0"/>
              <w:left w:val="single" w:color="auto" w:sz="0"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项目名称</w:t>
            </w:r>
          </w:p>
        </w:tc>
        <w:tc>
          <w:tcPr>
            <w:tcW w:w="5441"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年度目标</w:t>
            </w:r>
          </w:p>
        </w:tc>
        <w:tc>
          <w:tcPr>
            <w:tcW w:w="1290"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完成情况</w:t>
            </w:r>
          </w:p>
        </w:tc>
      </w:tr>
      <w:tr>
        <w:tblPrEx>
          <w:tblCellMar>
            <w:top w:w="0" w:type="dxa"/>
            <w:left w:w="0" w:type="dxa"/>
            <w:bottom w:w="0" w:type="dxa"/>
            <w:right w:w="0" w:type="dxa"/>
          </w:tblCellMar>
        </w:tblPrEx>
        <w:trPr>
          <w:trHeight w:val="684" w:hRule="atLeast"/>
          <w:tblHeader/>
          <w:tblCellSpacing w:w="0" w:type="dxa"/>
        </w:trPr>
        <w:tc>
          <w:tcPr>
            <w:tcW w:w="1839"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shd w:val="clear" w:color="auto" w:fill="FFFFFF"/>
                <w:lang w:val="en-US" w:eastAsia="zh-CN"/>
              </w:rPr>
              <w:t>新媒体、网站运行维护项目</w:t>
            </w:r>
          </w:p>
        </w:tc>
        <w:tc>
          <w:tcPr>
            <w:tcW w:w="5441"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color w:val="000000"/>
                <w:kern w:val="0"/>
                <w:sz w:val="21"/>
                <w:szCs w:val="21"/>
                <w:lang w:val="en-US" w:eastAsia="zh-CN"/>
              </w:rPr>
              <w:t>着力打造团属新媒体阵地，县级团委采用软件终端开通网络视频会议系统，推动团属网站的升级管理，推动县级及县级以下团组织、学校、企业和团干部开通官方、个人微博、微信，建立共青团系统微博、微信体系，着力提升共青团微博、微信活跃度和影响力。</w:t>
            </w:r>
          </w:p>
        </w:tc>
        <w:tc>
          <w:tcPr>
            <w:tcW w:w="1290"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完成</w:t>
            </w:r>
          </w:p>
        </w:tc>
      </w:tr>
      <w:tr>
        <w:tblPrEx>
          <w:tblCellMar>
            <w:top w:w="0" w:type="dxa"/>
            <w:left w:w="0" w:type="dxa"/>
            <w:bottom w:w="0" w:type="dxa"/>
            <w:right w:w="0" w:type="dxa"/>
          </w:tblCellMar>
        </w:tblPrEx>
        <w:trPr>
          <w:trHeight w:val="684" w:hRule="atLeast"/>
          <w:tblHeader/>
          <w:tblCellSpacing w:w="0" w:type="dxa"/>
        </w:trPr>
        <w:tc>
          <w:tcPr>
            <w:tcW w:w="1839"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lang w:eastAsia="zh-CN"/>
              </w:rPr>
            </w:pPr>
            <w:r>
              <w:rPr>
                <w:rFonts w:hint="eastAsia" w:ascii="仿宋" w:hAnsi="仿宋" w:eastAsia="仿宋" w:cs="仿宋"/>
                <w:sz w:val="21"/>
                <w:szCs w:val="21"/>
                <w:lang w:val="en-US" w:eastAsia="zh-CN"/>
              </w:rPr>
              <w:t>西部计划及青年志愿者专项工作经费</w:t>
            </w:r>
          </w:p>
        </w:tc>
        <w:tc>
          <w:tcPr>
            <w:tcW w:w="5441"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全面落实</w:t>
            </w:r>
            <w:r>
              <w:rPr>
                <w:rFonts w:hint="eastAsia" w:ascii="仿宋" w:hAnsi="仿宋" w:eastAsia="仿宋" w:cs="仿宋"/>
                <w:sz w:val="21"/>
                <w:szCs w:val="21"/>
                <w:lang w:val="en-US" w:eastAsia="zh-CN"/>
              </w:rPr>
              <w:t>2020</w:t>
            </w:r>
            <w:r>
              <w:rPr>
                <w:rFonts w:hint="eastAsia" w:ascii="仿宋" w:hAnsi="仿宋" w:eastAsia="仿宋" w:cs="仿宋"/>
                <w:sz w:val="21"/>
                <w:szCs w:val="21"/>
              </w:rPr>
              <w:t>年志愿者招募工作，指导各县（市）做好志愿者岗位安排、年度考核工作。</w:t>
            </w:r>
          </w:p>
        </w:tc>
        <w:tc>
          <w:tcPr>
            <w:tcW w:w="1290"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完成</w:t>
            </w:r>
          </w:p>
        </w:tc>
      </w:tr>
      <w:tr>
        <w:tblPrEx>
          <w:tblCellMar>
            <w:top w:w="0" w:type="dxa"/>
            <w:left w:w="0" w:type="dxa"/>
            <w:bottom w:w="0" w:type="dxa"/>
            <w:right w:w="0" w:type="dxa"/>
          </w:tblCellMar>
        </w:tblPrEx>
        <w:trPr>
          <w:trHeight w:val="684" w:hRule="atLeast"/>
          <w:tblHeader/>
          <w:tblCellSpacing w:w="0" w:type="dxa"/>
        </w:trPr>
        <w:tc>
          <w:tcPr>
            <w:tcW w:w="1839"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lang w:val="en-US" w:eastAsia="zh-CN"/>
              </w:rPr>
              <w:t>团干部、辅导员及双创青年培训经费</w:t>
            </w:r>
          </w:p>
        </w:tc>
        <w:tc>
          <w:tcPr>
            <w:tcW w:w="5441"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强化“凝聚青年、服务大局、当好桥梁、从严治团”四维工作格局责任落实，巩固改革成果、牢记根本任务、履行基本职责，全力推动全州共青团工作不断创新发展。</w:t>
            </w:r>
          </w:p>
        </w:tc>
        <w:tc>
          <w:tcPr>
            <w:tcW w:w="1290"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完成</w:t>
            </w:r>
          </w:p>
        </w:tc>
      </w:tr>
      <w:tr>
        <w:tblPrEx>
          <w:tblCellMar>
            <w:top w:w="0" w:type="dxa"/>
            <w:left w:w="0" w:type="dxa"/>
            <w:bottom w:w="0" w:type="dxa"/>
            <w:right w:w="0" w:type="dxa"/>
          </w:tblCellMar>
        </w:tblPrEx>
        <w:trPr>
          <w:trHeight w:val="684" w:hRule="atLeast"/>
          <w:tblHeader/>
          <w:tblCellSpacing w:w="0" w:type="dxa"/>
        </w:trPr>
        <w:tc>
          <w:tcPr>
            <w:tcW w:w="1839"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lang w:val="en-US" w:eastAsia="zh-CN"/>
              </w:rPr>
              <w:t>基层团组织建设及五四活动经费</w:t>
            </w:r>
          </w:p>
        </w:tc>
        <w:tc>
          <w:tcPr>
            <w:tcW w:w="5441"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以共青团改革为契机，全面从严治团，紧紧围绕“去四化 强三性”的主攻方向和核心任务，直面突出问题、采取有力措施、勇于攻坚破难，以强化基层基础为着力点，强化服务意识、提升服务能力，扩大团的工作覆盖面，切实提高服务青年和党政中心工作的综合能力，做广大青年信得过、靠得住、离不开的贴心人。</w:t>
            </w:r>
          </w:p>
        </w:tc>
        <w:tc>
          <w:tcPr>
            <w:tcW w:w="1290"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完成</w:t>
            </w:r>
          </w:p>
        </w:tc>
      </w:tr>
      <w:tr>
        <w:tblPrEx>
          <w:tblCellMar>
            <w:top w:w="0" w:type="dxa"/>
            <w:left w:w="0" w:type="dxa"/>
            <w:bottom w:w="0" w:type="dxa"/>
            <w:right w:w="0" w:type="dxa"/>
          </w:tblCellMar>
        </w:tblPrEx>
        <w:trPr>
          <w:trHeight w:val="684" w:hRule="atLeast"/>
          <w:tblHeader/>
          <w:tblCellSpacing w:w="0" w:type="dxa"/>
        </w:trPr>
        <w:tc>
          <w:tcPr>
            <w:tcW w:w="1839"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lang w:eastAsia="zh-CN"/>
              </w:rPr>
              <w:t>青少年工作经费</w:t>
            </w:r>
          </w:p>
        </w:tc>
        <w:tc>
          <w:tcPr>
            <w:tcW w:w="5441"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严格落实党的意识形态工作责任制和党的网络意识形态工作责任制，在重大节点和敏感时点加强形势研判，组建14支青年网络宣传队伍，积极参与全州重大网络舆情的正面引导，传播网络好声音、弘扬网络正能量，营造风清气朗的网络环境。</w:t>
            </w:r>
          </w:p>
        </w:tc>
        <w:tc>
          <w:tcPr>
            <w:tcW w:w="1290" w:type="dxa"/>
            <w:tcBorders>
              <w:top w:val="single" w:color="auto" w:sz="4" w:space="0"/>
              <w:left w:val="single" w:color="auto" w:sz="4" w:space="0"/>
              <w:bottom w:val="single" w:color="auto" w:sz="4" w:space="0"/>
              <w:right w:val="single" w:color="auto" w:sz="4" w:space="0"/>
            </w:tcBorders>
            <w:noWrap w:val="0"/>
            <w:tcMar>
              <w:left w:w="84" w:type="dxa"/>
              <w:right w:w="84" w:type="dxa"/>
            </w:tcMar>
            <w:vAlign w:val="center"/>
          </w:tcPr>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仿宋" w:hAnsi="仿宋" w:eastAsia="仿宋" w:cs="仿宋"/>
                <w:sz w:val="21"/>
                <w:szCs w:val="21"/>
              </w:rPr>
            </w:pPr>
            <w:r>
              <w:rPr>
                <w:rFonts w:hint="eastAsia" w:ascii="仿宋" w:hAnsi="仿宋" w:eastAsia="仿宋" w:cs="仿宋"/>
                <w:sz w:val="21"/>
                <w:szCs w:val="21"/>
              </w:rPr>
              <w:t>完成</w:t>
            </w:r>
          </w:p>
        </w:tc>
      </w:tr>
    </w:tbl>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ascii="黑体" w:hAnsi="黑体" w:eastAsia="黑体" w:cs="黑体"/>
          <w:sz w:val="32"/>
          <w:szCs w:val="32"/>
        </w:rPr>
      </w:pPr>
      <w:r>
        <w:rPr>
          <w:rFonts w:hint="eastAsia" w:ascii="黑体" w:hAnsi="黑体" w:eastAsia="黑体" w:cs="黑体"/>
          <w:sz w:val="32"/>
          <w:szCs w:val="32"/>
        </w:rPr>
        <w:t>二、评价结论及绩效分析</w:t>
      </w:r>
    </w:p>
    <w:p>
      <w:pPr>
        <w:keepNext w:val="0"/>
        <w:keepLines w:val="0"/>
        <w:pageBreakBefore w:val="0"/>
        <w:kinsoku/>
        <w:wordWrap/>
        <w:overflowPunct/>
        <w:topLinePunct w:val="0"/>
        <w:autoSpaceDE/>
        <w:autoSpaceDN/>
        <w:bidi w:val="0"/>
        <w:adjustRightInd/>
        <w:spacing w:beforeAutospacing="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pStyle w:val="20"/>
        <w:keepNext w:val="0"/>
        <w:keepLines w:val="0"/>
        <w:pageBreakBefore w:val="0"/>
        <w:kinsoku/>
        <w:wordWrap/>
        <w:overflowPunct/>
        <w:topLinePunct w:val="0"/>
        <w:autoSpaceDE/>
        <w:autoSpaceDN/>
        <w:bidi w:val="0"/>
        <w:adjustRightInd/>
        <w:spacing w:before="0" w:beforeAutospacing="0" w:after="0" w:afterAutospacing="0" w:line="576" w:lineRule="exact"/>
        <w:ind w:firstLine="640" w:firstLineChars="200"/>
        <w:rPr>
          <w:rFonts w:ascii="楷体_GB2312" w:hAnsi="楷体_GB2312" w:eastAsia="楷体_GB2312" w:cs="楷体_GB2312"/>
          <w:sz w:val="32"/>
          <w:szCs w:val="32"/>
        </w:rPr>
      </w:pPr>
      <w:r>
        <w:rPr>
          <w:rFonts w:eastAsia="仿宋_GB2312"/>
          <w:sz w:val="32"/>
          <w:szCs w:val="32"/>
        </w:rPr>
        <w:t>经评价，本次</w:t>
      </w:r>
      <w:r>
        <w:rPr>
          <w:rFonts w:hint="eastAsia" w:eastAsia="仿宋_GB2312"/>
          <w:sz w:val="32"/>
          <w:szCs w:val="32"/>
        </w:rPr>
        <w:t>我委</w:t>
      </w:r>
      <w:r>
        <w:rPr>
          <w:rFonts w:eastAsia="仿宋_GB2312"/>
          <w:sz w:val="32"/>
          <w:szCs w:val="32"/>
        </w:rPr>
        <w:t>项</w:t>
      </w:r>
      <w:r>
        <w:rPr>
          <w:rFonts w:hint="eastAsia" w:eastAsia="仿宋_GB2312"/>
          <w:sz w:val="32"/>
          <w:szCs w:val="32"/>
        </w:rPr>
        <w:t>目</w:t>
      </w:r>
      <w:r>
        <w:rPr>
          <w:rFonts w:eastAsia="仿宋_GB2312"/>
          <w:sz w:val="32"/>
          <w:szCs w:val="32"/>
        </w:rPr>
        <w:t>支出绩效自评得分：</w:t>
      </w:r>
      <w:r>
        <w:rPr>
          <w:rFonts w:hint="eastAsia" w:eastAsia="仿宋_GB2312"/>
          <w:sz w:val="32"/>
          <w:szCs w:val="32"/>
          <w:lang w:val="en-US" w:eastAsia="zh-CN"/>
        </w:rPr>
        <w:t>84</w:t>
      </w:r>
      <w:r>
        <w:rPr>
          <w:rFonts w:eastAsia="仿宋_GB2312"/>
          <w:sz w:val="32"/>
          <w:szCs w:val="32"/>
        </w:rPr>
        <w:t>分，评价等级为“</w:t>
      </w:r>
      <w:r>
        <w:rPr>
          <w:rFonts w:hint="eastAsia" w:eastAsia="仿宋_GB2312"/>
          <w:sz w:val="32"/>
          <w:szCs w:val="32"/>
        </w:rPr>
        <w:t>良好</w:t>
      </w:r>
      <w:r>
        <w:rPr>
          <w:rFonts w:eastAsia="仿宋_GB2312"/>
          <w:sz w:val="32"/>
          <w:szCs w:val="32"/>
        </w:rPr>
        <w:t>”。</w:t>
      </w:r>
    </w:p>
    <w:p>
      <w:pPr>
        <w:keepNext w:val="0"/>
        <w:keepLines w:val="0"/>
        <w:pageBreakBefore w:val="0"/>
        <w:kinsoku/>
        <w:wordWrap/>
        <w:overflowPunct/>
        <w:topLinePunct w:val="0"/>
        <w:autoSpaceDE/>
        <w:autoSpaceDN/>
        <w:bidi w:val="0"/>
        <w:adjustRightInd/>
        <w:spacing w:beforeAutospacing="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（二）绩效分析</w:t>
      </w:r>
    </w:p>
    <w:p>
      <w:pPr>
        <w:keepNext w:val="0"/>
        <w:keepLines w:val="0"/>
        <w:pageBreakBefore w:val="0"/>
        <w:kinsoku/>
        <w:wordWrap/>
        <w:overflowPunct/>
        <w:topLinePunct w:val="0"/>
        <w:autoSpaceDE/>
        <w:autoSpaceDN/>
        <w:bidi w:val="0"/>
        <w:adjustRightInd/>
        <w:spacing w:beforeAutospacing="0" w:afterAutospacing="0"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1、项目决策</w:t>
      </w:r>
    </w:p>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eastAsia="仿宋_GB2312"/>
          <w:sz w:val="32"/>
          <w:szCs w:val="32"/>
        </w:rPr>
      </w:pPr>
      <w:r>
        <w:rPr>
          <w:rFonts w:hint="eastAsia" w:ascii="仿宋_GB2312" w:hAnsi="仿宋_GB2312" w:eastAsia="仿宋_GB2312" w:cs="仿宋_GB2312"/>
          <w:sz w:val="32"/>
          <w:szCs w:val="32"/>
        </w:rPr>
        <w:t>（1）必要性和可行性分析。</w:t>
      </w:r>
      <w:r>
        <w:rPr>
          <w:rFonts w:eastAsia="仿宋_GB2312"/>
          <w:sz w:val="32"/>
          <w:szCs w:val="32"/>
        </w:rPr>
        <w:t>合理高效使用财政资金，通过总结资金使用管理经验，完善资金管理办法，提高财政资金的使用效率，为以后年度编制项目预算、选择项目实施主体等提供参考依据</w:t>
      </w:r>
      <w:r>
        <w:rPr>
          <w:rFonts w:hint="eastAsia" w:eastAsia="仿宋_GB2312"/>
          <w:sz w:val="32"/>
          <w:szCs w:val="32"/>
        </w:rPr>
        <w:t>。</w:t>
      </w:r>
    </w:p>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eastAsia="仿宋_GB2312"/>
          <w:sz w:val="32"/>
          <w:szCs w:val="32"/>
        </w:rPr>
      </w:pPr>
      <w:r>
        <w:rPr>
          <w:rFonts w:hint="eastAsia" w:ascii="仿宋_GB2312" w:hAnsi="仿宋_GB2312" w:eastAsia="仿宋_GB2312" w:cs="仿宋_GB2312"/>
          <w:sz w:val="32"/>
          <w:szCs w:val="32"/>
        </w:rPr>
        <w:t>（2）绩效目标设置情况。</w:t>
      </w:r>
      <w:r>
        <w:rPr>
          <w:rFonts w:hint="eastAsia" w:eastAsia="仿宋_GB2312"/>
          <w:sz w:val="32"/>
          <w:szCs w:val="32"/>
        </w:rPr>
        <w:t>我委</w:t>
      </w:r>
      <w:r>
        <w:rPr>
          <w:rFonts w:eastAsia="仿宋_GB2312"/>
          <w:sz w:val="32"/>
          <w:szCs w:val="32"/>
        </w:rPr>
        <w:t>紧紧围绕工作职能，结合实际情况，</w:t>
      </w:r>
      <w:r>
        <w:rPr>
          <w:rFonts w:hint="eastAsia" w:eastAsia="仿宋_GB2312"/>
          <w:sz w:val="32"/>
          <w:szCs w:val="32"/>
        </w:rPr>
        <w:t>开展项目绩效评价工作，完成了5个评定项目的预期目标。</w:t>
      </w:r>
    </w:p>
    <w:p>
      <w:pPr>
        <w:keepNext w:val="0"/>
        <w:keepLines w:val="0"/>
        <w:pageBreakBefore w:val="0"/>
        <w:kinsoku/>
        <w:wordWrap/>
        <w:overflowPunct/>
        <w:topLinePunct w:val="0"/>
        <w:autoSpaceDE/>
        <w:autoSpaceDN/>
        <w:bidi w:val="0"/>
        <w:adjustRightInd/>
        <w:spacing w:beforeAutospacing="0" w:afterAutospacing="0" w:line="576" w:lineRule="exact"/>
        <w:ind w:firstLine="643" w:firstLineChars="200"/>
        <w:rPr>
          <w:rFonts w:ascii="仿宋" w:hAnsi="仿宋" w:eastAsia="仿宋" w:cs="仿宋_GB2312"/>
          <w:b/>
          <w:bCs/>
          <w:sz w:val="32"/>
          <w:szCs w:val="32"/>
        </w:rPr>
      </w:pPr>
      <w:r>
        <w:rPr>
          <w:rFonts w:ascii="仿宋" w:hAnsi="仿宋" w:eastAsia="仿宋" w:cs="仿宋_GB2312"/>
          <w:b/>
          <w:bCs/>
          <w:sz w:val="32"/>
          <w:szCs w:val="32"/>
        </w:rPr>
        <w:t>2、项目管理</w:t>
      </w:r>
    </w:p>
    <w:p>
      <w:pPr>
        <w:pStyle w:val="20"/>
        <w:keepNext w:val="0"/>
        <w:keepLines w:val="0"/>
        <w:pageBreakBefore w:val="0"/>
        <w:kinsoku/>
        <w:wordWrap/>
        <w:overflowPunct/>
        <w:topLinePunct w:val="0"/>
        <w:autoSpaceDE/>
        <w:autoSpaceDN/>
        <w:bidi w:val="0"/>
        <w:adjustRightInd/>
        <w:spacing w:before="0" w:beforeAutospacing="0" w:after="0" w:afterAutospacing="0" w:line="576" w:lineRule="exact"/>
        <w:ind w:firstLine="640" w:firstLineChars="200"/>
        <w:rPr>
          <w:rFonts w:eastAsia="仿宋_GB2312"/>
          <w:color w:val="F9F9F9"/>
          <w:sz w:val="32"/>
          <w:szCs w:val="32"/>
        </w:rPr>
      </w:pPr>
      <w:r>
        <w:rPr>
          <w:rFonts w:eastAsia="仿宋_GB2312"/>
          <w:sz w:val="32"/>
          <w:szCs w:val="32"/>
        </w:rPr>
        <w:t>根据要求，我</w:t>
      </w:r>
      <w:r>
        <w:rPr>
          <w:rFonts w:hint="eastAsia" w:eastAsia="仿宋_GB2312"/>
          <w:sz w:val="32"/>
          <w:szCs w:val="32"/>
        </w:rPr>
        <w:t>委</w:t>
      </w:r>
      <w:r>
        <w:rPr>
          <w:rFonts w:eastAsia="仿宋_GB2312"/>
          <w:sz w:val="32"/>
          <w:szCs w:val="32"/>
        </w:rPr>
        <w:t>对20</w:t>
      </w:r>
      <w:r>
        <w:rPr>
          <w:rFonts w:hint="eastAsia" w:eastAsia="仿宋_GB2312"/>
          <w:sz w:val="32"/>
          <w:szCs w:val="32"/>
          <w:lang w:val="en-US" w:eastAsia="zh-CN"/>
        </w:rPr>
        <w:t>20</w:t>
      </w:r>
      <w:r>
        <w:rPr>
          <w:rFonts w:eastAsia="仿宋_GB2312"/>
          <w:sz w:val="32"/>
          <w:szCs w:val="32"/>
        </w:rPr>
        <w:t>年项</w:t>
      </w:r>
      <w:r>
        <w:rPr>
          <w:rFonts w:hint="eastAsia" w:eastAsia="仿宋_GB2312"/>
          <w:sz w:val="32"/>
          <w:szCs w:val="32"/>
        </w:rPr>
        <w:t>目</w:t>
      </w:r>
      <w:r>
        <w:rPr>
          <w:rFonts w:eastAsia="仿宋_GB2312"/>
          <w:sz w:val="32"/>
          <w:szCs w:val="32"/>
        </w:rPr>
        <w:t>支出从项目决策、项目管理、项目绩效（包括产出和效益）三个方面进行评价，得出评价结论及得分，撰写绩效自评报告。</w:t>
      </w:r>
      <w:r>
        <w:rPr>
          <w:rFonts w:hint="eastAsia" w:eastAsia="仿宋_GB2312"/>
          <w:color w:val="F9F9F9"/>
          <w:sz w:val="32"/>
          <w:szCs w:val="32"/>
        </w:rPr>
        <w:t xml:space="preserve"> </w:t>
      </w:r>
    </w:p>
    <w:p>
      <w:pPr>
        <w:pStyle w:val="20"/>
        <w:keepNext w:val="0"/>
        <w:keepLines w:val="0"/>
        <w:pageBreakBefore w:val="0"/>
        <w:kinsoku/>
        <w:wordWrap/>
        <w:overflowPunct/>
        <w:topLinePunct w:val="0"/>
        <w:autoSpaceDE/>
        <w:autoSpaceDN/>
        <w:bidi w:val="0"/>
        <w:adjustRightInd/>
        <w:spacing w:before="0" w:beforeAutospacing="0" w:after="0" w:afterAutospacing="0" w:line="576" w:lineRule="exact"/>
        <w:ind w:firstLine="640" w:firstLineChars="200"/>
        <w:rPr>
          <w:rFonts w:eastAsia="仿宋_GB2312"/>
          <w:sz w:val="32"/>
          <w:szCs w:val="32"/>
        </w:rPr>
      </w:pPr>
      <w:r>
        <w:rPr>
          <w:rFonts w:eastAsia="仿宋_GB2312"/>
          <w:sz w:val="32"/>
          <w:szCs w:val="32"/>
        </w:rPr>
        <w:t>项目决策方面，主要是评价绩效目标的设定情况，包括绩效目标设立的充分性、明确性、合理性以及细化程度，看绩效目标的设立是否符合客观实际，是否与部门履职相一致，绩效指标是否清晰、细化、可衡量。</w:t>
      </w:r>
    </w:p>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eastAsia="仿宋_GB2312"/>
          <w:color w:val="F9F9F9"/>
          <w:sz w:val="32"/>
          <w:szCs w:val="32"/>
        </w:rPr>
      </w:pPr>
      <w:r>
        <w:rPr>
          <w:rFonts w:eastAsia="仿宋_GB2312"/>
          <w:sz w:val="32"/>
          <w:szCs w:val="32"/>
        </w:rPr>
        <w:t>项目管理方面，主要是资金投入和使用情况、未实现绩效目标制定的制度、采取的措施等，包括评价资金分配过程、投入方式、资金到位、预算执行和结果；看资金分配过程是否科学规范，资金投入方式是否合理，资金是否及时到位，预算执行进度是否按预期进行，资金使用是否经济有效；项目制度包括项目管理制度、财务管理制度、资产管理制度和绩效跟踪管理措施以及制度措施的落实情况</w:t>
      </w:r>
      <w:r>
        <w:rPr>
          <w:rFonts w:hint="eastAsia" w:eastAsia="仿宋_GB2312"/>
          <w:sz w:val="32"/>
          <w:szCs w:val="32"/>
        </w:rPr>
        <w:t>。</w:t>
      </w:r>
    </w:p>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eastAsia="仿宋_GB2312"/>
          <w:sz w:val="32"/>
          <w:szCs w:val="32"/>
        </w:rPr>
      </w:pPr>
      <w:r>
        <w:rPr>
          <w:rFonts w:eastAsia="仿宋_GB2312"/>
          <w:sz w:val="32"/>
          <w:szCs w:val="32"/>
        </w:rPr>
        <w:t>项目绩效方面，主要是绩效目标的实现程度和效果，绩效目标的实现程度包括产出数量、产出质量、产出时效和产出成本；效果包括经济效益、社会效益、生态效益、可持续影响以及服务对象满意度等。</w:t>
      </w:r>
    </w:p>
    <w:p>
      <w:pPr>
        <w:keepNext w:val="0"/>
        <w:keepLines w:val="0"/>
        <w:pageBreakBefore w:val="0"/>
        <w:kinsoku/>
        <w:wordWrap/>
        <w:overflowPunct/>
        <w:topLinePunct w:val="0"/>
        <w:autoSpaceDE/>
        <w:autoSpaceDN/>
        <w:bidi w:val="0"/>
        <w:adjustRightInd/>
        <w:spacing w:beforeAutospacing="0" w:afterAutospacing="0" w:line="576" w:lineRule="exact"/>
        <w:ind w:firstLine="643" w:firstLineChars="200"/>
        <w:rPr>
          <w:rFonts w:ascii="仿宋" w:hAnsi="仿宋" w:eastAsia="仿宋" w:cs="仿宋_GB2312"/>
          <w:b/>
          <w:bCs/>
          <w:sz w:val="32"/>
          <w:szCs w:val="32"/>
        </w:rPr>
      </w:pPr>
      <w:r>
        <w:rPr>
          <w:rFonts w:ascii="仿宋" w:hAnsi="仿宋" w:eastAsia="仿宋" w:cs="仿宋_GB2312"/>
          <w:b/>
          <w:bCs/>
          <w:sz w:val="32"/>
          <w:szCs w:val="32"/>
        </w:rPr>
        <w:t>3、项目绩效</w:t>
      </w:r>
    </w:p>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w:t>
      </w:r>
      <w:r>
        <w:rPr>
          <w:rFonts w:ascii="仿宋" w:hAnsi="仿宋" w:eastAsia="仿宋" w:cs="仿宋_GB2312"/>
          <w:sz w:val="32"/>
          <w:szCs w:val="32"/>
        </w:rPr>
        <w:t>项目目标完成情况</w:t>
      </w:r>
    </w:p>
    <w:p>
      <w:pPr>
        <w:keepNext w:val="0"/>
        <w:keepLines w:val="0"/>
        <w:pageBreakBefore w:val="0"/>
        <w:kinsoku/>
        <w:wordWrap/>
        <w:overflowPunct/>
        <w:topLinePunct w:val="0"/>
        <w:autoSpaceDE/>
        <w:autoSpaceDN/>
        <w:bidi w:val="0"/>
        <w:adjustRightInd/>
        <w:spacing w:beforeAutospacing="0" w:afterAutospacing="0" w:line="576" w:lineRule="exact"/>
        <w:ind w:firstLine="640" w:firstLineChars="200"/>
        <w:rPr>
          <w:rFonts w:hint="eastAsia" w:ascii="宋体" w:hAnsi="宋体" w:eastAsia="仿宋_GB2312" w:cs="宋体"/>
          <w:kern w:val="0"/>
          <w:sz w:val="32"/>
          <w:szCs w:val="32"/>
          <w:lang w:val="en-US" w:eastAsia="zh-CN" w:bidi="ar"/>
        </w:rPr>
      </w:pPr>
      <w:r>
        <w:rPr>
          <w:rFonts w:hint="eastAsia" w:ascii="宋体" w:hAnsi="宋体" w:eastAsia="仿宋_GB2312" w:cs="宋体"/>
          <w:kern w:val="0"/>
          <w:sz w:val="32"/>
          <w:szCs w:val="32"/>
          <w:lang w:val="en-US" w:eastAsia="zh-CN" w:bidi="ar"/>
        </w:rPr>
        <w:t>新媒体、网站运行维护项目</w:t>
      </w:r>
      <w:r>
        <w:rPr>
          <w:rFonts w:hint="default" w:ascii="宋体" w:hAnsi="宋体" w:eastAsia="仿宋_GB2312" w:cs="宋体"/>
          <w:kern w:val="0"/>
          <w:sz w:val="32"/>
          <w:szCs w:val="32"/>
          <w:lang w:val="en-US" w:eastAsia="zh-CN" w:bidi="ar"/>
        </w:rPr>
        <w:t>全年预算数</w:t>
      </w:r>
      <w:r>
        <w:rPr>
          <w:rFonts w:hint="eastAsia" w:ascii="宋体" w:hAnsi="宋体" w:eastAsia="仿宋_GB2312" w:cs="宋体"/>
          <w:kern w:val="0"/>
          <w:sz w:val="32"/>
          <w:szCs w:val="32"/>
          <w:lang w:val="en-US" w:eastAsia="zh-CN" w:bidi="ar"/>
        </w:rPr>
        <w:t>6</w:t>
      </w:r>
      <w:r>
        <w:rPr>
          <w:rFonts w:hint="default" w:ascii="宋体" w:hAnsi="宋体" w:eastAsia="仿宋_GB2312" w:cs="宋体"/>
          <w:kern w:val="0"/>
          <w:sz w:val="32"/>
          <w:szCs w:val="32"/>
          <w:lang w:val="en-US" w:eastAsia="zh-CN" w:bidi="ar"/>
        </w:rPr>
        <w:t>万元，执行数为</w:t>
      </w:r>
      <w:r>
        <w:rPr>
          <w:rFonts w:hint="eastAsia" w:ascii="宋体" w:hAnsi="宋体" w:eastAsia="仿宋_GB2312" w:cs="宋体"/>
          <w:kern w:val="0"/>
          <w:sz w:val="32"/>
          <w:szCs w:val="32"/>
          <w:lang w:val="en-US" w:eastAsia="zh-CN" w:bidi="ar"/>
        </w:rPr>
        <w:t>6</w:t>
      </w:r>
      <w:r>
        <w:rPr>
          <w:rFonts w:hint="default" w:ascii="宋体" w:hAnsi="宋体" w:eastAsia="仿宋_GB2312" w:cs="宋体"/>
          <w:kern w:val="0"/>
          <w:sz w:val="32"/>
          <w:szCs w:val="32"/>
          <w:lang w:val="en-US" w:eastAsia="zh-CN" w:bidi="ar"/>
        </w:rPr>
        <w:t>万元，完成预算的</w:t>
      </w:r>
      <w:r>
        <w:rPr>
          <w:rFonts w:hint="eastAsia" w:ascii="宋体" w:hAnsi="宋体" w:eastAsia="仿宋_GB2312" w:cs="宋体"/>
          <w:kern w:val="0"/>
          <w:sz w:val="32"/>
          <w:szCs w:val="32"/>
          <w:lang w:val="en-US" w:eastAsia="zh-CN" w:bidi="ar"/>
        </w:rPr>
        <w:t>100.00</w:t>
      </w:r>
      <w:r>
        <w:rPr>
          <w:rFonts w:hint="default" w:ascii="宋体" w:hAnsi="宋体" w:eastAsia="仿宋_GB2312" w:cs="宋体"/>
          <w:kern w:val="0"/>
          <w:sz w:val="32"/>
          <w:szCs w:val="32"/>
          <w:lang w:val="en-US" w:eastAsia="zh-CN" w:bidi="ar"/>
        </w:rPr>
        <w:t>%</w:t>
      </w:r>
      <w:r>
        <w:rPr>
          <w:rFonts w:hint="eastAsia" w:ascii="宋体" w:hAnsi="宋体" w:eastAsia="仿宋_GB2312" w:cs="宋体"/>
          <w:kern w:val="0"/>
          <w:sz w:val="32"/>
          <w:szCs w:val="32"/>
          <w:lang w:val="en-US" w:eastAsia="zh-CN" w:bidi="ar"/>
        </w:rPr>
        <w:t>；西部计划及青年志愿者专项工作经费</w:t>
      </w:r>
      <w:r>
        <w:rPr>
          <w:rFonts w:hint="default" w:ascii="宋体" w:hAnsi="宋体" w:eastAsia="仿宋_GB2312" w:cs="宋体"/>
          <w:kern w:val="0"/>
          <w:sz w:val="32"/>
          <w:szCs w:val="32"/>
          <w:lang w:val="en-US" w:eastAsia="zh-CN" w:bidi="ar"/>
        </w:rPr>
        <w:t>全年预算数</w:t>
      </w:r>
      <w:r>
        <w:rPr>
          <w:rFonts w:hint="eastAsia" w:ascii="宋体" w:hAnsi="宋体" w:eastAsia="仿宋_GB2312" w:cs="宋体"/>
          <w:kern w:val="0"/>
          <w:sz w:val="32"/>
          <w:szCs w:val="32"/>
          <w:lang w:val="en-US" w:eastAsia="zh-CN" w:bidi="ar"/>
        </w:rPr>
        <w:t>25</w:t>
      </w:r>
      <w:r>
        <w:rPr>
          <w:rFonts w:hint="default" w:ascii="宋体" w:hAnsi="宋体" w:eastAsia="仿宋_GB2312" w:cs="宋体"/>
          <w:kern w:val="0"/>
          <w:sz w:val="32"/>
          <w:szCs w:val="32"/>
          <w:lang w:val="en-US" w:eastAsia="zh-CN" w:bidi="ar"/>
        </w:rPr>
        <w:t>万元，执行数为</w:t>
      </w:r>
      <w:r>
        <w:rPr>
          <w:rFonts w:hint="eastAsia" w:ascii="宋体" w:hAnsi="宋体" w:eastAsia="仿宋_GB2312" w:cs="宋体"/>
          <w:kern w:val="0"/>
          <w:sz w:val="32"/>
          <w:szCs w:val="32"/>
          <w:lang w:val="en-US" w:eastAsia="zh-CN" w:bidi="ar"/>
        </w:rPr>
        <w:t>25</w:t>
      </w:r>
      <w:r>
        <w:rPr>
          <w:rFonts w:hint="default" w:ascii="宋体" w:hAnsi="宋体" w:eastAsia="仿宋_GB2312" w:cs="宋体"/>
          <w:kern w:val="0"/>
          <w:sz w:val="32"/>
          <w:szCs w:val="32"/>
          <w:lang w:val="en-US" w:eastAsia="zh-CN" w:bidi="ar"/>
        </w:rPr>
        <w:t>万元，完成预算的</w:t>
      </w:r>
      <w:r>
        <w:rPr>
          <w:rFonts w:hint="eastAsia" w:ascii="宋体" w:hAnsi="宋体" w:eastAsia="仿宋_GB2312" w:cs="宋体"/>
          <w:kern w:val="0"/>
          <w:sz w:val="32"/>
          <w:szCs w:val="32"/>
          <w:lang w:val="en-US" w:eastAsia="zh-CN" w:bidi="ar"/>
        </w:rPr>
        <w:t>100.00</w:t>
      </w:r>
      <w:r>
        <w:rPr>
          <w:rFonts w:hint="default" w:ascii="宋体" w:hAnsi="宋体" w:eastAsia="仿宋_GB2312" w:cs="宋体"/>
          <w:kern w:val="0"/>
          <w:sz w:val="32"/>
          <w:szCs w:val="32"/>
          <w:lang w:val="en-US" w:eastAsia="zh-CN" w:bidi="ar"/>
        </w:rPr>
        <w:t>%</w:t>
      </w:r>
      <w:r>
        <w:rPr>
          <w:rFonts w:hint="eastAsia" w:ascii="宋体" w:hAnsi="宋体" w:eastAsia="仿宋_GB2312" w:cs="宋体"/>
          <w:kern w:val="0"/>
          <w:sz w:val="32"/>
          <w:szCs w:val="32"/>
          <w:lang w:val="en-US" w:eastAsia="zh-CN" w:bidi="ar"/>
        </w:rPr>
        <w:t>；团干部、辅导员及双创青年培训经费全年预算数20万元，执行数为20万元，完成预算的100%；基层团组织建设及五四活动经费全年预算数10万元，执行数为10万元，完成预算的100%；青少年工作经费全年预算数4万元，执行数为4万元，完成预算的100.00%。</w:t>
      </w:r>
    </w:p>
    <w:p>
      <w:pPr>
        <w:keepNext w:val="0"/>
        <w:keepLines w:val="0"/>
        <w:pageBreakBefore w:val="0"/>
        <w:numPr>
          <w:ilvl w:val="0"/>
          <w:numId w:val="7"/>
        </w:numPr>
        <w:kinsoku/>
        <w:wordWrap/>
        <w:overflowPunct/>
        <w:topLinePunct w:val="0"/>
        <w:autoSpaceDE/>
        <w:autoSpaceDN/>
        <w:bidi w:val="0"/>
        <w:adjustRightInd/>
        <w:spacing w:beforeAutospacing="0" w:afterAutospacing="0" w:line="576" w:lineRule="exact"/>
        <w:ind w:firstLine="640" w:firstLineChars="200"/>
        <w:rPr>
          <w:rFonts w:ascii="仿宋" w:hAnsi="仿宋" w:eastAsia="仿宋" w:cs="仿宋_GB2312"/>
          <w:sz w:val="32"/>
          <w:szCs w:val="32"/>
        </w:rPr>
      </w:pPr>
      <w:r>
        <w:rPr>
          <w:rFonts w:ascii="仿宋" w:hAnsi="仿宋" w:eastAsia="仿宋" w:cs="仿宋_GB2312"/>
          <w:sz w:val="32"/>
          <w:szCs w:val="32"/>
        </w:rPr>
        <w:t>项目效益情况</w:t>
      </w:r>
    </w:p>
    <w:p>
      <w:pPr>
        <w:pStyle w:val="20"/>
        <w:keepNext w:val="0"/>
        <w:keepLines w:val="0"/>
        <w:pageBreakBefore w:val="0"/>
        <w:kinsoku/>
        <w:wordWrap/>
        <w:overflowPunct/>
        <w:topLinePunct w:val="0"/>
        <w:autoSpaceDE/>
        <w:autoSpaceDN/>
        <w:bidi w:val="0"/>
        <w:adjustRightInd/>
        <w:spacing w:before="0" w:beforeAutospacing="0" w:after="0" w:afterAutospacing="0" w:line="576" w:lineRule="exact"/>
        <w:ind w:firstLine="643" w:firstLineChars="200"/>
        <w:rPr>
          <w:rFonts w:eastAsia="仿宋_GB2312"/>
          <w:color w:val="F9F9F9"/>
          <w:sz w:val="32"/>
          <w:szCs w:val="32"/>
        </w:rPr>
      </w:pPr>
      <w:r>
        <w:rPr>
          <w:rFonts w:hint="eastAsia" w:eastAsia="仿宋_GB2312"/>
          <w:b/>
          <w:bCs/>
          <w:sz w:val="32"/>
          <w:szCs w:val="32"/>
        </w:rPr>
        <w:t>一是</w:t>
      </w:r>
      <w:r>
        <w:rPr>
          <w:rFonts w:eastAsia="仿宋_GB2312"/>
          <w:sz w:val="32"/>
          <w:szCs w:val="32"/>
        </w:rPr>
        <w:t>经济性分析</w:t>
      </w:r>
      <w:r>
        <w:rPr>
          <w:rFonts w:hint="eastAsia" w:eastAsia="仿宋_GB2312"/>
          <w:sz w:val="32"/>
          <w:szCs w:val="32"/>
        </w:rPr>
        <w:t>。</w:t>
      </w:r>
      <w:r>
        <w:rPr>
          <w:rFonts w:eastAsia="仿宋_GB2312"/>
          <w:sz w:val="32"/>
          <w:szCs w:val="32"/>
        </w:rPr>
        <w:t>我</w:t>
      </w:r>
      <w:r>
        <w:rPr>
          <w:rFonts w:hint="eastAsia" w:eastAsia="仿宋_GB2312"/>
          <w:sz w:val="32"/>
          <w:szCs w:val="32"/>
        </w:rPr>
        <w:t>委</w:t>
      </w:r>
      <w:r>
        <w:rPr>
          <w:rFonts w:hint="eastAsia" w:eastAsia="仿宋_GB2312"/>
          <w:sz w:val="32"/>
          <w:szCs w:val="32"/>
          <w:lang w:val="en-US" w:eastAsia="zh-CN"/>
        </w:rPr>
        <w:t>2020</w:t>
      </w:r>
      <w:r>
        <w:rPr>
          <w:rFonts w:eastAsia="仿宋_GB2312"/>
          <w:sz w:val="32"/>
          <w:szCs w:val="32"/>
        </w:rPr>
        <w:t>年年初项目预算资金拨付到位，并按照相关规定全部用于项目支出，通过总结资金使用管理经验，完善资金管理办法，提高财政资金的使用效率，为以后年度编制项目预算、选择项目实施主体等提供参考依据。</w:t>
      </w:r>
      <w:r>
        <w:rPr>
          <w:rFonts w:eastAsia="仿宋_GB2312"/>
          <w:color w:val="F9F9F9"/>
          <w:sz w:val="32"/>
          <w:szCs w:val="32"/>
        </w:rPr>
        <w:t>纣忧蔣</w:t>
      </w:r>
    </w:p>
    <w:p>
      <w:pPr>
        <w:pStyle w:val="20"/>
        <w:keepNext w:val="0"/>
        <w:keepLines w:val="0"/>
        <w:pageBreakBefore w:val="0"/>
        <w:kinsoku/>
        <w:wordWrap/>
        <w:overflowPunct/>
        <w:topLinePunct w:val="0"/>
        <w:autoSpaceDE/>
        <w:autoSpaceDN/>
        <w:bidi w:val="0"/>
        <w:adjustRightInd/>
        <w:spacing w:before="0" w:beforeAutospacing="0" w:after="0" w:afterAutospacing="0" w:line="576" w:lineRule="exact"/>
        <w:ind w:firstLine="643" w:firstLineChars="200"/>
        <w:rPr>
          <w:rFonts w:eastAsia="仿宋_GB2312"/>
          <w:sz w:val="32"/>
          <w:szCs w:val="32"/>
        </w:rPr>
      </w:pPr>
      <w:r>
        <w:rPr>
          <w:rFonts w:hint="eastAsia" w:eastAsia="仿宋_GB2312"/>
          <w:b/>
          <w:bCs/>
          <w:sz w:val="32"/>
          <w:szCs w:val="32"/>
        </w:rPr>
        <w:t>二是</w:t>
      </w:r>
      <w:r>
        <w:rPr>
          <w:rFonts w:eastAsia="仿宋_GB2312"/>
          <w:sz w:val="32"/>
          <w:szCs w:val="32"/>
        </w:rPr>
        <w:t>效率性分析</w:t>
      </w:r>
      <w:r>
        <w:rPr>
          <w:rFonts w:hint="eastAsia" w:eastAsia="仿宋_GB2312"/>
          <w:sz w:val="32"/>
          <w:szCs w:val="32"/>
        </w:rPr>
        <w:t>。</w:t>
      </w:r>
      <w:r>
        <w:rPr>
          <w:rFonts w:eastAsia="仿宋_GB2312"/>
          <w:sz w:val="32"/>
          <w:szCs w:val="32"/>
        </w:rPr>
        <w:t>我</w:t>
      </w:r>
      <w:r>
        <w:rPr>
          <w:rFonts w:hint="eastAsia" w:eastAsia="仿宋_GB2312"/>
          <w:sz w:val="32"/>
          <w:szCs w:val="32"/>
        </w:rPr>
        <w:t>委</w:t>
      </w:r>
      <w:r>
        <w:rPr>
          <w:rFonts w:hint="eastAsia" w:eastAsia="仿宋_GB2312"/>
          <w:sz w:val="32"/>
          <w:szCs w:val="32"/>
          <w:lang w:val="en-US" w:eastAsia="zh-CN"/>
        </w:rPr>
        <w:t>2020</w:t>
      </w:r>
      <w:r>
        <w:rPr>
          <w:rFonts w:eastAsia="仿宋_GB2312"/>
          <w:sz w:val="32"/>
          <w:szCs w:val="32"/>
        </w:rPr>
        <w:t>年部门项目支出绩效情况良好，各</w:t>
      </w:r>
      <w:r>
        <w:rPr>
          <w:rFonts w:hint="eastAsia" w:eastAsia="仿宋_GB2312"/>
          <w:sz w:val="32"/>
          <w:szCs w:val="32"/>
        </w:rPr>
        <w:t>部（室）</w:t>
      </w:r>
      <w:r>
        <w:rPr>
          <w:rFonts w:eastAsia="仿宋_GB2312"/>
          <w:sz w:val="32"/>
          <w:szCs w:val="32"/>
        </w:rPr>
        <w:t>均按年初设定的目标任务执行效率完成各项工作。</w:t>
      </w:r>
    </w:p>
    <w:p>
      <w:pPr>
        <w:pStyle w:val="20"/>
        <w:keepNext w:val="0"/>
        <w:keepLines w:val="0"/>
        <w:pageBreakBefore w:val="0"/>
        <w:kinsoku/>
        <w:wordWrap/>
        <w:overflowPunct/>
        <w:topLinePunct w:val="0"/>
        <w:autoSpaceDE/>
        <w:autoSpaceDN/>
        <w:bidi w:val="0"/>
        <w:adjustRightInd/>
        <w:spacing w:before="0" w:beforeAutospacing="0" w:after="0" w:afterAutospacing="0" w:line="576" w:lineRule="exact"/>
        <w:ind w:firstLine="643" w:firstLineChars="200"/>
        <w:rPr>
          <w:rFonts w:ascii="仿宋" w:hAnsi="仿宋" w:eastAsia="仿宋" w:cs="仿宋_GB2312"/>
          <w:sz w:val="32"/>
          <w:szCs w:val="32"/>
        </w:rPr>
      </w:pPr>
      <w:r>
        <w:rPr>
          <w:rFonts w:hint="eastAsia" w:eastAsia="仿宋_GB2312"/>
          <w:b/>
          <w:bCs/>
          <w:sz w:val="32"/>
          <w:szCs w:val="32"/>
        </w:rPr>
        <w:t>三是</w:t>
      </w:r>
      <w:r>
        <w:rPr>
          <w:rFonts w:eastAsia="仿宋_GB2312"/>
          <w:sz w:val="32"/>
          <w:szCs w:val="32"/>
        </w:rPr>
        <w:t>效益性分析</w:t>
      </w:r>
      <w:r>
        <w:rPr>
          <w:rFonts w:hint="eastAsia" w:eastAsia="仿宋_GB2312"/>
          <w:sz w:val="32"/>
          <w:szCs w:val="32"/>
        </w:rPr>
        <w:t>。</w:t>
      </w:r>
      <w:r>
        <w:rPr>
          <w:rFonts w:eastAsia="仿宋_GB2312"/>
          <w:sz w:val="32"/>
          <w:szCs w:val="32"/>
        </w:rPr>
        <w:t>我</w:t>
      </w:r>
      <w:r>
        <w:rPr>
          <w:rFonts w:hint="eastAsia" w:eastAsia="仿宋_GB2312"/>
          <w:sz w:val="32"/>
          <w:szCs w:val="32"/>
        </w:rPr>
        <w:t>委</w:t>
      </w:r>
      <w:r>
        <w:rPr>
          <w:rFonts w:eastAsia="仿宋_GB2312"/>
          <w:sz w:val="32"/>
          <w:szCs w:val="32"/>
        </w:rPr>
        <w:t>较好地完成了</w:t>
      </w:r>
      <w:r>
        <w:rPr>
          <w:rFonts w:hint="eastAsia" w:eastAsia="仿宋_GB2312"/>
          <w:sz w:val="32"/>
          <w:szCs w:val="32"/>
          <w:lang w:val="en-US" w:eastAsia="zh-CN"/>
        </w:rPr>
        <w:t>2020</w:t>
      </w:r>
      <w:r>
        <w:rPr>
          <w:rFonts w:eastAsia="仿宋_GB2312"/>
          <w:sz w:val="32"/>
          <w:szCs w:val="32"/>
        </w:rPr>
        <w:t>年初设定的工作任务，</w:t>
      </w:r>
      <w:r>
        <w:rPr>
          <w:rFonts w:hint="eastAsia" w:eastAsia="仿宋_GB2312"/>
          <w:sz w:val="32"/>
          <w:szCs w:val="32"/>
          <w:lang w:val="en-US" w:eastAsia="zh-CN"/>
        </w:rPr>
        <w:t>2020</w:t>
      </w:r>
      <w:r>
        <w:rPr>
          <w:rFonts w:eastAsia="仿宋_GB2312"/>
          <w:sz w:val="32"/>
          <w:szCs w:val="32"/>
        </w:rPr>
        <w:t>年专项经费实际支出未超出预算规定，及时完成年初制定的各项工作任务，质量达标。</w:t>
      </w:r>
    </w:p>
    <w:p>
      <w:pPr>
        <w:spacing w:line="580" w:lineRule="exact"/>
        <w:ind w:firstLine="640" w:firstLineChars="20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119" w:name="_Toc15396618"/>
      <w:bookmarkStart w:id="120" w:name="_Toc79163635"/>
      <w:bookmarkStart w:id="121" w:name="_Toc79163885"/>
      <w:r>
        <w:rPr>
          <w:rFonts w:hint="eastAsia" w:ascii="黑体" w:hAnsi="黑体" w:eastAsia="黑体"/>
          <w:color w:val="000000"/>
          <w:sz w:val="44"/>
          <w:szCs w:val="44"/>
        </w:rPr>
        <w:t>第</w:t>
      </w:r>
      <w:r>
        <w:rPr>
          <w:rStyle w:val="25"/>
          <w:rFonts w:hint="eastAsia" w:ascii="黑体" w:hAnsi="黑体" w:eastAsia="黑体"/>
          <w:b w:val="0"/>
        </w:rPr>
        <w:t>五部分附表</w:t>
      </w:r>
      <w:bookmarkEnd w:id="109"/>
      <w:bookmarkEnd w:id="119"/>
      <w:bookmarkEnd w:id="120"/>
      <w:bookmarkEnd w:id="121"/>
    </w:p>
    <w:p>
      <w:pPr>
        <w:pStyle w:val="5"/>
        <w:rPr>
          <w:rFonts w:ascii="仿宋" w:hAnsi="仿宋" w:eastAsia="仿宋"/>
          <w:color w:val="000000"/>
        </w:rPr>
      </w:pPr>
      <w:bookmarkStart w:id="122" w:name="_Toc79163886"/>
      <w:bookmarkStart w:id="123" w:name="_Toc79163636"/>
      <w:bookmarkStart w:id="124"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122"/>
      <w:bookmarkEnd w:id="123"/>
      <w:bookmarkEnd w:id="124"/>
    </w:p>
    <w:p>
      <w:pPr>
        <w:pStyle w:val="5"/>
        <w:rPr>
          <w:rFonts w:ascii="仿宋" w:hAnsi="仿宋" w:eastAsia="仿宋"/>
          <w:color w:val="000000"/>
        </w:rPr>
      </w:pPr>
      <w:bookmarkStart w:id="125" w:name="_Toc15396620"/>
      <w:bookmarkStart w:id="126" w:name="_Toc79163887"/>
      <w:bookmarkStart w:id="127" w:name="_Toc79163637"/>
      <w:r>
        <w:rPr>
          <w:rFonts w:hint="eastAsia" w:ascii="仿宋" w:hAnsi="仿宋" w:eastAsia="仿宋"/>
          <w:b w:val="0"/>
          <w:color w:val="000000"/>
        </w:rPr>
        <w:t>二、收</w:t>
      </w:r>
      <w:r>
        <w:rPr>
          <w:rStyle w:val="26"/>
          <w:rFonts w:hint="eastAsia" w:ascii="仿宋" w:hAnsi="仿宋" w:eastAsia="仿宋"/>
          <w:b w:val="0"/>
          <w:bCs w:val="0"/>
        </w:rPr>
        <w:t>入决算表</w:t>
      </w:r>
      <w:bookmarkEnd w:id="125"/>
      <w:bookmarkEnd w:id="126"/>
      <w:bookmarkEnd w:id="127"/>
    </w:p>
    <w:p>
      <w:pPr>
        <w:pStyle w:val="5"/>
        <w:rPr>
          <w:rFonts w:ascii="仿宋" w:hAnsi="仿宋" w:eastAsia="仿宋"/>
          <w:color w:val="000000"/>
        </w:rPr>
      </w:pPr>
      <w:bookmarkStart w:id="128" w:name="_Toc15396621"/>
      <w:bookmarkStart w:id="129" w:name="_Toc79163888"/>
      <w:bookmarkStart w:id="130" w:name="_Toc7916363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28"/>
      <w:bookmarkEnd w:id="129"/>
      <w:bookmarkEnd w:id="130"/>
    </w:p>
    <w:p>
      <w:pPr>
        <w:pStyle w:val="5"/>
        <w:rPr>
          <w:rFonts w:ascii="仿宋" w:hAnsi="仿宋" w:eastAsia="仿宋"/>
          <w:b w:val="0"/>
          <w:color w:val="000000"/>
        </w:rPr>
      </w:pPr>
      <w:bookmarkStart w:id="131" w:name="_Toc79163639"/>
      <w:bookmarkStart w:id="132" w:name="_Toc79163889"/>
      <w:bookmarkStart w:id="13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31"/>
      <w:bookmarkEnd w:id="132"/>
      <w:bookmarkEnd w:id="133"/>
    </w:p>
    <w:p>
      <w:pPr>
        <w:pStyle w:val="5"/>
        <w:rPr>
          <w:rStyle w:val="26"/>
          <w:rFonts w:ascii="仿宋" w:hAnsi="仿宋" w:eastAsia="仿宋"/>
          <w:b w:val="0"/>
          <w:bCs w:val="0"/>
        </w:rPr>
      </w:pPr>
      <w:bookmarkStart w:id="134" w:name="_Toc79163890"/>
      <w:bookmarkStart w:id="135" w:name="_Toc15396623"/>
      <w:bookmarkStart w:id="136" w:name="_Toc79163640"/>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4"/>
      <w:bookmarkEnd w:id="135"/>
      <w:bookmarkEnd w:id="136"/>
      <w:bookmarkStart w:id="137" w:name="_Toc15396624"/>
    </w:p>
    <w:p>
      <w:pPr>
        <w:pStyle w:val="5"/>
        <w:rPr>
          <w:rFonts w:ascii="仿宋" w:hAnsi="仿宋" w:eastAsia="仿宋"/>
          <w:color w:val="000000"/>
        </w:rPr>
      </w:pPr>
      <w:bookmarkStart w:id="138" w:name="_Toc79163641"/>
      <w:bookmarkStart w:id="139" w:name="_Toc7916389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37"/>
      <w:bookmarkEnd w:id="138"/>
      <w:bookmarkEnd w:id="139"/>
    </w:p>
    <w:p>
      <w:pPr>
        <w:pStyle w:val="5"/>
        <w:rPr>
          <w:rFonts w:ascii="仿宋" w:hAnsi="仿宋" w:eastAsia="仿宋"/>
          <w:color w:val="000000"/>
        </w:rPr>
      </w:pPr>
      <w:bookmarkStart w:id="140" w:name="_Toc79163892"/>
      <w:bookmarkStart w:id="141" w:name="_Toc79163642"/>
      <w:bookmarkStart w:id="142"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40"/>
      <w:bookmarkEnd w:id="141"/>
      <w:bookmarkEnd w:id="142"/>
    </w:p>
    <w:p>
      <w:pPr>
        <w:pStyle w:val="5"/>
        <w:rPr>
          <w:rFonts w:ascii="仿宋" w:hAnsi="仿宋" w:eastAsia="仿宋"/>
          <w:color w:val="000000"/>
        </w:rPr>
      </w:pPr>
      <w:bookmarkStart w:id="143" w:name="_Toc79163643"/>
      <w:bookmarkStart w:id="144" w:name="_Toc79163893"/>
      <w:bookmarkStart w:id="145"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3"/>
      <w:bookmarkEnd w:id="144"/>
      <w:bookmarkEnd w:id="145"/>
    </w:p>
    <w:p>
      <w:pPr>
        <w:pStyle w:val="5"/>
        <w:rPr>
          <w:rFonts w:ascii="仿宋" w:hAnsi="仿宋" w:eastAsia="仿宋"/>
          <w:color w:val="000000"/>
        </w:rPr>
      </w:pPr>
      <w:bookmarkStart w:id="146" w:name="_Toc79163644"/>
      <w:bookmarkStart w:id="147" w:name="_Toc15396627"/>
      <w:bookmarkStart w:id="148" w:name="_Toc7916389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6"/>
      <w:bookmarkEnd w:id="147"/>
      <w:bookmarkEnd w:id="148"/>
    </w:p>
    <w:p>
      <w:pPr>
        <w:pStyle w:val="5"/>
        <w:rPr>
          <w:rFonts w:ascii="仿宋" w:hAnsi="仿宋" w:eastAsia="仿宋"/>
          <w:color w:val="000000"/>
        </w:rPr>
      </w:pPr>
      <w:bookmarkStart w:id="149" w:name="_Toc79163645"/>
      <w:bookmarkStart w:id="150" w:name="_Toc15396628"/>
      <w:bookmarkStart w:id="151" w:name="_Toc79163895"/>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9"/>
      <w:bookmarkEnd w:id="150"/>
      <w:bookmarkEnd w:id="151"/>
    </w:p>
    <w:p>
      <w:pPr>
        <w:pStyle w:val="5"/>
        <w:rPr>
          <w:rFonts w:ascii="仿宋" w:hAnsi="仿宋" w:eastAsia="仿宋"/>
          <w:color w:val="000000"/>
        </w:rPr>
      </w:pPr>
      <w:bookmarkStart w:id="152" w:name="_Toc79163896"/>
      <w:bookmarkStart w:id="153" w:name="_Toc79163646"/>
      <w:bookmarkStart w:id="154"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2"/>
      <w:bookmarkEnd w:id="153"/>
      <w:bookmarkEnd w:id="154"/>
    </w:p>
    <w:p>
      <w:pPr>
        <w:pStyle w:val="5"/>
        <w:rPr>
          <w:rFonts w:ascii="仿宋" w:hAnsi="仿宋" w:eastAsia="仿宋"/>
          <w:color w:val="000000"/>
        </w:rPr>
      </w:pPr>
      <w:bookmarkStart w:id="155" w:name="_Toc15396630"/>
      <w:bookmarkStart w:id="156" w:name="_Toc79163647"/>
      <w:bookmarkStart w:id="157" w:name="_Toc7916389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5"/>
      <w:bookmarkEnd w:id="156"/>
      <w:bookmarkEnd w:id="157"/>
    </w:p>
    <w:p>
      <w:pPr>
        <w:pStyle w:val="5"/>
        <w:rPr>
          <w:rStyle w:val="26"/>
          <w:rFonts w:ascii="仿宋" w:hAnsi="仿宋" w:eastAsia="仿宋"/>
          <w:b w:val="0"/>
          <w:bCs w:val="0"/>
        </w:rPr>
      </w:pPr>
      <w:bookmarkStart w:id="158" w:name="_Toc79163898"/>
      <w:bookmarkStart w:id="159" w:name="_Toc15396631"/>
      <w:bookmarkStart w:id="160" w:name="_Toc79163648"/>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58"/>
      <w:bookmarkEnd w:id="159"/>
      <w:bookmarkEnd w:id="160"/>
    </w:p>
    <w:p>
      <w:pPr>
        <w:pStyle w:val="5"/>
        <w:rPr>
          <w:rStyle w:val="26"/>
          <w:rFonts w:ascii="仿宋" w:hAnsi="仿宋" w:eastAsia="仿宋"/>
          <w:b w:val="0"/>
          <w:bCs w:val="0"/>
        </w:rPr>
      </w:pPr>
      <w:bookmarkStart w:id="161" w:name="_Toc79163649"/>
      <w:bookmarkStart w:id="162" w:name="_Toc79163899"/>
      <w:r>
        <w:rPr>
          <w:rStyle w:val="26"/>
          <w:rFonts w:hint="eastAsia" w:ascii="仿宋" w:hAnsi="仿宋" w:eastAsia="仿宋"/>
          <w:b w:val="0"/>
          <w:bCs w:val="0"/>
        </w:rPr>
        <w:t>十四、国有资本经营预算财政拨款支出决算表</w:t>
      </w:r>
      <w:bookmarkEnd w:id="161"/>
      <w:bookmarkEnd w:id="162"/>
    </w:p>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3"/>
                            <w:jc w:val="center"/>
                          </w:pPr>
                          <w:r>
                            <w:fldChar w:fldCharType="begin"/>
                          </w:r>
                          <w:r>
                            <w:instrText xml:space="preserve">PAGE   \* MERGEFORMAT</w:instrText>
                          </w:r>
                          <w:r>
                            <w:fldChar w:fldCharType="separate"/>
                          </w:r>
                          <w:r>
                            <w:rPr>
                              <w:lang w:val="zh-CN"/>
                            </w:rPr>
                            <w:t>25</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J0ez2/mAQAAxwMA&#10;AA4AAAAAAAAAAQAgAAAAHgEAAGRycy9lMm9Eb2MueG1sUEsFBgAAAAAGAAYAWQEAAHYFAAAAAA==&#10;">
              <v:fill on="f" focussize="0,0"/>
              <v:stroke on="f"/>
              <v:imagedata o:title=""/>
              <o:lock v:ext="edit" aspectratio="f"/>
              <v:textbox inset="0mm,0mm,0mm,0mm" style="mso-fit-shape-to-text:t;">
                <w:txbxContent>
                  <w:p>
                    <w:pPr>
                      <w:pStyle w:val="13"/>
                      <w:jc w:val="center"/>
                    </w:pPr>
                    <w:r>
                      <w:fldChar w:fldCharType="begin"/>
                    </w:r>
                    <w:r>
                      <w:instrText xml:space="preserve">PAGE   \* MERGEFORMAT</w:instrText>
                    </w:r>
                    <w:r>
                      <w:fldChar w:fldCharType="separate"/>
                    </w:r>
                    <w:r>
                      <w:rPr>
                        <w:lang w:val="zh-CN"/>
                      </w:rPr>
                      <w:t>25</w:t>
                    </w:r>
                    <w:r>
                      <w:fldChar w:fldCharType="end"/>
                    </w:r>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GalnJeUBAADIAwAA&#10;DgAAAAAAAAABACAAAAAeAQAAZHJzL2Uyb0RvYy54bWxQSwUGAAAAAAYABgBZAQAAdQ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D69841AF"/>
    <w:multiLevelType w:val="singleLevel"/>
    <w:tmpl w:val="D69841AF"/>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114E917"/>
    <w:multiLevelType w:val="singleLevel"/>
    <w:tmpl w:val="3114E917"/>
    <w:lvl w:ilvl="0" w:tentative="0">
      <w:start w:val="2"/>
      <w:numFmt w:val="decimal"/>
      <w:suff w:val="nothing"/>
      <w:lvlText w:val="（%1）"/>
      <w:lvlJc w:val="left"/>
    </w:lvl>
  </w:abstractNum>
  <w:abstractNum w:abstractNumId="5">
    <w:nsid w:val="4626C25D"/>
    <w:multiLevelType w:val="singleLevel"/>
    <w:tmpl w:val="4626C25D"/>
    <w:lvl w:ilvl="0" w:tentative="0">
      <w:start w:val="1"/>
      <w:numFmt w:val="decimal"/>
      <w:lvlText w:val="%1."/>
      <w:lvlJc w:val="left"/>
      <w:pPr>
        <w:tabs>
          <w:tab w:val="left" w:pos="312"/>
        </w:tabs>
      </w:pPr>
    </w:lvl>
  </w:abstractNum>
  <w:abstractNum w:abstractNumId="6">
    <w:nsid w:val="5F71ABCB"/>
    <w:multiLevelType w:val="singleLevel"/>
    <w:tmpl w:val="5F71ABCB"/>
    <w:lvl w:ilvl="0" w:tentative="0">
      <w:start w:val="2"/>
      <w:numFmt w:val="decimal"/>
      <w:suff w:val="nothing"/>
      <w:lvlText w:val="（%1）"/>
      <w:lvlJc w:val="left"/>
    </w:lvl>
  </w:abstractNum>
  <w:num w:numId="1">
    <w:abstractNumId w:val="3"/>
  </w:num>
  <w:num w:numId="2">
    <w:abstractNumId w:val="0"/>
  </w:num>
  <w:num w:numId="3">
    <w:abstractNumId w:val="5"/>
  </w:num>
  <w:num w:numId="4">
    <w:abstractNumId w:val="6"/>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00974"/>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A7A17"/>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3CA587E"/>
    <w:rsid w:val="04DB2F51"/>
    <w:rsid w:val="06815B1D"/>
    <w:rsid w:val="07567EDE"/>
    <w:rsid w:val="07767902"/>
    <w:rsid w:val="0A2032A3"/>
    <w:rsid w:val="0F7F65F8"/>
    <w:rsid w:val="10C055FF"/>
    <w:rsid w:val="118107EC"/>
    <w:rsid w:val="11B80CCE"/>
    <w:rsid w:val="144321B8"/>
    <w:rsid w:val="16BB723D"/>
    <w:rsid w:val="1C793B59"/>
    <w:rsid w:val="1D155CEE"/>
    <w:rsid w:val="20303901"/>
    <w:rsid w:val="240371BF"/>
    <w:rsid w:val="29FD04D3"/>
    <w:rsid w:val="319F7F4E"/>
    <w:rsid w:val="33052D8C"/>
    <w:rsid w:val="3EA45538"/>
    <w:rsid w:val="48090379"/>
    <w:rsid w:val="4ECE2238"/>
    <w:rsid w:val="4FF30634"/>
    <w:rsid w:val="50446313"/>
    <w:rsid w:val="50721AA9"/>
    <w:rsid w:val="5BE93CFE"/>
    <w:rsid w:val="67275704"/>
    <w:rsid w:val="67F0285E"/>
    <w:rsid w:val="6C4A05C8"/>
    <w:rsid w:val="6E6062B3"/>
    <w:rsid w:val="72734D90"/>
    <w:rsid w:val="77AC3F1B"/>
    <w:rsid w:val="78F258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uiPriority="39" w:semiHidden="0" w:name="toc 7"/>
    <w:lsdException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eastAsia="宋体"/>
    </w:rPr>
  </w:style>
  <w:style w:type="paragraph" w:styleId="3">
    <w:name w:val="Body Text Indent"/>
    <w:basedOn w:val="1"/>
    <w:next w:val="2"/>
    <w:qFormat/>
    <w:uiPriority w:val="0"/>
    <w:pPr>
      <w:ind w:firstLine="641" w:firstLineChars="200"/>
    </w:pPr>
    <w:rPr>
      <w:rFonts w:ascii="华文细黑" w:eastAsia="华文细黑"/>
      <w:b/>
      <w:bCs/>
      <w:sz w:val="32"/>
    </w:rPr>
  </w:style>
  <w:style w:type="paragraph" w:styleId="7">
    <w:name w:val="toc 7"/>
    <w:basedOn w:val="1"/>
    <w:next w:val="1"/>
    <w:unhideWhenUsed/>
    <w:uiPriority w:val="39"/>
    <w:pPr>
      <w:ind w:left="1260"/>
      <w:jc w:val="left"/>
    </w:pPr>
    <w:rPr>
      <w:rFonts w:asciiTheme="minorHAnsi" w:eastAsiaTheme="minorHAnsi"/>
      <w:sz w:val="18"/>
      <w:szCs w:val="18"/>
    </w:rPr>
  </w:style>
  <w:style w:type="paragraph" w:styleId="8">
    <w:name w:val="Body Text"/>
    <w:basedOn w:val="1"/>
    <w:next w:val="1"/>
    <w:link w:val="34"/>
    <w:qFormat/>
    <w:uiPriority w:val="99"/>
    <w:pPr>
      <w:spacing w:beforeLines="30"/>
    </w:pPr>
    <w:rPr>
      <w:rFonts w:ascii="仿宋_GB2312" w:eastAsia="仿宋_GB2312"/>
      <w:kern w:val="0"/>
      <w:sz w:val="24"/>
      <w:szCs w:val="20"/>
    </w:rPr>
  </w:style>
  <w:style w:type="paragraph" w:styleId="9">
    <w:name w:val="toc 5"/>
    <w:basedOn w:val="1"/>
    <w:next w:val="1"/>
    <w:unhideWhenUsed/>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4"/>
    <w:qFormat/>
    <w:locked/>
    <w:uiPriority w:val="9"/>
    <w:rPr>
      <w:rFonts w:ascii="Times New Roman" w:hAnsi="Times New Roman" w:cs="Times New Roman"/>
      <w:b/>
      <w:bCs/>
      <w:kern w:val="44"/>
      <w:sz w:val="44"/>
      <w:szCs w:val="44"/>
    </w:rPr>
  </w:style>
  <w:style w:type="character" w:customStyle="1" w:styleId="26">
    <w:name w:val="标题 2 Char"/>
    <w:basedOn w:val="22"/>
    <w:link w:val="5"/>
    <w:qFormat/>
    <w:locked/>
    <w:uiPriority w:val="9"/>
    <w:rPr>
      <w:rFonts w:ascii="Cambria" w:hAnsi="Cambria" w:eastAsia="宋体" w:cs="Times New Roman"/>
      <w:b/>
      <w:bCs/>
      <w:kern w:val="2"/>
      <w:sz w:val="32"/>
      <w:szCs w:val="32"/>
    </w:rPr>
  </w:style>
  <w:style w:type="character" w:customStyle="1" w:styleId="27">
    <w:name w:val="标题 3 Char"/>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4"/>
    <w:semiHidden/>
    <w:qFormat/>
    <w:locked/>
    <w:uiPriority w:val="99"/>
    <w:rPr>
      <w:sz w:val="18"/>
    </w:rPr>
  </w:style>
  <w:style w:type="character" w:customStyle="1" w:styleId="33">
    <w:name w:val="页脚 Char"/>
    <w:link w:val="13"/>
    <w:qFormat/>
    <w:locked/>
    <w:uiPriority w:val="99"/>
    <w:rPr>
      <w:sz w:val="18"/>
    </w:rPr>
  </w:style>
  <w:style w:type="character" w:customStyle="1" w:styleId="34">
    <w:name w:val="正文文本 Char"/>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oleObject" Target="embeddings/oleObject2.bin"/><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[工作簿1]Sheet1!$A$6</c:f>
              <c:strCache>
                <c:ptCount val="1"/>
                <c:pt idx="0">
                  <c:v>2019年</c:v>
                </c:pt>
              </c:strCache>
            </c:strRef>
          </c:tx>
          <c:spPr>
            <a:solidFill>
              <a:schemeClr val="accent1"/>
            </a:solidFill>
            <a:ln>
              <a:noFill/>
            </a:ln>
            <a:effectLst/>
          </c:spPr>
          <c:invertIfNegative val="0"/>
          <c:dLbls>
            <c:delete val="1"/>
          </c:dLbls>
          <c:cat>
            <c:strRef>
              <c:f>[工作簿1]Sheet1!$B$5:$C$5</c:f>
              <c:strCache>
                <c:ptCount val="2"/>
                <c:pt idx="0">
                  <c:v>收入（万元）</c:v>
                </c:pt>
                <c:pt idx="1">
                  <c:v>支出（万元）</c:v>
                </c:pt>
              </c:strCache>
            </c:strRef>
          </c:cat>
          <c:val>
            <c:numRef>
              <c:f>[工作簿1]Sheet1!$B$6:$C$6</c:f>
              <c:numCache>
                <c:formatCode>General</c:formatCode>
                <c:ptCount val="2"/>
                <c:pt idx="0">
                  <c:v>375.67</c:v>
                </c:pt>
                <c:pt idx="1">
                  <c:v>375.67</c:v>
                </c:pt>
              </c:numCache>
            </c:numRef>
          </c:val>
        </c:ser>
        <c:ser>
          <c:idx val="1"/>
          <c:order val="1"/>
          <c:tx>
            <c:strRef>
              <c:f>[工作簿1]Sheet1!$A$7</c:f>
              <c:strCache>
                <c:ptCount val="1"/>
                <c:pt idx="0">
                  <c:v>2020年</c:v>
                </c:pt>
              </c:strCache>
            </c:strRef>
          </c:tx>
          <c:spPr>
            <a:solidFill>
              <a:schemeClr val="accent2"/>
            </a:solidFill>
            <a:ln>
              <a:noFill/>
            </a:ln>
            <a:effectLst/>
          </c:spPr>
          <c:invertIfNegative val="0"/>
          <c:dLbls>
            <c:delete val="1"/>
          </c:dLbls>
          <c:cat>
            <c:strRef>
              <c:f>[工作簿1]Sheet1!$B$5:$C$5</c:f>
              <c:strCache>
                <c:ptCount val="2"/>
                <c:pt idx="0">
                  <c:v>收入（万元）</c:v>
                </c:pt>
                <c:pt idx="1">
                  <c:v>支出（万元）</c:v>
                </c:pt>
              </c:strCache>
            </c:strRef>
          </c:cat>
          <c:val>
            <c:numRef>
              <c:f>[工作簿1]Sheet1!$B$7:$C$7</c:f>
              <c:numCache>
                <c:formatCode>General</c:formatCode>
                <c:ptCount val="2"/>
                <c:pt idx="0">
                  <c:v>346.22</c:v>
                </c:pt>
                <c:pt idx="1">
                  <c:v>346.22</c:v>
                </c:pt>
              </c:numCache>
            </c:numRef>
          </c:val>
        </c:ser>
        <c:dLbls>
          <c:showLegendKey val="0"/>
          <c:showVal val="0"/>
          <c:showCatName val="0"/>
          <c:showSerName val="0"/>
          <c:showPercent val="0"/>
          <c:showBubbleSize val="0"/>
        </c:dLbls>
        <c:gapWidth val="219"/>
        <c:overlap val="-27"/>
        <c:axId val="962171542"/>
        <c:axId val="416367787"/>
      </c:barChart>
      <c:catAx>
        <c:axId val="9621715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6367787"/>
        <c:crosses val="autoZero"/>
        <c:auto val="1"/>
        <c:lblAlgn val="ctr"/>
        <c:lblOffset val="100"/>
        <c:noMultiLvlLbl val="0"/>
      </c:catAx>
      <c:valAx>
        <c:axId val="4163677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2171542"/>
        <c:crosses val="autoZero"/>
        <c:crossBetween val="between"/>
      </c:valAx>
      <c:spPr>
        <a:noFill/>
        <a:ln>
          <a:noFill/>
        </a:ln>
        <a:effectLst/>
      </c:spPr>
    </c:plotArea>
    <c:legend>
      <c:legendPos val="b"/>
      <c:layout>
        <c:manualLayout>
          <c:xMode val="edge"/>
          <c:yMode val="edge"/>
          <c:x val="0.377152777777778"/>
          <c:y val="0.9159722222222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[工作簿1]Sheet1!$A$17:$A$23</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[工作簿1]Sheet1!$B$17:$B$23</c:f>
              <c:numCache>
                <c:formatCode>General</c:formatCode>
                <c:ptCount val="7"/>
                <c:pt idx="0">
                  <c:v>315.9</c:v>
                </c:pt>
                <c:pt idx="1">
                  <c:v>0</c:v>
                </c:pt>
                <c:pt idx="2">
                  <c:v>0</c:v>
                </c:pt>
                <c:pt idx="3">
                  <c:v>0</c:v>
                </c:pt>
                <c:pt idx="4">
                  <c:v>0</c:v>
                </c:pt>
                <c:pt idx="5">
                  <c:v>0</c:v>
                </c:pt>
                <c:pt idx="6">
                  <c:v>30.32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[工作簿1]Sheet1!$A$17:$A$23</c:f>
              <c:strCache>
                <c:ptCount val="7"/>
                <c:pt idx="0">
                  <c:v>基本支出</c:v>
                </c:pt>
                <c:pt idx="1">
                  <c:v>项目支出</c:v>
                </c:pt>
                <c:pt idx="2">
                  <c:v>上缴上级支出</c:v>
                </c:pt>
                <c:pt idx="3">
                  <c:v>经营支出</c:v>
                </c:pt>
                <c:pt idx="4">
                  <c:v>对附属单位补助支出</c:v>
                </c:pt>
              </c:strCache>
            </c:strRef>
          </c:cat>
          <c:val>
            <c:numRef>
              <c:f>[工作簿1]Sheet1!$B$17:$B$23</c:f>
              <c:numCache>
                <c:formatCode>General</c:formatCode>
                <c:ptCount val="7"/>
                <c:pt idx="0">
                  <c:v>243.22</c:v>
                </c:pt>
                <c:pt idx="1">
                  <c:v>103</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overlay val="0"/>
      <c:spPr>
        <a:noFill/>
        <a:ln>
          <a:noFill/>
        </a:ln>
        <a:effectLst/>
      </c:spPr>
    </c:title>
    <c:autoTitleDeleted val="0"/>
    <c:plotArea>
      <c:layout/>
      <c:barChart>
        <c:barDir val="col"/>
        <c:grouping val="clustered"/>
        <c:varyColors val="0"/>
        <c:ser>
          <c:idx val="0"/>
          <c:order val="0"/>
          <c:tx>
            <c:strRef>
              <c:f>[工作簿1]Sheet1!$A$6</c:f>
              <c:strCache>
                <c:ptCount val="1"/>
                <c:pt idx="0">
                  <c:v>2019年</c:v>
                </c:pt>
              </c:strCache>
            </c:strRef>
          </c:tx>
          <c:spPr>
            <a:solidFill>
              <a:schemeClr val="accent1"/>
            </a:solidFill>
            <a:ln>
              <a:noFill/>
            </a:ln>
            <a:effectLst/>
          </c:spPr>
          <c:invertIfNegative val="0"/>
          <c:dLbls>
            <c:delete val="1"/>
          </c:dLbls>
          <c:cat>
            <c:strRef>
              <c:f>[工作簿1]Sheet1!$B$5:$C$5</c:f>
              <c:strCache>
                <c:ptCount val="2"/>
                <c:pt idx="0">
                  <c:v>收入（万元）</c:v>
                </c:pt>
                <c:pt idx="1">
                  <c:v>支出（万元）</c:v>
                </c:pt>
              </c:strCache>
            </c:strRef>
          </c:cat>
          <c:val>
            <c:numRef>
              <c:f>[工作簿1]Sheet1!$B$6:$C$6</c:f>
              <c:numCache>
                <c:formatCode>General</c:formatCode>
                <c:ptCount val="2"/>
                <c:pt idx="0">
                  <c:v>375.67</c:v>
                </c:pt>
                <c:pt idx="1">
                  <c:v>375.67</c:v>
                </c:pt>
              </c:numCache>
            </c:numRef>
          </c:val>
        </c:ser>
        <c:ser>
          <c:idx val="1"/>
          <c:order val="1"/>
          <c:tx>
            <c:strRef>
              <c:f>[工作簿1]Sheet1!$A$7</c:f>
              <c:strCache>
                <c:ptCount val="1"/>
                <c:pt idx="0">
                  <c:v>2020年</c:v>
                </c:pt>
              </c:strCache>
            </c:strRef>
          </c:tx>
          <c:spPr>
            <a:solidFill>
              <a:schemeClr val="accent2"/>
            </a:solidFill>
            <a:ln>
              <a:noFill/>
            </a:ln>
            <a:effectLst/>
          </c:spPr>
          <c:invertIfNegative val="0"/>
          <c:dLbls>
            <c:delete val="1"/>
          </c:dLbls>
          <c:cat>
            <c:strRef>
              <c:f>[工作簿1]Sheet1!$B$5:$C$5</c:f>
              <c:strCache>
                <c:ptCount val="2"/>
                <c:pt idx="0">
                  <c:v>收入（万元）</c:v>
                </c:pt>
                <c:pt idx="1">
                  <c:v>支出（万元）</c:v>
                </c:pt>
              </c:strCache>
            </c:strRef>
          </c:cat>
          <c:val>
            <c:numRef>
              <c:f>[工作簿1]Sheet1!$B$7:$C$7</c:f>
              <c:numCache>
                <c:formatCode>General</c:formatCode>
                <c:ptCount val="2"/>
                <c:pt idx="0">
                  <c:v>346.22</c:v>
                </c:pt>
                <c:pt idx="1">
                  <c:v>346.22</c:v>
                </c:pt>
              </c:numCache>
            </c:numRef>
          </c:val>
        </c:ser>
        <c:dLbls>
          <c:showLegendKey val="0"/>
          <c:showVal val="0"/>
          <c:showCatName val="0"/>
          <c:showSerName val="0"/>
          <c:showPercent val="0"/>
          <c:showBubbleSize val="0"/>
        </c:dLbls>
        <c:gapWidth val="219"/>
        <c:overlap val="-27"/>
        <c:axId val="962171542"/>
        <c:axId val="416367787"/>
      </c:barChart>
      <c:catAx>
        <c:axId val="9621715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6367787"/>
        <c:crosses val="autoZero"/>
        <c:auto val="1"/>
        <c:lblAlgn val="ctr"/>
        <c:lblOffset val="100"/>
        <c:noMultiLvlLbl val="0"/>
      </c:catAx>
      <c:valAx>
        <c:axId val="4163677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2171542"/>
        <c:crosses val="autoZero"/>
        <c:crossBetween val="between"/>
      </c:valAx>
      <c:spPr>
        <a:noFill/>
        <a:ln>
          <a:noFill/>
        </a:ln>
        <a:effectLst/>
      </c:spPr>
    </c:plotArea>
    <c:legend>
      <c:legendPos val="b"/>
      <c:layout>
        <c:manualLayout>
          <c:xMode val="edge"/>
          <c:yMode val="edge"/>
          <c:x val="0.377152777777778"/>
          <c:y val="0.9159722222222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[工作簿1]Sheet1!$A$10:$A$11</c:f>
              <c:strCache>
                <c:ptCount val="2"/>
                <c:pt idx="0">
                  <c:v>2019年</c:v>
                </c:pt>
                <c:pt idx="1">
                  <c:v>2020年</c:v>
                </c:pt>
              </c:strCache>
            </c:strRef>
          </c:cat>
          <c:val>
            <c:numRef>
              <c:f>[工作簿1]Sheet1!$B$10:$B$11</c:f>
              <c:numCache>
                <c:formatCode>General</c:formatCode>
                <c:ptCount val="2"/>
                <c:pt idx="0">
                  <c:v>311.18</c:v>
                </c:pt>
                <c:pt idx="1">
                  <c:v>243.22</c:v>
                </c:pt>
              </c:numCache>
            </c:numRef>
          </c:val>
        </c:ser>
        <c:dLbls>
          <c:showLegendKey val="0"/>
          <c:showVal val="0"/>
          <c:showCatName val="0"/>
          <c:showSerName val="0"/>
          <c:showPercent val="0"/>
          <c:showBubbleSize val="0"/>
        </c:dLbls>
        <c:gapWidth val="219"/>
        <c:overlap val="-27"/>
        <c:axId val="528841414"/>
        <c:axId val="493070355"/>
      </c:barChart>
      <c:catAx>
        <c:axId val="5288414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070355"/>
        <c:crosses val="autoZero"/>
        <c:auto val="1"/>
        <c:lblAlgn val="ctr"/>
        <c:lblOffset val="100"/>
        <c:noMultiLvlLbl val="0"/>
      </c:catAx>
      <c:valAx>
        <c:axId val="4930703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884141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[工作簿1]Sheet1!$A$22:$A$28</c:f>
              <c:strCache>
                <c:ptCount val="7"/>
                <c:pt idx="0">
                  <c:v>一般公共服务（类）支出</c:v>
                </c:pt>
                <c:pt idx="1">
                  <c:v>教育支出（类）</c:v>
                </c:pt>
                <c:pt idx="2">
                  <c:v>科学技术（类）支出</c:v>
                </c:pt>
                <c:pt idx="3">
                  <c:v>文化旅游体育与传媒（类）支出</c:v>
                </c:pt>
                <c:pt idx="4">
                  <c:v>社会保障和就业（类）支出</c:v>
                </c:pt>
                <c:pt idx="5">
                  <c:v>卫生健康支出</c:v>
                </c:pt>
                <c:pt idx="6">
                  <c:v>住房保障支出</c:v>
                </c:pt>
              </c:strCache>
            </c:strRef>
          </c:cat>
          <c:val>
            <c:numRef>
              <c:f>[工作簿1]Sheet1!$B$22:$B$28</c:f>
              <c:numCache>
                <c:formatCode>General</c:formatCode>
                <c:ptCount val="7"/>
                <c:pt idx="0">
                  <c:v>284.35</c:v>
                </c:pt>
                <c:pt idx="1">
                  <c:v>0</c:v>
                </c:pt>
                <c:pt idx="2">
                  <c:v>0</c:v>
                </c:pt>
                <c:pt idx="3">
                  <c:v>0</c:v>
                </c:pt>
                <c:pt idx="4">
                  <c:v>25.89</c:v>
                </c:pt>
                <c:pt idx="5">
                  <c:v>14.42</c:v>
                </c:pt>
                <c:pt idx="6">
                  <c:v>21.56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“三公”经费财政拨款支出决算</a:t>
            </a:r>
          </a:p>
        </c:rich>
      </c:tx>
      <c:layout>
        <c:manualLayout>
          <c:xMode val="edge"/>
          <c:yMode val="edge"/>
          <c:x val="0.256805555555556"/>
          <c:y val="0.027777777777777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[工作簿1]Sheet1!$A$22:$A$28</c:f>
              <c:strCache>
                <c:ptCount val="7"/>
                <c:pt idx="0">
                  <c:v>因公出国（境）费支出决算</c:v>
                </c:pt>
                <c:pt idx="1">
                  <c:v>公务用车购置及运行维护费支出</c:v>
                </c:pt>
                <c:pt idx="2">
                  <c:v>公务接待费支出决算</c:v>
                </c:pt>
              </c:strCache>
            </c:strRef>
          </c:cat>
          <c:val>
            <c:numRef>
              <c:f>[工作簿1]Sheet1!$B$22:$B$28</c:f>
              <c:numCache>
                <c:formatCode>General</c:formatCode>
                <c:ptCount val="7"/>
                <c:pt idx="0">
                  <c:v>0</c:v>
                </c:pt>
                <c:pt idx="1">
                  <c:v>29.3</c:v>
                </c:pt>
                <c:pt idx="2">
                  <c:v>0.68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8042</Words>
  <Characters>2498</Characters>
  <Lines>20</Lines>
  <Paragraphs>21</Paragraphs>
  <TotalTime>157</TotalTime>
  <ScaleCrop>false</ScaleCrop>
  <LinksUpToDate>false</LinksUpToDate>
  <CharactersWithSpaces>10519</CharactersWithSpaces>
  <Application>WPS Office_11.1.0.11037_F1E327BC-269C-435d-A152-05C5408002CA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2021-09-09T09:12:00Z</dcterms:created>
  <dc:creator>曹颖</dc:creator>
  <cp:lastModifiedBy>WPS_316169900</cp:lastModifiedBy>
  <cp:lastPrinted>2021-07-29T03:56:00Z</cp:lastPrinted>
  <dcterms:modified xsi:type="dcterms:W3CDTF">2021-09-29T07:31:08Z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2052-11.1.0.11037</vt:lpwstr>
  </property>
  <property fmtid="{D5CDD505-2E9C-101B-9397-08002B2CF9AE}" pid="3" name="ICV">
    <vt:lpwstr>682D275D6F7E4C039E24E9DBCF1CE152</vt:lpwstr>
  </property>
</Properties>
</file>