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0B460">
      <w:pPr>
        <w:rPr>
          <w:rFonts w:ascii="Times New Roman" w:hAnsi="Times New Roman"/>
        </w:rPr>
      </w:pPr>
      <w:bookmarkStart w:id="0" w:name="_Toc15377425"/>
      <w:bookmarkStart w:id="1" w:name="_Toc15378441"/>
      <w:bookmarkStart w:id="2" w:name="_Toc15396597"/>
      <w:bookmarkStart w:id="3" w:name="_Toc15377193"/>
      <w:bookmarkStart w:id="4" w:name="_Toc15396475"/>
      <w:bookmarkStart w:id="5" w:name="_Toc15306267"/>
    </w:p>
    <w:p w14:paraId="5C12E26D">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4BA92E8A">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684D25EB">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6895E512">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690776BE">
      <w:pPr>
        <w:pStyle w:val="5"/>
        <w:jc w:val="center"/>
        <w:rPr>
          <w:rFonts w:hint="eastAsia" w:ascii="Times New Roman" w:eastAsia="方正小标宋简体" w:cs="Times New Roman"/>
          <w:color w:val="auto"/>
          <w:kern w:val="2"/>
          <w:sz w:val="44"/>
          <w:szCs w:val="44"/>
          <w:highlight w:val="none"/>
          <w:lang w:val="en-US" w:eastAsia="zh-CN" w:bidi="ar-SA"/>
        </w:rPr>
      </w:pPr>
      <w:bookmarkStart w:id="6" w:name="_Toc15377194"/>
      <w:bookmarkStart w:id="7" w:name="_Toc15377426"/>
      <w:bookmarkStart w:id="8" w:name="_Toc15378442"/>
      <w:bookmarkStart w:id="9" w:name="_Toc15396476"/>
      <w:bookmarkStart w:id="10" w:name="_Toc15396598"/>
      <w:r>
        <w:rPr>
          <w:rFonts w:hint="eastAsia" w:ascii="Times New Roman" w:eastAsia="方正小标宋简体" w:cs="Times New Roman"/>
          <w:color w:val="auto"/>
          <w:kern w:val="2"/>
          <w:sz w:val="44"/>
          <w:szCs w:val="44"/>
          <w:highlight w:val="none"/>
          <w:lang w:val="en-US" w:eastAsia="zh-CN" w:bidi="ar-SA"/>
        </w:rPr>
        <w:t>2025年度</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阿坝州驻郫都区老干部休养所</w:t>
      </w:r>
    </w:p>
    <w:p w14:paraId="61690B2C">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48D5C32D">
      <w:pPr>
        <w:rPr>
          <w:rFonts w:hint="eastAsia"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br w:type="page"/>
      </w:r>
    </w:p>
    <w:p w14:paraId="703D0D72">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236D169">
      <w:pPr>
        <w:widowControl/>
        <w:jc w:val="center"/>
        <w:rPr>
          <w:rFonts w:ascii="Times New Roman" w:hAnsi="Times New Roman" w:eastAsia="黑体" w:cstheme="minorBidi"/>
          <w:color w:val="auto"/>
          <w:sz w:val="28"/>
          <w:szCs w:val="28"/>
          <w:highlight w:val="none"/>
        </w:rPr>
      </w:pPr>
    </w:p>
    <w:p w14:paraId="6269BD8E">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10 </w:t>
      </w:r>
      <w:r>
        <w:rPr>
          <w:rFonts w:hint="eastAsia" w:ascii="Times New Roman" w:hAnsi="Times New Roman" w:eastAsia="仿宋_GB2312" w:cs="仿宋_GB2312"/>
          <w:color w:val="auto"/>
          <w:sz w:val="32"/>
          <w:szCs w:val="32"/>
          <w:highlight w:val="none"/>
        </w:rPr>
        <w:t>日</w:t>
      </w:r>
    </w:p>
    <w:p w14:paraId="21E66FC5">
      <w:pPr>
        <w:rPr>
          <w:rFonts w:ascii="Times New Roman" w:hAnsi="Times New Roman"/>
          <w:color w:val="auto"/>
          <w:highlight w:val="none"/>
        </w:rPr>
      </w:pPr>
    </w:p>
    <w:p w14:paraId="4F79485F">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4FD828B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......................................................................4</w:t>
      </w:r>
    </w:p>
    <w:p w14:paraId="50FE4E6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......................................................................4</w:t>
      </w:r>
    </w:p>
    <w:p w14:paraId="4AE1560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74F71E6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.....................................4</w:t>
      </w:r>
    </w:p>
    <w:p w14:paraId="39012A9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.....................................................5</w:t>
      </w:r>
    </w:p>
    <w:p w14:paraId="3904064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.....................................................6</w:t>
      </w:r>
    </w:p>
    <w:p w14:paraId="5AD3D23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.....................7</w:t>
      </w:r>
    </w:p>
    <w:p w14:paraId="148AECD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.............7</w:t>
      </w:r>
    </w:p>
    <w:p w14:paraId="361D9C8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....10</w:t>
      </w:r>
    </w:p>
    <w:p w14:paraId="0342F69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............10</w:t>
      </w:r>
    </w:p>
    <w:p w14:paraId="4A21282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........................12</w:t>
      </w:r>
    </w:p>
    <w:p w14:paraId="1CDC42B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.....................12</w:t>
      </w:r>
    </w:p>
    <w:p w14:paraId="454950D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........................................12</w:t>
      </w:r>
    </w:p>
    <w:p w14:paraId="13F27B3E">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.................................................................15</w:t>
      </w:r>
    </w:p>
    <w:p w14:paraId="4BEDCA5C">
      <w:pPr>
        <w:widowControl/>
        <w:spacing w:line="578" w:lineRule="exact"/>
        <w:contextualSpacing/>
        <w:jc w:val="left"/>
        <w:rPr>
          <w:rFonts w:hint="default" w:ascii="Times New Roman" w:hAnsi="Times New Roman" w:eastAsia="黑体" w:cs="黑体"/>
          <w:color w:val="auto"/>
          <w:kern w:val="2"/>
          <w:sz w:val="32"/>
          <w:szCs w:val="32"/>
          <w:highlight w:val="none"/>
          <w:lang w:val="en-US" w:eastAsia="zh-CN" w:bidi="ar-SA"/>
        </w:rPr>
      </w:pPr>
      <w:r>
        <w:rPr>
          <w:rFonts w:hint="eastAsia" w:ascii="Times New Roman" w:hAnsi="Times New Roman" w:eastAsia="黑体" w:cs="黑体"/>
          <w:color w:val="auto"/>
          <w:sz w:val="32"/>
          <w:szCs w:val="32"/>
          <w:highlight w:val="none"/>
        </w:rPr>
        <w:t xml:space="preserve">第四部分 </w:t>
      </w:r>
      <w:r>
        <w:rPr>
          <w:rFonts w:hint="eastAsia" w:eastAsia="黑体" w:cs="黑体"/>
          <w:color w:val="auto"/>
          <w:sz w:val="32"/>
          <w:szCs w:val="32"/>
          <w:highlight w:val="none"/>
          <w:lang w:val="en-US" w:eastAsia="zh-CN"/>
        </w:rPr>
        <w:t>2</w:t>
      </w:r>
      <w:r>
        <w:rPr>
          <w:rFonts w:hint="eastAsia" w:ascii="Times New Roman" w:hAnsi="Times New Roman" w:eastAsia="黑体" w:cs="黑体"/>
          <w:color w:val="auto"/>
          <w:kern w:val="2"/>
          <w:sz w:val="32"/>
          <w:szCs w:val="32"/>
          <w:highlight w:val="none"/>
          <w:lang w:val="en-US" w:eastAsia="zh-CN" w:bidi="ar-SA"/>
        </w:rPr>
        <w:t>025年部门预算绩效自评报告</w:t>
      </w:r>
      <w:r>
        <w:rPr>
          <w:rFonts w:hint="eastAsia" w:eastAsia="黑体" w:cs="黑体"/>
          <w:color w:val="auto"/>
          <w:kern w:val="2"/>
          <w:sz w:val="32"/>
          <w:szCs w:val="32"/>
          <w:highlight w:val="none"/>
          <w:lang w:val="en-US" w:eastAsia="zh-CN" w:bidi="ar-SA"/>
        </w:rPr>
        <w:t>..........</w:t>
      </w:r>
      <w:r>
        <w:rPr>
          <w:rFonts w:hint="eastAsia" w:ascii="Times New Roman" w:hAnsi="Times New Roman" w:eastAsia="黑体" w:cs="黑体"/>
          <w:color w:val="auto"/>
          <w:kern w:val="2"/>
          <w:sz w:val="32"/>
          <w:szCs w:val="32"/>
          <w:highlight w:val="none"/>
          <w:lang w:val="en-US" w:eastAsia="zh-CN" w:bidi="ar-SA"/>
        </w:rPr>
        <w:t>..................16</w:t>
      </w:r>
    </w:p>
    <w:p w14:paraId="4AA8779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.........................................................................24</w:t>
      </w:r>
    </w:p>
    <w:p w14:paraId="65498CC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0D2668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5E5A94C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18A81AB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584DD09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514C6EE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7FEC7E0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600B5E5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1B5788C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06DBC01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02BBEE3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161138C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22B2204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1C10017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16AF9A3C">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14:paraId="4EC0CDB1">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3CD6A566">
      <w:pPr>
        <w:widowControl/>
        <w:jc w:val="left"/>
        <w:rPr>
          <w:rFonts w:ascii="Times New Roman" w:hAnsi="Times New Roman" w:eastAsia="黑体"/>
          <w:color w:val="auto"/>
          <w:sz w:val="32"/>
          <w:szCs w:val="32"/>
          <w:highlight w:val="none"/>
        </w:rPr>
      </w:pPr>
    </w:p>
    <w:p w14:paraId="1AEBF772">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70509B79">
      <w:pPr>
        <w:ind w:firstLine="640" w:firstLineChars="200"/>
        <w:rPr>
          <w:rFonts w:ascii="仿宋_GB2312" w:eastAsia="仿宋_GB2312"/>
          <w:sz w:val="32"/>
          <w:szCs w:val="32"/>
        </w:rPr>
      </w:pPr>
      <w:r>
        <w:rPr>
          <w:rFonts w:hint="eastAsia" w:ascii="仿宋_GB2312" w:eastAsia="仿宋_GB2312"/>
          <w:sz w:val="32"/>
          <w:szCs w:val="32"/>
        </w:rPr>
        <w:t>在州委老干部局的领导下，履行好对阿坝州驻郫都区老干部休养所、老干部管理服务中心工作的职责，贯彻落实党中央、国务院和省委、省政府、州委、州政府关于老干部工作的各项方针政策，协同组织部门抓好老干部党支部建设，加强对阿坝州驻郫都区离休老干部、厅级退休干部等的管理和服务工作，组织指导老干部协会开展各项活动。</w:t>
      </w:r>
    </w:p>
    <w:p w14:paraId="6483514A">
      <w:pPr>
        <w:pStyle w:val="3"/>
        <w:rPr>
          <w:rStyle w:val="29"/>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14:paraId="00AFFE4C">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阿坝州驻郫都区老干部休养所</w:t>
      </w:r>
      <w:r>
        <w:rPr>
          <w:rFonts w:hint="eastAsia" w:ascii="Times New Roman" w:hAnsi="Times New Roman" w:eastAsia="仿宋_GB2312" w:cs="仿宋_GB2312"/>
          <w:color w:val="auto"/>
          <w:sz w:val="32"/>
          <w:szCs w:val="32"/>
          <w:highlight w:val="none"/>
        </w:rPr>
        <w:t>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属</w:t>
      </w:r>
      <w:r>
        <w:rPr>
          <w:rFonts w:hint="eastAsia" w:ascii="Times New Roman" w:hAnsi="Times New Roman" w:eastAsia="仿宋_GB2312" w:cs="仿宋_GB2312"/>
          <w:color w:val="auto"/>
          <w:sz w:val="32"/>
          <w:szCs w:val="32"/>
          <w:highlight w:val="none"/>
        </w:rPr>
        <w:t>参照公务员法管理的事业单位。</w:t>
      </w:r>
    </w:p>
    <w:p w14:paraId="69C5A985">
      <w:pPr>
        <w:pStyle w:val="2"/>
        <w:jc w:val="center"/>
        <w:rPr>
          <w:rFonts w:hint="eastAsia" w:ascii="Times New Roman" w:hAnsi="Times New Roman" w:eastAsia="方正小标宋简体" w:cs="方正小标宋简体"/>
          <w:b w:val="0"/>
          <w:color w:val="auto"/>
          <w:highlight w:val="none"/>
        </w:rPr>
      </w:pPr>
      <w:bookmarkStart w:id="16" w:name="_Toc15396602"/>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01BAE6C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96603"/>
      <w:bookmarkStart w:id="19"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32FFDCD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186.14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eastAsia="仿宋_GB2312" w:cs="仿宋_GB2312"/>
          <w:color w:val="auto"/>
          <w:sz w:val="32"/>
          <w:szCs w:val="32"/>
          <w:highlight w:val="none"/>
          <w:lang w:val="en-US" w:eastAsia="zh-CN"/>
        </w:rPr>
        <w:t>增加7.61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4.3</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val="en-US" w:eastAsia="zh-CN"/>
        </w:rPr>
        <w:t>人员经费增加，工资、社保正常晋升和增加，年底退休1人，</w:t>
      </w:r>
      <w:r>
        <w:rPr>
          <w:rFonts w:hint="eastAsia" w:ascii="仿宋" w:hAnsi="仿宋" w:eastAsia="仿宋"/>
          <w:sz w:val="30"/>
          <w:szCs w:val="30"/>
        </w:rPr>
        <w:t>增加1 名退休人员购房补贴1.2万元</w:t>
      </w:r>
      <w:r>
        <w:rPr>
          <w:rFonts w:hint="eastAsia" w:ascii="仿宋" w:hAnsi="仿宋" w:eastAsia="仿宋"/>
          <w:sz w:val="30"/>
          <w:szCs w:val="30"/>
          <w:lang w:eastAsia="zh-CN"/>
        </w:rPr>
        <w:t>。</w:t>
      </w:r>
    </w:p>
    <w:p w14:paraId="2CCCCDD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39BD2BC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5080" t="4445" r="889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331750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r>
        <w:rPr>
          <w:rFonts w:hint="eastAsia" w:ascii="Times New Roman" w:hAnsi="Times New Roman" w:eastAsia="黑体"/>
          <w:color w:val="auto"/>
          <w:sz w:val="32"/>
          <w:szCs w:val="32"/>
          <w:highlight w:val="none"/>
          <w:lang w:eastAsia="zh-CN"/>
        </w:rPr>
        <w:t>二、收入决算情况说明</w:t>
      </w:r>
      <w:bookmarkEnd w:id="20"/>
      <w:bookmarkEnd w:id="21"/>
    </w:p>
    <w:p w14:paraId="4CE0275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181.</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177.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97.</w:t>
      </w:r>
      <w:r>
        <w:rPr>
          <w:rFonts w:hint="eastAsia" w:ascii="仿宋_GB2312" w:hAnsi="仿宋_GB2312" w:eastAsia="仿宋_GB2312" w:cs="仿宋_GB2312"/>
          <w:sz w:val="32"/>
          <w:szCs w:val="32"/>
          <w:lang w:val="en-US" w:eastAsia="zh-CN"/>
        </w:rPr>
        <w:t>8</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2.2</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477D5BE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1D3AE4D3">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5080" t="4445" r="889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9A0C98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698B2D3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182.</w:t>
      </w:r>
      <w:r>
        <w:rPr>
          <w:rFonts w:hint="eastAsia" w:ascii="仿宋_GB2312" w:hAnsi="仿宋_GB2312" w:eastAsia="仿宋_GB2312" w:cs="仿宋_GB2312"/>
          <w:sz w:val="32"/>
          <w:szCs w:val="32"/>
          <w:lang w:val="en-US" w:eastAsia="zh-CN"/>
        </w:rPr>
        <w:t>7</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137.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75.3</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45.</w:t>
      </w:r>
      <w:r>
        <w:rPr>
          <w:rFonts w:hint="eastAsia" w:ascii="仿宋_GB2312" w:hAnsi="仿宋_GB2312" w:eastAsia="仿宋_GB2312" w:cs="仿宋_GB2312"/>
          <w:sz w:val="32"/>
          <w:szCs w:val="32"/>
          <w:lang w:val="en-US" w:eastAsia="zh-CN"/>
        </w:rPr>
        <w:t>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24.</w:t>
      </w:r>
      <w:r>
        <w:rPr>
          <w:rFonts w:hint="eastAsia" w:ascii="仿宋_GB2312" w:hAnsi="仿宋_GB2312" w:eastAsia="仿宋_GB2312" w:cs="仿宋_GB2312"/>
          <w:sz w:val="32"/>
          <w:szCs w:val="32"/>
          <w:lang w:val="en-US" w:eastAsia="zh-CN"/>
        </w:rPr>
        <w:t>7</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72405ACA">
      <w:pPr>
        <w:pStyle w:val="26"/>
        <w:bidi w:val="0"/>
        <w:rPr>
          <w:rFonts w:hint="eastAsia"/>
          <w:lang w:eastAsia="zh-CN"/>
        </w:rPr>
      </w:pPr>
      <w:r>
        <w:rPr>
          <w:rFonts w:hint="eastAsia"/>
          <w:lang w:eastAsia="zh-CN"/>
        </w:rPr>
        <w:t>（图3：支出决算结构图）（饼状图）</w:t>
      </w:r>
    </w:p>
    <w:p w14:paraId="5AB51EDF">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6530" cy="2988310"/>
            <wp:effectExtent l="5080" t="4445" r="889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7AB84E8">
      <w:pPr>
        <w:spacing w:line="600" w:lineRule="exact"/>
        <w:ind w:firstLine="640" w:firstLineChars="200"/>
        <w:outlineLvl w:val="1"/>
        <w:rPr>
          <w:rStyle w:val="29"/>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5433C0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177.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，基本持平</w:t>
      </w:r>
      <w:r>
        <w:rPr>
          <w:rFonts w:hint="eastAsia" w:ascii="Times New Roman" w:hAnsi="Times New Roman" w:eastAsia="仿宋_GB2312" w:cs="仿宋_GB2312"/>
          <w:color w:val="auto"/>
          <w:kern w:val="2"/>
          <w:sz w:val="32"/>
          <w:szCs w:val="32"/>
          <w:highlight w:val="none"/>
          <w:lang w:val="en-US" w:eastAsia="zh-CN" w:bidi="ar-SA"/>
        </w:rPr>
        <w:t>。</w:t>
      </w:r>
    </w:p>
    <w:p w14:paraId="526E72FD">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619B074C">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6F906678">
      <w:pPr>
        <w:pStyle w:val="13"/>
        <w:rPr>
          <w:rFonts w:hint="eastAsia"/>
          <w:lang w:val="en-US" w:eastAsia="zh-CN"/>
        </w:rPr>
      </w:pPr>
      <w:r>
        <w:rPr>
          <w:rFonts w:hint="eastAsia"/>
          <w:lang w:val="en-US" w:eastAsia="zh-CN"/>
        </w:rPr>
        <w:drawing>
          <wp:inline distT="0" distB="0" distL="114300" distR="114300">
            <wp:extent cx="5256530" cy="2988310"/>
            <wp:effectExtent l="5080" t="4445" r="8890" b="17145"/>
            <wp:docPr id="4" name="图表 4" descr="7b0a202020202263686172745265734964223a2022343631303335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DE7253">
      <w:pPr>
        <w:spacing w:line="600" w:lineRule="exact"/>
        <w:ind w:firstLine="640" w:firstLineChars="200"/>
        <w:outlineLvl w:val="1"/>
        <w:rPr>
          <w:rStyle w:val="29"/>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448321A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690820F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177.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97.2</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减少1</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，与上年持平。</w:t>
      </w:r>
    </w:p>
    <w:p w14:paraId="7F5DA5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4AF829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CD8C57B">
      <w:pPr>
        <w:pStyle w:val="13"/>
        <w:rPr>
          <w:rFonts w:hint="eastAsia" w:ascii="Times New Roman" w:hAnsi="Times New Roman" w:eastAsia="仿宋_GB2312" w:cs="仿宋_GB2312"/>
          <w:color w:val="auto"/>
          <w:kern w:val="2"/>
          <w:sz w:val="32"/>
          <w:szCs w:val="32"/>
          <w:highlight w:val="none"/>
          <w:lang w:val="en-US" w:eastAsia="zh-CN" w:bidi="ar-SA"/>
        </w:rPr>
      </w:pPr>
    </w:p>
    <w:p w14:paraId="56937B71">
      <w:pPr>
        <w:pStyle w:val="7"/>
        <w:rPr>
          <w:rFonts w:hint="eastAsia"/>
          <w:lang w:val="en-US" w:eastAsia="zh-CN"/>
        </w:rPr>
      </w:pPr>
      <w:r>
        <w:rPr>
          <w:rFonts w:hint="eastAsia"/>
          <w:lang w:val="en-US" w:eastAsia="zh-CN"/>
        </w:rPr>
        <w:drawing>
          <wp:inline distT="0" distB="0" distL="114300" distR="114300">
            <wp:extent cx="5256530" cy="2988310"/>
            <wp:effectExtent l="5080" t="4445" r="8890" b="17145"/>
            <wp:docPr id="5" name="图表 5" descr="7b0a202020202263686172745265734964223a2022343535363338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67FECD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5A93442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177.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148.6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83.7</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16.7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6.7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10.7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17C2B6BE">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r>
        <w:rPr>
          <w:rFonts w:hint="eastAsia" w:eastAsia="仿宋_GB2312" w:cs="仿宋_GB2312"/>
          <w:color w:val="auto"/>
          <w:kern w:val="2"/>
          <w:sz w:val="32"/>
          <w:szCs w:val="32"/>
          <w:highlight w:val="none"/>
          <w:lang w:val="en-US" w:eastAsia="zh-CN" w:bidi="ar-SA"/>
        </w:rPr>
        <w:t>）</w:t>
      </w:r>
    </w:p>
    <w:p w14:paraId="2ED7E711">
      <w:pPr>
        <w:pStyle w:val="7"/>
        <w:ind w:left="0" w:leftChars="0" w:firstLine="0" w:firstLineChars="0"/>
        <w:rPr>
          <w:rFonts w:hint="eastAsia" w:eastAsia="仿宋_GB2312" w:cs="仿宋_GB2312"/>
          <w:color w:val="auto"/>
          <w:kern w:val="2"/>
          <w:sz w:val="32"/>
          <w:szCs w:val="32"/>
          <w:highlight w:val="none"/>
          <w:lang w:val="en-US" w:eastAsia="zh-CN" w:bidi="ar-SA"/>
        </w:rPr>
      </w:pPr>
    </w:p>
    <w:p w14:paraId="5D5525A3">
      <w:pPr>
        <w:pStyle w:val="7"/>
        <w:ind w:left="0" w:leftChars="0" w:firstLine="0" w:firstLineChars="0"/>
        <w:rPr>
          <w:rFonts w:hint="eastAsia" w:eastAsia="仿宋_GB2312" w:cs="仿宋_GB2312"/>
          <w:color w:val="auto"/>
          <w:kern w:val="2"/>
          <w:sz w:val="32"/>
          <w:szCs w:val="32"/>
          <w:highlight w:val="none"/>
          <w:lang w:val="en-US" w:eastAsia="zh-CN" w:bidi="ar-SA"/>
        </w:rPr>
      </w:pPr>
    </w:p>
    <w:p w14:paraId="3A6B323A">
      <w:pPr>
        <w:pStyle w:val="13"/>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988310"/>
            <wp:effectExtent l="5080" t="4445" r="8890" b="1714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9F01A7C">
      <w:pPr>
        <w:pStyle w:val="7"/>
        <w:rPr>
          <w:rFonts w:hint="eastAsia" w:ascii="Times New Roman" w:hAnsi="Times New Roman" w:eastAsia="仿宋_GB2312" w:cs="仿宋_GB2312"/>
          <w:color w:val="auto"/>
          <w:kern w:val="2"/>
          <w:sz w:val="32"/>
          <w:szCs w:val="32"/>
          <w:highlight w:val="none"/>
          <w:lang w:val="en-US" w:eastAsia="zh-CN" w:bidi="ar-SA"/>
        </w:rPr>
      </w:pPr>
    </w:p>
    <w:p w14:paraId="46919F54">
      <w:pPr>
        <w:pStyle w:val="13"/>
        <w:rPr>
          <w:rFonts w:hint="eastAsia"/>
          <w:lang w:val="en-US" w:eastAsia="zh-CN"/>
        </w:rPr>
      </w:pPr>
    </w:p>
    <w:p w14:paraId="2A2B7D1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481FC3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8460"/>
      <w:bookmarkStart w:id="32" w:name="_Toc15377213"/>
      <w:bookmarkStart w:id="3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177.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4E2C0D97">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36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103.5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24C377D">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）05、06</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16.7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00235F4">
      <w:pPr>
        <w:numPr>
          <w:ilvl w:val="0"/>
          <w:numId w:val="2"/>
        </w:numPr>
        <w:spacing w:line="600" w:lineRule="exact"/>
        <w:ind w:left="0" w:leftChars="0" w:firstLine="64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p>
    <w:p w14:paraId="52E4A2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4.住房保障221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D8E0233">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4D013638">
      <w:pPr>
        <w:tabs>
          <w:tab w:val="right" w:pos="8306"/>
        </w:tabs>
        <w:spacing w:line="600" w:lineRule="exact"/>
        <w:ind w:firstLine="640"/>
        <w:outlineLvl w:val="1"/>
        <w:rPr>
          <w:rStyle w:val="29"/>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14:paraId="41F4FA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137.</w:t>
      </w:r>
      <w:r>
        <w:rPr>
          <w:rFonts w:hint="eastAsia" w:ascii="仿宋_GB2312" w:hAnsi="仿宋_GB2312" w:eastAsia="仿宋_GB2312" w:cs="仿宋_GB2312"/>
          <w:sz w:val="32"/>
          <w:szCs w:val="32"/>
          <w:lang w:val="en-US" w:eastAsia="zh-CN"/>
        </w:rPr>
        <w:t>6</w:t>
      </w:r>
      <w:r>
        <w:rPr>
          <w:rFonts w:hint="eastAsia" w:ascii="Times New Roman" w:hAnsi="Times New Roman" w:eastAsia="仿宋_GB2312" w:cs="仿宋_GB2312"/>
          <w:color w:val="auto"/>
          <w:kern w:val="2"/>
          <w:sz w:val="32"/>
          <w:szCs w:val="32"/>
          <w:highlight w:val="none"/>
          <w:lang w:val="en-US" w:eastAsia="zh-CN" w:bidi="ar-SA"/>
        </w:rPr>
        <w:t>万元，其中：</w:t>
      </w:r>
    </w:p>
    <w:p w14:paraId="1134D4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126.</w:t>
      </w:r>
      <w:r>
        <w:rPr>
          <w:rFonts w:hint="eastAsia" w:ascii="仿宋_GB2312" w:hAnsi="仿宋_GB2312" w:eastAsia="仿宋_GB2312" w:cs="仿宋_GB2312"/>
          <w:sz w:val="32"/>
          <w:szCs w:val="32"/>
          <w:lang w:val="en-US" w:eastAsia="zh-CN"/>
        </w:rPr>
        <w:t>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万元，主要包括：基本工资、津贴补贴、奖金、机关事业单位基本养老保险缴费、职业年金缴费、其他社会保障缴费、生活补助、医疗费补助、奖励金、住房公积金等。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lang w:val="en-US" w:eastAsia="zh-CN"/>
        </w:rPr>
        <w:t>1</w:t>
      </w:r>
      <w:r>
        <w:rPr>
          <w:rFonts w:hint="eastAsia" w:ascii="Times New Roman" w:hAnsi="Times New Roman" w:eastAsia="仿宋_GB2312" w:cs="仿宋_GB2312"/>
          <w:color w:val="auto"/>
          <w:kern w:val="2"/>
          <w:sz w:val="32"/>
          <w:szCs w:val="32"/>
          <w:highlight w:val="none"/>
          <w:lang w:val="en-US" w:eastAsia="zh-CN" w:bidi="ar-SA"/>
        </w:rPr>
        <w:t>万元，主要包括：办公费、水费、电费、邮电费、取暖费、差旅费、维修（护）费、租赁费、会议费、培训费、委托业务费、工会经费、福利费、公务用车运行维护费、其他交通费、其他商品和服务支出、办公设备购置等。</w:t>
      </w:r>
    </w:p>
    <w:p w14:paraId="31ADAA9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618FA85D">
      <w:pPr>
        <w:spacing w:line="600" w:lineRule="exact"/>
        <w:ind w:firstLine="640"/>
        <w:outlineLvl w:val="1"/>
        <w:rPr>
          <w:rStyle w:val="29"/>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14:paraId="6E04EF9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23B23D0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90.9</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，与上年持平。</w:t>
      </w:r>
    </w:p>
    <w:p w14:paraId="1EE9A612">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390C47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49EA78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250811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516A2C3D">
      <w:pPr>
        <w:pStyle w:val="7"/>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56530" cy="2988310"/>
            <wp:effectExtent l="5080" t="4445" r="889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5F5DC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p>
    <w:p w14:paraId="2E699239">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2.8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b/>
          <w:bCs/>
          <w:color w:val="auto"/>
          <w:kern w:val="2"/>
          <w:sz w:val="32"/>
          <w:szCs w:val="32"/>
          <w:highlight w:val="none"/>
          <w:lang w:val="en-US" w:eastAsia="zh-CN" w:bidi="ar-SA"/>
        </w:rPr>
        <w:t>与上年持平</w:t>
      </w:r>
      <w:r>
        <w:rPr>
          <w:rFonts w:hint="eastAsia" w:eastAsia="仿宋_GB2312" w:cs="仿宋_GB2312"/>
          <w:color w:val="auto"/>
          <w:kern w:val="2"/>
          <w:sz w:val="32"/>
          <w:szCs w:val="32"/>
          <w:highlight w:val="none"/>
          <w:lang w:val="en-US" w:eastAsia="zh-CN" w:bidi="ar-SA"/>
        </w:rPr>
        <w:t>。</w:t>
      </w:r>
    </w:p>
    <w:p w14:paraId="11166BB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w:t>
      </w:r>
      <w:r>
        <w:rPr>
          <w:rFonts w:hint="eastAsia" w:eastAsia="仿宋_GB2312" w:cs="仿宋_GB2312"/>
          <w:color w:val="auto"/>
          <w:kern w:val="2"/>
          <w:sz w:val="32"/>
          <w:szCs w:val="32"/>
          <w:highlight w:val="none"/>
          <w:lang w:val="en-US" w:eastAsia="zh-CN" w:bidi="ar-SA"/>
        </w:rPr>
        <w:t>商务车一辆。</w:t>
      </w:r>
    </w:p>
    <w:p w14:paraId="52AA02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离退休老干部用车和单位用车</w:t>
      </w:r>
      <w:r>
        <w:rPr>
          <w:rFonts w:hint="eastAsia" w:ascii="Times New Roman" w:hAnsi="Times New Roman" w:eastAsia="仿宋_GB2312" w:cs="仿宋_GB2312"/>
          <w:color w:val="auto"/>
          <w:kern w:val="2"/>
          <w:sz w:val="32"/>
          <w:szCs w:val="32"/>
          <w:highlight w:val="none"/>
          <w:lang w:val="en-US" w:eastAsia="zh-CN" w:bidi="ar-SA"/>
        </w:rPr>
        <w:t>所需的公务用车燃料费、维修费、</w:t>
      </w:r>
      <w:r>
        <w:rPr>
          <w:rFonts w:hint="eastAsia" w:eastAsia="仿宋_GB2312" w:cs="仿宋_GB2312"/>
          <w:color w:val="auto"/>
          <w:kern w:val="2"/>
          <w:sz w:val="32"/>
          <w:szCs w:val="32"/>
          <w:highlight w:val="none"/>
          <w:lang w:val="en-US" w:eastAsia="zh-CN" w:bidi="ar-SA"/>
        </w:rPr>
        <w:t>过</w:t>
      </w:r>
      <w:r>
        <w:rPr>
          <w:rFonts w:hint="eastAsia" w:ascii="Times New Roman" w:hAnsi="Times New Roman" w:eastAsia="仿宋_GB2312" w:cs="仿宋_GB2312"/>
          <w:color w:val="auto"/>
          <w:kern w:val="2"/>
          <w:sz w:val="32"/>
          <w:szCs w:val="32"/>
          <w:highlight w:val="none"/>
          <w:lang w:val="en-US" w:eastAsia="zh-CN" w:bidi="ar-SA"/>
        </w:rPr>
        <w:t>路过桥费、保险费等支出。</w:t>
      </w:r>
    </w:p>
    <w:p w14:paraId="74B7FB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p>
    <w:p w14:paraId="74EEFD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162EBA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266EEE11">
      <w:pPr>
        <w:spacing w:line="600" w:lineRule="exact"/>
        <w:ind w:firstLine="640"/>
        <w:outlineLvl w:val="1"/>
        <w:rPr>
          <w:rStyle w:val="29"/>
          <w:rFonts w:ascii="Times New Roman" w:hAnsi="Times New Roman" w:eastAsia="黑体"/>
          <w:color w:val="auto"/>
          <w:highlight w:val="none"/>
        </w:rPr>
      </w:pPr>
      <w:bookmarkStart w:id="40" w:name="_Toc15377218"/>
      <w:bookmarkStart w:id="41" w:name="_Toc15396610"/>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14:paraId="631BF0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09D71678">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2" w:name="_Toc15377219"/>
      <w:bookmarkStart w:id="43"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14:paraId="75079A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5221FAB3">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4" w:name="_Toc15396612"/>
      <w:bookmarkStart w:id="45"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14:paraId="0F546B8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1427AF17">
      <w:pPr>
        <w:spacing w:line="600" w:lineRule="exact"/>
        <w:ind w:firstLine="640"/>
        <w:rPr>
          <w:rFonts w:hint="eastAsia" w:ascii="Times New Roman" w:hAnsi="Times New Roman" w:eastAsia="仿宋_GB2312" w:cs="仿宋_GB2312"/>
          <w:color w:val="auto"/>
          <w:kern w:val="2"/>
          <w:sz w:val="28"/>
          <w:szCs w:val="28"/>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阿坝州驻郫都区老干部休养所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11.09</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b/>
          <w:bCs/>
          <w:color w:val="auto"/>
          <w:kern w:val="2"/>
          <w:sz w:val="32"/>
          <w:szCs w:val="32"/>
          <w:highlight w:val="none"/>
          <w:lang w:val="en-US" w:eastAsia="zh-CN" w:bidi="ar-SA"/>
        </w:rPr>
        <w:t>与上年持平</w:t>
      </w:r>
      <w:r>
        <w:rPr>
          <w:rFonts w:hint="eastAsia" w:eastAsia="仿宋_GB2312" w:cs="仿宋_GB2312"/>
          <w:b/>
          <w:bCs/>
          <w:color w:val="auto"/>
          <w:kern w:val="2"/>
          <w:sz w:val="32"/>
          <w:szCs w:val="32"/>
          <w:highlight w:val="none"/>
          <w:lang w:val="en-US" w:eastAsia="zh-CN" w:bidi="ar-SA"/>
        </w:rPr>
        <w:t>。</w:t>
      </w:r>
    </w:p>
    <w:p w14:paraId="402B981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726384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阿坝州驻郫都区老干部休养所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3</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3</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3</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223700F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33CD2B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阿坝州驻郫都区老干部休养所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离退休老干部用车和单位公务用车。</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37E802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EDB4F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阿坝州驻郫都区老干部休养所</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管理服务中心运行费、老干部活动党建活动、物业管理</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40</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1810674">
      <w:pPr>
        <w:snapToGrid w:val="0"/>
        <w:spacing w:line="578" w:lineRule="exact"/>
        <w:ind w:firstLine="640" w:firstLineChars="200"/>
        <w:jc w:val="left"/>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阿坝州驻郫都区老干部休养所</w:t>
      </w:r>
      <w:r>
        <w:rPr>
          <w:rFonts w:hint="eastAsia" w:ascii="Times New Roman" w:hAnsi="Times New Roman" w:eastAsia="仿宋_GB2312" w:cs="仿宋_GB2312"/>
          <w:color w:val="auto"/>
          <w:kern w:val="2"/>
          <w:sz w:val="32"/>
          <w:szCs w:val="32"/>
          <w:highlight w:val="none"/>
          <w:lang w:val="en-US" w:eastAsia="zh-CN" w:bidi="ar-SA"/>
        </w:rPr>
        <w:t>部门预算专项预算项目绩效自评报告，其中，</w:t>
      </w:r>
      <w:r>
        <w:rPr>
          <w:rFonts w:hint="eastAsia" w:eastAsia="仿宋_GB2312" w:cs="仿宋_GB2312"/>
          <w:color w:val="auto"/>
          <w:kern w:val="2"/>
          <w:sz w:val="32"/>
          <w:szCs w:val="32"/>
          <w:highlight w:val="none"/>
          <w:lang w:val="en-US" w:eastAsia="zh-CN" w:bidi="ar-SA"/>
        </w:rPr>
        <w:t>阿坝州驻郫都区老干部休养所</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部门预算（含部门预算项目）绩效自评得分为89分，绩效自评综述</w:t>
      </w:r>
      <w:r>
        <w:rPr>
          <w:rFonts w:hint="eastAsia" w:ascii="Times New Roman" w:hAnsi="Times New Roman" w:eastAsia="仿宋_GB2312" w:cs="仿宋_GB2312"/>
          <w:color w:val="auto"/>
          <w:kern w:val="2"/>
          <w:sz w:val="32"/>
          <w:szCs w:val="32"/>
          <w:highlight w:val="none"/>
          <w:lang w:val="zh-CN" w:eastAsia="zh-CN" w:bidi="ar-SA"/>
        </w:rPr>
        <w:t>阿坝州驻郫都区老干部休养所2025年项目预算执行率达94%，全年无不良记录及违规违纪行为，预算支出和决算支出情况相符。</w:t>
      </w:r>
    </w:p>
    <w:p w14:paraId="568CCADB">
      <w:pPr>
        <w:snapToGrid w:val="0"/>
        <w:spacing w:line="578" w:lineRule="exact"/>
        <w:ind w:firstLine="640" w:firstLineChars="200"/>
        <w:jc w:val="lef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绩效自评报告详见附件。（注：如不涉及，可根据实际修改表述。）</w:t>
      </w:r>
    </w:p>
    <w:p w14:paraId="00BA2684">
      <w:pP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p>
    <w:p w14:paraId="014C97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E7BE73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708A82B4">
      <w:pPr>
        <w:spacing w:line="600" w:lineRule="exact"/>
        <w:jc w:val="left"/>
        <w:rPr>
          <w:rFonts w:ascii="Times New Roman" w:hAnsi="Times New Roman"/>
          <w:b/>
          <w:color w:val="auto"/>
          <w:sz w:val="44"/>
          <w:szCs w:val="44"/>
          <w:highlight w:val="none"/>
        </w:rPr>
      </w:pPr>
    </w:p>
    <w:p w14:paraId="41760B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0EFDEF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2.其他收入：指单位取得的除上述收入以外的各项收入。主要是</w:t>
      </w:r>
      <w:r>
        <w:rPr>
          <w:rFonts w:hint="eastAsia" w:eastAsia="仿宋_GB2312" w:cs="仿宋_GB2312"/>
          <w:color w:val="auto"/>
          <w:kern w:val="2"/>
          <w:sz w:val="32"/>
          <w:szCs w:val="32"/>
          <w:highlight w:val="none"/>
          <w:lang w:val="en-US" w:eastAsia="zh-CN" w:bidi="ar-SA"/>
        </w:rPr>
        <w:t>上级主管部门拨款收入</w:t>
      </w:r>
      <w:r>
        <w:rPr>
          <w:rFonts w:hint="eastAsia" w:ascii="Times New Roman" w:hAnsi="Times New Roman" w:eastAsia="仿宋_GB2312" w:cs="仿宋_GB2312"/>
          <w:color w:val="auto"/>
          <w:kern w:val="2"/>
          <w:sz w:val="32"/>
          <w:szCs w:val="32"/>
          <w:highlight w:val="none"/>
          <w:lang w:val="en-US" w:eastAsia="zh-CN" w:bidi="ar-SA"/>
        </w:rPr>
        <w:t xml:space="preserve">等。 </w:t>
      </w:r>
    </w:p>
    <w:p w14:paraId="6593DB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4F531D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7258C0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3BF7304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36</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01、02</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单位基本支出和项目支出。</w:t>
      </w:r>
    </w:p>
    <w:p w14:paraId="0FE324CB">
      <w:pPr>
        <w:spacing w:line="600" w:lineRule="exact"/>
        <w:ind w:firstLine="640"/>
        <w:rPr>
          <w:rFonts w:hint="default"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05、06</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机关事业养都比保险缴费和机关事业单位职业年金缴费。</w:t>
      </w:r>
    </w:p>
    <w:p w14:paraId="203377F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01、03</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行政事业单位医疗和公务员医疗补助。</w:t>
      </w:r>
    </w:p>
    <w:p w14:paraId="17B4F72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.住房保障</w:t>
      </w:r>
      <w:r>
        <w:rPr>
          <w:rFonts w:hint="eastAsia" w:eastAsia="仿宋_GB2312" w:cs="仿宋_GB2312"/>
          <w:color w:val="auto"/>
          <w:kern w:val="2"/>
          <w:sz w:val="32"/>
          <w:szCs w:val="32"/>
          <w:highlight w:val="none"/>
          <w:lang w:val="en-US" w:eastAsia="zh-CN" w:bidi="ar-SA"/>
        </w:rPr>
        <w:t>221</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color w:val="auto"/>
          <w:kern w:val="2"/>
          <w:sz w:val="32"/>
          <w:szCs w:val="32"/>
          <w:highlight w:val="none"/>
          <w:lang w:val="en-US" w:eastAsia="zh-CN" w:bidi="ar-SA"/>
        </w:rPr>
        <w:t>住房公积金缴费。</w:t>
      </w:r>
    </w:p>
    <w:p w14:paraId="303CB0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0445EB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056EDC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FA531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B5AAE7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1ECE290C">
      <w:pPr>
        <w:spacing w:line="600" w:lineRule="exact"/>
        <w:jc w:val="center"/>
        <w:rPr>
          <w:rStyle w:val="28"/>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44B6473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3D32F855">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E5EE5C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3C46CA32">
      <w:pPr>
        <w:widowControl/>
        <w:spacing w:line="578" w:lineRule="exact"/>
        <w:contextualSpacing/>
        <w:jc w:val="center"/>
        <w:rPr>
          <w:rFonts w:eastAsia="宋体"/>
          <w:b/>
          <w:sz w:val="44"/>
          <w:szCs w:val="44"/>
          <w:shd w:val="clear" w:color="auto" w:fill="FFFFFF"/>
        </w:rPr>
      </w:pPr>
      <w:r>
        <w:rPr>
          <w:rFonts w:hint="eastAsia" w:eastAsia="宋体"/>
          <w:b/>
          <w:sz w:val="44"/>
          <w:szCs w:val="44"/>
          <w:shd w:val="clear" w:color="auto" w:fill="FFFFFF"/>
        </w:rPr>
        <w:t>阿坝州驻郫都区老干部休养所</w:t>
      </w:r>
    </w:p>
    <w:p w14:paraId="0DC744DF">
      <w:pPr>
        <w:widowControl/>
        <w:spacing w:line="578" w:lineRule="exact"/>
        <w:contextualSpacing/>
        <w:jc w:val="center"/>
        <w:rPr>
          <w:rFonts w:eastAsia="宋体"/>
          <w:b/>
          <w:sz w:val="44"/>
          <w:szCs w:val="44"/>
          <w:shd w:val="clear" w:color="auto" w:fill="FFFFFF"/>
        </w:rPr>
      </w:pPr>
      <w:r>
        <w:rPr>
          <w:rFonts w:hint="eastAsia" w:eastAsia="宋体"/>
          <w:b/>
          <w:sz w:val="44"/>
          <w:szCs w:val="44"/>
          <w:shd w:val="clear" w:color="auto" w:fill="FFFFFF"/>
        </w:rPr>
        <w:t>2025年部门预算绩效自评报告</w:t>
      </w:r>
    </w:p>
    <w:p w14:paraId="54556BA4">
      <w:pPr>
        <w:widowControl/>
        <w:spacing w:line="578" w:lineRule="exact"/>
        <w:contextualSpacing/>
        <w:jc w:val="center"/>
        <w:rPr>
          <w:rFonts w:eastAsia="宋体"/>
          <w:b/>
          <w:sz w:val="44"/>
          <w:szCs w:val="44"/>
          <w:shd w:val="clear" w:color="auto" w:fill="FFFFFF"/>
        </w:rPr>
      </w:pPr>
    </w:p>
    <w:p w14:paraId="519CE14F">
      <w:pPr>
        <w:widowControl/>
        <w:spacing w:line="578" w:lineRule="exact"/>
        <w:contextualSpacing/>
        <w:jc w:val="left"/>
        <w:rPr>
          <w:rFonts w:eastAsia="宋体"/>
          <w:b/>
          <w:sz w:val="44"/>
          <w:szCs w:val="44"/>
          <w:shd w:val="clear" w:color="auto" w:fill="FFFFFF"/>
        </w:rPr>
      </w:pPr>
    </w:p>
    <w:p w14:paraId="168FA6A4">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color w:val="000000"/>
          <w:kern w:val="0"/>
          <w:szCs w:val="32"/>
          <w:shd w:val="clear" w:color="auto" w:fill="FFFFFF"/>
          <w:lang w:val="zh-CN"/>
        </w:rPr>
        <w:t>一</w:t>
      </w:r>
      <w:r>
        <w:rPr>
          <w:rFonts w:hint="eastAsia" w:ascii="Times New Roman" w:hAnsi="Times New Roman" w:eastAsia="仿宋_GB2312" w:cs="仿宋_GB2312"/>
          <w:color w:val="auto"/>
          <w:kern w:val="2"/>
          <w:sz w:val="32"/>
          <w:szCs w:val="32"/>
          <w:highlight w:val="none"/>
          <w:lang w:val="zh-CN" w:eastAsia="zh-CN" w:bidi="ar-SA"/>
        </w:rPr>
        <w:t>、部门（单位）概况</w:t>
      </w:r>
    </w:p>
    <w:p w14:paraId="1695D81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（一）机构组成</w:t>
      </w:r>
    </w:p>
    <w:p w14:paraId="17611D0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阿坝州驻郫都区老干部休养所是州委老干部</w:t>
      </w:r>
      <w:r>
        <w:rPr>
          <w:rFonts w:hint="eastAsia" w:eastAsia="仿宋_GB2312" w:cs="仿宋_GB2312"/>
          <w:color w:val="auto"/>
          <w:kern w:val="2"/>
          <w:sz w:val="32"/>
          <w:szCs w:val="32"/>
          <w:highlight w:val="none"/>
          <w:lang w:val="en-US" w:eastAsia="zh-CN" w:bidi="ar-SA"/>
        </w:rPr>
        <w:t>局</w:t>
      </w:r>
      <w:r>
        <w:rPr>
          <w:rFonts w:hint="eastAsia" w:ascii="Times New Roman" w:hAnsi="Times New Roman" w:eastAsia="仿宋_GB2312" w:cs="仿宋_GB2312"/>
          <w:color w:val="auto"/>
          <w:kern w:val="2"/>
          <w:sz w:val="32"/>
          <w:szCs w:val="32"/>
          <w:highlight w:val="none"/>
          <w:lang w:val="zh-CN" w:eastAsia="zh-CN" w:bidi="ar-SA"/>
        </w:rPr>
        <w:t>正科级派出机构，总编制 5名,其中:参照公务员管理编制4名,工勤人员编制1名。</w:t>
      </w:r>
    </w:p>
    <w:p w14:paraId="19D0B7DF">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（二）机构职能</w:t>
      </w:r>
    </w:p>
    <w:p w14:paraId="53DB6DC6">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在州委老干部局的领导下，履行好对阿坝州驻郫都区老干部休养所、老干部管理服务中心工作的职责，贯彻落实党中央、国务院和省委、省政府、州委、州政府关于老干部工作的各项方针政策，协同组织部门抓好老干部党支部建设，加强对阿坝州驻郫都区离休老干部、厅级退休干部等的管理和服务工作，负责阿坝州驻郫都区老干部管理活动中心场地、器材等的维护管理，组织指导阿坝州格桑花老年人协会开展各项活动。</w:t>
      </w:r>
    </w:p>
    <w:p w14:paraId="6F5AB722">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（三）人员概况</w:t>
      </w:r>
    </w:p>
    <w:p w14:paraId="7294E72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2025年末在职人数为4名，其中：参照公务员管理人员3名，工勤人员1名；退休人员3人。</w:t>
      </w:r>
    </w:p>
    <w:p w14:paraId="6A98C9D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二、部门资金收支情况</w:t>
      </w:r>
    </w:p>
    <w:p w14:paraId="73F424C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 xml:space="preserve">（一）收入情况 </w:t>
      </w:r>
    </w:p>
    <w:p w14:paraId="7AA44EE8">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2025年总收入181.58万元，其中：一般公共预算财政拨款收入177.58万元，占总收入的97.8% ；其他收入4万元，占总收入的2.2%。</w:t>
      </w:r>
    </w:p>
    <w:p w14:paraId="116B6023">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（二）资金支出情况</w:t>
      </w:r>
    </w:p>
    <w:p w14:paraId="24C10BA5">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2025年支出182.65万元。</w:t>
      </w:r>
    </w:p>
    <w:p w14:paraId="0F3DC7A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（三）结余分配和结转结余情况。</w:t>
      </w:r>
    </w:p>
    <w:p w14:paraId="4D8C4BF6">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2025年年初结转结余数45592.49元，决算报表中年初结转和结余数为34883.29元。</w:t>
      </w:r>
    </w:p>
    <w:p w14:paraId="5E05817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三、部门预算绩效分析</w:t>
      </w:r>
    </w:p>
    <w:p w14:paraId="2D17FEEF">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（一）部门预算总体绩效分析。</w:t>
      </w:r>
    </w:p>
    <w:p w14:paraId="6D297AE1">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p>
    <w:p w14:paraId="78BA16F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2025年我所在州委老干部局和州驻郫都区管理服务中心党委的领导下，坚持党建引领，持续加强离退休</w:t>
      </w:r>
      <w:r>
        <w:rPr>
          <w:rFonts w:hint="eastAsia" w:eastAsia="仿宋_GB2312" w:cs="仿宋_GB2312"/>
          <w:color w:val="auto"/>
          <w:kern w:val="2"/>
          <w:sz w:val="32"/>
          <w:szCs w:val="32"/>
          <w:highlight w:val="none"/>
          <w:lang w:val="en-US" w:eastAsia="zh-CN" w:bidi="ar-SA"/>
        </w:rPr>
        <w:t>干部</w:t>
      </w:r>
      <w:r>
        <w:rPr>
          <w:rFonts w:hint="eastAsia" w:ascii="Times New Roman" w:hAnsi="Times New Roman" w:eastAsia="仿宋_GB2312" w:cs="仿宋_GB2312"/>
          <w:color w:val="auto"/>
          <w:kern w:val="2"/>
          <w:sz w:val="32"/>
          <w:szCs w:val="32"/>
          <w:highlight w:val="none"/>
          <w:lang w:val="zh-CN" w:eastAsia="zh-CN" w:bidi="ar-SA"/>
        </w:rPr>
        <w:t>党组织建设工作，认真贯彻落实中共中央办公厅《关于加强新时代离退休干部党的建设工作的意见》和省《实施方案》，党委及支部严格按照政治建设、思想建设、组织建设、作风建设、纪律建设展开党建工作。全面加强离退休干部党的建设,坚持党的领导，深入实施党建工作引领服务管理提质、正能量活动示范、关心下一代发展“四项行动”，推动老干部工作创新发展、高质量发展。全年，召开党委会11次、支委会12次、支部党员大会7次，党委支部书记及委员、郫都区委党校田娅老师等人员上党课共计7次，专题研究党建联建工作会5次，参加州直机关工委党务培训1人次，参加州委老干部局离退休党务工作培训5人次，参与郫都区组织部老干部局开展的离退休干部党务工作者培训会3场，参训人员达38人次。各支部开展主题党日活动30余次，与州退管中心协同组织州直机关党组织第十二共建组开展党建主题活动2次，参与党员达1300余人次。</w:t>
      </w:r>
    </w:p>
    <w:p w14:paraId="7C5719C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进一步落实“五老”宣讲工作，发挥银发力量作用，2025年组织5名阿坝州“五老”宣讲员参加郫都区宣讲团课题讨论会，确定了“长征精神在阿坝”等4个特色宣讲课题。管理服务中心及党委组织离退休干部举办“薪火传双先 银铃谱新篇”系列活动。活动中，为充分发挥先进典型的示范引领作用，在离退休党员干部中广泛传播“双先”精神，全国先进个人吴天明为州驻郫都区离退休干部宣讲“传播双先声音，汲取榜样力量”，160余人次听取报告。州驻郫都区厅级干部郝士昌积极参加关工委宣讲工作，嘎尔泽、索郎两位退休干部老党员进入“藏汉双语”人才库。30多名退休干部以《大刀进行曲》情景剧参演了州委老干局组织的阿坝州离退休干部纪念中国人民抗日战争暨世界反法西斯战争胜利80周年文艺汇演，引导老同志重温抗战历史弘扬爱国主义精神； 60多名退休干部参演了州委老干局组织的《绿水青山》歌舞剧第三幕“展望未来·共襄盛世”，发挥了老干部余热发挥、绽放“银发光芒”、展现“文化自信”。</w:t>
      </w:r>
    </w:p>
    <w:p w14:paraId="1A1814C2">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 xml:space="preserve"> 积极推进“鹃城金秋·阿坝情”党建联建工作，党建联建深化协同，在阿坝州老干部局、郫都区老干部局的统筹指导下，党建联建工作全面铺开，稳步推进，深度融合，初显成效。2025年已经全面覆盖州级机关及十三县驻郫都区离退休干部支部、干休所，中心党委管理的支部数从3个增至22个，党员人数从64人扩至1145人。郫都阿坝互派人员交流学习进一步拓展，全年参加郫都区“五老”宣讲团2025年宣讲课题研讨会、交流学习及党务工作者培训4次，参加人员达30余人次，阿坝、若尔盖、汶川、马尔康等县干休率先行动，已经与宋工桥、文庙、凉水井、铁门坎、双柏等多个社区结对共建，开展了丰富多样的共建活动。经过不懈努力，2025年管理服务中心党委一是成功打造《绿水青山》歌舞剧第三幕；二是正式成立了“鹃城金秋·阿坝情”石榴籽老党员工作室，组建党务工作者30名、志愿者服务队4支，成为活跃在基层的“银发生力军”。三是参加郫都区老体协的体育比赛项目，获得较好成绩；四是与中医院签订老干部体检协议；五是资源整合，郫都区老干部局打造“鹃城金秋.阿坝情”老干部活动场地，中心活动场地，第十组团都可以使用。通过联建，真正实现与驻地双向“融入”，协同发展。</w:t>
      </w:r>
    </w:p>
    <w:p w14:paraId="5028F30B">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zh-CN" w:eastAsia="zh-CN" w:bidi="ar-SA"/>
        </w:rPr>
        <w:t>预算管理。</w:t>
      </w:r>
    </w:p>
    <w:p w14:paraId="6EADB45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我单位预算篇制工作严格按照预决算编制的相关要求，结合单位年度工作任务，遵循统筹兼顾、勤俭节约、量力而行、讲求绩效和收支平衡的原则，参考上一年预算执行情况、有关支出绩效评价结果和本年度收支预测，按照规定程序征求各方面意见，集体决策、分级执行、标准统一、归口统筹层级管理，及时与州财政局相关科室沟通，按照“二上二下”的编制流程认真科学地完成了单位年度部门预算编制工作。严格执行预算管理，按照“经费统管，支出定额包干，保障正常支出，绩效考核加减”的总体原则确保行政运转保障，在经费支出安排上，全面保障了机关正常运转，为老干所和管理服务中心各项的工作开展做好后勤保障，在经费上保证了各项工作正常有序开展。厉行节约，严格执行“三公经费”预算，一直以来我单位没有因公出国（境）人员，没有因公出国（境）支出情况，公务用车购置及运行维护费和公务接待费严格按照勤俭节约要求报销，没有任何违规现象。</w:t>
      </w:r>
    </w:p>
    <w:p w14:paraId="35B818CA">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3.财务管理情况</w:t>
      </w:r>
    </w:p>
    <w:p w14:paraId="23C9716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我所严格按照《中华人民共和国预算法》、《中华人民共和国会计法》、《政府会计准则》的要求，我单位逐步完善了财务管理制度、“三重一大”决策制度、财务报账审核制度、车辆管理制度以及公用房屋及财产管理规定，在财务管理上从严要求，精打细算，严守财经纪律，规范单位各个岗位工作的职能职责，会计核算健全，资料齐备，凭证编制准确、及时、账实相符。建立健全了本单位内部控制制度，并严格执行，单位未出现廉政风险或发生重大责任事故。做好了信息公开工作，按时按要求向社会公开本部门预算、决算（含所有财政资金安排的“三公”经费、机关运行经费的安排、使用情况等）及部门整体支出绩效自评报告及其他按要求应公开的绩效信息。2025年我单位委托三方公司对我单位2023年度、2024年度财务收支情况进行了审计，我单位财务状况良好，会计基础工作扎实。</w:t>
      </w:r>
    </w:p>
    <w:p w14:paraId="2AA12336">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4.资产管理</w:t>
      </w:r>
    </w:p>
    <w:p w14:paraId="2BA3A2B0">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严格按照</w:t>
      </w:r>
      <w:bookmarkStart w:id="67" w:name="_GoBack"/>
      <w:bookmarkEnd w:id="67"/>
      <w:r>
        <w:rPr>
          <w:rFonts w:hint="eastAsia" w:eastAsia="仿宋_GB2312" w:cs="仿宋_GB2312"/>
          <w:color w:val="auto"/>
          <w:kern w:val="2"/>
          <w:sz w:val="32"/>
          <w:szCs w:val="32"/>
          <w:highlight w:val="none"/>
          <w:lang w:val="zh-CN" w:eastAsia="zh-CN" w:bidi="ar-SA"/>
        </w:rPr>
        <w:t>《行政事业性国有资产管理条例》</w:t>
      </w:r>
      <w:r>
        <w:rPr>
          <w:rFonts w:hint="eastAsia" w:ascii="Times New Roman" w:hAnsi="Times New Roman" w:eastAsia="仿宋_GB2312" w:cs="仿宋_GB2312"/>
          <w:color w:val="auto"/>
          <w:kern w:val="2"/>
          <w:sz w:val="32"/>
          <w:szCs w:val="32"/>
          <w:highlight w:val="none"/>
          <w:lang w:val="zh-CN" w:eastAsia="zh-CN" w:bidi="ar-SA"/>
        </w:rPr>
        <w:t>、《四川省行政事业性国有资产管理法》和《阿坝州州直行政事业单位国有资产管理办法》的相关规定，对单位所有资产实现全面信息化管理，提高了管理效率，明确资产管理责任人，每年进行一次全面清查，定期盘点，核对资产系统资产卡片与实际资产是否账实相符，发现问题及时处理，并对无法继续使用的资产，及时按规定程序报废。对老干部管理服务中心的设备定期检查，确保安全，合理安排场地使用，定期维护，确保环境舒适，确保了广大离退休同志们活动的有序开展，</w:t>
      </w:r>
    </w:p>
    <w:p w14:paraId="6D76F6C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 xml:space="preserve"> 5.采购管理</w:t>
      </w:r>
    </w:p>
    <w:p w14:paraId="47995D66">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我所政府采购预算编制做到应编尽编，应采尽采，严格按照规定进行政府采购计划备案，及时支付资金，不存在无预算采购、超预算采购的情况。我所严格按照法定采购方式和程序实施采购，不存在拆分项目预算规避政府采购或公开招标的情况。2025年完成会议室桌椅、办公空调、笔记本电脑的政府采购，采购金额42545元。</w:t>
      </w:r>
    </w:p>
    <w:p w14:paraId="28C3EAEC">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（二）部门预算项目绩效分析</w:t>
      </w:r>
    </w:p>
    <w:p w14:paraId="4CB6D7E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常年项目绩效分析。该类项目总数7个，涉及预算经总金额40.02万元，1-12月预算执行总进度为94%，其中预算结余率大于10%的 1个。</w:t>
      </w:r>
    </w:p>
    <w:p w14:paraId="2D1184DE">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（1）管理服务中心运行费预算数7万元，决算数为7万元，执行率达100%；。</w:t>
      </w:r>
    </w:p>
    <w:p w14:paraId="5A84FAB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（2）老干部活动、党建活动费预算数11万元，决算数为10.61万元，执行率达96.5%。</w:t>
      </w:r>
    </w:p>
    <w:p w14:paraId="08CA977A">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（3）物业管理费预算数16.5万元，决算数15.95万元，执行率达96.67%。</w:t>
      </w:r>
    </w:p>
    <w:p w14:paraId="2FF037B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（4）管理服务中心老干所维修维护费2万元，决算数为1.85万元，执行率达92.5%。</w:t>
      </w:r>
    </w:p>
    <w:p w14:paraId="7E0A8AF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（5）管理服务中心白蚁专项防治预算1.5万元，决算数为0.4万元，执行率达27%。原因是：经过几年持续白蚁治理，白蚁数量明显减少，消杀费用逐年减少。</w:t>
      </w:r>
    </w:p>
    <w:p w14:paraId="7286EC3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（6）购办公设备购空调1台预算数为1万元，决算数为3.26万元。</w:t>
      </w:r>
    </w:p>
    <w:p w14:paraId="750F1D7A">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（7）财务专项审计费预算数为1万元，决算数为0.95万元，执行率达95%。</w:t>
      </w:r>
    </w:p>
    <w:p w14:paraId="74E8D484">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（三）绩效结果应用情况。</w:t>
      </w:r>
    </w:p>
    <w:p w14:paraId="5A74C2F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绩效管理严格按照上级部门要求分阶段开展自评工作，自评结果为领导提供决策依据，用于指导下一步工作的开展。</w:t>
      </w:r>
    </w:p>
    <w:p w14:paraId="1DD76AF3">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四、评价结论与建议</w:t>
      </w:r>
    </w:p>
    <w:p w14:paraId="1F4CCDFD">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（一）评价结论</w:t>
      </w:r>
    </w:p>
    <w:p w14:paraId="425D9F44">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阿坝州驻郫都区老干部休养所2025年项目预算执行率达94%，自评得分89分，全年无不良记录及违规违纪行为，预算支出和决算支出情况相符。</w:t>
      </w:r>
    </w:p>
    <w:p w14:paraId="4B6CE248">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(二)存在问题</w:t>
      </w:r>
    </w:p>
    <w:p w14:paraId="434CC1BF">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绩效目标编制还不够专业和全面，对常年项目的阐述还不够详细，对绩效目标中的产出、成本、经济效益、社会效益、生态效益、可持续影响和服务对象满意度等绩效指标理解运用还不够准确。</w:t>
      </w:r>
    </w:p>
    <w:p w14:paraId="0F001CBB">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(三)改进和建议</w:t>
      </w:r>
    </w:p>
    <w:p w14:paraId="572B8876">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加强对本部门加强预算精细化编制，加强资金的管理和管理使用，围绕部门和单位职责，以预算资金管理为主线，统筹考虑资产和业务活动，从运行成本、管理效率、履职效能、社会效应、可持续发展能力和服务对象满意度等方面，衡量部门和单位整体及核心业务实施效果，推动提高部门和单位整体绩效水平。</w:t>
      </w:r>
    </w:p>
    <w:p w14:paraId="4913BA2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BC0BB87">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7E00CAC9">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p>
    <w:p w14:paraId="0000BD48">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 xml:space="preserve">                     阿坝州驻郫区都老干部休养所</w:t>
      </w:r>
    </w:p>
    <w:p w14:paraId="2178A800">
      <w:pPr>
        <w:spacing w:line="600" w:lineRule="exact"/>
        <w:ind w:firstLine="640"/>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 xml:space="preserve">                         2026年</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zh-CN" w:eastAsia="zh-CN" w:bidi="ar-SA"/>
        </w:rPr>
        <w:t>月1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zh-CN" w:eastAsia="zh-CN" w:bidi="ar-SA"/>
        </w:rPr>
        <w:t>日</w:t>
      </w:r>
    </w:p>
    <w:p w14:paraId="0E027405">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072B0026">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242B57D8">
      <w:pPr>
        <w:widowControl/>
        <w:jc w:val="center"/>
        <w:rPr>
          <w:rFonts w:hint="eastAsia" w:ascii="Times New Roman" w:hAnsi="Times New Roman" w:eastAsia="仿宋"/>
          <w:b w:val="0"/>
          <w:color w:val="auto"/>
          <w:highlight w:val="none"/>
        </w:rPr>
      </w:pPr>
      <w:bookmarkStart w:id="53" w:name="_Toc15396618"/>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1"/>
      <w:bookmarkEnd w:id="53"/>
      <w:bookmarkStart w:id="54" w:name="_Toc15396619"/>
    </w:p>
    <w:p w14:paraId="0D3B9BB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8AFD4B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14:paraId="0783054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14:paraId="2C3FD8C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14:paraId="6FD9AEE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14:paraId="0947E7E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14:paraId="18EBEDC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14:paraId="754EDFA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14:paraId="121AE81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14:paraId="71C5C5C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p>
    <w:p w14:paraId="7746863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14:paraId="2DEDEED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91676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p>
    <w:p w14:paraId="3264405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p>
    <w:p w14:paraId="1394F56E">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72A43">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86A4A7">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886A4A7">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7D968160">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66EA7">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631590">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F631590">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1262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DF117C"/>
    <w:multiLevelType w:val="singleLevel"/>
    <w:tmpl w:val="A7DF117C"/>
    <w:lvl w:ilvl="0" w:tentative="0">
      <w:start w:val="1"/>
      <w:numFmt w:val="chineseCounting"/>
      <w:suff w:val="nothing"/>
      <w:lvlText w:val="%1、"/>
      <w:lvlJc w:val="left"/>
      <w:rPr>
        <w:rFonts w:hint="eastAsia"/>
      </w:rPr>
    </w:lvl>
  </w:abstractNum>
  <w:abstractNum w:abstractNumId="1">
    <w:nsid w:val="D0B2BB6C"/>
    <w:multiLevelType w:val="singleLevel"/>
    <w:tmpl w:val="D0B2BB6C"/>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5064806"/>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7CB5E50"/>
    <w:rsid w:val="17FC7E2E"/>
    <w:rsid w:val="186504BB"/>
    <w:rsid w:val="1938089F"/>
    <w:rsid w:val="19A445FC"/>
    <w:rsid w:val="1B716075"/>
    <w:rsid w:val="1B7D550C"/>
    <w:rsid w:val="1BE8440E"/>
    <w:rsid w:val="1C75231D"/>
    <w:rsid w:val="1D155CEE"/>
    <w:rsid w:val="1DB060B9"/>
    <w:rsid w:val="1DE178F3"/>
    <w:rsid w:val="1E740ACF"/>
    <w:rsid w:val="1FF35744"/>
    <w:rsid w:val="1FF6BC77"/>
    <w:rsid w:val="21962A9E"/>
    <w:rsid w:val="21AE7C77"/>
    <w:rsid w:val="22BC3C41"/>
    <w:rsid w:val="23860B96"/>
    <w:rsid w:val="240371BF"/>
    <w:rsid w:val="2526247B"/>
    <w:rsid w:val="260F557C"/>
    <w:rsid w:val="281408E2"/>
    <w:rsid w:val="29FD04D3"/>
    <w:rsid w:val="2BFF7BC6"/>
    <w:rsid w:val="2C8A61B5"/>
    <w:rsid w:val="2D2E01CF"/>
    <w:rsid w:val="2DF04E50"/>
    <w:rsid w:val="2E9545B0"/>
    <w:rsid w:val="2F040D46"/>
    <w:rsid w:val="2FAE5751"/>
    <w:rsid w:val="2FB1A395"/>
    <w:rsid w:val="2FD9A7D8"/>
    <w:rsid w:val="319F7F4E"/>
    <w:rsid w:val="31AA0A9B"/>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634887"/>
    <w:rsid w:val="3E78745D"/>
    <w:rsid w:val="3FF4CAE0"/>
    <w:rsid w:val="3FF7B227"/>
    <w:rsid w:val="40E54C45"/>
    <w:rsid w:val="41313393"/>
    <w:rsid w:val="43A407DF"/>
    <w:rsid w:val="44515BEA"/>
    <w:rsid w:val="44E268DA"/>
    <w:rsid w:val="453F7E5B"/>
    <w:rsid w:val="486A6C7A"/>
    <w:rsid w:val="48B33483"/>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1AB2291"/>
    <w:rsid w:val="53083A92"/>
    <w:rsid w:val="537E6D0A"/>
    <w:rsid w:val="53AF27A2"/>
    <w:rsid w:val="53CE0B7D"/>
    <w:rsid w:val="53F74C96"/>
    <w:rsid w:val="55E973DE"/>
    <w:rsid w:val="56413F3D"/>
    <w:rsid w:val="56E47B74"/>
    <w:rsid w:val="57BD3DD4"/>
    <w:rsid w:val="5AF92295"/>
    <w:rsid w:val="5BDD79E6"/>
    <w:rsid w:val="5BF561CA"/>
    <w:rsid w:val="5BFF5DFC"/>
    <w:rsid w:val="5CD71FC4"/>
    <w:rsid w:val="5D1F11B5"/>
    <w:rsid w:val="5DAE1B18"/>
    <w:rsid w:val="5DE7D9E5"/>
    <w:rsid w:val="5ECEC941"/>
    <w:rsid w:val="5F08503A"/>
    <w:rsid w:val="5F493CB7"/>
    <w:rsid w:val="5FBF9FF3"/>
    <w:rsid w:val="5FCD4E2C"/>
    <w:rsid w:val="5FD15F49"/>
    <w:rsid w:val="5FEF394A"/>
    <w:rsid w:val="5FF67715"/>
    <w:rsid w:val="62141EE8"/>
    <w:rsid w:val="62BF3928"/>
    <w:rsid w:val="647F5392"/>
    <w:rsid w:val="664B1D71"/>
    <w:rsid w:val="67AA3209"/>
    <w:rsid w:val="681C4F0D"/>
    <w:rsid w:val="69046D0F"/>
    <w:rsid w:val="698D0931"/>
    <w:rsid w:val="6A6410F6"/>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7772F3"/>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B10FB"/>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4" Type="http://schemas.microsoft.com/office/2011/relationships/chartColorStyle" Target="colors5.xml"/><Relationship Id="rId3" Type="http://schemas.microsoft.com/office/2011/relationships/chartStyle" Target="style5.xml"/><Relationship Id="rId2" Type="http://schemas.openxmlformats.org/officeDocument/2006/relationships/themeOverride" Target="../theme/themeOverride2.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1.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Sheet1!$A$2:$A$5</c:f>
              <c:strCache>
                <c:ptCount val="4"/>
                <c:pt idx="0">
                  <c:v>2024年</c:v>
                </c:pt>
                <c:pt idx="1">
                  <c:v>2025年</c:v>
                </c:pt>
              </c:strCache>
            </c:strRef>
          </c:cat>
          <c:val>
            <c:numRef>
              <c:f>Sheet1!$B$2:$B$5</c:f>
              <c:numCache>
                <c:formatCode>General</c:formatCode>
                <c:ptCount val="4"/>
                <c:pt idx="0">
                  <c:v>178.53</c:v>
                </c:pt>
                <c:pt idx="1">
                  <c:v>186.14</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Sheet1!$A$2:$A$5</c:f>
              <c:strCache>
                <c:ptCount val="4"/>
                <c:pt idx="0">
                  <c:v>2024年</c:v>
                </c:pt>
                <c:pt idx="1">
                  <c:v>2025年</c:v>
                </c:pt>
              </c:strCache>
            </c:strRef>
          </c:cat>
          <c:val>
            <c:numRef>
              <c:f>Sheet1!$C$2:$C$5</c:f>
              <c:numCache>
                <c:formatCode>General</c:formatCode>
                <c:ptCount val="4"/>
                <c:pt idx="0">
                  <c:v>178.53</c:v>
                </c:pt>
                <c:pt idx="1">
                  <c:v>186.14</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2024年</c:v>
                </c:pt>
                <c:pt idx="1">
                  <c:v>2025年</c:v>
                </c:pt>
              </c:strCache>
            </c:strRef>
          </c:cat>
          <c:val>
            <c:numRef>
              <c:f>Sheet1!$D$2:$D$5</c:f>
              <c:numCache>
                <c:formatCode>General</c:formatCode>
                <c:ptCount val="4"/>
              </c:numCache>
            </c:numRef>
          </c:val>
        </c:ser>
        <c:dLbls>
          <c:showLegendKey val="0"/>
          <c:showVal val="0"/>
          <c:showCatName val="0"/>
          <c:showSerName val="0"/>
          <c:showPercent val="0"/>
          <c:showBubbleSize val="0"/>
        </c:dLbls>
        <c:gapWidth val="246"/>
        <c:overlap val="-28"/>
        <c:axId val="102000418"/>
        <c:axId val="292636494"/>
      </c:barChart>
      <c:catAx>
        <c:axId val="10200041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2636494"/>
        <c:crosses val="autoZero"/>
        <c:auto val="1"/>
        <c:lblAlgn val="ctr"/>
        <c:lblOffset val="100"/>
        <c:noMultiLvlLbl val="0"/>
      </c:catAx>
      <c:valAx>
        <c:axId val="29263649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200041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a8ad9fb-a597-4b9c-9d5d-2cf0c066f05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2025</a:t>
            </a:r>
            <a:r>
              <a:rPr altLang="en-US"/>
              <a:t>年度</a:t>
            </a:r>
            <a:r>
              <a:t>收入</a:t>
            </a:r>
          </a:p>
        </c:rich>
      </c:tx>
      <c:layout/>
      <c:overlay val="0"/>
      <c:spPr>
        <a:noFill/>
        <a:ln>
          <a:noFill/>
        </a:ln>
        <a:effectLst/>
      </c:spPr>
    </c:title>
    <c:autoTitleDeleted val="0"/>
    <c:plotArea>
      <c:layout/>
      <c:pieChart>
        <c:varyColors val="1"/>
        <c:ser>
          <c:idx val="0"/>
          <c:order val="0"/>
          <c:tx>
            <c:strRef>
              <c:f>Sheet1!$B$1</c:f>
              <c:strCache>
                <c:ptCount val="1"/>
                <c:pt idx="0">
                  <c:v>收入金额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一般公共预算财政拨款收入</c:v>
                </c:pt>
                <c:pt idx="1">
                  <c:v>其他收入</c:v>
                </c:pt>
              </c:strCache>
            </c:strRef>
          </c:cat>
          <c:val>
            <c:numRef>
              <c:f>Sheet1!$B$2:$B$5</c:f>
              <c:numCache>
                <c:formatCode>General</c:formatCode>
                <c:ptCount val="4"/>
                <c:pt idx="0">
                  <c:v>177.58</c:v>
                </c:pt>
                <c:pt idx="1">
                  <c:v>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264fe20-53b1-488c-9940-96973b8cec8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2025年度支出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General</c:formatCode>
                <c:ptCount val="4"/>
                <c:pt idx="0">
                  <c:v>137.56</c:v>
                </c:pt>
                <c:pt idx="1">
                  <c:v>45.09</c:v>
                </c:pt>
              </c:numCache>
            </c:numRef>
          </c:val>
        </c:ser>
        <c:dLbls>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2c2c4f61-ac28-4c37-8c8a-381f2a4396b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图表标题</a:t>
            </a:r>
          </a:p>
        </c:rich>
      </c:tx>
      <c:layout/>
      <c:overlay val="0"/>
      <c:spPr>
        <a:noFill/>
        <a:ln>
          <a:noFill/>
        </a:ln>
        <a:effectLst/>
      </c:spPr>
    </c:title>
    <c:autoTitleDeleted val="0"/>
    <c:plotArea>
      <c:layout>
        <c:manualLayout>
          <c:layoutTarget val="inner"/>
          <c:xMode val="edge"/>
          <c:yMode val="edge"/>
          <c:x val="0.0113553998550374"/>
          <c:y val="0.275180620484488"/>
          <c:w val="0.946847064508335"/>
          <c:h val="0.628219294517637"/>
        </c:manualLayout>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c:v>
                </c:pt>
                <c:pt idx="1">
                  <c:v>2025年</c:v>
                </c:pt>
              </c:strCache>
            </c:strRef>
          </c:cat>
          <c:val>
            <c:numRef>
              <c:f>Sheet1!$B$2:$B$5</c:f>
              <c:numCache>
                <c:formatCode>General</c:formatCode>
                <c:ptCount val="4"/>
                <c:pt idx="0">
                  <c:v>178.53</c:v>
                </c:pt>
                <c:pt idx="1">
                  <c:v>177.58</c:v>
                </c:pt>
              </c:numCache>
            </c:numRef>
          </c:val>
        </c:ser>
        <c:ser>
          <c:idx val="1"/>
          <c:order val="1"/>
          <c:tx>
            <c:strRef>
              <c:f>Sheet1!$C$1</c:f>
              <c:strCache>
                <c:ptCount val="1"/>
                <c:pt idx="0">
                  <c:v>财政拨款支出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c:v>
                </c:pt>
                <c:pt idx="1">
                  <c:v>2025年</c:v>
                </c:pt>
              </c:strCache>
            </c:strRef>
          </c:cat>
          <c:val>
            <c:numRef>
              <c:f>Sheet1!$C$2:$C$5</c:f>
              <c:numCache>
                <c:formatCode>General</c:formatCode>
                <c:ptCount val="4"/>
                <c:pt idx="0">
                  <c:v>178.53</c:v>
                </c:pt>
                <c:pt idx="1">
                  <c:v>177.58</c:v>
                </c:pt>
              </c:numCache>
            </c:numRef>
          </c:val>
        </c:ser>
        <c:ser>
          <c:idx val="2"/>
          <c:order val="2"/>
          <c:tx>
            <c:strRef>
              <c:f>Sheet1!$D$1</c:f>
              <c:strCache>
                <c:ptCount val="1"/>
                <c:pt idx="0">
                  <c:v/>
                </c:pt>
              </c:strCache>
            </c:strRef>
          </c:tx>
          <c:spPr>
            <a:solidFill>
              <a:schemeClr val="accent3"/>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c:v>
                </c:pt>
                <c:pt idx="1">
                  <c:v>2025年</c:v>
                </c:pt>
              </c:strCache>
            </c:strRef>
          </c:cat>
          <c:val>
            <c:numRef>
              <c:f>Sheet1!$D$2:$D$5</c:f>
              <c:numCache>
                <c:formatCode>General</c:formatCode>
                <c:ptCount val="4"/>
              </c:numCache>
            </c:numRef>
          </c:val>
        </c:ser>
        <c:dLbls>
          <c:showLegendKey val="0"/>
          <c:showVal val="1"/>
          <c:showCatName val="0"/>
          <c:showSerName val="0"/>
          <c:showPercent val="0"/>
          <c:showBubbleSize val="0"/>
        </c:dLbls>
        <c:gapWidth val="260"/>
        <c:overlap val="-32"/>
        <c:axId val="324579312"/>
        <c:axId val="611226250"/>
      </c:barChart>
      <c:catAx>
        <c:axId val="324579312"/>
        <c:scaling>
          <c:orientation val="minMax"/>
        </c:scaling>
        <c:delete val="0"/>
        <c:axPos val="b"/>
        <c:numFmt formatCode="General" sourceLinked="1"/>
        <c:majorTickMark val="out"/>
        <c:minorTickMark val="none"/>
        <c:tickLblPos val="nextTo"/>
        <c:spPr>
          <a:noFill/>
          <a:ln w="6350" cap="flat" cmpd="sng" algn="ctr">
            <a:solidFill>
              <a:schemeClr val="accent1">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611226250"/>
        <c:crosses val="autoZero"/>
        <c:auto val="1"/>
        <c:lblAlgn val="ctr"/>
        <c:lblOffset val="100"/>
        <c:noMultiLvlLbl val="0"/>
      </c:catAx>
      <c:valAx>
        <c:axId val="611226250"/>
        <c:scaling>
          <c:orientation val="minMax"/>
        </c:scaling>
        <c:delete val="1"/>
        <c:axPos val="l"/>
        <c:majorGridlines>
          <c:spPr>
            <a:ln w="6350" cap="flat" cmpd="sng" algn="ctr">
              <a:solidFill>
                <a:schemeClr val="tx1">
                  <a:lumMod val="50000"/>
                  <a:lumOff val="50000"/>
                  <a:alpha val="25000"/>
                </a:schemeClr>
              </a:solidFill>
              <a:round/>
            </a:ln>
            <a:effectLst/>
          </c:spPr>
        </c:majorGridlines>
        <c:numFmt formatCode="General" sourceLinked="1"/>
        <c:majorTickMark val="out"/>
        <c:minorTickMark val="none"/>
        <c:tickLblPos val="nextTo"/>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324579312"/>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7e2a7298-b927-46c8-a28f-7466c78bef2d}"/>
      </c:ext>
    </c:extLst>
  </c:chart>
  <c:spPr>
    <a:solidFill>
      <a:schemeClr val="bg1"/>
    </a:solidFill>
    <a:ln w="6350" cap="flat" cmpd="sng" algn="ctr">
      <a:solidFill>
        <a:schemeClr val="tx1">
          <a:lumMod val="50000"/>
          <a:lumOff val="50000"/>
          <a:alpha val="25000"/>
        </a:schemeClr>
      </a:solidFill>
      <a:round/>
    </a:ln>
    <a:effectLst/>
  </c:spPr>
  <c:txPr>
    <a:bodyPr/>
    <a:lstStyle/>
    <a:p>
      <a:pPr>
        <a:defRPr lang="zh-CN" sz="90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图表标题</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一般公共预算拨款</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2024年度</c:v>
                </c:pt>
                <c:pt idx="1">
                  <c:v>2025年度</c:v>
                </c:pt>
              </c:strCache>
            </c:strRef>
          </c:cat>
          <c:val>
            <c:numRef>
              <c:f>Sheet1!$B$2:$B$5</c:f>
              <c:numCache>
                <c:formatCode>General</c:formatCode>
                <c:ptCount val="4"/>
                <c:pt idx="0">
                  <c:v>178.53</c:v>
                </c:pt>
                <c:pt idx="1">
                  <c:v>177.58</c:v>
                </c:pt>
              </c:numCache>
            </c:numRef>
          </c:val>
        </c:ser>
        <c:ser>
          <c:idx val="1"/>
          <c:order val="1"/>
          <c:tx>
            <c:strRef>
              <c:f>Sheet1!$C$1</c:f>
              <c:strCache>
                <c:ptCount val="1"/>
                <c:pt idx="0">
                  <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2024年度</c:v>
                </c:pt>
                <c:pt idx="1">
                  <c:v>2025年度</c:v>
                </c:pt>
              </c:strCache>
            </c:strRef>
          </c:cat>
          <c:val>
            <c:numRef>
              <c:f>Sheet1!$C$2:$C$5</c:f>
              <c:numCache>
                <c:formatCode>General</c:formatCode>
                <c:ptCount val="4"/>
              </c:numCache>
            </c:numRef>
          </c:val>
        </c:ser>
        <c:ser>
          <c:idx val="2"/>
          <c:order val="2"/>
          <c:tx>
            <c:strRef>
              <c:f>Sheet1!$D$1</c:f>
              <c:strCache>
                <c:ptCount val="1"/>
                <c:pt idx="0">
                  <c:v/>
                </c:pt>
              </c:strCache>
            </c:strRef>
          </c:tx>
          <c:spPr>
            <a:gradFill>
              <a:gsLst>
                <a:gs pos="0">
                  <a:schemeClr val="accent3">
                    <a:lumMod val="40000"/>
                    <a:lumOff val="60000"/>
                  </a:schemeClr>
                </a:gs>
                <a:gs pos="90000">
                  <a:schemeClr val="accent3"/>
                </a:gs>
              </a:gsLst>
              <a:lin ang="5400000" scaled="0"/>
            </a:gradFill>
            <a:ln>
              <a:gradFill>
                <a:gsLst>
                  <a:gs pos="0">
                    <a:schemeClr val="accent3"/>
                  </a:gs>
                  <a:gs pos="100000">
                    <a:schemeClr val="accent3">
                      <a:lumMod val="75000"/>
                    </a:schemeClr>
                  </a:gs>
                </a:gsLst>
                <a:lin ang="5400000" scaled="1"/>
              </a:gradFill>
            </a:ln>
            <a:effectLst>
              <a:outerShdw blurRad="76200" dist="25400" dir="2700000" algn="tl" rotWithShape="0">
                <a:schemeClr val="accent3">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2024年度</c:v>
                </c:pt>
                <c:pt idx="1">
                  <c:v>2025年度</c:v>
                </c:pt>
              </c:strCache>
            </c:strRef>
          </c:cat>
          <c:val>
            <c:numRef>
              <c:f>Sheet1!$D$2:$D$5</c:f>
              <c:numCache>
                <c:formatCode>General</c:formatCode>
                <c:ptCount val="4"/>
              </c:numCache>
            </c:numRef>
          </c:val>
        </c:ser>
        <c:dLbls>
          <c:showLegendKey val="0"/>
          <c:showVal val="1"/>
          <c:showCatName val="0"/>
          <c:showSerName val="0"/>
          <c:showPercent val="0"/>
          <c:showBubbleSize val="0"/>
        </c:dLbls>
        <c:gapWidth val="246"/>
        <c:overlap val="-28"/>
        <c:axId val="272583554"/>
        <c:axId val="773384296"/>
      </c:barChart>
      <c:catAx>
        <c:axId val="272583554"/>
        <c:scaling>
          <c:orientation val="minMax"/>
        </c:scaling>
        <c:delete val="0"/>
        <c:axPos val="b"/>
        <c:numFmt formatCode="General" sourceLinked="1"/>
        <c:majorTickMark val="none"/>
        <c:minorTickMark val="none"/>
        <c:tickLblPos val="nextTo"/>
        <c:spPr>
          <a:noFill/>
          <a:ln w="6350" cap="flat" cmpd="sng" algn="ctr">
            <a:solidFill>
              <a:schemeClr val="tx1">
                <a:lumMod val="50000"/>
                <a:lumOff val="50000"/>
                <a:alpha val="25000"/>
              </a:schemeClr>
            </a:solidFill>
            <a:round/>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773384296"/>
        <c:crosses val="autoZero"/>
        <c:auto val="1"/>
        <c:lblAlgn val="ctr"/>
        <c:lblOffset val="100"/>
        <c:noMultiLvlLbl val="0"/>
      </c:catAx>
      <c:valAx>
        <c:axId val="773384296"/>
        <c:scaling>
          <c:orientation val="minMax"/>
        </c:scaling>
        <c:delete val="0"/>
        <c:axPos val="l"/>
        <c:majorGridlines>
          <c:spPr>
            <a:ln w="6350" cap="flat" cmpd="sng" algn="ctr">
              <a:solidFill>
                <a:schemeClr val="tx1">
                  <a:lumMod val="50000"/>
                  <a:lumOff val="50000"/>
                  <a:alpha val="2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crossAx val="272583554"/>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de4a1e2b-2817-48e9-b809-8f6e7141dd92}"/>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148.57</c:v>
                </c:pt>
                <c:pt idx="1">
                  <c:v>16.7</c:v>
                </c:pt>
                <c:pt idx="2">
                  <c:v>6.69</c:v>
                </c:pt>
                <c:pt idx="3">
                  <c:v>10.68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7dab355-54a7-412e-8da5-4f38f5cd262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因公出国（境）支出</c:v>
                </c:pt>
                <c:pt idx="1">
                  <c:v>公务用车购置及运维护费支出</c:v>
                </c:pt>
                <c:pt idx="2">
                  <c:v>公务接待支出</c:v>
                </c:pt>
              </c:strCache>
            </c:strRef>
          </c:cat>
          <c:val>
            <c:numRef>
              <c:f>Sheet1!$B$2:$B$5</c:f>
              <c:numCache>
                <c:formatCode>General</c:formatCode>
                <c:ptCount val="4"/>
                <c:pt idx="0">
                  <c:v>0</c:v>
                </c:pt>
                <c:pt idx="1">
                  <c:v>2.75</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fc817ac-c939-4cab-9ee4-fe22119b699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8076</Words>
  <Characters>9164</Characters>
  <Lines>61</Lines>
  <Paragraphs>17</Paragraphs>
  <TotalTime>8</TotalTime>
  <ScaleCrop>false</ScaleCrop>
  <LinksUpToDate>false</LinksUpToDate>
  <CharactersWithSpaces>9242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一个笨蛋</cp:lastModifiedBy>
  <cp:lastPrinted>2026-08-03T09:27:00Z</cp:lastPrinted>
  <dcterms:modified xsi:type="dcterms:W3CDTF">2026-10-21T01:45:14Z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eyJoZGlkIjoiYjllZGNkZWEzYjg0NDNmNTQ5MjkzNjk0ODlhNmVkYzAiLCJ1c2VySWQiOiI0MTAxMDQ4MDkifQ==</vt:lpwstr>
  </property>
</Properties>
</file>