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99523E">
      <w:pPr>
        <w:pStyle w:val="7"/>
        <w:spacing w:before="93"/>
        <w:rPr>
          <w:rFonts w:hint="default" w:ascii="Times New Roman" w:hAnsi="Times New Roman" w:eastAsia="方正小标宋简体" w:cs="Times New Roman"/>
          <w:kern w:val="2"/>
          <w:sz w:val="72"/>
          <w:szCs w:val="72"/>
        </w:rPr>
      </w:pPr>
      <w:bookmarkStart w:id="0" w:name="_Toc15378441"/>
      <w:bookmarkStart w:id="1" w:name="_Toc15396597"/>
      <w:bookmarkStart w:id="2" w:name="_Toc15377193"/>
      <w:bookmarkStart w:id="3" w:name="_Toc15396475"/>
      <w:bookmarkStart w:id="4" w:name="_Toc15377425"/>
      <w:bookmarkStart w:id="5" w:name="_Toc15306267"/>
    </w:p>
    <w:p w14:paraId="0FF4DA23">
      <w:pPr>
        <w:pStyle w:val="7"/>
        <w:spacing w:before="93"/>
        <w:rPr>
          <w:rFonts w:hint="default" w:ascii="Times New Roman" w:hAnsi="Times New Roman" w:eastAsia="方正小标宋简体" w:cs="Times New Roman"/>
          <w:kern w:val="2"/>
          <w:sz w:val="72"/>
          <w:szCs w:val="72"/>
        </w:rPr>
      </w:pPr>
    </w:p>
    <w:bookmarkEnd w:id="0"/>
    <w:bookmarkEnd w:id="1"/>
    <w:bookmarkEnd w:id="2"/>
    <w:bookmarkEnd w:id="3"/>
    <w:bookmarkEnd w:id="4"/>
    <w:p w14:paraId="7984F106">
      <w:pPr>
        <w:pStyle w:val="7"/>
        <w:spacing w:before="93"/>
        <w:jc w:val="center"/>
        <w:rPr>
          <w:rFonts w:hint="default" w:ascii="Times New Roman" w:hAnsi="Times New Roman" w:eastAsia="方正小标宋简体" w:cs="Times New Roman"/>
          <w:kern w:val="2"/>
          <w:sz w:val="44"/>
          <w:szCs w:val="44"/>
        </w:rPr>
      </w:pPr>
      <w:bookmarkStart w:id="6" w:name="_Toc15378442"/>
      <w:bookmarkStart w:id="7" w:name="_Toc15396598"/>
      <w:bookmarkStart w:id="8" w:name="_Toc15377426"/>
      <w:bookmarkStart w:id="9" w:name="_Toc15396476"/>
      <w:bookmarkStart w:id="10" w:name="_Toc15377194"/>
    </w:p>
    <w:p w14:paraId="6DA84B80">
      <w:pPr>
        <w:pStyle w:val="7"/>
        <w:spacing w:before="93"/>
        <w:jc w:val="center"/>
        <w:rPr>
          <w:rFonts w:hint="default" w:ascii="Times New Roman" w:hAnsi="Times New Roman" w:eastAsia="方正小标宋简体" w:cs="Times New Roman"/>
          <w:kern w:val="2"/>
          <w:sz w:val="44"/>
          <w:szCs w:val="44"/>
          <w:lang w:val="en-US" w:eastAsia="zh-CN"/>
        </w:rPr>
      </w:pPr>
      <w:r>
        <w:rPr>
          <w:rFonts w:hint="default" w:ascii="Times New Roman" w:hAnsi="Times New Roman" w:eastAsia="方正小标宋简体" w:cs="Times New Roman"/>
          <w:kern w:val="2"/>
          <w:sz w:val="44"/>
          <w:szCs w:val="44"/>
        </w:rPr>
        <w:t>2024年度</w:t>
      </w:r>
      <w:bookmarkEnd w:id="5"/>
      <w:bookmarkStart w:id="11" w:name="_Toc15306268"/>
      <w:r>
        <w:rPr>
          <w:rFonts w:hint="default" w:ascii="Times New Roman" w:hAnsi="Times New Roman" w:eastAsia="方正小标宋简体" w:cs="Times New Roman"/>
          <w:kern w:val="2"/>
          <w:sz w:val="44"/>
          <w:szCs w:val="44"/>
        </w:rPr>
        <w:t>阿坝州</w:t>
      </w:r>
      <w:r>
        <w:rPr>
          <w:rFonts w:hint="default" w:ascii="Times New Roman" w:hAnsi="Times New Roman" w:eastAsia="方正小标宋简体" w:cs="Times New Roman"/>
          <w:kern w:val="2"/>
          <w:sz w:val="44"/>
          <w:szCs w:val="44"/>
          <w:lang w:val="en-US" w:eastAsia="zh-CN"/>
        </w:rPr>
        <w:t>委老干部局</w:t>
      </w:r>
    </w:p>
    <w:p w14:paraId="47AEF975">
      <w:pPr>
        <w:pStyle w:val="7"/>
        <w:spacing w:before="93"/>
        <w:jc w:val="center"/>
        <w:rPr>
          <w:rFonts w:hint="eastAsia" w:ascii="Times New Roman" w:hAnsi="Times New Roman" w:eastAsia="方正小标宋简体" w:cs="Times New Roman"/>
          <w:kern w:val="2"/>
          <w:sz w:val="44"/>
          <w:szCs w:val="44"/>
          <w:lang w:eastAsia="zh-CN"/>
        </w:rPr>
      </w:pPr>
      <w:r>
        <w:rPr>
          <w:rFonts w:hint="default" w:ascii="Times New Roman" w:hAnsi="Times New Roman" w:eastAsia="方正小标宋简体" w:cs="Times New Roman"/>
          <w:kern w:val="2"/>
          <w:sz w:val="44"/>
          <w:szCs w:val="44"/>
        </w:rPr>
        <w:t>部门决算</w:t>
      </w:r>
      <w:bookmarkEnd w:id="6"/>
      <w:bookmarkEnd w:id="7"/>
      <w:bookmarkEnd w:id="8"/>
      <w:bookmarkEnd w:id="9"/>
      <w:bookmarkEnd w:id="10"/>
      <w:bookmarkEnd w:id="11"/>
      <w:r>
        <w:rPr>
          <w:rFonts w:hint="eastAsia" w:ascii="Times New Roman" w:eastAsia="方正小标宋简体" w:cs="Times New Roman"/>
          <w:kern w:val="2"/>
          <w:sz w:val="44"/>
          <w:szCs w:val="44"/>
          <w:lang w:eastAsia="zh-CN"/>
        </w:rPr>
        <w:t>（</w:t>
      </w:r>
      <w:r>
        <w:rPr>
          <w:rFonts w:hint="eastAsia" w:ascii="Times New Roman" w:eastAsia="方正小标宋简体" w:cs="Times New Roman"/>
          <w:kern w:val="2"/>
          <w:sz w:val="44"/>
          <w:szCs w:val="44"/>
          <w:lang w:val="en-US" w:eastAsia="zh-CN"/>
        </w:rPr>
        <w:t>部门</w:t>
      </w:r>
      <w:r>
        <w:rPr>
          <w:rFonts w:hint="eastAsia" w:ascii="Times New Roman" w:eastAsia="方正小标宋简体" w:cs="Times New Roman"/>
          <w:kern w:val="2"/>
          <w:sz w:val="44"/>
          <w:szCs w:val="44"/>
          <w:lang w:eastAsia="zh-CN"/>
        </w:rPr>
        <w:t>）</w:t>
      </w:r>
    </w:p>
    <w:p w14:paraId="49C81E8C">
      <w:pPr>
        <w:widowControl/>
        <w:jc w:val="center"/>
        <w:rPr>
          <w:rFonts w:hint="default" w:ascii="Times New Roman" w:hAnsi="Times New Roman" w:eastAsia="黑体" w:cs="Times New Roman"/>
          <w:sz w:val="48"/>
          <w:szCs w:val="48"/>
        </w:rPr>
      </w:pPr>
    </w:p>
    <w:p w14:paraId="74792A1B">
      <w:pPr>
        <w:widowControl/>
        <w:jc w:val="center"/>
        <w:rPr>
          <w:rFonts w:hint="default" w:ascii="Times New Roman" w:hAnsi="Times New Roman" w:eastAsia="黑体" w:cs="Times New Roman"/>
          <w:sz w:val="48"/>
          <w:szCs w:val="48"/>
        </w:rPr>
      </w:pPr>
    </w:p>
    <w:p w14:paraId="20E687C3">
      <w:pPr>
        <w:widowControl/>
        <w:jc w:val="center"/>
        <w:rPr>
          <w:rFonts w:hint="default" w:ascii="Times New Roman" w:hAnsi="Times New Roman" w:eastAsia="黑体" w:cs="Times New Roman"/>
          <w:sz w:val="48"/>
          <w:szCs w:val="48"/>
        </w:rPr>
      </w:pPr>
    </w:p>
    <w:p w14:paraId="20F48625">
      <w:pPr>
        <w:widowControl/>
        <w:jc w:val="center"/>
        <w:rPr>
          <w:rFonts w:hint="default" w:ascii="Times New Roman" w:hAnsi="Times New Roman" w:eastAsia="黑体" w:cs="Times New Roman"/>
          <w:sz w:val="48"/>
          <w:szCs w:val="48"/>
        </w:rPr>
      </w:pPr>
    </w:p>
    <w:p w14:paraId="68E97C7E">
      <w:pPr>
        <w:widowControl/>
        <w:jc w:val="center"/>
        <w:rPr>
          <w:rFonts w:hint="default" w:ascii="Times New Roman" w:hAnsi="Times New Roman" w:eastAsia="黑体" w:cs="Times New Roman"/>
          <w:sz w:val="48"/>
          <w:szCs w:val="48"/>
        </w:rPr>
      </w:pPr>
    </w:p>
    <w:p w14:paraId="6A9FEED1">
      <w:pPr>
        <w:widowControl/>
        <w:jc w:val="center"/>
        <w:rPr>
          <w:rFonts w:hint="default" w:ascii="Times New Roman" w:hAnsi="Times New Roman" w:eastAsia="黑体" w:cs="Times New Roman"/>
          <w:sz w:val="48"/>
          <w:szCs w:val="48"/>
        </w:rPr>
      </w:pPr>
    </w:p>
    <w:p w14:paraId="3FFB21B2">
      <w:pPr>
        <w:widowControl/>
        <w:jc w:val="center"/>
        <w:rPr>
          <w:rFonts w:hint="default" w:ascii="Times New Roman" w:hAnsi="Times New Roman" w:eastAsia="黑体" w:cs="Times New Roman"/>
          <w:sz w:val="48"/>
          <w:szCs w:val="48"/>
        </w:rPr>
      </w:pPr>
    </w:p>
    <w:p w14:paraId="01D9A73A">
      <w:pPr>
        <w:widowControl/>
        <w:jc w:val="center"/>
        <w:rPr>
          <w:rFonts w:hint="default" w:ascii="Times New Roman" w:hAnsi="Times New Roman" w:eastAsia="黑体" w:cs="Times New Roman"/>
          <w:sz w:val="48"/>
          <w:szCs w:val="48"/>
        </w:rPr>
      </w:pPr>
    </w:p>
    <w:p w14:paraId="0D6B3E8C">
      <w:pPr>
        <w:widowControl/>
        <w:jc w:val="center"/>
        <w:rPr>
          <w:rFonts w:hint="default" w:ascii="Times New Roman" w:hAnsi="Times New Roman" w:eastAsia="黑体" w:cs="Times New Roman"/>
          <w:sz w:val="48"/>
          <w:szCs w:val="48"/>
          <w:lang w:eastAsia="zh-CN"/>
        </w:rPr>
      </w:pPr>
    </w:p>
    <w:p w14:paraId="706CBA92">
      <w:pPr>
        <w:widowControl/>
        <w:jc w:val="both"/>
        <w:rPr>
          <w:rFonts w:hint="default" w:ascii="Times New Roman" w:hAnsi="Times New Roman" w:eastAsia="黑体" w:cs="Times New Roman"/>
          <w:sz w:val="48"/>
          <w:szCs w:val="48"/>
          <w:lang w:eastAsia="zh-CN"/>
        </w:rPr>
        <w:sectPr>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pPr>
    </w:p>
    <w:p w14:paraId="3F73C31B">
      <w:pPr>
        <w:spacing w:before="0" w:beforeLines="0" w:after="0" w:afterLines="0" w:line="240" w:lineRule="auto"/>
        <w:ind w:left="0" w:leftChars="0" w:right="0" w:rightChars="0" w:firstLine="0" w:firstLineChars="0"/>
        <w:jc w:val="center"/>
      </w:pPr>
      <w:bookmarkStart w:id="12" w:name="_Toc15377196"/>
      <w:bookmarkStart w:id="13" w:name="_Toc15396599"/>
      <w:r>
        <w:rPr>
          <w:rFonts w:ascii="宋体" w:hAnsi="宋体" w:eastAsia="宋体"/>
          <w:sz w:val="21"/>
        </w:rPr>
        <w:t>目录</w:t>
      </w:r>
    </w:p>
    <w:p w14:paraId="0A68BA2F">
      <w:pPr>
        <w:pStyle w:val="12"/>
        <w:tabs>
          <w:tab w:val="right" w:leader="dot" w:pos="8306"/>
          <w:tab w:val="clear" w:pos="8296"/>
        </w:tabs>
        <w:jc w:val="both"/>
      </w:pPr>
      <w:r>
        <w:fldChar w:fldCharType="begin"/>
      </w:r>
      <w:r>
        <w:instrText xml:space="preserve">TOC \o "1-3" \h \u </w:instrText>
      </w:r>
      <w:r>
        <w:fldChar w:fldCharType="separate"/>
      </w:r>
      <w:r>
        <w:fldChar w:fldCharType="begin"/>
      </w:r>
      <w:r>
        <w:instrText xml:space="preserve"> HYPERLINK \l _Toc23743 </w:instrText>
      </w:r>
      <w:r>
        <w:fldChar w:fldCharType="separate"/>
      </w:r>
      <w:r>
        <w:rPr>
          <w:rFonts w:hint="default" w:ascii="Times New Roman" w:hAnsi="Times New Roman" w:eastAsia="方正小标宋简体" w:cs="Times New Roman"/>
        </w:rPr>
        <w:t xml:space="preserve">第一部分  </w:t>
      </w:r>
      <w:r>
        <w:rPr>
          <w:rFonts w:hint="default" w:ascii="Times New Roman" w:hAnsi="Times New Roman" w:eastAsia="方正小标宋简体" w:cs="Times New Roman"/>
          <w:bCs w:val="0"/>
        </w:rPr>
        <w:t>部门概况</w:t>
      </w:r>
      <w:r>
        <w:tab/>
      </w:r>
      <w:r>
        <w:fldChar w:fldCharType="begin"/>
      </w:r>
      <w:r>
        <w:instrText xml:space="preserve"> PAGEREF _Toc23743 \h </w:instrText>
      </w:r>
      <w:r>
        <w:fldChar w:fldCharType="separate"/>
      </w:r>
      <w:r>
        <w:t>- 2 -</w:t>
      </w:r>
      <w:r>
        <w:fldChar w:fldCharType="end"/>
      </w:r>
      <w:r>
        <w:fldChar w:fldCharType="end"/>
      </w:r>
    </w:p>
    <w:p w14:paraId="59280AAB">
      <w:pPr>
        <w:pStyle w:val="14"/>
        <w:tabs>
          <w:tab w:val="right" w:leader="dot" w:pos="8306"/>
          <w:tab w:val="clear" w:pos="8296"/>
        </w:tabs>
      </w:pPr>
      <w:r>
        <w:fldChar w:fldCharType="begin"/>
      </w:r>
      <w:r>
        <w:instrText xml:space="preserve"> HYPERLINK \l _Toc8303 </w:instrText>
      </w:r>
      <w:r>
        <w:fldChar w:fldCharType="separate"/>
      </w:r>
      <w:r>
        <w:rPr>
          <w:rFonts w:hint="default" w:ascii="Times New Roman" w:hAnsi="Times New Roman" w:eastAsia="黑体" w:cs="Times New Roman"/>
          <w:lang w:val="en-US" w:eastAsia="zh-CN"/>
        </w:rPr>
        <w:t>一 、</w:t>
      </w:r>
      <w:r>
        <w:rPr>
          <w:rFonts w:hint="default" w:ascii="Times New Roman" w:hAnsi="Times New Roman" w:eastAsia="黑体" w:cs="Times New Roman"/>
        </w:rPr>
        <w:t>部门职责</w:t>
      </w:r>
      <w:r>
        <w:tab/>
      </w:r>
      <w:r>
        <w:fldChar w:fldCharType="begin"/>
      </w:r>
      <w:r>
        <w:instrText xml:space="preserve"> PAGEREF _Toc8303 \h </w:instrText>
      </w:r>
      <w:r>
        <w:fldChar w:fldCharType="separate"/>
      </w:r>
      <w:r>
        <w:t>- 2 -</w:t>
      </w:r>
      <w:r>
        <w:fldChar w:fldCharType="end"/>
      </w:r>
      <w:r>
        <w:fldChar w:fldCharType="end"/>
      </w:r>
    </w:p>
    <w:p w14:paraId="62B6FC8C">
      <w:pPr>
        <w:pStyle w:val="14"/>
        <w:tabs>
          <w:tab w:val="right" w:leader="dot" w:pos="8306"/>
          <w:tab w:val="clear" w:pos="8296"/>
        </w:tabs>
      </w:pPr>
      <w:r>
        <w:fldChar w:fldCharType="begin"/>
      </w:r>
      <w:r>
        <w:instrText xml:space="preserve"> HYPERLINK \l _Toc17417 </w:instrText>
      </w:r>
      <w:r>
        <w:fldChar w:fldCharType="separate"/>
      </w:r>
      <w:r>
        <w:rPr>
          <w:rFonts w:hint="default" w:ascii="Times New Roman" w:hAnsi="Times New Roman" w:eastAsia="黑体" w:cs="Times New Roman"/>
        </w:rPr>
        <w:t>二、机</w:t>
      </w:r>
      <w:r>
        <w:rPr>
          <w:rFonts w:hint="default" w:ascii="Times New Roman" w:hAnsi="Times New Roman" w:eastAsia="黑体" w:cs="Times New Roman"/>
          <w:bCs w:val="0"/>
        </w:rPr>
        <w:t>构设置</w:t>
      </w:r>
      <w:r>
        <w:tab/>
      </w:r>
      <w:r>
        <w:fldChar w:fldCharType="begin"/>
      </w:r>
      <w:r>
        <w:instrText xml:space="preserve"> PAGEREF _Toc17417 \h </w:instrText>
      </w:r>
      <w:r>
        <w:fldChar w:fldCharType="separate"/>
      </w:r>
      <w:r>
        <w:t>- 3 -</w:t>
      </w:r>
      <w:r>
        <w:fldChar w:fldCharType="end"/>
      </w:r>
      <w:r>
        <w:fldChar w:fldCharType="end"/>
      </w:r>
    </w:p>
    <w:p w14:paraId="789E7275">
      <w:pPr>
        <w:pStyle w:val="8"/>
        <w:tabs>
          <w:tab w:val="right" w:leader="dot" w:pos="8306"/>
          <w:tab w:val="clear" w:pos="8296"/>
        </w:tabs>
      </w:pPr>
      <w:r>
        <w:fldChar w:fldCharType="begin"/>
      </w:r>
      <w:r>
        <w:instrText xml:space="preserve"> HYPERLINK \l _Toc3624 </w:instrText>
      </w:r>
      <w:r>
        <w:fldChar w:fldCharType="separate"/>
      </w:r>
      <w:r>
        <w:rPr>
          <w:rFonts w:hint="default" w:ascii="Times New Roman" w:hAnsi="Times New Roman" w:cs="Times New Roman"/>
          <w:szCs w:val="32"/>
          <w:lang w:val="en-US" w:eastAsia="zh-CN"/>
        </w:rPr>
        <w:t>州委老干部局、成都干休所、郫县离休干休所、郫都区休养所、都江堰老干部休养所、阿坝州州级机关退休干部驻都江堰市休养所、马尔康干休所。</w:t>
      </w:r>
      <w:r>
        <w:tab/>
      </w:r>
      <w:r>
        <w:fldChar w:fldCharType="begin"/>
      </w:r>
      <w:r>
        <w:instrText xml:space="preserve"> PAGEREF _Toc3624 \h </w:instrText>
      </w:r>
      <w:r>
        <w:fldChar w:fldCharType="separate"/>
      </w:r>
      <w:r>
        <w:t>- 3 -</w:t>
      </w:r>
      <w:r>
        <w:fldChar w:fldCharType="end"/>
      </w:r>
      <w:r>
        <w:fldChar w:fldCharType="end"/>
      </w:r>
    </w:p>
    <w:p w14:paraId="209C1AC6">
      <w:pPr>
        <w:pStyle w:val="12"/>
        <w:tabs>
          <w:tab w:val="right" w:leader="dot" w:pos="8306"/>
          <w:tab w:val="clear" w:pos="8296"/>
        </w:tabs>
      </w:pPr>
      <w:r>
        <w:fldChar w:fldCharType="begin"/>
      </w:r>
      <w:r>
        <w:instrText xml:space="preserve"> HYPERLINK \l _Toc20020 </w:instrText>
      </w:r>
      <w:r>
        <w:fldChar w:fldCharType="separate"/>
      </w:r>
      <w:r>
        <w:rPr>
          <w:rFonts w:hint="default" w:ascii="Times New Roman" w:hAnsi="Times New Roman" w:eastAsia="方正小标宋简体" w:cs="Times New Roman"/>
        </w:rPr>
        <w:t>第二部分 2024年度部门决算情况说明</w:t>
      </w:r>
      <w:r>
        <w:tab/>
      </w:r>
      <w:r>
        <w:fldChar w:fldCharType="begin"/>
      </w:r>
      <w:r>
        <w:instrText xml:space="preserve"> PAGEREF _Toc20020 \h </w:instrText>
      </w:r>
      <w:r>
        <w:fldChar w:fldCharType="separate"/>
      </w:r>
      <w:r>
        <w:t>- 4 -</w:t>
      </w:r>
      <w:r>
        <w:fldChar w:fldCharType="end"/>
      </w:r>
      <w:r>
        <w:fldChar w:fldCharType="end"/>
      </w:r>
    </w:p>
    <w:p w14:paraId="781F73AD">
      <w:pPr>
        <w:pStyle w:val="14"/>
        <w:tabs>
          <w:tab w:val="right" w:leader="dot" w:pos="8306"/>
          <w:tab w:val="clear" w:pos="8296"/>
        </w:tabs>
      </w:pPr>
      <w:r>
        <w:fldChar w:fldCharType="begin"/>
      </w:r>
      <w:r>
        <w:instrText xml:space="preserve"> HYPERLINK \l _Toc15177 </w:instrText>
      </w:r>
      <w:r>
        <w:fldChar w:fldCharType="separate"/>
      </w:r>
      <w:r>
        <w:rPr>
          <w:rFonts w:hint="default" w:ascii="Times New Roman" w:hAnsi="Times New Roman" w:eastAsia="黑体" w:cs="Times New Roman"/>
          <w:szCs w:val="32"/>
        </w:rPr>
        <w:t>一、收</w:t>
      </w:r>
      <w:r>
        <w:rPr>
          <w:rFonts w:hint="default" w:ascii="Times New Roman" w:hAnsi="Times New Roman" w:eastAsia="黑体" w:cs="Times New Roman"/>
        </w:rPr>
        <w:t>入支出决算总体情况说明</w:t>
      </w:r>
      <w:r>
        <w:tab/>
      </w:r>
      <w:r>
        <w:fldChar w:fldCharType="begin"/>
      </w:r>
      <w:r>
        <w:instrText xml:space="preserve"> PAGEREF _Toc15177 \h </w:instrText>
      </w:r>
      <w:r>
        <w:fldChar w:fldCharType="separate"/>
      </w:r>
      <w:r>
        <w:t>- 4 -</w:t>
      </w:r>
      <w:r>
        <w:fldChar w:fldCharType="end"/>
      </w:r>
      <w:r>
        <w:fldChar w:fldCharType="end"/>
      </w:r>
    </w:p>
    <w:p w14:paraId="68A07BE3">
      <w:pPr>
        <w:pStyle w:val="14"/>
        <w:tabs>
          <w:tab w:val="right" w:leader="dot" w:pos="8306"/>
          <w:tab w:val="clear" w:pos="8296"/>
        </w:tabs>
      </w:pPr>
      <w:r>
        <w:fldChar w:fldCharType="begin"/>
      </w:r>
      <w:r>
        <w:instrText xml:space="preserve"> HYPERLINK \l _Toc31404 </w:instrText>
      </w:r>
      <w:r>
        <w:fldChar w:fldCharType="separate"/>
      </w:r>
      <w:r>
        <w:rPr>
          <w:rFonts w:hint="default" w:ascii="Times New Roman" w:hAnsi="Times New Roman" w:eastAsia="黑体" w:cs="Times New Roman"/>
          <w:szCs w:val="32"/>
        </w:rPr>
        <w:t>二、收入决算情况说明</w:t>
      </w:r>
      <w:r>
        <w:tab/>
      </w:r>
      <w:r>
        <w:fldChar w:fldCharType="begin"/>
      </w:r>
      <w:r>
        <w:instrText xml:space="preserve"> PAGEREF _Toc31404 \h </w:instrText>
      </w:r>
      <w:r>
        <w:fldChar w:fldCharType="separate"/>
      </w:r>
      <w:r>
        <w:t>- 4 -</w:t>
      </w:r>
      <w:r>
        <w:fldChar w:fldCharType="end"/>
      </w:r>
      <w:r>
        <w:fldChar w:fldCharType="end"/>
      </w:r>
    </w:p>
    <w:p w14:paraId="1CBF8C72">
      <w:pPr>
        <w:pStyle w:val="14"/>
        <w:tabs>
          <w:tab w:val="right" w:leader="dot" w:pos="8306"/>
          <w:tab w:val="clear" w:pos="8296"/>
        </w:tabs>
      </w:pPr>
      <w:r>
        <w:fldChar w:fldCharType="begin"/>
      </w:r>
      <w:r>
        <w:instrText xml:space="preserve"> HYPERLINK \l _Toc21313 </w:instrText>
      </w:r>
      <w:r>
        <w:fldChar w:fldCharType="separate"/>
      </w:r>
      <w:r>
        <w:rPr>
          <w:rFonts w:hint="default" w:ascii="Times New Roman" w:hAnsi="Times New Roman" w:eastAsia="黑体" w:cs="Times New Roman"/>
          <w:szCs w:val="32"/>
        </w:rPr>
        <w:t>三、支</w:t>
      </w:r>
      <w:r>
        <w:rPr>
          <w:rFonts w:hint="default" w:ascii="Times New Roman" w:hAnsi="Times New Roman" w:eastAsia="黑体" w:cs="Times New Roman"/>
        </w:rPr>
        <w:t>出决算情况说明</w:t>
      </w:r>
      <w:r>
        <w:tab/>
      </w:r>
      <w:r>
        <w:fldChar w:fldCharType="begin"/>
      </w:r>
      <w:r>
        <w:instrText xml:space="preserve"> PAGEREF _Toc21313 \h </w:instrText>
      </w:r>
      <w:r>
        <w:fldChar w:fldCharType="separate"/>
      </w:r>
      <w:r>
        <w:t>- 5 -</w:t>
      </w:r>
      <w:r>
        <w:fldChar w:fldCharType="end"/>
      </w:r>
      <w:r>
        <w:fldChar w:fldCharType="end"/>
      </w:r>
    </w:p>
    <w:p w14:paraId="5EB92F73">
      <w:pPr>
        <w:pStyle w:val="14"/>
        <w:tabs>
          <w:tab w:val="right" w:leader="dot" w:pos="8306"/>
          <w:tab w:val="clear" w:pos="8296"/>
        </w:tabs>
      </w:pPr>
      <w:r>
        <w:fldChar w:fldCharType="begin"/>
      </w:r>
      <w:r>
        <w:instrText xml:space="preserve"> HYPERLINK \l _Toc18070 </w:instrText>
      </w:r>
      <w:r>
        <w:fldChar w:fldCharType="separate"/>
      </w:r>
      <w:r>
        <w:rPr>
          <w:rFonts w:hint="default" w:ascii="Times New Roman" w:hAnsi="Times New Roman" w:eastAsia="黑体" w:cs="Times New Roman"/>
          <w:szCs w:val="32"/>
        </w:rPr>
        <w:t>四、财</w:t>
      </w:r>
      <w:r>
        <w:rPr>
          <w:rFonts w:hint="default" w:ascii="Times New Roman" w:hAnsi="Times New Roman" w:eastAsia="黑体" w:cs="Times New Roman"/>
        </w:rPr>
        <w:t>政拨款收入支出决算总体情况说明</w:t>
      </w:r>
      <w:r>
        <w:tab/>
      </w:r>
      <w:r>
        <w:fldChar w:fldCharType="begin"/>
      </w:r>
      <w:r>
        <w:instrText xml:space="preserve"> PAGEREF _Toc18070 \h </w:instrText>
      </w:r>
      <w:r>
        <w:fldChar w:fldCharType="separate"/>
      </w:r>
      <w:r>
        <w:t>- 6 -</w:t>
      </w:r>
      <w:r>
        <w:fldChar w:fldCharType="end"/>
      </w:r>
      <w:r>
        <w:fldChar w:fldCharType="end"/>
      </w:r>
    </w:p>
    <w:p w14:paraId="670340FA">
      <w:pPr>
        <w:pStyle w:val="14"/>
        <w:tabs>
          <w:tab w:val="right" w:leader="dot" w:pos="8306"/>
          <w:tab w:val="clear" w:pos="8296"/>
        </w:tabs>
      </w:pPr>
      <w:r>
        <w:fldChar w:fldCharType="begin"/>
      </w:r>
      <w:r>
        <w:instrText xml:space="preserve"> HYPERLINK \l _Toc13068 </w:instrText>
      </w:r>
      <w:r>
        <w:fldChar w:fldCharType="separate"/>
      </w:r>
      <w:r>
        <w:rPr>
          <w:rFonts w:hint="default" w:ascii="Times New Roman" w:hAnsi="Times New Roman" w:eastAsia="黑体" w:cs="Times New Roman"/>
          <w:szCs w:val="32"/>
        </w:rPr>
        <w:t>五、一</w:t>
      </w:r>
      <w:r>
        <w:rPr>
          <w:rFonts w:hint="default" w:ascii="Times New Roman" w:hAnsi="Times New Roman" w:eastAsia="黑体" w:cs="Times New Roman"/>
        </w:rPr>
        <w:t>般公共预算财政拨款支出决算情况说明</w:t>
      </w:r>
      <w:r>
        <w:tab/>
      </w:r>
      <w:r>
        <w:fldChar w:fldCharType="begin"/>
      </w:r>
      <w:r>
        <w:instrText xml:space="preserve"> PAGEREF _Toc13068 \h </w:instrText>
      </w:r>
      <w:r>
        <w:fldChar w:fldCharType="separate"/>
      </w:r>
      <w:r>
        <w:t>- 6 -</w:t>
      </w:r>
      <w:r>
        <w:fldChar w:fldCharType="end"/>
      </w:r>
      <w:r>
        <w:fldChar w:fldCharType="end"/>
      </w:r>
    </w:p>
    <w:p w14:paraId="2517386E">
      <w:pPr>
        <w:pStyle w:val="8"/>
        <w:tabs>
          <w:tab w:val="right" w:leader="dot" w:pos="8306"/>
          <w:tab w:val="clear" w:pos="8296"/>
        </w:tabs>
      </w:pPr>
      <w:r>
        <w:fldChar w:fldCharType="begin"/>
      </w:r>
      <w:r>
        <w:instrText xml:space="preserve"> HYPERLINK \l _Toc8505 </w:instrText>
      </w:r>
      <w:r>
        <w:fldChar w:fldCharType="separate"/>
      </w:r>
      <w:r>
        <w:rPr>
          <w:rFonts w:hint="default" w:ascii="Times New Roman" w:hAnsi="Times New Roman" w:eastAsia="楷体_GB2312" w:cs="Times New Roman"/>
          <w:szCs w:val="32"/>
        </w:rPr>
        <w:t>（一）一般公共预算财政拨款支出决算总体情况</w:t>
      </w:r>
      <w:r>
        <w:tab/>
      </w:r>
      <w:r>
        <w:fldChar w:fldCharType="begin"/>
      </w:r>
      <w:r>
        <w:instrText xml:space="preserve"> PAGEREF _Toc8505 \h </w:instrText>
      </w:r>
      <w:r>
        <w:fldChar w:fldCharType="separate"/>
      </w:r>
      <w:r>
        <w:t>- 6 -</w:t>
      </w:r>
      <w:r>
        <w:fldChar w:fldCharType="end"/>
      </w:r>
      <w:r>
        <w:fldChar w:fldCharType="end"/>
      </w:r>
    </w:p>
    <w:p w14:paraId="2DE315E5">
      <w:pPr>
        <w:pStyle w:val="8"/>
        <w:tabs>
          <w:tab w:val="right" w:leader="dot" w:pos="8306"/>
          <w:tab w:val="clear" w:pos="8296"/>
        </w:tabs>
      </w:pPr>
      <w:r>
        <w:fldChar w:fldCharType="begin"/>
      </w:r>
      <w:r>
        <w:instrText xml:space="preserve"> HYPERLINK \l _Toc26416 </w:instrText>
      </w:r>
      <w:r>
        <w:fldChar w:fldCharType="separate"/>
      </w:r>
      <w:r>
        <w:rPr>
          <w:rFonts w:hint="default" w:ascii="Times New Roman" w:hAnsi="Times New Roman" w:eastAsia="楷体_GB2312" w:cs="Times New Roman"/>
          <w:szCs w:val="32"/>
        </w:rPr>
        <w:t>（二）一般公共预算财政拨款支出决算结构情况</w:t>
      </w:r>
      <w:r>
        <w:tab/>
      </w:r>
      <w:r>
        <w:fldChar w:fldCharType="begin"/>
      </w:r>
      <w:r>
        <w:instrText xml:space="preserve"> PAGEREF _Toc26416 \h </w:instrText>
      </w:r>
      <w:r>
        <w:fldChar w:fldCharType="separate"/>
      </w:r>
      <w:r>
        <w:t>- 6 -</w:t>
      </w:r>
      <w:r>
        <w:fldChar w:fldCharType="end"/>
      </w:r>
      <w:r>
        <w:fldChar w:fldCharType="end"/>
      </w:r>
    </w:p>
    <w:p w14:paraId="0CC4F09D">
      <w:pPr>
        <w:pStyle w:val="8"/>
        <w:tabs>
          <w:tab w:val="right" w:leader="dot" w:pos="8306"/>
          <w:tab w:val="clear" w:pos="8296"/>
        </w:tabs>
      </w:pPr>
      <w:r>
        <w:fldChar w:fldCharType="begin"/>
      </w:r>
      <w:r>
        <w:instrText xml:space="preserve"> HYPERLINK \l _Toc8774 </w:instrText>
      </w:r>
      <w:r>
        <w:fldChar w:fldCharType="separate"/>
      </w:r>
      <w:r>
        <w:rPr>
          <w:rFonts w:hint="default" w:ascii="Times New Roman" w:hAnsi="Times New Roman" w:eastAsia="楷体_GB2312" w:cs="Times New Roman"/>
          <w:szCs w:val="32"/>
        </w:rPr>
        <w:t>（三）一般公共预算财政拨款支出决算具体情况</w:t>
      </w:r>
      <w:r>
        <w:tab/>
      </w:r>
      <w:r>
        <w:fldChar w:fldCharType="begin"/>
      </w:r>
      <w:r>
        <w:instrText xml:space="preserve"> PAGEREF _Toc8774 \h </w:instrText>
      </w:r>
      <w:r>
        <w:fldChar w:fldCharType="separate"/>
      </w:r>
      <w:r>
        <w:t>- 7 -</w:t>
      </w:r>
      <w:r>
        <w:fldChar w:fldCharType="end"/>
      </w:r>
      <w:r>
        <w:fldChar w:fldCharType="end"/>
      </w:r>
    </w:p>
    <w:p w14:paraId="554DC952">
      <w:pPr>
        <w:pStyle w:val="14"/>
        <w:tabs>
          <w:tab w:val="right" w:leader="dot" w:pos="8306"/>
          <w:tab w:val="clear" w:pos="8296"/>
        </w:tabs>
      </w:pPr>
      <w:r>
        <w:fldChar w:fldCharType="begin"/>
      </w:r>
      <w:r>
        <w:instrText xml:space="preserve"> HYPERLINK \l _Toc20166 </w:instrText>
      </w:r>
      <w:r>
        <w:fldChar w:fldCharType="separate"/>
      </w:r>
      <w:r>
        <w:rPr>
          <w:rFonts w:hint="default" w:ascii="Times New Roman" w:hAnsi="Times New Roman" w:eastAsia="黑体" w:cs="Times New Roman"/>
          <w:szCs w:val="32"/>
        </w:rPr>
        <w:t>六、一</w:t>
      </w:r>
      <w:r>
        <w:rPr>
          <w:rFonts w:hint="default" w:ascii="Times New Roman" w:hAnsi="Times New Roman" w:eastAsia="黑体" w:cs="Times New Roman"/>
        </w:rPr>
        <w:t>般公共预算财政拨款基本支出决算情况说明</w:t>
      </w:r>
      <w:r>
        <w:tab/>
      </w:r>
      <w:r>
        <w:fldChar w:fldCharType="begin"/>
      </w:r>
      <w:r>
        <w:instrText xml:space="preserve"> PAGEREF _Toc20166 \h </w:instrText>
      </w:r>
      <w:r>
        <w:fldChar w:fldCharType="separate"/>
      </w:r>
      <w:r>
        <w:t>- 7 -</w:t>
      </w:r>
      <w:r>
        <w:fldChar w:fldCharType="end"/>
      </w:r>
      <w:r>
        <w:fldChar w:fldCharType="end"/>
      </w:r>
    </w:p>
    <w:p w14:paraId="6E4A5817">
      <w:pPr>
        <w:pStyle w:val="14"/>
        <w:tabs>
          <w:tab w:val="right" w:leader="dot" w:pos="8306"/>
          <w:tab w:val="clear" w:pos="8296"/>
        </w:tabs>
      </w:pPr>
      <w:r>
        <w:fldChar w:fldCharType="begin"/>
      </w:r>
      <w:r>
        <w:instrText xml:space="preserve"> HYPERLINK \l _Toc25068 </w:instrText>
      </w:r>
      <w:r>
        <w:fldChar w:fldCharType="separate"/>
      </w:r>
      <w:r>
        <w:rPr>
          <w:rFonts w:hint="default" w:ascii="Times New Roman" w:hAnsi="Times New Roman" w:eastAsia="黑体" w:cs="Times New Roman"/>
          <w:szCs w:val="32"/>
        </w:rPr>
        <w:t>七、</w:t>
      </w:r>
      <w:r>
        <w:rPr>
          <w:rFonts w:hint="default" w:ascii="Times New Roman" w:hAnsi="Times New Roman" w:eastAsia="黑体" w:cs="Times New Roman"/>
        </w:rPr>
        <w:t>财政拨款“三公”经费支出决算情况说明</w:t>
      </w:r>
      <w:r>
        <w:tab/>
      </w:r>
      <w:r>
        <w:fldChar w:fldCharType="begin"/>
      </w:r>
      <w:r>
        <w:instrText xml:space="preserve"> PAGEREF _Toc25068 \h </w:instrText>
      </w:r>
      <w:r>
        <w:fldChar w:fldCharType="separate"/>
      </w:r>
      <w:r>
        <w:t>- 8 -</w:t>
      </w:r>
      <w:r>
        <w:fldChar w:fldCharType="end"/>
      </w:r>
      <w:r>
        <w:fldChar w:fldCharType="end"/>
      </w:r>
    </w:p>
    <w:p w14:paraId="63CED865">
      <w:pPr>
        <w:pStyle w:val="8"/>
        <w:tabs>
          <w:tab w:val="right" w:leader="dot" w:pos="8306"/>
          <w:tab w:val="clear" w:pos="8296"/>
        </w:tabs>
      </w:pPr>
      <w:r>
        <w:fldChar w:fldCharType="begin"/>
      </w:r>
      <w:r>
        <w:instrText xml:space="preserve"> HYPERLINK \l _Toc2234 </w:instrText>
      </w:r>
      <w:r>
        <w:fldChar w:fldCharType="separate"/>
      </w:r>
      <w:r>
        <w:rPr>
          <w:rFonts w:hint="default" w:ascii="Times New Roman" w:hAnsi="Times New Roman" w:eastAsia="楷体_GB2312" w:cs="Times New Roman"/>
          <w:szCs w:val="32"/>
        </w:rPr>
        <w:t>（一）“三公”经费财政拨款支出决算总体情况说明</w:t>
      </w:r>
      <w:r>
        <w:tab/>
      </w:r>
      <w:r>
        <w:fldChar w:fldCharType="begin"/>
      </w:r>
      <w:r>
        <w:instrText xml:space="preserve"> PAGEREF _Toc2234 \h </w:instrText>
      </w:r>
      <w:r>
        <w:fldChar w:fldCharType="separate"/>
      </w:r>
      <w:r>
        <w:t>- 8 -</w:t>
      </w:r>
      <w:r>
        <w:fldChar w:fldCharType="end"/>
      </w:r>
      <w:r>
        <w:fldChar w:fldCharType="end"/>
      </w:r>
    </w:p>
    <w:p w14:paraId="62E49010">
      <w:pPr>
        <w:pStyle w:val="8"/>
        <w:tabs>
          <w:tab w:val="right" w:leader="dot" w:pos="8306"/>
          <w:tab w:val="clear" w:pos="8296"/>
        </w:tabs>
      </w:pPr>
      <w:r>
        <w:fldChar w:fldCharType="begin"/>
      </w:r>
      <w:r>
        <w:instrText xml:space="preserve"> HYPERLINK \l _Toc13563 </w:instrText>
      </w:r>
      <w:r>
        <w:fldChar w:fldCharType="separate"/>
      </w:r>
      <w:r>
        <w:rPr>
          <w:rFonts w:hint="default" w:ascii="Times New Roman" w:hAnsi="Times New Roman" w:eastAsia="楷体_GB2312" w:cs="Times New Roman"/>
          <w:szCs w:val="32"/>
        </w:rPr>
        <w:t>（二）“三公”经费财政拨款支出决算具体情况说明</w:t>
      </w:r>
      <w:r>
        <w:tab/>
      </w:r>
      <w:r>
        <w:fldChar w:fldCharType="begin"/>
      </w:r>
      <w:r>
        <w:instrText xml:space="preserve"> PAGEREF _Toc13563 \h </w:instrText>
      </w:r>
      <w:r>
        <w:fldChar w:fldCharType="separate"/>
      </w:r>
      <w:r>
        <w:t>- 8 -</w:t>
      </w:r>
      <w:r>
        <w:fldChar w:fldCharType="end"/>
      </w:r>
      <w:r>
        <w:fldChar w:fldCharType="end"/>
      </w:r>
    </w:p>
    <w:p w14:paraId="29AA8889">
      <w:pPr>
        <w:pStyle w:val="14"/>
        <w:tabs>
          <w:tab w:val="right" w:leader="dot" w:pos="8306"/>
          <w:tab w:val="clear" w:pos="8296"/>
        </w:tabs>
      </w:pPr>
      <w:r>
        <w:fldChar w:fldCharType="begin"/>
      </w:r>
      <w:r>
        <w:instrText xml:space="preserve"> HYPERLINK \l _Toc18918 </w:instrText>
      </w:r>
      <w:r>
        <w:fldChar w:fldCharType="separate"/>
      </w:r>
      <w:r>
        <w:rPr>
          <w:rFonts w:hint="default" w:ascii="Times New Roman" w:hAnsi="Times New Roman" w:eastAsia="黑体" w:cs="Times New Roman"/>
          <w:szCs w:val="32"/>
        </w:rPr>
        <w:t>八、</w:t>
      </w:r>
      <w:r>
        <w:rPr>
          <w:rFonts w:hint="default" w:ascii="Times New Roman" w:hAnsi="Times New Roman" w:eastAsia="黑体" w:cs="Times New Roman"/>
        </w:rPr>
        <w:t>政府性基金预算支出决算情况说明</w:t>
      </w:r>
      <w:r>
        <w:tab/>
      </w:r>
      <w:r>
        <w:fldChar w:fldCharType="begin"/>
      </w:r>
      <w:r>
        <w:instrText xml:space="preserve"> PAGEREF _Toc18918 \h </w:instrText>
      </w:r>
      <w:r>
        <w:fldChar w:fldCharType="separate"/>
      </w:r>
      <w:r>
        <w:t>- 9 -</w:t>
      </w:r>
      <w:r>
        <w:fldChar w:fldCharType="end"/>
      </w:r>
      <w:r>
        <w:fldChar w:fldCharType="end"/>
      </w:r>
    </w:p>
    <w:p w14:paraId="188DC06F">
      <w:pPr>
        <w:pStyle w:val="14"/>
        <w:tabs>
          <w:tab w:val="right" w:leader="dot" w:pos="8306"/>
          <w:tab w:val="clear" w:pos="8296"/>
        </w:tabs>
      </w:pPr>
      <w:r>
        <w:fldChar w:fldCharType="begin"/>
      </w:r>
      <w:r>
        <w:instrText xml:space="preserve"> HYPERLINK \l _Toc2827 </w:instrText>
      </w:r>
      <w:r>
        <w:fldChar w:fldCharType="separate"/>
      </w:r>
      <w:r>
        <w:rPr>
          <w:rFonts w:hint="default" w:ascii="Times New Roman" w:hAnsi="Times New Roman" w:eastAsia="黑体" w:cs="Times New Roman"/>
        </w:rPr>
        <w:t>九、国有资本经营预算支出决算情况说明</w:t>
      </w:r>
      <w:r>
        <w:tab/>
      </w:r>
      <w:r>
        <w:fldChar w:fldCharType="begin"/>
      </w:r>
      <w:r>
        <w:instrText xml:space="preserve"> PAGEREF _Toc2827 \h </w:instrText>
      </w:r>
      <w:r>
        <w:fldChar w:fldCharType="separate"/>
      </w:r>
      <w:r>
        <w:t>- 9 -</w:t>
      </w:r>
      <w:r>
        <w:fldChar w:fldCharType="end"/>
      </w:r>
      <w:r>
        <w:fldChar w:fldCharType="end"/>
      </w:r>
    </w:p>
    <w:p w14:paraId="4FCB035C">
      <w:pPr>
        <w:pStyle w:val="14"/>
        <w:tabs>
          <w:tab w:val="right" w:leader="dot" w:pos="8306"/>
          <w:tab w:val="clear" w:pos="8296"/>
        </w:tabs>
      </w:pPr>
      <w:r>
        <w:fldChar w:fldCharType="begin"/>
      </w:r>
      <w:r>
        <w:instrText xml:space="preserve"> HYPERLINK \l _Toc8480 </w:instrText>
      </w:r>
      <w:r>
        <w:fldChar w:fldCharType="separate"/>
      </w:r>
      <w:r>
        <w:rPr>
          <w:rFonts w:hint="default" w:ascii="Times New Roman" w:hAnsi="Times New Roman" w:eastAsia="黑体" w:cs="Times New Roman"/>
        </w:rPr>
        <w:t>十、其他重要事项的情况说明</w:t>
      </w:r>
      <w:r>
        <w:tab/>
      </w:r>
      <w:r>
        <w:fldChar w:fldCharType="begin"/>
      </w:r>
      <w:r>
        <w:instrText xml:space="preserve"> PAGEREF _Toc8480 \h </w:instrText>
      </w:r>
      <w:r>
        <w:fldChar w:fldCharType="separate"/>
      </w:r>
      <w:r>
        <w:t>- 9 -</w:t>
      </w:r>
      <w:r>
        <w:fldChar w:fldCharType="end"/>
      </w:r>
      <w:r>
        <w:fldChar w:fldCharType="end"/>
      </w:r>
    </w:p>
    <w:p w14:paraId="107DDDF3">
      <w:pPr>
        <w:pStyle w:val="8"/>
        <w:tabs>
          <w:tab w:val="right" w:leader="dot" w:pos="8306"/>
          <w:tab w:val="clear" w:pos="8296"/>
        </w:tabs>
      </w:pPr>
      <w:r>
        <w:fldChar w:fldCharType="begin"/>
      </w:r>
      <w:r>
        <w:instrText xml:space="preserve"> HYPERLINK \l _Toc1737 </w:instrText>
      </w:r>
      <w:r>
        <w:fldChar w:fldCharType="separate"/>
      </w:r>
      <w:r>
        <w:rPr>
          <w:rFonts w:hint="default" w:ascii="Times New Roman" w:hAnsi="Times New Roman" w:eastAsia="楷体_GB2312" w:cs="Times New Roman"/>
          <w:szCs w:val="32"/>
        </w:rPr>
        <w:t>（一）机关运行经费支出情况</w:t>
      </w:r>
      <w:r>
        <w:tab/>
      </w:r>
      <w:r>
        <w:fldChar w:fldCharType="begin"/>
      </w:r>
      <w:r>
        <w:instrText xml:space="preserve"> PAGEREF _Toc1737 \h </w:instrText>
      </w:r>
      <w:r>
        <w:fldChar w:fldCharType="separate"/>
      </w:r>
      <w:r>
        <w:t>- 9 -</w:t>
      </w:r>
      <w:r>
        <w:fldChar w:fldCharType="end"/>
      </w:r>
      <w:r>
        <w:fldChar w:fldCharType="end"/>
      </w:r>
    </w:p>
    <w:p w14:paraId="3A962C89">
      <w:pPr>
        <w:pStyle w:val="8"/>
        <w:tabs>
          <w:tab w:val="right" w:leader="dot" w:pos="8306"/>
          <w:tab w:val="clear" w:pos="8296"/>
        </w:tabs>
      </w:pPr>
      <w:r>
        <w:fldChar w:fldCharType="begin"/>
      </w:r>
      <w:r>
        <w:instrText xml:space="preserve"> HYPERLINK \l _Toc194 </w:instrText>
      </w:r>
      <w:r>
        <w:fldChar w:fldCharType="separate"/>
      </w:r>
      <w:r>
        <w:rPr>
          <w:rFonts w:hint="default" w:ascii="Times New Roman" w:hAnsi="Times New Roman" w:eastAsia="楷体_GB2312" w:cs="Times New Roman"/>
          <w:szCs w:val="32"/>
        </w:rPr>
        <w:t>（二）政府采购支出情况</w:t>
      </w:r>
      <w:r>
        <w:tab/>
      </w:r>
      <w:r>
        <w:fldChar w:fldCharType="begin"/>
      </w:r>
      <w:r>
        <w:instrText xml:space="preserve"> PAGEREF _Toc194 \h </w:instrText>
      </w:r>
      <w:r>
        <w:fldChar w:fldCharType="separate"/>
      </w:r>
      <w:r>
        <w:t>- 9 -</w:t>
      </w:r>
      <w:r>
        <w:fldChar w:fldCharType="end"/>
      </w:r>
      <w:r>
        <w:fldChar w:fldCharType="end"/>
      </w:r>
    </w:p>
    <w:p w14:paraId="04C73662">
      <w:pPr>
        <w:pStyle w:val="8"/>
        <w:tabs>
          <w:tab w:val="right" w:leader="dot" w:pos="8306"/>
          <w:tab w:val="clear" w:pos="8296"/>
        </w:tabs>
      </w:pPr>
      <w:r>
        <w:fldChar w:fldCharType="begin"/>
      </w:r>
      <w:r>
        <w:instrText xml:space="preserve"> HYPERLINK \l _Toc27111 </w:instrText>
      </w:r>
      <w:r>
        <w:fldChar w:fldCharType="separate"/>
      </w:r>
      <w:r>
        <w:rPr>
          <w:rFonts w:hint="default" w:ascii="Times New Roman" w:hAnsi="Times New Roman" w:eastAsia="楷体_GB2312" w:cs="Times New Roman"/>
          <w:szCs w:val="32"/>
        </w:rPr>
        <w:t>（三）国有资产占有使用情况</w:t>
      </w:r>
      <w:r>
        <w:tab/>
      </w:r>
      <w:r>
        <w:fldChar w:fldCharType="begin"/>
      </w:r>
      <w:r>
        <w:instrText xml:space="preserve"> PAGEREF _Toc27111 \h </w:instrText>
      </w:r>
      <w:r>
        <w:fldChar w:fldCharType="separate"/>
      </w:r>
      <w:r>
        <w:t>- 10 -</w:t>
      </w:r>
      <w:r>
        <w:fldChar w:fldCharType="end"/>
      </w:r>
      <w:r>
        <w:fldChar w:fldCharType="end"/>
      </w:r>
    </w:p>
    <w:p w14:paraId="5D52594E">
      <w:pPr>
        <w:pStyle w:val="8"/>
        <w:tabs>
          <w:tab w:val="right" w:leader="dot" w:pos="8306"/>
          <w:tab w:val="clear" w:pos="8296"/>
        </w:tabs>
      </w:pPr>
      <w:r>
        <w:fldChar w:fldCharType="begin"/>
      </w:r>
      <w:r>
        <w:instrText xml:space="preserve"> HYPERLINK \l _Toc24951 </w:instrText>
      </w:r>
      <w:r>
        <w:fldChar w:fldCharType="separate"/>
      </w:r>
      <w:r>
        <w:rPr>
          <w:rFonts w:hint="default" w:ascii="Times New Roman" w:hAnsi="Times New Roman" w:eastAsia="楷体_GB2312" w:cs="Times New Roman"/>
          <w:szCs w:val="32"/>
        </w:rPr>
        <w:t>（四）预算绩效管理情况</w:t>
      </w:r>
      <w:r>
        <w:tab/>
      </w:r>
      <w:r>
        <w:fldChar w:fldCharType="begin"/>
      </w:r>
      <w:r>
        <w:instrText xml:space="preserve"> PAGEREF _Toc24951 \h </w:instrText>
      </w:r>
      <w:r>
        <w:fldChar w:fldCharType="separate"/>
      </w:r>
      <w:r>
        <w:t>- 10 -</w:t>
      </w:r>
      <w:r>
        <w:fldChar w:fldCharType="end"/>
      </w:r>
      <w:r>
        <w:fldChar w:fldCharType="end"/>
      </w:r>
    </w:p>
    <w:p w14:paraId="71C7E454">
      <w:pPr>
        <w:pStyle w:val="12"/>
        <w:tabs>
          <w:tab w:val="right" w:leader="dot" w:pos="8306"/>
          <w:tab w:val="clear" w:pos="8296"/>
        </w:tabs>
        <w:jc w:val="both"/>
      </w:pPr>
      <w:r>
        <w:fldChar w:fldCharType="begin"/>
      </w:r>
      <w:r>
        <w:instrText xml:space="preserve"> HYPERLINK \l _Toc31034 </w:instrText>
      </w:r>
      <w:r>
        <w:fldChar w:fldCharType="separate"/>
      </w:r>
      <w:r>
        <w:rPr>
          <w:rFonts w:hint="default" w:ascii="Times New Roman" w:hAnsi="Times New Roman" w:eastAsia="方正小标宋简体" w:cs="Times New Roman"/>
        </w:rPr>
        <w:t>第三部分  名词解释</w:t>
      </w:r>
      <w:r>
        <w:tab/>
      </w:r>
      <w:r>
        <w:fldChar w:fldCharType="begin"/>
      </w:r>
      <w:r>
        <w:instrText xml:space="preserve"> PAGEREF _Toc31034 \h </w:instrText>
      </w:r>
      <w:r>
        <w:fldChar w:fldCharType="separate"/>
      </w:r>
      <w:r>
        <w:t>- 12 -</w:t>
      </w:r>
      <w:r>
        <w:fldChar w:fldCharType="end"/>
      </w:r>
      <w:r>
        <w:fldChar w:fldCharType="end"/>
      </w:r>
    </w:p>
    <w:p w14:paraId="62CCA621">
      <w:pPr>
        <w:pStyle w:val="14"/>
        <w:tabs>
          <w:tab w:val="right" w:leader="dot" w:pos="8306"/>
          <w:tab w:val="clear" w:pos="8296"/>
        </w:tabs>
        <w:ind w:left="0" w:leftChars="0" w:firstLine="0" w:firstLineChars="0"/>
        <w:rPr>
          <w:rFonts w:hint="default" w:ascii="仿宋" w:hAnsi="仿宋" w:eastAsia="仿宋" w:cs="Times New Roman"/>
          <w:kern w:val="2"/>
          <w:sz w:val="28"/>
          <w:szCs w:val="28"/>
          <w:lang w:val="en-US" w:eastAsia="zh-CN" w:bidi="ar-SA"/>
        </w:rPr>
      </w:pPr>
      <w:r>
        <w:rPr>
          <w:rFonts w:hint="default" w:ascii="仿宋" w:hAnsi="仿宋" w:eastAsia="仿宋" w:cs="Times New Roman"/>
          <w:kern w:val="2"/>
          <w:sz w:val="28"/>
          <w:szCs w:val="28"/>
          <w:lang w:val="en-US" w:eastAsia="zh-CN" w:bidi="ar-SA"/>
        </w:rPr>
        <w:fldChar w:fldCharType="begin"/>
      </w:r>
      <w:r>
        <w:rPr>
          <w:rFonts w:hint="default" w:ascii="仿宋" w:hAnsi="仿宋" w:eastAsia="仿宋" w:cs="Times New Roman"/>
          <w:kern w:val="2"/>
          <w:sz w:val="28"/>
          <w:szCs w:val="28"/>
          <w:lang w:val="en-US" w:eastAsia="zh-CN" w:bidi="ar-SA"/>
        </w:rPr>
        <w:instrText xml:space="preserve"> HYPERLINK \l _Toc31034 </w:instrText>
      </w:r>
      <w:r>
        <w:rPr>
          <w:rFonts w:hint="default" w:ascii="仿宋" w:hAnsi="仿宋" w:eastAsia="仿宋" w:cs="Times New Roman"/>
          <w:kern w:val="2"/>
          <w:sz w:val="28"/>
          <w:szCs w:val="28"/>
          <w:lang w:val="en-US" w:eastAsia="zh-CN" w:bidi="ar-SA"/>
        </w:rPr>
        <w:fldChar w:fldCharType="separate"/>
      </w:r>
      <w:r>
        <w:rPr>
          <w:rFonts w:hint="eastAsia" w:ascii="方正小标宋简体" w:hAnsi="方正小标宋简体" w:eastAsia="方正小标宋简体" w:cs="方正小标宋简体"/>
          <w:kern w:val="2"/>
          <w:sz w:val="28"/>
          <w:szCs w:val="28"/>
          <w:lang w:val="en-US" w:eastAsia="zh-CN" w:bidi="ar-SA"/>
        </w:rPr>
        <w:t>第四部分  附件</w:t>
      </w:r>
      <w:r>
        <w:rPr>
          <w:rFonts w:hint="default" w:ascii="仿宋" w:hAnsi="仿宋" w:eastAsia="仿宋" w:cs="Times New Roman"/>
          <w:kern w:val="2"/>
          <w:sz w:val="28"/>
          <w:szCs w:val="28"/>
          <w:lang w:val="en-US" w:eastAsia="zh-CN" w:bidi="ar-SA"/>
        </w:rPr>
        <w:tab/>
      </w:r>
      <w:r>
        <w:rPr>
          <w:rFonts w:hint="default" w:ascii="仿宋" w:hAnsi="仿宋" w:eastAsia="仿宋" w:cs="Times New Roman"/>
          <w:kern w:val="2"/>
          <w:sz w:val="28"/>
          <w:szCs w:val="28"/>
          <w:lang w:val="en-US" w:eastAsia="zh-CN" w:bidi="ar-SA"/>
        </w:rPr>
        <w:fldChar w:fldCharType="begin"/>
      </w:r>
      <w:r>
        <w:rPr>
          <w:rFonts w:hint="default" w:ascii="仿宋" w:hAnsi="仿宋" w:eastAsia="仿宋" w:cs="Times New Roman"/>
          <w:kern w:val="2"/>
          <w:sz w:val="28"/>
          <w:szCs w:val="28"/>
          <w:lang w:val="en-US" w:eastAsia="zh-CN" w:bidi="ar-SA"/>
        </w:rPr>
        <w:instrText xml:space="preserve"> PAGEREF _Toc31034 \h </w:instrText>
      </w:r>
      <w:r>
        <w:rPr>
          <w:rFonts w:hint="default" w:ascii="仿宋" w:hAnsi="仿宋" w:eastAsia="仿宋" w:cs="Times New Roman"/>
          <w:kern w:val="2"/>
          <w:sz w:val="28"/>
          <w:szCs w:val="28"/>
          <w:lang w:val="en-US" w:eastAsia="zh-CN" w:bidi="ar-SA"/>
        </w:rPr>
        <w:fldChar w:fldCharType="separate"/>
      </w:r>
      <w:r>
        <w:rPr>
          <w:rFonts w:hint="default" w:ascii="仿宋" w:hAnsi="仿宋" w:eastAsia="仿宋" w:cs="Times New Roman"/>
          <w:kern w:val="2"/>
          <w:sz w:val="28"/>
          <w:szCs w:val="28"/>
          <w:lang w:val="en-US" w:eastAsia="zh-CN" w:bidi="ar-SA"/>
        </w:rPr>
        <w:t xml:space="preserve">- </w:t>
      </w:r>
      <w:r>
        <w:rPr>
          <w:rFonts w:hint="eastAsia" w:ascii="仿宋" w:hAnsi="仿宋" w:eastAsia="仿宋" w:cs="Times New Roman"/>
          <w:kern w:val="2"/>
          <w:sz w:val="28"/>
          <w:szCs w:val="28"/>
          <w:lang w:val="en-US" w:eastAsia="zh-CN" w:bidi="ar-SA"/>
        </w:rPr>
        <w:t>15</w:t>
      </w:r>
      <w:r>
        <w:rPr>
          <w:rFonts w:hint="default" w:ascii="仿宋" w:hAnsi="仿宋" w:eastAsia="仿宋" w:cs="Times New Roman"/>
          <w:kern w:val="2"/>
          <w:sz w:val="28"/>
          <w:szCs w:val="28"/>
          <w:lang w:val="en-US" w:eastAsia="zh-CN" w:bidi="ar-SA"/>
        </w:rPr>
        <w:t xml:space="preserve"> -</w:t>
      </w:r>
      <w:r>
        <w:rPr>
          <w:rFonts w:hint="default" w:ascii="仿宋" w:hAnsi="仿宋" w:eastAsia="仿宋" w:cs="Times New Roman"/>
          <w:kern w:val="2"/>
          <w:sz w:val="28"/>
          <w:szCs w:val="28"/>
          <w:lang w:val="en-US" w:eastAsia="zh-CN" w:bidi="ar-SA"/>
        </w:rPr>
        <w:fldChar w:fldCharType="end"/>
      </w:r>
      <w:r>
        <w:rPr>
          <w:rFonts w:hint="default" w:ascii="仿宋" w:hAnsi="仿宋" w:eastAsia="仿宋" w:cs="Times New Roman"/>
          <w:kern w:val="2"/>
          <w:sz w:val="28"/>
          <w:szCs w:val="28"/>
          <w:lang w:val="en-US" w:eastAsia="zh-CN" w:bidi="ar-SA"/>
        </w:rPr>
        <w:fldChar w:fldCharType="end"/>
      </w:r>
    </w:p>
    <w:p w14:paraId="30550E75">
      <w:pPr>
        <w:pStyle w:val="8"/>
        <w:tabs>
          <w:tab w:val="right" w:leader="dot" w:pos="8306"/>
          <w:tab w:val="clear" w:pos="8296"/>
        </w:tabs>
        <w:rPr>
          <w:rFonts w:hint="default" w:ascii="Times New Roman" w:hAnsi="Times New Roman" w:eastAsia="楷体_GB2312" w:cs="Times New Roman"/>
          <w:kern w:val="2"/>
          <w:sz w:val="21"/>
          <w:szCs w:val="32"/>
          <w:lang w:val="en-US" w:eastAsia="zh-CN" w:bidi="ar-SA"/>
        </w:rPr>
      </w:pPr>
      <w:r>
        <w:rPr>
          <w:rFonts w:hint="eastAsia" w:ascii="楷体_GB2312" w:hAnsi="楷体_GB2312" w:eastAsia="楷体_GB2312" w:cs="楷体_GB2312"/>
          <w:sz w:val="21"/>
          <w:szCs w:val="21"/>
          <w:lang w:val="en-US" w:eastAsia="zh-CN"/>
        </w:rPr>
        <w:t>2024年度部门预算绩效自评报告</w:t>
      </w:r>
      <w:r>
        <w:rPr>
          <w:rFonts w:hint="default"/>
          <w:lang w:val="en-US" w:eastAsia="zh-CN"/>
        </w:rPr>
        <w:tab/>
      </w:r>
      <w:r>
        <w:rPr>
          <w:rFonts w:hint="default" w:ascii="仿宋" w:hAnsi="仿宋" w:eastAsia="仿宋" w:cs="Times New Roman"/>
          <w:kern w:val="2"/>
          <w:sz w:val="28"/>
          <w:szCs w:val="28"/>
          <w:lang w:val="en-US" w:eastAsia="zh-CN" w:bidi="ar-SA"/>
        </w:rPr>
        <w:fldChar w:fldCharType="begin"/>
      </w:r>
      <w:r>
        <w:rPr>
          <w:rFonts w:hint="default" w:ascii="仿宋" w:hAnsi="仿宋" w:eastAsia="仿宋" w:cs="Times New Roman"/>
          <w:kern w:val="2"/>
          <w:sz w:val="28"/>
          <w:szCs w:val="28"/>
          <w:lang w:val="en-US" w:eastAsia="zh-CN" w:bidi="ar-SA"/>
        </w:rPr>
        <w:instrText xml:space="preserve"> PAGEREF _Toc31034 \h </w:instrText>
      </w:r>
      <w:r>
        <w:rPr>
          <w:rFonts w:hint="default" w:ascii="仿宋" w:hAnsi="仿宋" w:eastAsia="仿宋" w:cs="Times New Roman"/>
          <w:kern w:val="2"/>
          <w:sz w:val="28"/>
          <w:szCs w:val="28"/>
          <w:lang w:val="en-US" w:eastAsia="zh-CN" w:bidi="ar-SA"/>
        </w:rPr>
        <w:fldChar w:fldCharType="separate"/>
      </w:r>
      <w:r>
        <w:rPr>
          <w:rFonts w:hint="default" w:ascii="仿宋" w:hAnsi="仿宋" w:eastAsia="仿宋" w:cs="Times New Roman"/>
          <w:kern w:val="2"/>
          <w:sz w:val="28"/>
          <w:szCs w:val="28"/>
          <w:lang w:val="en-US" w:eastAsia="zh-CN" w:bidi="ar-SA"/>
        </w:rPr>
        <w:t xml:space="preserve">- </w:t>
      </w:r>
      <w:r>
        <w:rPr>
          <w:rFonts w:hint="eastAsia" w:ascii="仿宋" w:hAnsi="仿宋" w:eastAsia="仿宋" w:cs="Times New Roman"/>
          <w:kern w:val="2"/>
          <w:sz w:val="28"/>
          <w:szCs w:val="28"/>
          <w:lang w:val="en-US" w:eastAsia="zh-CN" w:bidi="ar-SA"/>
        </w:rPr>
        <w:t>15</w:t>
      </w:r>
      <w:r>
        <w:rPr>
          <w:rFonts w:hint="default" w:ascii="仿宋" w:hAnsi="仿宋" w:eastAsia="仿宋" w:cs="Times New Roman"/>
          <w:kern w:val="2"/>
          <w:sz w:val="28"/>
          <w:szCs w:val="28"/>
          <w:lang w:val="en-US" w:eastAsia="zh-CN" w:bidi="ar-SA"/>
        </w:rPr>
        <w:t xml:space="preserve"> -</w:t>
      </w:r>
      <w:r>
        <w:rPr>
          <w:rFonts w:hint="default" w:ascii="仿宋" w:hAnsi="仿宋" w:eastAsia="仿宋" w:cs="Times New Roman"/>
          <w:kern w:val="2"/>
          <w:sz w:val="28"/>
          <w:szCs w:val="28"/>
          <w:lang w:val="en-US" w:eastAsia="zh-CN" w:bidi="ar-SA"/>
        </w:rPr>
        <w:fldChar w:fldCharType="end"/>
      </w:r>
    </w:p>
    <w:p w14:paraId="7399DB20">
      <w:pPr>
        <w:pStyle w:val="12"/>
        <w:tabs>
          <w:tab w:val="right" w:leader="dot" w:pos="8306"/>
          <w:tab w:val="clear" w:pos="8296"/>
        </w:tabs>
        <w:jc w:val="both"/>
      </w:pPr>
      <w:r>
        <w:fldChar w:fldCharType="begin"/>
      </w:r>
      <w:r>
        <w:instrText xml:space="preserve"> HYPERLINK \l _Toc31034 </w:instrText>
      </w:r>
      <w:r>
        <w:fldChar w:fldCharType="separate"/>
      </w:r>
      <w:r>
        <w:rPr>
          <w:rFonts w:hint="eastAsia" w:ascii="方正小标宋简体" w:hAnsi="方正小标宋简体" w:eastAsia="方正小标宋简体" w:cs="方正小标宋简体"/>
          <w:lang w:val="en-US" w:eastAsia="zh-CN"/>
        </w:rPr>
        <w:t>第五部分  附表</w:t>
      </w:r>
      <w:r>
        <w:tab/>
      </w:r>
      <w:r>
        <w:fldChar w:fldCharType="begin"/>
      </w:r>
      <w:r>
        <w:instrText xml:space="preserve"> PAGEREF _Toc31034 \h </w:instrText>
      </w:r>
      <w:r>
        <w:fldChar w:fldCharType="separate"/>
      </w:r>
      <w:r>
        <w:t xml:space="preserve">- </w:t>
      </w:r>
      <w:r>
        <w:rPr>
          <w:rFonts w:hint="eastAsia"/>
          <w:lang w:val="en-US" w:eastAsia="zh-CN"/>
        </w:rPr>
        <w:t>24</w:t>
      </w:r>
      <w:r>
        <w:t xml:space="preserve"> -</w:t>
      </w:r>
      <w:r>
        <w:fldChar w:fldCharType="end"/>
      </w:r>
      <w:r>
        <w:fldChar w:fldCharType="end"/>
      </w:r>
    </w:p>
    <w:p w14:paraId="526FD29B"/>
    <w:p w14:paraId="20A681B8">
      <w:pPr>
        <w:pStyle w:val="2"/>
      </w:pPr>
    </w:p>
    <w:p w14:paraId="6E8BE59E">
      <w:pPr>
        <w:pStyle w:val="30"/>
        <w:pageBreakBefore w:val="0"/>
        <w:kinsoku/>
        <w:wordWrap/>
        <w:overflowPunct/>
        <w:topLinePunct w:val="0"/>
        <w:autoSpaceDE/>
        <w:autoSpaceDN/>
        <w:bidi w:val="0"/>
        <w:spacing w:line="576" w:lineRule="exact"/>
        <w:ind w:firstLine="420" w:firstLineChars="200"/>
        <w:jc w:val="center"/>
        <w:textAlignment w:val="auto"/>
        <w:outlineLvl w:val="1"/>
        <w:rPr>
          <w:rFonts w:hint="default" w:ascii="Times New Roman" w:hAnsi="Times New Roman" w:eastAsia="方正小标宋简体" w:cs="Times New Roman"/>
          <w:b w:val="0"/>
          <w:bCs/>
          <w:kern w:val="44"/>
          <w:sz w:val="44"/>
          <w:szCs w:val="44"/>
          <w:lang w:val="en-US" w:eastAsia="zh-CN" w:bidi="ar-SA"/>
        </w:rPr>
      </w:pPr>
      <w:r>
        <w:fldChar w:fldCharType="end"/>
      </w:r>
      <w:bookmarkStart w:id="14" w:name="_Toc23743"/>
      <w:r>
        <w:rPr>
          <w:rFonts w:hint="default" w:ascii="Times New Roman" w:hAnsi="Times New Roman" w:eastAsia="方正小标宋简体" w:cs="Times New Roman"/>
          <w:b w:val="0"/>
          <w:bCs/>
          <w:kern w:val="44"/>
          <w:sz w:val="44"/>
          <w:szCs w:val="44"/>
          <w:lang w:val="en-US" w:eastAsia="zh-CN" w:bidi="ar-SA"/>
        </w:rPr>
        <w:t>第一部分  部门概况</w:t>
      </w:r>
      <w:bookmarkEnd w:id="12"/>
      <w:bookmarkEnd w:id="13"/>
      <w:bookmarkEnd w:id="14"/>
    </w:p>
    <w:p w14:paraId="77367542">
      <w:pPr>
        <w:pStyle w:val="30"/>
        <w:pageBreakBefore w:val="0"/>
        <w:kinsoku/>
        <w:wordWrap/>
        <w:overflowPunct/>
        <w:topLinePunct w:val="0"/>
        <w:autoSpaceDE/>
        <w:autoSpaceDN/>
        <w:bidi w:val="0"/>
        <w:spacing w:line="576" w:lineRule="exact"/>
        <w:ind w:firstLine="640" w:firstLineChars="200"/>
        <w:textAlignment w:val="auto"/>
        <w:outlineLvl w:val="1"/>
        <w:rPr>
          <w:rFonts w:hint="default" w:ascii="Times New Roman" w:hAnsi="Times New Roman" w:eastAsia="黑体" w:cs="Times New Roman"/>
          <w:sz w:val="32"/>
          <w:szCs w:val="32"/>
        </w:rPr>
      </w:pPr>
      <w:bookmarkStart w:id="15" w:name="_Toc8303"/>
      <w:r>
        <w:rPr>
          <w:rFonts w:hint="default" w:ascii="Times New Roman" w:hAnsi="Times New Roman" w:eastAsia="黑体" w:cs="Times New Roman"/>
          <w:sz w:val="32"/>
          <w:szCs w:val="32"/>
          <w:lang w:val="en-US" w:eastAsia="zh-CN"/>
        </w:rPr>
        <w:t>一 、</w:t>
      </w:r>
      <w:r>
        <w:rPr>
          <w:rFonts w:hint="default" w:ascii="Times New Roman" w:hAnsi="Times New Roman" w:eastAsia="黑体" w:cs="Times New Roman"/>
          <w:sz w:val="32"/>
          <w:szCs w:val="32"/>
        </w:rPr>
        <w:t>部门职责</w:t>
      </w:r>
      <w:bookmarkEnd w:id="15"/>
    </w:p>
    <w:p w14:paraId="6B1D0964">
      <w:pPr>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根据阿委办发（2001）59号、阿编发〔2019〕94号文件规定，州委老干部局主要职能职责：一是贯彻执行党中央、国务院关于老干部工作的方针、政策和省、州有关规定，对全州老十部工作进行指导、协调、督促、检查；负责调查研究，提出老干部工作的有关政策性意见或建议，为州委、州政府决策提供依据；会同有关部门解决老干部和老干部工作中的有关问题。二是指导和承办离休干部和副州级以上退休干部的安置、管理、服务工作；负责副县（处）级以上退休干部的管理工作；负责离（退）休干部党支部建设，做好离退休干部政治思想工作；负责离退休干部活动中心（馆、室）建设，组织开展各种健康有益文明科学的活动，充分发挥老同志的政治优势，为我州政治文明、物质文明和精神文明建设，提供坚定支撑，推动跨越发展和长治久安做贡献。三是负责在重大节日组织走访慰问老干部工作。组织开展特殊困难离（退）休干部帮扶工作，组织指导易地安置离退休干部工作。四是做好医疗保健工作。经常了解和掌握离、退休干部的健康状况，协助有关单位处理好离休干部和副县级及其以上退休干部的丧葬事宜。了解、反映老干部及其遗属的有关情况。五是抓好工作部门自身建设。加强州级各系统及各县，州属成都、郫县、都江堰、马尔康六个干休所的管理、督促、指导、检查。六是负责直属干休所人事任免、人员调整、退休手续的报批、奖惩、人员编制的管理工作。七是负责全州关心下一代相关工作，并承担关心下一代工作委员会日常工作。八是完成州委和州委组织部交办的其他任务。</w:t>
      </w:r>
    </w:p>
    <w:p w14:paraId="020F2A88">
      <w:pPr>
        <w:pStyle w:val="30"/>
        <w:pageBreakBefore w:val="0"/>
        <w:kinsoku/>
        <w:wordWrap/>
        <w:overflowPunct/>
        <w:topLinePunct w:val="0"/>
        <w:autoSpaceDE/>
        <w:autoSpaceDN/>
        <w:bidi w:val="0"/>
        <w:spacing w:line="576" w:lineRule="exact"/>
        <w:ind w:firstLine="640" w:firstLineChars="200"/>
        <w:textAlignment w:val="auto"/>
        <w:outlineLvl w:val="1"/>
        <w:rPr>
          <w:rFonts w:hint="default" w:ascii="Times New Roman" w:hAnsi="Times New Roman" w:eastAsia="黑体" w:cs="Times New Roman"/>
          <w:sz w:val="32"/>
          <w:szCs w:val="32"/>
        </w:rPr>
      </w:pPr>
      <w:bookmarkStart w:id="16" w:name="_Toc15377200"/>
      <w:bookmarkStart w:id="17" w:name="_Toc17417"/>
      <w:bookmarkStart w:id="18" w:name="_Toc15396601"/>
      <w:r>
        <w:rPr>
          <w:rFonts w:hint="default" w:ascii="Times New Roman" w:hAnsi="Times New Roman" w:eastAsia="黑体" w:cs="Times New Roman"/>
          <w:sz w:val="32"/>
          <w:szCs w:val="32"/>
        </w:rPr>
        <w:t>二、机构设置</w:t>
      </w:r>
      <w:bookmarkEnd w:id="16"/>
      <w:bookmarkEnd w:id="17"/>
      <w:bookmarkEnd w:id="18"/>
    </w:p>
    <w:p w14:paraId="5ADF914B">
      <w:pPr>
        <w:pageBreakBefore w:val="0"/>
        <w:widowControl w:val="0"/>
        <w:kinsoku/>
        <w:wordWrap/>
        <w:overflowPunct/>
        <w:topLinePunct w:val="0"/>
        <w:autoSpaceDE/>
        <w:autoSpaceDN/>
        <w:bidi w:val="0"/>
        <w:snapToGrid w:val="0"/>
        <w:spacing w:line="560" w:lineRule="exact"/>
        <w:ind w:firstLine="640" w:firstLineChars="200"/>
        <w:textAlignment w:val="auto"/>
        <w:rPr>
          <w:rFonts w:hint="default" w:ascii="Times New Roman" w:hAnsi="Times New Roman" w:cs="Times New Roman"/>
          <w:sz w:val="32"/>
          <w:szCs w:val="32"/>
        </w:rPr>
      </w:pPr>
      <w:r>
        <w:rPr>
          <w:rFonts w:hint="default" w:ascii="Times New Roman" w:hAnsi="Times New Roman" w:eastAsia="仿宋_GB2312" w:cs="Times New Roman"/>
          <w:sz w:val="32"/>
          <w:szCs w:val="32"/>
        </w:rPr>
        <w:t>纳入本套决算编制范围的独立编制机构数8个，比上年增加0个，独立核算机构数共7个，比上年增加 0个。</w:t>
      </w:r>
      <w:r>
        <w:rPr>
          <w:rFonts w:hint="default" w:ascii="Times New Roman" w:hAnsi="Times New Roman" w:eastAsia="方正仿宋_GBK" w:cs="Times New Roman"/>
          <w:sz w:val="32"/>
          <w:szCs w:val="32"/>
          <w:lang w:val="en-US" w:eastAsia="zh-CN"/>
        </w:rPr>
        <w:t>包括：</w:t>
      </w:r>
      <w:bookmarkStart w:id="19" w:name="_Toc15306276"/>
      <w:bookmarkStart w:id="20" w:name="_Toc15377202"/>
      <w:bookmarkStart w:id="21" w:name="_Toc15378449"/>
      <w:bookmarkStart w:id="22" w:name="_Toc15377433"/>
      <w:bookmarkStart w:id="23" w:name="_Toc3624"/>
      <w:r>
        <w:rPr>
          <w:rFonts w:hint="default" w:ascii="Times New Roman" w:hAnsi="Times New Roman" w:cs="Times New Roman"/>
          <w:sz w:val="32"/>
          <w:szCs w:val="32"/>
          <w:lang w:val="en-US" w:eastAsia="zh-CN"/>
        </w:rPr>
        <w:t>州委老干部局</w:t>
      </w:r>
      <w:bookmarkEnd w:id="19"/>
      <w:bookmarkEnd w:id="20"/>
      <w:bookmarkEnd w:id="21"/>
      <w:bookmarkEnd w:id="22"/>
      <w:bookmarkStart w:id="24" w:name="_Toc15378450"/>
      <w:bookmarkStart w:id="25" w:name="_Toc15377434"/>
      <w:bookmarkStart w:id="26" w:name="_Toc15377203"/>
      <w:bookmarkStart w:id="27" w:name="_Toc15306277"/>
      <w:r>
        <w:rPr>
          <w:rFonts w:hint="eastAsia" w:cs="Times New Roman"/>
          <w:sz w:val="32"/>
          <w:szCs w:val="32"/>
          <w:lang w:val="en-US" w:eastAsia="zh-CN"/>
        </w:rPr>
        <w:t>机关</w:t>
      </w:r>
      <w:r>
        <w:rPr>
          <w:rFonts w:hint="default" w:ascii="Times New Roman" w:hAnsi="Times New Roman" w:cs="Times New Roman"/>
          <w:sz w:val="32"/>
          <w:szCs w:val="32"/>
          <w:lang w:val="en-US" w:eastAsia="zh-CN"/>
        </w:rPr>
        <w:t>、成都干休所</w:t>
      </w:r>
      <w:bookmarkEnd w:id="24"/>
      <w:bookmarkEnd w:id="25"/>
      <w:bookmarkEnd w:id="26"/>
      <w:bookmarkEnd w:id="27"/>
      <w:r>
        <w:rPr>
          <w:rFonts w:hint="default" w:ascii="Times New Roman" w:hAnsi="Times New Roman" w:cs="Times New Roman"/>
          <w:sz w:val="32"/>
          <w:szCs w:val="32"/>
          <w:lang w:val="en-US" w:eastAsia="zh-CN"/>
        </w:rPr>
        <w:t>、郫县离休干休所、郫都区休养所、都江堰老干部休养所、阿坝州州级机关退休干部驻都江堰市休养所、马尔康干休所。</w:t>
      </w:r>
      <w:bookmarkEnd w:id="23"/>
    </w:p>
    <w:p w14:paraId="36D8F0BF">
      <w:pPr>
        <w:pStyle w:val="4"/>
        <w:pageBreakBefore w:val="0"/>
        <w:widowControl w:val="0"/>
        <w:kinsoku/>
        <w:wordWrap/>
        <w:overflowPunct/>
        <w:topLinePunct w:val="0"/>
        <w:autoSpaceDE/>
        <w:autoSpaceDN/>
        <w:bidi w:val="0"/>
        <w:spacing w:line="560" w:lineRule="exact"/>
        <w:ind w:firstLine="880" w:firstLineChars="200"/>
        <w:jc w:val="center"/>
        <w:textAlignment w:val="auto"/>
        <w:rPr>
          <w:rFonts w:hint="default" w:ascii="Times New Roman" w:hAnsi="Times New Roman" w:eastAsia="方正小标宋简体" w:cs="Times New Roman"/>
          <w:b w:val="0"/>
        </w:rPr>
      </w:pPr>
      <w:bookmarkStart w:id="28" w:name="_Toc15377204"/>
      <w:bookmarkStart w:id="29" w:name="_Toc15396602"/>
    </w:p>
    <w:p w14:paraId="1D6A0D4E">
      <w:pPr>
        <w:pageBreakBefore w:val="0"/>
        <w:widowControl w:val="0"/>
        <w:kinsoku/>
        <w:wordWrap/>
        <w:overflowPunct/>
        <w:topLinePunct w:val="0"/>
        <w:autoSpaceDE/>
        <w:autoSpaceDN/>
        <w:bidi w:val="0"/>
        <w:spacing w:line="560" w:lineRule="exact"/>
        <w:textAlignment w:val="auto"/>
        <w:rPr>
          <w:rFonts w:hint="default" w:ascii="Times New Roman" w:hAnsi="Times New Roman" w:eastAsia="方正小标宋简体" w:cs="Times New Roman"/>
          <w:b w:val="0"/>
        </w:rPr>
      </w:pPr>
    </w:p>
    <w:p w14:paraId="187F9C1C">
      <w:pPr>
        <w:pStyle w:val="7"/>
        <w:pageBreakBefore w:val="0"/>
        <w:widowControl w:val="0"/>
        <w:kinsoku/>
        <w:wordWrap/>
        <w:overflowPunct/>
        <w:topLinePunct w:val="0"/>
        <w:autoSpaceDE/>
        <w:autoSpaceDN/>
        <w:bidi w:val="0"/>
        <w:spacing w:line="560" w:lineRule="exact"/>
        <w:textAlignment w:val="auto"/>
        <w:rPr>
          <w:rFonts w:hint="default" w:ascii="Times New Roman" w:hAnsi="Times New Roman" w:eastAsia="方正小标宋简体" w:cs="Times New Roman"/>
          <w:b w:val="0"/>
        </w:rPr>
      </w:pPr>
    </w:p>
    <w:p w14:paraId="5017BCC4">
      <w:pPr>
        <w:pStyle w:val="7"/>
        <w:pageBreakBefore w:val="0"/>
        <w:widowControl w:val="0"/>
        <w:kinsoku/>
        <w:wordWrap/>
        <w:overflowPunct/>
        <w:topLinePunct w:val="0"/>
        <w:autoSpaceDE/>
        <w:autoSpaceDN/>
        <w:bidi w:val="0"/>
        <w:spacing w:line="560" w:lineRule="exact"/>
        <w:textAlignment w:val="auto"/>
        <w:rPr>
          <w:rFonts w:hint="default" w:ascii="Times New Roman" w:hAnsi="Times New Roman" w:eastAsia="方正小标宋简体" w:cs="Times New Roman"/>
          <w:b w:val="0"/>
        </w:rPr>
      </w:pPr>
    </w:p>
    <w:p w14:paraId="3DB04A81">
      <w:pPr>
        <w:pStyle w:val="7"/>
        <w:pageBreakBefore w:val="0"/>
        <w:widowControl w:val="0"/>
        <w:kinsoku/>
        <w:wordWrap/>
        <w:overflowPunct/>
        <w:topLinePunct w:val="0"/>
        <w:autoSpaceDE/>
        <w:autoSpaceDN/>
        <w:bidi w:val="0"/>
        <w:spacing w:line="560" w:lineRule="exact"/>
        <w:textAlignment w:val="auto"/>
        <w:rPr>
          <w:rFonts w:hint="default" w:ascii="Times New Roman" w:hAnsi="Times New Roman" w:eastAsia="方正小标宋简体" w:cs="Times New Roman"/>
          <w:b w:val="0"/>
        </w:rPr>
      </w:pPr>
    </w:p>
    <w:p w14:paraId="7B585F77">
      <w:pPr>
        <w:pStyle w:val="7"/>
        <w:pageBreakBefore w:val="0"/>
        <w:widowControl w:val="0"/>
        <w:kinsoku/>
        <w:wordWrap/>
        <w:overflowPunct/>
        <w:topLinePunct w:val="0"/>
        <w:autoSpaceDE/>
        <w:autoSpaceDN/>
        <w:bidi w:val="0"/>
        <w:spacing w:line="560" w:lineRule="exact"/>
        <w:textAlignment w:val="auto"/>
        <w:rPr>
          <w:rFonts w:hint="default" w:ascii="Times New Roman" w:hAnsi="Times New Roman" w:eastAsia="方正小标宋简体" w:cs="Times New Roman"/>
          <w:b w:val="0"/>
        </w:rPr>
      </w:pPr>
    </w:p>
    <w:p w14:paraId="6004A383">
      <w:pPr>
        <w:pStyle w:val="7"/>
        <w:pageBreakBefore w:val="0"/>
        <w:widowControl w:val="0"/>
        <w:kinsoku/>
        <w:wordWrap/>
        <w:overflowPunct/>
        <w:topLinePunct w:val="0"/>
        <w:autoSpaceDE/>
        <w:autoSpaceDN/>
        <w:bidi w:val="0"/>
        <w:spacing w:line="560" w:lineRule="exact"/>
        <w:textAlignment w:val="auto"/>
        <w:rPr>
          <w:rFonts w:hint="default" w:ascii="Times New Roman" w:hAnsi="Times New Roman" w:eastAsia="方正小标宋简体" w:cs="Times New Roman"/>
          <w:b w:val="0"/>
        </w:rPr>
      </w:pPr>
    </w:p>
    <w:p w14:paraId="4BF8FD46">
      <w:pPr>
        <w:pStyle w:val="7"/>
        <w:pageBreakBefore w:val="0"/>
        <w:widowControl w:val="0"/>
        <w:kinsoku/>
        <w:wordWrap/>
        <w:overflowPunct/>
        <w:topLinePunct w:val="0"/>
        <w:autoSpaceDE/>
        <w:autoSpaceDN/>
        <w:bidi w:val="0"/>
        <w:spacing w:line="560" w:lineRule="exact"/>
        <w:textAlignment w:val="auto"/>
        <w:rPr>
          <w:rFonts w:hint="default" w:ascii="Times New Roman" w:hAnsi="Times New Roman" w:eastAsia="方正小标宋简体" w:cs="Times New Roman"/>
          <w:b w:val="0"/>
        </w:rPr>
      </w:pPr>
    </w:p>
    <w:p w14:paraId="12640B1A">
      <w:pPr>
        <w:pStyle w:val="7"/>
        <w:pageBreakBefore w:val="0"/>
        <w:widowControl w:val="0"/>
        <w:kinsoku/>
        <w:wordWrap/>
        <w:overflowPunct/>
        <w:topLinePunct w:val="0"/>
        <w:autoSpaceDE/>
        <w:autoSpaceDN/>
        <w:bidi w:val="0"/>
        <w:spacing w:line="560" w:lineRule="exact"/>
        <w:textAlignment w:val="auto"/>
        <w:rPr>
          <w:rFonts w:hint="default" w:ascii="Times New Roman" w:hAnsi="Times New Roman" w:eastAsia="方正小标宋简体" w:cs="Times New Roman"/>
          <w:b w:val="0"/>
        </w:rPr>
      </w:pPr>
    </w:p>
    <w:p w14:paraId="6B57631A">
      <w:pPr>
        <w:pStyle w:val="4"/>
        <w:pageBreakBefore w:val="0"/>
        <w:kinsoku/>
        <w:wordWrap/>
        <w:overflowPunct/>
        <w:topLinePunct w:val="0"/>
        <w:autoSpaceDE/>
        <w:autoSpaceDN/>
        <w:bidi w:val="0"/>
        <w:spacing w:line="576" w:lineRule="exact"/>
        <w:ind w:firstLine="880" w:firstLineChars="200"/>
        <w:jc w:val="center"/>
        <w:textAlignment w:val="auto"/>
        <w:rPr>
          <w:rFonts w:hint="default" w:ascii="Times New Roman" w:hAnsi="Times New Roman" w:cs="Times New Roman"/>
        </w:rPr>
      </w:pPr>
      <w:bookmarkStart w:id="30" w:name="_Toc20020"/>
      <w:r>
        <w:rPr>
          <w:rFonts w:hint="default" w:ascii="Times New Roman" w:hAnsi="Times New Roman" w:eastAsia="方正小标宋简体" w:cs="Times New Roman"/>
          <w:b w:val="0"/>
        </w:rPr>
        <w:t>第二部分 2024年度部门决算情况说明</w:t>
      </w:r>
      <w:bookmarkEnd w:id="28"/>
      <w:bookmarkEnd w:id="29"/>
      <w:bookmarkEnd w:id="30"/>
    </w:p>
    <w:p w14:paraId="61C442B7">
      <w:pPr>
        <w:pStyle w:val="30"/>
        <w:pageBreakBefore w:val="0"/>
        <w:kinsoku/>
        <w:wordWrap/>
        <w:overflowPunct/>
        <w:topLinePunct w:val="0"/>
        <w:autoSpaceDE/>
        <w:autoSpaceDN/>
        <w:bidi w:val="0"/>
        <w:spacing w:line="576" w:lineRule="exact"/>
        <w:ind w:firstLine="640" w:firstLineChars="200"/>
        <w:textAlignment w:val="auto"/>
        <w:outlineLvl w:val="1"/>
        <w:rPr>
          <w:rStyle w:val="32"/>
          <w:rFonts w:hint="default" w:ascii="Times New Roman" w:hAnsi="Times New Roman" w:eastAsia="黑体" w:cs="Times New Roman"/>
          <w:b w:val="0"/>
        </w:rPr>
      </w:pPr>
      <w:bookmarkStart w:id="31" w:name="_Toc15377205"/>
      <w:bookmarkStart w:id="32" w:name="_Toc15396603"/>
      <w:bookmarkStart w:id="33" w:name="_Toc15177"/>
      <w:r>
        <w:rPr>
          <w:rFonts w:hint="default" w:ascii="Times New Roman" w:hAnsi="Times New Roman" w:eastAsia="黑体" w:cs="Times New Roman"/>
          <w:sz w:val="32"/>
          <w:szCs w:val="32"/>
        </w:rPr>
        <w:t>一、收</w:t>
      </w:r>
      <w:r>
        <w:rPr>
          <w:rStyle w:val="32"/>
          <w:rFonts w:hint="default" w:ascii="Times New Roman" w:hAnsi="Times New Roman" w:eastAsia="黑体" w:cs="Times New Roman"/>
          <w:b w:val="0"/>
        </w:rPr>
        <w:t>入支出决算总体情况说明</w:t>
      </w:r>
      <w:bookmarkEnd w:id="31"/>
      <w:bookmarkEnd w:id="32"/>
      <w:bookmarkEnd w:id="33"/>
    </w:p>
    <w:p w14:paraId="02B2E5B1">
      <w:pPr>
        <w:pageBreakBefore w:val="0"/>
        <w:kinsoku/>
        <w:wordWrap/>
        <w:overflowPunct/>
        <w:topLinePunct w:val="0"/>
        <w:autoSpaceDE/>
        <w:autoSpaceDN/>
        <w:bidi w:val="0"/>
        <w:spacing w:line="576" w:lineRule="exact"/>
        <w:ind w:firstLine="640" w:firstLineChars="200"/>
        <w:textAlignment w:val="auto"/>
        <w:rPr>
          <w:rFonts w:hint="default" w:ascii="Times New Roman" w:hAnsi="Times New Roman" w:eastAsia="黑体" w:cs="Times New Roman"/>
          <w:sz w:val="32"/>
          <w:szCs w:val="32"/>
        </w:rPr>
      </w:pPr>
      <w:r>
        <w:rPr>
          <w:rFonts w:hint="eastAsia" w:eastAsia="仿宋" w:cs="Times New Roman"/>
          <w:sz w:val="32"/>
          <w:szCs w:val="32"/>
          <w:lang w:val="en-US" w:eastAsia="zh-CN"/>
        </w:rPr>
        <w:t>中共阿坝州委老干部局（部门）</w:t>
      </w:r>
      <w:r>
        <w:rPr>
          <w:rFonts w:hint="default" w:ascii="Times New Roman" w:hAnsi="Times New Roman" w:eastAsia="仿宋" w:cs="Times New Roman"/>
          <w:sz w:val="32"/>
          <w:szCs w:val="32"/>
        </w:rPr>
        <w:t>2024年</w:t>
      </w:r>
      <w:r>
        <w:rPr>
          <w:rFonts w:hint="default" w:ascii="Times New Roman" w:hAnsi="Times New Roman" w:eastAsia="仿宋_GB2312" w:cs="Times New Roman"/>
          <w:sz w:val="32"/>
          <w:szCs w:val="32"/>
        </w:rPr>
        <w:t>收入、支出总计</w:t>
      </w:r>
      <w:r>
        <w:rPr>
          <w:rFonts w:hint="eastAsia" w:eastAsia="仿宋" w:cs="Times New Roman"/>
          <w:sz w:val="32"/>
          <w:szCs w:val="32"/>
          <w:lang w:val="en-US" w:eastAsia="zh-CN"/>
        </w:rPr>
        <w:t>3012.65</w:t>
      </w:r>
      <w:r>
        <w:rPr>
          <w:rFonts w:hint="default" w:ascii="Times New Roman" w:hAnsi="Times New Roman" w:eastAsia="仿宋" w:cs="Times New Roman"/>
          <w:sz w:val="32"/>
          <w:szCs w:val="32"/>
        </w:rPr>
        <w:t>万元</w:t>
      </w:r>
      <w:r>
        <w:rPr>
          <w:rFonts w:hint="default" w:ascii="Times New Roman" w:hAnsi="Times New Roman" w:eastAsia="仿宋_GB2312" w:cs="Times New Roman"/>
          <w:sz w:val="32"/>
          <w:szCs w:val="32"/>
        </w:rPr>
        <w:t>，</w:t>
      </w:r>
      <w:r>
        <w:rPr>
          <w:rFonts w:hint="default" w:ascii="Times New Roman" w:hAnsi="Times New Roman" w:eastAsia="仿宋" w:cs="Times New Roman"/>
          <w:sz w:val="32"/>
          <w:szCs w:val="32"/>
        </w:rPr>
        <w:t>较2023年</w:t>
      </w:r>
      <w:r>
        <w:rPr>
          <w:rFonts w:hint="eastAsia" w:eastAsia="仿宋" w:cs="Times New Roman"/>
          <w:sz w:val="32"/>
          <w:szCs w:val="32"/>
          <w:lang w:val="en-US" w:eastAsia="zh-CN"/>
        </w:rPr>
        <w:t>度</w:t>
      </w:r>
      <w:r>
        <w:rPr>
          <w:rFonts w:hint="default" w:ascii="Times New Roman" w:hAnsi="Times New Roman" w:eastAsia="仿宋_GB2312" w:cs="Times New Roman"/>
          <w:sz w:val="32"/>
          <w:szCs w:val="32"/>
        </w:rPr>
        <w:t>财政拨款收入、支出总计</w:t>
      </w:r>
      <w:r>
        <w:rPr>
          <w:rFonts w:hint="eastAsia" w:eastAsia="仿宋" w:cs="Times New Roman"/>
          <w:sz w:val="32"/>
          <w:szCs w:val="32"/>
          <w:lang w:val="en-US" w:eastAsia="zh-CN"/>
        </w:rPr>
        <w:t>2893.81万元，</w:t>
      </w:r>
      <w:r>
        <w:rPr>
          <w:rFonts w:hint="default" w:ascii="Times New Roman" w:hAnsi="Times New Roman" w:eastAsia="仿宋_GB2312" w:cs="Times New Roman"/>
          <w:sz w:val="32"/>
          <w:szCs w:val="32"/>
        </w:rPr>
        <w:t>各增加</w:t>
      </w:r>
      <w:r>
        <w:rPr>
          <w:rFonts w:hint="eastAsia" w:eastAsia="仿宋" w:cs="Times New Roman"/>
          <w:sz w:val="32"/>
          <w:szCs w:val="32"/>
          <w:lang w:val="en-US" w:eastAsia="zh-CN"/>
        </w:rPr>
        <w:t>118.84</w:t>
      </w:r>
      <w:r>
        <w:rPr>
          <w:rFonts w:hint="default" w:ascii="Times New Roman" w:hAnsi="Times New Roman" w:eastAsia="仿宋_GB2312" w:cs="Times New Roman"/>
          <w:sz w:val="32"/>
          <w:szCs w:val="32"/>
        </w:rPr>
        <w:t>万元，增长</w:t>
      </w:r>
      <w:r>
        <w:rPr>
          <w:rFonts w:hint="eastAsia" w:eastAsia="仿宋" w:cs="Times New Roman"/>
          <w:sz w:val="32"/>
          <w:szCs w:val="32"/>
          <w:lang w:val="en-US" w:eastAsia="zh-CN"/>
        </w:rPr>
        <w:t>4.96</w:t>
      </w:r>
      <w:r>
        <w:rPr>
          <w:rFonts w:hint="default" w:ascii="Times New Roman" w:hAnsi="Times New Roman" w:eastAsia="仿宋" w:cs="Times New Roman"/>
          <w:sz w:val="32"/>
          <w:szCs w:val="32"/>
        </w:rPr>
        <w:t>%</w:t>
      </w:r>
      <w:r>
        <w:rPr>
          <w:rFonts w:hint="default" w:ascii="Times New Roman" w:hAnsi="Times New Roman" w:eastAsia="仿宋_GB2312" w:cs="Times New Roman"/>
          <w:sz w:val="32"/>
          <w:szCs w:val="32"/>
        </w:rPr>
        <w:t>。</w:t>
      </w:r>
      <w:r>
        <w:rPr>
          <w:rFonts w:hint="eastAsia" w:eastAsia="仿宋_GB2312" w:cs="Times New Roman"/>
          <w:sz w:val="32"/>
          <w:szCs w:val="32"/>
          <w:lang w:val="en-US" w:eastAsia="zh-CN"/>
        </w:rPr>
        <w:t>2024年度其他收入、支出总计为21.5万元，</w:t>
      </w:r>
      <w:r>
        <w:rPr>
          <w:rFonts w:hint="default" w:ascii="Times New Roman" w:hAnsi="Times New Roman" w:eastAsia="仿宋" w:cs="Times New Roman"/>
          <w:sz w:val="32"/>
          <w:szCs w:val="32"/>
        </w:rPr>
        <w:t>较2023年</w:t>
      </w:r>
      <w:r>
        <w:rPr>
          <w:rFonts w:hint="eastAsia" w:eastAsia="仿宋" w:cs="Times New Roman"/>
          <w:sz w:val="32"/>
          <w:szCs w:val="32"/>
          <w:lang w:val="en-US" w:eastAsia="zh-CN"/>
        </w:rPr>
        <w:t>度</w:t>
      </w:r>
      <w:r>
        <w:rPr>
          <w:rFonts w:hint="eastAsia" w:eastAsia="仿宋_GB2312" w:cs="Times New Roman"/>
          <w:sz w:val="32"/>
          <w:szCs w:val="32"/>
          <w:lang w:val="en-US" w:eastAsia="zh-CN"/>
        </w:rPr>
        <w:t>其他收入、支出17.14万元</w:t>
      </w:r>
      <w:r>
        <w:rPr>
          <w:rFonts w:hint="default" w:ascii="Times New Roman" w:hAnsi="Times New Roman" w:eastAsia="仿宋_GB2312" w:cs="Times New Roman"/>
          <w:sz w:val="32"/>
          <w:szCs w:val="32"/>
        </w:rPr>
        <w:t>各增加</w:t>
      </w:r>
      <w:r>
        <w:rPr>
          <w:rFonts w:hint="eastAsia" w:eastAsia="仿宋_GB2312" w:cs="Times New Roman"/>
          <w:sz w:val="32"/>
          <w:szCs w:val="32"/>
          <w:lang w:val="en-US" w:eastAsia="zh-CN"/>
        </w:rPr>
        <w:t>4</w:t>
      </w:r>
      <w:r>
        <w:rPr>
          <w:rFonts w:hint="eastAsia" w:eastAsia="仿宋" w:cs="Times New Roman"/>
          <w:sz w:val="32"/>
          <w:szCs w:val="32"/>
          <w:lang w:val="en-US" w:eastAsia="zh-CN"/>
        </w:rPr>
        <w:t>.36</w:t>
      </w:r>
      <w:r>
        <w:rPr>
          <w:rFonts w:hint="default" w:ascii="Times New Roman" w:hAnsi="Times New Roman" w:eastAsia="仿宋_GB2312" w:cs="Times New Roman"/>
          <w:sz w:val="32"/>
          <w:szCs w:val="32"/>
        </w:rPr>
        <w:t>万元，增长</w:t>
      </w:r>
      <w:r>
        <w:rPr>
          <w:rFonts w:hint="eastAsia" w:eastAsia="仿宋" w:cs="Times New Roman"/>
          <w:sz w:val="32"/>
          <w:szCs w:val="32"/>
          <w:lang w:val="en-US" w:eastAsia="zh-CN"/>
        </w:rPr>
        <w:t>25.44</w:t>
      </w:r>
      <w:r>
        <w:rPr>
          <w:rFonts w:hint="default" w:ascii="Times New Roman" w:hAnsi="Times New Roman" w:eastAsia="仿宋" w:cs="Times New Roman"/>
          <w:sz w:val="32"/>
          <w:szCs w:val="32"/>
        </w:rPr>
        <w:t>%</w:t>
      </w:r>
      <w:r>
        <w:rPr>
          <w:rFonts w:hint="default" w:ascii="Times New Roman" w:hAnsi="Times New Roman" w:eastAsia="仿宋_GB2312" w:cs="Times New Roman"/>
          <w:sz w:val="32"/>
          <w:szCs w:val="32"/>
        </w:rPr>
        <w:t>。</w:t>
      </w:r>
      <w:r>
        <w:rPr>
          <w:rFonts w:hint="default" w:ascii="Times New Roman" w:hAnsi="Times New Roman" w:eastAsia="仿宋" w:cs="Times New Roman"/>
          <w:sz w:val="32"/>
          <w:szCs w:val="32"/>
        </w:rPr>
        <w:t>2024年</w:t>
      </w:r>
      <w:r>
        <w:rPr>
          <w:rFonts w:hint="default" w:ascii="Times New Roman" w:hAnsi="Times New Roman" w:eastAsia="仿宋_GB2312" w:cs="Times New Roman"/>
          <w:sz w:val="32"/>
          <w:szCs w:val="32"/>
        </w:rPr>
        <w:t>收入、支出</w:t>
      </w:r>
      <w:r>
        <w:rPr>
          <w:rFonts w:hint="eastAsia" w:eastAsia="仿宋_GB2312" w:cs="Times New Roman"/>
          <w:sz w:val="32"/>
          <w:szCs w:val="32"/>
          <w:lang w:val="en-US" w:eastAsia="zh-CN"/>
        </w:rPr>
        <w:t>总计变动</w:t>
      </w:r>
      <w:r>
        <w:rPr>
          <w:rFonts w:hint="default" w:ascii="Times New Roman" w:hAnsi="Times New Roman" w:eastAsia="仿宋_GB2312" w:cs="Times New Roman"/>
          <w:sz w:val="32"/>
          <w:szCs w:val="32"/>
        </w:rPr>
        <w:t>主要原因是预算调整</w:t>
      </w:r>
      <w:r>
        <w:rPr>
          <w:rFonts w:hint="default" w:ascii="Times New Roman" w:hAnsi="Times New Roman" w:eastAsia="仿宋_GB2312" w:cs="Times New Roman"/>
          <w:sz w:val="32"/>
          <w:szCs w:val="32"/>
          <w:lang w:eastAsia="zh-CN"/>
        </w:rPr>
        <w:t>。</w:t>
      </w:r>
    </w:p>
    <w:p w14:paraId="07592078">
      <w:pPr>
        <w:pStyle w:val="30"/>
        <w:pageBreakBefore w:val="0"/>
        <w:kinsoku/>
        <w:wordWrap/>
        <w:overflowPunct/>
        <w:topLinePunct w:val="0"/>
        <w:autoSpaceDE/>
        <w:autoSpaceDN/>
        <w:bidi w:val="0"/>
        <w:spacing w:line="576" w:lineRule="exact"/>
        <w:ind w:left="0" w:leftChars="0" w:firstLine="640" w:firstLineChars="200"/>
        <w:textAlignment w:val="auto"/>
        <w:outlineLvl w:val="1"/>
        <w:rPr>
          <w:rFonts w:hint="default" w:ascii="Times New Roman" w:hAnsi="Times New Roman" w:eastAsia="黑体" w:cs="Times New Roman"/>
          <w:sz w:val="32"/>
          <w:szCs w:val="32"/>
        </w:rPr>
      </w:pPr>
      <w:bookmarkStart w:id="34" w:name="_Toc15377206"/>
      <w:bookmarkStart w:id="35" w:name="_Toc31404"/>
      <w:bookmarkStart w:id="36" w:name="_Toc15396604"/>
      <w:r>
        <w:rPr>
          <w:rFonts w:hint="eastAsia" w:ascii="Times New Roman" w:hAnsi="Times New Roman" w:eastAsia="黑体" w:cs="Times New Roman"/>
          <w:sz w:val="32"/>
          <w:szCs w:val="32"/>
          <w:lang w:eastAsia="zh-CN"/>
        </w:rPr>
        <w:drawing>
          <wp:anchor distT="0" distB="0" distL="114300" distR="114300" simplePos="0" relativeHeight="251662336" behindDoc="0" locked="0" layoutInCell="1" allowOverlap="1">
            <wp:simplePos x="0" y="0"/>
            <wp:positionH relativeFrom="column">
              <wp:posOffset>419100</wp:posOffset>
            </wp:positionH>
            <wp:positionV relativeFrom="page">
              <wp:posOffset>4558030</wp:posOffset>
            </wp:positionV>
            <wp:extent cx="4677410" cy="2494280"/>
            <wp:effectExtent l="4445" t="4445" r="23495" b="15875"/>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default" w:ascii="Times New Roman" w:hAnsi="Times New Roman" w:eastAsia="黑体" w:cs="Times New Roman"/>
          <w:sz w:val="32"/>
          <w:szCs w:val="32"/>
        </w:rPr>
        <w:t>二、收入决算情况说明</w:t>
      </w:r>
      <w:bookmarkEnd w:id="34"/>
      <w:bookmarkEnd w:id="35"/>
      <w:bookmarkEnd w:id="36"/>
    </w:p>
    <w:p w14:paraId="5A195EDE">
      <w:pPr>
        <w:snapToGrid w:val="0"/>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 w:cs="Times New Roman"/>
          <w:sz w:val="32"/>
          <w:szCs w:val="32"/>
        </w:rPr>
        <w:t>2024年本年收入合计3,012.65万元，</w:t>
      </w:r>
      <w:r>
        <w:rPr>
          <w:rFonts w:hint="default" w:ascii="Times New Roman" w:hAnsi="Times New Roman" w:eastAsia="仿宋_GB2312" w:cs="Times New Roman"/>
          <w:sz w:val="32"/>
          <w:szCs w:val="32"/>
        </w:rPr>
        <w:t>其中：一般公共预算财政拨款收入2,991.15万元，占99.29%；政府性基金预算财政拨款收入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%；国有资本经营预算财政拨款收入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%；上级补助收入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%；事业收入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%；经营收入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%；附属单位上缴收入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eastAsia" w:eastAsia="仿宋_GB2312" w:cs="Times New Roman"/>
          <w:sz w:val="32"/>
          <w:szCs w:val="32"/>
          <w:lang w:val="en-US" w:eastAsia="zh-CN"/>
        </w:rPr>
        <w:t>0</w:t>
      </w:r>
      <w:r>
        <w:rPr>
          <w:rFonts w:hint="default" w:ascii="Times New Roman" w:hAnsi="Times New Roman" w:eastAsia="仿宋_GB2312" w:cs="Times New Roman"/>
          <w:sz w:val="32"/>
          <w:szCs w:val="32"/>
        </w:rPr>
        <w:t>%；其他收入21.50万元，占0.71%。</w:t>
      </w:r>
    </w:p>
    <w:p w14:paraId="06DF3FCB">
      <w:pPr>
        <w:snapToGrid w:val="0"/>
        <w:spacing w:line="520" w:lineRule="exact"/>
        <w:ind w:firstLine="420" w:firstLineChars="200"/>
        <w:rPr>
          <w:rFonts w:hint="default" w:ascii="Times New Roman" w:hAnsi="Times New Roman" w:eastAsia="黑体" w:cs="Times New Roman"/>
          <w:sz w:val="32"/>
          <w:szCs w:val="32"/>
        </w:rPr>
      </w:pPr>
      <w:r>
        <w:rPr>
          <w:rFonts w:hint="default" w:ascii="Times New Roman" w:hAnsi="Times New Roman" w:cs="Times New Roman"/>
        </w:rPr>
        <w:drawing>
          <wp:anchor distT="0" distB="0" distL="114300" distR="114300" simplePos="0" relativeHeight="251659264" behindDoc="0" locked="0" layoutInCell="1" allowOverlap="1">
            <wp:simplePos x="0" y="0"/>
            <wp:positionH relativeFrom="column">
              <wp:posOffset>457835</wp:posOffset>
            </wp:positionH>
            <wp:positionV relativeFrom="page">
              <wp:posOffset>1642745</wp:posOffset>
            </wp:positionV>
            <wp:extent cx="4215765" cy="2628900"/>
            <wp:effectExtent l="0" t="0" r="13335" b="0"/>
            <wp:wrapSquare wrapText="bothSides"/>
            <wp:docPr id="10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Picture 1"/>
                    <pic:cNvPicPr>
                      <a:picLocks noChangeAspect="1"/>
                    </pic:cNvPicPr>
                  </pic:nvPicPr>
                  <pic:blipFill>
                    <a:blip r:embed="rId9"/>
                    <a:stretch>
                      <a:fillRect/>
                    </a:stretch>
                  </pic:blipFill>
                  <pic:spPr>
                    <a:xfrm>
                      <a:off x="0" y="0"/>
                      <a:ext cx="4215765" cy="2628900"/>
                    </a:xfrm>
                    <a:prstGeom prst="rect">
                      <a:avLst/>
                    </a:prstGeom>
                  </pic:spPr>
                </pic:pic>
              </a:graphicData>
            </a:graphic>
          </wp:anchor>
        </w:drawing>
      </w:r>
    </w:p>
    <w:p w14:paraId="7E59F45A">
      <w:pPr>
        <w:snapToGrid w:val="0"/>
        <w:spacing w:line="520" w:lineRule="exact"/>
        <w:ind w:firstLine="640" w:firstLineChars="200"/>
        <w:rPr>
          <w:rFonts w:hint="default" w:ascii="Times New Roman" w:hAnsi="Times New Roman" w:eastAsia="黑体" w:cs="Times New Roman"/>
          <w:sz w:val="32"/>
          <w:szCs w:val="32"/>
        </w:rPr>
      </w:pPr>
    </w:p>
    <w:p w14:paraId="184E1419">
      <w:pPr>
        <w:snapToGrid w:val="0"/>
        <w:spacing w:line="520" w:lineRule="exact"/>
        <w:ind w:firstLine="640" w:firstLineChars="200"/>
        <w:rPr>
          <w:rFonts w:hint="default" w:ascii="Times New Roman" w:hAnsi="Times New Roman" w:eastAsia="黑体" w:cs="Times New Roman"/>
          <w:sz w:val="32"/>
          <w:szCs w:val="32"/>
        </w:rPr>
      </w:pPr>
    </w:p>
    <w:p w14:paraId="20B72F99">
      <w:pPr>
        <w:snapToGrid w:val="0"/>
        <w:spacing w:line="520" w:lineRule="exact"/>
        <w:ind w:firstLine="640" w:firstLineChars="200"/>
        <w:rPr>
          <w:rFonts w:hint="default" w:ascii="Times New Roman" w:hAnsi="Times New Roman" w:eastAsia="黑体" w:cs="Times New Roman"/>
          <w:sz w:val="32"/>
          <w:szCs w:val="32"/>
        </w:rPr>
      </w:pPr>
    </w:p>
    <w:p w14:paraId="5F5EDC2B">
      <w:pPr>
        <w:snapToGrid w:val="0"/>
        <w:spacing w:line="520" w:lineRule="exact"/>
        <w:ind w:firstLine="640" w:firstLineChars="200"/>
        <w:rPr>
          <w:rFonts w:hint="default" w:ascii="Times New Roman" w:hAnsi="Times New Roman" w:eastAsia="黑体" w:cs="Times New Roman"/>
          <w:sz w:val="32"/>
          <w:szCs w:val="32"/>
        </w:rPr>
      </w:pPr>
    </w:p>
    <w:p w14:paraId="0D49C9AF">
      <w:pPr>
        <w:snapToGrid w:val="0"/>
        <w:spacing w:line="520" w:lineRule="exact"/>
        <w:ind w:firstLine="640" w:firstLineChars="200"/>
        <w:rPr>
          <w:rFonts w:hint="default" w:ascii="Times New Roman" w:hAnsi="Times New Roman" w:eastAsia="黑体" w:cs="Times New Roman"/>
          <w:sz w:val="32"/>
          <w:szCs w:val="32"/>
        </w:rPr>
      </w:pPr>
    </w:p>
    <w:p w14:paraId="276B70C5">
      <w:pPr>
        <w:snapToGrid w:val="0"/>
        <w:spacing w:line="520" w:lineRule="exact"/>
        <w:ind w:firstLine="640" w:firstLineChars="200"/>
        <w:rPr>
          <w:rFonts w:hint="default" w:ascii="Times New Roman" w:hAnsi="Times New Roman" w:eastAsia="黑体" w:cs="Times New Roman"/>
          <w:sz w:val="32"/>
          <w:szCs w:val="32"/>
        </w:rPr>
      </w:pPr>
    </w:p>
    <w:p w14:paraId="29D22E27">
      <w:pPr>
        <w:snapToGrid w:val="0"/>
        <w:spacing w:line="520" w:lineRule="exact"/>
        <w:ind w:firstLine="640" w:firstLineChars="200"/>
        <w:rPr>
          <w:rFonts w:hint="default" w:ascii="Times New Roman" w:hAnsi="Times New Roman" w:eastAsia="黑体" w:cs="Times New Roman"/>
          <w:sz w:val="32"/>
          <w:szCs w:val="32"/>
        </w:rPr>
      </w:pPr>
    </w:p>
    <w:p w14:paraId="5D385CE4">
      <w:pPr>
        <w:snapToGrid w:val="0"/>
        <w:spacing w:line="520" w:lineRule="exact"/>
        <w:rPr>
          <w:rFonts w:hint="eastAsia" w:ascii="Times New Roman" w:hAnsi="Times New Roman" w:eastAsia="黑体" w:cs="Times New Roman"/>
          <w:sz w:val="32"/>
          <w:szCs w:val="32"/>
          <w:lang w:eastAsia="zh-CN"/>
        </w:rPr>
      </w:pPr>
    </w:p>
    <w:p w14:paraId="7D954DA0">
      <w:pPr>
        <w:snapToGrid w:val="0"/>
        <w:spacing w:line="520" w:lineRule="exact"/>
        <w:ind w:firstLine="640" w:firstLineChars="200"/>
        <w:rPr>
          <w:rStyle w:val="32"/>
          <w:rFonts w:hint="default" w:ascii="Times New Roman" w:hAnsi="Times New Roman" w:eastAsia="黑体" w:cs="Times New Roman"/>
          <w:b w:val="0"/>
        </w:rPr>
      </w:pPr>
      <w:bookmarkStart w:id="37" w:name="_Toc21313"/>
      <w:bookmarkStart w:id="38" w:name="_Toc15377207"/>
      <w:bookmarkStart w:id="39" w:name="_Toc15396605"/>
      <w:r>
        <w:rPr>
          <w:rFonts w:hint="default" w:ascii="Times New Roman" w:hAnsi="Times New Roman" w:eastAsia="黑体" w:cs="Times New Roman"/>
          <w:sz w:val="32"/>
          <w:szCs w:val="32"/>
        </w:rPr>
        <w:t>三、支</w:t>
      </w:r>
      <w:r>
        <w:rPr>
          <w:rStyle w:val="32"/>
          <w:rFonts w:hint="default" w:ascii="Times New Roman" w:hAnsi="Times New Roman" w:eastAsia="黑体" w:cs="Times New Roman"/>
          <w:b w:val="0"/>
        </w:rPr>
        <w:t>出决算情况说明</w:t>
      </w:r>
      <w:bookmarkEnd w:id="37"/>
      <w:bookmarkEnd w:id="38"/>
      <w:bookmarkEnd w:id="39"/>
    </w:p>
    <w:p w14:paraId="1CD14364">
      <w:pPr>
        <w:pageBreakBefore w:val="0"/>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2024年财政拨款各项收入为</w:t>
      </w:r>
      <w:r>
        <w:rPr>
          <w:rFonts w:hint="default" w:ascii="Times New Roman" w:hAnsi="Times New Roman" w:eastAsia="仿宋" w:cs="Times New Roman"/>
          <w:sz w:val="32"/>
          <w:szCs w:val="32"/>
        </w:rPr>
        <w:t>2,991.15</w:t>
      </w:r>
      <w:r>
        <w:rPr>
          <w:rFonts w:hint="default" w:ascii="Times New Roman" w:hAnsi="Times New Roman" w:eastAsia="仿宋_GB2312" w:cs="Times New Roman"/>
          <w:sz w:val="32"/>
          <w:szCs w:val="32"/>
        </w:rPr>
        <w:t>万元</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各项支出为</w:t>
      </w:r>
      <w:r>
        <w:rPr>
          <w:rFonts w:hint="default" w:ascii="Times New Roman" w:hAnsi="Times New Roman" w:eastAsia="仿宋" w:cs="Times New Roman"/>
          <w:sz w:val="32"/>
          <w:szCs w:val="32"/>
        </w:rPr>
        <w:t>2,991.15</w:t>
      </w:r>
      <w:r>
        <w:rPr>
          <w:rFonts w:hint="default" w:ascii="Times New Roman" w:hAnsi="Times New Roman" w:eastAsia="仿宋_GB2312" w:cs="Times New Roman"/>
          <w:sz w:val="32"/>
          <w:szCs w:val="32"/>
        </w:rPr>
        <w:t>万元，其中基本支出为</w:t>
      </w:r>
      <w:r>
        <w:rPr>
          <w:rFonts w:hint="default" w:ascii="Times New Roman" w:hAnsi="Times New Roman" w:eastAsia="仿宋" w:cs="Times New Roman"/>
          <w:sz w:val="32"/>
          <w:szCs w:val="32"/>
        </w:rPr>
        <w:t>2,021.95</w:t>
      </w:r>
      <w:r>
        <w:rPr>
          <w:rFonts w:hint="default" w:ascii="Times New Roman" w:hAnsi="Times New Roman" w:eastAsia="仿宋_GB2312" w:cs="Times New Roman"/>
          <w:sz w:val="32"/>
          <w:szCs w:val="32"/>
        </w:rPr>
        <w:t>万元，项目支出为</w:t>
      </w:r>
      <w:r>
        <w:rPr>
          <w:rFonts w:hint="default" w:ascii="Times New Roman" w:hAnsi="Times New Roman" w:eastAsia="仿宋" w:cs="Times New Roman"/>
          <w:sz w:val="32"/>
          <w:szCs w:val="32"/>
        </w:rPr>
        <w:t>969.20</w:t>
      </w:r>
      <w:r>
        <w:rPr>
          <w:rFonts w:hint="default" w:ascii="Times New Roman" w:hAnsi="Times New Roman" w:eastAsia="仿宋_GB2312" w:cs="Times New Roman"/>
          <w:sz w:val="32"/>
          <w:szCs w:val="32"/>
        </w:rPr>
        <w:t>万元。上缴上级支出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%；经营支出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%；对附属单位补助支出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w:t>
      </w:r>
    </w:p>
    <w:p w14:paraId="68BE8BCC">
      <w:pPr>
        <w:pStyle w:val="7"/>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drawing>
          <wp:inline distT="0" distB="0" distL="114300" distR="114300">
            <wp:extent cx="4386580" cy="2948940"/>
            <wp:effectExtent l="4445" t="5080" r="9525" b="1778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4075097">
      <w:pPr>
        <w:pageBreakBefore w:val="0"/>
        <w:kinsoku/>
        <w:wordWrap/>
        <w:overflowPunct/>
        <w:topLinePunct w:val="0"/>
        <w:autoSpaceDE/>
        <w:autoSpaceDN/>
        <w:bidi w:val="0"/>
        <w:spacing w:line="576" w:lineRule="exact"/>
        <w:ind w:firstLine="640" w:firstLineChars="200"/>
        <w:textAlignment w:val="auto"/>
        <w:outlineLvl w:val="1"/>
        <w:rPr>
          <w:rStyle w:val="32"/>
          <w:rFonts w:hint="default" w:ascii="Times New Roman" w:hAnsi="Times New Roman" w:eastAsia="黑体" w:cs="Times New Roman"/>
          <w:b w:val="0"/>
        </w:rPr>
      </w:pPr>
      <w:bookmarkStart w:id="40" w:name="_Toc15377208"/>
      <w:bookmarkStart w:id="41" w:name="_Toc15396606"/>
      <w:bookmarkStart w:id="42" w:name="_Toc18070"/>
      <w:r>
        <w:rPr>
          <w:rFonts w:hint="default" w:ascii="Times New Roman" w:hAnsi="Times New Roman" w:eastAsia="黑体" w:cs="Times New Roman"/>
          <w:sz w:val="32"/>
          <w:szCs w:val="32"/>
        </w:rPr>
        <w:t>四、财</w:t>
      </w:r>
      <w:r>
        <w:rPr>
          <w:rStyle w:val="32"/>
          <w:rFonts w:hint="default" w:ascii="Times New Roman" w:hAnsi="Times New Roman" w:eastAsia="黑体" w:cs="Times New Roman"/>
          <w:b w:val="0"/>
        </w:rPr>
        <w:t>政拨款收入支出决算总体情况说明</w:t>
      </w:r>
      <w:bookmarkEnd w:id="40"/>
      <w:bookmarkEnd w:id="41"/>
      <w:bookmarkEnd w:id="42"/>
    </w:p>
    <w:p w14:paraId="3C7B5AC9">
      <w:pPr>
        <w:pageBreakBefore w:val="0"/>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2024年度财政拨款收入、支出总计均为</w:t>
      </w:r>
      <w:r>
        <w:rPr>
          <w:rFonts w:hint="default" w:ascii="Times New Roman" w:hAnsi="Times New Roman" w:eastAsia="仿宋" w:cs="Times New Roman"/>
          <w:sz w:val="32"/>
          <w:szCs w:val="32"/>
        </w:rPr>
        <w:t>2,991.15</w:t>
      </w:r>
      <w:r>
        <w:rPr>
          <w:rFonts w:hint="default" w:ascii="Times New Roman" w:hAnsi="Times New Roman" w:eastAsia="仿宋_GB2312" w:cs="Times New Roman"/>
          <w:sz w:val="32"/>
          <w:szCs w:val="32"/>
        </w:rPr>
        <w:t>万元。与2023年度</w:t>
      </w:r>
      <w:r>
        <w:rPr>
          <w:rFonts w:hint="default" w:ascii="Times New Roman" w:hAnsi="Times New Roman" w:eastAsia="仿宋_GB2312" w:cs="Times New Roman"/>
          <w:sz w:val="32"/>
          <w:szCs w:val="32"/>
          <w:lang w:val="en-US" w:eastAsia="zh-CN"/>
        </w:rPr>
        <w:t>2893.8万元</w:t>
      </w:r>
      <w:r>
        <w:rPr>
          <w:rFonts w:hint="default" w:ascii="Times New Roman" w:hAnsi="Times New Roman" w:eastAsia="仿宋_GB2312" w:cs="Times New Roman"/>
          <w:sz w:val="32"/>
          <w:szCs w:val="32"/>
        </w:rPr>
        <w:t>相比，财政拨款收入总计、支出总计各增加</w:t>
      </w:r>
      <w:r>
        <w:rPr>
          <w:rFonts w:hint="default" w:ascii="Times New Roman" w:hAnsi="Times New Roman" w:eastAsia="仿宋_GB2312" w:cs="Times New Roman"/>
          <w:sz w:val="32"/>
          <w:szCs w:val="32"/>
          <w:lang w:val="en-US" w:eastAsia="zh-CN"/>
        </w:rPr>
        <w:t>97.35</w:t>
      </w:r>
      <w:r>
        <w:rPr>
          <w:rFonts w:hint="default" w:ascii="Times New Roman" w:hAnsi="Times New Roman" w:eastAsia="仿宋_GB2312" w:cs="Times New Roman"/>
          <w:sz w:val="32"/>
          <w:szCs w:val="32"/>
        </w:rPr>
        <w:t>万元，增长</w:t>
      </w:r>
      <w:r>
        <w:rPr>
          <w:rFonts w:hint="default" w:ascii="Times New Roman" w:hAnsi="Times New Roman" w:eastAsia="仿宋_GB2312" w:cs="Times New Roman"/>
          <w:sz w:val="32"/>
          <w:szCs w:val="32"/>
          <w:lang w:val="en-US" w:eastAsia="zh-CN"/>
        </w:rPr>
        <w:t>3.25</w:t>
      </w:r>
      <w:r>
        <w:rPr>
          <w:rFonts w:hint="default" w:ascii="Times New Roman" w:hAnsi="Times New Roman" w:eastAsia="仿宋_GB2312" w:cs="Times New Roman"/>
          <w:sz w:val="32"/>
          <w:szCs w:val="32"/>
        </w:rPr>
        <w:t>%。主要原因是预算调整</w:t>
      </w:r>
      <w:r>
        <w:rPr>
          <w:rFonts w:hint="default" w:ascii="Times New Roman" w:hAnsi="Times New Roman" w:eastAsia="仿宋_GB2312" w:cs="Times New Roman"/>
          <w:sz w:val="32"/>
          <w:szCs w:val="32"/>
          <w:lang w:eastAsia="zh-CN"/>
        </w:rPr>
        <w:t>。</w:t>
      </w:r>
    </w:p>
    <w:p w14:paraId="588454DC">
      <w:pPr>
        <w:pageBreakBefore w:val="0"/>
        <w:kinsoku/>
        <w:wordWrap/>
        <w:overflowPunct/>
        <w:topLinePunct w:val="0"/>
        <w:autoSpaceDE/>
        <w:autoSpaceDN/>
        <w:bidi w:val="0"/>
        <w:spacing w:line="576" w:lineRule="exact"/>
        <w:ind w:firstLine="640" w:firstLineChars="200"/>
        <w:textAlignment w:val="auto"/>
        <w:outlineLvl w:val="1"/>
        <w:rPr>
          <w:rStyle w:val="32"/>
          <w:rFonts w:hint="default" w:ascii="Times New Roman" w:hAnsi="Times New Roman" w:eastAsia="黑体" w:cs="Times New Roman"/>
          <w:b w:val="0"/>
        </w:rPr>
      </w:pPr>
      <w:bookmarkStart w:id="43" w:name="_Toc13068"/>
      <w:bookmarkStart w:id="44" w:name="_Toc15377209"/>
      <w:bookmarkStart w:id="45" w:name="_Toc15396607"/>
      <w:r>
        <w:rPr>
          <w:rFonts w:hint="default" w:ascii="Times New Roman" w:hAnsi="Times New Roman" w:eastAsia="黑体" w:cs="Times New Roman"/>
          <w:sz w:val="32"/>
          <w:szCs w:val="32"/>
        </w:rPr>
        <w:t>五、</w:t>
      </w:r>
      <w:r>
        <w:rPr>
          <w:rFonts w:hint="default" w:ascii="Times New Roman" w:hAnsi="Times New Roman" w:eastAsia="黑体" w:cs="Times New Roman"/>
          <w:b/>
          <w:sz w:val="32"/>
          <w:szCs w:val="32"/>
        </w:rPr>
        <w:t>一</w:t>
      </w:r>
      <w:r>
        <w:rPr>
          <w:rStyle w:val="32"/>
          <w:rFonts w:hint="default" w:ascii="Times New Roman" w:hAnsi="Times New Roman" w:eastAsia="黑体" w:cs="Times New Roman"/>
          <w:b w:val="0"/>
        </w:rPr>
        <w:t>般公共预算财政拨款支出决算情况说明</w:t>
      </w:r>
      <w:bookmarkEnd w:id="43"/>
      <w:bookmarkEnd w:id="44"/>
      <w:bookmarkEnd w:id="45"/>
    </w:p>
    <w:p w14:paraId="1F541FFE">
      <w:pPr>
        <w:pageBreakBefore w:val="0"/>
        <w:kinsoku/>
        <w:wordWrap/>
        <w:overflowPunct/>
        <w:topLinePunct w:val="0"/>
        <w:autoSpaceDE/>
        <w:autoSpaceDN/>
        <w:bidi w:val="0"/>
        <w:spacing w:line="576" w:lineRule="exact"/>
        <w:ind w:firstLine="643" w:firstLineChars="200"/>
        <w:textAlignment w:val="auto"/>
        <w:outlineLvl w:val="2"/>
        <w:rPr>
          <w:rFonts w:hint="default" w:ascii="Times New Roman" w:hAnsi="Times New Roman" w:eastAsia="楷体_GB2312" w:cs="Times New Roman"/>
          <w:b/>
          <w:sz w:val="32"/>
          <w:szCs w:val="32"/>
        </w:rPr>
      </w:pPr>
      <w:bookmarkStart w:id="46" w:name="_Toc15377210"/>
      <w:bookmarkStart w:id="47" w:name="_Toc8505"/>
      <w:r>
        <w:rPr>
          <w:rFonts w:hint="default" w:ascii="Times New Roman" w:hAnsi="Times New Roman" w:eastAsia="楷体_GB2312" w:cs="Times New Roman"/>
          <w:b/>
          <w:sz w:val="32"/>
          <w:szCs w:val="32"/>
        </w:rPr>
        <w:t>（一）一般公共预算财政拨款支出决算总体情况</w:t>
      </w:r>
      <w:bookmarkEnd w:id="46"/>
      <w:bookmarkEnd w:id="47"/>
    </w:p>
    <w:p w14:paraId="515C62F2">
      <w:pPr>
        <w:pageBreakBefore w:val="0"/>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2024年度一般公共预算财政拨款支出</w:t>
      </w:r>
      <w:r>
        <w:rPr>
          <w:rFonts w:hint="default" w:ascii="Times New Roman" w:hAnsi="Times New Roman" w:eastAsia="仿宋_GB2312" w:cs="Times New Roman"/>
          <w:sz w:val="32"/>
          <w:szCs w:val="32"/>
          <w:lang w:val="en-US" w:eastAsia="zh-CN"/>
        </w:rPr>
        <w:t>2991.15</w:t>
      </w:r>
      <w:r>
        <w:rPr>
          <w:rFonts w:hint="default" w:ascii="Times New Roman" w:hAnsi="Times New Roman" w:eastAsia="仿宋_GB2312" w:cs="Times New Roman"/>
          <w:sz w:val="32"/>
          <w:szCs w:val="32"/>
        </w:rPr>
        <w:t>万元，占本年支出合计的</w:t>
      </w:r>
      <w:r>
        <w:rPr>
          <w:rFonts w:hint="default" w:ascii="Times New Roman" w:hAnsi="Times New Roman" w:eastAsia="仿宋_GB2312" w:cs="Times New Roman"/>
          <w:sz w:val="32"/>
          <w:szCs w:val="32"/>
          <w:lang w:val="en-US" w:eastAsia="zh-CN"/>
        </w:rPr>
        <w:t>99.29</w:t>
      </w:r>
      <w:r>
        <w:rPr>
          <w:rFonts w:hint="default" w:ascii="Times New Roman" w:hAnsi="Times New Roman" w:eastAsia="仿宋_GB2312" w:cs="Times New Roman"/>
          <w:sz w:val="32"/>
          <w:szCs w:val="32"/>
        </w:rPr>
        <w:t>%。与2023年度</w:t>
      </w:r>
      <w:r>
        <w:rPr>
          <w:rFonts w:hint="default" w:ascii="Times New Roman" w:hAnsi="Times New Roman" w:eastAsia="仿宋_GB2312" w:cs="Times New Roman"/>
          <w:sz w:val="32"/>
          <w:szCs w:val="32"/>
          <w:lang w:val="en-US" w:eastAsia="zh-CN"/>
        </w:rPr>
        <w:t>2893.8万元</w:t>
      </w:r>
      <w:r>
        <w:rPr>
          <w:rFonts w:hint="default" w:ascii="Times New Roman" w:hAnsi="Times New Roman" w:eastAsia="仿宋_GB2312" w:cs="Times New Roman"/>
          <w:sz w:val="32"/>
          <w:szCs w:val="32"/>
        </w:rPr>
        <w:t>相比，一般公共预算财政拨款支出增加</w:t>
      </w:r>
      <w:r>
        <w:rPr>
          <w:rFonts w:hint="default" w:ascii="Times New Roman" w:hAnsi="Times New Roman" w:eastAsia="仿宋_GB2312" w:cs="Times New Roman"/>
          <w:sz w:val="32"/>
          <w:szCs w:val="32"/>
          <w:lang w:val="en-US" w:eastAsia="zh-CN"/>
        </w:rPr>
        <w:t>97.35</w:t>
      </w:r>
      <w:r>
        <w:rPr>
          <w:rFonts w:hint="default" w:ascii="Times New Roman" w:hAnsi="Times New Roman" w:eastAsia="仿宋_GB2312" w:cs="Times New Roman"/>
          <w:sz w:val="32"/>
          <w:szCs w:val="32"/>
        </w:rPr>
        <w:t>万元，增长</w:t>
      </w:r>
      <w:r>
        <w:rPr>
          <w:rFonts w:hint="default" w:ascii="Times New Roman" w:hAnsi="Times New Roman" w:eastAsia="仿宋_GB2312" w:cs="Times New Roman"/>
          <w:sz w:val="32"/>
          <w:szCs w:val="32"/>
          <w:lang w:val="en-US" w:eastAsia="zh-CN"/>
        </w:rPr>
        <w:t>3.37</w:t>
      </w:r>
      <w:r>
        <w:rPr>
          <w:rFonts w:hint="default" w:ascii="Times New Roman" w:hAnsi="Times New Roman" w:eastAsia="仿宋_GB2312" w:cs="Times New Roman"/>
          <w:sz w:val="32"/>
          <w:szCs w:val="32"/>
        </w:rPr>
        <w:t>%。主要原因是预算调整</w:t>
      </w:r>
      <w:r>
        <w:rPr>
          <w:rFonts w:hint="default" w:ascii="Times New Roman" w:hAnsi="Times New Roman" w:eastAsia="仿宋_GB2312" w:cs="Times New Roman"/>
          <w:sz w:val="32"/>
          <w:szCs w:val="32"/>
          <w:lang w:eastAsia="zh-CN"/>
        </w:rPr>
        <w:t>。</w:t>
      </w:r>
    </w:p>
    <w:p w14:paraId="69AEC7DB">
      <w:pPr>
        <w:pageBreakBefore w:val="0"/>
        <w:kinsoku/>
        <w:wordWrap/>
        <w:overflowPunct/>
        <w:topLinePunct w:val="0"/>
        <w:autoSpaceDE/>
        <w:autoSpaceDN/>
        <w:bidi w:val="0"/>
        <w:spacing w:line="576" w:lineRule="exact"/>
        <w:ind w:firstLine="643" w:firstLineChars="200"/>
        <w:textAlignment w:val="auto"/>
        <w:outlineLvl w:val="2"/>
        <w:rPr>
          <w:rFonts w:hint="default" w:ascii="Times New Roman" w:hAnsi="Times New Roman" w:eastAsia="楷体_GB2312" w:cs="Times New Roman"/>
          <w:b/>
          <w:sz w:val="32"/>
          <w:szCs w:val="32"/>
        </w:rPr>
      </w:pPr>
      <w:bookmarkStart w:id="48" w:name="_Toc26416"/>
      <w:bookmarkStart w:id="49" w:name="_Toc15377211"/>
      <w:r>
        <w:rPr>
          <w:rFonts w:hint="default" w:ascii="Times New Roman" w:hAnsi="Times New Roman" w:eastAsia="楷体_GB2312" w:cs="Times New Roman"/>
          <w:b/>
          <w:sz w:val="32"/>
          <w:szCs w:val="32"/>
        </w:rPr>
        <w:t>（二）一般公共预算财政拨款支出决算结构情况</w:t>
      </w:r>
      <w:bookmarkEnd w:id="48"/>
      <w:bookmarkEnd w:id="49"/>
    </w:p>
    <w:p w14:paraId="77A174E3">
      <w:pPr>
        <w:pageBreakBefore w:val="0"/>
        <w:kinsoku/>
        <w:wordWrap/>
        <w:overflowPunct/>
        <w:topLinePunct w:val="0"/>
        <w:autoSpaceDE/>
        <w:autoSpaceDN/>
        <w:bidi w:val="0"/>
        <w:spacing w:line="576" w:lineRule="exact"/>
        <w:ind w:firstLine="640" w:firstLineChars="200"/>
        <w:textAlignment w:val="auto"/>
        <w:rPr>
          <w:rFonts w:hint="default" w:ascii="Times New Roman" w:hAnsi="Times New Roman" w:cs="Times New Roman"/>
          <w:color w:val="auto"/>
        </w:rPr>
      </w:pPr>
      <w:r>
        <w:rPr>
          <w:rFonts w:hint="default" w:ascii="Times New Roman" w:hAnsi="Times New Roman" w:eastAsia="仿宋" w:cs="Times New Roman"/>
          <w:color w:val="auto"/>
          <w:sz w:val="32"/>
          <w:szCs w:val="32"/>
        </w:rPr>
        <w:t>2024年本年支出合计3,012.76</w:t>
      </w:r>
      <w:r>
        <w:rPr>
          <w:rFonts w:hint="default" w:ascii="Times New Roman" w:hAnsi="Times New Roman" w:eastAsia="仿宋_GB2312" w:cs="Times New Roman"/>
          <w:color w:val="auto"/>
          <w:sz w:val="32"/>
          <w:szCs w:val="32"/>
        </w:rPr>
        <w:t>万元</w:t>
      </w:r>
      <w:r>
        <w:rPr>
          <w:rFonts w:hint="default" w:ascii="Times New Roman" w:hAnsi="Times New Roman" w:eastAsia="仿宋" w:cs="Times New Roman"/>
          <w:color w:val="auto"/>
          <w:sz w:val="32"/>
          <w:szCs w:val="32"/>
        </w:rPr>
        <w:t>，</w:t>
      </w:r>
      <w:r>
        <w:rPr>
          <w:rFonts w:hint="default" w:ascii="Times New Roman" w:hAnsi="Times New Roman" w:eastAsia="仿宋_GB2312" w:cs="Times New Roman"/>
          <w:color w:val="auto"/>
          <w:sz w:val="32"/>
          <w:szCs w:val="32"/>
        </w:rPr>
        <w:t>其中：一般公共服务支出2,546.03万元，占84.51%</w:t>
      </w:r>
      <w:r>
        <w:rPr>
          <w:rFonts w:hint="eastAsia" w:eastAsia="仿宋_GB2312" w:cs="Times New Roman"/>
          <w:color w:val="auto"/>
          <w:sz w:val="32"/>
          <w:szCs w:val="32"/>
          <w:lang w:eastAsia="zh-CN"/>
        </w:rPr>
        <w:t>；</w:t>
      </w:r>
      <w:r>
        <w:rPr>
          <w:rFonts w:hint="default" w:ascii="Times New Roman" w:hAnsi="Times New Roman" w:eastAsia="仿宋_GB2312" w:cs="Times New Roman"/>
          <w:color w:val="auto"/>
          <w:sz w:val="32"/>
          <w:szCs w:val="32"/>
        </w:rPr>
        <w:t>社会保障和就业支出231.88万元，占7.70%</w:t>
      </w:r>
      <w:r>
        <w:rPr>
          <w:rFonts w:hint="eastAsia" w:eastAsia="仿宋_GB2312" w:cs="Times New Roman"/>
          <w:color w:val="auto"/>
          <w:sz w:val="32"/>
          <w:szCs w:val="32"/>
          <w:lang w:eastAsia="zh-CN"/>
        </w:rPr>
        <w:t>；</w:t>
      </w:r>
      <w:r>
        <w:rPr>
          <w:rFonts w:hint="default" w:ascii="Times New Roman" w:hAnsi="Times New Roman" w:eastAsia="仿宋_GB2312" w:cs="Times New Roman"/>
          <w:color w:val="auto"/>
          <w:sz w:val="32"/>
          <w:szCs w:val="32"/>
        </w:rPr>
        <w:t>卫生健康支出103.27万元，占3.43%；住房保障支出131.57万元，占4.37%。</w:t>
      </w:r>
    </w:p>
    <w:p w14:paraId="799B6E50">
      <w:pPr>
        <w:pStyle w:val="7"/>
        <w:rPr>
          <w:rFonts w:hint="default" w:ascii="Times New Roman" w:hAnsi="Times New Roman" w:eastAsia="仿宋_GB2312" w:cs="Times New Roman"/>
          <w:sz w:val="32"/>
          <w:szCs w:val="32"/>
        </w:rPr>
      </w:pPr>
      <w:r>
        <w:rPr>
          <w:rFonts w:hint="eastAsia" w:ascii="Times New Roman" w:cs="Times New Roman"/>
          <w:lang w:val="en-US" w:eastAsia="zh-CN"/>
        </w:rPr>
        <w:t xml:space="preserve">         </w:t>
      </w:r>
      <w:r>
        <w:rPr>
          <w:rFonts w:hint="default" w:ascii="Times New Roman" w:hAnsi="Times New Roman" w:cs="Times New Roman"/>
        </w:rPr>
        <w:drawing>
          <wp:inline distT="0" distB="0" distL="114300" distR="114300">
            <wp:extent cx="3992880" cy="2246630"/>
            <wp:effectExtent l="0" t="0" r="7620" b="1270"/>
            <wp:docPr id="10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Picture 1"/>
                    <pic:cNvPicPr>
                      <a:picLocks noChangeAspect="1"/>
                    </pic:cNvPicPr>
                  </pic:nvPicPr>
                  <pic:blipFill>
                    <a:blip r:embed="rId11"/>
                    <a:stretch>
                      <a:fillRect/>
                    </a:stretch>
                  </pic:blipFill>
                  <pic:spPr>
                    <a:xfrm>
                      <a:off x="0" y="0"/>
                      <a:ext cx="3992880" cy="2246630"/>
                    </a:xfrm>
                    <a:prstGeom prst="rect">
                      <a:avLst/>
                    </a:prstGeom>
                  </pic:spPr>
                </pic:pic>
              </a:graphicData>
            </a:graphic>
          </wp:inline>
        </w:drawing>
      </w:r>
    </w:p>
    <w:p w14:paraId="2933DF04">
      <w:pPr>
        <w:pageBreakBefore w:val="0"/>
        <w:kinsoku/>
        <w:wordWrap/>
        <w:overflowPunct/>
        <w:topLinePunct w:val="0"/>
        <w:autoSpaceDE/>
        <w:autoSpaceDN/>
        <w:bidi w:val="0"/>
        <w:spacing w:line="576" w:lineRule="exact"/>
        <w:ind w:firstLine="643" w:firstLineChars="200"/>
        <w:textAlignment w:val="auto"/>
        <w:outlineLvl w:val="2"/>
        <w:rPr>
          <w:rFonts w:hint="default" w:ascii="Times New Roman" w:hAnsi="Times New Roman" w:eastAsia="楷体_GB2312" w:cs="Times New Roman"/>
          <w:b/>
          <w:sz w:val="32"/>
          <w:szCs w:val="32"/>
        </w:rPr>
      </w:pPr>
      <w:bookmarkStart w:id="50" w:name="_Toc8774"/>
      <w:bookmarkStart w:id="51" w:name="_Toc15377212"/>
      <w:r>
        <w:rPr>
          <w:rFonts w:hint="default" w:ascii="Times New Roman" w:hAnsi="Times New Roman" w:eastAsia="楷体_GB2312" w:cs="Times New Roman"/>
          <w:b/>
          <w:sz w:val="32"/>
          <w:szCs w:val="32"/>
        </w:rPr>
        <w:t>（三）一般公共预算财政拨款支出决算具体情况</w:t>
      </w:r>
      <w:bookmarkEnd w:id="50"/>
      <w:bookmarkEnd w:id="51"/>
    </w:p>
    <w:p w14:paraId="0C547C31">
      <w:pPr>
        <w:pageBreakBefore w:val="0"/>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sz w:val="32"/>
          <w:szCs w:val="32"/>
        </w:rPr>
      </w:pPr>
      <w:bookmarkStart w:id="52" w:name="_Toc15378460"/>
      <w:bookmarkStart w:id="53" w:name="_Toc15377444"/>
      <w:bookmarkStart w:id="54" w:name="_Toc15377213"/>
      <w:r>
        <w:rPr>
          <w:rFonts w:hint="default" w:ascii="Times New Roman" w:hAnsi="Times New Roman" w:eastAsia="仿宋_GB2312" w:cs="Times New Roman"/>
          <w:sz w:val="32"/>
          <w:szCs w:val="32"/>
        </w:rPr>
        <w:t>2024年度一般公共预算财政拨款支出决算数为</w:t>
      </w:r>
      <w:r>
        <w:rPr>
          <w:rFonts w:hint="default" w:ascii="Times New Roman" w:hAnsi="Times New Roman" w:eastAsia="仿宋_GB2312" w:cs="Times New Roman"/>
          <w:sz w:val="32"/>
          <w:szCs w:val="32"/>
          <w:lang w:val="en-US" w:eastAsia="zh-CN"/>
        </w:rPr>
        <w:t>2991.15</w:t>
      </w:r>
      <w:r>
        <w:rPr>
          <w:rFonts w:hint="eastAsia" w:eastAsia="仿宋_GB2312" w:cs="Times New Roman"/>
          <w:sz w:val="32"/>
          <w:szCs w:val="32"/>
          <w:lang w:val="en-US" w:eastAsia="zh-CN"/>
        </w:rPr>
        <w:t>万元</w:t>
      </w:r>
      <w:r>
        <w:rPr>
          <w:rFonts w:hint="default" w:ascii="Times New Roman" w:hAnsi="Times New Roman" w:eastAsia="仿宋_GB2312" w:cs="Times New Roman"/>
          <w:sz w:val="32"/>
          <w:szCs w:val="32"/>
        </w:rPr>
        <w:t>，完成预算</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%。其中：</w:t>
      </w:r>
      <w:bookmarkEnd w:id="52"/>
      <w:bookmarkEnd w:id="53"/>
      <w:bookmarkEnd w:id="54"/>
    </w:p>
    <w:p w14:paraId="545F9FD8">
      <w:pPr>
        <w:pageBreakBefore w:val="0"/>
        <w:numPr>
          <w:ilvl w:val="0"/>
          <w:numId w:val="0"/>
        </w:numPr>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eastAsia="仿宋_GB2312" w:cs="Times New Roman"/>
          <w:sz w:val="32"/>
          <w:szCs w:val="32"/>
          <w:lang w:val="en-US" w:eastAsia="zh-CN"/>
        </w:rPr>
        <w:t>1.</w:t>
      </w:r>
      <w:r>
        <w:rPr>
          <w:rFonts w:hint="default" w:ascii="Times New Roman" w:hAnsi="Times New Roman" w:eastAsia="仿宋_GB2312" w:cs="Times New Roman"/>
          <w:sz w:val="32"/>
          <w:szCs w:val="32"/>
        </w:rPr>
        <w:t>一般公共服务</w:t>
      </w:r>
      <w:r>
        <w:rPr>
          <w:rFonts w:hint="eastAsia" w:eastAsia="仿宋_GB2312" w:cs="Times New Roman"/>
          <w:sz w:val="32"/>
          <w:szCs w:val="32"/>
          <w:lang w:eastAsia="zh-CN"/>
        </w:rPr>
        <w:t>：</w:t>
      </w:r>
      <w:r>
        <w:rPr>
          <w:rFonts w:hint="default" w:ascii="Times New Roman" w:hAnsi="Times New Roman" w:eastAsia="仿宋_GB2312" w:cs="Times New Roman"/>
          <w:sz w:val="32"/>
          <w:szCs w:val="32"/>
          <w:lang w:val="en-US" w:eastAsia="zh-CN"/>
        </w:rPr>
        <w:t>2013101行政运行</w:t>
      </w:r>
      <w:r>
        <w:rPr>
          <w:rFonts w:hint="default" w:ascii="Times New Roman" w:hAnsi="Times New Roman" w:eastAsia="仿宋_GB2312" w:cs="Times New Roman"/>
          <w:sz w:val="32"/>
          <w:szCs w:val="32"/>
        </w:rPr>
        <w:t>支出决算为</w:t>
      </w:r>
      <w:r>
        <w:rPr>
          <w:rFonts w:hint="default" w:ascii="Times New Roman" w:hAnsi="Times New Roman" w:eastAsia="仿宋_GB2312" w:cs="Times New Roman"/>
          <w:sz w:val="32"/>
          <w:szCs w:val="32"/>
          <w:lang w:val="en-US" w:eastAsia="zh-CN"/>
        </w:rPr>
        <w:t>910.64</w:t>
      </w:r>
      <w:r>
        <w:rPr>
          <w:rFonts w:hint="default" w:ascii="Times New Roman" w:hAnsi="Times New Roman" w:eastAsia="仿宋_GB2312" w:cs="Times New Roman"/>
          <w:sz w:val="32"/>
          <w:szCs w:val="32"/>
        </w:rPr>
        <w:t>万元，完成预算</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w:t>
      </w:r>
      <w:r>
        <w:rPr>
          <w:rFonts w:hint="eastAsia" w:eastAsia="仿宋_GB2312" w:cs="Times New Roman"/>
          <w:sz w:val="32"/>
          <w:szCs w:val="32"/>
          <w:lang w:eastAsia="zh-CN"/>
        </w:rPr>
        <w:t>；</w:t>
      </w:r>
      <w:r>
        <w:rPr>
          <w:rFonts w:hint="default" w:ascii="Times New Roman" w:hAnsi="Times New Roman" w:eastAsia="仿宋_GB2312" w:cs="Times New Roman"/>
          <w:sz w:val="32"/>
          <w:szCs w:val="32"/>
          <w:lang w:val="en-US" w:eastAsia="zh-CN"/>
        </w:rPr>
        <w:t>2013102一般行政管理事务</w:t>
      </w:r>
      <w:r>
        <w:rPr>
          <w:rFonts w:hint="default" w:ascii="Times New Roman" w:hAnsi="Times New Roman" w:eastAsia="仿宋_GB2312" w:cs="Times New Roman"/>
          <w:sz w:val="32"/>
          <w:szCs w:val="32"/>
        </w:rPr>
        <w:t>支出决算为</w:t>
      </w:r>
      <w:r>
        <w:rPr>
          <w:rFonts w:hint="default" w:ascii="Times New Roman" w:hAnsi="Times New Roman" w:eastAsia="仿宋_GB2312" w:cs="Times New Roman"/>
          <w:sz w:val="32"/>
          <w:szCs w:val="32"/>
          <w:lang w:val="en-US" w:eastAsia="zh-CN"/>
        </w:rPr>
        <w:t>108.05</w:t>
      </w:r>
      <w:r>
        <w:rPr>
          <w:rFonts w:hint="default" w:ascii="Times New Roman" w:hAnsi="Times New Roman" w:eastAsia="仿宋_GB2312" w:cs="Times New Roman"/>
          <w:sz w:val="32"/>
          <w:szCs w:val="32"/>
        </w:rPr>
        <w:t>万元，完成预算</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w:t>
      </w:r>
      <w:r>
        <w:rPr>
          <w:rFonts w:hint="eastAsia" w:eastAsia="仿宋_GB2312" w:cs="Times New Roman"/>
          <w:sz w:val="32"/>
          <w:szCs w:val="32"/>
          <w:lang w:eastAsia="zh-CN"/>
        </w:rPr>
        <w:t>；</w:t>
      </w:r>
      <w:r>
        <w:rPr>
          <w:rFonts w:hint="default" w:ascii="Times New Roman" w:hAnsi="Times New Roman" w:eastAsia="仿宋_GB2312" w:cs="Times New Roman"/>
          <w:sz w:val="32"/>
          <w:szCs w:val="32"/>
          <w:lang w:val="en-US" w:eastAsia="zh-CN"/>
        </w:rPr>
        <w:t>2013199其它党委办公厅及相关机构事务支出</w:t>
      </w:r>
      <w:r>
        <w:rPr>
          <w:rFonts w:hint="default" w:ascii="Times New Roman" w:hAnsi="Times New Roman" w:eastAsia="仿宋_GB2312" w:cs="Times New Roman"/>
          <w:sz w:val="32"/>
          <w:szCs w:val="32"/>
        </w:rPr>
        <w:t>决算为</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万元，完成预算</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w:t>
      </w:r>
    </w:p>
    <w:p w14:paraId="776F2F69">
      <w:pPr>
        <w:pageBreakBefore w:val="0"/>
        <w:numPr>
          <w:ilvl w:val="0"/>
          <w:numId w:val="0"/>
        </w:numPr>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社会保障和就业支出</w:t>
      </w:r>
      <w:r>
        <w:rPr>
          <w:rFonts w:hint="eastAsia" w:eastAsia="仿宋_GB2312" w:cs="Times New Roman"/>
          <w:sz w:val="32"/>
          <w:szCs w:val="32"/>
          <w:lang w:eastAsia="zh-CN"/>
        </w:rPr>
        <w:t>：</w:t>
      </w:r>
      <w:r>
        <w:rPr>
          <w:rFonts w:hint="default" w:ascii="Times New Roman" w:hAnsi="Times New Roman" w:eastAsia="仿宋_GB2312" w:cs="Times New Roman"/>
          <w:sz w:val="32"/>
          <w:szCs w:val="32"/>
          <w:lang w:val="en-US" w:eastAsia="zh-CN"/>
        </w:rPr>
        <w:t>2080505养老保险缴费</w:t>
      </w:r>
      <w:r>
        <w:rPr>
          <w:rFonts w:hint="default" w:ascii="Times New Roman" w:hAnsi="Times New Roman" w:eastAsia="仿宋_GB2312" w:cs="Times New Roman"/>
          <w:sz w:val="32"/>
          <w:szCs w:val="32"/>
        </w:rPr>
        <w:t>决算为</w:t>
      </w:r>
      <w:r>
        <w:rPr>
          <w:rFonts w:hint="default" w:ascii="Times New Roman" w:hAnsi="Times New Roman" w:eastAsia="仿宋_GB2312" w:cs="Times New Roman"/>
          <w:sz w:val="32"/>
          <w:szCs w:val="32"/>
          <w:lang w:val="en-US" w:eastAsia="zh-CN"/>
        </w:rPr>
        <w:t>154.79</w:t>
      </w:r>
      <w:r>
        <w:rPr>
          <w:rFonts w:hint="default" w:ascii="Times New Roman" w:hAnsi="Times New Roman" w:eastAsia="仿宋_GB2312" w:cs="Times New Roman"/>
          <w:sz w:val="32"/>
          <w:szCs w:val="32"/>
        </w:rPr>
        <w:t>万元，完成预算</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w:t>
      </w:r>
      <w:r>
        <w:rPr>
          <w:rFonts w:hint="eastAsia" w:eastAsia="仿宋_GB2312" w:cs="Times New Roman"/>
          <w:sz w:val="32"/>
          <w:szCs w:val="32"/>
          <w:lang w:eastAsia="zh-CN"/>
        </w:rPr>
        <w:t>；</w:t>
      </w:r>
      <w:r>
        <w:rPr>
          <w:rFonts w:hint="default" w:ascii="Times New Roman" w:hAnsi="Times New Roman" w:eastAsia="仿宋_GB2312" w:cs="Times New Roman"/>
          <w:sz w:val="32"/>
          <w:szCs w:val="32"/>
          <w:lang w:val="en-US" w:eastAsia="zh-CN"/>
        </w:rPr>
        <w:t>2080506职业年金缴费</w:t>
      </w:r>
      <w:r>
        <w:rPr>
          <w:rFonts w:hint="default" w:ascii="Times New Roman" w:hAnsi="Times New Roman" w:eastAsia="仿宋_GB2312" w:cs="Times New Roman"/>
          <w:sz w:val="32"/>
          <w:szCs w:val="32"/>
        </w:rPr>
        <w:t>支出决算为</w:t>
      </w:r>
      <w:r>
        <w:rPr>
          <w:rFonts w:hint="default" w:ascii="Times New Roman" w:hAnsi="Times New Roman" w:eastAsia="仿宋_GB2312" w:cs="Times New Roman"/>
          <w:sz w:val="32"/>
          <w:szCs w:val="32"/>
          <w:lang w:val="en-US" w:eastAsia="zh-CN"/>
        </w:rPr>
        <w:t>77.09</w:t>
      </w:r>
      <w:r>
        <w:rPr>
          <w:rFonts w:hint="default" w:ascii="Times New Roman" w:hAnsi="Times New Roman" w:eastAsia="仿宋_GB2312" w:cs="Times New Roman"/>
          <w:sz w:val="32"/>
          <w:szCs w:val="32"/>
        </w:rPr>
        <w:t>万元，完成预算</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w:t>
      </w:r>
    </w:p>
    <w:p w14:paraId="7F96F2B7">
      <w:pPr>
        <w:pageBreakBefore w:val="0"/>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卫生健康</w:t>
      </w:r>
      <w:r>
        <w:rPr>
          <w:rFonts w:hint="default" w:ascii="Times New Roman" w:hAnsi="Times New Roman" w:eastAsia="仿宋_GB2312" w:cs="Times New Roman"/>
          <w:sz w:val="32"/>
          <w:szCs w:val="32"/>
          <w:lang w:val="en-US" w:eastAsia="zh-CN"/>
        </w:rPr>
        <w:t>支出</w:t>
      </w:r>
      <w:r>
        <w:rPr>
          <w:rFonts w:hint="eastAsia"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2101101行政单位医疗</w:t>
      </w:r>
      <w:r>
        <w:rPr>
          <w:rFonts w:hint="default" w:ascii="Times New Roman" w:hAnsi="Times New Roman" w:eastAsia="仿宋_GB2312" w:cs="Times New Roman"/>
          <w:sz w:val="32"/>
          <w:szCs w:val="32"/>
        </w:rPr>
        <w:t>支出决算为</w:t>
      </w:r>
      <w:r>
        <w:rPr>
          <w:rFonts w:hint="default" w:ascii="Times New Roman" w:hAnsi="Times New Roman" w:eastAsia="仿宋_GB2312" w:cs="Times New Roman"/>
          <w:sz w:val="32"/>
          <w:szCs w:val="32"/>
          <w:lang w:val="en-US" w:eastAsia="zh-CN"/>
        </w:rPr>
        <w:t>77.91</w:t>
      </w:r>
      <w:r>
        <w:rPr>
          <w:rFonts w:hint="default" w:ascii="Times New Roman" w:hAnsi="Times New Roman" w:eastAsia="仿宋_GB2312" w:cs="Times New Roman"/>
          <w:sz w:val="32"/>
          <w:szCs w:val="32"/>
        </w:rPr>
        <w:t>万元，完成预算</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w:t>
      </w:r>
      <w:r>
        <w:rPr>
          <w:rFonts w:hint="eastAsia" w:eastAsia="仿宋_GB2312" w:cs="Times New Roman"/>
          <w:sz w:val="32"/>
          <w:szCs w:val="32"/>
          <w:lang w:eastAsia="zh-CN"/>
        </w:rPr>
        <w:t>；</w:t>
      </w:r>
      <w:r>
        <w:rPr>
          <w:rFonts w:hint="default" w:ascii="Times New Roman" w:hAnsi="Times New Roman" w:eastAsia="仿宋_GB2312" w:cs="Times New Roman"/>
          <w:sz w:val="32"/>
          <w:szCs w:val="32"/>
          <w:lang w:val="en-US" w:eastAsia="zh-CN"/>
        </w:rPr>
        <w:t>2101103公务员医疗补助</w:t>
      </w:r>
      <w:r>
        <w:rPr>
          <w:rFonts w:hint="default" w:ascii="Times New Roman" w:hAnsi="Times New Roman" w:eastAsia="仿宋_GB2312" w:cs="Times New Roman"/>
          <w:sz w:val="32"/>
          <w:szCs w:val="32"/>
        </w:rPr>
        <w:t>支出决算为</w:t>
      </w:r>
      <w:r>
        <w:rPr>
          <w:rFonts w:hint="default" w:ascii="Times New Roman" w:hAnsi="Times New Roman" w:eastAsia="仿宋_GB2312" w:cs="Times New Roman"/>
          <w:sz w:val="32"/>
          <w:szCs w:val="32"/>
          <w:lang w:val="en-US" w:eastAsia="zh-CN"/>
        </w:rPr>
        <w:t>25.36</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w:t>
      </w:r>
    </w:p>
    <w:p w14:paraId="22CA0C94">
      <w:pPr>
        <w:pageBreakBefore w:val="0"/>
        <w:kinsoku/>
        <w:wordWrap/>
        <w:overflowPunct/>
        <w:topLinePunct w:val="0"/>
        <w:autoSpaceDE/>
        <w:autoSpaceDN/>
        <w:bidi w:val="0"/>
        <w:spacing w:line="576" w:lineRule="exact"/>
        <w:ind w:firstLine="640" w:firstLineChars="200"/>
        <w:textAlignment w:val="auto"/>
        <w:rPr>
          <w:rFonts w:hint="default"/>
          <w:lang w:val="en-US"/>
        </w:rPr>
      </w:pPr>
      <w:r>
        <w:rPr>
          <w:rFonts w:hint="eastAsia" w:ascii="Times New Roman" w:eastAsia="仿宋_GB2312" w:cs="Times New Roman"/>
          <w:sz w:val="32"/>
          <w:szCs w:val="32"/>
          <w:lang w:val="en-US" w:eastAsia="zh-CN"/>
        </w:rPr>
        <w:t>4</w:t>
      </w:r>
      <w:r>
        <w:rPr>
          <w:rFonts w:hint="eastAsia" w:ascii="仿宋" w:hAnsi="仿宋" w:eastAsia="仿宋" w:cs="仿宋"/>
          <w:b/>
          <w:bCs/>
          <w:sz w:val="32"/>
          <w:szCs w:val="32"/>
          <w:lang w:bidi="ar-SA"/>
        </w:rPr>
        <w:t>住房保障</w:t>
      </w:r>
      <w:r>
        <w:rPr>
          <w:rFonts w:hint="eastAsia" w:ascii="仿宋" w:hAnsi="仿宋" w:eastAsia="仿宋" w:cs="仿宋"/>
          <w:b/>
          <w:bCs/>
          <w:sz w:val="32"/>
          <w:szCs w:val="32"/>
          <w:lang w:eastAsia="zh-CN" w:bidi="ar-SA"/>
        </w:rPr>
        <w:t>支出：</w:t>
      </w:r>
      <w:r>
        <w:rPr>
          <w:rFonts w:hint="eastAsia" w:ascii="仿宋" w:hAnsi="仿宋" w:eastAsia="仿宋" w:cs="仿宋"/>
          <w:b/>
          <w:bCs/>
          <w:sz w:val="32"/>
          <w:szCs w:val="32"/>
          <w:lang w:val="en-US" w:eastAsia="zh-CN" w:bidi="ar-SA"/>
        </w:rPr>
        <w:t>2210201</w:t>
      </w:r>
      <w:r>
        <w:rPr>
          <w:rFonts w:hint="eastAsia" w:ascii="仿宋" w:hAnsi="仿宋" w:eastAsia="仿宋" w:cs="仿宋"/>
          <w:b/>
          <w:bCs/>
          <w:sz w:val="32"/>
          <w:szCs w:val="32"/>
          <w:lang w:eastAsia="zh-CN" w:bidi="ar-SA"/>
        </w:rPr>
        <w:t>住房公积金</w:t>
      </w:r>
      <w:r>
        <w:rPr>
          <w:rFonts w:hint="default" w:ascii="Times New Roman" w:hAnsi="Times New Roman" w:eastAsia="仿宋_GB2312" w:cs="Times New Roman"/>
          <w:sz w:val="32"/>
          <w:szCs w:val="32"/>
        </w:rPr>
        <w:t>支出决算为</w:t>
      </w:r>
      <w:r>
        <w:rPr>
          <w:rFonts w:hint="eastAsia" w:eastAsia="仿宋_GB2312" w:cs="Times New Roman"/>
          <w:sz w:val="32"/>
          <w:szCs w:val="32"/>
          <w:lang w:val="en-US" w:eastAsia="zh-CN"/>
        </w:rPr>
        <w:t>130.57</w:t>
      </w:r>
      <w:r>
        <w:rPr>
          <w:rFonts w:hint="default" w:ascii="Times New Roman" w:hAnsi="Times New Roman" w:eastAsia="仿宋_GB2312" w:cs="Times New Roman"/>
          <w:sz w:val="32"/>
          <w:szCs w:val="32"/>
        </w:rPr>
        <w:t>万元，完成预算</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w:t>
      </w:r>
      <w:r>
        <w:rPr>
          <w:rFonts w:hint="eastAsia" w:eastAsia="仿宋_GB2312" w:cs="Times New Roman"/>
          <w:sz w:val="32"/>
          <w:szCs w:val="32"/>
          <w:lang w:eastAsia="zh-CN"/>
        </w:rPr>
        <w:t>；</w:t>
      </w:r>
      <w:r>
        <w:rPr>
          <w:rFonts w:hint="eastAsia" w:eastAsia="仿宋_GB2312" w:cs="Times New Roman"/>
          <w:sz w:val="32"/>
          <w:szCs w:val="32"/>
          <w:lang w:val="en-US" w:eastAsia="zh-CN"/>
        </w:rPr>
        <w:t>2210203住房补贴</w:t>
      </w:r>
      <w:r>
        <w:rPr>
          <w:rFonts w:hint="default" w:ascii="Times New Roman" w:hAnsi="Times New Roman" w:eastAsia="仿宋_GB2312" w:cs="Times New Roman"/>
          <w:sz w:val="32"/>
          <w:szCs w:val="32"/>
        </w:rPr>
        <w:t>支出决算为</w:t>
      </w:r>
      <w:r>
        <w:rPr>
          <w:rFonts w:hint="eastAsia" w:eastAsia="仿宋_GB2312" w:cs="Times New Roman"/>
          <w:sz w:val="32"/>
          <w:szCs w:val="32"/>
          <w:lang w:val="en-US" w:eastAsia="zh-CN"/>
        </w:rPr>
        <w:t>1</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w:t>
      </w:r>
    </w:p>
    <w:p w14:paraId="09FFB682">
      <w:pPr>
        <w:pageBreakBefore w:val="0"/>
        <w:tabs>
          <w:tab w:val="right" w:pos="8306"/>
        </w:tabs>
        <w:kinsoku/>
        <w:wordWrap/>
        <w:overflowPunct/>
        <w:topLinePunct w:val="0"/>
        <w:autoSpaceDE/>
        <w:autoSpaceDN/>
        <w:bidi w:val="0"/>
        <w:spacing w:line="576" w:lineRule="exact"/>
        <w:ind w:firstLine="640" w:firstLineChars="200"/>
        <w:textAlignment w:val="auto"/>
        <w:outlineLvl w:val="1"/>
        <w:rPr>
          <w:rStyle w:val="32"/>
          <w:rFonts w:hint="default" w:ascii="Times New Roman" w:hAnsi="Times New Roman" w:cs="Times New Roman"/>
          <w:color w:val="auto"/>
        </w:rPr>
      </w:pPr>
      <w:bookmarkStart w:id="55" w:name="_Toc20166"/>
      <w:bookmarkStart w:id="56" w:name="_Toc15377214"/>
      <w:bookmarkStart w:id="57" w:name="_Toc15396608"/>
      <w:r>
        <w:rPr>
          <w:rFonts w:hint="default" w:ascii="Times New Roman" w:hAnsi="Times New Roman" w:eastAsia="黑体" w:cs="Times New Roman"/>
          <w:color w:val="auto"/>
          <w:sz w:val="32"/>
          <w:szCs w:val="32"/>
        </w:rPr>
        <w:t>六</w:t>
      </w:r>
      <w:r>
        <w:rPr>
          <w:rFonts w:hint="default" w:ascii="Times New Roman" w:hAnsi="Times New Roman" w:eastAsia="黑体" w:cs="Times New Roman"/>
          <w:b/>
          <w:color w:val="auto"/>
          <w:sz w:val="32"/>
          <w:szCs w:val="32"/>
        </w:rPr>
        <w:t>、一</w:t>
      </w:r>
      <w:r>
        <w:rPr>
          <w:rStyle w:val="32"/>
          <w:rFonts w:hint="default" w:ascii="Times New Roman" w:hAnsi="Times New Roman" w:eastAsia="黑体" w:cs="Times New Roman"/>
          <w:b w:val="0"/>
          <w:color w:val="auto"/>
        </w:rPr>
        <w:t>般公共预算财政拨款基本支出决算情况说明</w:t>
      </w:r>
      <w:bookmarkEnd w:id="55"/>
      <w:bookmarkEnd w:id="56"/>
      <w:bookmarkEnd w:id="57"/>
      <w:r>
        <w:rPr>
          <w:rStyle w:val="32"/>
          <w:rFonts w:hint="default" w:ascii="Times New Roman" w:hAnsi="Times New Roman" w:eastAsia="黑体" w:cs="Times New Roman"/>
          <w:b w:val="0"/>
          <w:color w:val="auto"/>
        </w:rPr>
        <w:tab/>
      </w:r>
    </w:p>
    <w:p w14:paraId="7A6B2C5F">
      <w:pPr>
        <w:pageBreakBefore w:val="0"/>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2024年度一般公共预算财政拨款基本支出</w:t>
      </w:r>
      <w:r>
        <w:rPr>
          <w:rFonts w:hint="default" w:ascii="Times New Roman" w:hAnsi="Times New Roman" w:eastAsia="仿宋_GB2312" w:cs="Times New Roman"/>
          <w:color w:val="auto"/>
          <w:sz w:val="32"/>
          <w:szCs w:val="32"/>
          <w:lang w:val="en-US" w:eastAsia="zh-CN"/>
        </w:rPr>
        <w:t>2</w:t>
      </w:r>
      <w:r>
        <w:rPr>
          <w:rFonts w:hint="eastAsia"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524.11</w:t>
      </w:r>
      <w:r>
        <w:rPr>
          <w:rFonts w:hint="default" w:ascii="Times New Roman" w:hAnsi="Times New Roman" w:eastAsia="仿宋_GB2312" w:cs="Times New Roman"/>
          <w:color w:val="auto"/>
          <w:sz w:val="32"/>
          <w:szCs w:val="32"/>
        </w:rPr>
        <w:t>万元，其中：</w:t>
      </w:r>
    </w:p>
    <w:p w14:paraId="0C82ECFB">
      <w:pPr>
        <w:pageBreakBefore w:val="0"/>
        <w:kinsoku/>
        <w:wordWrap/>
        <w:overflowPunct/>
        <w:topLinePunct w:val="0"/>
        <w:autoSpaceDE/>
        <w:autoSpaceDN/>
        <w:bidi w:val="0"/>
        <w:spacing w:line="576"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人员经费</w:t>
      </w:r>
      <w:r>
        <w:rPr>
          <w:rFonts w:hint="default" w:ascii="Times New Roman" w:hAnsi="Times New Roman" w:eastAsia="仿宋_GB2312" w:cs="Times New Roman"/>
          <w:b/>
          <w:bCs/>
          <w:color w:val="auto"/>
          <w:sz w:val="32"/>
          <w:szCs w:val="32"/>
          <w:lang w:val="en-US" w:eastAsia="zh-CN"/>
        </w:rPr>
        <w:t>1</w:t>
      </w:r>
      <w:r>
        <w:rPr>
          <w:rFonts w:hint="eastAsia" w:eastAsia="仿宋_GB2312" w:cs="Times New Roman"/>
          <w:b/>
          <w:bCs/>
          <w:color w:val="auto"/>
          <w:sz w:val="32"/>
          <w:szCs w:val="32"/>
          <w:lang w:val="en-US" w:eastAsia="zh-CN"/>
        </w:rPr>
        <w:t>,</w:t>
      </w:r>
      <w:r>
        <w:rPr>
          <w:rFonts w:hint="default" w:ascii="Times New Roman" w:hAnsi="Times New Roman" w:eastAsia="仿宋_GB2312" w:cs="Times New Roman"/>
          <w:b/>
          <w:bCs/>
          <w:color w:val="auto"/>
          <w:sz w:val="32"/>
          <w:szCs w:val="32"/>
          <w:lang w:val="en-US" w:eastAsia="zh-CN"/>
        </w:rPr>
        <w:t>949.84</w:t>
      </w:r>
      <w:r>
        <w:rPr>
          <w:rFonts w:hint="default" w:ascii="Times New Roman" w:hAnsi="Times New Roman" w:eastAsia="仿宋_GB2312" w:cs="Times New Roman"/>
          <w:b/>
          <w:bCs/>
          <w:color w:val="auto"/>
          <w:sz w:val="32"/>
          <w:szCs w:val="32"/>
        </w:rPr>
        <w:t>万元</w:t>
      </w:r>
      <w:r>
        <w:rPr>
          <w:rFonts w:hint="eastAsia" w:eastAsia="仿宋_GB2312" w:cs="Times New Roman"/>
          <w:b/>
          <w:bCs/>
          <w:color w:val="auto"/>
          <w:sz w:val="32"/>
          <w:szCs w:val="32"/>
          <w:lang w:eastAsia="zh-CN"/>
        </w:rPr>
        <w:t>。</w:t>
      </w:r>
      <w:r>
        <w:rPr>
          <w:rFonts w:hint="default" w:ascii="Times New Roman" w:hAnsi="Times New Roman" w:eastAsia="仿宋_GB2312" w:cs="Times New Roman"/>
          <w:color w:val="auto"/>
          <w:sz w:val="32"/>
          <w:szCs w:val="32"/>
        </w:rPr>
        <w:t>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default" w:ascii="Times New Roman" w:hAnsi="Times New Roman" w:eastAsia="仿宋_GB2312" w:cs="Times New Roman"/>
          <w:color w:val="auto"/>
          <w:sz w:val="32"/>
          <w:szCs w:val="32"/>
        </w:rPr>
        <w:br w:type="textWrapping"/>
      </w:r>
      <w:r>
        <w:rPr>
          <w:rFonts w:hint="default" w:ascii="Times New Roman" w:hAnsi="Times New Roman" w:eastAsia="仿宋_GB2312" w:cs="Times New Roman"/>
          <w:color w:val="auto"/>
          <w:sz w:val="32"/>
          <w:szCs w:val="32"/>
        </w:rPr>
        <w:t>　</w:t>
      </w:r>
      <w:r>
        <w:rPr>
          <w:rFonts w:hint="default" w:ascii="Times New Roman" w:hAnsi="Times New Roman" w:eastAsia="仿宋_GB2312" w:cs="Times New Roman"/>
          <w:b/>
          <w:bCs/>
          <w:color w:val="auto"/>
          <w:sz w:val="32"/>
          <w:szCs w:val="32"/>
        </w:rPr>
        <w:t>　公用经费</w:t>
      </w:r>
      <w:r>
        <w:rPr>
          <w:rFonts w:hint="default" w:ascii="Times New Roman" w:hAnsi="Times New Roman" w:eastAsia="仿宋_GB2312" w:cs="Times New Roman"/>
          <w:b/>
          <w:bCs/>
          <w:color w:val="auto"/>
          <w:sz w:val="32"/>
          <w:szCs w:val="32"/>
          <w:lang w:val="en-US" w:eastAsia="zh-CN"/>
        </w:rPr>
        <w:t>574.27</w:t>
      </w:r>
      <w:r>
        <w:rPr>
          <w:rFonts w:hint="default" w:ascii="Times New Roman" w:hAnsi="Times New Roman" w:eastAsia="仿宋_GB2312" w:cs="Times New Roman"/>
          <w:b/>
          <w:bCs/>
          <w:color w:val="auto"/>
          <w:sz w:val="32"/>
          <w:szCs w:val="32"/>
        </w:rPr>
        <w:t>万元</w:t>
      </w:r>
      <w:r>
        <w:rPr>
          <w:rFonts w:hint="eastAsia" w:eastAsia="仿宋_GB2312" w:cs="Times New Roman"/>
          <w:b/>
          <w:bCs/>
          <w:color w:val="auto"/>
          <w:sz w:val="32"/>
          <w:szCs w:val="32"/>
          <w:lang w:eastAsia="zh-CN"/>
        </w:rPr>
        <w:t>。</w:t>
      </w:r>
      <w:r>
        <w:rPr>
          <w:rFonts w:hint="default" w:ascii="Times New Roman" w:hAnsi="Times New Roman" w:eastAsia="仿宋_GB2312" w:cs="Times New Roman"/>
          <w:color w:val="auto"/>
          <w:sz w:val="32"/>
          <w:szCs w:val="32"/>
        </w:rPr>
        <w:t>主要包括：办公费、印刷费、咨询费、手续费、水费、电费、邮电费、物业管理费、差旅费、维修（护）费、租赁费、会议费、培训费、公务接待费、劳务费、委托业务费、工会经费、福利费、公务用车运行维护费、其他交通费、税金及附加费用、其他商品和服务支出、办公设备购置。</w:t>
      </w:r>
    </w:p>
    <w:p w14:paraId="475093D4">
      <w:pPr>
        <w:pageBreakBefore w:val="0"/>
        <w:kinsoku/>
        <w:wordWrap/>
        <w:overflowPunct/>
        <w:topLinePunct w:val="0"/>
        <w:autoSpaceDE/>
        <w:autoSpaceDN/>
        <w:bidi w:val="0"/>
        <w:spacing w:line="576" w:lineRule="exact"/>
        <w:ind w:firstLine="640" w:firstLineChars="200"/>
        <w:textAlignment w:val="auto"/>
        <w:outlineLvl w:val="1"/>
        <w:rPr>
          <w:rStyle w:val="32"/>
          <w:rFonts w:hint="default" w:ascii="Times New Roman" w:hAnsi="Times New Roman" w:eastAsia="黑体" w:cs="Times New Roman"/>
          <w:b w:val="0"/>
        </w:rPr>
      </w:pPr>
      <w:bookmarkStart w:id="58" w:name="_Toc15396609"/>
      <w:bookmarkStart w:id="59" w:name="_Toc25068"/>
      <w:bookmarkStart w:id="60" w:name="_Toc15377215"/>
      <w:r>
        <w:rPr>
          <w:rFonts w:hint="default" w:ascii="Times New Roman" w:hAnsi="Times New Roman" w:eastAsia="黑体" w:cs="Times New Roman"/>
          <w:sz w:val="32"/>
          <w:szCs w:val="32"/>
        </w:rPr>
        <w:t>七、</w:t>
      </w:r>
      <w:r>
        <w:rPr>
          <w:rStyle w:val="32"/>
          <w:rFonts w:hint="default" w:ascii="Times New Roman" w:hAnsi="Times New Roman" w:eastAsia="黑体" w:cs="Times New Roman"/>
          <w:b w:val="0"/>
        </w:rPr>
        <w:t>财政拨款</w:t>
      </w:r>
      <w:r>
        <w:rPr>
          <w:rStyle w:val="32"/>
          <w:rFonts w:hint="default" w:ascii="Times New Roman" w:hAnsi="Times New Roman" w:eastAsia="黑体" w:cs="Times New Roman"/>
        </w:rPr>
        <w:t>“</w:t>
      </w:r>
      <w:r>
        <w:rPr>
          <w:rStyle w:val="32"/>
          <w:rFonts w:hint="default" w:ascii="Times New Roman" w:hAnsi="Times New Roman" w:eastAsia="黑体" w:cs="Times New Roman"/>
          <w:b w:val="0"/>
        </w:rPr>
        <w:t>三公”经费支出决算情况说明</w:t>
      </w:r>
      <w:bookmarkEnd w:id="58"/>
      <w:bookmarkEnd w:id="59"/>
      <w:bookmarkEnd w:id="60"/>
    </w:p>
    <w:p w14:paraId="55E32413">
      <w:pPr>
        <w:pageBreakBefore w:val="0"/>
        <w:kinsoku/>
        <w:wordWrap/>
        <w:overflowPunct/>
        <w:topLinePunct w:val="0"/>
        <w:autoSpaceDE/>
        <w:autoSpaceDN/>
        <w:bidi w:val="0"/>
        <w:spacing w:line="576" w:lineRule="exact"/>
        <w:ind w:firstLine="643" w:firstLineChars="200"/>
        <w:textAlignment w:val="auto"/>
        <w:outlineLvl w:val="2"/>
        <w:rPr>
          <w:rFonts w:hint="default" w:ascii="Times New Roman" w:hAnsi="Times New Roman" w:eastAsia="楷体_GB2312" w:cs="Times New Roman"/>
          <w:b/>
          <w:sz w:val="32"/>
          <w:szCs w:val="32"/>
        </w:rPr>
      </w:pPr>
      <w:bookmarkStart w:id="61" w:name="_Toc15377216"/>
      <w:bookmarkStart w:id="62" w:name="_Toc2234"/>
      <w:r>
        <w:rPr>
          <w:rFonts w:hint="default" w:ascii="Times New Roman" w:hAnsi="Times New Roman" w:eastAsia="楷体_GB2312" w:cs="Times New Roman"/>
          <w:b/>
          <w:sz w:val="32"/>
          <w:szCs w:val="32"/>
        </w:rPr>
        <w:t>（一）“三公”经费财政拨款支出决算总体情况说明</w:t>
      </w:r>
      <w:bookmarkEnd w:id="61"/>
      <w:bookmarkEnd w:id="62"/>
    </w:p>
    <w:p w14:paraId="38291826">
      <w:pPr>
        <w:pageBreakBefore w:val="0"/>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方正仿宋_GBK" w:cs="Times New Roman"/>
          <w:sz w:val="32"/>
          <w:szCs w:val="32"/>
        </w:rPr>
        <w:t>2024年度“三公”经费财政拨款支出决算为</w:t>
      </w:r>
      <w:r>
        <w:rPr>
          <w:rFonts w:hint="default" w:ascii="Times New Roman" w:hAnsi="Times New Roman" w:eastAsia="方正仿宋_GBK" w:cs="Times New Roman"/>
          <w:sz w:val="32"/>
          <w:szCs w:val="32"/>
          <w:lang w:val="en-US" w:eastAsia="zh-CN"/>
        </w:rPr>
        <w:t>34.83</w:t>
      </w:r>
      <w:r>
        <w:rPr>
          <w:rFonts w:hint="default" w:ascii="Times New Roman" w:hAnsi="Times New Roman" w:eastAsia="方正仿宋_GBK" w:cs="Times New Roman"/>
          <w:sz w:val="32"/>
          <w:szCs w:val="32"/>
        </w:rPr>
        <w:t>万元，完成预算</w:t>
      </w:r>
      <w:r>
        <w:rPr>
          <w:rFonts w:hint="default" w:ascii="Times New Roman" w:hAnsi="Times New Roman" w:eastAsia="方正仿宋_GBK" w:cs="Times New Roman"/>
          <w:sz w:val="32"/>
          <w:szCs w:val="32"/>
          <w:lang w:val="en-US" w:eastAsia="zh-CN"/>
        </w:rPr>
        <w:t>100</w:t>
      </w:r>
      <w:r>
        <w:rPr>
          <w:rFonts w:hint="default" w:ascii="Times New Roman" w:hAnsi="Times New Roman" w:eastAsia="方正仿宋_GBK" w:cs="Times New Roman"/>
          <w:sz w:val="32"/>
          <w:szCs w:val="32"/>
        </w:rPr>
        <w:t>%，较上年度减少</w:t>
      </w:r>
      <w:r>
        <w:rPr>
          <w:rFonts w:hint="default" w:ascii="Times New Roman" w:hAnsi="Times New Roman" w:eastAsia="方正仿宋_GBK" w:cs="Times New Roman"/>
          <w:sz w:val="32"/>
          <w:szCs w:val="32"/>
          <w:lang w:val="en-US" w:eastAsia="zh-CN"/>
        </w:rPr>
        <w:t>41.93</w:t>
      </w:r>
      <w:r>
        <w:rPr>
          <w:rFonts w:hint="default" w:ascii="Times New Roman" w:hAnsi="Times New Roman" w:eastAsia="方正仿宋_GBK" w:cs="Times New Roman"/>
          <w:sz w:val="32"/>
          <w:szCs w:val="32"/>
        </w:rPr>
        <w:t>万元，下降</w:t>
      </w:r>
      <w:r>
        <w:rPr>
          <w:rFonts w:hint="default" w:ascii="Times New Roman" w:hAnsi="Times New Roman" w:eastAsia="方正仿宋_GBK" w:cs="Times New Roman"/>
          <w:sz w:val="32"/>
          <w:szCs w:val="32"/>
          <w:lang w:val="en-US" w:eastAsia="zh-CN"/>
        </w:rPr>
        <w:t>54.62</w:t>
      </w:r>
      <w:r>
        <w:rPr>
          <w:rFonts w:hint="default" w:ascii="Times New Roman" w:hAnsi="Times New Roman" w:eastAsia="方正仿宋_GBK" w:cs="Times New Roman"/>
          <w:sz w:val="32"/>
          <w:szCs w:val="32"/>
        </w:rPr>
        <w:t>%。</w:t>
      </w:r>
    </w:p>
    <w:p w14:paraId="181B4920">
      <w:pPr>
        <w:pageBreakBefore w:val="0"/>
        <w:kinsoku/>
        <w:wordWrap/>
        <w:overflowPunct/>
        <w:topLinePunct w:val="0"/>
        <w:autoSpaceDE/>
        <w:autoSpaceDN/>
        <w:bidi w:val="0"/>
        <w:spacing w:line="576" w:lineRule="exact"/>
        <w:ind w:firstLine="643" w:firstLineChars="200"/>
        <w:textAlignment w:val="auto"/>
        <w:outlineLvl w:val="2"/>
        <w:rPr>
          <w:rFonts w:hint="default" w:ascii="Times New Roman" w:hAnsi="Times New Roman" w:eastAsia="楷体_GB2312" w:cs="Times New Roman"/>
          <w:b/>
          <w:sz w:val="32"/>
          <w:szCs w:val="32"/>
        </w:rPr>
      </w:pPr>
      <w:bookmarkStart w:id="63" w:name="_Toc15377217"/>
      <w:bookmarkStart w:id="64" w:name="_Toc13563"/>
      <w:r>
        <w:rPr>
          <w:rFonts w:hint="default" w:ascii="Times New Roman" w:hAnsi="Times New Roman" w:eastAsia="楷体_GB2312" w:cs="Times New Roman"/>
          <w:b/>
          <w:sz w:val="32"/>
          <w:szCs w:val="32"/>
        </w:rPr>
        <w:t>（二）“三公”经费财政拨款支出决算具体情况说明</w:t>
      </w:r>
      <w:bookmarkEnd w:id="63"/>
      <w:bookmarkEnd w:id="64"/>
    </w:p>
    <w:p w14:paraId="3582B8E9">
      <w:pPr>
        <w:pageBreakBefore w:val="0"/>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2024年度</w:t>
      </w:r>
      <w:r>
        <w:rPr>
          <w:rFonts w:hint="eastAsia" w:ascii="仿宋_GB2312" w:hAnsi="仿宋_GB2312" w:eastAsia="仿宋_GB2312" w:cs="仿宋_GB2312"/>
          <w:sz w:val="32"/>
          <w:szCs w:val="32"/>
        </w:rPr>
        <w:t>“三公”经</w:t>
      </w:r>
      <w:r>
        <w:rPr>
          <w:rFonts w:hint="default" w:ascii="Times New Roman" w:hAnsi="Times New Roman" w:eastAsia="仿宋_GB2312" w:cs="Times New Roman"/>
          <w:sz w:val="32"/>
          <w:szCs w:val="32"/>
        </w:rPr>
        <w:t>费财政拨款支出决算中，因公出国（境）费支出决算</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%；公务用车购置及运行维护费支出决算</w:t>
      </w:r>
      <w:r>
        <w:rPr>
          <w:rFonts w:hint="default" w:ascii="Times New Roman" w:hAnsi="Times New Roman" w:eastAsia="仿宋_GB2312" w:cs="Times New Roman"/>
          <w:sz w:val="32"/>
          <w:szCs w:val="32"/>
          <w:lang w:val="en-US" w:eastAsia="zh-CN"/>
        </w:rPr>
        <w:t>34.83</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%；公务接待费支出决算</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%。具体情况如下：</w:t>
      </w:r>
    </w:p>
    <w:tbl>
      <w:tblPr>
        <w:tblStyle w:val="18"/>
        <w:tblW w:w="83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9"/>
        <w:gridCol w:w="1149"/>
        <w:gridCol w:w="1175"/>
        <w:gridCol w:w="1124"/>
        <w:gridCol w:w="1029"/>
        <w:gridCol w:w="899"/>
        <w:gridCol w:w="862"/>
        <w:gridCol w:w="993"/>
      </w:tblGrid>
      <w:tr w14:paraId="6CC61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8300" w:type="dxa"/>
            <w:gridSpan w:val="8"/>
            <w:tcBorders>
              <w:top w:val="single" w:color="auto" w:sz="12" w:space="0"/>
              <w:left w:val="single" w:color="auto" w:sz="12" w:space="0"/>
              <w:bottom w:val="nil"/>
              <w:right w:val="single" w:color="auto" w:sz="12" w:space="0"/>
            </w:tcBorders>
          </w:tcPr>
          <w:p w14:paraId="0A6200D1">
            <w:pPr>
              <w:jc w:val="center"/>
              <w:rPr>
                <w:rFonts w:hint="default" w:ascii="Times New Roman" w:hAnsi="Times New Roman" w:cs="Times New Roman"/>
                <w:sz w:val="24"/>
              </w:rPr>
            </w:pPr>
            <w:r>
              <w:rPr>
                <w:rFonts w:hint="default" w:ascii="Times New Roman" w:hAnsi="Times New Roman" w:cs="Times New Roman"/>
                <w:b/>
                <w:color w:val="000000"/>
                <w:kern w:val="0"/>
                <w:sz w:val="24"/>
                <w:lang w:bidi="ar"/>
              </w:rPr>
              <w:t>“三公”经费支出情况</w:t>
            </w:r>
          </w:p>
        </w:tc>
      </w:tr>
      <w:tr w14:paraId="79C77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8300" w:type="dxa"/>
            <w:gridSpan w:val="8"/>
            <w:tcBorders>
              <w:top w:val="nil"/>
              <w:left w:val="single" w:color="auto" w:sz="12" w:space="0"/>
              <w:bottom w:val="single" w:color="auto" w:sz="12" w:space="0"/>
              <w:right w:val="single" w:color="auto" w:sz="12" w:space="0"/>
            </w:tcBorders>
          </w:tcPr>
          <w:p w14:paraId="05FA98E0">
            <w:pPr>
              <w:jc w:val="right"/>
              <w:rPr>
                <w:rFonts w:hint="default" w:ascii="Times New Roman" w:hAnsi="Times New Roman" w:cs="Times New Roman"/>
                <w:b/>
                <w:color w:val="000000"/>
                <w:kern w:val="0"/>
                <w:sz w:val="24"/>
                <w:lang w:bidi="ar"/>
              </w:rPr>
            </w:pPr>
            <w:r>
              <w:rPr>
                <w:rFonts w:hint="default" w:ascii="Times New Roman" w:hAnsi="Times New Roman" w:cs="Times New Roman"/>
                <w:b/>
                <w:color w:val="000000"/>
                <w:kern w:val="0"/>
                <w:sz w:val="24"/>
                <w:lang w:bidi="ar"/>
              </w:rPr>
              <w:t>单位：万元</w:t>
            </w:r>
          </w:p>
        </w:tc>
      </w:tr>
      <w:tr w14:paraId="59825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1069" w:type="dxa"/>
            <w:vMerge w:val="restart"/>
            <w:tcBorders>
              <w:top w:val="single" w:color="auto" w:sz="12" w:space="0"/>
              <w:left w:val="single" w:color="auto" w:sz="12" w:space="0"/>
              <w:right w:val="single" w:color="auto" w:sz="12" w:space="0"/>
            </w:tcBorders>
            <w:vAlign w:val="center"/>
          </w:tcPr>
          <w:p w14:paraId="754CC605">
            <w:pPr>
              <w:jc w:val="center"/>
              <w:rPr>
                <w:rFonts w:hint="default" w:ascii="Times New Roman" w:hAnsi="Times New Roman" w:cs="Times New Roman"/>
                <w:b/>
                <w:color w:val="000000"/>
                <w:kern w:val="0"/>
                <w:sz w:val="24"/>
                <w:lang w:bidi="ar"/>
              </w:rPr>
            </w:pPr>
            <w:r>
              <w:rPr>
                <w:rFonts w:hint="default" w:ascii="Times New Roman" w:hAnsi="Times New Roman" w:cs="Times New Roman"/>
                <w:b/>
                <w:color w:val="000000"/>
                <w:kern w:val="0"/>
                <w:sz w:val="24"/>
                <w:lang w:bidi="ar"/>
              </w:rPr>
              <w:t>本年支出</w:t>
            </w:r>
          </w:p>
        </w:tc>
        <w:tc>
          <w:tcPr>
            <w:tcW w:w="1149" w:type="dxa"/>
            <w:vMerge w:val="restart"/>
            <w:tcBorders>
              <w:top w:val="single" w:color="auto" w:sz="12" w:space="0"/>
              <w:left w:val="single" w:color="auto" w:sz="12" w:space="0"/>
              <w:right w:val="single" w:color="auto" w:sz="12" w:space="0"/>
            </w:tcBorders>
            <w:vAlign w:val="center"/>
          </w:tcPr>
          <w:p w14:paraId="1D559FA3">
            <w:pPr>
              <w:jc w:val="center"/>
              <w:rPr>
                <w:rFonts w:hint="default" w:ascii="Times New Roman" w:hAnsi="Times New Roman" w:cs="Times New Roman"/>
                <w:b/>
                <w:color w:val="000000"/>
                <w:kern w:val="0"/>
                <w:sz w:val="24"/>
                <w:lang w:bidi="ar"/>
              </w:rPr>
            </w:pPr>
            <w:r>
              <w:rPr>
                <w:rFonts w:hint="default" w:ascii="Times New Roman" w:hAnsi="Times New Roman" w:cs="Times New Roman"/>
                <w:b/>
                <w:color w:val="000000"/>
                <w:kern w:val="0"/>
                <w:sz w:val="24"/>
                <w:lang w:bidi="ar"/>
              </w:rPr>
              <w:t>比上年增减%</w:t>
            </w:r>
          </w:p>
        </w:tc>
        <w:tc>
          <w:tcPr>
            <w:tcW w:w="6082" w:type="dxa"/>
            <w:gridSpan w:val="6"/>
            <w:tcBorders>
              <w:top w:val="single" w:color="auto" w:sz="12" w:space="0"/>
              <w:left w:val="single" w:color="auto" w:sz="12" w:space="0"/>
              <w:bottom w:val="single" w:color="auto" w:sz="12" w:space="0"/>
              <w:right w:val="single" w:color="auto" w:sz="12" w:space="0"/>
            </w:tcBorders>
            <w:vAlign w:val="center"/>
          </w:tcPr>
          <w:p w14:paraId="78D9E064">
            <w:pPr>
              <w:jc w:val="center"/>
              <w:rPr>
                <w:rFonts w:hint="default" w:ascii="Times New Roman" w:hAnsi="Times New Roman" w:cs="Times New Roman"/>
                <w:b/>
                <w:color w:val="000000"/>
                <w:kern w:val="0"/>
                <w:sz w:val="24"/>
                <w:lang w:bidi="ar"/>
              </w:rPr>
            </w:pPr>
            <w:r>
              <w:rPr>
                <w:rFonts w:hint="default" w:ascii="Times New Roman" w:hAnsi="Times New Roman" w:cs="Times New Roman"/>
                <w:b/>
                <w:color w:val="000000"/>
                <w:kern w:val="0"/>
                <w:sz w:val="24"/>
                <w:lang w:bidi="ar"/>
              </w:rPr>
              <w:t>其中：</w:t>
            </w:r>
          </w:p>
        </w:tc>
      </w:tr>
      <w:tr w14:paraId="634AB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1069" w:type="dxa"/>
            <w:vMerge w:val="continue"/>
            <w:tcBorders>
              <w:left w:val="single" w:color="auto" w:sz="12" w:space="0"/>
              <w:bottom w:val="single" w:color="auto" w:sz="12" w:space="0"/>
              <w:right w:val="single" w:color="auto" w:sz="12" w:space="0"/>
            </w:tcBorders>
            <w:vAlign w:val="center"/>
          </w:tcPr>
          <w:p w14:paraId="77F6CCCE">
            <w:pPr>
              <w:jc w:val="center"/>
              <w:rPr>
                <w:rFonts w:hint="default" w:ascii="Times New Roman" w:hAnsi="Times New Roman" w:cs="Times New Roman"/>
                <w:b/>
                <w:color w:val="000000"/>
                <w:kern w:val="0"/>
                <w:sz w:val="24"/>
                <w:lang w:bidi="ar"/>
              </w:rPr>
            </w:pPr>
          </w:p>
        </w:tc>
        <w:tc>
          <w:tcPr>
            <w:tcW w:w="1149" w:type="dxa"/>
            <w:vMerge w:val="continue"/>
            <w:tcBorders>
              <w:left w:val="single" w:color="auto" w:sz="12" w:space="0"/>
              <w:bottom w:val="single" w:color="auto" w:sz="12" w:space="0"/>
              <w:right w:val="single" w:color="auto" w:sz="12" w:space="0"/>
            </w:tcBorders>
            <w:vAlign w:val="center"/>
          </w:tcPr>
          <w:p w14:paraId="521BECE0">
            <w:pPr>
              <w:jc w:val="center"/>
              <w:rPr>
                <w:rFonts w:hint="default" w:ascii="Times New Roman" w:hAnsi="Times New Roman" w:cs="Times New Roman"/>
                <w:b/>
                <w:color w:val="000000"/>
                <w:kern w:val="0"/>
                <w:sz w:val="24"/>
                <w:lang w:bidi="ar"/>
              </w:rPr>
            </w:pPr>
          </w:p>
        </w:tc>
        <w:tc>
          <w:tcPr>
            <w:tcW w:w="1175" w:type="dxa"/>
            <w:tcBorders>
              <w:top w:val="single" w:color="auto" w:sz="12" w:space="0"/>
              <w:left w:val="single" w:color="auto" w:sz="12" w:space="0"/>
              <w:bottom w:val="single" w:color="auto" w:sz="12" w:space="0"/>
              <w:right w:val="single" w:color="auto" w:sz="12" w:space="0"/>
            </w:tcBorders>
            <w:vAlign w:val="center"/>
          </w:tcPr>
          <w:p w14:paraId="145B38E6">
            <w:pPr>
              <w:jc w:val="center"/>
              <w:rPr>
                <w:rFonts w:hint="default" w:ascii="Times New Roman" w:hAnsi="Times New Roman" w:cs="Times New Roman"/>
                <w:b/>
                <w:color w:val="000000"/>
                <w:kern w:val="0"/>
                <w:sz w:val="24"/>
                <w:lang w:bidi="ar"/>
              </w:rPr>
            </w:pPr>
            <w:r>
              <w:rPr>
                <w:rFonts w:hint="default" w:ascii="Times New Roman" w:hAnsi="Times New Roman" w:cs="Times New Roman"/>
                <w:b/>
                <w:color w:val="000000"/>
                <w:kern w:val="0"/>
                <w:sz w:val="24"/>
                <w:lang w:bidi="ar"/>
              </w:rPr>
              <w:t>公务用车购置及运行维护费</w:t>
            </w:r>
          </w:p>
        </w:tc>
        <w:tc>
          <w:tcPr>
            <w:tcW w:w="1124" w:type="dxa"/>
            <w:tcBorders>
              <w:top w:val="single" w:color="auto" w:sz="12" w:space="0"/>
              <w:left w:val="single" w:color="auto" w:sz="12" w:space="0"/>
              <w:bottom w:val="single" w:color="auto" w:sz="12" w:space="0"/>
              <w:right w:val="single" w:color="auto" w:sz="12" w:space="0"/>
            </w:tcBorders>
            <w:vAlign w:val="center"/>
          </w:tcPr>
          <w:p w14:paraId="0AA29C23">
            <w:pPr>
              <w:jc w:val="center"/>
              <w:rPr>
                <w:rFonts w:hint="default" w:ascii="Times New Roman" w:hAnsi="Times New Roman" w:cs="Times New Roman"/>
                <w:b/>
                <w:color w:val="000000"/>
                <w:kern w:val="0"/>
                <w:sz w:val="24"/>
                <w:lang w:bidi="ar"/>
              </w:rPr>
            </w:pPr>
            <w:r>
              <w:rPr>
                <w:rFonts w:hint="default" w:ascii="Times New Roman" w:hAnsi="Times New Roman" w:cs="Times New Roman"/>
                <w:b/>
                <w:color w:val="000000"/>
                <w:kern w:val="0"/>
                <w:sz w:val="24"/>
                <w:lang w:bidi="ar"/>
              </w:rPr>
              <w:t>比上年增减%</w:t>
            </w:r>
          </w:p>
        </w:tc>
        <w:tc>
          <w:tcPr>
            <w:tcW w:w="1029" w:type="dxa"/>
            <w:tcBorders>
              <w:top w:val="single" w:color="auto" w:sz="12" w:space="0"/>
              <w:left w:val="single" w:color="auto" w:sz="12" w:space="0"/>
              <w:bottom w:val="single" w:color="auto" w:sz="12" w:space="0"/>
              <w:right w:val="single" w:color="auto" w:sz="12" w:space="0"/>
            </w:tcBorders>
            <w:vAlign w:val="center"/>
          </w:tcPr>
          <w:p w14:paraId="1B4C9042">
            <w:pPr>
              <w:jc w:val="center"/>
              <w:rPr>
                <w:rFonts w:hint="default" w:ascii="Times New Roman" w:hAnsi="Times New Roman" w:cs="Times New Roman"/>
                <w:b/>
                <w:color w:val="000000"/>
                <w:kern w:val="0"/>
                <w:sz w:val="24"/>
                <w:lang w:bidi="ar"/>
              </w:rPr>
            </w:pPr>
            <w:r>
              <w:rPr>
                <w:rFonts w:hint="default" w:ascii="Times New Roman" w:hAnsi="Times New Roman" w:cs="Times New Roman"/>
                <w:b/>
                <w:color w:val="000000"/>
                <w:kern w:val="0"/>
                <w:sz w:val="24"/>
                <w:lang w:bidi="ar"/>
              </w:rPr>
              <w:t>公务接待费</w:t>
            </w:r>
          </w:p>
        </w:tc>
        <w:tc>
          <w:tcPr>
            <w:tcW w:w="899" w:type="dxa"/>
            <w:tcBorders>
              <w:top w:val="single" w:color="auto" w:sz="12" w:space="0"/>
              <w:left w:val="single" w:color="auto" w:sz="12" w:space="0"/>
              <w:bottom w:val="single" w:color="auto" w:sz="12" w:space="0"/>
              <w:right w:val="single" w:color="auto" w:sz="12" w:space="0"/>
            </w:tcBorders>
            <w:vAlign w:val="center"/>
          </w:tcPr>
          <w:p w14:paraId="6346E787">
            <w:pPr>
              <w:jc w:val="center"/>
              <w:rPr>
                <w:rFonts w:hint="default" w:ascii="Times New Roman" w:hAnsi="Times New Roman" w:cs="Times New Roman"/>
                <w:b/>
                <w:color w:val="000000"/>
                <w:kern w:val="0"/>
                <w:sz w:val="24"/>
                <w:lang w:bidi="ar"/>
              </w:rPr>
            </w:pPr>
            <w:r>
              <w:rPr>
                <w:rFonts w:hint="default" w:ascii="Times New Roman" w:hAnsi="Times New Roman" w:cs="Times New Roman"/>
                <w:b/>
                <w:color w:val="000000"/>
                <w:kern w:val="0"/>
                <w:sz w:val="24"/>
                <w:lang w:bidi="ar"/>
              </w:rPr>
              <w:t>比上年增减%</w:t>
            </w:r>
          </w:p>
        </w:tc>
        <w:tc>
          <w:tcPr>
            <w:tcW w:w="862" w:type="dxa"/>
            <w:tcBorders>
              <w:top w:val="single" w:color="auto" w:sz="12" w:space="0"/>
              <w:left w:val="single" w:color="auto" w:sz="12" w:space="0"/>
              <w:bottom w:val="single" w:color="auto" w:sz="12" w:space="0"/>
              <w:right w:val="single" w:color="auto" w:sz="12" w:space="0"/>
            </w:tcBorders>
            <w:vAlign w:val="center"/>
          </w:tcPr>
          <w:p w14:paraId="322CFEAF">
            <w:pPr>
              <w:jc w:val="center"/>
              <w:rPr>
                <w:rFonts w:hint="default" w:ascii="Times New Roman" w:hAnsi="Times New Roman" w:cs="Times New Roman"/>
                <w:b/>
                <w:color w:val="000000"/>
                <w:kern w:val="0"/>
                <w:sz w:val="24"/>
                <w:lang w:bidi="ar"/>
              </w:rPr>
            </w:pPr>
            <w:r>
              <w:rPr>
                <w:rFonts w:hint="default" w:ascii="Times New Roman" w:hAnsi="Times New Roman" w:cs="Times New Roman"/>
                <w:b/>
                <w:color w:val="000000"/>
                <w:kern w:val="0"/>
                <w:sz w:val="24"/>
                <w:lang w:bidi="ar"/>
              </w:rPr>
              <w:t>因公出国（境）</w:t>
            </w:r>
          </w:p>
        </w:tc>
        <w:tc>
          <w:tcPr>
            <w:tcW w:w="993" w:type="dxa"/>
            <w:tcBorders>
              <w:top w:val="single" w:color="auto" w:sz="12" w:space="0"/>
              <w:left w:val="single" w:color="auto" w:sz="12" w:space="0"/>
              <w:bottom w:val="single" w:color="auto" w:sz="12" w:space="0"/>
              <w:right w:val="single" w:color="auto" w:sz="12" w:space="0"/>
            </w:tcBorders>
            <w:vAlign w:val="center"/>
          </w:tcPr>
          <w:p w14:paraId="033354D9">
            <w:pPr>
              <w:jc w:val="center"/>
              <w:rPr>
                <w:rFonts w:hint="default" w:ascii="Times New Roman" w:hAnsi="Times New Roman" w:cs="Times New Roman"/>
                <w:b/>
                <w:color w:val="000000"/>
                <w:kern w:val="0"/>
                <w:sz w:val="24"/>
                <w:lang w:bidi="ar"/>
              </w:rPr>
            </w:pPr>
            <w:r>
              <w:rPr>
                <w:rFonts w:hint="default" w:ascii="Times New Roman" w:hAnsi="Times New Roman" w:cs="Times New Roman"/>
                <w:b/>
                <w:color w:val="000000"/>
                <w:kern w:val="0"/>
                <w:sz w:val="24"/>
                <w:lang w:bidi="ar"/>
              </w:rPr>
              <w:t>比上年增减%</w:t>
            </w:r>
          </w:p>
        </w:tc>
      </w:tr>
      <w:tr w14:paraId="7412B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jc w:val="center"/>
        </w:trPr>
        <w:tc>
          <w:tcPr>
            <w:tcW w:w="1069" w:type="dxa"/>
            <w:tcBorders>
              <w:top w:val="single" w:color="auto" w:sz="12" w:space="0"/>
              <w:left w:val="single" w:color="auto" w:sz="12" w:space="0"/>
              <w:bottom w:val="single" w:color="auto" w:sz="12" w:space="0"/>
              <w:right w:val="single" w:color="auto" w:sz="12" w:space="0"/>
            </w:tcBorders>
            <w:vAlign w:val="center"/>
          </w:tcPr>
          <w:p w14:paraId="4377C7C6">
            <w:pPr>
              <w:jc w:val="center"/>
              <w:rPr>
                <w:rFonts w:hint="default" w:ascii="Times New Roman" w:hAnsi="Times New Roman" w:cs="Times New Roman"/>
                <w:sz w:val="24"/>
              </w:rPr>
            </w:pPr>
            <w:r>
              <w:rPr>
                <w:rFonts w:hint="default" w:ascii="Times New Roman" w:hAnsi="Times New Roman" w:cs="Times New Roman"/>
                <w:sz w:val="24"/>
              </w:rPr>
              <w:t>34.</w:t>
            </w:r>
            <w:r>
              <w:rPr>
                <w:rFonts w:hint="default" w:ascii="Times New Roman" w:hAnsi="Times New Roman" w:cs="Times New Roman"/>
                <w:sz w:val="24"/>
                <w:lang w:val="en-US" w:eastAsia="zh-CN"/>
              </w:rPr>
              <w:t>8</w:t>
            </w:r>
            <w:r>
              <w:rPr>
                <w:rFonts w:hint="default" w:ascii="Times New Roman" w:hAnsi="Times New Roman" w:cs="Times New Roman"/>
                <w:sz w:val="24"/>
              </w:rPr>
              <w:t>3</w:t>
            </w:r>
          </w:p>
        </w:tc>
        <w:tc>
          <w:tcPr>
            <w:tcW w:w="1149" w:type="dxa"/>
            <w:tcBorders>
              <w:top w:val="single" w:color="auto" w:sz="12" w:space="0"/>
              <w:left w:val="single" w:color="auto" w:sz="12" w:space="0"/>
              <w:bottom w:val="single" w:color="auto" w:sz="12" w:space="0"/>
              <w:right w:val="single" w:color="auto" w:sz="12" w:space="0"/>
            </w:tcBorders>
            <w:vAlign w:val="center"/>
          </w:tcPr>
          <w:p w14:paraId="6537C54E">
            <w:pPr>
              <w:jc w:val="center"/>
              <w:rPr>
                <w:rFonts w:hint="default" w:ascii="Times New Roman" w:hAnsi="Times New Roman" w:cs="Times New Roman"/>
                <w:sz w:val="24"/>
              </w:rPr>
            </w:pPr>
            <w:r>
              <w:rPr>
                <w:rFonts w:hint="eastAsia" w:cs="Times New Roman"/>
                <w:sz w:val="24"/>
                <w:lang w:val="en-US" w:eastAsia="zh-CN"/>
              </w:rPr>
              <w:t>-</w:t>
            </w:r>
            <w:r>
              <w:rPr>
                <w:rFonts w:hint="default" w:ascii="Times New Roman" w:hAnsi="Times New Roman" w:cs="Times New Roman"/>
                <w:sz w:val="24"/>
              </w:rPr>
              <w:t>5</w:t>
            </w:r>
            <w:r>
              <w:rPr>
                <w:rFonts w:hint="default" w:ascii="Times New Roman" w:hAnsi="Times New Roman" w:cs="Times New Roman"/>
                <w:sz w:val="24"/>
                <w:lang w:val="en-US" w:eastAsia="zh-CN"/>
              </w:rPr>
              <w:t>4.62</w:t>
            </w:r>
            <w:r>
              <w:rPr>
                <w:rFonts w:hint="default" w:ascii="Times New Roman" w:hAnsi="Times New Roman" w:cs="Times New Roman"/>
                <w:sz w:val="24"/>
              </w:rPr>
              <w:t>%</w:t>
            </w:r>
          </w:p>
        </w:tc>
        <w:tc>
          <w:tcPr>
            <w:tcW w:w="1175" w:type="dxa"/>
            <w:tcBorders>
              <w:top w:val="single" w:color="auto" w:sz="12" w:space="0"/>
              <w:left w:val="single" w:color="auto" w:sz="12" w:space="0"/>
              <w:bottom w:val="single" w:color="auto" w:sz="12" w:space="0"/>
              <w:right w:val="single" w:color="auto" w:sz="12" w:space="0"/>
            </w:tcBorders>
            <w:vAlign w:val="center"/>
          </w:tcPr>
          <w:p w14:paraId="27991B07">
            <w:pPr>
              <w:jc w:val="center"/>
              <w:rPr>
                <w:rFonts w:hint="default" w:ascii="Times New Roman" w:hAnsi="Times New Roman" w:cs="Times New Roman"/>
                <w:sz w:val="24"/>
              </w:rPr>
            </w:pPr>
            <w:r>
              <w:rPr>
                <w:rFonts w:hint="default" w:ascii="Times New Roman" w:hAnsi="Times New Roman" w:cs="Times New Roman"/>
                <w:sz w:val="24"/>
              </w:rPr>
              <w:t>34.</w:t>
            </w:r>
            <w:r>
              <w:rPr>
                <w:rFonts w:hint="default" w:ascii="Times New Roman" w:hAnsi="Times New Roman" w:cs="Times New Roman"/>
                <w:sz w:val="24"/>
                <w:lang w:val="en-US" w:eastAsia="zh-CN"/>
              </w:rPr>
              <w:t>8</w:t>
            </w:r>
            <w:r>
              <w:rPr>
                <w:rFonts w:hint="default" w:ascii="Times New Roman" w:hAnsi="Times New Roman" w:cs="Times New Roman"/>
                <w:sz w:val="24"/>
              </w:rPr>
              <w:t>3</w:t>
            </w:r>
          </w:p>
        </w:tc>
        <w:tc>
          <w:tcPr>
            <w:tcW w:w="1124" w:type="dxa"/>
            <w:tcBorders>
              <w:top w:val="single" w:color="auto" w:sz="12" w:space="0"/>
              <w:left w:val="single" w:color="auto" w:sz="12" w:space="0"/>
              <w:bottom w:val="single" w:color="auto" w:sz="12" w:space="0"/>
              <w:right w:val="single" w:color="auto" w:sz="12" w:space="0"/>
            </w:tcBorders>
            <w:vAlign w:val="center"/>
          </w:tcPr>
          <w:p w14:paraId="37AE9F47">
            <w:pPr>
              <w:jc w:val="center"/>
              <w:rPr>
                <w:rFonts w:hint="default" w:ascii="Times New Roman" w:hAnsi="Times New Roman" w:cs="Times New Roman"/>
                <w:sz w:val="24"/>
              </w:rPr>
            </w:pPr>
            <w:r>
              <w:rPr>
                <w:rFonts w:hint="eastAsia" w:cs="Times New Roman"/>
                <w:sz w:val="24"/>
                <w:lang w:val="en-US" w:eastAsia="zh-CN"/>
              </w:rPr>
              <w:t>-</w:t>
            </w:r>
            <w:r>
              <w:rPr>
                <w:rFonts w:hint="default" w:ascii="Times New Roman" w:hAnsi="Times New Roman" w:cs="Times New Roman"/>
                <w:sz w:val="24"/>
              </w:rPr>
              <w:t>5</w:t>
            </w:r>
            <w:r>
              <w:rPr>
                <w:rFonts w:hint="default" w:ascii="Times New Roman" w:hAnsi="Times New Roman" w:cs="Times New Roman"/>
                <w:sz w:val="24"/>
                <w:lang w:val="en-US" w:eastAsia="zh-CN"/>
              </w:rPr>
              <w:t>4.62</w:t>
            </w:r>
            <w:r>
              <w:rPr>
                <w:rFonts w:hint="default" w:ascii="Times New Roman" w:hAnsi="Times New Roman" w:cs="Times New Roman"/>
                <w:sz w:val="24"/>
              </w:rPr>
              <w:t>%</w:t>
            </w:r>
          </w:p>
        </w:tc>
        <w:tc>
          <w:tcPr>
            <w:tcW w:w="1029" w:type="dxa"/>
            <w:tcBorders>
              <w:top w:val="single" w:color="auto" w:sz="12" w:space="0"/>
              <w:left w:val="single" w:color="auto" w:sz="12" w:space="0"/>
              <w:bottom w:val="single" w:color="auto" w:sz="12" w:space="0"/>
              <w:right w:val="single" w:color="auto" w:sz="12" w:space="0"/>
            </w:tcBorders>
            <w:vAlign w:val="center"/>
          </w:tcPr>
          <w:p w14:paraId="4121486D">
            <w:pPr>
              <w:jc w:val="center"/>
              <w:rPr>
                <w:rFonts w:hint="default" w:ascii="Times New Roman" w:hAnsi="Times New Roman" w:cs="Times New Roman"/>
                <w:sz w:val="24"/>
              </w:rPr>
            </w:pPr>
            <w:r>
              <w:rPr>
                <w:rFonts w:hint="default" w:ascii="Times New Roman" w:hAnsi="Times New Roman" w:cs="Times New Roman"/>
                <w:sz w:val="24"/>
              </w:rPr>
              <w:t>0.00</w:t>
            </w:r>
          </w:p>
        </w:tc>
        <w:tc>
          <w:tcPr>
            <w:tcW w:w="899" w:type="dxa"/>
            <w:tcBorders>
              <w:top w:val="single" w:color="auto" w:sz="12" w:space="0"/>
              <w:left w:val="single" w:color="auto" w:sz="12" w:space="0"/>
              <w:bottom w:val="single" w:color="auto" w:sz="12" w:space="0"/>
              <w:right w:val="single" w:color="auto" w:sz="12" w:space="0"/>
            </w:tcBorders>
            <w:vAlign w:val="center"/>
          </w:tcPr>
          <w:p w14:paraId="34E44B13">
            <w:pPr>
              <w:jc w:val="center"/>
              <w:rPr>
                <w:rFonts w:hint="default" w:ascii="Times New Roman" w:hAnsi="Times New Roman" w:cs="Times New Roman"/>
                <w:sz w:val="24"/>
              </w:rPr>
            </w:pPr>
          </w:p>
        </w:tc>
        <w:tc>
          <w:tcPr>
            <w:tcW w:w="862" w:type="dxa"/>
            <w:tcBorders>
              <w:top w:val="single" w:color="auto" w:sz="12" w:space="0"/>
              <w:left w:val="single" w:color="auto" w:sz="12" w:space="0"/>
              <w:bottom w:val="single" w:color="auto" w:sz="12" w:space="0"/>
              <w:right w:val="single" w:color="auto" w:sz="12" w:space="0"/>
            </w:tcBorders>
            <w:vAlign w:val="center"/>
          </w:tcPr>
          <w:p w14:paraId="3520EAB3">
            <w:pPr>
              <w:jc w:val="center"/>
              <w:rPr>
                <w:rFonts w:hint="default" w:ascii="Times New Roman" w:hAnsi="Times New Roman" w:cs="Times New Roman"/>
                <w:sz w:val="24"/>
              </w:rPr>
            </w:pPr>
            <w:r>
              <w:rPr>
                <w:rFonts w:hint="default" w:ascii="Times New Roman" w:hAnsi="Times New Roman" w:cs="Times New Roman"/>
                <w:sz w:val="24"/>
              </w:rPr>
              <w:t>0.00</w:t>
            </w:r>
          </w:p>
        </w:tc>
        <w:tc>
          <w:tcPr>
            <w:tcW w:w="993" w:type="dxa"/>
            <w:tcBorders>
              <w:top w:val="single" w:color="auto" w:sz="12" w:space="0"/>
              <w:left w:val="single" w:color="auto" w:sz="12" w:space="0"/>
              <w:bottom w:val="single" w:color="auto" w:sz="12" w:space="0"/>
              <w:right w:val="single" w:color="auto" w:sz="12" w:space="0"/>
            </w:tcBorders>
            <w:vAlign w:val="center"/>
          </w:tcPr>
          <w:p w14:paraId="4AD8A3DA">
            <w:pPr>
              <w:jc w:val="center"/>
              <w:rPr>
                <w:rFonts w:hint="default" w:ascii="Times New Roman" w:hAnsi="Times New Roman" w:cs="Times New Roman"/>
                <w:sz w:val="24"/>
              </w:rPr>
            </w:pPr>
            <w:r>
              <w:rPr>
                <w:rFonts w:hint="default" w:ascii="Times New Roman" w:hAnsi="Times New Roman" w:cs="Times New Roman"/>
                <w:sz w:val="24"/>
              </w:rPr>
              <w:t>0</w:t>
            </w:r>
          </w:p>
        </w:tc>
      </w:tr>
    </w:tbl>
    <w:p w14:paraId="1E242049">
      <w:pPr>
        <w:pageBreakBefore w:val="0"/>
        <w:kinsoku/>
        <w:wordWrap/>
        <w:overflowPunct/>
        <w:topLinePunct w:val="0"/>
        <w:autoSpaceDE/>
        <w:autoSpaceDN/>
        <w:bidi w:val="0"/>
        <w:spacing w:line="576"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1.因公出国（境）经费支出</w:t>
      </w:r>
      <w:r>
        <w:rPr>
          <w:rFonts w:hint="default" w:ascii="Times New Roman" w:hAnsi="Times New Roman" w:eastAsia="仿宋_GB2312" w:cs="Times New Roman"/>
          <w:b/>
          <w:bCs/>
          <w:sz w:val="32"/>
          <w:szCs w:val="32"/>
          <w:lang w:val="en-US" w:eastAsia="zh-CN"/>
        </w:rPr>
        <w:t>0</w:t>
      </w:r>
      <w:r>
        <w:rPr>
          <w:rFonts w:hint="default" w:ascii="Times New Roman" w:hAnsi="Times New Roman" w:eastAsia="仿宋_GB2312" w:cs="Times New Roman"/>
          <w:b/>
          <w:bCs/>
          <w:sz w:val="32"/>
          <w:szCs w:val="32"/>
        </w:rPr>
        <w:t>万元，完成预算</w:t>
      </w:r>
      <w:r>
        <w:rPr>
          <w:rFonts w:hint="default" w:ascii="Times New Roman" w:hAnsi="Times New Roman" w:eastAsia="仿宋_GB2312" w:cs="Times New Roman"/>
          <w:b/>
          <w:bCs/>
          <w:sz w:val="32"/>
          <w:szCs w:val="32"/>
          <w:lang w:val="en-US" w:eastAsia="zh-CN"/>
        </w:rPr>
        <w:t>0</w:t>
      </w:r>
      <w:r>
        <w:rPr>
          <w:rFonts w:hint="default" w:ascii="Times New Roman" w:hAnsi="Times New Roman" w:eastAsia="仿宋_GB2312" w:cs="Times New Roman"/>
          <w:b/>
          <w:bCs/>
          <w:sz w:val="32"/>
          <w:szCs w:val="32"/>
        </w:rPr>
        <w:t>%。</w:t>
      </w:r>
      <w:r>
        <w:rPr>
          <w:rFonts w:hint="default" w:ascii="Times New Roman" w:hAnsi="Times New Roman" w:eastAsia="仿宋_GB2312" w:cs="Times New Roman"/>
          <w:sz w:val="32"/>
          <w:szCs w:val="32"/>
        </w:rPr>
        <w:t>全年安排因公出国（境）团组</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次，出国（境）</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人。因公出国（境）支出决算比2023年增加/减少</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万元，增长/下降</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w:t>
      </w:r>
    </w:p>
    <w:p w14:paraId="1ECD7BDF">
      <w:pPr>
        <w:pageBreakBefore w:val="0"/>
        <w:kinsoku/>
        <w:wordWrap/>
        <w:overflowPunct/>
        <w:topLinePunct w:val="0"/>
        <w:autoSpaceDE/>
        <w:autoSpaceDN/>
        <w:bidi w:val="0"/>
        <w:spacing w:line="576"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2.公务用车购置及运行维护费支出</w:t>
      </w:r>
      <w:r>
        <w:rPr>
          <w:rFonts w:hint="default" w:ascii="Times New Roman" w:hAnsi="Times New Roman" w:eastAsia="仿宋_GB2312" w:cs="Times New Roman"/>
          <w:sz w:val="32"/>
          <w:szCs w:val="32"/>
          <w:lang w:val="en-US" w:eastAsia="zh-CN"/>
        </w:rPr>
        <w:t>34.83</w:t>
      </w:r>
      <w:r>
        <w:rPr>
          <w:rFonts w:hint="default" w:ascii="Times New Roman" w:hAnsi="Times New Roman" w:eastAsia="仿宋_GB2312" w:cs="Times New Roman"/>
          <w:b/>
          <w:bCs/>
          <w:sz w:val="32"/>
          <w:szCs w:val="32"/>
        </w:rPr>
        <w:t>万元，完成预算</w:t>
      </w:r>
      <w:r>
        <w:rPr>
          <w:rFonts w:hint="default" w:ascii="Times New Roman" w:hAnsi="Times New Roman" w:eastAsia="仿宋_GB2312" w:cs="Times New Roman"/>
          <w:b/>
          <w:bCs/>
          <w:sz w:val="32"/>
          <w:szCs w:val="32"/>
          <w:lang w:val="en-US" w:eastAsia="zh-CN"/>
        </w:rPr>
        <w:t>100</w:t>
      </w:r>
      <w:r>
        <w:rPr>
          <w:rFonts w:hint="default" w:ascii="Times New Roman" w:hAnsi="Times New Roman" w:eastAsia="仿宋_GB2312" w:cs="Times New Roman"/>
          <w:b/>
          <w:bCs/>
          <w:sz w:val="32"/>
          <w:szCs w:val="32"/>
        </w:rPr>
        <w:t>%。</w:t>
      </w:r>
      <w:r>
        <w:rPr>
          <w:rFonts w:hint="default" w:ascii="Times New Roman" w:hAnsi="Times New Roman" w:eastAsia="仿宋_GB2312" w:cs="Times New Roman"/>
          <w:sz w:val="32"/>
          <w:szCs w:val="32"/>
        </w:rPr>
        <w:t>公务用车购置及运行维护费支出决算比2023年度减少</w:t>
      </w:r>
      <w:r>
        <w:rPr>
          <w:rFonts w:hint="default" w:ascii="Times New Roman" w:hAnsi="Times New Roman" w:eastAsia="仿宋_GB2312" w:cs="Times New Roman"/>
          <w:sz w:val="32"/>
          <w:szCs w:val="32"/>
          <w:lang w:val="en-US" w:eastAsia="zh-CN"/>
        </w:rPr>
        <w:t>41.93</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下降</w:t>
      </w:r>
      <w:r>
        <w:rPr>
          <w:rFonts w:hint="default" w:ascii="Times New Roman" w:hAnsi="Times New Roman" w:eastAsia="仿宋_GB2312" w:cs="Times New Roman"/>
          <w:sz w:val="32"/>
          <w:szCs w:val="32"/>
          <w:lang w:val="en-US" w:eastAsia="zh-CN"/>
        </w:rPr>
        <w:t>54.62%</w:t>
      </w:r>
      <w:r>
        <w:rPr>
          <w:rFonts w:hint="default" w:ascii="Times New Roman" w:hAnsi="Times New Roman" w:eastAsia="仿宋_GB2312" w:cs="Times New Roman"/>
          <w:sz w:val="32"/>
          <w:szCs w:val="32"/>
        </w:rPr>
        <w:t>。其中：公务用车购置支出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万元。全年按规定更新购置公务用车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辆。截至2024年12月31日，单位共有公务用车</w:t>
      </w:r>
      <w:r>
        <w:rPr>
          <w:rFonts w:hint="default" w:ascii="Times New Roman" w:hAnsi="Times New Roman" w:eastAsia="仿宋_GB2312" w:cs="Times New Roman"/>
          <w:sz w:val="32"/>
          <w:szCs w:val="32"/>
          <w:lang w:val="en-US" w:eastAsia="zh-CN"/>
        </w:rPr>
        <w:t>11</w:t>
      </w:r>
      <w:r>
        <w:rPr>
          <w:rFonts w:hint="default" w:ascii="Times New Roman" w:hAnsi="Times New Roman" w:eastAsia="仿宋_GB2312" w:cs="Times New Roman"/>
          <w:sz w:val="32"/>
          <w:szCs w:val="32"/>
        </w:rPr>
        <w:t>辆，其中：</w:t>
      </w:r>
      <w:r>
        <w:rPr>
          <w:rFonts w:hint="default" w:ascii="Times New Roman" w:hAnsi="Times New Roman" w:eastAsia="仿宋_GB2312" w:cs="Times New Roman"/>
          <w:sz w:val="32"/>
          <w:szCs w:val="32"/>
          <w:lang w:val="en-US" w:eastAsia="zh-CN"/>
        </w:rPr>
        <w:t>应急保障车5辆，离退休干部服务用车6辆</w:t>
      </w:r>
      <w:r>
        <w:rPr>
          <w:rFonts w:hint="default" w:ascii="Times New Roman" w:hAnsi="Times New Roman" w:eastAsia="仿宋_GB2312" w:cs="Times New Roman"/>
          <w:sz w:val="32"/>
          <w:szCs w:val="32"/>
        </w:rPr>
        <w:t>。公务用车运行维护费支出</w:t>
      </w:r>
      <w:r>
        <w:rPr>
          <w:rFonts w:hint="default" w:ascii="Times New Roman" w:hAnsi="Times New Roman" w:eastAsia="仿宋_GB2312" w:cs="Times New Roman"/>
          <w:sz w:val="32"/>
          <w:szCs w:val="32"/>
          <w:lang w:val="en-US" w:eastAsia="zh-CN"/>
        </w:rPr>
        <w:t>34.83</w:t>
      </w:r>
      <w:r>
        <w:rPr>
          <w:rFonts w:hint="default" w:ascii="Times New Roman" w:hAnsi="Times New Roman" w:eastAsia="仿宋_GB2312" w:cs="Times New Roman"/>
          <w:sz w:val="32"/>
          <w:szCs w:val="32"/>
        </w:rPr>
        <w:t>万元。主要用于所需的公务用车燃料费、维修费、过路过桥费、保险费等支出。</w:t>
      </w:r>
    </w:p>
    <w:p w14:paraId="0DF7D7CC">
      <w:pPr>
        <w:pageBreakBefore w:val="0"/>
        <w:kinsoku/>
        <w:wordWrap/>
        <w:overflowPunct/>
        <w:topLinePunct w:val="0"/>
        <w:autoSpaceDE/>
        <w:autoSpaceDN/>
        <w:bidi w:val="0"/>
        <w:spacing w:line="576"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3.公务接待费支出</w:t>
      </w:r>
      <w:r>
        <w:rPr>
          <w:rFonts w:hint="default" w:ascii="Times New Roman" w:hAnsi="Times New Roman" w:eastAsia="仿宋_GB2312" w:cs="Times New Roman"/>
          <w:b/>
          <w:bCs/>
          <w:sz w:val="32"/>
          <w:szCs w:val="32"/>
          <w:lang w:val="en-US" w:eastAsia="zh-CN"/>
        </w:rPr>
        <w:t>0</w:t>
      </w:r>
      <w:r>
        <w:rPr>
          <w:rFonts w:hint="default" w:ascii="Times New Roman" w:hAnsi="Times New Roman" w:eastAsia="仿宋_GB2312" w:cs="Times New Roman"/>
          <w:b/>
          <w:bCs/>
          <w:sz w:val="32"/>
          <w:szCs w:val="32"/>
        </w:rPr>
        <w:t>万元，完成预算</w:t>
      </w:r>
      <w:r>
        <w:rPr>
          <w:rFonts w:hint="default" w:ascii="Times New Roman" w:hAnsi="Times New Roman" w:eastAsia="仿宋_GB2312" w:cs="Times New Roman"/>
          <w:b/>
          <w:bCs/>
          <w:sz w:val="32"/>
          <w:szCs w:val="32"/>
          <w:lang w:val="en-US" w:eastAsia="zh-CN"/>
        </w:rPr>
        <w:t>0</w:t>
      </w:r>
      <w:r>
        <w:rPr>
          <w:rFonts w:hint="default" w:ascii="Times New Roman" w:hAnsi="Times New Roman" w:eastAsia="仿宋_GB2312" w:cs="Times New Roman"/>
          <w:b/>
          <w:bCs/>
          <w:sz w:val="32"/>
          <w:szCs w:val="32"/>
        </w:rPr>
        <w:t>%。</w:t>
      </w:r>
      <w:r>
        <w:rPr>
          <w:rFonts w:hint="default" w:ascii="Times New Roman" w:hAnsi="Times New Roman" w:eastAsia="仿宋_GB2312" w:cs="Times New Roman"/>
          <w:sz w:val="32"/>
          <w:szCs w:val="32"/>
        </w:rPr>
        <w:t>公务接待费支出决算比2023年度增加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万元，增长</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w:t>
      </w:r>
      <w:bookmarkStart w:id="65" w:name="_Toc15377218"/>
      <w:bookmarkStart w:id="66" w:name="_Toc15396610"/>
    </w:p>
    <w:p w14:paraId="47228CBE">
      <w:pPr>
        <w:pageBreakBefore w:val="0"/>
        <w:kinsoku/>
        <w:wordWrap/>
        <w:overflowPunct/>
        <w:topLinePunct w:val="0"/>
        <w:autoSpaceDE/>
        <w:autoSpaceDN/>
        <w:bidi w:val="0"/>
        <w:spacing w:line="576" w:lineRule="exact"/>
        <w:ind w:firstLine="640" w:firstLineChars="200"/>
        <w:textAlignment w:val="auto"/>
        <w:outlineLvl w:val="1"/>
        <w:rPr>
          <w:rStyle w:val="32"/>
          <w:rFonts w:hint="default" w:ascii="Times New Roman" w:hAnsi="Times New Roman" w:eastAsia="黑体" w:cs="Times New Roman"/>
        </w:rPr>
      </w:pPr>
      <w:bookmarkStart w:id="67" w:name="_Toc18918"/>
      <w:r>
        <w:rPr>
          <w:rFonts w:hint="default" w:ascii="Times New Roman" w:hAnsi="Times New Roman" w:eastAsia="黑体" w:cs="Times New Roman"/>
          <w:sz w:val="32"/>
          <w:szCs w:val="32"/>
        </w:rPr>
        <w:t>八、</w:t>
      </w:r>
      <w:r>
        <w:rPr>
          <w:rStyle w:val="32"/>
          <w:rFonts w:hint="default" w:ascii="Times New Roman" w:hAnsi="Times New Roman" w:eastAsia="黑体" w:cs="Times New Roman"/>
          <w:b w:val="0"/>
        </w:rPr>
        <w:t>政府性基金预算支出决算情况说明</w:t>
      </w:r>
      <w:bookmarkEnd w:id="65"/>
      <w:bookmarkEnd w:id="66"/>
      <w:bookmarkEnd w:id="67"/>
    </w:p>
    <w:p w14:paraId="019E7AD2">
      <w:pPr>
        <w:pageBreakBefore w:val="0"/>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sz w:val="32"/>
          <w:szCs w:val="32"/>
        </w:rPr>
        <w:t>2024年度政府性基金预算财政拨款支出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万元，占本年支出合计的</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%。与2023年度相比，政府性基金预算财政拨款支出增加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万元，增长</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w:t>
      </w:r>
    </w:p>
    <w:p w14:paraId="4A9A739A">
      <w:pPr>
        <w:pageBreakBefore w:val="0"/>
        <w:kinsoku/>
        <w:wordWrap/>
        <w:overflowPunct/>
        <w:topLinePunct w:val="0"/>
        <w:autoSpaceDE/>
        <w:autoSpaceDN/>
        <w:bidi w:val="0"/>
        <w:spacing w:line="576" w:lineRule="exact"/>
        <w:ind w:firstLine="640" w:firstLineChars="200"/>
        <w:textAlignment w:val="auto"/>
        <w:outlineLvl w:val="1"/>
        <w:rPr>
          <w:rStyle w:val="32"/>
          <w:rFonts w:hint="default" w:ascii="Times New Roman" w:hAnsi="Times New Roman" w:eastAsia="黑体" w:cs="Times New Roman"/>
          <w:b w:val="0"/>
        </w:rPr>
      </w:pPr>
      <w:bookmarkStart w:id="68" w:name="_Toc2827"/>
      <w:bookmarkStart w:id="69" w:name="_Toc15377219"/>
      <w:bookmarkStart w:id="70" w:name="_Toc15396611"/>
      <w:r>
        <w:rPr>
          <w:rStyle w:val="32"/>
          <w:rFonts w:hint="default" w:ascii="Times New Roman" w:hAnsi="Times New Roman" w:eastAsia="黑体" w:cs="Times New Roman"/>
          <w:b w:val="0"/>
        </w:rPr>
        <w:t>九、国有资本经营预算支出决算情况说明</w:t>
      </w:r>
      <w:bookmarkEnd w:id="68"/>
      <w:bookmarkEnd w:id="69"/>
      <w:bookmarkEnd w:id="70"/>
    </w:p>
    <w:p w14:paraId="7AE95F82">
      <w:pPr>
        <w:pageBreakBefore w:val="0"/>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2024年度国有资本经营预算财政拨款支出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万元，占本年支出合计的</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%。与2023年度相比，国有资本经营预算财政拨款支出增加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万元，增长</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w:t>
      </w:r>
    </w:p>
    <w:p w14:paraId="2CA2FA4F">
      <w:pPr>
        <w:pageBreakBefore w:val="0"/>
        <w:kinsoku/>
        <w:wordWrap/>
        <w:overflowPunct/>
        <w:topLinePunct w:val="0"/>
        <w:autoSpaceDE/>
        <w:autoSpaceDN/>
        <w:bidi w:val="0"/>
        <w:spacing w:line="576" w:lineRule="exact"/>
        <w:ind w:firstLine="640" w:firstLineChars="200"/>
        <w:textAlignment w:val="auto"/>
        <w:outlineLvl w:val="1"/>
        <w:rPr>
          <w:rStyle w:val="32"/>
          <w:rFonts w:hint="default" w:ascii="Times New Roman" w:hAnsi="Times New Roman" w:eastAsia="黑体" w:cs="Times New Roman"/>
          <w:b w:val="0"/>
        </w:rPr>
      </w:pPr>
      <w:bookmarkStart w:id="71" w:name="_Toc8480"/>
      <w:bookmarkStart w:id="72" w:name="_Toc15396612"/>
      <w:bookmarkStart w:id="73" w:name="_Toc15377221"/>
      <w:r>
        <w:rPr>
          <w:rStyle w:val="32"/>
          <w:rFonts w:hint="default" w:ascii="Times New Roman" w:hAnsi="Times New Roman" w:eastAsia="黑体" w:cs="Times New Roman"/>
          <w:b w:val="0"/>
        </w:rPr>
        <w:t>十、其他重要事项的情况说明</w:t>
      </w:r>
      <w:bookmarkEnd w:id="71"/>
      <w:bookmarkEnd w:id="72"/>
      <w:bookmarkEnd w:id="73"/>
    </w:p>
    <w:p w14:paraId="2635AD73">
      <w:pPr>
        <w:pageBreakBefore w:val="0"/>
        <w:kinsoku/>
        <w:wordWrap/>
        <w:overflowPunct/>
        <w:topLinePunct w:val="0"/>
        <w:autoSpaceDE/>
        <w:autoSpaceDN/>
        <w:bidi w:val="0"/>
        <w:spacing w:line="576" w:lineRule="exact"/>
        <w:ind w:firstLine="643" w:firstLineChars="200"/>
        <w:textAlignment w:val="auto"/>
        <w:outlineLvl w:val="2"/>
        <w:rPr>
          <w:rFonts w:hint="default" w:ascii="Times New Roman" w:hAnsi="Times New Roman" w:eastAsia="楷体_GB2312" w:cs="Times New Roman"/>
          <w:b/>
          <w:sz w:val="32"/>
          <w:szCs w:val="32"/>
        </w:rPr>
      </w:pPr>
      <w:bookmarkStart w:id="74" w:name="_Toc15377222"/>
      <w:bookmarkStart w:id="75" w:name="_Toc1737"/>
      <w:r>
        <w:rPr>
          <w:rFonts w:hint="default" w:ascii="Times New Roman" w:hAnsi="Times New Roman" w:eastAsia="楷体_GB2312" w:cs="Times New Roman"/>
          <w:b/>
          <w:sz w:val="32"/>
          <w:szCs w:val="32"/>
        </w:rPr>
        <w:t>（一）机关运行经费支出情况</w:t>
      </w:r>
      <w:bookmarkEnd w:id="74"/>
      <w:bookmarkEnd w:id="75"/>
    </w:p>
    <w:p w14:paraId="7B010C1B">
      <w:pPr>
        <w:pageBreakBefore w:val="0"/>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2024年度，</w:t>
      </w:r>
      <w:r>
        <w:rPr>
          <w:rFonts w:hint="eastAsia" w:eastAsia="仿宋_GB2312" w:cs="Times New Roman"/>
          <w:sz w:val="32"/>
          <w:szCs w:val="32"/>
          <w:lang w:val="en-US" w:eastAsia="zh-CN"/>
        </w:rPr>
        <w:t>中共阿坝州委老干部局</w:t>
      </w:r>
      <w:r>
        <w:rPr>
          <w:rFonts w:hint="default" w:ascii="Times New Roman" w:hAnsi="Times New Roman" w:eastAsia="仿宋_GB2312" w:cs="Times New Roman"/>
          <w:sz w:val="32"/>
          <w:szCs w:val="32"/>
        </w:rPr>
        <w:t>机关运行经费支出</w:t>
      </w:r>
      <w:r>
        <w:rPr>
          <w:rFonts w:hint="default" w:ascii="Times New Roman" w:hAnsi="Times New Roman" w:eastAsia="仿宋_GB2312" w:cs="Times New Roman"/>
          <w:sz w:val="32"/>
          <w:szCs w:val="32"/>
          <w:lang w:val="en-US" w:eastAsia="zh-CN"/>
        </w:rPr>
        <w:t>572.33</w:t>
      </w:r>
      <w:r>
        <w:rPr>
          <w:rFonts w:hint="default" w:ascii="Times New Roman" w:hAnsi="Times New Roman" w:eastAsia="仿宋_GB2312" w:cs="Times New Roman"/>
          <w:sz w:val="32"/>
          <w:szCs w:val="32"/>
        </w:rPr>
        <w:t>万元，比2023年度</w:t>
      </w:r>
      <w:r>
        <w:rPr>
          <w:rFonts w:hint="default" w:ascii="Times New Roman" w:hAnsi="Times New Roman" w:eastAsia="仿宋_GB2312" w:cs="Times New Roman"/>
          <w:sz w:val="32"/>
          <w:szCs w:val="32"/>
          <w:lang w:val="en-US" w:eastAsia="zh-CN"/>
        </w:rPr>
        <w:t>618.69万元</w:t>
      </w:r>
      <w:r>
        <w:rPr>
          <w:rFonts w:hint="default" w:ascii="Times New Roman" w:hAnsi="Times New Roman" w:eastAsia="仿宋_GB2312" w:cs="Times New Roman"/>
          <w:sz w:val="32"/>
          <w:szCs w:val="32"/>
        </w:rPr>
        <w:t>减少</w:t>
      </w:r>
      <w:r>
        <w:rPr>
          <w:rFonts w:hint="default" w:ascii="Times New Roman" w:hAnsi="Times New Roman" w:eastAsia="仿宋_GB2312" w:cs="Times New Roman"/>
          <w:sz w:val="32"/>
          <w:szCs w:val="32"/>
          <w:lang w:val="en-US" w:eastAsia="zh-CN"/>
        </w:rPr>
        <w:t>46.36</w:t>
      </w:r>
      <w:r>
        <w:rPr>
          <w:rFonts w:hint="default" w:ascii="Times New Roman" w:hAnsi="Times New Roman" w:eastAsia="仿宋_GB2312" w:cs="Times New Roman"/>
          <w:sz w:val="32"/>
          <w:szCs w:val="32"/>
        </w:rPr>
        <w:t>万元，下降</w:t>
      </w:r>
      <w:r>
        <w:rPr>
          <w:rFonts w:hint="default" w:ascii="Times New Roman" w:hAnsi="Times New Roman" w:eastAsia="仿宋_GB2312" w:cs="Times New Roman"/>
          <w:sz w:val="32"/>
          <w:szCs w:val="32"/>
          <w:lang w:val="en-US" w:eastAsia="zh-CN"/>
        </w:rPr>
        <w:t>7.49</w:t>
      </w:r>
      <w:r>
        <w:rPr>
          <w:rFonts w:hint="default" w:ascii="Times New Roman" w:hAnsi="Times New Roman" w:eastAsia="仿宋_GB2312" w:cs="Times New Roman"/>
          <w:sz w:val="32"/>
          <w:szCs w:val="32"/>
        </w:rPr>
        <w:t>%。主要原因是</w:t>
      </w:r>
      <w:r>
        <w:rPr>
          <w:rFonts w:hint="eastAsia" w:eastAsia="仿宋_GB2312" w:cs="Times New Roman"/>
          <w:sz w:val="32"/>
          <w:szCs w:val="32"/>
          <w:lang w:val="en-US" w:eastAsia="zh-CN"/>
        </w:rPr>
        <w:t>本年度单位按照中央八项规定精神</w:t>
      </w:r>
      <w:r>
        <w:rPr>
          <w:rFonts w:hint="default" w:ascii="Times New Roman" w:hAnsi="Times New Roman" w:eastAsia="仿宋_GB2312" w:cs="Times New Roman"/>
          <w:sz w:val="32"/>
          <w:szCs w:val="32"/>
          <w:lang w:val="en-US" w:eastAsia="zh-CN"/>
        </w:rPr>
        <w:t>厉行节约</w:t>
      </w:r>
      <w:r>
        <w:rPr>
          <w:rFonts w:hint="eastAsia" w:eastAsia="仿宋_GB2312" w:cs="Times New Roman"/>
          <w:sz w:val="32"/>
          <w:szCs w:val="32"/>
          <w:lang w:val="en-US" w:eastAsia="zh-CN"/>
        </w:rPr>
        <w:t>，故运行经费有所下降</w:t>
      </w:r>
      <w:r>
        <w:rPr>
          <w:rFonts w:hint="default" w:ascii="Times New Roman" w:hAnsi="Times New Roman" w:eastAsia="仿宋_GB2312" w:cs="Times New Roman"/>
          <w:sz w:val="32"/>
          <w:szCs w:val="32"/>
          <w:lang w:val="en-US" w:eastAsia="zh-CN"/>
        </w:rPr>
        <w:t>。</w:t>
      </w:r>
    </w:p>
    <w:p w14:paraId="55FA91AE">
      <w:pPr>
        <w:pageBreakBefore w:val="0"/>
        <w:kinsoku/>
        <w:wordWrap/>
        <w:overflowPunct/>
        <w:topLinePunct w:val="0"/>
        <w:autoSpaceDE/>
        <w:autoSpaceDN/>
        <w:bidi w:val="0"/>
        <w:spacing w:line="576" w:lineRule="exact"/>
        <w:ind w:firstLine="643" w:firstLineChars="200"/>
        <w:textAlignment w:val="auto"/>
        <w:outlineLvl w:val="2"/>
        <w:rPr>
          <w:rFonts w:hint="default" w:ascii="Times New Roman" w:hAnsi="Times New Roman" w:eastAsia="楷体_GB2312" w:cs="Times New Roman"/>
          <w:b/>
          <w:sz w:val="32"/>
          <w:szCs w:val="32"/>
        </w:rPr>
      </w:pPr>
      <w:bookmarkStart w:id="76" w:name="_Toc194"/>
      <w:bookmarkStart w:id="77" w:name="_Toc15377223"/>
      <w:r>
        <w:rPr>
          <w:rFonts w:hint="default" w:ascii="Times New Roman" w:hAnsi="Times New Roman" w:eastAsia="楷体_GB2312" w:cs="Times New Roman"/>
          <w:b/>
          <w:sz w:val="32"/>
          <w:szCs w:val="32"/>
        </w:rPr>
        <w:t>（二）政府采购支出情况</w:t>
      </w:r>
      <w:bookmarkEnd w:id="76"/>
      <w:bookmarkEnd w:id="77"/>
    </w:p>
    <w:p w14:paraId="64232170">
      <w:pPr>
        <w:pageBreakBefore w:val="0"/>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2024年度，</w:t>
      </w:r>
      <w:r>
        <w:rPr>
          <w:rFonts w:hint="eastAsia" w:eastAsia="仿宋_GB2312" w:cs="Times New Roman"/>
          <w:sz w:val="32"/>
          <w:szCs w:val="32"/>
          <w:lang w:val="en-US" w:eastAsia="zh-CN"/>
        </w:rPr>
        <w:t>中共阿坝州委老干部局</w:t>
      </w:r>
      <w:r>
        <w:rPr>
          <w:rFonts w:hint="default" w:ascii="Times New Roman" w:hAnsi="Times New Roman" w:eastAsia="仿宋_GB2312" w:cs="Times New Roman"/>
          <w:sz w:val="32"/>
          <w:szCs w:val="32"/>
        </w:rPr>
        <w:t>政府采购支出总额</w:t>
      </w:r>
      <w:r>
        <w:rPr>
          <w:rFonts w:hint="default" w:ascii="Times New Roman" w:hAnsi="Times New Roman" w:eastAsia="仿宋_GB2312" w:cs="Times New Roman"/>
          <w:sz w:val="32"/>
          <w:szCs w:val="32"/>
          <w:lang w:val="en-US" w:eastAsia="zh-CN"/>
        </w:rPr>
        <w:t>12.1</w:t>
      </w:r>
      <w:r>
        <w:rPr>
          <w:rFonts w:hint="default" w:ascii="Times New Roman" w:hAnsi="Times New Roman" w:eastAsia="仿宋_GB2312" w:cs="Times New Roman"/>
          <w:sz w:val="32"/>
          <w:szCs w:val="32"/>
        </w:rPr>
        <w:t>万元，其中：政府采购货物支出</w:t>
      </w:r>
      <w:r>
        <w:rPr>
          <w:rFonts w:hint="default" w:ascii="Times New Roman" w:hAnsi="Times New Roman" w:eastAsia="仿宋_GB2312" w:cs="Times New Roman"/>
          <w:sz w:val="32"/>
          <w:szCs w:val="32"/>
          <w:lang w:val="en-US" w:eastAsia="zh-CN"/>
        </w:rPr>
        <w:t>7.24</w:t>
      </w:r>
      <w:r>
        <w:rPr>
          <w:rFonts w:hint="default" w:ascii="Times New Roman" w:hAnsi="Times New Roman" w:eastAsia="仿宋_GB2312" w:cs="Times New Roman"/>
          <w:sz w:val="32"/>
          <w:szCs w:val="32"/>
        </w:rPr>
        <w:t>万元、政府采购工程支出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万元、政府采购服务支出</w:t>
      </w:r>
      <w:r>
        <w:rPr>
          <w:rFonts w:hint="default" w:ascii="Times New Roman" w:hAnsi="Times New Roman" w:eastAsia="仿宋_GB2312" w:cs="Times New Roman"/>
          <w:sz w:val="32"/>
          <w:szCs w:val="32"/>
          <w:lang w:val="en-US" w:eastAsia="zh-CN"/>
        </w:rPr>
        <w:t>0.63</w:t>
      </w:r>
      <w:r>
        <w:rPr>
          <w:rFonts w:hint="default" w:ascii="Times New Roman" w:hAnsi="Times New Roman" w:eastAsia="仿宋_GB2312" w:cs="Times New Roman"/>
          <w:sz w:val="32"/>
          <w:szCs w:val="32"/>
        </w:rPr>
        <w:t>万元。主要</w:t>
      </w:r>
      <w:r>
        <w:rPr>
          <w:rFonts w:hint="default" w:ascii="Times New Roman" w:hAnsi="Times New Roman" w:eastAsia="仿宋_GB2312" w:cs="Times New Roman"/>
          <w:sz w:val="32"/>
          <w:szCs w:val="32"/>
          <w:lang w:val="en-US" w:eastAsia="zh-CN"/>
        </w:rPr>
        <w:t>车辆保险及购买办公设备</w:t>
      </w:r>
      <w:r>
        <w:rPr>
          <w:rFonts w:hint="default" w:ascii="Times New Roman" w:hAnsi="Times New Roman" w:eastAsia="仿宋_GB2312" w:cs="Times New Roman"/>
          <w:sz w:val="32"/>
          <w:szCs w:val="32"/>
        </w:rPr>
        <w:t>。授予中小企业合同金额</w:t>
      </w:r>
      <w:r>
        <w:rPr>
          <w:rFonts w:hint="default" w:ascii="Times New Roman" w:hAnsi="Times New Roman" w:eastAsia="仿宋_GB2312" w:cs="Times New Roman"/>
          <w:sz w:val="32"/>
          <w:szCs w:val="32"/>
          <w:lang w:val="en-US" w:eastAsia="zh-CN"/>
        </w:rPr>
        <w:t>4.23</w:t>
      </w:r>
      <w:r>
        <w:rPr>
          <w:rFonts w:hint="default" w:ascii="Times New Roman" w:hAnsi="Times New Roman" w:eastAsia="仿宋_GB2312" w:cs="Times New Roman"/>
          <w:sz w:val="32"/>
          <w:szCs w:val="32"/>
        </w:rPr>
        <w:t>万元，占政府采购支出总额的</w:t>
      </w:r>
      <w:r>
        <w:rPr>
          <w:rFonts w:hint="default" w:ascii="Times New Roman" w:hAnsi="Times New Roman" w:eastAsia="仿宋_GB2312" w:cs="Times New Roman"/>
          <w:sz w:val="32"/>
          <w:szCs w:val="32"/>
          <w:lang w:val="en-US" w:eastAsia="zh-CN"/>
        </w:rPr>
        <w:t>34.96</w:t>
      </w:r>
      <w:r>
        <w:rPr>
          <w:rFonts w:hint="default" w:ascii="Times New Roman" w:hAnsi="Times New Roman" w:eastAsia="仿宋_GB2312" w:cs="Times New Roman"/>
          <w:sz w:val="32"/>
          <w:szCs w:val="32"/>
        </w:rPr>
        <w:t>%，其中：授予小微企业合同金额</w:t>
      </w:r>
      <w:r>
        <w:rPr>
          <w:rFonts w:hint="default" w:ascii="Times New Roman" w:hAnsi="Times New Roman" w:eastAsia="仿宋_GB2312" w:cs="Times New Roman"/>
          <w:sz w:val="32"/>
          <w:szCs w:val="32"/>
          <w:lang w:val="en-US" w:eastAsia="zh-CN"/>
        </w:rPr>
        <w:t>4.23</w:t>
      </w:r>
      <w:r>
        <w:rPr>
          <w:rFonts w:hint="default" w:ascii="Times New Roman" w:hAnsi="Times New Roman" w:eastAsia="仿宋_GB2312" w:cs="Times New Roman"/>
          <w:sz w:val="32"/>
          <w:szCs w:val="32"/>
        </w:rPr>
        <w:t>万元，占政府采购支出总额的</w:t>
      </w:r>
      <w:r>
        <w:rPr>
          <w:rFonts w:hint="default" w:ascii="Times New Roman" w:hAnsi="Times New Roman" w:eastAsia="仿宋_GB2312" w:cs="Times New Roman"/>
          <w:sz w:val="32"/>
          <w:szCs w:val="32"/>
          <w:lang w:val="en-US" w:eastAsia="zh-CN"/>
        </w:rPr>
        <w:t>34.96</w:t>
      </w:r>
      <w:r>
        <w:rPr>
          <w:rFonts w:hint="default" w:ascii="Times New Roman" w:hAnsi="Times New Roman" w:eastAsia="仿宋_GB2312" w:cs="Times New Roman"/>
          <w:sz w:val="32"/>
          <w:szCs w:val="32"/>
        </w:rPr>
        <w:t>%。</w:t>
      </w:r>
    </w:p>
    <w:p w14:paraId="45302635">
      <w:pPr>
        <w:pageBreakBefore w:val="0"/>
        <w:kinsoku/>
        <w:wordWrap/>
        <w:overflowPunct/>
        <w:topLinePunct w:val="0"/>
        <w:autoSpaceDE/>
        <w:autoSpaceDN/>
        <w:bidi w:val="0"/>
        <w:spacing w:line="576" w:lineRule="exact"/>
        <w:ind w:firstLine="643" w:firstLineChars="200"/>
        <w:textAlignment w:val="auto"/>
        <w:outlineLvl w:val="2"/>
        <w:rPr>
          <w:rFonts w:hint="default" w:ascii="Times New Roman" w:hAnsi="Times New Roman" w:eastAsia="楷体_GB2312" w:cs="Times New Roman"/>
          <w:b/>
          <w:sz w:val="32"/>
          <w:szCs w:val="32"/>
        </w:rPr>
      </w:pPr>
      <w:bookmarkStart w:id="78" w:name="_Toc27111"/>
      <w:bookmarkStart w:id="79" w:name="_Toc15377224"/>
      <w:r>
        <w:rPr>
          <w:rFonts w:hint="default" w:ascii="Times New Roman" w:hAnsi="Times New Roman" w:eastAsia="楷体_GB2312" w:cs="Times New Roman"/>
          <w:b/>
          <w:sz w:val="32"/>
          <w:szCs w:val="32"/>
        </w:rPr>
        <w:t>（三）国有资产占有使用情况</w:t>
      </w:r>
      <w:bookmarkEnd w:id="78"/>
      <w:bookmarkEnd w:id="79"/>
    </w:p>
    <w:p w14:paraId="1C776524">
      <w:pPr>
        <w:pageBreakBefore w:val="0"/>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截至2024年12月31日，</w:t>
      </w:r>
      <w:r>
        <w:rPr>
          <w:rFonts w:hint="default" w:ascii="Times New Roman" w:hAnsi="Times New Roman" w:eastAsia="仿宋_GB2312" w:cs="Times New Roman"/>
          <w:sz w:val="32"/>
          <w:szCs w:val="32"/>
          <w:lang w:val="en-US" w:eastAsia="zh-CN"/>
        </w:rPr>
        <w:t>中共阿坝州委老干部局</w:t>
      </w:r>
      <w:r>
        <w:rPr>
          <w:rFonts w:hint="default" w:ascii="Times New Roman" w:hAnsi="Times New Roman" w:eastAsia="仿宋_GB2312" w:cs="Times New Roman"/>
          <w:sz w:val="32"/>
          <w:szCs w:val="32"/>
        </w:rPr>
        <w:t>共有车辆</w:t>
      </w:r>
      <w:r>
        <w:rPr>
          <w:rFonts w:hint="default" w:ascii="Times New Roman" w:hAnsi="Times New Roman" w:eastAsia="仿宋_GB2312" w:cs="Times New Roman"/>
          <w:sz w:val="32"/>
          <w:szCs w:val="32"/>
          <w:lang w:val="en-US" w:eastAsia="zh-CN"/>
        </w:rPr>
        <w:t>11</w:t>
      </w:r>
      <w:r>
        <w:rPr>
          <w:rFonts w:hint="default" w:ascii="Times New Roman" w:hAnsi="Times New Roman" w:eastAsia="仿宋_GB2312" w:cs="Times New Roman"/>
          <w:sz w:val="32"/>
          <w:szCs w:val="32"/>
        </w:rPr>
        <w:t>辆，其中：主要负责人用车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辆、机要通信用车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辆、应急保障用车</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辆、其他用车</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辆，其他用车主要是用于</w:t>
      </w:r>
      <w:r>
        <w:rPr>
          <w:rFonts w:hint="default" w:ascii="Times New Roman" w:hAnsi="Times New Roman" w:eastAsia="仿宋_GB2312" w:cs="Times New Roman"/>
          <w:sz w:val="32"/>
          <w:szCs w:val="32"/>
          <w:lang w:val="en-US" w:eastAsia="zh-CN"/>
        </w:rPr>
        <w:t>离退休干部服务用车</w:t>
      </w:r>
      <w:r>
        <w:rPr>
          <w:rFonts w:hint="default" w:ascii="Times New Roman" w:hAnsi="Times New Roman" w:eastAsia="仿宋_GB2312" w:cs="Times New Roman"/>
          <w:sz w:val="32"/>
          <w:szCs w:val="32"/>
        </w:rPr>
        <w:t>。单价100万元（含）以上设备（不含车辆）</w:t>
      </w:r>
      <w:r>
        <w:rPr>
          <w:rFonts w:hint="default" w:ascii="Times New Roman" w:hAnsi="Times New Roman" w:eastAsia="仿宋_GB2312" w:cs="Times New Roman"/>
          <w:sz w:val="32"/>
          <w:szCs w:val="32"/>
          <w:lang w:val="en-US" w:eastAsia="zh-CN"/>
        </w:rPr>
        <w:t>0台</w:t>
      </w:r>
      <w:r>
        <w:rPr>
          <w:rFonts w:hint="default" w:ascii="Times New Roman" w:hAnsi="Times New Roman" w:eastAsia="仿宋_GB2312" w:cs="Times New Roman"/>
          <w:sz w:val="32"/>
          <w:szCs w:val="32"/>
        </w:rPr>
        <w:t>。</w:t>
      </w:r>
    </w:p>
    <w:p w14:paraId="43666F02">
      <w:pPr>
        <w:pageBreakBefore w:val="0"/>
        <w:kinsoku/>
        <w:wordWrap/>
        <w:overflowPunct/>
        <w:topLinePunct w:val="0"/>
        <w:autoSpaceDE/>
        <w:autoSpaceDN/>
        <w:bidi w:val="0"/>
        <w:spacing w:line="576" w:lineRule="exact"/>
        <w:ind w:firstLine="643" w:firstLineChars="200"/>
        <w:textAlignment w:val="auto"/>
        <w:outlineLvl w:val="2"/>
        <w:rPr>
          <w:rFonts w:hint="default" w:ascii="Times New Roman" w:hAnsi="Times New Roman" w:eastAsia="楷体_GB2312" w:cs="Times New Roman"/>
          <w:b/>
          <w:sz w:val="32"/>
          <w:szCs w:val="32"/>
        </w:rPr>
      </w:pPr>
      <w:bookmarkStart w:id="80" w:name="_Toc24951"/>
      <w:r>
        <w:rPr>
          <w:rFonts w:hint="default" w:ascii="Times New Roman" w:hAnsi="Times New Roman" w:eastAsia="楷体_GB2312" w:cs="Times New Roman"/>
          <w:b/>
          <w:sz w:val="32"/>
          <w:szCs w:val="32"/>
        </w:rPr>
        <w:t>（四）预算绩效管理情况</w:t>
      </w:r>
      <w:bookmarkEnd w:id="80"/>
    </w:p>
    <w:p w14:paraId="4818AB03">
      <w:pPr>
        <w:snapToGrid w:val="0"/>
        <w:spacing w:line="520" w:lineRule="exact"/>
        <w:ind w:firstLine="640" w:firstLineChars="200"/>
        <w:rPr>
          <w:rFonts w:hint="default" w:ascii="Times New Roman" w:hAnsi="Times New Roman" w:eastAsia="仿宋_GB2312" w:cs="Times New Roman"/>
          <w:sz w:val="32"/>
          <w:szCs w:val="32"/>
        </w:rPr>
      </w:pPr>
      <w:r>
        <w:rPr>
          <w:rFonts w:hint="eastAsia" w:eastAsia="仿宋_GB2312" w:cs="Times New Roman"/>
          <w:sz w:val="32"/>
          <w:szCs w:val="32"/>
          <w:lang w:val="en-US" w:eastAsia="zh-CN"/>
        </w:rPr>
        <w:t>中共阿坝州委老干部局</w:t>
      </w:r>
      <w:r>
        <w:rPr>
          <w:rFonts w:hint="default" w:ascii="Times New Roman" w:hAnsi="Times New Roman" w:eastAsia="仿宋_GB2312" w:cs="Times New Roman"/>
          <w:sz w:val="32"/>
          <w:szCs w:val="32"/>
        </w:rPr>
        <w:t>严格按照</w:t>
      </w:r>
      <w:r>
        <w:rPr>
          <w:rFonts w:hint="eastAsia" w:eastAsia="仿宋_GB2312" w:cs="Times New Roman"/>
          <w:sz w:val="32"/>
          <w:szCs w:val="32"/>
          <w:lang w:val="en-US" w:eastAsia="zh-CN"/>
        </w:rPr>
        <w:t>本级财政相关</w:t>
      </w:r>
      <w:r>
        <w:rPr>
          <w:rFonts w:hint="default" w:ascii="Times New Roman" w:hAnsi="Times New Roman" w:eastAsia="仿宋_GB2312" w:cs="Times New Roman"/>
          <w:sz w:val="32"/>
          <w:szCs w:val="32"/>
        </w:rPr>
        <w:t>要求，对2024年度一般公共预算、政府性基金预算、国有资本经营预算、社会保险基金预算以及资本资产、债券资金等全面开展绩效自评，形成</w:t>
      </w:r>
      <w:r>
        <w:rPr>
          <w:rFonts w:hint="default" w:ascii="Times New Roman" w:hAnsi="Times New Roman" w:eastAsia="仿宋_GB2312" w:cs="Times New Roman"/>
          <w:sz w:val="32"/>
          <w:szCs w:val="32"/>
          <w:lang w:val="en-US" w:eastAsia="zh-CN"/>
        </w:rPr>
        <w:t>中共阿坝州委老干部局</w:t>
      </w:r>
      <w:r>
        <w:rPr>
          <w:rFonts w:hint="default" w:ascii="Times New Roman" w:hAnsi="Times New Roman" w:eastAsia="仿宋_GB2312" w:cs="Times New Roman"/>
          <w:sz w:val="32"/>
          <w:szCs w:val="32"/>
        </w:rPr>
        <w:t>部门整体（含部门预算项目）绩效自评报告</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部门整体（含部门预算项目）绩效自评得分为</w:t>
      </w:r>
      <w:r>
        <w:rPr>
          <w:rFonts w:hint="default" w:ascii="Times New Roman" w:hAnsi="Times New Roman" w:eastAsia="仿宋_GB2312" w:cs="Times New Roman"/>
          <w:sz w:val="32"/>
          <w:szCs w:val="32"/>
          <w:lang w:val="en-US" w:eastAsia="zh-CN"/>
        </w:rPr>
        <w:t>95.19</w:t>
      </w:r>
      <w:r>
        <w:rPr>
          <w:rFonts w:hint="default" w:ascii="Times New Roman" w:hAnsi="Times New Roman" w:eastAsia="仿宋_GB2312" w:cs="Times New Roman"/>
          <w:sz w:val="32"/>
          <w:szCs w:val="32"/>
        </w:rPr>
        <w:t>分。</w:t>
      </w:r>
      <w:r>
        <w:rPr>
          <w:rFonts w:hint="eastAsia" w:eastAsia="仿宋_GB2312" w:cs="Times New Roman"/>
          <w:sz w:val="32"/>
          <w:szCs w:val="32"/>
          <w:lang w:val="en-US" w:eastAsia="zh-CN"/>
        </w:rPr>
        <w:t>并</w:t>
      </w:r>
      <w:r>
        <w:rPr>
          <w:rFonts w:hint="default" w:ascii="Times New Roman" w:hAnsi="Times New Roman" w:eastAsia="仿宋_GB2312" w:cs="Times New Roman"/>
          <w:sz w:val="32"/>
          <w:szCs w:val="32"/>
        </w:rPr>
        <w:t>在规定时间内对外公开</w:t>
      </w:r>
      <w:r>
        <w:rPr>
          <w:rFonts w:hint="eastAsia" w:eastAsia="仿宋_GB2312" w:cs="Times New Roman"/>
          <w:sz w:val="32"/>
          <w:szCs w:val="32"/>
          <w:lang w:val="en-US" w:eastAsia="zh-CN"/>
        </w:rPr>
        <w:t>部门（单位）</w:t>
      </w:r>
      <w:r>
        <w:rPr>
          <w:rFonts w:hint="default" w:ascii="Times New Roman" w:hAnsi="Times New Roman" w:eastAsia="仿宋_GB2312" w:cs="Times New Roman"/>
          <w:sz w:val="32"/>
          <w:szCs w:val="32"/>
        </w:rPr>
        <w:t>决算支出情况</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把决算公开与预算编制、预算执行、会计核算等工作结合起来，从源头上和过程中加强控制，全面规范财政财务管理行为。</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绩效自评报告</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详见附件。</w:t>
      </w:r>
      <w:r>
        <w:rPr>
          <w:rFonts w:hint="eastAsia" w:eastAsia="仿宋_GB2312" w:cs="Times New Roman"/>
          <w:sz w:val="32"/>
          <w:szCs w:val="32"/>
          <w:lang w:eastAsia="zh-CN"/>
        </w:rPr>
        <w:t>）</w:t>
      </w:r>
    </w:p>
    <w:p w14:paraId="72BDC08C">
      <w:pPr>
        <w:pageBreakBefore w:val="0"/>
        <w:kinsoku/>
        <w:wordWrap/>
        <w:overflowPunct/>
        <w:topLinePunct w:val="0"/>
        <w:autoSpaceDE/>
        <w:autoSpaceDN/>
        <w:bidi w:val="0"/>
        <w:spacing w:line="576" w:lineRule="exact"/>
        <w:jc w:val="center"/>
        <w:textAlignment w:val="auto"/>
        <w:outlineLvl w:val="0"/>
        <w:rPr>
          <w:rFonts w:hint="default" w:ascii="Times New Roman" w:hAnsi="Times New Roman" w:eastAsia="黑体" w:cs="Times New Roman"/>
          <w:sz w:val="44"/>
          <w:szCs w:val="44"/>
        </w:rPr>
      </w:pPr>
      <w:bookmarkStart w:id="81" w:name="_Toc15377225"/>
      <w:bookmarkStart w:id="82" w:name="_Toc31034"/>
      <w:bookmarkStart w:id="83" w:name="_Toc15396613"/>
    </w:p>
    <w:p w14:paraId="74F9C4A0">
      <w:pPr>
        <w:pageBreakBefore w:val="0"/>
        <w:kinsoku/>
        <w:wordWrap/>
        <w:overflowPunct/>
        <w:topLinePunct w:val="0"/>
        <w:autoSpaceDE/>
        <w:autoSpaceDN/>
        <w:bidi w:val="0"/>
        <w:spacing w:line="576" w:lineRule="exact"/>
        <w:jc w:val="center"/>
        <w:textAlignment w:val="auto"/>
        <w:outlineLvl w:val="0"/>
        <w:rPr>
          <w:rFonts w:hint="default" w:ascii="Times New Roman" w:hAnsi="Times New Roman" w:eastAsia="黑体" w:cs="Times New Roman"/>
          <w:sz w:val="44"/>
          <w:szCs w:val="44"/>
        </w:rPr>
      </w:pPr>
    </w:p>
    <w:p w14:paraId="05874816">
      <w:pPr>
        <w:pageBreakBefore w:val="0"/>
        <w:kinsoku/>
        <w:wordWrap/>
        <w:overflowPunct/>
        <w:topLinePunct w:val="0"/>
        <w:autoSpaceDE/>
        <w:autoSpaceDN/>
        <w:bidi w:val="0"/>
        <w:spacing w:line="576" w:lineRule="exact"/>
        <w:jc w:val="center"/>
        <w:textAlignment w:val="auto"/>
        <w:outlineLvl w:val="0"/>
        <w:rPr>
          <w:rFonts w:hint="default" w:ascii="Times New Roman" w:hAnsi="Times New Roman" w:eastAsia="黑体" w:cs="Times New Roman"/>
          <w:sz w:val="44"/>
          <w:szCs w:val="44"/>
        </w:rPr>
      </w:pPr>
    </w:p>
    <w:p w14:paraId="77940A8D">
      <w:pPr>
        <w:pageBreakBefore w:val="0"/>
        <w:kinsoku/>
        <w:wordWrap/>
        <w:overflowPunct/>
        <w:topLinePunct w:val="0"/>
        <w:autoSpaceDE/>
        <w:autoSpaceDN/>
        <w:bidi w:val="0"/>
        <w:spacing w:line="576" w:lineRule="exact"/>
        <w:jc w:val="center"/>
        <w:textAlignment w:val="auto"/>
        <w:outlineLvl w:val="0"/>
        <w:rPr>
          <w:rFonts w:hint="default" w:ascii="Times New Roman" w:hAnsi="Times New Roman" w:eastAsia="黑体" w:cs="Times New Roman"/>
          <w:sz w:val="44"/>
          <w:szCs w:val="44"/>
        </w:rPr>
      </w:pPr>
    </w:p>
    <w:p w14:paraId="5359E81C">
      <w:pPr>
        <w:pageBreakBefore w:val="0"/>
        <w:kinsoku/>
        <w:wordWrap/>
        <w:overflowPunct/>
        <w:topLinePunct w:val="0"/>
        <w:autoSpaceDE/>
        <w:autoSpaceDN/>
        <w:bidi w:val="0"/>
        <w:spacing w:line="576" w:lineRule="exact"/>
        <w:jc w:val="center"/>
        <w:textAlignment w:val="auto"/>
        <w:outlineLvl w:val="0"/>
        <w:rPr>
          <w:rFonts w:hint="default" w:ascii="Times New Roman" w:hAnsi="Times New Roman" w:eastAsia="黑体" w:cs="Times New Roman"/>
          <w:sz w:val="44"/>
          <w:szCs w:val="44"/>
        </w:rPr>
      </w:pPr>
    </w:p>
    <w:p w14:paraId="05EBA404">
      <w:pPr>
        <w:pageBreakBefore w:val="0"/>
        <w:kinsoku/>
        <w:wordWrap/>
        <w:overflowPunct/>
        <w:topLinePunct w:val="0"/>
        <w:autoSpaceDE/>
        <w:autoSpaceDN/>
        <w:bidi w:val="0"/>
        <w:spacing w:line="576" w:lineRule="exact"/>
        <w:jc w:val="center"/>
        <w:textAlignment w:val="auto"/>
        <w:outlineLvl w:val="0"/>
        <w:rPr>
          <w:rFonts w:hint="default" w:ascii="Times New Roman" w:hAnsi="Times New Roman" w:eastAsia="黑体" w:cs="Times New Roman"/>
          <w:sz w:val="44"/>
          <w:szCs w:val="44"/>
        </w:rPr>
      </w:pPr>
    </w:p>
    <w:p w14:paraId="076E51F5">
      <w:pPr>
        <w:pageBreakBefore w:val="0"/>
        <w:kinsoku/>
        <w:wordWrap/>
        <w:overflowPunct/>
        <w:topLinePunct w:val="0"/>
        <w:autoSpaceDE/>
        <w:autoSpaceDN/>
        <w:bidi w:val="0"/>
        <w:spacing w:line="576" w:lineRule="exact"/>
        <w:jc w:val="center"/>
        <w:textAlignment w:val="auto"/>
        <w:outlineLvl w:val="0"/>
        <w:rPr>
          <w:rFonts w:hint="default" w:ascii="Times New Roman" w:hAnsi="Times New Roman" w:eastAsia="黑体" w:cs="Times New Roman"/>
          <w:sz w:val="44"/>
          <w:szCs w:val="44"/>
        </w:rPr>
      </w:pPr>
    </w:p>
    <w:p w14:paraId="4EE2EBCD">
      <w:pPr>
        <w:pageBreakBefore w:val="0"/>
        <w:kinsoku/>
        <w:wordWrap/>
        <w:overflowPunct/>
        <w:topLinePunct w:val="0"/>
        <w:autoSpaceDE/>
        <w:autoSpaceDN/>
        <w:bidi w:val="0"/>
        <w:spacing w:line="576" w:lineRule="exact"/>
        <w:jc w:val="center"/>
        <w:textAlignment w:val="auto"/>
        <w:outlineLvl w:val="0"/>
        <w:rPr>
          <w:rFonts w:hint="default" w:ascii="Times New Roman" w:hAnsi="Times New Roman" w:eastAsia="黑体" w:cs="Times New Roman"/>
          <w:sz w:val="44"/>
          <w:szCs w:val="44"/>
        </w:rPr>
      </w:pPr>
    </w:p>
    <w:p w14:paraId="732C161D">
      <w:pPr>
        <w:pageBreakBefore w:val="0"/>
        <w:kinsoku/>
        <w:wordWrap/>
        <w:overflowPunct/>
        <w:topLinePunct w:val="0"/>
        <w:autoSpaceDE/>
        <w:autoSpaceDN/>
        <w:bidi w:val="0"/>
        <w:spacing w:line="576" w:lineRule="exact"/>
        <w:jc w:val="center"/>
        <w:textAlignment w:val="auto"/>
        <w:outlineLvl w:val="0"/>
        <w:rPr>
          <w:rFonts w:hint="default" w:ascii="Times New Roman" w:hAnsi="Times New Roman" w:eastAsia="黑体" w:cs="Times New Roman"/>
          <w:sz w:val="44"/>
          <w:szCs w:val="44"/>
        </w:rPr>
      </w:pPr>
    </w:p>
    <w:p w14:paraId="1F72D6C8">
      <w:pPr>
        <w:pageBreakBefore w:val="0"/>
        <w:kinsoku/>
        <w:wordWrap/>
        <w:overflowPunct/>
        <w:topLinePunct w:val="0"/>
        <w:autoSpaceDE/>
        <w:autoSpaceDN/>
        <w:bidi w:val="0"/>
        <w:spacing w:line="576" w:lineRule="exact"/>
        <w:jc w:val="center"/>
        <w:textAlignment w:val="auto"/>
        <w:outlineLvl w:val="0"/>
        <w:rPr>
          <w:rFonts w:hint="default" w:ascii="Times New Roman" w:hAnsi="Times New Roman" w:eastAsia="黑体" w:cs="Times New Roman"/>
          <w:sz w:val="44"/>
          <w:szCs w:val="44"/>
        </w:rPr>
      </w:pPr>
    </w:p>
    <w:p w14:paraId="4FE13806">
      <w:pPr>
        <w:pageBreakBefore w:val="0"/>
        <w:kinsoku/>
        <w:wordWrap/>
        <w:overflowPunct/>
        <w:topLinePunct w:val="0"/>
        <w:autoSpaceDE/>
        <w:autoSpaceDN/>
        <w:bidi w:val="0"/>
        <w:spacing w:line="576" w:lineRule="exact"/>
        <w:jc w:val="center"/>
        <w:textAlignment w:val="auto"/>
        <w:outlineLvl w:val="0"/>
        <w:rPr>
          <w:rFonts w:hint="default" w:ascii="Times New Roman" w:hAnsi="Times New Roman" w:eastAsia="黑体" w:cs="Times New Roman"/>
          <w:sz w:val="44"/>
          <w:szCs w:val="44"/>
        </w:rPr>
      </w:pPr>
    </w:p>
    <w:p w14:paraId="5FC78DA2">
      <w:pPr>
        <w:pageBreakBefore w:val="0"/>
        <w:kinsoku/>
        <w:wordWrap/>
        <w:overflowPunct/>
        <w:topLinePunct w:val="0"/>
        <w:autoSpaceDE/>
        <w:autoSpaceDN/>
        <w:bidi w:val="0"/>
        <w:spacing w:line="576" w:lineRule="exact"/>
        <w:jc w:val="center"/>
        <w:textAlignment w:val="auto"/>
        <w:outlineLvl w:val="0"/>
        <w:rPr>
          <w:rFonts w:hint="default" w:ascii="Times New Roman" w:hAnsi="Times New Roman" w:eastAsia="黑体" w:cs="Times New Roman"/>
          <w:sz w:val="44"/>
          <w:szCs w:val="44"/>
        </w:rPr>
      </w:pPr>
    </w:p>
    <w:p w14:paraId="6AB5D8DF">
      <w:pPr>
        <w:pageBreakBefore w:val="0"/>
        <w:kinsoku/>
        <w:wordWrap/>
        <w:overflowPunct/>
        <w:topLinePunct w:val="0"/>
        <w:autoSpaceDE/>
        <w:autoSpaceDN/>
        <w:bidi w:val="0"/>
        <w:spacing w:line="576" w:lineRule="exact"/>
        <w:jc w:val="center"/>
        <w:textAlignment w:val="auto"/>
        <w:outlineLvl w:val="0"/>
        <w:rPr>
          <w:rFonts w:hint="default" w:ascii="Times New Roman" w:hAnsi="Times New Roman" w:eastAsia="黑体" w:cs="Times New Roman"/>
          <w:sz w:val="44"/>
          <w:szCs w:val="44"/>
        </w:rPr>
      </w:pPr>
    </w:p>
    <w:p w14:paraId="2D1BACBC">
      <w:pPr>
        <w:pageBreakBefore w:val="0"/>
        <w:kinsoku/>
        <w:wordWrap/>
        <w:overflowPunct/>
        <w:topLinePunct w:val="0"/>
        <w:autoSpaceDE/>
        <w:autoSpaceDN/>
        <w:bidi w:val="0"/>
        <w:spacing w:line="576" w:lineRule="exact"/>
        <w:jc w:val="center"/>
        <w:textAlignment w:val="auto"/>
        <w:outlineLvl w:val="0"/>
        <w:rPr>
          <w:rFonts w:hint="default" w:ascii="Times New Roman" w:hAnsi="Times New Roman" w:eastAsia="黑体" w:cs="Times New Roman"/>
          <w:sz w:val="44"/>
          <w:szCs w:val="44"/>
        </w:rPr>
      </w:pPr>
    </w:p>
    <w:p w14:paraId="13F04F4D">
      <w:pPr>
        <w:pageBreakBefore w:val="0"/>
        <w:kinsoku/>
        <w:wordWrap/>
        <w:overflowPunct/>
        <w:topLinePunct w:val="0"/>
        <w:autoSpaceDE/>
        <w:autoSpaceDN/>
        <w:bidi w:val="0"/>
        <w:spacing w:line="576" w:lineRule="exact"/>
        <w:jc w:val="center"/>
        <w:textAlignment w:val="auto"/>
        <w:outlineLvl w:val="0"/>
        <w:rPr>
          <w:rFonts w:hint="default" w:ascii="Times New Roman" w:hAnsi="Times New Roman" w:eastAsia="黑体" w:cs="Times New Roman"/>
          <w:sz w:val="44"/>
          <w:szCs w:val="44"/>
        </w:rPr>
      </w:pPr>
    </w:p>
    <w:p w14:paraId="3FE2DD47">
      <w:pPr>
        <w:pageBreakBefore w:val="0"/>
        <w:kinsoku/>
        <w:wordWrap/>
        <w:overflowPunct/>
        <w:topLinePunct w:val="0"/>
        <w:autoSpaceDE/>
        <w:autoSpaceDN/>
        <w:bidi w:val="0"/>
        <w:spacing w:line="576" w:lineRule="exact"/>
        <w:jc w:val="center"/>
        <w:textAlignment w:val="auto"/>
        <w:outlineLvl w:val="0"/>
        <w:rPr>
          <w:rFonts w:hint="default" w:ascii="Times New Roman" w:hAnsi="Times New Roman" w:eastAsia="黑体" w:cs="Times New Roman"/>
          <w:sz w:val="44"/>
          <w:szCs w:val="44"/>
        </w:rPr>
      </w:pPr>
    </w:p>
    <w:p w14:paraId="18550574">
      <w:pPr>
        <w:pageBreakBefore w:val="0"/>
        <w:kinsoku/>
        <w:wordWrap/>
        <w:overflowPunct/>
        <w:topLinePunct w:val="0"/>
        <w:autoSpaceDE/>
        <w:autoSpaceDN/>
        <w:bidi w:val="0"/>
        <w:spacing w:line="576" w:lineRule="exact"/>
        <w:jc w:val="center"/>
        <w:textAlignment w:val="auto"/>
        <w:outlineLvl w:val="0"/>
        <w:rPr>
          <w:rFonts w:hint="default" w:ascii="Times New Roman" w:hAnsi="Times New Roman" w:eastAsia="黑体" w:cs="Times New Roman"/>
          <w:sz w:val="44"/>
          <w:szCs w:val="44"/>
        </w:rPr>
      </w:pPr>
    </w:p>
    <w:p w14:paraId="7A62E7A8">
      <w:pPr>
        <w:pageBreakBefore w:val="0"/>
        <w:kinsoku/>
        <w:wordWrap/>
        <w:overflowPunct/>
        <w:topLinePunct w:val="0"/>
        <w:autoSpaceDE/>
        <w:autoSpaceDN/>
        <w:bidi w:val="0"/>
        <w:spacing w:line="576" w:lineRule="exact"/>
        <w:jc w:val="center"/>
        <w:textAlignment w:val="auto"/>
        <w:outlineLvl w:val="0"/>
        <w:rPr>
          <w:rFonts w:hint="default" w:ascii="Times New Roman" w:hAnsi="Times New Roman" w:eastAsia="黑体" w:cs="Times New Roman"/>
          <w:sz w:val="44"/>
          <w:szCs w:val="44"/>
        </w:rPr>
      </w:pPr>
    </w:p>
    <w:p w14:paraId="346F3B3F">
      <w:pPr>
        <w:pageBreakBefore w:val="0"/>
        <w:kinsoku/>
        <w:wordWrap/>
        <w:overflowPunct/>
        <w:topLinePunct w:val="0"/>
        <w:autoSpaceDE/>
        <w:autoSpaceDN/>
        <w:bidi w:val="0"/>
        <w:spacing w:line="576" w:lineRule="exact"/>
        <w:jc w:val="center"/>
        <w:textAlignment w:val="auto"/>
        <w:outlineLvl w:val="0"/>
        <w:rPr>
          <w:rFonts w:hint="default" w:ascii="Times New Roman" w:hAnsi="Times New Roman" w:eastAsia="黑体" w:cs="Times New Roman"/>
          <w:sz w:val="44"/>
          <w:szCs w:val="44"/>
        </w:rPr>
      </w:pPr>
    </w:p>
    <w:p w14:paraId="6F45BA35">
      <w:pPr>
        <w:pageBreakBefore w:val="0"/>
        <w:kinsoku/>
        <w:wordWrap/>
        <w:overflowPunct/>
        <w:topLinePunct w:val="0"/>
        <w:autoSpaceDE/>
        <w:autoSpaceDN/>
        <w:bidi w:val="0"/>
        <w:spacing w:line="576" w:lineRule="exact"/>
        <w:jc w:val="center"/>
        <w:textAlignment w:val="auto"/>
        <w:outlineLvl w:val="0"/>
        <w:rPr>
          <w:rFonts w:hint="default" w:ascii="Times New Roman" w:hAnsi="Times New Roman" w:eastAsia="黑体" w:cs="Times New Roman"/>
          <w:sz w:val="44"/>
          <w:szCs w:val="44"/>
        </w:rPr>
      </w:pPr>
      <w:r>
        <w:rPr>
          <w:rFonts w:hint="default" w:ascii="Times New Roman" w:hAnsi="Times New Roman" w:eastAsia="黑体" w:cs="Times New Roman"/>
          <w:sz w:val="44"/>
          <w:szCs w:val="44"/>
        </w:rPr>
        <w:t>第三部分  名词解释</w:t>
      </w:r>
      <w:bookmarkEnd w:id="81"/>
      <w:bookmarkEnd w:id="82"/>
      <w:bookmarkEnd w:id="83"/>
    </w:p>
    <w:p w14:paraId="46850336">
      <w:pPr>
        <w:pageBreakBefore w:val="0"/>
        <w:kinsoku/>
        <w:wordWrap/>
        <w:overflowPunct/>
        <w:topLinePunct w:val="0"/>
        <w:autoSpaceDE/>
        <w:autoSpaceDN/>
        <w:bidi w:val="0"/>
        <w:spacing w:line="576" w:lineRule="exact"/>
        <w:ind w:firstLine="883" w:firstLineChars="200"/>
        <w:jc w:val="left"/>
        <w:textAlignment w:val="auto"/>
        <w:rPr>
          <w:rFonts w:hint="default" w:ascii="Times New Roman" w:hAnsi="Times New Roman" w:cs="Times New Roman"/>
          <w:b/>
          <w:sz w:val="44"/>
          <w:szCs w:val="44"/>
        </w:rPr>
      </w:pPr>
    </w:p>
    <w:p w14:paraId="4BAF05B5">
      <w:pPr>
        <w:pageBreakBefore w:val="0"/>
        <w:kinsoku/>
        <w:wordWrap/>
        <w:overflowPunct/>
        <w:topLinePunct w:val="0"/>
        <w:autoSpaceDE/>
        <w:autoSpaceDN/>
        <w:bidi w:val="0"/>
        <w:spacing w:line="576" w:lineRule="exact"/>
        <w:ind w:firstLine="643" w:firstLineChars="200"/>
        <w:textAlignment w:val="auto"/>
        <w:rPr>
          <w:rFonts w:hint="default" w:ascii="Times New Roman" w:hAnsi="Times New Roman" w:eastAsia="仿宋_GB2312" w:cs="Times New Roman"/>
          <w:sz w:val="32"/>
          <w:szCs w:val="32"/>
        </w:rPr>
      </w:pPr>
      <w:r>
        <w:rPr>
          <w:rFonts w:hint="default" w:ascii="仿宋" w:hAnsi="仿宋" w:eastAsia="仿宋" w:cs="仿宋"/>
          <w:b/>
          <w:bCs/>
          <w:sz w:val="32"/>
          <w:szCs w:val="32"/>
          <w:lang w:bidi="ar-SA"/>
        </w:rPr>
        <w:t>1.财政拨款收入：</w:t>
      </w:r>
      <w:r>
        <w:rPr>
          <w:rFonts w:hint="default" w:ascii="Times New Roman" w:hAnsi="Times New Roman" w:eastAsia="仿宋_GB2312" w:cs="Times New Roman"/>
          <w:sz w:val="32"/>
          <w:szCs w:val="32"/>
        </w:rPr>
        <w:t>指单位从同级财政部门取得的财政预算资金。</w:t>
      </w:r>
    </w:p>
    <w:p w14:paraId="7DA482AC">
      <w:pPr>
        <w:pageBreakBefore w:val="0"/>
        <w:kinsoku/>
        <w:wordWrap/>
        <w:overflowPunct/>
        <w:topLinePunct w:val="0"/>
        <w:autoSpaceDE/>
        <w:autoSpaceDN/>
        <w:bidi w:val="0"/>
        <w:spacing w:line="576" w:lineRule="exact"/>
        <w:ind w:firstLine="643" w:firstLineChars="200"/>
        <w:textAlignment w:val="auto"/>
        <w:rPr>
          <w:rFonts w:hint="default" w:ascii="Times New Roman" w:hAnsi="Times New Roman" w:eastAsia="仿宋_GB2312" w:cs="Times New Roman"/>
          <w:sz w:val="32"/>
          <w:szCs w:val="32"/>
        </w:rPr>
      </w:pPr>
      <w:r>
        <w:rPr>
          <w:rFonts w:hint="default" w:ascii="仿宋" w:hAnsi="仿宋" w:eastAsia="仿宋" w:cs="仿宋"/>
          <w:b/>
          <w:bCs/>
          <w:sz w:val="32"/>
          <w:szCs w:val="32"/>
          <w:lang w:bidi="ar-SA"/>
        </w:rPr>
        <w:t>2.其他收入：</w:t>
      </w:r>
      <w:r>
        <w:rPr>
          <w:rFonts w:hint="default" w:ascii="Times New Roman" w:hAnsi="Times New Roman" w:eastAsia="仿宋_GB2312" w:cs="Times New Roman"/>
          <w:sz w:val="32"/>
          <w:szCs w:val="32"/>
        </w:rPr>
        <w:t>指单位取得的除上述收入以外的各项收入。主要是</w:t>
      </w:r>
      <w:r>
        <w:rPr>
          <w:rFonts w:hint="eastAsia" w:eastAsia="仿宋_GB2312" w:cs="Times New Roman"/>
          <w:sz w:val="32"/>
          <w:szCs w:val="32"/>
          <w:lang w:val="en-US" w:eastAsia="zh-CN"/>
        </w:rPr>
        <w:t>干休所收取管理服务老干部的管理费</w:t>
      </w:r>
      <w:r>
        <w:rPr>
          <w:rFonts w:hint="default" w:ascii="Times New Roman" w:hAnsi="Times New Roman" w:eastAsia="仿宋_GB2312" w:cs="Times New Roman"/>
          <w:sz w:val="32"/>
          <w:szCs w:val="32"/>
        </w:rPr>
        <w:t xml:space="preserve">。 </w:t>
      </w:r>
    </w:p>
    <w:p w14:paraId="2A3583FC">
      <w:pPr>
        <w:pageBreakBefore w:val="0"/>
        <w:kinsoku/>
        <w:wordWrap/>
        <w:overflowPunct/>
        <w:topLinePunct w:val="0"/>
        <w:autoSpaceDE/>
        <w:autoSpaceDN/>
        <w:bidi w:val="0"/>
        <w:spacing w:line="576" w:lineRule="exact"/>
        <w:ind w:firstLine="643" w:firstLineChars="200"/>
        <w:textAlignment w:val="auto"/>
        <w:rPr>
          <w:rFonts w:hint="default" w:ascii="Times New Roman" w:hAnsi="Times New Roman" w:eastAsia="仿宋_GB2312" w:cs="Times New Roman"/>
          <w:sz w:val="32"/>
          <w:szCs w:val="32"/>
        </w:rPr>
      </w:pPr>
      <w:r>
        <w:rPr>
          <w:rFonts w:hint="eastAsia" w:ascii="仿宋" w:hAnsi="仿宋" w:eastAsia="仿宋" w:cs="仿宋"/>
          <w:b/>
          <w:bCs/>
          <w:sz w:val="32"/>
          <w:szCs w:val="32"/>
          <w:lang w:val="en-US" w:eastAsia="zh-CN" w:bidi="ar-SA"/>
        </w:rPr>
        <w:t>3</w:t>
      </w:r>
      <w:r>
        <w:rPr>
          <w:rFonts w:hint="default" w:ascii="仿宋" w:hAnsi="仿宋" w:eastAsia="仿宋" w:cs="仿宋"/>
          <w:b/>
          <w:bCs/>
          <w:sz w:val="32"/>
          <w:szCs w:val="32"/>
          <w:lang w:bidi="ar-SA"/>
        </w:rPr>
        <w:t>.使用非财政拨款结余（含专用结余）：</w:t>
      </w:r>
      <w:r>
        <w:rPr>
          <w:rFonts w:hint="default" w:ascii="Times New Roman" w:hAnsi="Times New Roman" w:eastAsia="仿宋_GB2312" w:cs="Times New Roman"/>
          <w:sz w:val="32"/>
          <w:szCs w:val="32"/>
        </w:rPr>
        <w:t xml:space="preserve">指事业单位使用以前年度积累的非财政拨款结余弥补当年收支差额的金额。 </w:t>
      </w:r>
    </w:p>
    <w:p w14:paraId="2139D660">
      <w:pPr>
        <w:pageBreakBefore w:val="0"/>
        <w:kinsoku/>
        <w:wordWrap/>
        <w:overflowPunct/>
        <w:topLinePunct w:val="0"/>
        <w:autoSpaceDE/>
        <w:autoSpaceDN/>
        <w:bidi w:val="0"/>
        <w:spacing w:line="576" w:lineRule="exact"/>
        <w:ind w:firstLine="643" w:firstLineChars="200"/>
        <w:textAlignment w:val="auto"/>
        <w:rPr>
          <w:rFonts w:hint="default" w:ascii="Times New Roman" w:hAnsi="Times New Roman" w:eastAsia="仿宋_GB2312" w:cs="Times New Roman"/>
          <w:sz w:val="32"/>
          <w:szCs w:val="32"/>
        </w:rPr>
      </w:pPr>
      <w:r>
        <w:rPr>
          <w:rFonts w:hint="eastAsia" w:ascii="仿宋" w:hAnsi="仿宋" w:eastAsia="仿宋" w:cs="仿宋"/>
          <w:b/>
          <w:bCs/>
          <w:sz w:val="32"/>
          <w:szCs w:val="32"/>
          <w:lang w:val="en-US" w:eastAsia="zh-CN" w:bidi="ar-SA"/>
        </w:rPr>
        <w:t>4</w:t>
      </w:r>
      <w:r>
        <w:rPr>
          <w:rFonts w:hint="default" w:ascii="仿宋" w:hAnsi="仿宋" w:eastAsia="仿宋" w:cs="仿宋"/>
          <w:b/>
          <w:bCs/>
          <w:sz w:val="32"/>
          <w:szCs w:val="32"/>
          <w:lang w:bidi="ar-SA"/>
        </w:rPr>
        <w:t>年初结转和结余：</w:t>
      </w:r>
      <w:r>
        <w:rPr>
          <w:rFonts w:hint="default" w:ascii="Times New Roman" w:hAnsi="Times New Roman" w:eastAsia="仿宋_GB2312" w:cs="Times New Roman"/>
          <w:sz w:val="32"/>
          <w:szCs w:val="32"/>
        </w:rPr>
        <w:t xml:space="preserve">指以前年度尚未完成、结转到本年按有关规定继续使用的资金。 </w:t>
      </w:r>
    </w:p>
    <w:p w14:paraId="6FB1F36A">
      <w:pPr>
        <w:pageBreakBefore w:val="0"/>
        <w:kinsoku/>
        <w:wordWrap/>
        <w:overflowPunct/>
        <w:topLinePunct w:val="0"/>
        <w:autoSpaceDE/>
        <w:autoSpaceDN/>
        <w:bidi w:val="0"/>
        <w:spacing w:line="576" w:lineRule="exact"/>
        <w:ind w:firstLine="643" w:firstLineChars="200"/>
        <w:textAlignment w:val="auto"/>
        <w:rPr>
          <w:rFonts w:hint="default" w:ascii="Times New Roman" w:hAnsi="Times New Roman" w:eastAsia="仿宋_GB2312" w:cs="Times New Roman"/>
          <w:sz w:val="32"/>
          <w:szCs w:val="32"/>
        </w:rPr>
      </w:pPr>
      <w:r>
        <w:rPr>
          <w:rFonts w:hint="eastAsia" w:ascii="仿宋" w:hAnsi="仿宋" w:eastAsia="仿宋" w:cs="仿宋"/>
          <w:b/>
          <w:bCs/>
          <w:sz w:val="32"/>
          <w:szCs w:val="32"/>
          <w:lang w:val="en-US" w:eastAsia="zh-CN" w:bidi="ar-SA"/>
        </w:rPr>
        <w:t>5</w:t>
      </w:r>
      <w:r>
        <w:rPr>
          <w:rFonts w:hint="default" w:ascii="仿宋" w:hAnsi="仿宋" w:eastAsia="仿宋" w:cs="仿宋"/>
          <w:b/>
          <w:bCs/>
          <w:sz w:val="32"/>
          <w:szCs w:val="32"/>
          <w:lang w:bidi="ar-SA"/>
        </w:rPr>
        <w:t>.结余分配：</w:t>
      </w:r>
      <w:r>
        <w:rPr>
          <w:rFonts w:hint="default" w:ascii="Times New Roman" w:hAnsi="Times New Roman" w:eastAsia="仿宋_GB2312" w:cs="Times New Roman"/>
          <w:sz w:val="32"/>
          <w:szCs w:val="32"/>
        </w:rPr>
        <w:t>指事业单位按照会计制度规定缴纳的所得税、提取的专用结余以及转入非财政拨款结余的金额等。</w:t>
      </w:r>
    </w:p>
    <w:p w14:paraId="666A8C02">
      <w:pPr>
        <w:pageBreakBefore w:val="0"/>
        <w:kinsoku/>
        <w:wordWrap/>
        <w:overflowPunct/>
        <w:topLinePunct w:val="0"/>
        <w:autoSpaceDE/>
        <w:autoSpaceDN/>
        <w:bidi w:val="0"/>
        <w:spacing w:line="576" w:lineRule="exact"/>
        <w:ind w:firstLine="643" w:firstLineChars="200"/>
        <w:textAlignment w:val="auto"/>
        <w:rPr>
          <w:rFonts w:hint="default" w:ascii="Times New Roman" w:hAnsi="Times New Roman" w:eastAsia="仿宋_GB2312" w:cs="Times New Roman"/>
          <w:sz w:val="32"/>
          <w:szCs w:val="32"/>
        </w:rPr>
      </w:pPr>
      <w:r>
        <w:rPr>
          <w:rFonts w:hint="eastAsia" w:ascii="仿宋" w:hAnsi="仿宋" w:eastAsia="仿宋" w:cs="仿宋"/>
          <w:b/>
          <w:bCs/>
          <w:sz w:val="32"/>
          <w:szCs w:val="32"/>
          <w:lang w:val="en-US" w:eastAsia="zh-CN" w:bidi="ar-SA"/>
        </w:rPr>
        <w:t>6</w:t>
      </w:r>
      <w:r>
        <w:rPr>
          <w:rFonts w:hint="default" w:ascii="仿宋" w:hAnsi="仿宋" w:eastAsia="仿宋" w:cs="仿宋"/>
          <w:b/>
          <w:bCs/>
          <w:sz w:val="32"/>
          <w:szCs w:val="32"/>
          <w:lang w:bidi="ar-SA"/>
        </w:rPr>
        <w:t>.年末结转和结余：</w:t>
      </w:r>
      <w:r>
        <w:rPr>
          <w:rFonts w:hint="default" w:ascii="Times New Roman" w:hAnsi="Times New Roman" w:eastAsia="仿宋_GB2312" w:cs="Times New Roman"/>
          <w:sz w:val="32"/>
          <w:szCs w:val="32"/>
        </w:rPr>
        <w:t>指单位按有关规定结转到下年或以后年度继续使用的资金。</w:t>
      </w:r>
    </w:p>
    <w:p w14:paraId="62BAAF9E">
      <w:pPr>
        <w:bidi w:val="0"/>
        <w:ind w:firstLine="643" w:firstLineChars="200"/>
        <w:jc w:val="both"/>
        <w:rPr>
          <w:rFonts w:hint="eastAsia" w:ascii="仿宋" w:hAnsi="仿宋" w:eastAsia="仿宋" w:cs="仿宋"/>
          <w:sz w:val="32"/>
          <w:szCs w:val="32"/>
          <w:lang w:bidi="ar-SA"/>
        </w:rPr>
      </w:pPr>
      <w:r>
        <w:rPr>
          <w:rFonts w:hint="eastAsia" w:ascii="仿宋" w:hAnsi="仿宋" w:eastAsia="仿宋" w:cs="仿宋"/>
          <w:b/>
          <w:bCs/>
          <w:sz w:val="32"/>
          <w:szCs w:val="32"/>
          <w:lang w:val="en-US" w:eastAsia="zh-CN" w:bidi="ar-SA"/>
        </w:rPr>
        <w:t>7</w:t>
      </w:r>
      <w:r>
        <w:rPr>
          <w:rFonts w:hint="eastAsia" w:ascii="仿宋" w:hAnsi="仿宋" w:eastAsia="仿宋" w:cs="仿宋"/>
          <w:b/>
          <w:bCs/>
          <w:sz w:val="32"/>
          <w:szCs w:val="32"/>
          <w:lang w:bidi="ar-SA"/>
        </w:rPr>
        <w:t>.社会保障和就业（类）</w:t>
      </w:r>
      <w:r>
        <w:rPr>
          <w:rFonts w:hint="eastAsia" w:ascii="仿宋" w:hAnsi="仿宋" w:eastAsia="仿宋" w:cs="仿宋"/>
          <w:b/>
          <w:bCs/>
          <w:sz w:val="32"/>
          <w:szCs w:val="32"/>
          <w:lang w:eastAsia="zh-CN" w:bidi="ar-SA"/>
        </w:rPr>
        <w:t>行政事业单位离退休</w:t>
      </w:r>
      <w:r>
        <w:rPr>
          <w:rFonts w:hint="eastAsia" w:ascii="仿宋" w:hAnsi="仿宋" w:eastAsia="仿宋" w:cs="仿宋"/>
          <w:b/>
          <w:bCs/>
          <w:sz w:val="32"/>
          <w:szCs w:val="32"/>
          <w:lang w:bidi="ar-SA"/>
        </w:rPr>
        <w:t>（款）</w:t>
      </w:r>
      <w:r>
        <w:rPr>
          <w:rFonts w:hint="eastAsia" w:ascii="仿宋" w:hAnsi="仿宋" w:eastAsia="仿宋" w:cs="仿宋"/>
          <w:b/>
          <w:bCs/>
          <w:sz w:val="32"/>
          <w:szCs w:val="32"/>
          <w:lang w:eastAsia="zh-CN" w:bidi="ar-SA"/>
        </w:rPr>
        <w:t>机关事业单位基本养老保险缴费支出</w:t>
      </w:r>
      <w:r>
        <w:rPr>
          <w:rFonts w:hint="eastAsia" w:ascii="仿宋" w:hAnsi="仿宋" w:eastAsia="仿宋" w:cs="仿宋"/>
          <w:b/>
          <w:bCs/>
          <w:sz w:val="32"/>
          <w:szCs w:val="32"/>
          <w:lang w:bidi="ar-SA"/>
        </w:rPr>
        <w:t>（项）：</w:t>
      </w:r>
      <w:r>
        <w:rPr>
          <w:rFonts w:hint="eastAsia" w:ascii="仿宋" w:hAnsi="仿宋" w:eastAsia="仿宋" w:cs="仿宋"/>
          <w:sz w:val="32"/>
          <w:szCs w:val="32"/>
          <w:lang w:bidi="ar-SA"/>
        </w:rPr>
        <w:t>指</w:t>
      </w:r>
      <w:r>
        <w:rPr>
          <w:rFonts w:hint="eastAsia" w:ascii="仿宋" w:hAnsi="仿宋" w:eastAsia="仿宋" w:cs="仿宋"/>
          <w:sz w:val="32"/>
          <w:szCs w:val="32"/>
          <w:lang w:eastAsia="zh-CN" w:bidi="ar-SA"/>
        </w:rPr>
        <w:t>反映机关事业单位实施养老保险制度由单位缴纳的基本养老保险费支出</w:t>
      </w:r>
      <w:r>
        <w:rPr>
          <w:rFonts w:hint="eastAsia" w:ascii="仿宋" w:hAnsi="仿宋" w:eastAsia="仿宋" w:cs="仿宋"/>
          <w:sz w:val="32"/>
          <w:szCs w:val="32"/>
          <w:lang w:bidi="ar-SA"/>
        </w:rPr>
        <w:t>。</w:t>
      </w:r>
    </w:p>
    <w:p w14:paraId="376EBA6A">
      <w:pPr>
        <w:bidi w:val="0"/>
        <w:ind w:firstLine="643" w:firstLineChars="200"/>
        <w:jc w:val="both"/>
        <w:rPr>
          <w:rFonts w:hint="eastAsia" w:ascii="仿宋" w:hAnsi="仿宋" w:eastAsia="仿宋" w:cs="仿宋"/>
          <w:sz w:val="32"/>
          <w:szCs w:val="32"/>
          <w:lang w:bidi="ar-SA"/>
        </w:rPr>
      </w:pPr>
      <w:r>
        <w:rPr>
          <w:rFonts w:hint="eastAsia" w:ascii="仿宋" w:hAnsi="仿宋" w:eastAsia="仿宋" w:cs="仿宋"/>
          <w:b/>
          <w:bCs/>
          <w:sz w:val="32"/>
          <w:szCs w:val="32"/>
          <w:lang w:val="en-US" w:eastAsia="zh-CN" w:bidi="ar-SA"/>
        </w:rPr>
        <w:t>8</w:t>
      </w:r>
      <w:r>
        <w:rPr>
          <w:rFonts w:hint="eastAsia" w:ascii="仿宋" w:hAnsi="仿宋" w:eastAsia="仿宋" w:cs="仿宋"/>
          <w:b/>
          <w:bCs/>
          <w:sz w:val="32"/>
          <w:szCs w:val="32"/>
          <w:lang w:bidi="ar-SA"/>
        </w:rPr>
        <w:t>.社会保障和就业（类）</w:t>
      </w:r>
      <w:r>
        <w:rPr>
          <w:rFonts w:hint="eastAsia" w:ascii="仿宋" w:hAnsi="仿宋" w:eastAsia="仿宋" w:cs="仿宋"/>
          <w:b/>
          <w:bCs/>
          <w:sz w:val="32"/>
          <w:szCs w:val="32"/>
          <w:lang w:eastAsia="zh-CN" w:bidi="ar-SA"/>
        </w:rPr>
        <w:t>行政事业单位离退休</w:t>
      </w:r>
      <w:r>
        <w:rPr>
          <w:rFonts w:hint="eastAsia" w:ascii="仿宋" w:hAnsi="仿宋" w:eastAsia="仿宋" w:cs="仿宋"/>
          <w:b/>
          <w:bCs/>
          <w:sz w:val="32"/>
          <w:szCs w:val="32"/>
          <w:lang w:bidi="ar-SA"/>
        </w:rPr>
        <w:t>（款）</w:t>
      </w:r>
      <w:r>
        <w:rPr>
          <w:rFonts w:hint="eastAsia" w:ascii="仿宋" w:hAnsi="仿宋" w:eastAsia="仿宋" w:cs="仿宋"/>
          <w:b/>
          <w:bCs/>
          <w:sz w:val="32"/>
          <w:szCs w:val="32"/>
          <w:lang w:eastAsia="zh-CN" w:bidi="ar-SA"/>
        </w:rPr>
        <w:t>机关事业单位职业年金缴费支出</w:t>
      </w:r>
      <w:r>
        <w:rPr>
          <w:rFonts w:hint="eastAsia" w:ascii="仿宋" w:hAnsi="仿宋" w:eastAsia="仿宋" w:cs="仿宋"/>
          <w:b/>
          <w:bCs/>
          <w:sz w:val="32"/>
          <w:szCs w:val="32"/>
          <w:lang w:bidi="ar-SA"/>
        </w:rPr>
        <w:t>（项）：</w:t>
      </w:r>
      <w:r>
        <w:rPr>
          <w:rFonts w:hint="eastAsia" w:ascii="仿宋" w:hAnsi="仿宋" w:eastAsia="仿宋" w:cs="仿宋"/>
          <w:sz w:val="32"/>
          <w:szCs w:val="32"/>
          <w:lang w:bidi="ar-SA"/>
        </w:rPr>
        <w:t>指</w:t>
      </w:r>
      <w:r>
        <w:rPr>
          <w:rFonts w:hint="eastAsia" w:ascii="仿宋" w:hAnsi="仿宋" w:eastAsia="仿宋" w:cs="仿宋"/>
          <w:sz w:val="32"/>
          <w:szCs w:val="32"/>
          <w:lang w:eastAsia="zh-CN" w:bidi="ar-SA"/>
        </w:rPr>
        <w:t>反映机关事业单位实施养老保险制度由单位实际缴纳的职业年金支出</w:t>
      </w:r>
      <w:r>
        <w:rPr>
          <w:rFonts w:hint="eastAsia" w:ascii="仿宋" w:hAnsi="仿宋" w:eastAsia="仿宋" w:cs="仿宋"/>
          <w:sz w:val="32"/>
          <w:szCs w:val="32"/>
          <w:lang w:bidi="ar-SA"/>
        </w:rPr>
        <w:t>。</w:t>
      </w:r>
    </w:p>
    <w:p w14:paraId="788FD94B">
      <w:pPr>
        <w:bidi w:val="0"/>
        <w:ind w:firstLine="643" w:firstLineChars="200"/>
        <w:jc w:val="both"/>
        <w:rPr>
          <w:rFonts w:hint="eastAsia" w:ascii="仿宋" w:hAnsi="仿宋" w:eastAsia="仿宋" w:cs="仿宋"/>
          <w:sz w:val="32"/>
          <w:szCs w:val="32"/>
          <w:lang w:bidi="ar-SA"/>
        </w:rPr>
      </w:pPr>
      <w:r>
        <w:rPr>
          <w:rFonts w:hint="eastAsia" w:ascii="仿宋" w:hAnsi="仿宋" w:eastAsia="仿宋" w:cs="仿宋"/>
          <w:b/>
          <w:bCs/>
          <w:sz w:val="32"/>
          <w:szCs w:val="32"/>
          <w:lang w:val="en-US" w:eastAsia="zh-CN" w:bidi="ar-SA"/>
        </w:rPr>
        <w:t>9</w:t>
      </w:r>
      <w:r>
        <w:rPr>
          <w:rFonts w:hint="eastAsia" w:ascii="仿宋" w:hAnsi="仿宋" w:eastAsia="仿宋" w:cs="仿宋"/>
          <w:b/>
          <w:bCs/>
          <w:sz w:val="32"/>
          <w:szCs w:val="32"/>
          <w:lang w:bidi="ar-SA"/>
        </w:rPr>
        <w:t>.</w:t>
      </w:r>
      <w:r>
        <w:rPr>
          <w:rFonts w:hint="eastAsia" w:ascii="仿宋" w:hAnsi="仿宋" w:eastAsia="仿宋" w:cs="仿宋"/>
          <w:b/>
          <w:bCs/>
          <w:sz w:val="32"/>
          <w:szCs w:val="32"/>
          <w:lang w:val="en-US" w:eastAsia="zh-CN" w:bidi="ar-SA"/>
        </w:rPr>
        <w:t>卫生健康支出</w:t>
      </w:r>
      <w:r>
        <w:rPr>
          <w:rFonts w:hint="eastAsia" w:ascii="仿宋" w:hAnsi="仿宋" w:eastAsia="仿宋" w:cs="仿宋"/>
          <w:b/>
          <w:bCs/>
          <w:sz w:val="32"/>
          <w:szCs w:val="32"/>
          <w:lang w:bidi="ar-SA"/>
        </w:rPr>
        <w:t>（类）</w:t>
      </w:r>
      <w:r>
        <w:rPr>
          <w:rFonts w:hint="eastAsia" w:ascii="仿宋" w:hAnsi="仿宋" w:eastAsia="仿宋" w:cs="仿宋"/>
          <w:b/>
          <w:bCs/>
          <w:sz w:val="32"/>
          <w:szCs w:val="32"/>
          <w:lang w:eastAsia="zh-CN" w:bidi="ar-SA"/>
        </w:rPr>
        <w:t>行政事业单位医疗</w:t>
      </w:r>
      <w:r>
        <w:rPr>
          <w:rFonts w:hint="eastAsia" w:ascii="仿宋" w:hAnsi="仿宋" w:eastAsia="仿宋" w:cs="仿宋"/>
          <w:b/>
          <w:bCs/>
          <w:sz w:val="32"/>
          <w:szCs w:val="32"/>
          <w:lang w:bidi="ar-SA"/>
        </w:rPr>
        <w:t>（款）</w:t>
      </w:r>
      <w:r>
        <w:rPr>
          <w:rFonts w:hint="eastAsia" w:ascii="仿宋" w:hAnsi="仿宋" w:eastAsia="仿宋" w:cs="仿宋"/>
          <w:b/>
          <w:bCs/>
          <w:sz w:val="32"/>
          <w:szCs w:val="32"/>
          <w:lang w:eastAsia="zh-CN" w:bidi="ar-SA"/>
        </w:rPr>
        <w:t>行政单位医疗</w:t>
      </w:r>
      <w:r>
        <w:rPr>
          <w:rFonts w:hint="eastAsia" w:ascii="仿宋" w:hAnsi="仿宋" w:eastAsia="仿宋" w:cs="仿宋"/>
          <w:b/>
          <w:bCs/>
          <w:sz w:val="32"/>
          <w:szCs w:val="32"/>
          <w:lang w:bidi="ar-SA"/>
        </w:rPr>
        <w:t>（项）：</w:t>
      </w:r>
      <w:r>
        <w:rPr>
          <w:rFonts w:hint="eastAsia" w:ascii="仿宋" w:hAnsi="仿宋" w:eastAsia="仿宋" w:cs="仿宋"/>
          <w:sz w:val="32"/>
          <w:szCs w:val="32"/>
          <w:lang w:bidi="ar-SA"/>
        </w:rPr>
        <w:t>指</w:t>
      </w:r>
      <w:r>
        <w:rPr>
          <w:rFonts w:hint="eastAsia" w:ascii="仿宋" w:hAnsi="仿宋" w:eastAsia="仿宋" w:cs="仿宋"/>
          <w:sz w:val="32"/>
          <w:szCs w:val="32"/>
          <w:lang w:eastAsia="zh-CN" w:bidi="ar-SA"/>
        </w:rPr>
        <w:t>反映财政部门集中安排的行政单位基本医疗保险缴费经费，未参加医疗保险的行政单位的公费医疗经费，按国家规定享受离休人员、红军老战士待遇人员的医疗经费</w:t>
      </w:r>
      <w:r>
        <w:rPr>
          <w:rFonts w:hint="eastAsia" w:ascii="仿宋" w:hAnsi="仿宋" w:eastAsia="仿宋" w:cs="仿宋"/>
          <w:sz w:val="32"/>
          <w:szCs w:val="32"/>
          <w:lang w:bidi="ar-SA"/>
        </w:rPr>
        <w:t>。</w:t>
      </w:r>
    </w:p>
    <w:p w14:paraId="39C311C5">
      <w:pPr>
        <w:bidi w:val="0"/>
        <w:ind w:firstLine="643" w:firstLineChars="200"/>
        <w:jc w:val="both"/>
        <w:rPr>
          <w:rFonts w:hint="eastAsia" w:ascii="仿宋" w:hAnsi="仿宋" w:eastAsia="仿宋" w:cs="仿宋"/>
          <w:sz w:val="32"/>
          <w:szCs w:val="32"/>
          <w:lang w:bidi="ar-SA"/>
        </w:rPr>
      </w:pPr>
      <w:r>
        <w:rPr>
          <w:rFonts w:hint="eastAsia" w:ascii="仿宋" w:hAnsi="仿宋" w:eastAsia="仿宋" w:cs="仿宋"/>
          <w:b/>
          <w:bCs/>
          <w:sz w:val="32"/>
          <w:szCs w:val="32"/>
          <w:lang w:val="en-US" w:eastAsia="zh-CN" w:bidi="ar-SA"/>
        </w:rPr>
        <w:t>10</w:t>
      </w:r>
      <w:r>
        <w:rPr>
          <w:rFonts w:hint="eastAsia" w:ascii="仿宋" w:hAnsi="仿宋" w:eastAsia="仿宋" w:cs="仿宋"/>
          <w:b/>
          <w:bCs/>
          <w:sz w:val="32"/>
          <w:szCs w:val="32"/>
          <w:lang w:bidi="ar-SA"/>
        </w:rPr>
        <w:t>.</w:t>
      </w:r>
      <w:r>
        <w:rPr>
          <w:rFonts w:hint="eastAsia" w:ascii="仿宋" w:hAnsi="仿宋" w:eastAsia="仿宋" w:cs="仿宋"/>
          <w:b/>
          <w:bCs/>
          <w:sz w:val="32"/>
          <w:szCs w:val="32"/>
          <w:lang w:val="en-US" w:eastAsia="zh-CN" w:bidi="ar-SA"/>
        </w:rPr>
        <w:t>卫生健康支出</w:t>
      </w:r>
      <w:r>
        <w:rPr>
          <w:rFonts w:hint="eastAsia" w:ascii="仿宋" w:hAnsi="仿宋" w:eastAsia="仿宋" w:cs="仿宋"/>
          <w:b/>
          <w:bCs/>
          <w:sz w:val="32"/>
          <w:szCs w:val="32"/>
          <w:lang w:bidi="ar-SA"/>
        </w:rPr>
        <w:t>（类）</w:t>
      </w:r>
      <w:r>
        <w:rPr>
          <w:rFonts w:hint="eastAsia" w:ascii="仿宋" w:hAnsi="仿宋" w:eastAsia="仿宋" w:cs="仿宋"/>
          <w:b/>
          <w:bCs/>
          <w:sz w:val="32"/>
          <w:szCs w:val="32"/>
          <w:lang w:eastAsia="zh-CN" w:bidi="ar-SA"/>
        </w:rPr>
        <w:t>行政事业单位医疗</w:t>
      </w:r>
      <w:r>
        <w:rPr>
          <w:rFonts w:hint="eastAsia" w:ascii="仿宋" w:hAnsi="仿宋" w:eastAsia="仿宋" w:cs="仿宋"/>
          <w:b/>
          <w:bCs/>
          <w:sz w:val="32"/>
          <w:szCs w:val="32"/>
          <w:lang w:bidi="ar-SA"/>
        </w:rPr>
        <w:t>（款）</w:t>
      </w:r>
      <w:r>
        <w:rPr>
          <w:rFonts w:hint="eastAsia" w:ascii="仿宋" w:hAnsi="仿宋" w:eastAsia="仿宋" w:cs="仿宋"/>
          <w:b/>
          <w:bCs/>
          <w:sz w:val="32"/>
          <w:szCs w:val="32"/>
          <w:lang w:eastAsia="zh-CN" w:bidi="ar-SA"/>
        </w:rPr>
        <w:t>公务员医疗补助</w:t>
      </w:r>
      <w:r>
        <w:rPr>
          <w:rFonts w:hint="eastAsia" w:ascii="仿宋" w:hAnsi="仿宋" w:eastAsia="仿宋" w:cs="仿宋"/>
          <w:b/>
          <w:bCs/>
          <w:sz w:val="32"/>
          <w:szCs w:val="32"/>
          <w:lang w:bidi="ar-SA"/>
        </w:rPr>
        <w:t>（项）：</w:t>
      </w:r>
      <w:r>
        <w:rPr>
          <w:rFonts w:hint="eastAsia" w:ascii="仿宋" w:hAnsi="仿宋" w:eastAsia="仿宋" w:cs="仿宋"/>
          <w:sz w:val="32"/>
          <w:szCs w:val="32"/>
          <w:lang w:bidi="ar-SA"/>
        </w:rPr>
        <w:t>指</w:t>
      </w:r>
      <w:r>
        <w:rPr>
          <w:rFonts w:hint="eastAsia" w:ascii="仿宋" w:hAnsi="仿宋" w:eastAsia="仿宋" w:cs="仿宋"/>
          <w:sz w:val="32"/>
          <w:szCs w:val="32"/>
          <w:lang w:eastAsia="zh-CN" w:bidi="ar-SA"/>
        </w:rPr>
        <w:t>反映财政部门集中安排的公务员医疗补助经费。</w:t>
      </w:r>
    </w:p>
    <w:p w14:paraId="0AA8EFF7">
      <w:pPr>
        <w:pageBreakBefore w:val="0"/>
        <w:kinsoku/>
        <w:wordWrap/>
        <w:overflowPunct/>
        <w:topLinePunct w:val="0"/>
        <w:autoSpaceDE/>
        <w:autoSpaceDN/>
        <w:bidi w:val="0"/>
        <w:spacing w:line="576" w:lineRule="exact"/>
        <w:ind w:firstLine="643" w:firstLineChars="200"/>
        <w:textAlignment w:val="auto"/>
        <w:rPr>
          <w:rFonts w:hint="default" w:ascii="Times New Roman" w:hAnsi="Times New Roman" w:eastAsia="仿宋_GB2312" w:cs="Times New Roman"/>
          <w:sz w:val="32"/>
          <w:szCs w:val="32"/>
        </w:rPr>
      </w:pPr>
      <w:r>
        <w:rPr>
          <w:rFonts w:hint="eastAsia" w:ascii="仿宋" w:hAnsi="仿宋" w:eastAsia="仿宋" w:cs="仿宋"/>
          <w:b/>
          <w:bCs/>
          <w:sz w:val="32"/>
          <w:szCs w:val="32"/>
          <w:lang w:val="en-US" w:eastAsia="zh-CN" w:bidi="ar-SA"/>
        </w:rPr>
        <w:t>11</w:t>
      </w:r>
      <w:r>
        <w:rPr>
          <w:rFonts w:hint="eastAsia" w:ascii="仿宋" w:hAnsi="仿宋" w:eastAsia="仿宋" w:cs="仿宋"/>
          <w:b/>
          <w:bCs/>
          <w:sz w:val="32"/>
          <w:szCs w:val="32"/>
          <w:lang w:bidi="ar-SA"/>
        </w:rPr>
        <w:t>.住房保障</w:t>
      </w:r>
      <w:r>
        <w:rPr>
          <w:rFonts w:hint="eastAsia" w:ascii="仿宋" w:hAnsi="仿宋" w:eastAsia="仿宋" w:cs="仿宋"/>
          <w:b/>
          <w:bCs/>
          <w:sz w:val="32"/>
          <w:szCs w:val="32"/>
          <w:lang w:eastAsia="zh-CN" w:bidi="ar-SA"/>
        </w:rPr>
        <w:t>支出</w:t>
      </w:r>
      <w:r>
        <w:rPr>
          <w:rFonts w:hint="eastAsia" w:ascii="仿宋" w:hAnsi="仿宋" w:eastAsia="仿宋" w:cs="仿宋"/>
          <w:b/>
          <w:bCs/>
          <w:sz w:val="32"/>
          <w:szCs w:val="32"/>
          <w:lang w:bidi="ar-SA"/>
        </w:rPr>
        <w:t>（类）</w:t>
      </w:r>
      <w:r>
        <w:rPr>
          <w:rFonts w:hint="eastAsia" w:ascii="仿宋" w:hAnsi="仿宋" w:eastAsia="仿宋" w:cs="仿宋"/>
          <w:b/>
          <w:bCs/>
          <w:sz w:val="32"/>
          <w:szCs w:val="32"/>
          <w:lang w:eastAsia="zh-CN" w:bidi="ar-SA"/>
        </w:rPr>
        <w:t>住房改革支出</w:t>
      </w:r>
      <w:r>
        <w:rPr>
          <w:rFonts w:hint="eastAsia" w:ascii="仿宋" w:hAnsi="仿宋" w:eastAsia="仿宋" w:cs="仿宋"/>
          <w:b/>
          <w:bCs/>
          <w:sz w:val="32"/>
          <w:szCs w:val="32"/>
          <w:lang w:bidi="ar-SA"/>
        </w:rPr>
        <w:t>（款）</w:t>
      </w:r>
      <w:r>
        <w:rPr>
          <w:rFonts w:hint="eastAsia" w:ascii="仿宋" w:hAnsi="仿宋" w:eastAsia="仿宋" w:cs="仿宋"/>
          <w:b/>
          <w:bCs/>
          <w:sz w:val="32"/>
          <w:szCs w:val="32"/>
          <w:lang w:eastAsia="zh-CN" w:bidi="ar-SA"/>
        </w:rPr>
        <w:t>住房公积金</w:t>
      </w:r>
      <w:r>
        <w:rPr>
          <w:rFonts w:hint="eastAsia" w:ascii="仿宋" w:hAnsi="仿宋" w:eastAsia="仿宋" w:cs="仿宋"/>
          <w:b/>
          <w:bCs/>
          <w:sz w:val="32"/>
          <w:szCs w:val="32"/>
          <w:lang w:bidi="ar-SA"/>
        </w:rPr>
        <w:t>（项）：</w:t>
      </w:r>
      <w:r>
        <w:rPr>
          <w:rFonts w:hint="eastAsia" w:ascii="仿宋" w:hAnsi="仿宋" w:eastAsia="仿宋" w:cs="仿宋"/>
          <w:sz w:val="32"/>
          <w:szCs w:val="32"/>
          <w:lang w:bidi="ar-SA"/>
        </w:rPr>
        <w:t>指</w:t>
      </w:r>
      <w:r>
        <w:rPr>
          <w:rFonts w:hint="eastAsia" w:ascii="仿宋" w:hAnsi="仿宋" w:eastAsia="仿宋" w:cs="仿宋"/>
          <w:sz w:val="32"/>
          <w:szCs w:val="32"/>
          <w:lang w:eastAsia="zh-CN" w:bidi="ar-SA"/>
        </w:rPr>
        <w:t>反映行政事业单位按人力资源和社会保障部、财政部规定的基本工资和津贴补贴以及规定比例为职工缴纳的住房公积金</w:t>
      </w:r>
      <w:r>
        <w:rPr>
          <w:rFonts w:hint="eastAsia" w:ascii="仿宋" w:hAnsi="仿宋" w:eastAsia="仿宋" w:cs="仿宋"/>
          <w:sz w:val="32"/>
          <w:szCs w:val="32"/>
          <w:lang w:bidi="ar-SA"/>
        </w:rPr>
        <w:t>。</w:t>
      </w:r>
      <w:r>
        <w:rPr>
          <w:rFonts w:hint="eastAsia" w:eastAsia="仿宋_GB2312" w:cs="Times New Roman"/>
          <w:sz w:val="32"/>
          <w:szCs w:val="32"/>
          <w:lang w:val="en-US" w:eastAsia="zh-CN"/>
        </w:rPr>
        <w:t>11</w:t>
      </w:r>
      <w:r>
        <w:rPr>
          <w:rFonts w:hint="default" w:ascii="Times New Roman" w:hAnsi="Times New Roman" w:eastAsia="仿宋_GB2312" w:cs="Times New Roman"/>
          <w:sz w:val="32"/>
          <w:szCs w:val="32"/>
        </w:rPr>
        <w:t>.基本支出：指为保障机构正常运转、完成日常工作任务而发生的人员支出和公用支出。</w:t>
      </w:r>
    </w:p>
    <w:p w14:paraId="50C5AD18">
      <w:pPr>
        <w:pageBreakBefore w:val="0"/>
        <w:kinsoku/>
        <w:wordWrap/>
        <w:overflowPunct/>
        <w:topLinePunct w:val="0"/>
        <w:autoSpaceDE/>
        <w:autoSpaceDN/>
        <w:bidi w:val="0"/>
        <w:spacing w:line="576" w:lineRule="exact"/>
        <w:ind w:firstLine="643" w:firstLineChars="200"/>
        <w:textAlignment w:val="auto"/>
        <w:rPr>
          <w:rFonts w:hint="default" w:ascii="Times New Roman" w:hAnsi="Times New Roman" w:eastAsia="仿宋_GB2312" w:cs="Times New Roman"/>
          <w:sz w:val="32"/>
          <w:szCs w:val="32"/>
        </w:rPr>
      </w:pPr>
      <w:r>
        <w:rPr>
          <w:rFonts w:hint="eastAsia" w:ascii="仿宋" w:hAnsi="仿宋" w:eastAsia="仿宋" w:cs="仿宋"/>
          <w:b/>
          <w:bCs/>
          <w:sz w:val="32"/>
          <w:szCs w:val="32"/>
          <w:lang w:val="en-US" w:eastAsia="zh-CN" w:bidi="ar-SA"/>
        </w:rPr>
        <w:t>12</w:t>
      </w:r>
      <w:r>
        <w:rPr>
          <w:rFonts w:hint="default" w:ascii="仿宋" w:hAnsi="仿宋" w:eastAsia="仿宋" w:cs="仿宋"/>
          <w:b/>
          <w:bCs/>
          <w:sz w:val="32"/>
          <w:szCs w:val="32"/>
          <w:lang w:val="en-US" w:eastAsia="zh-CN" w:bidi="ar-SA"/>
        </w:rPr>
        <w:t>.项目支出：</w:t>
      </w:r>
      <w:r>
        <w:rPr>
          <w:rFonts w:hint="default" w:ascii="Times New Roman" w:hAnsi="Times New Roman" w:eastAsia="仿宋_GB2312" w:cs="Times New Roman"/>
          <w:sz w:val="32"/>
          <w:szCs w:val="32"/>
        </w:rPr>
        <w:t xml:space="preserve">指在基本支出之外为完成特定行政任务和事业发展目标所发生的支出。 </w:t>
      </w:r>
    </w:p>
    <w:p w14:paraId="2C1E157D">
      <w:pPr>
        <w:pageBreakBefore w:val="0"/>
        <w:kinsoku/>
        <w:wordWrap/>
        <w:overflowPunct/>
        <w:topLinePunct w:val="0"/>
        <w:autoSpaceDE/>
        <w:autoSpaceDN/>
        <w:bidi w:val="0"/>
        <w:spacing w:line="576" w:lineRule="exact"/>
        <w:ind w:firstLine="643" w:firstLineChars="200"/>
        <w:textAlignment w:val="auto"/>
        <w:rPr>
          <w:rFonts w:hint="default" w:ascii="Times New Roman" w:hAnsi="Times New Roman" w:eastAsia="仿宋_GB2312" w:cs="Times New Roman"/>
          <w:sz w:val="32"/>
          <w:szCs w:val="32"/>
        </w:rPr>
      </w:pPr>
      <w:r>
        <w:rPr>
          <w:rFonts w:hint="default" w:ascii="仿宋" w:hAnsi="仿宋" w:eastAsia="仿宋" w:cs="仿宋"/>
          <w:b/>
          <w:bCs/>
          <w:sz w:val="32"/>
          <w:szCs w:val="32"/>
          <w:lang w:val="en-US" w:eastAsia="zh-CN" w:bidi="ar-SA"/>
        </w:rPr>
        <w:t>1</w:t>
      </w:r>
      <w:r>
        <w:rPr>
          <w:rFonts w:hint="eastAsia" w:ascii="仿宋" w:hAnsi="仿宋" w:eastAsia="仿宋" w:cs="仿宋"/>
          <w:b/>
          <w:bCs/>
          <w:sz w:val="32"/>
          <w:szCs w:val="32"/>
          <w:lang w:val="en-US" w:eastAsia="zh-CN" w:bidi="ar-SA"/>
        </w:rPr>
        <w:t>3</w:t>
      </w:r>
      <w:r>
        <w:rPr>
          <w:rFonts w:hint="default" w:ascii="仿宋" w:hAnsi="仿宋" w:eastAsia="仿宋" w:cs="仿宋"/>
          <w:b/>
          <w:bCs/>
          <w:sz w:val="32"/>
          <w:szCs w:val="32"/>
          <w:lang w:val="en-US" w:eastAsia="zh-CN" w:bidi="ar-SA"/>
        </w:rPr>
        <w:t>.经营支出：</w:t>
      </w:r>
      <w:r>
        <w:rPr>
          <w:rFonts w:hint="default" w:ascii="Times New Roman" w:hAnsi="Times New Roman" w:eastAsia="仿宋_GB2312" w:cs="Times New Roman"/>
          <w:sz w:val="32"/>
          <w:szCs w:val="32"/>
        </w:rPr>
        <w:t>指事业单位在专业业务活动及其辅助活动之外开展非独立核算经营活动发生的支出。</w:t>
      </w:r>
    </w:p>
    <w:p w14:paraId="63C28601">
      <w:pPr>
        <w:pageBreakBefore w:val="0"/>
        <w:kinsoku/>
        <w:wordWrap/>
        <w:overflowPunct/>
        <w:topLinePunct w:val="0"/>
        <w:autoSpaceDE/>
        <w:autoSpaceDN/>
        <w:bidi w:val="0"/>
        <w:spacing w:line="576" w:lineRule="exact"/>
        <w:ind w:firstLine="643" w:firstLineChars="200"/>
        <w:textAlignment w:val="auto"/>
        <w:rPr>
          <w:rFonts w:hint="default" w:ascii="Times New Roman" w:hAnsi="Times New Roman" w:eastAsia="仿宋_GB2312" w:cs="Times New Roman"/>
          <w:sz w:val="32"/>
          <w:szCs w:val="32"/>
        </w:rPr>
      </w:pPr>
      <w:r>
        <w:rPr>
          <w:rFonts w:hint="default" w:ascii="仿宋" w:hAnsi="仿宋" w:eastAsia="仿宋" w:cs="仿宋"/>
          <w:b/>
          <w:bCs/>
          <w:sz w:val="32"/>
          <w:szCs w:val="32"/>
          <w:lang w:val="en-US" w:eastAsia="zh-CN" w:bidi="ar-SA"/>
        </w:rPr>
        <w:t>1</w:t>
      </w:r>
      <w:r>
        <w:rPr>
          <w:rFonts w:hint="eastAsia" w:ascii="仿宋" w:hAnsi="仿宋" w:eastAsia="仿宋" w:cs="仿宋"/>
          <w:b/>
          <w:bCs/>
          <w:sz w:val="32"/>
          <w:szCs w:val="32"/>
          <w:lang w:val="en-US" w:eastAsia="zh-CN" w:bidi="ar-SA"/>
        </w:rPr>
        <w:t>4</w:t>
      </w:r>
      <w:r>
        <w:rPr>
          <w:rFonts w:hint="default" w:ascii="仿宋" w:hAnsi="仿宋" w:eastAsia="仿宋" w:cs="仿宋"/>
          <w:b/>
          <w:bCs/>
          <w:sz w:val="32"/>
          <w:szCs w:val="32"/>
          <w:lang w:val="en-US" w:eastAsia="zh-CN" w:bidi="ar-SA"/>
        </w:rPr>
        <w:t>.“三公”经费：</w:t>
      </w:r>
      <w:r>
        <w:rPr>
          <w:rFonts w:hint="default" w:ascii="Times New Roman" w:hAnsi="Times New Roman" w:eastAsia="仿宋_GB2312" w:cs="Times New Roman"/>
          <w:sz w:val="32"/>
          <w:szCs w:val="32"/>
        </w:rPr>
        <w:t>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736E1A17">
      <w:pPr>
        <w:pageBreakBefore w:val="0"/>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w:t>
      </w:r>
      <w:r>
        <w:rPr>
          <w:rFonts w:hint="eastAsia" w:eastAsia="仿宋_GB2312" w:cs="Times New Roman"/>
          <w:sz w:val="32"/>
          <w:szCs w:val="32"/>
          <w:lang w:val="en-US" w:eastAsia="zh-CN"/>
        </w:rPr>
        <w:t>5</w:t>
      </w:r>
      <w:r>
        <w:rPr>
          <w:rFonts w:hint="default" w:ascii="Times New Roman" w:hAnsi="Times New Roman" w:eastAsia="仿宋_GB2312" w:cs="Times New Roman"/>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17573B4">
      <w:pPr>
        <w:pageBreakBefore w:val="0"/>
        <w:kinsoku/>
        <w:wordWrap/>
        <w:overflowPunct/>
        <w:topLinePunct w:val="0"/>
        <w:autoSpaceDE/>
        <w:autoSpaceDN/>
        <w:bidi w:val="0"/>
        <w:spacing w:line="576" w:lineRule="exact"/>
        <w:ind w:firstLine="880" w:firstLineChars="200"/>
        <w:jc w:val="center"/>
        <w:textAlignment w:val="auto"/>
        <w:rPr>
          <w:rFonts w:hint="default" w:ascii="Times New Roman" w:hAnsi="Times New Roman" w:eastAsia="黑体" w:cs="Times New Roman"/>
          <w:sz w:val="44"/>
          <w:szCs w:val="44"/>
        </w:rPr>
      </w:pPr>
      <w:bookmarkStart w:id="84" w:name="_Toc15396614"/>
      <w:bookmarkStart w:id="85" w:name="_Toc15377226"/>
    </w:p>
    <w:p w14:paraId="3C4A809B">
      <w:pPr>
        <w:pageBreakBefore w:val="0"/>
        <w:kinsoku/>
        <w:wordWrap/>
        <w:overflowPunct/>
        <w:topLinePunct w:val="0"/>
        <w:autoSpaceDE/>
        <w:autoSpaceDN/>
        <w:bidi w:val="0"/>
        <w:spacing w:line="576" w:lineRule="exact"/>
        <w:ind w:firstLine="880" w:firstLineChars="200"/>
        <w:jc w:val="center"/>
        <w:textAlignment w:val="auto"/>
        <w:rPr>
          <w:rFonts w:hint="default" w:ascii="Times New Roman" w:hAnsi="Times New Roman" w:eastAsia="黑体" w:cs="Times New Roman"/>
          <w:sz w:val="44"/>
          <w:szCs w:val="44"/>
        </w:rPr>
      </w:pPr>
    </w:p>
    <w:p w14:paraId="32772D1A">
      <w:pPr>
        <w:pStyle w:val="22"/>
        <w:rPr>
          <w:rFonts w:hint="default" w:ascii="Times New Roman" w:hAnsi="Times New Roman" w:eastAsia="黑体" w:cs="Times New Roman"/>
          <w:sz w:val="44"/>
          <w:szCs w:val="44"/>
        </w:rPr>
      </w:pPr>
    </w:p>
    <w:p w14:paraId="37E48863">
      <w:pPr>
        <w:rPr>
          <w:rFonts w:hint="default" w:ascii="Times New Roman" w:hAnsi="Times New Roman" w:eastAsia="黑体" w:cs="Times New Roman"/>
          <w:sz w:val="44"/>
          <w:szCs w:val="44"/>
        </w:rPr>
      </w:pPr>
    </w:p>
    <w:p w14:paraId="22E8C147">
      <w:pPr>
        <w:pStyle w:val="22"/>
        <w:rPr>
          <w:rFonts w:hint="default" w:ascii="Times New Roman" w:hAnsi="Times New Roman" w:eastAsia="黑体" w:cs="Times New Roman"/>
          <w:sz w:val="44"/>
          <w:szCs w:val="44"/>
        </w:rPr>
      </w:pPr>
    </w:p>
    <w:p w14:paraId="54CD0552">
      <w:pPr>
        <w:rPr>
          <w:rFonts w:hint="default" w:ascii="Times New Roman" w:hAnsi="Times New Roman" w:eastAsia="黑体" w:cs="Times New Roman"/>
          <w:sz w:val="44"/>
          <w:szCs w:val="44"/>
        </w:rPr>
      </w:pPr>
    </w:p>
    <w:p w14:paraId="54F8997E">
      <w:pPr>
        <w:pStyle w:val="2"/>
        <w:rPr>
          <w:rFonts w:hint="default" w:ascii="Times New Roman" w:hAnsi="Times New Roman" w:eastAsia="黑体" w:cs="Times New Roman"/>
          <w:sz w:val="44"/>
          <w:szCs w:val="44"/>
        </w:rPr>
      </w:pPr>
    </w:p>
    <w:p w14:paraId="2FA1588B">
      <w:pPr>
        <w:pStyle w:val="2"/>
        <w:rPr>
          <w:rFonts w:hint="default" w:ascii="Times New Roman" w:hAnsi="Times New Roman" w:eastAsia="黑体" w:cs="Times New Roman"/>
          <w:sz w:val="44"/>
          <w:szCs w:val="44"/>
        </w:rPr>
      </w:pPr>
    </w:p>
    <w:p w14:paraId="0FAE8B17">
      <w:pPr>
        <w:pStyle w:val="2"/>
        <w:rPr>
          <w:rFonts w:hint="default" w:ascii="Times New Roman" w:hAnsi="Times New Roman" w:eastAsia="黑体" w:cs="Times New Roman"/>
          <w:sz w:val="44"/>
          <w:szCs w:val="44"/>
        </w:rPr>
      </w:pPr>
    </w:p>
    <w:p w14:paraId="47776282">
      <w:pPr>
        <w:pStyle w:val="2"/>
        <w:rPr>
          <w:rFonts w:hint="default" w:ascii="Times New Roman" w:hAnsi="Times New Roman" w:eastAsia="黑体" w:cs="Times New Roman"/>
          <w:sz w:val="44"/>
          <w:szCs w:val="44"/>
        </w:rPr>
      </w:pPr>
    </w:p>
    <w:p w14:paraId="5F88F8D3">
      <w:pPr>
        <w:pStyle w:val="2"/>
        <w:rPr>
          <w:rFonts w:hint="default" w:ascii="Times New Roman" w:hAnsi="Times New Roman" w:eastAsia="黑体" w:cs="Times New Roman"/>
          <w:sz w:val="44"/>
          <w:szCs w:val="44"/>
        </w:rPr>
      </w:pPr>
    </w:p>
    <w:p w14:paraId="133B6B6C">
      <w:pPr>
        <w:pStyle w:val="2"/>
        <w:rPr>
          <w:rFonts w:hint="default" w:ascii="Times New Roman" w:hAnsi="Times New Roman" w:eastAsia="黑体" w:cs="Times New Roman"/>
          <w:sz w:val="44"/>
          <w:szCs w:val="44"/>
        </w:rPr>
      </w:pPr>
    </w:p>
    <w:p w14:paraId="24ADA1BA">
      <w:pPr>
        <w:rPr>
          <w:rFonts w:hint="default" w:ascii="Times New Roman" w:hAnsi="Times New Roman" w:eastAsia="黑体" w:cs="Times New Roman"/>
          <w:sz w:val="44"/>
          <w:szCs w:val="44"/>
        </w:rPr>
      </w:pPr>
    </w:p>
    <w:p w14:paraId="7BA44CB3">
      <w:pPr>
        <w:pageBreakBefore w:val="0"/>
        <w:kinsoku/>
        <w:wordWrap/>
        <w:overflowPunct/>
        <w:topLinePunct w:val="0"/>
        <w:autoSpaceDE/>
        <w:autoSpaceDN/>
        <w:bidi w:val="0"/>
        <w:spacing w:line="576" w:lineRule="exact"/>
        <w:jc w:val="center"/>
        <w:textAlignment w:val="auto"/>
        <w:rPr>
          <w:rFonts w:hint="default" w:ascii="Times New Roman" w:hAnsi="Times New Roman" w:eastAsia="黑体" w:cs="Times New Roman"/>
          <w:color w:val="FF0000"/>
          <w:sz w:val="32"/>
          <w:szCs w:val="32"/>
        </w:rPr>
      </w:pPr>
      <w:r>
        <w:rPr>
          <w:rFonts w:hint="default" w:ascii="Times New Roman" w:hAnsi="Times New Roman" w:eastAsia="黑体" w:cs="Times New Roman"/>
          <w:sz w:val="44"/>
          <w:szCs w:val="44"/>
        </w:rPr>
        <w:t>第四部分  附件</w:t>
      </w:r>
      <w:bookmarkEnd w:id="84"/>
    </w:p>
    <w:p w14:paraId="19AD568C">
      <w:pPr>
        <w:pageBreakBefore w:val="0"/>
        <w:widowControl/>
        <w:kinsoku/>
        <w:wordWrap/>
        <w:overflowPunct/>
        <w:topLinePunct w:val="0"/>
        <w:autoSpaceDE/>
        <w:autoSpaceDN/>
        <w:bidi w:val="0"/>
        <w:spacing w:line="576" w:lineRule="exact"/>
        <w:ind w:firstLine="880" w:firstLineChars="200"/>
        <w:contextualSpacing/>
        <w:jc w:val="center"/>
        <w:textAlignment w:val="auto"/>
        <w:rPr>
          <w:rFonts w:hint="default" w:ascii="Times New Roman" w:hAnsi="Times New Roman" w:eastAsia="方正小标宋简体" w:cs="Times New Roman"/>
          <w:bCs/>
          <w:sz w:val="44"/>
          <w:szCs w:val="44"/>
          <w:shd w:val="clear" w:color="auto" w:fill="FFFFFF"/>
        </w:rPr>
      </w:pPr>
    </w:p>
    <w:p w14:paraId="423E526F">
      <w:pPr>
        <w:widowControl/>
        <w:spacing w:line="578" w:lineRule="exact"/>
        <w:contextualSpacing/>
        <w:jc w:val="center"/>
        <w:rPr>
          <w:rFonts w:hint="default" w:ascii="Times New Roman" w:hAnsi="Times New Roman" w:eastAsia="方正小标宋_GBK" w:cs="Times New Roman"/>
          <w:b/>
          <w:sz w:val="44"/>
          <w:szCs w:val="44"/>
          <w:shd w:val="clear" w:color="auto" w:fill="FFFFFF"/>
        </w:rPr>
      </w:pPr>
      <w:r>
        <w:rPr>
          <w:rFonts w:hint="default" w:ascii="Times New Roman" w:hAnsi="Times New Roman" w:eastAsia="方正小标宋_GBK" w:cs="Times New Roman"/>
          <w:b/>
          <w:sz w:val="44"/>
          <w:szCs w:val="44"/>
          <w:shd w:val="clear" w:color="auto" w:fill="FFFFFF"/>
        </w:rPr>
        <w:t>中共阿坝州委老干部局部门</w:t>
      </w:r>
    </w:p>
    <w:p w14:paraId="6BED3F6B">
      <w:pPr>
        <w:widowControl/>
        <w:spacing w:line="578" w:lineRule="exact"/>
        <w:contextualSpacing/>
        <w:jc w:val="center"/>
        <w:rPr>
          <w:rFonts w:hint="default" w:ascii="Times New Roman" w:hAnsi="Times New Roman" w:eastAsia="方正小标宋简体" w:cs="Times New Roman"/>
          <w:bCs/>
          <w:sz w:val="44"/>
          <w:szCs w:val="44"/>
          <w:shd w:val="clear" w:color="auto" w:fill="FFFFFF"/>
        </w:rPr>
      </w:pPr>
      <w:r>
        <w:rPr>
          <w:rFonts w:hint="default" w:ascii="Times New Roman" w:hAnsi="Times New Roman" w:eastAsia="方正小标宋_GBK" w:cs="Times New Roman"/>
          <w:b/>
          <w:sz w:val="44"/>
          <w:szCs w:val="44"/>
          <w:shd w:val="clear" w:color="auto" w:fill="FFFFFF"/>
        </w:rPr>
        <w:t>2024年度</w:t>
      </w:r>
      <w:r>
        <w:rPr>
          <w:rFonts w:hint="default" w:ascii="Times New Roman" w:hAnsi="Times New Roman" w:eastAsia="方正小标宋_GBK" w:cs="Times New Roman"/>
          <w:bCs/>
          <w:sz w:val="44"/>
          <w:szCs w:val="44"/>
          <w:shd w:val="clear" w:color="auto" w:fill="FFFFFF"/>
        </w:rPr>
        <w:t>部门预算绩效自评报告</w:t>
      </w:r>
    </w:p>
    <w:p w14:paraId="07A6D693">
      <w:pPr>
        <w:widowControl/>
        <w:adjustRightInd w:val="0"/>
        <w:snapToGrid w:val="0"/>
        <w:spacing w:line="578" w:lineRule="exact"/>
        <w:ind w:firstLine="480" w:firstLineChars="200"/>
        <w:contextualSpacing/>
        <w:jc w:val="left"/>
        <w:rPr>
          <w:rFonts w:hint="default" w:ascii="Times New Roman" w:hAnsi="Times New Roman" w:eastAsia="黑体" w:cs="Times New Roman"/>
          <w:color w:val="000000"/>
          <w:kern w:val="0"/>
          <w:sz w:val="24"/>
          <w:szCs w:val="32"/>
          <w:shd w:val="clear" w:color="auto" w:fill="FFFFFF"/>
        </w:rPr>
      </w:pPr>
    </w:p>
    <w:p w14:paraId="26826BB1">
      <w:pPr>
        <w:widowControl/>
        <w:adjustRightInd w:val="0"/>
        <w:snapToGrid w:val="0"/>
        <w:spacing w:line="578" w:lineRule="exact"/>
        <w:ind w:firstLine="640" w:firstLineChars="200"/>
        <w:contextualSpacing/>
        <w:jc w:val="left"/>
        <w:rPr>
          <w:rFonts w:hint="default" w:ascii="Times New Roman" w:hAnsi="Times New Roman" w:eastAsia="方正黑体_GBK" w:cs="Times New Roman"/>
          <w:color w:val="000000"/>
          <w:kern w:val="0"/>
          <w:sz w:val="32"/>
          <w:szCs w:val="32"/>
          <w:shd w:val="clear" w:color="auto" w:fill="FFFFFF"/>
        </w:rPr>
      </w:pPr>
      <w:r>
        <w:rPr>
          <w:rFonts w:hint="default" w:ascii="Times New Roman" w:hAnsi="Times New Roman" w:eastAsia="方正黑体_GBK" w:cs="Times New Roman"/>
          <w:color w:val="000000"/>
          <w:kern w:val="0"/>
          <w:sz w:val="32"/>
          <w:szCs w:val="32"/>
          <w:shd w:val="clear" w:color="auto" w:fill="FFFFFF"/>
          <w:lang w:val="zh-CN"/>
        </w:rPr>
        <w:t>一、部门（部门）基本情况</w:t>
      </w:r>
    </w:p>
    <w:p w14:paraId="746A382B">
      <w:pPr>
        <w:widowControl/>
        <w:adjustRightInd w:val="0"/>
        <w:snapToGrid w:val="0"/>
        <w:spacing w:line="578" w:lineRule="exact"/>
        <w:ind w:firstLine="643" w:firstLineChars="200"/>
        <w:contextualSpacing/>
        <w:jc w:val="left"/>
        <w:rPr>
          <w:rFonts w:hint="default" w:ascii="Times New Roman" w:hAnsi="Times New Roman" w:eastAsia="仿宋_GB2312" w:cs="Times New Roman"/>
          <w:sz w:val="32"/>
          <w:szCs w:val="32"/>
        </w:rPr>
      </w:pPr>
      <w:r>
        <w:rPr>
          <w:rFonts w:hint="default" w:ascii="Times New Roman" w:hAnsi="Times New Roman" w:eastAsia="方正楷体_GBK" w:cs="Times New Roman"/>
          <w:b/>
          <w:bCs/>
          <w:color w:val="000000"/>
          <w:kern w:val="0"/>
          <w:sz w:val="32"/>
          <w:szCs w:val="32"/>
          <w:shd w:val="clear" w:color="auto" w:fill="FFFFFF"/>
          <w:lang w:val="zh-CN"/>
        </w:rPr>
        <w:t>（一）机构组成。</w:t>
      </w:r>
      <w:r>
        <w:rPr>
          <w:rFonts w:hint="default" w:ascii="Times New Roman" w:hAnsi="Times New Roman" w:eastAsia="仿宋_GB2312" w:cs="Times New Roman"/>
          <w:sz w:val="32"/>
          <w:szCs w:val="32"/>
        </w:rPr>
        <w:t>州委老干部局部门部门根据阿委办发（2001）59号、阿编发〔2019〕94号文件规定，我局内设办公室、离退休科、保健活动科、信息调研科、党建指导科、关心下一代工作科6个科室；下属六个干休所，成都、马尔康各一个；郫县、都江堰各两个。</w:t>
      </w:r>
    </w:p>
    <w:p w14:paraId="29F9C5C7">
      <w:pPr>
        <w:widowControl/>
        <w:adjustRightInd w:val="0"/>
        <w:snapToGrid w:val="0"/>
        <w:spacing w:line="578" w:lineRule="exact"/>
        <w:ind w:firstLine="643" w:firstLineChars="200"/>
        <w:contextualSpacing/>
        <w:jc w:val="left"/>
        <w:rPr>
          <w:rFonts w:hint="default" w:ascii="Times New Roman" w:hAnsi="Times New Roman" w:eastAsia="仿宋_GB2312" w:cs="Times New Roman"/>
          <w:sz w:val="32"/>
          <w:szCs w:val="32"/>
          <w:lang w:val="zh-CN"/>
        </w:rPr>
      </w:pPr>
      <w:r>
        <w:rPr>
          <w:rFonts w:hint="default" w:ascii="Times New Roman" w:hAnsi="Times New Roman" w:eastAsia="方正楷体_GBK" w:cs="Times New Roman"/>
          <w:b/>
          <w:bCs/>
          <w:color w:val="000000"/>
          <w:kern w:val="0"/>
          <w:sz w:val="32"/>
          <w:szCs w:val="32"/>
          <w:shd w:val="clear" w:color="auto" w:fill="FFFFFF"/>
          <w:lang w:val="zh-CN"/>
        </w:rPr>
        <w:t>（二）机构职能。</w:t>
      </w:r>
      <w:r>
        <w:rPr>
          <w:rFonts w:hint="default" w:ascii="Times New Roman" w:hAnsi="Times New Roman" w:eastAsia="仿宋_GB2312" w:cs="Times New Roman"/>
          <w:sz w:val="32"/>
          <w:szCs w:val="32"/>
        </w:rPr>
        <w:t>主要职能职责：一是贯彻执行党中央、国务院关于老干部工作的方针、政策和省、州有关规定，对全州老十部工作进行指导、协调、督促、检查；负责调查研究，提出老干部工作的有关政策性意见或建议，为州委、州政府决策提供依据；会同有关部门解决老干部和老干部工作中的有关问题。二是指导和承办离休干部和副州级以上退休干部的安置、管理、服务工作；负责副县（处）级以上退休干部的管理工作；负责离（退）休干部党支部建设，做好离退休干部政治思想工作；负责离退休干部活动中心（馆、室）建设，组织开展各种健康有益文明科学的活动，充分发挥老同志的政治优势，为我州政治文明、物质文明和精神文明建设，为“一州两区三家园的建设，提供坚定支撑，推动跨越发展和长治久安做贡献。三是负责在重大节日组织走访慰问老干部工作。组织开展特殊困难离（退）休干部帮扶工作，组织指导易地安置离退休干部工作。四是做好医疗保健工作。经常了解和掌握离、退休干部的健康状况，协助有关部门处理好离休干部和副县级及其以上退休干部的丧葬事宜。了解、反映老干部及其遗属的有关情况。五是抓好工作部门自身建设。加强州级各系统及各县，州属成都、郫县、都江堰、马尔康六个干休所的管理、督促、指导、检查。六是负责所属干休所人事任免、人员调整、退休手续的报批、奖惩、人员编制的管理工作。七是负责全州关心下一代相关工作，并承担关心下一代工作委员会日常工作。八是完成州委和州委组织部交办的其他任务。</w:t>
      </w:r>
    </w:p>
    <w:p w14:paraId="6E253C61">
      <w:pPr>
        <w:spacing w:line="60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方正楷体_GBK" w:cs="Times New Roman"/>
          <w:b/>
          <w:bCs/>
          <w:color w:val="000000"/>
          <w:kern w:val="0"/>
          <w:sz w:val="32"/>
          <w:szCs w:val="32"/>
          <w:shd w:val="clear" w:color="auto" w:fill="FFFFFF"/>
          <w:lang w:val="zh-CN"/>
        </w:rPr>
        <w:t>（三）人员概况。</w:t>
      </w:r>
      <w:r>
        <w:rPr>
          <w:rFonts w:hint="default" w:ascii="Times New Roman" w:hAnsi="Times New Roman" w:eastAsia="仿宋_GB2312" w:cs="Times New Roman"/>
          <w:sz w:val="32"/>
          <w:szCs w:val="32"/>
        </w:rPr>
        <w:t>截至2024年末，州委老干部局部门及下属部门共有编制73个（其中行政编制61个，工勤编制12个），年末实有人数68人（公务员（参公）56人，工勤12人）。</w:t>
      </w:r>
    </w:p>
    <w:p w14:paraId="258A5452">
      <w:pPr>
        <w:widowControl/>
        <w:adjustRightInd w:val="0"/>
        <w:snapToGrid w:val="0"/>
        <w:spacing w:line="578" w:lineRule="exact"/>
        <w:ind w:firstLine="640" w:firstLineChars="200"/>
        <w:contextualSpacing/>
        <w:jc w:val="left"/>
        <w:rPr>
          <w:rFonts w:hint="default" w:ascii="Times New Roman" w:hAnsi="Times New Roman" w:eastAsia="方正黑体_GBK" w:cs="Times New Roman"/>
          <w:color w:val="000000"/>
          <w:kern w:val="0"/>
          <w:sz w:val="32"/>
          <w:szCs w:val="32"/>
          <w:shd w:val="clear" w:color="auto" w:fill="FFFFFF"/>
          <w:lang w:val="zh-CN"/>
        </w:rPr>
      </w:pPr>
      <w:r>
        <w:rPr>
          <w:rFonts w:hint="default" w:ascii="Times New Roman" w:hAnsi="Times New Roman" w:eastAsia="方正黑体_GBK" w:cs="Times New Roman"/>
          <w:color w:val="000000"/>
          <w:kern w:val="0"/>
          <w:sz w:val="32"/>
          <w:szCs w:val="32"/>
          <w:shd w:val="clear" w:color="auto" w:fill="FFFFFF"/>
          <w:lang w:val="zh-CN"/>
        </w:rPr>
        <w:t>二、部门资金收支情况</w:t>
      </w:r>
    </w:p>
    <w:p w14:paraId="46D183AA">
      <w:pPr>
        <w:widowControl/>
        <w:adjustRightInd w:val="0"/>
        <w:snapToGrid w:val="0"/>
        <w:spacing w:line="578" w:lineRule="exact"/>
        <w:ind w:firstLine="643" w:firstLineChars="200"/>
        <w:contextualSpacing/>
        <w:jc w:val="left"/>
        <w:rPr>
          <w:rFonts w:hint="default" w:ascii="Times New Roman" w:hAnsi="Times New Roman" w:eastAsia="仿宋_GB2312" w:cs="Times New Roman"/>
          <w:sz w:val="32"/>
          <w:szCs w:val="32"/>
        </w:rPr>
      </w:pPr>
      <w:r>
        <w:rPr>
          <w:rFonts w:hint="default" w:ascii="Times New Roman" w:hAnsi="Times New Roman" w:eastAsia="方正楷体_GBK" w:cs="Times New Roman"/>
          <w:b/>
          <w:bCs/>
          <w:color w:val="000000"/>
          <w:kern w:val="0"/>
          <w:sz w:val="32"/>
          <w:szCs w:val="32"/>
          <w:shd w:val="clear" w:color="auto" w:fill="FFFFFF"/>
          <w:lang w:val="zh-CN"/>
        </w:rPr>
        <w:t>（一）收入情况。</w:t>
      </w:r>
      <w:r>
        <w:rPr>
          <w:rFonts w:hint="default" w:ascii="Times New Roman" w:hAnsi="Times New Roman" w:eastAsia="仿宋_GB2312" w:cs="Times New Roman"/>
          <w:sz w:val="32"/>
          <w:szCs w:val="32"/>
        </w:rPr>
        <w:t>州委老干部局部门2024年年初预算收入2851.79万元、年初结转结余资金36万元，全年预算总收入为2887.79万元，全年预算数为30</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2.65万元，年初结转结余资金41.69万元，决算数收入3054.34万元，预算执行率为100%。</w:t>
      </w:r>
    </w:p>
    <w:p w14:paraId="6EB4DB3C">
      <w:pPr>
        <w:snapToGrid w:val="0"/>
        <w:spacing w:line="520" w:lineRule="exact"/>
        <w:ind w:firstLine="643" w:firstLineChars="200"/>
        <w:rPr>
          <w:rFonts w:hint="default" w:ascii="Times New Roman" w:hAnsi="Times New Roman" w:cs="Times New Roman"/>
          <w:szCs w:val="32"/>
        </w:rPr>
      </w:pPr>
      <w:r>
        <w:rPr>
          <w:rFonts w:hint="default" w:ascii="Times New Roman" w:hAnsi="Times New Roman" w:eastAsia="方正楷体_GBK" w:cs="Times New Roman"/>
          <w:b/>
          <w:bCs/>
          <w:color w:val="000000"/>
          <w:kern w:val="0"/>
          <w:sz w:val="32"/>
          <w:szCs w:val="32"/>
          <w:shd w:val="clear" w:color="auto" w:fill="FFFFFF"/>
          <w:lang w:val="zh-CN"/>
        </w:rPr>
        <w:t>（二）支出情况。</w:t>
      </w:r>
      <w:r>
        <w:rPr>
          <w:rFonts w:hint="default" w:ascii="Times New Roman" w:hAnsi="Times New Roman" w:eastAsia="仿宋_GB2312" w:cs="Times New Roman"/>
          <w:sz w:val="32"/>
          <w:szCs w:val="32"/>
        </w:rPr>
        <w:t>州委老干部局部门2024年年初预算支出2887.79万元、决算报表支出3054.34元，增长166.55万元，主要是2024年人员经费增加、年中追加两个项目。</w:t>
      </w:r>
    </w:p>
    <w:p w14:paraId="2B4B7BC4">
      <w:pPr>
        <w:widowControl/>
        <w:adjustRightInd w:val="0"/>
        <w:snapToGrid w:val="0"/>
        <w:spacing w:line="578" w:lineRule="exact"/>
        <w:ind w:firstLine="643" w:firstLineChars="200"/>
        <w:contextualSpacing/>
        <w:jc w:val="left"/>
        <w:rPr>
          <w:rFonts w:hint="default" w:ascii="Times New Roman" w:hAnsi="Times New Roman" w:eastAsia="仿宋_GB2312" w:cs="Times New Roman"/>
          <w:sz w:val="32"/>
          <w:szCs w:val="32"/>
        </w:rPr>
      </w:pPr>
      <w:r>
        <w:rPr>
          <w:rFonts w:hint="default" w:ascii="Times New Roman" w:hAnsi="Times New Roman" w:eastAsia="方正楷体_GBK" w:cs="Times New Roman"/>
          <w:b/>
          <w:bCs/>
          <w:color w:val="000000"/>
          <w:kern w:val="0"/>
          <w:sz w:val="32"/>
          <w:szCs w:val="32"/>
          <w:shd w:val="clear" w:color="auto" w:fill="FFFFFF"/>
          <w:lang w:val="zh-CN"/>
        </w:rPr>
        <w:t>（三）结余分配和结转结余情况。</w:t>
      </w:r>
      <w:r>
        <w:rPr>
          <w:rFonts w:hint="default" w:ascii="Times New Roman" w:hAnsi="Times New Roman" w:eastAsia="仿宋_GB2312" w:cs="Times New Roman"/>
          <w:sz w:val="32"/>
          <w:szCs w:val="32"/>
        </w:rPr>
        <w:t>州委老干部局部门2024年度决算报表财政拨款结转结余资金为0万元。非财政拨款结转结余资金为41.6万元。分别为114003郫县离休所结转结余3.36万元，114004郫都区休养所结转结余4.59万元,114005都江堰老干部休养所结余9.3万元，114006阿坝州州级机关退休干部驻都江堰市休养所为24.35万元。</w:t>
      </w:r>
    </w:p>
    <w:p w14:paraId="09D7E87F">
      <w:pPr>
        <w:widowControl/>
        <w:adjustRightInd w:val="0"/>
        <w:snapToGrid w:val="0"/>
        <w:spacing w:line="578" w:lineRule="exact"/>
        <w:ind w:firstLine="640" w:firstLineChars="200"/>
        <w:contextualSpacing/>
        <w:jc w:val="left"/>
        <w:rPr>
          <w:rFonts w:hint="default" w:ascii="Times New Roman" w:hAnsi="Times New Roman" w:eastAsia="方正黑体_GBK" w:cs="Times New Roman"/>
          <w:color w:val="000000"/>
          <w:kern w:val="0"/>
          <w:sz w:val="32"/>
          <w:szCs w:val="32"/>
          <w:shd w:val="clear" w:color="auto" w:fill="FFFFFF"/>
          <w:lang w:val="zh-CN"/>
        </w:rPr>
      </w:pPr>
      <w:r>
        <w:rPr>
          <w:rFonts w:hint="default" w:ascii="Times New Roman" w:hAnsi="Times New Roman" w:eastAsia="方正黑体_GBK" w:cs="Times New Roman"/>
          <w:color w:val="000000"/>
          <w:kern w:val="0"/>
          <w:sz w:val="32"/>
          <w:szCs w:val="32"/>
          <w:shd w:val="clear" w:color="auto" w:fill="FFFFFF"/>
          <w:lang w:val="zh-CN"/>
        </w:rPr>
        <w:t>三、部门预算绩效分析</w:t>
      </w:r>
    </w:p>
    <w:p w14:paraId="3AFEFEE5">
      <w:pPr>
        <w:adjustRightInd w:val="0"/>
        <w:snapToGrid w:val="0"/>
        <w:spacing w:line="520" w:lineRule="exact"/>
        <w:ind w:firstLine="482" w:firstLineChars="150"/>
        <w:rPr>
          <w:rFonts w:hint="default" w:ascii="Times New Roman" w:hAnsi="Times New Roman" w:eastAsia="方正楷体_GBK" w:cs="Times New Roman"/>
          <w:b/>
          <w:bCs/>
          <w:color w:val="000000"/>
          <w:kern w:val="0"/>
          <w:sz w:val="32"/>
          <w:szCs w:val="32"/>
          <w:shd w:val="clear" w:color="auto" w:fill="FFFFFF"/>
          <w:lang w:val="zh-CN"/>
        </w:rPr>
      </w:pPr>
      <w:r>
        <w:rPr>
          <w:rFonts w:hint="default" w:ascii="Times New Roman" w:hAnsi="Times New Roman" w:eastAsia="方正楷体_GBK" w:cs="Times New Roman"/>
          <w:b/>
          <w:bCs/>
          <w:color w:val="000000"/>
          <w:kern w:val="0"/>
          <w:sz w:val="32"/>
          <w:szCs w:val="32"/>
          <w:shd w:val="clear" w:color="auto" w:fill="FFFFFF"/>
          <w:lang w:val="zh-CN"/>
        </w:rPr>
        <w:t>（一）部门预算总体绩效分析</w:t>
      </w:r>
    </w:p>
    <w:p w14:paraId="3D856CA1">
      <w:pPr>
        <w:widowControl/>
        <w:adjustRightInd w:val="0"/>
        <w:snapToGrid w:val="0"/>
        <w:spacing w:line="578" w:lineRule="exact"/>
        <w:ind w:firstLine="643" w:firstLineChars="200"/>
        <w:contextualSpacing/>
        <w:jc w:val="left"/>
        <w:rPr>
          <w:rFonts w:hint="default" w:ascii="Times New Roman" w:hAnsi="Times New Roman" w:eastAsia="仿宋_GB2312" w:cs="Times New Roman"/>
          <w:sz w:val="32"/>
          <w:szCs w:val="32"/>
        </w:rPr>
      </w:pPr>
      <w:r>
        <w:rPr>
          <w:rFonts w:hint="default" w:ascii="Times New Roman" w:hAnsi="Times New Roman" w:eastAsia="楷体_GB2312" w:cs="Times New Roman"/>
          <w:b/>
          <w:bCs/>
          <w:color w:val="000000"/>
          <w:kern w:val="0"/>
          <w:sz w:val="32"/>
          <w:szCs w:val="32"/>
          <w:shd w:val="clear" w:color="auto" w:fill="FFFFFF"/>
        </w:rPr>
        <w:t>1.</w:t>
      </w:r>
      <w:r>
        <w:rPr>
          <w:rFonts w:hint="default" w:ascii="Times New Roman" w:hAnsi="Times New Roman" w:eastAsia="楷体_GB2312" w:cs="Times New Roman"/>
          <w:b/>
          <w:bCs/>
          <w:color w:val="000000"/>
          <w:kern w:val="0"/>
          <w:sz w:val="32"/>
          <w:szCs w:val="32"/>
          <w:shd w:val="clear" w:color="auto" w:fill="FFFFFF"/>
          <w:lang w:val="zh-CN"/>
        </w:rPr>
        <w:t>履职效能。</w:t>
      </w:r>
      <w:r>
        <w:rPr>
          <w:rFonts w:hint="eastAsia" w:ascii="Times New Roman" w:hAnsi="Times New Roman" w:eastAsia="仿宋_GB2312" w:cs="Times New Roman"/>
          <w:sz w:val="32"/>
          <w:szCs w:val="32"/>
          <w:lang w:val="en-US" w:eastAsia="zh-CN"/>
        </w:rPr>
        <w:t>一是</w:t>
      </w:r>
      <w:r>
        <w:rPr>
          <w:rFonts w:hint="default" w:ascii="楷体_GB2312" w:hAnsi="楷体_GB2312" w:eastAsia="楷体_GB2312" w:cs="楷体_GB2312"/>
          <w:b w:val="0"/>
          <w:bCs w:val="0"/>
          <w:sz w:val="32"/>
          <w:szCs w:val="32"/>
        </w:rPr>
        <w:t>州委重视增添新动力。</w:t>
      </w:r>
      <w:r>
        <w:rPr>
          <w:rFonts w:hint="default" w:ascii="Times New Roman" w:hAnsi="Times New Roman" w:eastAsia="仿宋_GB2312" w:cs="Times New Roman"/>
          <w:sz w:val="32"/>
          <w:szCs w:val="32"/>
        </w:rPr>
        <w:t>2024年以来，州委对老干部工作重视程度更高、推进力度更大、关心支持更多。徐芝文书记专题听取老干部工作情况汇报并提出10个方面重要要求，先后6次对老干部工作作出“要多为老干部办实事”“要积极发挥老干部作用”“要建立每半年向老干部通报情况制度”等重要批示，在春节、七一、国庆期间3次入户走访慰问老干部，亲自出席厅级干部荣退仪式，并经常性通过电话关心问候老同志身体健康。罗振华州长出席离退休干部春节慰问座谈会并作情况通报，出席厅级离退休干部国庆慰问座谈会并听取意见建议，实地调研老干部活动阵地建设情况并作出提升改造的工作指示。州级领导带队开展走访慰问活动30人次、出席老干部工作和关心下一代工作重大会议活动40人次，为全州老干部工作起到了引领、注入了动力、增添了决心。</w:t>
      </w:r>
      <w:r>
        <w:rPr>
          <w:rFonts w:hint="eastAsia" w:ascii="楷体_GB2312" w:hAnsi="楷体_GB2312" w:eastAsia="楷体_GB2312" w:cs="楷体_GB2312"/>
          <w:b w:val="0"/>
          <w:bCs w:val="0"/>
          <w:sz w:val="32"/>
          <w:szCs w:val="32"/>
        </w:rPr>
        <w:t>二</w:t>
      </w:r>
      <w:r>
        <w:rPr>
          <w:rFonts w:hint="eastAsia" w:ascii="楷体_GB2312" w:hAnsi="楷体_GB2312" w:eastAsia="楷体_GB2312" w:cs="楷体_GB2312"/>
          <w:b w:val="0"/>
          <w:bCs w:val="0"/>
          <w:sz w:val="32"/>
          <w:szCs w:val="32"/>
          <w:lang w:val="en-US" w:eastAsia="zh-CN"/>
        </w:rPr>
        <w:t>是</w:t>
      </w:r>
      <w:r>
        <w:rPr>
          <w:rFonts w:hint="eastAsia" w:ascii="楷体_GB2312" w:hAnsi="楷体_GB2312" w:eastAsia="楷体_GB2312" w:cs="楷体_GB2312"/>
          <w:b w:val="0"/>
          <w:bCs w:val="0"/>
          <w:sz w:val="32"/>
          <w:szCs w:val="32"/>
        </w:rPr>
        <w:t>党建引领构建新格局。</w:t>
      </w:r>
      <w:r>
        <w:rPr>
          <w:rFonts w:hint="default" w:ascii="Times New Roman" w:hAnsi="Times New Roman" w:eastAsia="仿宋_GB2312" w:cs="Times New Roman"/>
          <w:sz w:val="32"/>
          <w:szCs w:val="32"/>
        </w:rPr>
        <w:t>坚持“党建引领老干部工作原则”，着力构建“大党建”工作格局。以开展党纪学习教育为契机，持续深化理论学习“六进”。先后编印6套《学习资料》（二号大体字版），采取主题党日、集中宣讲、党课报告、专家辅导、考察学习、红色教育、送学上门等形式开展学习活动1290场（次），教育引导离退休干部始终做到政治坚定、思想常新、理想永存。以提升离退休干部党支部“三率”为重点，不断规范离退休干部党组织设置。全年新建党支部8个，23个党组织顺利完成换届，9个党组织创建为全省“六好”示范党支部；阿坝州“五老”人员、茂县原史志办主任吴天明获“全国离退休干部先进个人”表彰。以探索建立离退休干部流动党员流出地、流入地党组织双向共管机制为目标，纵深推进跨区域党建联建。成立“古堰金秋·阿坝情”党建联建办公室、服务点，完成年度27个联建项目。全面启动“鹃城金秋·阿坝情”党建联建，推动阿坝州驻郫都区离退休干部党组织（郫都区第十党建组团）各项工作落地落实。认真落实州委徐芝文书记给成都市委常委、组织部部长邓涛同志的《一封信》有关要求，积极推动党建联建工作机制向成都市主城区延伸，党建聚力、共建共享、协同发展的目标正在逐步实现。</w:t>
      </w:r>
      <w:r>
        <w:rPr>
          <w:rFonts w:hint="default" w:ascii="楷体_GB2312" w:hAnsi="楷体_GB2312" w:eastAsia="楷体_GB2312" w:cs="楷体_GB2312"/>
          <w:b w:val="0"/>
          <w:bCs w:val="0"/>
          <w:sz w:val="32"/>
          <w:szCs w:val="32"/>
        </w:rPr>
        <w:t>三</w:t>
      </w:r>
      <w:r>
        <w:rPr>
          <w:rFonts w:hint="eastAsia" w:ascii="楷体_GB2312" w:hAnsi="楷体_GB2312" w:eastAsia="楷体_GB2312" w:cs="楷体_GB2312"/>
          <w:b w:val="0"/>
          <w:bCs w:val="0"/>
          <w:sz w:val="32"/>
          <w:szCs w:val="32"/>
          <w:lang w:val="en-US" w:eastAsia="zh-CN"/>
        </w:rPr>
        <w:t>是</w:t>
      </w:r>
      <w:r>
        <w:rPr>
          <w:rFonts w:hint="default" w:ascii="楷体_GB2312" w:hAnsi="楷体_GB2312" w:eastAsia="楷体_GB2312" w:cs="楷体_GB2312"/>
          <w:b w:val="0"/>
          <w:bCs w:val="0"/>
          <w:sz w:val="32"/>
          <w:szCs w:val="32"/>
        </w:rPr>
        <w:t>服务管理探索新路径。</w:t>
      </w:r>
      <w:r>
        <w:rPr>
          <w:rFonts w:hint="default" w:ascii="Times New Roman" w:hAnsi="Times New Roman" w:eastAsia="仿宋_GB2312" w:cs="Times New Roman"/>
          <w:sz w:val="32"/>
          <w:szCs w:val="32"/>
        </w:rPr>
        <w:t>坚持问情于老、问需于老，用心用情做好离退休干部服务管理工作。精准服务做深做实离休干部“一人一策”精准服务，确定9家卫生服务机构成立“家庭医生”服务团队，为93名离退休干部办理“健康服务证”，为2名离休干部举办“百岁”寿宴。认真落实“微网实格”部署，45名离休干部和102名厅级退休干部纳入8个网格管理，落实网格员55名。进一步深化精准服务“六送”，深入实施常态化安全检查、共同过政治生日、不定期做一顿饭、每季度送学上门、动态式心理疏导等“五大惠老行动”，广大离退休干部幸福指数不断提升。分类施策申报落实3名离休干部副省部长级医疗待遇，及时调整建初干部困难补助标准，举办荣退仪式20场次，为30名特殊困难离退休干部及遗孀发放帮扶资金19.8万元。认真落实州级党政领导干部联系厅级退休干部制度，修订完善《阿坝州直属干休所微网实格+服务管理工作实施方案》《厅级退休干部纳入服务管理工作流程》等，构建全链条、全周期服务保障体系，以制度建设提升离退休干部服务保障质效。</w:t>
      </w:r>
      <w:r>
        <w:rPr>
          <w:rFonts w:hint="default" w:ascii="楷体_GB2312" w:hAnsi="楷体_GB2312" w:eastAsia="楷体_GB2312" w:cs="楷体_GB2312"/>
          <w:b w:val="0"/>
          <w:bCs w:val="0"/>
          <w:sz w:val="32"/>
          <w:szCs w:val="32"/>
        </w:rPr>
        <w:t>四</w:t>
      </w:r>
      <w:r>
        <w:rPr>
          <w:rFonts w:hint="eastAsia" w:ascii="楷体_GB2312" w:hAnsi="楷体_GB2312" w:eastAsia="楷体_GB2312" w:cs="楷体_GB2312"/>
          <w:b w:val="0"/>
          <w:bCs w:val="0"/>
          <w:sz w:val="32"/>
          <w:szCs w:val="32"/>
          <w:lang w:val="en-US" w:eastAsia="zh-CN"/>
        </w:rPr>
        <w:t>是</w:t>
      </w:r>
      <w:r>
        <w:rPr>
          <w:rFonts w:hint="default" w:ascii="楷体_GB2312" w:hAnsi="楷体_GB2312" w:eastAsia="楷体_GB2312" w:cs="楷体_GB2312"/>
          <w:b w:val="0"/>
          <w:bCs w:val="0"/>
          <w:sz w:val="32"/>
          <w:szCs w:val="32"/>
        </w:rPr>
        <w:t>作用发挥展示新风采。</w:t>
      </w:r>
      <w:r>
        <w:rPr>
          <w:rFonts w:hint="default" w:ascii="Times New Roman" w:hAnsi="Times New Roman" w:eastAsia="仿宋_GB2312" w:cs="Times New Roman"/>
          <w:sz w:val="32"/>
          <w:szCs w:val="32"/>
        </w:rPr>
        <w:t>坚持“一活动一主题，一方案一审批”，引导广大离退休干部发挥“三大优势”和传帮带作用。搭建新平台建立“老党员”工作室33个，在郫都区成立16支“蓉城金秋”志愿服务队，参与驻地城市基层治理。在都江堰成立老干部工作“记者站”，加大老干部工作宣传力度；在阿坝州老干部大学建立“社区教育老年教育示范基地”，进一步创新老有所学工作举措。汇聚正能量持续深化“增添正能量·共筑中国梦”活动，以“庆祝新中国成立75周年”为主题，组织开展文艺汇演、诗书画摄影展、联谊联欢活动等500余场次，讲述阿坝好故事、宣传阿坝新变化、集聚奋进正能量。激发新动能建立“银发人才”信息库116人，组织老干部回州考察调研，召开“阿坝州老干部情况通报会”，收集转办意见建议21条。广泛开展“我为成渝地区双城经济圈建设出份力”“我为城乡融合发展出份力”“赞辉煌成就·聚银发力量”等主题调研、研讨活动，高质量形成《老干部助力城乡融合发展的探索与思考》调研报告，为阿坝经济社会建设注入了银发力量、展示了银发担当。</w:t>
      </w:r>
    </w:p>
    <w:p w14:paraId="42A5223F">
      <w:pPr>
        <w:pageBreakBefore w:val="0"/>
        <w:kinsoku/>
        <w:wordWrap/>
        <w:overflowPunct/>
        <w:topLinePunct w:val="0"/>
        <w:autoSpaceDE/>
        <w:autoSpaceDN/>
        <w:bidi w:val="0"/>
        <w:spacing w:line="576" w:lineRule="exact"/>
        <w:textAlignment w:val="auto"/>
        <w:rPr>
          <w:rFonts w:hint="default" w:ascii="Times New Roman" w:hAnsi="Times New Roman" w:eastAsia="仿宋_GB2312" w:cs="Times New Roman"/>
          <w:sz w:val="32"/>
          <w:szCs w:val="32"/>
          <w:lang w:val="zh-CN"/>
        </w:rPr>
      </w:pPr>
      <w:r>
        <w:rPr>
          <w:rFonts w:hint="default" w:ascii="楷体_GB2312" w:hAnsi="楷体_GB2312" w:eastAsia="楷体_GB2312" w:cs="楷体_GB2312"/>
          <w:b w:val="0"/>
          <w:bCs w:val="0"/>
          <w:sz w:val="32"/>
          <w:szCs w:val="32"/>
        </w:rPr>
        <w:t>五</w:t>
      </w:r>
      <w:r>
        <w:rPr>
          <w:rFonts w:hint="eastAsia" w:ascii="楷体_GB2312" w:hAnsi="楷体_GB2312" w:eastAsia="楷体_GB2312" w:cs="楷体_GB2312"/>
          <w:b w:val="0"/>
          <w:bCs w:val="0"/>
          <w:sz w:val="32"/>
          <w:szCs w:val="32"/>
          <w:lang w:val="en-US" w:eastAsia="zh-CN"/>
        </w:rPr>
        <w:t>是</w:t>
      </w:r>
      <w:r>
        <w:rPr>
          <w:rFonts w:hint="default" w:ascii="楷体_GB2312" w:hAnsi="楷体_GB2312" w:eastAsia="楷体_GB2312" w:cs="楷体_GB2312"/>
          <w:b w:val="0"/>
          <w:bCs w:val="0"/>
          <w:sz w:val="32"/>
          <w:szCs w:val="32"/>
        </w:rPr>
        <w:t>五老助力绘就新画卷。</w:t>
      </w:r>
      <w:r>
        <w:rPr>
          <w:rFonts w:hint="default" w:ascii="Times New Roman" w:hAnsi="Times New Roman" w:eastAsia="仿宋_GB2312" w:cs="Times New Roman"/>
          <w:sz w:val="32"/>
          <w:szCs w:val="32"/>
        </w:rPr>
        <w:t>紧扣立德树人根本任务，以做好“十件实事”为抓手，在“新长征”路上不断绘就关爱明天新画卷。</w:t>
      </w:r>
      <w:r>
        <w:rPr>
          <w:rFonts w:hint="eastAsia" w:eastAsia="仿宋_GB2312" w:cs="Times New Roman"/>
          <w:sz w:val="32"/>
          <w:szCs w:val="32"/>
          <w:lang w:val="en-US" w:eastAsia="zh-CN"/>
        </w:rPr>
        <w:t>坚持</w:t>
      </w:r>
      <w:r>
        <w:rPr>
          <w:rFonts w:hint="default" w:ascii="Times New Roman" w:hAnsi="Times New Roman" w:eastAsia="仿宋_GB2312" w:cs="Times New Roman"/>
          <w:sz w:val="32"/>
          <w:szCs w:val="32"/>
        </w:rPr>
        <w:t>固本强基提质。建设立德大讲堂“五老”工作室，开设“春雨课堂”，打造“雪山草地的红色光芒永照千秋万代”等精品宣讲课件3个，举办“五老”骨干和关工委干部业务培训班。阿坝州关工委获得2024年度《关爱明天》杂志宣传通联工作先进集体。</w:t>
      </w:r>
      <w:r>
        <w:rPr>
          <w:rFonts w:hint="eastAsia" w:eastAsia="仿宋_GB2312" w:cs="Times New Roman"/>
          <w:sz w:val="32"/>
          <w:szCs w:val="32"/>
          <w:lang w:val="en-US" w:eastAsia="zh-CN"/>
        </w:rPr>
        <w:t>坚持</w:t>
      </w:r>
      <w:r>
        <w:rPr>
          <w:rFonts w:hint="default" w:ascii="Times New Roman" w:hAnsi="Times New Roman" w:eastAsia="仿宋_GB2312" w:cs="Times New Roman"/>
          <w:sz w:val="32"/>
          <w:szCs w:val="32"/>
        </w:rPr>
        <w:t>立德育人铸魂。以铸牢中华民族共同体意识为主线，深化青少年“三交”活动，圆满承办四川省万名青少年夏令营主营开营仪式，组织200余名青少年生赴温州、嘉兴等地开展游学、红色研学和交流交往交融活动。</w:t>
      </w:r>
      <w:r>
        <w:rPr>
          <w:rFonts w:hint="eastAsia" w:eastAsia="仿宋_GB2312" w:cs="Times New Roman"/>
          <w:sz w:val="32"/>
          <w:szCs w:val="32"/>
          <w:lang w:val="en-US" w:eastAsia="zh-CN"/>
        </w:rPr>
        <w:t>坚持</w:t>
      </w:r>
      <w:r>
        <w:rPr>
          <w:rFonts w:hint="default" w:ascii="Times New Roman" w:hAnsi="Times New Roman" w:eastAsia="仿宋_GB2312" w:cs="Times New Roman"/>
          <w:sz w:val="32"/>
          <w:szCs w:val="32"/>
        </w:rPr>
        <w:t>助弱帮困增暖。以托底性帮扶工作为契机，协调阿坝州人民医院赴红原等地开展儿童先天性疾病筛查，争取成都市关心下一代基金会为青少年捐助眼镜600余副，开展“暖冬行动”等慰问活动67场次，赠送物资价值427万余元，受益青少年3900余人。</w:t>
      </w:r>
    </w:p>
    <w:p w14:paraId="541FA8D9">
      <w:pPr>
        <w:pageBreakBefore w:val="0"/>
        <w:kinsoku/>
        <w:wordWrap/>
        <w:overflowPunct/>
        <w:topLinePunct w:val="0"/>
        <w:autoSpaceDE/>
        <w:autoSpaceDN/>
        <w:bidi w:val="0"/>
        <w:spacing w:line="576"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bCs/>
          <w:color w:val="000000"/>
          <w:kern w:val="0"/>
          <w:sz w:val="32"/>
          <w:szCs w:val="32"/>
          <w:shd w:val="clear" w:color="auto" w:fill="FFFFFF"/>
        </w:rPr>
        <w:t>2.</w:t>
      </w:r>
      <w:r>
        <w:rPr>
          <w:rFonts w:hint="default" w:ascii="Times New Roman" w:hAnsi="Times New Roman" w:eastAsia="楷体_GB2312" w:cs="Times New Roman"/>
          <w:b/>
          <w:bCs/>
          <w:color w:val="000000"/>
          <w:kern w:val="0"/>
          <w:sz w:val="32"/>
          <w:szCs w:val="32"/>
          <w:shd w:val="clear" w:color="auto" w:fill="FFFFFF"/>
          <w:lang w:val="zh-CN"/>
        </w:rPr>
        <w:t>预算管理。</w:t>
      </w:r>
      <w:r>
        <w:rPr>
          <w:rFonts w:hint="default" w:ascii="Times New Roman" w:hAnsi="Times New Roman" w:eastAsia="仿宋_GB2312" w:cs="Times New Roman"/>
          <w:sz w:val="32"/>
          <w:szCs w:val="32"/>
          <w:lang w:val="zh-CN"/>
        </w:rPr>
        <w:t>我</w:t>
      </w:r>
      <w:r>
        <w:rPr>
          <w:rFonts w:hint="default" w:ascii="Times New Roman" w:hAnsi="Times New Roman" w:eastAsia="仿宋_GB2312" w:cs="Times New Roman"/>
          <w:sz w:val="32"/>
          <w:szCs w:val="32"/>
        </w:rPr>
        <w:t>部门</w:t>
      </w:r>
      <w:r>
        <w:rPr>
          <w:rFonts w:hint="default" w:ascii="Times New Roman" w:hAnsi="Times New Roman" w:eastAsia="仿宋_GB2312" w:cs="Times New Roman"/>
          <w:sz w:val="32"/>
          <w:szCs w:val="32"/>
          <w:lang w:val="zh-CN"/>
        </w:rPr>
        <w:t>严格按要求编制年初部门预算，年初预算编制</w:t>
      </w:r>
      <w:r>
        <w:rPr>
          <w:rFonts w:hint="default" w:ascii="Times New Roman" w:hAnsi="Times New Roman" w:eastAsia="仿宋_GB2312" w:cs="Times New Roman"/>
          <w:sz w:val="32"/>
          <w:szCs w:val="32"/>
        </w:rPr>
        <w:t>具有</w:t>
      </w:r>
      <w:r>
        <w:rPr>
          <w:rFonts w:hint="default" w:ascii="Times New Roman" w:hAnsi="Times New Roman" w:eastAsia="仿宋_GB2312" w:cs="Times New Roman"/>
          <w:sz w:val="32"/>
          <w:szCs w:val="32"/>
          <w:lang w:val="zh-CN"/>
        </w:rPr>
        <w:t>科学性和准确性。</w:t>
      </w:r>
      <w:r>
        <w:rPr>
          <w:rFonts w:hint="default" w:ascii="Times New Roman" w:hAnsi="Times New Roman" w:eastAsia="仿宋_GB2312" w:cs="Times New Roman"/>
          <w:sz w:val="32"/>
          <w:szCs w:val="32"/>
        </w:rPr>
        <w:t>2024年度预算批复数为2851.79万元元，</w:t>
      </w:r>
      <w:r>
        <w:rPr>
          <w:rFonts w:hint="default" w:ascii="Times New Roman" w:hAnsi="Times New Roman" w:eastAsia="仿宋_GB2312" w:cs="Times New Roman"/>
          <w:sz w:val="32"/>
          <w:szCs w:val="32"/>
          <w:lang w:val="en-US" w:eastAsia="zh-CN"/>
        </w:rPr>
        <w:t>预算结余36万元，</w:t>
      </w:r>
      <w:r>
        <w:rPr>
          <w:rFonts w:hint="default" w:ascii="Times New Roman" w:hAnsi="Times New Roman" w:eastAsia="仿宋_GB2312" w:cs="Times New Roman"/>
          <w:sz w:val="32"/>
          <w:szCs w:val="32"/>
        </w:rPr>
        <w:t>预算调整100万元，预算调剂数40.48万元，实际支付数</w:t>
      </w:r>
      <w:r>
        <w:rPr>
          <w:rFonts w:hint="default" w:ascii="Times New Roman" w:hAnsi="Times New Roman" w:eastAsia="仿宋_GB2312" w:cs="Times New Roman"/>
          <w:sz w:val="32"/>
          <w:szCs w:val="32"/>
          <w:lang w:val="en-US" w:eastAsia="zh-CN"/>
        </w:rPr>
        <w:t>2987.79</w:t>
      </w:r>
      <w:r>
        <w:rPr>
          <w:rFonts w:hint="default" w:ascii="Times New Roman" w:hAnsi="Times New Roman" w:eastAsia="仿宋_GB2312" w:cs="Times New Roman"/>
          <w:sz w:val="32"/>
          <w:szCs w:val="32"/>
        </w:rPr>
        <w:t>万元，预算执行完成100%，财政预算年终无结余。本门1–6月支出1263.72万元，预算执行完成42.23%；1–10月支出2356.43万元，预算执行完成78.75%；全年财政预算收入</w:t>
      </w:r>
      <w:r>
        <w:rPr>
          <w:rFonts w:hint="default" w:ascii="Times New Roman" w:hAnsi="Times New Roman" w:eastAsia="仿宋_GB2312" w:cs="Times New Roman"/>
          <w:sz w:val="32"/>
          <w:szCs w:val="32"/>
          <w:lang w:val="en-US" w:eastAsia="zh-CN"/>
        </w:rPr>
        <w:t>3054.35</w:t>
      </w:r>
      <w:r>
        <w:rPr>
          <w:rFonts w:hint="default" w:ascii="Times New Roman" w:hAnsi="Times New Roman" w:eastAsia="仿宋_GB2312" w:cs="Times New Roman"/>
          <w:sz w:val="32"/>
          <w:szCs w:val="32"/>
        </w:rPr>
        <w:t>万元，支出</w:t>
      </w:r>
      <w:r>
        <w:rPr>
          <w:rFonts w:hint="default" w:ascii="Times New Roman" w:hAnsi="Times New Roman" w:eastAsia="仿宋_GB2312" w:cs="Times New Roman"/>
          <w:sz w:val="32"/>
          <w:szCs w:val="32"/>
          <w:lang w:val="en-US" w:eastAsia="zh-CN"/>
        </w:rPr>
        <w:t>3054.34</w:t>
      </w:r>
      <w:r>
        <w:rPr>
          <w:rFonts w:hint="default" w:ascii="Times New Roman" w:hAnsi="Times New Roman" w:eastAsia="仿宋_GB2312" w:cs="Times New Roman"/>
          <w:sz w:val="32"/>
          <w:szCs w:val="32"/>
        </w:rPr>
        <w:t>万元，预算执行完成100%。</w:t>
      </w:r>
    </w:p>
    <w:p w14:paraId="5D9D5E21">
      <w:pPr>
        <w:pStyle w:val="16"/>
        <w:autoSpaceDE w:val="0"/>
        <w:autoSpaceDN w:val="0"/>
        <w:spacing w:after="0" w:line="540" w:lineRule="exact"/>
        <w:ind w:firstLine="637" w:firstLineChars="0"/>
        <w:jc w:val="left"/>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楷体_GB2312" w:cs="Times New Roman"/>
          <w:b/>
          <w:bCs/>
          <w:color w:val="000000"/>
          <w:kern w:val="0"/>
          <w:sz w:val="32"/>
          <w:szCs w:val="32"/>
          <w:shd w:val="clear" w:color="auto" w:fill="FFFFFF"/>
          <w:lang w:val="en-US" w:eastAsia="zh-CN" w:bidi="ar-SA"/>
        </w:rPr>
        <w:t>3.</w:t>
      </w:r>
      <w:r>
        <w:rPr>
          <w:rFonts w:hint="default" w:ascii="Times New Roman" w:hAnsi="Times New Roman" w:eastAsia="楷体_GB2312" w:cs="Times New Roman"/>
          <w:b/>
          <w:bCs/>
          <w:color w:val="000000"/>
          <w:kern w:val="0"/>
          <w:sz w:val="32"/>
          <w:szCs w:val="32"/>
          <w:shd w:val="clear" w:color="auto" w:fill="FFFFFF"/>
          <w:lang w:val="zh-CN" w:eastAsia="zh-CN" w:bidi="ar-SA"/>
        </w:rPr>
        <w:t>财务管理。</w:t>
      </w:r>
      <w:r>
        <w:rPr>
          <w:rFonts w:hint="default" w:ascii="Times New Roman" w:hAnsi="Times New Roman" w:eastAsia="仿宋_GB2312" w:cs="Times New Roman"/>
          <w:kern w:val="2"/>
          <w:sz w:val="32"/>
          <w:szCs w:val="32"/>
          <w:lang w:val="en-US" w:eastAsia="zh-CN" w:bidi="ar-SA"/>
        </w:rPr>
        <w:t>我部门执行的是《政府会计准则制度》。财务岗位设兼职会计1人、出纳1人，由副局长分管财务工作，执行一支笔审签，对超过5000元的大额资金支出必须经局务会商议决定。通过制定财务管理制度，明确了财务人员的职责权限、财务收支审批程序和审批人的权限及责任、经费支出的范围及开支标准，规范了各项资金的使用，提高了资金使用效益，杜绝了浪费现象的发生。在财务管理中，严格执行国家有关财务法规，行政事业部门会计制度相关规定进行会计核算，确保数据真实、有效。部门发生的经济业务严格执行《预算法》规定，持续规范、完善部门预算编制、账务处理、资产管理等不规范问题，不断提高“花钱必问效，无效必问责”绩效管理理念。</w:t>
      </w:r>
    </w:p>
    <w:p w14:paraId="7930F4E5">
      <w:pPr>
        <w:adjustRightInd w:val="0"/>
        <w:snapToGrid w:val="0"/>
        <w:spacing w:line="540" w:lineRule="exact"/>
        <w:ind w:firstLine="643" w:firstLineChars="200"/>
        <w:contextualSpacing/>
        <w:jc w:val="left"/>
        <w:rPr>
          <w:rFonts w:hint="default" w:ascii="Times New Roman" w:hAnsi="Times New Roman" w:eastAsia="仿宋_GB2312" w:cs="Times New Roman"/>
          <w:sz w:val="32"/>
          <w:szCs w:val="32"/>
          <w:lang w:val="zh-CN"/>
        </w:rPr>
      </w:pPr>
      <w:r>
        <w:rPr>
          <w:rFonts w:hint="default" w:ascii="Times New Roman" w:hAnsi="Times New Roman" w:eastAsia="楷体_GB2312" w:cs="Times New Roman"/>
          <w:b/>
          <w:bCs/>
          <w:color w:val="000000"/>
          <w:kern w:val="0"/>
          <w:sz w:val="32"/>
          <w:szCs w:val="32"/>
          <w:shd w:val="clear" w:color="auto" w:fill="FFFFFF"/>
          <w:lang w:val="en-US" w:eastAsia="zh-CN" w:bidi="ar-SA"/>
        </w:rPr>
        <w:t>4.</w:t>
      </w:r>
      <w:r>
        <w:rPr>
          <w:rFonts w:hint="default" w:ascii="Times New Roman" w:hAnsi="Times New Roman" w:eastAsia="楷体_GB2312" w:cs="Times New Roman"/>
          <w:b/>
          <w:bCs/>
          <w:color w:val="000000"/>
          <w:kern w:val="0"/>
          <w:sz w:val="32"/>
          <w:szCs w:val="32"/>
          <w:shd w:val="clear" w:color="auto" w:fill="FFFFFF"/>
          <w:lang w:val="zh-CN" w:eastAsia="zh-CN" w:bidi="ar-SA"/>
        </w:rPr>
        <w:t>资产管理。</w:t>
      </w:r>
      <w:r>
        <w:rPr>
          <w:rFonts w:hint="default" w:ascii="Times New Roman" w:hAnsi="Times New Roman" w:eastAsia="仿宋_GB2312" w:cs="Times New Roman"/>
          <w:sz w:val="32"/>
          <w:szCs w:val="32"/>
        </w:rPr>
        <w:t>为了加强固定资产管理和使用，在固定资产购置时，严格按照政府采购程序进行采购，并根据有关规定，建立了账簿、款项和实物核查制度，通过建立健全制度，会计人员对各项财物、款项的增减变动和结存情况及时进行记录、计算、反映、核对等；一方面做到账簿上所反映的有关财物、款项的结存数同实存数一致，另一方面通过账簿记录和记账凭证，原始凭证的核对，保证账账相符；无固定资产不入账，公物私用及其他违规问题。</w:t>
      </w:r>
    </w:p>
    <w:p w14:paraId="662FFE62">
      <w:pPr>
        <w:adjustRightInd w:val="0"/>
        <w:snapToGrid w:val="0"/>
        <w:spacing w:line="578" w:lineRule="exact"/>
        <w:ind w:firstLine="643" w:firstLineChars="200"/>
        <w:contextualSpacing/>
        <w:jc w:val="left"/>
        <w:rPr>
          <w:rFonts w:hint="default" w:ascii="Times New Roman" w:hAnsi="Times New Roman" w:eastAsia="仿宋_GB2312" w:cs="Times New Roman"/>
          <w:sz w:val="32"/>
          <w:szCs w:val="32"/>
          <w:lang w:val="zh-CN"/>
        </w:rPr>
      </w:pPr>
      <w:r>
        <w:rPr>
          <w:rFonts w:hint="default" w:ascii="Times New Roman" w:hAnsi="Times New Roman" w:eastAsia="楷体_GB2312" w:cs="Times New Roman"/>
          <w:b/>
          <w:bCs/>
          <w:color w:val="000000"/>
          <w:kern w:val="0"/>
          <w:sz w:val="32"/>
          <w:szCs w:val="32"/>
          <w:shd w:val="clear" w:color="auto" w:fill="FFFFFF"/>
          <w:lang w:val="en-US" w:eastAsia="zh-CN" w:bidi="ar-SA"/>
        </w:rPr>
        <w:t>5.</w:t>
      </w:r>
      <w:r>
        <w:rPr>
          <w:rFonts w:hint="default" w:ascii="Times New Roman" w:hAnsi="Times New Roman" w:eastAsia="楷体_GB2312" w:cs="Times New Roman"/>
          <w:b/>
          <w:bCs/>
          <w:color w:val="000000"/>
          <w:kern w:val="0"/>
          <w:sz w:val="32"/>
          <w:szCs w:val="32"/>
          <w:shd w:val="clear" w:color="auto" w:fill="FFFFFF"/>
          <w:lang w:val="zh-CN" w:eastAsia="zh-CN" w:bidi="ar-SA"/>
        </w:rPr>
        <w:t>采购管理。</w:t>
      </w:r>
      <w:r>
        <w:rPr>
          <w:rFonts w:hint="default" w:ascii="Times New Roman" w:hAnsi="Times New Roman" w:eastAsia="仿宋_GB2312" w:cs="Times New Roman"/>
          <w:sz w:val="32"/>
          <w:szCs w:val="32"/>
          <w:lang w:val="zh-CN"/>
        </w:rPr>
        <w:t>进一步规范部门政府采购行为，2024年</w:t>
      </w:r>
      <w:r>
        <w:rPr>
          <w:rFonts w:hint="default" w:ascii="Times New Roman" w:hAnsi="Times New Roman" w:eastAsia="仿宋_GB2312" w:cs="Times New Roman"/>
          <w:sz w:val="32"/>
          <w:szCs w:val="32"/>
        </w:rPr>
        <w:t>8</w:t>
      </w:r>
      <w:r>
        <w:rPr>
          <w:rFonts w:hint="default" w:ascii="Times New Roman" w:hAnsi="Times New Roman" w:eastAsia="仿宋_GB2312" w:cs="Times New Roman"/>
          <w:sz w:val="32"/>
          <w:szCs w:val="32"/>
          <w:lang w:val="zh-CN"/>
        </w:rPr>
        <w:t>项政府采购项目</w:t>
      </w:r>
      <w:r>
        <w:rPr>
          <w:rFonts w:hint="default" w:ascii="Times New Roman" w:hAnsi="Times New Roman" w:eastAsia="仿宋_GB2312" w:cs="Times New Roman"/>
          <w:sz w:val="32"/>
          <w:szCs w:val="32"/>
        </w:rPr>
        <w:t>合计7.87万元，</w:t>
      </w:r>
      <w:r>
        <w:rPr>
          <w:rFonts w:hint="default" w:ascii="Times New Roman" w:hAnsi="Times New Roman" w:eastAsia="仿宋_GB2312" w:cs="Times New Roman"/>
          <w:sz w:val="32"/>
          <w:szCs w:val="32"/>
          <w:lang w:val="zh-CN"/>
        </w:rPr>
        <w:t>坚持支持中小企业发展，</w:t>
      </w:r>
      <w:r>
        <w:rPr>
          <w:rFonts w:hint="default" w:ascii="Times New Roman" w:hAnsi="Times New Roman" w:eastAsia="仿宋_GB2312" w:cs="Times New Roman"/>
          <w:sz w:val="32"/>
          <w:szCs w:val="32"/>
        </w:rPr>
        <w:t>授予中小企业合同金额为4.23万元，</w:t>
      </w:r>
      <w:r>
        <w:rPr>
          <w:rFonts w:hint="default" w:ascii="Times New Roman" w:hAnsi="Times New Roman" w:eastAsia="仿宋_GB2312" w:cs="Times New Roman"/>
          <w:sz w:val="32"/>
          <w:szCs w:val="32"/>
          <w:lang w:val="zh-CN"/>
        </w:rPr>
        <w:t>采购执行率</w:t>
      </w:r>
      <w:r>
        <w:rPr>
          <w:rFonts w:hint="default" w:ascii="Times New Roman" w:hAnsi="Times New Roman" w:eastAsia="仿宋_GB2312" w:cs="Times New Roman"/>
          <w:sz w:val="32"/>
          <w:szCs w:val="32"/>
        </w:rPr>
        <w:t>100</w:t>
      </w:r>
      <w:r>
        <w:rPr>
          <w:rFonts w:hint="default" w:ascii="Times New Roman" w:hAnsi="Times New Roman" w:eastAsia="仿宋_GB2312" w:cs="Times New Roman"/>
          <w:sz w:val="32"/>
          <w:szCs w:val="32"/>
          <w:lang w:val="zh-CN"/>
        </w:rPr>
        <w:t>%。</w:t>
      </w:r>
    </w:p>
    <w:p w14:paraId="5A3EE5EB">
      <w:pPr>
        <w:adjustRightInd w:val="0"/>
        <w:snapToGrid w:val="0"/>
        <w:spacing w:line="520" w:lineRule="exact"/>
        <w:ind w:firstLine="482" w:firstLineChars="150"/>
        <w:rPr>
          <w:rFonts w:hint="default" w:ascii="Times New Roman" w:hAnsi="Times New Roman" w:eastAsia="方正楷体_GBK" w:cs="Times New Roman"/>
          <w:b/>
          <w:bCs/>
          <w:color w:val="000000"/>
          <w:kern w:val="0"/>
          <w:sz w:val="32"/>
          <w:szCs w:val="32"/>
          <w:shd w:val="clear" w:color="auto" w:fill="FFFFFF"/>
          <w:lang w:val="zh-CN"/>
        </w:rPr>
      </w:pPr>
      <w:r>
        <w:rPr>
          <w:rFonts w:hint="default" w:ascii="Times New Roman" w:hAnsi="Times New Roman" w:eastAsia="方正楷体_GBK" w:cs="Times New Roman"/>
          <w:b/>
          <w:bCs/>
          <w:color w:val="000000"/>
          <w:kern w:val="0"/>
          <w:sz w:val="32"/>
          <w:szCs w:val="32"/>
          <w:shd w:val="clear" w:color="auto" w:fill="FFFFFF"/>
          <w:lang w:val="zh-CN"/>
        </w:rPr>
        <w:t>（二）部门预算项目绩效分析。</w:t>
      </w:r>
    </w:p>
    <w:p w14:paraId="451EF0CC">
      <w:pPr>
        <w:pageBreakBefore w:val="0"/>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rPr>
        <w:t>2024年度部门预算常年项目</w:t>
      </w:r>
      <w:r>
        <w:rPr>
          <w:rFonts w:hint="default" w:ascii="Times New Roman" w:hAnsi="Times New Roman" w:eastAsia="仿宋_GB2312" w:cs="Times New Roman"/>
          <w:sz w:val="32"/>
          <w:szCs w:val="32"/>
          <w:lang w:val="zh-CN"/>
        </w:rPr>
        <w:t>总数</w:t>
      </w:r>
      <w:r>
        <w:rPr>
          <w:rFonts w:hint="default" w:ascii="Times New Roman" w:hAnsi="Times New Roman" w:eastAsia="仿宋_GB2312" w:cs="Times New Roman"/>
          <w:sz w:val="32"/>
          <w:szCs w:val="32"/>
        </w:rPr>
        <w:t>56</w:t>
      </w:r>
      <w:r>
        <w:rPr>
          <w:rFonts w:hint="default" w:ascii="Times New Roman" w:hAnsi="Times New Roman" w:eastAsia="仿宋_GB2312" w:cs="Times New Roman"/>
          <w:sz w:val="32"/>
          <w:szCs w:val="32"/>
          <w:lang w:val="zh-CN"/>
        </w:rPr>
        <w:t>个， 1—1</w:t>
      </w: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val="zh-CN"/>
        </w:rPr>
        <w:t>月预算执行总体进度为</w:t>
      </w:r>
      <w:r>
        <w:rPr>
          <w:rFonts w:hint="default" w:ascii="Times New Roman" w:hAnsi="Times New Roman" w:eastAsia="仿宋_GB2312" w:cs="Times New Roman"/>
          <w:sz w:val="32"/>
          <w:szCs w:val="32"/>
        </w:rPr>
        <w:t>100</w:t>
      </w:r>
      <w:r>
        <w:rPr>
          <w:rFonts w:hint="default" w:ascii="Times New Roman" w:hAnsi="Times New Roman" w:eastAsia="仿宋_GB2312" w:cs="Times New Roman"/>
          <w:sz w:val="32"/>
          <w:szCs w:val="32"/>
          <w:lang w:val="zh-CN"/>
        </w:rPr>
        <w:t>%，其中：预算结余率大于</w:t>
      </w:r>
      <w:r>
        <w:rPr>
          <w:rFonts w:hint="default" w:ascii="Times New Roman" w:hAnsi="Times New Roman" w:eastAsia="仿宋_GB2312" w:cs="Times New Roman"/>
          <w:sz w:val="32"/>
          <w:szCs w:val="32"/>
        </w:rPr>
        <w:t>10%</w:t>
      </w:r>
      <w:r>
        <w:rPr>
          <w:rFonts w:hint="default" w:ascii="Times New Roman" w:hAnsi="Times New Roman" w:eastAsia="仿宋_GB2312" w:cs="Times New Roman"/>
          <w:sz w:val="32"/>
          <w:szCs w:val="32"/>
          <w:lang w:val="zh-CN"/>
        </w:rPr>
        <w:t>的项目共计</w:t>
      </w:r>
      <w:r>
        <w:rPr>
          <w:rFonts w:hint="default" w:ascii="Times New Roman" w:hAnsi="Times New Roman" w:eastAsia="仿宋_GB2312" w:cs="Times New Roman"/>
          <w:sz w:val="32"/>
          <w:szCs w:val="32"/>
        </w:rPr>
        <w:t>0</w:t>
      </w:r>
      <w:r>
        <w:rPr>
          <w:rFonts w:hint="default" w:ascii="Times New Roman" w:hAnsi="Times New Roman" w:eastAsia="仿宋_GB2312" w:cs="Times New Roman"/>
          <w:sz w:val="32"/>
          <w:szCs w:val="32"/>
          <w:lang w:val="zh-CN"/>
        </w:rPr>
        <w:t>个，</w:t>
      </w:r>
      <w:r>
        <w:rPr>
          <w:rFonts w:hint="default" w:ascii="Times New Roman" w:hAnsi="Times New Roman" w:eastAsia="仿宋_GB2312" w:cs="Times New Roman"/>
          <w:sz w:val="32"/>
          <w:szCs w:val="32"/>
        </w:rPr>
        <w:t>阶段（含一次性）项目绩效分析。</w:t>
      </w:r>
      <w:r>
        <w:rPr>
          <w:rFonts w:hint="default" w:ascii="Times New Roman" w:hAnsi="Times New Roman" w:eastAsia="仿宋_GB2312" w:cs="Times New Roman"/>
          <w:sz w:val="32"/>
          <w:szCs w:val="32"/>
          <w:lang w:val="zh-CN"/>
        </w:rPr>
        <w:t>该类项目总数</w:t>
      </w:r>
      <w:r>
        <w:rPr>
          <w:rFonts w:hint="default" w:ascii="Times New Roman" w:hAnsi="Times New Roman" w:eastAsia="仿宋_GB2312" w:cs="Times New Roman"/>
          <w:sz w:val="32"/>
          <w:szCs w:val="32"/>
        </w:rPr>
        <w:t>0</w:t>
      </w:r>
      <w:r>
        <w:rPr>
          <w:rFonts w:hint="default" w:ascii="Times New Roman" w:hAnsi="Times New Roman" w:eastAsia="仿宋_GB2312" w:cs="Times New Roman"/>
          <w:sz w:val="32"/>
          <w:szCs w:val="32"/>
          <w:lang w:val="zh-CN"/>
        </w:rPr>
        <w:t>个，</w:t>
      </w:r>
    </w:p>
    <w:p w14:paraId="4F088DA3">
      <w:pPr>
        <w:pageBreakBefore w:val="0"/>
        <w:kinsoku/>
        <w:wordWrap/>
        <w:overflowPunct/>
        <w:topLinePunct w:val="0"/>
        <w:autoSpaceDE/>
        <w:autoSpaceDN/>
        <w:bidi w:val="0"/>
        <w:spacing w:line="576" w:lineRule="exact"/>
        <w:ind w:firstLine="643" w:firstLineChars="200"/>
        <w:textAlignment w:val="auto"/>
        <w:rPr>
          <w:rFonts w:hint="default" w:ascii="Times New Roman" w:hAnsi="Times New Roman" w:eastAsia="仿宋_GB2312" w:cs="Times New Roman"/>
          <w:sz w:val="32"/>
          <w:szCs w:val="32"/>
          <w:lang w:val="zh-CN"/>
        </w:rPr>
      </w:pPr>
      <w:r>
        <w:rPr>
          <w:rFonts w:hint="default" w:ascii="Times New Roman" w:hAnsi="Times New Roman" w:eastAsia="楷体_GB2312" w:cs="Times New Roman"/>
          <w:b/>
          <w:bCs/>
          <w:color w:val="000000"/>
          <w:kern w:val="0"/>
          <w:sz w:val="32"/>
          <w:szCs w:val="32"/>
          <w:shd w:val="clear" w:color="auto" w:fill="FFFFFF"/>
          <w:lang w:val="en-US" w:eastAsia="zh-CN" w:bidi="ar-SA"/>
        </w:rPr>
        <w:t>1.</w:t>
      </w:r>
      <w:r>
        <w:rPr>
          <w:rFonts w:hint="default" w:ascii="Times New Roman" w:hAnsi="Times New Roman" w:eastAsia="楷体_GB2312" w:cs="Times New Roman"/>
          <w:b/>
          <w:bCs/>
          <w:color w:val="000000"/>
          <w:kern w:val="0"/>
          <w:sz w:val="32"/>
          <w:szCs w:val="32"/>
          <w:shd w:val="clear" w:color="auto" w:fill="FFFFFF"/>
          <w:lang w:val="zh-CN" w:eastAsia="zh-CN" w:bidi="ar-SA"/>
        </w:rPr>
        <w:t>项目决策。</w:t>
      </w:r>
      <w:r>
        <w:rPr>
          <w:rFonts w:hint="default" w:ascii="Times New Roman" w:hAnsi="Times New Roman" w:eastAsia="仿宋_GB2312" w:cs="Times New Roman"/>
          <w:sz w:val="32"/>
          <w:szCs w:val="32"/>
        </w:rPr>
        <w:t>严格按照规程序进行申报，部门预算项目在规定时间完成项目入库。</w:t>
      </w:r>
    </w:p>
    <w:p w14:paraId="162E83A7">
      <w:pPr>
        <w:pageBreakBefore w:val="0"/>
        <w:kinsoku/>
        <w:wordWrap/>
        <w:overflowPunct/>
        <w:topLinePunct w:val="0"/>
        <w:autoSpaceDE/>
        <w:autoSpaceDN/>
        <w:bidi w:val="0"/>
        <w:spacing w:line="576" w:lineRule="exact"/>
        <w:ind w:firstLine="643" w:firstLineChars="200"/>
        <w:textAlignment w:val="auto"/>
        <w:rPr>
          <w:rFonts w:hint="default" w:ascii="Times New Roman" w:hAnsi="Times New Roman" w:eastAsia="仿宋_GB2312" w:cs="Times New Roman"/>
          <w:sz w:val="32"/>
          <w:szCs w:val="32"/>
          <w:lang w:val="zh-CN"/>
        </w:rPr>
      </w:pPr>
      <w:r>
        <w:rPr>
          <w:rFonts w:hint="default" w:ascii="Times New Roman" w:hAnsi="Times New Roman" w:eastAsia="楷体_GB2312" w:cs="Times New Roman"/>
          <w:b/>
          <w:bCs/>
          <w:color w:val="000000"/>
          <w:kern w:val="0"/>
          <w:sz w:val="32"/>
          <w:szCs w:val="32"/>
          <w:shd w:val="clear" w:color="auto" w:fill="FFFFFF"/>
          <w:lang w:val="en-US" w:eastAsia="zh-CN" w:bidi="ar-SA"/>
        </w:rPr>
        <w:t>2.项目执行</w:t>
      </w:r>
      <w:r>
        <w:rPr>
          <w:rFonts w:hint="default" w:ascii="Times New Roman" w:hAnsi="Times New Roman" w:eastAsia="楷体_GB2312" w:cs="Times New Roman"/>
          <w:b/>
          <w:bCs/>
          <w:color w:val="000000"/>
          <w:kern w:val="0"/>
          <w:sz w:val="32"/>
          <w:szCs w:val="32"/>
          <w:shd w:val="clear" w:color="auto" w:fill="FFFFFF"/>
          <w:lang w:val="zh-CN" w:eastAsia="zh-CN" w:bidi="ar-SA"/>
        </w:rPr>
        <w:t>。</w:t>
      </w:r>
      <w:r>
        <w:rPr>
          <w:rFonts w:hint="default" w:ascii="Times New Roman" w:hAnsi="Times New Roman" w:eastAsia="仿宋_GB2312" w:cs="Times New Roman"/>
          <w:sz w:val="32"/>
          <w:szCs w:val="32"/>
        </w:rPr>
        <w:t>部门预算项目绩效目标与计划期内的任务量、预算安排的资金量相匹配，绩效目标设置科学合理、规范完整、量化细化、与预算相匹配。部门预算项目实际列支内容与绩效目标设置方向相符，项目调整1个（阿坝州交流交融项目）金额数100万元，年中争取项目资金。</w:t>
      </w:r>
    </w:p>
    <w:p w14:paraId="1287489F">
      <w:pPr>
        <w:pageBreakBefore w:val="0"/>
        <w:kinsoku/>
        <w:wordWrap/>
        <w:overflowPunct/>
        <w:topLinePunct w:val="0"/>
        <w:autoSpaceDE/>
        <w:autoSpaceDN/>
        <w:bidi w:val="0"/>
        <w:spacing w:line="576"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bCs/>
          <w:color w:val="000000"/>
          <w:kern w:val="0"/>
          <w:sz w:val="32"/>
          <w:szCs w:val="32"/>
          <w:shd w:val="clear" w:color="auto" w:fill="FFFFFF"/>
          <w:lang w:val="en-US" w:eastAsia="zh-CN" w:bidi="ar-SA"/>
        </w:rPr>
        <w:t>3.</w:t>
      </w:r>
      <w:r>
        <w:rPr>
          <w:rFonts w:hint="default" w:ascii="Times New Roman" w:hAnsi="Times New Roman" w:eastAsia="楷体_GB2312" w:cs="Times New Roman"/>
          <w:b/>
          <w:bCs/>
          <w:color w:val="000000"/>
          <w:kern w:val="0"/>
          <w:sz w:val="32"/>
          <w:szCs w:val="32"/>
          <w:shd w:val="clear" w:color="auto" w:fill="FFFFFF"/>
          <w:lang w:val="zh-CN" w:eastAsia="zh-CN" w:bidi="ar-SA"/>
        </w:rPr>
        <w:t>目标实现。</w:t>
      </w:r>
      <w:r>
        <w:rPr>
          <w:rFonts w:hint="default" w:ascii="Times New Roman" w:hAnsi="Times New Roman" w:eastAsia="仿宋_GB2312" w:cs="Times New Roman"/>
          <w:sz w:val="32"/>
          <w:szCs w:val="32"/>
        </w:rPr>
        <w:t>2024年度内目标完成良好，无目标偏离</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我部门没有省级部门对2024年度一般公共预算、政府性基金预算、国有资本经营预算安排的常年项目、阶段项目，以及债券资金、政府购买服务项目。</w:t>
      </w:r>
    </w:p>
    <w:p w14:paraId="505DDC9B">
      <w:pPr>
        <w:adjustRightInd w:val="0"/>
        <w:snapToGrid w:val="0"/>
        <w:spacing w:line="520" w:lineRule="exact"/>
        <w:ind w:firstLine="482" w:firstLineChars="150"/>
        <w:rPr>
          <w:rFonts w:hint="default" w:ascii="Times New Roman" w:hAnsi="Times New Roman" w:eastAsia="方正楷体_GBK" w:cs="Times New Roman"/>
          <w:b/>
          <w:bCs/>
          <w:color w:val="000000"/>
          <w:kern w:val="0"/>
          <w:sz w:val="32"/>
          <w:szCs w:val="32"/>
          <w:shd w:val="clear" w:color="auto" w:fill="FFFFFF"/>
          <w:lang w:val="zh-CN"/>
        </w:rPr>
      </w:pPr>
      <w:r>
        <w:rPr>
          <w:rFonts w:hint="default" w:ascii="Times New Roman" w:hAnsi="Times New Roman" w:eastAsia="方正楷体_GBK" w:cs="Times New Roman"/>
          <w:b/>
          <w:bCs/>
          <w:color w:val="000000"/>
          <w:kern w:val="0"/>
          <w:sz w:val="32"/>
          <w:szCs w:val="32"/>
          <w:shd w:val="clear" w:color="auto" w:fill="FFFFFF"/>
          <w:lang w:val="zh-CN"/>
        </w:rPr>
        <w:t>（三）绩效结果应用情况。</w:t>
      </w:r>
    </w:p>
    <w:p w14:paraId="6AF9B59B">
      <w:pPr>
        <w:adjustRightInd w:val="0"/>
        <w:snapToGrid w:val="0"/>
        <w:spacing w:line="520" w:lineRule="exact"/>
        <w:ind w:firstLine="480" w:firstLineChars="15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一是贯彻执行党中央、国务院关于老干部工作的方针、政策和省、州有关规定，对全州老</w:t>
      </w:r>
      <w:r>
        <w:rPr>
          <w:rFonts w:hint="eastAsia" w:eastAsia="仿宋_GB2312" w:cs="Times New Roman"/>
          <w:sz w:val="32"/>
          <w:szCs w:val="32"/>
          <w:lang w:val="en-US" w:eastAsia="zh-CN"/>
        </w:rPr>
        <w:t>干</w:t>
      </w:r>
      <w:r>
        <w:rPr>
          <w:rFonts w:hint="default" w:ascii="Times New Roman" w:hAnsi="Times New Roman" w:eastAsia="仿宋_GB2312" w:cs="Times New Roman"/>
          <w:sz w:val="32"/>
          <w:szCs w:val="32"/>
        </w:rPr>
        <w:t>部工作进行指导、协调、督促、检查；负责调查研究，提出老干部工作的有关政策性意见或建议，为州委、州政府决策提供依据；会同有关部门解决老干部和老干部工作中的有关问题。二是指导和承办离休干部和副州级以上退休干部的安置、管理、服务工作；负责副县（处）级以上退休干部的管理工作；负责离（退）休干部党支部建设，做好离退休干部政治思想工作；负责离退休干部活动中心（馆、室）建设，组织开展各种健康有益文明科学的活动，充分发挥老同志的政治优势，为我州政治文明、物质文明和精神文明建设</w:t>
      </w:r>
      <w:bookmarkStart w:id="100" w:name="_GoBack"/>
      <w:bookmarkEnd w:id="100"/>
      <w:r>
        <w:rPr>
          <w:rFonts w:hint="default" w:ascii="Times New Roman" w:hAnsi="Times New Roman" w:eastAsia="仿宋_GB2312" w:cs="Times New Roman"/>
          <w:sz w:val="32"/>
          <w:szCs w:val="32"/>
        </w:rPr>
        <w:t>，提供坚定支撑，推动跨越发展和长治久安做贡献。三是负责在重大节日组织走访慰问老干部工作。组织开展特殊困难离（退）休干部帮扶工作，组织指导易地安置离退休干部工作。四是做好医疗保健工作。经常了解和掌握离、退休干部的健康状况，协助有关部门处理好离休干部和副县级及其以上退休干部的丧葬事宜。了解、反映老干部及其遗属的有关情况。五是抓好工作部门自身建设。加强州级各系统及各县，州属成都、郫县、都江堰、马尔康六个干休所的管理、督促、指导、检查。六是负责所属干休所人事任免、人员调整、退休手续的报批、奖惩、人员编制的管理工作。七是负责全州关心下一代相关工作，并承担关心下一代工作委员会日常工作。八是完成州委和州委组织部交办的其他任务。</w:t>
      </w:r>
    </w:p>
    <w:p w14:paraId="08B8DDD8">
      <w:pPr>
        <w:pageBreakBefore w:val="0"/>
        <w:kinsoku/>
        <w:wordWrap/>
        <w:overflowPunct/>
        <w:topLinePunct w:val="0"/>
        <w:autoSpaceDE/>
        <w:autoSpaceDN/>
        <w:bidi w:val="0"/>
        <w:spacing w:line="576" w:lineRule="exact"/>
        <w:ind w:firstLine="643" w:firstLineChars="200"/>
        <w:textAlignment w:val="auto"/>
        <w:rPr>
          <w:rFonts w:hint="default" w:ascii="Times New Roman" w:hAnsi="Times New Roman" w:eastAsia="方正黑体_GBK" w:cs="Times New Roman"/>
          <w:b/>
          <w:bCs/>
          <w:color w:val="000000"/>
          <w:kern w:val="0"/>
          <w:sz w:val="32"/>
          <w:szCs w:val="32"/>
          <w:shd w:val="clear" w:color="auto" w:fill="FFFFFF"/>
          <w:lang w:val="zh-CN"/>
        </w:rPr>
      </w:pPr>
      <w:r>
        <w:rPr>
          <w:rFonts w:hint="default" w:ascii="Times New Roman" w:hAnsi="Times New Roman" w:eastAsia="方正黑体_GBK" w:cs="Times New Roman"/>
          <w:b/>
          <w:bCs/>
          <w:color w:val="000000"/>
          <w:kern w:val="0"/>
          <w:sz w:val="32"/>
          <w:szCs w:val="32"/>
          <w:shd w:val="clear" w:color="auto" w:fill="FFFFFF"/>
          <w:lang w:val="zh-CN"/>
        </w:rPr>
        <w:t>四、评价结论及建议</w:t>
      </w:r>
    </w:p>
    <w:p w14:paraId="3723558D">
      <w:pPr>
        <w:adjustRightInd w:val="0"/>
        <w:snapToGrid w:val="0"/>
        <w:spacing w:line="520" w:lineRule="exact"/>
        <w:ind w:firstLine="482" w:firstLineChars="150"/>
        <w:rPr>
          <w:rFonts w:hint="default" w:ascii="Times New Roman" w:hAnsi="Times New Roman" w:eastAsia="仿宋_GB2312" w:cs="Times New Roman"/>
          <w:sz w:val="32"/>
          <w:szCs w:val="32"/>
        </w:rPr>
      </w:pPr>
      <w:r>
        <w:rPr>
          <w:rFonts w:hint="default" w:ascii="Times New Roman" w:hAnsi="Times New Roman" w:eastAsia="方正楷体_GBK" w:cs="Times New Roman"/>
          <w:b/>
          <w:bCs/>
          <w:color w:val="000000"/>
          <w:kern w:val="0"/>
          <w:sz w:val="32"/>
          <w:szCs w:val="32"/>
          <w:shd w:val="clear" w:color="auto" w:fill="FFFFFF"/>
          <w:lang w:val="zh-CN"/>
        </w:rPr>
        <w:t>（一）评价结论。</w:t>
      </w:r>
      <w:r>
        <w:rPr>
          <w:rFonts w:hint="default" w:ascii="Times New Roman" w:hAnsi="Times New Roman" w:eastAsia="仿宋_GB2312" w:cs="Times New Roman"/>
          <w:sz w:val="32"/>
          <w:szCs w:val="32"/>
        </w:rPr>
        <w:t>2024年，我部门部门预算执行情况基本良好，根据部门预算绩效评价指标体系，逐一进行分析自评，自评得分为95.19分。</w:t>
      </w:r>
    </w:p>
    <w:p w14:paraId="5E2D5C26">
      <w:pPr>
        <w:adjustRightInd w:val="0"/>
        <w:snapToGrid w:val="0"/>
        <w:spacing w:line="520" w:lineRule="exact"/>
        <w:ind w:firstLine="482" w:firstLineChars="150"/>
        <w:rPr>
          <w:rFonts w:hint="default" w:ascii="Times New Roman" w:hAnsi="Times New Roman" w:eastAsia="仿宋_GB2312" w:cs="Times New Roman"/>
          <w:sz w:val="32"/>
          <w:szCs w:val="32"/>
        </w:rPr>
      </w:pPr>
      <w:r>
        <w:rPr>
          <w:rFonts w:hint="default" w:ascii="Times New Roman" w:hAnsi="Times New Roman" w:eastAsia="方正楷体_GBK" w:cs="Times New Roman"/>
          <w:b/>
          <w:bCs/>
          <w:color w:val="000000"/>
          <w:kern w:val="0"/>
          <w:sz w:val="32"/>
          <w:szCs w:val="32"/>
          <w:shd w:val="clear" w:color="auto" w:fill="FFFFFF"/>
          <w:lang w:val="zh-CN"/>
        </w:rPr>
        <w:t>（二）存在问题。</w:t>
      </w:r>
      <w:r>
        <w:rPr>
          <w:rFonts w:hint="default" w:ascii="Times New Roman" w:hAnsi="Times New Roman" w:eastAsia="仿宋_GB2312" w:cs="Times New Roman"/>
          <w:sz w:val="32"/>
          <w:szCs w:val="32"/>
        </w:rPr>
        <w:t>预算编制的准确率还应该加强。部门经济支出分类科目调整情况较多。</w:t>
      </w:r>
    </w:p>
    <w:p w14:paraId="4E3210F0">
      <w:pPr>
        <w:adjustRightInd w:val="0"/>
        <w:snapToGrid w:val="0"/>
        <w:spacing w:line="520" w:lineRule="exact"/>
        <w:ind w:firstLine="482" w:firstLineChars="150"/>
        <w:rPr>
          <w:rFonts w:hint="default" w:ascii="Times New Roman" w:hAnsi="Times New Roman" w:eastAsia="仿宋_GB2312" w:cs="Times New Roman"/>
          <w:sz w:val="32"/>
          <w:szCs w:val="32"/>
        </w:rPr>
      </w:pPr>
      <w:r>
        <w:rPr>
          <w:rFonts w:hint="eastAsia" w:eastAsia="方正楷体_GBK" w:cs="Times New Roman"/>
          <w:b/>
          <w:bCs/>
          <w:color w:val="000000"/>
          <w:kern w:val="0"/>
          <w:sz w:val="32"/>
          <w:szCs w:val="32"/>
          <w:shd w:val="clear" w:color="auto" w:fill="FFFFFF"/>
          <w:lang w:val="zh-CN"/>
        </w:rPr>
        <w:t>（</w:t>
      </w:r>
      <w:r>
        <w:rPr>
          <w:rFonts w:hint="eastAsia" w:eastAsia="方正楷体_GBK" w:cs="Times New Roman"/>
          <w:b/>
          <w:bCs/>
          <w:color w:val="000000"/>
          <w:kern w:val="0"/>
          <w:sz w:val="32"/>
          <w:szCs w:val="32"/>
          <w:shd w:val="clear" w:color="auto" w:fill="FFFFFF"/>
          <w:lang w:val="en-US" w:eastAsia="zh-CN"/>
        </w:rPr>
        <w:t>三</w:t>
      </w:r>
      <w:r>
        <w:rPr>
          <w:rFonts w:hint="eastAsia" w:eastAsia="方正楷体_GBK" w:cs="Times New Roman"/>
          <w:b/>
          <w:bCs/>
          <w:color w:val="000000"/>
          <w:kern w:val="0"/>
          <w:sz w:val="32"/>
          <w:szCs w:val="32"/>
          <w:shd w:val="clear" w:color="auto" w:fill="FFFFFF"/>
          <w:lang w:val="zh-CN"/>
        </w:rPr>
        <w:t>）</w:t>
      </w:r>
      <w:r>
        <w:rPr>
          <w:rFonts w:hint="default" w:ascii="Times New Roman" w:hAnsi="Times New Roman" w:eastAsia="方正楷体_GBK" w:cs="Times New Roman"/>
          <w:b/>
          <w:bCs/>
          <w:color w:val="000000"/>
          <w:kern w:val="0"/>
          <w:sz w:val="32"/>
          <w:szCs w:val="32"/>
          <w:shd w:val="clear" w:color="auto" w:fill="FFFFFF"/>
          <w:lang w:val="zh-CN"/>
        </w:rPr>
        <w:t>改进建议。</w:t>
      </w:r>
      <w:r>
        <w:rPr>
          <w:rFonts w:hint="default" w:ascii="Times New Roman" w:hAnsi="Times New Roman" w:eastAsia="仿宋_GB2312" w:cs="Times New Roman"/>
          <w:sz w:val="32"/>
          <w:szCs w:val="32"/>
        </w:rPr>
        <w:t>本部门将始终遵循先有预算、后有支出的原则，科学合理编制部门预算，推进预算编制科学化、标准化。下一步工作中将根据实际情况及时进行预算调整，定期做好预算执行分析，适时掌握预算执行进度，及时找出预算实际执行情况与预算目标之间存在的差距，进一步加快预算执行。</w:t>
      </w:r>
    </w:p>
    <w:p w14:paraId="4237FA01">
      <w:pPr>
        <w:pageBreakBefore w:val="0"/>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kern w:val="0"/>
          <w:sz w:val="32"/>
          <w:szCs w:val="32"/>
        </w:rPr>
      </w:pPr>
    </w:p>
    <w:p w14:paraId="661ABCB3">
      <w:pPr>
        <w:pageBreakBefore w:val="0"/>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kern w:val="0"/>
          <w:sz w:val="32"/>
          <w:szCs w:val="32"/>
        </w:rPr>
      </w:pPr>
      <w:bookmarkStart w:id="86" w:name="_Toc15396618"/>
      <w:r>
        <w:rPr>
          <w:rFonts w:hint="default" w:ascii="Times New Roman" w:hAnsi="Times New Roman" w:eastAsia="仿宋_GB2312" w:cs="Times New Roman"/>
          <w:kern w:val="0"/>
          <w:sz w:val="32"/>
          <w:szCs w:val="32"/>
        </w:rPr>
        <w:br w:type="page"/>
      </w:r>
    </w:p>
    <w:p w14:paraId="7BE27C7C">
      <w:pPr>
        <w:pageBreakBefore w:val="0"/>
        <w:widowControl/>
        <w:kinsoku/>
        <w:wordWrap/>
        <w:overflowPunct/>
        <w:topLinePunct w:val="0"/>
        <w:autoSpaceDE/>
        <w:autoSpaceDN/>
        <w:bidi w:val="0"/>
        <w:spacing w:line="576" w:lineRule="exact"/>
        <w:ind w:firstLine="880" w:firstLineChars="200"/>
        <w:jc w:val="center"/>
        <w:textAlignment w:val="auto"/>
        <w:rPr>
          <w:rFonts w:hint="default" w:ascii="Times New Roman" w:hAnsi="Times New Roman" w:eastAsia="仿宋" w:cs="Times New Roman"/>
        </w:rPr>
      </w:pPr>
      <w:r>
        <w:rPr>
          <w:rFonts w:hint="default" w:ascii="Times New Roman" w:hAnsi="Times New Roman" w:eastAsia="黑体" w:cs="Times New Roman"/>
          <w:sz w:val="44"/>
          <w:szCs w:val="44"/>
        </w:rPr>
        <w:t>第</w:t>
      </w:r>
      <w:r>
        <w:rPr>
          <w:rStyle w:val="31"/>
          <w:rFonts w:hint="default" w:ascii="Times New Roman" w:hAnsi="Times New Roman" w:eastAsia="黑体" w:cs="Times New Roman"/>
          <w:b w:val="0"/>
        </w:rPr>
        <w:t>五部分 附表</w:t>
      </w:r>
      <w:bookmarkEnd w:id="85"/>
      <w:bookmarkEnd w:id="86"/>
      <w:bookmarkStart w:id="87" w:name="_Toc15396619"/>
    </w:p>
    <w:p w14:paraId="227BAD2B">
      <w:pPr>
        <w:pStyle w:val="14"/>
        <w:pageBreakBefore w:val="0"/>
        <w:kinsoku/>
        <w:wordWrap/>
        <w:overflowPunct/>
        <w:topLinePunct w:val="0"/>
        <w:autoSpaceDE/>
        <w:autoSpaceDN/>
        <w:bidi w:val="0"/>
        <w:adjustRightInd w:val="0"/>
        <w:snapToGrid w:val="0"/>
        <w:spacing w:line="576" w:lineRule="exact"/>
        <w:ind w:firstLine="640" w:firstLineChars="200"/>
        <w:jc w:val="left"/>
        <w:textAlignment w:val="auto"/>
        <w:rPr>
          <w:rFonts w:hint="default" w:ascii="Times New Roman" w:hAnsi="Times New Roman" w:eastAsia="仿宋_GB2312" w:cs="Times New Roman"/>
          <w:sz w:val="32"/>
          <w:szCs w:val="32"/>
        </w:rPr>
      </w:pPr>
    </w:p>
    <w:p w14:paraId="09ED9CFC">
      <w:pPr>
        <w:pStyle w:val="14"/>
        <w:pageBreakBefore w:val="0"/>
        <w:kinsoku/>
        <w:wordWrap/>
        <w:overflowPunct/>
        <w:topLinePunct w:val="0"/>
        <w:autoSpaceDE/>
        <w:autoSpaceDN/>
        <w:bidi w:val="0"/>
        <w:adjustRightInd w:val="0"/>
        <w:snapToGrid w:val="0"/>
        <w:spacing w:line="576"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一、收入支出决算总表</w:t>
      </w:r>
      <w:bookmarkEnd w:id="87"/>
    </w:p>
    <w:p w14:paraId="5254CF88">
      <w:pPr>
        <w:pStyle w:val="14"/>
        <w:pageBreakBefore w:val="0"/>
        <w:kinsoku/>
        <w:wordWrap/>
        <w:overflowPunct/>
        <w:topLinePunct w:val="0"/>
        <w:autoSpaceDE/>
        <w:autoSpaceDN/>
        <w:bidi w:val="0"/>
        <w:adjustRightInd w:val="0"/>
        <w:snapToGrid w:val="0"/>
        <w:spacing w:line="576" w:lineRule="exact"/>
        <w:ind w:firstLine="640" w:firstLineChars="200"/>
        <w:jc w:val="left"/>
        <w:textAlignment w:val="auto"/>
        <w:rPr>
          <w:rFonts w:hint="default" w:ascii="Times New Roman" w:hAnsi="Times New Roman" w:eastAsia="仿宋_GB2312" w:cs="Times New Roman"/>
          <w:sz w:val="32"/>
          <w:szCs w:val="32"/>
        </w:rPr>
      </w:pPr>
      <w:bookmarkStart w:id="88" w:name="_Toc15396620"/>
      <w:r>
        <w:rPr>
          <w:rFonts w:hint="default" w:ascii="Times New Roman" w:hAnsi="Times New Roman" w:eastAsia="仿宋_GB2312" w:cs="Times New Roman"/>
          <w:sz w:val="32"/>
          <w:szCs w:val="32"/>
        </w:rPr>
        <w:t>二、收入决算表</w:t>
      </w:r>
      <w:bookmarkEnd w:id="88"/>
    </w:p>
    <w:p w14:paraId="2F5F2926">
      <w:pPr>
        <w:pStyle w:val="14"/>
        <w:pageBreakBefore w:val="0"/>
        <w:kinsoku/>
        <w:wordWrap/>
        <w:overflowPunct/>
        <w:topLinePunct w:val="0"/>
        <w:autoSpaceDE/>
        <w:autoSpaceDN/>
        <w:bidi w:val="0"/>
        <w:adjustRightInd w:val="0"/>
        <w:snapToGrid w:val="0"/>
        <w:spacing w:line="576" w:lineRule="exact"/>
        <w:ind w:firstLine="640" w:firstLineChars="200"/>
        <w:jc w:val="left"/>
        <w:textAlignment w:val="auto"/>
        <w:rPr>
          <w:rFonts w:hint="default" w:ascii="Times New Roman" w:hAnsi="Times New Roman" w:eastAsia="仿宋_GB2312" w:cs="Times New Roman"/>
          <w:sz w:val="32"/>
          <w:szCs w:val="32"/>
        </w:rPr>
      </w:pPr>
      <w:bookmarkStart w:id="89" w:name="_Toc15396621"/>
      <w:r>
        <w:rPr>
          <w:rFonts w:hint="default" w:ascii="Times New Roman" w:hAnsi="Times New Roman" w:eastAsia="仿宋_GB2312" w:cs="Times New Roman"/>
          <w:sz w:val="32"/>
          <w:szCs w:val="32"/>
        </w:rPr>
        <w:t>三、支出决算表</w:t>
      </w:r>
      <w:bookmarkEnd w:id="89"/>
    </w:p>
    <w:p w14:paraId="6246EB0A">
      <w:pPr>
        <w:pStyle w:val="14"/>
        <w:pageBreakBefore w:val="0"/>
        <w:kinsoku/>
        <w:wordWrap/>
        <w:overflowPunct/>
        <w:topLinePunct w:val="0"/>
        <w:autoSpaceDE/>
        <w:autoSpaceDN/>
        <w:bidi w:val="0"/>
        <w:adjustRightInd w:val="0"/>
        <w:snapToGrid w:val="0"/>
        <w:spacing w:line="576" w:lineRule="exact"/>
        <w:ind w:firstLine="640" w:firstLineChars="200"/>
        <w:jc w:val="left"/>
        <w:textAlignment w:val="auto"/>
        <w:rPr>
          <w:rFonts w:hint="default" w:ascii="Times New Roman" w:hAnsi="Times New Roman" w:eastAsia="仿宋_GB2312" w:cs="Times New Roman"/>
          <w:sz w:val="32"/>
          <w:szCs w:val="32"/>
        </w:rPr>
      </w:pPr>
      <w:bookmarkStart w:id="90" w:name="_Toc15396622"/>
      <w:r>
        <w:rPr>
          <w:rFonts w:hint="default" w:ascii="Times New Roman" w:hAnsi="Times New Roman" w:eastAsia="仿宋_GB2312" w:cs="Times New Roman"/>
          <w:sz w:val="32"/>
          <w:szCs w:val="32"/>
        </w:rPr>
        <w:t>四、财政拨款收入支出决算总表</w:t>
      </w:r>
      <w:bookmarkEnd w:id="90"/>
    </w:p>
    <w:p w14:paraId="6BAEB6DE">
      <w:pPr>
        <w:pStyle w:val="14"/>
        <w:pageBreakBefore w:val="0"/>
        <w:kinsoku/>
        <w:wordWrap/>
        <w:overflowPunct/>
        <w:topLinePunct w:val="0"/>
        <w:autoSpaceDE/>
        <w:autoSpaceDN/>
        <w:bidi w:val="0"/>
        <w:adjustRightInd w:val="0"/>
        <w:snapToGrid w:val="0"/>
        <w:spacing w:line="576" w:lineRule="exact"/>
        <w:ind w:firstLine="640" w:firstLineChars="200"/>
        <w:jc w:val="left"/>
        <w:textAlignment w:val="auto"/>
        <w:rPr>
          <w:rFonts w:hint="default" w:ascii="Times New Roman" w:hAnsi="Times New Roman" w:eastAsia="仿宋_GB2312" w:cs="Times New Roman"/>
          <w:sz w:val="32"/>
          <w:szCs w:val="32"/>
        </w:rPr>
      </w:pPr>
      <w:bookmarkStart w:id="91" w:name="_Toc15396623"/>
      <w:r>
        <w:rPr>
          <w:rFonts w:hint="default" w:ascii="Times New Roman" w:hAnsi="Times New Roman" w:eastAsia="仿宋_GB2312" w:cs="Times New Roman"/>
          <w:sz w:val="32"/>
          <w:szCs w:val="32"/>
        </w:rPr>
        <w:t>五、财政拨款支出决算明细表</w:t>
      </w:r>
      <w:bookmarkEnd w:id="91"/>
      <w:bookmarkStart w:id="92" w:name="_Toc15396624"/>
    </w:p>
    <w:p w14:paraId="3D2920E5">
      <w:pPr>
        <w:pStyle w:val="14"/>
        <w:pageBreakBefore w:val="0"/>
        <w:kinsoku/>
        <w:wordWrap/>
        <w:overflowPunct/>
        <w:topLinePunct w:val="0"/>
        <w:autoSpaceDE/>
        <w:autoSpaceDN/>
        <w:bidi w:val="0"/>
        <w:adjustRightInd w:val="0"/>
        <w:snapToGrid w:val="0"/>
        <w:spacing w:line="576"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六、一般公共预算财政拨款支出决算表</w:t>
      </w:r>
      <w:bookmarkEnd w:id="92"/>
    </w:p>
    <w:p w14:paraId="240F08B6">
      <w:pPr>
        <w:pStyle w:val="14"/>
        <w:pageBreakBefore w:val="0"/>
        <w:kinsoku/>
        <w:wordWrap/>
        <w:overflowPunct/>
        <w:topLinePunct w:val="0"/>
        <w:autoSpaceDE/>
        <w:autoSpaceDN/>
        <w:bidi w:val="0"/>
        <w:adjustRightInd w:val="0"/>
        <w:snapToGrid w:val="0"/>
        <w:spacing w:line="576" w:lineRule="exact"/>
        <w:ind w:firstLine="640" w:firstLineChars="200"/>
        <w:jc w:val="left"/>
        <w:textAlignment w:val="auto"/>
        <w:rPr>
          <w:rFonts w:hint="default" w:ascii="Times New Roman" w:hAnsi="Times New Roman" w:eastAsia="仿宋_GB2312" w:cs="Times New Roman"/>
          <w:sz w:val="32"/>
          <w:szCs w:val="32"/>
        </w:rPr>
      </w:pPr>
      <w:bookmarkStart w:id="93" w:name="_Toc15396625"/>
      <w:r>
        <w:rPr>
          <w:rFonts w:hint="default" w:ascii="Times New Roman" w:hAnsi="Times New Roman" w:eastAsia="仿宋_GB2312" w:cs="Times New Roman"/>
          <w:sz w:val="32"/>
          <w:szCs w:val="32"/>
        </w:rPr>
        <w:t>七、一般公共预算财政拨款支出决算明细表</w:t>
      </w:r>
      <w:bookmarkEnd w:id="93"/>
    </w:p>
    <w:p w14:paraId="2CA8AE20">
      <w:pPr>
        <w:pStyle w:val="14"/>
        <w:pageBreakBefore w:val="0"/>
        <w:kinsoku/>
        <w:wordWrap/>
        <w:overflowPunct/>
        <w:topLinePunct w:val="0"/>
        <w:autoSpaceDE/>
        <w:autoSpaceDN/>
        <w:bidi w:val="0"/>
        <w:adjustRightInd w:val="0"/>
        <w:snapToGrid w:val="0"/>
        <w:spacing w:line="576" w:lineRule="exact"/>
        <w:ind w:firstLine="640" w:firstLineChars="200"/>
        <w:jc w:val="left"/>
        <w:textAlignment w:val="auto"/>
        <w:rPr>
          <w:rFonts w:hint="default" w:ascii="Times New Roman" w:hAnsi="Times New Roman" w:eastAsia="仿宋_GB2312" w:cs="Times New Roman"/>
          <w:sz w:val="32"/>
          <w:szCs w:val="32"/>
        </w:rPr>
      </w:pPr>
      <w:bookmarkStart w:id="94" w:name="_Toc15396626"/>
      <w:r>
        <w:rPr>
          <w:rFonts w:hint="default" w:ascii="Times New Roman" w:hAnsi="Times New Roman" w:eastAsia="仿宋_GB2312" w:cs="Times New Roman"/>
          <w:sz w:val="32"/>
          <w:szCs w:val="32"/>
        </w:rPr>
        <w:t>八、一般公共预算财政拨款基本支出决算表</w:t>
      </w:r>
      <w:bookmarkEnd w:id="94"/>
    </w:p>
    <w:p w14:paraId="1021E5EC">
      <w:pPr>
        <w:pStyle w:val="14"/>
        <w:pageBreakBefore w:val="0"/>
        <w:kinsoku/>
        <w:wordWrap/>
        <w:overflowPunct/>
        <w:topLinePunct w:val="0"/>
        <w:autoSpaceDE/>
        <w:autoSpaceDN/>
        <w:bidi w:val="0"/>
        <w:adjustRightInd w:val="0"/>
        <w:snapToGrid w:val="0"/>
        <w:spacing w:line="576" w:lineRule="exact"/>
        <w:ind w:firstLine="640" w:firstLineChars="200"/>
        <w:jc w:val="left"/>
        <w:textAlignment w:val="auto"/>
        <w:rPr>
          <w:rFonts w:hint="default" w:ascii="Times New Roman" w:hAnsi="Times New Roman" w:eastAsia="仿宋_GB2312" w:cs="Times New Roman"/>
          <w:sz w:val="32"/>
          <w:szCs w:val="32"/>
        </w:rPr>
      </w:pPr>
      <w:bookmarkStart w:id="95" w:name="_Toc15396627"/>
      <w:r>
        <w:rPr>
          <w:rFonts w:hint="default" w:ascii="Times New Roman" w:hAnsi="Times New Roman" w:eastAsia="仿宋_GB2312" w:cs="Times New Roman"/>
          <w:sz w:val="32"/>
          <w:szCs w:val="32"/>
        </w:rPr>
        <w:t>九、一般公共预算财政拨款项目支出决算表</w:t>
      </w:r>
      <w:bookmarkEnd w:id="95"/>
    </w:p>
    <w:p w14:paraId="07043E00">
      <w:pPr>
        <w:pStyle w:val="14"/>
        <w:pageBreakBefore w:val="0"/>
        <w:kinsoku/>
        <w:wordWrap/>
        <w:overflowPunct/>
        <w:topLinePunct w:val="0"/>
        <w:autoSpaceDE/>
        <w:autoSpaceDN/>
        <w:bidi w:val="0"/>
        <w:adjustRightInd w:val="0"/>
        <w:snapToGrid w:val="0"/>
        <w:spacing w:line="576" w:lineRule="exact"/>
        <w:ind w:firstLine="640" w:firstLineChars="200"/>
        <w:jc w:val="left"/>
        <w:textAlignment w:val="auto"/>
        <w:rPr>
          <w:rFonts w:hint="default" w:ascii="Times New Roman" w:hAnsi="Times New Roman" w:eastAsia="仿宋_GB2312" w:cs="Times New Roman"/>
          <w:sz w:val="32"/>
          <w:szCs w:val="32"/>
        </w:rPr>
      </w:pPr>
      <w:bookmarkStart w:id="96" w:name="_Toc15396628"/>
      <w:r>
        <w:rPr>
          <w:rFonts w:hint="default" w:ascii="Times New Roman" w:hAnsi="Times New Roman" w:eastAsia="仿宋_GB2312" w:cs="Times New Roman"/>
          <w:sz w:val="32"/>
          <w:szCs w:val="32"/>
        </w:rPr>
        <w:t>十、</w:t>
      </w:r>
      <w:bookmarkEnd w:id="96"/>
      <w:r>
        <w:rPr>
          <w:rFonts w:hint="default" w:ascii="Times New Roman" w:hAnsi="Times New Roman" w:eastAsia="仿宋_GB2312" w:cs="Times New Roman"/>
          <w:sz w:val="32"/>
          <w:szCs w:val="32"/>
        </w:rPr>
        <w:t>政府性基金预算财政拨款收入支出决算表</w:t>
      </w:r>
    </w:p>
    <w:p w14:paraId="7B15E922">
      <w:pPr>
        <w:pStyle w:val="14"/>
        <w:pageBreakBefore w:val="0"/>
        <w:kinsoku/>
        <w:wordWrap/>
        <w:overflowPunct/>
        <w:topLinePunct w:val="0"/>
        <w:autoSpaceDE/>
        <w:autoSpaceDN/>
        <w:bidi w:val="0"/>
        <w:adjustRightInd w:val="0"/>
        <w:snapToGrid w:val="0"/>
        <w:spacing w:line="576" w:lineRule="exact"/>
        <w:ind w:firstLine="640" w:firstLineChars="200"/>
        <w:jc w:val="left"/>
        <w:textAlignment w:val="auto"/>
        <w:rPr>
          <w:rFonts w:hint="default" w:ascii="Times New Roman" w:hAnsi="Times New Roman" w:eastAsia="仿宋_GB2312" w:cs="Times New Roman"/>
          <w:sz w:val="32"/>
          <w:szCs w:val="32"/>
        </w:rPr>
      </w:pPr>
      <w:bookmarkStart w:id="97" w:name="_Toc15396629"/>
      <w:r>
        <w:rPr>
          <w:rFonts w:hint="default" w:ascii="Times New Roman" w:hAnsi="Times New Roman" w:eastAsia="仿宋_GB2312" w:cs="Times New Roman"/>
          <w:sz w:val="32"/>
          <w:szCs w:val="32"/>
        </w:rPr>
        <w:t>十一、</w:t>
      </w:r>
      <w:bookmarkEnd w:id="97"/>
      <w:r>
        <w:rPr>
          <w:rFonts w:hint="default" w:ascii="Times New Roman" w:hAnsi="Times New Roman" w:eastAsia="仿宋_GB2312" w:cs="Times New Roman"/>
          <w:sz w:val="32"/>
          <w:szCs w:val="32"/>
        </w:rPr>
        <w:t>国有资本经营预算财政拨款收入支出决算表</w:t>
      </w:r>
    </w:p>
    <w:p w14:paraId="0F22F1B4">
      <w:pPr>
        <w:pStyle w:val="14"/>
        <w:pageBreakBefore w:val="0"/>
        <w:kinsoku/>
        <w:wordWrap/>
        <w:overflowPunct/>
        <w:topLinePunct w:val="0"/>
        <w:autoSpaceDE/>
        <w:autoSpaceDN/>
        <w:bidi w:val="0"/>
        <w:adjustRightInd w:val="0"/>
        <w:snapToGrid w:val="0"/>
        <w:spacing w:line="576" w:lineRule="exact"/>
        <w:ind w:firstLine="640" w:firstLineChars="200"/>
        <w:jc w:val="left"/>
        <w:textAlignment w:val="auto"/>
        <w:rPr>
          <w:rFonts w:hint="default" w:ascii="Times New Roman" w:hAnsi="Times New Roman" w:eastAsia="仿宋_GB2312" w:cs="Times New Roman"/>
          <w:sz w:val="32"/>
          <w:szCs w:val="32"/>
        </w:rPr>
      </w:pPr>
      <w:bookmarkStart w:id="98" w:name="_Toc15396630"/>
      <w:r>
        <w:rPr>
          <w:rFonts w:hint="default" w:ascii="Times New Roman" w:hAnsi="Times New Roman" w:eastAsia="仿宋_GB2312" w:cs="Times New Roman"/>
          <w:sz w:val="32"/>
          <w:szCs w:val="32"/>
        </w:rPr>
        <w:t>十二、</w:t>
      </w:r>
      <w:bookmarkEnd w:id="98"/>
      <w:r>
        <w:rPr>
          <w:rFonts w:hint="default" w:ascii="Times New Roman" w:hAnsi="Times New Roman" w:eastAsia="仿宋_GB2312" w:cs="Times New Roman"/>
          <w:sz w:val="32"/>
          <w:szCs w:val="32"/>
        </w:rPr>
        <w:t>国有资本经营预算财政拨款支出决算表</w:t>
      </w:r>
    </w:p>
    <w:p w14:paraId="3D830803">
      <w:pPr>
        <w:pStyle w:val="14"/>
        <w:pageBreakBefore w:val="0"/>
        <w:kinsoku/>
        <w:wordWrap/>
        <w:overflowPunct/>
        <w:topLinePunct w:val="0"/>
        <w:autoSpaceDE/>
        <w:autoSpaceDN/>
        <w:bidi w:val="0"/>
        <w:adjustRightInd w:val="0"/>
        <w:snapToGrid w:val="0"/>
        <w:spacing w:line="576" w:lineRule="exact"/>
        <w:ind w:firstLine="640" w:firstLineChars="200"/>
        <w:jc w:val="left"/>
        <w:textAlignment w:val="auto"/>
        <w:rPr>
          <w:rFonts w:hint="default" w:ascii="Times New Roman" w:hAnsi="Times New Roman" w:eastAsia="仿宋_GB2312" w:cs="Times New Roman"/>
          <w:sz w:val="32"/>
          <w:szCs w:val="32"/>
        </w:rPr>
      </w:pPr>
      <w:bookmarkStart w:id="99" w:name="_Toc15396631"/>
      <w:r>
        <w:rPr>
          <w:rFonts w:hint="default" w:ascii="Times New Roman" w:hAnsi="Times New Roman" w:eastAsia="仿宋_GB2312" w:cs="Times New Roman"/>
          <w:sz w:val="32"/>
          <w:szCs w:val="32"/>
        </w:rPr>
        <w:t>十三、</w:t>
      </w:r>
      <w:bookmarkEnd w:id="99"/>
      <w:r>
        <w:rPr>
          <w:rFonts w:hint="default" w:ascii="Times New Roman" w:hAnsi="Times New Roman" w:eastAsia="仿宋_GB2312" w:cs="Times New Roman"/>
          <w:sz w:val="32"/>
          <w:szCs w:val="32"/>
        </w:rPr>
        <w:t>财政拨款“三公”经费支出决算表</w:t>
      </w:r>
    </w:p>
    <w:p w14:paraId="46D5F740">
      <w:pPr>
        <w:rPr>
          <w:rFonts w:hint="default" w:ascii="Times New Roman" w:hAnsi="Times New Roman" w:cs="Times New Roman"/>
        </w:rPr>
      </w:pPr>
    </w:p>
    <w:sectPr>
      <w:footerReference r:id="rId6" w:type="first"/>
      <w:footerReference r:id="rId5"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D94825">
    <w:pPr>
      <w:pStyle w:val="10"/>
      <w:jc w:val="center"/>
    </w:pPr>
  </w:p>
  <w:p w14:paraId="1C1DB241">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CEE4C8">
    <w:pPr>
      <w:pStyle w:val="1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1C7AD5">
                          <w:pPr>
                            <w:pStyle w:val="10"/>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411C7AD5">
                    <w:pPr>
                      <w:pStyle w:val="10"/>
                    </w:pPr>
                    <w:r>
                      <w:fldChar w:fldCharType="begin"/>
                    </w:r>
                    <w:r>
                      <w:instrText xml:space="preserve"> PAGE  \* MERGEFORMAT </w:instrText>
                    </w:r>
                    <w:r>
                      <w:fldChar w:fldCharType="separate"/>
                    </w:r>
                    <w:r>
                      <w:t>- 2 -</w:t>
                    </w:r>
                    <w:r>
                      <w:fldChar w:fldCharType="end"/>
                    </w:r>
                  </w:p>
                </w:txbxContent>
              </v:textbox>
            </v:shape>
          </w:pict>
        </mc:Fallback>
      </mc:AlternateContent>
    </w:r>
  </w:p>
  <w:p w14:paraId="66C8D479">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5D32BB">
    <w:pPr>
      <w:pStyle w:val="1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4D48E5">
                          <w:pPr>
                            <w:pStyle w:val="10"/>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5A4D48E5">
                    <w:pPr>
                      <w:pStyle w:val="10"/>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A244DE">
    <w:pPr>
      <w:pStyle w:val="11"/>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07004"/>
    <w:rsid w:val="00512FDA"/>
    <w:rsid w:val="00520DA0"/>
    <w:rsid w:val="00563274"/>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3795B"/>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1812"/>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22A3"/>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02FE1"/>
    <w:rsid w:val="00D114F0"/>
    <w:rsid w:val="00D20620"/>
    <w:rsid w:val="00D254F7"/>
    <w:rsid w:val="00D26091"/>
    <w:rsid w:val="00D2685C"/>
    <w:rsid w:val="00D34E7C"/>
    <w:rsid w:val="00D35489"/>
    <w:rsid w:val="00D36AFE"/>
    <w:rsid w:val="00D51276"/>
    <w:rsid w:val="00D5444D"/>
    <w:rsid w:val="00D577C3"/>
    <w:rsid w:val="00D7035F"/>
    <w:rsid w:val="00DA634F"/>
    <w:rsid w:val="00DA65AC"/>
    <w:rsid w:val="00DB1913"/>
    <w:rsid w:val="00DC2C99"/>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0F7FF3"/>
    <w:rsid w:val="012A5EC2"/>
    <w:rsid w:val="015975B8"/>
    <w:rsid w:val="01BD17FD"/>
    <w:rsid w:val="01FB2325"/>
    <w:rsid w:val="02FEBE30"/>
    <w:rsid w:val="031F4689"/>
    <w:rsid w:val="038A570F"/>
    <w:rsid w:val="04916F1E"/>
    <w:rsid w:val="05104FA1"/>
    <w:rsid w:val="05D9139F"/>
    <w:rsid w:val="061B2F96"/>
    <w:rsid w:val="061E35DE"/>
    <w:rsid w:val="06436AAC"/>
    <w:rsid w:val="066E0107"/>
    <w:rsid w:val="075E313A"/>
    <w:rsid w:val="078076A1"/>
    <w:rsid w:val="07996F6E"/>
    <w:rsid w:val="07DA0ED6"/>
    <w:rsid w:val="07DFD8BA"/>
    <w:rsid w:val="07FA6182"/>
    <w:rsid w:val="084367D4"/>
    <w:rsid w:val="08856DEC"/>
    <w:rsid w:val="09867E8F"/>
    <w:rsid w:val="0A2032A3"/>
    <w:rsid w:val="0A6273E5"/>
    <w:rsid w:val="0B536D2E"/>
    <w:rsid w:val="0B53783F"/>
    <w:rsid w:val="0B955598"/>
    <w:rsid w:val="0BBF68DC"/>
    <w:rsid w:val="0C3D450B"/>
    <w:rsid w:val="0CA8290A"/>
    <w:rsid w:val="0CEB1914"/>
    <w:rsid w:val="0CF546CC"/>
    <w:rsid w:val="0D35B1ED"/>
    <w:rsid w:val="0D8E04F1"/>
    <w:rsid w:val="0E254B6B"/>
    <w:rsid w:val="0F98263C"/>
    <w:rsid w:val="0F987DF2"/>
    <w:rsid w:val="101860EC"/>
    <w:rsid w:val="101F47CC"/>
    <w:rsid w:val="10BE2E9B"/>
    <w:rsid w:val="10C055FF"/>
    <w:rsid w:val="11241DC3"/>
    <w:rsid w:val="114710E3"/>
    <w:rsid w:val="11694EBD"/>
    <w:rsid w:val="11772AA4"/>
    <w:rsid w:val="118107EC"/>
    <w:rsid w:val="11D21879"/>
    <w:rsid w:val="12B26A30"/>
    <w:rsid w:val="12C91936"/>
    <w:rsid w:val="12E24EE2"/>
    <w:rsid w:val="13D50BC4"/>
    <w:rsid w:val="140B464A"/>
    <w:rsid w:val="145D56A9"/>
    <w:rsid w:val="14B17F78"/>
    <w:rsid w:val="14D13F6D"/>
    <w:rsid w:val="14FD6EB5"/>
    <w:rsid w:val="14FE35CB"/>
    <w:rsid w:val="155450E5"/>
    <w:rsid w:val="15E05662"/>
    <w:rsid w:val="16113A6D"/>
    <w:rsid w:val="165E0673"/>
    <w:rsid w:val="165F6ECF"/>
    <w:rsid w:val="16B831D5"/>
    <w:rsid w:val="16BB723D"/>
    <w:rsid w:val="16F47617"/>
    <w:rsid w:val="17E50567"/>
    <w:rsid w:val="17F00FA0"/>
    <w:rsid w:val="186504BB"/>
    <w:rsid w:val="18952734"/>
    <w:rsid w:val="18B45CA9"/>
    <w:rsid w:val="196579DE"/>
    <w:rsid w:val="19A445FC"/>
    <w:rsid w:val="1A7D5C9E"/>
    <w:rsid w:val="1B040045"/>
    <w:rsid w:val="1B083691"/>
    <w:rsid w:val="1B8B6070"/>
    <w:rsid w:val="1BE8440E"/>
    <w:rsid w:val="1C4C3A51"/>
    <w:rsid w:val="1CA70C88"/>
    <w:rsid w:val="1CC6347C"/>
    <w:rsid w:val="1CD039BD"/>
    <w:rsid w:val="1D155CEE"/>
    <w:rsid w:val="1D1638FE"/>
    <w:rsid w:val="1E312DEB"/>
    <w:rsid w:val="1E740ACF"/>
    <w:rsid w:val="1FF35744"/>
    <w:rsid w:val="1FF6BC77"/>
    <w:rsid w:val="20076C95"/>
    <w:rsid w:val="20735D15"/>
    <w:rsid w:val="20CC5ACB"/>
    <w:rsid w:val="211663DC"/>
    <w:rsid w:val="2118165B"/>
    <w:rsid w:val="2186353C"/>
    <w:rsid w:val="21C75814"/>
    <w:rsid w:val="2206534F"/>
    <w:rsid w:val="23860B96"/>
    <w:rsid w:val="239F6B5C"/>
    <w:rsid w:val="24026AB3"/>
    <w:rsid w:val="240371BF"/>
    <w:rsid w:val="24396B3F"/>
    <w:rsid w:val="244F3473"/>
    <w:rsid w:val="247E1F51"/>
    <w:rsid w:val="24C97D99"/>
    <w:rsid w:val="25A718F0"/>
    <w:rsid w:val="25BB59F6"/>
    <w:rsid w:val="25F413E1"/>
    <w:rsid w:val="260F557C"/>
    <w:rsid w:val="26467763"/>
    <w:rsid w:val="26502693"/>
    <w:rsid w:val="26751DF6"/>
    <w:rsid w:val="26970054"/>
    <w:rsid w:val="26B2761B"/>
    <w:rsid w:val="26D066E2"/>
    <w:rsid w:val="27070CA1"/>
    <w:rsid w:val="270B08EF"/>
    <w:rsid w:val="27315D1D"/>
    <w:rsid w:val="27EB411E"/>
    <w:rsid w:val="281408E2"/>
    <w:rsid w:val="289E54D1"/>
    <w:rsid w:val="28F64240"/>
    <w:rsid w:val="29EC0622"/>
    <w:rsid w:val="29FD04D3"/>
    <w:rsid w:val="2A97233B"/>
    <w:rsid w:val="2AEB1D00"/>
    <w:rsid w:val="2B784A89"/>
    <w:rsid w:val="2BFF7BC6"/>
    <w:rsid w:val="2C2F6C5B"/>
    <w:rsid w:val="2C7F03F5"/>
    <w:rsid w:val="2C8A61B5"/>
    <w:rsid w:val="2C8E15B2"/>
    <w:rsid w:val="2D763B36"/>
    <w:rsid w:val="2DF04E50"/>
    <w:rsid w:val="2E586DFA"/>
    <w:rsid w:val="2EA9088F"/>
    <w:rsid w:val="2F040D46"/>
    <w:rsid w:val="2F177EEF"/>
    <w:rsid w:val="2F37233F"/>
    <w:rsid w:val="2F6B035B"/>
    <w:rsid w:val="2FAE5751"/>
    <w:rsid w:val="2FB1A395"/>
    <w:rsid w:val="2FD9A7D8"/>
    <w:rsid w:val="2FDBF714"/>
    <w:rsid w:val="2FF873CB"/>
    <w:rsid w:val="30AB6865"/>
    <w:rsid w:val="30AB6B41"/>
    <w:rsid w:val="30C96794"/>
    <w:rsid w:val="319F7F4E"/>
    <w:rsid w:val="31DB5204"/>
    <w:rsid w:val="32BD1EF1"/>
    <w:rsid w:val="3304709D"/>
    <w:rsid w:val="331A7F4F"/>
    <w:rsid w:val="338A5133"/>
    <w:rsid w:val="33A773CB"/>
    <w:rsid w:val="33D70AB4"/>
    <w:rsid w:val="343B642D"/>
    <w:rsid w:val="34677222"/>
    <w:rsid w:val="349D6851"/>
    <w:rsid w:val="34C5219B"/>
    <w:rsid w:val="34C75F13"/>
    <w:rsid w:val="35B210CE"/>
    <w:rsid w:val="35E6413B"/>
    <w:rsid w:val="36AA5135"/>
    <w:rsid w:val="36BE0DA7"/>
    <w:rsid w:val="376357CC"/>
    <w:rsid w:val="376B6AA6"/>
    <w:rsid w:val="376D39B2"/>
    <w:rsid w:val="37E16F03"/>
    <w:rsid w:val="37F53A3B"/>
    <w:rsid w:val="382D42DF"/>
    <w:rsid w:val="3842422E"/>
    <w:rsid w:val="389B6C89"/>
    <w:rsid w:val="38D469F0"/>
    <w:rsid w:val="38FE7A29"/>
    <w:rsid w:val="39627CCD"/>
    <w:rsid w:val="397BAF1F"/>
    <w:rsid w:val="39C3314D"/>
    <w:rsid w:val="3AB79AF3"/>
    <w:rsid w:val="3ABC194A"/>
    <w:rsid w:val="3AE834C0"/>
    <w:rsid w:val="3B712735"/>
    <w:rsid w:val="3B7EF35A"/>
    <w:rsid w:val="3B9FDB6C"/>
    <w:rsid w:val="3BBF45A5"/>
    <w:rsid w:val="3BF5BC2F"/>
    <w:rsid w:val="3CEBA265"/>
    <w:rsid w:val="3D98207C"/>
    <w:rsid w:val="3DEE7CF3"/>
    <w:rsid w:val="3E547818"/>
    <w:rsid w:val="3E740A63"/>
    <w:rsid w:val="3E78745D"/>
    <w:rsid w:val="3EE17838"/>
    <w:rsid w:val="3F55381A"/>
    <w:rsid w:val="3F5F1707"/>
    <w:rsid w:val="3F7F7599"/>
    <w:rsid w:val="3FF4CAE0"/>
    <w:rsid w:val="3FF7B227"/>
    <w:rsid w:val="40D45C40"/>
    <w:rsid w:val="412414ED"/>
    <w:rsid w:val="41566CC0"/>
    <w:rsid w:val="41710FA8"/>
    <w:rsid w:val="41A73354"/>
    <w:rsid w:val="42EF4FB3"/>
    <w:rsid w:val="430118C9"/>
    <w:rsid w:val="43485F3B"/>
    <w:rsid w:val="436E7326"/>
    <w:rsid w:val="440C749E"/>
    <w:rsid w:val="44112D07"/>
    <w:rsid w:val="448C05DF"/>
    <w:rsid w:val="44BC2C73"/>
    <w:rsid w:val="44DC1567"/>
    <w:rsid w:val="44E268DA"/>
    <w:rsid w:val="450D13D7"/>
    <w:rsid w:val="45506656"/>
    <w:rsid w:val="46160AA8"/>
    <w:rsid w:val="467D4684"/>
    <w:rsid w:val="477D5106"/>
    <w:rsid w:val="48265363"/>
    <w:rsid w:val="4842401B"/>
    <w:rsid w:val="486A6C7A"/>
    <w:rsid w:val="487433D2"/>
    <w:rsid w:val="4A627F82"/>
    <w:rsid w:val="4AC950C5"/>
    <w:rsid w:val="4B0E749A"/>
    <w:rsid w:val="4B2477C4"/>
    <w:rsid w:val="4B373770"/>
    <w:rsid w:val="4B4F25DA"/>
    <w:rsid w:val="4B5C0362"/>
    <w:rsid w:val="4B9D30D2"/>
    <w:rsid w:val="4BE068DB"/>
    <w:rsid w:val="4C6D5B21"/>
    <w:rsid w:val="4CB34504"/>
    <w:rsid w:val="4CDD18A0"/>
    <w:rsid w:val="4D577224"/>
    <w:rsid w:val="4D6334A1"/>
    <w:rsid w:val="4DBF1CEB"/>
    <w:rsid w:val="4DF0007C"/>
    <w:rsid w:val="4EAB630A"/>
    <w:rsid w:val="4ECE2238"/>
    <w:rsid w:val="4ED67027"/>
    <w:rsid w:val="4EF83B36"/>
    <w:rsid w:val="4F046931"/>
    <w:rsid w:val="4F610FE6"/>
    <w:rsid w:val="4F6B3C13"/>
    <w:rsid w:val="4F833267"/>
    <w:rsid w:val="4F960564"/>
    <w:rsid w:val="4FA90297"/>
    <w:rsid w:val="4FE9BD67"/>
    <w:rsid w:val="4FFB052F"/>
    <w:rsid w:val="501E6EAC"/>
    <w:rsid w:val="52567B74"/>
    <w:rsid w:val="528B637A"/>
    <w:rsid w:val="537E6D0A"/>
    <w:rsid w:val="53F74C96"/>
    <w:rsid w:val="54E36158"/>
    <w:rsid w:val="55170BA8"/>
    <w:rsid w:val="5527540B"/>
    <w:rsid w:val="553218C9"/>
    <w:rsid w:val="55534799"/>
    <w:rsid w:val="555D5E9E"/>
    <w:rsid w:val="556E7FB9"/>
    <w:rsid w:val="558477DD"/>
    <w:rsid w:val="55FB6FA7"/>
    <w:rsid w:val="56310FE7"/>
    <w:rsid w:val="563C40B2"/>
    <w:rsid w:val="567E1AA5"/>
    <w:rsid w:val="56835CE6"/>
    <w:rsid w:val="56920816"/>
    <w:rsid w:val="56C105BC"/>
    <w:rsid w:val="56E47B74"/>
    <w:rsid w:val="56EA7B13"/>
    <w:rsid w:val="570D735E"/>
    <w:rsid w:val="57175D52"/>
    <w:rsid w:val="571E7E15"/>
    <w:rsid w:val="576C0061"/>
    <w:rsid w:val="57811AFA"/>
    <w:rsid w:val="57BD3DD4"/>
    <w:rsid w:val="592541D4"/>
    <w:rsid w:val="5A4F003A"/>
    <w:rsid w:val="5AF92295"/>
    <w:rsid w:val="5B250254"/>
    <w:rsid w:val="5B3E56C8"/>
    <w:rsid w:val="5BAD7361"/>
    <w:rsid w:val="5BDD79E6"/>
    <w:rsid w:val="5BE82147"/>
    <w:rsid w:val="5BF561CA"/>
    <w:rsid w:val="5BFF5DFC"/>
    <w:rsid w:val="5CB84210"/>
    <w:rsid w:val="5CD71FC4"/>
    <w:rsid w:val="5D1F11B5"/>
    <w:rsid w:val="5D3970FE"/>
    <w:rsid w:val="5D4E4952"/>
    <w:rsid w:val="5D695134"/>
    <w:rsid w:val="5DAE1B18"/>
    <w:rsid w:val="5DE7D9E5"/>
    <w:rsid w:val="5ECEC941"/>
    <w:rsid w:val="5FA83470"/>
    <w:rsid w:val="5FBF9FF3"/>
    <w:rsid w:val="5FCD4E2C"/>
    <w:rsid w:val="5FEF394A"/>
    <w:rsid w:val="5FF67715"/>
    <w:rsid w:val="6042276E"/>
    <w:rsid w:val="608B4AC4"/>
    <w:rsid w:val="60C10F00"/>
    <w:rsid w:val="60E91876"/>
    <w:rsid w:val="61C06640"/>
    <w:rsid w:val="621F43E9"/>
    <w:rsid w:val="62BF3928"/>
    <w:rsid w:val="634E4F86"/>
    <w:rsid w:val="63B3701E"/>
    <w:rsid w:val="63BF40D6"/>
    <w:rsid w:val="647F5392"/>
    <w:rsid w:val="649905AD"/>
    <w:rsid w:val="6518584B"/>
    <w:rsid w:val="652341F0"/>
    <w:rsid w:val="654725D5"/>
    <w:rsid w:val="65711400"/>
    <w:rsid w:val="658B58B0"/>
    <w:rsid w:val="65E66580"/>
    <w:rsid w:val="66157FDD"/>
    <w:rsid w:val="661A660E"/>
    <w:rsid w:val="66432D9C"/>
    <w:rsid w:val="664B1D71"/>
    <w:rsid w:val="664B4E8E"/>
    <w:rsid w:val="67277B67"/>
    <w:rsid w:val="67AA3209"/>
    <w:rsid w:val="67B35CFF"/>
    <w:rsid w:val="67F670C0"/>
    <w:rsid w:val="68880F3A"/>
    <w:rsid w:val="69236EB5"/>
    <w:rsid w:val="697A703D"/>
    <w:rsid w:val="698D0931"/>
    <w:rsid w:val="69992CD3"/>
    <w:rsid w:val="69E20B1E"/>
    <w:rsid w:val="6A0527E5"/>
    <w:rsid w:val="6A107439"/>
    <w:rsid w:val="6A7FE5F3"/>
    <w:rsid w:val="6B053271"/>
    <w:rsid w:val="6B8C2AEF"/>
    <w:rsid w:val="6BDD78B3"/>
    <w:rsid w:val="6BFF1513"/>
    <w:rsid w:val="6C4A05C8"/>
    <w:rsid w:val="6C8742B8"/>
    <w:rsid w:val="6CDE381E"/>
    <w:rsid w:val="6CF546C4"/>
    <w:rsid w:val="6DB17785"/>
    <w:rsid w:val="6DBF5E93"/>
    <w:rsid w:val="6DFF077E"/>
    <w:rsid w:val="6E714EF0"/>
    <w:rsid w:val="6E7E3605"/>
    <w:rsid w:val="6E7FDCC7"/>
    <w:rsid w:val="6EC06769"/>
    <w:rsid w:val="6ED6A62E"/>
    <w:rsid w:val="6EE00B15"/>
    <w:rsid w:val="6EF0667E"/>
    <w:rsid w:val="6F6FB3EB"/>
    <w:rsid w:val="6F8731EA"/>
    <w:rsid w:val="6F977F9C"/>
    <w:rsid w:val="6FB70357"/>
    <w:rsid w:val="6FCE6052"/>
    <w:rsid w:val="6FD57C00"/>
    <w:rsid w:val="6FEFFFD8"/>
    <w:rsid w:val="6FF5CC65"/>
    <w:rsid w:val="6FFB47EC"/>
    <w:rsid w:val="6FFF034A"/>
    <w:rsid w:val="70484440"/>
    <w:rsid w:val="712A28F1"/>
    <w:rsid w:val="715C0E4B"/>
    <w:rsid w:val="717C7162"/>
    <w:rsid w:val="719153B4"/>
    <w:rsid w:val="71992E7C"/>
    <w:rsid w:val="71EC0662"/>
    <w:rsid w:val="72233669"/>
    <w:rsid w:val="72734D90"/>
    <w:rsid w:val="73160E6D"/>
    <w:rsid w:val="7332FE48"/>
    <w:rsid w:val="737516C5"/>
    <w:rsid w:val="738970CF"/>
    <w:rsid w:val="73AB61DA"/>
    <w:rsid w:val="73AD73D5"/>
    <w:rsid w:val="73B12A87"/>
    <w:rsid w:val="73B6EB34"/>
    <w:rsid w:val="73F31BF5"/>
    <w:rsid w:val="73FA497D"/>
    <w:rsid w:val="744731E5"/>
    <w:rsid w:val="744A1799"/>
    <w:rsid w:val="74BBD01D"/>
    <w:rsid w:val="74C432FA"/>
    <w:rsid w:val="74ED5379"/>
    <w:rsid w:val="75DEEEC2"/>
    <w:rsid w:val="75E32345"/>
    <w:rsid w:val="763741CA"/>
    <w:rsid w:val="76E3355F"/>
    <w:rsid w:val="76FF5125"/>
    <w:rsid w:val="771C58B0"/>
    <w:rsid w:val="776F6FFA"/>
    <w:rsid w:val="778769C8"/>
    <w:rsid w:val="77A75DCA"/>
    <w:rsid w:val="77B331C7"/>
    <w:rsid w:val="77CF53AC"/>
    <w:rsid w:val="77DC22F5"/>
    <w:rsid w:val="78250553"/>
    <w:rsid w:val="783E271A"/>
    <w:rsid w:val="78616DE9"/>
    <w:rsid w:val="78713799"/>
    <w:rsid w:val="78E875D7"/>
    <w:rsid w:val="79086DAD"/>
    <w:rsid w:val="79D7FD79"/>
    <w:rsid w:val="79EE5BA4"/>
    <w:rsid w:val="7A020420"/>
    <w:rsid w:val="7A894339"/>
    <w:rsid w:val="7AD284E8"/>
    <w:rsid w:val="7AFF7572"/>
    <w:rsid w:val="7B6C7DFB"/>
    <w:rsid w:val="7B8E7C75"/>
    <w:rsid w:val="7BBFBED0"/>
    <w:rsid w:val="7BC3E394"/>
    <w:rsid w:val="7C142DB9"/>
    <w:rsid w:val="7C1F3737"/>
    <w:rsid w:val="7CBFC87B"/>
    <w:rsid w:val="7CFE0F48"/>
    <w:rsid w:val="7D133070"/>
    <w:rsid w:val="7D272ABC"/>
    <w:rsid w:val="7D553689"/>
    <w:rsid w:val="7D5611AF"/>
    <w:rsid w:val="7D7EC23E"/>
    <w:rsid w:val="7E6D055E"/>
    <w:rsid w:val="7E8ADEBF"/>
    <w:rsid w:val="7EEE5DEA"/>
    <w:rsid w:val="7EEF11D3"/>
    <w:rsid w:val="7EFE4840"/>
    <w:rsid w:val="7F0971A6"/>
    <w:rsid w:val="7F1D62E7"/>
    <w:rsid w:val="7F36534A"/>
    <w:rsid w:val="7F3F679B"/>
    <w:rsid w:val="7F4FC4EF"/>
    <w:rsid w:val="7F5E4D54"/>
    <w:rsid w:val="7F676231"/>
    <w:rsid w:val="7F6E0135"/>
    <w:rsid w:val="7F79F205"/>
    <w:rsid w:val="7FA30C79"/>
    <w:rsid w:val="7FA79C44"/>
    <w:rsid w:val="7FAF8ABF"/>
    <w:rsid w:val="7FB7269E"/>
    <w:rsid w:val="7FC40652"/>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31"/>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3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5"/>
    <w:unhideWhenUsed/>
    <w:qFormat/>
    <w:uiPriority w:val="9"/>
    <w:pPr>
      <w:keepNext/>
      <w:keepLines/>
      <w:spacing w:before="260" w:after="260" w:line="416" w:lineRule="auto"/>
      <w:outlineLvl w:val="2"/>
    </w:pPr>
    <w:rPr>
      <w:b/>
      <w:bCs/>
      <w:sz w:val="32"/>
      <w:szCs w:val="32"/>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next w:val="2"/>
    <w:qFormat/>
    <w:uiPriority w:val="0"/>
    <w:pPr>
      <w:spacing w:after="120"/>
      <w:ind w:left="200" w:leftChars="200"/>
    </w:pPr>
    <w:rPr>
      <w:rFonts w:ascii="仿宋_GB2312"/>
      <w:szCs w:val="32"/>
    </w:rPr>
  </w:style>
  <w:style w:type="paragraph" w:styleId="7">
    <w:name w:val="Body Text"/>
    <w:basedOn w:val="1"/>
    <w:link w:val="28"/>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4"/>
    <w:semiHidden/>
    <w:unhideWhenUsed/>
    <w:qFormat/>
    <w:uiPriority w:val="99"/>
    <w:rPr>
      <w:sz w:val="18"/>
      <w:szCs w:val="18"/>
    </w:rPr>
  </w:style>
  <w:style w:type="paragraph" w:styleId="10">
    <w:name w:val="footer"/>
    <w:basedOn w:val="1"/>
    <w:link w:val="26"/>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4"/>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footnote text"/>
    <w:basedOn w:val="1"/>
    <w:next w:val="2"/>
    <w:semiHidden/>
    <w:qFormat/>
    <w:uiPriority w:val="0"/>
    <w:pPr>
      <w:snapToGrid w:val="0"/>
      <w:jc w:val="left"/>
    </w:pPr>
    <w:rPr>
      <w:sz w:val="18"/>
      <w:szCs w:val="18"/>
    </w:rPr>
  </w:style>
  <w:style w:type="paragraph" w:styleId="14">
    <w:name w:val="toc 2"/>
    <w:basedOn w:val="1"/>
    <w:next w:val="1"/>
    <w:unhideWhenUsed/>
    <w:qFormat/>
    <w:uiPriority w:val="39"/>
    <w:pPr>
      <w:tabs>
        <w:tab w:val="right" w:leader="dot" w:pos="8296"/>
      </w:tabs>
      <w:ind w:left="420" w:leftChars="200"/>
    </w:pPr>
  </w:style>
  <w:style w:type="paragraph" w:styleId="15">
    <w:name w:val="Normal (Web)"/>
    <w:basedOn w:val="1"/>
    <w:qFormat/>
    <w:uiPriority w:val="0"/>
    <w:rPr>
      <w:sz w:val="24"/>
    </w:rPr>
  </w:style>
  <w:style w:type="paragraph" w:styleId="16">
    <w:name w:val="Body Text First Indent"/>
    <w:basedOn w:val="7"/>
    <w:qFormat/>
    <w:uiPriority w:val="0"/>
    <w:pPr>
      <w:ind w:firstLine="100" w:firstLineChars="100"/>
    </w:pPr>
    <w:rPr>
      <w:sz w:val="21"/>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99"/>
    <w:rPr>
      <w:b/>
    </w:rPr>
  </w:style>
  <w:style w:type="character" w:styleId="21">
    <w:name w:val="Hyperlink"/>
    <w:basedOn w:val="19"/>
    <w:unhideWhenUsed/>
    <w:qFormat/>
    <w:uiPriority w:val="99"/>
    <w:rPr>
      <w:color w:val="0000FF" w:themeColor="hyperlink"/>
      <w:u w:val="single"/>
      <w14:textFill>
        <w14:solidFill>
          <w14:schemeClr w14:val="hlink"/>
        </w14:solidFill>
      </w14:textFill>
    </w:rPr>
  </w:style>
  <w:style w:type="paragraph" w:customStyle="1" w:styleId="22">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3">
    <w:name w:val="Header Char"/>
    <w:basedOn w:val="19"/>
    <w:semiHidden/>
    <w:qFormat/>
    <w:uiPriority w:val="99"/>
    <w:rPr>
      <w:rFonts w:ascii="Times New Roman" w:hAnsi="Times New Roman"/>
      <w:sz w:val="18"/>
      <w:szCs w:val="18"/>
    </w:rPr>
  </w:style>
  <w:style w:type="character" w:customStyle="1" w:styleId="24">
    <w:name w:val="页眉 字符"/>
    <w:link w:val="11"/>
    <w:semiHidden/>
    <w:qFormat/>
    <w:locked/>
    <w:uiPriority w:val="99"/>
    <w:rPr>
      <w:sz w:val="18"/>
    </w:rPr>
  </w:style>
  <w:style w:type="character" w:customStyle="1" w:styleId="25">
    <w:name w:val="Footer Char"/>
    <w:basedOn w:val="19"/>
    <w:semiHidden/>
    <w:qFormat/>
    <w:uiPriority w:val="99"/>
    <w:rPr>
      <w:rFonts w:ascii="Times New Roman" w:hAnsi="Times New Roman"/>
      <w:sz w:val="18"/>
      <w:szCs w:val="18"/>
    </w:rPr>
  </w:style>
  <w:style w:type="character" w:customStyle="1" w:styleId="26">
    <w:name w:val="页脚 字符"/>
    <w:link w:val="10"/>
    <w:qFormat/>
    <w:locked/>
    <w:uiPriority w:val="99"/>
    <w:rPr>
      <w:sz w:val="18"/>
    </w:rPr>
  </w:style>
  <w:style w:type="character" w:customStyle="1" w:styleId="27">
    <w:name w:val="Body Text Char"/>
    <w:basedOn w:val="19"/>
    <w:semiHidden/>
    <w:qFormat/>
    <w:uiPriority w:val="99"/>
    <w:rPr>
      <w:rFonts w:ascii="Times New Roman" w:hAnsi="Times New Roman"/>
      <w:szCs w:val="24"/>
    </w:rPr>
  </w:style>
  <w:style w:type="character" w:customStyle="1" w:styleId="28">
    <w:name w:val="正文文本 字符"/>
    <w:link w:val="7"/>
    <w:qFormat/>
    <w:locked/>
    <w:uiPriority w:val="99"/>
    <w:rPr>
      <w:rFonts w:ascii="仿宋_GB2312" w:hAnsi="Times New Roman" w:eastAsia="仿宋_GB2312"/>
      <w:sz w:val="24"/>
    </w:rPr>
  </w:style>
  <w:style w:type="paragraph" w:customStyle="1" w:styleId="29">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30">
    <w:name w:val="List Paragraph"/>
    <w:basedOn w:val="1"/>
    <w:qFormat/>
    <w:uiPriority w:val="34"/>
    <w:pPr>
      <w:ind w:firstLine="420" w:firstLineChars="200"/>
    </w:pPr>
  </w:style>
  <w:style w:type="character" w:customStyle="1" w:styleId="31">
    <w:name w:val="标题 1 字符"/>
    <w:basedOn w:val="19"/>
    <w:link w:val="4"/>
    <w:qFormat/>
    <w:uiPriority w:val="9"/>
    <w:rPr>
      <w:rFonts w:ascii="Times New Roman" w:hAnsi="Times New Roman"/>
      <w:b/>
      <w:bCs/>
      <w:kern w:val="44"/>
      <w:sz w:val="44"/>
      <w:szCs w:val="44"/>
    </w:rPr>
  </w:style>
  <w:style w:type="character" w:customStyle="1" w:styleId="32">
    <w:name w:val="标题 2 字符"/>
    <w:basedOn w:val="19"/>
    <w:link w:val="5"/>
    <w:qFormat/>
    <w:uiPriority w:val="9"/>
    <w:rPr>
      <w:rFonts w:asciiTheme="majorHAnsi" w:hAnsiTheme="majorHAnsi" w:eastAsiaTheme="majorEastAsia" w:cstheme="majorBidi"/>
      <w:b/>
      <w:bCs/>
      <w:kern w:val="2"/>
      <w:sz w:val="32"/>
      <w:szCs w:val="32"/>
    </w:rPr>
  </w:style>
  <w:style w:type="paragraph" w:customStyle="1" w:styleId="33">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4">
    <w:name w:val="批注框文本 字符"/>
    <w:basedOn w:val="19"/>
    <w:link w:val="9"/>
    <w:semiHidden/>
    <w:qFormat/>
    <w:uiPriority w:val="99"/>
    <w:rPr>
      <w:rFonts w:ascii="Times New Roman" w:hAnsi="Times New Roman"/>
      <w:kern w:val="2"/>
      <w:sz w:val="18"/>
      <w:szCs w:val="18"/>
    </w:rPr>
  </w:style>
  <w:style w:type="character" w:customStyle="1" w:styleId="35">
    <w:name w:val="标题 3 字符"/>
    <w:basedOn w:val="19"/>
    <w:link w:val="6"/>
    <w:qFormat/>
    <w:uiPriority w:val="9"/>
    <w:rPr>
      <w:rFonts w:ascii="Times New Roman" w:hAnsi="Times New Roman"/>
      <w:b/>
      <w:bCs/>
      <w:kern w:val="2"/>
      <w:sz w:val="32"/>
      <w:szCs w:val="32"/>
    </w:rPr>
  </w:style>
  <w:style w:type="paragraph" w:customStyle="1" w:styleId="36">
    <w:name w:val="TOC 标题2"/>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7">
    <w:name w:val="四号正文"/>
    <w:basedOn w:val="1"/>
    <w:qFormat/>
    <w:uiPriority w:val="0"/>
    <w:pPr>
      <w:spacing w:line="360" w:lineRule="auto"/>
    </w:pPr>
    <w:rPr>
      <w:rFonts w:ascii="??" w:hAnsi="??"/>
      <w:color w:val="000000"/>
      <w:kern w:val="0"/>
      <w:sz w:val="28"/>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2.png"/><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收入支出决算总体情况表</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财政拨款收入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2023年度</c:v>
                </c:pt>
                <c:pt idx="1">
                  <c:v>2024年度</c:v>
                </c:pt>
              </c:strCache>
            </c:strRef>
          </c:cat>
          <c:val>
            <c:numRef>
              <c:f>Sheet1!$B$2:$B$3</c:f>
              <c:numCache>
                <c:formatCode>General</c:formatCode>
                <c:ptCount val="2"/>
                <c:pt idx="0">
                  <c:v>1095.65</c:v>
                </c:pt>
                <c:pt idx="1">
                  <c:v>1149.96</c:v>
                </c:pt>
              </c:numCache>
            </c:numRef>
          </c:val>
        </c:ser>
        <c:ser>
          <c:idx val="1"/>
          <c:order val="1"/>
          <c:tx>
            <c:strRef>
              <c:f>Sheet1!$C$1</c:f>
              <c:strCache>
                <c:ptCount val="1"/>
                <c:pt idx="0">
                  <c:v>财政拨款支出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2023年度</c:v>
                </c:pt>
                <c:pt idx="1">
                  <c:v>2024年度</c:v>
                </c:pt>
              </c:strCache>
            </c:strRef>
          </c:cat>
          <c:val>
            <c:numRef>
              <c:f>Sheet1!$C$2:$C$3</c:f>
              <c:numCache>
                <c:formatCode>General</c:formatCode>
                <c:ptCount val="2"/>
                <c:pt idx="0">
                  <c:v>1095.65</c:v>
                </c:pt>
                <c:pt idx="1">
                  <c:v>1149.96</c:v>
                </c:pt>
              </c:numCache>
            </c:numRef>
          </c:val>
        </c:ser>
        <c:ser>
          <c:idx val="2"/>
          <c:order val="2"/>
          <c:tx>
            <c:strRef>
              <c:f>Sheet1!$D$1</c:f>
              <c:strCache>
                <c:ptCount val="1"/>
                <c:pt idx="0">
                  <c:v>其他收入</c:v>
                </c:pt>
              </c:strCache>
            </c:strRef>
          </c:tx>
          <c:spPr>
            <a:solidFill>
              <a:schemeClr val="accent3"/>
            </a:solidFill>
            <a:ln>
              <a:noFill/>
            </a:ln>
            <a:effectLst/>
          </c:spPr>
          <c:invertIfNegative val="0"/>
          <c:dLbls>
            <c:delete val="1"/>
          </c:dLbls>
          <c:cat>
            <c:strRef>
              <c:f>Sheet1!$A$2:$A$3</c:f>
              <c:strCache>
                <c:ptCount val="2"/>
                <c:pt idx="0">
                  <c:v>2023年度</c:v>
                </c:pt>
                <c:pt idx="1">
                  <c:v>2024年度</c:v>
                </c:pt>
              </c:strCache>
            </c:strRef>
          </c:cat>
          <c:val>
            <c:numRef>
              <c:f>Sheet1!$D$2:$D$3</c:f>
              <c:numCache>
                <c:formatCode>General</c:formatCode>
                <c:ptCount val="2"/>
                <c:pt idx="0">
                  <c:v>17.14</c:v>
                </c:pt>
                <c:pt idx="1">
                  <c:v>21.5</c:v>
                </c:pt>
              </c:numCache>
            </c:numRef>
          </c:val>
        </c:ser>
        <c:ser>
          <c:idx val="3"/>
          <c:order val="3"/>
          <c:tx>
            <c:strRef>
              <c:f>Sheet1!$E$1</c:f>
              <c:strCache>
                <c:ptCount val="1"/>
                <c:pt idx="0">
                  <c:v>其他支出</c:v>
                </c:pt>
              </c:strCache>
            </c:strRef>
          </c:tx>
          <c:spPr>
            <a:solidFill>
              <a:schemeClr val="accent4"/>
            </a:solidFill>
            <a:ln>
              <a:noFill/>
            </a:ln>
            <a:effectLst/>
          </c:spPr>
          <c:invertIfNegative val="0"/>
          <c:dLbls>
            <c:delete val="1"/>
          </c:dLbls>
          <c:cat>
            <c:strRef>
              <c:f>Sheet1!$A$2:$A$3</c:f>
              <c:strCache>
                <c:ptCount val="2"/>
                <c:pt idx="0">
                  <c:v>2023年度</c:v>
                </c:pt>
                <c:pt idx="1">
                  <c:v>2024年度</c:v>
                </c:pt>
              </c:strCache>
            </c:strRef>
          </c:cat>
          <c:val>
            <c:numRef>
              <c:f>Sheet1!$E$2:$E$3</c:f>
              <c:numCache>
                <c:formatCode>General</c:formatCode>
                <c:ptCount val="2"/>
                <c:pt idx="0">
                  <c:v>17.14</c:v>
                </c:pt>
                <c:pt idx="1">
                  <c:v>21.5</c:v>
                </c:pt>
              </c:numCache>
            </c:numRef>
          </c:val>
        </c:ser>
        <c:dLbls>
          <c:showLegendKey val="0"/>
          <c:showVal val="0"/>
          <c:showCatName val="0"/>
          <c:showSerName val="0"/>
          <c:showPercent val="0"/>
          <c:showBubbleSize val="0"/>
        </c:dLbls>
        <c:gapWidth val="246"/>
        <c:overlap val="-28"/>
        <c:axId val="639788969"/>
        <c:axId val="155150645"/>
      </c:barChart>
      <c:catAx>
        <c:axId val="63978896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5150645"/>
        <c:crosses val="autoZero"/>
        <c:auto val="1"/>
        <c:lblAlgn val="ctr"/>
        <c:lblOffset val="100"/>
        <c:noMultiLvlLbl val="0"/>
      </c:catAx>
      <c:valAx>
        <c:axId val="155150645"/>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39788969"/>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e921223-6519-4053-8b8f-c7012aa7b664}"/>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支出决算情况表</a:t>
            </a:r>
          </a:p>
        </c:rich>
      </c:tx>
      <c:layout/>
      <c:overlay val="0"/>
      <c:spPr>
        <a:noFill/>
        <a:ln>
          <a:noFill/>
        </a:ln>
        <a:effectLst/>
      </c:spPr>
    </c:title>
    <c:autoTitleDeleted val="0"/>
    <c:plotArea>
      <c:layout/>
      <c:pieChart>
        <c:varyColors val="1"/>
        <c:ser>
          <c:idx val="0"/>
          <c:order val="0"/>
          <c:tx>
            <c:strRef>
              <c:f>Sheet1!$B$1</c:f>
              <c:strCache>
                <c:ptCount val="1"/>
                <c:pt idx="0">
                  <c:v>支出情况表</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dLbl>
              <c:idx val="0"/>
              <c:layout/>
              <c:dLblPos val="bestFit"/>
              <c:showLegendKey val="0"/>
              <c:showVal val="1"/>
              <c:showCatName val="0"/>
              <c:showSerName val="0"/>
              <c:showPercent val="0"/>
              <c:showBubbleSize val="0"/>
              <c:extLst>
                <c:ext xmlns:c15="http://schemas.microsoft.com/office/drawing/2012/chart" uri="{CE6537A1-D6FC-4f65-9D91-7224C49458BB}"/>
              </c:extLst>
            </c:dLbl>
            <c:dLbl>
              <c:idx val="1"/>
              <c:layout/>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#,##0.00</c:formatCode>
                <c:ptCount val="2"/>
                <c:pt idx="0">
                  <c:v>2021.95</c:v>
                </c:pt>
                <c:pt idx="1" c:formatCode="General">
                  <c:v>969.2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10d00fff-c762-4a93-8f98-8479097dd4ed}"/>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26</Pages>
  <Words>1204</Words>
  <Characters>1227</Characters>
  <Lines>60</Lines>
  <Paragraphs>17</Paragraphs>
  <TotalTime>3</TotalTime>
  <ScaleCrop>false</ScaleCrop>
  <LinksUpToDate>false</LinksUpToDate>
  <CharactersWithSpaces>1324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Dell</cp:lastModifiedBy>
  <cp:lastPrinted>2025-08-06T17:34:00Z</cp:lastPrinted>
  <dcterms:modified xsi:type="dcterms:W3CDTF">2025-09-18T09:41:06Z</dcterms:modified>
  <dc:title>四川省***</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0C1C5D96C71C46C98C1ED694DDD758DE_13</vt:lpwstr>
  </property>
  <property fmtid="{D5CDD505-2E9C-101B-9397-08002B2CF9AE}" pid="4" name="KSOTemplateDocerSaveRecord">
    <vt:lpwstr>eyJoZGlkIjoiOGEyYWE2MzEzYzdjNDFkN2M3NzViMDE2ZTA0NzNmMmEifQ==</vt:lpwstr>
  </property>
</Properties>
</file>